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yellow"/>
        </w:rPr>
      </w:pPr>
    </w:p>
    <w:p>
      <w:pPr>
        <w:wordWrap w:val="0"/>
        <w:topLinePunct/>
        <w:rPr>
          <w:rFonts w:ascii="宋体"/>
          <w:b/>
          <w:sz w:val="84"/>
          <w:szCs w:val="84"/>
          <w:highlight w:val="white"/>
        </w:rPr>
      </w:pPr>
      <w:bookmarkStart w:id="0" w:name="EB7fd5134b3f9543688ad91a888cd74f55"/>
      <w:bookmarkEnd w:id="0"/>
    </w:p>
    <w:p>
      <w:pPr>
        <w:wordWrap w:val="0"/>
        <w:topLinePunct/>
        <w:jc w:val="center"/>
        <w:rPr>
          <w:rFonts w:ascii="宋体"/>
          <w:b/>
          <w:color w:val="auto"/>
          <w:sz w:val="84"/>
          <w:szCs w:val="84"/>
          <w:highlight w:val="none"/>
        </w:rPr>
      </w:pPr>
      <w:r>
        <w:rPr>
          <w:rFonts w:hint="eastAsia" w:ascii="宋体"/>
          <w:b/>
          <w:color w:val="auto"/>
          <w:sz w:val="84"/>
          <w:szCs w:val="84"/>
          <w:highlight w:val="none"/>
        </w:rPr>
        <w:t>招 标 文 件</w:t>
      </w:r>
    </w:p>
    <w:p>
      <w:pPr>
        <w:wordWrap w:val="0"/>
        <w:topLinePunct/>
        <w:jc w:val="center"/>
        <w:rPr>
          <w:rFonts w:ascii="宋体"/>
          <w:b/>
          <w:color w:val="auto"/>
          <w:sz w:val="84"/>
          <w:szCs w:val="84"/>
          <w:highlight w:val="none"/>
        </w:rPr>
      </w:pPr>
    </w:p>
    <w:p>
      <w:pPr>
        <w:topLinePunct/>
        <w:spacing w:line="360" w:lineRule="auto"/>
        <w:ind w:firstLine="643" w:firstLineChars="200"/>
        <w:jc w:val="left"/>
        <w:rPr>
          <w:rFonts w:ascii="宋体"/>
          <w:b/>
          <w:color w:val="auto"/>
          <w:sz w:val="32"/>
          <w:szCs w:val="32"/>
          <w:highlight w:val="none"/>
        </w:rPr>
      </w:pPr>
    </w:p>
    <w:p>
      <w:pPr>
        <w:topLinePunct/>
        <w:spacing w:line="360" w:lineRule="auto"/>
        <w:ind w:firstLine="643" w:firstLineChars="200"/>
        <w:jc w:val="left"/>
        <w:rPr>
          <w:rFonts w:hint="default" w:ascii="宋体" w:eastAsia="宋体"/>
          <w:b/>
          <w:color w:val="auto"/>
          <w:sz w:val="32"/>
          <w:szCs w:val="32"/>
          <w:highlight w:val="none"/>
          <w:lang w:val="en-US" w:eastAsia="zh-CN"/>
        </w:rPr>
      </w:pPr>
      <w:r>
        <w:rPr>
          <w:rFonts w:hint="eastAsia" w:ascii="宋体"/>
          <w:b/>
          <w:color w:val="auto"/>
          <w:sz w:val="32"/>
          <w:szCs w:val="32"/>
          <w:highlight w:val="none"/>
        </w:rPr>
        <w:t>项目编号：</w:t>
      </w:r>
      <w:r>
        <w:rPr>
          <w:rFonts w:hint="eastAsia" w:ascii="宋体"/>
          <w:b/>
          <w:color w:val="auto"/>
          <w:sz w:val="32"/>
          <w:szCs w:val="32"/>
          <w:highlight w:val="none"/>
          <w:u w:val="single"/>
          <w:lang w:val="en-US" w:eastAsia="zh-CN"/>
        </w:rPr>
        <w:t>SCHJ-MS-20220630</w:t>
      </w:r>
    </w:p>
    <w:p>
      <w:pPr>
        <w:spacing w:line="320" w:lineRule="exact"/>
        <w:ind w:left="2244" w:leftChars="304" w:hanging="1606" w:hangingChars="500"/>
        <w:jc w:val="left"/>
        <w:rPr>
          <w:rFonts w:ascii="宋体"/>
          <w:b/>
          <w:color w:val="auto"/>
          <w:sz w:val="32"/>
          <w:szCs w:val="32"/>
          <w:highlight w:val="none"/>
        </w:rPr>
      </w:pPr>
    </w:p>
    <w:p>
      <w:pPr>
        <w:spacing w:line="360" w:lineRule="auto"/>
        <w:ind w:left="2244" w:leftChars="304" w:hanging="1606" w:hangingChars="500"/>
        <w:jc w:val="left"/>
        <w:rPr>
          <w:rFonts w:hint="eastAsia" w:ascii="宋体"/>
          <w:b/>
          <w:color w:val="auto"/>
          <w:sz w:val="32"/>
          <w:szCs w:val="32"/>
          <w:highlight w:val="none"/>
          <w:u w:val="single"/>
          <w:lang w:eastAsia="zh-CN"/>
        </w:rPr>
      </w:pPr>
      <w:r>
        <w:rPr>
          <w:rFonts w:hint="eastAsia" w:ascii="宋体"/>
          <w:b/>
          <w:color w:val="auto"/>
          <w:sz w:val="32"/>
          <w:szCs w:val="32"/>
          <w:highlight w:val="none"/>
        </w:rPr>
        <w:t>项目名称：</w:t>
      </w:r>
      <w:r>
        <w:rPr>
          <w:rFonts w:hint="eastAsia" w:ascii="宋体"/>
          <w:b/>
          <w:color w:val="auto"/>
          <w:sz w:val="32"/>
          <w:szCs w:val="32"/>
          <w:highlight w:val="none"/>
          <w:u w:val="single"/>
          <w:lang w:eastAsia="zh-CN"/>
        </w:rPr>
        <w:t xml:space="preserve">眉山市东坡区医疗应急救治能力提升项目医疗设备采购 </w:t>
      </w:r>
    </w:p>
    <w:p>
      <w:pPr>
        <w:pStyle w:val="13"/>
      </w:pPr>
    </w:p>
    <w:p>
      <w:pPr>
        <w:topLinePunct/>
        <w:spacing w:line="360" w:lineRule="auto"/>
        <w:ind w:firstLine="643" w:firstLineChars="200"/>
        <w:jc w:val="left"/>
        <w:rPr>
          <w:rFonts w:hint="eastAsia" w:eastAsia="宋体"/>
          <w:b/>
          <w:color w:val="auto"/>
          <w:sz w:val="32"/>
          <w:szCs w:val="32"/>
          <w:highlight w:val="none"/>
          <w:u w:val="single"/>
          <w:lang w:eastAsia="zh-CN"/>
        </w:rPr>
      </w:pPr>
      <w:r>
        <w:rPr>
          <w:rFonts w:hint="eastAsia" w:ascii="宋体"/>
          <w:b/>
          <w:color w:val="auto"/>
          <w:sz w:val="32"/>
          <w:szCs w:val="32"/>
          <w:highlight w:val="none"/>
        </w:rPr>
        <w:t>采 购人</w:t>
      </w:r>
      <w:r>
        <w:rPr>
          <w:rFonts w:hint="eastAsia"/>
          <w:b/>
          <w:color w:val="auto"/>
          <w:sz w:val="32"/>
          <w:szCs w:val="32"/>
          <w:highlight w:val="none"/>
        </w:rPr>
        <w:t>：</w:t>
      </w:r>
      <w:bookmarkStart w:id="1" w:name="EB348f466d359647259da2e7362e6fc642"/>
      <w:bookmarkEnd w:id="1"/>
      <w:r>
        <w:rPr>
          <w:rFonts w:hint="eastAsia"/>
          <w:b/>
          <w:color w:val="auto"/>
          <w:sz w:val="32"/>
          <w:szCs w:val="32"/>
          <w:highlight w:val="none"/>
          <w:u w:val="single"/>
          <w:lang w:eastAsia="zh-CN"/>
        </w:rPr>
        <w:t>眉山市东岸投资开发有限公司</w:t>
      </w:r>
    </w:p>
    <w:p>
      <w:pPr>
        <w:spacing w:line="360" w:lineRule="auto"/>
        <w:rPr>
          <w:rFonts w:ascii="宋体"/>
          <w:b/>
          <w:color w:val="auto"/>
          <w:sz w:val="32"/>
          <w:szCs w:val="32"/>
          <w:highlight w:val="none"/>
        </w:rPr>
      </w:pPr>
    </w:p>
    <w:p>
      <w:pPr>
        <w:spacing w:line="360" w:lineRule="auto"/>
        <w:jc w:val="center"/>
        <w:rPr>
          <w:rFonts w:ascii="宋体"/>
          <w:b/>
          <w:color w:val="auto"/>
          <w:sz w:val="32"/>
          <w:szCs w:val="32"/>
          <w:highlight w:val="none"/>
        </w:rPr>
      </w:pPr>
    </w:p>
    <w:tbl>
      <w:tblPr>
        <w:tblStyle w:val="24"/>
        <w:tblpPr w:leftFromText="180" w:rightFromText="180" w:vertAnchor="text" w:horzAnchor="page" w:tblpX="1979" w:tblpY="576"/>
        <w:tblOverlap w:val="never"/>
        <w:tblW w:w="8519" w:type="dxa"/>
        <w:tblInd w:w="0" w:type="dxa"/>
        <w:tblLayout w:type="fixed"/>
        <w:tblCellMar>
          <w:top w:w="0" w:type="dxa"/>
          <w:left w:w="108" w:type="dxa"/>
          <w:bottom w:w="0" w:type="dxa"/>
          <w:right w:w="108" w:type="dxa"/>
        </w:tblCellMar>
      </w:tblPr>
      <w:tblGrid>
        <w:gridCol w:w="5917"/>
        <w:gridCol w:w="2602"/>
      </w:tblGrid>
      <w:tr>
        <w:tblPrEx>
          <w:tblCellMar>
            <w:top w:w="0" w:type="dxa"/>
            <w:left w:w="108" w:type="dxa"/>
            <w:bottom w:w="0" w:type="dxa"/>
            <w:right w:w="108" w:type="dxa"/>
          </w:tblCellMar>
        </w:tblPrEx>
        <w:tc>
          <w:tcPr>
            <w:tcW w:w="5917" w:type="dxa"/>
            <w:tcBorders>
              <w:top w:val="nil"/>
              <w:left w:val="nil"/>
              <w:bottom w:val="nil"/>
              <w:right w:val="nil"/>
              <w:tl2br w:val="nil"/>
              <w:tr2bl w:val="nil"/>
            </w:tcBorders>
            <w:shd w:val="clear" w:color="auto" w:fill="auto"/>
          </w:tcPr>
          <w:p>
            <w:pPr>
              <w:topLinePunct/>
              <w:spacing w:line="360" w:lineRule="auto"/>
              <w:jc w:val="left"/>
              <w:rPr>
                <w:rFonts w:hint="eastAsia" w:eastAsia="宋体"/>
                <w:b/>
                <w:color w:val="auto"/>
                <w:sz w:val="32"/>
                <w:szCs w:val="32"/>
                <w:highlight w:val="none"/>
                <w:u w:val="single"/>
                <w:lang w:eastAsia="zh-CN"/>
              </w:rPr>
            </w:pPr>
            <w:r>
              <w:rPr>
                <w:rFonts w:hint="eastAsia"/>
                <w:b/>
                <w:color w:val="auto"/>
                <w:sz w:val="28"/>
                <w:szCs w:val="28"/>
                <w:highlight w:val="none"/>
                <w:lang w:eastAsia="zh-CN"/>
              </w:rPr>
              <w:t>眉山市东岸投资开发有限公司</w:t>
            </w:r>
          </w:p>
        </w:tc>
        <w:tc>
          <w:tcPr>
            <w:tcW w:w="2602" w:type="dxa"/>
            <w:vMerge w:val="restart"/>
            <w:tcBorders>
              <w:top w:val="nil"/>
              <w:left w:val="nil"/>
              <w:bottom w:val="nil"/>
              <w:right w:val="nil"/>
              <w:tl2br w:val="nil"/>
              <w:tr2bl w:val="nil"/>
            </w:tcBorders>
            <w:shd w:val="clear" w:color="auto" w:fill="auto"/>
            <w:vAlign w:val="center"/>
          </w:tcPr>
          <w:p>
            <w:pPr>
              <w:ind w:firstLine="157" w:firstLineChars="49"/>
              <w:jc w:val="left"/>
              <w:rPr>
                <w:rFonts w:ascii="宋体"/>
                <w:b/>
                <w:color w:val="auto"/>
                <w:sz w:val="32"/>
                <w:szCs w:val="32"/>
                <w:highlight w:val="none"/>
              </w:rPr>
            </w:pPr>
            <w:r>
              <w:rPr>
                <w:rFonts w:hint="eastAsia" w:ascii="宋体"/>
                <w:b/>
                <w:color w:val="auto"/>
                <w:sz w:val="32"/>
                <w:szCs w:val="32"/>
                <w:highlight w:val="none"/>
              </w:rPr>
              <w:t>共同编制</w:t>
            </w:r>
          </w:p>
        </w:tc>
      </w:tr>
      <w:tr>
        <w:tblPrEx>
          <w:tblCellMar>
            <w:top w:w="0" w:type="dxa"/>
            <w:left w:w="108" w:type="dxa"/>
            <w:bottom w:w="0" w:type="dxa"/>
            <w:right w:w="108" w:type="dxa"/>
          </w:tblCellMar>
        </w:tblPrEx>
        <w:tc>
          <w:tcPr>
            <w:tcW w:w="5917" w:type="dxa"/>
            <w:tcBorders>
              <w:top w:val="nil"/>
              <w:left w:val="nil"/>
              <w:bottom w:val="nil"/>
              <w:right w:val="nil"/>
              <w:tl2br w:val="nil"/>
              <w:tr2bl w:val="nil"/>
            </w:tcBorders>
            <w:shd w:val="clear" w:color="auto" w:fill="auto"/>
          </w:tcPr>
          <w:p>
            <w:pPr>
              <w:jc w:val="left"/>
              <w:rPr>
                <w:rFonts w:hint="eastAsia" w:eastAsia="宋体"/>
                <w:b/>
                <w:color w:val="auto"/>
                <w:sz w:val="28"/>
                <w:szCs w:val="28"/>
                <w:highlight w:val="none"/>
                <w:lang w:eastAsia="zh-CN"/>
              </w:rPr>
            </w:pPr>
            <w:r>
              <w:rPr>
                <w:rFonts w:hint="eastAsia"/>
                <w:b/>
                <w:color w:val="auto"/>
                <w:sz w:val="28"/>
                <w:szCs w:val="28"/>
                <w:highlight w:val="none"/>
                <w:lang w:eastAsia="zh-CN"/>
              </w:rPr>
              <w:t>四川华景工程项目管理有限公司</w:t>
            </w:r>
          </w:p>
        </w:tc>
        <w:tc>
          <w:tcPr>
            <w:tcW w:w="2602" w:type="dxa"/>
            <w:vMerge w:val="continue"/>
            <w:tcBorders>
              <w:top w:val="nil"/>
              <w:left w:val="nil"/>
              <w:bottom w:val="nil"/>
              <w:right w:val="nil"/>
              <w:tl2br w:val="nil"/>
              <w:tr2bl w:val="nil"/>
            </w:tcBorders>
            <w:shd w:val="clear" w:color="auto" w:fill="auto"/>
          </w:tcPr>
          <w:p>
            <w:pPr>
              <w:rPr>
                <w:color w:val="auto"/>
                <w:highlight w:val="none"/>
              </w:rPr>
            </w:pPr>
          </w:p>
        </w:tc>
      </w:tr>
    </w:tbl>
    <w:p>
      <w:pPr>
        <w:spacing w:line="360" w:lineRule="auto"/>
        <w:jc w:val="center"/>
        <w:rPr>
          <w:rFonts w:hint="eastAsia" w:ascii="宋体"/>
          <w:b/>
          <w:color w:val="auto"/>
          <w:sz w:val="32"/>
          <w:szCs w:val="32"/>
          <w:highlight w:val="none"/>
        </w:rPr>
      </w:pPr>
    </w:p>
    <w:p>
      <w:pPr>
        <w:pStyle w:val="10"/>
        <w:rPr>
          <w:rFonts w:hint="eastAsia"/>
        </w:rPr>
      </w:pPr>
    </w:p>
    <w:p>
      <w:pPr>
        <w:spacing w:line="360" w:lineRule="auto"/>
        <w:jc w:val="center"/>
        <w:rPr>
          <w:rFonts w:ascii="宋体"/>
          <w:b/>
          <w:color w:val="auto"/>
          <w:sz w:val="32"/>
          <w:szCs w:val="32"/>
          <w:highlight w:val="none"/>
        </w:rPr>
      </w:pPr>
      <w:r>
        <w:rPr>
          <w:rFonts w:hint="eastAsia" w:ascii="宋体"/>
          <w:b/>
          <w:color w:val="auto"/>
          <w:sz w:val="32"/>
          <w:szCs w:val="32"/>
          <w:highlight w:val="none"/>
        </w:rPr>
        <w:t>中国·四川·眉山</w:t>
      </w:r>
    </w:p>
    <w:p>
      <w:pPr>
        <w:spacing w:line="360" w:lineRule="auto"/>
        <w:rPr>
          <w:rFonts w:hint="default" w:ascii="宋体" w:eastAsia="宋体"/>
          <w:b/>
          <w:color w:val="auto"/>
          <w:sz w:val="32"/>
          <w:szCs w:val="32"/>
          <w:highlight w:val="none"/>
          <w:lang w:val="en-US" w:eastAsia="zh-CN"/>
        </w:rPr>
      </w:pPr>
      <w:r>
        <w:rPr>
          <w:rFonts w:hint="eastAsia" w:ascii="宋体"/>
          <w:b/>
          <w:color w:val="auto"/>
          <w:sz w:val="32"/>
          <w:szCs w:val="32"/>
          <w:highlight w:val="none"/>
          <w:lang w:val="en-US" w:eastAsia="zh-CN"/>
        </w:rPr>
        <w:t xml:space="preserve">                    2022年6月</w:t>
      </w:r>
    </w:p>
    <w:p>
      <w:pPr>
        <w:pStyle w:val="40"/>
        <w:jc w:val="center"/>
        <w:rPr>
          <w:rFonts w:ascii="宋体"/>
          <w:color w:val="auto"/>
          <w:highlight w:val="none"/>
          <w:lang w:val="zh-CN"/>
        </w:rPr>
      </w:pPr>
    </w:p>
    <w:p>
      <w:pPr>
        <w:pStyle w:val="40"/>
        <w:jc w:val="center"/>
        <w:rPr>
          <w:rFonts w:ascii="宋体"/>
          <w:color w:val="auto"/>
          <w:highlight w:val="none"/>
        </w:rPr>
      </w:pPr>
      <w:r>
        <w:rPr>
          <w:rFonts w:hint="eastAsia" w:ascii="宋体"/>
          <w:color w:val="auto"/>
          <w:highlight w:val="none"/>
          <w:lang w:val="zh-CN"/>
        </w:rPr>
        <w:t>目录</w:t>
      </w:r>
    </w:p>
    <w:p>
      <w:pPr>
        <w:pStyle w:val="19"/>
        <w:tabs>
          <w:tab w:val="right" w:leader="dot" w:pos="8296"/>
        </w:tabs>
        <w:rPr>
          <w:rFonts w:ascii="宋体"/>
          <w:color w:val="auto"/>
          <w:highlight w:val="none"/>
        </w:rPr>
      </w:pPr>
    </w:p>
    <w:p>
      <w:pPr>
        <w:pStyle w:val="19"/>
        <w:tabs>
          <w:tab w:val="right" w:leader="dot" w:pos="8306"/>
        </w:tabs>
        <w:rPr>
          <w:highlight w:val="none"/>
        </w:rPr>
      </w:pPr>
      <w:r>
        <w:rPr>
          <w:rFonts w:ascii="宋体"/>
          <w:color w:val="auto"/>
          <w:highlight w:val="none"/>
        </w:rPr>
        <w:fldChar w:fldCharType="begin"/>
      </w:r>
      <w:r>
        <w:rPr>
          <w:rFonts w:ascii="宋体"/>
          <w:color w:val="auto"/>
          <w:highlight w:val="none"/>
        </w:rPr>
        <w:instrText xml:space="preserve"> TOC \o "1-3" \h \u </w:instrText>
      </w:r>
      <w:r>
        <w:rPr>
          <w:rFonts w:ascii="宋体"/>
          <w:color w:val="auto"/>
          <w:highlight w:val="none"/>
        </w:rPr>
        <w:fldChar w:fldCharType="separate"/>
      </w:r>
      <w:r>
        <w:rPr>
          <w:rFonts w:ascii="宋体"/>
          <w:color w:val="auto"/>
          <w:highlight w:val="none"/>
        </w:rPr>
        <w:fldChar w:fldCharType="begin"/>
      </w:r>
      <w:r>
        <w:rPr>
          <w:rFonts w:ascii="宋体"/>
          <w:highlight w:val="none"/>
        </w:rPr>
        <w:instrText xml:space="preserve"> HYPERLINK \l _Toc28446 </w:instrText>
      </w:r>
      <w:r>
        <w:rPr>
          <w:rFonts w:ascii="宋体"/>
          <w:highlight w:val="none"/>
        </w:rPr>
        <w:fldChar w:fldCharType="separate"/>
      </w:r>
      <w:r>
        <w:rPr>
          <w:rFonts w:hint="eastAsia" w:ascii="宋体"/>
          <w:bCs/>
          <w:kern w:val="44"/>
          <w:szCs w:val="44"/>
          <w:highlight w:val="none"/>
        </w:rPr>
        <w:t>第一章  投标邀请</w:t>
      </w:r>
      <w:r>
        <w:rPr>
          <w:highlight w:val="none"/>
        </w:rPr>
        <w:tab/>
      </w:r>
      <w:r>
        <w:rPr>
          <w:highlight w:val="none"/>
        </w:rPr>
        <w:fldChar w:fldCharType="begin"/>
      </w:r>
      <w:r>
        <w:rPr>
          <w:highlight w:val="none"/>
        </w:rPr>
        <w:instrText xml:space="preserve"> PAGEREF _Toc28446 </w:instrText>
      </w:r>
      <w:r>
        <w:rPr>
          <w:highlight w:val="none"/>
        </w:rPr>
        <w:fldChar w:fldCharType="separate"/>
      </w:r>
      <w:r>
        <w:rPr>
          <w:highlight w:val="none"/>
        </w:rPr>
        <w:t>3</w:t>
      </w:r>
      <w:r>
        <w:rPr>
          <w:highlight w:val="none"/>
        </w:rPr>
        <w:fldChar w:fldCharType="end"/>
      </w:r>
      <w:r>
        <w:rPr>
          <w:rFonts w:ascii="宋体"/>
          <w:color w:val="auto"/>
          <w:highlight w:val="none"/>
        </w:rPr>
        <w:fldChar w:fldCharType="end"/>
      </w:r>
    </w:p>
    <w:p>
      <w:pPr>
        <w:pStyle w:val="19"/>
        <w:tabs>
          <w:tab w:val="right" w:leader="dot" w:pos="8306"/>
        </w:tabs>
        <w:rPr>
          <w:highlight w:val="none"/>
        </w:rPr>
      </w:pPr>
      <w:r>
        <w:rPr>
          <w:rFonts w:ascii="宋体"/>
          <w:color w:val="auto"/>
          <w:highlight w:val="none"/>
        </w:rPr>
        <w:fldChar w:fldCharType="begin"/>
      </w:r>
      <w:r>
        <w:rPr>
          <w:rFonts w:ascii="宋体"/>
          <w:highlight w:val="none"/>
        </w:rPr>
        <w:instrText xml:space="preserve"> HYPERLINK \l _Toc32573 </w:instrText>
      </w:r>
      <w:r>
        <w:rPr>
          <w:rFonts w:ascii="宋体"/>
          <w:highlight w:val="none"/>
        </w:rPr>
        <w:fldChar w:fldCharType="separate"/>
      </w:r>
      <w:r>
        <w:rPr>
          <w:rFonts w:hint="eastAsia" w:ascii="宋体"/>
          <w:highlight w:val="none"/>
        </w:rPr>
        <w:t>第二章  投标人须知</w:t>
      </w:r>
      <w:r>
        <w:rPr>
          <w:highlight w:val="none"/>
        </w:rPr>
        <w:tab/>
      </w:r>
      <w:r>
        <w:rPr>
          <w:highlight w:val="none"/>
        </w:rPr>
        <w:fldChar w:fldCharType="begin"/>
      </w:r>
      <w:r>
        <w:rPr>
          <w:highlight w:val="none"/>
        </w:rPr>
        <w:instrText xml:space="preserve"> PAGEREF _Toc32573 </w:instrText>
      </w:r>
      <w:r>
        <w:rPr>
          <w:highlight w:val="none"/>
        </w:rPr>
        <w:fldChar w:fldCharType="separate"/>
      </w:r>
      <w:r>
        <w:rPr>
          <w:highlight w:val="none"/>
        </w:rPr>
        <w:t>7</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_Toc14299 </w:instrText>
      </w:r>
      <w:r>
        <w:rPr>
          <w:rFonts w:ascii="宋体"/>
          <w:highlight w:val="none"/>
        </w:rPr>
        <w:fldChar w:fldCharType="separate"/>
      </w:r>
      <w:r>
        <w:rPr>
          <w:rFonts w:hint="eastAsia" w:ascii="宋体"/>
          <w:highlight w:val="none"/>
        </w:rPr>
        <w:t>一、</w:t>
      </w:r>
      <w:r>
        <w:rPr>
          <w:rFonts w:hint="eastAsia" w:ascii="宋体"/>
          <w:szCs w:val="24"/>
          <w:highlight w:val="none"/>
        </w:rPr>
        <w:t>投标人须知前附表</w:t>
      </w:r>
      <w:r>
        <w:rPr>
          <w:highlight w:val="none"/>
        </w:rPr>
        <w:tab/>
      </w:r>
      <w:r>
        <w:rPr>
          <w:highlight w:val="none"/>
        </w:rPr>
        <w:fldChar w:fldCharType="begin"/>
      </w:r>
      <w:r>
        <w:rPr>
          <w:highlight w:val="none"/>
        </w:rPr>
        <w:instrText xml:space="preserve"> PAGEREF _Toc14299 </w:instrText>
      </w:r>
      <w:r>
        <w:rPr>
          <w:highlight w:val="none"/>
        </w:rPr>
        <w:fldChar w:fldCharType="separate"/>
      </w:r>
      <w:r>
        <w:rPr>
          <w:highlight w:val="none"/>
        </w:rPr>
        <w:t>7</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_Toc3077 </w:instrText>
      </w:r>
      <w:r>
        <w:rPr>
          <w:rFonts w:ascii="宋体"/>
          <w:highlight w:val="none"/>
        </w:rPr>
        <w:fldChar w:fldCharType="separate"/>
      </w:r>
      <w:r>
        <w:rPr>
          <w:rFonts w:hint="eastAsia" w:ascii="宋体"/>
          <w:szCs w:val="24"/>
          <w:highlight w:val="none"/>
        </w:rPr>
        <w:t>二、总则</w:t>
      </w:r>
      <w:r>
        <w:rPr>
          <w:highlight w:val="none"/>
        </w:rPr>
        <w:tab/>
      </w:r>
      <w:r>
        <w:rPr>
          <w:highlight w:val="none"/>
        </w:rPr>
        <w:fldChar w:fldCharType="begin"/>
      </w:r>
      <w:r>
        <w:rPr>
          <w:highlight w:val="none"/>
        </w:rPr>
        <w:instrText xml:space="preserve"> PAGEREF _Toc3077 </w:instrText>
      </w:r>
      <w:r>
        <w:rPr>
          <w:highlight w:val="none"/>
        </w:rPr>
        <w:fldChar w:fldCharType="separate"/>
      </w:r>
      <w:r>
        <w:rPr>
          <w:highlight w:val="none"/>
        </w:rPr>
        <w:t>20</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_Toc10923 </w:instrText>
      </w:r>
      <w:r>
        <w:rPr>
          <w:rFonts w:ascii="宋体"/>
          <w:highlight w:val="none"/>
        </w:rPr>
        <w:fldChar w:fldCharType="separate"/>
      </w:r>
      <w:r>
        <w:rPr>
          <w:rFonts w:hint="eastAsia" w:ascii="宋体"/>
          <w:szCs w:val="24"/>
          <w:highlight w:val="none"/>
        </w:rPr>
        <w:t>三、招标文件</w:t>
      </w:r>
      <w:r>
        <w:rPr>
          <w:highlight w:val="none"/>
        </w:rPr>
        <w:tab/>
      </w:r>
      <w:r>
        <w:rPr>
          <w:highlight w:val="none"/>
        </w:rPr>
        <w:fldChar w:fldCharType="begin"/>
      </w:r>
      <w:r>
        <w:rPr>
          <w:highlight w:val="none"/>
        </w:rPr>
        <w:instrText xml:space="preserve"> PAGEREF _Toc10923 </w:instrText>
      </w:r>
      <w:r>
        <w:rPr>
          <w:highlight w:val="none"/>
        </w:rPr>
        <w:fldChar w:fldCharType="separate"/>
      </w:r>
      <w:r>
        <w:rPr>
          <w:highlight w:val="none"/>
        </w:rPr>
        <w:t>22</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_Toc32185 </w:instrText>
      </w:r>
      <w:r>
        <w:rPr>
          <w:rFonts w:ascii="宋体"/>
          <w:highlight w:val="none"/>
        </w:rPr>
        <w:fldChar w:fldCharType="separate"/>
      </w:r>
      <w:r>
        <w:rPr>
          <w:rFonts w:hint="eastAsia" w:ascii="宋体"/>
          <w:szCs w:val="24"/>
          <w:highlight w:val="none"/>
        </w:rPr>
        <w:t>四、投标文件</w:t>
      </w:r>
      <w:r>
        <w:rPr>
          <w:highlight w:val="none"/>
        </w:rPr>
        <w:tab/>
      </w:r>
      <w:r>
        <w:rPr>
          <w:highlight w:val="none"/>
        </w:rPr>
        <w:fldChar w:fldCharType="begin"/>
      </w:r>
      <w:r>
        <w:rPr>
          <w:highlight w:val="none"/>
        </w:rPr>
        <w:instrText xml:space="preserve"> PAGEREF _Toc32185 </w:instrText>
      </w:r>
      <w:r>
        <w:rPr>
          <w:highlight w:val="none"/>
        </w:rPr>
        <w:fldChar w:fldCharType="separate"/>
      </w:r>
      <w:r>
        <w:rPr>
          <w:highlight w:val="none"/>
        </w:rPr>
        <w:t>23</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_Toc13888 </w:instrText>
      </w:r>
      <w:r>
        <w:rPr>
          <w:rFonts w:ascii="宋体"/>
          <w:highlight w:val="none"/>
        </w:rPr>
        <w:fldChar w:fldCharType="separate"/>
      </w:r>
      <w:r>
        <w:rPr>
          <w:rFonts w:hint="eastAsia" w:ascii="宋体"/>
          <w:szCs w:val="24"/>
          <w:highlight w:val="none"/>
        </w:rPr>
        <w:t>五、开标和中标</w:t>
      </w:r>
      <w:r>
        <w:rPr>
          <w:highlight w:val="none"/>
        </w:rPr>
        <w:tab/>
      </w:r>
      <w:r>
        <w:rPr>
          <w:highlight w:val="none"/>
        </w:rPr>
        <w:fldChar w:fldCharType="begin"/>
      </w:r>
      <w:r>
        <w:rPr>
          <w:highlight w:val="none"/>
        </w:rPr>
        <w:instrText xml:space="preserve"> PAGEREF _Toc13888 </w:instrText>
      </w:r>
      <w:r>
        <w:rPr>
          <w:highlight w:val="none"/>
        </w:rPr>
        <w:fldChar w:fldCharType="separate"/>
      </w:r>
      <w:r>
        <w:rPr>
          <w:highlight w:val="none"/>
        </w:rPr>
        <w:t>28</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_Toc31627 </w:instrText>
      </w:r>
      <w:r>
        <w:rPr>
          <w:rFonts w:ascii="宋体"/>
          <w:highlight w:val="none"/>
        </w:rPr>
        <w:fldChar w:fldCharType="separate"/>
      </w:r>
      <w:r>
        <w:rPr>
          <w:rFonts w:hint="eastAsia" w:ascii="宋体"/>
          <w:szCs w:val="24"/>
          <w:highlight w:val="none"/>
        </w:rPr>
        <w:t>六、签订及履行合同和验收</w:t>
      </w:r>
      <w:r>
        <w:rPr>
          <w:highlight w:val="none"/>
        </w:rPr>
        <w:tab/>
      </w:r>
      <w:r>
        <w:rPr>
          <w:highlight w:val="none"/>
        </w:rPr>
        <w:fldChar w:fldCharType="begin"/>
      </w:r>
      <w:r>
        <w:rPr>
          <w:highlight w:val="none"/>
        </w:rPr>
        <w:instrText xml:space="preserve"> PAGEREF _Toc31627 </w:instrText>
      </w:r>
      <w:r>
        <w:rPr>
          <w:highlight w:val="none"/>
        </w:rPr>
        <w:fldChar w:fldCharType="separate"/>
      </w:r>
      <w:r>
        <w:rPr>
          <w:highlight w:val="none"/>
        </w:rPr>
        <w:t>32</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_Toc4923 </w:instrText>
      </w:r>
      <w:r>
        <w:rPr>
          <w:rFonts w:ascii="宋体"/>
          <w:highlight w:val="none"/>
        </w:rPr>
        <w:fldChar w:fldCharType="separate"/>
      </w:r>
      <w:r>
        <w:rPr>
          <w:rFonts w:hint="eastAsia" w:ascii="宋体"/>
          <w:szCs w:val="24"/>
          <w:highlight w:val="none"/>
        </w:rPr>
        <w:t>七、投标纪律要求</w:t>
      </w:r>
      <w:r>
        <w:rPr>
          <w:highlight w:val="none"/>
        </w:rPr>
        <w:tab/>
      </w:r>
      <w:r>
        <w:rPr>
          <w:highlight w:val="none"/>
        </w:rPr>
        <w:fldChar w:fldCharType="begin"/>
      </w:r>
      <w:r>
        <w:rPr>
          <w:highlight w:val="none"/>
        </w:rPr>
        <w:instrText xml:space="preserve"> PAGEREF _Toc4923 </w:instrText>
      </w:r>
      <w:r>
        <w:rPr>
          <w:highlight w:val="none"/>
        </w:rPr>
        <w:fldChar w:fldCharType="separate"/>
      </w:r>
      <w:r>
        <w:rPr>
          <w:highlight w:val="none"/>
        </w:rPr>
        <w:t>35</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_Toc14563 </w:instrText>
      </w:r>
      <w:r>
        <w:rPr>
          <w:rFonts w:ascii="宋体"/>
          <w:highlight w:val="none"/>
        </w:rPr>
        <w:fldChar w:fldCharType="separate"/>
      </w:r>
      <w:r>
        <w:rPr>
          <w:rFonts w:hint="eastAsia" w:ascii="宋体"/>
          <w:szCs w:val="24"/>
          <w:highlight w:val="none"/>
        </w:rPr>
        <w:t>八、询问、质疑和投诉</w:t>
      </w:r>
      <w:r>
        <w:rPr>
          <w:highlight w:val="none"/>
        </w:rPr>
        <w:tab/>
      </w:r>
      <w:r>
        <w:rPr>
          <w:highlight w:val="none"/>
        </w:rPr>
        <w:fldChar w:fldCharType="begin"/>
      </w:r>
      <w:r>
        <w:rPr>
          <w:highlight w:val="none"/>
        </w:rPr>
        <w:instrText xml:space="preserve"> PAGEREF _Toc14563 </w:instrText>
      </w:r>
      <w:r>
        <w:rPr>
          <w:highlight w:val="none"/>
        </w:rPr>
        <w:fldChar w:fldCharType="separate"/>
      </w:r>
      <w:r>
        <w:rPr>
          <w:highlight w:val="none"/>
        </w:rPr>
        <w:t>36</w:t>
      </w:r>
      <w:r>
        <w:rPr>
          <w:highlight w:val="none"/>
        </w:rPr>
        <w:fldChar w:fldCharType="end"/>
      </w:r>
      <w:r>
        <w:rPr>
          <w:rFonts w:ascii="宋体"/>
          <w:color w:val="auto"/>
          <w:highlight w:val="none"/>
        </w:rPr>
        <w:fldChar w:fldCharType="end"/>
      </w:r>
    </w:p>
    <w:p>
      <w:pPr>
        <w:pStyle w:val="12"/>
        <w:tabs>
          <w:tab w:val="right" w:leader="dot" w:pos="8306"/>
          <w:tab w:val="clear" w:pos="8296"/>
        </w:tabs>
        <w:rPr>
          <w:highlight w:val="none"/>
        </w:rPr>
      </w:pPr>
      <w:r>
        <w:rPr>
          <w:rFonts w:ascii="宋体"/>
          <w:color w:val="auto"/>
          <w:highlight w:val="none"/>
        </w:rPr>
        <w:fldChar w:fldCharType="begin"/>
      </w:r>
      <w:r>
        <w:rPr>
          <w:rFonts w:ascii="宋体"/>
          <w:highlight w:val="none"/>
        </w:rPr>
        <w:instrText xml:space="preserve"> HYPERLINK \l _Toc22383 </w:instrText>
      </w:r>
      <w:r>
        <w:rPr>
          <w:rFonts w:ascii="宋体"/>
          <w:highlight w:val="none"/>
        </w:rPr>
        <w:fldChar w:fldCharType="separate"/>
      </w:r>
      <w:r>
        <w:rPr>
          <w:rFonts w:hint="eastAsia" w:ascii="宋体"/>
          <w:szCs w:val="24"/>
          <w:highlight w:val="none"/>
        </w:rPr>
        <w:t>九、其他</w:t>
      </w:r>
      <w:r>
        <w:rPr>
          <w:highlight w:val="none"/>
        </w:rPr>
        <w:tab/>
      </w:r>
      <w:r>
        <w:rPr>
          <w:highlight w:val="none"/>
        </w:rPr>
        <w:fldChar w:fldCharType="begin"/>
      </w:r>
      <w:r>
        <w:rPr>
          <w:highlight w:val="none"/>
        </w:rPr>
        <w:instrText xml:space="preserve"> PAGEREF _Toc22383 </w:instrText>
      </w:r>
      <w:r>
        <w:rPr>
          <w:highlight w:val="none"/>
        </w:rPr>
        <w:fldChar w:fldCharType="separate"/>
      </w:r>
      <w:r>
        <w:rPr>
          <w:highlight w:val="none"/>
        </w:rPr>
        <w:t>36</w:t>
      </w:r>
      <w:r>
        <w:rPr>
          <w:highlight w:val="none"/>
        </w:rPr>
        <w:fldChar w:fldCharType="end"/>
      </w:r>
      <w:r>
        <w:rPr>
          <w:rFonts w:ascii="宋体"/>
          <w:color w:val="auto"/>
          <w:highlight w:val="none"/>
        </w:rPr>
        <w:fldChar w:fldCharType="end"/>
      </w:r>
    </w:p>
    <w:p>
      <w:pPr>
        <w:pStyle w:val="19"/>
        <w:tabs>
          <w:tab w:val="right" w:leader="dot" w:pos="8306"/>
        </w:tabs>
        <w:rPr>
          <w:highlight w:val="none"/>
        </w:rPr>
      </w:pPr>
      <w:r>
        <w:rPr>
          <w:rFonts w:ascii="宋体"/>
          <w:color w:val="auto"/>
          <w:highlight w:val="none"/>
        </w:rPr>
        <w:fldChar w:fldCharType="begin"/>
      </w:r>
      <w:r>
        <w:rPr>
          <w:rFonts w:ascii="宋体"/>
          <w:highlight w:val="none"/>
        </w:rPr>
        <w:instrText xml:space="preserve"> HYPERLINK \l _Toc3122 </w:instrText>
      </w:r>
      <w:r>
        <w:rPr>
          <w:rFonts w:ascii="宋体"/>
          <w:highlight w:val="none"/>
        </w:rPr>
        <w:fldChar w:fldCharType="separate"/>
      </w:r>
      <w:r>
        <w:rPr>
          <w:rFonts w:hint="eastAsia" w:ascii="宋体"/>
          <w:highlight w:val="none"/>
        </w:rPr>
        <w:t>第三章  投标文件格式</w:t>
      </w:r>
      <w:r>
        <w:rPr>
          <w:highlight w:val="none"/>
        </w:rPr>
        <w:tab/>
      </w:r>
      <w:r>
        <w:rPr>
          <w:highlight w:val="none"/>
        </w:rPr>
        <w:fldChar w:fldCharType="begin"/>
      </w:r>
      <w:r>
        <w:rPr>
          <w:highlight w:val="none"/>
        </w:rPr>
        <w:instrText xml:space="preserve"> PAGEREF _Toc3122 </w:instrText>
      </w:r>
      <w:r>
        <w:rPr>
          <w:highlight w:val="none"/>
        </w:rPr>
        <w:fldChar w:fldCharType="separate"/>
      </w:r>
      <w:r>
        <w:rPr>
          <w:highlight w:val="none"/>
        </w:rPr>
        <w:t>37</w:t>
      </w:r>
      <w:r>
        <w:rPr>
          <w:highlight w:val="none"/>
        </w:rPr>
        <w:fldChar w:fldCharType="end"/>
      </w:r>
      <w:r>
        <w:rPr>
          <w:rFonts w:ascii="宋体"/>
          <w:color w:val="auto"/>
          <w:highlight w:val="none"/>
        </w:rPr>
        <w:fldChar w:fldCharType="end"/>
      </w:r>
    </w:p>
    <w:p>
      <w:pPr>
        <w:pStyle w:val="19"/>
        <w:tabs>
          <w:tab w:val="right" w:leader="dot" w:pos="8306"/>
        </w:tabs>
        <w:rPr>
          <w:highlight w:val="none"/>
        </w:rPr>
      </w:pPr>
      <w:r>
        <w:rPr>
          <w:rFonts w:ascii="宋体"/>
          <w:color w:val="auto"/>
          <w:highlight w:val="none"/>
        </w:rPr>
        <w:fldChar w:fldCharType="begin"/>
      </w:r>
      <w:r>
        <w:rPr>
          <w:rFonts w:ascii="宋体"/>
          <w:highlight w:val="none"/>
        </w:rPr>
        <w:instrText xml:space="preserve"> HYPERLINK \l _Toc16356 </w:instrText>
      </w:r>
      <w:r>
        <w:rPr>
          <w:rFonts w:ascii="宋体"/>
          <w:highlight w:val="none"/>
        </w:rPr>
        <w:fldChar w:fldCharType="separate"/>
      </w:r>
      <w:r>
        <w:rPr>
          <w:rFonts w:hint="eastAsia" w:ascii="宋体"/>
          <w:highlight w:val="none"/>
        </w:rPr>
        <w:t>第四章  招标项目技术、服务及其他要求</w:t>
      </w:r>
      <w:r>
        <w:rPr>
          <w:highlight w:val="none"/>
        </w:rPr>
        <w:tab/>
      </w:r>
      <w:r>
        <w:rPr>
          <w:highlight w:val="none"/>
        </w:rPr>
        <w:fldChar w:fldCharType="begin"/>
      </w:r>
      <w:r>
        <w:rPr>
          <w:highlight w:val="none"/>
        </w:rPr>
        <w:instrText xml:space="preserve"> PAGEREF _Toc16356 </w:instrText>
      </w:r>
      <w:r>
        <w:rPr>
          <w:highlight w:val="none"/>
        </w:rPr>
        <w:fldChar w:fldCharType="separate"/>
      </w:r>
      <w:r>
        <w:rPr>
          <w:highlight w:val="none"/>
        </w:rPr>
        <w:t>57</w:t>
      </w:r>
      <w:r>
        <w:rPr>
          <w:highlight w:val="none"/>
        </w:rPr>
        <w:fldChar w:fldCharType="end"/>
      </w:r>
      <w:r>
        <w:rPr>
          <w:rFonts w:ascii="宋体"/>
          <w:color w:val="auto"/>
          <w:highlight w:val="none"/>
        </w:rPr>
        <w:fldChar w:fldCharType="end"/>
      </w:r>
    </w:p>
    <w:p>
      <w:pPr>
        <w:pStyle w:val="19"/>
        <w:tabs>
          <w:tab w:val="right" w:leader="dot" w:pos="8306"/>
        </w:tabs>
        <w:rPr>
          <w:highlight w:val="none"/>
        </w:rPr>
      </w:pPr>
      <w:r>
        <w:rPr>
          <w:rFonts w:ascii="宋体"/>
          <w:color w:val="auto"/>
          <w:highlight w:val="none"/>
        </w:rPr>
        <w:fldChar w:fldCharType="begin"/>
      </w:r>
      <w:r>
        <w:rPr>
          <w:rFonts w:ascii="宋体"/>
          <w:highlight w:val="none"/>
        </w:rPr>
        <w:instrText xml:space="preserve"> HYPERLINK \l _Toc25935 </w:instrText>
      </w:r>
      <w:r>
        <w:rPr>
          <w:rFonts w:ascii="宋体"/>
          <w:highlight w:val="none"/>
        </w:rPr>
        <w:fldChar w:fldCharType="separate"/>
      </w:r>
      <w:r>
        <w:rPr>
          <w:rFonts w:hint="eastAsia" w:ascii="宋体"/>
          <w:highlight w:val="none"/>
        </w:rPr>
        <w:t>第五章  评标办法</w:t>
      </w:r>
      <w:r>
        <w:rPr>
          <w:highlight w:val="none"/>
        </w:rPr>
        <w:tab/>
      </w:r>
      <w:r>
        <w:rPr>
          <w:highlight w:val="none"/>
        </w:rPr>
        <w:fldChar w:fldCharType="begin"/>
      </w:r>
      <w:r>
        <w:rPr>
          <w:highlight w:val="none"/>
        </w:rPr>
        <w:instrText xml:space="preserve"> PAGEREF _Toc25935 </w:instrText>
      </w:r>
      <w:r>
        <w:rPr>
          <w:highlight w:val="none"/>
        </w:rPr>
        <w:fldChar w:fldCharType="separate"/>
      </w:r>
      <w:r>
        <w:rPr>
          <w:highlight w:val="none"/>
        </w:rPr>
        <w:t>99</w:t>
      </w:r>
      <w:r>
        <w:rPr>
          <w:highlight w:val="none"/>
        </w:rPr>
        <w:fldChar w:fldCharType="end"/>
      </w:r>
      <w:r>
        <w:rPr>
          <w:rFonts w:ascii="宋体"/>
          <w:color w:val="auto"/>
          <w:highlight w:val="none"/>
        </w:rPr>
        <w:fldChar w:fldCharType="end"/>
      </w:r>
    </w:p>
    <w:p>
      <w:pPr>
        <w:pStyle w:val="19"/>
        <w:tabs>
          <w:tab w:val="right" w:leader="dot" w:pos="8306"/>
        </w:tabs>
        <w:rPr>
          <w:highlight w:val="none"/>
        </w:rPr>
      </w:pPr>
      <w:r>
        <w:rPr>
          <w:rFonts w:ascii="宋体"/>
          <w:color w:val="auto"/>
          <w:highlight w:val="none"/>
        </w:rPr>
        <w:fldChar w:fldCharType="begin"/>
      </w:r>
      <w:r>
        <w:rPr>
          <w:rFonts w:ascii="宋体"/>
          <w:highlight w:val="none"/>
        </w:rPr>
        <w:instrText xml:space="preserve"> HYPERLINK \l _Toc20543 </w:instrText>
      </w:r>
      <w:r>
        <w:rPr>
          <w:rFonts w:ascii="宋体"/>
          <w:highlight w:val="none"/>
        </w:rPr>
        <w:fldChar w:fldCharType="separate"/>
      </w:r>
      <w:r>
        <w:rPr>
          <w:rFonts w:hint="eastAsia" w:ascii="宋体"/>
          <w:bCs/>
          <w:szCs w:val="72"/>
          <w:highlight w:val="none"/>
          <w:lang w:eastAsia="zh-CN"/>
        </w:rPr>
        <w:t>第六章</w:t>
      </w:r>
      <w:r>
        <w:rPr>
          <w:rFonts w:hint="eastAsia" w:ascii="宋体"/>
          <w:bCs/>
          <w:szCs w:val="72"/>
          <w:highlight w:val="none"/>
          <w:lang w:val="en-US" w:eastAsia="zh-CN"/>
        </w:rPr>
        <w:t xml:space="preserve">  </w:t>
      </w:r>
      <w:r>
        <w:rPr>
          <w:rFonts w:hint="eastAsia" w:ascii="宋体"/>
          <w:bCs/>
          <w:szCs w:val="72"/>
          <w:highlight w:val="none"/>
          <w:lang w:eastAsia="zh-CN"/>
        </w:rPr>
        <w:t>政府采购合同（样例）</w:t>
      </w:r>
      <w:r>
        <w:rPr>
          <w:highlight w:val="none"/>
        </w:rPr>
        <w:tab/>
      </w:r>
      <w:r>
        <w:rPr>
          <w:highlight w:val="none"/>
        </w:rPr>
        <w:fldChar w:fldCharType="begin"/>
      </w:r>
      <w:r>
        <w:rPr>
          <w:highlight w:val="none"/>
        </w:rPr>
        <w:instrText xml:space="preserve"> PAGEREF _Toc20543 </w:instrText>
      </w:r>
      <w:r>
        <w:rPr>
          <w:highlight w:val="none"/>
        </w:rPr>
        <w:fldChar w:fldCharType="separate"/>
      </w:r>
      <w:r>
        <w:rPr>
          <w:highlight w:val="none"/>
        </w:rPr>
        <w:t>121</w:t>
      </w:r>
      <w:r>
        <w:rPr>
          <w:highlight w:val="none"/>
        </w:rPr>
        <w:fldChar w:fldCharType="end"/>
      </w:r>
      <w:r>
        <w:rPr>
          <w:rFonts w:ascii="宋体"/>
          <w:color w:val="auto"/>
          <w:highlight w:val="none"/>
        </w:rPr>
        <w:fldChar w:fldCharType="end"/>
      </w:r>
    </w:p>
    <w:p>
      <w:pPr>
        <w:pStyle w:val="19"/>
        <w:tabs>
          <w:tab w:val="right" w:leader="dot" w:pos="8306"/>
        </w:tabs>
        <w:rPr>
          <w:color w:val="auto"/>
          <w:highlight w:val="none"/>
        </w:rPr>
      </w:pPr>
      <w:r>
        <w:rPr>
          <w:rFonts w:ascii="宋体"/>
          <w:color w:val="auto"/>
          <w:highlight w:val="none"/>
        </w:rPr>
        <w:fldChar w:fldCharType="end"/>
      </w:r>
    </w:p>
    <w:p>
      <w:pPr>
        <w:jc w:val="center"/>
        <w:outlineLvl w:val="0"/>
        <w:rPr>
          <w:color w:val="auto"/>
          <w:highlight w:val="none"/>
        </w:rPr>
      </w:pPr>
      <w:r>
        <w:rPr>
          <w:rFonts w:ascii="宋体"/>
          <w:b/>
          <w:color w:val="auto"/>
          <w:highlight w:val="none"/>
        </w:rPr>
        <w:br w:type="page"/>
      </w:r>
      <w:bookmarkStart w:id="2" w:name="_Toc28446"/>
      <w:bookmarkStart w:id="3" w:name="_Toc497397741"/>
      <w:bookmarkStart w:id="4" w:name="EBb892a19666dc4ca58f3e5addb56d8c65"/>
      <w:r>
        <w:rPr>
          <w:rFonts w:hint="eastAsia" w:ascii="宋体"/>
          <w:b/>
          <w:bCs/>
          <w:color w:val="auto"/>
          <w:kern w:val="44"/>
          <w:sz w:val="44"/>
          <w:szCs w:val="44"/>
          <w:highlight w:val="none"/>
        </w:rPr>
        <w:t>第一章  投标邀请</w:t>
      </w:r>
      <w:bookmarkEnd w:id="2"/>
      <w:bookmarkEnd w:id="3"/>
    </w:p>
    <w:p>
      <w:pPr>
        <w:pStyle w:val="42"/>
        <w:widowControl w:val="0"/>
        <w:jc w:val="both"/>
        <w:rPr>
          <w:color w:val="auto"/>
          <w:highlight w:val="none"/>
          <w:lang w:val="zh-CN"/>
        </w:rPr>
      </w:pPr>
      <w:r>
        <w:rPr>
          <w:rFonts w:ascii="Calibri" w:hAnsi="Calibri" w:eastAsia="Calibri" w:cs="Calibri"/>
          <w:color w:val="auto"/>
          <w:sz w:val="21"/>
          <w:highlight w:val="none"/>
          <w:lang w:val="zh-CN"/>
        </w:rPr>
        <w:t> </w:t>
      </w:r>
    </w:p>
    <w:p>
      <w:pPr>
        <w:spacing w:line="480" w:lineRule="auto"/>
        <w:ind w:firstLine="560" w:firstLineChars="200"/>
        <w:jc w:val="left"/>
        <w:rPr>
          <w:color w:val="auto"/>
          <w:sz w:val="28"/>
          <w:szCs w:val="28"/>
          <w:highlight w:val="none"/>
        </w:rPr>
      </w:pPr>
      <w:r>
        <w:rPr>
          <w:rFonts w:hint="eastAsia"/>
          <w:color w:val="auto"/>
          <w:sz w:val="28"/>
          <w:szCs w:val="28"/>
          <w:highlight w:val="none"/>
          <w:u w:val="single"/>
          <w:lang w:eastAsia="zh-CN"/>
        </w:rPr>
        <w:t>四川华景工程项目管理有限公司</w:t>
      </w:r>
      <w:r>
        <w:rPr>
          <w:rFonts w:hint="eastAsia" w:cs="Calibri"/>
          <w:color w:val="auto"/>
          <w:sz w:val="28"/>
          <w:szCs w:val="28"/>
          <w:highlight w:val="none"/>
          <w:lang w:val="zh-CN"/>
        </w:rPr>
        <w:t>(</w:t>
      </w:r>
      <w:r>
        <w:rPr>
          <w:rFonts w:hint="eastAsia" w:cs="宋体"/>
          <w:color w:val="auto"/>
          <w:sz w:val="28"/>
          <w:szCs w:val="28"/>
          <w:highlight w:val="none"/>
          <w:lang w:val="zh-CN"/>
        </w:rPr>
        <w:t>采购代理机构</w:t>
      </w:r>
      <w:r>
        <w:rPr>
          <w:rFonts w:hint="eastAsia" w:cs="Calibri"/>
          <w:color w:val="auto"/>
          <w:sz w:val="28"/>
          <w:szCs w:val="28"/>
          <w:highlight w:val="none"/>
          <w:lang w:val="zh-CN"/>
        </w:rPr>
        <w:t>)</w:t>
      </w:r>
      <w:r>
        <w:rPr>
          <w:rFonts w:hint="eastAsia" w:cs="宋体"/>
          <w:color w:val="auto"/>
          <w:sz w:val="28"/>
          <w:szCs w:val="28"/>
          <w:highlight w:val="none"/>
          <w:lang w:val="zh-CN"/>
        </w:rPr>
        <w:t>受</w:t>
      </w:r>
      <w:r>
        <w:rPr>
          <w:rFonts w:hint="eastAsia" w:ascii="Times New Roman" w:hAnsi="Times New Roman"/>
          <w:color w:val="auto"/>
          <w:kern w:val="0"/>
          <w:sz w:val="28"/>
          <w:szCs w:val="28"/>
          <w:highlight w:val="none"/>
          <w:u w:val="single"/>
          <w:lang w:eastAsia="zh-CN"/>
        </w:rPr>
        <w:t>眉山市东岸投资开发有限公司</w:t>
      </w:r>
      <w:r>
        <w:rPr>
          <w:rFonts w:hint="eastAsia" w:cs="Calibri"/>
          <w:color w:val="auto"/>
          <w:sz w:val="28"/>
          <w:szCs w:val="28"/>
          <w:highlight w:val="none"/>
          <w:lang w:val="zh-CN"/>
        </w:rPr>
        <w:t>(</w:t>
      </w:r>
      <w:r>
        <w:rPr>
          <w:rFonts w:hint="eastAsia" w:cs="宋体"/>
          <w:color w:val="auto"/>
          <w:sz w:val="28"/>
          <w:szCs w:val="28"/>
          <w:highlight w:val="none"/>
          <w:lang w:val="zh-CN"/>
        </w:rPr>
        <w:t>采购人</w:t>
      </w:r>
      <w:r>
        <w:rPr>
          <w:rFonts w:hint="eastAsia" w:cs="Calibri"/>
          <w:color w:val="auto"/>
          <w:sz w:val="28"/>
          <w:szCs w:val="28"/>
          <w:highlight w:val="none"/>
          <w:lang w:val="zh-CN"/>
        </w:rPr>
        <w:t>)</w:t>
      </w:r>
      <w:r>
        <w:rPr>
          <w:rFonts w:hint="eastAsia" w:cs="宋体"/>
          <w:color w:val="auto"/>
          <w:sz w:val="28"/>
          <w:szCs w:val="28"/>
          <w:highlight w:val="none"/>
          <w:lang w:val="zh-CN"/>
        </w:rPr>
        <w:t>的委托，拟对</w:t>
      </w:r>
      <w:r>
        <w:rPr>
          <w:rFonts w:hint="eastAsia" w:ascii="Times New Roman" w:hAnsi="Times New Roman"/>
          <w:color w:val="auto"/>
          <w:kern w:val="0"/>
          <w:sz w:val="28"/>
          <w:szCs w:val="28"/>
          <w:highlight w:val="none"/>
          <w:u w:val="single"/>
        </w:rPr>
        <w:t xml:space="preserve"> </w:t>
      </w:r>
      <w:r>
        <w:rPr>
          <w:rFonts w:hint="eastAsia" w:ascii="Times New Roman" w:hAnsi="Times New Roman"/>
          <w:color w:val="auto"/>
          <w:kern w:val="0"/>
          <w:sz w:val="28"/>
          <w:szCs w:val="28"/>
          <w:highlight w:val="none"/>
          <w:u w:val="single"/>
          <w:lang w:eastAsia="zh-CN"/>
        </w:rPr>
        <w:t>眉山市东坡区医疗应急救治能力提升项目医疗设备</w:t>
      </w:r>
      <w:r>
        <w:rPr>
          <w:rFonts w:hint="eastAsia" w:ascii="Times New Roman" w:hAnsi="Times New Roman"/>
          <w:color w:val="auto"/>
          <w:kern w:val="0"/>
          <w:sz w:val="28"/>
          <w:szCs w:val="28"/>
          <w:highlight w:val="none"/>
          <w:u w:val="single"/>
          <w:lang w:val="en-US" w:eastAsia="zh-CN"/>
        </w:rPr>
        <w:t>采购</w:t>
      </w:r>
      <w:r>
        <w:rPr>
          <w:rFonts w:hint="eastAsia" w:ascii="Times New Roman" w:hAnsi="Times New Roman"/>
          <w:color w:val="auto"/>
          <w:kern w:val="0"/>
          <w:sz w:val="28"/>
          <w:szCs w:val="28"/>
          <w:highlight w:val="none"/>
          <w:u w:val="single"/>
          <w:lang w:eastAsia="zh-CN"/>
        </w:rPr>
        <w:t xml:space="preserve"> </w:t>
      </w:r>
      <w:r>
        <w:rPr>
          <w:rFonts w:hint="eastAsia" w:ascii="Times New Roman" w:hAnsi="Times New Roman"/>
          <w:color w:val="auto"/>
          <w:kern w:val="0"/>
          <w:sz w:val="28"/>
          <w:szCs w:val="28"/>
          <w:highlight w:val="none"/>
          <w:u w:val="single"/>
        </w:rPr>
        <w:t xml:space="preserve"> </w:t>
      </w:r>
      <w:r>
        <w:rPr>
          <w:rFonts w:hint="eastAsia" w:cs="宋体"/>
          <w:color w:val="auto"/>
          <w:sz w:val="28"/>
          <w:szCs w:val="28"/>
          <w:highlight w:val="none"/>
          <w:lang w:val="zh-CN"/>
        </w:rPr>
        <w:t>进行国内公开招标，兹邀请符合本次招标要求的投标人参加投标。</w:t>
      </w:r>
    </w:p>
    <w:p>
      <w:pPr>
        <w:pStyle w:val="42"/>
        <w:widowControl w:val="0"/>
        <w:spacing w:line="480" w:lineRule="auto"/>
        <w:ind w:left="420"/>
        <w:jc w:val="both"/>
        <w:rPr>
          <w:rFonts w:eastAsiaTheme="minorEastAsia"/>
          <w:color w:val="auto"/>
          <w:sz w:val="28"/>
          <w:szCs w:val="28"/>
          <w:highlight w:val="none"/>
        </w:rPr>
      </w:pPr>
      <w:r>
        <w:rPr>
          <w:rFonts w:hint="eastAsia" w:ascii="宋体" w:eastAsia="宋体" w:cs="宋体"/>
          <w:b/>
          <w:color w:val="auto"/>
          <w:sz w:val="28"/>
          <w:szCs w:val="28"/>
          <w:highlight w:val="none"/>
          <w:lang w:val="zh-CN"/>
        </w:rPr>
        <w:t>一、项目编号：</w:t>
      </w:r>
      <w:r>
        <w:rPr>
          <w:rFonts w:hint="eastAsia" w:eastAsia="宋体"/>
          <w:color w:val="auto"/>
          <w:sz w:val="28"/>
          <w:szCs w:val="28"/>
          <w:highlight w:val="none"/>
          <w:u w:val="single"/>
          <w:lang w:val="zh-CN" w:eastAsia="zh-CN"/>
        </w:rPr>
        <w:t xml:space="preserve">SCHJ-MS-20220630 </w:t>
      </w:r>
      <w:r>
        <w:rPr>
          <w:rFonts w:hint="eastAsia" w:ascii="Calibri" w:hAnsi="Calibri" w:eastAsia="宋体" w:cs="宋体"/>
          <w:color w:val="auto"/>
          <w:kern w:val="2"/>
          <w:sz w:val="28"/>
          <w:szCs w:val="28"/>
          <w:highlight w:val="none"/>
          <w:lang w:val="zh-CN" w:eastAsia="zh-CN" w:bidi="ar-SA"/>
        </w:rPr>
        <w:t xml:space="preserve"> </w:t>
      </w:r>
      <w:r>
        <w:rPr>
          <w:rFonts w:hint="eastAsia" w:eastAsiaTheme="minorEastAsia"/>
          <w:color w:val="auto"/>
          <w:sz w:val="28"/>
          <w:szCs w:val="28"/>
          <w:highlight w:val="none"/>
          <w:u w:val="single"/>
        </w:rPr>
        <w:t xml:space="preserve"> </w:t>
      </w:r>
    </w:p>
    <w:p>
      <w:pPr>
        <w:pStyle w:val="42"/>
        <w:widowControl w:val="0"/>
        <w:spacing w:line="480" w:lineRule="auto"/>
        <w:ind w:firstLine="420"/>
        <w:jc w:val="both"/>
        <w:rPr>
          <w:rFonts w:hint="eastAsia" w:eastAsia="宋体"/>
          <w:color w:val="auto"/>
          <w:sz w:val="28"/>
          <w:szCs w:val="28"/>
          <w:highlight w:val="none"/>
          <w:u w:val="single"/>
          <w:lang w:val="zh-CN" w:eastAsia="zh-CN"/>
        </w:rPr>
      </w:pPr>
      <w:r>
        <w:rPr>
          <w:rFonts w:hint="eastAsia" w:ascii="宋体" w:eastAsia="宋体" w:cs="宋体"/>
          <w:b/>
          <w:color w:val="auto"/>
          <w:sz w:val="28"/>
          <w:szCs w:val="28"/>
          <w:highlight w:val="none"/>
          <w:lang w:val="zh-CN"/>
        </w:rPr>
        <w:t>二、招标项目：</w:t>
      </w:r>
      <w:r>
        <w:rPr>
          <w:rFonts w:hint="eastAsia" w:eastAsia="宋体"/>
          <w:color w:val="auto"/>
          <w:sz w:val="28"/>
          <w:szCs w:val="28"/>
          <w:highlight w:val="none"/>
          <w:u w:val="single"/>
          <w:lang w:eastAsia="zh-CN"/>
        </w:rPr>
        <w:t xml:space="preserve">眉山市东坡区医疗应急救治能力提升项目医疗设备采购 </w:t>
      </w:r>
    </w:p>
    <w:p>
      <w:pPr>
        <w:widowControl/>
        <w:wordWrap w:val="0"/>
        <w:spacing w:line="480" w:lineRule="auto"/>
        <w:ind w:left="1041" w:leftChars="228" w:hanging="562" w:hangingChars="200"/>
        <w:jc w:val="left"/>
        <w:rPr>
          <w:rFonts w:hint="eastAsia" w:ascii="宋体" w:cs="宋体"/>
          <w:b/>
          <w:color w:val="auto"/>
          <w:sz w:val="28"/>
          <w:szCs w:val="28"/>
          <w:highlight w:val="none"/>
          <w:lang w:val="en-US" w:eastAsia="zh-CN"/>
        </w:rPr>
      </w:pPr>
      <w:r>
        <w:rPr>
          <w:rFonts w:hint="eastAsia" w:ascii="宋体" w:cs="宋体"/>
          <w:b/>
          <w:color w:val="auto"/>
          <w:sz w:val="28"/>
          <w:szCs w:val="28"/>
          <w:highlight w:val="none"/>
          <w:lang w:val="zh-CN"/>
        </w:rPr>
        <w:t>三、</w:t>
      </w:r>
      <w:r>
        <w:rPr>
          <w:rFonts w:hint="eastAsia" w:ascii="宋体" w:cs="宋体"/>
          <w:b/>
          <w:color w:val="auto"/>
          <w:sz w:val="28"/>
          <w:szCs w:val="28"/>
          <w:highlight w:val="none"/>
          <w:lang w:val="en-US" w:eastAsia="zh-CN"/>
        </w:rPr>
        <w:t>本项目采购</w:t>
      </w:r>
      <w:r>
        <w:rPr>
          <w:rFonts w:hint="eastAsia" w:ascii="宋体" w:cs="宋体"/>
          <w:b/>
          <w:color w:val="auto"/>
          <w:sz w:val="28"/>
          <w:szCs w:val="28"/>
          <w:highlight w:val="none"/>
          <w:lang w:val="zh-CN"/>
        </w:rPr>
        <w:t>预算金额</w:t>
      </w:r>
      <w:r>
        <w:rPr>
          <w:rFonts w:hint="eastAsia" w:ascii="宋体" w:cs="宋体"/>
          <w:b/>
          <w:color w:val="auto"/>
          <w:sz w:val="28"/>
          <w:szCs w:val="28"/>
          <w:highlight w:val="none"/>
          <w:lang w:val="en-US" w:eastAsia="zh-CN"/>
        </w:rPr>
        <w:t>为</w:t>
      </w:r>
      <w:r>
        <w:rPr>
          <w:rFonts w:hint="eastAsia" w:ascii="宋体" w:cs="宋体"/>
          <w:b/>
          <w:color w:val="auto"/>
          <w:sz w:val="28"/>
          <w:szCs w:val="28"/>
          <w:highlight w:val="none"/>
          <w:lang w:val="zh-CN"/>
        </w:rPr>
        <w:t>：</w:t>
      </w:r>
      <w:r>
        <w:rPr>
          <w:rFonts w:hint="eastAsia" w:ascii="宋体" w:hAnsi="Times New Roman" w:cs="宋体"/>
          <w:color w:val="auto"/>
          <w:kern w:val="0"/>
          <w:sz w:val="28"/>
          <w:szCs w:val="28"/>
          <w:highlight w:val="none"/>
          <w:u w:val="single"/>
          <w:lang w:val="en-US" w:eastAsia="zh-CN" w:bidi="ar-SA"/>
        </w:rPr>
        <w:t>9046900元</w:t>
      </w:r>
      <w:r>
        <w:rPr>
          <w:rFonts w:hint="eastAsia" w:ascii="宋体" w:cs="宋体"/>
          <w:b w:val="0"/>
          <w:bCs/>
          <w:color w:val="auto"/>
          <w:sz w:val="28"/>
          <w:szCs w:val="28"/>
          <w:highlight w:val="none"/>
          <w:lang w:val="zh-CN"/>
        </w:rPr>
        <w:t>，</w:t>
      </w:r>
      <w:r>
        <w:rPr>
          <w:rFonts w:hint="eastAsia" w:ascii="宋体" w:cs="宋体"/>
          <w:b/>
          <w:color w:val="auto"/>
          <w:sz w:val="28"/>
          <w:szCs w:val="28"/>
          <w:highlight w:val="none"/>
          <w:lang w:val="en-US" w:eastAsia="zh-CN"/>
        </w:rPr>
        <w:t>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9046900元</w:t>
      </w:r>
      <w:r>
        <w:rPr>
          <w:rFonts w:hint="eastAsia" w:ascii="宋体" w:hAnsi="Times New Roman" w:cs="宋体"/>
          <w:color w:val="auto"/>
          <w:kern w:val="0"/>
          <w:sz w:val="28"/>
          <w:szCs w:val="28"/>
          <w:highlight w:val="none"/>
          <w:u w:val="none"/>
          <w:lang w:val="en-US" w:eastAsia="zh-CN" w:bidi="ar-SA"/>
        </w:rPr>
        <w:t>。</w:t>
      </w:r>
      <w:r>
        <w:rPr>
          <w:rFonts w:hint="eastAsia" w:ascii="宋体" w:cs="宋体"/>
          <w:b/>
          <w:color w:val="auto"/>
          <w:sz w:val="28"/>
          <w:szCs w:val="28"/>
          <w:highlight w:val="none"/>
          <w:lang w:val="en-US" w:eastAsia="zh-CN"/>
        </w:rPr>
        <w:t>本项目一共分五个包：</w:t>
      </w:r>
    </w:p>
    <w:p>
      <w:pPr>
        <w:widowControl/>
        <w:wordWrap w:val="0"/>
        <w:spacing w:line="480" w:lineRule="auto"/>
        <w:ind w:left="1037" w:leftChars="494" w:firstLine="0" w:firstLineChars="0"/>
        <w:jc w:val="left"/>
        <w:rPr>
          <w:rFonts w:hint="eastAsia" w:ascii="宋体" w:cs="宋体"/>
          <w:b/>
          <w:color w:val="auto"/>
          <w:sz w:val="28"/>
          <w:szCs w:val="28"/>
          <w:highlight w:val="none"/>
          <w:lang w:val="en-US" w:eastAsia="zh-CN"/>
        </w:rPr>
      </w:pPr>
      <w:r>
        <w:rPr>
          <w:rFonts w:hint="eastAsia" w:ascii="宋体" w:cs="宋体"/>
          <w:b w:val="0"/>
          <w:bCs/>
          <w:color w:val="auto"/>
          <w:sz w:val="28"/>
          <w:szCs w:val="28"/>
          <w:highlight w:val="none"/>
          <w:lang w:val="en-US" w:eastAsia="zh-CN"/>
        </w:rPr>
        <w:t>包一至包四为东坡区疾病预防控制中心实验室设备采购</w:t>
      </w:r>
      <w:r>
        <w:rPr>
          <w:rFonts w:hint="eastAsia" w:ascii="宋体" w:cs="宋体"/>
          <w:b/>
          <w:color w:val="auto"/>
          <w:sz w:val="28"/>
          <w:szCs w:val="28"/>
          <w:highlight w:val="none"/>
          <w:lang w:val="en-US" w:eastAsia="zh-CN"/>
        </w:rPr>
        <w:t>，</w:t>
      </w:r>
      <w:r>
        <w:rPr>
          <w:rFonts w:hint="eastAsia" w:ascii="宋体" w:cs="宋体"/>
          <w:b w:val="0"/>
          <w:bCs/>
          <w:color w:val="auto"/>
          <w:sz w:val="28"/>
          <w:szCs w:val="28"/>
          <w:highlight w:val="none"/>
          <w:lang w:val="en-US" w:eastAsia="zh-CN"/>
        </w:rPr>
        <w:t>包一最高限价</w:t>
      </w:r>
      <w:r>
        <w:rPr>
          <w:rFonts w:hint="eastAsia" w:ascii="仿宋_GB2312" w:hAnsi="仿宋" w:eastAsia="仿宋_GB2312" w:cs="Times New Roman"/>
          <w:b w:val="0"/>
          <w:bCs/>
          <w:kern w:val="0"/>
          <w:sz w:val="32"/>
          <w:szCs w:val="32"/>
          <w:highlight w:val="none"/>
          <w:u w:val="none"/>
          <w:lang w:val="en-US" w:eastAsia="zh-CN" w:bidi="ar-SA"/>
        </w:rPr>
        <w:t>：</w:t>
      </w:r>
      <w:r>
        <w:rPr>
          <w:rFonts w:hint="eastAsia" w:ascii="宋体" w:hAnsi="Times New Roman" w:cs="宋体"/>
          <w:b w:val="0"/>
          <w:bCs/>
          <w:color w:val="auto"/>
          <w:kern w:val="0"/>
          <w:sz w:val="28"/>
          <w:szCs w:val="28"/>
          <w:highlight w:val="none"/>
          <w:u w:val="single"/>
          <w:lang w:val="en-US" w:eastAsia="zh-CN" w:bidi="ar-SA"/>
        </w:rPr>
        <w:t>1980000元</w:t>
      </w:r>
      <w:r>
        <w:rPr>
          <w:rFonts w:hint="eastAsia" w:ascii="宋体" w:hAnsi="Times New Roman" w:cs="宋体"/>
          <w:b w:val="0"/>
          <w:bCs/>
          <w:color w:val="auto"/>
          <w:kern w:val="0"/>
          <w:sz w:val="28"/>
          <w:szCs w:val="28"/>
          <w:highlight w:val="none"/>
          <w:u w:val="none"/>
          <w:lang w:val="en-US" w:eastAsia="zh-CN" w:bidi="ar-SA"/>
        </w:rPr>
        <w:t>；</w:t>
      </w:r>
      <w:r>
        <w:rPr>
          <w:rFonts w:hint="eastAsia" w:ascii="宋体" w:cs="宋体"/>
          <w:b w:val="0"/>
          <w:bCs/>
          <w:color w:val="auto"/>
          <w:sz w:val="28"/>
          <w:szCs w:val="28"/>
          <w:highlight w:val="none"/>
          <w:lang w:val="en-US" w:eastAsia="zh-CN"/>
        </w:rPr>
        <w:t>包二最高限价</w:t>
      </w:r>
      <w:r>
        <w:rPr>
          <w:rFonts w:hint="eastAsia" w:ascii="宋体" w:hAnsi="Times New Roman" w:cs="宋体"/>
          <w:b w:val="0"/>
          <w:bCs/>
          <w:color w:val="auto"/>
          <w:kern w:val="0"/>
          <w:sz w:val="28"/>
          <w:szCs w:val="28"/>
          <w:highlight w:val="none"/>
          <w:u w:val="none"/>
          <w:lang w:val="en-US" w:eastAsia="zh-CN" w:bidi="ar-SA"/>
        </w:rPr>
        <w:t>：</w:t>
      </w:r>
      <w:r>
        <w:rPr>
          <w:rFonts w:hint="eastAsia" w:ascii="宋体" w:hAnsi="Times New Roman" w:cs="宋体"/>
          <w:b w:val="0"/>
          <w:bCs/>
          <w:color w:val="auto"/>
          <w:kern w:val="0"/>
          <w:sz w:val="28"/>
          <w:szCs w:val="28"/>
          <w:highlight w:val="none"/>
          <w:u w:val="single"/>
          <w:lang w:val="en-US" w:eastAsia="zh-CN" w:bidi="ar-SA"/>
        </w:rPr>
        <w:t>2678000元</w:t>
      </w:r>
      <w:r>
        <w:rPr>
          <w:rFonts w:hint="eastAsia" w:ascii="宋体" w:hAnsi="Times New Roman" w:cs="宋体"/>
          <w:b w:val="0"/>
          <w:bCs/>
          <w:color w:val="auto"/>
          <w:kern w:val="0"/>
          <w:sz w:val="28"/>
          <w:szCs w:val="28"/>
          <w:highlight w:val="none"/>
          <w:u w:val="none"/>
          <w:lang w:val="en-US" w:eastAsia="zh-CN" w:bidi="ar-SA"/>
        </w:rPr>
        <w:t>；</w:t>
      </w:r>
      <w:r>
        <w:rPr>
          <w:rFonts w:hint="eastAsia" w:ascii="宋体" w:cs="宋体"/>
          <w:b w:val="0"/>
          <w:bCs/>
          <w:color w:val="auto"/>
          <w:sz w:val="28"/>
          <w:szCs w:val="28"/>
          <w:highlight w:val="none"/>
          <w:lang w:val="en-US" w:eastAsia="zh-CN"/>
        </w:rPr>
        <w:t>包三最高限价</w:t>
      </w:r>
      <w:r>
        <w:rPr>
          <w:rFonts w:hint="eastAsia" w:ascii="仿宋_GB2312" w:hAnsi="仿宋" w:eastAsia="仿宋_GB2312" w:cs="Times New Roman"/>
          <w:b w:val="0"/>
          <w:bCs/>
          <w:kern w:val="0"/>
          <w:sz w:val="32"/>
          <w:szCs w:val="32"/>
          <w:highlight w:val="none"/>
          <w:u w:val="none"/>
          <w:lang w:val="en-US" w:eastAsia="zh-CN" w:bidi="ar-SA"/>
        </w:rPr>
        <w:t>：</w:t>
      </w:r>
      <w:r>
        <w:rPr>
          <w:rFonts w:hint="eastAsia" w:ascii="宋体" w:hAnsi="Times New Roman" w:cs="宋体"/>
          <w:b w:val="0"/>
          <w:bCs/>
          <w:color w:val="auto"/>
          <w:kern w:val="0"/>
          <w:sz w:val="28"/>
          <w:szCs w:val="28"/>
          <w:highlight w:val="none"/>
          <w:u w:val="single"/>
          <w:lang w:val="en-US" w:eastAsia="zh-CN" w:bidi="ar-SA"/>
        </w:rPr>
        <w:t>830000元</w:t>
      </w:r>
      <w:r>
        <w:rPr>
          <w:rFonts w:hint="eastAsia" w:ascii="宋体" w:hAnsi="Times New Roman" w:cs="宋体"/>
          <w:b w:val="0"/>
          <w:bCs/>
          <w:color w:val="auto"/>
          <w:kern w:val="0"/>
          <w:sz w:val="28"/>
          <w:szCs w:val="28"/>
          <w:highlight w:val="none"/>
          <w:u w:val="none"/>
          <w:lang w:val="en-US" w:eastAsia="zh-CN" w:bidi="ar-SA"/>
        </w:rPr>
        <w:t>；</w:t>
      </w:r>
      <w:r>
        <w:rPr>
          <w:rFonts w:hint="eastAsia" w:ascii="宋体" w:cs="宋体"/>
          <w:b w:val="0"/>
          <w:bCs/>
          <w:color w:val="auto"/>
          <w:sz w:val="28"/>
          <w:szCs w:val="28"/>
          <w:highlight w:val="none"/>
          <w:lang w:val="en-US" w:eastAsia="zh-CN"/>
        </w:rPr>
        <w:t>包四最高限价</w:t>
      </w:r>
      <w:r>
        <w:rPr>
          <w:rFonts w:hint="eastAsia" w:ascii="仿宋_GB2312" w:hAnsi="仿宋" w:eastAsia="仿宋_GB2312" w:cs="Times New Roman"/>
          <w:b w:val="0"/>
          <w:bCs/>
          <w:kern w:val="0"/>
          <w:sz w:val="32"/>
          <w:szCs w:val="32"/>
          <w:highlight w:val="none"/>
          <w:u w:val="none"/>
          <w:lang w:val="en-US" w:eastAsia="zh-CN" w:bidi="ar-SA"/>
        </w:rPr>
        <w:t>：</w:t>
      </w:r>
      <w:r>
        <w:rPr>
          <w:rFonts w:hint="eastAsia" w:ascii="宋体" w:hAnsi="Times New Roman" w:cs="宋体"/>
          <w:b w:val="0"/>
          <w:bCs/>
          <w:color w:val="auto"/>
          <w:kern w:val="0"/>
          <w:sz w:val="28"/>
          <w:szCs w:val="28"/>
          <w:highlight w:val="none"/>
          <w:u w:val="single"/>
          <w:lang w:val="en-US" w:eastAsia="zh-CN" w:bidi="ar-SA"/>
        </w:rPr>
        <w:t>3130000元</w:t>
      </w:r>
      <w:r>
        <w:rPr>
          <w:rFonts w:hint="eastAsia" w:ascii="宋体" w:hAnsi="Times New Roman" w:cs="宋体"/>
          <w:b w:val="0"/>
          <w:bCs/>
          <w:color w:val="auto"/>
          <w:kern w:val="0"/>
          <w:sz w:val="28"/>
          <w:szCs w:val="28"/>
          <w:highlight w:val="none"/>
          <w:u w:val="none"/>
          <w:lang w:val="en-US" w:eastAsia="zh-CN" w:bidi="ar-SA"/>
        </w:rPr>
        <w:t>。</w:t>
      </w:r>
    </w:p>
    <w:p>
      <w:pPr>
        <w:widowControl/>
        <w:wordWrap w:val="0"/>
        <w:spacing w:line="480" w:lineRule="auto"/>
        <w:ind w:left="1037" w:leftChars="494" w:firstLine="0" w:firstLineChars="0"/>
        <w:jc w:val="left"/>
        <w:rPr>
          <w:rFonts w:hint="eastAsia" w:ascii="仿宋_GB2312" w:hAnsi="仿宋" w:eastAsia="仿宋_GB2312" w:cs="Times New Roman"/>
          <w:kern w:val="0"/>
          <w:sz w:val="32"/>
          <w:szCs w:val="32"/>
          <w:highlight w:val="none"/>
          <w:u w:val="single"/>
          <w:lang w:val="en-US" w:eastAsia="zh-CN" w:bidi="ar-SA"/>
        </w:rPr>
      </w:pPr>
      <w:r>
        <w:rPr>
          <w:rFonts w:hint="eastAsia" w:ascii="宋体" w:cs="宋体"/>
          <w:b w:val="0"/>
          <w:bCs/>
          <w:color w:val="auto"/>
          <w:sz w:val="28"/>
          <w:szCs w:val="28"/>
          <w:highlight w:val="none"/>
          <w:lang w:val="en-US" w:eastAsia="zh-CN"/>
        </w:rPr>
        <w:t>包五为苏祠街道社区卫生服务中心医疗设备采购，包五最高限价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428900元</w:t>
      </w:r>
      <w:r>
        <w:rPr>
          <w:rFonts w:hint="eastAsia" w:ascii="宋体" w:hAnsi="Times New Roman" w:cs="宋体"/>
          <w:color w:val="auto"/>
          <w:kern w:val="0"/>
          <w:sz w:val="28"/>
          <w:szCs w:val="28"/>
          <w:highlight w:val="none"/>
          <w:u w:val="none"/>
          <w:lang w:val="en-US" w:eastAsia="zh-CN" w:bidi="ar-SA"/>
        </w:rPr>
        <w:t>。</w:t>
      </w:r>
    </w:p>
    <w:p>
      <w:pPr>
        <w:widowControl/>
        <w:wordWrap w:val="0"/>
        <w:spacing w:line="480" w:lineRule="auto"/>
        <w:ind w:left="1041" w:leftChars="228" w:hanging="562" w:hangingChars="200"/>
        <w:rPr>
          <w:color w:val="auto"/>
          <w:sz w:val="28"/>
          <w:szCs w:val="28"/>
          <w:highlight w:val="none"/>
          <w:lang w:val="zh-CN"/>
        </w:rPr>
      </w:pPr>
      <w:r>
        <w:rPr>
          <w:rFonts w:hint="eastAsia" w:ascii="宋体" w:cs="宋体"/>
          <w:b/>
          <w:color w:val="auto"/>
          <w:sz w:val="28"/>
          <w:szCs w:val="28"/>
          <w:highlight w:val="none"/>
          <w:lang w:val="en-US" w:eastAsia="zh-CN"/>
        </w:rPr>
        <w:t>四、</w:t>
      </w:r>
      <w:r>
        <w:rPr>
          <w:rFonts w:hint="eastAsia" w:ascii="宋体" w:cs="宋体"/>
          <w:b/>
          <w:color w:val="auto"/>
          <w:sz w:val="28"/>
          <w:szCs w:val="28"/>
          <w:highlight w:val="none"/>
          <w:lang w:val="zh-CN" w:eastAsia="zh-CN"/>
        </w:rPr>
        <w:t>项目资金来源：</w:t>
      </w:r>
      <w:r>
        <w:rPr>
          <w:rFonts w:hint="eastAsia" w:ascii="宋体" w:cs="宋体"/>
          <w:b w:val="0"/>
          <w:bCs/>
          <w:color w:val="auto"/>
          <w:sz w:val="28"/>
          <w:szCs w:val="28"/>
          <w:highlight w:val="none"/>
          <w:u w:val="single"/>
          <w:lang w:val="en-US" w:eastAsia="zh-CN"/>
        </w:rPr>
        <w:t>争取上级资金和地方配套</w:t>
      </w:r>
      <w:r>
        <w:rPr>
          <w:rFonts w:hint="eastAsia" w:ascii="宋体" w:cs="宋体"/>
          <w:color w:val="auto"/>
          <w:sz w:val="28"/>
          <w:szCs w:val="28"/>
          <w:highlight w:val="none"/>
          <w:lang w:val="zh-CN"/>
        </w:rPr>
        <w:t>。</w:t>
      </w:r>
    </w:p>
    <w:p>
      <w:pPr>
        <w:pStyle w:val="42"/>
        <w:widowControl w:val="0"/>
        <w:spacing w:line="480" w:lineRule="auto"/>
        <w:ind w:right="32" w:firstLine="420"/>
        <w:jc w:val="both"/>
        <w:rPr>
          <w:rFonts w:hint="eastAsia" w:ascii="宋体" w:eastAsia="宋体" w:cs="宋体"/>
          <w:color w:val="auto"/>
          <w:sz w:val="28"/>
          <w:szCs w:val="28"/>
          <w:highlight w:val="none"/>
          <w:u w:val="single"/>
          <w:lang w:val="zh-CN"/>
        </w:rPr>
      </w:pPr>
      <w:r>
        <w:rPr>
          <w:rFonts w:hint="eastAsia" w:ascii="宋体" w:eastAsia="宋体" w:cs="宋体"/>
          <w:b/>
          <w:color w:val="auto"/>
          <w:sz w:val="28"/>
          <w:szCs w:val="28"/>
          <w:highlight w:val="none"/>
          <w:lang w:val="en-US" w:eastAsia="zh-CN"/>
        </w:rPr>
        <w:t>五</w:t>
      </w:r>
      <w:r>
        <w:rPr>
          <w:rFonts w:hint="eastAsia" w:ascii="宋体" w:eastAsia="宋体" w:cs="宋体"/>
          <w:b/>
          <w:color w:val="auto"/>
          <w:sz w:val="28"/>
          <w:szCs w:val="28"/>
          <w:highlight w:val="none"/>
          <w:lang w:val="zh-CN"/>
        </w:rPr>
        <w:t>、采购需求：</w:t>
      </w:r>
      <w:r>
        <w:rPr>
          <w:rFonts w:hint="eastAsia" w:ascii="宋体" w:eastAsia="宋体" w:cs="宋体"/>
          <w:color w:val="auto"/>
          <w:sz w:val="28"/>
          <w:szCs w:val="28"/>
          <w:highlight w:val="none"/>
          <w:u w:val="single"/>
          <w:lang w:val="zh-CN"/>
        </w:rPr>
        <w:t>详见招标文件</w:t>
      </w:r>
      <w:r>
        <w:rPr>
          <w:rFonts w:hint="eastAsia" w:ascii="宋体" w:eastAsia="宋体" w:cs="宋体"/>
          <w:color w:val="auto"/>
          <w:sz w:val="28"/>
          <w:szCs w:val="28"/>
          <w:highlight w:val="none"/>
          <w:u w:val="none"/>
          <w:lang w:val="zh-CN"/>
        </w:rPr>
        <w:t>。</w:t>
      </w:r>
    </w:p>
    <w:p>
      <w:pPr>
        <w:pStyle w:val="42"/>
        <w:widowControl w:val="0"/>
        <w:spacing w:after="156" w:line="480" w:lineRule="auto"/>
        <w:ind w:firstLine="420"/>
        <w:jc w:val="both"/>
        <w:rPr>
          <w:rFonts w:ascii="宋体" w:eastAsia="宋体" w:cs="宋体"/>
          <w:b/>
          <w:color w:val="auto"/>
          <w:sz w:val="28"/>
          <w:szCs w:val="28"/>
          <w:highlight w:val="none"/>
          <w:u w:val="single"/>
          <w:lang w:val="zh-CN"/>
        </w:rPr>
      </w:pPr>
      <w:r>
        <w:rPr>
          <w:rFonts w:hint="eastAsia" w:ascii="宋体" w:eastAsia="宋体" w:cs="宋体"/>
          <w:b/>
          <w:color w:val="auto"/>
          <w:sz w:val="28"/>
          <w:szCs w:val="28"/>
          <w:highlight w:val="none"/>
          <w:lang w:val="zh-CN"/>
        </w:rPr>
        <w:t>五、是否专门面向中小企业采购项目：</w:t>
      </w:r>
      <w:r>
        <w:rPr>
          <w:rFonts w:hint="eastAsia" w:ascii="宋体" w:eastAsia="宋体" w:cs="宋体"/>
          <w:color w:val="auto"/>
          <w:sz w:val="28"/>
          <w:szCs w:val="28"/>
          <w:highlight w:val="none"/>
          <w:u w:val="single"/>
          <w:lang w:val="zh-CN"/>
        </w:rPr>
        <w:t>否</w:t>
      </w:r>
      <w:r>
        <w:rPr>
          <w:rFonts w:hint="eastAsia" w:ascii="宋体" w:eastAsia="宋体" w:cs="宋体"/>
          <w:b/>
          <w:color w:val="auto"/>
          <w:sz w:val="28"/>
          <w:szCs w:val="28"/>
          <w:highlight w:val="none"/>
          <w:u w:val="none"/>
          <w:lang w:val="zh-CN"/>
        </w:rPr>
        <w:t>。</w:t>
      </w:r>
    </w:p>
    <w:p>
      <w:pPr>
        <w:pStyle w:val="42"/>
        <w:widowControl w:val="0"/>
        <w:spacing w:after="156" w:line="480" w:lineRule="auto"/>
        <w:ind w:firstLine="420"/>
        <w:jc w:val="both"/>
        <w:rPr>
          <w:color w:val="auto"/>
          <w:sz w:val="28"/>
          <w:szCs w:val="28"/>
          <w:highlight w:val="none"/>
          <w:lang w:val="zh-CN"/>
        </w:rPr>
      </w:pPr>
      <w:r>
        <w:rPr>
          <w:rFonts w:hint="eastAsia" w:ascii="宋体" w:eastAsia="宋体" w:cs="宋体"/>
          <w:b/>
          <w:color w:val="auto"/>
          <w:sz w:val="28"/>
          <w:szCs w:val="28"/>
          <w:highlight w:val="none"/>
          <w:lang w:val="zh-CN"/>
        </w:rPr>
        <w:t>六、投标人参加本次政府采购活动应具备下列条件：</w:t>
      </w:r>
    </w:p>
    <w:p>
      <w:pPr>
        <w:pStyle w:val="42"/>
        <w:widowControl w:val="0"/>
        <w:spacing w:after="50" w:line="480" w:lineRule="auto"/>
        <w:ind w:firstLine="560" w:firstLineChars="200"/>
        <w:jc w:val="both"/>
        <w:rPr>
          <w:rFonts w:ascii="宋体" w:eastAsia="宋体" w:cs="宋体"/>
          <w:color w:val="auto"/>
          <w:sz w:val="28"/>
          <w:szCs w:val="28"/>
          <w:highlight w:val="none"/>
          <w:lang w:val="zh-CN"/>
        </w:rPr>
      </w:pPr>
      <w:r>
        <w:rPr>
          <w:rFonts w:ascii="Calibri" w:hAnsi="Calibri" w:eastAsia="Calibri" w:cs="Calibri"/>
          <w:color w:val="auto"/>
          <w:sz w:val="28"/>
          <w:szCs w:val="28"/>
          <w:highlight w:val="none"/>
          <w:lang w:val="zh-CN"/>
        </w:rPr>
        <w:t>1.</w:t>
      </w:r>
      <w:r>
        <w:rPr>
          <w:rFonts w:hint="eastAsia" w:ascii="宋体" w:eastAsia="宋体" w:cs="宋体"/>
          <w:color w:val="auto"/>
          <w:sz w:val="28"/>
          <w:szCs w:val="28"/>
          <w:highlight w:val="none"/>
          <w:lang w:val="zh-CN"/>
        </w:rPr>
        <w:t>符合《中华人民共和国政府采购法》第二十二条规定的条件；</w:t>
      </w:r>
    </w:p>
    <w:p>
      <w:pPr>
        <w:pStyle w:val="34"/>
        <w:spacing w:line="480" w:lineRule="auto"/>
        <w:ind w:firstLine="480"/>
        <w:rPr>
          <w:rFonts w:hAnsi="宋体" w:cs="宋体"/>
          <w:color w:val="auto"/>
          <w:sz w:val="28"/>
          <w:szCs w:val="28"/>
          <w:highlight w:val="none"/>
        </w:rPr>
      </w:pPr>
      <w:r>
        <w:rPr>
          <w:rFonts w:hint="eastAsia" w:hAnsi="宋体" w:cs="宋体"/>
          <w:color w:val="auto"/>
          <w:sz w:val="28"/>
          <w:szCs w:val="28"/>
          <w:highlight w:val="none"/>
        </w:rPr>
        <w:t>2.投标人单位及现任法定代表人、主要负责人不得具有行贿犯罪记录。</w:t>
      </w:r>
    </w:p>
    <w:p>
      <w:pPr>
        <w:pStyle w:val="34"/>
        <w:spacing w:line="480" w:lineRule="auto"/>
        <w:ind w:firstLine="480"/>
        <w:rPr>
          <w:rFonts w:hAnsi="宋体" w:cs="宋体"/>
          <w:color w:val="auto"/>
          <w:sz w:val="28"/>
          <w:szCs w:val="28"/>
          <w:highlight w:val="none"/>
        </w:rPr>
      </w:pPr>
      <w:r>
        <w:rPr>
          <w:rFonts w:hAnsi="宋体" w:cs="宋体"/>
          <w:color w:val="auto"/>
          <w:sz w:val="28"/>
          <w:szCs w:val="28"/>
          <w:highlight w:val="none"/>
        </w:rPr>
        <w:t>3</w:t>
      </w:r>
      <w:r>
        <w:rPr>
          <w:rFonts w:hint="eastAsia" w:hAnsi="宋体" w:cs="宋体"/>
          <w:color w:val="auto"/>
          <w:sz w:val="28"/>
          <w:szCs w:val="28"/>
          <w:highlight w:val="none"/>
        </w:rPr>
        <w:t>.投标人未被列入失信被执行人、重大税收违法案件当事人名单、政府采购严重违法失信行为记录名单。若出现上述情况，视为存在不良信用记录，参与本项目的将被视为无效投标。</w:t>
      </w:r>
    </w:p>
    <w:p>
      <w:pPr>
        <w:spacing w:line="480" w:lineRule="auto"/>
        <w:ind w:firstLine="560" w:firstLineChars="200"/>
        <w:rPr>
          <w:rFonts w:hint="eastAsia" w:ascii="宋体" w:cs="宋体"/>
          <w:color w:val="auto"/>
          <w:kern w:val="0"/>
          <w:sz w:val="28"/>
          <w:szCs w:val="28"/>
          <w:highlight w:val="none"/>
          <w:lang w:val="zh-CN"/>
        </w:rPr>
      </w:pPr>
      <w:r>
        <w:rPr>
          <w:rFonts w:hint="eastAsia" w:ascii="宋体" w:cs="宋体"/>
          <w:color w:val="auto"/>
          <w:kern w:val="0"/>
          <w:sz w:val="28"/>
          <w:szCs w:val="28"/>
          <w:highlight w:val="none"/>
        </w:rPr>
        <w:t>4</w:t>
      </w:r>
      <w:r>
        <w:rPr>
          <w:rFonts w:hint="eastAsia" w:ascii="宋体" w:cs="宋体"/>
          <w:color w:val="auto"/>
          <w:kern w:val="0"/>
          <w:sz w:val="28"/>
          <w:szCs w:val="28"/>
          <w:highlight w:val="none"/>
          <w:lang w:val="zh-CN"/>
        </w:rPr>
        <w:t>.根据采购项目提出的特殊条件：</w:t>
      </w:r>
    </w:p>
    <w:p>
      <w:pPr>
        <w:spacing w:line="480" w:lineRule="auto"/>
        <w:ind w:firstLine="560" w:firstLineChars="200"/>
        <w:rPr>
          <w:rFonts w:hint="eastAsia" w:ascii="宋体" w:cs="宋体"/>
          <w:color w:val="auto"/>
          <w:kern w:val="0"/>
          <w:sz w:val="28"/>
          <w:szCs w:val="28"/>
          <w:highlight w:val="none"/>
          <w:lang w:val="zh-CN"/>
        </w:rPr>
      </w:pPr>
      <w:r>
        <w:rPr>
          <w:rFonts w:hint="eastAsia" w:ascii="宋体" w:cs="宋体"/>
          <w:color w:val="auto"/>
          <w:kern w:val="0"/>
          <w:sz w:val="28"/>
          <w:szCs w:val="28"/>
          <w:highlight w:val="none"/>
          <w:lang w:val="en-US" w:eastAsia="zh-CN"/>
        </w:rPr>
        <w:t>4.1</w:t>
      </w:r>
      <w:r>
        <w:rPr>
          <w:rFonts w:hint="eastAsia" w:ascii="宋体" w:cs="宋体"/>
          <w:color w:val="auto"/>
          <w:kern w:val="0"/>
          <w:sz w:val="28"/>
          <w:szCs w:val="28"/>
          <w:highlight w:val="none"/>
          <w:lang w:val="zh-CN"/>
        </w:rPr>
        <w:t>若采购产品为医疗器械的，供应商须符合《医疗器械监督管理条例》等政策法规要求并具有医疗器械生产许可证或者医疗器械经营许可</w:t>
      </w:r>
      <w:r>
        <w:rPr>
          <w:rFonts w:hint="eastAsia" w:ascii="宋体" w:cs="宋体"/>
          <w:color w:val="auto"/>
          <w:kern w:val="0"/>
          <w:sz w:val="28"/>
          <w:szCs w:val="28"/>
          <w:highlight w:val="none"/>
          <w:lang w:val="en-US" w:eastAsia="zh-CN"/>
        </w:rPr>
        <w:t>证或</w:t>
      </w:r>
      <w:r>
        <w:rPr>
          <w:rFonts w:hint="eastAsia" w:ascii="宋体" w:cs="宋体"/>
          <w:color w:val="auto"/>
          <w:kern w:val="0"/>
          <w:sz w:val="28"/>
          <w:szCs w:val="28"/>
          <w:highlight w:val="none"/>
          <w:lang w:val="zh-CN"/>
        </w:rPr>
        <w:t>备案凭证；</w:t>
      </w:r>
    </w:p>
    <w:p>
      <w:pPr>
        <w:spacing w:line="480" w:lineRule="auto"/>
        <w:ind w:firstLine="560" w:firstLineChars="200"/>
        <w:rPr>
          <w:rFonts w:hint="eastAsia" w:ascii="宋体" w:cs="宋体"/>
          <w:color w:val="auto"/>
          <w:kern w:val="0"/>
          <w:sz w:val="28"/>
          <w:szCs w:val="28"/>
          <w:highlight w:val="none"/>
          <w:lang w:val="zh-CN"/>
        </w:rPr>
      </w:pPr>
      <w:r>
        <w:rPr>
          <w:rFonts w:hint="eastAsia" w:ascii="宋体" w:cs="宋体"/>
          <w:color w:val="auto"/>
          <w:kern w:val="0"/>
          <w:sz w:val="28"/>
          <w:szCs w:val="28"/>
          <w:highlight w:val="none"/>
          <w:lang w:val="en-US" w:eastAsia="zh-CN"/>
        </w:rPr>
        <w:t>4.2</w:t>
      </w:r>
      <w:r>
        <w:rPr>
          <w:rFonts w:hint="eastAsia" w:ascii="宋体" w:cs="宋体"/>
          <w:color w:val="auto"/>
          <w:kern w:val="0"/>
          <w:sz w:val="28"/>
          <w:szCs w:val="28"/>
          <w:highlight w:val="none"/>
          <w:lang w:val="zh-CN"/>
        </w:rPr>
        <w:t>所投医疗器械须符合《医疗器械注册与备案管理办法》等政策法规要求并具有中华人民共和国医疗器械注册或备案凭证；</w:t>
      </w:r>
    </w:p>
    <w:p>
      <w:pPr>
        <w:spacing w:line="480" w:lineRule="auto"/>
        <w:ind w:firstLine="560" w:firstLineChars="200"/>
        <w:rPr>
          <w:rFonts w:hint="default"/>
          <w:lang w:val="en-US" w:eastAsia="zh-CN"/>
        </w:rPr>
      </w:pPr>
      <w:r>
        <w:rPr>
          <w:rFonts w:hint="eastAsia" w:ascii="宋体" w:cs="宋体"/>
          <w:color w:val="auto"/>
          <w:kern w:val="0"/>
          <w:sz w:val="28"/>
          <w:szCs w:val="28"/>
          <w:highlight w:val="none"/>
          <w:lang w:val="en-US" w:eastAsia="zh-CN"/>
        </w:rPr>
        <w:t>4.3若采购产品为进口产品的还需提供产品制造商对投标产品的授权，或具有授权权限的代理商对投标产品的授权（授权链条必须完整）</w:t>
      </w:r>
      <w:r>
        <w:rPr>
          <w:rFonts w:hint="default" w:ascii="宋体" w:cs="宋体"/>
          <w:color w:val="auto"/>
          <w:kern w:val="0"/>
          <w:sz w:val="28"/>
          <w:szCs w:val="28"/>
          <w:highlight w:val="none"/>
          <w:lang w:val="en-US" w:eastAsia="zh-CN"/>
        </w:rPr>
        <w:t>；</w:t>
      </w:r>
    </w:p>
    <w:p>
      <w:pPr>
        <w:pStyle w:val="42"/>
        <w:widowControl w:val="0"/>
        <w:numPr>
          <w:ilvl w:val="0"/>
          <w:numId w:val="0"/>
        </w:numPr>
        <w:spacing w:after="50" w:line="480" w:lineRule="auto"/>
        <w:ind w:firstLine="560" w:firstLineChars="200"/>
        <w:jc w:val="both"/>
        <w:rPr>
          <w:rFonts w:hint="eastAsia" w:ascii="宋体" w:eastAsia="宋体" w:cs="宋体"/>
          <w:color w:val="auto"/>
          <w:sz w:val="28"/>
          <w:szCs w:val="28"/>
          <w:highlight w:val="none"/>
          <w:lang w:val="zh-CN"/>
        </w:rPr>
      </w:pPr>
      <w:r>
        <w:rPr>
          <w:rFonts w:hint="eastAsia" w:ascii="宋体" w:eastAsia="宋体" w:cs="宋体"/>
          <w:color w:val="auto"/>
          <w:sz w:val="28"/>
          <w:szCs w:val="28"/>
          <w:highlight w:val="none"/>
          <w:lang w:val="en-US" w:eastAsia="zh-CN"/>
        </w:rPr>
        <w:t>5.</w:t>
      </w:r>
      <w:r>
        <w:rPr>
          <w:rFonts w:hint="eastAsia" w:ascii="宋体" w:eastAsia="宋体" w:cs="宋体"/>
          <w:color w:val="auto"/>
          <w:sz w:val="28"/>
          <w:szCs w:val="28"/>
          <w:highlight w:val="none"/>
          <w:lang w:val="zh-CN"/>
        </w:rPr>
        <w:t>本次招标</w:t>
      </w:r>
      <w:r>
        <w:rPr>
          <w:rFonts w:hint="eastAsia" w:ascii="宋体" w:eastAsia="宋体" w:cs="宋体"/>
          <w:color w:val="auto"/>
          <w:sz w:val="28"/>
          <w:szCs w:val="28"/>
          <w:highlight w:val="none"/>
          <w:u w:val="single"/>
          <w:lang w:val="zh-CN"/>
        </w:rPr>
        <w:t>不接受</w:t>
      </w:r>
      <w:r>
        <w:rPr>
          <w:rFonts w:hint="eastAsia" w:ascii="宋体" w:eastAsia="宋体" w:cs="宋体"/>
          <w:color w:val="auto"/>
          <w:sz w:val="28"/>
          <w:szCs w:val="28"/>
          <w:highlight w:val="none"/>
          <w:lang w:val="zh-CN"/>
        </w:rPr>
        <w:t>联合体投标。</w:t>
      </w:r>
    </w:p>
    <w:p>
      <w:pPr>
        <w:pStyle w:val="42"/>
        <w:widowControl w:val="0"/>
        <w:spacing w:after="50" w:line="480" w:lineRule="auto"/>
        <w:ind w:firstLine="420"/>
        <w:jc w:val="both"/>
        <w:rPr>
          <w:color w:val="auto"/>
          <w:sz w:val="28"/>
          <w:szCs w:val="28"/>
          <w:highlight w:val="none"/>
          <w:lang w:val="zh-CN"/>
        </w:rPr>
      </w:pPr>
      <w:r>
        <w:rPr>
          <w:rFonts w:hint="eastAsia" w:ascii="宋体" w:eastAsia="宋体" w:cs="宋体"/>
          <w:b/>
          <w:color w:val="auto"/>
          <w:sz w:val="28"/>
          <w:szCs w:val="28"/>
          <w:highlight w:val="none"/>
          <w:lang w:val="zh-CN"/>
        </w:rPr>
        <w:t>七</w:t>
      </w:r>
      <w:r>
        <w:rPr>
          <w:rFonts w:ascii="宋体" w:eastAsia="宋体" w:cs="宋体"/>
          <w:b/>
          <w:color w:val="auto"/>
          <w:sz w:val="28"/>
          <w:szCs w:val="28"/>
          <w:highlight w:val="none"/>
          <w:lang w:val="zh-CN"/>
        </w:rPr>
        <w:t>、招标文件的获取</w:t>
      </w:r>
    </w:p>
    <w:p>
      <w:pPr>
        <w:wordWrap w:val="0"/>
        <w:topLinePunct/>
        <w:spacing w:afterLines="50" w:line="480" w:lineRule="auto"/>
        <w:ind w:left="619" w:leftChars="228" w:hanging="140" w:hangingChars="50"/>
        <w:rPr>
          <w:color w:val="auto"/>
          <w:sz w:val="28"/>
          <w:szCs w:val="28"/>
          <w:highlight w:val="none"/>
          <w:u w:val="single"/>
        </w:rPr>
      </w:pPr>
      <w:r>
        <w:rPr>
          <w:rFonts w:hint="eastAsia" w:ascii="Times New Roman" w:hAnsi="Times New Roman" w:eastAsia="Times New Roman" w:cs="宋体"/>
          <w:color w:val="auto"/>
          <w:kern w:val="0"/>
          <w:sz w:val="28"/>
          <w:szCs w:val="28"/>
          <w:highlight w:val="none"/>
        </w:rPr>
        <w:t>1．招标文件的获取时间(即报名时间)：</w:t>
      </w:r>
      <w:r>
        <w:rPr>
          <w:rFonts w:hint="eastAsia" w:ascii="Times New Roman" w:hAnsi="Times New Roman" w:eastAsia="Times New Roman" w:cs="宋体"/>
          <w:color w:val="auto"/>
          <w:kern w:val="0"/>
          <w:sz w:val="28"/>
          <w:szCs w:val="28"/>
          <w:highlight w:val="none"/>
          <w:u w:val="single"/>
        </w:rPr>
        <w:t>20</w:t>
      </w:r>
      <w:r>
        <w:rPr>
          <w:rFonts w:hint="eastAsia" w:ascii="Times New Roman" w:hAnsi="Times New Roman" w:cs="宋体"/>
          <w:color w:val="auto"/>
          <w:kern w:val="0"/>
          <w:sz w:val="28"/>
          <w:szCs w:val="28"/>
          <w:highlight w:val="none"/>
          <w:u w:val="single"/>
          <w:lang w:val="en-US" w:eastAsia="zh-CN"/>
        </w:rPr>
        <w:t>22</w:t>
      </w:r>
      <w:r>
        <w:rPr>
          <w:rFonts w:hint="eastAsia" w:ascii="Times New Roman" w:hAnsi="Times New Roman" w:eastAsia="Times New Roman" w:cs="宋体"/>
          <w:color w:val="auto"/>
          <w:kern w:val="0"/>
          <w:sz w:val="28"/>
          <w:szCs w:val="28"/>
          <w:highlight w:val="none"/>
          <w:u w:val="single"/>
        </w:rPr>
        <w:t>年</w:t>
      </w:r>
      <w:r>
        <w:rPr>
          <w:rFonts w:hint="eastAsia" w:ascii="Times New Roman" w:hAnsi="Times New Roman" w:cs="宋体"/>
          <w:color w:val="auto"/>
          <w:kern w:val="0"/>
          <w:sz w:val="28"/>
          <w:szCs w:val="28"/>
          <w:highlight w:val="none"/>
          <w:u w:val="single"/>
          <w:lang w:val="en-US" w:eastAsia="zh-CN"/>
        </w:rPr>
        <w:t>7</w:t>
      </w:r>
      <w:r>
        <w:rPr>
          <w:rFonts w:hint="eastAsia" w:ascii="Times New Roman" w:hAnsi="Times New Roman" w:eastAsia="Times New Roman" w:cs="宋体"/>
          <w:color w:val="auto"/>
          <w:kern w:val="0"/>
          <w:sz w:val="28"/>
          <w:szCs w:val="28"/>
          <w:highlight w:val="none"/>
          <w:u w:val="single"/>
        </w:rPr>
        <w:t>月</w:t>
      </w:r>
      <w:r>
        <w:rPr>
          <w:rFonts w:hint="eastAsia" w:ascii="Times New Roman" w:hAnsi="Times New Roman" w:cs="宋体"/>
          <w:color w:val="auto"/>
          <w:kern w:val="0"/>
          <w:sz w:val="28"/>
          <w:szCs w:val="28"/>
          <w:highlight w:val="none"/>
          <w:u w:val="single"/>
          <w:lang w:val="en-US" w:eastAsia="zh-CN"/>
        </w:rPr>
        <w:t>1</w:t>
      </w:r>
      <w:r>
        <w:rPr>
          <w:rFonts w:hint="eastAsia" w:ascii="Times New Roman" w:hAnsi="Times New Roman" w:eastAsia="Times New Roman" w:cs="宋体"/>
          <w:color w:val="auto"/>
          <w:kern w:val="0"/>
          <w:sz w:val="28"/>
          <w:szCs w:val="28"/>
          <w:highlight w:val="none"/>
          <w:u w:val="single"/>
        </w:rPr>
        <w:t>日</w:t>
      </w:r>
      <w:r>
        <w:rPr>
          <w:rFonts w:hint="eastAsia" w:ascii="Times New Roman" w:hAnsi="Times New Roman" w:cs="宋体"/>
          <w:color w:val="auto"/>
          <w:kern w:val="0"/>
          <w:sz w:val="28"/>
          <w:szCs w:val="28"/>
          <w:highlight w:val="none"/>
          <w:u w:val="single"/>
          <w:lang w:val="en-US" w:eastAsia="zh-CN"/>
        </w:rPr>
        <w:t>09:00</w:t>
      </w:r>
      <w:r>
        <w:rPr>
          <w:rFonts w:hint="eastAsia" w:ascii="Times New Roman" w:hAnsi="Times New Roman" w:eastAsia="Times New Roman" w:cs="宋体"/>
          <w:color w:val="auto"/>
          <w:kern w:val="0"/>
          <w:sz w:val="28"/>
          <w:szCs w:val="28"/>
          <w:highlight w:val="none"/>
          <w:u w:val="single"/>
        </w:rPr>
        <w:t>至20</w:t>
      </w:r>
      <w:r>
        <w:rPr>
          <w:rFonts w:hint="eastAsia" w:ascii="Times New Roman" w:hAnsi="Times New Roman" w:cs="宋体"/>
          <w:color w:val="auto"/>
          <w:kern w:val="0"/>
          <w:sz w:val="28"/>
          <w:szCs w:val="28"/>
          <w:highlight w:val="none"/>
          <w:u w:val="single"/>
          <w:lang w:val="en-US" w:eastAsia="zh-CN"/>
        </w:rPr>
        <w:t>22</w:t>
      </w:r>
      <w:r>
        <w:rPr>
          <w:rFonts w:hint="eastAsia" w:ascii="Times New Roman" w:hAnsi="Times New Roman" w:eastAsia="Times New Roman" w:cs="宋体"/>
          <w:color w:val="auto"/>
          <w:kern w:val="0"/>
          <w:sz w:val="28"/>
          <w:szCs w:val="28"/>
          <w:highlight w:val="none"/>
          <w:u w:val="single"/>
        </w:rPr>
        <w:t>年</w:t>
      </w:r>
      <w:r>
        <w:rPr>
          <w:rFonts w:hint="eastAsia" w:ascii="Times New Roman" w:hAnsi="Times New Roman" w:cs="宋体"/>
          <w:color w:val="auto"/>
          <w:kern w:val="0"/>
          <w:sz w:val="28"/>
          <w:szCs w:val="28"/>
          <w:highlight w:val="none"/>
          <w:u w:val="single"/>
          <w:lang w:val="en-US" w:eastAsia="zh-CN"/>
        </w:rPr>
        <w:t>7</w:t>
      </w:r>
      <w:r>
        <w:rPr>
          <w:rFonts w:hint="eastAsia" w:ascii="Times New Roman" w:hAnsi="Times New Roman" w:eastAsia="Times New Roman" w:cs="宋体"/>
          <w:color w:val="auto"/>
          <w:kern w:val="0"/>
          <w:sz w:val="28"/>
          <w:szCs w:val="28"/>
          <w:highlight w:val="none"/>
          <w:u w:val="single"/>
        </w:rPr>
        <w:t>月</w:t>
      </w:r>
      <w:r>
        <w:rPr>
          <w:rFonts w:hint="eastAsia" w:ascii="Times New Roman" w:hAnsi="Times New Roman" w:cs="宋体"/>
          <w:color w:val="auto"/>
          <w:kern w:val="0"/>
          <w:sz w:val="28"/>
          <w:szCs w:val="28"/>
          <w:highlight w:val="none"/>
          <w:u w:val="single"/>
          <w:lang w:val="en-US" w:eastAsia="zh-CN"/>
        </w:rPr>
        <w:t>7</w:t>
      </w:r>
      <w:r>
        <w:rPr>
          <w:rFonts w:hint="eastAsia" w:ascii="Times New Roman" w:hAnsi="Times New Roman" w:eastAsia="Times New Roman" w:cs="宋体"/>
          <w:color w:val="auto"/>
          <w:kern w:val="0"/>
          <w:sz w:val="28"/>
          <w:szCs w:val="28"/>
          <w:highlight w:val="none"/>
          <w:u w:val="single"/>
        </w:rPr>
        <w:t>日</w:t>
      </w:r>
      <w:r>
        <w:rPr>
          <w:rFonts w:hint="eastAsia" w:ascii="Times New Roman" w:hAnsi="Times New Roman" w:cs="宋体"/>
          <w:color w:val="auto"/>
          <w:kern w:val="0"/>
          <w:sz w:val="28"/>
          <w:szCs w:val="28"/>
          <w:highlight w:val="none"/>
          <w:u w:val="single"/>
        </w:rPr>
        <w:t>1</w:t>
      </w:r>
      <w:r>
        <w:rPr>
          <w:rFonts w:hint="eastAsia" w:ascii="Times New Roman" w:hAnsi="Times New Roman" w:eastAsia="Times New Roman" w:cs="宋体"/>
          <w:color w:val="auto"/>
          <w:kern w:val="0"/>
          <w:sz w:val="28"/>
          <w:szCs w:val="28"/>
          <w:highlight w:val="none"/>
          <w:u w:val="single"/>
        </w:rPr>
        <w:t>7:</w:t>
      </w:r>
      <w:r>
        <w:rPr>
          <w:rFonts w:hint="eastAsia" w:ascii="Times New Roman" w:hAnsi="Times New Roman" w:cs="宋体"/>
          <w:color w:val="auto"/>
          <w:kern w:val="0"/>
          <w:sz w:val="28"/>
          <w:szCs w:val="28"/>
          <w:highlight w:val="none"/>
          <w:u w:val="single"/>
        </w:rPr>
        <w:t>0</w:t>
      </w:r>
      <w:r>
        <w:rPr>
          <w:rFonts w:hint="eastAsia" w:ascii="Times New Roman" w:hAnsi="Times New Roman" w:eastAsia="Times New Roman" w:cs="宋体"/>
          <w:color w:val="auto"/>
          <w:kern w:val="0"/>
          <w:sz w:val="28"/>
          <w:szCs w:val="28"/>
          <w:highlight w:val="none"/>
          <w:u w:val="single"/>
        </w:rPr>
        <w:t>0</w:t>
      </w:r>
      <w:r>
        <w:rPr>
          <w:rFonts w:hint="eastAsia" w:ascii="Times New Roman" w:hAnsi="Times New Roman" w:eastAsia="Times New Roman" w:cs="宋体"/>
          <w:color w:val="auto"/>
          <w:kern w:val="0"/>
          <w:sz w:val="28"/>
          <w:szCs w:val="28"/>
          <w:highlight w:val="none"/>
          <w:u w:val="none"/>
        </w:rPr>
        <w:t>(北</w:t>
      </w:r>
      <w:r>
        <w:rPr>
          <w:rFonts w:hint="eastAsia" w:ascii="Times New Roman" w:hAnsi="Times New Roman" w:eastAsia="Times New Roman" w:cs="宋体"/>
          <w:color w:val="auto"/>
          <w:kern w:val="0"/>
          <w:sz w:val="28"/>
          <w:szCs w:val="28"/>
          <w:highlight w:val="none"/>
        </w:rPr>
        <w:t>京时间，下同)；</w:t>
      </w:r>
    </w:p>
    <w:p>
      <w:pPr>
        <w:pStyle w:val="42"/>
        <w:widowControl w:val="0"/>
        <w:spacing w:line="480" w:lineRule="auto"/>
        <w:ind w:firstLine="420"/>
        <w:jc w:val="both"/>
        <w:rPr>
          <w:color w:val="auto"/>
          <w:sz w:val="28"/>
          <w:szCs w:val="28"/>
          <w:highlight w:val="none"/>
          <w:lang w:val="zh-CN"/>
        </w:rPr>
      </w:pPr>
      <w:r>
        <w:rPr>
          <w:rFonts w:ascii="Calibri" w:hAnsi="Calibri" w:eastAsia="Calibri" w:cs="Calibri"/>
          <w:color w:val="auto"/>
          <w:sz w:val="28"/>
          <w:szCs w:val="28"/>
          <w:highlight w:val="none"/>
          <w:lang w:val="zh-CN"/>
        </w:rPr>
        <w:t>2</w:t>
      </w:r>
      <w:r>
        <w:rPr>
          <w:rFonts w:ascii="宋体" w:eastAsia="宋体" w:cs="宋体"/>
          <w:color w:val="auto"/>
          <w:sz w:val="28"/>
          <w:szCs w:val="28"/>
          <w:highlight w:val="none"/>
          <w:lang w:val="zh-CN"/>
        </w:rPr>
        <w:t>．招标文件的获取方式：</w:t>
      </w:r>
    </w:p>
    <w:p>
      <w:pPr>
        <w:pStyle w:val="42"/>
        <w:widowControl w:val="0"/>
        <w:spacing w:line="480" w:lineRule="auto"/>
        <w:ind w:firstLine="490" w:firstLineChars="175"/>
        <w:jc w:val="both"/>
        <w:rPr>
          <w:rFonts w:ascii="宋体"/>
          <w:sz w:val="28"/>
          <w:szCs w:val="28"/>
        </w:rPr>
      </w:pPr>
      <w:r>
        <w:rPr>
          <w:rFonts w:hint="eastAsia" w:eastAsia="宋体"/>
          <w:sz w:val="28"/>
          <w:szCs w:val="28"/>
        </w:rPr>
        <w:t>现场发售：</w:t>
      </w:r>
      <w:r>
        <w:rPr>
          <w:rFonts w:hint="eastAsia"/>
          <w:sz w:val="28"/>
          <w:szCs w:val="28"/>
        </w:rPr>
        <w:t>获取</w:t>
      </w:r>
      <w:r>
        <w:rPr>
          <w:rFonts w:hint="eastAsia" w:eastAsia="宋体"/>
          <w:sz w:val="28"/>
          <w:szCs w:val="28"/>
          <w:lang w:eastAsia="zh-CN"/>
        </w:rPr>
        <w:t>招标</w:t>
      </w:r>
      <w:r>
        <w:rPr>
          <w:rFonts w:hint="eastAsia"/>
          <w:sz w:val="28"/>
          <w:szCs w:val="28"/>
        </w:rPr>
        <w:t>文</w:t>
      </w:r>
      <w:r>
        <w:rPr>
          <w:rFonts w:hint="eastAsia" w:ascii="宋体"/>
          <w:sz w:val="28"/>
          <w:szCs w:val="28"/>
        </w:rPr>
        <w:t>件时，</w:t>
      </w:r>
      <w:r>
        <w:rPr>
          <w:rFonts w:hint="eastAsia" w:hAnsi="宋体" w:cs="宋体"/>
          <w:color w:val="auto"/>
          <w:sz w:val="28"/>
          <w:szCs w:val="28"/>
          <w:highlight w:val="none"/>
        </w:rPr>
        <w:t>投标人</w:t>
      </w:r>
      <w:r>
        <w:rPr>
          <w:rFonts w:hint="eastAsia" w:ascii="宋体"/>
          <w:sz w:val="28"/>
          <w:szCs w:val="28"/>
        </w:rPr>
        <w:t>为法人或者其他组织的，只需提供单位介绍信、经办人身份证明</w:t>
      </w:r>
      <w:r>
        <w:rPr>
          <w:rFonts w:hint="eastAsia" w:ascii="宋体" w:eastAsia="宋体"/>
          <w:sz w:val="28"/>
          <w:szCs w:val="28"/>
          <w:lang w:val="en-US" w:eastAsia="zh-CN"/>
        </w:rPr>
        <w:t>材料</w:t>
      </w:r>
      <w:r>
        <w:rPr>
          <w:rFonts w:hint="eastAsia" w:ascii="宋体"/>
          <w:sz w:val="28"/>
          <w:szCs w:val="28"/>
        </w:rPr>
        <w:t>；</w:t>
      </w:r>
      <w:r>
        <w:rPr>
          <w:rFonts w:hint="eastAsia" w:hAnsi="宋体" w:cs="宋体"/>
          <w:color w:val="auto"/>
          <w:sz w:val="28"/>
          <w:szCs w:val="28"/>
          <w:highlight w:val="none"/>
        </w:rPr>
        <w:t>投标人</w:t>
      </w:r>
      <w:r>
        <w:rPr>
          <w:rFonts w:hint="eastAsia" w:ascii="宋体"/>
          <w:sz w:val="28"/>
          <w:szCs w:val="28"/>
        </w:rPr>
        <w:t>为自然人的，只需提供本人身份证明；</w:t>
      </w:r>
      <w:r>
        <w:rPr>
          <w:rFonts w:hint="eastAsia" w:ascii="宋体" w:hAnsi="宋体"/>
          <w:sz w:val="28"/>
          <w:szCs w:val="28"/>
        </w:rPr>
        <w:t>并将相应材料给采购代理机构留存</w:t>
      </w:r>
      <w:r>
        <w:rPr>
          <w:rFonts w:hint="eastAsia" w:ascii="宋体"/>
          <w:sz w:val="28"/>
          <w:szCs w:val="28"/>
        </w:rPr>
        <w:t>。</w:t>
      </w:r>
    </w:p>
    <w:p>
      <w:pPr>
        <w:pStyle w:val="42"/>
        <w:widowControl w:val="0"/>
        <w:spacing w:line="480" w:lineRule="auto"/>
        <w:ind w:firstLine="490" w:firstLineChars="175"/>
        <w:jc w:val="both"/>
        <w:rPr>
          <w:rFonts w:hint="eastAsia" w:ascii="宋体" w:eastAsia="宋体"/>
          <w:sz w:val="28"/>
          <w:szCs w:val="28"/>
          <w:highlight w:val="none"/>
          <w:lang w:eastAsia="zh-CN"/>
        </w:rPr>
      </w:pPr>
      <w:r>
        <w:rPr>
          <w:rFonts w:hint="eastAsia" w:ascii="宋体" w:eastAsia="宋体"/>
          <w:sz w:val="28"/>
          <w:szCs w:val="28"/>
          <w:highlight w:val="none"/>
        </w:rPr>
        <w:t>网上发售：</w:t>
      </w:r>
      <w:r>
        <w:rPr>
          <w:rFonts w:hint="eastAsia" w:hAnsi="宋体" w:cs="宋体"/>
          <w:color w:val="auto"/>
          <w:sz w:val="28"/>
          <w:szCs w:val="28"/>
          <w:highlight w:val="none"/>
        </w:rPr>
        <w:t>投标人</w:t>
      </w:r>
      <w:r>
        <w:rPr>
          <w:rFonts w:hint="eastAsia" w:ascii="宋体" w:eastAsia="宋体"/>
          <w:sz w:val="28"/>
          <w:szCs w:val="28"/>
          <w:highlight w:val="none"/>
        </w:rPr>
        <w:t>网上办理</w:t>
      </w:r>
      <w:r>
        <w:rPr>
          <w:rFonts w:hint="eastAsia" w:ascii="宋体" w:eastAsia="宋体"/>
          <w:sz w:val="28"/>
          <w:szCs w:val="28"/>
          <w:highlight w:val="none"/>
          <w:lang w:eastAsia="zh-CN"/>
        </w:rPr>
        <w:t>获取招标</w:t>
      </w:r>
      <w:r>
        <w:rPr>
          <w:rFonts w:hint="eastAsia" w:ascii="宋体" w:eastAsia="宋体"/>
          <w:sz w:val="28"/>
          <w:szCs w:val="28"/>
          <w:highlight w:val="none"/>
        </w:rPr>
        <w:t>文件时，自行下载附件中的《报名登记表》并按照相关要求填写信息，将已填写完整的《报名登记表》、单位介绍信和</w:t>
      </w:r>
      <w:r>
        <w:rPr>
          <w:rFonts w:hint="eastAsia" w:ascii="宋体"/>
          <w:sz w:val="28"/>
          <w:szCs w:val="28"/>
          <w:highlight w:val="none"/>
        </w:rPr>
        <w:t>经办人身份证明</w:t>
      </w:r>
      <w:r>
        <w:rPr>
          <w:rFonts w:hint="eastAsia" w:ascii="宋体" w:eastAsia="宋体"/>
          <w:sz w:val="28"/>
          <w:szCs w:val="28"/>
          <w:highlight w:val="none"/>
          <w:lang w:val="en-US" w:eastAsia="zh-CN"/>
        </w:rPr>
        <w:t>材料</w:t>
      </w:r>
      <w:r>
        <w:rPr>
          <w:rFonts w:hint="eastAsia" w:ascii="宋体" w:eastAsia="宋体"/>
          <w:sz w:val="28"/>
          <w:szCs w:val="28"/>
          <w:highlight w:val="none"/>
        </w:rPr>
        <w:t>加盖</w:t>
      </w:r>
      <w:r>
        <w:rPr>
          <w:rFonts w:hint="eastAsia" w:hAnsi="宋体" w:cs="宋体"/>
          <w:color w:val="auto"/>
          <w:sz w:val="28"/>
          <w:szCs w:val="28"/>
          <w:highlight w:val="none"/>
        </w:rPr>
        <w:t>投标人</w:t>
      </w:r>
      <w:r>
        <w:rPr>
          <w:rFonts w:hint="eastAsia" w:ascii="宋体" w:eastAsia="宋体"/>
          <w:sz w:val="28"/>
          <w:szCs w:val="28"/>
          <w:highlight w:val="none"/>
        </w:rPr>
        <w:t>公章彩色扫描发送至</w:t>
      </w:r>
      <w:r>
        <w:rPr>
          <w:rFonts w:hint="eastAsia" w:ascii="宋体" w:eastAsia="宋体"/>
          <w:sz w:val="28"/>
          <w:szCs w:val="28"/>
          <w:highlight w:val="none"/>
          <w:lang w:val="en-US" w:eastAsia="zh-CN"/>
        </w:rPr>
        <w:t>2945487300</w:t>
      </w:r>
      <w:r>
        <w:rPr>
          <w:rFonts w:hint="eastAsia" w:ascii="宋体" w:eastAsia="宋体"/>
          <w:sz w:val="28"/>
          <w:szCs w:val="28"/>
          <w:highlight w:val="none"/>
        </w:rPr>
        <w:t>@</w:t>
      </w:r>
      <w:r>
        <w:rPr>
          <w:rFonts w:hint="eastAsia" w:ascii="宋体" w:eastAsia="宋体"/>
          <w:sz w:val="28"/>
          <w:szCs w:val="28"/>
          <w:highlight w:val="none"/>
          <w:lang w:val="en-US" w:eastAsia="zh-CN"/>
        </w:rPr>
        <w:t>qq</w:t>
      </w:r>
      <w:r>
        <w:rPr>
          <w:rFonts w:hint="eastAsia" w:ascii="宋体" w:eastAsia="宋体"/>
          <w:sz w:val="28"/>
          <w:szCs w:val="28"/>
          <w:highlight w:val="none"/>
        </w:rPr>
        <w:t>.com</w:t>
      </w:r>
      <w:r>
        <w:rPr>
          <w:rFonts w:hint="eastAsia" w:ascii="宋体" w:eastAsia="宋体"/>
          <w:sz w:val="28"/>
          <w:szCs w:val="28"/>
          <w:highlight w:val="none"/>
          <w:lang w:eastAsia="zh-CN"/>
        </w:rPr>
        <w:t>后网上自行下载</w:t>
      </w:r>
      <w:r>
        <w:rPr>
          <w:rFonts w:hint="eastAsia" w:ascii="宋体" w:eastAsia="宋体"/>
          <w:sz w:val="28"/>
          <w:szCs w:val="28"/>
          <w:highlight w:val="none"/>
        </w:rPr>
        <w:t>电子</w:t>
      </w:r>
      <w:r>
        <w:rPr>
          <w:rFonts w:hint="eastAsia" w:ascii="宋体" w:eastAsia="宋体"/>
          <w:sz w:val="28"/>
          <w:szCs w:val="28"/>
          <w:highlight w:val="none"/>
          <w:lang w:eastAsia="zh-CN"/>
        </w:rPr>
        <w:t>招标</w:t>
      </w:r>
      <w:r>
        <w:rPr>
          <w:rFonts w:hint="eastAsia" w:ascii="宋体" w:eastAsia="宋体"/>
          <w:sz w:val="28"/>
          <w:szCs w:val="28"/>
          <w:highlight w:val="none"/>
        </w:rPr>
        <w:t>文件。（备注：网上报名</w:t>
      </w:r>
      <w:r>
        <w:rPr>
          <w:rFonts w:hint="eastAsia" w:hAnsi="宋体" w:cs="宋体"/>
          <w:color w:val="auto"/>
          <w:sz w:val="28"/>
          <w:szCs w:val="28"/>
          <w:highlight w:val="none"/>
        </w:rPr>
        <w:t>投标人</w:t>
      </w:r>
      <w:r>
        <w:rPr>
          <w:rFonts w:hint="eastAsia" w:ascii="宋体" w:eastAsia="宋体"/>
          <w:sz w:val="28"/>
          <w:szCs w:val="28"/>
          <w:highlight w:val="none"/>
        </w:rPr>
        <w:t>须将报名资料原件开标时带至</w:t>
      </w:r>
      <w:r>
        <w:rPr>
          <w:rFonts w:hint="eastAsia" w:ascii="宋体" w:eastAsia="宋体"/>
          <w:sz w:val="28"/>
          <w:szCs w:val="28"/>
          <w:highlight w:val="none"/>
          <w:lang w:eastAsia="zh-CN"/>
        </w:rPr>
        <w:t>开标</w:t>
      </w:r>
      <w:r>
        <w:rPr>
          <w:rFonts w:hint="eastAsia" w:ascii="宋体" w:eastAsia="宋体"/>
          <w:sz w:val="28"/>
          <w:szCs w:val="28"/>
          <w:highlight w:val="none"/>
        </w:rPr>
        <w:t>现场）</w:t>
      </w:r>
      <w:r>
        <w:rPr>
          <w:rFonts w:hint="eastAsia" w:ascii="宋体" w:eastAsia="宋体"/>
          <w:sz w:val="28"/>
          <w:szCs w:val="28"/>
          <w:highlight w:val="none"/>
          <w:lang w:eastAsia="zh-CN"/>
        </w:rPr>
        <w:t>。</w:t>
      </w:r>
    </w:p>
    <w:p>
      <w:pPr>
        <w:pStyle w:val="42"/>
        <w:widowControl w:val="0"/>
        <w:spacing w:line="480" w:lineRule="auto"/>
        <w:ind w:firstLine="490" w:firstLineChars="175"/>
        <w:jc w:val="both"/>
        <w:rPr>
          <w:rFonts w:ascii="宋体" w:eastAsia="宋体" w:cs="宋体"/>
          <w:color w:val="auto"/>
          <w:sz w:val="28"/>
          <w:szCs w:val="28"/>
          <w:highlight w:val="none"/>
          <w:lang w:val="zh-CN"/>
        </w:rPr>
      </w:pPr>
      <w:r>
        <w:rPr>
          <w:rFonts w:hint="eastAsia" w:ascii="宋体" w:eastAsia="宋体" w:cs="宋体"/>
          <w:color w:val="auto"/>
          <w:sz w:val="28"/>
          <w:szCs w:val="28"/>
          <w:highlight w:val="none"/>
          <w:lang w:val="zh-CN"/>
        </w:rPr>
        <w:t>3.招标文件获取地点：</w:t>
      </w:r>
      <w:r>
        <w:rPr>
          <w:rFonts w:hint="eastAsia" w:ascii="Times New Roman" w:hAnsi="Times New Roman" w:eastAsia="宋体" w:cs="Times New Roman"/>
          <w:color w:val="auto"/>
          <w:kern w:val="0"/>
          <w:sz w:val="28"/>
          <w:szCs w:val="28"/>
          <w:highlight w:val="none"/>
          <w:u w:val="none"/>
          <w:lang w:val="zh-CN" w:eastAsia="zh-CN" w:bidi="ar-SA"/>
        </w:rPr>
        <w:t>眉山市东坡区眉州大道西三段235号</w:t>
      </w:r>
      <w:r>
        <w:rPr>
          <w:rFonts w:hint="eastAsia" w:eastAsia="宋体" w:cs="Times New Roman"/>
          <w:color w:val="auto"/>
          <w:kern w:val="0"/>
          <w:sz w:val="28"/>
          <w:szCs w:val="28"/>
          <w:highlight w:val="none"/>
          <w:u w:val="none"/>
          <w:lang w:val="zh-CN" w:eastAsia="zh-CN" w:bidi="ar-SA"/>
        </w:rPr>
        <w:t>。</w:t>
      </w:r>
    </w:p>
    <w:p>
      <w:pPr>
        <w:pStyle w:val="42"/>
        <w:widowControl w:val="0"/>
        <w:spacing w:line="480" w:lineRule="auto"/>
        <w:ind w:firstLine="420"/>
        <w:jc w:val="both"/>
        <w:rPr>
          <w:rFonts w:ascii="宋体" w:eastAsia="宋体" w:cs="宋体"/>
          <w:color w:val="auto"/>
          <w:sz w:val="28"/>
          <w:szCs w:val="28"/>
          <w:highlight w:val="none"/>
          <w:lang w:val="zh-CN"/>
        </w:rPr>
      </w:pPr>
      <w:r>
        <w:rPr>
          <w:rFonts w:hint="eastAsia" w:ascii="宋体" w:eastAsia="宋体" w:cs="宋体"/>
          <w:color w:val="auto"/>
          <w:sz w:val="28"/>
          <w:szCs w:val="28"/>
          <w:highlight w:val="none"/>
          <w:lang w:val="zh-CN"/>
        </w:rPr>
        <w:t>4.公告期限: 同招标文件获取时间。</w:t>
      </w:r>
    </w:p>
    <w:p>
      <w:pPr>
        <w:pStyle w:val="42"/>
        <w:widowControl w:val="0"/>
        <w:spacing w:line="480" w:lineRule="auto"/>
        <w:ind w:firstLine="420"/>
        <w:jc w:val="both"/>
        <w:rPr>
          <w:rFonts w:ascii="宋体" w:eastAsia="宋体" w:cs="宋体"/>
          <w:color w:val="auto"/>
          <w:sz w:val="28"/>
          <w:szCs w:val="28"/>
          <w:highlight w:val="none"/>
          <w:lang w:val="zh-CN"/>
        </w:rPr>
      </w:pPr>
      <w:r>
        <w:rPr>
          <w:rFonts w:hint="eastAsia" w:ascii="宋体" w:eastAsia="宋体" w:cs="宋体"/>
          <w:color w:val="auto"/>
          <w:sz w:val="28"/>
          <w:szCs w:val="28"/>
          <w:highlight w:val="none"/>
          <w:lang w:val="zh-CN"/>
        </w:rPr>
        <w:t>5.招标文件纸质售价：</w:t>
      </w:r>
      <w:r>
        <w:rPr>
          <w:rFonts w:hint="eastAsia" w:ascii="宋体" w:eastAsia="宋体" w:cs="宋体"/>
          <w:color w:val="auto"/>
          <w:sz w:val="28"/>
          <w:szCs w:val="28"/>
          <w:highlight w:val="none"/>
          <w:u w:val="single"/>
          <w:lang w:val="en-US" w:eastAsia="zh-CN"/>
        </w:rPr>
        <w:t>20</w:t>
      </w:r>
      <w:r>
        <w:rPr>
          <w:rFonts w:hint="eastAsia" w:ascii="宋体" w:eastAsia="宋体" w:cs="宋体"/>
          <w:color w:val="auto"/>
          <w:sz w:val="28"/>
          <w:szCs w:val="28"/>
          <w:highlight w:val="none"/>
          <w:u w:val="single"/>
          <w:lang w:val="zh-CN"/>
        </w:rPr>
        <w:t>0</w:t>
      </w:r>
      <w:r>
        <w:rPr>
          <w:rFonts w:hint="eastAsia" w:ascii="宋体" w:eastAsia="宋体" w:cs="宋体"/>
          <w:color w:val="auto"/>
          <w:sz w:val="28"/>
          <w:szCs w:val="28"/>
          <w:highlight w:val="none"/>
          <w:lang w:val="zh-CN"/>
        </w:rPr>
        <w:t>元。</w:t>
      </w:r>
    </w:p>
    <w:p>
      <w:pPr>
        <w:pStyle w:val="42"/>
        <w:widowControl w:val="0"/>
        <w:spacing w:line="480" w:lineRule="auto"/>
        <w:ind w:firstLine="420"/>
        <w:jc w:val="both"/>
        <w:rPr>
          <w:color w:val="auto"/>
          <w:sz w:val="28"/>
          <w:szCs w:val="28"/>
          <w:highlight w:val="none"/>
          <w:lang w:val="zh-CN"/>
        </w:rPr>
      </w:pPr>
      <w:r>
        <w:rPr>
          <w:rFonts w:hint="eastAsia" w:ascii="宋体" w:eastAsia="宋体" w:cs="宋体"/>
          <w:b/>
          <w:color w:val="auto"/>
          <w:sz w:val="28"/>
          <w:szCs w:val="28"/>
          <w:highlight w:val="none"/>
          <w:lang w:val="zh-CN"/>
        </w:rPr>
        <w:t>八</w:t>
      </w:r>
      <w:r>
        <w:rPr>
          <w:rFonts w:ascii="宋体" w:eastAsia="宋体" w:cs="宋体"/>
          <w:b/>
          <w:color w:val="auto"/>
          <w:sz w:val="28"/>
          <w:szCs w:val="28"/>
          <w:highlight w:val="none"/>
          <w:lang w:val="zh-CN"/>
        </w:rPr>
        <w:t>、投标保证金缴</w:t>
      </w:r>
      <w:r>
        <w:rPr>
          <w:rFonts w:hint="eastAsia" w:ascii="宋体" w:eastAsia="宋体" w:cs="宋体"/>
          <w:b/>
          <w:color w:val="auto"/>
          <w:sz w:val="28"/>
          <w:szCs w:val="28"/>
          <w:highlight w:val="none"/>
          <w:lang w:val="zh-CN"/>
        </w:rPr>
        <w:t>纳</w:t>
      </w:r>
    </w:p>
    <w:p>
      <w:pPr>
        <w:spacing w:afterLines="50" w:line="480" w:lineRule="auto"/>
        <w:ind w:firstLine="420" w:firstLineChars="150"/>
        <w:rPr>
          <w:rFonts w:hAnsi="宋体"/>
          <w:color w:val="auto"/>
          <w:sz w:val="28"/>
          <w:szCs w:val="28"/>
          <w:highlight w:val="none"/>
        </w:rPr>
      </w:pPr>
      <w:r>
        <w:rPr>
          <w:rFonts w:hint="eastAsia" w:ascii="仿宋_GB2312" w:hAnsi="仿宋" w:eastAsia="仿宋_GB2312"/>
          <w:color w:val="000000"/>
          <w:sz w:val="28"/>
          <w:szCs w:val="28"/>
          <w:lang w:eastAsia="zh-CN"/>
        </w:rPr>
        <w:t>☑</w:t>
      </w:r>
      <w:r>
        <w:rPr>
          <w:rFonts w:hint="eastAsia" w:hAnsi="宋体"/>
          <w:bCs/>
          <w:color w:val="auto"/>
          <w:sz w:val="28"/>
          <w:szCs w:val="28"/>
          <w:highlight w:val="none"/>
        </w:rPr>
        <w:t>本项目不收取保证金</w:t>
      </w:r>
      <w:r>
        <w:rPr>
          <w:rFonts w:hint="eastAsia" w:hAnsi="宋体"/>
          <w:bCs/>
          <w:color w:val="auto"/>
          <w:sz w:val="28"/>
          <w:szCs w:val="28"/>
          <w:highlight w:val="none"/>
          <w:lang w:eastAsia="zh-CN"/>
        </w:rPr>
        <w:t>（</w:t>
      </w:r>
      <w:r>
        <w:rPr>
          <w:rFonts w:hint="eastAsia"/>
          <w:bCs/>
          <w:sz w:val="28"/>
          <w:szCs w:val="28"/>
          <w:lang w:eastAsia="zh-CN"/>
        </w:rPr>
        <w:t>根据《四川省财政厅关于进一步做好疫情防控期间政府采购工作有关事项的通知》川财采〔2020〕28 号文件规定，对疫情防控期间参加政府采购活动的供应商，本项目不再收取投标保证金</w:t>
      </w:r>
      <w:r>
        <w:rPr>
          <w:rFonts w:hint="eastAsia" w:hAnsi="宋体"/>
          <w:bCs/>
          <w:color w:val="auto"/>
          <w:sz w:val="28"/>
          <w:szCs w:val="28"/>
          <w:highlight w:val="none"/>
          <w:lang w:eastAsia="zh-CN"/>
        </w:rPr>
        <w:t>）</w:t>
      </w:r>
      <w:r>
        <w:rPr>
          <w:rFonts w:hint="eastAsia" w:hAnsi="宋体"/>
          <w:bCs/>
          <w:color w:val="auto"/>
          <w:sz w:val="28"/>
          <w:szCs w:val="28"/>
          <w:highlight w:val="none"/>
        </w:rPr>
        <w:t>。</w:t>
      </w:r>
    </w:p>
    <w:p>
      <w:pPr>
        <w:pStyle w:val="42"/>
        <w:widowControl w:val="0"/>
        <w:spacing w:after="156" w:line="480" w:lineRule="auto"/>
        <w:ind w:firstLine="420"/>
        <w:jc w:val="both"/>
        <w:rPr>
          <w:rFonts w:hAnsi="宋体"/>
          <w:bCs/>
          <w:color w:val="auto"/>
          <w:sz w:val="28"/>
          <w:szCs w:val="28"/>
          <w:highlight w:val="none"/>
          <w:lang w:val="zh-CN"/>
        </w:rPr>
      </w:pPr>
      <w:r>
        <w:rPr>
          <w:rFonts w:hint="eastAsia" w:ascii="仿宋_GB2312" w:hAnsi="仿宋" w:eastAsia="仿宋_GB2312"/>
          <w:color w:val="000000"/>
          <w:sz w:val="28"/>
          <w:szCs w:val="28"/>
          <w:lang w:eastAsia="zh-CN"/>
        </w:rPr>
        <w:t>□</w:t>
      </w:r>
      <w:r>
        <w:rPr>
          <w:rFonts w:hint="eastAsia" w:hAnsi="宋体"/>
          <w:color w:val="auto"/>
          <w:sz w:val="28"/>
          <w:szCs w:val="28"/>
          <w:highlight w:val="none"/>
        </w:rPr>
        <w:t>本项目收取保证金。</w:t>
      </w:r>
      <w:r>
        <w:rPr>
          <w:rFonts w:hint="eastAsia" w:ascii="宋体" w:hAnsi="宋体" w:eastAsia="宋体" w:cs="宋体"/>
          <w:bCs/>
          <w:color w:val="auto"/>
          <w:sz w:val="28"/>
          <w:szCs w:val="28"/>
          <w:highlight w:val="none"/>
        </w:rPr>
        <w:t>保证金</w:t>
      </w:r>
      <w:r>
        <w:rPr>
          <w:rFonts w:hint="eastAsia" w:hAnsi="宋体" w:eastAsia="宋体"/>
          <w:bCs/>
          <w:color w:val="auto"/>
          <w:sz w:val="28"/>
          <w:szCs w:val="28"/>
          <w:highlight w:val="none"/>
          <w:u w:val="single"/>
          <w:lang w:val="en-US" w:eastAsia="zh-CN"/>
        </w:rPr>
        <w:t>/</w:t>
      </w:r>
      <w:r>
        <w:rPr>
          <w:rFonts w:hint="eastAsia" w:hAnsi="宋体" w:eastAsia="宋体"/>
          <w:bCs/>
          <w:color w:val="auto"/>
          <w:sz w:val="28"/>
          <w:szCs w:val="28"/>
          <w:highlight w:val="none"/>
          <w:u w:val="single"/>
        </w:rPr>
        <w:t xml:space="preserve"> </w:t>
      </w:r>
      <w:r>
        <w:rPr>
          <w:rFonts w:hint="eastAsia" w:hAnsi="宋体"/>
          <w:bCs/>
          <w:color w:val="auto"/>
          <w:sz w:val="28"/>
          <w:szCs w:val="28"/>
          <w:highlight w:val="none"/>
        </w:rPr>
        <w:t>元，保证金缴纳</w:t>
      </w:r>
      <w:r>
        <w:rPr>
          <w:rFonts w:hint="eastAsia" w:hAnsi="宋体" w:eastAsia="宋体"/>
          <w:bCs/>
          <w:color w:val="auto"/>
          <w:sz w:val="28"/>
          <w:szCs w:val="28"/>
          <w:highlight w:val="none"/>
        </w:rPr>
        <w:t>截止</w:t>
      </w:r>
      <w:r>
        <w:rPr>
          <w:rFonts w:hint="eastAsia" w:hAnsi="宋体"/>
          <w:bCs/>
          <w:color w:val="auto"/>
          <w:sz w:val="28"/>
          <w:szCs w:val="28"/>
          <w:highlight w:val="none"/>
        </w:rPr>
        <w:t>时间为</w:t>
      </w:r>
      <w:r>
        <w:rPr>
          <w:rFonts w:hint="eastAsia" w:hAnsi="宋体" w:eastAsiaTheme="minorEastAsia"/>
          <w:bCs/>
          <w:color w:val="auto"/>
          <w:sz w:val="28"/>
          <w:szCs w:val="28"/>
          <w:highlight w:val="none"/>
        </w:rPr>
        <w:t>投标</w:t>
      </w:r>
      <w:r>
        <w:rPr>
          <w:rFonts w:hint="eastAsia" w:hAnsi="宋体"/>
          <w:bCs/>
          <w:color w:val="auto"/>
          <w:sz w:val="28"/>
          <w:szCs w:val="28"/>
          <w:highlight w:val="none"/>
        </w:rPr>
        <w:t>文件递交截止时间</w:t>
      </w:r>
      <w:r>
        <w:rPr>
          <w:rFonts w:hint="eastAsia" w:hAnsi="宋体" w:eastAsia="宋体"/>
          <w:bCs/>
          <w:color w:val="auto"/>
          <w:sz w:val="28"/>
          <w:szCs w:val="28"/>
          <w:highlight w:val="none"/>
        </w:rPr>
        <w:t>之前一天17：00</w:t>
      </w:r>
      <w:r>
        <w:rPr>
          <w:rFonts w:hint="eastAsia" w:hAnsi="宋体"/>
          <w:bCs/>
          <w:color w:val="auto"/>
          <w:sz w:val="28"/>
          <w:szCs w:val="28"/>
          <w:highlight w:val="none"/>
        </w:rPr>
        <w:t>；</w:t>
      </w:r>
      <w:r>
        <w:rPr>
          <w:rFonts w:hint="eastAsia" w:hAnsi="宋体"/>
          <w:bCs/>
          <w:color w:val="auto"/>
          <w:sz w:val="28"/>
          <w:szCs w:val="28"/>
          <w:highlight w:val="none"/>
          <w:lang w:val="zh-CN"/>
        </w:rPr>
        <w:t>交款方式：投标保证金可以以支票、汇票、本票或者金融机构出具的保函等非现金形式提交（包括网银转账，电汇等方式），所有递交方式均以到帐时间为准。（若以保函方式提交的，必须在保证金截止时间前开具）。</w:t>
      </w:r>
    </w:p>
    <w:p>
      <w:pPr>
        <w:pStyle w:val="42"/>
        <w:widowControl w:val="0"/>
        <w:spacing w:after="156" w:line="480" w:lineRule="auto"/>
        <w:ind w:firstLine="420"/>
        <w:jc w:val="both"/>
        <w:rPr>
          <w:b/>
          <w:color w:val="auto"/>
          <w:sz w:val="28"/>
          <w:szCs w:val="28"/>
          <w:highlight w:val="none"/>
          <w:lang w:val="zh-CN"/>
        </w:rPr>
      </w:pPr>
      <w:r>
        <w:rPr>
          <w:rFonts w:hint="eastAsia" w:ascii="宋体" w:eastAsia="宋体" w:cs="宋体"/>
          <w:b/>
          <w:color w:val="auto"/>
          <w:sz w:val="28"/>
          <w:szCs w:val="28"/>
          <w:highlight w:val="none"/>
          <w:lang w:val="zh-CN"/>
        </w:rPr>
        <w:t>九</w:t>
      </w:r>
      <w:r>
        <w:rPr>
          <w:rFonts w:ascii="宋体" w:eastAsia="宋体" w:cs="宋体"/>
          <w:b/>
          <w:color w:val="auto"/>
          <w:sz w:val="28"/>
          <w:szCs w:val="28"/>
          <w:highlight w:val="none"/>
          <w:lang w:val="zh-CN"/>
        </w:rPr>
        <w:t>、投标文件的递交</w:t>
      </w:r>
    </w:p>
    <w:p>
      <w:pPr>
        <w:topLinePunct/>
        <w:spacing w:line="480" w:lineRule="auto"/>
        <w:ind w:left="279" w:leftChars="133" w:firstLine="280" w:firstLineChars="100"/>
        <w:rPr>
          <w:rFonts w:hint="default"/>
          <w:bCs/>
          <w:color w:val="auto"/>
          <w:kern w:val="24"/>
          <w:sz w:val="28"/>
          <w:szCs w:val="28"/>
          <w:highlight w:val="none"/>
          <w:lang w:val="en-US" w:eastAsia="zh-CN"/>
        </w:rPr>
      </w:pPr>
      <w:r>
        <w:rPr>
          <w:rFonts w:hint="eastAsia"/>
          <w:bCs/>
          <w:color w:val="auto"/>
          <w:kern w:val="24"/>
          <w:sz w:val="28"/>
          <w:szCs w:val="28"/>
          <w:highlight w:val="none"/>
        </w:rPr>
        <w:t>1．投标文件递交的截止时间(投标截止时间，下同)</w:t>
      </w:r>
      <w:r>
        <w:rPr>
          <w:rFonts w:hint="eastAsia"/>
          <w:bCs/>
          <w:color w:val="auto"/>
          <w:kern w:val="24"/>
          <w:sz w:val="28"/>
          <w:szCs w:val="28"/>
          <w:highlight w:val="none"/>
          <w:lang w:eastAsia="zh-CN"/>
        </w:rPr>
        <w:t>：</w:t>
      </w:r>
      <w:r>
        <w:rPr>
          <w:rFonts w:hint="eastAsia"/>
          <w:bCs/>
          <w:color w:val="auto"/>
          <w:kern w:val="24"/>
          <w:sz w:val="28"/>
          <w:szCs w:val="28"/>
          <w:highlight w:val="none"/>
          <w:u w:val="single"/>
        </w:rPr>
        <w:t>20</w:t>
      </w:r>
      <w:r>
        <w:rPr>
          <w:rFonts w:hint="eastAsia"/>
          <w:bCs/>
          <w:color w:val="auto"/>
          <w:kern w:val="24"/>
          <w:sz w:val="28"/>
          <w:szCs w:val="28"/>
          <w:highlight w:val="none"/>
          <w:u w:val="single"/>
          <w:lang w:val="en-US" w:eastAsia="zh-CN"/>
        </w:rPr>
        <w:t>22</w:t>
      </w:r>
      <w:r>
        <w:rPr>
          <w:rFonts w:hint="eastAsia"/>
          <w:bCs/>
          <w:color w:val="auto"/>
          <w:kern w:val="24"/>
          <w:sz w:val="28"/>
          <w:szCs w:val="28"/>
          <w:highlight w:val="none"/>
          <w:u w:val="single"/>
        </w:rPr>
        <w:t>年</w:t>
      </w:r>
      <w:r>
        <w:rPr>
          <w:rFonts w:hint="eastAsia"/>
          <w:bCs/>
          <w:color w:val="auto"/>
          <w:kern w:val="24"/>
          <w:sz w:val="28"/>
          <w:szCs w:val="28"/>
          <w:highlight w:val="none"/>
          <w:u w:val="single"/>
          <w:lang w:val="en-US" w:eastAsia="zh-CN"/>
        </w:rPr>
        <w:t>7月21日上午10:00（北京时间）</w:t>
      </w:r>
      <w:r>
        <w:rPr>
          <w:rFonts w:hint="eastAsia"/>
          <w:bCs/>
          <w:color w:val="auto"/>
          <w:kern w:val="24"/>
          <w:sz w:val="28"/>
          <w:szCs w:val="28"/>
          <w:highlight w:val="none"/>
          <w:lang w:val="en-US" w:eastAsia="zh-CN"/>
        </w:rPr>
        <w:t>。</w:t>
      </w:r>
    </w:p>
    <w:p>
      <w:pPr>
        <w:topLinePunct/>
        <w:spacing w:line="480" w:lineRule="auto"/>
        <w:ind w:firstLine="560" w:firstLineChars="200"/>
        <w:rPr>
          <w:color w:val="auto"/>
          <w:kern w:val="24"/>
          <w:sz w:val="28"/>
          <w:szCs w:val="28"/>
          <w:highlight w:val="none"/>
        </w:rPr>
      </w:pPr>
      <w:r>
        <w:rPr>
          <w:rFonts w:hint="eastAsia"/>
          <w:bCs/>
          <w:color w:val="auto"/>
          <w:kern w:val="24"/>
          <w:sz w:val="28"/>
          <w:szCs w:val="28"/>
          <w:highlight w:val="none"/>
        </w:rPr>
        <w:t>2．投标文件递交地点：</w:t>
      </w:r>
      <w:r>
        <w:rPr>
          <w:rFonts w:hint="eastAsia" w:eastAsia="宋体"/>
          <w:color w:val="auto"/>
          <w:sz w:val="28"/>
          <w:szCs w:val="28"/>
          <w:highlight w:val="none"/>
          <w:u w:val="single"/>
          <w:lang w:eastAsia="zh-CN"/>
        </w:rPr>
        <w:t>眉山市东岸投资开发有限公司</w:t>
      </w:r>
      <w:r>
        <w:rPr>
          <w:rFonts w:hint="eastAsia"/>
          <w:color w:val="auto"/>
          <w:sz w:val="28"/>
          <w:szCs w:val="28"/>
          <w:highlight w:val="none"/>
          <w:u w:val="single"/>
          <w:lang w:val="en-US" w:eastAsia="zh-CN"/>
        </w:rPr>
        <w:t>二楼</w:t>
      </w:r>
      <w:bookmarkStart w:id="89" w:name="_GoBack"/>
      <w:r>
        <w:rPr>
          <w:rFonts w:hint="eastAsia" w:ascii="宋体" w:hAnsi="宋体" w:eastAsia="宋体" w:cs="宋体"/>
          <w:color w:val="auto"/>
          <w:sz w:val="28"/>
          <w:szCs w:val="28"/>
          <w:highlight w:val="none"/>
          <w:u w:val="single"/>
          <w:lang w:val="en-US" w:eastAsia="zh-CN"/>
        </w:rPr>
        <w:t>2025</w:t>
      </w:r>
      <w:bookmarkEnd w:id="89"/>
      <w:r>
        <w:rPr>
          <w:rFonts w:hint="eastAsia"/>
          <w:bCs/>
          <w:color w:val="auto"/>
          <w:kern w:val="24"/>
          <w:sz w:val="28"/>
          <w:szCs w:val="28"/>
          <w:highlight w:val="none"/>
          <w:u w:val="single"/>
          <w:lang w:val="en-US" w:eastAsia="zh-CN"/>
        </w:rPr>
        <w:t>室</w:t>
      </w:r>
      <w:r>
        <w:rPr>
          <w:rFonts w:hint="eastAsia"/>
          <w:bCs/>
          <w:color w:val="auto"/>
          <w:kern w:val="24"/>
          <w:sz w:val="28"/>
          <w:szCs w:val="28"/>
          <w:highlight w:val="none"/>
          <w:u w:val="single"/>
        </w:rPr>
        <w:t>（</w:t>
      </w:r>
      <w:r>
        <w:rPr>
          <w:rFonts w:hint="eastAsia" w:ascii="Times New Roman" w:hAnsi="Times New Roman" w:eastAsia="宋体" w:cs="Times New Roman"/>
          <w:color w:val="auto"/>
          <w:kern w:val="0"/>
          <w:sz w:val="28"/>
          <w:szCs w:val="28"/>
          <w:highlight w:val="none"/>
          <w:u w:val="single"/>
          <w:lang w:val="zh-CN" w:eastAsia="zh-CN" w:bidi="ar-SA"/>
        </w:rPr>
        <w:t>眉山市东坡区眉州大道西三段235号</w:t>
      </w:r>
      <w:r>
        <w:rPr>
          <w:rFonts w:hint="eastAsia"/>
          <w:bCs/>
          <w:color w:val="auto"/>
          <w:kern w:val="24"/>
          <w:sz w:val="28"/>
          <w:szCs w:val="28"/>
          <w:highlight w:val="none"/>
          <w:u w:val="single"/>
        </w:rPr>
        <w:t xml:space="preserve"> ）</w:t>
      </w:r>
      <w:r>
        <w:rPr>
          <w:rFonts w:hint="eastAsia"/>
          <w:color w:val="auto"/>
          <w:sz w:val="28"/>
          <w:szCs w:val="28"/>
          <w:highlight w:val="none"/>
        </w:rPr>
        <w:t>。</w:t>
      </w:r>
    </w:p>
    <w:p>
      <w:pPr>
        <w:pStyle w:val="3"/>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3．投标文件必须在投标截止时间前送达开标地点，逾期送达的投标文件恕不接收。</w:t>
      </w:r>
    </w:p>
    <w:p>
      <w:pPr>
        <w:pStyle w:val="42"/>
        <w:widowControl w:val="0"/>
        <w:spacing w:after="156" w:line="480" w:lineRule="auto"/>
        <w:ind w:firstLine="562" w:firstLineChars="200"/>
        <w:jc w:val="both"/>
        <w:rPr>
          <w:rFonts w:ascii="宋体" w:eastAsia="宋体" w:cs="宋体"/>
          <w:color w:val="auto"/>
          <w:sz w:val="28"/>
          <w:szCs w:val="28"/>
          <w:highlight w:val="none"/>
          <w:lang w:val="zh-CN"/>
        </w:rPr>
      </w:pPr>
      <w:r>
        <w:rPr>
          <w:rFonts w:hint="eastAsia" w:ascii="宋体" w:eastAsia="宋体" w:cs="宋体"/>
          <w:b/>
          <w:color w:val="auto"/>
          <w:sz w:val="28"/>
          <w:szCs w:val="28"/>
          <w:highlight w:val="none"/>
          <w:lang w:val="zh-CN"/>
        </w:rPr>
        <w:t>4. 本次招标不接受邮寄的投标文件。</w:t>
      </w:r>
      <w:r>
        <w:rPr>
          <w:rFonts w:ascii="宋体" w:eastAsia="宋体" w:cs="宋体"/>
          <w:color w:val="auto"/>
          <w:sz w:val="28"/>
          <w:szCs w:val="28"/>
          <w:highlight w:val="none"/>
          <w:lang w:val="zh-CN"/>
        </w:rPr>
        <w:t>　</w:t>
      </w:r>
    </w:p>
    <w:p>
      <w:pPr>
        <w:pStyle w:val="42"/>
        <w:widowControl w:val="0"/>
        <w:spacing w:after="156" w:line="480" w:lineRule="auto"/>
        <w:ind w:firstLine="560" w:firstLineChars="200"/>
        <w:jc w:val="both"/>
        <w:rPr>
          <w:rFonts w:ascii="宋体" w:eastAsia="宋体" w:cs="宋体"/>
          <w:color w:val="auto"/>
          <w:sz w:val="28"/>
          <w:szCs w:val="28"/>
          <w:highlight w:val="none"/>
          <w:lang w:val="zh-CN"/>
        </w:rPr>
      </w:pPr>
    </w:p>
    <w:p>
      <w:pPr>
        <w:pStyle w:val="42"/>
        <w:widowControl w:val="0"/>
        <w:spacing w:after="156" w:line="480" w:lineRule="auto"/>
        <w:jc w:val="both"/>
        <w:rPr>
          <w:color w:val="auto"/>
          <w:sz w:val="28"/>
          <w:szCs w:val="28"/>
          <w:highlight w:val="none"/>
          <w:lang w:val="zh-CN"/>
        </w:rPr>
      </w:pPr>
      <w:r>
        <w:rPr>
          <w:rFonts w:ascii="宋体" w:eastAsia="宋体" w:cs="宋体"/>
          <w:color w:val="auto"/>
          <w:sz w:val="28"/>
          <w:szCs w:val="28"/>
          <w:highlight w:val="none"/>
          <w:lang w:val="zh-CN"/>
        </w:rPr>
        <w:t>　</w:t>
      </w:r>
      <w:r>
        <w:rPr>
          <w:rFonts w:hint="eastAsia" w:ascii="宋体" w:eastAsia="宋体" w:cs="宋体"/>
          <w:b/>
          <w:color w:val="auto"/>
          <w:sz w:val="28"/>
          <w:szCs w:val="28"/>
          <w:highlight w:val="none"/>
          <w:lang w:val="zh-CN"/>
        </w:rPr>
        <w:t>十</w:t>
      </w:r>
      <w:r>
        <w:rPr>
          <w:rFonts w:ascii="宋体" w:eastAsia="宋体" w:cs="宋体"/>
          <w:b/>
          <w:color w:val="auto"/>
          <w:sz w:val="28"/>
          <w:szCs w:val="28"/>
          <w:highlight w:val="none"/>
          <w:lang w:val="zh-CN"/>
        </w:rPr>
        <w:t>、开标</w:t>
      </w:r>
    </w:p>
    <w:p>
      <w:pPr>
        <w:pStyle w:val="42"/>
        <w:widowControl w:val="0"/>
        <w:spacing w:after="156" w:line="480" w:lineRule="auto"/>
        <w:ind w:firstLine="420"/>
        <w:jc w:val="both"/>
        <w:rPr>
          <w:color w:val="auto"/>
          <w:sz w:val="28"/>
          <w:szCs w:val="28"/>
          <w:highlight w:val="none"/>
          <w:lang w:val="zh-CN"/>
        </w:rPr>
      </w:pPr>
      <w:r>
        <w:rPr>
          <w:rFonts w:ascii="Calibri" w:hAnsi="Calibri" w:eastAsia="Calibri" w:cs="Calibri"/>
          <w:color w:val="auto"/>
          <w:sz w:val="28"/>
          <w:szCs w:val="28"/>
          <w:highlight w:val="none"/>
          <w:lang w:val="zh-CN"/>
        </w:rPr>
        <w:t>1</w:t>
      </w:r>
      <w:r>
        <w:rPr>
          <w:rFonts w:ascii="宋体" w:eastAsia="宋体" w:cs="宋体"/>
          <w:color w:val="auto"/>
          <w:sz w:val="28"/>
          <w:szCs w:val="28"/>
          <w:highlight w:val="none"/>
          <w:lang w:val="zh-CN"/>
        </w:rPr>
        <w:t>．开标时间：同投标截止时间</w:t>
      </w:r>
      <w:r>
        <w:rPr>
          <w:rFonts w:hint="eastAsia" w:ascii="宋体" w:eastAsia="宋体" w:cs="宋体"/>
          <w:color w:val="auto"/>
          <w:sz w:val="28"/>
          <w:szCs w:val="28"/>
          <w:highlight w:val="none"/>
          <w:lang w:val="zh-CN"/>
        </w:rPr>
        <w:t>。</w:t>
      </w:r>
    </w:p>
    <w:p>
      <w:pPr>
        <w:pStyle w:val="42"/>
        <w:widowControl w:val="0"/>
        <w:spacing w:after="156" w:line="480" w:lineRule="auto"/>
        <w:ind w:firstLine="420"/>
        <w:jc w:val="both"/>
        <w:rPr>
          <w:color w:val="auto"/>
          <w:sz w:val="28"/>
          <w:szCs w:val="28"/>
          <w:highlight w:val="none"/>
          <w:lang w:val="zh-CN"/>
        </w:rPr>
      </w:pPr>
      <w:r>
        <w:rPr>
          <w:rFonts w:ascii="Calibri" w:hAnsi="Calibri" w:eastAsia="Calibri" w:cs="Calibri"/>
          <w:color w:val="auto"/>
          <w:sz w:val="28"/>
          <w:szCs w:val="28"/>
          <w:highlight w:val="none"/>
          <w:lang w:val="zh-CN"/>
        </w:rPr>
        <w:t>2</w:t>
      </w:r>
      <w:r>
        <w:rPr>
          <w:rFonts w:ascii="宋体" w:eastAsia="宋体" w:cs="宋体"/>
          <w:color w:val="auto"/>
          <w:sz w:val="28"/>
          <w:szCs w:val="28"/>
          <w:highlight w:val="none"/>
          <w:lang w:val="zh-CN"/>
        </w:rPr>
        <w:t>．开标地点：同投标文件递交地点。</w:t>
      </w:r>
    </w:p>
    <w:p>
      <w:pPr>
        <w:pStyle w:val="42"/>
        <w:widowControl w:val="0"/>
        <w:spacing w:line="480" w:lineRule="auto"/>
        <w:ind w:firstLine="482"/>
        <w:jc w:val="both"/>
        <w:rPr>
          <w:rFonts w:hint="eastAsia" w:ascii="宋体" w:eastAsia="宋体" w:cs="宋体"/>
          <w:color w:val="auto"/>
          <w:sz w:val="28"/>
          <w:szCs w:val="28"/>
          <w:highlight w:val="none"/>
          <w:lang w:val="zh-CN"/>
        </w:rPr>
      </w:pPr>
      <w:r>
        <w:rPr>
          <w:rFonts w:ascii="宋体" w:eastAsia="宋体" w:cs="宋体"/>
          <w:b/>
          <w:color w:val="auto"/>
          <w:sz w:val="28"/>
          <w:szCs w:val="28"/>
          <w:highlight w:val="none"/>
          <w:lang w:val="zh-CN"/>
        </w:rPr>
        <w:t>十</w:t>
      </w:r>
      <w:r>
        <w:rPr>
          <w:rFonts w:hint="eastAsia" w:ascii="宋体" w:eastAsia="宋体" w:cs="宋体"/>
          <w:b/>
          <w:color w:val="auto"/>
          <w:sz w:val="28"/>
          <w:szCs w:val="28"/>
          <w:highlight w:val="none"/>
          <w:lang w:val="zh-CN"/>
        </w:rPr>
        <w:t>一</w:t>
      </w:r>
      <w:r>
        <w:rPr>
          <w:rFonts w:ascii="宋体" w:eastAsia="宋体" w:cs="宋体"/>
          <w:b/>
          <w:color w:val="auto"/>
          <w:sz w:val="28"/>
          <w:szCs w:val="28"/>
          <w:highlight w:val="none"/>
          <w:lang w:val="zh-CN"/>
        </w:rPr>
        <w:t>、</w:t>
      </w:r>
      <w:r>
        <w:rPr>
          <w:rFonts w:hint="eastAsia" w:ascii="宋体" w:eastAsia="宋体" w:cs="宋体"/>
          <w:color w:val="auto"/>
          <w:sz w:val="28"/>
          <w:szCs w:val="28"/>
          <w:highlight w:val="none"/>
          <w:lang w:val="zh-CN"/>
        </w:rPr>
        <w:t>本投标邀请在中国政府采购网</w:t>
      </w:r>
      <w:r>
        <w:rPr>
          <w:rFonts w:ascii="宋体" w:eastAsia="宋体" w:cs="宋体"/>
          <w:color w:val="auto"/>
          <w:sz w:val="28"/>
          <w:szCs w:val="28"/>
          <w:highlight w:val="none"/>
          <w:u w:val="single"/>
          <w:lang w:val="zh-CN"/>
        </w:rPr>
        <w:t>(</w:t>
      </w:r>
      <w:r>
        <w:rPr>
          <w:rFonts w:hint="eastAsia" w:ascii="宋体" w:hAnsi="宋体" w:eastAsia="宋体" w:cs="宋体"/>
          <w:color w:val="auto"/>
          <w:sz w:val="28"/>
          <w:szCs w:val="28"/>
          <w:highlight w:val="none"/>
          <w:lang w:val="zh-CN"/>
        </w:rPr>
        <w:t>http://www.ccgp.gov.cn/</w:t>
      </w:r>
      <w:r>
        <w:rPr>
          <w:rFonts w:hint="eastAsia" w:ascii="宋体" w:eastAsia="宋体" w:cs="宋体"/>
          <w:color w:val="auto"/>
          <w:sz w:val="28"/>
          <w:szCs w:val="28"/>
          <w:highlight w:val="none"/>
          <w:u w:val="single"/>
          <w:lang w:val="zh-CN"/>
        </w:rPr>
        <w:t>)</w:t>
      </w:r>
      <w:r>
        <w:rPr>
          <w:rFonts w:hint="eastAsia" w:ascii="宋体" w:eastAsia="宋体" w:cs="宋体"/>
          <w:color w:val="auto"/>
          <w:sz w:val="28"/>
          <w:szCs w:val="28"/>
          <w:highlight w:val="none"/>
          <w:lang w:val="zh-CN"/>
        </w:rPr>
        <w:t>以公告形式发布。</w:t>
      </w:r>
    </w:p>
    <w:p>
      <w:pPr>
        <w:pStyle w:val="42"/>
        <w:widowControl w:val="0"/>
        <w:spacing w:line="480" w:lineRule="auto"/>
        <w:ind w:firstLine="482"/>
        <w:jc w:val="both"/>
        <w:rPr>
          <w:rFonts w:hint="eastAsia" w:ascii="宋体" w:eastAsia="宋体" w:cs="宋体"/>
          <w:color w:val="auto"/>
          <w:sz w:val="28"/>
          <w:szCs w:val="28"/>
          <w:highlight w:val="none"/>
          <w:lang w:val="zh-CN"/>
        </w:rPr>
      </w:pPr>
    </w:p>
    <w:p>
      <w:pPr>
        <w:pStyle w:val="42"/>
        <w:widowControl w:val="0"/>
        <w:spacing w:line="480" w:lineRule="auto"/>
        <w:ind w:firstLine="482"/>
        <w:jc w:val="both"/>
        <w:rPr>
          <w:color w:val="auto"/>
          <w:sz w:val="28"/>
          <w:szCs w:val="28"/>
          <w:highlight w:val="none"/>
          <w:lang w:val="zh-CN"/>
        </w:rPr>
      </w:pPr>
      <w:r>
        <w:rPr>
          <w:rFonts w:ascii="宋体" w:eastAsia="宋体" w:cs="宋体"/>
          <w:b/>
          <w:color w:val="auto"/>
          <w:sz w:val="28"/>
          <w:szCs w:val="28"/>
          <w:highlight w:val="none"/>
          <w:lang w:val="zh-CN"/>
        </w:rPr>
        <w:t xml:space="preserve">十二、联系方式  </w:t>
      </w:r>
      <w:r>
        <w:rPr>
          <w:rFonts w:ascii="宋体" w:eastAsia="宋体" w:cs="宋体"/>
          <w:color w:val="auto"/>
          <w:sz w:val="28"/>
          <w:szCs w:val="28"/>
          <w:highlight w:val="none"/>
          <w:lang w:val="zh-CN"/>
        </w:rPr>
        <w:t xml:space="preserve">               </w:t>
      </w:r>
    </w:p>
    <w:bookmarkEnd w:id="4"/>
    <w:p>
      <w:pPr>
        <w:pStyle w:val="42"/>
        <w:widowControl w:val="0"/>
        <w:spacing w:after="156" w:line="480" w:lineRule="auto"/>
        <w:ind w:firstLine="420"/>
        <w:jc w:val="both"/>
        <w:rPr>
          <w:rFonts w:hint="eastAsia" w:eastAsia="宋体" w:cs="宋体"/>
          <w:color w:val="auto"/>
          <w:sz w:val="28"/>
          <w:szCs w:val="28"/>
          <w:highlight w:val="none"/>
          <w:u w:val="single"/>
          <w:lang w:val="zh-CN" w:eastAsia="zh-CN"/>
        </w:rPr>
      </w:pPr>
      <w:r>
        <w:rPr>
          <w:rFonts w:hint="eastAsia" w:ascii="宋体" w:eastAsia="宋体" w:cs="宋体"/>
          <w:color w:val="auto"/>
          <w:sz w:val="28"/>
          <w:szCs w:val="28"/>
          <w:highlight w:val="none"/>
          <w:lang w:val="zh-CN"/>
        </w:rPr>
        <w:t>采购人：</w:t>
      </w:r>
      <w:r>
        <w:rPr>
          <w:rFonts w:hint="eastAsia" w:eastAsia="宋体"/>
          <w:color w:val="auto"/>
          <w:sz w:val="28"/>
          <w:szCs w:val="28"/>
          <w:highlight w:val="none"/>
          <w:u w:val="single"/>
          <w:lang w:eastAsia="zh-CN"/>
        </w:rPr>
        <w:t>眉山市东岸投资开发有限公司</w:t>
      </w:r>
    </w:p>
    <w:p>
      <w:pPr>
        <w:wordWrap w:val="0"/>
        <w:topLinePunct/>
        <w:spacing w:afterLines="50" w:line="480" w:lineRule="auto"/>
        <w:ind w:firstLine="560" w:firstLineChars="200"/>
        <w:rPr>
          <w:rFonts w:hint="eastAsia" w:ascii="Times New Roman" w:hAnsi="Times New Roman" w:eastAsia="宋体"/>
          <w:color w:val="auto"/>
          <w:kern w:val="0"/>
          <w:sz w:val="28"/>
          <w:szCs w:val="28"/>
          <w:highlight w:val="none"/>
          <w:u w:val="single"/>
          <w:lang w:val="zh-CN" w:eastAsia="zh-CN"/>
        </w:rPr>
      </w:pPr>
      <w:r>
        <w:rPr>
          <w:rFonts w:hint="eastAsia" w:ascii="宋体" w:cs="宋体"/>
          <w:color w:val="auto"/>
          <w:kern w:val="0"/>
          <w:sz w:val="28"/>
          <w:szCs w:val="28"/>
          <w:highlight w:val="none"/>
          <w:lang w:val="zh-CN"/>
        </w:rPr>
        <w:t>联 系 人：</w:t>
      </w:r>
      <w:r>
        <w:rPr>
          <w:rFonts w:hint="eastAsia" w:ascii="Times New Roman" w:hAnsi="Times New Roman" w:eastAsia="宋体"/>
          <w:color w:val="auto"/>
          <w:kern w:val="0"/>
          <w:sz w:val="28"/>
          <w:szCs w:val="28"/>
          <w:highlight w:val="none"/>
          <w:u w:val="single"/>
          <w:lang w:val="en-US" w:eastAsia="zh-CN"/>
        </w:rPr>
        <w:t>解女士</w:t>
      </w:r>
    </w:p>
    <w:p>
      <w:pPr>
        <w:pStyle w:val="42"/>
        <w:widowControl w:val="0"/>
        <w:spacing w:after="156" w:line="480" w:lineRule="auto"/>
        <w:ind w:firstLine="420"/>
        <w:jc w:val="both"/>
        <w:rPr>
          <w:rFonts w:hint="eastAsia" w:ascii="Times New Roman" w:hAnsi="Times New Roman" w:eastAsia="宋体" w:cs="Times New Roman"/>
          <w:color w:val="auto"/>
          <w:kern w:val="0"/>
          <w:sz w:val="28"/>
          <w:szCs w:val="28"/>
          <w:highlight w:val="none"/>
          <w:u w:val="single"/>
          <w:lang w:val="en-US" w:eastAsia="zh-CN" w:bidi="ar-SA"/>
        </w:rPr>
      </w:pPr>
      <w:r>
        <w:rPr>
          <w:rFonts w:hint="eastAsia" w:ascii="宋体" w:eastAsia="宋体" w:cs="宋体"/>
          <w:color w:val="auto"/>
          <w:sz w:val="28"/>
          <w:szCs w:val="28"/>
          <w:highlight w:val="none"/>
          <w:lang w:val="zh-CN"/>
        </w:rPr>
        <w:t>地</w:t>
      </w:r>
      <w:r>
        <w:rPr>
          <w:rFonts w:hint="eastAsia" w:ascii="宋体" w:eastAsia="宋体" w:cs="宋体"/>
          <w:color w:val="auto"/>
          <w:sz w:val="28"/>
          <w:szCs w:val="28"/>
          <w:highlight w:val="none"/>
        </w:rPr>
        <w:t xml:space="preserve"> </w:t>
      </w:r>
      <w:r>
        <w:rPr>
          <w:rFonts w:hint="eastAsia" w:ascii="宋体" w:eastAsia="宋体" w:cs="宋体"/>
          <w:color w:val="auto"/>
          <w:sz w:val="28"/>
          <w:szCs w:val="28"/>
          <w:highlight w:val="none"/>
          <w:lang w:val="zh-CN"/>
        </w:rPr>
        <w:t>址：</w:t>
      </w:r>
      <w:r>
        <w:rPr>
          <w:rFonts w:hint="eastAsia" w:ascii="Times New Roman" w:hAnsi="Times New Roman" w:eastAsia="宋体" w:cs="Times New Roman"/>
          <w:color w:val="auto"/>
          <w:kern w:val="0"/>
          <w:sz w:val="28"/>
          <w:szCs w:val="28"/>
          <w:highlight w:val="none"/>
          <w:u w:val="single"/>
          <w:lang w:val="zh-CN" w:eastAsia="zh-CN" w:bidi="ar-SA"/>
        </w:rPr>
        <w:t>眉山市东坡区眉州大道西三段235号</w:t>
      </w:r>
    </w:p>
    <w:p>
      <w:pPr>
        <w:pStyle w:val="42"/>
        <w:widowControl w:val="0"/>
        <w:spacing w:after="156" w:line="480" w:lineRule="auto"/>
        <w:ind w:firstLine="420"/>
        <w:jc w:val="both"/>
        <w:rPr>
          <w:rFonts w:cs="宋体"/>
          <w:color w:val="auto"/>
          <w:sz w:val="28"/>
          <w:szCs w:val="28"/>
          <w:highlight w:val="none"/>
          <w:u w:val="single"/>
          <w:lang w:val="zh-CN"/>
        </w:rPr>
      </w:pPr>
      <w:r>
        <w:rPr>
          <w:rFonts w:hint="eastAsia" w:ascii="宋体" w:eastAsia="宋体" w:cs="宋体"/>
          <w:color w:val="auto"/>
          <w:sz w:val="28"/>
          <w:szCs w:val="28"/>
          <w:highlight w:val="none"/>
          <w:lang w:val="zh-CN"/>
        </w:rPr>
        <w:t>联系电话：</w:t>
      </w:r>
      <w:r>
        <w:rPr>
          <w:rFonts w:hint="eastAsia" w:ascii="Times New Roman" w:hAnsi="Times New Roman" w:eastAsia="宋体" w:cs="Times New Roman"/>
          <w:color w:val="auto"/>
          <w:kern w:val="0"/>
          <w:sz w:val="28"/>
          <w:szCs w:val="28"/>
          <w:highlight w:val="none"/>
          <w:u w:val="single"/>
          <w:lang w:val="zh-CN" w:eastAsia="zh-CN" w:bidi="ar-SA"/>
        </w:rPr>
        <w:t>028-38202728</w:t>
      </w:r>
    </w:p>
    <w:p>
      <w:pPr>
        <w:wordWrap w:val="0"/>
        <w:topLinePunct/>
        <w:spacing w:afterLines="50" w:line="480" w:lineRule="auto"/>
        <w:ind w:firstLine="420" w:firstLineChars="150"/>
        <w:rPr>
          <w:rFonts w:ascii="宋体" w:cs="宋体"/>
          <w:color w:val="auto"/>
          <w:kern w:val="0"/>
          <w:sz w:val="28"/>
          <w:szCs w:val="28"/>
          <w:highlight w:val="none"/>
          <w:lang w:val="zh-CN"/>
        </w:rPr>
      </w:pPr>
      <w:r>
        <w:rPr>
          <w:rFonts w:hint="eastAsia" w:ascii="宋体" w:cs="宋体"/>
          <w:color w:val="auto"/>
          <w:kern w:val="0"/>
          <w:sz w:val="28"/>
          <w:szCs w:val="28"/>
          <w:highlight w:val="none"/>
          <w:lang w:val="zh-CN"/>
        </w:rPr>
        <w:t>采购代理机构：</w:t>
      </w:r>
      <w:r>
        <w:rPr>
          <w:rFonts w:hint="eastAsia"/>
          <w:bCs/>
          <w:color w:val="auto"/>
          <w:kern w:val="24"/>
          <w:sz w:val="28"/>
          <w:szCs w:val="28"/>
          <w:highlight w:val="none"/>
          <w:u w:val="single"/>
          <w:lang w:eastAsia="zh-CN"/>
        </w:rPr>
        <w:t>四川华景工程项目管理有限公司</w:t>
      </w:r>
      <w:r>
        <w:rPr>
          <w:rFonts w:hint="eastAsia" w:ascii="宋体" w:cs="宋体"/>
          <w:color w:val="auto"/>
          <w:kern w:val="0"/>
          <w:sz w:val="28"/>
          <w:szCs w:val="28"/>
          <w:highlight w:val="none"/>
          <w:lang w:val="zh-CN"/>
        </w:rPr>
        <w:t xml:space="preserve"> </w:t>
      </w:r>
    </w:p>
    <w:p>
      <w:pPr>
        <w:spacing w:line="480" w:lineRule="auto"/>
        <w:ind w:right="31" w:rightChars="15" w:firstLine="560" w:firstLineChars="200"/>
        <w:jc w:val="left"/>
        <w:rPr>
          <w:rFonts w:ascii="宋体" w:cs="宋体"/>
          <w:color w:val="auto"/>
          <w:kern w:val="0"/>
          <w:sz w:val="28"/>
          <w:szCs w:val="28"/>
          <w:highlight w:val="none"/>
          <w:lang w:val="zh-CN"/>
        </w:rPr>
      </w:pPr>
      <w:r>
        <w:rPr>
          <w:rFonts w:hint="eastAsia" w:ascii="宋体" w:cs="宋体"/>
          <w:color w:val="auto"/>
          <w:kern w:val="0"/>
          <w:sz w:val="28"/>
          <w:szCs w:val="28"/>
          <w:highlight w:val="none"/>
          <w:lang w:val="zh-CN"/>
        </w:rPr>
        <w:t>地址：</w:t>
      </w:r>
      <w:r>
        <w:rPr>
          <w:rFonts w:hint="eastAsia"/>
          <w:bCs/>
          <w:color w:val="auto"/>
          <w:kern w:val="24"/>
          <w:sz w:val="28"/>
          <w:szCs w:val="28"/>
          <w:highlight w:val="none"/>
          <w:u w:val="single"/>
          <w:lang w:val="zh-CN" w:eastAsia="zh-CN"/>
        </w:rPr>
        <w:t>成都市金牛区兴科中路36号西物之芯603号</w:t>
      </w:r>
    </w:p>
    <w:p>
      <w:pPr>
        <w:pStyle w:val="42"/>
        <w:widowControl w:val="0"/>
        <w:spacing w:after="156" w:line="480" w:lineRule="auto"/>
        <w:ind w:firstLine="420"/>
        <w:jc w:val="both"/>
        <w:rPr>
          <w:rFonts w:ascii="宋体" w:eastAsia="宋体" w:cs="宋体"/>
          <w:color w:val="auto"/>
          <w:sz w:val="28"/>
          <w:szCs w:val="28"/>
          <w:highlight w:val="none"/>
          <w:lang w:val="zh-CN"/>
        </w:rPr>
      </w:pPr>
      <w:r>
        <w:rPr>
          <w:rFonts w:hint="eastAsia" w:ascii="宋体" w:eastAsia="宋体" w:cs="宋体"/>
          <w:color w:val="auto"/>
          <w:sz w:val="28"/>
          <w:szCs w:val="28"/>
          <w:highlight w:val="none"/>
          <w:lang w:val="zh-CN"/>
        </w:rPr>
        <w:t>邮编：</w:t>
      </w:r>
      <w:r>
        <w:rPr>
          <w:rFonts w:hint="eastAsia" w:ascii="宋体" w:eastAsia="宋体" w:cs="宋体"/>
          <w:color w:val="auto"/>
          <w:sz w:val="28"/>
          <w:szCs w:val="28"/>
          <w:highlight w:val="none"/>
          <w:u w:val="single"/>
          <w:lang w:val="zh-CN"/>
        </w:rPr>
        <w:t>620010</w:t>
      </w:r>
    </w:p>
    <w:p>
      <w:pPr>
        <w:pStyle w:val="42"/>
        <w:widowControl w:val="0"/>
        <w:spacing w:after="156" w:line="480" w:lineRule="auto"/>
        <w:ind w:firstLine="420"/>
        <w:jc w:val="both"/>
        <w:rPr>
          <w:rFonts w:ascii="宋体" w:eastAsia="宋体" w:cs="宋体"/>
          <w:color w:val="auto"/>
          <w:sz w:val="28"/>
          <w:szCs w:val="28"/>
          <w:highlight w:val="none"/>
          <w:lang w:val="zh-CN"/>
        </w:rPr>
      </w:pPr>
      <w:r>
        <w:rPr>
          <w:rFonts w:hint="eastAsia" w:ascii="宋体" w:eastAsia="宋体" w:cs="宋体"/>
          <w:color w:val="auto"/>
          <w:sz w:val="28"/>
          <w:szCs w:val="28"/>
          <w:highlight w:val="none"/>
          <w:lang w:val="zh-CN"/>
        </w:rPr>
        <w:t>联 系 人：</w:t>
      </w:r>
      <w:r>
        <w:rPr>
          <w:rFonts w:hint="eastAsia" w:ascii="宋体" w:eastAsia="宋体" w:cs="宋体"/>
          <w:color w:val="auto"/>
          <w:sz w:val="28"/>
          <w:szCs w:val="28"/>
          <w:highlight w:val="none"/>
          <w:u w:val="single"/>
          <w:lang w:val="en-US" w:eastAsia="zh-CN"/>
        </w:rPr>
        <w:t>贾女士</w:t>
      </w:r>
      <w:r>
        <w:rPr>
          <w:rFonts w:hint="eastAsia" w:ascii="宋体" w:eastAsia="宋体" w:cs="宋体"/>
          <w:color w:val="auto"/>
          <w:sz w:val="28"/>
          <w:szCs w:val="28"/>
          <w:highlight w:val="none"/>
          <w:u w:val="single"/>
          <w:lang w:val="zh-CN"/>
        </w:rPr>
        <w:t xml:space="preserve"> </w:t>
      </w:r>
    </w:p>
    <w:p>
      <w:pPr>
        <w:spacing w:line="480" w:lineRule="auto"/>
        <w:ind w:right="31" w:rightChars="15" w:firstLine="560" w:firstLineChars="200"/>
        <w:rPr>
          <w:rFonts w:hint="default" w:ascii="宋体" w:eastAsia="宋体" w:cs="宋体"/>
          <w:color w:val="auto"/>
          <w:kern w:val="0"/>
          <w:sz w:val="28"/>
          <w:szCs w:val="28"/>
          <w:highlight w:val="none"/>
          <w:lang w:val="en-US" w:eastAsia="zh-CN"/>
        </w:rPr>
      </w:pPr>
      <w:r>
        <w:rPr>
          <w:rFonts w:hint="eastAsia" w:ascii="宋体" w:cs="宋体"/>
          <w:color w:val="auto"/>
          <w:kern w:val="0"/>
          <w:sz w:val="28"/>
          <w:szCs w:val="28"/>
          <w:highlight w:val="none"/>
          <w:lang w:val="zh-CN"/>
        </w:rPr>
        <w:t>联系电话：</w:t>
      </w:r>
      <w:r>
        <w:rPr>
          <w:rFonts w:hint="eastAsia" w:ascii="宋体" w:cs="宋体"/>
          <w:color w:val="auto"/>
          <w:kern w:val="0"/>
          <w:sz w:val="28"/>
          <w:szCs w:val="28"/>
          <w:highlight w:val="none"/>
          <w:u w:val="single"/>
          <w:lang w:eastAsia="zh-CN"/>
        </w:rPr>
        <w:t>028-</w:t>
      </w:r>
      <w:r>
        <w:rPr>
          <w:rFonts w:hint="eastAsia" w:ascii="宋体" w:cs="宋体"/>
          <w:color w:val="auto"/>
          <w:kern w:val="0"/>
          <w:sz w:val="28"/>
          <w:szCs w:val="28"/>
          <w:highlight w:val="none"/>
          <w:u w:val="single"/>
          <w:lang w:val="en-US" w:eastAsia="zh-CN"/>
        </w:rPr>
        <w:t>62067125</w:t>
      </w:r>
    </w:p>
    <w:p>
      <w:pPr>
        <w:pStyle w:val="42"/>
        <w:spacing w:after="156" w:line="360" w:lineRule="auto"/>
        <w:ind w:firstLine="420"/>
        <w:rPr>
          <w:rFonts w:ascii="宋体" w:eastAsia="宋体" w:cs="宋体"/>
          <w:color w:val="auto"/>
          <w:highlight w:val="none"/>
          <w:lang w:val="zh-CN"/>
        </w:rPr>
      </w:pPr>
    </w:p>
    <w:p>
      <w:pPr>
        <w:pStyle w:val="42"/>
        <w:widowControl w:val="0"/>
        <w:spacing w:after="156" w:line="360" w:lineRule="auto"/>
        <w:jc w:val="both"/>
        <w:rPr>
          <w:color w:val="auto"/>
          <w:sz w:val="20"/>
          <w:highlight w:val="none"/>
        </w:rPr>
      </w:pPr>
    </w:p>
    <w:p>
      <w:pPr>
        <w:pStyle w:val="4"/>
        <w:pageBreakBefore/>
        <w:jc w:val="center"/>
        <w:rPr>
          <w:rFonts w:ascii="宋体"/>
          <w:color w:val="auto"/>
          <w:highlight w:val="none"/>
        </w:rPr>
      </w:pPr>
      <w:bookmarkStart w:id="5" w:name="_Toc497397742"/>
      <w:bookmarkStart w:id="6" w:name="_Toc484268461"/>
      <w:bookmarkStart w:id="7" w:name="_Toc32573"/>
      <w:r>
        <w:rPr>
          <w:rFonts w:hint="eastAsia" w:ascii="宋体"/>
          <w:color w:val="auto"/>
          <w:highlight w:val="none"/>
        </w:rPr>
        <w:t>第二章  投标人须知</w:t>
      </w:r>
      <w:bookmarkEnd w:id="5"/>
      <w:bookmarkEnd w:id="6"/>
      <w:bookmarkEnd w:id="7"/>
    </w:p>
    <w:p>
      <w:pPr>
        <w:wordWrap w:val="0"/>
        <w:topLinePunct/>
        <w:outlineLvl w:val="2"/>
        <w:rPr>
          <w:rFonts w:ascii="宋体"/>
          <w:b/>
          <w:color w:val="auto"/>
          <w:sz w:val="28"/>
          <w:szCs w:val="28"/>
          <w:highlight w:val="none"/>
        </w:rPr>
      </w:pPr>
      <w:bookmarkStart w:id="8" w:name="EB48d6a5ccf7114884b0a8d666413f5905"/>
      <w:bookmarkEnd w:id="8"/>
      <w:bookmarkStart w:id="9" w:name="EBbeadd19020384a5f891b3b2e6015e9da"/>
      <w:bookmarkEnd w:id="9"/>
      <w:bookmarkStart w:id="10" w:name="_Toc484268462"/>
      <w:bookmarkStart w:id="11" w:name="_Toc497397743"/>
      <w:bookmarkStart w:id="12" w:name="_Toc14299"/>
      <w:r>
        <w:rPr>
          <w:rFonts w:hint="eastAsia" w:ascii="宋体"/>
          <w:color w:val="auto"/>
          <w:sz w:val="22"/>
          <w:szCs w:val="24"/>
          <w:highlight w:val="none"/>
        </w:rPr>
        <w:t>一、</w:t>
      </w:r>
      <w:r>
        <w:rPr>
          <w:rFonts w:hint="eastAsia" w:ascii="宋体"/>
          <w:b/>
          <w:color w:val="auto"/>
          <w:sz w:val="28"/>
          <w:szCs w:val="28"/>
          <w:highlight w:val="none"/>
        </w:rPr>
        <w:t>投标人须知前附表</w:t>
      </w:r>
      <w:bookmarkEnd w:id="10"/>
      <w:bookmarkEnd w:id="11"/>
      <w:bookmarkEnd w:id="12"/>
    </w:p>
    <w:tbl>
      <w:tblPr>
        <w:tblStyle w:val="2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6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topLinePunct/>
              <w:spacing w:line="480" w:lineRule="auto"/>
              <w:ind w:left="9"/>
              <w:jc w:val="center"/>
              <w:rPr>
                <w:b/>
                <w:color w:val="auto"/>
                <w:sz w:val="28"/>
                <w:szCs w:val="28"/>
                <w:highlight w:val="none"/>
                <w:lang w:val="zh-CN"/>
              </w:rPr>
            </w:pPr>
            <w:r>
              <w:rPr>
                <w:rFonts w:hint="eastAsia"/>
                <w:b/>
                <w:color w:val="auto"/>
                <w:sz w:val="28"/>
                <w:szCs w:val="28"/>
                <w:highlight w:val="none"/>
                <w:lang w:val="zh-CN"/>
              </w:rPr>
              <w:t>序号</w:t>
            </w:r>
          </w:p>
        </w:tc>
        <w:tc>
          <w:tcPr>
            <w:tcW w:w="1559" w:type="dxa"/>
            <w:shd w:val="clear" w:color="auto" w:fill="auto"/>
            <w:vAlign w:val="center"/>
          </w:tcPr>
          <w:p>
            <w:pPr>
              <w:pStyle w:val="35"/>
              <w:wordWrap w:val="0"/>
              <w:topLinePunct/>
              <w:spacing w:line="480" w:lineRule="auto"/>
              <w:ind w:left="38"/>
              <w:jc w:val="center"/>
              <w:rPr>
                <w:b/>
                <w:color w:val="auto"/>
                <w:sz w:val="28"/>
                <w:szCs w:val="28"/>
                <w:highlight w:val="none"/>
                <w:lang w:val="zh-CN"/>
              </w:rPr>
            </w:pPr>
            <w:r>
              <w:rPr>
                <w:rFonts w:hint="eastAsia"/>
                <w:b/>
                <w:color w:val="auto"/>
                <w:sz w:val="28"/>
                <w:szCs w:val="28"/>
                <w:highlight w:val="none"/>
                <w:lang w:val="zh-CN"/>
              </w:rPr>
              <w:t>条款名称</w:t>
            </w:r>
          </w:p>
        </w:tc>
        <w:tc>
          <w:tcPr>
            <w:tcW w:w="6146" w:type="dxa"/>
            <w:shd w:val="clear" w:color="auto" w:fill="auto"/>
            <w:vAlign w:val="center"/>
          </w:tcPr>
          <w:p>
            <w:pPr>
              <w:pStyle w:val="35"/>
              <w:wordWrap w:val="0"/>
              <w:topLinePunct/>
              <w:spacing w:line="480" w:lineRule="auto"/>
              <w:jc w:val="center"/>
              <w:rPr>
                <w:b/>
                <w:color w:val="auto"/>
                <w:sz w:val="28"/>
                <w:szCs w:val="28"/>
                <w:highlight w:val="none"/>
                <w:lang w:val="zh-CN"/>
              </w:rPr>
            </w:pPr>
            <w:r>
              <w:rPr>
                <w:rFonts w:hint="eastAsia"/>
                <w:b/>
                <w:color w:val="auto"/>
                <w:sz w:val="28"/>
                <w:szCs w:val="28"/>
                <w:highlight w:val="none"/>
                <w:lang w:val="zh-CN"/>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color w:val="auto"/>
                <w:sz w:val="28"/>
                <w:szCs w:val="28"/>
                <w:highlight w:val="none"/>
              </w:rPr>
            </w:pPr>
            <w:r>
              <w:rPr>
                <w:rFonts w:hint="eastAsia" w:cs="Courier New"/>
                <w:color w:val="auto"/>
                <w:sz w:val="28"/>
                <w:szCs w:val="28"/>
                <w:highlight w:val="none"/>
                <w:lang w:val="zh-CN"/>
              </w:rPr>
              <w:t>1</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最高限价及包数划分情况</w:t>
            </w:r>
          </w:p>
        </w:tc>
        <w:tc>
          <w:tcPr>
            <w:tcW w:w="6146" w:type="dxa"/>
            <w:shd w:val="clear" w:color="auto" w:fill="auto"/>
          </w:tcPr>
          <w:p>
            <w:pPr>
              <w:wordWrap w:val="0"/>
              <w:topLinePunct/>
              <w:spacing w:line="480" w:lineRule="auto"/>
              <w:rPr>
                <w:rFonts w:ascii="宋体"/>
                <w:color w:val="auto"/>
                <w:sz w:val="28"/>
                <w:szCs w:val="28"/>
                <w:highlight w:val="none"/>
              </w:rPr>
            </w:pPr>
            <w:r>
              <w:rPr>
                <w:rFonts w:hint="eastAsia" w:ascii="宋体"/>
                <w:b/>
                <w:bCs/>
                <w:color w:val="auto"/>
                <w:sz w:val="28"/>
                <w:szCs w:val="28"/>
                <w:highlight w:val="none"/>
              </w:rPr>
              <w:t>本项目</w:t>
            </w:r>
            <w:r>
              <w:rPr>
                <w:rFonts w:hint="eastAsia" w:ascii="宋体"/>
                <w:b/>
                <w:bCs/>
                <w:color w:val="auto"/>
                <w:sz w:val="28"/>
                <w:szCs w:val="28"/>
                <w:highlight w:val="none"/>
                <w:lang w:val="en-US" w:eastAsia="zh-CN"/>
              </w:rPr>
              <w:t>最高限价</w:t>
            </w:r>
            <w:r>
              <w:rPr>
                <w:rFonts w:hint="eastAsia" w:ascii="宋体"/>
                <w:b/>
                <w:bCs/>
                <w:color w:val="auto"/>
                <w:sz w:val="28"/>
                <w:szCs w:val="28"/>
                <w:highlight w:val="none"/>
              </w:rPr>
              <w:t>为</w:t>
            </w:r>
            <w:r>
              <w:rPr>
                <w:rFonts w:hint="eastAsia" w:ascii="宋体"/>
                <w:b/>
                <w:bCs/>
                <w:color w:val="auto"/>
                <w:sz w:val="28"/>
                <w:szCs w:val="28"/>
                <w:highlight w:val="none"/>
                <w:lang w:eastAsia="zh-CN"/>
              </w:rPr>
              <w:t>：</w:t>
            </w:r>
            <w:r>
              <w:rPr>
                <w:rFonts w:hint="eastAsia" w:ascii="宋体" w:hAnsi="Times New Roman" w:cs="宋体"/>
                <w:color w:val="auto"/>
                <w:kern w:val="0"/>
                <w:sz w:val="28"/>
                <w:szCs w:val="28"/>
                <w:highlight w:val="none"/>
                <w:u w:val="single"/>
                <w:lang w:val="en-US" w:eastAsia="zh-CN" w:bidi="ar-SA"/>
              </w:rPr>
              <w:t>9046900元</w:t>
            </w:r>
            <w:r>
              <w:rPr>
                <w:rFonts w:hint="eastAsia" w:ascii="宋体" w:cs="宋体"/>
                <w:b w:val="0"/>
                <w:bCs/>
                <w:color w:val="auto"/>
                <w:sz w:val="28"/>
                <w:szCs w:val="28"/>
                <w:highlight w:val="none"/>
                <w:lang w:val="zh-CN"/>
              </w:rPr>
              <w:t>，</w:t>
            </w:r>
            <w:r>
              <w:rPr>
                <w:rFonts w:hint="eastAsia" w:ascii="宋体" w:cs="宋体"/>
                <w:b/>
                <w:color w:val="auto"/>
                <w:sz w:val="28"/>
                <w:szCs w:val="28"/>
                <w:highlight w:val="none"/>
                <w:lang w:val="en-US" w:eastAsia="zh-CN"/>
              </w:rPr>
              <w:t>本项目一共分五个包，其中包一最高限价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1980000元</w:t>
            </w:r>
            <w:r>
              <w:rPr>
                <w:rFonts w:hint="eastAsia" w:ascii="宋体" w:hAnsi="Times New Roman" w:cs="宋体"/>
                <w:color w:val="auto"/>
                <w:kern w:val="0"/>
                <w:sz w:val="28"/>
                <w:szCs w:val="28"/>
                <w:highlight w:val="none"/>
                <w:u w:val="none"/>
                <w:lang w:val="en-US" w:eastAsia="zh-CN" w:bidi="ar-SA"/>
              </w:rPr>
              <w:t>；</w:t>
            </w:r>
            <w:r>
              <w:rPr>
                <w:rFonts w:hint="eastAsia" w:ascii="宋体" w:cs="宋体"/>
                <w:b/>
                <w:color w:val="auto"/>
                <w:sz w:val="28"/>
                <w:szCs w:val="28"/>
                <w:highlight w:val="none"/>
                <w:lang w:val="en-US" w:eastAsia="zh-CN"/>
              </w:rPr>
              <w:t>包二最高限价</w:t>
            </w:r>
            <w:r>
              <w:rPr>
                <w:rFonts w:hint="eastAsia" w:ascii="宋体" w:hAnsi="Times New Roman" w:cs="宋体"/>
                <w:b/>
                <w:bCs/>
                <w:color w:val="auto"/>
                <w:kern w:val="0"/>
                <w:sz w:val="28"/>
                <w:szCs w:val="28"/>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2678000元</w:t>
            </w:r>
            <w:r>
              <w:rPr>
                <w:rFonts w:hint="eastAsia" w:ascii="宋体" w:hAnsi="Times New Roman" w:cs="宋体"/>
                <w:color w:val="auto"/>
                <w:kern w:val="0"/>
                <w:sz w:val="28"/>
                <w:szCs w:val="28"/>
                <w:highlight w:val="none"/>
                <w:u w:val="none"/>
                <w:lang w:val="en-US" w:eastAsia="zh-CN" w:bidi="ar-SA"/>
              </w:rPr>
              <w:t>；</w:t>
            </w:r>
            <w:r>
              <w:rPr>
                <w:rFonts w:hint="eastAsia" w:ascii="宋体" w:cs="宋体"/>
                <w:b/>
                <w:color w:val="auto"/>
                <w:sz w:val="28"/>
                <w:szCs w:val="28"/>
                <w:highlight w:val="none"/>
                <w:lang w:val="en-US" w:eastAsia="zh-CN"/>
              </w:rPr>
              <w:t>包三最高限价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830000元</w:t>
            </w:r>
            <w:r>
              <w:rPr>
                <w:rFonts w:hint="eastAsia" w:ascii="宋体" w:hAnsi="Times New Roman" w:cs="宋体"/>
                <w:color w:val="auto"/>
                <w:kern w:val="0"/>
                <w:sz w:val="28"/>
                <w:szCs w:val="28"/>
                <w:highlight w:val="none"/>
                <w:u w:val="none"/>
                <w:lang w:val="en-US" w:eastAsia="zh-CN" w:bidi="ar-SA"/>
              </w:rPr>
              <w:t>；</w:t>
            </w:r>
            <w:r>
              <w:rPr>
                <w:rFonts w:hint="eastAsia" w:ascii="宋体" w:cs="宋体"/>
                <w:b/>
                <w:color w:val="auto"/>
                <w:sz w:val="28"/>
                <w:szCs w:val="28"/>
                <w:highlight w:val="none"/>
                <w:lang w:val="en-US" w:eastAsia="zh-CN"/>
              </w:rPr>
              <w:t>包四最高限价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3130000元</w:t>
            </w:r>
            <w:r>
              <w:rPr>
                <w:rFonts w:hint="eastAsia" w:ascii="宋体" w:hAnsi="Times New Roman" w:cs="宋体"/>
                <w:color w:val="auto"/>
                <w:kern w:val="0"/>
                <w:sz w:val="28"/>
                <w:szCs w:val="28"/>
                <w:highlight w:val="none"/>
                <w:u w:val="none"/>
                <w:lang w:val="en-US" w:eastAsia="zh-CN" w:bidi="ar-SA"/>
              </w:rPr>
              <w:t>；</w:t>
            </w:r>
            <w:r>
              <w:rPr>
                <w:rFonts w:hint="eastAsia" w:ascii="宋体" w:cs="宋体"/>
                <w:b/>
                <w:color w:val="auto"/>
                <w:sz w:val="28"/>
                <w:szCs w:val="28"/>
                <w:highlight w:val="none"/>
                <w:lang w:val="en-US" w:eastAsia="zh-CN"/>
              </w:rPr>
              <w:t>包五最高限价</w:t>
            </w:r>
            <w:r>
              <w:rPr>
                <w:rFonts w:hint="eastAsia" w:ascii="仿宋_GB2312" w:hAnsi="仿宋" w:eastAsia="仿宋_GB2312" w:cs="Times New Roman"/>
                <w:kern w:val="0"/>
                <w:sz w:val="32"/>
                <w:szCs w:val="32"/>
                <w:highlight w:val="none"/>
                <w:u w:val="none"/>
                <w:lang w:val="en-US" w:eastAsia="zh-CN" w:bidi="ar-SA"/>
              </w:rPr>
              <w:t>：</w:t>
            </w:r>
            <w:r>
              <w:rPr>
                <w:rFonts w:hint="eastAsia" w:ascii="宋体" w:hAnsi="Times New Roman" w:cs="宋体"/>
                <w:color w:val="auto"/>
                <w:kern w:val="0"/>
                <w:sz w:val="28"/>
                <w:szCs w:val="28"/>
                <w:highlight w:val="none"/>
                <w:u w:val="single"/>
                <w:lang w:val="en-US" w:eastAsia="zh-CN" w:bidi="ar-SA"/>
              </w:rPr>
              <w:t>428900元</w:t>
            </w:r>
            <w:r>
              <w:rPr>
                <w:rFonts w:hint="eastAsia" w:ascii="宋体" w:hAnsi="Times New Roman" w:cs="宋体"/>
                <w:color w:val="auto"/>
                <w:kern w:val="0"/>
                <w:sz w:val="28"/>
                <w:szCs w:val="28"/>
                <w:highlight w:val="none"/>
                <w:u w:val="none"/>
                <w:lang w:val="en-US" w:eastAsia="zh-CN" w:bidi="ar-SA"/>
              </w:rPr>
              <w:t>。</w:t>
            </w:r>
          </w:p>
          <w:p>
            <w:pPr>
              <w:wordWrap w:val="0"/>
              <w:topLinePunct/>
              <w:spacing w:line="480" w:lineRule="auto"/>
              <w:rPr>
                <w:rFonts w:ascii="宋体"/>
                <w:b/>
                <w:color w:val="auto"/>
                <w:sz w:val="28"/>
                <w:szCs w:val="28"/>
                <w:highlight w:val="none"/>
              </w:rPr>
            </w:pPr>
            <w:r>
              <w:rPr>
                <w:rFonts w:hint="eastAsia" w:ascii="宋体"/>
                <w:b/>
                <w:color w:val="auto"/>
                <w:sz w:val="28"/>
                <w:szCs w:val="28"/>
                <w:highlight w:val="none"/>
              </w:rPr>
              <w:t>投标人的报价若超过采购人设定的</w:t>
            </w:r>
            <w:r>
              <w:rPr>
                <w:rFonts w:hint="eastAsia" w:ascii="宋体"/>
                <w:b/>
                <w:bCs/>
                <w:color w:val="auto"/>
                <w:sz w:val="28"/>
                <w:szCs w:val="28"/>
                <w:highlight w:val="none"/>
              </w:rPr>
              <w:t>预算金额</w:t>
            </w:r>
            <w:r>
              <w:rPr>
                <w:rFonts w:ascii="宋体"/>
                <w:b/>
                <w:bCs/>
                <w:color w:val="auto"/>
                <w:sz w:val="28"/>
                <w:szCs w:val="28"/>
                <w:highlight w:val="none"/>
              </w:rPr>
              <w:t>或</w:t>
            </w:r>
            <w:r>
              <w:rPr>
                <w:rFonts w:hint="eastAsia" w:ascii="宋体"/>
                <w:b/>
                <w:color w:val="auto"/>
                <w:sz w:val="28"/>
                <w:szCs w:val="28"/>
                <w:highlight w:val="none"/>
              </w:rPr>
              <w:t>最高限价，将被作为无效投标文件处理。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6" w:hRule="atLeast"/>
        </w:trPr>
        <w:tc>
          <w:tcPr>
            <w:tcW w:w="817"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2</w:t>
            </w:r>
          </w:p>
        </w:tc>
        <w:tc>
          <w:tcPr>
            <w:tcW w:w="1559" w:type="dxa"/>
            <w:shd w:val="clear" w:color="auto" w:fill="auto"/>
            <w:vAlign w:val="center"/>
          </w:tcPr>
          <w:p>
            <w:pPr>
              <w:pStyle w:val="35"/>
              <w:wordWrap w:val="0"/>
              <w:topLinePunct/>
              <w:spacing w:line="480" w:lineRule="auto"/>
              <w:ind w:left="38"/>
              <w:jc w:val="center"/>
              <w:rPr>
                <w:rFonts w:cs="Times New Roman"/>
                <w:color w:val="auto"/>
                <w:kern w:val="2"/>
                <w:sz w:val="28"/>
                <w:szCs w:val="28"/>
                <w:highlight w:val="none"/>
              </w:rPr>
            </w:pPr>
            <w:r>
              <w:rPr>
                <w:rFonts w:hint="eastAsia" w:cs="Times New Roman"/>
                <w:color w:val="auto"/>
                <w:kern w:val="2"/>
                <w:sz w:val="28"/>
                <w:szCs w:val="28"/>
                <w:highlight w:val="none"/>
              </w:rPr>
              <w:t>低于成本价不正当竞争预防措施</w:t>
            </w:r>
          </w:p>
          <w:p>
            <w:pPr>
              <w:pStyle w:val="35"/>
              <w:wordWrap w:val="0"/>
              <w:topLinePunct/>
              <w:spacing w:line="480" w:lineRule="auto"/>
              <w:ind w:left="38"/>
              <w:jc w:val="center"/>
              <w:rPr>
                <w:rFonts w:cs="Times New Roman"/>
                <w:color w:val="auto"/>
                <w:kern w:val="2"/>
                <w:sz w:val="28"/>
                <w:szCs w:val="28"/>
                <w:highlight w:val="none"/>
              </w:rPr>
            </w:pPr>
          </w:p>
        </w:tc>
        <w:tc>
          <w:tcPr>
            <w:tcW w:w="6146" w:type="dxa"/>
            <w:shd w:val="clear" w:color="auto" w:fill="auto"/>
          </w:tcPr>
          <w:p>
            <w:pPr>
              <w:pStyle w:val="35"/>
              <w:wordWrap w:val="0"/>
              <w:topLinePunct/>
              <w:spacing w:line="480" w:lineRule="auto"/>
              <w:jc w:val="both"/>
              <w:rPr>
                <w:b/>
                <w:color w:val="auto"/>
                <w:kern w:val="2"/>
                <w:sz w:val="28"/>
                <w:szCs w:val="28"/>
                <w:highlight w:val="none"/>
                <w:u w:val="single"/>
              </w:rPr>
            </w:pPr>
            <w:r>
              <w:rPr>
                <w:rFonts w:cs="Times New Roman"/>
                <w:color w:val="auto"/>
                <w:kern w:val="2"/>
                <w:sz w:val="28"/>
                <w:szCs w:val="28"/>
                <w:highlight w:val="none"/>
              </w:rPr>
              <w:t>评标委员会认为投标人的报价明显低于其他通过符合性审查投标人的报价，有可能影响产品质量或者不能诚信履约的，应当要求其在评标现场</w:t>
            </w:r>
            <w:r>
              <w:rPr>
                <w:rFonts w:hint="eastAsia" w:cs="Times New Roman"/>
                <w:color w:val="auto"/>
                <w:kern w:val="2"/>
                <w:sz w:val="28"/>
                <w:szCs w:val="28"/>
                <w:highlight w:val="none"/>
              </w:rPr>
              <w:t>1小时内</w:t>
            </w:r>
            <w:r>
              <w:rPr>
                <w:rFonts w:cs="Times New Roman"/>
                <w:color w:val="auto"/>
                <w:kern w:val="2"/>
                <w:sz w:val="28"/>
                <w:szCs w:val="28"/>
                <w:highlight w:val="none"/>
              </w:rPr>
              <w:t>提供书面说明，必要时提交相关证明材料；</w:t>
            </w:r>
            <w:r>
              <w:rPr>
                <w:rFonts w:hint="eastAsia"/>
                <w:b/>
                <w:color w:val="auto"/>
                <w:kern w:val="2"/>
                <w:sz w:val="28"/>
                <w:szCs w:val="28"/>
                <w:highlight w:val="none"/>
                <w:u w:val="single"/>
              </w:rPr>
              <w:t>投标人拒绝或者变相拒绝或在规定的时间内未提供有效书面说明或者书面说明不能证明其报价合理性的，评标委员会应当将其投标文件作为无效处理。</w:t>
            </w:r>
          </w:p>
          <w:p>
            <w:pPr>
              <w:pStyle w:val="35"/>
              <w:wordWrap w:val="0"/>
              <w:topLinePunct/>
              <w:spacing w:line="480" w:lineRule="auto"/>
              <w:jc w:val="both"/>
              <w:rPr>
                <w:rFonts w:cs="Times New Roman"/>
                <w:color w:val="auto"/>
                <w:kern w:val="2"/>
                <w:sz w:val="28"/>
                <w:szCs w:val="28"/>
                <w:highlight w:val="none"/>
              </w:rPr>
            </w:pPr>
            <w:r>
              <w:rPr>
                <w:rFonts w:hint="eastAsia" w:cs="Times New Roman"/>
                <w:color w:val="auto"/>
                <w:kern w:val="2"/>
                <w:sz w:val="28"/>
                <w:szCs w:val="28"/>
                <w:highlight w:val="none"/>
              </w:rPr>
              <w:t>投标人书面说明应当签字确认或者加盖公章(盖鲜章)，否则无效。</w:t>
            </w:r>
          </w:p>
          <w:p>
            <w:pPr>
              <w:pStyle w:val="35"/>
              <w:wordWrap w:val="0"/>
              <w:topLinePunct/>
              <w:spacing w:line="480" w:lineRule="auto"/>
              <w:jc w:val="both"/>
              <w:rPr>
                <w:rFonts w:cs="Times New Roman"/>
                <w:color w:val="auto"/>
                <w:kern w:val="2"/>
                <w:sz w:val="28"/>
                <w:szCs w:val="28"/>
                <w:highlight w:val="none"/>
              </w:rPr>
            </w:pPr>
            <w:r>
              <w:rPr>
                <w:rFonts w:hint="eastAsia" w:cs="Times New Roman"/>
                <w:color w:val="auto"/>
                <w:kern w:val="2"/>
                <w:sz w:val="28"/>
                <w:szCs w:val="28"/>
                <w:highlight w:val="none"/>
              </w:rPr>
              <w:t>书面说明的签字确认，投标人为法人的，由其法定代表人或者代理人签字确认；投标人为其他组织的，由其主要负责人或者代理人签字确认；投标人为自然人的，由其本人或者代理人签字确认。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3</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小微企业（监狱企业视同小微企业）价格扣除和失信企业报价加成或者扣分</w:t>
            </w:r>
          </w:p>
          <w:p>
            <w:pPr>
              <w:wordWrap w:val="0"/>
              <w:topLinePunct/>
              <w:spacing w:line="480" w:lineRule="auto"/>
              <w:jc w:val="center"/>
              <w:rPr>
                <w:rFonts w:ascii="宋体"/>
                <w:color w:val="auto"/>
                <w:sz w:val="28"/>
                <w:szCs w:val="28"/>
                <w:highlight w:val="none"/>
              </w:rPr>
            </w:pPr>
          </w:p>
        </w:tc>
        <w:tc>
          <w:tcPr>
            <w:tcW w:w="6146" w:type="dxa"/>
            <w:shd w:val="clear" w:color="auto" w:fill="auto"/>
            <w:vAlign w:val="center"/>
          </w:tcPr>
          <w:p>
            <w:pPr>
              <w:widowControl/>
              <w:spacing w:line="480" w:lineRule="auto"/>
              <w:jc w:val="left"/>
              <w:rPr>
                <w:rFonts w:ascii="宋体" w:cs="宋体"/>
                <w:color w:val="auto"/>
                <w:kern w:val="0"/>
                <w:sz w:val="28"/>
                <w:szCs w:val="28"/>
                <w:highlight w:val="none"/>
              </w:rPr>
            </w:pPr>
            <w:r>
              <w:rPr>
                <w:rFonts w:ascii="宋体"/>
                <w:color w:val="auto"/>
                <w:sz w:val="28"/>
                <w:szCs w:val="28"/>
                <w:highlight w:val="none"/>
              </w:rPr>
              <w:t>(1)小微企业（</w:t>
            </w:r>
            <w:r>
              <w:rPr>
                <w:rFonts w:hint="eastAsia" w:ascii="宋体"/>
                <w:color w:val="auto"/>
                <w:sz w:val="28"/>
                <w:szCs w:val="28"/>
                <w:highlight w:val="none"/>
              </w:rPr>
              <w:t>1、</w:t>
            </w:r>
            <w:r>
              <w:rPr>
                <w:rFonts w:ascii="宋体"/>
                <w:color w:val="auto"/>
                <w:sz w:val="28"/>
                <w:szCs w:val="28"/>
                <w:highlight w:val="none"/>
              </w:rPr>
              <w:t>监狱企业视同为小型、微型企业，需提供省级以上监狱管理局、戒毒管理局（含新疆生产建设兵团）出具的属于监狱企业的证明文件</w:t>
            </w:r>
            <w:r>
              <w:rPr>
                <w:rFonts w:hint="eastAsia" w:ascii="宋体"/>
                <w:color w:val="auto"/>
                <w:sz w:val="28"/>
                <w:szCs w:val="28"/>
                <w:highlight w:val="none"/>
              </w:rPr>
              <w:t>；2、残疾人福利性单位</w:t>
            </w:r>
            <w:r>
              <w:rPr>
                <w:rFonts w:ascii="宋体"/>
                <w:color w:val="auto"/>
                <w:sz w:val="28"/>
                <w:szCs w:val="28"/>
                <w:highlight w:val="none"/>
              </w:rPr>
              <w:t>视同为小型、微型企业</w:t>
            </w:r>
            <w:r>
              <w:rPr>
                <w:rFonts w:hint="eastAsia" w:ascii="宋体"/>
                <w:color w:val="auto"/>
                <w:sz w:val="28"/>
                <w:szCs w:val="28"/>
                <w:highlight w:val="none"/>
              </w:rPr>
              <w:t>，需提供《残疾人福利性单位声明函》</w:t>
            </w:r>
            <w:r>
              <w:rPr>
                <w:rFonts w:ascii="宋体"/>
                <w:color w:val="auto"/>
                <w:sz w:val="28"/>
                <w:szCs w:val="28"/>
                <w:highlight w:val="none"/>
              </w:rPr>
              <w:t>）价格扣除。</w:t>
            </w:r>
            <w:r>
              <w:rPr>
                <w:rFonts w:ascii="宋体"/>
                <w:color w:val="auto"/>
                <w:sz w:val="28"/>
                <w:szCs w:val="28"/>
                <w:highlight w:val="none"/>
              </w:rPr>
              <w:br w:type="textWrapping"/>
            </w:r>
            <w:r>
              <w:rPr>
                <w:rFonts w:ascii="宋体"/>
                <w:color w:val="auto"/>
                <w:sz w:val="28"/>
                <w:szCs w:val="28"/>
                <w:highlight w:val="none"/>
              </w:rPr>
              <w:t>A.小微企业</w:t>
            </w:r>
            <w:r>
              <w:rPr>
                <w:rFonts w:hint="eastAsia" w:ascii="宋体"/>
                <w:color w:val="auto"/>
                <w:sz w:val="28"/>
                <w:szCs w:val="28"/>
                <w:highlight w:val="none"/>
              </w:rPr>
              <w:t>价格扣除优惠指小微企业提供本企业制造的货物、承担的工程或者服务，或者提供其他小微企业制造的货物，用扣除后的价格参与评标的优惠</w:t>
            </w:r>
            <w:r>
              <w:rPr>
                <w:rFonts w:ascii="宋体"/>
                <w:color w:val="auto"/>
                <w:sz w:val="28"/>
                <w:szCs w:val="28"/>
                <w:highlight w:val="none"/>
              </w:rPr>
              <w:t>。</w:t>
            </w:r>
            <w:r>
              <w:rPr>
                <w:rFonts w:ascii="宋体"/>
                <w:color w:val="auto"/>
                <w:sz w:val="28"/>
                <w:szCs w:val="28"/>
                <w:highlight w:val="none"/>
              </w:rPr>
              <w:br w:type="textWrapping"/>
            </w:r>
            <w:r>
              <w:rPr>
                <w:rFonts w:ascii="宋体"/>
                <w:color w:val="auto"/>
                <w:sz w:val="28"/>
                <w:szCs w:val="28"/>
                <w:highlight w:val="none"/>
              </w:rPr>
              <w:t>B.根据《政府采购促进中小企业发展暂行办法》（财库[20</w:t>
            </w:r>
            <w:r>
              <w:rPr>
                <w:rFonts w:hint="eastAsia" w:ascii="宋体"/>
                <w:color w:val="auto"/>
                <w:sz w:val="28"/>
                <w:szCs w:val="28"/>
                <w:highlight w:val="none"/>
                <w:lang w:val="en-US" w:eastAsia="zh-CN"/>
              </w:rPr>
              <w:t>20</w:t>
            </w:r>
            <w:r>
              <w:rPr>
                <w:rFonts w:ascii="宋体"/>
                <w:color w:val="auto"/>
                <w:sz w:val="28"/>
                <w:szCs w:val="28"/>
                <w:highlight w:val="none"/>
              </w:rPr>
              <w:t>]</w:t>
            </w:r>
            <w:r>
              <w:rPr>
                <w:rFonts w:hint="eastAsia" w:ascii="宋体"/>
                <w:color w:val="auto"/>
                <w:sz w:val="28"/>
                <w:szCs w:val="28"/>
                <w:highlight w:val="none"/>
                <w:lang w:val="en-US" w:eastAsia="zh-CN"/>
              </w:rPr>
              <w:t>46</w:t>
            </w:r>
            <w:r>
              <w:rPr>
                <w:rFonts w:ascii="宋体"/>
                <w:color w:val="auto"/>
                <w:sz w:val="28"/>
                <w:szCs w:val="28"/>
                <w:highlight w:val="none"/>
              </w:rPr>
              <w:t>号）的规定，对小型和微型企业产品(含提供货物、承担工程、提供服务)的价格给予</w:t>
            </w:r>
            <w:r>
              <w:rPr>
                <w:rFonts w:hint="eastAsia" w:ascii="宋体"/>
                <w:color w:val="auto"/>
                <w:sz w:val="28"/>
                <w:szCs w:val="28"/>
                <w:highlight w:val="none"/>
              </w:rPr>
              <w:t>10</w:t>
            </w:r>
            <w:r>
              <w:rPr>
                <w:rFonts w:ascii="宋体"/>
                <w:color w:val="auto"/>
                <w:sz w:val="28"/>
                <w:szCs w:val="28"/>
                <w:highlight w:val="none"/>
              </w:rPr>
              <w:t>%的价格扣除，用扣除后的价格参与评标。</w:t>
            </w:r>
            <w:r>
              <w:rPr>
                <w:rFonts w:ascii="宋体"/>
                <w:color w:val="auto"/>
                <w:sz w:val="28"/>
                <w:szCs w:val="28"/>
                <w:highlight w:val="none"/>
              </w:rPr>
              <w:br w:type="textWrapping"/>
            </w:r>
            <w:r>
              <w:rPr>
                <w:rFonts w:ascii="宋体"/>
                <w:color w:val="auto"/>
                <w:sz w:val="28"/>
                <w:szCs w:val="28"/>
                <w:highlight w:val="none"/>
              </w:rPr>
              <w:t>C.参加政府采购活动的中小企业应当提供《中小企业声明函》。</w:t>
            </w:r>
            <w:r>
              <w:rPr>
                <w:rFonts w:ascii="宋体"/>
                <w:color w:val="auto"/>
                <w:sz w:val="28"/>
                <w:szCs w:val="28"/>
                <w:highlight w:val="none"/>
              </w:rPr>
              <w:br w:type="textWrapping"/>
            </w:r>
            <w:r>
              <w:rPr>
                <w:rFonts w:ascii="宋体"/>
                <w:color w:val="auto"/>
                <w:sz w:val="28"/>
                <w:szCs w:val="28"/>
                <w:highlight w:val="none"/>
              </w:rPr>
              <w:t>D.大中型企业和其他自然人、法人或者其他组织与小型、微型企业组成联合体共同参加非专门面向中小企业的政府采购活动的，联合体投标协议中约定，小型、微型企业的协议合同金额占到联合体投标协议合同总金额30%以上的，给予联合体</w:t>
            </w:r>
            <w:r>
              <w:rPr>
                <w:rFonts w:hint="eastAsia" w:ascii="宋体"/>
                <w:color w:val="auto"/>
                <w:sz w:val="28"/>
                <w:szCs w:val="28"/>
                <w:highlight w:val="none"/>
              </w:rPr>
              <w:t>3</w:t>
            </w:r>
            <w:r>
              <w:rPr>
                <w:rFonts w:ascii="宋体"/>
                <w:color w:val="auto"/>
                <w:sz w:val="28"/>
                <w:szCs w:val="28"/>
                <w:highlight w:val="none"/>
              </w:rPr>
              <w:t>%的价格扣除。</w:t>
            </w:r>
            <w:r>
              <w:rPr>
                <w:rFonts w:ascii="宋体"/>
                <w:color w:val="auto"/>
                <w:sz w:val="28"/>
                <w:szCs w:val="28"/>
                <w:highlight w:val="none"/>
              </w:rPr>
              <w:br w:type="textWrapping"/>
            </w:r>
            <w:r>
              <w:rPr>
                <w:rFonts w:ascii="宋体"/>
                <w:color w:val="auto"/>
                <w:sz w:val="28"/>
                <w:szCs w:val="28"/>
                <w:highlight w:val="none"/>
              </w:rPr>
              <w:t>联合体各方均为小型、微型企业的，联合体视同为小型、微型企业享受规定的扶持政策。</w:t>
            </w:r>
            <w:r>
              <w:rPr>
                <w:rFonts w:ascii="宋体"/>
                <w:b/>
                <w:color w:val="auto"/>
                <w:sz w:val="28"/>
                <w:szCs w:val="28"/>
                <w:highlight w:val="none"/>
              </w:rPr>
              <w:t>组成联合体的大中型企业和其他自然人、法人或者其他组织，与小型、微型企业之间不得存在投资关系。</w:t>
            </w:r>
          </w:p>
          <w:p>
            <w:pPr>
              <w:wordWrap w:val="0"/>
              <w:topLinePunct/>
              <w:spacing w:line="480" w:lineRule="auto"/>
              <w:rPr>
                <w:rFonts w:ascii="宋体"/>
                <w:color w:val="auto"/>
                <w:sz w:val="28"/>
                <w:szCs w:val="28"/>
                <w:highlight w:val="none"/>
              </w:rPr>
            </w:pPr>
            <w:r>
              <w:rPr>
                <w:rFonts w:hint="eastAsia" w:ascii="宋体"/>
                <w:color w:val="auto"/>
                <w:sz w:val="28"/>
                <w:szCs w:val="28"/>
                <w:highlight w:val="none"/>
              </w:rPr>
              <w:t>(2)失信企业报价加成或者扣分</w:t>
            </w:r>
          </w:p>
          <w:p>
            <w:pPr>
              <w:wordWrap w:val="0"/>
              <w:topLinePunct/>
              <w:spacing w:line="480" w:lineRule="auto"/>
              <w:rPr>
                <w:rFonts w:ascii="宋体"/>
                <w:color w:val="auto"/>
                <w:sz w:val="28"/>
                <w:szCs w:val="28"/>
                <w:highlight w:val="none"/>
              </w:rPr>
            </w:pPr>
            <w:r>
              <w:rPr>
                <w:rFonts w:hint="eastAsia" w:ascii="宋体"/>
                <w:color w:val="auto"/>
                <w:sz w:val="28"/>
                <w:szCs w:val="28"/>
                <w:highlight w:val="none"/>
              </w:rPr>
              <w:t>对按照</w:t>
            </w:r>
            <w:r>
              <w:rPr>
                <w:rFonts w:hint="eastAsia" w:ascii="宋体"/>
                <w:color w:val="auto"/>
                <w:sz w:val="28"/>
                <w:szCs w:val="28"/>
                <w:highlight w:val="none"/>
                <w:lang w:eastAsia="zh-CN"/>
              </w:rPr>
              <w:t>相关法律法规</w:t>
            </w:r>
            <w:r>
              <w:rPr>
                <w:rFonts w:hint="eastAsia" w:ascii="宋体"/>
                <w:color w:val="auto"/>
                <w:sz w:val="28"/>
                <w:szCs w:val="28"/>
                <w:highlight w:val="none"/>
              </w:rPr>
              <w:t>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最高限价的，其投标文件按照无效处理。</w:t>
            </w:r>
          </w:p>
          <w:p>
            <w:pPr>
              <w:wordWrap w:val="0"/>
              <w:topLinePunct/>
              <w:spacing w:line="480" w:lineRule="auto"/>
              <w:rPr>
                <w:rFonts w:ascii="宋体"/>
                <w:color w:val="auto"/>
                <w:sz w:val="28"/>
                <w:szCs w:val="28"/>
                <w:highlight w:val="none"/>
              </w:rPr>
            </w:pPr>
            <w:r>
              <w:rPr>
                <w:rFonts w:hint="eastAsia" w:ascii="宋体"/>
                <w:b/>
                <w:color w:val="auto"/>
                <w:sz w:val="28"/>
                <w:szCs w:val="28"/>
                <w:highlight w:val="none"/>
              </w:rPr>
              <w:t>投标人有失信行为的，须在投标文件其他材料中列明具体情况；未如实列明的，按照《政府采购法》七十七条第一款第一项进行处理。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4</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评标方法</w:t>
            </w:r>
          </w:p>
        </w:tc>
        <w:tc>
          <w:tcPr>
            <w:tcW w:w="6146" w:type="dxa"/>
            <w:shd w:val="clear" w:color="auto" w:fill="auto"/>
          </w:tcPr>
          <w:p>
            <w:pPr>
              <w:wordWrap w:val="0"/>
              <w:topLinePunct/>
              <w:spacing w:line="480" w:lineRule="auto"/>
              <w:rPr>
                <w:rFonts w:ascii="宋体"/>
                <w:color w:val="auto"/>
                <w:sz w:val="28"/>
                <w:szCs w:val="28"/>
                <w:highlight w:val="none"/>
              </w:rPr>
            </w:pPr>
            <w:r>
              <w:rPr>
                <w:rFonts w:hint="eastAsia" w:ascii="宋体"/>
                <w:b/>
                <w:color w:val="auto"/>
                <w:sz w:val="28"/>
                <w:szCs w:val="28"/>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17" w:type="dxa"/>
            <w:shd w:val="clear" w:color="auto" w:fill="auto"/>
            <w:vAlign w:val="center"/>
          </w:tcPr>
          <w:p>
            <w:pPr>
              <w:wordWrap w:val="0"/>
              <w:topLinePunct/>
              <w:spacing w:line="480" w:lineRule="auto"/>
              <w:jc w:val="center"/>
              <w:rPr>
                <w:rFonts w:ascii="宋体"/>
                <w:b/>
                <w:color w:val="auto"/>
                <w:sz w:val="28"/>
                <w:szCs w:val="28"/>
                <w:highlight w:val="none"/>
              </w:rPr>
            </w:pPr>
            <w:r>
              <w:rPr>
                <w:rFonts w:hint="eastAsia" w:ascii="宋体"/>
                <w:b/>
                <w:color w:val="auto"/>
                <w:sz w:val="28"/>
                <w:szCs w:val="28"/>
                <w:highlight w:val="none"/>
              </w:rPr>
              <w:t>5</w:t>
            </w:r>
          </w:p>
        </w:tc>
        <w:tc>
          <w:tcPr>
            <w:tcW w:w="1559" w:type="dxa"/>
            <w:shd w:val="clear" w:color="auto" w:fill="auto"/>
            <w:vAlign w:val="center"/>
          </w:tcPr>
          <w:p>
            <w:pPr>
              <w:wordWrap w:val="0"/>
              <w:topLinePunct/>
              <w:spacing w:line="480" w:lineRule="auto"/>
              <w:jc w:val="center"/>
              <w:rPr>
                <w:rFonts w:ascii="宋体"/>
                <w:b/>
                <w:color w:val="auto"/>
                <w:sz w:val="28"/>
                <w:szCs w:val="28"/>
                <w:highlight w:val="none"/>
              </w:rPr>
            </w:pPr>
            <w:r>
              <w:rPr>
                <w:rFonts w:hint="eastAsia" w:ascii="宋体"/>
                <w:b/>
                <w:color w:val="auto"/>
                <w:sz w:val="28"/>
                <w:szCs w:val="28"/>
                <w:highlight w:val="none"/>
              </w:rPr>
              <w:t>本项目投标人须提供的资格性证明材料</w:t>
            </w:r>
          </w:p>
          <w:p>
            <w:pPr>
              <w:wordWrap w:val="0"/>
              <w:topLinePunct/>
              <w:spacing w:line="480" w:lineRule="auto"/>
              <w:jc w:val="center"/>
              <w:rPr>
                <w:rFonts w:ascii="宋体"/>
                <w:b/>
                <w:color w:val="auto"/>
                <w:sz w:val="28"/>
                <w:szCs w:val="28"/>
                <w:highlight w:val="none"/>
              </w:rPr>
            </w:pPr>
          </w:p>
        </w:tc>
        <w:tc>
          <w:tcPr>
            <w:tcW w:w="6146" w:type="dxa"/>
            <w:shd w:val="clear" w:color="auto" w:fill="auto"/>
            <w:vAlign w:val="center"/>
          </w:tcPr>
          <w:p>
            <w:pPr>
              <w:wordWrap w:val="0"/>
              <w:topLinePunct/>
              <w:spacing w:line="480" w:lineRule="auto"/>
              <w:rPr>
                <w:rFonts w:ascii="宋体"/>
                <w:b/>
                <w:color w:val="auto"/>
                <w:sz w:val="28"/>
                <w:szCs w:val="28"/>
                <w:highlight w:val="none"/>
              </w:rPr>
            </w:pPr>
            <w:r>
              <w:rPr>
                <w:rFonts w:hint="eastAsia" w:ascii="宋体"/>
                <w:b/>
                <w:color w:val="auto"/>
                <w:sz w:val="28"/>
                <w:szCs w:val="28"/>
                <w:highlight w:val="none"/>
              </w:rPr>
              <w:t>(1)法人或者其他组织的营业执照等证明文件，自然人的身份证明（复印件盖鲜章）；</w:t>
            </w:r>
          </w:p>
          <w:p>
            <w:pPr>
              <w:wordWrap w:val="0"/>
              <w:topLinePunct/>
              <w:spacing w:line="480" w:lineRule="auto"/>
              <w:rPr>
                <w:rFonts w:ascii="宋体"/>
                <w:b/>
                <w:color w:val="auto"/>
                <w:sz w:val="28"/>
                <w:szCs w:val="28"/>
                <w:highlight w:val="none"/>
              </w:rPr>
            </w:pPr>
            <w:r>
              <w:rPr>
                <w:rFonts w:hint="eastAsia" w:ascii="宋体"/>
                <w:b/>
                <w:color w:val="auto"/>
                <w:sz w:val="28"/>
                <w:szCs w:val="28"/>
                <w:highlight w:val="none"/>
              </w:rPr>
              <w:t>(2) 投标承诺及声明(承诺内容包括</w:t>
            </w:r>
            <w:r>
              <w:rPr>
                <w:rFonts w:hint="eastAsia" w:ascii="宋体"/>
                <w:b/>
                <w:color w:val="auto"/>
                <w:sz w:val="28"/>
                <w:szCs w:val="28"/>
                <w:highlight w:val="none"/>
                <w:lang w:val="zh-CN"/>
              </w:rPr>
              <w:t>具有良好的商业信誉和财务状况报告；具有履行合同所必需的设备和专业技术能力；有依法缴纳税收和社会保障资金的良好记录；（格式详见投标文件格式</w:t>
            </w:r>
            <w:r>
              <w:rPr>
                <w:rFonts w:hint="eastAsia" w:ascii="宋体"/>
                <w:b/>
                <w:color w:val="auto"/>
                <w:sz w:val="28"/>
                <w:szCs w:val="28"/>
                <w:highlight w:val="none"/>
              </w:rPr>
              <w:t>)。虚假承诺或未提供的取消其中标人资格。</w:t>
            </w:r>
          </w:p>
          <w:p>
            <w:pPr>
              <w:wordWrap w:val="0"/>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w:t>
            </w:r>
            <w:r>
              <w:rPr>
                <w:rFonts w:hint="eastAsia" w:ascii="宋体"/>
                <w:b/>
                <w:color w:val="auto"/>
                <w:sz w:val="28"/>
                <w:szCs w:val="28"/>
                <w:highlight w:val="none"/>
                <w:lang w:val="en-US" w:eastAsia="zh-CN"/>
              </w:rPr>
              <w:t>3</w:t>
            </w:r>
            <w:r>
              <w:rPr>
                <w:rFonts w:hint="eastAsia" w:ascii="宋体"/>
                <w:b/>
                <w:color w:val="auto"/>
                <w:sz w:val="28"/>
                <w:szCs w:val="28"/>
                <w:highlight w:val="none"/>
              </w:rPr>
              <w:t>)法律、行政法规规定的其他条件的证明材料(国家强制性要求的行政许可证书（复印件盖鲜章），如有)；</w:t>
            </w:r>
          </w:p>
          <w:p>
            <w:pPr>
              <w:pStyle w:val="10"/>
              <w:spacing w:line="480" w:lineRule="auto"/>
              <w:rPr>
                <w:rFonts w:ascii="宋体"/>
                <w:b/>
                <w:color w:val="auto"/>
                <w:sz w:val="28"/>
                <w:szCs w:val="28"/>
                <w:highlight w:val="none"/>
              </w:rPr>
            </w:pPr>
            <w:r>
              <w:rPr>
                <w:rFonts w:hint="eastAsia" w:ascii="宋体"/>
                <w:b/>
                <w:color w:val="auto"/>
                <w:sz w:val="28"/>
                <w:szCs w:val="28"/>
                <w:highlight w:val="none"/>
              </w:rPr>
              <w:t>（</w:t>
            </w:r>
            <w:r>
              <w:rPr>
                <w:rFonts w:hint="eastAsia" w:ascii="宋体"/>
                <w:b/>
                <w:color w:val="auto"/>
                <w:sz w:val="28"/>
                <w:szCs w:val="28"/>
                <w:highlight w:val="none"/>
                <w:lang w:val="en-US" w:eastAsia="zh-CN"/>
              </w:rPr>
              <w:t>4</w:t>
            </w:r>
            <w:r>
              <w:rPr>
                <w:rFonts w:hint="eastAsia" w:ascii="宋体"/>
                <w:b/>
                <w:color w:val="auto"/>
                <w:sz w:val="28"/>
                <w:szCs w:val="28"/>
                <w:highlight w:val="none"/>
              </w:rPr>
              <w:t>）提供投标人单位及现任法定代表人、主要负责人不得具有行贿犯罪记录承诺函（</w:t>
            </w:r>
            <w:r>
              <w:rPr>
                <w:rFonts w:hint="eastAsia" w:ascii="宋体"/>
                <w:b/>
                <w:color w:val="auto"/>
                <w:sz w:val="28"/>
                <w:szCs w:val="28"/>
                <w:highlight w:val="none"/>
                <w:lang w:val="zh-CN"/>
              </w:rPr>
              <w:t>格式详见投标文件格式</w:t>
            </w:r>
            <w:r>
              <w:rPr>
                <w:rFonts w:hint="eastAsia" w:ascii="宋体"/>
                <w:b/>
                <w:color w:val="auto"/>
                <w:sz w:val="28"/>
                <w:szCs w:val="28"/>
                <w:highlight w:val="none"/>
              </w:rPr>
              <w:t>）；</w:t>
            </w:r>
          </w:p>
          <w:p>
            <w:pPr>
              <w:pStyle w:val="10"/>
              <w:spacing w:line="480" w:lineRule="auto"/>
              <w:rPr>
                <w:rFonts w:hint="eastAsia" w:ascii="宋体" w:eastAsia="宋体"/>
                <w:b/>
                <w:color w:val="auto"/>
                <w:sz w:val="28"/>
                <w:szCs w:val="28"/>
                <w:highlight w:val="none"/>
                <w:lang w:eastAsia="zh-CN"/>
              </w:rPr>
            </w:pPr>
            <w:r>
              <w:rPr>
                <w:rFonts w:hint="eastAsia" w:ascii="宋体"/>
                <w:b/>
                <w:color w:val="auto"/>
                <w:sz w:val="28"/>
                <w:szCs w:val="28"/>
                <w:highlight w:val="none"/>
              </w:rPr>
              <w:t>（</w:t>
            </w:r>
            <w:r>
              <w:rPr>
                <w:rFonts w:hint="eastAsia" w:ascii="宋体"/>
                <w:b/>
                <w:color w:val="auto"/>
                <w:sz w:val="28"/>
                <w:szCs w:val="28"/>
                <w:highlight w:val="none"/>
                <w:lang w:val="en-US" w:eastAsia="zh-CN"/>
              </w:rPr>
              <w:t>5</w:t>
            </w:r>
            <w:r>
              <w:rPr>
                <w:rFonts w:hint="eastAsia" w:ascii="宋体"/>
                <w:b/>
                <w:color w:val="auto"/>
                <w:sz w:val="28"/>
                <w:szCs w:val="28"/>
                <w:highlight w:val="none"/>
              </w:rPr>
              <w:t>）投标人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投标人，提供网络截图复印件或承诺函加盖鲜章</w:t>
            </w:r>
            <w:r>
              <w:rPr>
                <w:rFonts w:hint="eastAsia" w:ascii="宋体"/>
                <w:b/>
                <w:color w:val="auto"/>
                <w:sz w:val="28"/>
                <w:szCs w:val="28"/>
                <w:highlight w:val="none"/>
                <w:lang w:eastAsia="zh-CN"/>
              </w:rPr>
              <w:t>。</w:t>
            </w:r>
          </w:p>
          <w:p>
            <w:pPr>
              <w:spacing w:line="480" w:lineRule="auto"/>
              <w:rPr>
                <w:rFonts w:ascii="宋体"/>
                <w:b/>
                <w:color w:val="auto"/>
                <w:sz w:val="28"/>
                <w:szCs w:val="28"/>
                <w:highlight w:val="none"/>
              </w:rPr>
            </w:pPr>
            <w:r>
              <w:rPr>
                <w:rFonts w:hint="eastAsia" w:ascii="宋体"/>
                <w:b/>
                <w:color w:val="auto"/>
                <w:sz w:val="28"/>
                <w:szCs w:val="28"/>
                <w:highlight w:val="none"/>
              </w:rPr>
              <w:t>（</w:t>
            </w:r>
            <w:r>
              <w:rPr>
                <w:rFonts w:hint="eastAsia" w:ascii="宋体"/>
                <w:b/>
                <w:color w:val="auto"/>
                <w:sz w:val="28"/>
                <w:szCs w:val="28"/>
                <w:highlight w:val="none"/>
                <w:lang w:val="en-US" w:eastAsia="zh-CN"/>
              </w:rPr>
              <w:t>6</w:t>
            </w:r>
            <w:r>
              <w:rPr>
                <w:rFonts w:hint="eastAsia" w:ascii="宋体"/>
                <w:b/>
                <w:color w:val="auto"/>
                <w:sz w:val="28"/>
                <w:szCs w:val="28"/>
                <w:highlight w:val="none"/>
              </w:rPr>
              <w:t>）根据采购项目提出的特殊条件的证明材料：</w:t>
            </w:r>
          </w:p>
          <w:p>
            <w:pPr>
              <w:spacing w:line="480" w:lineRule="auto"/>
              <w:rPr>
                <w:rFonts w:hint="eastAsia" w:ascii="宋体"/>
                <w:b/>
                <w:color w:val="auto"/>
                <w:sz w:val="28"/>
                <w:szCs w:val="28"/>
                <w:highlight w:val="none"/>
                <w:lang w:val="zh-CN"/>
              </w:rPr>
            </w:pPr>
            <w:r>
              <w:rPr>
                <w:rFonts w:hint="eastAsia" w:ascii="宋体"/>
                <w:b/>
                <w:color w:val="auto"/>
                <w:sz w:val="28"/>
                <w:szCs w:val="28"/>
                <w:highlight w:val="none"/>
                <w:lang w:val="en-US" w:eastAsia="zh-CN"/>
              </w:rPr>
              <w:t>1.</w:t>
            </w:r>
            <w:r>
              <w:rPr>
                <w:rFonts w:hint="eastAsia" w:ascii="宋体"/>
                <w:b/>
                <w:color w:val="auto"/>
                <w:sz w:val="28"/>
                <w:szCs w:val="28"/>
                <w:highlight w:val="none"/>
                <w:lang w:val="zh-CN"/>
              </w:rPr>
              <w:t>若采购产品为医疗器械的，供应商须符合《医疗器械监督管理条例》等政策法规要求并具有医疗器械生产许可证或者医疗器械经营许可</w:t>
            </w:r>
            <w:r>
              <w:rPr>
                <w:rFonts w:hint="eastAsia" w:ascii="宋体"/>
                <w:b/>
                <w:color w:val="auto"/>
                <w:sz w:val="28"/>
                <w:szCs w:val="28"/>
                <w:highlight w:val="none"/>
                <w:lang w:val="en-US" w:eastAsia="zh-CN"/>
              </w:rPr>
              <w:t>证或</w:t>
            </w:r>
            <w:r>
              <w:rPr>
                <w:rFonts w:hint="eastAsia" w:ascii="宋体"/>
                <w:b/>
                <w:color w:val="auto"/>
                <w:sz w:val="28"/>
                <w:szCs w:val="28"/>
                <w:highlight w:val="none"/>
                <w:lang w:val="zh-CN"/>
              </w:rPr>
              <w:t>备案凭证；</w:t>
            </w:r>
          </w:p>
          <w:p>
            <w:pPr>
              <w:spacing w:line="480" w:lineRule="auto"/>
              <w:rPr>
                <w:rFonts w:hint="eastAsia" w:ascii="宋体"/>
                <w:b/>
                <w:color w:val="auto"/>
                <w:sz w:val="28"/>
                <w:szCs w:val="28"/>
                <w:highlight w:val="none"/>
                <w:lang w:val="zh-CN"/>
              </w:rPr>
            </w:pPr>
            <w:r>
              <w:rPr>
                <w:rFonts w:hint="eastAsia" w:ascii="宋体"/>
                <w:b/>
                <w:color w:val="auto"/>
                <w:sz w:val="28"/>
                <w:szCs w:val="28"/>
                <w:highlight w:val="none"/>
                <w:lang w:val="en-US" w:eastAsia="zh-CN"/>
              </w:rPr>
              <w:t>2.</w:t>
            </w:r>
            <w:r>
              <w:rPr>
                <w:rFonts w:hint="eastAsia" w:ascii="宋体"/>
                <w:b/>
                <w:color w:val="auto"/>
                <w:sz w:val="28"/>
                <w:szCs w:val="28"/>
                <w:highlight w:val="none"/>
                <w:lang w:val="zh-CN"/>
              </w:rPr>
              <w:t>所投医疗器械须符合《医疗器械注册与备案管理办法》等政策法规要求并具有中华人民共和国医疗器械注册或备案凭证。</w:t>
            </w:r>
          </w:p>
          <w:p>
            <w:pPr>
              <w:spacing w:line="480" w:lineRule="auto"/>
              <w:rPr>
                <w:rFonts w:ascii="宋体"/>
                <w:b/>
                <w:color w:val="auto"/>
                <w:sz w:val="28"/>
                <w:szCs w:val="28"/>
                <w:highlight w:val="none"/>
              </w:rPr>
            </w:pPr>
            <w:r>
              <w:rPr>
                <w:rFonts w:hint="eastAsia" w:ascii="宋体"/>
                <w:b/>
                <w:color w:val="auto"/>
                <w:sz w:val="28"/>
                <w:szCs w:val="28"/>
                <w:highlight w:val="none"/>
                <w:lang w:val="en-US" w:eastAsia="zh-CN"/>
              </w:rPr>
              <w:t>3.</w:t>
            </w:r>
            <w:r>
              <w:rPr>
                <w:rFonts w:hint="default" w:ascii="宋体"/>
                <w:b/>
                <w:color w:val="auto"/>
                <w:sz w:val="28"/>
                <w:szCs w:val="28"/>
                <w:highlight w:val="none"/>
                <w:lang w:val="en-US" w:eastAsia="zh-CN"/>
              </w:rPr>
              <w:t>若所投产品为进口产品</w:t>
            </w:r>
            <w:r>
              <w:rPr>
                <w:rFonts w:hint="eastAsia" w:ascii="宋体"/>
                <w:b/>
                <w:color w:val="auto"/>
                <w:sz w:val="28"/>
                <w:szCs w:val="28"/>
                <w:highlight w:val="none"/>
                <w:lang w:val="en-US" w:eastAsia="zh-CN"/>
              </w:rPr>
              <w:t>的</w:t>
            </w:r>
            <w:r>
              <w:rPr>
                <w:rFonts w:hint="default" w:ascii="宋体"/>
                <w:b/>
                <w:color w:val="auto"/>
                <w:sz w:val="28"/>
                <w:szCs w:val="28"/>
                <w:highlight w:val="none"/>
                <w:lang w:val="en-US" w:eastAsia="zh-CN"/>
              </w:rPr>
              <w:t>还需提供产品制造商对投标产品的授权，或具有授权权限的代理商对投标产品的授权（授权链条必须完整）</w:t>
            </w:r>
            <w:r>
              <w:rPr>
                <w:rFonts w:hint="eastAsia" w:ascii="宋体"/>
                <w:b/>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6</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评标情况公告</w:t>
            </w:r>
          </w:p>
        </w:tc>
        <w:tc>
          <w:tcPr>
            <w:tcW w:w="6146" w:type="dxa"/>
            <w:shd w:val="clear" w:color="auto" w:fill="auto"/>
          </w:tcPr>
          <w:p>
            <w:pPr>
              <w:wordWrap w:val="0"/>
              <w:topLinePunct/>
              <w:spacing w:line="480" w:lineRule="auto"/>
              <w:rPr>
                <w:rFonts w:ascii="宋体"/>
                <w:color w:val="auto"/>
                <w:sz w:val="28"/>
                <w:szCs w:val="28"/>
                <w:highlight w:val="none"/>
              </w:rPr>
            </w:pPr>
            <w:r>
              <w:rPr>
                <w:rFonts w:hint="eastAsia" w:ascii="宋体"/>
                <w:color w:val="auto"/>
                <w:sz w:val="28"/>
                <w:szCs w:val="28"/>
                <w:highlight w:val="none"/>
              </w:rPr>
              <w:t>所有投标人投标文件资格性、符合性检查情况、评标结果等将在</w:t>
            </w:r>
            <w:r>
              <w:rPr>
                <w:rFonts w:hint="eastAsia" w:ascii="宋体"/>
                <w:color w:val="auto"/>
                <w:sz w:val="28"/>
                <w:szCs w:val="28"/>
                <w:highlight w:val="none"/>
                <w:lang w:eastAsia="zh-CN"/>
              </w:rPr>
              <w:t>中国政府采购网</w:t>
            </w:r>
            <w:r>
              <w:rPr>
                <w:rFonts w:hint="eastAsia" w:ascii="宋体"/>
                <w:color w:val="auto"/>
                <w:sz w:val="28"/>
                <w:szCs w:val="28"/>
                <w:highlight w:val="none"/>
              </w:rPr>
              <w:t>上</w:t>
            </w:r>
            <w:r>
              <w:rPr>
                <w:rFonts w:hint="eastAsia" w:ascii="宋体"/>
                <w:color w:val="auto"/>
                <w:sz w:val="28"/>
                <w:szCs w:val="28"/>
                <w:highlight w:val="none"/>
                <w:lang w:val="en-US" w:eastAsia="zh-CN"/>
              </w:rPr>
              <w:t>发布</w:t>
            </w:r>
            <w:r>
              <w:rPr>
                <w:rFonts w:hint="eastAsia" w:ascii="宋体"/>
                <w:color w:val="auto"/>
                <w:sz w:val="28"/>
                <w:szCs w:val="28"/>
                <w:highlight w:val="none"/>
              </w:rPr>
              <w:t>中标结果公告栏中予以公告。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spacing w:line="480" w:lineRule="auto"/>
              <w:jc w:val="center"/>
              <w:rPr>
                <w:rFonts w:ascii="宋体"/>
                <w:color w:val="auto"/>
                <w:sz w:val="28"/>
                <w:szCs w:val="28"/>
                <w:highlight w:val="none"/>
              </w:rPr>
            </w:pPr>
            <w:r>
              <w:rPr>
                <w:rFonts w:hint="eastAsia" w:ascii="宋体"/>
                <w:color w:val="auto"/>
                <w:sz w:val="28"/>
                <w:szCs w:val="28"/>
                <w:highlight w:val="none"/>
              </w:rPr>
              <w:t>7</w:t>
            </w:r>
          </w:p>
        </w:tc>
        <w:tc>
          <w:tcPr>
            <w:tcW w:w="1559" w:type="dxa"/>
            <w:shd w:val="clear" w:color="auto" w:fill="auto"/>
            <w:vAlign w:val="center"/>
          </w:tcPr>
          <w:p>
            <w:pPr>
              <w:spacing w:line="480" w:lineRule="auto"/>
              <w:jc w:val="center"/>
              <w:rPr>
                <w:rFonts w:ascii="宋体"/>
                <w:color w:val="auto"/>
                <w:sz w:val="28"/>
                <w:szCs w:val="28"/>
                <w:highlight w:val="none"/>
              </w:rPr>
            </w:pPr>
            <w:r>
              <w:rPr>
                <w:rFonts w:hint="eastAsia" w:ascii="宋体"/>
                <w:color w:val="auto"/>
                <w:sz w:val="28"/>
                <w:szCs w:val="28"/>
                <w:highlight w:val="none"/>
              </w:rPr>
              <w:t>是否接受联合体投标</w:t>
            </w:r>
          </w:p>
        </w:tc>
        <w:tc>
          <w:tcPr>
            <w:tcW w:w="6146" w:type="dxa"/>
            <w:shd w:val="clear" w:color="auto" w:fill="auto"/>
          </w:tcPr>
          <w:p>
            <w:pPr>
              <w:wordWrap w:val="0"/>
              <w:topLinePunct/>
              <w:spacing w:after="50" w:line="480" w:lineRule="auto"/>
              <w:rPr>
                <w:rFonts w:ascii="宋体"/>
                <w:color w:val="auto"/>
                <w:sz w:val="28"/>
                <w:szCs w:val="28"/>
                <w:highlight w:val="none"/>
              </w:rPr>
            </w:pPr>
            <w:bookmarkStart w:id="13" w:name="EBfccd27bf74f44c6fb5632a71fb45f690"/>
            <w:r>
              <w:rPr>
                <w:rFonts w:hint="eastAsia" w:ascii="MS Mincho" w:hAnsi="MS Mincho" w:eastAsia="MS Mincho" w:cs="MS Mincho"/>
                <w:color w:val="auto"/>
                <w:sz w:val="28"/>
                <w:szCs w:val="28"/>
                <w:highlight w:val="none"/>
              </w:rPr>
              <w:t>☑</w:t>
            </w:r>
            <w:r>
              <w:rPr>
                <w:rFonts w:hint="eastAsia" w:ascii="宋体"/>
                <w:color w:val="auto"/>
                <w:sz w:val="28"/>
                <w:szCs w:val="28"/>
                <w:highlight w:val="none"/>
              </w:rPr>
              <w:t xml:space="preserve">否 </w:t>
            </w:r>
          </w:p>
          <w:p>
            <w:pPr>
              <w:wordWrap w:val="0"/>
              <w:topLinePunct/>
              <w:spacing w:after="50" w:line="480" w:lineRule="auto"/>
              <w:rPr>
                <w:rFonts w:ascii="宋体"/>
                <w:color w:val="auto"/>
                <w:sz w:val="28"/>
                <w:szCs w:val="28"/>
                <w:highlight w:val="none"/>
              </w:rPr>
            </w:pPr>
            <w:r>
              <w:rPr>
                <w:rFonts w:hint="eastAsia" w:ascii="宋体"/>
                <w:color w:val="auto"/>
                <w:sz w:val="28"/>
                <w:szCs w:val="28"/>
                <w:highlight w:val="none"/>
              </w:rPr>
              <w:t>□是</w:t>
            </w:r>
            <w:bookmarkEnd w:id="13"/>
          </w:p>
          <w:p>
            <w:pPr>
              <w:wordWrap w:val="0"/>
              <w:topLinePunct/>
              <w:spacing w:after="50" w:line="480" w:lineRule="auto"/>
              <w:rPr>
                <w:rFonts w:ascii="宋体"/>
                <w:color w:val="auto"/>
                <w:sz w:val="28"/>
                <w:szCs w:val="28"/>
                <w:highlight w:val="none"/>
              </w:rPr>
            </w:pPr>
            <w:r>
              <w:rPr>
                <w:rFonts w:hint="eastAsia" w:ascii="宋体"/>
                <w:color w:val="auto"/>
                <w:sz w:val="28"/>
                <w:szCs w:val="28"/>
                <w:highlight w:val="none"/>
              </w:rPr>
              <w:t>联合体投标的应满足以下条件</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spacing w:line="480" w:lineRule="auto"/>
              <w:jc w:val="center"/>
              <w:rPr>
                <w:rFonts w:ascii="宋体"/>
                <w:color w:val="auto"/>
                <w:sz w:val="28"/>
                <w:szCs w:val="28"/>
                <w:highlight w:val="none"/>
              </w:rPr>
            </w:pPr>
            <w:r>
              <w:rPr>
                <w:rFonts w:hint="eastAsia" w:ascii="宋体"/>
                <w:color w:val="auto"/>
                <w:sz w:val="28"/>
                <w:szCs w:val="28"/>
                <w:highlight w:val="none"/>
              </w:rPr>
              <w:t>8</w:t>
            </w:r>
          </w:p>
        </w:tc>
        <w:tc>
          <w:tcPr>
            <w:tcW w:w="1559" w:type="dxa"/>
            <w:shd w:val="clear" w:color="auto" w:fill="auto"/>
            <w:vAlign w:val="center"/>
          </w:tcPr>
          <w:p>
            <w:pPr>
              <w:spacing w:line="480" w:lineRule="auto"/>
              <w:jc w:val="center"/>
              <w:rPr>
                <w:rFonts w:cs="宋体"/>
                <w:color w:val="auto"/>
                <w:sz w:val="28"/>
                <w:szCs w:val="28"/>
                <w:highlight w:val="none"/>
              </w:rPr>
            </w:pPr>
            <w:r>
              <w:rPr>
                <w:rFonts w:hint="eastAsia" w:cs="宋体"/>
                <w:color w:val="auto"/>
                <w:sz w:val="28"/>
                <w:szCs w:val="28"/>
                <w:highlight w:val="none"/>
              </w:rPr>
              <w:t>节能、环保、无线局域网产品政策体现</w:t>
            </w:r>
          </w:p>
        </w:tc>
        <w:tc>
          <w:tcPr>
            <w:tcW w:w="6146" w:type="dxa"/>
            <w:shd w:val="clear" w:color="auto" w:fill="auto"/>
            <w:vAlign w:val="center"/>
          </w:tcPr>
          <w:p>
            <w:pPr>
              <w:spacing w:line="480" w:lineRule="auto"/>
              <w:rPr>
                <w:rFonts w:hAnsi="宋体" w:cs="宋体"/>
                <w:color w:val="auto"/>
                <w:sz w:val="28"/>
                <w:szCs w:val="28"/>
                <w:highlight w:val="none"/>
              </w:rPr>
            </w:pPr>
            <w:r>
              <w:rPr>
                <w:rFonts w:hint="eastAsia" w:hAnsi="宋体" w:cs="宋体"/>
                <w:color w:val="auto"/>
                <w:sz w:val="28"/>
                <w:szCs w:val="28"/>
                <w:highlight w:val="none"/>
              </w:rPr>
              <w:t>属于政府强制采购节能产品、环境标志产品的，投标产品需获得国家确定的认证机构出具的、处于有效期之内的节能产品、环境标志产品认证证书复印件，</w:t>
            </w:r>
            <w:r>
              <w:rPr>
                <w:rFonts w:hint="eastAsia" w:hAnsi="宋体" w:cs="宋体"/>
                <w:b/>
                <w:color w:val="auto"/>
                <w:sz w:val="28"/>
                <w:szCs w:val="28"/>
                <w:highlight w:val="none"/>
              </w:rPr>
              <w:t>未提供的作无效投标处理；</w:t>
            </w:r>
          </w:p>
          <w:p>
            <w:pPr>
              <w:spacing w:line="480" w:lineRule="auto"/>
              <w:rPr>
                <w:rFonts w:hAnsi="宋体" w:cs="宋体"/>
                <w:color w:val="auto"/>
                <w:sz w:val="28"/>
                <w:szCs w:val="28"/>
                <w:highlight w:val="none"/>
              </w:rPr>
            </w:pPr>
            <w:r>
              <w:rPr>
                <w:rFonts w:hint="eastAsia" w:hAnsi="宋体" w:cs="宋体"/>
                <w:color w:val="auto"/>
                <w:sz w:val="28"/>
                <w:szCs w:val="28"/>
                <w:highlight w:val="none"/>
              </w:rPr>
              <w:t>属于优先采购节能、环保产品的，投标人须在投标文件中提供证国家确定的认证机构出具的、处于有效期之内的节能产品、环境标志产品认证证书复印件，否则不予认定。</w:t>
            </w:r>
          </w:p>
          <w:p>
            <w:pPr>
              <w:spacing w:line="480" w:lineRule="auto"/>
              <w:rPr>
                <w:rFonts w:hAnsi="宋体" w:cs="宋体"/>
                <w:color w:val="auto"/>
                <w:sz w:val="28"/>
                <w:szCs w:val="28"/>
                <w:highlight w:val="none"/>
              </w:rPr>
            </w:pPr>
            <w:r>
              <w:rPr>
                <w:rFonts w:hint="eastAsia" w:hAnsi="宋体" w:cs="宋体"/>
                <w:color w:val="auto"/>
                <w:sz w:val="28"/>
                <w:szCs w:val="28"/>
                <w:highlight w:val="none"/>
              </w:rPr>
              <w:t>属于优先采购无线局域网产品的，提供投标产品所在清单页截图并标注，否则不予认定。</w:t>
            </w:r>
          </w:p>
          <w:p>
            <w:pPr>
              <w:spacing w:line="480" w:lineRule="auto"/>
              <w:rPr>
                <w:rFonts w:cs="宋体"/>
                <w:color w:val="auto"/>
                <w:sz w:val="28"/>
                <w:szCs w:val="28"/>
                <w:highlight w:val="none"/>
              </w:rPr>
            </w:pPr>
            <w:r>
              <w:rPr>
                <w:rFonts w:hint="eastAsia" w:hAnsi="宋体" w:cs="宋体"/>
                <w:b/>
                <w:color w:val="auto"/>
                <w:sz w:val="28"/>
                <w:szCs w:val="28"/>
                <w:highlight w:val="none"/>
              </w:rPr>
              <w:t>本条所述的认证证书、清单在投标文件其他材料中列出清单后附截图。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spacing w:line="480" w:lineRule="auto"/>
              <w:jc w:val="center"/>
              <w:rPr>
                <w:rFonts w:ascii="宋体" w:cs="Courier New"/>
                <w:color w:val="auto"/>
                <w:sz w:val="28"/>
                <w:szCs w:val="28"/>
                <w:highlight w:val="none"/>
                <w:lang w:val="zh-CN"/>
              </w:rPr>
            </w:pPr>
            <w:r>
              <w:rPr>
                <w:rFonts w:hint="eastAsia" w:ascii="宋体"/>
                <w:color w:val="auto"/>
                <w:sz w:val="28"/>
                <w:szCs w:val="28"/>
                <w:highlight w:val="none"/>
              </w:rPr>
              <w:t>9</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color w:val="auto"/>
                <w:sz w:val="28"/>
                <w:szCs w:val="28"/>
                <w:highlight w:val="none"/>
                <w:lang w:val="zh-CN"/>
              </w:rPr>
              <w:t>投标保证金</w:t>
            </w:r>
          </w:p>
        </w:tc>
        <w:tc>
          <w:tcPr>
            <w:tcW w:w="6146" w:type="dxa"/>
            <w:shd w:val="clear" w:color="auto" w:fill="auto"/>
            <w:vAlign w:val="center"/>
          </w:tcPr>
          <w:p>
            <w:pPr>
              <w:pStyle w:val="35"/>
              <w:spacing w:line="480" w:lineRule="auto"/>
              <w:jc w:val="both"/>
              <w:rPr>
                <w:color w:val="auto"/>
                <w:sz w:val="28"/>
                <w:szCs w:val="28"/>
                <w:highlight w:val="none"/>
              </w:rPr>
            </w:pPr>
            <w:r>
              <w:rPr>
                <w:rFonts w:hint="eastAsia"/>
                <w:color w:val="auto"/>
                <w:sz w:val="28"/>
                <w:szCs w:val="28"/>
                <w:highlight w:val="none"/>
                <w:lang w:val="zh-CN"/>
              </w:rPr>
              <w:t>根据《四川省财政厅关于进一步做好疫情防控期间政府采购工作有关事项的通知》川财采〔2020〕28 号文件规定，对疫情防控期间参加政府采购活动的供应商，本项目不再收取</w:t>
            </w:r>
            <w:r>
              <w:rPr>
                <w:rFonts w:hint="eastAsia"/>
                <w:color w:val="auto"/>
                <w:sz w:val="28"/>
                <w:szCs w:val="28"/>
                <w:highlight w:val="none"/>
                <w:lang w:val="zh-CN" w:eastAsia="zh-CN"/>
              </w:rPr>
              <w:t>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spacing w:line="480" w:lineRule="auto"/>
              <w:jc w:val="center"/>
              <w:rPr>
                <w:rFonts w:ascii="宋体"/>
                <w:color w:val="auto"/>
                <w:sz w:val="28"/>
                <w:szCs w:val="28"/>
                <w:highlight w:val="none"/>
              </w:rPr>
            </w:pPr>
            <w:r>
              <w:rPr>
                <w:rFonts w:hint="eastAsia" w:ascii="宋体"/>
                <w:color w:val="auto"/>
                <w:sz w:val="28"/>
                <w:szCs w:val="28"/>
                <w:highlight w:val="none"/>
              </w:rPr>
              <w:t>10</w:t>
            </w:r>
          </w:p>
        </w:tc>
        <w:tc>
          <w:tcPr>
            <w:tcW w:w="1559" w:type="dxa"/>
            <w:shd w:val="clear" w:color="auto" w:fill="auto"/>
            <w:vAlign w:val="center"/>
          </w:tcPr>
          <w:p>
            <w:pPr>
              <w:spacing w:line="480" w:lineRule="auto"/>
              <w:jc w:val="center"/>
              <w:rPr>
                <w:rFonts w:ascii="宋体"/>
                <w:color w:val="auto"/>
                <w:sz w:val="28"/>
                <w:szCs w:val="28"/>
                <w:highlight w:val="none"/>
              </w:rPr>
            </w:pPr>
            <w:r>
              <w:rPr>
                <w:rFonts w:hint="eastAsia" w:ascii="宋体"/>
                <w:color w:val="auto"/>
                <w:sz w:val="28"/>
                <w:szCs w:val="28"/>
                <w:highlight w:val="none"/>
              </w:rPr>
              <w:t>投标保证金退还</w:t>
            </w:r>
          </w:p>
        </w:tc>
        <w:tc>
          <w:tcPr>
            <w:tcW w:w="6146" w:type="dxa"/>
            <w:shd w:val="clear" w:color="auto" w:fill="auto"/>
          </w:tcPr>
          <w:p>
            <w:pPr>
              <w:wordWrap w:val="0"/>
              <w:topLinePunct/>
              <w:spacing w:line="480" w:lineRule="auto"/>
              <w:rPr>
                <w:rFonts w:hint="eastAsia" w:ascii="宋体" w:eastAsia="宋体"/>
                <w:color w:val="auto"/>
                <w:sz w:val="28"/>
                <w:szCs w:val="28"/>
                <w:highlight w:val="none"/>
                <w:lang w:eastAsia="zh-CN"/>
              </w:rPr>
            </w:pPr>
            <w:r>
              <w:rPr>
                <w:rFonts w:hint="eastAsia" w:ascii="宋体" w:hAnsi="宋体"/>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lang w:val="zh-CN"/>
              </w:rPr>
            </w:pPr>
            <w:r>
              <w:rPr>
                <w:rFonts w:hint="eastAsia" w:cs="Courier New"/>
                <w:color w:val="auto"/>
                <w:sz w:val="28"/>
                <w:szCs w:val="28"/>
                <w:highlight w:val="none"/>
              </w:rPr>
              <w:t>11</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color w:val="auto"/>
                <w:sz w:val="28"/>
                <w:szCs w:val="28"/>
                <w:highlight w:val="none"/>
                <w:lang w:val="zh-CN"/>
              </w:rPr>
              <w:t>履约保证金</w:t>
            </w:r>
          </w:p>
        </w:tc>
        <w:tc>
          <w:tcPr>
            <w:tcW w:w="6146" w:type="dxa"/>
            <w:shd w:val="clear" w:color="auto" w:fill="auto"/>
            <w:vAlign w:val="center"/>
          </w:tcPr>
          <w:p>
            <w:pPr>
              <w:wordWrap w:val="0"/>
              <w:topLinePunct/>
              <w:spacing w:line="480" w:lineRule="auto"/>
              <w:ind w:firstLine="140" w:firstLineChars="50"/>
              <w:rPr>
                <w:rFonts w:hint="eastAsia" w:ascii="宋体" w:eastAsia="宋体"/>
                <w:color w:val="auto"/>
                <w:sz w:val="28"/>
                <w:szCs w:val="28"/>
                <w:highlight w:val="none"/>
                <w:u w:val="single"/>
                <w:lang w:eastAsia="zh-CN"/>
              </w:rPr>
            </w:pPr>
            <w:r>
              <w:rPr>
                <w:rFonts w:hint="eastAsia" w:ascii="宋体" w:eastAsia="宋体"/>
                <w:color w:val="auto"/>
                <w:sz w:val="28"/>
                <w:szCs w:val="28"/>
                <w:highlight w:val="none"/>
                <w:u w:val="single"/>
                <w:lang w:eastAsia="zh-CN"/>
              </w:rPr>
              <w:t>根据“眉山市财政局关于加强政府采购执行有关工作的通知”，本项目不再收取履约保证金。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12</w:t>
            </w:r>
          </w:p>
        </w:tc>
        <w:tc>
          <w:tcPr>
            <w:tcW w:w="1559" w:type="dxa"/>
            <w:shd w:val="clear" w:color="auto" w:fill="auto"/>
            <w:vAlign w:val="center"/>
          </w:tcPr>
          <w:p>
            <w:pPr>
              <w:pStyle w:val="35"/>
              <w:wordWrap w:val="0"/>
              <w:topLinePunct/>
              <w:spacing w:line="480" w:lineRule="auto"/>
              <w:ind w:left="96"/>
              <w:jc w:val="center"/>
              <w:rPr>
                <w:color w:val="auto"/>
                <w:sz w:val="28"/>
                <w:szCs w:val="28"/>
                <w:highlight w:val="none"/>
                <w:lang w:val="zh-CN"/>
              </w:rPr>
            </w:pPr>
            <w:r>
              <w:rPr>
                <w:rFonts w:hint="eastAsia"/>
                <w:color w:val="auto"/>
                <w:sz w:val="28"/>
                <w:szCs w:val="28"/>
                <w:highlight w:val="none"/>
                <w:lang w:val="zh-CN"/>
              </w:rPr>
              <w:t>样品</w:t>
            </w:r>
          </w:p>
        </w:tc>
        <w:tc>
          <w:tcPr>
            <w:tcW w:w="6146" w:type="dxa"/>
            <w:shd w:val="clear" w:color="auto" w:fill="auto"/>
            <w:vAlign w:val="center"/>
          </w:tcPr>
          <w:p>
            <w:pPr>
              <w:pStyle w:val="35"/>
              <w:wordWrap w:val="0"/>
              <w:topLinePunct/>
              <w:spacing w:line="480" w:lineRule="auto"/>
              <w:ind w:right="105" w:rightChars="50"/>
              <w:jc w:val="both"/>
              <w:rPr>
                <w:color w:val="auto"/>
                <w:sz w:val="28"/>
                <w:szCs w:val="28"/>
                <w:highlight w:val="none"/>
              </w:rPr>
            </w:pPr>
            <w:r>
              <w:rPr>
                <w:rFonts w:hint="eastAsia"/>
                <w:color w:val="auto"/>
                <w:sz w:val="28"/>
                <w:szCs w:val="28"/>
                <w:highlight w:val="none"/>
              </w:rPr>
              <w:t>是否提供样品详见第四章招标项目技术、服务及其他要求。样品开标当天由投标人自行保管。</w:t>
            </w:r>
          </w:p>
          <w:p>
            <w:pPr>
              <w:pStyle w:val="35"/>
              <w:wordWrap w:val="0"/>
              <w:topLinePunct/>
              <w:spacing w:line="480" w:lineRule="auto"/>
              <w:ind w:right="105" w:rightChars="50"/>
              <w:jc w:val="both"/>
              <w:rPr>
                <w:color w:val="auto"/>
                <w:sz w:val="28"/>
                <w:szCs w:val="28"/>
                <w:highlight w:val="none"/>
              </w:rPr>
            </w:pPr>
            <w:r>
              <w:rPr>
                <w:rFonts w:hint="eastAsia"/>
                <w:color w:val="auto"/>
                <w:sz w:val="28"/>
                <w:szCs w:val="28"/>
                <w:highlight w:val="none"/>
              </w:rPr>
              <w:t>样品的生产、提供、运输及保管、展示等全部费用由投标人自行承担。中标候选人的样品由采购人进行保管，确定中标人后退还其他中标候选人的样品，中标人的样品作为履约验收的参考，非中标候选人的样品在评标结束后，由投标人收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13</w:t>
            </w:r>
          </w:p>
        </w:tc>
        <w:tc>
          <w:tcPr>
            <w:tcW w:w="1559" w:type="dxa"/>
            <w:shd w:val="clear" w:color="auto" w:fill="auto"/>
            <w:vAlign w:val="center"/>
          </w:tcPr>
          <w:p>
            <w:pPr>
              <w:pStyle w:val="35"/>
              <w:wordWrap w:val="0"/>
              <w:topLinePunct/>
              <w:spacing w:line="480" w:lineRule="auto"/>
              <w:ind w:left="96"/>
              <w:jc w:val="center"/>
              <w:rPr>
                <w:color w:val="auto"/>
                <w:sz w:val="28"/>
                <w:szCs w:val="28"/>
                <w:highlight w:val="none"/>
              </w:rPr>
            </w:pPr>
            <w:r>
              <w:rPr>
                <w:rFonts w:hint="eastAsia"/>
                <w:color w:val="auto"/>
                <w:sz w:val="28"/>
                <w:szCs w:val="28"/>
                <w:highlight w:val="none"/>
              </w:rPr>
              <w:t>答疑会和现场考察</w:t>
            </w:r>
          </w:p>
        </w:tc>
        <w:tc>
          <w:tcPr>
            <w:tcW w:w="6146" w:type="dxa"/>
            <w:shd w:val="clear" w:color="auto" w:fill="auto"/>
            <w:vAlign w:val="center"/>
          </w:tcPr>
          <w:p>
            <w:pPr>
              <w:pStyle w:val="35"/>
              <w:wordWrap w:val="0"/>
              <w:topLinePunct/>
              <w:spacing w:line="480" w:lineRule="auto"/>
              <w:ind w:right="105" w:rightChars="50"/>
              <w:jc w:val="both"/>
              <w:rPr>
                <w:rFonts w:cs="MS Mincho"/>
                <w:color w:val="auto"/>
                <w:sz w:val="28"/>
                <w:szCs w:val="28"/>
                <w:highlight w:val="none"/>
              </w:rPr>
            </w:pPr>
            <w:bookmarkStart w:id="14" w:name="EBbce515b995eb488eb091dc3d97c91ec7"/>
            <w:r>
              <w:rPr>
                <w:rFonts w:hint="eastAsia" w:ascii="MS Mincho" w:hAnsi="MS Mincho" w:eastAsia="MS Mincho" w:cs="MS Mincho"/>
                <w:color w:val="auto"/>
                <w:sz w:val="28"/>
                <w:szCs w:val="28"/>
                <w:highlight w:val="none"/>
              </w:rPr>
              <w:t>☑</w:t>
            </w:r>
            <w:r>
              <w:rPr>
                <w:rFonts w:hint="eastAsia"/>
                <w:color w:val="auto"/>
                <w:sz w:val="28"/>
                <w:szCs w:val="28"/>
                <w:highlight w:val="none"/>
              </w:rPr>
              <w:t>本项目不组织答疑会和现场考察</w:t>
            </w:r>
            <w:r>
              <w:rPr>
                <w:rFonts w:hint="eastAsia" w:cs="MS Mincho"/>
                <w:color w:val="auto"/>
                <w:sz w:val="28"/>
                <w:szCs w:val="28"/>
                <w:highlight w:val="none"/>
              </w:rPr>
              <w:t xml:space="preserve"> </w:t>
            </w:r>
          </w:p>
          <w:p>
            <w:pPr>
              <w:pStyle w:val="35"/>
              <w:wordWrap w:val="0"/>
              <w:topLinePunct/>
              <w:spacing w:line="480" w:lineRule="auto"/>
              <w:ind w:right="105" w:rightChars="50"/>
              <w:jc w:val="both"/>
              <w:rPr>
                <w:rFonts w:cs="MS Mincho"/>
                <w:color w:val="auto"/>
                <w:sz w:val="28"/>
                <w:szCs w:val="28"/>
                <w:highlight w:val="none"/>
              </w:rPr>
            </w:pPr>
            <w:r>
              <w:rPr>
                <w:rFonts w:hint="eastAsia" w:cs="MS Mincho"/>
                <w:color w:val="auto"/>
                <w:sz w:val="28"/>
                <w:szCs w:val="28"/>
                <w:highlight w:val="none"/>
              </w:rPr>
              <w:t>□本项目组织答疑会和现场考察</w:t>
            </w:r>
            <w:bookmarkEnd w:id="14"/>
          </w:p>
          <w:p>
            <w:pPr>
              <w:wordWrap w:val="0"/>
              <w:topLinePunct/>
              <w:spacing w:after="50" w:line="480" w:lineRule="auto"/>
              <w:rPr>
                <w:rFonts w:ascii="宋体"/>
                <w:color w:val="auto"/>
                <w:sz w:val="28"/>
                <w:szCs w:val="28"/>
                <w:highlight w:val="none"/>
              </w:rPr>
            </w:pPr>
            <w:r>
              <w:rPr>
                <w:rFonts w:hint="eastAsia" w:ascii="宋体"/>
                <w:color w:val="auto"/>
                <w:sz w:val="28"/>
                <w:szCs w:val="28"/>
                <w:highlight w:val="none"/>
              </w:rPr>
              <w:t>投标人考察现场所发生的一切费用由投标人自己承担。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14</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color w:val="auto"/>
                <w:sz w:val="28"/>
                <w:szCs w:val="28"/>
                <w:highlight w:val="none"/>
                <w:lang w:val="zh-CN"/>
              </w:rPr>
              <w:t>投标文件格式</w:t>
            </w:r>
          </w:p>
        </w:tc>
        <w:tc>
          <w:tcPr>
            <w:tcW w:w="6146" w:type="dxa"/>
            <w:shd w:val="clear" w:color="auto" w:fill="auto"/>
            <w:vAlign w:val="center"/>
          </w:tcPr>
          <w:p>
            <w:pPr>
              <w:topLinePunct/>
              <w:spacing w:line="480" w:lineRule="auto"/>
              <w:rPr>
                <w:rFonts w:cs="宋体"/>
                <w:color w:val="auto"/>
                <w:kern w:val="21"/>
                <w:sz w:val="28"/>
                <w:szCs w:val="28"/>
                <w:highlight w:val="none"/>
              </w:rPr>
            </w:pPr>
            <w:r>
              <w:rPr>
                <w:rFonts w:hint="eastAsia"/>
                <w:color w:val="auto"/>
                <w:kern w:val="21"/>
                <w:sz w:val="28"/>
                <w:szCs w:val="28"/>
                <w:highlight w:val="none"/>
              </w:rPr>
              <w:t>投标文件应按第三章“投标文件格式”进行编写：</w:t>
            </w:r>
          </w:p>
          <w:p>
            <w:pPr>
              <w:topLinePunct/>
              <w:spacing w:line="480" w:lineRule="auto"/>
              <w:rPr>
                <w:color w:val="auto"/>
                <w:kern w:val="21"/>
                <w:sz w:val="28"/>
                <w:szCs w:val="28"/>
                <w:highlight w:val="none"/>
              </w:rPr>
            </w:pPr>
            <w:r>
              <w:rPr>
                <w:rFonts w:hint="eastAsia" w:cs="宋体"/>
                <w:color w:val="auto"/>
                <w:kern w:val="21"/>
                <w:sz w:val="28"/>
                <w:szCs w:val="28"/>
                <w:highlight w:val="none"/>
              </w:rPr>
              <w:t xml:space="preserve"> (1)</w:t>
            </w:r>
            <w:r>
              <w:rPr>
                <w:rFonts w:hint="eastAsia"/>
                <w:color w:val="auto"/>
                <w:kern w:val="21"/>
                <w:sz w:val="28"/>
                <w:szCs w:val="28"/>
                <w:highlight w:val="none"/>
              </w:rPr>
              <w:t>投标人不得对招标文件格式中的内容进行删减或修改；</w:t>
            </w:r>
          </w:p>
          <w:p>
            <w:pPr>
              <w:topLinePunct/>
              <w:spacing w:line="480" w:lineRule="auto"/>
              <w:rPr>
                <w:color w:val="auto"/>
                <w:kern w:val="21"/>
                <w:sz w:val="28"/>
                <w:szCs w:val="28"/>
                <w:highlight w:val="none"/>
              </w:rPr>
            </w:pPr>
            <w:r>
              <w:rPr>
                <w:rFonts w:hint="eastAsia" w:cs="宋体"/>
                <w:color w:val="auto"/>
                <w:kern w:val="21"/>
                <w:sz w:val="28"/>
                <w:szCs w:val="28"/>
                <w:highlight w:val="none"/>
              </w:rPr>
              <w:t xml:space="preserve"> (2)</w:t>
            </w:r>
            <w:r>
              <w:rPr>
                <w:rFonts w:hint="eastAsia"/>
                <w:color w:val="auto"/>
                <w:kern w:val="21"/>
                <w:sz w:val="28"/>
                <w:szCs w:val="28"/>
                <w:highlight w:val="none"/>
              </w:rPr>
              <w:t>投标人可以在格式内容之外另行说明和增加相关内容，作为投标文件的组成部分；</w:t>
            </w:r>
          </w:p>
          <w:p>
            <w:pPr>
              <w:topLinePunct/>
              <w:spacing w:line="480" w:lineRule="auto"/>
              <w:rPr>
                <w:rFonts w:cs="宋体"/>
                <w:color w:val="auto"/>
                <w:kern w:val="21"/>
                <w:sz w:val="28"/>
                <w:szCs w:val="28"/>
                <w:highlight w:val="none"/>
              </w:rPr>
            </w:pPr>
            <w:r>
              <w:rPr>
                <w:rFonts w:hint="eastAsia" w:cs="宋体"/>
                <w:color w:val="auto"/>
                <w:kern w:val="21"/>
                <w:sz w:val="28"/>
                <w:szCs w:val="28"/>
                <w:highlight w:val="none"/>
              </w:rPr>
              <w:t xml:space="preserve"> (3)</w:t>
            </w:r>
            <w:r>
              <w:rPr>
                <w:rFonts w:hint="eastAsia"/>
                <w:color w:val="auto"/>
                <w:kern w:val="21"/>
                <w:sz w:val="28"/>
                <w:szCs w:val="28"/>
                <w:highlight w:val="none"/>
              </w:rPr>
              <w:t>按投标文件格式在空格(下划线)处由投标人填写的内容，确实没有需要填写的，可以在空格中用“/”标示，也可以不填(空白)；但招标文件中另有规定的从其规定；</w:t>
            </w:r>
          </w:p>
          <w:p>
            <w:pPr>
              <w:topLinePunct/>
              <w:spacing w:line="480" w:lineRule="auto"/>
              <w:rPr>
                <w:color w:val="auto"/>
                <w:kern w:val="21"/>
                <w:sz w:val="28"/>
                <w:szCs w:val="28"/>
                <w:highlight w:val="none"/>
              </w:rPr>
            </w:pPr>
            <w:r>
              <w:rPr>
                <w:rFonts w:hint="eastAsia" w:cs="宋体"/>
                <w:color w:val="auto"/>
                <w:kern w:val="21"/>
                <w:sz w:val="28"/>
                <w:szCs w:val="28"/>
                <w:highlight w:val="none"/>
              </w:rPr>
              <w:t xml:space="preserve"> (4)</w:t>
            </w:r>
            <w:r>
              <w:rPr>
                <w:rFonts w:hint="eastAsia"/>
                <w:color w:val="auto"/>
                <w:kern w:val="21"/>
                <w:sz w:val="28"/>
                <w:szCs w:val="28"/>
                <w:highlight w:val="none"/>
              </w:rPr>
              <w:t>投标文件内容应完整，字迹清晰可辨；</w:t>
            </w:r>
          </w:p>
          <w:p>
            <w:pPr>
              <w:topLinePunct/>
              <w:spacing w:line="480" w:lineRule="auto"/>
              <w:ind w:firstLine="140" w:firstLineChars="50"/>
              <w:rPr>
                <w:b/>
                <w:color w:val="auto"/>
                <w:sz w:val="28"/>
                <w:szCs w:val="28"/>
                <w:highlight w:val="none"/>
                <w:u w:val="single"/>
              </w:rPr>
            </w:pPr>
            <w:r>
              <w:rPr>
                <w:rFonts w:hint="eastAsia"/>
                <w:color w:val="auto"/>
                <w:kern w:val="21"/>
                <w:sz w:val="28"/>
                <w:szCs w:val="28"/>
                <w:highlight w:val="none"/>
              </w:rPr>
              <w:t>(5)投标文件所附证明材料应内容完整并清晰可辨，若不完整或字迹、印章模糊的、不能识别的，评标委员会可以要求投标人提供原件核验。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15</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color w:val="auto"/>
                <w:sz w:val="28"/>
                <w:szCs w:val="28"/>
                <w:highlight w:val="none"/>
                <w:lang w:val="zh-CN"/>
              </w:rPr>
              <w:t>投标文件的签署</w:t>
            </w:r>
          </w:p>
        </w:tc>
        <w:tc>
          <w:tcPr>
            <w:tcW w:w="6146" w:type="dxa"/>
            <w:shd w:val="clear" w:color="auto" w:fill="auto"/>
            <w:vAlign w:val="center"/>
          </w:tcPr>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(1)所有要求投标人盖章的地方，盖投标人(法定名称)鲜章，不得以其他印章代替；</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(2) 具体要求详见招标文件第三章“投标文件格式”；</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（3）本投标文件中所述的负责人指不具备法定代表人的分公司、其他组织、个体工商户等其他组织的负责人、经营者等，与营业执照或组织机构代码证等有效证件上一致；</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(4)所有要求法定代表人签字或盖章的地方，由法定代表人签字或盖法定代表人私人印章；</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(5)所有要求被授权人签字的地方，由被授权人签字(盖章无效)；</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（6）自然人参与投标的签署自然人名字；</w:t>
            </w:r>
          </w:p>
          <w:p>
            <w:pPr>
              <w:wordWrap w:val="0"/>
              <w:topLinePunct/>
              <w:autoSpaceDE w:val="0"/>
              <w:autoSpaceDN w:val="0"/>
              <w:adjustRightInd w:val="0"/>
              <w:spacing w:line="480" w:lineRule="auto"/>
              <w:rPr>
                <w:rFonts w:ascii="宋体"/>
                <w:b/>
                <w:color w:val="auto"/>
                <w:sz w:val="28"/>
                <w:szCs w:val="28"/>
                <w:highlight w:val="none"/>
              </w:rPr>
            </w:pPr>
            <w:r>
              <w:rPr>
                <w:rFonts w:hint="eastAsia" w:ascii="宋体"/>
                <w:b/>
                <w:color w:val="auto"/>
                <w:sz w:val="28"/>
                <w:szCs w:val="28"/>
                <w:highlight w:val="none"/>
              </w:rPr>
              <w:t>（7）联合体投标的，投标文件由牵头方签署（除联合体协议外）。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16</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bCs/>
                <w:color w:val="auto"/>
                <w:kern w:val="21"/>
                <w:sz w:val="28"/>
                <w:szCs w:val="28"/>
                <w:highlight w:val="none"/>
                <w:lang w:val="zh-CN"/>
              </w:rPr>
              <w:t>装订要求</w:t>
            </w:r>
          </w:p>
        </w:tc>
        <w:tc>
          <w:tcPr>
            <w:tcW w:w="6146" w:type="dxa"/>
            <w:shd w:val="clear" w:color="auto" w:fill="auto"/>
            <w:vAlign w:val="center"/>
          </w:tcPr>
          <w:p>
            <w:pPr>
              <w:wordWrap w:val="0"/>
              <w:topLinePunct/>
              <w:autoSpaceDE w:val="0"/>
              <w:autoSpaceDN w:val="0"/>
              <w:adjustRightInd w:val="0"/>
              <w:spacing w:line="480" w:lineRule="auto"/>
              <w:rPr>
                <w:rFonts w:ascii="宋体"/>
                <w:b/>
                <w:color w:val="auto"/>
                <w:sz w:val="28"/>
                <w:szCs w:val="28"/>
                <w:highlight w:val="none"/>
              </w:rPr>
            </w:pPr>
            <w:r>
              <w:rPr>
                <w:rFonts w:hint="eastAsia"/>
                <w:b/>
                <w:color w:val="auto"/>
                <w:kern w:val="21"/>
                <w:sz w:val="28"/>
                <w:szCs w:val="28"/>
                <w:highlight w:val="none"/>
              </w:rPr>
              <w:t>投标文件一律用A4纸印制，内页胶粘，投标文件应逐页编码。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17</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b/>
                <w:color w:val="auto"/>
                <w:kern w:val="21"/>
                <w:sz w:val="28"/>
                <w:szCs w:val="28"/>
                <w:highlight w:val="none"/>
                <w:lang w:val="zh-CN"/>
              </w:rPr>
              <w:t>包装和密封要求</w:t>
            </w:r>
          </w:p>
        </w:tc>
        <w:tc>
          <w:tcPr>
            <w:tcW w:w="6146" w:type="dxa"/>
            <w:shd w:val="clear" w:color="auto" w:fill="auto"/>
            <w:vAlign w:val="center"/>
          </w:tcPr>
          <w:p>
            <w:pPr>
              <w:topLinePunct/>
              <w:spacing w:line="480" w:lineRule="auto"/>
              <w:rPr>
                <w:rFonts w:cs="宋体"/>
                <w:b/>
                <w:color w:val="auto"/>
                <w:kern w:val="21"/>
                <w:sz w:val="28"/>
                <w:szCs w:val="28"/>
                <w:highlight w:val="none"/>
                <w:lang w:val="zh-CN"/>
              </w:rPr>
            </w:pPr>
            <w:r>
              <w:rPr>
                <w:rFonts w:hint="eastAsia" w:cs="宋体"/>
                <w:b/>
                <w:color w:val="auto"/>
                <w:kern w:val="21"/>
                <w:sz w:val="28"/>
                <w:szCs w:val="28"/>
                <w:highlight w:val="none"/>
                <w:lang w:val="zh-CN"/>
              </w:rPr>
              <w:t>(1)开标一览表1份应单独密封为一袋；</w:t>
            </w:r>
          </w:p>
          <w:p>
            <w:pPr>
              <w:topLinePunct/>
              <w:spacing w:line="480" w:lineRule="auto"/>
              <w:rPr>
                <w:rFonts w:cs="宋体"/>
                <w:b/>
                <w:color w:val="auto"/>
                <w:kern w:val="21"/>
                <w:sz w:val="28"/>
                <w:szCs w:val="28"/>
                <w:highlight w:val="none"/>
                <w:lang w:val="zh-CN"/>
              </w:rPr>
            </w:pPr>
            <w:r>
              <w:rPr>
                <w:rFonts w:hint="eastAsia" w:cs="宋体"/>
                <w:b/>
                <w:color w:val="auto"/>
                <w:kern w:val="21"/>
                <w:sz w:val="28"/>
                <w:szCs w:val="28"/>
                <w:highlight w:val="none"/>
                <w:lang w:val="zh-CN"/>
              </w:rPr>
              <w:t>（</w:t>
            </w:r>
            <w:r>
              <w:rPr>
                <w:rFonts w:hint="eastAsia" w:cs="宋体"/>
                <w:b/>
                <w:color w:val="auto"/>
                <w:kern w:val="21"/>
                <w:sz w:val="28"/>
                <w:szCs w:val="28"/>
                <w:highlight w:val="none"/>
              </w:rPr>
              <w:t>2</w:t>
            </w:r>
            <w:r>
              <w:rPr>
                <w:rFonts w:hint="eastAsia" w:cs="宋体"/>
                <w:b/>
                <w:color w:val="auto"/>
                <w:kern w:val="21"/>
                <w:sz w:val="28"/>
                <w:szCs w:val="28"/>
                <w:highlight w:val="none"/>
                <w:lang w:val="zh-CN"/>
              </w:rPr>
              <w:t>）投标文件可以密封为一袋或几袋；</w:t>
            </w:r>
          </w:p>
          <w:p>
            <w:pPr>
              <w:wordWrap w:val="0"/>
              <w:topLinePunct/>
              <w:autoSpaceDE w:val="0"/>
              <w:autoSpaceDN w:val="0"/>
              <w:adjustRightInd w:val="0"/>
              <w:spacing w:line="480" w:lineRule="auto"/>
              <w:rPr>
                <w:rFonts w:ascii="宋体"/>
                <w:b/>
                <w:color w:val="auto"/>
                <w:sz w:val="28"/>
                <w:szCs w:val="28"/>
                <w:highlight w:val="none"/>
              </w:rPr>
            </w:pPr>
            <w:r>
              <w:rPr>
                <w:rFonts w:hint="eastAsia" w:cs="宋体"/>
                <w:b/>
                <w:color w:val="auto"/>
                <w:kern w:val="21"/>
                <w:sz w:val="28"/>
                <w:szCs w:val="28"/>
                <w:highlight w:val="none"/>
                <w:lang w:val="zh-CN"/>
              </w:rPr>
              <w:t>(</w:t>
            </w:r>
            <w:r>
              <w:rPr>
                <w:rFonts w:hint="eastAsia" w:cs="宋体"/>
                <w:b/>
                <w:color w:val="auto"/>
                <w:kern w:val="21"/>
                <w:sz w:val="28"/>
                <w:szCs w:val="28"/>
                <w:highlight w:val="none"/>
              </w:rPr>
              <w:t>3</w:t>
            </w:r>
            <w:r>
              <w:rPr>
                <w:rFonts w:hint="eastAsia" w:cs="宋体"/>
                <w:b/>
                <w:color w:val="auto"/>
                <w:kern w:val="21"/>
                <w:sz w:val="28"/>
                <w:szCs w:val="28"/>
                <w:highlight w:val="none"/>
                <w:lang w:val="zh-CN"/>
              </w:rPr>
              <w:t>)密封袋按第三章中投标文件格式“密封袋格式”进行制作，密封袋投标人名称处和封口处应加盖投标人(法定名称)鲜章。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b/>
                <w:color w:val="auto"/>
                <w:sz w:val="28"/>
                <w:szCs w:val="28"/>
                <w:highlight w:val="none"/>
              </w:rPr>
            </w:pPr>
            <w:r>
              <w:rPr>
                <w:rFonts w:hint="eastAsia" w:cs="Courier New"/>
                <w:b/>
                <w:color w:val="auto"/>
                <w:sz w:val="28"/>
                <w:szCs w:val="28"/>
                <w:highlight w:val="none"/>
              </w:rPr>
              <w:t>18</w:t>
            </w:r>
          </w:p>
        </w:tc>
        <w:tc>
          <w:tcPr>
            <w:tcW w:w="1559" w:type="dxa"/>
            <w:shd w:val="clear" w:color="auto" w:fill="auto"/>
            <w:vAlign w:val="center"/>
          </w:tcPr>
          <w:p>
            <w:pPr>
              <w:pStyle w:val="35"/>
              <w:wordWrap w:val="0"/>
              <w:topLinePunct/>
              <w:spacing w:line="480" w:lineRule="auto"/>
              <w:jc w:val="center"/>
              <w:rPr>
                <w:b/>
                <w:color w:val="auto"/>
                <w:sz w:val="28"/>
                <w:szCs w:val="28"/>
                <w:highlight w:val="none"/>
                <w:lang w:val="zh-CN"/>
              </w:rPr>
            </w:pPr>
            <w:r>
              <w:rPr>
                <w:rFonts w:hint="eastAsia"/>
                <w:b/>
                <w:color w:val="auto"/>
                <w:sz w:val="28"/>
                <w:szCs w:val="28"/>
                <w:highlight w:val="none"/>
                <w:lang w:val="zh-CN"/>
              </w:rPr>
              <w:t>开标时递交的资料</w:t>
            </w:r>
          </w:p>
        </w:tc>
        <w:tc>
          <w:tcPr>
            <w:tcW w:w="6146" w:type="dxa"/>
            <w:shd w:val="clear" w:color="auto" w:fill="auto"/>
            <w:vAlign w:val="center"/>
          </w:tcPr>
          <w:p>
            <w:pPr>
              <w:topLinePunct/>
              <w:spacing w:line="480" w:lineRule="auto"/>
              <w:rPr>
                <w:rFonts w:cs="宋体"/>
                <w:b/>
                <w:color w:val="auto"/>
                <w:kern w:val="21"/>
                <w:sz w:val="28"/>
                <w:szCs w:val="28"/>
                <w:highlight w:val="none"/>
                <w:lang w:val="zh-CN"/>
              </w:rPr>
            </w:pPr>
            <w:r>
              <w:rPr>
                <w:rFonts w:hint="eastAsia" w:cs="宋体"/>
                <w:b/>
                <w:color w:val="auto"/>
                <w:kern w:val="21"/>
                <w:sz w:val="28"/>
                <w:szCs w:val="28"/>
                <w:highlight w:val="none"/>
                <w:lang w:val="zh-CN"/>
              </w:rPr>
              <w:t>(1)开标一览表</w:t>
            </w:r>
            <w:r>
              <w:rPr>
                <w:rFonts w:hint="eastAsia" w:cs="宋体"/>
                <w:b/>
                <w:color w:val="auto"/>
                <w:kern w:val="21"/>
                <w:sz w:val="28"/>
                <w:szCs w:val="28"/>
                <w:highlight w:val="none"/>
                <w:u w:val="single"/>
              </w:rPr>
              <w:t>1</w:t>
            </w:r>
            <w:r>
              <w:rPr>
                <w:rFonts w:hint="eastAsia" w:cs="宋体"/>
                <w:b/>
                <w:color w:val="auto"/>
                <w:kern w:val="21"/>
                <w:sz w:val="28"/>
                <w:szCs w:val="28"/>
                <w:highlight w:val="none"/>
              </w:rPr>
              <w:t>份、</w:t>
            </w:r>
            <w:r>
              <w:rPr>
                <w:rFonts w:hint="eastAsia" w:cs="宋体"/>
                <w:b/>
                <w:color w:val="auto"/>
                <w:kern w:val="21"/>
                <w:sz w:val="28"/>
                <w:szCs w:val="28"/>
                <w:highlight w:val="none"/>
                <w:lang w:val="zh-CN"/>
              </w:rPr>
              <w:t>投标文件正本</w:t>
            </w:r>
            <w:r>
              <w:rPr>
                <w:rFonts w:hint="eastAsia" w:cs="宋体"/>
                <w:b/>
                <w:color w:val="auto"/>
                <w:kern w:val="21"/>
                <w:sz w:val="28"/>
                <w:szCs w:val="28"/>
                <w:highlight w:val="none"/>
                <w:u w:val="single"/>
                <w:lang w:val="zh-CN"/>
              </w:rPr>
              <w:t>1</w:t>
            </w:r>
            <w:r>
              <w:rPr>
                <w:rFonts w:hint="eastAsia" w:cs="宋体"/>
                <w:b/>
                <w:color w:val="auto"/>
                <w:kern w:val="21"/>
                <w:sz w:val="28"/>
                <w:szCs w:val="28"/>
                <w:highlight w:val="none"/>
                <w:lang w:val="zh-CN"/>
              </w:rPr>
              <w:t>份、副本</w:t>
            </w:r>
            <w:r>
              <w:rPr>
                <w:rFonts w:hint="eastAsia" w:cs="宋体"/>
                <w:b/>
                <w:color w:val="auto"/>
                <w:kern w:val="21"/>
                <w:sz w:val="28"/>
                <w:szCs w:val="28"/>
                <w:highlight w:val="none"/>
                <w:u w:val="single"/>
              </w:rPr>
              <w:t>2</w:t>
            </w:r>
            <w:r>
              <w:rPr>
                <w:rFonts w:hint="eastAsia" w:cs="宋体"/>
                <w:b/>
                <w:color w:val="auto"/>
                <w:kern w:val="21"/>
                <w:sz w:val="28"/>
                <w:szCs w:val="28"/>
                <w:highlight w:val="none"/>
                <w:lang w:val="zh-CN"/>
              </w:rPr>
              <w:t>份(副本可采用正本的复印件)；</w:t>
            </w:r>
          </w:p>
          <w:p>
            <w:pPr>
              <w:wordWrap w:val="0"/>
              <w:topLinePunct/>
              <w:autoSpaceDE w:val="0"/>
              <w:autoSpaceDN w:val="0"/>
              <w:adjustRightInd w:val="0"/>
              <w:spacing w:line="480" w:lineRule="auto"/>
              <w:rPr>
                <w:rFonts w:cs="宋体"/>
                <w:b/>
                <w:color w:val="auto"/>
                <w:kern w:val="21"/>
                <w:sz w:val="28"/>
                <w:szCs w:val="28"/>
                <w:highlight w:val="none"/>
                <w:lang w:val="zh-CN"/>
              </w:rPr>
            </w:pPr>
            <w:r>
              <w:rPr>
                <w:rFonts w:hint="eastAsia" w:cs="宋体"/>
                <w:b/>
                <w:color w:val="auto"/>
                <w:kern w:val="21"/>
                <w:sz w:val="28"/>
                <w:szCs w:val="28"/>
                <w:highlight w:val="none"/>
                <w:lang w:val="zh-CN"/>
              </w:rPr>
              <w:t>(2)投标文件应按本表第1</w:t>
            </w:r>
            <w:r>
              <w:rPr>
                <w:rFonts w:hint="eastAsia" w:cs="宋体"/>
                <w:b/>
                <w:color w:val="auto"/>
                <w:kern w:val="21"/>
                <w:sz w:val="28"/>
                <w:szCs w:val="28"/>
                <w:highlight w:val="none"/>
                <w:lang w:val="en-US" w:eastAsia="zh-CN"/>
              </w:rPr>
              <w:t>7</w:t>
            </w:r>
            <w:r>
              <w:rPr>
                <w:rFonts w:hint="eastAsia" w:cs="宋体"/>
                <w:b/>
                <w:color w:val="auto"/>
                <w:kern w:val="21"/>
                <w:sz w:val="28"/>
                <w:szCs w:val="28"/>
                <w:highlight w:val="none"/>
                <w:lang w:val="zh-CN"/>
              </w:rPr>
              <w:t>条“包装和密封要求”进行密封。</w:t>
            </w:r>
          </w:p>
          <w:p>
            <w:pPr>
              <w:wordWrap w:val="0"/>
              <w:topLinePunct/>
              <w:autoSpaceDE w:val="0"/>
              <w:autoSpaceDN w:val="0"/>
              <w:adjustRightInd w:val="0"/>
              <w:spacing w:line="480" w:lineRule="auto"/>
              <w:rPr>
                <w:rFonts w:cs="宋体"/>
                <w:b/>
                <w:color w:val="auto"/>
                <w:kern w:val="21"/>
                <w:sz w:val="28"/>
                <w:szCs w:val="28"/>
                <w:highlight w:val="none"/>
                <w:lang w:val="zh-CN"/>
              </w:rPr>
            </w:pPr>
            <w:r>
              <w:rPr>
                <w:rFonts w:hint="eastAsia" w:cs="宋体"/>
                <w:b/>
                <w:color w:val="auto"/>
                <w:kern w:val="21"/>
                <w:sz w:val="28"/>
                <w:szCs w:val="28"/>
                <w:highlight w:val="none"/>
                <w:lang w:val="zh-CN"/>
              </w:rPr>
              <w:t>(3)投标人递交投标文件、参加开标会人员必须是投标人的法定代表人或被授权人；</w:t>
            </w:r>
          </w:p>
          <w:p>
            <w:pPr>
              <w:wordWrap w:val="0"/>
              <w:topLinePunct/>
              <w:autoSpaceDE w:val="0"/>
              <w:autoSpaceDN w:val="0"/>
              <w:adjustRightInd w:val="0"/>
              <w:spacing w:line="480" w:lineRule="auto"/>
              <w:rPr>
                <w:rFonts w:ascii="宋体"/>
                <w:b/>
                <w:color w:val="auto"/>
                <w:sz w:val="28"/>
                <w:szCs w:val="28"/>
                <w:highlight w:val="none"/>
              </w:rPr>
            </w:pPr>
            <w:r>
              <w:rPr>
                <w:rFonts w:hint="eastAsia" w:cs="宋体"/>
                <w:b/>
                <w:color w:val="auto"/>
                <w:kern w:val="21"/>
                <w:sz w:val="28"/>
                <w:szCs w:val="28"/>
                <w:highlight w:val="none"/>
                <w:lang w:val="zh-CN"/>
              </w:rPr>
              <w:t>（</w:t>
            </w:r>
            <w:r>
              <w:rPr>
                <w:rFonts w:cs="宋体"/>
                <w:b/>
                <w:color w:val="auto"/>
                <w:kern w:val="21"/>
                <w:sz w:val="28"/>
                <w:szCs w:val="28"/>
                <w:highlight w:val="none"/>
                <w:lang w:val="zh-CN"/>
              </w:rPr>
              <w:t>4</w:t>
            </w:r>
            <w:r>
              <w:rPr>
                <w:rFonts w:hint="eastAsia" w:cs="宋体"/>
                <w:b/>
                <w:color w:val="auto"/>
                <w:kern w:val="21"/>
                <w:sz w:val="28"/>
                <w:szCs w:val="28"/>
                <w:highlight w:val="none"/>
                <w:lang w:val="zh-CN"/>
              </w:rPr>
              <w:t>）逾期送达或者未按招标文件密封的投标文件，不予接收。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b/>
                <w:color w:val="auto"/>
                <w:sz w:val="28"/>
                <w:szCs w:val="28"/>
                <w:highlight w:val="none"/>
              </w:rPr>
            </w:pPr>
            <w:r>
              <w:rPr>
                <w:rFonts w:hint="eastAsia" w:ascii="宋体"/>
                <w:b/>
                <w:color w:val="auto"/>
                <w:sz w:val="28"/>
                <w:szCs w:val="28"/>
                <w:highlight w:val="none"/>
              </w:rPr>
              <w:t>19</w:t>
            </w:r>
          </w:p>
        </w:tc>
        <w:tc>
          <w:tcPr>
            <w:tcW w:w="1559" w:type="dxa"/>
            <w:shd w:val="clear" w:color="auto" w:fill="auto"/>
            <w:vAlign w:val="center"/>
          </w:tcPr>
          <w:p>
            <w:pPr>
              <w:wordWrap w:val="0"/>
              <w:topLinePunct/>
              <w:spacing w:line="480" w:lineRule="auto"/>
              <w:jc w:val="center"/>
              <w:rPr>
                <w:rFonts w:ascii="宋体"/>
                <w:b/>
                <w:color w:val="auto"/>
                <w:sz w:val="28"/>
                <w:szCs w:val="28"/>
                <w:highlight w:val="none"/>
              </w:rPr>
            </w:pPr>
            <w:r>
              <w:rPr>
                <w:rFonts w:hint="eastAsia" w:ascii="宋体"/>
                <w:b/>
                <w:color w:val="auto"/>
                <w:sz w:val="28"/>
                <w:szCs w:val="28"/>
                <w:highlight w:val="none"/>
              </w:rPr>
              <w:t>资格审查</w:t>
            </w:r>
          </w:p>
        </w:tc>
        <w:tc>
          <w:tcPr>
            <w:tcW w:w="6146" w:type="dxa"/>
            <w:shd w:val="clear" w:color="auto" w:fill="auto"/>
            <w:vAlign w:val="center"/>
          </w:tcPr>
          <w:p>
            <w:pPr>
              <w:wordWrap w:val="0"/>
              <w:topLinePunct/>
              <w:spacing w:line="480" w:lineRule="auto"/>
              <w:rPr>
                <w:rFonts w:ascii="宋体" w:cs="宋体"/>
                <w:b/>
                <w:color w:val="auto"/>
                <w:sz w:val="28"/>
                <w:szCs w:val="28"/>
                <w:highlight w:val="none"/>
              </w:rPr>
            </w:pPr>
            <w:r>
              <w:rPr>
                <w:rFonts w:hint="eastAsia" w:ascii="宋体" w:cs="宋体"/>
                <w:b/>
                <w:color w:val="auto"/>
                <w:sz w:val="28"/>
                <w:szCs w:val="28"/>
                <w:highlight w:val="none"/>
              </w:rPr>
              <w:t>开标结束后，由</w:t>
            </w:r>
            <w:r>
              <w:rPr>
                <w:rFonts w:hint="eastAsia" w:ascii="宋体" w:cs="宋体"/>
                <w:b/>
                <w:color w:val="auto"/>
                <w:sz w:val="28"/>
                <w:szCs w:val="28"/>
                <w:highlight w:val="none"/>
                <w:u w:val="single"/>
              </w:rPr>
              <w:t>采购人和采购代理机构</w:t>
            </w:r>
            <w:r>
              <w:rPr>
                <w:rFonts w:hint="eastAsia" w:ascii="宋体" w:cs="宋体"/>
                <w:b/>
                <w:color w:val="auto"/>
                <w:sz w:val="28"/>
                <w:szCs w:val="28"/>
                <w:highlight w:val="none"/>
              </w:rPr>
              <w:t>依据本招标文件的要求对投标人资格进行审查，合格的投标人不足3家的，不进入评标环节。</w:t>
            </w:r>
          </w:p>
          <w:p>
            <w:pPr>
              <w:wordWrap w:val="0"/>
              <w:topLinePunct/>
              <w:spacing w:line="480" w:lineRule="auto"/>
              <w:rPr>
                <w:rFonts w:ascii="宋体" w:cs="宋体"/>
                <w:b/>
                <w:color w:val="auto"/>
                <w:sz w:val="28"/>
                <w:szCs w:val="28"/>
                <w:highlight w:val="none"/>
              </w:rPr>
            </w:pPr>
            <w:r>
              <w:rPr>
                <w:rFonts w:hint="eastAsia" w:ascii="宋体" w:cs="宋体"/>
                <w:b/>
                <w:color w:val="auto"/>
                <w:sz w:val="28"/>
                <w:szCs w:val="28"/>
                <w:highlight w:val="none"/>
              </w:rPr>
              <w:t>资格审查内容：</w:t>
            </w:r>
          </w:p>
          <w:p>
            <w:pPr>
              <w:wordWrap w:val="0"/>
              <w:topLinePunct/>
              <w:spacing w:line="480" w:lineRule="auto"/>
              <w:rPr>
                <w:rFonts w:ascii="宋体" w:cs="宋体"/>
                <w:b/>
                <w:color w:val="auto"/>
                <w:sz w:val="28"/>
                <w:szCs w:val="28"/>
                <w:highlight w:val="none"/>
              </w:rPr>
            </w:pPr>
            <w:r>
              <w:rPr>
                <w:rFonts w:hint="eastAsia" w:ascii="宋体" w:cs="宋体"/>
                <w:b/>
                <w:color w:val="auto"/>
                <w:sz w:val="28"/>
                <w:szCs w:val="28"/>
                <w:highlight w:val="none"/>
              </w:rPr>
              <w:t>(1)投标人须知前附表第5条所列投标人须提供的资格性证明材料；</w:t>
            </w:r>
          </w:p>
          <w:p>
            <w:pPr>
              <w:wordWrap w:val="0"/>
              <w:topLinePunct/>
              <w:spacing w:line="480" w:lineRule="auto"/>
              <w:rPr>
                <w:rFonts w:ascii="宋体" w:cs="宋体"/>
                <w:b/>
                <w:color w:val="auto"/>
                <w:sz w:val="28"/>
                <w:szCs w:val="28"/>
                <w:highlight w:val="none"/>
              </w:rPr>
            </w:pPr>
            <w:r>
              <w:rPr>
                <w:rFonts w:hint="eastAsia" w:ascii="宋体" w:cs="宋体"/>
                <w:b/>
                <w:color w:val="auto"/>
                <w:sz w:val="28"/>
                <w:szCs w:val="28"/>
                <w:highlight w:val="none"/>
              </w:rPr>
              <w:t>（2）是否属于禁止参加投标的投标人。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20</w:t>
            </w:r>
          </w:p>
        </w:tc>
        <w:tc>
          <w:tcPr>
            <w:tcW w:w="1559" w:type="dxa"/>
            <w:shd w:val="clear" w:color="auto" w:fill="auto"/>
            <w:vAlign w:val="center"/>
          </w:tcPr>
          <w:p>
            <w:pPr>
              <w:wordWrap w:val="0"/>
              <w:topLinePunct/>
              <w:autoSpaceDE w:val="0"/>
              <w:autoSpaceDN w:val="0"/>
              <w:adjustRightInd w:val="0"/>
              <w:spacing w:line="480" w:lineRule="auto"/>
              <w:jc w:val="center"/>
              <w:rPr>
                <w:rFonts w:ascii="宋体"/>
                <w:color w:val="auto"/>
                <w:sz w:val="28"/>
                <w:szCs w:val="28"/>
                <w:highlight w:val="none"/>
                <w:lang w:val="zh-CN"/>
              </w:rPr>
            </w:pPr>
            <w:r>
              <w:rPr>
                <w:rFonts w:hint="eastAsia" w:ascii="宋体" w:cs="宋体"/>
                <w:color w:val="auto"/>
                <w:sz w:val="28"/>
                <w:szCs w:val="28"/>
                <w:highlight w:val="none"/>
                <w:lang w:val="zh-CN"/>
              </w:rPr>
              <w:t>废标和无效投标情形</w:t>
            </w:r>
          </w:p>
        </w:tc>
        <w:tc>
          <w:tcPr>
            <w:tcW w:w="6146" w:type="dxa"/>
            <w:shd w:val="clear" w:color="auto" w:fill="auto"/>
            <w:vAlign w:val="center"/>
          </w:tcPr>
          <w:p>
            <w:pPr>
              <w:topLinePunct/>
              <w:spacing w:line="480" w:lineRule="auto"/>
              <w:ind w:firstLine="141" w:firstLineChars="50"/>
              <w:rPr>
                <w:rFonts w:cs="宋体"/>
                <w:b/>
                <w:color w:val="auto"/>
                <w:kern w:val="21"/>
                <w:sz w:val="28"/>
                <w:szCs w:val="28"/>
                <w:highlight w:val="none"/>
                <w:lang w:val="zh-CN"/>
              </w:rPr>
            </w:pPr>
            <w:r>
              <w:rPr>
                <w:rFonts w:hint="eastAsia" w:cs="宋体"/>
                <w:b/>
                <w:color w:val="auto"/>
                <w:kern w:val="21"/>
                <w:sz w:val="28"/>
                <w:szCs w:val="28"/>
                <w:highlight w:val="none"/>
                <w:lang w:val="zh-CN"/>
              </w:rPr>
              <w:t xml:space="preserve"> (1)开标过程中的废标情形</w:t>
            </w:r>
          </w:p>
          <w:p>
            <w:pPr>
              <w:topLinePunct/>
              <w:spacing w:line="480" w:lineRule="auto"/>
              <w:ind w:firstLine="281" w:firstLineChars="100"/>
              <w:rPr>
                <w:rFonts w:cs="宋体"/>
                <w:b/>
                <w:color w:val="auto"/>
                <w:kern w:val="21"/>
                <w:sz w:val="28"/>
                <w:szCs w:val="28"/>
                <w:highlight w:val="none"/>
                <w:lang w:val="zh-CN"/>
              </w:rPr>
            </w:pPr>
            <w:r>
              <w:rPr>
                <w:rFonts w:hint="eastAsia" w:cs="宋体"/>
                <w:b/>
                <w:color w:val="auto"/>
                <w:kern w:val="21"/>
                <w:sz w:val="28"/>
                <w:szCs w:val="28"/>
                <w:highlight w:val="none"/>
                <w:lang w:val="zh-CN"/>
              </w:rPr>
              <w:t>a.在投标文件递交截止时，投标人不足三家的；</w:t>
            </w:r>
          </w:p>
          <w:p>
            <w:pPr>
              <w:topLinePunct/>
              <w:spacing w:line="480" w:lineRule="auto"/>
              <w:ind w:firstLine="281" w:firstLineChars="100"/>
              <w:rPr>
                <w:rFonts w:cs="宋体"/>
                <w:b/>
                <w:color w:val="auto"/>
                <w:kern w:val="21"/>
                <w:sz w:val="28"/>
                <w:szCs w:val="28"/>
                <w:highlight w:val="none"/>
                <w:lang w:val="zh-CN"/>
              </w:rPr>
            </w:pPr>
            <w:r>
              <w:rPr>
                <w:rFonts w:hint="eastAsia" w:cs="宋体"/>
                <w:b/>
                <w:color w:val="auto"/>
                <w:kern w:val="21"/>
                <w:sz w:val="28"/>
                <w:szCs w:val="28"/>
                <w:highlight w:val="none"/>
                <w:lang w:val="zh-CN"/>
              </w:rPr>
              <w:t>b.出现影响采购公正的违法、违规行为的；</w:t>
            </w:r>
          </w:p>
          <w:p>
            <w:pPr>
              <w:topLinePunct/>
              <w:spacing w:line="480" w:lineRule="auto"/>
              <w:ind w:firstLine="281" w:firstLineChars="100"/>
              <w:rPr>
                <w:rFonts w:cs="宋体"/>
                <w:b/>
                <w:color w:val="auto"/>
                <w:kern w:val="21"/>
                <w:sz w:val="28"/>
                <w:szCs w:val="28"/>
                <w:highlight w:val="none"/>
                <w:lang w:val="zh-CN"/>
              </w:rPr>
            </w:pPr>
            <w:r>
              <w:rPr>
                <w:rFonts w:hint="eastAsia" w:cs="宋体"/>
                <w:b/>
                <w:color w:val="auto"/>
                <w:kern w:val="21"/>
                <w:sz w:val="28"/>
                <w:szCs w:val="28"/>
                <w:highlight w:val="none"/>
                <w:lang w:val="zh-CN"/>
              </w:rPr>
              <w:t>c.因重大变故，采购任务取消的。</w:t>
            </w:r>
          </w:p>
          <w:p>
            <w:pPr>
              <w:topLinePunct/>
              <w:spacing w:line="480" w:lineRule="auto"/>
              <w:ind w:firstLine="281" w:firstLineChars="100"/>
              <w:rPr>
                <w:rFonts w:cs="宋体"/>
                <w:b/>
                <w:color w:val="auto"/>
                <w:kern w:val="21"/>
                <w:sz w:val="28"/>
                <w:szCs w:val="28"/>
                <w:highlight w:val="none"/>
                <w:lang w:val="zh-CN"/>
              </w:rPr>
            </w:pPr>
            <w:r>
              <w:rPr>
                <w:rFonts w:hint="eastAsia" w:cs="宋体"/>
                <w:b/>
                <w:color w:val="auto"/>
                <w:kern w:val="21"/>
                <w:sz w:val="28"/>
                <w:szCs w:val="28"/>
                <w:highlight w:val="none"/>
                <w:lang w:val="zh-CN"/>
              </w:rPr>
              <w:t>(2)开标过程中的无效投标情形</w:t>
            </w:r>
          </w:p>
          <w:p>
            <w:pPr>
              <w:topLinePunct/>
              <w:spacing w:line="480" w:lineRule="auto"/>
              <w:ind w:firstLine="281" w:firstLineChars="100"/>
              <w:rPr>
                <w:rFonts w:cs="宋体"/>
                <w:b/>
                <w:color w:val="auto"/>
                <w:kern w:val="21"/>
                <w:sz w:val="28"/>
                <w:szCs w:val="28"/>
                <w:highlight w:val="none"/>
                <w:lang w:val="zh-CN"/>
              </w:rPr>
            </w:pPr>
            <w:r>
              <w:rPr>
                <w:rFonts w:hint="eastAsia" w:cs="宋体"/>
                <w:b/>
                <w:color w:val="auto"/>
                <w:kern w:val="21"/>
                <w:sz w:val="28"/>
                <w:szCs w:val="28"/>
                <w:highlight w:val="none"/>
                <w:lang w:val="zh-CN"/>
              </w:rPr>
              <w:t>a.投标文件超过规定的时间送达的。</w:t>
            </w:r>
          </w:p>
          <w:p>
            <w:pPr>
              <w:topLinePunct/>
              <w:spacing w:line="480" w:lineRule="auto"/>
              <w:ind w:firstLine="281" w:firstLineChars="100"/>
              <w:rPr>
                <w:b/>
                <w:color w:val="auto"/>
                <w:sz w:val="28"/>
                <w:szCs w:val="28"/>
                <w:highlight w:val="none"/>
                <w:lang w:val="zh-CN"/>
              </w:rPr>
            </w:pPr>
            <w:r>
              <w:rPr>
                <w:rFonts w:hint="eastAsia" w:cs="宋体"/>
                <w:b/>
                <w:color w:val="auto"/>
                <w:kern w:val="21"/>
                <w:sz w:val="28"/>
                <w:szCs w:val="28"/>
                <w:highlight w:val="none"/>
                <w:lang w:val="zh-CN"/>
              </w:rPr>
              <w:t>(3)评标过程中的废标和无效投标的情形，由评标委员会判定，详见第五章评标办法。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rFonts w:cs="Courier New"/>
                <w:color w:val="auto"/>
                <w:sz w:val="28"/>
                <w:szCs w:val="28"/>
                <w:highlight w:val="none"/>
              </w:rPr>
            </w:pPr>
            <w:r>
              <w:rPr>
                <w:rFonts w:hint="eastAsia" w:cs="Courier New"/>
                <w:color w:val="auto"/>
                <w:sz w:val="28"/>
                <w:szCs w:val="28"/>
                <w:highlight w:val="none"/>
              </w:rPr>
              <w:t>21</w:t>
            </w:r>
          </w:p>
        </w:tc>
        <w:tc>
          <w:tcPr>
            <w:tcW w:w="1559" w:type="dxa"/>
            <w:shd w:val="clear" w:color="auto" w:fill="auto"/>
            <w:vAlign w:val="center"/>
          </w:tcPr>
          <w:p>
            <w:pPr>
              <w:pStyle w:val="35"/>
              <w:wordWrap w:val="0"/>
              <w:topLinePunct/>
              <w:spacing w:line="480" w:lineRule="auto"/>
              <w:jc w:val="center"/>
              <w:rPr>
                <w:color w:val="auto"/>
                <w:sz w:val="28"/>
                <w:szCs w:val="28"/>
                <w:highlight w:val="none"/>
                <w:lang w:val="zh-CN"/>
              </w:rPr>
            </w:pPr>
            <w:r>
              <w:rPr>
                <w:rFonts w:hint="eastAsia"/>
                <w:color w:val="auto"/>
                <w:sz w:val="28"/>
                <w:szCs w:val="28"/>
                <w:highlight w:val="none"/>
                <w:lang w:val="zh-CN"/>
              </w:rPr>
              <w:t>备选方案和报价</w:t>
            </w:r>
          </w:p>
        </w:tc>
        <w:tc>
          <w:tcPr>
            <w:tcW w:w="6146" w:type="dxa"/>
            <w:shd w:val="clear" w:color="auto" w:fill="auto"/>
            <w:vAlign w:val="center"/>
          </w:tcPr>
          <w:p>
            <w:pPr>
              <w:pStyle w:val="35"/>
              <w:wordWrap w:val="0"/>
              <w:topLinePunct/>
              <w:spacing w:line="480" w:lineRule="auto"/>
              <w:jc w:val="both"/>
              <w:rPr>
                <w:color w:val="auto"/>
                <w:sz w:val="28"/>
                <w:szCs w:val="28"/>
                <w:highlight w:val="none"/>
                <w:lang w:val="zh-CN"/>
              </w:rPr>
            </w:pPr>
            <w:r>
              <w:rPr>
                <w:rFonts w:hint="eastAsia"/>
                <w:color w:val="auto"/>
                <w:sz w:val="28"/>
                <w:szCs w:val="28"/>
                <w:highlight w:val="none"/>
                <w:lang w:val="zh-CN"/>
              </w:rPr>
              <w:t>不接受备选投标方案和多个报价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pStyle w:val="35"/>
              <w:wordWrap w:val="0"/>
              <w:topLinePunct/>
              <w:spacing w:line="480" w:lineRule="auto"/>
              <w:ind w:right="230"/>
              <w:jc w:val="center"/>
              <w:rPr>
                <w:color w:val="auto"/>
                <w:sz w:val="28"/>
                <w:szCs w:val="28"/>
                <w:highlight w:val="none"/>
                <w:lang w:val="zh-CN"/>
              </w:rPr>
            </w:pPr>
            <w:r>
              <w:rPr>
                <w:rFonts w:hint="eastAsia"/>
                <w:color w:val="auto"/>
                <w:sz w:val="28"/>
                <w:szCs w:val="28"/>
                <w:highlight w:val="none"/>
              </w:rPr>
              <w:t>22</w:t>
            </w:r>
          </w:p>
        </w:tc>
        <w:tc>
          <w:tcPr>
            <w:tcW w:w="1559" w:type="dxa"/>
            <w:shd w:val="clear" w:color="auto" w:fill="auto"/>
            <w:vAlign w:val="center"/>
          </w:tcPr>
          <w:p>
            <w:pPr>
              <w:wordWrap w:val="0"/>
              <w:topLinePunct/>
              <w:autoSpaceDE w:val="0"/>
              <w:autoSpaceDN w:val="0"/>
              <w:adjustRightInd w:val="0"/>
              <w:spacing w:line="480" w:lineRule="auto"/>
              <w:jc w:val="center"/>
              <w:rPr>
                <w:rFonts w:ascii="宋体"/>
                <w:color w:val="auto"/>
                <w:sz w:val="28"/>
                <w:szCs w:val="28"/>
                <w:highlight w:val="none"/>
                <w:lang w:val="zh-CN"/>
              </w:rPr>
            </w:pPr>
            <w:r>
              <w:rPr>
                <w:rFonts w:hint="eastAsia" w:ascii="宋体" w:cs="宋体"/>
                <w:color w:val="auto"/>
                <w:sz w:val="28"/>
                <w:szCs w:val="28"/>
                <w:highlight w:val="none"/>
              </w:rPr>
              <w:t>履约时间</w:t>
            </w:r>
            <w:r>
              <w:rPr>
                <w:rFonts w:hint="eastAsia" w:ascii="宋体" w:cs="宋体"/>
                <w:color w:val="auto"/>
                <w:sz w:val="28"/>
                <w:szCs w:val="28"/>
                <w:highlight w:val="none"/>
                <w:lang w:val="zh-CN"/>
              </w:rPr>
              <w:t>、地点及付款方式</w:t>
            </w:r>
          </w:p>
        </w:tc>
        <w:tc>
          <w:tcPr>
            <w:tcW w:w="6146" w:type="dxa"/>
            <w:shd w:val="clear" w:color="auto" w:fill="auto"/>
            <w:vAlign w:val="center"/>
          </w:tcPr>
          <w:p>
            <w:pPr>
              <w:wordWrap w:val="0"/>
              <w:topLinePunct/>
              <w:spacing w:line="480" w:lineRule="auto"/>
              <w:rPr>
                <w:rFonts w:ascii="宋体"/>
                <w:color w:val="auto"/>
                <w:sz w:val="28"/>
                <w:szCs w:val="28"/>
                <w:highlight w:val="none"/>
              </w:rPr>
            </w:pPr>
            <w:r>
              <w:rPr>
                <w:rFonts w:hint="eastAsia" w:ascii="宋体" w:cs="宋体"/>
                <w:color w:val="auto"/>
                <w:sz w:val="28"/>
                <w:szCs w:val="28"/>
                <w:highlight w:val="none"/>
                <w:lang w:val="zh-CN"/>
              </w:rPr>
              <w:t>(1)</w:t>
            </w:r>
            <w:r>
              <w:rPr>
                <w:rFonts w:hint="eastAsia" w:ascii="宋体"/>
                <w:color w:val="auto"/>
                <w:sz w:val="28"/>
                <w:szCs w:val="28"/>
                <w:highlight w:val="none"/>
              </w:rPr>
              <w:t>履约时间和地点：</w:t>
            </w:r>
          </w:p>
          <w:p>
            <w:pPr>
              <w:wordWrap w:val="0"/>
              <w:topLinePunct/>
              <w:spacing w:line="480" w:lineRule="auto"/>
              <w:ind w:firstLine="280" w:firstLineChars="100"/>
              <w:rPr>
                <w:rFonts w:ascii="宋体"/>
                <w:color w:val="auto"/>
                <w:sz w:val="28"/>
                <w:szCs w:val="28"/>
                <w:highlight w:val="none"/>
                <w:u w:val="single"/>
              </w:rPr>
            </w:pPr>
            <w:r>
              <w:rPr>
                <w:rFonts w:hint="eastAsia" w:ascii="宋体"/>
                <w:color w:val="auto"/>
                <w:sz w:val="28"/>
                <w:szCs w:val="28"/>
                <w:highlight w:val="none"/>
              </w:rPr>
              <w:t>a.履约时间：</w:t>
            </w:r>
            <w:r>
              <w:rPr>
                <w:rFonts w:hint="eastAsia" w:ascii="宋体" w:cs="宋体"/>
                <w:color w:val="auto"/>
                <w:sz w:val="28"/>
                <w:szCs w:val="28"/>
                <w:highlight w:val="none"/>
                <w:u w:val="single"/>
              </w:rPr>
              <w:t>签订合同</w:t>
            </w:r>
            <w:r>
              <w:rPr>
                <w:rFonts w:ascii="宋体" w:cs="宋体"/>
                <w:color w:val="auto"/>
                <w:sz w:val="28"/>
                <w:szCs w:val="28"/>
                <w:highlight w:val="none"/>
                <w:u w:val="single"/>
              </w:rPr>
              <w:t>时约定。</w:t>
            </w:r>
          </w:p>
          <w:p>
            <w:pPr>
              <w:wordWrap w:val="0"/>
              <w:topLinePunct/>
              <w:spacing w:line="480" w:lineRule="auto"/>
              <w:ind w:firstLine="280" w:firstLineChars="100"/>
              <w:rPr>
                <w:rFonts w:ascii="宋体"/>
                <w:color w:val="auto"/>
                <w:sz w:val="28"/>
                <w:szCs w:val="28"/>
                <w:highlight w:val="none"/>
                <w:u w:val="single"/>
              </w:rPr>
            </w:pPr>
            <w:r>
              <w:rPr>
                <w:rFonts w:hint="eastAsia" w:ascii="宋体"/>
                <w:color w:val="auto"/>
                <w:sz w:val="28"/>
                <w:szCs w:val="28"/>
                <w:highlight w:val="none"/>
              </w:rPr>
              <w:t>b.履约地点：</w:t>
            </w:r>
            <w:r>
              <w:rPr>
                <w:rFonts w:hint="eastAsia" w:ascii="宋体" w:cs="宋体"/>
                <w:color w:val="auto"/>
                <w:sz w:val="28"/>
                <w:szCs w:val="28"/>
                <w:highlight w:val="none"/>
                <w:u w:val="single"/>
                <w:lang w:eastAsia="zh-CN"/>
              </w:rPr>
              <w:t>眉山市东岸投资开发有限公司指定</w:t>
            </w:r>
            <w:r>
              <w:rPr>
                <w:rFonts w:hint="eastAsia" w:ascii="宋体" w:cs="宋体"/>
                <w:color w:val="auto"/>
                <w:sz w:val="28"/>
                <w:szCs w:val="28"/>
                <w:highlight w:val="none"/>
                <w:u w:val="single"/>
              </w:rPr>
              <w:t>地点。</w:t>
            </w:r>
          </w:p>
          <w:p>
            <w:pPr>
              <w:spacing w:line="480" w:lineRule="auto"/>
              <w:rPr>
                <w:b/>
                <w:color w:val="auto"/>
                <w:sz w:val="28"/>
                <w:szCs w:val="28"/>
                <w:highlight w:val="none"/>
              </w:rPr>
            </w:pPr>
            <w:r>
              <w:rPr>
                <w:rFonts w:hint="eastAsia"/>
                <w:color w:val="auto"/>
                <w:sz w:val="28"/>
                <w:szCs w:val="28"/>
                <w:highlight w:val="none"/>
                <w:lang w:val="zh-CN"/>
              </w:rPr>
              <w:t>(2)</w:t>
            </w:r>
            <w:r>
              <w:rPr>
                <w:rFonts w:hint="eastAsia"/>
                <w:color w:val="auto"/>
                <w:sz w:val="28"/>
                <w:szCs w:val="28"/>
                <w:highlight w:val="none"/>
              </w:rPr>
              <w:t>付款方式、时间、条件：</w:t>
            </w:r>
            <w:r>
              <w:rPr>
                <w:rFonts w:hint="eastAsia"/>
                <w:color w:val="auto"/>
                <w:sz w:val="28"/>
                <w:szCs w:val="28"/>
                <w:highlight w:val="none"/>
                <w:u w:val="single"/>
              </w:rPr>
              <w:t>详见第四章</w:t>
            </w:r>
            <w:r>
              <w:rPr>
                <w:rFonts w:hint="eastAsia"/>
                <w:bCs/>
                <w:color w:val="auto"/>
                <w:sz w:val="28"/>
                <w:szCs w:val="28"/>
                <w:highlight w:val="none"/>
                <w:u w:val="single"/>
              </w:rPr>
              <w:t>招标项目技术、服务及其他要求中相关商务、合同等实质性条款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23</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采购文件咨询</w:t>
            </w:r>
          </w:p>
        </w:tc>
        <w:tc>
          <w:tcPr>
            <w:tcW w:w="6146" w:type="dxa"/>
            <w:shd w:val="clear" w:color="auto" w:fill="auto"/>
          </w:tcPr>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联系人</w:t>
            </w:r>
            <w:r>
              <w:rPr>
                <w:rFonts w:hint="eastAsia" w:ascii="宋体" w:cs="宋体"/>
                <w:color w:val="auto"/>
                <w:sz w:val="28"/>
                <w:szCs w:val="28"/>
                <w:highlight w:val="none"/>
                <w:u w:val="single"/>
                <w:lang w:val="en-US" w:eastAsia="zh-CN"/>
              </w:rPr>
              <w:t>贾女士</w:t>
            </w:r>
            <w:r>
              <w:rPr>
                <w:rFonts w:hint="eastAsia" w:ascii="宋体" w:cs="宋体"/>
                <w:color w:val="auto"/>
                <w:sz w:val="28"/>
                <w:szCs w:val="28"/>
                <w:highlight w:val="none"/>
              </w:rPr>
              <w:t xml:space="preserve"> 联系电话：</w:t>
            </w:r>
            <w:r>
              <w:rPr>
                <w:rFonts w:hint="eastAsia" w:ascii="宋体" w:cs="宋体"/>
                <w:color w:val="auto"/>
                <w:kern w:val="0"/>
                <w:sz w:val="28"/>
                <w:szCs w:val="28"/>
                <w:highlight w:val="none"/>
                <w:u w:val="single"/>
                <w:lang w:val="zh-CN" w:eastAsia="zh-CN"/>
              </w:rPr>
              <w:t>028-62067125</w:t>
            </w:r>
            <w:r>
              <w:rPr>
                <w:rFonts w:hint="eastAsia" w:ascii="宋体" w:cs="宋体"/>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24</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中标通知书领取</w:t>
            </w:r>
          </w:p>
        </w:tc>
        <w:tc>
          <w:tcPr>
            <w:tcW w:w="6146" w:type="dxa"/>
            <w:shd w:val="clear" w:color="auto" w:fill="auto"/>
            <w:vAlign w:val="center"/>
          </w:tcPr>
          <w:p>
            <w:pPr>
              <w:spacing w:line="480" w:lineRule="auto"/>
              <w:jc w:val="left"/>
              <w:rPr>
                <w:rFonts w:ascii="宋体" w:cs="宋体"/>
                <w:color w:val="auto"/>
                <w:sz w:val="28"/>
                <w:szCs w:val="28"/>
                <w:highlight w:val="none"/>
              </w:rPr>
            </w:pPr>
            <w:r>
              <w:rPr>
                <w:rFonts w:hint="eastAsia" w:ascii="宋体" w:cs="宋体"/>
                <w:color w:val="auto"/>
                <w:sz w:val="28"/>
                <w:szCs w:val="28"/>
                <w:highlight w:val="none"/>
              </w:rPr>
              <w:t>中标结果公告在</w:t>
            </w:r>
            <w:r>
              <w:rPr>
                <w:rFonts w:hint="eastAsia" w:ascii="宋体" w:cs="宋体"/>
                <w:color w:val="auto"/>
                <w:sz w:val="28"/>
                <w:szCs w:val="28"/>
                <w:highlight w:val="none"/>
                <w:lang w:eastAsia="zh-CN"/>
              </w:rPr>
              <w:t>中国政府采购网</w:t>
            </w:r>
            <w:r>
              <w:rPr>
                <w:rFonts w:hint="eastAsia" w:ascii="宋体" w:cs="宋体"/>
                <w:color w:val="auto"/>
                <w:sz w:val="28"/>
                <w:szCs w:val="28"/>
                <w:highlight w:val="none"/>
              </w:rPr>
              <w:t>上公告的同时，中标人持身份证复印件、招标代理服务费缴纳凭证并加盖鲜章至</w:t>
            </w:r>
            <w:r>
              <w:rPr>
                <w:rFonts w:hint="eastAsia" w:ascii="宋体" w:cs="宋体"/>
                <w:color w:val="auto"/>
                <w:sz w:val="28"/>
                <w:szCs w:val="28"/>
                <w:highlight w:val="none"/>
                <w:lang w:eastAsia="zh-CN"/>
              </w:rPr>
              <w:t>四川华景工程项目管理有限公司</w:t>
            </w:r>
            <w:r>
              <w:rPr>
                <w:rFonts w:hint="eastAsia" w:ascii="宋体" w:cs="宋体"/>
                <w:color w:val="auto"/>
                <w:sz w:val="28"/>
                <w:szCs w:val="28"/>
                <w:highlight w:val="none"/>
              </w:rPr>
              <w:t>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25</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投标人询问</w:t>
            </w:r>
          </w:p>
        </w:tc>
        <w:tc>
          <w:tcPr>
            <w:tcW w:w="6146" w:type="dxa"/>
            <w:shd w:val="clear" w:color="auto" w:fill="auto"/>
          </w:tcPr>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投标人对采购文件中的特殊条件、技术、服务及其他要求、</w:t>
            </w:r>
            <w:r>
              <w:rPr>
                <w:rFonts w:ascii="宋体" w:cs="宋体"/>
                <w:color w:val="auto"/>
                <w:sz w:val="28"/>
                <w:szCs w:val="28"/>
                <w:highlight w:val="none"/>
              </w:rPr>
              <w:t>评分细则、</w:t>
            </w:r>
            <w:r>
              <w:rPr>
                <w:rFonts w:hint="eastAsia" w:ascii="宋体" w:cs="宋体"/>
                <w:color w:val="auto"/>
                <w:sz w:val="28"/>
                <w:szCs w:val="28"/>
                <w:highlight w:val="none"/>
              </w:rPr>
              <w:t>评标结果、定标结果的询问，应向采购人提出；对采购过程和程序等内容的询问，应向采购代理机构提出。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4" w:hRule="atLeast"/>
        </w:trPr>
        <w:tc>
          <w:tcPr>
            <w:tcW w:w="817"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26</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投标人质疑</w:t>
            </w:r>
          </w:p>
        </w:tc>
        <w:tc>
          <w:tcPr>
            <w:tcW w:w="6146" w:type="dxa"/>
            <w:shd w:val="clear" w:color="auto" w:fill="auto"/>
            <w:vAlign w:val="center"/>
          </w:tcPr>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投标人对采购文件中的特殊条件、技术、服务及其他要求、</w:t>
            </w:r>
            <w:r>
              <w:rPr>
                <w:rFonts w:ascii="宋体" w:cs="宋体"/>
                <w:color w:val="auto"/>
                <w:sz w:val="28"/>
                <w:szCs w:val="28"/>
                <w:highlight w:val="none"/>
              </w:rPr>
              <w:t>评分细则、</w:t>
            </w:r>
            <w:r>
              <w:rPr>
                <w:rFonts w:hint="eastAsia" w:ascii="宋体" w:cs="宋体"/>
                <w:color w:val="auto"/>
                <w:sz w:val="28"/>
                <w:szCs w:val="28"/>
                <w:highlight w:val="none"/>
              </w:rPr>
              <w:t>评标结果、定标结果的质疑，向采购人提出；对采购过程和程序等内容的质疑，向采购代理机构提出。</w:t>
            </w:r>
          </w:p>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注：根据《中华人民共和国政府采购法》的规定，投标人质疑不得超出采购文件、采购过程、采购结果的范围。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817"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27</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投标人投诉</w:t>
            </w:r>
          </w:p>
        </w:tc>
        <w:tc>
          <w:tcPr>
            <w:tcW w:w="6146" w:type="dxa"/>
            <w:shd w:val="clear" w:color="auto" w:fill="auto"/>
          </w:tcPr>
          <w:p>
            <w:pPr>
              <w:wordWrap w:val="0"/>
              <w:topLinePunct/>
              <w:spacing w:line="480" w:lineRule="auto"/>
              <w:rPr>
                <w:rFonts w:ascii="宋体" w:cs="宋体"/>
                <w:color w:val="auto"/>
                <w:sz w:val="28"/>
                <w:szCs w:val="28"/>
                <w:highlight w:val="none"/>
                <w:u w:val="single"/>
              </w:rPr>
            </w:pPr>
            <w:r>
              <w:rPr>
                <w:rFonts w:hint="eastAsia" w:ascii="宋体" w:cs="宋体"/>
                <w:color w:val="auto"/>
                <w:sz w:val="28"/>
                <w:szCs w:val="28"/>
                <w:highlight w:val="none"/>
              </w:rPr>
              <w:t>投诉受理单位：本采购项目同级财政部门，即</w:t>
            </w:r>
            <w:r>
              <w:rPr>
                <w:rFonts w:hint="eastAsia" w:ascii="宋体" w:cs="宋体"/>
                <w:color w:val="auto"/>
                <w:sz w:val="28"/>
                <w:szCs w:val="28"/>
                <w:highlight w:val="none"/>
                <w:u w:val="single"/>
              </w:rPr>
              <w:t>眉山市东坡区财政局。</w:t>
            </w:r>
            <w:r>
              <w:rPr>
                <w:rFonts w:hint="eastAsia" w:ascii="宋体" w:cs="宋体"/>
                <w:color w:val="auto"/>
                <w:sz w:val="28"/>
                <w:szCs w:val="28"/>
                <w:highlight w:val="none"/>
              </w:rPr>
              <w:t>联系电话：</w:t>
            </w:r>
            <w:r>
              <w:rPr>
                <w:rFonts w:hint="eastAsia" w:ascii="宋体" w:cs="宋体"/>
                <w:color w:val="auto"/>
                <w:sz w:val="28"/>
                <w:szCs w:val="28"/>
                <w:highlight w:val="none"/>
                <w:u w:val="single"/>
              </w:rPr>
              <w:t>028-38105303</w:t>
            </w:r>
            <w:r>
              <w:rPr>
                <w:rFonts w:hint="eastAsia" w:ascii="宋体" w:cs="宋体"/>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2</w:t>
            </w:r>
            <w:r>
              <w:rPr>
                <w:rFonts w:hint="eastAsia" w:ascii="宋体" w:cs="宋体"/>
                <w:color w:val="auto"/>
                <w:sz w:val="28"/>
                <w:szCs w:val="28"/>
                <w:highlight w:val="none"/>
                <w:lang w:val="en-US" w:eastAsia="zh-CN"/>
              </w:rPr>
              <w:t>8</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澄清公告的发布</w:t>
            </w:r>
          </w:p>
        </w:tc>
        <w:tc>
          <w:tcPr>
            <w:tcW w:w="6146" w:type="dxa"/>
            <w:shd w:val="clear" w:color="auto" w:fill="auto"/>
          </w:tcPr>
          <w:p>
            <w:pPr>
              <w:wordWrap w:val="0"/>
              <w:topLinePunct/>
              <w:spacing w:line="480" w:lineRule="auto"/>
              <w:rPr>
                <w:rFonts w:ascii="宋体" w:cs="宋体"/>
                <w:b/>
                <w:color w:val="auto"/>
                <w:sz w:val="28"/>
                <w:szCs w:val="28"/>
                <w:highlight w:val="none"/>
              </w:rPr>
            </w:pPr>
            <w:r>
              <w:rPr>
                <w:rFonts w:hint="eastAsia" w:ascii="宋体" w:cs="宋体"/>
                <w:b/>
                <w:color w:val="auto"/>
                <w:sz w:val="28"/>
                <w:szCs w:val="28"/>
                <w:highlight w:val="none"/>
              </w:rPr>
              <w:t>采购人、采购代理机构对已发出的招标文件进行澄清或者修改，在</w:t>
            </w:r>
            <w:r>
              <w:rPr>
                <w:rFonts w:hint="eastAsia" w:ascii="宋体" w:cs="宋体"/>
                <w:b/>
                <w:color w:val="auto"/>
                <w:sz w:val="28"/>
                <w:szCs w:val="28"/>
                <w:highlight w:val="none"/>
                <w:lang w:eastAsia="zh-CN"/>
              </w:rPr>
              <w:t>中国政府采购网</w:t>
            </w:r>
            <w:r>
              <w:rPr>
                <w:rFonts w:hint="eastAsia" w:ascii="宋体" w:cs="宋体"/>
                <w:b/>
                <w:color w:val="auto"/>
                <w:sz w:val="28"/>
                <w:szCs w:val="28"/>
                <w:highlight w:val="none"/>
              </w:rPr>
              <w:t>发布澄清公告。投标人应随时关注项目进度，不按本要求在规定的时间和网址查看澄清公告所造成的各种后果，由投标人自行负责。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default" w:ascii="宋体" w:eastAsia="宋体" w:cs="宋体"/>
                <w:color w:val="auto"/>
                <w:sz w:val="28"/>
                <w:szCs w:val="28"/>
                <w:highlight w:val="none"/>
                <w:lang w:val="en-US" w:eastAsia="zh-CN"/>
              </w:rPr>
            </w:pPr>
            <w:r>
              <w:rPr>
                <w:rFonts w:hint="eastAsia" w:ascii="宋体" w:cs="宋体"/>
                <w:color w:val="auto"/>
                <w:sz w:val="28"/>
                <w:szCs w:val="28"/>
                <w:highlight w:val="none"/>
                <w:lang w:val="en-US" w:eastAsia="zh-CN"/>
              </w:rPr>
              <w:t>29</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是否允许分包</w:t>
            </w:r>
          </w:p>
        </w:tc>
        <w:tc>
          <w:tcPr>
            <w:tcW w:w="6146" w:type="dxa"/>
            <w:shd w:val="clear" w:color="auto" w:fill="auto"/>
          </w:tcPr>
          <w:p>
            <w:pPr>
              <w:wordWrap w:val="0"/>
              <w:topLinePunct/>
              <w:spacing w:line="480" w:lineRule="auto"/>
              <w:rPr>
                <w:rFonts w:ascii="宋体" w:cs="宋体"/>
                <w:color w:val="auto"/>
                <w:sz w:val="28"/>
                <w:szCs w:val="28"/>
                <w:highlight w:val="none"/>
              </w:rPr>
            </w:pPr>
            <w:bookmarkStart w:id="15" w:name="EB17460fb2d53244729aa63495a07e8cc9"/>
            <w:r>
              <w:rPr>
                <w:rFonts w:hint="eastAsia" w:ascii="MS Mincho" w:hAnsi="MS Mincho" w:eastAsia="宋体" w:cs="MS Mincho"/>
                <w:color w:val="auto"/>
                <w:sz w:val="28"/>
                <w:szCs w:val="28"/>
                <w:highlight w:val="none"/>
                <w:lang w:eastAsia="zh-CN"/>
              </w:rPr>
              <w:t>☑</w:t>
            </w:r>
            <w:r>
              <w:rPr>
                <w:rFonts w:hint="eastAsia" w:ascii="宋体" w:cs="宋体"/>
                <w:color w:val="auto"/>
                <w:sz w:val="28"/>
                <w:szCs w:val="28"/>
                <w:highlight w:val="none"/>
              </w:rPr>
              <w:t xml:space="preserve">否 </w:t>
            </w:r>
          </w:p>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lang w:eastAsia="zh-CN"/>
              </w:rPr>
              <w:t>□</w:t>
            </w:r>
            <w:r>
              <w:rPr>
                <w:rFonts w:hint="eastAsia" w:ascii="宋体" w:cs="宋体"/>
                <w:color w:val="auto"/>
                <w:sz w:val="28"/>
                <w:szCs w:val="28"/>
                <w:highlight w:val="none"/>
              </w:rPr>
              <w:t>是</w:t>
            </w:r>
            <w:bookmarkEnd w:id="15"/>
          </w:p>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分包要求详见签订及履行合同和验收。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3</w:t>
            </w:r>
            <w:r>
              <w:rPr>
                <w:rFonts w:hint="eastAsia" w:ascii="宋体" w:cs="宋体"/>
                <w:color w:val="auto"/>
                <w:sz w:val="28"/>
                <w:szCs w:val="28"/>
                <w:highlight w:val="none"/>
                <w:lang w:val="en-US" w:eastAsia="zh-CN"/>
              </w:rPr>
              <w:t>0</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共同编制</w:t>
            </w:r>
          </w:p>
        </w:tc>
        <w:tc>
          <w:tcPr>
            <w:tcW w:w="6146" w:type="dxa"/>
            <w:shd w:val="clear" w:color="auto" w:fill="auto"/>
            <w:vAlign w:val="center"/>
          </w:tcPr>
          <w:p>
            <w:pPr>
              <w:wordWrap w:val="0"/>
              <w:topLinePunct/>
              <w:spacing w:line="480" w:lineRule="auto"/>
              <w:rPr>
                <w:rFonts w:ascii="宋体"/>
                <w:color w:val="auto"/>
                <w:sz w:val="28"/>
                <w:szCs w:val="28"/>
                <w:highlight w:val="none"/>
              </w:rPr>
            </w:pPr>
            <w:r>
              <w:rPr>
                <w:rFonts w:hint="eastAsia" w:ascii="宋体"/>
                <w:color w:val="auto"/>
                <w:sz w:val="28"/>
                <w:szCs w:val="28"/>
                <w:highlight w:val="none"/>
              </w:rPr>
              <w:t>本文件由采购人和采购代理机构共同编制，各自承担招标文件相关内容责任。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3</w:t>
            </w:r>
            <w:r>
              <w:rPr>
                <w:rFonts w:hint="eastAsia" w:ascii="宋体" w:cs="宋体"/>
                <w:color w:val="auto"/>
                <w:sz w:val="28"/>
                <w:szCs w:val="28"/>
                <w:highlight w:val="none"/>
                <w:lang w:val="en-US" w:eastAsia="zh-CN"/>
              </w:rPr>
              <w:t>1</w:t>
            </w:r>
          </w:p>
        </w:tc>
        <w:tc>
          <w:tcPr>
            <w:tcW w:w="1559" w:type="dxa"/>
            <w:shd w:val="clear" w:color="auto" w:fill="auto"/>
            <w:vAlign w:val="center"/>
          </w:tcPr>
          <w:p>
            <w:pPr>
              <w:topLinePunct/>
              <w:spacing w:line="480" w:lineRule="auto"/>
              <w:jc w:val="center"/>
              <w:rPr>
                <w:rFonts w:ascii="宋体"/>
                <w:color w:val="auto"/>
                <w:sz w:val="28"/>
                <w:szCs w:val="28"/>
                <w:highlight w:val="none"/>
              </w:rPr>
            </w:pPr>
            <w:r>
              <w:rPr>
                <w:rFonts w:hint="eastAsia" w:ascii="宋体"/>
                <w:color w:val="auto"/>
                <w:sz w:val="28"/>
                <w:szCs w:val="28"/>
                <w:highlight w:val="none"/>
              </w:rPr>
              <w:t>投标产品要求</w:t>
            </w:r>
          </w:p>
        </w:tc>
        <w:tc>
          <w:tcPr>
            <w:tcW w:w="6146" w:type="dxa"/>
            <w:shd w:val="clear" w:color="auto" w:fill="auto"/>
            <w:vAlign w:val="center"/>
          </w:tcPr>
          <w:p>
            <w:pPr>
              <w:wordWrap w:val="0"/>
              <w:topLinePunct/>
              <w:spacing w:line="480" w:lineRule="auto"/>
              <w:rPr>
                <w:rFonts w:ascii="宋体"/>
                <w:color w:val="auto"/>
                <w:sz w:val="28"/>
                <w:szCs w:val="28"/>
                <w:highlight w:val="none"/>
              </w:rPr>
            </w:pPr>
            <w:r>
              <w:rPr>
                <w:rFonts w:hint="eastAsia" w:ascii="宋体"/>
                <w:color w:val="auto"/>
                <w:sz w:val="28"/>
                <w:szCs w:val="28"/>
                <w:highlight w:val="none"/>
              </w:rPr>
              <w:t>投标人应保证所提供货物是全新的，未使用过的，完全符合招标文件中的质量、技术要求，并符合国家规定的相关质量标准，在招标文件没有其他要求时，投标人须按照国家“三包”规定进行后续服务。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3</w:t>
            </w:r>
            <w:r>
              <w:rPr>
                <w:rFonts w:hint="eastAsia" w:ascii="宋体" w:cs="宋体"/>
                <w:color w:val="auto"/>
                <w:sz w:val="28"/>
                <w:szCs w:val="28"/>
                <w:highlight w:val="none"/>
                <w:lang w:val="en-US" w:eastAsia="zh-CN"/>
              </w:rPr>
              <w:t>2</w:t>
            </w:r>
          </w:p>
        </w:tc>
        <w:tc>
          <w:tcPr>
            <w:tcW w:w="1559" w:type="dxa"/>
            <w:shd w:val="clear" w:color="auto" w:fill="auto"/>
            <w:vAlign w:val="center"/>
          </w:tcPr>
          <w:p>
            <w:pPr>
              <w:wordWrap w:val="0"/>
              <w:topLinePunct/>
              <w:spacing w:line="480" w:lineRule="auto"/>
              <w:jc w:val="center"/>
              <w:rPr>
                <w:rFonts w:ascii="宋体"/>
                <w:color w:val="auto"/>
                <w:sz w:val="28"/>
                <w:szCs w:val="28"/>
                <w:highlight w:val="none"/>
              </w:rPr>
            </w:pPr>
            <w:r>
              <w:rPr>
                <w:rFonts w:hint="eastAsia" w:ascii="宋体"/>
                <w:color w:val="auto"/>
                <w:sz w:val="28"/>
                <w:szCs w:val="28"/>
                <w:highlight w:val="none"/>
              </w:rPr>
              <w:t>采购进口产品</w:t>
            </w:r>
          </w:p>
        </w:tc>
        <w:tc>
          <w:tcPr>
            <w:tcW w:w="6146" w:type="dxa"/>
            <w:shd w:val="clear" w:color="auto" w:fill="auto"/>
            <w:vAlign w:val="center"/>
          </w:tcPr>
          <w:p>
            <w:pPr>
              <w:wordWrap w:val="0"/>
              <w:topLinePunct/>
              <w:spacing w:line="480" w:lineRule="auto"/>
              <w:rPr>
                <w:rFonts w:ascii="宋体"/>
                <w:color w:val="auto"/>
                <w:sz w:val="28"/>
                <w:szCs w:val="28"/>
                <w:highlight w:val="none"/>
              </w:rPr>
            </w:pPr>
            <w:bookmarkStart w:id="16" w:name="EB18ec530929b1431284a24b78a48fb40c"/>
            <w:r>
              <w:rPr>
                <w:rFonts w:hint="eastAsia" w:ascii="MS Mincho" w:hAnsi="MS Mincho" w:cs="MS Mincho"/>
                <w:color w:val="auto"/>
                <w:sz w:val="28"/>
                <w:szCs w:val="28"/>
                <w:highlight w:val="none"/>
                <w:lang w:eastAsia="zh-CN"/>
              </w:rPr>
              <w:t>□</w:t>
            </w:r>
            <w:r>
              <w:rPr>
                <w:rFonts w:hint="eastAsia" w:ascii="宋体" w:cs="宋体"/>
                <w:color w:val="auto"/>
                <w:sz w:val="28"/>
                <w:szCs w:val="28"/>
                <w:highlight w:val="none"/>
              </w:rPr>
              <w:t>本项目拒绝进口产品参加投标</w:t>
            </w:r>
            <w:r>
              <w:rPr>
                <w:rFonts w:hint="eastAsia" w:ascii="宋体"/>
                <w:color w:val="auto"/>
                <w:sz w:val="28"/>
                <w:szCs w:val="28"/>
                <w:highlight w:val="none"/>
              </w:rPr>
              <w:t xml:space="preserve"> </w:t>
            </w:r>
          </w:p>
          <w:p>
            <w:pPr>
              <w:wordWrap w:val="0"/>
              <w:topLinePunct/>
              <w:spacing w:line="480" w:lineRule="auto"/>
              <w:rPr>
                <w:rFonts w:ascii="宋体"/>
                <w:color w:val="auto"/>
                <w:sz w:val="28"/>
                <w:szCs w:val="28"/>
                <w:highlight w:val="none"/>
              </w:rPr>
            </w:pPr>
            <w:r>
              <w:rPr>
                <w:rFonts w:hint="eastAsia" w:ascii="宋体" w:cs="宋体"/>
                <w:color w:val="auto"/>
                <w:sz w:val="28"/>
                <w:szCs w:val="28"/>
                <w:highlight w:val="none"/>
                <w:lang w:eastAsia="zh-CN"/>
              </w:rPr>
              <w:t>☑</w:t>
            </w:r>
            <w:r>
              <w:rPr>
                <w:rFonts w:hint="eastAsia" w:ascii="宋体"/>
                <w:color w:val="auto"/>
                <w:sz w:val="28"/>
                <w:szCs w:val="28"/>
                <w:highlight w:val="none"/>
              </w:rPr>
              <w:t>本项目同意进口产品参加投标，进口产品是指通过中国海关报关验放进入中国境内且产自关境外的产品。</w:t>
            </w:r>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3</w:t>
            </w:r>
            <w:r>
              <w:rPr>
                <w:rFonts w:hint="eastAsia" w:ascii="宋体" w:cs="宋体"/>
                <w:color w:val="auto"/>
                <w:sz w:val="28"/>
                <w:szCs w:val="28"/>
                <w:highlight w:val="none"/>
                <w:lang w:val="en-US" w:eastAsia="zh-CN"/>
              </w:rPr>
              <w:t>3</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是否政府购买公共服务项目</w:t>
            </w:r>
          </w:p>
        </w:tc>
        <w:tc>
          <w:tcPr>
            <w:tcW w:w="6146" w:type="dxa"/>
            <w:shd w:val="clear" w:color="auto" w:fill="auto"/>
            <w:vAlign w:val="center"/>
          </w:tcPr>
          <w:p>
            <w:pPr>
              <w:wordWrap w:val="0"/>
              <w:topLinePunct/>
              <w:spacing w:line="480" w:lineRule="auto"/>
              <w:rPr>
                <w:rFonts w:ascii="宋体" w:cs="宋体"/>
                <w:color w:val="auto"/>
                <w:sz w:val="28"/>
                <w:szCs w:val="28"/>
                <w:highlight w:val="none"/>
              </w:rPr>
            </w:pPr>
            <w:r>
              <w:rPr>
                <w:rFonts w:hint="eastAsia" w:ascii="MS Mincho" w:hAnsi="MS Mincho" w:eastAsia="MS Mincho" w:cs="MS Mincho"/>
                <w:color w:val="auto"/>
                <w:sz w:val="28"/>
                <w:szCs w:val="28"/>
                <w:highlight w:val="none"/>
              </w:rPr>
              <w:t>☑</w:t>
            </w:r>
            <w:r>
              <w:rPr>
                <w:rFonts w:hint="eastAsia" w:ascii="宋体" w:cs="宋体"/>
                <w:color w:val="auto"/>
                <w:sz w:val="28"/>
                <w:szCs w:val="28"/>
                <w:highlight w:val="none"/>
              </w:rPr>
              <w:t xml:space="preserve"> 否 </w:t>
            </w:r>
          </w:p>
          <w:p>
            <w:pPr>
              <w:wordWrap w:val="0"/>
              <w:topLinePunct/>
              <w:spacing w:line="480" w:lineRule="auto"/>
              <w:rPr>
                <w:rFonts w:ascii="宋体" w:cs="宋体"/>
                <w:color w:val="auto"/>
                <w:sz w:val="28"/>
                <w:szCs w:val="28"/>
                <w:highlight w:val="none"/>
              </w:rPr>
            </w:pPr>
            <w:r>
              <w:rPr>
                <w:rFonts w:hint="eastAsia" w:ascii="宋体" w:cs="宋体"/>
                <w:color w:val="auto"/>
                <w:sz w:val="28"/>
                <w:szCs w:val="28"/>
                <w:highlight w:val="none"/>
              </w:rPr>
              <w:t>□ 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hint="eastAsia" w:ascii="宋体" w:cs="宋体"/>
                <w:color w:val="auto"/>
                <w:sz w:val="28"/>
                <w:szCs w:val="28"/>
                <w:highlight w:val="none"/>
              </w:rPr>
              <w:t>3</w:t>
            </w:r>
            <w:r>
              <w:rPr>
                <w:rFonts w:hint="eastAsia" w:ascii="宋体" w:cs="宋体"/>
                <w:color w:val="auto"/>
                <w:sz w:val="28"/>
                <w:szCs w:val="28"/>
                <w:highlight w:val="none"/>
                <w:lang w:val="en-US" w:eastAsia="zh-CN"/>
              </w:rPr>
              <w:t>4</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ascii="宋体" w:cs="宋体"/>
                <w:color w:val="auto"/>
                <w:sz w:val="28"/>
                <w:szCs w:val="28"/>
                <w:highlight w:val="none"/>
              </w:rPr>
              <w:t>招标代理费用</w:t>
            </w:r>
            <w:r>
              <w:rPr>
                <w:rFonts w:hint="eastAsia" w:ascii="宋体" w:cs="宋体"/>
                <w:color w:val="auto"/>
                <w:sz w:val="28"/>
                <w:szCs w:val="28"/>
                <w:highlight w:val="none"/>
                <w:lang w:eastAsia="zh-CN"/>
              </w:rPr>
              <w:t>和需求论证费用</w:t>
            </w:r>
            <w:r>
              <w:rPr>
                <w:rFonts w:hint="eastAsia" w:ascii="宋体" w:cs="宋体"/>
                <w:color w:val="auto"/>
                <w:sz w:val="28"/>
                <w:szCs w:val="28"/>
                <w:highlight w:val="none"/>
              </w:rPr>
              <w:t>的收取标准和方式</w:t>
            </w:r>
          </w:p>
        </w:tc>
        <w:tc>
          <w:tcPr>
            <w:tcW w:w="6146" w:type="dxa"/>
            <w:shd w:val="clear" w:color="auto" w:fill="auto"/>
            <w:vAlign w:val="center"/>
          </w:tcPr>
          <w:p>
            <w:pPr>
              <w:wordWrap w:val="0"/>
              <w:topLinePunct/>
              <w:spacing w:line="480" w:lineRule="auto"/>
              <w:rPr>
                <w:sz w:val="28"/>
                <w:szCs w:val="28"/>
              </w:rPr>
            </w:pPr>
            <w:r>
              <w:rPr>
                <w:rFonts w:hint="default"/>
                <w:sz w:val="28"/>
                <w:szCs w:val="28"/>
                <w:lang w:val="en-US"/>
              </w:rPr>
              <w:t>本项目</w:t>
            </w:r>
            <w:r>
              <w:rPr>
                <w:rFonts w:hint="eastAsia"/>
                <w:sz w:val="28"/>
                <w:szCs w:val="28"/>
                <w:lang w:val="en-US" w:eastAsia="zh-CN"/>
              </w:rPr>
              <w:t>中标</w:t>
            </w:r>
            <w:r>
              <w:rPr>
                <w:rFonts w:hint="default"/>
                <w:sz w:val="28"/>
                <w:szCs w:val="28"/>
                <w:lang w:val="en-US"/>
              </w:rPr>
              <w:t>服务费根据《国家发展和改革委关于进一步开放建设项目专业服务价格的通知</w:t>
            </w:r>
            <w:r>
              <w:rPr>
                <w:rFonts w:hint="eastAsia"/>
                <w:sz w:val="28"/>
                <w:szCs w:val="28"/>
                <w:lang w:val="en-US" w:eastAsia="zh-CN"/>
              </w:rPr>
              <w:t>》</w:t>
            </w:r>
            <w:r>
              <w:rPr>
                <w:rFonts w:hint="default"/>
                <w:sz w:val="28"/>
                <w:szCs w:val="28"/>
                <w:lang w:val="en-US"/>
              </w:rPr>
              <w:t>（发改价格【2015】299号）的规定</w:t>
            </w:r>
            <w:r>
              <w:rPr>
                <w:rFonts w:hint="eastAsia"/>
                <w:sz w:val="28"/>
                <w:szCs w:val="28"/>
                <w:lang w:val="en-US" w:eastAsia="zh-CN"/>
              </w:rPr>
              <w:t>按固定价</w:t>
            </w:r>
            <w:r>
              <w:rPr>
                <w:rFonts w:hint="default"/>
                <w:sz w:val="28"/>
                <w:szCs w:val="28"/>
                <w:lang w:val="en-US" w:eastAsia="zh-CN"/>
              </w:rPr>
              <w:t>收取</w:t>
            </w:r>
            <w:r>
              <w:rPr>
                <w:rFonts w:hint="default"/>
                <w:sz w:val="28"/>
                <w:szCs w:val="28"/>
                <w:lang w:val="en-US"/>
              </w:rPr>
              <w:t>，由</w:t>
            </w:r>
            <w:r>
              <w:rPr>
                <w:rFonts w:hint="eastAsia"/>
                <w:sz w:val="28"/>
                <w:szCs w:val="28"/>
                <w:lang w:val="en-US" w:eastAsia="zh-CN"/>
              </w:rPr>
              <w:t>采购人</w:t>
            </w:r>
            <w:r>
              <w:rPr>
                <w:rFonts w:hint="default"/>
                <w:sz w:val="28"/>
                <w:szCs w:val="28"/>
                <w:lang w:val="en-US"/>
              </w:rPr>
              <w:t>支付</w:t>
            </w:r>
            <w:r>
              <w:rPr>
                <w:rFonts w:hint="eastAsia"/>
                <w:sz w:val="28"/>
                <w:szCs w:val="28"/>
                <w:lang w:val="en-US" w:eastAsia="zh-CN"/>
              </w:rPr>
              <w:t>，中标服务费包含在眉山市东坡区医疗应急救治能力提升项目所签订的招标代理合同总价中，不单列。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ascii="宋体" w:cs="宋体"/>
                <w:color w:val="auto"/>
                <w:sz w:val="28"/>
                <w:szCs w:val="28"/>
                <w:highlight w:val="none"/>
              </w:rPr>
              <w:t>3</w:t>
            </w:r>
            <w:r>
              <w:rPr>
                <w:rFonts w:hint="eastAsia" w:ascii="宋体" w:cs="宋体"/>
                <w:color w:val="auto"/>
                <w:sz w:val="28"/>
                <w:szCs w:val="28"/>
                <w:highlight w:val="none"/>
                <w:lang w:val="en-US" w:eastAsia="zh-CN"/>
              </w:rPr>
              <w:t>5</w:t>
            </w:r>
          </w:p>
        </w:tc>
        <w:tc>
          <w:tcPr>
            <w:tcW w:w="1559" w:type="dxa"/>
            <w:shd w:val="clear" w:color="auto" w:fill="auto"/>
            <w:vAlign w:val="center"/>
          </w:tcPr>
          <w:p>
            <w:pPr>
              <w:wordWrap w:val="0"/>
              <w:topLinePunct/>
              <w:spacing w:line="480" w:lineRule="auto"/>
              <w:jc w:val="center"/>
              <w:rPr>
                <w:rFonts w:ascii="宋体" w:cs="宋体"/>
                <w:color w:val="auto"/>
                <w:sz w:val="28"/>
                <w:szCs w:val="28"/>
                <w:highlight w:val="none"/>
              </w:rPr>
            </w:pPr>
            <w:r>
              <w:rPr>
                <w:rFonts w:hint="eastAsia" w:cs="宋体"/>
                <w:color w:val="auto"/>
                <w:sz w:val="28"/>
                <w:szCs w:val="28"/>
                <w:highlight w:val="none"/>
                <w:lang w:val="zh-CN"/>
              </w:rPr>
              <w:t>执行《政府采购非招标采购方式管理办法》(财政部令第74号)文件的要求</w:t>
            </w:r>
          </w:p>
        </w:tc>
        <w:tc>
          <w:tcPr>
            <w:tcW w:w="6146" w:type="dxa"/>
            <w:shd w:val="clear" w:color="auto" w:fill="auto"/>
            <w:vAlign w:val="center"/>
          </w:tcPr>
          <w:p>
            <w:pPr>
              <w:wordWrap w:val="0"/>
              <w:topLinePunct/>
              <w:spacing w:line="480" w:lineRule="auto"/>
              <w:rPr>
                <w:rFonts w:ascii="宋体" w:cs="宋体"/>
                <w:color w:val="auto"/>
                <w:sz w:val="28"/>
                <w:szCs w:val="28"/>
                <w:highlight w:val="none"/>
              </w:rPr>
            </w:pPr>
            <w:r>
              <w:rPr>
                <w:rFonts w:hint="eastAsia" w:cs="宋体"/>
                <w:color w:val="auto"/>
                <w:sz w:val="28"/>
                <w:szCs w:val="28"/>
                <w:highlight w:val="none"/>
              </w:rPr>
              <w:t>项目废标后，根据《政府采购非招标采购方式管理办法》(财政部令第74号)第二十七条之规定，</w:t>
            </w:r>
            <w:r>
              <w:rPr>
                <w:rFonts w:hint="eastAsia" w:cs="宋体"/>
                <w:b/>
                <w:color w:val="auto"/>
                <w:sz w:val="28"/>
                <w:szCs w:val="28"/>
                <w:highlight w:val="none"/>
              </w:rPr>
              <w:t>项目在招标过程中若出现提交有效投标文件或者经评审实质性响应招标文件要求的投标人只有两家时，采购人可以按程序报经财政部门批准后转为与该两家投标人进行竞争性谈判采购。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817" w:type="dxa"/>
            <w:shd w:val="clear" w:color="auto" w:fill="auto"/>
            <w:vAlign w:val="center"/>
          </w:tcPr>
          <w:p>
            <w:pPr>
              <w:wordWrap w:val="0"/>
              <w:topLinePunct/>
              <w:spacing w:line="480" w:lineRule="auto"/>
              <w:jc w:val="center"/>
              <w:rPr>
                <w:rFonts w:hint="eastAsia" w:ascii="宋体" w:eastAsia="宋体" w:cs="宋体"/>
                <w:color w:val="auto"/>
                <w:sz w:val="28"/>
                <w:szCs w:val="28"/>
                <w:highlight w:val="none"/>
                <w:lang w:eastAsia="zh-CN"/>
              </w:rPr>
            </w:pPr>
            <w:r>
              <w:rPr>
                <w:rFonts w:ascii="宋体" w:hAnsi="宋体" w:cs="宋体"/>
                <w:color w:val="auto"/>
                <w:sz w:val="28"/>
                <w:szCs w:val="28"/>
                <w:highlight w:val="none"/>
              </w:rPr>
              <w:t>3</w:t>
            </w:r>
            <w:r>
              <w:rPr>
                <w:rFonts w:hint="eastAsia" w:ascii="宋体" w:hAnsi="宋体" w:cs="宋体"/>
                <w:color w:val="auto"/>
                <w:sz w:val="28"/>
                <w:szCs w:val="28"/>
                <w:highlight w:val="none"/>
                <w:lang w:val="en-US" w:eastAsia="zh-CN"/>
              </w:rPr>
              <w:t>6</w:t>
            </w:r>
          </w:p>
        </w:tc>
        <w:tc>
          <w:tcPr>
            <w:tcW w:w="1559" w:type="dxa"/>
            <w:shd w:val="clear" w:color="auto" w:fill="auto"/>
            <w:vAlign w:val="center"/>
          </w:tcPr>
          <w:p>
            <w:pPr>
              <w:spacing w:line="480" w:lineRule="auto"/>
              <w:rPr>
                <w:rFonts w:ascii="宋体" w:cs="宋体"/>
                <w:color w:val="auto"/>
                <w:sz w:val="28"/>
                <w:szCs w:val="28"/>
                <w:highlight w:val="none"/>
              </w:rPr>
            </w:pPr>
            <w:r>
              <w:rPr>
                <w:rFonts w:hint="eastAsia"/>
                <w:color w:val="auto"/>
                <w:sz w:val="28"/>
                <w:szCs w:val="28"/>
                <w:highlight w:val="none"/>
              </w:rPr>
              <w:t>民营经济扶持政策</w:t>
            </w:r>
          </w:p>
        </w:tc>
        <w:tc>
          <w:tcPr>
            <w:tcW w:w="6146" w:type="dxa"/>
            <w:shd w:val="clear" w:color="auto" w:fill="auto"/>
          </w:tcPr>
          <w:p>
            <w:pPr>
              <w:spacing w:line="480" w:lineRule="auto"/>
              <w:rPr>
                <w:rFonts w:ascii="宋体" w:cs="宋体"/>
                <w:color w:val="auto"/>
                <w:sz w:val="28"/>
                <w:szCs w:val="28"/>
                <w:highlight w:val="none"/>
              </w:rPr>
            </w:pPr>
            <w:r>
              <w:rPr>
                <w:rFonts w:hint="eastAsia"/>
                <w:color w:val="auto"/>
                <w:sz w:val="28"/>
                <w:szCs w:val="28"/>
                <w:highlight w:val="none"/>
              </w:rPr>
              <w:t>按照眉山市财政局《关于贯彻落实“政采贷”工作的通知》（眉财采〔2019〕3号）文件要求，本项目支持“政采贷”信用融资贷款。“政采贷”产品信息查询渠道详见“</w:t>
            </w:r>
            <w:r>
              <w:rPr>
                <w:rFonts w:hint="eastAsia"/>
                <w:color w:val="auto"/>
                <w:sz w:val="28"/>
                <w:szCs w:val="28"/>
                <w:highlight w:val="none"/>
                <w:lang w:eastAsia="zh-CN"/>
              </w:rPr>
              <w:t>中国政府采购网</w:t>
            </w:r>
            <w:r>
              <w:rPr>
                <w:rFonts w:hint="eastAsia"/>
                <w:color w:val="auto"/>
                <w:sz w:val="28"/>
                <w:szCs w:val="28"/>
                <w:highlight w:val="none"/>
              </w:rPr>
              <w:t>”—“相关模块”—“政采贷”。</w:t>
            </w:r>
          </w:p>
        </w:tc>
      </w:tr>
    </w:tbl>
    <w:p>
      <w:pPr>
        <w:rPr>
          <w:color w:val="auto"/>
          <w:highlight w:val="none"/>
        </w:rPr>
      </w:pPr>
      <w:bookmarkStart w:id="17" w:name="EB300afb04798540a4b1aa9230fd20c14f"/>
      <w:bookmarkEnd w:id="17"/>
    </w:p>
    <w:p>
      <w:pPr>
        <w:wordWrap w:val="0"/>
        <w:topLinePunct/>
        <w:spacing w:line="480" w:lineRule="auto"/>
        <w:jc w:val="center"/>
        <w:outlineLvl w:val="2"/>
        <w:rPr>
          <w:rFonts w:ascii="宋体"/>
          <w:b/>
          <w:color w:val="auto"/>
          <w:sz w:val="24"/>
          <w:szCs w:val="24"/>
          <w:highlight w:val="none"/>
        </w:rPr>
      </w:pPr>
      <w:r>
        <w:rPr>
          <w:rFonts w:ascii="宋体"/>
          <w:b/>
          <w:color w:val="auto"/>
          <w:sz w:val="24"/>
          <w:szCs w:val="24"/>
          <w:highlight w:val="none"/>
        </w:rPr>
        <w:br w:type="page"/>
      </w:r>
      <w:bookmarkStart w:id="18" w:name="_Toc3077"/>
      <w:bookmarkStart w:id="19" w:name="_Toc484268463"/>
      <w:bookmarkStart w:id="20" w:name="_Toc497397744"/>
      <w:r>
        <w:rPr>
          <w:rFonts w:hint="eastAsia" w:ascii="宋体"/>
          <w:b/>
          <w:color w:val="auto"/>
          <w:sz w:val="32"/>
          <w:szCs w:val="32"/>
          <w:highlight w:val="none"/>
        </w:rPr>
        <w:t>二、总则</w:t>
      </w:r>
      <w:bookmarkEnd w:id="18"/>
      <w:bookmarkEnd w:id="19"/>
      <w:bookmarkEnd w:id="20"/>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1．适用范围</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1.1 本招标文件仅适用于本次公开招标采购项目。</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2. 有关定义</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2.1 “采购人”系指依法进行政府采购的国家机关、事业单位、团体组织。本次招标的采购人是</w:t>
      </w:r>
      <w:r>
        <w:rPr>
          <w:rFonts w:hint="eastAsia" w:ascii="宋体"/>
          <w:color w:val="auto"/>
          <w:sz w:val="28"/>
          <w:szCs w:val="28"/>
          <w:highlight w:val="none"/>
          <w:u w:val="single"/>
          <w:lang w:eastAsia="zh-CN"/>
        </w:rPr>
        <w:t>眉山市东岸投资开发有限公司</w:t>
      </w:r>
      <w:r>
        <w:rPr>
          <w:rFonts w:hint="eastAsia" w:ascii="宋体"/>
          <w:color w:val="auto"/>
          <w:sz w:val="28"/>
          <w:szCs w:val="28"/>
          <w:highlight w:val="none"/>
        </w:rPr>
        <w:t>。</w:t>
      </w:r>
      <w:r>
        <w:rPr>
          <w:rFonts w:hint="eastAsia" w:ascii="宋体"/>
          <w:color w:val="auto"/>
          <w:sz w:val="28"/>
          <w:szCs w:val="28"/>
          <w:highlight w:val="none"/>
        </w:rPr>
        <w:tab/>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2.2 “采购代理机构” 系指根据采购人的委托依法办理招标事宜的采购机构。本次招标的采购代理机构是</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四川华景工程项目管理有限公司</w:t>
      </w:r>
      <w:r>
        <w:rPr>
          <w:rFonts w:hint="eastAsia" w:ascii="宋体"/>
          <w:color w:val="auto"/>
          <w:sz w:val="28"/>
          <w:szCs w:val="28"/>
          <w:highlight w:val="none"/>
          <w:u w:val="single"/>
        </w:rPr>
        <w:t xml:space="preserve"> </w:t>
      </w:r>
      <w:r>
        <w:rPr>
          <w:rFonts w:hint="eastAsia" w:ascii="宋体"/>
          <w:color w:val="auto"/>
          <w:sz w:val="28"/>
          <w:szCs w:val="28"/>
          <w:highlight w:val="none"/>
        </w:rPr>
        <w:t>。</w:t>
      </w:r>
    </w:p>
    <w:p>
      <w:pPr>
        <w:widowControl/>
        <w:spacing w:before="100" w:beforeAutospacing="1" w:after="240" w:line="480" w:lineRule="auto"/>
        <w:ind w:firstLine="560" w:firstLineChars="200"/>
        <w:jc w:val="left"/>
        <w:rPr>
          <w:rFonts w:ascii="宋体"/>
          <w:color w:val="auto"/>
          <w:sz w:val="28"/>
          <w:szCs w:val="28"/>
          <w:highlight w:val="none"/>
        </w:rPr>
      </w:pPr>
      <w:r>
        <w:rPr>
          <w:rFonts w:hint="eastAsia" w:ascii="宋体"/>
          <w:color w:val="auto"/>
          <w:sz w:val="28"/>
          <w:szCs w:val="28"/>
          <w:highlight w:val="none"/>
        </w:rPr>
        <w:t>2.3 “投标人”系指</w:t>
      </w:r>
      <w:r>
        <w:rPr>
          <w:rFonts w:ascii="宋体"/>
          <w:color w:val="auto"/>
          <w:sz w:val="28"/>
          <w:szCs w:val="28"/>
          <w:highlight w:val="none"/>
        </w:rPr>
        <w:t>是指响应招标、参加投标竞争的法人、其他组织或者自然人。</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3. 投标费用（实质性要求）</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无论投标结果如何，投标人参加投标的有关费用由投标人自行承担。因采购人原因取消采购任务的，投标人参加投标的有关费用也由投标人自行承担。</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4. 合格的投标人（实质性要求）</w:t>
      </w:r>
    </w:p>
    <w:p>
      <w:pPr>
        <w:tabs>
          <w:tab w:val="left" w:pos="7665"/>
        </w:tabs>
        <w:spacing w:line="480" w:lineRule="auto"/>
        <w:rPr>
          <w:rFonts w:ascii="宋体"/>
          <w:color w:val="auto"/>
          <w:sz w:val="28"/>
          <w:szCs w:val="28"/>
          <w:highlight w:val="none"/>
        </w:rPr>
      </w:pPr>
      <w:r>
        <w:rPr>
          <w:rFonts w:hint="eastAsia" w:ascii="宋体"/>
          <w:color w:val="auto"/>
          <w:sz w:val="28"/>
          <w:szCs w:val="28"/>
          <w:highlight w:val="none"/>
        </w:rPr>
        <w:t>合格的投标人应具备以下条件：</w:t>
      </w:r>
    </w:p>
    <w:p>
      <w:pPr>
        <w:tabs>
          <w:tab w:val="left" w:pos="7665"/>
        </w:tabs>
        <w:spacing w:line="480" w:lineRule="auto"/>
        <w:ind w:firstLine="560" w:firstLineChars="200"/>
        <w:rPr>
          <w:rFonts w:ascii="宋体"/>
          <w:color w:val="auto"/>
          <w:spacing w:val="-4"/>
          <w:sz w:val="28"/>
          <w:szCs w:val="28"/>
          <w:highlight w:val="none"/>
        </w:rPr>
      </w:pPr>
      <w:r>
        <w:rPr>
          <w:rFonts w:hint="eastAsia" w:ascii="宋体"/>
          <w:color w:val="auto"/>
          <w:sz w:val="28"/>
          <w:szCs w:val="28"/>
          <w:highlight w:val="none"/>
        </w:rPr>
        <w:t>（1）本招标文件规定的投标人资格条件</w:t>
      </w:r>
      <w:r>
        <w:rPr>
          <w:rFonts w:hint="eastAsia" w:ascii="宋体"/>
          <w:color w:val="auto"/>
          <w:spacing w:val="-4"/>
          <w:sz w:val="28"/>
          <w:szCs w:val="28"/>
          <w:highlight w:val="none"/>
        </w:rPr>
        <w:t>；</w:t>
      </w:r>
    </w:p>
    <w:p>
      <w:pPr>
        <w:tabs>
          <w:tab w:val="left" w:pos="7665"/>
        </w:tabs>
        <w:spacing w:line="480" w:lineRule="auto"/>
        <w:rPr>
          <w:rFonts w:ascii="宋体"/>
          <w:color w:val="auto"/>
          <w:sz w:val="28"/>
          <w:szCs w:val="28"/>
          <w:highlight w:val="none"/>
        </w:rPr>
      </w:pPr>
      <w:r>
        <w:rPr>
          <w:rFonts w:hint="eastAsia" w:ascii="宋体"/>
          <w:color w:val="auto"/>
          <w:sz w:val="28"/>
          <w:szCs w:val="28"/>
          <w:highlight w:val="none"/>
        </w:rPr>
        <w:t xml:space="preserve">    （2）遵守国家有关的法律、法规、规章和其他政策制度。</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5.充分、公平竞争保障措施</w:t>
      </w:r>
      <w:r>
        <w:rPr>
          <w:rFonts w:hint="eastAsia"/>
          <w:color w:val="auto"/>
          <w:sz w:val="28"/>
          <w:szCs w:val="28"/>
          <w:highlight w:val="none"/>
        </w:rPr>
        <w:t>（实质性要求）</w:t>
      </w:r>
    </w:p>
    <w:p>
      <w:pPr>
        <w:tabs>
          <w:tab w:val="left" w:pos="7665"/>
        </w:tabs>
        <w:spacing w:line="480" w:lineRule="auto"/>
        <w:ind w:firstLine="480"/>
        <w:rPr>
          <w:rFonts w:ascii="宋体"/>
          <w:b/>
          <w:color w:val="auto"/>
          <w:sz w:val="28"/>
          <w:szCs w:val="28"/>
          <w:highlight w:val="none"/>
        </w:rPr>
      </w:pPr>
      <w:r>
        <w:rPr>
          <w:rFonts w:hint="eastAsia" w:ascii="宋体"/>
          <w:b/>
          <w:color w:val="auto"/>
          <w:sz w:val="28"/>
          <w:szCs w:val="28"/>
          <w:highlight w:val="none"/>
        </w:rPr>
        <w:t>5.1提供相同品牌产品处理。</w:t>
      </w:r>
    </w:p>
    <w:p>
      <w:pPr>
        <w:tabs>
          <w:tab w:val="left" w:pos="7665"/>
        </w:tabs>
        <w:spacing w:line="480" w:lineRule="auto"/>
        <w:ind w:firstLine="480"/>
        <w:rPr>
          <w:rFonts w:ascii="宋体"/>
          <w:color w:val="auto"/>
          <w:sz w:val="28"/>
          <w:szCs w:val="28"/>
          <w:highlight w:val="none"/>
        </w:rPr>
      </w:pPr>
      <w:r>
        <w:rPr>
          <w:rFonts w:hint="eastAsia" w:ascii="宋体"/>
          <w:b/>
          <w:color w:val="auto"/>
          <w:sz w:val="28"/>
          <w:szCs w:val="28"/>
          <w:highlight w:val="none"/>
        </w:rPr>
        <w:t>采用综合评分法的，</w:t>
      </w:r>
      <w:r>
        <w:rPr>
          <w:rFonts w:hint="eastAsia" w:ascii="宋体"/>
          <w:color w:val="auto"/>
          <w:sz w:val="28"/>
          <w:szCs w:val="28"/>
          <w:highlight w:val="none"/>
        </w:rPr>
        <w:t>提供相同品牌产品</w:t>
      </w:r>
      <w:r>
        <w:rPr>
          <w:rFonts w:ascii="宋体"/>
          <w:color w:val="auto"/>
          <w:sz w:val="28"/>
          <w:szCs w:val="28"/>
          <w:highlight w:val="none"/>
        </w:rPr>
        <w:t>且通过资格审查、符合性审查的不同投标人参加同一合同项下投标的，按一家投标人计算，评审后得分最高的同品牌投标人获得中标人推荐资格；评审得分相同的，</w:t>
      </w:r>
      <w:r>
        <w:rPr>
          <w:rFonts w:hint="eastAsia" w:ascii="宋体"/>
          <w:color w:val="auto"/>
          <w:sz w:val="28"/>
          <w:szCs w:val="28"/>
          <w:highlight w:val="none"/>
        </w:rPr>
        <w:t>由采购人</w:t>
      </w:r>
      <w:r>
        <w:rPr>
          <w:rFonts w:ascii="宋体"/>
          <w:color w:val="auto"/>
          <w:sz w:val="28"/>
          <w:szCs w:val="28"/>
          <w:highlight w:val="none"/>
        </w:rPr>
        <w:t>采取随机抽取方式确定，其他同品牌投标人不作为中标候选人。</w:t>
      </w:r>
    </w:p>
    <w:p>
      <w:pPr>
        <w:tabs>
          <w:tab w:val="left" w:pos="7665"/>
        </w:tabs>
        <w:spacing w:line="480" w:lineRule="auto"/>
        <w:ind w:firstLine="480"/>
        <w:rPr>
          <w:rFonts w:ascii="宋体"/>
          <w:color w:val="auto"/>
          <w:sz w:val="28"/>
          <w:szCs w:val="28"/>
          <w:highlight w:val="none"/>
        </w:rPr>
      </w:pPr>
      <w:r>
        <w:rPr>
          <w:rFonts w:hint="eastAsia" w:ascii="宋体"/>
          <w:b/>
          <w:color w:val="auto"/>
          <w:sz w:val="28"/>
          <w:szCs w:val="28"/>
          <w:highlight w:val="none"/>
        </w:rPr>
        <w:t>采用最低评标价法的，</w:t>
      </w:r>
      <w:r>
        <w:rPr>
          <w:rFonts w:ascii="宋体"/>
          <w:color w:val="auto"/>
          <w:sz w:val="28"/>
          <w:szCs w:val="28"/>
          <w:highlight w:val="none"/>
        </w:rPr>
        <w:t>提供相同品牌产品的不同投标人参加同一合同项下投标的，以其中通过资格审查、符合性审查且报价最低的参加评标；报价相同的，采取随机抽取方式确定，其他投标无效。</w:t>
      </w:r>
    </w:p>
    <w:p>
      <w:pPr>
        <w:tabs>
          <w:tab w:val="left" w:pos="7665"/>
        </w:tabs>
        <w:spacing w:line="480" w:lineRule="auto"/>
        <w:ind w:firstLine="480"/>
        <w:rPr>
          <w:rFonts w:ascii="黑体" w:eastAsia="黑体" w:cs="宋体"/>
          <w:color w:val="auto"/>
          <w:sz w:val="28"/>
          <w:szCs w:val="28"/>
          <w:highlight w:val="none"/>
        </w:rPr>
      </w:pPr>
      <w:r>
        <w:rPr>
          <w:rFonts w:hint="eastAsia" w:ascii="黑体" w:eastAsia="黑体" w:cs="宋体"/>
          <w:color w:val="auto"/>
          <w:sz w:val="28"/>
          <w:szCs w:val="28"/>
          <w:highlight w:val="none"/>
        </w:rPr>
        <w:t>非单一产品采购项目，以采购清单中列明的核心产品开展相同品牌产品评审。</w:t>
      </w:r>
    </w:p>
    <w:p>
      <w:pPr>
        <w:pStyle w:val="36"/>
        <w:spacing w:line="480" w:lineRule="auto"/>
        <w:ind w:left="1" w:firstLine="560" w:firstLineChars="200"/>
        <w:rPr>
          <w:color w:val="auto"/>
          <w:sz w:val="28"/>
          <w:szCs w:val="28"/>
          <w:highlight w:val="none"/>
        </w:rPr>
      </w:pPr>
      <w:r>
        <w:rPr>
          <w:rFonts w:hint="eastAsia"/>
          <w:color w:val="auto"/>
          <w:sz w:val="28"/>
          <w:szCs w:val="28"/>
          <w:highlight w:val="none"/>
        </w:rPr>
        <w:t>5.2利害关系投标人处理。单位负责人为同一人或者存在直接控股、管理关系的不同投标人不得参加同一合同项下的政府采购活动。采购项目实行资格预审的，单位负责人为同一人或者存在直接控股、管理关系的不同投标人可以参加资格预审，但只能由投标人确定其中一家符合条件的投标人参加后续的政府采购活动，否则，其投标文件作为无效处理。</w:t>
      </w:r>
    </w:p>
    <w:p>
      <w:pPr>
        <w:pStyle w:val="36"/>
        <w:spacing w:line="480" w:lineRule="auto"/>
        <w:ind w:left="1" w:firstLine="560" w:firstLineChars="200"/>
        <w:rPr>
          <w:color w:val="auto"/>
          <w:sz w:val="28"/>
          <w:szCs w:val="28"/>
          <w:highlight w:val="none"/>
        </w:rPr>
      </w:pPr>
      <w:r>
        <w:rPr>
          <w:rFonts w:hint="eastAsia"/>
          <w:color w:val="auto"/>
          <w:sz w:val="28"/>
          <w:szCs w:val="28"/>
          <w:highlight w:val="none"/>
        </w:rPr>
        <w:t>5.3前期参与投标人处理。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pPr>
        <w:pStyle w:val="36"/>
        <w:spacing w:line="480" w:lineRule="auto"/>
        <w:ind w:firstLine="562" w:firstLineChars="200"/>
        <w:rPr>
          <w:b/>
          <w:color w:val="auto"/>
          <w:sz w:val="28"/>
          <w:szCs w:val="28"/>
          <w:highlight w:val="none"/>
        </w:rPr>
      </w:pPr>
      <w:r>
        <w:rPr>
          <w:rFonts w:hint="eastAsia"/>
          <w:b/>
          <w:color w:val="auto"/>
          <w:sz w:val="28"/>
          <w:szCs w:val="28"/>
          <w:highlight w:val="none"/>
        </w:rPr>
        <w:t>5.4</w:t>
      </w:r>
      <w:r>
        <w:rPr>
          <w:b/>
          <w:color w:val="auto"/>
          <w:sz w:val="28"/>
          <w:szCs w:val="28"/>
          <w:highlight w:val="none"/>
        </w:rPr>
        <w:t>有下列情形之一的，视为投标人串通投标，其投标无效：</w:t>
      </w:r>
    </w:p>
    <w:p>
      <w:pPr>
        <w:pStyle w:val="36"/>
        <w:spacing w:line="480" w:lineRule="auto"/>
        <w:ind w:left="1" w:firstLine="562" w:firstLineChars="200"/>
        <w:rPr>
          <w:b/>
          <w:color w:val="auto"/>
          <w:sz w:val="28"/>
          <w:szCs w:val="28"/>
          <w:highlight w:val="none"/>
        </w:rPr>
      </w:pPr>
      <w:r>
        <w:rPr>
          <w:rFonts w:hint="eastAsia"/>
          <w:b/>
          <w:color w:val="auto"/>
          <w:sz w:val="28"/>
          <w:szCs w:val="28"/>
          <w:highlight w:val="none"/>
        </w:rPr>
        <w:t>(1)</w:t>
      </w:r>
      <w:r>
        <w:rPr>
          <w:b/>
          <w:color w:val="auto"/>
          <w:sz w:val="28"/>
          <w:szCs w:val="28"/>
          <w:highlight w:val="none"/>
        </w:rPr>
        <w:t>不同投标人的投标文件由同一单位或者个人编制；</w:t>
      </w:r>
    </w:p>
    <w:p>
      <w:pPr>
        <w:pStyle w:val="36"/>
        <w:spacing w:line="480" w:lineRule="auto"/>
        <w:ind w:left="1"/>
        <w:rPr>
          <w:b/>
          <w:color w:val="auto"/>
          <w:sz w:val="28"/>
          <w:szCs w:val="28"/>
          <w:highlight w:val="none"/>
        </w:rPr>
      </w:pPr>
      <w:r>
        <w:rPr>
          <w:b/>
          <w:color w:val="auto"/>
          <w:sz w:val="28"/>
          <w:szCs w:val="28"/>
          <w:highlight w:val="none"/>
        </w:rPr>
        <w:t>　　</w:t>
      </w:r>
      <w:r>
        <w:rPr>
          <w:rFonts w:hint="eastAsia"/>
          <w:b/>
          <w:color w:val="auto"/>
          <w:sz w:val="28"/>
          <w:szCs w:val="28"/>
          <w:highlight w:val="none"/>
        </w:rPr>
        <w:t>(2)不同投标人同时委托同一个自然人、同一家庭的人员、同一单位的人员作为其代理人的；</w:t>
      </w:r>
    </w:p>
    <w:p>
      <w:pPr>
        <w:pStyle w:val="36"/>
        <w:spacing w:line="480" w:lineRule="auto"/>
        <w:ind w:left="1" w:firstLine="562" w:firstLineChars="200"/>
        <w:rPr>
          <w:b/>
          <w:color w:val="auto"/>
          <w:sz w:val="28"/>
          <w:szCs w:val="28"/>
          <w:highlight w:val="none"/>
        </w:rPr>
      </w:pPr>
      <w:r>
        <w:rPr>
          <w:rFonts w:hint="eastAsia"/>
          <w:b/>
          <w:color w:val="auto"/>
          <w:sz w:val="28"/>
          <w:szCs w:val="28"/>
          <w:highlight w:val="none"/>
        </w:rPr>
        <w:t>(3)</w:t>
      </w:r>
      <w:r>
        <w:rPr>
          <w:b/>
          <w:color w:val="auto"/>
          <w:sz w:val="28"/>
          <w:szCs w:val="28"/>
          <w:highlight w:val="none"/>
        </w:rPr>
        <w:t>不同投标人的投标文件载明的项目管理成员或者联系人员为同一人；</w:t>
      </w:r>
    </w:p>
    <w:p>
      <w:pPr>
        <w:pStyle w:val="36"/>
        <w:spacing w:line="480" w:lineRule="auto"/>
        <w:ind w:left="1" w:firstLine="562" w:firstLineChars="200"/>
        <w:rPr>
          <w:b/>
          <w:color w:val="auto"/>
          <w:sz w:val="28"/>
          <w:szCs w:val="28"/>
          <w:highlight w:val="none"/>
        </w:rPr>
      </w:pPr>
      <w:r>
        <w:rPr>
          <w:rFonts w:hint="eastAsia"/>
          <w:b/>
          <w:color w:val="auto"/>
          <w:sz w:val="28"/>
          <w:szCs w:val="28"/>
          <w:highlight w:val="none"/>
        </w:rPr>
        <w:t>(4)</w:t>
      </w:r>
      <w:r>
        <w:rPr>
          <w:b/>
          <w:color w:val="auto"/>
          <w:sz w:val="28"/>
          <w:szCs w:val="28"/>
          <w:highlight w:val="none"/>
        </w:rPr>
        <w:t>不同投标人的投标文件异常一致或者投标报价呈规律性差异；</w:t>
      </w:r>
    </w:p>
    <w:p>
      <w:pPr>
        <w:pStyle w:val="36"/>
        <w:spacing w:line="480" w:lineRule="auto"/>
        <w:ind w:left="1" w:firstLine="562" w:firstLineChars="200"/>
        <w:rPr>
          <w:b/>
          <w:color w:val="auto"/>
          <w:sz w:val="28"/>
          <w:szCs w:val="28"/>
          <w:highlight w:val="none"/>
        </w:rPr>
      </w:pPr>
      <w:r>
        <w:rPr>
          <w:rFonts w:hint="eastAsia"/>
          <w:b/>
          <w:color w:val="auto"/>
          <w:sz w:val="28"/>
          <w:szCs w:val="28"/>
          <w:highlight w:val="none"/>
        </w:rPr>
        <w:t>(5)</w:t>
      </w:r>
      <w:r>
        <w:rPr>
          <w:b/>
          <w:color w:val="auto"/>
          <w:sz w:val="28"/>
          <w:szCs w:val="28"/>
          <w:highlight w:val="none"/>
        </w:rPr>
        <w:t>不同投标人的投标文件相互混装；</w:t>
      </w:r>
    </w:p>
    <w:p>
      <w:pPr>
        <w:pStyle w:val="36"/>
        <w:spacing w:line="480" w:lineRule="auto"/>
        <w:ind w:left="1" w:firstLine="562" w:firstLineChars="200"/>
        <w:rPr>
          <w:b/>
          <w:color w:val="auto"/>
          <w:sz w:val="28"/>
          <w:szCs w:val="28"/>
          <w:highlight w:val="none"/>
        </w:rPr>
      </w:pPr>
      <w:r>
        <w:rPr>
          <w:rFonts w:hint="eastAsia"/>
          <w:b/>
          <w:color w:val="auto"/>
          <w:sz w:val="28"/>
          <w:szCs w:val="28"/>
          <w:highlight w:val="none"/>
        </w:rPr>
        <w:t>(6)</w:t>
      </w:r>
      <w:r>
        <w:rPr>
          <w:b/>
          <w:color w:val="auto"/>
          <w:sz w:val="28"/>
          <w:szCs w:val="28"/>
          <w:highlight w:val="none"/>
        </w:rPr>
        <w:t>不同投标人的投标保证金从同一单位或者个人的账户转出。</w:t>
      </w:r>
    </w:p>
    <w:p>
      <w:pPr>
        <w:spacing w:line="480" w:lineRule="auto"/>
        <w:rPr>
          <w:color w:val="auto"/>
          <w:sz w:val="28"/>
          <w:szCs w:val="28"/>
          <w:highlight w:val="none"/>
        </w:rPr>
      </w:pPr>
    </w:p>
    <w:p>
      <w:pPr>
        <w:wordWrap w:val="0"/>
        <w:topLinePunct/>
        <w:spacing w:line="480" w:lineRule="auto"/>
        <w:jc w:val="center"/>
        <w:outlineLvl w:val="2"/>
        <w:rPr>
          <w:rFonts w:ascii="宋体"/>
          <w:b/>
          <w:color w:val="auto"/>
          <w:sz w:val="28"/>
          <w:szCs w:val="28"/>
          <w:highlight w:val="none"/>
        </w:rPr>
      </w:pPr>
      <w:bookmarkStart w:id="21" w:name="EB4c1fb06a5d8440e6a846619fe829c5f4"/>
      <w:bookmarkEnd w:id="21"/>
      <w:bookmarkStart w:id="22" w:name="EB54eed2a2ccd84917a8010e222dc9e5eb"/>
      <w:bookmarkEnd w:id="22"/>
      <w:bookmarkStart w:id="23" w:name="_Toc497397745"/>
      <w:bookmarkStart w:id="24" w:name="_Toc10923"/>
      <w:bookmarkStart w:id="25" w:name="_Toc484268464"/>
      <w:r>
        <w:rPr>
          <w:rFonts w:hint="eastAsia" w:ascii="宋体"/>
          <w:b/>
          <w:color w:val="auto"/>
          <w:sz w:val="28"/>
          <w:szCs w:val="28"/>
          <w:highlight w:val="none"/>
        </w:rPr>
        <w:t>三、招标文件</w:t>
      </w:r>
      <w:bookmarkEnd w:id="23"/>
      <w:bookmarkEnd w:id="24"/>
      <w:bookmarkEnd w:id="25"/>
    </w:p>
    <w:p>
      <w:pPr>
        <w:tabs>
          <w:tab w:val="left" w:pos="7665"/>
        </w:tabs>
        <w:wordWrap w:val="0"/>
        <w:topLinePunct/>
        <w:spacing w:line="480" w:lineRule="auto"/>
        <w:ind w:left="472"/>
        <w:outlineLvl w:val="3"/>
        <w:rPr>
          <w:rFonts w:ascii="宋体"/>
          <w:b/>
          <w:color w:val="auto"/>
          <w:sz w:val="28"/>
          <w:szCs w:val="28"/>
          <w:highlight w:val="none"/>
        </w:rPr>
      </w:pPr>
      <w:r>
        <w:rPr>
          <w:rFonts w:hint="eastAsia" w:ascii="宋体"/>
          <w:b/>
          <w:color w:val="auto"/>
          <w:sz w:val="28"/>
          <w:szCs w:val="28"/>
          <w:highlight w:val="none"/>
        </w:rPr>
        <w:t>6．招标文件的构成</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 投标邀请、投标人须知、投标文件格式、招标项目技术和服务及其他要求、评标办法、政府采购合同（样例）等。</w:t>
      </w:r>
    </w:p>
    <w:p>
      <w:pPr>
        <w:tabs>
          <w:tab w:val="left" w:pos="7665"/>
        </w:tabs>
        <w:wordWrap w:val="0"/>
        <w:topLinePunct/>
        <w:spacing w:line="480" w:lineRule="auto"/>
        <w:ind w:left="472"/>
        <w:outlineLvl w:val="3"/>
        <w:rPr>
          <w:rFonts w:ascii="宋体"/>
          <w:b/>
          <w:color w:val="auto"/>
          <w:sz w:val="28"/>
          <w:szCs w:val="28"/>
          <w:highlight w:val="none"/>
        </w:rPr>
      </w:pPr>
      <w:r>
        <w:rPr>
          <w:rFonts w:hint="eastAsia" w:ascii="宋体"/>
          <w:b/>
          <w:color w:val="auto"/>
          <w:sz w:val="28"/>
          <w:szCs w:val="28"/>
          <w:highlight w:val="none"/>
        </w:rPr>
        <w:t>7. 招标文件的澄清和修改</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7.1 采购人、采购代理机构可以依法对招标文件进行澄清或者修改。</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7.2 采购人、采购代理机构对已发出的招标文件进行澄清或者修改，在</w:t>
      </w:r>
      <w:r>
        <w:rPr>
          <w:rFonts w:hint="eastAsia" w:ascii="宋体"/>
          <w:color w:val="auto"/>
          <w:sz w:val="28"/>
          <w:szCs w:val="28"/>
          <w:highlight w:val="none"/>
          <w:lang w:eastAsia="zh-CN"/>
        </w:rPr>
        <w:t>中国政府采购网</w:t>
      </w:r>
      <w:r>
        <w:rPr>
          <w:rFonts w:hint="eastAsia" w:ascii="宋体"/>
          <w:color w:val="auto"/>
          <w:sz w:val="28"/>
          <w:szCs w:val="28"/>
          <w:highlight w:val="none"/>
        </w:rPr>
        <w:t>发布。澄清或者修改的内容为招标文件的组成部分，澄清或者修改的内容可能影响投标文件、资格预审申请文件编制的，采购人或者采购代理机构发布澄清公告的时间，应当在投标截止时间至少１５日前、提交资格预审申请文件截止时间至少３日前；不足上述时间的，应当顺延提交投标文件、资格预审申请文件的截止时间。</w:t>
      </w:r>
    </w:p>
    <w:p>
      <w:pPr>
        <w:tabs>
          <w:tab w:val="left" w:pos="7665"/>
        </w:tabs>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7.3 投标人认为需要对招标文件进行澄清或者修改的，可以以书面形式向采购人或采购代理机构提出申请，但采购人或采购代理机构可以决定是否采纳投标人的申请事项。对采购文件中的特殊条件、技术、服务及其他要求向采购人提出；对采购过程和程序等内容向采购代理机构提出。</w:t>
      </w:r>
    </w:p>
    <w:p>
      <w:pPr>
        <w:tabs>
          <w:tab w:val="left" w:pos="7665"/>
        </w:tabs>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7.4 投标人发现招标文件不合理或者有误的，须在投标截止日15天前、以书面形式要求采购人、采购代理机构澄清。没有书面澄清要求，又参与了该项目投标的投标人将被视为完全认同招标文件。</w:t>
      </w:r>
    </w:p>
    <w:p>
      <w:pPr>
        <w:tabs>
          <w:tab w:val="left" w:pos="7665"/>
        </w:tabs>
        <w:topLinePunct/>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7.5 投标人不按招标文件规定的时间、网址查看澄清公告所造成的各种后果，由投标人自行负责。</w:t>
      </w:r>
    </w:p>
    <w:p>
      <w:pPr>
        <w:tabs>
          <w:tab w:val="left" w:pos="7665"/>
        </w:tabs>
        <w:wordWrap w:val="0"/>
        <w:topLinePunct/>
        <w:spacing w:line="480" w:lineRule="auto"/>
        <w:ind w:left="472"/>
        <w:outlineLvl w:val="3"/>
        <w:rPr>
          <w:rFonts w:ascii="宋体"/>
          <w:b/>
          <w:color w:val="auto"/>
          <w:sz w:val="28"/>
          <w:szCs w:val="28"/>
          <w:highlight w:val="none"/>
        </w:rPr>
      </w:pPr>
      <w:r>
        <w:rPr>
          <w:rFonts w:hint="eastAsia" w:ascii="宋体"/>
          <w:b/>
          <w:color w:val="auto"/>
          <w:sz w:val="28"/>
          <w:szCs w:val="28"/>
          <w:highlight w:val="none"/>
        </w:rPr>
        <w:t>8. 答疑会和现场考察</w:t>
      </w:r>
    </w:p>
    <w:p>
      <w:pPr>
        <w:tabs>
          <w:tab w:val="left" w:pos="7665"/>
        </w:tabs>
        <w:spacing w:line="480" w:lineRule="auto"/>
        <w:ind w:firstLine="560" w:firstLineChars="200"/>
        <w:rPr>
          <w:rFonts w:hint="eastAsia" w:ascii="宋体"/>
          <w:color w:val="auto"/>
          <w:sz w:val="28"/>
          <w:szCs w:val="28"/>
          <w:highlight w:val="none"/>
        </w:rPr>
      </w:pPr>
      <w:r>
        <w:rPr>
          <w:rFonts w:hint="eastAsia" w:ascii="宋体"/>
          <w:color w:val="auto"/>
          <w:sz w:val="28"/>
          <w:szCs w:val="28"/>
          <w:highlight w:val="none"/>
        </w:rPr>
        <w:t>详见招标人须知前附表。</w:t>
      </w:r>
    </w:p>
    <w:p>
      <w:pPr>
        <w:pStyle w:val="13"/>
        <w:rPr>
          <w:rFonts w:hint="eastAsia" w:ascii="宋体"/>
          <w:color w:val="auto"/>
          <w:sz w:val="28"/>
          <w:szCs w:val="28"/>
          <w:highlight w:val="none"/>
        </w:rPr>
      </w:pPr>
    </w:p>
    <w:p>
      <w:pPr>
        <w:pStyle w:val="13"/>
        <w:rPr>
          <w:rFonts w:hint="eastAsia" w:ascii="宋体"/>
          <w:color w:val="auto"/>
          <w:sz w:val="28"/>
          <w:szCs w:val="28"/>
          <w:highlight w:val="none"/>
        </w:rPr>
      </w:pPr>
    </w:p>
    <w:p>
      <w:pPr>
        <w:tabs>
          <w:tab w:val="left" w:pos="7665"/>
        </w:tabs>
        <w:spacing w:line="480" w:lineRule="auto"/>
        <w:rPr>
          <w:rFonts w:ascii="宋体"/>
          <w:color w:val="auto"/>
          <w:sz w:val="28"/>
          <w:szCs w:val="28"/>
          <w:highlight w:val="none"/>
        </w:rPr>
      </w:pPr>
    </w:p>
    <w:p>
      <w:pPr>
        <w:pStyle w:val="10"/>
      </w:pPr>
    </w:p>
    <w:p>
      <w:pPr>
        <w:wordWrap w:val="0"/>
        <w:topLinePunct/>
        <w:spacing w:line="480" w:lineRule="auto"/>
        <w:jc w:val="center"/>
        <w:outlineLvl w:val="2"/>
        <w:rPr>
          <w:rFonts w:ascii="宋体"/>
          <w:b/>
          <w:color w:val="auto"/>
          <w:sz w:val="28"/>
          <w:szCs w:val="28"/>
          <w:highlight w:val="none"/>
        </w:rPr>
      </w:pPr>
      <w:bookmarkStart w:id="26" w:name="_Toc484268465"/>
      <w:bookmarkStart w:id="27" w:name="_Toc32185"/>
      <w:bookmarkStart w:id="28" w:name="_Toc497397746"/>
      <w:r>
        <w:rPr>
          <w:rFonts w:hint="eastAsia" w:ascii="宋体"/>
          <w:b/>
          <w:color w:val="auto"/>
          <w:sz w:val="28"/>
          <w:szCs w:val="28"/>
          <w:highlight w:val="none"/>
        </w:rPr>
        <w:t>四、投标文件</w:t>
      </w:r>
      <w:bookmarkEnd w:id="26"/>
      <w:bookmarkEnd w:id="27"/>
      <w:bookmarkEnd w:id="28"/>
    </w:p>
    <w:p>
      <w:pPr>
        <w:tabs>
          <w:tab w:val="left" w:pos="7665"/>
        </w:tabs>
        <w:wordWrap w:val="0"/>
        <w:topLinePunct/>
        <w:spacing w:line="480" w:lineRule="auto"/>
        <w:ind w:left="472"/>
        <w:outlineLvl w:val="3"/>
        <w:rPr>
          <w:rFonts w:ascii="宋体"/>
          <w:b/>
          <w:color w:val="auto"/>
          <w:sz w:val="28"/>
          <w:szCs w:val="28"/>
          <w:highlight w:val="none"/>
        </w:rPr>
      </w:pPr>
    </w:p>
    <w:p>
      <w:pPr>
        <w:tabs>
          <w:tab w:val="left" w:pos="7665"/>
        </w:tabs>
        <w:wordWrap w:val="0"/>
        <w:topLinePunct/>
        <w:spacing w:line="480" w:lineRule="auto"/>
        <w:ind w:left="472"/>
        <w:outlineLvl w:val="3"/>
        <w:rPr>
          <w:rFonts w:ascii="宋体"/>
          <w:b/>
          <w:color w:val="auto"/>
          <w:sz w:val="28"/>
          <w:szCs w:val="28"/>
          <w:highlight w:val="none"/>
        </w:rPr>
      </w:pPr>
      <w:r>
        <w:rPr>
          <w:rFonts w:hint="eastAsia" w:ascii="宋体"/>
          <w:b/>
          <w:color w:val="auto"/>
          <w:sz w:val="28"/>
          <w:szCs w:val="28"/>
          <w:highlight w:val="none"/>
        </w:rPr>
        <w:t>9．投标文件的语言</w:t>
      </w:r>
      <w:r>
        <w:rPr>
          <w:rFonts w:hint="eastAsia"/>
          <w:b/>
          <w:color w:val="auto"/>
          <w:sz w:val="28"/>
          <w:szCs w:val="28"/>
          <w:highlight w:val="none"/>
        </w:rPr>
        <w:t>（实质性要求）</w:t>
      </w:r>
    </w:p>
    <w:p>
      <w:pPr>
        <w:tabs>
          <w:tab w:val="left" w:pos="1134"/>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9.1 投标人提交的投标文件以及投标人与采购人、采购代理机构就有关投标的所有来往书面文件均须使用中文。投标文件中如附有外文资料，必须逐一对应翻译成中文并加盖投标人印章后附在相关外文资料后面，否则，所提供的外文资料将被视为未提供该资料。（说明：投标人的法定代表人为外籍人士的，法定代表人的签字和护照除外。）</w:t>
      </w:r>
    </w:p>
    <w:p>
      <w:pPr>
        <w:tabs>
          <w:tab w:val="left" w:pos="1134"/>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9.2 翻译的中文资料与外文资料如果出现差异和矛盾时，以中文为准。涉嫌虚假响应的按照相关法律法规处理。</w:t>
      </w:r>
    </w:p>
    <w:p>
      <w:pPr>
        <w:tabs>
          <w:tab w:val="left" w:pos="7665"/>
        </w:tabs>
        <w:wordWrap w:val="0"/>
        <w:topLinePunct/>
        <w:spacing w:line="480" w:lineRule="auto"/>
        <w:ind w:left="472"/>
        <w:outlineLvl w:val="3"/>
        <w:rPr>
          <w:rFonts w:ascii="宋体"/>
          <w:color w:val="auto"/>
          <w:sz w:val="28"/>
          <w:szCs w:val="28"/>
          <w:highlight w:val="none"/>
        </w:rPr>
      </w:pPr>
      <w:r>
        <w:rPr>
          <w:rFonts w:hint="eastAsia" w:ascii="宋体"/>
          <w:color w:val="auto"/>
          <w:sz w:val="28"/>
          <w:szCs w:val="28"/>
          <w:highlight w:val="none"/>
        </w:rPr>
        <w:t>10．计量单位</w:t>
      </w:r>
    </w:p>
    <w:p>
      <w:pPr>
        <w:spacing w:line="480" w:lineRule="auto"/>
        <w:ind w:firstLine="548" w:firstLineChars="196"/>
        <w:rPr>
          <w:rFonts w:ascii="宋体"/>
          <w:color w:val="auto"/>
          <w:sz w:val="28"/>
          <w:szCs w:val="28"/>
          <w:highlight w:val="none"/>
        </w:rPr>
      </w:pPr>
      <w:r>
        <w:rPr>
          <w:rFonts w:hint="eastAsia" w:ascii="宋体"/>
          <w:color w:val="auto"/>
          <w:sz w:val="28"/>
          <w:szCs w:val="28"/>
          <w:highlight w:val="none"/>
        </w:rPr>
        <w:t>除招标文件中另有规定外，本次采购项目所有合同项下的投标均采用国家法定的计量单位。</w:t>
      </w:r>
    </w:p>
    <w:p>
      <w:pPr>
        <w:tabs>
          <w:tab w:val="left" w:pos="7665"/>
        </w:tabs>
        <w:wordWrap w:val="0"/>
        <w:topLinePunct/>
        <w:spacing w:line="480" w:lineRule="auto"/>
        <w:outlineLvl w:val="3"/>
        <w:rPr>
          <w:rFonts w:ascii="宋体"/>
          <w:color w:val="auto"/>
          <w:sz w:val="28"/>
          <w:szCs w:val="28"/>
          <w:highlight w:val="none"/>
        </w:rPr>
      </w:pPr>
      <w:r>
        <w:rPr>
          <w:rFonts w:hint="eastAsia" w:ascii="宋体"/>
          <w:color w:val="auto"/>
          <w:sz w:val="28"/>
          <w:szCs w:val="28"/>
          <w:highlight w:val="none"/>
        </w:rPr>
        <w:t xml:space="preserve">    11. 投标货币</w:t>
      </w:r>
    </w:p>
    <w:p>
      <w:pPr>
        <w:tabs>
          <w:tab w:val="left" w:pos="7665"/>
        </w:tabs>
        <w:spacing w:line="480" w:lineRule="auto"/>
        <w:ind w:left="13" w:hanging="118"/>
        <w:rPr>
          <w:rFonts w:ascii="宋体"/>
          <w:color w:val="auto"/>
          <w:sz w:val="28"/>
          <w:szCs w:val="28"/>
          <w:highlight w:val="none"/>
        </w:rPr>
      </w:pPr>
      <w:r>
        <w:rPr>
          <w:rFonts w:hint="eastAsia" w:ascii="宋体"/>
          <w:color w:val="auto"/>
          <w:sz w:val="28"/>
          <w:szCs w:val="28"/>
          <w:highlight w:val="none"/>
        </w:rPr>
        <w:t xml:space="preserve">     本次招标项目的投标均以人民币报价，保留小数点后两位。</w:t>
      </w:r>
    </w:p>
    <w:p>
      <w:pPr>
        <w:tabs>
          <w:tab w:val="left" w:pos="7665"/>
        </w:tabs>
        <w:wordWrap w:val="0"/>
        <w:topLinePunct/>
        <w:spacing w:line="480" w:lineRule="auto"/>
        <w:outlineLvl w:val="3"/>
        <w:rPr>
          <w:rFonts w:ascii="宋体"/>
          <w:b/>
          <w:color w:val="auto"/>
          <w:sz w:val="28"/>
          <w:szCs w:val="28"/>
          <w:highlight w:val="none"/>
        </w:rPr>
      </w:pPr>
      <w:r>
        <w:rPr>
          <w:rFonts w:hint="eastAsia" w:ascii="宋体"/>
          <w:b/>
          <w:color w:val="auto"/>
          <w:sz w:val="28"/>
          <w:szCs w:val="28"/>
          <w:highlight w:val="none"/>
        </w:rPr>
        <w:t xml:space="preserve">    12. 联合体投标</w:t>
      </w:r>
      <w:r>
        <w:rPr>
          <w:rFonts w:hint="eastAsia"/>
          <w:b/>
          <w:color w:val="auto"/>
          <w:sz w:val="28"/>
          <w:szCs w:val="28"/>
          <w:highlight w:val="none"/>
        </w:rPr>
        <w:t>（实质性要求）</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12.1 两个以上投标人可以组成一个联合体投标，以一个投标人的身份投标。以联合体形式参加投标的，联合体各方均应当符合《政府采购法》第二十二条第一款规定的条件。</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12.2 联合体各方之间应当签订联合体投标协议，明确约定联合体各方承担的工作和相应的责任，并按招标文件要求提交采购人或采购代理机构。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12.3 联合体应当确定其中一个单位为投标的全权代表（牵头方），负责参加投标的一切事务，并承担投标及履约中应承担的全部责任与义务。</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12.4 联合体各方应当共同与采购人签订采购合同，就采购合同约定的事项对采购人承担连带责任。</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12.5 联合体中有同类资质的投标人按照联合体分工承担相同工作的，应当按照资质等级较低的投标人确定资质等级。</w:t>
      </w:r>
      <w:r>
        <w:rPr>
          <w:rFonts w:hint="eastAsia" w:ascii="宋体"/>
          <w:color w:val="auto"/>
          <w:sz w:val="28"/>
          <w:szCs w:val="28"/>
          <w:highlight w:val="none"/>
        </w:rPr>
        <w:br w:type="textWrapping"/>
      </w:r>
      <w:r>
        <w:rPr>
          <w:rFonts w:hint="eastAsia" w:ascii="宋体"/>
          <w:color w:val="auto"/>
          <w:sz w:val="28"/>
          <w:szCs w:val="28"/>
          <w:highlight w:val="none"/>
        </w:rPr>
        <w:t>　　12.6 以联合体形式参加政府采购活动的，联合体各方不得再单独参加或者与其他投标人另外组成联合体参加同一合同项下的政府采购活动。</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13. 知识产权</w:t>
      </w:r>
      <w:r>
        <w:rPr>
          <w:rFonts w:hint="eastAsia"/>
          <w:b/>
          <w:color w:val="auto"/>
          <w:sz w:val="28"/>
          <w:szCs w:val="28"/>
          <w:highlight w:val="none"/>
        </w:rPr>
        <w:t>（实质性要求）</w:t>
      </w:r>
    </w:p>
    <w:p>
      <w:pPr>
        <w:pStyle w:val="3"/>
        <w:spacing w:line="480" w:lineRule="auto"/>
        <w:ind w:firstLine="560" w:firstLineChars="200"/>
        <w:rPr>
          <w:color w:val="auto"/>
          <w:sz w:val="28"/>
          <w:szCs w:val="28"/>
          <w:highlight w:val="none"/>
        </w:rPr>
      </w:pPr>
      <w:r>
        <w:rPr>
          <w:rFonts w:hint="eastAsia"/>
          <w:color w:val="auto"/>
          <w:sz w:val="28"/>
          <w:szCs w:val="28"/>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
        <w:spacing w:line="480" w:lineRule="auto"/>
        <w:ind w:firstLine="560" w:firstLineChars="200"/>
        <w:rPr>
          <w:color w:val="auto"/>
          <w:sz w:val="28"/>
          <w:szCs w:val="28"/>
          <w:highlight w:val="none"/>
        </w:rPr>
      </w:pPr>
      <w:r>
        <w:rPr>
          <w:rFonts w:hint="eastAsia"/>
          <w:color w:val="auto"/>
          <w:sz w:val="28"/>
          <w:szCs w:val="28"/>
          <w:highlight w:val="none"/>
        </w:rPr>
        <w:t>13.2 采购人享有本项目实施过程中产生的知识成果及知识产权。</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13.3 投标人如欲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spacing w:line="480" w:lineRule="auto"/>
        <w:ind w:firstLine="537" w:firstLineChars="192"/>
        <w:rPr>
          <w:rFonts w:ascii="宋体"/>
          <w:color w:val="auto"/>
          <w:sz w:val="28"/>
          <w:szCs w:val="28"/>
          <w:highlight w:val="none"/>
        </w:rPr>
      </w:pPr>
      <w:r>
        <w:rPr>
          <w:rFonts w:hint="eastAsia" w:ascii="宋体"/>
          <w:color w:val="auto"/>
          <w:sz w:val="28"/>
          <w:szCs w:val="28"/>
          <w:highlight w:val="none"/>
        </w:rPr>
        <w:t xml:space="preserve">13.4 如采用投标人所不拥有的知识产权，则在投标报价中必须包括合法获取该知识产权的相关费用。 </w:t>
      </w:r>
    </w:p>
    <w:p>
      <w:pPr>
        <w:tabs>
          <w:tab w:val="left" w:pos="7665"/>
        </w:tabs>
        <w:wordWrap w:val="0"/>
        <w:topLinePunct/>
        <w:spacing w:line="480" w:lineRule="auto"/>
        <w:ind w:firstLine="560" w:firstLineChars="200"/>
        <w:outlineLvl w:val="3"/>
        <w:rPr>
          <w:rFonts w:ascii="宋体"/>
          <w:b/>
          <w:color w:val="auto"/>
          <w:sz w:val="28"/>
          <w:szCs w:val="28"/>
          <w:highlight w:val="none"/>
        </w:rPr>
      </w:pPr>
      <w:r>
        <w:rPr>
          <w:rFonts w:hint="eastAsia" w:ascii="宋体"/>
          <w:color w:val="auto"/>
          <w:sz w:val="28"/>
          <w:szCs w:val="28"/>
          <w:highlight w:val="none"/>
        </w:rPr>
        <w:t>14.</w:t>
      </w:r>
      <w:r>
        <w:rPr>
          <w:rFonts w:hint="eastAsia" w:ascii="宋体"/>
          <w:b/>
          <w:color w:val="auto"/>
          <w:sz w:val="28"/>
          <w:szCs w:val="28"/>
          <w:highlight w:val="none"/>
        </w:rPr>
        <w:t>投标文件由以下内容组成</w:t>
      </w:r>
      <w:r>
        <w:rPr>
          <w:rFonts w:hint="eastAsia"/>
          <w:b/>
          <w:color w:val="auto"/>
          <w:sz w:val="28"/>
          <w:szCs w:val="28"/>
          <w:highlight w:val="none"/>
        </w:rPr>
        <w:t>（实质性要求）</w:t>
      </w:r>
    </w:p>
    <w:p>
      <w:pPr>
        <w:spacing w:line="480" w:lineRule="auto"/>
        <w:ind w:firstLine="537" w:firstLineChars="192"/>
        <w:rPr>
          <w:rFonts w:ascii="宋体"/>
          <w:color w:val="auto"/>
          <w:sz w:val="28"/>
          <w:szCs w:val="28"/>
          <w:highlight w:val="none"/>
        </w:rPr>
      </w:pPr>
      <w:r>
        <w:rPr>
          <w:rFonts w:hint="eastAsia" w:ascii="宋体"/>
          <w:color w:val="auto"/>
          <w:sz w:val="28"/>
          <w:szCs w:val="28"/>
          <w:highlight w:val="none"/>
        </w:rPr>
        <w:t>详见第三章投标文件格式</w:t>
      </w:r>
    </w:p>
    <w:p>
      <w:pPr>
        <w:tabs>
          <w:tab w:val="left" w:pos="7665"/>
        </w:tabs>
        <w:wordWrap w:val="0"/>
        <w:topLinePunct/>
        <w:spacing w:line="480" w:lineRule="auto"/>
        <w:outlineLvl w:val="3"/>
        <w:rPr>
          <w:rFonts w:ascii="宋体"/>
          <w:b/>
          <w:color w:val="auto"/>
          <w:sz w:val="28"/>
          <w:szCs w:val="28"/>
          <w:highlight w:val="none"/>
        </w:rPr>
      </w:pPr>
      <w:r>
        <w:rPr>
          <w:rFonts w:hint="eastAsia" w:ascii="宋体"/>
          <w:b/>
          <w:color w:val="auto"/>
          <w:sz w:val="28"/>
          <w:szCs w:val="28"/>
          <w:highlight w:val="none"/>
        </w:rPr>
        <w:t xml:space="preserve">    15. 投标文件格式</w:t>
      </w:r>
    </w:p>
    <w:p>
      <w:pPr>
        <w:tabs>
          <w:tab w:val="left" w:pos="7665"/>
        </w:tabs>
        <w:spacing w:line="480" w:lineRule="auto"/>
        <w:ind w:left="13" w:leftChars="6" w:firstLine="560" w:firstLineChars="200"/>
        <w:rPr>
          <w:rFonts w:ascii="宋体"/>
          <w:color w:val="auto"/>
          <w:sz w:val="28"/>
          <w:szCs w:val="28"/>
          <w:highlight w:val="none"/>
        </w:rPr>
      </w:pPr>
      <w:r>
        <w:rPr>
          <w:rFonts w:hint="eastAsia" w:ascii="宋体"/>
          <w:color w:val="auto"/>
          <w:sz w:val="28"/>
          <w:szCs w:val="28"/>
          <w:highlight w:val="none"/>
        </w:rPr>
        <w:t>15.1 投标人应执行投标文件格式的规定要求。</w:t>
      </w:r>
    </w:p>
    <w:p>
      <w:pPr>
        <w:tabs>
          <w:tab w:val="left" w:pos="7665"/>
        </w:tabs>
        <w:spacing w:line="480" w:lineRule="auto"/>
        <w:ind w:left="13" w:leftChars="6" w:firstLine="560" w:firstLineChars="200"/>
        <w:rPr>
          <w:rFonts w:ascii="宋体"/>
          <w:color w:val="auto"/>
          <w:sz w:val="28"/>
          <w:szCs w:val="28"/>
          <w:highlight w:val="none"/>
        </w:rPr>
      </w:pPr>
      <w:r>
        <w:rPr>
          <w:rFonts w:hint="eastAsia" w:ascii="宋体"/>
          <w:color w:val="auto"/>
          <w:sz w:val="28"/>
          <w:szCs w:val="28"/>
          <w:highlight w:val="none"/>
        </w:rPr>
        <w:t>15.2没有格式要求的由投标人自行编写。</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16．投标保证金</w:t>
      </w:r>
      <w:r>
        <w:rPr>
          <w:rFonts w:hint="eastAsia"/>
          <w:b/>
          <w:color w:val="auto"/>
          <w:sz w:val="28"/>
          <w:szCs w:val="28"/>
          <w:highlight w:val="none"/>
        </w:rPr>
        <w:t>（实质性要求）</w:t>
      </w:r>
    </w:p>
    <w:p>
      <w:pPr>
        <w:tabs>
          <w:tab w:val="left" w:pos="7665"/>
        </w:tabs>
        <w:wordWrap w:val="0"/>
        <w:topLinePunct/>
        <w:spacing w:line="480" w:lineRule="auto"/>
        <w:ind w:firstLine="548" w:firstLineChars="196"/>
        <w:outlineLvl w:val="3"/>
        <w:rPr>
          <w:rFonts w:hint="eastAsia" w:ascii="宋体" w:eastAsia="宋体" w:cs="宋体"/>
          <w:b w:val="0"/>
          <w:bCs w:val="0"/>
          <w:sz w:val="28"/>
          <w:szCs w:val="28"/>
          <w:lang w:val="en-US" w:eastAsia="zh-CN" w:bidi="ar-SA"/>
        </w:rPr>
      </w:pPr>
      <w:r>
        <w:rPr>
          <w:rFonts w:hint="eastAsia" w:ascii="宋体" w:eastAsia="宋体" w:cs="宋体"/>
          <w:b w:val="0"/>
          <w:bCs w:val="0"/>
          <w:sz w:val="28"/>
          <w:szCs w:val="28"/>
          <w:lang w:bidi="ar-SA"/>
        </w:rPr>
        <w:t>据《四川省财政厅关于进一步做好疫情防控期间政府采购工作有关事项的通知》川财采〔2020〕28 号文件规定，对疫情防控期间参加政府采购活动的供应商，本项目不再收取投标保证金</w:t>
      </w:r>
      <w:r>
        <w:rPr>
          <w:rFonts w:hint="eastAsia" w:ascii="宋体" w:eastAsia="宋体" w:cs="宋体"/>
          <w:b w:val="0"/>
          <w:bCs w:val="0"/>
          <w:sz w:val="28"/>
          <w:szCs w:val="28"/>
          <w:lang w:val="en-US" w:eastAsia="zh-CN" w:bidi="ar-SA"/>
        </w:rPr>
        <w:t>.</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17．投标有效期</w:t>
      </w:r>
      <w:r>
        <w:rPr>
          <w:rFonts w:hint="eastAsia"/>
          <w:b/>
          <w:color w:val="auto"/>
          <w:sz w:val="28"/>
          <w:szCs w:val="28"/>
          <w:highlight w:val="none"/>
        </w:rPr>
        <w:t>（实质性要求）</w:t>
      </w:r>
    </w:p>
    <w:p>
      <w:pPr>
        <w:tabs>
          <w:tab w:val="left" w:pos="7665"/>
        </w:tabs>
        <w:spacing w:line="480" w:lineRule="auto"/>
        <w:ind w:left="13" w:leftChars="6" w:firstLine="562" w:firstLineChars="200"/>
        <w:rPr>
          <w:rFonts w:ascii="宋体"/>
          <w:b/>
          <w:color w:val="auto"/>
          <w:sz w:val="28"/>
          <w:szCs w:val="28"/>
          <w:highlight w:val="none"/>
        </w:rPr>
      </w:pPr>
      <w:r>
        <w:rPr>
          <w:rFonts w:hint="eastAsia" w:ascii="宋体"/>
          <w:b/>
          <w:color w:val="auto"/>
          <w:sz w:val="28"/>
          <w:szCs w:val="28"/>
          <w:highlight w:val="none"/>
        </w:rPr>
        <w:t>17.1 本项目投标有效期为投标截止之日起90天。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80" w:lineRule="auto"/>
        <w:ind w:left="13" w:leftChars="6" w:firstLine="420" w:firstLineChars="150"/>
        <w:rPr>
          <w:rFonts w:ascii="宋体"/>
          <w:color w:val="auto"/>
          <w:sz w:val="28"/>
          <w:szCs w:val="28"/>
          <w:highlight w:val="none"/>
        </w:rPr>
      </w:pPr>
      <w:r>
        <w:rPr>
          <w:rFonts w:hint="eastAsia" w:ascii="宋体"/>
          <w:color w:val="auto"/>
          <w:sz w:val="28"/>
          <w:szCs w:val="28"/>
          <w:highlight w:val="none"/>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480" w:lineRule="auto"/>
        <w:ind w:left="13" w:leftChars="6" w:firstLine="420" w:firstLineChars="150"/>
        <w:rPr>
          <w:rFonts w:ascii="宋体"/>
          <w:bCs/>
          <w:color w:val="auto"/>
          <w:sz w:val="28"/>
          <w:szCs w:val="28"/>
          <w:highlight w:val="none"/>
        </w:rPr>
      </w:pPr>
      <w:r>
        <w:rPr>
          <w:rFonts w:hint="eastAsia" w:ascii="宋体"/>
          <w:color w:val="auto"/>
          <w:sz w:val="28"/>
          <w:szCs w:val="28"/>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9" w:name="_Toc183682362"/>
      <w:bookmarkStart w:id="30" w:name="_Toc217446052"/>
      <w:bookmarkStart w:id="31" w:name="_Toc183582225"/>
    </w:p>
    <w:p>
      <w:pPr>
        <w:tabs>
          <w:tab w:val="left" w:pos="7665"/>
        </w:tabs>
        <w:wordWrap w:val="0"/>
        <w:topLinePunct/>
        <w:spacing w:line="480" w:lineRule="auto"/>
        <w:ind w:firstLine="562" w:firstLineChars="200"/>
        <w:rPr>
          <w:b/>
          <w:color w:val="auto"/>
          <w:kern w:val="24"/>
          <w:sz w:val="28"/>
          <w:szCs w:val="28"/>
          <w:highlight w:val="none"/>
        </w:rPr>
      </w:pPr>
      <w:r>
        <w:rPr>
          <w:rFonts w:hint="eastAsia"/>
          <w:b/>
          <w:color w:val="auto"/>
          <w:kern w:val="24"/>
          <w:sz w:val="28"/>
          <w:szCs w:val="28"/>
          <w:highlight w:val="none"/>
        </w:rPr>
        <w:t>18．投标文件的印制和签署</w:t>
      </w:r>
      <w:bookmarkEnd w:id="29"/>
      <w:bookmarkEnd w:id="30"/>
      <w:bookmarkEnd w:id="31"/>
    </w:p>
    <w:p>
      <w:pPr>
        <w:tabs>
          <w:tab w:val="left" w:pos="1095"/>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w:t>
      </w:r>
      <w:r>
        <w:rPr>
          <w:color w:val="auto"/>
          <w:kern w:val="24"/>
          <w:sz w:val="28"/>
          <w:szCs w:val="28"/>
          <w:highlight w:val="none"/>
        </w:rPr>
        <w:t>.</w:t>
      </w:r>
      <w:r>
        <w:rPr>
          <w:rFonts w:hint="eastAsia"/>
          <w:color w:val="auto"/>
          <w:kern w:val="24"/>
          <w:sz w:val="28"/>
          <w:szCs w:val="28"/>
          <w:highlight w:val="none"/>
        </w:rPr>
        <w:t>1 投标人应当准备</w:t>
      </w:r>
      <w:r>
        <w:rPr>
          <w:rFonts w:hint="eastAsia"/>
          <w:color w:val="auto"/>
          <w:kern w:val="24"/>
          <w:sz w:val="28"/>
          <w:szCs w:val="28"/>
          <w:highlight w:val="none"/>
          <w:lang w:val="zh-CN"/>
        </w:rPr>
        <w:t>开标一览表1份、</w:t>
      </w:r>
      <w:r>
        <w:rPr>
          <w:rFonts w:hint="eastAsia"/>
          <w:color w:val="auto"/>
          <w:kern w:val="24"/>
          <w:sz w:val="28"/>
          <w:szCs w:val="28"/>
          <w:highlight w:val="none"/>
        </w:rPr>
        <w:t>投标文件正本1份、副本份数见投标须知前附表。投标文件的正本和副本应在其封面右上角清楚地标明“正本”或“副本”字样。若正本和副本有不一致的内容，以正本书面投标文件为准。投标文件副本可采用正本的复印件。</w:t>
      </w:r>
    </w:p>
    <w:p>
      <w:pPr>
        <w:tabs>
          <w:tab w:val="left" w:pos="1095"/>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18.2 投标文件的打印和书写应清楚工整，任何行间插字、涂改或增删，必须由投标人的法定代表人或其被授权人签字或盖个人印鉴。字迹潦草、表达不清或可能导致非唯一理解的投标文件可能视为无效投标。</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18.3 投标文件正本和副本胶装成册并编目编码。</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18.4 投标文件应根据招标文件的要求制作，签署、盖章和内容应完整。</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18.5 投标文件统一用</w:t>
      </w:r>
      <w:r>
        <w:rPr>
          <w:color w:val="auto"/>
          <w:kern w:val="24"/>
          <w:sz w:val="28"/>
          <w:szCs w:val="28"/>
          <w:highlight w:val="none"/>
        </w:rPr>
        <w:t>A4</w:t>
      </w:r>
      <w:r>
        <w:rPr>
          <w:rFonts w:hint="eastAsia"/>
          <w:color w:val="auto"/>
          <w:kern w:val="24"/>
          <w:sz w:val="28"/>
          <w:szCs w:val="28"/>
          <w:highlight w:val="none"/>
        </w:rPr>
        <w:t>幅面纸印制。</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18.6 投标文件的装订应体现节俭、环保原则，不提倡豪华装订。</w:t>
      </w:r>
    </w:p>
    <w:p>
      <w:pPr>
        <w:tabs>
          <w:tab w:val="left" w:pos="7665"/>
        </w:tabs>
        <w:wordWrap w:val="0"/>
        <w:topLinePunct/>
        <w:spacing w:line="480" w:lineRule="auto"/>
        <w:outlineLvl w:val="3"/>
        <w:rPr>
          <w:rFonts w:ascii="宋体"/>
          <w:bCs/>
          <w:color w:val="auto"/>
          <w:sz w:val="28"/>
          <w:szCs w:val="28"/>
          <w:highlight w:val="none"/>
        </w:rPr>
      </w:pPr>
    </w:p>
    <w:p>
      <w:pPr>
        <w:tabs>
          <w:tab w:val="left" w:pos="7665"/>
        </w:tabs>
        <w:wordWrap w:val="0"/>
        <w:topLinePunct/>
        <w:spacing w:line="480" w:lineRule="auto"/>
        <w:outlineLvl w:val="3"/>
        <w:rPr>
          <w:rFonts w:ascii="宋体"/>
          <w:b/>
          <w:color w:val="auto"/>
          <w:sz w:val="28"/>
          <w:szCs w:val="28"/>
          <w:highlight w:val="none"/>
        </w:rPr>
      </w:pPr>
      <w:r>
        <w:rPr>
          <w:rFonts w:hint="eastAsia" w:ascii="宋体"/>
          <w:b/>
          <w:color w:val="auto"/>
          <w:sz w:val="28"/>
          <w:szCs w:val="28"/>
          <w:highlight w:val="none"/>
        </w:rPr>
        <w:t>19.投标文件的密封和标注</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19.1 投标人应在投标文件正本和所有副本的封面上注明投标人名称、招标编号、项目名称及分包号(如有分包)，未分包即只有一个包的在投标文件格式封面分包空格处可以用“1”或“/”标示，也可以不填(空白)。</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19.2 投标文件正本、所有副本密封要求：见投标须知前附表。</w:t>
      </w:r>
    </w:p>
    <w:p>
      <w:pPr>
        <w:tabs>
          <w:tab w:val="left" w:pos="1080"/>
        </w:tabs>
        <w:wordWrap w:val="0"/>
        <w:topLinePunct/>
        <w:spacing w:line="480" w:lineRule="auto"/>
        <w:ind w:firstLine="560" w:firstLineChars="200"/>
        <w:rPr>
          <w:color w:val="auto"/>
          <w:kern w:val="24"/>
          <w:sz w:val="28"/>
          <w:szCs w:val="28"/>
          <w:highlight w:val="none"/>
        </w:rPr>
      </w:pPr>
      <w:r>
        <w:rPr>
          <w:rFonts w:hint="eastAsia"/>
          <w:color w:val="auto"/>
          <w:kern w:val="24"/>
          <w:sz w:val="28"/>
          <w:szCs w:val="28"/>
          <w:highlight w:val="none"/>
        </w:rPr>
        <w:t>19.3 未密封的将被拒绝接收。</w:t>
      </w:r>
    </w:p>
    <w:p>
      <w:pPr>
        <w:tabs>
          <w:tab w:val="left" w:pos="7665"/>
        </w:tabs>
        <w:wordWrap w:val="0"/>
        <w:topLinePunct/>
        <w:spacing w:line="480" w:lineRule="auto"/>
        <w:outlineLvl w:val="3"/>
        <w:rPr>
          <w:rFonts w:ascii="宋体"/>
          <w:b/>
          <w:color w:val="auto"/>
          <w:sz w:val="28"/>
          <w:szCs w:val="28"/>
          <w:highlight w:val="none"/>
        </w:rPr>
      </w:pPr>
      <w:r>
        <w:rPr>
          <w:rFonts w:hint="eastAsia" w:ascii="宋体"/>
          <w:b/>
          <w:color w:val="auto"/>
          <w:sz w:val="28"/>
          <w:szCs w:val="28"/>
          <w:highlight w:val="none"/>
        </w:rPr>
        <w:t xml:space="preserve">    20.投标文件的签署</w:t>
      </w:r>
      <w:r>
        <w:rPr>
          <w:rFonts w:hint="eastAsia"/>
          <w:b/>
          <w:color w:val="auto"/>
          <w:sz w:val="28"/>
          <w:szCs w:val="28"/>
          <w:highlight w:val="none"/>
        </w:rPr>
        <w:t>（实质性要求）</w:t>
      </w:r>
    </w:p>
    <w:p>
      <w:pPr>
        <w:tabs>
          <w:tab w:val="left" w:pos="7665"/>
        </w:tabs>
        <w:wordWrap w:val="0"/>
        <w:topLinePunct/>
        <w:spacing w:line="480" w:lineRule="auto"/>
        <w:ind w:firstLine="562" w:firstLineChars="200"/>
        <w:outlineLvl w:val="3"/>
        <w:rPr>
          <w:rFonts w:ascii="宋体"/>
          <w:b/>
          <w:color w:val="auto"/>
          <w:sz w:val="28"/>
          <w:szCs w:val="28"/>
          <w:highlight w:val="none"/>
        </w:rPr>
      </w:pPr>
      <w:r>
        <w:rPr>
          <w:rFonts w:hint="eastAsia" w:ascii="宋体"/>
          <w:b/>
          <w:color w:val="auto"/>
          <w:sz w:val="28"/>
          <w:szCs w:val="28"/>
          <w:highlight w:val="none"/>
        </w:rPr>
        <w:t>详见投标须知前附表。</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21．投标文件的递交</w:t>
      </w:r>
      <w:r>
        <w:rPr>
          <w:rFonts w:hint="eastAsia"/>
          <w:b/>
          <w:color w:val="auto"/>
          <w:sz w:val="28"/>
          <w:szCs w:val="28"/>
          <w:highlight w:val="none"/>
        </w:rPr>
        <w:t>（实质性要求）</w:t>
      </w:r>
    </w:p>
    <w:p>
      <w:pPr>
        <w:tabs>
          <w:tab w:val="left" w:pos="1095"/>
        </w:tabs>
        <w:spacing w:line="480" w:lineRule="auto"/>
        <w:ind w:firstLine="537" w:firstLineChars="192"/>
        <w:rPr>
          <w:rFonts w:ascii="宋体"/>
          <w:color w:val="auto"/>
          <w:sz w:val="28"/>
          <w:szCs w:val="28"/>
          <w:highlight w:val="none"/>
        </w:rPr>
      </w:pPr>
      <w:r>
        <w:rPr>
          <w:rFonts w:hint="eastAsia" w:ascii="宋体"/>
          <w:color w:val="auto"/>
          <w:sz w:val="28"/>
          <w:szCs w:val="28"/>
          <w:highlight w:val="none"/>
        </w:rPr>
        <w:t>21.1 投标人应在招标文件规定的投标截止时间前递交投标文件。</w:t>
      </w:r>
    </w:p>
    <w:p>
      <w:pPr>
        <w:tabs>
          <w:tab w:val="left" w:pos="7665"/>
        </w:tabs>
        <w:wordWrap w:val="0"/>
        <w:topLinePunct/>
        <w:spacing w:line="480" w:lineRule="auto"/>
        <w:ind w:firstLine="560" w:firstLineChars="200"/>
        <w:outlineLvl w:val="3"/>
        <w:rPr>
          <w:rFonts w:ascii="宋体"/>
          <w:color w:val="auto"/>
          <w:sz w:val="28"/>
          <w:szCs w:val="28"/>
          <w:highlight w:val="none"/>
        </w:rPr>
      </w:pPr>
      <w:r>
        <w:rPr>
          <w:rFonts w:hint="eastAsia" w:ascii="宋体"/>
          <w:color w:val="auto"/>
          <w:sz w:val="28"/>
          <w:szCs w:val="28"/>
          <w:highlight w:val="none"/>
        </w:rPr>
        <w:t>21.2 投标截止时间以后送达的投标文件将不予接收。</w:t>
      </w:r>
    </w:p>
    <w:p>
      <w:pPr>
        <w:tabs>
          <w:tab w:val="left" w:pos="7665"/>
        </w:tabs>
        <w:wordWrap w:val="0"/>
        <w:topLinePunct/>
        <w:spacing w:line="480" w:lineRule="auto"/>
        <w:outlineLvl w:val="3"/>
        <w:rPr>
          <w:rFonts w:ascii="宋体"/>
          <w:b/>
          <w:color w:val="auto"/>
          <w:sz w:val="28"/>
          <w:szCs w:val="28"/>
          <w:highlight w:val="none"/>
        </w:rPr>
      </w:pPr>
      <w:r>
        <w:rPr>
          <w:rFonts w:hint="eastAsia" w:ascii="宋体"/>
          <w:b/>
          <w:color w:val="auto"/>
          <w:sz w:val="28"/>
          <w:szCs w:val="28"/>
          <w:highlight w:val="none"/>
        </w:rPr>
        <w:t xml:space="preserve">    22．投标文件的修改和撤回</w:t>
      </w:r>
    </w:p>
    <w:p>
      <w:pPr>
        <w:wordWrap w:val="0"/>
        <w:topLinePunct/>
        <w:spacing w:line="480" w:lineRule="auto"/>
        <w:ind w:firstLine="560" w:firstLineChars="200"/>
        <w:rPr>
          <w:rFonts w:cs="宋体"/>
          <w:color w:val="auto"/>
          <w:kern w:val="24"/>
          <w:sz w:val="28"/>
          <w:szCs w:val="28"/>
          <w:highlight w:val="none"/>
        </w:rPr>
      </w:pPr>
      <w:r>
        <w:rPr>
          <w:rFonts w:hint="eastAsia" w:cs="宋体"/>
          <w:color w:val="auto"/>
          <w:kern w:val="24"/>
          <w:sz w:val="28"/>
          <w:szCs w:val="28"/>
          <w:highlight w:val="none"/>
        </w:rPr>
        <w:t>22．1 投标人在递交了投标文件后，可以修改或撤回其投标文件，但必须在规定的投标截止时间前，以书面形式通知采购代理机构。</w:t>
      </w:r>
    </w:p>
    <w:p>
      <w:pPr>
        <w:wordWrap w:val="0"/>
        <w:topLinePunct/>
        <w:spacing w:line="480" w:lineRule="auto"/>
        <w:ind w:firstLine="560" w:firstLineChars="200"/>
        <w:rPr>
          <w:rFonts w:cs="宋体"/>
          <w:color w:val="auto"/>
          <w:kern w:val="24"/>
          <w:sz w:val="28"/>
          <w:szCs w:val="28"/>
          <w:highlight w:val="none"/>
        </w:rPr>
      </w:pPr>
      <w:r>
        <w:rPr>
          <w:rFonts w:hint="eastAsia" w:cs="宋体"/>
          <w:color w:val="auto"/>
          <w:kern w:val="24"/>
          <w:sz w:val="28"/>
          <w:szCs w:val="28"/>
          <w:highlight w:val="none"/>
        </w:rPr>
        <w:t>22．2 投标人的修改书或撤回通知书，应由其法定代表人或被授权人签署并盖单位印章。修改书应按投标人须知规定进行密封和标注，并在密封袋上标注“修改”字样。</w:t>
      </w:r>
    </w:p>
    <w:p>
      <w:pPr>
        <w:wordWrap w:val="0"/>
        <w:topLinePunct/>
        <w:spacing w:line="480" w:lineRule="auto"/>
        <w:ind w:firstLine="560" w:firstLineChars="200"/>
        <w:rPr>
          <w:rFonts w:cs="宋体"/>
          <w:color w:val="auto"/>
          <w:kern w:val="24"/>
          <w:sz w:val="28"/>
          <w:szCs w:val="28"/>
          <w:highlight w:val="none"/>
        </w:rPr>
      </w:pPr>
      <w:r>
        <w:rPr>
          <w:rFonts w:hint="eastAsia" w:cs="宋体"/>
          <w:color w:val="auto"/>
          <w:kern w:val="24"/>
          <w:sz w:val="28"/>
          <w:szCs w:val="28"/>
          <w:highlight w:val="none"/>
        </w:rPr>
        <w:t>22．3 在投标截止时间之后，投标人不得对其递交的投标文件做任何修改或撤回投标。</w:t>
      </w:r>
    </w:p>
    <w:p>
      <w:pPr>
        <w:spacing w:line="480" w:lineRule="auto"/>
        <w:rPr>
          <w:color w:val="auto"/>
          <w:sz w:val="28"/>
          <w:szCs w:val="28"/>
          <w:highlight w:val="none"/>
        </w:rPr>
      </w:pPr>
      <w:bookmarkStart w:id="32" w:name="EBf4647e67992548b0adc9c9ebe0ea108a"/>
      <w:bookmarkEnd w:id="32"/>
      <w:bookmarkStart w:id="33" w:name="EB82a6b068ab534aa6b5ff18752951d466"/>
      <w:bookmarkEnd w:id="33"/>
    </w:p>
    <w:p>
      <w:pPr>
        <w:wordWrap w:val="0"/>
        <w:topLinePunct/>
        <w:spacing w:line="480" w:lineRule="auto"/>
        <w:jc w:val="center"/>
        <w:outlineLvl w:val="2"/>
        <w:rPr>
          <w:rFonts w:ascii="宋体"/>
          <w:b/>
          <w:color w:val="auto"/>
          <w:sz w:val="28"/>
          <w:szCs w:val="28"/>
          <w:highlight w:val="none"/>
        </w:rPr>
      </w:pPr>
      <w:bookmarkStart w:id="34" w:name="_Toc13888"/>
      <w:bookmarkStart w:id="35" w:name="_Toc484268466"/>
      <w:bookmarkStart w:id="36" w:name="_Toc497397747"/>
      <w:r>
        <w:rPr>
          <w:rFonts w:hint="eastAsia" w:ascii="宋体"/>
          <w:b/>
          <w:color w:val="auto"/>
          <w:sz w:val="28"/>
          <w:szCs w:val="28"/>
          <w:highlight w:val="none"/>
        </w:rPr>
        <w:t>五、开标和中标</w:t>
      </w:r>
      <w:bookmarkEnd w:id="34"/>
      <w:bookmarkEnd w:id="35"/>
      <w:bookmarkEnd w:id="36"/>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23．开标</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23.1 招标人在招标文件规定的时间和地点组织开标。采购人、投标人须派代表参加并签到以证明其出席。拟参加评标的采购人代表不得参加开标活动。</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 xml:space="preserve">23.2 采购人须派本单位监督人员1名到场监督。 </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23.3 开标时间到时，公布已递交投标文件的投标人名单。</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23.4 开标相关事项：</w:t>
      </w:r>
    </w:p>
    <w:p>
      <w:pPr>
        <w:tabs>
          <w:tab w:val="left" w:pos="7665"/>
        </w:tabs>
        <w:wordWrap w:val="0"/>
        <w:topLinePunct/>
        <w:spacing w:line="480" w:lineRule="auto"/>
        <w:ind w:firstLine="560" w:firstLineChars="200"/>
        <w:rPr>
          <w:rFonts w:ascii="宋体"/>
          <w:color w:val="auto"/>
          <w:sz w:val="28"/>
          <w:szCs w:val="28"/>
          <w:highlight w:val="none"/>
        </w:rPr>
      </w:pPr>
      <w:r>
        <w:rPr>
          <w:rFonts w:ascii="宋体"/>
          <w:color w:val="auto"/>
          <w:sz w:val="28"/>
          <w:szCs w:val="28"/>
          <w:highlight w:val="none"/>
        </w:rPr>
        <w:t>(1)</w:t>
      </w:r>
      <w:r>
        <w:rPr>
          <w:rFonts w:hint="eastAsia" w:ascii="宋体"/>
          <w:color w:val="auto"/>
          <w:sz w:val="28"/>
          <w:szCs w:val="28"/>
          <w:highlight w:val="none"/>
        </w:rPr>
        <w:t>开标时，由投标人或其推选的代表检查投标文件的密封情况。经确认无误后，</w:t>
      </w:r>
      <w:r>
        <w:rPr>
          <w:rFonts w:ascii="宋体"/>
          <w:color w:val="auto"/>
          <w:sz w:val="28"/>
          <w:szCs w:val="28"/>
          <w:highlight w:val="none"/>
        </w:rPr>
        <w:t>由采购人或者采购代理机构工作人员当众拆封，宣布投标人名称、投标价格和招标文件规定的需要宣布的其他内容。</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进行处理，但不得干扰、阻挠开标工作的正常进行。</w:t>
      </w:r>
    </w:p>
    <w:p>
      <w:pPr>
        <w:tabs>
          <w:tab w:val="left" w:pos="7665"/>
        </w:tabs>
        <w:wordWrap w:val="0"/>
        <w:topLinePunct/>
        <w:spacing w:line="480" w:lineRule="auto"/>
        <w:ind w:firstLine="560" w:firstLineChars="200"/>
        <w:rPr>
          <w:rFonts w:ascii="宋体"/>
          <w:color w:val="auto"/>
          <w:sz w:val="28"/>
          <w:szCs w:val="28"/>
          <w:highlight w:val="none"/>
        </w:rPr>
      </w:pPr>
      <w:r>
        <w:rPr>
          <w:rFonts w:ascii="宋体"/>
          <w:color w:val="auto"/>
          <w:sz w:val="28"/>
          <w:szCs w:val="28"/>
          <w:highlight w:val="none"/>
        </w:rPr>
        <w:t>(2)</w:t>
      </w:r>
      <w:r>
        <w:rPr>
          <w:rFonts w:hint="eastAsia" w:ascii="宋体"/>
          <w:color w:val="auto"/>
          <w:sz w:val="28"/>
          <w:szCs w:val="28"/>
          <w:highlight w:val="none"/>
        </w:rPr>
        <w:t>开标时，“开标一览表”中的大写金额与小写金额不一致的，以大写金额为准。投标文件中有关明细表内容与“开标一览表”不一致的，按规定进行修正和处理。</w:t>
      </w:r>
    </w:p>
    <w:p>
      <w:pPr>
        <w:tabs>
          <w:tab w:val="left" w:pos="7665"/>
        </w:tabs>
        <w:wordWrap w:val="0"/>
        <w:topLinePunct/>
        <w:spacing w:line="480" w:lineRule="auto"/>
        <w:ind w:firstLine="560" w:firstLineChars="200"/>
        <w:rPr>
          <w:color w:val="auto"/>
          <w:sz w:val="28"/>
          <w:szCs w:val="28"/>
          <w:highlight w:val="none"/>
        </w:rPr>
      </w:pPr>
      <w:r>
        <w:rPr>
          <w:rFonts w:hint="eastAsia"/>
          <w:color w:val="auto"/>
          <w:sz w:val="28"/>
          <w:szCs w:val="28"/>
          <w:highlight w:val="none"/>
        </w:rPr>
        <w:t>（3）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24.5 开标程序</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主持人按照招标文件规定的开标时间宣布开标，按照规定主持开标会。</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24.5.1主持人将按下列程序进行开标：</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（1）进入开标倒计时时宣布参加开标会的监督人员、采购人代表、主持人、会议记录等参会人员；</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（2）宣布会场纪律和有关注意事项；</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（3）宣布投标截止时间已到，开标会开始；</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（4）公布已报名和缴纳保证金的投标人名单；</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(4) 根据投标人或者其推选的代表对投标文件密封的检查结果，当众宣布投标文件的密封情况。</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(5)由现场工作人员按任意顺序对投标人的投标文件当众进行拆封，由唱标人员宣读投标人名称、投标价格（价格折扣）、或招标文件允许提供的备选投标方案。同时，做好开标记录。唱标人员在唱标过程中，如遇有字迹不清楚或有明显错误的，应即刻报告监督人员，经现场核实后，监督人员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（6）开标结束</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主持人宣布开标会结束，所有投标人代表应立即退场（招标文件要求有演示、介绍等的除外）。同时所有投标人应保持通讯设备的畅通，以方便在评标过程中评标委员会要求投标人对投标文件的必要澄清、说明和纠正。</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主持人宣布开标会结束后，在监督人员的监督下将投标文件移送至评标室。</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25.资格审查</w:t>
      </w:r>
    </w:p>
    <w:p>
      <w:pPr>
        <w:tabs>
          <w:tab w:val="left" w:pos="7665"/>
        </w:tabs>
        <w:wordWrap w:val="0"/>
        <w:topLinePunct/>
        <w:spacing w:line="480" w:lineRule="auto"/>
        <w:ind w:firstLine="560" w:firstLineChars="200"/>
        <w:rPr>
          <w:rFonts w:ascii="宋体"/>
          <w:color w:val="auto"/>
          <w:sz w:val="28"/>
          <w:szCs w:val="28"/>
          <w:highlight w:val="none"/>
        </w:rPr>
      </w:pPr>
      <w:r>
        <w:rPr>
          <w:rFonts w:hint="eastAsia" w:ascii="宋体"/>
          <w:color w:val="auto"/>
          <w:sz w:val="28"/>
          <w:szCs w:val="28"/>
          <w:highlight w:val="none"/>
        </w:rPr>
        <w:t>详见投标人须知前附表</w:t>
      </w:r>
    </w:p>
    <w:p>
      <w:pPr>
        <w:tabs>
          <w:tab w:val="left" w:pos="7665"/>
        </w:tabs>
        <w:wordWrap w:val="0"/>
        <w:topLinePunct/>
        <w:spacing w:line="480" w:lineRule="auto"/>
        <w:ind w:firstLine="551" w:firstLineChars="196"/>
        <w:outlineLvl w:val="3"/>
        <w:rPr>
          <w:rFonts w:ascii="宋体"/>
          <w:b/>
          <w:color w:val="auto"/>
          <w:sz w:val="28"/>
          <w:szCs w:val="28"/>
          <w:highlight w:val="none"/>
        </w:rPr>
      </w:pPr>
      <w:r>
        <w:rPr>
          <w:rFonts w:hint="eastAsia" w:ascii="宋体"/>
          <w:b/>
          <w:color w:val="auto"/>
          <w:sz w:val="28"/>
          <w:szCs w:val="28"/>
          <w:highlight w:val="none"/>
        </w:rPr>
        <w:t>26．评标、定标</w:t>
      </w:r>
    </w:p>
    <w:p>
      <w:pPr>
        <w:wordWrap w:val="0"/>
        <w:topLinePunct/>
        <w:spacing w:line="480" w:lineRule="auto"/>
        <w:ind w:firstLine="560" w:firstLineChars="200"/>
        <w:rPr>
          <w:color w:val="auto"/>
          <w:sz w:val="28"/>
          <w:szCs w:val="28"/>
          <w:highlight w:val="none"/>
        </w:rPr>
      </w:pPr>
      <w:r>
        <w:rPr>
          <w:rFonts w:hint="eastAsia" w:ascii="宋体"/>
          <w:color w:val="auto"/>
          <w:sz w:val="28"/>
          <w:szCs w:val="28"/>
          <w:highlight w:val="none"/>
        </w:rPr>
        <w:t>详见第五章评标办法。</w:t>
      </w:r>
    </w:p>
    <w:p>
      <w:pPr>
        <w:spacing w:line="480" w:lineRule="auto"/>
        <w:ind w:firstLine="551" w:firstLineChars="196"/>
        <w:rPr>
          <w:rFonts w:ascii="宋体"/>
          <w:b/>
          <w:color w:val="auto"/>
          <w:sz w:val="28"/>
          <w:szCs w:val="28"/>
          <w:highlight w:val="none"/>
        </w:rPr>
      </w:pPr>
      <w:r>
        <w:rPr>
          <w:rFonts w:hint="eastAsia" w:ascii="宋体"/>
          <w:b/>
          <w:color w:val="auto"/>
          <w:sz w:val="28"/>
          <w:szCs w:val="28"/>
          <w:highlight w:val="none"/>
        </w:rPr>
        <w:t>27.评标情况公告</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所有投标人投标文件资格性、符合性审查情况、评标结果等将在</w:t>
      </w:r>
      <w:r>
        <w:rPr>
          <w:rFonts w:hint="eastAsia" w:ascii="宋体"/>
          <w:color w:val="auto"/>
          <w:sz w:val="28"/>
          <w:szCs w:val="28"/>
          <w:highlight w:val="none"/>
          <w:lang w:eastAsia="zh-CN"/>
        </w:rPr>
        <w:t>中国政府采购网</w:t>
      </w:r>
      <w:r>
        <w:rPr>
          <w:rFonts w:hint="eastAsia" w:ascii="宋体"/>
          <w:color w:val="auto"/>
          <w:sz w:val="28"/>
          <w:szCs w:val="28"/>
          <w:highlight w:val="none"/>
        </w:rPr>
        <w:t>上公告。</w:t>
      </w:r>
    </w:p>
    <w:p>
      <w:pPr>
        <w:spacing w:line="480" w:lineRule="auto"/>
        <w:ind w:firstLine="551" w:firstLineChars="196"/>
        <w:rPr>
          <w:rFonts w:ascii="宋体"/>
          <w:b/>
          <w:color w:val="auto"/>
          <w:sz w:val="28"/>
          <w:szCs w:val="28"/>
          <w:highlight w:val="none"/>
        </w:rPr>
      </w:pPr>
      <w:r>
        <w:rPr>
          <w:rFonts w:hint="eastAsia" w:ascii="宋体"/>
          <w:b/>
          <w:color w:val="auto"/>
          <w:sz w:val="28"/>
          <w:szCs w:val="28"/>
          <w:highlight w:val="none"/>
        </w:rPr>
        <w:t>28.中标通知书</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28.1 中标通知书为签订政府采购合同的依据之一，是合同的有效组成部分。</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28.2 中标公告发出后，中标人按照投标人须知前附表中要求携带相关材料到采购代理机构处领取。</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28.3 中标通知书对采购人和中标人均具有法律效力。中标通知书发出后，采购人改变中标结果，或者中标人无正当理由放弃中标的，应当承担相应的法律责任。</w:t>
      </w:r>
    </w:p>
    <w:p>
      <w:pPr>
        <w:tabs>
          <w:tab w:val="left" w:pos="7665"/>
        </w:tabs>
        <w:spacing w:line="480" w:lineRule="auto"/>
        <w:ind w:firstLine="560" w:firstLineChars="200"/>
        <w:rPr>
          <w:rFonts w:ascii="宋体"/>
          <w:color w:val="auto"/>
          <w:sz w:val="28"/>
          <w:szCs w:val="28"/>
          <w:highlight w:val="none"/>
        </w:rPr>
      </w:pPr>
      <w:r>
        <w:rPr>
          <w:rFonts w:hint="eastAsia" w:ascii="宋体"/>
          <w:color w:val="auto"/>
          <w:sz w:val="28"/>
          <w:szCs w:val="28"/>
          <w:highlight w:val="none"/>
        </w:rPr>
        <w:t>28.4 中标人的投标文件本应作为无效投标处理或者有政府采购法律法规规章制度规定的中标无效情形的，采购人、采购代理机构在取得有权主体的认定以后，将宣布发出的中标通知书无效，并收回发出的中标通知书（中标人也应当缴回），依法重新确定中标人或者重新开展采购活动。</w:t>
      </w:r>
    </w:p>
    <w:p>
      <w:pPr>
        <w:spacing w:line="480" w:lineRule="auto"/>
        <w:rPr>
          <w:color w:val="auto"/>
          <w:sz w:val="28"/>
          <w:szCs w:val="28"/>
          <w:highlight w:val="none"/>
        </w:rPr>
      </w:pPr>
      <w:bookmarkStart w:id="37" w:name="EB8e75bb01f88242b4a93bd89260f6f557"/>
      <w:bookmarkEnd w:id="37"/>
    </w:p>
    <w:p>
      <w:pPr>
        <w:wordWrap w:val="0"/>
        <w:topLinePunct/>
        <w:spacing w:line="480" w:lineRule="auto"/>
        <w:jc w:val="center"/>
        <w:outlineLvl w:val="2"/>
        <w:rPr>
          <w:rFonts w:ascii="宋体"/>
          <w:b/>
          <w:color w:val="auto"/>
          <w:sz w:val="28"/>
          <w:szCs w:val="28"/>
          <w:highlight w:val="none"/>
        </w:rPr>
      </w:pPr>
      <w:bookmarkStart w:id="38" w:name="EB4504f99ba6bb4619914f2ce702da1400"/>
      <w:bookmarkEnd w:id="38"/>
      <w:bookmarkStart w:id="39" w:name="EB4d684781c96440d2ab21f99c3e2ae035"/>
      <w:bookmarkEnd w:id="39"/>
      <w:bookmarkStart w:id="40" w:name="_Toc497397748"/>
      <w:bookmarkStart w:id="41" w:name="_Toc484268467"/>
      <w:bookmarkStart w:id="42" w:name="_Toc31627"/>
      <w:r>
        <w:rPr>
          <w:rFonts w:hint="eastAsia" w:ascii="宋体"/>
          <w:b/>
          <w:color w:val="auto"/>
          <w:sz w:val="28"/>
          <w:szCs w:val="28"/>
          <w:highlight w:val="none"/>
        </w:rPr>
        <w:t>六、签订及履行合同和验收</w:t>
      </w:r>
      <w:bookmarkEnd w:id="40"/>
      <w:bookmarkEnd w:id="41"/>
      <w:bookmarkEnd w:id="42"/>
    </w:p>
    <w:p>
      <w:pPr>
        <w:spacing w:line="480" w:lineRule="auto"/>
        <w:rPr>
          <w:rFonts w:ascii="宋体"/>
          <w:b/>
          <w:color w:val="auto"/>
          <w:sz w:val="28"/>
          <w:szCs w:val="28"/>
          <w:highlight w:val="none"/>
        </w:rPr>
      </w:pPr>
      <w:r>
        <w:rPr>
          <w:rFonts w:hint="eastAsia" w:ascii="宋体"/>
          <w:b/>
          <w:color w:val="auto"/>
          <w:sz w:val="28"/>
          <w:szCs w:val="28"/>
          <w:highlight w:val="none"/>
        </w:rPr>
        <w:t xml:space="preserve">    29. 签订合同</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29.1 中标人应在中标通知书发出之日起三十日内与采购人签订采购合同。由于中标人的原因逾期未与采购人签订采购合同的，将视为放弃中标，取消其中标资格并将按相关规定进行处理。</w:t>
      </w:r>
    </w:p>
    <w:p>
      <w:pPr>
        <w:spacing w:line="480" w:lineRule="auto"/>
        <w:ind w:firstLine="490" w:firstLineChars="175"/>
        <w:rPr>
          <w:rFonts w:ascii="宋体"/>
          <w:color w:val="auto"/>
          <w:sz w:val="28"/>
          <w:szCs w:val="28"/>
          <w:highlight w:val="none"/>
        </w:rPr>
      </w:pPr>
      <w:r>
        <w:rPr>
          <w:rFonts w:hint="eastAsia" w:ascii="宋体"/>
          <w:color w:val="auto"/>
          <w:sz w:val="28"/>
          <w:szCs w:val="28"/>
          <w:highlight w:val="none"/>
        </w:rPr>
        <w:t>29.2 采购人不得向中标人提出任何不合理的要求，作为签订合同的条件，不得与中标人私下订立背离合同实质性内容的任何协议，所签订的合同不得对招标文件和中标人投标文件确定的事项进行修改。</w:t>
      </w:r>
    </w:p>
    <w:p>
      <w:pPr>
        <w:spacing w:line="480" w:lineRule="auto"/>
        <w:ind w:firstLine="490" w:firstLineChars="175"/>
        <w:rPr>
          <w:rFonts w:ascii="宋体"/>
          <w:color w:val="auto"/>
          <w:sz w:val="28"/>
          <w:szCs w:val="28"/>
          <w:highlight w:val="none"/>
        </w:rPr>
      </w:pPr>
      <w:r>
        <w:rPr>
          <w:rFonts w:hint="eastAsia" w:ascii="宋体"/>
          <w:color w:val="auto"/>
          <w:sz w:val="28"/>
          <w:szCs w:val="28"/>
          <w:highlight w:val="none"/>
        </w:rPr>
        <w:t>29.3 中标人因不可抗力原因不能履行采购合同或放弃中标的，采购人可以与排在中标人之后第一位的中标候选人签订采购合同，以此类推。</w:t>
      </w:r>
    </w:p>
    <w:p>
      <w:pPr>
        <w:wordWrap w:val="0"/>
        <w:adjustRightInd w:val="0"/>
        <w:spacing w:line="480" w:lineRule="auto"/>
        <w:ind w:firstLine="560" w:firstLineChars="200"/>
        <w:jc w:val="left"/>
        <w:rPr>
          <w:color w:val="auto"/>
          <w:sz w:val="28"/>
          <w:szCs w:val="28"/>
          <w:highlight w:val="none"/>
        </w:rPr>
      </w:pPr>
      <w:r>
        <w:rPr>
          <w:rFonts w:hint="eastAsia"/>
          <w:color w:val="auto"/>
          <w:sz w:val="28"/>
          <w:szCs w:val="28"/>
          <w:highlight w:val="none"/>
        </w:rPr>
        <w:t>招标文件所附《政府采购合同（样例）》是采购人与中标人签订合同的基本条款（如合同主要条款的内容与招标文件中的投标人须知、招标项目技术、商务及其他要求有冲突的，以投标人须知、招标项目技术、商务及其他要求为准），投标人应认真阅读。对此，请投标人参加投标前慎重考虑相关商业风险。</w:t>
      </w:r>
    </w:p>
    <w:p>
      <w:pPr>
        <w:spacing w:line="480" w:lineRule="auto"/>
        <w:ind w:firstLine="490" w:firstLineChars="175"/>
        <w:rPr>
          <w:rFonts w:ascii="宋体"/>
          <w:color w:val="auto"/>
          <w:sz w:val="28"/>
          <w:szCs w:val="28"/>
          <w:highlight w:val="none"/>
        </w:rPr>
      </w:pPr>
      <w:r>
        <w:rPr>
          <w:rFonts w:hint="eastAsia" w:ascii="宋体"/>
          <w:color w:val="auto"/>
          <w:sz w:val="28"/>
          <w:szCs w:val="28"/>
          <w:highlight w:val="none"/>
        </w:rPr>
        <w:t>29.4 本项目合同的签订采用以下方式进行：</w:t>
      </w:r>
    </w:p>
    <w:p>
      <w:pPr>
        <w:spacing w:line="480" w:lineRule="auto"/>
        <w:ind w:firstLine="492" w:firstLineChars="175"/>
        <w:rPr>
          <w:rFonts w:ascii="宋体"/>
          <w:b/>
          <w:color w:val="auto"/>
          <w:sz w:val="28"/>
          <w:szCs w:val="28"/>
          <w:highlight w:val="none"/>
        </w:rPr>
      </w:pPr>
      <w:r>
        <w:rPr>
          <w:rFonts w:hint="eastAsia" w:ascii="宋体"/>
          <w:b/>
          <w:color w:val="auto"/>
          <w:sz w:val="28"/>
          <w:szCs w:val="28"/>
          <w:highlight w:val="none"/>
        </w:rPr>
        <w:t>29.4.1采用纸质双方签字并盖章的方式。该方式签订后采购人在2日内上传合同扫描件至</w:t>
      </w:r>
      <w:r>
        <w:rPr>
          <w:rFonts w:hint="eastAsia" w:ascii="宋体"/>
          <w:b/>
          <w:color w:val="auto"/>
          <w:sz w:val="28"/>
          <w:szCs w:val="28"/>
          <w:highlight w:val="none"/>
          <w:lang w:eastAsia="zh-CN"/>
        </w:rPr>
        <w:t>中国政府采购网</w:t>
      </w:r>
      <w:r>
        <w:rPr>
          <w:rFonts w:hint="eastAsia" w:ascii="宋体"/>
          <w:b/>
          <w:color w:val="auto"/>
          <w:sz w:val="28"/>
          <w:szCs w:val="28"/>
          <w:highlight w:val="none"/>
        </w:rPr>
        <w:t>。</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30. 合同分包（实质性要求）</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30.1 经采购人同意，中标人可以依法采取分包方式履行合同。这种要求应当在合同签订之前征得采购人同意，并且分包投标人履行的分包项目的品牌、规格型号及技术要求、服务内容等，必须与中标的一致。</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分包履行合同的部分应当为采购项目的非主体、非关键性工作，不属于中标人的主要合同义务。</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30.2 采购合同实行分包履行的，中标人就采购项目和分包项目向采购人负责，分包投标人就分包项目承担责任。</w:t>
      </w:r>
    </w:p>
    <w:p>
      <w:pPr>
        <w:spacing w:line="480" w:lineRule="auto"/>
        <w:ind w:firstLine="630" w:firstLineChars="225"/>
        <w:rPr>
          <w:rFonts w:ascii="宋体"/>
          <w:color w:val="auto"/>
          <w:sz w:val="28"/>
          <w:szCs w:val="28"/>
          <w:highlight w:val="none"/>
        </w:rPr>
      </w:pPr>
      <w:r>
        <w:rPr>
          <w:rFonts w:hint="eastAsia" w:ascii="宋体"/>
          <w:color w:val="auto"/>
          <w:sz w:val="28"/>
          <w:szCs w:val="28"/>
          <w:highlight w:val="none"/>
        </w:rPr>
        <w:t>30.3 中小企业依据《政府采购促进中小企业发展暂行办法》（财库[2011]181号）规定的政策获取政府采购合同后，小型、微型企业不得分包或转包给大型、中型企业，中型企业不得分包或转包给大型企业。</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31.合同转包（实质性要求）</w:t>
      </w:r>
    </w:p>
    <w:p>
      <w:pPr>
        <w:spacing w:line="480" w:lineRule="auto"/>
        <w:ind w:firstLine="630" w:firstLineChars="225"/>
        <w:rPr>
          <w:rFonts w:ascii="宋体"/>
          <w:color w:val="auto"/>
          <w:sz w:val="28"/>
          <w:szCs w:val="28"/>
          <w:highlight w:val="none"/>
        </w:rPr>
      </w:pPr>
      <w:r>
        <w:rPr>
          <w:rFonts w:hint="eastAsia" w:ascii="宋体"/>
          <w:color w:val="auto"/>
          <w:sz w:val="28"/>
          <w:szCs w:val="28"/>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80" w:lineRule="auto"/>
        <w:ind w:firstLine="630" w:firstLineChars="225"/>
        <w:rPr>
          <w:rFonts w:ascii="宋体"/>
          <w:color w:val="auto"/>
          <w:sz w:val="28"/>
          <w:szCs w:val="28"/>
          <w:highlight w:val="none"/>
        </w:rPr>
      </w:pPr>
      <w:r>
        <w:rPr>
          <w:rFonts w:hint="eastAsia" w:ascii="宋体"/>
          <w:color w:val="auto"/>
          <w:sz w:val="28"/>
          <w:szCs w:val="28"/>
          <w:highlight w:val="none"/>
        </w:rPr>
        <w:t>中标人转包的，视同拒绝履行政府采购合同义务，将依法追究法律责任。</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32. 补充合同</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采购合同履行过程中，采购人需要追加与合同标的相同的货物或者服务的，在不改变合同其他条款的前提下，可以与</w:t>
      </w:r>
      <w:r>
        <w:rPr>
          <w:rFonts w:hint="eastAsia" w:ascii="宋体"/>
          <w:color w:val="auto"/>
          <w:sz w:val="28"/>
          <w:szCs w:val="28"/>
          <w:highlight w:val="none"/>
          <w:lang w:eastAsia="zh-CN"/>
        </w:rPr>
        <w:t>中标人</w:t>
      </w:r>
      <w:r>
        <w:rPr>
          <w:rFonts w:hint="eastAsia" w:ascii="宋体"/>
          <w:color w:val="auto"/>
          <w:sz w:val="28"/>
          <w:szCs w:val="28"/>
          <w:highlight w:val="none"/>
        </w:rPr>
        <w:t xml:space="preserve">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33. 履约保证金（实质性要求）</w:t>
      </w:r>
      <w:r>
        <w:rPr>
          <w:rFonts w:hint="eastAsia" w:ascii="宋体"/>
          <w:b/>
          <w:color w:val="auto"/>
          <w:sz w:val="28"/>
          <w:szCs w:val="28"/>
          <w:highlight w:val="none"/>
          <w:lang w:val="en-US" w:eastAsia="zh-CN"/>
        </w:rPr>
        <w:t xml:space="preserve"> 无</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34.合同公告</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采购人应当自政府采购合同签订（双方当事人均已签字盖章）之日起2个工作日内，将政府采购合同在省级以上人民政府财政部门指定的媒体上公告（</w:t>
      </w:r>
      <w:r>
        <w:rPr>
          <w:rFonts w:hint="eastAsia" w:ascii="宋体"/>
          <w:color w:val="auto"/>
          <w:sz w:val="28"/>
          <w:szCs w:val="28"/>
          <w:highlight w:val="none"/>
          <w:lang w:eastAsia="zh-CN"/>
        </w:rPr>
        <w:t>中国政府采购网</w:t>
      </w:r>
      <w:r>
        <w:rPr>
          <w:rFonts w:hint="eastAsia" w:ascii="宋体"/>
          <w:color w:val="auto"/>
          <w:sz w:val="28"/>
          <w:szCs w:val="28"/>
          <w:highlight w:val="none"/>
        </w:rPr>
        <w:t>），但政府采购合同中涉及国家秘密、商业秘密的内容除外。</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35.合同备案</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采购人应当将政府采购合同自签订（双方当事人均已签字盖章）之日起七个工作日内通过</w:t>
      </w:r>
      <w:r>
        <w:rPr>
          <w:rFonts w:hint="eastAsia" w:ascii="宋体"/>
          <w:color w:val="auto"/>
          <w:sz w:val="28"/>
          <w:szCs w:val="28"/>
          <w:highlight w:val="none"/>
          <w:lang w:eastAsia="zh-CN"/>
        </w:rPr>
        <w:t>中国政府采购网</w:t>
      </w:r>
      <w:r>
        <w:rPr>
          <w:rFonts w:hint="eastAsia" w:ascii="宋体"/>
          <w:color w:val="auto"/>
          <w:sz w:val="28"/>
          <w:szCs w:val="28"/>
          <w:highlight w:val="none"/>
        </w:rPr>
        <w:t>报同级财政部门备案。</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36. 履行合同</w:t>
      </w:r>
    </w:p>
    <w:p>
      <w:pPr>
        <w:spacing w:line="480" w:lineRule="auto"/>
        <w:rPr>
          <w:rFonts w:ascii="宋体"/>
          <w:color w:val="auto"/>
          <w:sz w:val="28"/>
          <w:szCs w:val="28"/>
          <w:highlight w:val="none"/>
        </w:rPr>
      </w:pPr>
      <w:r>
        <w:rPr>
          <w:rFonts w:hint="eastAsia" w:ascii="宋体"/>
          <w:color w:val="auto"/>
          <w:sz w:val="28"/>
          <w:szCs w:val="28"/>
          <w:highlight w:val="none"/>
        </w:rPr>
        <w:t xml:space="preserve">    36.1 中标人与采购人签订合同后，合同双方应严格执行合同条款，履行合同规定的义务，保证合同的顺利完成。</w:t>
      </w:r>
    </w:p>
    <w:p>
      <w:pPr>
        <w:spacing w:line="480" w:lineRule="auto"/>
        <w:rPr>
          <w:rFonts w:ascii="宋体"/>
          <w:color w:val="auto"/>
          <w:sz w:val="28"/>
          <w:szCs w:val="28"/>
          <w:highlight w:val="none"/>
        </w:rPr>
      </w:pPr>
      <w:r>
        <w:rPr>
          <w:rFonts w:hint="eastAsia" w:ascii="宋体"/>
          <w:color w:val="auto"/>
          <w:sz w:val="28"/>
          <w:szCs w:val="28"/>
          <w:highlight w:val="none"/>
        </w:rPr>
        <w:t xml:space="preserve">    36.2 在合同履行过程中，如发生合同纠纷，合同双方应按照相关法律法规进行处理。</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37. 验收</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37.1本项目采购人应严格按照政府采购相关法律法规以及</w:t>
      </w:r>
      <w:r>
        <w:rPr>
          <w:rFonts w:hint="eastAsia" w:ascii="宋体"/>
          <w:color w:val="auto"/>
          <w:sz w:val="28"/>
          <w:szCs w:val="28"/>
          <w:highlight w:val="none"/>
          <w:lang w:eastAsia="zh-CN"/>
        </w:rPr>
        <w:t>《关于进一步加强政府采购需求和履约验收管理的指导意见》（财库[2016]205号）</w:t>
      </w:r>
      <w:r>
        <w:rPr>
          <w:rFonts w:hint="eastAsia" w:ascii="宋体"/>
          <w:color w:val="auto"/>
          <w:sz w:val="28"/>
          <w:szCs w:val="28"/>
          <w:highlight w:val="none"/>
        </w:rPr>
        <w:t>的要求组织验收。</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37.2 验收结果合格的，中标人凭验收证明材料办理履约保证金的退付手续；验收结果不合格的，履约保证金将不予退还，也将不予支付采购资金，并报告本项目同级财政部门按照政府采购法律法规等有关规定给予行政处罚或者以失信行为记入诚信档案。</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38.资金支付</w:t>
      </w:r>
    </w:p>
    <w:p>
      <w:pPr>
        <w:spacing w:line="480" w:lineRule="auto"/>
        <w:ind w:firstLine="560" w:firstLineChars="200"/>
        <w:rPr>
          <w:rFonts w:hint="eastAsia" w:ascii="宋体" w:hAnsi="宋体" w:cs="宋体"/>
          <w:sz w:val="28"/>
          <w:szCs w:val="28"/>
          <w:highlight w:val="none"/>
          <w:lang w:eastAsia="zh-CN"/>
        </w:rPr>
      </w:pPr>
      <w:bookmarkStart w:id="43" w:name="EB5ee3005de82242e9810bbae9c2dfb4e5"/>
      <w:bookmarkEnd w:id="43"/>
      <w:bookmarkStart w:id="44" w:name="EB60cccdc96a7c4bb1a13557c8406625bc"/>
      <w:bookmarkEnd w:id="44"/>
      <w:bookmarkStart w:id="45" w:name="EBf553b88a6f06460b94164af85fe6978e"/>
      <w:bookmarkEnd w:id="45"/>
      <w:r>
        <w:rPr>
          <w:rFonts w:hint="eastAsia" w:ascii="宋体" w:hAnsi="宋体" w:cs="宋体"/>
          <w:sz w:val="28"/>
          <w:szCs w:val="28"/>
          <w:highlight w:val="none"/>
          <w:lang w:eastAsia="zh-CN"/>
        </w:rPr>
        <w:t>详见合同。</w:t>
      </w:r>
    </w:p>
    <w:p>
      <w:pPr>
        <w:pStyle w:val="13"/>
        <w:spacing w:line="480" w:lineRule="auto"/>
        <w:rPr>
          <w:rFonts w:hint="eastAsia"/>
          <w:sz w:val="28"/>
          <w:szCs w:val="28"/>
          <w:lang w:eastAsia="zh-CN"/>
        </w:rPr>
      </w:pPr>
    </w:p>
    <w:p>
      <w:pPr>
        <w:wordWrap w:val="0"/>
        <w:topLinePunct/>
        <w:spacing w:line="480" w:lineRule="auto"/>
        <w:jc w:val="center"/>
        <w:outlineLvl w:val="2"/>
        <w:rPr>
          <w:rFonts w:ascii="宋体"/>
          <w:b/>
          <w:color w:val="auto"/>
          <w:sz w:val="28"/>
          <w:szCs w:val="28"/>
          <w:highlight w:val="none"/>
        </w:rPr>
      </w:pPr>
      <w:bookmarkStart w:id="46" w:name="_Toc497397749"/>
      <w:bookmarkStart w:id="47" w:name="_Toc4923"/>
      <w:bookmarkStart w:id="48" w:name="_Toc484268468"/>
      <w:r>
        <w:rPr>
          <w:rFonts w:hint="eastAsia" w:ascii="宋体"/>
          <w:b/>
          <w:color w:val="auto"/>
          <w:sz w:val="28"/>
          <w:szCs w:val="28"/>
          <w:highlight w:val="none"/>
        </w:rPr>
        <w:t>七、投标纪律要求</w:t>
      </w:r>
      <w:bookmarkEnd w:id="46"/>
      <w:bookmarkEnd w:id="47"/>
      <w:bookmarkEnd w:id="48"/>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39. 投标人不得有下列情形：</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（1）提供虚假材料谋取中标；</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（2）采取不正当手段诋毁、排挤其他投标人；</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（3）与采购人、采购代理机构、其他投标人恶意串通；</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（4）向采购人、采购代理机构、评标委员会成员行贿或者提供其他不正当利益；</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（5）在招标过程中与采购人、采购代理机构进行协商谈判；</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（6）中标或者成交后无正当理由拒不与采购人签订政府采购合同；</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（7）未按照采购文件确定的事项签订政府采购合同；</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（8）将政府采购合同转包或者违规分包；</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（9）提供假冒伪劣产品；</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（10）擅自变更、中止或者终止政府采购合同；</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（11）拒绝有关部门的监督检查或者向监督检查部门提供虚假情况；</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（12）法律法规规定的其他情形。</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投标人有上述情形的，按照规定追究法律责任，具备（1）-（10）条情形之一的，同时将取消中标资格或者认定中标无效。</w:t>
      </w:r>
    </w:p>
    <w:p>
      <w:pPr>
        <w:spacing w:line="480" w:lineRule="auto"/>
        <w:rPr>
          <w:color w:val="auto"/>
          <w:sz w:val="28"/>
          <w:szCs w:val="28"/>
          <w:highlight w:val="none"/>
        </w:rPr>
      </w:pPr>
      <w:bookmarkStart w:id="49" w:name="EB2ac647fc606747f7a5cc3f67404a80eb"/>
      <w:bookmarkEnd w:id="49"/>
    </w:p>
    <w:p>
      <w:pPr>
        <w:wordWrap w:val="0"/>
        <w:topLinePunct/>
        <w:spacing w:line="480" w:lineRule="auto"/>
        <w:jc w:val="center"/>
        <w:outlineLvl w:val="2"/>
        <w:rPr>
          <w:rFonts w:ascii="宋体"/>
          <w:b/>
          <w:color w:val="auto"/>
          <w:sz w:val="28"/>
          <w:szCs w:val="28"/>
          <w:highlight w:val="none"/>
        </w:rPr>
      </w:pPr>
      <w:bookmarkStart w:id="50" w:name="EBdcf276fdffec47dcb76bd2e3f003d9ac"/>
      <w:bookmarkEnd w:id="50"/>
      <w:bookmarkStart w:id="51" w:name="EBc9ae1c5953ce451ba6e6d47b64756c02"/>
      <w:bookmarkEnd w:id="51"/>
      <w:bookmarkStart w:id="52" w:name="_Toc497397750"/>
      <w:bookmarkStart w:id="53" w:name="_Toc14563"/>
      <w:bookmarkStart w:id="54" w:name="_Toc484268469"/>
      <w:r>
        <w:rPr>
          <w:rFonts w:hint="eastAsia" w:ascii="宋体"/>
          <w:b/>
          <w:color w:val="auto"/>
          <w:sz w:val="28"/>
          <w:szCs w:val="28"/>
          <w:highlight w:val="none"/>
        </w:rPr>
        <w:t>八、询问、质疑和投诉</w:t>
      </w:r>
      <w:bookmarkEnd w:id="52"/>
      <w:bookmarkEnd w:id="53"/>
      <w:bookmarkEnd w:id="54"/>
    </w:p>
    <w:p>
      <w:pPr>
        <w:spacing w:line="480" w:lineRule="auto"/>
        <w:ind w:firstLine="537" w:firstLineChars="192"/>
        <w:rPr>
          <w:rFonts w:ascii="宋体"/>
          <w:color w:val="auto"/>
          <w:sz w:val="28"/>
          <w:szCs w:val="28"/>
          <w:highlight w:val="none"/>
        </w:rPr>
      </w:pPr>
      <w:r>
        <w:rPr>
          <w:rFonts w:hint="eastAsia" w:ascii="宋体"/>
          <w:color w:val="auto"/>
          <w:sz w:val="28"/>
          <w:szCs w:val="28"/>
          <w:highlight w:val="none"/>
        </w:rPr>
        <w:t>40.询问、质疑、投诉的接收和处理严格按照《中华人共和国政府采购法》、《中华人民共和国政府采购法实施条例》、《政府采购货物和服务招标投标管理办法》、《政府采购投标人投诉处理办法》、《财政部关于加强政府采购投标人投诉受理审查工作的通知》和《四川省政府采购投标人投诉处理工作规程》的规定办理。</w:t>
      </w:r>
    </w:p>
    <w:p>
      <w:pPr>
        <w:wordWrap w:val="0"/>
        <w:topLinePunct/>
        <w:spacing w:line="480" w:lineRule="auto"/>
        <w:jc w:val="center"/>
        <w:outlineLvl w:val="2"/>
        <w:rPr>
          <w:rFonts w:ascii="宋体"/>
          <w:b/>
          <w:color w:val="auto"/>
          <w:sz w:val="28"/>
          <w:szCs w:val="28"/>
          <w:highlight w:val="none"/>
        </w:rPr>
      </w:pPr>
      <w:bookmarkStart w:id="55" w:name="_Toc484268470"/>
      <w:bookmarkStart w:id="56" w:name="_Toc497397751"/>
      <w:bookmarkStart w:id="57" w:name="_Toc22383"/>
      <w:r>
        <w:rPr>
          <w:rFonts w:hint="eastAsia" w:ascii="宋体"/>
          <w:b/>
          <w:color w:val="auto"/>
          <w:sz w:val="28"/>
          <w:szCs w:val="28"/>
          <w:highlight w:val="none"/>
        </w:rPr>
        <w:t>九、其他</w:t>
      </w:r>
      <w:bookmarkEnd w:id="55"/>
      <w:bookmarkEnd w:id="56"/>
      <w:bookmarkEnd w:id="57"/>
    </w:p>
    <w:p>
      <w:pPr>
        <w:spacing w:line="480" w:lineRule="auto"/>
        <w:ind w:firstLine="537" w:firstLineChars="192"/>
        <w:rPr>
          <w:color w:val="auto"/>
          <w:sz w:val="28"/>
          <w:szCs w:val="28"/>
          <w:highlight w:val="none"/>
        </w:rPr>
      </w:pPr>
      <w:r>
        <w:rPr>
          <w:rFonts w:hint="eastAsia" w:ascii="宋体"/>
          <w:color w:val="auto"/>
          <w:sz w:val="28"/>
          <w:szCs w:val="28"/>
          <w:highlight w:val="none"/>
        </w:rPr>
        <w:t>41.本招标文件中所引相关法律制度规定，在政府采购中有变化的，按照变化后的相关法律法规规章制度规定执行。</w:t>
      </w:r>
      <w:bookmarkStart w:id="58" w:name="EBd7a729c224ef474c8526ff01e57c724b"/>
      <w:bookmarkEnd w:id="58"/>
      <w:bookmarkStart w:id="59" w:name="_Toc484268471"/>
      <w:bookmarkStart w:id="60" w:name="_Toc497397752"/>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p>
      <w:pPr>
        <w:pStyle w:val="4"/>
        <w:pageBreakBefore/>
        <w:jc w:val="center"/>
        <w:rPr>
          <w:rFonts w:ascii="宋体"/>
          <w:color w:val="auto"/>
          <w:highlight w:val="none"/>
        </w:rPr>
      </w:pPr>
      <w:bookmarkStart w:id="61" w:name="_Toc3122"/>
      <w:r>
        <w:rPr>
          <w:rFonts w:hint="eastAsia" w:ascii="宋体"/>
          <w:color w:val="auto"/>
          <w:highlight w:val="none"/>
        </w:rPr>
        <w:t>第三章  投标文件格式</w:t>
      </w:r>
      <w:bookmarkEnd w:id="61"/>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r>
        <w:rPr>
          <w:rFonts w:hint="eastAsia"/>
          <w:color w:val="auto"/>
          <w:sz w:val="24"/>
          <w:highlight w:val="none"/>
        </w:rPr>
        <w:t>附件：密封袋的格式</w:t>
      </w: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r>
        <w:rPr>
          <w:rFonts w:hint="eastAsia"/>
          <w:color w:val="auto"/>
          <w:sz w:val="24"/>
          <w:highlight w:val="none"/>
        </w:rPr>
        <w:t>开标一览表密封袋格式：</w:t>
      </w: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tbl>
      <w:tblPr>
        <w:tblStyle w:val="24"/>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8" w:hRule="atLeast"/>
        </w:trPr>
        <w:tc>
          <w:tcPr>
            <w:tcW w:w="9287" w:type="dxa"/>
            <w:tcBorders>
              <w:top w:val="single" w:color="000000" w:sz="4" w:space="0"/>
              <w:left w:val="single" w:color="000000" w:sz="4" w:space="0"/>
              <w:bottom w:val="single" w:color="000000" w:sz="4" w:space="0"/>
              <w:right w:val="single" w:color="000000" w:sz="4" w:space="0"/>
            </w:tcBorders>
          </w:tcPr>
          <w:p>
            <w:pPr>
              <w:tabs>
                <w:tab w:val="left" w:pos="7665"/>
              </w:tabs>
              <w:wordWrap w:val="0"/>
              <w:topLinePunct/>
              <w:spacing w:line="400" w:lineRule="exact"/>
              <w:rPr>
                <w:color w:val="auto"/>
                <w:sz w:val="24"/>
                <w:highlight w:val="non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topLinePunct/>
              <w:spacing w:line="400" w:lineRule="exact"/>
              <w:jc w:val="center"/>
              <w:rPr>
                <w:color w:val="auto"/>
                <w:sz w:val="24"/>
                <w:highlight w:val="none"/>
                <w:u w:val="single"/>
              </w:rPr>
            </w:pPr>
            <w:r>
              <w:rPr>
                <w:rFonts w:hint="eastAsia"/>
                <w:color w:val="auto"/>
                <w:sz w:val="24"/>
                <w:highlight w:val="none"/>
                <w:u w:val="single"/>
              </w:rPr>
              <w:t xml:space="preserve">(项目名称)                   </w:t>
            </w:r>
            <w:r>
              <w:rPr>
                <w:rFonts w:hint="eastAsia"/>
                <w:color w:val="auto"/>
                <w:sz w:val="24"/>
                <w:highlight w:val="none"/>
              </w:rPr>
              <w:t>(第 包)</w:t>
            </w:r>
          </w:p>
          <w:p>
            <w:pPr>
              <w:tabs>
                <w:tab w:val="left" w:pos="7665"/>
              </w:tabs>
              <w:wordWrap w:val="0"/>
              <w:topLinePunct/>
              <w:spacing w:line="400" w:lineRule="exact"/>
              <w:jc w:val="center"/>
              <w:rPr>
                <w:b/>
                <w:color w:val="auto"/>
                <w:sz w:val="32"/>
                <w:szCs w:val="32"/>
                <w:highlight w:val="none"/>
              </w:rPr>
            </w:pPr>
          </w:p>
          <w:p>
            <w:pPr>
              <w:tabs>
                <w:tab w:val="left" w:pos="7665"/>
              </w:tabs>
              <w:topLinePunct/>
              <w:spacing w:line="400" w:lineRule="exact"/>
              <w:jc w:val="center"/>
              <w:rPr>
                <w:b/>
                <w:color w:val="auto"/>
                <w:sz w:val="32"/>
                <w:szCs w:val="32"/>
                <w:highlight w:val="none"/>
              </w:rPr>
            </w:pPr>
            <w:r>
              <w:rPr>
                <w:rFonts w:hint="eastAsia"/>
                <w:b/>
                <w:color w:val="auto"/>
                <w:sz w:val="32"/>
                <w:szCs w:val="32"/>
                <w:highlight w:val="none"/>
              </w:rPr>
              <w:t>开标一览表</w:t>
            </w:r>
          </w:p>
          <w:p>
            <w:pPr>
              <w:tabs>
                <w:tab w:val="left" w:pos="7665"/>
              </w:tabs>
              <w:wordWrap w:val="0"/>
              <w:topLinePunct/>
              <w:spacing w:line="400" w:lineRule="exact"/>
              <w:jc w:val="center"/>
              <w:rPr>
                <w:b/>
                <w:color w:val="auto"/>
                <w:sz w:val="32"/>
                <w:szCs w:val="32"/>
                <w:highlight w:val="none"/>
              </w:rPr>
            </w:pPr>
          </w:p>
          <w:p>
            <w:pPr>
              <w:tabs>
                <w:tab w:val="left" w:pos="7665"/>
              </w:tabs>
              <w:topLinePunct/>
              <w:spacing w:line="400" w:lineRule="exact"/>
              <w:jc w:val="center"/>
              <w:rPr>
                <w:color w:val="auto"/>
                <w:sz w:val="24"/>
                <w:highlight w:val="none"/>
              </w:rPr>
            </w:pPr>
            <w:r>
              <w:rPr>
                <w:rFonts w:hint="eastAsia"/>
                <w:color w:val="auto"/>
                <w:sz w:val="24"/>
                <w:highlight w:val="none"/>
              </w:rPr>
              <w:t>(投标人名称)</w:t>
            </w:r>
          </w:p>
          <w:p>
            <w:pPr>
              <w:tabs>
                <w:tab w:val="left" w:pos="7665"/>
              </w:tabs>
              <w:wordWrap w:val="0"/>
              <w:topLinePunct/>
              <w:spacing w:line="400" w:lineRule="exact"/>
              <w:rPr>
                <w:color w:val="auto"/>
                <w:sz w:val="24"/>
                <w:highlight w:val="none"/>
              </w:rPr>
            </w:pPr>
          </w:p>
        </w:tc>
      </w:tr>
    </w:tbl>
    <w:p>
      <w:pPr>
        <w:tabs>
          <w:tab w:val="left" w:pos="7665"/>
        </w:tabs>
        <w:wordWrap w:val="0"/>
        <w:topLinePunct/>
        <w:spacing w:line="400" w:lineRule="exact"/>
        <w:rPr>
          <w:color w:val="auto"/>
          <w:sz w:val="24"/>
          <w:highlight w:val="none"/>
        </w:rPr>
      </w:pPr>
      <w:r>
        <w:rPr>
          <w:rFonts w:hint="eastAsia"/>
          <w:color w:val="auto"/>
          <w:sz w:val="24"/>
          <w:highlight w:val="none"/>
        </w:rPr>
        <w:br w:type="page"/>
      </w:r>
    </w:p>
    <w:p>
      <w:pPr>
        <w:tabs>
          <w:tab w:val="left" w:pos="7665"/>
        </w:tabs>
        <w:wordWrap w:val="0"/>
        <w:topLinePunct/>
        <w:spacing w:line="400" w:lineRule="exact"/>
        <w:rPr>
          <w:color w:val="auto"/>
          <w:sz w:val="24"/>
          <w:highlight w:val="none"/>
        </w:rPr>
      </w:pPr>
      <w:r>
        <w:rPr>
          <w:rFonts w:hint="eastAsia"/>
          <w:color w:val="auto"/>
          <w:sz w:val="24"/>
          <w:highlight w:val="none"/>
        </w:rPr>
        <w:t>投标文件密封袋格式：</w:t>
      </w:r>
    </w:p>
    <w:p>
      <w:pPr>
        <w:tabs>
          <w:tab w:val="left" w:pos="7665"/>
        </w:tabs>
        <w:wordWrap w:val="0"/>
        <w:topLinePunct/>
        <w:spacing w:line="400" w:lineRule="exact"/>
        <w:rPr>
          <w:color w:val="auto"/>
          <w:sz w:val="24"/>
          <w:highlight w:val="none"/>
        </w:rPr>
      </w:pPr>
    </w:p>
    <w:p>
      <w:pPr>
        <w:tabs>
          <w:tab w:val="left" w:pos="7665"/>
        </w:tabs>
        <w:wordWrap w:val="0"/>
        <w:topLinePunct/>
        <w:spacing w:line="400" w:lineRule="exact"/>
        <w:rPr>
          <w:color w:val="auto"/>
          <w:sz w:val="24"/>
          <w:highlight w:val="none"/>
        </w:rPr>
      </w:pPr>
    </w:p>
    <w:tbl>
      <w:tblPr>
        <w:tblStyle w:val="24"/>
        <w:tblW w:w="9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8" w:hRule="atLeast"/>
        </w:trPr>
        <w:tc>
          <w:tcPr>
            <w:tcW w:w="9260" w:type="dxa"/>
            <w:tcBorders>
              <w:top w:val="single" w:color="000000" w:sz="4" w:space="0"/>
              <w:left w:val="single" w:color="000000" w:sz="4" w:space="0"/>
              <w:bottom w:val="single" w:color="000000" w:sz="4" w:space="0"/>
              <w:right w:val="single" w:color="000000" w:sz="4" w:space="0"/>
            </w:tcBorders>
          </w:tcPr>
          <w:p>
            <w:pPr>
              <w:tabs>
                <w:tab w:val="left" w:pos="7665"/>
              </w:tabs>
              <w:wordWrap w:val="0"/>
              <w:topLinePunct/>
              <w:spacing w:line="400" w:lineRule="exact"/>
              <w:rPr>
                <w:color w:val="auto"/>
                <w:sz w:val="24"/>
                <w:highlight w:val="non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wordWrap w:val="0"/>
              <w:topLinePunct/>
              <w:spacing w:line="400" w:lineRule="exact"/>
              <w:ind w:firstLine="2880" w:firstLineChars="1200"/>
              <w:rPr>
                <w:color w:val="auto"/>
                <w:sz w:val="24"/>
                <w:highlight w:val="none"/>
                <w:u w:val="single"/>
              </w:rPr>
            </w:pPr>
          </w:p>
          <w:p>
            <w:pPr>
              <w:tabs>
                <w:tab w:val="left" w:pos="7665"/>
              </w:tabs>
              <w:topLinePunct/>
              <w:spacing w:line="400" w:lineRule="exact"/>
              <w:jc w:val="center"/>
              <w:rPr>
                <w:color w:val="auto"/>
                <w:sz w:val="24"/>
                <w:highlight w:val="none"/>
                <w:u w:val="single"/>
              </w:rPr>
            </w:pPr>
            <w:r>
              <w:rPr>
                <w:rFonts w:hint="eastAsia"/>
                <w:color w:val="auto"/>
                <w:sz w:val="24"/>
                <w:highlight w:val="none"/>
                <w:u w:val="single"/>
              </w:rPr>
              <w:t xml:space="preserve">(项目名称)                   </w:t>
            </w:r>
            <w:r>
              <w:rPr>
                <w:rFonts w:hint="eastAsia"/>
                <w:color w:val="auto"/>
                <w:sz w:val="24"/>
                <w:highlight w:val="none"/>
              </w:rPr>
              <w:t>(第 包)</w:t>
            </w:r>
          </w:p>
          <w:p>
            <w:pPr>
              <w:tabs>
                <w:tab w:val="left" w:pos="7665"/>
              </w:tabs>
              <w:wordWrap w:val="0"/>
              <w:topLinePunct/>
              <w:spacing w:line="400" w:lineRule="exact"/>
              <w:jc w:val="center"/>
              <w:rPr>
                <w:b/>
                <w:color w:val="auto"/>
                <w:sz w:val="32"/>
                <w:szCs w:val="32"/>
                <w:highlight w:val="none"/>
              </w:rPr>
            </w:pPr>
          </w:p>
          <w:p>
            <w:pPr>
              <w:tabs>
                <w:tab w:val="left" w:pos="7665"/>
              </w:tabs>
              <w:topLinePunct/>
              <w:spacing w:line="400" w:lineRule="exact"/>
              <w:jc w:val="center"/>
              <w:rPr>
                <w:b/>
                <w:color w:val="auto"/>
                <w:sz w:val="32"/>
                <w:szCs w:val="32"/>
                <w:highlight w:val="none"/>
              </w:rPr>
            </w:pPr>
            <w:r>
              <w:rPr>
                <w:rFonts w:hint="eastAsia"/>
                <w:b/>
                <w:color w:val="auto"/>
                <w:sz w:val="32"/>
                <w:szCs w:val="32"/>
                <w:highlight w:val="none"/>
              </w:rPr>
              <w:t>投标文件</w:t>
            </w:r>
          </w:p>
          <w:p>
            <w:pPr>
              <w:tabs>
                <w:tab w:val="left" w:pos="7665"/>
              </w:tabs>
              <w:wordWrap w:val="0"/>
              <w:topLinePunct/>
              <w:spacing w:line="400" w:lineRule="exact"/>
              <w:jc w:val="center"/>
              <w:rPr>
                <w:b/>
                <w:color w:val="auto"/>
                <w:sz w:val="32"/>
                <w:szCs w:val="32"/>
                <w:highlight w:val="none"/>
              </w:rPr>
            </w:pPr>
          </w:p>
          <w:p>
            <w:pPr>
              <w:tabs>
                <w:tab w:val="left" w:pos="7665"/>
              </w:tabs>
              <w:topLinePunct/>
              <w:spacing w:line="400" w:lineRule="exact"/>
              <w:jc w:val="center"/>
              <w:rPr>
                <w:color w:val="auto"/>
                <w:sz w:val="24"/>
                <w:highlight w:val="none"/>
              </w:rPr>
            </w:pPr>
            <w:r>
              <w:rPr>
                <w:rFonts w:hint="eastAsia"/>
                <w:color w:val="auto"/>
                <w:sz w:val="24"/>
                <w:highlight w:val="none"/>
              </w:rPr>
              <w:t>(投标人名称)</w:t>
            </w:r>
          </w:p>
          <w:p>
            <w:pPr>
              <w:tabs>
                <w:tab w:val="left" w:pos="7665"/>
              </w:tabs>
              <w:wordWrap w:val="0"/>
              <w:topLinePunct/>
              <w:spacing w:line="400" w:lineRule="exact"/>
              <w:rPr>
                <w:color w:val="auto"/>
                <w:sz w:val="24"/>
                <w:highlight w:val="none"/>
              </w:rPr>
            </w:pPr>
          </w:p>
        </w:tc>
      </w:tr>
      <w:bookmarkEnd w:id="59"/>
      <w:bookmarkEnd w:id="60"/>
    </w:tbl>
    <w:p>
      <w:pPr>
        <w:wordWrap w:val="0"/>
        <w:topLinePunct/>
        <w:rPr>
          <w:rFonts w:ascii="宋体"/>
          <w:color w:val="auto"/>
          <w:highlight w:val="none"/>
        </w:rPr>
      </w:pPr>
    </w:p>
    <w:p>
      <w:pPr>
        <w:wordWrap w:val="0"/>
        <w:topLinePunct/>
        <w:rPr>
          <w:rFonts w:ascii="宋体"/>
          <w:color w:val="auto"/>
          <w:highlight w:val="none"/>
        </w:rPr>
      </w:pPr>
    </w:p>
    <w:p>
      <w:pPr>
        <w:wordWrap w:val="0"/>
        <w:topLinePunct/>
        <w:rPr>
          <w:rFonts w:ascii="宋体"/>
          <w:color w:val="auto"/>
          <w:highlight w:val="none"/>
        </w:rPr>
      </w:pPr>
    </w:p>
    <w:p>
      <w:pPr>
        <w:wordWrap w:val="0"/>
        <w:topLinePunct/>
        <w:rPr>
          <w:rFonts w:ascii="宋体"/>
          <w:color w:val="auto"/>
          <w:highlight w:val="none"/>
        </w:rPr>
      </w:pPr>
    </w:p>
    <w:p>
      <w:pPr>
        <w:wordWrap w:val="0"/>
        <w:topLinePunct/>
        <w:jc w:val="both"/>
        <w:rPr>
          <w:rFonts w:ascii="宋体"/>
          <w:b/>
          <w:color w:val="auto"/>
          <w:sz w:val="84"/>
          <w:szCs w:val="84"/>
          <w:highlight w:val="none"/>
        </w:rPr>
      </w:pPr>
    </w:p>
    <w:p>
      <w:pPr>
        <w:pStyle w:val="10"/>
      </w:pPr>
    </w:p>
    <w:tbl>
      <w:tblPr>
        <w:tblStyle w:val="24"/>
        <w:tblpPr w:leftFromText="180" w:rightFromText="180" w:vertAnchor="text" w:horzAnchor="page" w:tblpX="7786" w:tblpY="22"/>
        <w:tblOverlap w:val="never"/>
        <w:tblW w:w="2091" w:type="dxa"/>
        <w:tblInd w:w="0" w:type="dxa"/>
        <w:tblLayout w:type="fixed"/>
        <w:tblCellMar>
          <w:top w:w="0" w:type="dxa"/>
          <w:left w:w="108" w:type="dxa"/>
          <w:bottom w:w="0" w:type="dxa"/>
          <w:right w:w="108" w:type="dxa"/>
        </w:tblCellMar>
      </w:tblPr>
      <w:tblGrid>
        <w:gridCol w:w="2091"/>
      </w:tblGrid>
      <w:tr>
        <w:tblPrEx>
          <w:tblCellMar>
            <w:top w:w="0" w:type="dxa"/>
            <w:left w:w="108" w:type="dxa"/>
            <w:bottom w:w="0" w:type="dxa"/>
            <w:right w:w="108" w:type="dxa"/>
          </w:tblCellMar>
        </w:tblPrEx>
        <w:trPr>
          <w:trHeight w:val="552" w:hRule="atLeast"/>
        </w:trPr>
        <w:tc>
          <w:tcPr>
            <w:tcW w:w="2091" w:type="dxa"/>
            <w:tcBorders>
              <w:top w:val="single" w:color="auto" w:sz="4" w:space="0"/>
              <w:left w:val="single" w:color="auto" w:sz="4" w:space="0"/>
              <w:bottom w:val="single" w:color="auto" w:sz="4" w:space="0"/>
              <w:right w:val="single" w:color="auto" w:sz="4" w:space="0"/>
              <w:tl2br w:val="nil"/>
              <w:tr2bl w:val="nil"/>
            </w:tcBorders>
            <w:vAlign w:val="center"/>
          </w:tcPr>
          <w:p>
            <w:pPr>
              <w:wordWrap w:val="0"/>
              <w:topLinePunct/>
              <w:rPr>
                <w:b/>
                <w:bCs/>
                <w:color w:val="auto"/>
                <w:sz w:val="32"/>
                <w:szCs w:val="32"/>
                <w:highlight w:val="none"/>
              </w:rPr>
            </w:pPr>
            <w:r>
              <w:rPr>
                <w:rFonts w:hint="eastAsia"/>
                <w:b/>
                <w:bCs/>
                <w:color w:val="auto"/>
                <w:sz w:val="32"/>
                <w:szCs w:val="32"/>
                <w:highlight w:val="none"/>
              </w:rPr>
              <w:t>正本或副本</w:t>
            </w:r>
          </w:p>
        </w:tc>
      </w:tr>
    </w:tbl>
    <w:p>
      <w:pPr>
        <w:wordWrap w:val="0"/>
        <w:topLinePunct/>
        <w:jc w:val="center"/>
        <w:rPr>
          <w:rFonts w:ascii="宋体"/>
          <w:b/>
          <w:color w:val="auto"/>
          <w:sz w:val="84"/>
          <w:szCs w:val="84"/>
          <w:highlight w:val="none"/>
        </w:rPr>
      </w:pPr>
    </w:p>
    <w:p>
      <w:pPr>
        <w:wordWrap w:val="0"/>
        <w:topLinePunct/>
        <w:jc w:val="center"/>
        <w:rPr>
          <w:rFonts w:ascii="宋体"/>
          <w:b/>
          <w:color w:val="auto"/>
          <w:sz w:val="84"/>
          <w:szCs w:val="84"/>
          <w:highlight w:val="none"/>
        </w:rPr>
      </w:pPr>
      <w:r>
        <w:rPr>
          <w:rFonts w:hint="eastAsia" w:ascii="宋体"/>
          <w:b/>
          <w:color w:val="auto"/>
          <w:sz w:val="84"/>
          <w:szCs w:val="84"/>
          <w:highlight w:val="none"/>
        </w:rPr>
        <w:t>投 标 文 件</w:t>
      </w:r>
    </w:p>
    <w:p>
      <w:pPr>
        <w:wordWrap w:val="0"/>
        <w:topLinePunct/>
        <w:jc w:val="center"/>
        <w:rPr>
          <w:rFonts w:ascii="宋体"/>
          <w:b/>
          <w:color w:val="auto"/>
          <w:sz w:val="84"/>
          <w:szCs w:val="84"/>
          <w:highlight w:val="none"/>
        </w:rPr>
      </w:pPr>
    </w:p>
    <w:p>
      <w:pPr>
        <w:wordWrap w:val="0"/>
        <w:topLinePunct/>
        <w:spacing w:line="360" w:lineRule="auto"/>
        <w:jc w:val="center"/>
        <w:rPr>
          <w:rFonts w:ascii="宋体"/>
          <w:b/>
          <w:color w:val="auto"/>
          <w:sz w:val="32"/>
          <w:szCs w:val="32"/>
          <w:highlight w:val="none"/>
        </w:rPr>
      </w:pPr>
    </w:p>
    <w:p>
      <w:pPr>
        <w:wordWrap w:val="0"/>
        <w:topLinePunct/>
        <w:spacing w:line="480" w:lineRule="auto"/>
        <w:ind w:firstLine="1626" w:firstLineChars="450"/>
        <w:rPr>
          <w:rFonts w:ascii="宋体"/>
          <w:b/>
          <w:color w:val="auto"/>
          <w:sz w:val="36"/>
          <w:szCs w:val="36"/>
          <w:highlight w:val="none"/>
        </w:rPr>
      </w:pPr>
      <w:r>
        <w:rPr>
          <w:rFonts w:hint="eastAsia" w:ascii="宋体"/>
          <w:b/>
          <w:color w:val="auto"/>
          <w:sz w:val="36"/>
          <w:szCs w:val="36"/>
          <w:highlight w:val="none"/>
        </w:rPr>
        <w:t>项目编号:</w:t>
      </w:r>
      <w:r>
        <w:rPr>
          <w:rFonts w:hint="eastAsia" w:ascii="宋体"/>
          <w:bCs/>
          <w:color w:val="auto"/>
          <w:sz w:val="36"/>
          <w:szCs w:val="36"/>
          <w:highlight w:val="none"/>
          <w:u w:val="single"/>
        </w:rPr>
        <w:t xml:space="preserve">              </w:t>
      </w:r>
      <w:r>
        <w:rPr>
          <w:rFonts w:ascii="宋体"/>
          <w:b/>
          <w:color w:val="auto"/>
          <w:sz w:val="36"/>
          <w:szCs w:val="36"/>
          <w:highlight w:val="none"/>
          <w:u w:val="single"/>
        </w:rPr>
        <w:t xml:space="preserve">       </w:t>
      </w:r>
    </w:p>
    <w:p>
      <w:pPr>
        <w:wordWrap w:val="0"/>
        <w:topLinePunct/>
        <w:ind w:firstLine="1626" w:firstLineChars="450"/>
        <w:rPr>
          <w:rFonts w:ascii="宋体"/>
          <w:b/>
          <w:color w:val="auto"/>
          <w:sz w:val="32"/>
          <w:szCs w:val="32"/>
          <w:highlight w:val="none"/>
          <w:u w:val="single"/>
        </w:rPr>
      </w:pPr>
      <w:r>
        <w:rPr>
          <w:rFonts w:hint="eastAsia" w:ascii="宋体"/>
          <w:b/>
          <w:color w:val="auto"/>
          <w:sz w:val="36"/>
          <w:szCs w:val="36"/>
          <w:highlight w:val="none"/>
        </w:rPr>
        <w:t xml:space="preserve">项目名称：  </w:t>
      </w:r>
      <w:r>
        <w:rPr>
          <w:rFonts w:ascii="宋体"/>
          <w:b/>
          <w:color w:val="auto"/>
          <w:sz w:val="36"/>
          <w:szCs w:val="36"/>
          <w:highlight w:val="none"/>
        </w:rPr>
        <w:t xml:space="preserve">     </w:t>
      </w:r>
      <w:r>
        <w:rPr>
          <w:rFonts w:ascii="宋体"/>
          <w:b/>
          <w:color w:val="auto"/>
          <w:sz w:val="36"/>
          <w:szCs w:val="36"/>
          <w:highlight w:val="none"/>
          <w:u w:val="single"/>
        </w:rPr>
        <w:t xml:space="preserve">      </w:t>
      </w:r>
    </w:p>
    <w:p>
      <w:pPr>
        <w:wordWrap w:val="0"/>
        <w:topLinePunct/>
        <w:spacing w:line="480" w:lineRule="auto"/>
        <w:jc w:val="center"/>
        <w:rPr>
          <w:rFonts w:ascii="宋体"/>
          <w:b/>
          <w:color w:val="auto"/>
          <w:sz w:val="36"/>
          <w:szCs w:val="36"/>
          <w:highlight w:val="none"/>
        </w:rPr>
      </w:pPr>
      <w:r>
        <w:rPr>
          <w:rFonts w:hint="eastAsia" w:ascii="宋体"/>
          <w:b/>
          <w:color w:val="auto"/>
          <w:sz w:val="36"/>
          <w:szCs w:val="36"/>
          <w:highlight w:val="none"/>
        </w:rPr>
        <w:t xml:space="preserve"> (第</w:t>
      </w:r>
      <w:r>
        <w:rPr>
          <w:rFonts w:ascii="宋体"/>
          <w:b/>
          <w:color w:val="auto"/>
          <w:sz w:val="36"/>
          <w:szCs w:val="36"/>
          <w:highlight w:val="none"/>
        </w:rPr>
        <w:t xml:space="preserve">    </w:t>
      </w:r>
      <w:r>
        <w:rPr>
          <w:rFonts w:hint="eastAsia" w:ascii="宋体"/>
          <w:b/>
          <w:color w:val="auto"/>
          <w:sz w:val="36"/>
          <w:szCs w:val="36"/>
          <w:highlight w:val="none"/>
        </w:rPr>
        <w:t>包)</w:t>
      </w:r>
    </w:p>
    <w:p>
      <w:pPr>
        <w:wordWrap w:val="0"/>
        <w:topLinePunct/>
        <w:rPr>
          <w:rFonts w:ascii="宋体"/>
          <w:b/>
          <w:color w:val="auto"/>
          <w:sz w:val="36"/>
          <w:szCs w:val="36"/>
          <w:highlight w:val="none"/>
        </w:rPr>
      </w:pPr>
    </w:p>
    <w:p>
      <w:pPr>
        <w:wordWrap w:val="0"/>
        <w:topLinePunct/>
        <w:rPr>
          <w:rFonts w:ascii="宋体"/>
          <w:color w:val="auto"/>
          <w:sz w:val="36"/>
          <w:szCs w:val="36"/>
          <w:highlight w:val="none"/>
        </w:rPr>
      </w:pPr>
    </w:p>
    <w:p>
      <w:pPr>
        <w:wordWrap w:val="0"/>
        <w:topLinePunct/>
        <w:rPr>
          <w:rFonts w:ascii="宋体"/>
          <w:color w:val="auto"/>
          <w:sz w:val="36"/>
          <w:szCs w:val="36"/>
          <w:highlight w:val="none"/>
        </w:rPr>
      </w:pPr>
    </w:p>
    <w:p>
      <w:pPr>
        <w:wordWrap w:val="0"/>
        <w:topLinePunct/>
        <w:rPr>
          <w:rFonts w:ascii="宋体"/>
          <w:color w:val="auto"/>
          <w:sz w:val="36"/>
          <w:szCs w:val="36"/>
          <w:highlight w:val="none"/>
        </w:rPr>
      </w:pPr>
    </w:p>
    <w:p>
      <w:pPr>
        <w:wordWrap w:val="0"/>
        <w:topLinePunct/>
        <w:ind w:firstLine="1428" w:firstLineChars="395"/>
        <w:rPr>
          <w:rFonts w:ascii="宋体"/>
          <w:b/>
          <w:color w:val="auto"/>
          <w:sz w:val="36"/>
          <w:szCs w:val="36"/>
          <w:highlight w:val="none"/>
          <w:u w:val="single"/>
        </w:rPr>
      </w:pPr>
      <w:r>
        <w:rPr>
          <w:rFonts w:hint="eastAsia" w:ascii="宋体"/>
          <w:b/>
          <w:color w:val="auto"/>
          <w:sz w:val="36"/>
          <w:szCs w:val="36"/>
          <w:highlight w:val="none"/>
        </w:rPr>
        <w:t>投标人名称：(盖单位公章)</w:t>
      </w:r>
    </w:p>
    <w:p>
      <w:pPr>
        <w:wordWrap w:val="0"/>
        <w:topLinePunct/>
        <w:rPr>
          <w:rFonts w:ascii="宋体"/>
          <w:b/>
          <w:color w:val="auto"/>
          <w:sz w:val="36"/>
          <w:szCs w:val="36"/>
          <w:highlight w:val="none"/>
        </w:rPr>
      </w:pPr>
    </w:p>
    <w:p>
      <w:pPr>
        <w:widowControl/>
        <w:ind w:firstLine="1428" w:firstLineChars="395"/>
        <w:rPr>
          <w:rFonts w:ascii="宋体"/>
          <w:b/>
          <w:color w:val="auto"/>
          <w:sz w:val="36"/>
          <w:szCs w:val="36"/>
          <w:highlight w:val="none"/>
        </w:rPr>
      </w:pPr>
      <w:r>
        <w:rPr>
          <w:rFonts w:hint="eastAsia" w:ascii="宋体"/>
          <w:b/>
          <w:color w:val="auto"/>
          <w:sz w:val="36"/>
          <w:szCs w:val="36"/>
          <w:highlight w:val="none"/>
        </w:rPr>
        <w:t>投标日期：</w:t>
      </w:r>
      <w:r>
        <w:rPr>
          <w:rFonts w:ascii="宋体"/>
          <w:b/>
          <w:color w:val="auto"/>
          <w:sz w:val="36"/>
          <w:szCs w:val="36"/>
          <w:highlight w:val="none"/>
        </w:rPr>
        <w:t xml:space="preserve">   </w:t>
      </w:r>
      <w:r>
        <w:rPr>
          <w:rFonts w:hint="eastAsia" w:ascii="宋体" w:cs="方正小标宋简体"/>
          <w:b/>
          <w:color w:val="auto"/>
          <w:sz w:val="36"/>
          <w:szCs w:val="36"/>
          <w:highlight w:val="none"/>
        </w:rPr>
        <w:t>年</w:t>
      </w:r>
      <w:r>
        <w:rPr>
          <w:rFonts w:ascii="宋体" w:cs="方正小标宋简体"/>
          <w:b/>
          <w:color w:val="auto"/>
          <w:sz w:val="36"/>
          <w:szCs w:val="36"/>
          <w:highlight w:val="none"/>
        </w:rPr>
        <w:t xml:space="preserve">  </w:t>
      </w:r>
      <w:r>
        <w:rPr>
          <w:rFonts w:hint="eastAsia" w:ascii="宋体"/>
          <w:b/>
          <w:color w:val="auto"/>
          <w:sz w:val="36"/>
          <w:szCs w:val="36"/>
          <w:highlight w:val="none"/>
        </w:rPr>
        <w:t>月</w:t>
      </w:r>
      <w:r>
        <w:rPr>
          <w:rFonts w:ascii="宋体"/>
          <w:b/>
          <w:color w:val="auto"/>
          <w:sz w:val="36"/>
          <w:szCs w:val="36"/>
          <w:highlight w:val="none"/>
        </w:rPr>
        <w:t xml:space="preserve">  </w:t>
      </w:r>
      <w:r>
        <w:rPr>
          <w:rFonts w:hint="eastAsia" w:ascii="宋体"/>
          <w:b/>
          <w:color w:val="auto"/>
          <w:sz w:val="36"/>
          <w:szCs w:val="36"/>
          <w:highlight w:val="none"/>
        </w:rPr>
        <w:t>日</w:t>
      </w:r>
      <w:r>
        <w:rPr>
          <w:rFonts w:ascii="宋体"/>
          <w:b/>
          <w:color w:val="auto"/>
          <w:sz w:val="36"/>
          <w:szCs w:val="36"/>
          <w:highlight w:val="none"/>
        </w:rPr>
        <w:br w:type="page"/>
      </w:r>
    </w:p>
    <w:p>
      <w:pPr>
        <w:widowControl/>
        <w:jc w:val="left"/>
        <w:rPr>
          <w:rFonts w:ascii="宋体"/>
          <w:color w:val="auto"/>
          <w:sz w:val="24"/>
          <w:highlight w:val="none"/>
        </w:rPr>
      </w:pPr>
    </w:p>
    <w:p>
      <w:pPr>
        <w:jc w:val="center"/>
        <w:rPr>
          <w:rFonts w:ascii="宋体"/>
          <w:color w:val="auto"/>
          <w:sz w:val="39"/>
          <w:highlight w:val="none"/>
        </w:rPr>
      </w:pPr>
      <w:r>
        <w:rPr>
          <w:rFonts w:hint="eastAsia" w:ascii="宋体"/>
          <w:color w:val="auto"/>
          <w:sz w:val="39"/>
          <w:highlight w:val="none"/>
        </w:rPr>
        <w:t>目    录</w:t>
      </w:r>
    </w:p>
    <w:p>
      <w:pPr>
        <w:pStyle w:val="33"/>
        <w:rPr>
          <w:color w:val="auto"/>
          <w:highlight w:val="none"/>
        </w:rPr>
      </w:pPr>
    </w:p>
    <w:p>
      <w:pPr>
        <w:jc w:val="center"/>
        <w:rPr>
          <w:rFonts w:ascii="宋体"/>
          <w:color w:val="auto"/>
          <w:highlight w:val="none"/>
        </w:rPr>
      </w:pPr>
      <w:r>
        <w:rPr>
          <w:rFonts w:hint="eastAsia" w:ascii="宋体"/>
          <w:color w:val="auto"/>
          <w:highlight w:val="none"/>
        </w:rPr>
        <w:t>（投标文件组成）</w:t>
      </w:r>
    </w:p>
    <w:p>
      <w:pPr>
        <w:pStyle w:val="33"/>
        <w:rPr>
          <w:color w:val="auto"/>
          <w:highlight w:val="none"/>
        </w:rPr>
      </w:pP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（二）法定代表人授权书或法定代表人证明书</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（三）开标一览表</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（四）投标人企业基本情况一览表</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法人或者其他组织的营业执照等证明文件，自然人的身份证明</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财务状况报告</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（七）法律、行政法规规定的其他条件的证明材料(国家强制性要求的行政许可证书，如有)</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（八）根据采购项目提出的特殊条件的证明材料：按第二章投标人须知前附表第5条(</w:t>
      </w:r>
      <w:r>
        <w:rPr>
          <w:rFonts w:hint="eastAsia" w:ascii="宋体" w:hAnsi="宋体"/>
          <w:color w:val="auto"/>
          <w:sz w:val="24"/>
          <w:highlight w:val="none"/>
          <w:lang w:val="en-US" w:eastAsia="zh-CN"/>
        </w:rPr>
        <w:t>6</w:t>
      </w:r>
      <w:r>
        <w:rPr>
          <w:rFonts w:hint="eastAsia" w:ascii="宋体" w:hAnsi="宋体"/>
          <w:color w:val="auto"/>
          <w:sz w:val="24"/>
          <w:highlight w:val="none"/>
        </w:rPr>
        <w:t>)款要求提供资料</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 xml:space="preserve">（九）投标承诺及声明 </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（十）报价明细表</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（十一）投标技术服务响应表</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（十二）技术、服务方案和售后服务措施</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（十三）投标人类似项目业绩一览表</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（十四）中小企业声明函</w:t>
      </w:r>
    </w:p>
    <w:p>
      <w:pPr>
        <w:wordWrap w:val="0"/>
        <w:topLinePunct/>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（十五）残疾人福利性单位声明函</w:t>
      </w:r>
    </w:p>
    <w:p>
      <w:pPr>
        <w:ind w:firstLine="480" w:firstLineChars="200"/>
        <w:rPr>
          <w:rFonts w:hint="eastAsia" w:ascii="宋体" w:hAnsi="宋体" w:cs="宋体"/>
          <w:color w:val="auto"/>
          <w:sz w:val="24"/>
          <w:szCs w:val="24"/>
          <w:highlight w:val="none"/>
        </w:rPr>
      </w:pPr>
      <w:r>
        <w:rPr>
          <w:rFonts w:hint="eastAsia" w:ascii="宋体" w:hAnsi="宋体"/>
          <w:color w:val="auto"/>
          <w:sz w:val="24"/>
          <w:highlight w:val="none"/>
        </w:rPr>
        <w:t>（十六）</w:t>
      </w:r>
      <w:r>
        <w:rPr>
          <w:rFonts w:ascii="宋体" w:hAnsi="宋体"/>
          <w:color w:val="auto"/>
          <w:sz w:val="24"/>
          <w:highlight w:val="none"/>
        </w:rPr>
        <w:t>其他材料</w:t>
      </w:r>
      <w:r>
        <w:rPr>
          <w:rFonts w:ascii="宋体" w:hAnsi="宋体"/>
          <w:color w:val="auto"/>
          <w:sz w:val="24"/>
          <w:highlight w:val="none"/>
        </w:rPr>
        <w:br w:type="page"/>
      </w:r>
    </w:p>
    <w:p>
      <w:pPr>
        <w:pStyle w:val="10"/>
      </w:pPr>
    </w:p>
    <w:p>
      <w:pPr>
        <w:jc w:val="center"/>
        <w:rPr>
          <w:rFonts w:hAnsi="宋体"/>
          <w:b/>
          <w:bCs/>
          <w:color w:val="auto"/>
          <w:highlight w:val="none"/>
        </w:rPr>
      </w:pPr>
      <w:bookmarkStart w:id="62" w:name="_Toc497397753"/>
      <w:bookmarkStart w:id="63" w:name="_Toc484268472"/>
      <w:r>
        <w:rPr>
          <w:rFonts w:hint="eastAsia" w:ascii="宋体" w:hAnsi="宋体"/>
          <w:b/>
          <w:bCs/>
          <w:color w:val="auto"/>
          <w:sz w:val="24"/>
          <w:highlight w:val="none"/>
        </w:rPr>
        <w:t>（一）投 标 函</w:t>
      </w:r>
    </w:p>
    <w:p>
      <w:pPr>
        <w:pStyle w:val="33"/>
        <w:rPr>
          <w:rFonts w:hAnsi="宋体"/>
          <w:b/>
          <w:bCs/>
          <w:color w:val="auto"/>
          <w:highlight w:val="none"/>
        </w:rPr>
      </w:pPr>
    </w:p>
    <w:p>
      <w:pPr>
        <w:pStyle w:val="15"/>
        <w:wordWrap w:val="0"/>
        <w:topLinePunct/>
        <w:spacing w:line="380" w:lineRule="exact"/>
        <w:ind w:left="420"/>
        <w:rPr>
          <w:rFonts w:ascii="宋体" w:hAnsi="宋体"/>
          <w:bCs/>
          <w:color w:val="auto"/>
          <w:sz w:val="24"/>
          <w:highlight w:val="none"/>
        </w:rPr>
      </w:pPr>
      <w:r>
        <w:rPr>
          <w:rFonts w:hint="eastAsia" w:ascii="宋体" w:hAnsi="宋体"/>
          <w:bCs/>
          <w:color w:val="auto"/>
          <w:sz w:val="24"/>
          <w:highlight w:val="none"/>
          <w:u w:val="single"/>
          <w:lang w:eastAsia="zh-CN"/>
        </w:rPr>
        <w:t>四川华景工程项目管理有限公司</w:t>
      </w:r>
      <w:r>
        <w:rPr>
          <w:rFonts w:hint="eastAsia" w:ascii="宋体" w:hAnsi="宋体"/>
          <w:bCs/>
          <w:color w:val="auto"/>
          <w:sz w:val="24"/>
          <w:highlight w:val="none"/>
        </w:rPr>
        <w:t>：</w:t>
      </w:r>
    </w:p>
    <w:p>
      <w:pPr>
        <w:pStyle w:val="15"/>
        <w:wordWrap w:val="0"/>
        <w:topLinePunct/>
        <w:spacing w:line="380" w:lineRule="exact"/>
        <w:ind w:left="420" w:firstLine="480" w:firstLineChars="200"/>
        <w:rPr>
          <w:rFonts w:ascii="宋体" w:hAnsi="宋体"/>
          <w:bCs/>
          <w:color w:val="auto"/>
          <w:sz w:val="24"/>
          <w:highlight w:val="none"/>
        </w:rPr>
      </w:pPr>
      <w:r>
        <w:rPr>
          <w:rFonts w:hint="eastAsia" w:ascii="宋体" w:hAnsi="宋体"/>
          <w:bCs/>
          <w:color w:val="auto"/>
          <w:sz w:val="24"/>
          <w:highlight w:val="none"/>
        </w:rPr>
        <w:t>我方全面研究了 “</w:t>
      </w:r>
      <w:r>
        <w:rPr>
          <w:rFonts w:hint="eastAsia" w:ascii="宋体" w:hAnsi="宋体"/>
          <w:bCs/>
          <w:color w:val="auto"/>
          <w:sz w:val="24"/>
          <w:highlight w:val="none"/>
          <w:u w:val="single"/>
        </w:rPr>
        <w:t xml:space="preserve">      </w:t>
      </w:r>
      <w:r>
        <w:rPr>
          <w:rFonts w:hint="eastAsia" w:ascii="宋体" w:hAnsi="宋体"/>
          <w:bCs/>
          <w:color w:val="auto"/>
          <w:sz w:val="24"/>
          <w:highlight w:val="none"/>
        </w:rPr>
        <w:t>”项目</w:t>
      </w:r>
      <w:r>
        <w:rPr>
          <w:rFonts w:hint="eastAsia"/>
          <w:color w:val="auto"/>
          <w:sz w:val="24"/>
          <w:highlight w:val="none"/>
        </w:rPr>
        <w:t>(第 包)</w:t>
      </w:r>
      <w:r>
        <w:rPr>
          <w:rFonts w:hint="eastAsia" w:ascii="宋体" w:hAnsi="宋体"/>
          <w:bCs/>
          <w:color w:val="auto"/>
          <w:sz w:val="24"/>
          <w:highlight w:val="none"/>
        </w:rPr>
        <w:t>(项目编号：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)招标文件，决定参加贵单位组织的本项目投标。我方授权(姓名、职务)代表我方(投标单位的名称)全权处理本项目投标的有关事宜。</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．我方自愿按照招标文件规定的各项要求向采购人提供所需货物，总投标价为人民币</w:t>
      </w:r>
      <w:r>
        <w:rPr>
          <w:rFonts w:hint="eastAsia" w:ascii="宋体" w:hAnsi="宋体"/>
          <w:bCs/>
          <w:color w:val="auto"/>
          <w:sz w:val="24"/>
          <w:highlight w:val="none"/>
          <w:u w:val="single"/>
        </w:rPr>
        <w:t xml:space="preserve">           </w:t>
      </w:r>
      <w:r>
        <w:rPr>
          <w:rFonts w:hint="eastAsia" w:ascii="宋体" w:hAnsi="宋体"/>
          <w:bCs/>
          <w:color w:val="auto"/>
          <w:sz w:val="24"/>
          <w:highlight w:val="none"/>
          <w:u w:val="none"/>
          <w:lang w:eastAsia="zh-CN"/>
        </w:rPr>
        <w:t>万</w:t>
      </w:r>
      <w:r>
        <w:rPr>
          <w:rFonts w:hint="eastAsia" w:ascii="宋体" w:hAnsi="宋体"/>
          <w:bCs/>
          <w:color w:val="auto"/>
          <w:sz w:val="24"/>
          <w:highlight w:val="none"/>
        </w:rPr>
        <w:t>元(大写：</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．一旦我方中标，我方将严格履行合同规定的责任和义务，保证向采购人提供符合招标要求和标准的货物、服务，并交付采购人验收。</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．我方同意按照招标文件的要求，向贵单位缴纳投标保证金。并承诺：若违反了招标文件关于不予退还投标保证金规定的情形之一的，我方将不要求退还投标保证金。</w:t>
      </w:r>
    </w:p>
    <w:p>
      <w:pPr>
        <w:pStyle w:val="15"/>
        <w:wordWrap w:val="0"/>
        <w:topLinePunct/>
        <w:spacing w:line="380" w:lineRule="exact"/>
        <w:ind w:left="420" w:firstLine="480" w:firstLineChars="200"/>
        <w:rPr>
          <w:bCs/>
          <w:color w:val="auto"/>
          <w:kern w:val="24"/>
          <w:sz w:val="24"/>
          <w:highlight w:val="none"/>
        </w:rPr>
      </w:pPr>
      <w:r>
        <w:rPr>
          <w:bCs/>
          <w:color w:val="auto"/>
          <w:kern w:val="24"/>
          <w:sz w:val="24"/>
          <w:highlight w:val="none"/>
        </w:rPr>
        <w:t>4</w:t>
      </w:r>
      <w:r>
        <w:rPr>
          <w:rFonts w:hint="eastAsia"/>
          <w:bCs/>
          <w:color w:val="auto"/>
          <w:kern w:val="24"/>
          <w:sz w:val="24"/>
          <w:highlight w:val="none"/>
        </w:rPr>
        <w:t>．我方为本项目提交的投标文件正本</w:t>
      </w:r>
      <w:r>
        <w:rPr>
          <w:rFonts w:hint="eastAsia"/>
          <w:bCs/>
          <w:color w:val="auto"/>
          <w:kern w:val="24"/>
          <w:sz w:val="24"/>
          <w:highlight w:val="none"/>
          <w:u w:val="single"/>
        </w:rPr>
        <w:t xml:space="preserve">     </w:t>
      </w:r>
      <w:r>
        <w:rPr>
          <w:rFonts w:hint="eastAsia"/>
          <w:bCs/>
          <w:color w:val="auto"/>
          <w:kern w:val="24"/>
          <w:sz w:val="24"/>
          <w:highlight w:val="none"/>
        </w:rPr>
        <w:t>份，副本</w:t>
      </w:r>
      <w:r>
        <w:rPr>
          <w:rFonts w:hint="eastAsia"/>
          <w:bCs/>
          <w:color w:val="auto"/>
          <w:kern w:val="24"/>
          <w:sz w:val="24"/>
          <w:highlight w:val="none"/>
          <w:u w:val="single"/>
        </w:rPr>
        <w:t xml:space="preserve">    </w:t>
      </w:r>
      <w:r>
        <w:rPr>
          <w:rFonts w:hint="eastAsia"/>
          <w:bCs/>
          <w:color w:val="auto"/>
          <w:kern w:val="24"/>
          <w:sz w:val="24"/>
          <w:highlight w:val="none"/>
        </w:rPr>
        <w:t>份。</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．我方愿意提供贵单位可能另外要求的，与投标有关的文件资料，并保证我方已提供和将要提供的文件资料是真实、准确的。</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．我方同意所递交的投标文件在投标截止日起计算</w:t>
      </w:r>
      <w:r>
        <w:rPr>
          <w:rFonts w:ascii="宋体" w:hAnsi="宋体"/>
          <w:bCs/>
          <w:color w:val="auto"/>
          <w:sz w:val="24"/>
          <w:highlight w:val="none"/>
        </w:rPr>
        <w:t>90</w:t>
      </w:r>
      <w:r>
        <w:rPr>
          <w:rFonts w:hint="eastAsia" w:ascii="宋体" w:hAnsi="宋体"/>
          <w:bCs/>
          <w:color w:val="auto"/>
          <w:sz w:val="24"/>
          <w:highlight w:val="none"/>
        </w:rPr>
        <w:t>天的投标有效期内有效，在此期间，我方将受此约束。</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．我方如中标，承诺将按照招标文件规定的付款方式、交货时间、地点、履约保证金额等内容严格履约，如不按招标文件要求履约，自愿承担全部责任。</w:t>
      </w:r>
    </w:p>
    <w:p>
      <w:pPr>
        <w:pStyle w:val="15"/>
        <w:wordWrap w:val="0"/>
        <w:topLinePunct/>
        <w:spacing w:line="380" w:lineRule="exact"/>
        <w:ind w:left="420" w:firstLine="480" w:firstLineChars="200"/>
        <w:rPr>
          <w:rFonts w:ascii="宋体" w:hAns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．我方完全理解采购人不一定将合同授予最低报价的投标人的行为。</w:t>
      </w:r>
    </w:p>
    <w:p>
      <w:pPr>
        <w:pStyle w:val="15"/>
        <w:wordWrap w:val="0"/>
        <w:topLinePunct/>
        <w:spacing w:line="380" w:lineRule="exact"/>
        <w:ind w:left="420" w:firstLine="480" w:firstLineChars="200"/>
        <w:rPr>
          <w:rFonts w:ascii="宋体" w:hAnsi="宋体"/>
          <w:bCs/>
          <w:color w:val="auto"/>
          <w:sz w:val="24"/>
          <w:highlight w:val="none"/>
        </w:rPr>
      </w:pPr>
      <w:r>
        <w:rPr>
          <w:rFonts w:hint="eastAsia" w:ascii="宋体" w:hAnsi="宋体"/>
          <w:bCs/>
          <w:color w:val="auto"/>
          <w:sz w:val="24"/>
          <w:highlight w:val="none"/>
        </w:rPr>
        <w:t>9．我方如用虚假材料或恶意方式提出质疑，将承担相应的法律责任。如有上述行为，我方将无条件承担贵单位相关的调查论证费用。</w:t>
      </w:r>
    </w:p>
    <w:p>
      <w:pPr>
        <w:pStyle w:val="15"/>
        <w:wordWrap w:val="0"/>
        <w:topLinePunct/>
        <w:spacing w:line="380" w:lineRule="exact"/>
        <w:ind w:left="420" w:firstLine="480" w:firstLineChars="200"/>
        <w:rPr>
          <w:rFonts w:ascii="宋体" w:hAnsi="宋体"/>
          <w:bCs/>
          <w:color w:val="auto"/>
          <w:sz w:val="24"/>
          <w:highlight w:val="none"/>
        </w:rPr>
      </w:pPr>
      <w:r>
        <w:rPr>
          <w:rFonts w:hint="eastAsia" w:ascii="宋体" w:hAnsi="宋体"/>
          <w:bCs/>
          <w:color w:val="auto"/>
          <w:sz w:val="24"/>
          <w:highlight w:val="none"/>
        </w:rPr>
        <w:t>投标人名称：(盖章)</w:t>
      </w:r>
    </w:p>
    <w:p>
      <w:pPr>
        <w:pStyle w:val="15"/>
        <w:wordWrap w:val="0"/>
        <w:topLinePunct/>
        <w:spacing w:line="380" w:lineRule="exact"/>
        <w:ind w:left="420" w:firstLine="480" w:firstLineChars="200"/>
        <w:rPr>
          <w:rFonts w:ascii="宋体" w:hAnsi="宋体"/>
          <w:color w:val="auto"/>
          <w:sz w:val="24"/>
          <w:highlight w:val="none"/>
        </w:rPr>
      </w:pPr>
      <w:r>
        <w:rPr>
          <w:rFonts w:hint="eastAsia" w:ascii="宋体" w:hAnsi="宋体"/>
          <w:color w:val="auto"/>
          <w:sz w:val="24"/>
          <w:highlight w:val="none"/>
        </w:rPr>
        <w:t>法定代表人（负责人）或被授权人(签字或个人名章)：</w:t>
      </w:r>
    </w:p>
    <w:p>
      <w:pPr>
        <w:pStyle w:val="15"/>
        <w:wordWrap w:val="0"/>
        <w:topLinePunct/>
        <w:spacing w:line="380" w:lineRule="exact"/>
        <w:ind w:left="420" w:firstLine="480" w:firstLineChars="200"/>
        <w:rPr>
          <w:rFonts w:ascii="宋体" w:hAnsi="宋体"/>
          <w:bCs/>
          <w:color w:val="auto"/>
          <w:sz w:val="24"/>
          <w:highlight w:val="none"/>
        </w:rPr>
      </w:pPr>
      <w:r>
        <w:rPr>
          <w:rFonts w:hint="eastAsia" w:ascii="宋体" w:hAnsi="宋体"/>
          <w:bCs/>
          <w:color w:val="auto"/>
          <w:sz w:val="24"/>
          <w:highlight w:val="none"/>
        </w:rPr>
        <w:t>通讯地址：              邮政编码：</w:t>
      </w:r>
    </w:p>
    <w:p>
      <w:pPr>
        <w:pStyle w:val="15"/>
        <w:wordWrap w:val="0"/>
        <w:topLinePunct/>
        <w:spacing w:line="380" w:lineRule="exact"/>
        <w:ind w:left="420" w:firstLine="480" w:firstLineChars="200"/>
        <w:rPr>
          <w:rFonts w:ascii="宋体" w:hAnsi="宋体"/>
          <w:bCs/>
          <w:color w:val="auto"/>
          <w:sz w:val="24"/>
          <w:highlight w:val="none"/>
        </w:rPr>
      </w:pPr>
      <w:r>
        <w:rPr>
          <w:rFonts w:hint="eastAsia" w:ascii="宋体" w:hAnsi="宋体"/>
          <w:bCs/>
          <w:color w:val="auto"/>
          <w:sz w:val="24"/>
          <w:highlight w:val="none"/>
        </w:rPr>
        <w:t>联系电话：              传真：</w:t>
      </w:r>
    </w:p>
    <w:p>
      <w:pPr>
        <w:ind w:firstLine="1440" w:firstLineChars="600"/>
        <w:rPr>
          <w:rFonts w:ascii="宋体" w:hAnsi="宋体" w:cs="宋体"/>
          <w:color w:val="auto"/>
          <w:sz w:val="24"/>
          <w:szCs w:val="24"/>
          <w:highlight w:val="none"/>
        </w:rPr>
      </w:pPr>
      <w:r>
        <w:rPr>
          <w:rFonts w:hint="eastAsia" w:ascii="宋体" w:hAnsi="宋体"/>
          <w:bCs/>
          <w:color w:val="auto"/>
          <w:sz w:val="24"/>
          <w:highlight w:val="none"/>
        </w:rPr>
        <w:t>日期：</w:t>
      </w:r>
      <w:r>
        <w:rPr>
          <w:rFonts w:ascii="宋体" w:hAnsi="宋体"/>
          <w:bCs/>
          <w:color w:val="auto"/>
          <w:sz w:val="24"/>
          <w:highlight w:val="none"/>
        </w:rPr>
        <w:br w:type="page"/>
      </w:r>
    </w:p>
    <w:p>
      <w:pPr>
        <w:pStyle w:val="15"/>
        <w:wordWrap w:val="0"/>
        <w:topLinePunct/>
        <w:spacing w:line="380" w:lineRule="exact"/>
        <w:ind w:left="420" w:firstLine="480" w:firstLineChars="200"/>
        <w:rPr>
          <w:rFonts w:ascii="宋体" w:hAnsi="宋体"/>
          <w:bCs/>
          <w:color w:val="auto"/>
          <w:sz w:val="24"/>
          <w:highlight w:val="none"/>
        </w:rPr>
      </w:pPr>
    </w:p>
    <w:p>
      <w:pPr>
        <w:jc w:val="both"/>
        <w:rPr>
          <w:rFonts w:ascii="宋体" w:hAnsi="宋体"/>
          <w:b/>
          <w:bCs/>
          <w:color w:val="auto"/>
          <w:sz w:val="24"/>
          <w:highlight w:val="none"/>
        </w:rPr>
      </w:pPr>
    </w:p>
    <w:p>
      <w:pPr>
        <w:jc w:val="center"/>
        <w:rPr>
          <w:rFonts w:ascii="宋体" w:hAnsi="宋体"/>
          <w:b/>
          <w:bCs/>
          <w:color w:val="auto"/>
          <w:sz w:val="24"/>
          <w:highlight w:val="none"/>
        </w:rPr>
      </w:pPr>
      <w:r>
        <w:rPr>
          <w:rFonts w:hint="eastAsia" w:ascii="宋体" w:hAnsi="宋体"/>
          <w:b/>
          <w:bCs/>
          <w:color w:val="auto"/>
          <w:sz w:val="24"/>
          <w:highlight w:val="none"/>
        </w:rPr>
        <w:t>（二）法定代表人（负责人）证明书</w:t>
      </w:r>
    </w:p>
    <w:p>
      <w:pPr>
        <w:widowControl/>
        <w:wordWrap w:val="0"/>
        <w:topLinePunct/>
        <w:spacing w:line="360" w:lineRule="auto"/>
        <w:ind w:left="420" w:firstLine="539"/>
        <w:jc w:val="left"/>
        <w:rPr>
          <w:rFonts w:ascii="宋体" w:hAnsi="宋体"/>
          <w:color w:val="auto"/>
          <w:sz w:val="24"/>
          <w:highlight w:val="none"/>
        </w:rPr>
      </w:pPr>
    </w:p>
    <w:p>
      <w:pPr>
        <w:widowControl/>
        <w:wordWrap w:val="0"/>
        <w:topLinePunct/>
        <w:spacing w:line="360" w:lineRule="auto"/>
        <w:ind w:left="420" w:firstLine="539"/>
        <w:jc w:val="left"/>
        <w:rPr>
          <w:rFonts w:ascii="宋体" w:hAnsi="宋体"/>
          <w:color w:val="auto"/>
          <w:sz w:val="24"/>
          <w:highlight w:val="none"/>
          <w:u w:val="single"/>
        </w:rPr>
      </w:pPr>
      <w:r>
        <w:rPr>
          <w:rFonts w:hint="eastAsia" w:ascii="宋体" w:hAnsi="宋体"/>
          <w:color w:val="auto"/>
          <w:sz w:val="24"/>
          <w:highlight w:val="none"/>
        </w:rPr>
        <w:t>单位名称：</w:t>
      </w:r>
      <w:r>
        <w:rPr>
          <w:rFonts w:hint="eastAsia"/>
          <w:bCs/>
          <w:color w:val="auto"/>
          <w:kern w:val="24"/>
          <w:sz w:val="24"/>
          <w:highlight w:val="none"/>
          <w:u w:val="single"/>
        </w:rPr>
        <w:t xml:space="preserve">                                 </w:t>
      </w:r>
    </w:p>
    <w:p>
      <w:pPr>
        <w:widowControl/>
        <w:wordWrap w:val="0"/>
        <w:topLinePunct/>
        <w:spacing w:line="360" w:lineRule="auto"/>
        <w:ind w:left="420" w:firstLine="539"/>
        <w:jc w:val="left"/>
        <w:rPr>
          <w:rFonts w:ascii="宋体" w:hAnsi="宋体"/>
          <w:color w:val="auto"/>
          <w:sz w:val="24"/>
          <w:highlight w:val="none"/>
          <w:u w:val="single"/>
        </w:rPr>
      </w:pPr>
      <w:r>
        <w:rPr>
          <w:rFonts w:hint="eastAsia" w:ascii="宋体" w:hAnsi="宋体"/>
          <w:color w:val="auto"/>
          <w:sz w:val="24"/>
          <w:highlight w:val="none"/>
        </w:rPr>
        <w:t>地    址：</w:t>
      </w:r>
      <w:r>
        <w:rPr>
          <w:rFonts w:hint="eastAsia"/>
          <w:bCs/>
          <w:color w:val="auto"/>
          <w:kern w:val="24"/>
          <w:sz w:val="24"/>
          <w:highlight w:val="none"/>
          <w:u w:val="single"/>
        </w:rPr>
        <w:t xml:space="preserve">                                 </w:t>
      </w:r>
    </w:p>
    <w:p>
      <w:pPr>
        <w:widowControl/>
        <w:wordWrap w:val="0"/>
        <w:topLinePunct/>
        <w:spacing w:line="360" w:lineRule="auto"/>
        <w:ind w:left="420" w:firstLine="539"/>
        <w:jc w:val="left"/>
        <w:rPr>
          <w:rFonts w:ascii="宋体" w:hAnsi="宋体"/>
          <w:color w:val="auto"/>
          <w:sz w:val="24"/>
          <w:highlight w:val="none"/>
          <w:u w:val="single"/>
        </w:rPr>
      </w:pPr>
      <w:r>
        <w:rPr>
          <w:rFonts w:hint="eastAsia" w:ascii="宋体" w:hAnsi="宋体"/>
          <w:color w:val="auto"/>
          <w:sz w:val="24"/>
          <w:highlight w:val="none"/>
        </w:rPr>
        <w:t>姓    名：</w:t>
      </w:r>
      <w:r>
        <w:rPr>
          <w:rFonts w:hint="eastAsia"/>
          <w:bCs/>
          <w:color w:val="auto"/>
          <w:kern w:val="24"/>
          <w:sz w:val="24"/>
          <w:highlight w:val="none"/>
          <w:u w:val="single"/>
        </w:rPr>
        <w:t xml:space="preserve">     </w:t>
      </w:r>
      <w:r>
        <w:rPr>
          <w:rFonts w:hint="eastAsia" w:ascii="宋体" w:hAnsi="宋体"/>
          <w:color w:val="auto"/>
          <w:sz w:val="24"/>
          <w:highlight w:val="none"/>
        </w:rPr>
        <w:t xml:space="preserve"> 性别：</w:t>
      </w:r>
      <w:r>
        <w:rPr>
          <w:rFonts w:hint="eastAsia"/>
          <w:bCs/>
          <w:color w:val="auto"/>
          <w:kern w:val="24"/>
          <w:sz w:val="24"/>
          <w:highlight w:val="none"/>
          <w:u w:val="single"/>
        </w:rPr>
        <w:t xml:space="preserve">     </w:t>
      </w:r>
      <w:r>
        <w:rPr>
          <w:rFonts w:hint="eastAsia" w:ascii="宋体" w:hAnsi="宋体"/>
          <w:color w:val="auto"/>
          <w:sz w:val="24"/>
          <w:highlight w:val="none"/>
        </w:rPr>
        <w:t>年龄：</w:t>
      </w:r>
      <w:r>
        <w:rPr>
          <w:rFonts w:hint="eastAsia"/>
          <w:bCs/>
          <w:color w:val="auto"/>
          <w:kern w:val="24"/>
          <w:sz w:val="24"/>
          <w:highlight w:val="none"/>
          <w:u w:val="single"/>
        </w:rPr>
        <w:t xml:space="preserve">     </w:t>
      </w:r>
      <w:r>
        <w:rPr>
          <w:rFonts w:hint="eastAsia" w:ascii="宋体" w:hAnsi="宋体"/>
          <w:color w:val="auto"/>
          <w:sz w:val="24"/>
          <w:highlight w:val="none"/>
        </w:rPr>
        <w:t>职务：</w:t>
      </w:r>
      <w:r>
        <w:rPr>
          <w:rFonts w:hint="eastAsia"/>
          <w:bCs/>
          <w:color w:val="auto"/>
          <w:kern w:val="24"/>
          <w:sz w:val="24"/>
          <w:highlight w:val="none"/>
          <w:u w:val="single"/>
        </w:rPr>
        <w:t xml:space="preserve">     </w:t>
      </w:r>
    </w:p>
    <w:p>
      <w:pPr>
        <w:widowControl/>
        <w:wordWrap w:val="0"/>
        <w:topLinePunct/>
        <w:spacing w:line="360" w:lineRule="auto"/>
        <w:ind w:left="420" w:firstLine="539"/>
        <w:jc w:val="left"/>
        <w:rPr>
          <w:rFonts w:ascii="宋体" w:hAnsi="宋体"/>
          <w:color w:val="auto"/>
          <w:sz w:val="24"/>
          <w:highlight w:val="none"/>
        </w:rPr>
      </w:pPr>
      <w:r>
        <w:rPr>
          <w:rFonts w:hint="eastAsia" w:ascii="宋体" w:hAnsi="宋体"/>
          <w:color w:val="auto"/>
          <w:sz w:val="24"/>
          <w:highlight w:val="none"/>
        </w:rPr>
        <w:t>系(投标人名称)的法定代表人（负责人）。</w:t>
      </w:r>
    </w:p>
    <w:p>
      <w:pPr>
        <w:widowControl/>
        <w:wordWrap w:val="0"/>
        <w:topLinePunct/>
        <w:spacing w:line="360" w:lineRule="auto"/>
        <w:ind w:left="420" w:firstLine="539"/>
        <w:jc w:val="left"/>
        <w:rPr>
          <w:rFonts w:ascii="宋体" w:hAnsi="宋体"/>
          <w:color w:val="auto"/>
          <w:sz w:val="24"/>
          <w:highlight w:val="none"/>
        </w:rPr>
      </w:pPr>
      <w:r>
        <w:rPr>
          <w:rFonts w:hint="eastAsia" w:ascii="宋体" w:hAnsi="宋体"/>
          <w:color w:val="auto"/>
          <w:sz w:val="24"/>
          <w:highlight w:val="none"/>
        </w:rPr>
        <w:t>特此证明。</w:t>
      </w:r>
    </w:p>
    <w:p>
      <w:pPr>
        <w:wordWrap w:val="0"/>
        <w:topLinePunct/>
        <w:spacing w:line="400" w:lineRule="exact"/>
        <w:ind w:firstLine="954" w:firstLineChars="396"/>
        <w:rPr>
          <w:rFonts w:ascii="宋体" w:hAnsi="宋体"/>
          <w:b/>
          <w:color w:val="auto"/>
          <w:sz w:val="24"/>
          <w:szCs w:val="24"/>
          <w:highlight w:val="none"/>
        </w:rPr>
      </w:pPr>
      <w:r>
        <w:rPr>
          <w:rFonts w:hint="eastAsia" w:ascii="宋体" w:hAnsi="宋体"/>
          <w:b/>
          <w:color w:val="auto"/>
          <w:sz w:val="24"/>
          <w:szCs w:val="24"/>
          <w:highlight w:val="none"/>
        </w:rPr>
        <w:t>附：法定代表人身份证复印件正反面</w:t>
      </w:r>
    </w:p>
    <w:p>
      <w:pPr>
        <w:widowControl/>
        <w:wordWrap w:val="0"/>
        <w:topLinePunct/>
        <w:spacing w:line="600" w:lineRule="atLeast"/>
        <w:ind w:left="-617" w:firstLine="617"/>
        <w:jc w:val="center"/>
        <w:rPr>
          <w:rFonts w:ascii="宋体" w:hAnsi="宋体"/>
          <w:b/>
          <w:bCs/>
          <w:color w:val="auto"/>
          <w:sz w:val="24"/>
          <w:highlight w:val="none"/>
        </w:rPr>
      </w:pPr>
    </w:p>
    <w:p>
      <w:pPr>
        <w:widowControl/>
        <w:wordWrap w:val="0"/>
        <w:topLinePunct/>
        <w:spacing w:line="360" w:lineRule="auto"/>
        <w:ind w:left="-617" w:firstLine="617"/>
        <w:jc w:val="center"/>
        <w:rPr>
          <w:rFonts w:ascii="宋体" w:hAnsi="宋体"/>
          <w:b/>
          <w:bCs/>
          <w:color w:val="auto"/>
          <w:sz w:val="24"/>
          <w:highlight w:val="none"/>
        </w:rPr>
      </w:pPr>
    </w:p>
    <w:p>
      <w:pPr>
        <w:wordWrap w:val="0"/>
        <w:topLinePunct/>
        <w:spacing w:line="360" w:lineRule="auto"/>
        <w:ind w:firstLine="840" w:firstLineChars="350"/>
        <w:rPr>
          <w:rFonts w:ascii="宋体" w:hAnsi="宋体"/>
          <w:color w:val="auto"/>
          <w:sz w:val="24"/>
          <w:highlight w:val="none"/>
        </w:rPr>
      </w:pPr>
      <w:r>
        <w:rPr>
          <w:rFonts w:hint="eastAsia" w:ascii="宋体" w:hAnsi="宋体"/>
          <w:color w:val="auto"/>
          <w:sz w:val="24"/>
          <w:highlight w:val="none"/>
        </w:rPr>
        <w:t>投标人名称：(印章)：</w:t>
      </w:r>
    </w:p>
    <w:p>
      <w:pPr>
        <w:wordWrap w:val="0"/>
        <w:topLinePunct/>
        <w:spacing w:line="360" w:lineRule="auto"/>
        <w:ind w:firstLine="840" w:firstLineChars="350"/>
        <w:rPr>
          <w:rFonts w:ascii="宋体" w:hAnsi="宋体"/>
          <w:color w:val="auto"/>
          <w:sz w:val="24"/>
          <w:highlight w:val="none"/>
        </w:rPr>
      </w:pPr>
    </w:p>
    <w:p>
      <w:pPr>
        <w:wordWrap w:val="0"/>
        <w:topLinePunct/>
        <w:spacing w:line="360" w:lineRule="auto"/>
        <w:ind w:firstLine="840" w:firstLineChars="350"/>
        <w:rPr>
          <w:rFonts w:ascii="宋体" w:hAnsi="宋体"/>
          <w:color w:val="auto"/>
          <w:sz w:val="24"/>
          <w:highlight w:val="none"/>
        </w:rPr>
      </w:pPr>
      <w:r>
        <w:rPr>
          <w:rFonts w:hint="eastAsia" w:ascii="宋体" w:hAnsi="宋体"/>
          <w:color w:val="auto"/>
          <w:sz w:val="24"/>
          <w:highlight w:val="none"/>
        </w:rPr>
        <w:t>日期：</w:t>
      </w:r>
    </w:p>
    <w:p>
      <w:pPr>
        <w:widowControl/>
        <w:wordWrap w:val="0"/>
        <w:topLinePunct/>
        <w:spacing w:line="360" w:lineRule="auto"/>
        <w:ind w:firstLine="826" w:firstLineChars="343"/>
        <w:rPr>
          <w:rFonts w:ascii="宋体" w:hAnsi="宋体"/>
          <w:b/>
          <w:bCs/>
          <w:color w:val="auto"/>
          <w:sz w:val="24"/>
          <w:highlight w:val="none"/>
        </w:rPr>
      </w:pPr>
    </w:p>
    <w:p>
      <w:pPr>
        <w:widowControl/>
        <w:wordWrap w:val="0"/>
        <w:topLinePunct/>
        <w:spacing w:line="600" w:lineRule="atLeast"/>
        <w:ind w:firstLine="826" w:firstLineChars="343"/>
        <w:rPr>
          <w:rFonts w:ascii="宋体" w:hAnsi="宋体"/>
          <w:b/>
          <w:bCs/>
          <w:color w:val="auto"/>
          <w:sz w:val="24"/>
          <w:highlight w:val="none"/>
        </w:rPr>
      </w:pPr>
    </w:p>
    <w:p>
      <w:pPr>
        <w:widowControl/>
        <w:wordWrap w:val="0"/>
        <w:topLinePunct/>
        <w:spacing w:line="600" w:lineRule="atLeast"/>
        <w:ind w:firstLine="826" w:firstLineChars="343"/>
        <w:rPr>
          <w:rFonts w:ascii="宋体" w:hAnsi="宋体"/>
          <w:b/>
          <w:bCs/>
          <w:color w:val="auto"/>
          <w:sz w:val="24"/>
          <w:highlight w:val="none"/>
        </w:rPr>
      </w:pPr>
    </w:p>
    <w:p>
      <w:pPr>
        <w:widowControl/>
        <w:wordWrap w:val="0"/>
        <w:topLinePunct/>
        <w:spacing w:line="600" w:lineRule="atLeast"/>
        <w:ind w:firstLine="826" w:firstLineChars="343"/>
        <w:rPr>
          <w:rFonts w:ascii="宋体" w:hAnsi="宋体"/>
          <w:b/>
          <w:bCs/>
          <w:color w:val="auto"/>
          <w:sz w:val="24"/>
          <w:highlight w:val="none"/>
        </w:rPr>
      </w:pPr>
    </w:p>
    <w:p>
      <w:pPr>
        <w:wordWrap w:val="0"/>
        <w:topLinePunct/>
        <w:spacing w:line="360" w:lineRule="auto"/>
        <w:ind w:firstLine="600" w:firstLineChars="250"/>
        <w:rPr>
          <w:rFonts w:ascii="宋体" w:hAnsi="宋体"/>
          <w:color w:val="auto"/>
          <w:sz w:val="24"/>
          <w:highlight w:val="none"/>
        </w:rPr>
      </w:pPr>
    </w:p>
    <w:p>
      <w:pPr>
        <w:wordWrap w:val="0"/>
        <w:topLinePunct/>
        <w:spacing w:line="360" w:lineRule="auto"/>
        <w:rPr>
          <w:rFonts w:ascii="宋体" w:hAnsi="宋体"/>
          <w:color w:val="auto"/>
          <w:sz w:val="24"/>
          <w:highlight w:val="none"/>
        </w:rPr>
      </w:pPr>
      <w:r>
        <w:rPr>
          <w:rFonts w:hint="eastAsia" w:ascii="宋体" w:hAnsi="宋体"/>
          <w:color w:val="auto"/>
          <w:sz w:val="24"/>
          <w:highlight w:val="none"/>
        </w:rPr>
        <w:t>注：1、</w:t>
      </w:r>
      <w:r>
        <w:rPr>
          <w:rFonts w:hint="eastAsia" w:hAnsi="宋体" w:cs="宋体"/>
          <w:b/>
          <w:color w:val="auto"/>
          <w:szCs w:val="21"/>
          <w:highlight w:val="none"/>
        </w:rPr>
        <w:t>法定代表人（负责人）亲自参加投标，而不授权代理人参加投标的适用本证明书；</w:t>
      </w:r>
    </w:p>
    <w:p>
      <w:p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2、投标人是法人单位填写法定代表人信息；</w:t>
      </w:r>
    </w:p>
    <w:p>
      <w:p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3、投标人是其他组织的，填写负责人、经营者信息，须与营业执照或组织机构代码证等有效证件上一致；</w:t>
      </w:r>
    </w:p>
    <w:p>
      <w:pPr>
        <w:wordWrap w:val="0"/>
        <w:topLinePunct/>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4、投标人是自然人不填写，只提供身份证复印件。</w:t>
      </w:r>
    </w:p>
    <w:p>
      <w:pPr>
        <w:jc w:val="both"/>
        <w:rPr>
          <w:rFonts w:hint="eastAsia" w:ascii="宋体" w:hAnsi="宋体" w:cs="宋体"/>
          <w:color w:val="auto"/>
          <w:sz w:val="24"/>
          <w:szCs w:val="24"/>
          <w:highlight w:val="none"/>
        </w:rPr>
      </w:pPr>
      <w:r>
        <w:rPr>
          <w:rFonts w:ascii="宋体" w:hAnsi="宋体"/>
          <w:color w:val="auto"/>
          <w:sz w:val="24"/>
          <w:highlight w:val="none"/>
        </w:rPr>
        <w:br w:type="page"/>
      </w:r>
      <w:bookmarkStart w:id="64" w:name="_Toc444157682"/>
      <w:bookmarkStart w:id="65" w:name="_Toc461026081"/>
    </w:p>
    <w:p>
      <w:pPr>
        <w:pStyle w:val="10"/>
      </w:pPr>
    </w:p>
    <w:p>
      <w:pPr>
        <w:numPr>
          <w:ilvl w:val="0"/>
          <w:numId w:val="4"/>
        </w:numPr>
        <w:jc w:val="center"/>
        <w:rPr>
          <w:rFonts w:ascii="宋体" w:hAnsi="宋体"/>
          <w:b/>
          <w:bCs/>
          <w:color w:val="auto"/>
          <w:sz w:val="24"/>
          <w:highlight w:val="none"/>
        </w:rPr>
      </w:pPr>
      <w:r>
        <w:rPr>
          <w:rFonts w:hint="eastAsia" w:ascii="宋体" w:hAnsi="宋体"/>
          <w:b/>
          <w:bCs/>
          <w:color w:val="auto"/>
          <w:sz w:val="24"/>
          <w:highlight w:val="none"/>
        </w:rPr>
        <w:t>法定代表人授权书</w:t>
      </w:r>
      <w:bookmarkEnd w:id="64"/>
      <w:bookmarkEnd w:id="65"/>
    </w:p>
    <w:p>
      <w:pPr>
        <w:pStyle w:val="33"/>
        <w:rPr>
          <w:color w:val="auto"/>
          <w:highlight w:val="none"/>
        </w:rPr>
      </w:pPr>
    </w:p>
    <w:p>
      <w:pPr>
        <w:pStyle w:val="33"/>
        <w:rPr>
          <w:color w:val="auto"/>
          <w:highlight w:val="none"/>
        </w:rPr>
      </w:pPr>
    </w:p>
    <w:p>
      <w:pPr>
        <w:pStyle w:val="15"/>
        <w:wordWrap w:val="0"/>
        <w:topLinePunct/>
        <w:spacing w:line="380" w:lineRule="exact"/>
        <w:ind w:left="420"/>
        <w:rPr>
          <w:rFonts w:ascii="宋体" w:hAnsi="宋体"/>
          <w:bCs/>
          <w:color w:val="auto"/>
          <w:sz w:val="24"/>
          <w:highlight w:val="none"/>
        </w:rPr>
      </w:pPr>
      <w:r>
        <w:rPr>
          <w:rFonts w:hint="eastAsia" w:ascii="宋体" w:hAnsi="宋体"/>
          <w:bCs/>
          <w:color w:val="auto"/>
          <w:sz w:val="24"/>
          <w:highlight w:val="none"/>
          <w:u w:val="single"/>
          <w:lang w:eastAsia="zh-CN"/>
        </w:rPr>
        <w:t>四川华景工程项目管理有限公司</w:t>
      </w:r>
      <w:r>
        <w:rPr>
          <w:rFonts w:hint="eastAsia" w:ascii="宋体" w:hAnsi="宋体"/>
          <w:bCs/>
          <w:color w:val="auto"/>
          <w:sz w:val="24"/>
          <w:highlight w:val="none"/>
        </w:rPr>
        <w:t>：</w:t>
      </w:r>
    </w:p>
    <w:p>
      <w:pPr>
        <w:rPr>
          <w:rFonts w:hint="eastAsia" w:ascii="宋体" w:hAnsi="宋体" w:eastAsia="宋体" w:cs="宋体"/>
          <w:color w:val="auto"/>
          <w:sz w:val="24"/>
          <w:szCs w:val="24"/>
          <w:highlight w:val="none"/>
          <w:lang w:eastAsia="zh-CN"/>
        </w:rPr>
      </w:pPr>
      <w:r>
        <w:rPr>
          <w:rFonts w:hint="eastAsia" w:hAnsi="宋体"/>
          <w:color w:val="auto"/>
          <w:sz w:val="24"/>
          <w:highlight w:val="none"/>
        </w:rPr>
        <w:t>本授权声明：</w:t>
      </w:r>
      <w:r>
        <w:rPr>
          <w:rFonts w:hint="eastAsia"/>
          <w:bCs/>
          <w:color w:val="auto"/>
          <w:kern w:val="24"/>
          <w:sz w:val="24"/>
          <w:highlight w:val="none"/>
          <w:u w:val="single"/>
        </w:rPr>
        <w:t xml:space="preserve">     </w:t>
      </w:r>
      <w:r>
        <w:rPr>
          <w:rFonts w:hint="eastAsia" w:hAnsi="宋体"/>
          <w:color w:val="auto"/>
          <w:sz w:val="24"/>
          <w:highlight w:val="none"/>
        </w:rPr>
        <w:t xml:space="preserve"> (投标人名称)</w:t>
      </w:r>
      <w:r>
        <w:rPr>
          <w:rFonts w:hint="eastAsia"/>
          <w:bCs/>
          <w:color w:val="auto"/>
          <w:kern w:val="24"/>
          <w:sz w:val="24"/>
          <w:highlight w:val="none"/>
          <w:u w:val="single"/>
        </w:rPr>
        <w:t xml:space="preserve">     </w:t>
      </w:r>
      <w:r>
        <w:rPr>
          <w:rFonts w:hint="eastAsia" w:hAnsi="宋体"/>
          <w:color w:val="auto"/>
          <w:sz w:val="24"/>
          <w:highlight w:val="none"/>
        </w:rPr>
        <w:t xml:space="preserve"> (法定代表人姓名、职务)授权</w:t>
      </w:r>
      <w:r>
        <w:rPr>
          <w:rFonts w:hint="eastAsia"/>
          <w:bCs/>
          <w:color w:val="auto"/>
          <w:kern w:val="24"/>
          <w:sz w:val="24"/>
          <w:highlight w:val="none"/>
          <w:u w:val="single"/>
        </w:rPr>
        <w:t xml:space="preserve">        </w:t>
      </w:r>
      <w:r>
        <w:rPr>
          <w:rFonts w:hint="eastAsia" w:hAnsi="宋体"/>
          <w:color w:val="auto"/>
          <w:sz w:val="24"/>
          <w:highlight w:val="none"/>
        </w:rPr>
        <w:t xml:space="preserve"> (被授权人姓名、职务)为我方“</w:t>
      </w:r>
      <w:r>
        <w:rPr>
          <w:rFonts w:hint="eastAsia"/>
          <w:bCs/>
          <w:color w:val="auto"/>
          <w:kern w:val="24"/>
          <w:sz w:val="24"/>
          <w:highlight w:val="none"/>
          <w:u w:val="single"/>
        </w:rPr>
        <w:t xml:space="preserve">     </w:t>
      </w:r>
      <w:r>
        <w:rPr>
          <w:rFonts w:hint="eastAsia" w:hAnsi="宋体"/>
          <w:color w:val="auto"/>
          <w:sz w:val="24"/>
          <w:highlight w:val="none"/>
        </w:rPr>
        <w:t>”项目</w:t>
      </w:r>
      <w:r>
        <w:rPr>
          <w:rFonts w:hint="eastAsia"/>
          <w:color w:val="auto"/>
          <w:sz w:val="24"/>
          <w:highlight w:val="none"/>
        </w:rPr>
        <w:t>(第 包)</w:t>
      </w:r>
    </w:p>
    <w:p>
      <w:pPr>
        <w:wordWrap w:val="0"/>
        <w:topLinePunct/>
        <w:spacing w:line="440" w:lineRule="exact"/>
        <w:ind w:firstLine="480" w:firstLineChars="200"/>
        <w:rPr>
          <w:rFonts w:hAnsi="宋体"/>
          <w:color w:val="auto"/>
          <w:sz w:val="24"/>
          <w:highlight w:val="none"/>
        </w:rPr>
      </w:pPr>
      <w:r>
        <w:rPr>
          <w:rFonts w:hint="eastAsia" w:hAnsi="宋体"/>
          <w:color w:val="auto"/>
          <w:sz w:val="24"/>
          <w:highlight w:val="none"/>
        </w:rPr>
        <w:t>(招标编号：</w:t>
      </w:r>
      <w:r>
        <w:rPr>
          <w:rFonts w:hint="eastAsia" w:hAnsi="宋体"/>
          <w:color w:val="auto"/>
          <w:sz w:val="24"/>
          <w:highlight w:val="none"/>
          <w:u w:val="single"/>
        </w:rPr>
        <w:t xml:space="preserve">   </w:t>
      </w:r>
      <w:r>
        <w:rPr>
          <w:rFonts w:hint="eastAsia" w:hAnsi="宋体"/>
          <w:color w:val="auto"/>
          <w:sz w:val="24"/>
          <w:highlight w:val="none"/>
        </w:rPr>
        <w:t>)投标活动的合法代表，以我方名义全权处理该项目有关投标、签订合同以及执行合同等一切事宜。</w:t>
      </w:r>
    </w:p>
    <w:p>
      <w:pPr>
        <w:wordWrap w:val="0"/>
        <w:topLinePunct/>
        <w:spacing w:line="440" w:lineRule="exact"/>
        <w:ind w:firstLine="480" w:firstLineChars="200"/>
        <w:rPr>
          <w:rFonts w:hAnsi="宋体"/>
          <w:color w:val="auto"/>
          <w:sz w:val="24"/>
          <w:highlight w:val="none"/>
        </w:rPr>
      </w:pPr>
      <w:r>
        <w:rPr>
          <w:rFonts w:hint="eastAsia" w:hAnsi="宋体"/>
          <w:color w:val="auto"/>
          <w:sz w:val="24"/>
          <w:highlight w:val="none"/>
        </w:rPr>
        <w:t>特此声明。</w:t>
      </w:r>
    </w:p>
    <w:p>
      <w:pPr>
        <w:wordWrap w:val="0"/>
        <w:topLinePunct/>
        <w:spacing w:line="440" w:lineRule="exact"/>
        <w:rPr>
          <w:rFonts w:hAnsi="宋体"/>
          <w:color w:val="auto"/>
          <w:sz w:val="24"/>
          <w:highlight w:val="none"/>
        </w:rPr>
      </w:pPr>
    </w:p>
    <w:p>
      <w:pPr>
        <w:wordWrap w:val="0"/>
        <w:topLinePunct/>
        <w:spacing w:line="440" w:lineRule="exact"/>
        <w:ind w:firstLine="482" w:firstLineChars="200"/>
        <w:rPr>
          <w:rFonts w:hAnsi="宋体"/>
          <w:b/>
          <w:color w:val="auto"/>
          <w:sz w:val="24"/>
          <w:highlight w:val="none"/>
        </w:rPr>
      </w:pPr>
      <w:r>
        <w:rPr>
          <w:rFonts w:hint="eastAsia" w:hAnsi="宋体"/>
          <w:b/>
          <w:color w:val="auto"/>
          <w:sz w:val="24"/>
          <w:highlight w:val="none"/>
        </w:rPr>
        <w:t>附：法定代表人和被授权人身份证复印件正反面</w:t>
      </w:r>
    </w:p>
    <w:p>
      <w:pPr>
        <w:wordWrap w:val="0"/>
        <w:topLinePunct/>
        <w:spacing w:line="440" w:lineRule="exact"/>
        <w:ind w:firstLine="566" w:firstLineChars="236"/>
        <w:rPr>
          <w:rFonts w:hAnsi="宋体"/>
          <w:color w:val="auto"/>
          <w:sz w:val="24"/>
          <w:highlight w:val="none"/>
        </w:rPr>
      </w:pPr>
    </w:p>
    <w:p>
      <w:pPr>
        <w:wordWrap w:val="0"/>
        <w:topLinePunct/>
        <w:spacing w:line="440" w:lineRule="exact"/>
        <w:ind w:firstLine="566" w:firstLineChars="236"/>
        <w:rPr>
          <w:rFonts w:hAnsi="宋体"/>
          <w:color w:val="auto"/>
          <w:sz w:val="24"/>
          <w:highlight w:val="none"/>
        </w:rPr>
      </w:pPr>
    </w:p>
    <w:p>
      <w:pPr>
        <w:wordWrap w:val="0"/>
        <w:topLinePunct/>
        <w:spacing w:line="440" w:lineRule="exact"/>
        <w:ind w:firstLine="480" w:firstLineChars="200"/>
        <w:rPr>
          <w:rFonts w:hAnsi="宋体"/>
          <w:color w:val="auto"/>
          <w:sz w:val="24"/>
          <w:highlight w:val="none"/>
        </w:rPr>
      </w:pPr>
      <w:r>
        <w:rPr>
          <w:rFonts w:hint="eastAsia" w:hAnsi="宋体"/>
          <w:color w:val="auto"/>
          <w:sz w:val="24"/>
          <w:highlight w:val="none"/>
        </w:rPr>
        <w:t>投标人名称 (盖章)：</w:t>
      </w:r>
    </w:p>
    <w:p>
      <w:pPr>
        <w:wordWrap w:val="0"/>
        <w:topLinePunct/>
        <w:spacing w:line="440" w:lineRule="exact"/>
        <w:ind w:firstLine="480" w:firstLineChars="200"/>
        <w:rPr>
          <w:rFonts w:hAnsi="宋体"/>
          <w:color w:val="auto"/>
          <w:sz w:val="24"/>
          <w:highlight w:val="none"/>
        </w:rPr>
      </w:pPr>
      <w:r>
        <w:rPr>
          <w:rFonts w:hint="eastAsia" w:hAnsi="宋体"/>
          <w:color w:val="auto"/>
          <w:sz w:val="24"/>
          <w:highlight w:val="none"/>
        </w:rPr>
        <w:t>法定代表人或负责人(签字或</w:t>
      </w:r>
      <w:r>
        <w:rPr>
          <w:rFonts w:hint="eastAsia"/>
          <w:color w:val="auto"/>
          <w:sz w:val="24"/>
          <w:highlight w:val="none"/>
        </w:rPr>
        <w:t>个人名章</w:t>
      </w:r>
      <w:r>
        <w:rPr>
          <w:rFonts w:hint="eastAsia" w:hAnsi="宋体"/>
          <w:color w:val="auto"/>
          <w:sz w:val="24"/>
          <w:highlight w:val="none"/>
        </w:rPr>
        <w:t>)：</w:t>
      </w:r>
    </w:p>
    <w:p>
      <w:pPr>
        <w:wordWrap w:val="0"/>
        <w:topLinePunct/>
        <w:spacing w:line="440" w:lineRule="exact"/>
        <w:ind w:firstLine="480" w:firstLineChars="200"/>
        <w:rPr>
          <w:rFonts w:hAnsi="宋体"/>
          <w:color w:val="auto"/>
          <w:sz w:val="24"/>
          <w:highlight w:val="none"/>
        </w:rPr>
      </w:pPr>
      <w:r>
        <w:rPr>
          <w:rFonts w:hint="eastAsia"/>
          <w:color w:val="auto"/>
          <w:sz w:val="24"/>
          <w:highlight w:val="none"/>
        </w:rPr>
        <w:t>被授权人(签字或个人名章)</w:t>
      </w:r>
      <w:r>
        <w:rPr>
          <w:rFonts w:hint="eastAsia"/>
          <w:bCs/>
          <w:color w:val="auto"/>
          <w:sz w:val="24"/>
          <w:highlight w:val="none"/>
        </w:rPr>
        <w:t>：</w:t>
      </w:r>
    </w:p>
    <w:p>
      <w:pPr>
        <w:wordWrap w:val="0"/>
        <w:topLinePunct/>
        <w:spacing w:line="440" w:lineRule="exact"/>
        <w:ind w:firstLine="480" w:firstLineChars="200"/>
        <w:rPr>
          <w:rFonts w:hAnsi="宋体"/>
          <w:color w:val="auto"/>
          <w:sz w:val="24"/>
          <w:highlight w:val="none"/>
        </w:rPr>
      </w:pPr>
      <w:r>
        <w:rPr>
          <w:rFonts w:hint="eastAsia" w:hAnsi="宋体"/>
          <w:color w:val="auto"/>
          <w:sz w:val="24"/>
          <w:highlight w:val="none"/>
        </w:rPr>
        <w:t>日期：</w:t>
      </w:r>
    </w:p>
    <w:p>
      <w:pPr>
        <w:pStyle w:val="15"/>
        <w:wordWrap w:val="0"/>
        <w:topLinePunct/>
        <w:spacing w:after="0" w:line="440" w:lineRule="exact"/>
        <w:ind w:leftChars="0" w:firstLine="567"/>
        <w:rPr>
          <w:bCs/>
          <w:color w:val="auto"/>
          <w:sz w:val="24"/>
          <w:highlight w:val="none"/>
        </w:rPr>
      </w:pPr>
    </w:p>
    <w:p>
      <w:pPr>
        <w:pStyle w:val="15"/>
        <w:wordWrap w:val="0"/>
        <w:topLinePunct/>
        <w:spacing w:after="0" w:line="440" w:lineRule="exact"/>
        <w:ind w:leftChars="0" w:firstLine="567"/>
        <w:rPr>
          <w:bCs/>
          <w:color w:val="auto"/>
          <w:sz w:val="24"/>
          <w:highlight w:val="none"/>
        </w:rPr>
      </w:pPr>
    </w:p>
    <w:p>
      <w:pPr>
        <w:pStyle w:val="15"/>
        <w:wordWrap w:val="0"/>
        <w:topLinePunct/>
        <w:spacing w:after="0" w:line="440" w:lineRule="exact"/>
        <w:ind w:leftChars="0" w:firstLine="567"/>
        <w:rPr>
          <w:bCs/>
          <w:color w:val="auto"/>
          <w:sz w:val="24"/>
          <w:highlight w:val="none"/>
        </w:rPr>
      </w:pPr>
    </w:p>
    <w:p>
      <w:pPr>
        <w:pStyle w:val="15"/>
        <w:wordWrap w:val="0"/>
        <w:topLinePunct/>
        <w:spacing w:after="0" w:line="440" w:lineRule="exact"/>
        <w:ind w:leftChars="0" w:firstLine="567"/>
        <w:rPr>
          <w:bCs/>
          <w:color w:val="auto"/>
          <w:sz w:val="24"/>
          <w:highlight w:val="none"/>
        </w:rPr>
      </w:pPr>
    </w:p>
    <w:p>
      <w:pPr>
        <w:pStyle w:val="15"/>
        <w:wordWrap w:val="0"/>
        <w:topLinePunct/>
        <w:spacing w:after="0" w:line="440" w:lineRule="exact"/>
        <w:ind w:leftChars="0" w:firstLine="567"/>
        <w:rPr>
          <w:bCs/>
          <w:color w:val="auto"/>
          <w:sz w:val="24"/>
          <w:highlight w:val="none"/>
        </w:rPr>
      </w:pPr>
    </w:p>
    <w:p>
      <w:pPr>
        <w:pStyle w:val="15"/>
        <w:wordWrap w:val="0"/>
        <w:topLinePunct/>
        <w:spacing w:after="0" w:line="440" w:lineRule="exact"/>
        <w:ind w:leftChars="0" w:firstLine="567"/>
        <w:rPr>
          <w:bCs/>
          <w:color w:val="auto"/>
          <w:sz w:val="24"/>
          <w:highlight w:val="none"/>
        </w:rPr>
      </w:pPr>
    </w:p>
    <w:p>
      <w:pPr>
        <w:widowControl/>
        <w:jc w:val="left"/>
        <w:rPr>
          <w:rFonts w:hAnsi="宋体" w:cs="宋体"/>
          <w:b/>
          <w:color w:val="auto"/>
          <w:szCs w:val="21"/>
          <w:highlight w:val="none"/>
        </w:rPr>
      </w:pPr>
      <w:r>
        <w:rPr>
          <w:rFonts w:hint="eastAsia" w:hAnsi="宋体" w:cs="宋体"/>
          <w:b/>
          <w:color w:val="auto"/>
          <w:szCs w:val="21"/>
          <w:highlight w:val="none"/>
        </w:rPr>
        <w:t>注：法定代表人（负责人）不亲自参加投标，而授权代理人参加投标的适用本授权。</w:t>
      </w:r>
    </w:p>
    <w:p>
      <w:pPr>
        <w:widowControl/>
        <w:jc w:val="left"/>
        <w:rPr>
          <w:rFonts w:ascii="宋体" w:hAnsi="宋体"/>
          <w:color w:val="auto"/>
          <w:sz w:val="24"/>
          <w:highlight w:val="none"/>
        </w:rPr>
      </w:pPr>
    </w:p>
    <w:p>
      <w:pPr>
        <w:pStyle w:val="44"/>
        <w:rPr>
          <w:rFonts w:hAnsi="宋体"/>
          <w:b/>
          <w:bCs/>
          <w:color w:val="auto"/>
          <w:highlight w:val="none"/>
        </w:rPr>
      </w:pPr>
      <w:r>
        <w:rPr>
          <w:rFonts w:ascii="宋体" w:hAnsi="宋体"/>
          <w:color w:val="auto"/>
          <w:sz w:val="24"/>
          <w:highlight w:val="none"/>
        </w:rPr>
        <w:br w:type="page"/>
      </w:r>
    </w:p>
    <w:p>
      <w:pPr>
        <w:numPr>
          <w:ilvl w:val="0"/>
          <w:numId w:val="4"/>
        </w:numPr>
        <w:jc w:val="center"/>
        <w:rPr>
          <w:rFonts w:ascii="宋体" w:hAnsi="宋体"/>
          <w:b/>
          <w:bCs/>
          <w:color w:val="auto"/>
          <w:sz w:val="24"/>
          <w:highlight w:val="none"/>
        </w:rPr>
      </w:pPr>
      <w:r>
        <w:rPr>
          <w:rFonts w:hint="eastAsia" w:ascii="宋体" w:hAnsi="宋体"/>
          <w:b/>
          <w:bCs/>
          <w:color w:val="auto"/>
          <w:sz w:val="24"/>
          <w:highlight w:val="none"/>
        </w:rPr>
        <w:t>开标一览表</w:t>
      </w:r>
    </w:p>
    <w:p>
      <w:pPr>
        <w:pStyle w:val="33"/>
        <w:rPr>
          <w:color w:val="auto"/>
          <w:highlight w:val="none"/>
        </w:rPr>
      </w:pPr>
    </w:p>
    <w:p>
      <w:pPr>
        <w:widowControl/>
        <w:spacing w:line="360" w:lineRule="atLeast"/>
        <w:ind w:firstLine="472" w:firstLineChars="196"/>
        <w:jc w:val="left"/>
        <w:outlineLvl w:val="1"/>
        <w:rPr>
          <w:rFonts w:ascii="宋体"/>
          <w:b/>
          <w:color w:val="auto"/>
          <w:sz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t>第XX包</w:t>
      </w:r>
    </w:p>
    <w:p>
      <w:pPr>
        <w:pStyle w:val="33"/>
        <w:rPr>
          <w:rFonts w:hAnsi="宋体"/>
          <w:color w:val="auto"/>
          <w:highlight w:val="none"/>
        </w:rPr>
      </w:pPr>
    </w:p>
    <w:tbl>
      <w:tblPr>
        <w:tblStyle w:val="24"/>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1178"/>
        <w:gridCol w:w="2062"/>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766"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项目</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440"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制造商家及</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1178" w:type="dxa"/>
            <w:vAlign w:val="center"/>
          </w:tcPr>
          <w:p>
            <w:pPr>
              <w:pStyle w:val="4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数量</w:t>
            </w:r>
          </w:p>
        </w:tc>
        <w:tc>
          <w:tcPr>
            <w:tcW w:w="2062"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投标总价</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（元）</w:t>
            </w:r>
          </w:p>
        </w:tc>
        <w:tc>
          <w:tcPr>
            <w:tcW w:w="900" w:type="dxa"/>
            <w:vAlign w:val="center"/>
          </w:tcPr>
          <w:p>
            <w:pPr>
              <w:pStyle w:val="44"/>
              <w:rPr>
                <w:rFonts w:ascii="宋体" w:hAnsi="宋体" w:cs="宋体"/>
                <w:b/>
                <w:color w:val="auto"/>
                <w:sz w:val="24"/>
                <w:szCs w:val="24"/>
                <w:highlight w:val="none"/>
              </w:rPr>
            </w:pPr>
            <w:r>
              <w:rPr>
                <w:rFonts w:hint="eastAsia" w:ascii="宋体" w:hAnsi="宋体" w:cs="宋体"/>
                <w:color w:val="auto"/>
                <w:sz w:val="24"/>
                <w:szCs w:val="24"/>
                <w:highlight w:val="none"/>
              </w:rPr>
              <w:t>交货</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时间</w:t>
            </w:r>
          </w:p>
        </w:tc>
        <w:tc>
          <w:tcPr>
            <w:tcW w:w="1260"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是否属于进口产品</w:t>
            </w:r>
          </w:p>
        </w:tc>
        <w:tc>
          <w:tcPr>
            <w:tcW w:w="902" w:type="dxa"/>
            <w:vAlign w:val="center"/>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24" w:type="dxa"/>
          </w:tcPr>
          <w:p>
            <w:pPr>
              <w:widowControl/>
              <w:spacing w:line="360" w:lineRule="atLeast"/>
              <w:jc w:val="left"/>
              <w:outlineLvl w:val="1"/>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66"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c>
          <w:tcPr>
            <w:tcW w:w="1440"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c>
          <w:tcPr>
            <w:tcW w:w="1178" w:type="dxa"/>
            <w:vAlign w:val="center"/>
          </w:tcPr>
          <w:p>
            <w:pPr>
              <w:widowControl/>
              <w:spacing w:line="360" w:lineRule="atLeast"/>
              <w:jc w:val="left"/>
              <w:outlineLvl w:val="1"/>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062"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c>
          <w:tcPr>
            <w:tcW w:w="900"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c>
          <w:tcPr>
            <w:tcW w:w="1260"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c>
          <w:tcPr>
            <w:tcW w:w="902" w:type="dxa"/>
            <w:vAlign w:val="center"/>
          </w:tcPr>
          <w:p>
            <w:pPr>
              <w:widowControl/>
              <w:spacing w:line="360" w:lineRule="atLeast"/>
              <w:ind w:firstLine="470" w:firstLineChars="196"/>
              <w:jc w:val="left"/>
              <w:outlineLvl w:val="1"/>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24" w:type="dxa"/>
            <w:tcBorders>
              <w:bottom w:val="single" w:color="auto" w:sz="4" w:space="0"/>
              <w:right w:val="single" w:color="auto" w:sz="4" w:space="0"/>
            </w:tcBorders>
          </w:tcPr>
          <w:p>
            <w:pPr>
              <w:pStyle w:val="44"/>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508" w:type="dxa"/>
            <w:gridSpan w:val="7"/>
            <w:tcBorders>
              <w:left w:val="single" w:color="auto" w:sz="4" w:space="0"/>
              <w:bottom w:val="single" w:color="auto" w:sz="4" w:space="0"/>
            </w:tcBorders>
          </w:tcPr>
          <w:p>
            <w:pPr>
              <w:pStyle w:val="44"/>
              <w:rPr>
                <w:rFonts w:ascii="宋体" w:hAnsi="宋体" w:cs="宋体"/>
                <w:color w:val="auto"/>
                <w:sz w:val="24"/>
                <w:szCs w:val="24"/>
                <w:highlight w:val="none"/>
              </w:rPr>
            </w:pPr>
            <w:r>
              <w:rPr>
                <w:rFonts w:hint="eastAsia" w:ascii="宋体" w:hAnsi="宋体" w:cs="宋体"/>
                <w:color w:val="auto"/>
                <w:sz w:val="24"/>
                <w:szCs w:val="24"/>
                <w:highlight w:val="none"/>
              </w:rPr>
              <w:t>报价合计（</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rPr>
              <w:t>元）：</w:t>
            </w:r>
            <w:r>
              <w:rPr>
                <w:rFonts w:hint="eastAsia" w:ascii="宋体" w:hAnsi="宋体" w:cs="宋体"/>
                <w:bCs/>
                <w:color w:val="auto"/>
                <w:kern w:val="24"/>
                <w:sz w:val="24"/>
                <w:szCs w:val="24"/>
                <w:highlight w:val="none"/>
                <w:u w:val="single"/>
              </w:rPr>
              <w:t xml:space="preserve">     </w:t>
            </w:r>
            <w:r>
              <w:rPr>
                <w:rFonts w:hint="eastAsia" w:ascii="宋体" w:hAnsi="宋体" w:cs="宋体"/>
                <w:color w:val="auto"/>
                <w:sz w:val="24"/>
                <w:szCs w:val="24"/>
                <w:highlight w:val="none"/>
              </w:rPr>
              <w:t>大写：</w:t>
            </w:r>
            <w:r>
              <w:rPr>
                <w:rFonts w:hint="eastAsia" w:ascii="宋体" w:hAnsi="宋体" w:cs="宋体"/>
                <w:bCs/>
                <w:color w:val="auto"/>
                <w:kern w:val="24"/>
                <w:sz w:val="24"/>
                <w:szCs w:val="24"/>
                <w:highlight w:val="none"/>
                <w:u w:val="single"/>
              </w:rPr>
              <w:t xml:space="preserve">     </w:t>
            </w:r>
            <w:r>
              <w:rPr>
                <w:rFonts w:hint="eastAsia" w:ascii="宋体" w:hAnsi="宋体" w:cs="宋体"/>
                <w:bCs/>
                <w:color w:val="auto"/>
                <w:kern w:val="24"/>
                <w:sz w:val="24"/>
                <w:szCs w:val="24"/>
                <w:highlight w:val="none"/>
              </w:rPr>
              <w:t>。</w:t>
            </w:r>
          </w:p>
        </w:tc>
      </w:tr>
    </w:tbl>
    <w:p>
      <w:pPr>
        <w:pStyle w:val="44"/>
        <w:rPr>
          <w:rFonts w:ascii="宋体" w:hAnsi="宋体" w:cs="宋体"/>
          <w:color w:val="auto"/>
          <w:sz w:val="24"/>
          <w:szCs w:val="24"/>
          <w:highlight w:val="none"/>
        </w:rPr>
      </w:pP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注：1. 报价应是最终用户验收合格后的总价，包括设计、材料、制造、包装、运输、保管、安装、调试、检测、人员培训及文件资料及保修期内保修服务与备用物件等等所有其他有关各项的含税费用。</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2.“开标一览表”为多页的，每页均需由法定代表人（负责人）或授权代表签字并盖投标人印章。</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3、“开标一览表”以包为单位填写。</w:t>
      </w:r>
    </w:p>
    <w:p>
      <w:pPr>
        <w:pStyle w:val="44"/>
        <w:rPr>
          <w:rFonts w:ascii="宋体" w:hAnsi="宋体" w:cs="宋体"/>
          <w:color w:val="auto"/>
          <w:sz w:val="24"/>
          <w:szCs w:val="24"/>
          <w:highlight w:val="none"/>
        </w:rPr>
      </w:pP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bCs/>
          <w:color w:val="auto"/>
          <w:kern w:val="24"/>
          <w:sz w:val="24"/>
          <w:szCs w:val="24"/>
          <w:highlight w:val="none"/>
          <w:u w:val="single"/>
        </w:rPr>
        <w:t xml:space="preserve">     </w:t>
      </w:r>
      <w:r>
        <w:rPr>
          <w:rFonts w:hint="eastAsia" w:ascii="宋体" w:hAnsi="宋体" w:cs="宋体"/>
          <w:color w:val="auto"/>
          <w:sz w:val="24"/>
          <w:szCs w:val="24"/>
          <w:highlight w:val="none"/>
        </w:rPr>
        <w:t>（单位公章）</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法定代表人（负责人）或授权代表（签字或加盖个人名章）：</w:t>
      </w:r>
      <w:r>
        <w:rPr>
          <w:rFonts w:hint="eastAsia" w:ascii="宋体" w:hAnsi="宋体" w:cs="宋体"/>
          <w:bCs/>
          <w:color w:val="auto"/>
          <w:kern w:val="24"/>
          <w:sz w:val="24"/>
          <w:szCs w:val="24"/>
          <w:highlight w:val="none"/>
          <w:u w:val="single"/>
        </w:rPr>
        <w:t xml:space="preserve">     </w:t>
      </w:r>
    </w:p>
    <w:p>
      <w:pPr>
        <w:pStyle w:val="44"/>
        <w:rPr>
          <w:rFonts w:ascii="宋体" w:hAnsi="宋体" w:cs="宋体"/>
          <w:color w:val="auto"/>
          <w:sz w:val="24"/>
          <w:szCs w:val="24"/>
          <w:highlight w:val="none"/>
        </w:rPr>
      </w:pPr>
      <w:r>
        <w:rPr>
          <w:rFonts w:hint="eastAsia" w:ascii="宋体" w:hAnsi="宋体" w:cs="宋体"/>
          <w:color w:val="auto"/>
          <w:sz w:val="24"/>
          <w:szCs w:val="24"/>
          <w:highlight w:val="none"/>
        </w:rPr>
        <w:t>投标日期：    年    月    日</w:t>
      </w:r>
    </w:p>
    <w:p>
      <w:pPr>
        <w:pStyle w:val="44"/>
        <w:rPr>
          <w:rFonts w:hAnsi="宋体"/>
          <w:b/>
          <w:bCs/>
          <w:color w:val="auto"/>
          <w:highlight w:val="none"/>
        </w:rPr>
      </w:pPr>
      <w:r>
        <w:rPr>
          <w:rFonts w:hAnsi="宋体"/>
          <w:b/>
          <w:bCs/>
          <w:color w:val="auto"/>
          <w:highlight w:val="none"/>
        </w:rPr>
        <w:br w:type="page"/>
      </w:r>
    </w:p>
    <w:p>
      <w:pPr>
        <w:numPr>
          <w:ilvl w:val="0"/>
          <w:numId w:val="4"/>
        </w:numPr>
        <w:jc w:val="center"/>
        <w:rPr>
          <w:rFonts w:ascii="宋体" w:hAnsi="宋体"/>
          <w:b/>
          <w:bCs/>
          <w:color w:val="auto"/>
          <w:sz w:val="24"/>
          <w:highlight w:val="none"/>
        </w:rPr>
      </w:pPr>
      <w:r>
        <w:rPr>
          <w:rFonts w:hint="eastAsia" w:ascii="宋体" w:hAnsi="宋体"/>
          <w:b/>
          <w:bCs/>
          <w:color w:val="auto"/>
          <w:sz w:val="24"/>
          <w:highlight w:val="none"/>
        </w:rPr>
        <w:t>投标人基本情况一览表</w:t>
      </w:r>
    </w:p>
    <w:p>
      <w:pPr>
        <w:pStyle w:val="10"/>
      </w:pPr>
      <w:r>
        <w:rPr>
          <w:rFonts w:hint="eastAsia" w:ascii="宋体" w:hAnsi="宋体" w:cs="宋体"/>
          <w:color w:val="auto"/>
          <w:sz w:val="24"/>
          <w:szCs w:val="24"/>
          <w:highlight w:val="none"/>
        </w:rPr>
        <w:t>第XX包</w:t>
      </w:r>
    </w:p>
    <w:p>
      <w:pPr>
        <w:pStyle w:val="33"/>
        <w:rPr>
          <w:color w:val="auto"/>
          <w:highlight w:val="none"/>
        </w:rPr>
      </w:pPr>
    </w:p>
    <w:tbl>
      <w:tblPr>
        <w:tblStyle w:val="24"/>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960"/>
        <w:gridCol w:w="1231"/>
        <w:gridCol w:w="1244"/>
        <w:gridCol w:w="7"/>
        <w:gridCol w:w="1318"/>
        <w:gridCol w:w="159"/>
        <w:gridCol w:w="1006"/>
        <w:gridCol w:w="10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006" w:type="dxa"/>
            <w:gridSpan w:val="8"/>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442" w:type="dxa"/>
            <w:gridSpan w:val="4"/>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318"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246"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Merge w:val="restart"/>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60"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47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32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46"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8" w:hRule="atLeast"/>
        </w:trPr>
        <w:tc>
          <w:tcPr>
            <w:tcW w:w="1516" w:type="dxa"/>
            <w:vMerge w:val="continue"/>
            <w:vAlign w:val="center"/>
          </w:tcPr>
          <w:p>
            <w:pPr>
              <w:widowControl/>
              <w:wordWrap w:val="0"/>
              <w:topLinePunct/>
              <w:jc w:val="left"/>
              <w:rPr>
                <w:rFonts w:ascii="宋体" w:hAnsi="宋体" w:cs="宋体"/>
                <w:color w:val="auto"/>
                <w:sz w:val="24"/>
                <w:szCs w:val="24"/>
                <w:highlight w:val="none"/>
              </w:rPr>
            </w:pPr>
          </w:p>
        </w:tc>
        <w:tc>
          <w:tcPr>
            <w:tcW w:w="960"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47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32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246"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组织结构</w:t>
            </w:r>
          </w:p>
        </w:tc>
        <w:tc>
          <w:tcPr>
            <w:tcW w:w="7006" w:type="dxa"/>
            <w:gridSpan w:val="8"/>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60"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231"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32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16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081" w:type="dxa"/>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960"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231"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32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165"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081" w:type="dxa"/>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4815" w:type="dxa"/>
            <w:gridSpan w:val="6"/>
            <w:vAlign w:val="center"/>
          </w:tcPr>
          <w:p>
            <w:pPr>
              <w:wordWrap w:val="0"/>
              <w:topLinePunct/>
              <w:autoSpaceDE w:val="0"/>
              <w:autoSpaceDN w:val="0"/>
              <w:adjustRightInd w:val="0"/>
              <w:spacing w:line="400" w:lineRule="exact"/>
              <w:ind w:firstLine="1680" w:firstLineChars="700"/>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企业资质等级</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Merge w:val="restart"/>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484"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项目经理</w:t>
            </w:r>
          </w:p>
        </w:tc>
        <w:tc>
          <w:tcPr>
            <w:tcW w:w="2087" w:type="dxa"/>
            <w:gridSpan w:val="2"/>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Merge w:val="continue"/>
            <w:vAlign w:val="center"/>
          </w:tcPr>
          <w:p>
            <w:pPr>
              <w:widowControl/>
              <w:wordWrap w:val="0"/>
              <w:topLinePunct/>
              <w:jc w:val="left"/>
              <w:rPr>
                <w:rFonts w:ascii="宋体" w:hAnsi="宋体" w:cs="宋体"/>
                <w:color w:val="auto"/>
                <w:sz w:val="24"/>
                <w:szCs w:val="24"/>
                <w:highlight w:val="none"/>
              </w:rPr>
            </w:pPr>
          </w:p>
        </w:tc>
        <w:tc>
          <w:tcPr>
            <w:tcW w:w="1484"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2087" w:type="dxa"/>
            <w:gridSpan w:val="2"/>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Merge w:val="continue"/>
            <w:vAlign w:val="center"/>
          </w:tcPr>
          <w:p>
            <w:pPr>
              <w:widowControl/>
              <w:wordWrap w:val="0"/>
              <w:topLinePunct/>
              <w:jc w:val="left"/>
              <w:rPr>
                <w:rFonts w:ascii="宋体" w:hAnsi="宋体" w:cs="宋体"/>
                <w:color w:val="auto"/>
                <w:sz w:val="24"/>
                <w:szCs w:val="24"/>
                <w:highlight w:val="none"/>
              </w:rPr>
            </w:pPr>
          </w:p>
        </w:tc>
        <w:tc>
          <w:tcPr>
            <w:tcW w:w="1484"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2087" w:type="dxa"/>
            <w:gridSpan w:val="2"/>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开户银行</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Merge w:val="continue"/>
            <w:vAlign w:val="center"/>
          </w:tcPr>
          <w:p>
            <w:pPr>
              <w:widowControl/>
              <w:wordWrap w:val="0"/>
              <w:topLinePunct/>
              <w:jc w:val="left"/>
              <w:rPr>
                <w:rFonts w:ascii="宋体" w:hAnsi="宋体" w:cs="宋体"/>
                <w:color w:val="auto"/>
                <w:sz w:val="24"/>
                <w:szCs w:val="24"/>
                <w:highlight w:val="none"/>
              </w:rPr>
            </w:pPr>
          </w:p>
        </w:tc>
        <w:tc>
          <w:tcPr>
            <w:tcW w:w="1484"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初级职称人员</w:t>
            </w:r>
          </w:p>
        </w:tc>
        <w:tc>
          <w:tcPr>
            <w:tcW w:w="2087" w:type="dxa"/>
            <w:gridSpan w:val="2"/>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账号</w:t>
            </w:r>
          </w:p>
        </w:tc>
        <w:tc>
          <w:tcPr>
            <w:tcW w:w="2191" w:type="dxa"/>
            <w:gridSpan w:val="2"/>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p>
        </w:tc>
        <w:tc>
          <w:tcPr>
            <w:tcW w:w="1244" w:type="dxa"/>
            <w:vMerge w:val="continue"/>
            <w:vAlign w:val="center"/>
          </w:tcPr>
          <w:p>
            <w:pPr>
              <w:widowControl/>
              <w:wordWrap w:val="0"/>
              <w:topLinePunct/>
              <w:jc w:val="left"/>
              <w:rPr>
                <w:rFonts w:ascii="宋体" w:hAnsi="宋体" w:cs="宋体"/>
                <w:color w:val="auto"/>
                <w:sz w:val="24"/>
                <w:szCs w:val="24"/>
                <w:highlight w:val="none"/>
              </w:rPr>
            </w:pPr>
          </w:p>
        </w:tc>
        <w:tc>
          <w:tcPr>
            <w:tcW w:w="1484" w:type="dxa"/>
            <w:gridSpan w:val="3"/>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技工</w:t>
            </w:r>
          </w:p>
        </w:tc>
        <w:tc>
          <w:tcPr>
            <w:tcW w:w="2087" w:type="dxa"/>
            <w:gridSpan w:val="2"/>
            <w:vAlign w:val="center"/>
          </w:tcPr>
          <w:p>
            <w:pPr>
              <w:wordWrap w:val="0"/>
              <w:topLinePunct/>
              <w:autoSpaceDE w:val="0"/>
              <w:autoSpaceDN w:val="0"/>
              <w:adjustRightInd w:val="0"/>
              <w:spacing w:line="400" w:lineRule="exact"/>
              <w:jc w:val="center"/>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42" w:hRule="atLeast"/>
        </w:trPr>
        <w:tc>
          <w:tcPr>
            <w:tcW w:w="1516" w:type="dxa"/>
            <w:vAlign w:val="center"/>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06" w:type="dxa"/>
            <w:gridSpan w:val="8"/>
            <w:vAlign w:val="center"/>
          </w:tcPr>
          <w:p>
            <w:pPr>
              <w:wordWrap w:val="0"/>
              <w:topLinePunct/>
              <w:autoSpaceDE w:val="0"/>
              <w:autoSpaceDN w:val="0"/>
              <w:adjustRightInd w:val="0"/>
              <w:spacing w:line="400" w:lineRule="exact"/>
              <w:rPr>
                <w:rFonts w:ascii="宋体" w:hAnsi="宋体" w:cs="宋体"/>
                <w:b/>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72" w:hRule="atLeast"/>
        </w:trPr>
        <w:tc>
          <w:tcPr>
            <w:tcW w:w="1516" w:type="dxa"/>
          </w:tcPr>
          <w:p>
            <w:pPr>
              <w:wordWrap w:val="0"/>
              <w:topLinePunct/>
              <w:autoSpaceDE w:val="0"/>
              <w:autoSpaceDN w:val="0"/>
              <w:adjustRightIn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006" w:type="dxa"/>
            <w:gridSpan w:val="8"/>
          </w:tcPr>
          <w:p>
            <w:pPr>
              <w:wordWrap w:val="0"/>
              <w:topLinePunct/>
              <w:autoSpaceDE w:val="0"/>
              <w:autoSpaceDN w:val="0"/>
              <w:adjustRightInd w:val="0"/>
              <w:spacing w:line="400" w:lineRule="exact"/>
              <w:jc w:val="left"/>
              <w:rPr>
                <w:rFonts w:ascii="宋体" w:hAnsi="宋体" w:cs="宋体"/>
                <w:color w:val="auto"/>
                <w:sz w:val="24"/>
                <w:szCs w:val="24"/>
                <w:highlight w:val="none"/>
              </w:rPr>
            </w:pPr>
          </w:p>
        </w:tc>
      </w:tr>
    </w:tbl>
    <w:p>
      <w:pPr>
        <w:pStyle w:val="15"/>
        <w:topLinePunct/>
        <w:spacing w:line="380" w:lineRule="exact"/>
        <w:ind w:left="420"/>
        <w:jc w:val="center"/>
        <w:rPr>
          <w:rFonts w:ascii="宋体" w:hAnsi="宋体"/>
          <w:bCs/>
          <w:color w:val="auto"/>
          <w:sz w:val="36"/>
          <w:szCs w:val="36"/>
          <w:highlight w:val="none"/>
        </w:rPr>
      </w:pPr>
    </w:p>
    <w:p>
      <w:pPr>
        <w:pStyle w:val="15"/>
        <w:topLinePunct/>
        <w:spacing w:line="380" w:lineRule="exact"/>
        <w:ind w:left="420"/>
        <w:jc w:val="center"/>
        <w:rPr>
          <w:rFonts w:ascii="宋体" w:hAnsi="宋体"/>
          <w:bCs/>
          <w:color w:val="auto"/>
          <w:sz w:val="36"/>
          <w:szCs w:val="36"/>
          <w:highlight w:val="none"/>
        </w:rPr>
      </w:pPr>
    </w:p>
    <w:p>
      <w:pPr>
        <w:pStyle w:val="15"/>
        <w:topLinePunct/>
        <w:spacing w:line="380" w:lineRule="exact"/>
        <w:ind w:left="0" w:leftChars="0" w:firstLine="0" w:firstLineChars="0"/>
        <w:jc w:val="both"/>
        <w:rPr>
          <w:rFonts w:ascii="宋体" w:hAnsi="宋体"/>
          <w:bCs/>
          <w:color w:val="auto"/>
          <w:sz w:val="36"/>
          <w:szCs w:val="36"/>
          <w:highlight w:val="none"/>
        </w:rPr>
      </w:pPr>
    </w:p>
    <w:p>
      <w:pPr>
        <w:jc w:val="center"/>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法人或者其他组织的营业执照等证明文件，自然人的身份证明</w:t>
      </w:r>
    </w:p>
    <w:p>
      <w:pPr>
        <w:widowControl/>
        <w:jc w:val="center"/>
        <w:rPr>
          <w:rFonts w:ascii="宋体" w:hAnsi="宋体"/>
          <w:color w:val="auto"/>
          <w:sz w:val="24"/>
          <w:highlight w:val="none"/>
        </w:rPr>
      </w:pPr>
      <w:r>
        <w:rPr>
          <w:rFonts w:ascii="宋体" w:hAnsi="宋体"/>
          <w:color w:val="auto"/>
          <w:sz w:val="24"/>
          <w:highlight w:val="none"/>
        </w:rPr>
        <w:br w:type="page"/>
      </w:r>
    </w:p>
    <w:p>
      <w:pPr>
        <w:pStyle w:val="33"/>
        <w:rPr>
          <w:color w:val="auto"/>
          <w:highlight w:val="none"/>
        </w:rPr>
      </w:pPr>
    </w:p>
    <w:p>
      <w:pPr>
        <w:jc w:val="center"/>
        <w:rPr>
          <w:rFonts w:ascii="宋体" w:hAnsi="宋体"/>
          <w:b/>
          <w:bCs/>
          <w:color w:val="auto"/>
          <w:sz w:val="24"/>
          <w:highlight w:val="none"/>
        </w:rPr>
      </w:pPr>
      <w:r>
        <w:rPr>
          <w:rFonts w:hint="eastAsia" w:ascii="宋体" w:hAnsi="宋体"/>
          <w:b/>
          <w:bCs/>
          <w:color w:val="auto"/>
          <w:sz w:val="24"/>
          <w:highlight w:val="none"/>
        </w:rPr>
        <w:t>（六）法律、行政法规规定的其他条件的证明材料(国家强制性要求的行政许可证书原件的复印件，如有)</w:t>
      </w:r>
    </w:p>
    <w:p>
      <w:pPr>
        <w:widowControl/>
        <w:jc w:val="left"/>
        <w:rPr>
          <w:rFonts w:ascii="宋体" w:hAnsi="宋体"/>
          <w:color w:val="auto"/>
          <w:sz w:val="24"/>
          <w:highlight w:val="none"/>
        </w:rPr>
      </w:pPr>
      <w:r>
        <w:rPr>
          <w:rFonts w:ascii="宋体" w:hAnsi="宋体"/>
          <w:color w:val="auto"/>
          <w:sz w:val="24"/>
          <w:highlight w:val="none"/>
        </w:rPr>
        <w:br w:type="page"/>
      </w:r>
    </w:p>
    <w:p>
      <w:pPr>
        <w:jc w:val="left"/>
        <w:rPr>
          <w:rFonts w:ascii="宋体" w:hAnsi="宋体"/>
          <w:b/>
          <w:bCs/>
          <w:color w:val="auto"/>
          <w:sz w:val="24"/>
          <w:highlight w:val="none"/>
        </w:rPr>
      </w:pPr>
    </w:p>
    <w:p>
      <w:pPr>
        <w:jc w:val="left"/>
        <w:rPr>
          <w:rFonts w:ascii="宋体" w:hAnsi="宋体"/>
          <w:b/>
          <w:bCs/>
          <w:color w:val="auto"/>
          <w:sz w:val="24"/>
          <w:highlight w:val="none"/>
        </w:rPr>
      </w:pPr>
      <w:r>
        <w:rPr>
          <w:rFonts w:hint="eastAsia" w:ascii="宋体" w:hAnsi="宋体"/>
          <w:b/>
          <w:bCs/>
          <w:color w:val="auto"/>
          <w:sz w:val="24"/>
          <w:highlight w:val="none"/>
        </w:rPr>
        <w:t>（</w:t>
      </w:r>
      <w:r>
        <w:rPr>
          <w:rFonts w:hint="eastAsia" w:ascii="宋体" w:hAnsi="宋体"/>
          <w:b/>
          <w:bCs/>
          <w:color w:val="auto"/>
          <w:sz w:val="24"/>
          <w:highlight w:val="none"/>
          <w:lang w:eastAsia="zh-CN"/>
        </w:rPr>
        <w:t>七</w:t>
      </w:r>
      <w:r>
        <w:rPr>
          <w:rFonts w:hint="eastAsia" w:ascii="宋体" w:hAnsi="宋体"/>
          <w:b/>
          <w:bCs/>
          <w:color w:val="auto"/>
          <w:sz w:val="24"/>
          <w:highlight w:val="none"/>
        </w:rPr>
        <w:t>）根据采购项目提出的特殊条件的证明材料：按第二章投标人须知前附表第5条(</w:t>
      </w:r>
      <w:r>
        <w:rPr>
          <w:rFonts w:hint="eastAsia" w:ascii="宋体" w:hAnsi="宋体"/>
          <w:b/>
          <w:bCs/>
          <w:color w:val="auto"/>
          <w:sz w:val="24"/>
          <w:highlight w:val="none"/>
          <w:lang w:val="en-US" w:eastAsia="zh-CN"/>
        </w:rPr>
        <w:t>6</w:t>
      </w:r>
      <w:r>
        <w:rPr>
          <w:rFonts w:hint="eastAsia" w:ascii="宋体" w:hAnsi="宋体"/>
          <w:b/>
          <w:bCs/>
          <w:color w:val="auto"/>
          <w:sz w:val="24"/>
          <w:highlight w:val="none"/>
        </w:rPr>
        <w:t>)款要求提供资料。</w:t>
      </w:r>
    </w:p>
    <w:p>
      <w:pPr>
        <w:widowControl/>
        <w:jc w:val="left"/>
        <w:rPr>
          <w:rFonts w:ascii="宋体" w:hAnsi="宋体"/>
          <w:color w:val="auto"/>
          <w:sz w:val="24"/>
          <w:highlight w:val="none"/>
        </w:rPr>
      </w:pPr>
      <w:r>
        <w:rPr>
          <w:rFonts w:ascii="宋体" w:hAnsi="宋体"/>
          <w:color w:val="auto"/>
          <w:sz w:val="24"/>
          <w:highlight w:val="none"/>
        </w:rPr>
        <w:br w:type="page"/>
      </w:r>
    </w:p>
    <w:p>
      <w:pPr>
        <w:numPr>
          <w:ilvl w:val="0"/>
          <w:numId w:val="0"/>
        </w:numPr>
        <w:jc w:val="center"/>
        <w:rPr>
          <w:color w:val="auto"/>
          <w:highlight w:val="none"/>
        </w:rPr>
      </w:pPr>
      <w:r>
        <w:rPr>
          <w:rFonts w:hint="eastAsia" w:ascii="宋体" w:hAnsi="宋体"/>
          <w:b/>
          <w:bCs/>
          <w:color w:val="auto"/>
          <w:sz w:val="24"/>
          <w:highlight w:val="none"/>
          <w:lang w:eastAsia="zh-CN"/>
        </w:rPr>
        <w:t>（八）</w:t>
      </w:r>
      <w:r>
        <w:rPr>
          <w:rFonts w:hint="eastAsia" w:ascii="宋体" w:hAnsi="宋体"/>
          <w:b/>
          <w:bCs/>
          <w:color w:val="auto"/>
          <w:sz w:val="24"/>
          <w:highlight w:val="none"/>
        </w:rPr>
        <w:t>投标承诺及声明</w:t>
      </w:r>
    </w:p>
    <w:p>
      <w:pPr>
        <w:pStyle w:val="33"/>
        <w:rPr>
          <w:color w:val="auto"/>
          <w:highlight w:val="none"/>
        </w:rPr>
      </w:pPr>
    </w:p>
    <w:p>
      <w:pPr>
        <w:pStyle w:val="15"/>
        <w:wordWrap w:val="0"/>
        <w:topLinePunct/>
        <w:spacing w:line="400" w:lineRule="exact"/>
        <w:ind w:left="0" w:leftChars="0"/>
        <w:rPr>
          <w:rFonts w:ascii="宋体" w:hAnsi="宋体"/>
          <w:color w:val="auto"/>
          <w:sz w:val="24"/>
          <w:highlight w:val="none"/>
        </w:rPr>
      </w:pPr>
      <w:r>
        <w:rPr>
          <w:rFonts w:hint="eastAsia" w:ascii="宋体" w:hAnsi="宋体"/>
          <w:bCs/>
          <w:color w:val="auto"/>
          <w:sz w:val="24"/>
          <w:highlight w:val="none"/>
          <w:u w:val="single"/>
          <w:lang w:eastAsia="zh-CN"/>
        </w:rPr>
        <w:t>四川华景工程项目管理有限公司</w:t>
      </w:r>
      <w:r>
        <w:rPr>
          <w:rFonts w:hint="eastAsia" w:ascii="宋体" w:hAnsi="宋体"/>
          <w:color w:val="auto"/>
          <w:sz w:val="24"/>
          <w:highlight w:val="none"/>
        </w:rPr>
        <w:t>：</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本公司</w:t>
      </w:r>
      <w:r>
        <w:rPr>
          <w:rFonts w:hint="eastAsia"/>
          <w:bCs/>
          <w:color w:val="auto"/>
          <w:kern w:val="24"/>
          <w:sz w:val="24"/>
          <w:highlight w:val="none"/>
          <w:u w:val="single"/>
        </w:rPr>
        <w:t xml:space="preserve">     </w:t>
      </w:r>
      <w:r>
        <w:rPr>
          <w:rFonts w:hint="eastAsia" w:ascii="宋体" w:hAnsi="宋体" w:cs="宋体"/>
          <w:bCs/>
          <w:color w:val="auto"/>
          <w:sz w:val="24"/>
          <w:szCs w:val="24"/>
          <w:highlight w:val="none"/>
          <w:lang w:val="zh-CN"/>
        </w:rPr>
        <w:t xml:space="preserve"> (公司名称)参加 </w:t>
      </w:r>
      <w:r>
        <w:rPr>
          <w:rFonts w:hint="default" w:ascii="宋体" w:hAnsi="宋体" w:cs="宋体"/>
          <w:bCs/>
          <w:color w:val="auto"/>
          <w:sz w:val="24"/>
          <w:szCs w:val="24"/>
          <w:highlight w:val="none"/>
          <w:lang w:val="en-US" w:eastAsia="zh-CN"/>
        </w:rPr>
        <w:t>“</w:t>
      </w:r>
      <w:r>
        <w:rPr>
          <w:rFonts w:hint="eastAsia"/>
          <w:bCs/>
          <w:color w:val="auto"/>
          <w:kern w:val="24"/>
          <w:sz w:val="24"/>
          <w:highlight w:val="none"/>
          <w:u w:val="single"/>
        </w:rPr>
        <w:t xml:space="preserve">     </w:t>
      </w:r>
      <w:r>
        <w:rPr>
          <w:rFonts w:hint="eastAsia" w:ascii="宋体" w:hAnsi="宋体" w:cs="宋体"/>
          <w:bCs/>
          <w:color w:val="auto"/>
          <w:sz w:val="24"/>
          <w:szCs w:val="24"/>
          <w:highlight w:val="none"/>
          <w:lang w:val="zh-CN"/>
        </w:rPr>
        <w:t>(项目名称)</w:t>
      </w:r>
      <w:r>
        <w:rPr>
          <w:rFonts w:hint="default" w:ascii="宋体" w:hAnsi="宋体" w:cs="宋体"/>
          <w:bCs/>
          <w:color w:val="auto"/>
          <w:sz w:val="24"/>
          <w:szCs w:val="24"/>
          <w:highlight w:val="none"/>
          <w:lang w:val="en-US" w:eastAsia="zh-CN"/>
        </w:rPr>
        <w:t>”</w:t>
      </w:r>
      <w:r>
        <w:rPr>
          <w:rFonts w:hint="eastAsia"/>
          <w:color w:val="auto"/>
          <w:sz w:val="24"/>
          <w:highlight w:val="none"/>
        </w:rPr>
        <w:t>(第 包)</w:t>
      </w:r>
      <w:r>
        <w:rPr>
          <w:rFonts w:hint="eastAsia" w:ascii="宋体" w:hAnsi="宋体" w:cs="宋体"/>
          <w:bCs/>
          <w:color w:val="auto"/>
          <w:sz w:val="24"/>
          <w:szCs w:val="24"/>
          <w:highlight w:val="none"/>
          <w:lang w:val="zh-CN"/>
        </w:rPr>
        <w:t>(项目编号：</w:t>
      </w:r>
      <w:r>
        <w:rPr>
          <w:rFonts w:hint="eastAsia"/>
          <w:bCs/>
          <w:color w:val="auto"/>
          <w:kern w:val="24"/>
          <w:sz w:val="24"/>
          <w:highlight w:val="none"/>
          <w:u w:val="single"/>
        </w:rPr>
        <w:t xml:space="preserve">     </w:t>
      </w:r>
      <w:r>
        <w:rPr>
          <w:rFonts w:hint="eastAsia" w:ascii="宋体" w:hAnsi="宋体" w:cs="宋体"/>
          <w:bCs/>
          <w:color w:val="auto"/>
          <w:sz w:val="24"/>
          <w:szCs w:val="24"/>
          <w:highlight w:val="none"/>
          <w:lang w:val="zh-CN"/>
        </w:rPr>
        <w:t>)的投标活动，现我公司对具备</w:t>
      </w:r>
      <w:r>
        <w:rPr>
          <w:rFonts w:hint="eastAsia" w:ascii="宋体" w:hAnsi="宋体" w:cs="宋体"/>
          <w:bCs/>
          <w:color w:val="auto"/>
          <w:sz w:val="24"/>
          <w:szCs w:val="24"/>
          <w:highlight w:val="none"/>
        </w:rPr>
        <w:t>《中华人民共和国政府采购法》第二十二条规定的条件，具体情况承诺如下</w:t>
      </w:r>
      <w:r>
        <w:rPr>
          <w:rFonts w:hint="eastAsia" w:ascii="宋体" w:hAnsi="宋体" w:cs="宋体"/>
          <w:bCs/>
          <w:color w:val="auto"/>
          <w:sz w:val="24"/>
          <w:szCs w:val="24"/>
          <w:highlight w:val="none"/>
          <w:lang w:val="zh-CN"/>
        </w:rPr>
        <w:t>：</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具有良好的商业信誉和财务状况报告；</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具有履行合同所必需的设备和专业技术能力； </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有依法缴纳税收和社会保障资金的良好记录；</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无与本采购项目其他投标人存在单位负责人为同一人或存在直接控股、管理关系的情形；</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无失信行为记录诚信档案且在有效期内的情形；</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参加本次政府采购活动前三年内在经营活动中没有列入失信被执行人、重大税收违法案件当事人名单、重大违法违规记录；</w:t>
      </w:r>
    </w:p>
    <w:p>
      <w:pPr>
        <w:adjustRightInd w:val="0"/>
        <w:spacing w:line="400" w:lineRule="exact"/>
        <w:ind w:firstLine="420" w:firstLineChars="175"/>
        <w:jc w:val="left"/>
        <w:rPr>
          <w:rFonts w:ascii="宋体" w:hAnsi="宋体"/>
          <w:color w:val="auto"/>
          <w:sz w:val="24"/>
          <w:highlight w:val="none"/>
        </w:rPr>
      </w:pPr>
      <w:r>
        <w:rPr>
          <w:rFonts w:ascii="宋体" w:hAnsi="宋体"/>
          <w:color w:val="auto"/>
          <w:sz w:val="24"/>
          <w:szCs w:val="24"/>
          <w:highlight w:val="none"/>
        </w:rPr>
        <w:t>参加</w:t>
      </w:r>
      <w:r>
        <w:rPr>
          <w:rFonts w:hint="eastAsia" w:ascii="宋体" w:hAnsi="宋体"/>
          <w:color w:val="auto"/>
          <w:sz w:val="24"/>
          <w:szCs w:val="24"/>
          <w:highlight w:val="none"/>
        </w:rPr>
        <w:t>本次</w:t>
      </w:r>
      <w:r>
        <w:rPr>
          <w:rFonts w:ascii="宋体" w:hAnsi="宋体"/>
          <w:color w:val="auto"/>
          <w:sz w:val="24"/>
          <w:szCs w:val="24"/>
          <w:highlight w:val="none"/>
        </w:rPr>
        <w:t>政府采购活动</w:t>
      </w:r>
      <w:r>
        <w:rPr>
          <w:rFonts w:hint="eastAsia" w:ascii="宋体" w:hAnsi="宋体"/>
          <w:color w:val="auto"/>
          <w:sz w:val="24"/>
          <w:szCs w:val="24"/>
          <w:highlight w:val="none"/>
        </w:rPr>
        <w:t>(</w:t>
      </w:r>
      <w:r>
        <w:rPr>
          <w:rFonts w:hint="eastAsia" w:ascii="宋体" w:hAnsi="宋体" w:cs="宋体"/>
          <w:color w:val="auto"/>
          <w:sz w:val="24"/>
          <w:szCs w:val="24"/>
          <w:highlight w:val="none"/>
        </w:rPr>
        <w:t>投标截止日</w:t>
      </w:r>
      <w:r>
        <w:rPr>
          <w:rFonts w:hint="eastAsia" w:ascii="宋体" w:hAnsi="宋体"/>
          <w:color w:val="auto"/>
          <w:sz w:val="24"/>
          <w:szCs w:val="24"/>
          <w:highlight w:val="none"/>
        </w:rPr>
        <w:t>)</w:t>
      </w:r>
      <w:r>
        <w:rPr>
          <w:rFonts w:ascii="宋体" w:hAnsi="宋体"/>
          <w:color w:val="auto"/>
          <w:sz w:val="24"/>
          <w:szCs w:val="24"/>
          <w:highlight w:val="none"/>
        </w:rPr>
        <w:t>前3年内在经营活动中没有</w:t>
      </w:r>
      <w:r>
        <w:rPr>
          <w:rFonts w:hint="eastAsia" w:ascii="宋体" w:hAnsi="宋体"/>
          <w:color w:val="auto"/>
          <w:sz w:val="24"/>
          <w:szCs w:val="24"/>
          <w:highlight w:val="none"/>
        </w:rPr>
        <w:t>因违法经营受到刑事处罚或责令停产停业、吊销许可证或者执照、较大数额罚款等行政处理的</w:t>
      </w:r>
      <w:r>
        <w:rPr>
          <w:rFonts w:ascii="宋体" w:hAnsi="宋体"/>
          <w:color w:val="auto"/>
          <w:sz w:val="24"/>
          <w:szCs w:val="24"/>
          <w:highlight w:val="none"/>
        </w:rPr>
        <w:t>重大违法记录</w:t>
      </w:r>
      <w:r>
        <w:rPr>
          <w:rFonts w:hint="eastAsia" w:ascii="宋体" w:hAnsi="宋体"/>
          <w:color w:val="auto"/>
          <w:sz w:val="24"/>
          <w:highlight w:val="none"/>
        </w:rPr>
        <w:t>(如取消投标中标资格、没收保证金、规定时间内禁止在本地参与政府采购活动等)；</w:t>
      </w:r>
    </w:p>
    <w:p>
      <w:pPr>
        <w:wordWrap w:val="0"/>
        <w:topLinePunct/>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我公司及其现任法定代表人</w:t>
      </w:r>
      <w:r>
        <w:rPr>
          <w:rFonts w:hint="eastAsia" w:ascii="宋体" w:hAnsi="宋体"/>
          <w:color w:val="auto"/>
          <w:sz w:val="24"/>
          <w:szCs w:val="24"/>
          <w:highlight w:val="none"/>
          <w:lang w:eastAsia="zh-CN"/>
        </w:rPr>
        <w:t>、主要</w:t>
      </w:r>
      <w:r>
        <w:rPr>
          <w:rFonts w:hint="eastAsia" w:ascii="宋体" w:hAnsi="宋体"/>
          <w:color w:val="auto"/>
          <w:sz w:val="24"/>
          <w:szCs w:val="24"/>
          <w:highlight w:val="none"/>
        </w:rPr>
        <w:t>负责人没有行贿犯罪记录；</w:t>
      </w:r>
    </w:p>
    <w:p>
      <w:pPr>
        <w:wordWrap w:val="0"/>
        <w:topLinePunct/>
        <w:spacing w:line="400" w:lineRule="exact"/>
        <w:ind w:firstLine="480" w:firstLineChars="200"/>
        <w:rPr>
          <w:rFonts w:ascii="宋体" w:hAnsi="宋体"/>
          <w:color w:val="auto"/>
          <w:sz w:val="24"/>
          <w:szCs w:val="24"/>
          <w:highlight w:val="none"/>
        </w:rPr>
      </w:pPr>
      <w:r>
        <w:rPr>
          <w:rFonts w:ascii="宋体" w:hAnsi="宋体"/>
          <w:color w:val="auto"/>
          <w:sz w:val="24"/>
          <w:szCs w:val="24"/>
          <w:highlight w:val="none"/>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ordWrap w:val="0"/>
        <w:topLinePunct/>
        <w:spacing w:line="400" w:lineRule="exact"/>
        <w:ind w:firstLine="480" w:firstLineChars="200"/>
        <w:rPr>
          <w:rFonts w:ascii="宋体" w:hAnsi="宋体"/>
          <w:color w:val="auto"/>
          <w:sz w:val="24"/>
          <w:szCs w:val="24"/>
          <w:highlight w:val="none"/>
        </w:rPr>
      </w:pPr>
      <w:r>
        <w:rPr>
          <w:rFonts w:hint="eastAsia"/>
          <w:color w:val="auto"/>
          <w:sz w:val="24"/>
          <w:szCs w:val="24"/>
          <w:highlight w:val="none"/>
        </w:rPr>
        <w:t>参加本次政府采购活动所投产品符合国家节能、环保、无线局域网产品的强制性要求。</w:t>
      </w:r>
    </w:p>
    <w:p>
      <w:pPr>
        <w:adjustRightInd w:val="0"/>
        <w:spacing w:line="400" w:lineRule="exact"/>
        <w:ind w:firstLine="420" w:firstLineChars="175"/>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如违反以上承诺</w:t>
      </w:r>
      <w:r>
        <w:rPr>
          <w:rFonts w:hint="eastAsia" w:ascii="宋体" w:hAnsi="宋体" w:cs="宋体"/>
          <w:bCs/>
          <w:color w:val="auto"/>
          <w:sz w:val="24"/>
          <w:szCs w:val="24"/>
          <w:highlight w:val="none"/>
        </w:rPr>
        <w:t>及声明</w:t>
      </w:r>
      <w:r>
        <w:rPr>
          <w:rFonts w:hint="eastAsia" w:ascii="宋体" w:hAnsi="宋体" w:cs="宋体"/>
          <w:bCs/>
          <w:color w:val="auto"/>
          <w:sz w:val="24"/>
          <w:szCs w:val="24"/>
          <w:highlight w:val="none"/>
          <w:lang w:val="zh-CN"/>
        </w:rPr>
        <w:t>，本公司愿承担一切法律责任。</w:t>
      </w:r>
    </w:p>
    <w:p>
      <w:pPr>
        <w:wordWrap w:val="0"/>
        <w:topLinePunct/>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1、投标人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wordWrap w:val="0"/>
        <w:topLinePunct/>
        <w:spacing w:line="400" w:lineRule="exact"/>
        <w:ind w:firstLine="422" w:firstLineChars="200"/>
        <w:rPr>
          <w:rFonts w:ascii="宋体" w:hAnsi="宋体"/>
          <w:color w:val="auto"/>
          <w:sz w:val="24"/>
          <w:highlight w:val="none"/>
        </w:rPr>
      </w:pPr>
      <w:r>
        <w:rPr>
          <w:rFonts w:hint="eastAsia" w:ascii="宋体" w:hAnsi="宋体"/>
          <w:b/>
          <w:bCs/>
          <w:color w:val="auto"/>
          <w:szCs w:val="21"/>
          <w:highlight w:val="none"/>
        </w:rPr>
        <w:t>2、投标人作出以上承诺即视为满足该条件，无需另行提供证明材料。</w:t>
      </w:r>
    </w:p>
    <w:p>
      <w:pPr>
        <w:wordWrap w:val="0"/>
        <w:topLinePunct/>
        <w:spacing w:line="400" w:lineRule="exact"/>
        <w:ind w:firstLine="240" w:firstLineChars="100"/>
        <w:rPr>
          <w:rFonts w:ascii="宋体" w:hAnsi="宋体"/>
          <w:color w:val="auto"/>
          <w:sz w:val="24"/>
          <w:highlight w:val="none"/>
        </w:rPr>
      </w:pPr>
    </w:p>
    <w:p>
      <w:pPr>
        <w:wordWrap w:val="0"/>
        <w:topLinePunct/>
        <w:spacing w:line="400" w:lineRule="exact"/>
        <w:ind w:firstLine="240" w:firstLineChars="100"/>
        <w:rPr>
          <w:rFonts w:ascii="宋体" w:hAnsi="宋体"/>
          <w:color w:val="auto"/>
          <w:sz w:val="24"/>
          <w:highlight w:val="none"/>
        </w:rPr>
      </w:pPr>
      <w:r>
        <w:rPr>
          <w:rFonts w:hint="eastAsia" w:ascii="宋体" w:hAnsi="宋体"/>
          <w:color w:val="auto"/>
          <w:sz w:val="24"/>
          <w:highlight w:val="none"/>
        </w:rPr>
        <w:t>承诺人名称(盖章)：</w:t>
      </w:r>
    </w:p>
    <w:p>
      <w:pPr>
        <w:wordWrap w:val="0"/>
        <w:topLinePunct/>
        <w:spacing w:line="400" w:lineRule="exact"/>
        <w:ind w:firstLine="240" w:firstLineChars="100"/>
        <w:rPr>
          <w:rFonts w:ascii="宋体" w:hAnsi="宋体"/>
          <w:color w:val="auto"/>
          <w:sz w:val="24"/>
          <w:highlight w:val="none"/>
        </w:rPr>
      </w:pPr>
      <w:r>
        <w:rPr>
          <w:rFonts w:hint="eastAsia" w:ascii="宋体" w:hAnsi="宋体"/>
          <w:color w:val="auto"/>
          <w:sz w:val="24"/>
          <w:highlight w:val="none"/>
        </w:rPr>
        <w:t>法定代表人（负责人）或被授权人(签字或个人名章)：</w:t>
      </w:r>
    </w:p>
    <w:p>
      <w:pPr>
        <w:wordWrap w:val="0"/>
        <w:topLinePunct/>
        <w:spacing w:line="400" w:lineRule="exact"/>
        <w:ind w:firstLine="240" w:firstLineChars="100"/>
        <w:rPr>
          <w:rFonts w:ascii="宋体" w:hAnsi="宋体"/>
          <w:color w:val="auto"/>
          <w:sz w:val="36"/>
          <w:szCs w:val="36"/>
          <w:highlight w:val="none"/>
        </w:rPr>
      </w:pPr>
      <w:r>
        <w:rPr>
          <w:rFonts w:hint="eastAsia" w:ascii="宋体" w:hAnsi="宋体"/>
          <w:color w:val="auto"/>
          <w:sz w:val="24"/>
          <w:highlight w:val="none"/>
        </w:rPr>
        <w:t>日期：    年    月    日</w:t>
      </w:r>
    </w:p>
    <w:p>
      <w:pPr>
        <w:widowControl/>
        <w:jc w:val="left"/>
        <w:rPr>
          <w:rFonts w:ascii="宋体" w:hAnsi="宋体"/>
          <w:color w:val="auto"/>
          <w:sz w:val="24"/>
          <w:highlight w:val="none"/>
        </w:rPr>
      </w:pPr>
      <w:r>
        <w:rPr>
          <w:rFonts w:ascii="宋体" w:hAnsi="宋体"/>
          <w:color w:val="auto"/>
          <w:sz w:val="24"/>
          <w:highlight w:val="none"/>
        </w:rPr>
        <w:br w:type="page"/>
      </w:r>
    </w:p>
    <w:p>
      <w:pPr>
        <w:numPr>
          <w:ilvl w:val="0"/>
          <w:numId w:val="5"/>
        </w:numPr>
        <w:jc w:val="center"/>
        <w:rPr>
          <w:rFonts w:hint="eastAsia" w:ascii="宋体" w:hAnsi="宋体"/>
          <w:b/>
          <w:bCs/>
          <w:color w:val="auto"/>
          <w:sz w:val="24"/>
          <w:highlight w:val="none"/>
        </w:rPr>
      </w:pPr>
      <w:r>
        <w:rPr>
          <w:rFonts w:hint="eastAsia" w:ascii="宋体" w:hAnsi="宋体"/>
          <w:b/>
          <w:bCs/>
          <w:color w:val="auto"/>
          <w:sz w:val="24"/>
          <w:highlight w:val="none"/>
        </w:rPr>
        <w:t>报价明细表</w:t>
      </w: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第XX包</w:t>
      </w:r>
    </w:p>
    <w:p>
      <w:pPr>
        <w:pStyle w:val="13"/>
      </w:pPr>
    </w:p>
    <w:tbl>
      <w:tblPr>
        <w:tblStyle w:val="2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859"/>
        <w:gridCol w:w="858"/>
        <w:gridCol w:w="859"/>
        <w:gridCol w:w="1280"/>
        <w:gridCol w:w="151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exact"/>
          <w:jc w:val="center"/>
        </w:trPr>
        <w:tc>
          <w:tcPr>
            <w:tcW w:w="1100" w:type="dxa"/>
            <w:vAlign w:val="center"/>
          </w:tcPr>
          <w:p>
            <w:pPr>
              <w:snapToGrid w:val="0"/>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100" w:type="dxa"/>
            <w:vAlign w:val="center"/>
          </w:tcPr>
          <w:p>
            <w:pPr>
              <w:pStyle w:val="4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名称</w:t>
            </w:r>
          </w:p>
        </w:tc>
        <w:tc>
          <w:tcPr>
            <w:tcW w:w="859" w:type="dxa"/>
            <w:vAlign w:val="center"/>
          </w:tcPr>
          <w:p>
            <w:pPr>
              <w:pStyle w:val="4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单位</w:t>
            </w:r>
          </w:p>
        </w:tc>
        <w:tc>
          <w:tcPr>
            <w:tcW w:w="858" w:type="dxa"/>
            <w:vAlign w:val="center"/>
          </w:tcPr>
          <w:p>
            <w:pPr>
              <w:pStyle w:val="4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分类</w:t>
            </w:r>
          </w:p>
        </w:tc>
        <w:tc>
          <w:tcPr>
            <w:tcW w:w="859" w:type="dxa"/>
            <w:vAlign w:val="center"/>
          </w:tcPr>
          <w:p>
            <w:pPr>
              <w:pStyle w:val="4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预估数量</w:t>
            </w:r>
          </w:p>
        </w:tc>
        <w:tc>
          <w:tcPr>
            <w:tcW w:w="1280" w:type="dxa"/>
            <w:vAlign w:val="center"/>
          </w:tcPr>
          <w:p>
            <w:pPr>
              <w:pStyle w:val="44"/>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投标单价（元）</w:t>
            </w:r>
          </w:p>
        </w:tc>
        <w:tc>
          <w:tcPr>
            <w:tcW w:w="1516" w:type="dxa"/>
            <w:vAlign w:val="center"/>
          </w:tcPr>
          <w:p>
            <w:pPr>
              <w:snapToGrid w:val="0"/>
              <w:spacing w:line="400" w:lineRule="exact"/>
              <w:ind w:firstLine="120" w:firstLineChars="5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投标总价（元）</w:t>
            </w:r>
          </w:p>
        </w:tc>
        <w:tc>
          <w:tcPr>
            <w:tcW w:w="708" w:type="dxa"/>
            <w:vAlign w:val="center"/>
          </w:tcPr>
          <w:p>
            <w:pPr>
              <w:snapToGrid w:val="0"/>
              <w:spacing w:line="400" w:lineRule="exact"/>
              <w:ind w:firstLine="120" w:firstLineChars="5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00" w:type="dxa"/>
            <w:vAlign w:val="center"/>
          </w:tcPr>
          <w:p>
            <w:pPr>
              <w:snapToGrid w:val="0"/>
              <w:spacing w:line="400" w:lineRule="exact"/>
              <w:jc w:val="center"/>
              <w:rPr>
                <w:rFonts w:ascii="宋体" w:hAnsi="宋体" w:cs="宋体"/>
                <w:color w:val="auto"/>
                <w:sz w:val="24"/>
                <w:szCs w:val="24"/>
                <w:highlight w:val="none"/>
              </w:rPr>
            </w:pPr>
          </w:p>
        </w:tc>
        <w:tc>
          <w:tcPr>
            <w:tcW w:w="1100"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858" w:type="dxa"/>
            <w:vAlign w:val="center"/>
          </w:tcPr>
          <w:p>
            <w:pPr>
              <w:snapToGrid w:val="0"/>
              <w:spacing w:line="400" w:lineRule="exact"/>
              <w:jc w:val="center"/>
              <w:rPr>
                <w:rFonts w:ascii="宋体" w:hAnsi="宋体" w:cs="宋体"/>
                <w:color w:val="auto"/>
                <w:sz w:val="24"/>
                <w:szCs w:val="24"/>
                <w:highlight w:val="none"/>
              </w:rPr>
            </w:pPr>
          </w:p>
        </w:tc>
        <w:tc>
          <w:tcPr>
            <w:tcW w:w="859" w:type="dxa"/>
            <w:vAlign w:val="center"/>
          </w:tcPr>
          <w:p>
            <w:pPr>
              <w:snapToGrid w:val="0"/>
              <w:spacing w:line="400" w:lineRule="exact"/>
              <w:jc w:val="center"/>
              <w:rPr>
                <w:rFonts w:ascii="宋体" w:hAnsi="宋体" w:cs="宋体"/>
                <w:color w:val="auto"/>
                <w:sz w:val="24"/>
                <w:szCs w:val="24"/>
                <w:highlight w:val="none"/>
              </w:rPr>
            </w:pPr>
          </w:p>
        </w:tc>
        <w:tc>
          <w:tcPr>
            <w:tcW w:w="1280" w:type="dxa"/>
            <w:vAlign w:val="center"/>
          </w:tcPr>
          <w:p>
            <w:pPr>
              <w:snapToGrid w:val="0"/>
              <w:spacing w:line="400" w:lineRule="exact"/>
              <w:jc w:val="center"/>
              <w:rPr>
                <w:rFonts w:ascii="宋体" w:hAnsi="宋体" w:cs="宋体"/>
                <w:color w:val="auto"/>
                <w:sz w:val="24"/>
                <w:szCs w:val="24"/>
                <w:highlight w:val="none"/>
              </w:rPr>
            </w:pPr>
          </w:p>
        </w:tc>
        <w:tc>
          <w:tcPr>
            <w:tcW w:w="1516" w:type="dxa"/>
          </w:tcPr>
          <w:p>
            <w:pPr>
              <w:snapToGrid w:val="0"/>
              <w:spacing w:line="400" w:lineRule="exact"/>
              <w:jc w:val="center"/>
              <w:rPr>
                <w:rFonts w:ascii="宋体" w:hAnsi="宋体" w:cs="宋体"/>
                <w:color w:val="auto"/>
                <w:sz w:val="24"/>
                <w:szCs w:val="24"/>
                <w:highlight w:val="none"/>
              </w:rPr>
            </w:pPr>
          </w:p>
        </w:tc>
        <w:tc>
          <w:tcPr>
            <w:tcW w:w="708" w:type="dxa"/>
            <w:vAlign w:val="center"/>
          </w:tcPr>
          <w:p>
            <w:pPr>
              <w:snapToGrid w:val="0"/>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280" w:type="dxa"/>
            <w:gridSpan w:val="8"/>
            <w:vAlign w:val="center"/>
          </w:tcPr>
          <w:p>
            <w:pPr>
              <w:snapToGrid w:val="0"/>
              <w:spacing w:line="400" w:lineRule="exact"/>
              <w:jc w:val="both"/>
              <w:rPr>
                <w:rFonts w:ascii="宋体" w:hAnsi="宋体" w:cs="宋体"/>
                <w:color w:val="auto"/>
                <w:sz w:val="24"/>
                <w:szCs w:val="24"/>
                <w:highlight w:val="none"/>
              </w:rPr>
            </w:pPr>
            <w:r>
              <w:rPr>
                <w:rFonts w:hint="eastAsia" w:ascii="宋体" w:hAnsi="宋体" w:cs="宋体"/>
                <w:color w:val="auto"/>
                <w:sz w:val="24"/>
                <w:szCs w:val="24"/>
                <w:highlight w:val="none"/>
                <w:lang w:eastAsia="zh-CN"/>
              </w:rPr>
              <w:t>报价合计：</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万元</w:t>
            </w:r>
          </w:p>
        </w:tc>
      </w:tr>
    </w:tbl>
    <w:p>
      <w:pPr>
        <w:wordWrap w:val="0"/>
        <w:topLinePunct/>
        <w:spacing w:line="400" w:lineRule="exact"/>
        <w:ind w:left="735" w:hanging="735" w:hangingChars="350"/>
        <w:rPr>
          <w:rFonts w:ascii="宋体" w:hAnsi="宋体"/>
          <w:color w:val="auto"/>
          <w:szCs w:val="21"/>
          <w:highlight w:val="none"/>
        </w:rPr>
      </w:pPr>
    </w:p>
    <w:p>
      <w:pPr>
        <w:wordWrap w:val="0"/>
        <w:topLinePunct/>
        <w:spacing w:line="400" w:lineRule="exact"/>
        <w:ind w:left="738" w:hanging="738" w:hangingChars="350"/>
        <w:rPr>
          <w:rFonts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1</w:t>
      </w:r>
      <w:r>
        <w:rPr>
          <w:rFonts w:hint="eastAsia" w:ascii="宋体" w:hAnsi="宋体"/>
          <w:b/>
          <w:color w:val="auto"/>
          <w:szCs w:val="21"/>
          <w:highlight w:val="none"/>
        </w:rPr>
        <w:t>．投标人必须按“</w:t>
      </w:r>
      <w:r>
        <w:rPr>
          <w:rFonts w:hint="eastAsia" w:ascii="宋体" w:hAnsi="宋体"/>
          <w:b/>
          <w:bCs/>
          <w:color w:val="auto"/>
          <w:szCs w:val="21"/>
          <w:highlight w:val="none"/>
        </w:rPr>
        <w:t>报价明细表”的格式填写。</w:t>
      </w:r>
    </w:p>
    <w:p>
      <w:pPr>
        <w:wordWrap w:val="0"/>
        <w:topLinePunct/>
        <w:spacing w:line="400" w:lineRule="exact"/>
        <w:ind w:firstLine="465"/>
        <w:jc w:val="left"/>
        <w:rPr>
          <w:rFonts w:ascii="宋体" w:hAnsi="宋体"/>
          <w:b/>
          <w:bCs/>
          <w:color w:val="auto"/>
          <w:szCs w:val="21"/>
          <w:highlight w:val="none"/>
        </w:rPr>
      </w:pPr>
      <w:r>
        <w:rPr>
          <w:rFonts w:ascii="宋体" w:hAnsi="宋体"/>
          <w:b/>
          <w:bCs/>
          <w:color w:val="auto"/>
          <w:szCs w:val="21"/>
          <w:highlight w:val="none"/>
        </w:rPr>
        <w:t>2．序号按招标项目要求中各个组成部分</w:t>
      </w:r>
      <w:r>
        <w:rPr>
          <w:rFonts w:hint="eastAsia" w:ascii="宋体" w:hAnsi="宋体"/>
          <w:b/>
          <w:bCs/>
          <w:color w:val="auto"/>
          <w:szCs w:val="21"/>
          <w:highlight w:val="none"/>
        </w:rPr>
        <w:t>顺序填写</w:t>
      </w:r>
      <w:r>
        <w:rPr>
          <w:rFonts w:hint="eastAsia" w:ascii="宋体" w:hAnsi="宋体"/>
          <w:b/>
          <w:color w:val="auto"/>
          <w:szCs w:val="21"/>
          <w:highlight w:val="none"/>
        </w:rPr>
        <w:t>。</w:t>
      </w:r>
    </w:p>
    <w:p>
      <w:pPr>
        <w:wordWrap w:val="0"/>
        <w:topLinePunct/>
        <w:spacing w:line="400" w:lineRule="exact"/>
        <w:ind w:firstLine="465"/>
        <w:jc w:val="left"/>
        <w:rPr>
          <w:rFonts w:ascii="宋体" w:hAnsi="宋体"/>
          <w:b/>
          <w:bCs/>
          <w:color w:val="auto"/>
          <w:szCs w:val="21"/>
          <w:highlight w:val="none"/>
        </w:rPr>
      </w:pPr>
      <w:r>
        <w:rPr>
          <w:rFonts w:ascii="宋体" w:hAnsi="宋体"/>
          <w:b/>
          <w:bCs/>
          <w:color w:val="auto"/>
          <w:szCs w:val="21"/>
          <w:highlight w:val="none"/>
        </w:rPr>
        <w:t>3．</w:t>
      </w:r>
      <w:r>
        <w:rPr>
          <w:rFonts w:hint="eastAsia" w:ascii="宋体" w:hAnsi="宋体"/>
          <w:b/>
          <w:color w:val="auto"/>
          <w:szCs w:val="21"/>
          <w:highlight w:val="none"/>
        </w:rPr>
        <w:t>“</w:t>
      </w:r>
      <w:r>
        <w:rPr>
          <w:rFonts w:hint="eastAsia" w:ascii="宋体" w:hAnsi="宋体"/>
          <w:b/>
          <w:bCs/>
          <w:color w:val="auto"/>
          <w:szCs w:val="21"/>
          <w:highlight w:val="none"/>
        </w:rPr>
        <w:t>报价明细表”各项报价合计应当与“投标函”等处报价合计相等。</w:t>
      </w:r>
    </w:p>
    <w:p>
      <w:pPr>
        <w:wordWrap w:val="0"/>
        <w:topLinePunct/>
        <w:spacing w:line="360" w:lineRule="auto"/>
        <w:ind w:firstLine="480" w:firstLineChars="200"/>
        <w:rPr>
          <w:rFonts w:ascii="宋体" w:hAnsi="宋体"/>
          <w:color w:val="auto"/>
          <w:sz w:val="24"/>
          <w:highlight w:val="none"/>
        </w:rPr>
      </w:pPr>
    </w:p>
    <w:p>
      <w:pPr>
        <w:widowControl/>
        <w:jc w:val="left"/>
        <w:rPr>
          <w:rFonts w:ascii="宋体" w:hAnsi="宋体"/>
          <w:color w:val="auto"/>
          <w:sz w:val="24"/>
          <w:highlight w:val="none"/>
        </w:rPr>
      </w:pPr>
    </w:p>
    <w:p>
      <w:pPr>
        <w:widowControl/>
        <w:jc w:val="left"/>
        <w:rPr>
          <w:rFonts w:ascii="宋体" w:hAnsi="宋体"/>
          <w:color w:val="auto"/>
          <w:sz w:val="24"/>
          <w:highlight w:val="none"/>
        </w:rPr>
      </w:pPr>
      <w:r>
        <w:rPr>
          <w:rFonts w:ascii="宋体" w:hAnsi="宋体"/>
          <w:color w:val="auto"/>
          <w:sz w:val="24"/>
          <w:highlight w:val="none"/>
        </w:rPr>
        <w:br w:type="page"/>
      </w:r>
    </w:p>
    <w:p>
      <w:pPr>
        <w:numPr>
          <w:ilvl w:val="0"/>
          <w:numId w:val="5"/>
        </w:numPr>
        <w:ind w:left="0" w:leftChars="0" w:firstLine="0" w:firstLineChars="0"/>
        <w:jc w:val="center"/>
        <w:rPr>
          <w:rFonts w:hint="eastAsia" w:ascii="宋体" w:hAnsi="宋体"/>
          <w:b/>
          <w:bCs/>
          <w:color w:val="auto"/>
          <w:sz w:val="24"/>
          <w:highlight w:val="none"/>
        </w:rPr>
      </w:pPr>
      <w:r>
        <w:rPr>
          <w:rFonts w:hint="eastAsia" w:ascii="宋体" w:hAnsi="宋体"/>
          <w:b/>
          <w:bCs/>
          <w:color w:val="auto"/>
          <w:sz w:val="24"/>
          <w:highlight w:val="none"/>
        </w:rPr>
        <w:t>投标技术服务响应表</w:t>
      </w:r>
    </w:p>
    <w:p>
      <w:pPr>
        <w:rPr>
          <w:rFonts w:hint="eastAsia" w:ascii="宋体" w:hAnsi="宋体" w:cs="宋体"/>
          <w:color w:val="auto"/>
          <w:sz w:val="24"/>
          <w:szCs w:val="24"/>
          <w:highlight w:val="none"/>
        </w:rPr>
      </w:pPr>
    </w:p>
    <w:p>
      <w:r>
        <w:rPr>
          <w:rFonts w:hint="eastAsia" w:ascii="宋体" w:hAnsi="宋体" w:cs="宋体"/>
          <w:color w:val="auto"/>
          <w:sz w:val="24"/>
          <w:szCs w:val="24"/>
          <w:highlight w:val="none"/>
        </w:rPr>
        <w:t>第XX包</w:t>
      </w:r>
    </w:p>
    <w:p>
      <w:pPr>
        <w:pStyle w:val="38"/>
        <w:rPr>
          <w:rFonts w:hAnsi="宋体" w:cs="宋体"/>
          <w:color w:val="auto"/>
          <w:sz w:val="21"/>
          <w:szCs w:val="21"/>
          <w:highlight w:val="none"/>
        </w:rPr>
      </w:pP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6"/>
        <w:gridCol w:w="1421"/>
        <w:gridCol w:w="1701"/>
        <w:gridCol w:w="1306"/>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60"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序号</w:t>
            </w:r>
          </w:p>
        </w:tc>
        <w:tc>
          <w:tcPr>
            <w:tcW w:w="1246"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货物/服务</w:t>
            </w:r>
          </w:p>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名称</w:t>
            </w:r>
          </w:p>
        </w:tc>
        <w:tc>
          <w:tcPr>
            <w:tcW w:w="1421"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招标文件要求</w:t>
            </w:r>
          </w:p>
        </w:tc>
        <w:tc>
          <w:tcPr>
            <w:tcW w:w="1701"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投标货物技术参数</w:t>
            </w:r>
          </w:p>
        </w:tc>
        <w:tc>
          <w:tcPr>
            <w:tcW w:w="1306"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偏离情况</w:t>
            </w:r>
          </w:p>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（符合、正偏离或负偏离）</w:t>
            </w:r>
          </w:p>
        </w:tc>
        <w:tc>
          <w:tcPr>
            <w:tcW w:w="1144"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偏离项（将偏离的内容填入此列）</w:t>
            </w:r>
          </w:p>
        </w:tc>
        <w:tc>
          <w:tcPr>
            <w:tcW w:w="1144" w:type="dxa"/>
            <w:vAlign w:val="center"/>
          </w:tcPr>
          <w:p>
            <w:pPr>
              <w:pStyle w:val="38"/>
              <w:jc w:val="center"/>
              <w:rPr>
                <w:rFonts w:hAnsi="宋体" w:cs="宋体"/>
                <w:b/>
                <w:bCs/>
                <w:color w:val="auto"/>
                <w:sz w:val="21"/>
                <w:szCs w:val="21"/>
                <w:highlight w:val="none"/>
              </w:rPr>
            </w:pPr>
            <w:r>
              <w:rPr>
                <w:rFonts w:hint="eastAsia" w:hAnsi="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dxa"/>
          </w:tcPr>
          <w:p>
            <w:pPr>
              <w:pStyle w:val="38"/>
              <w:rPr>
                <w:rFonts w:hAnsi="宋体" w:cs="宋体"/>
                <w:color w:val="auto"/>
                <w:szCs w:val="24"/>
                <w:highlight w:val="none"/>
              </w:rPr>
            </w:pPr>
          </w:p>
        </w:tc>
        <w:tc>
          <w:tcPr>
            <w:tcW w:w="1246" w:type="dxa"/>
          </w:tcPr>
          <w:p>
            <w:pPr>
              <w:pStyle w:val="38"/>
              <w:rPr>
                <w:rFonts w:hAnsi="宋体" w:cs="宋体"/>
                <w:color w:val="auto"/>
                <w:szCs w:val="24"/>
                <w:highlight w:val="none"/>
              </w:rPr>
            </w:pPr>
          </w:p>
        </w:tc>
        <w:tc>
          <w:tcPr>
            <w:tcW w:w="1421" w:type="dxa"/>
          </w:tcPr>
          <w:p>
            <w:pPr>
              <w:pStyle w:val="38"/>
              <w:rPr>
                <w:rFonts w:hAnsi="宋体" w:cs="宋体"/>
                <w:color w:val="auto"/>
                <w:szCs w:val="24"/>
                <w:highlight w:val="none"/>
              </w:rPr>
            </w:pPr>
          </w:p>
        </w:tc>
        <w:tc>
          <w:tcPr>
            <w:tcW w:w="1701" w:type="dxa"/>
          </w:tcPr>
          <w:p>
            <w:pPr>
              <w:pStyle w:val="38"/>
              <w:rPr>
                <w:rFonts w:hAnsi="宋体" w:cs="宋体"/>
                <w:color w:val="auto"/>
                <w:szCs w:val="24"/>
                <w:highlight w:val="none"/>
              </w:rPr>
            </w:pPr>
          </w:p>
        </w:tc>
        <w:tc>
          <w:tcPr>
            <w:tcW w:w="1306"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c>
          <w:tcPr>
            <w:tcW w:w="1144" w:type="dxa"/>
          </w:tcPr>
          <w:p>
            <w:pPr>
              <w:pStyle w:val="38"/>
              <w:rPr>
                <w:rFonts w:hAnsi="宋体" w:cs="宋体"/>
                <w:color w:val="auto"/>
                <w:szCs w:val="24"/>
                <w:highlight w:val="none"/>
              </w:rPr>
            </w:pPr>
          </w:p>
        </w:tc>
      </w:tr>
    </w:tbl>
    <w:p>
      <w:pPr>
        <w:wordWrap w:val="0"/>
        <w:topLinePunct/>
        <w:spacing w:line="400" w:lineRule="exact"/>
        <w:ind w:left="542" w:leftChars="57" w:hanging="422" w:hangingChars="200"/>
        <w:rPr>
          <w:rFonts w:ascii="宋体" w:hAnsi="宋体"/>
          <w:b/>
          <w:bCs/>
          <w:color w:val="auto"/>
          <w:szCs w:val="21"/>
          <w:highlight w:val="none"/>
        </w:rPr>
      </w:pPr>
      <w:r>
        <w:rPr>
          <w:rFonts w:hint="eastAsia" w:ascii="宋体" w:hAnsi="宋体"/>
          <w:b/>
          <w:bCs/>
          <w:color w:val="auto"/>
          <w:szCs w:val="21"/>
          <w:highlight w:val="none"/>
        </w:rPr>
        <w:t>注</w:t>
      </w:r>
      <w:r>
        <w:rPr>
          <w:rFonts w:hint="eastAsia" w:ascii="宋体" w:hAnsi="宋体"/>
          <w:b/>
          <w:bCs/>
          <w:color w:val="auto"/>
          <w:szCs w:val="21"/>
          <w:highlight w:val="none"/>
          <w:u w:val="single"/>
        </w:rPr>
        <w:t>：1.投标人须按照招标项目技术要求认真响应，符合无偏离的项目不填写视为完全响应招标文件技术服务参数要求，只填写有偏离的项目（含正、负偏离）。</w:t>
      </w:r>
    </w:p>
    <w:p>
      <w:pPr>
        <w:wordWrap w:val="0"/>
        <w:topLinePunct/>
        <w:spacing w:line="400" w:lineRule="exact"/>
        <w:ind w:left="540" w:leftChars="257"/>
        <w:rPr>
          <w:rFonts w:ascii="宋体" w:hAnsi="宋体"/>
          <w:b/>
          <w:bCs/>
          <w:color w:val="auto"/>
          <w:szCs w:val="21"/>
          <w:highlight w:val="none"/>
        </w:rPr>
      </w:pPr>
      <w:r>
        <w:rPr>
          <w:rFonts w:hint="eastAsia" w:ascii="宋体" w:hAnsi="宋体"/>
          <w:b/>
          <w:bCs/>
          <w:color w:val="auto"/>
          <w:szCs w:val="21"/>
          <w:highlight w:val="none"/>
        </w:rPr>
        <w:t>2．投标人必须据实填写，不得虚假响应，否则将取消其投标或中标资格，并按照相关法律法规进行从重处理。</w:t>
      </w:r>
    </w:p>
    <w:p>
      <w:pPr>
        <w:rPr>
          <w:rFonts w:hAnsi="宋体"/>
          <w:b/>
          <w:color w:val="auto"/>
          <w:kern w:val="21"/>
          <w:szCs w:val="21"/>
          <w:highlight w:val="none"/>
          <w:u w:val="singl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ascii="宋体" w:hAnsi="宋体"/>
          <w:color w:val="auto"/>
          <w:sz w:val="24"/>
          <w:highlight w:val="none"/>
        </w:rPr>
      </w:pPr>
    </w:p>
    <w:p>
      <w:pPr>
        <w:wordWrap w:val="0"/>
        <w:topLinePunct/>
        <w:spacing w:line="360" w:lineRule="auto"/>
        <w:rPr>
          <w:rFonts w:hint="eastAsia" w:ascii="宋体" w:hAnsi="宋体" w:eastAsia="宋体"/>
          <w:color w:val="auto"/>
          <w:sz w:val="24"/>
          <w:highlight w:val="none"/>
          <w:lang w:eastAsia="zh-CN"/>
        </w:rPr>
      </w:pPr>
    </w:p>
    <w:p>
      <w:pPr>
        <w:pStyle w:val="13"/>
        <w:rPr>
          <w:rFonts w:hint="eastAsia"/>
          <w:lang w:eastAsia="zh-CN"/>
        </w:rPr>
      </w:pPr>
    </w:p>
    <w:p>
      <w:pPr>
        <w:jc w:val="center"/>
        <w:rPr>
          <w:rFonts w:hint="eastAsia" w:ascii="宋体" w:hAnsi="宋体"/>
          <w:b/>
          <w:bCs/>
          <w:color w:val="auto"/>
          <w:sz w:val="24"/>
          <w:highlight w:val="none"/>
        </w:rPr>
      </w:pPr>
    </w:p>
    <w:p>
      <w:pPr>
        <w:jc w:val="center"/>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一</w:t>
      </w:r>
      <w:r>
        <w:rPr>
          <w:rFonts w:hint="eastAsia" w:ascii="宋体" w:hAnsi="宋体"/>
          <w:b/>
          <w:bCs/>
          <w:color w:val="auto"/>
          <w:sz w:val="24"/>
          <w:highlight w:val="none"/>
        </w:rPr>
        <w:t>）技术、服务方案和售后服务措施</w:t>
      </w:r>
    </w:p>
    <w:p>
      <w:pPr>
        <w:wordWrap w:val="0"/>
        <w:topLinePunct/>
        <w:spacing w:line="360" w:lineRule="auto"/>
        <w:rPr>
          <w:rFonts w:ascii="宋体" w:hAnsi="宋体"/>
          <w:bCs/>
          <w:color w:val="auto"/>
          <w:sz w:val="24"/>
          <w:highlight w:val="none"/>
        </w:rPr>
      </w:pPr>
      <w:r>
        <w:rPr>
          <w:rFonts w:hint="eastAsia" w:ascii="宋体" w:hAnsi="宋体" w:cs="宋体"/>
          <w:color w:val="auto"/>
          <w:sz w:val="24"/>
          <w:szCs w:val="24"/>
          <w:highlight w:val="none"/>
        </w:rPr>
        <w:t>第XX包</w:t>
      </w:r>
    </w:p>
    <w:p>
      <w:pPr>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根据要求制定技术、服务方案和服务措施。</w:t>
      </w:r>
    </w:p>
    <w:p>
      <w:pPr>
        <w:pStyle w:val="10"/>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10"/>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10"/>
        <w:rPr>
          <w:rFonts w:hint="eastAsia" w:ascii="宋体" w:hAnsi="宋体"/>
          <w:bCs/>
          <w:color w:val="auto"/>
          <w:sz w:val="24"/>
          <w:szCs w:val="24"/>
          <w:highlight w:val="none"/>
        </w:rPr>
      </w:pPr>
    </w:p>
    <w:p/>
    <w:p>
      <w:pPr>
        <w:wordWrap w:val="0"/>
        <w:topLinePunct/>
        <w:spacing w:line="400" w:lineRule="exact"/>
        <w:ind w:firstLine="361" w:firstLineChars="150"/>
        <w:rPr>
          <w:rFonts w:ascii="宋体" w:hAnsi="宋体"/>
          <w:b/>
          <w:bCs/>
          <w:color w:val="auto"/>
          <w:sz w:val="24"/>
          <w:highlight w:val="none"/>
        </w:rPr>
      </w:pPr>
    </w:p>
    <w:p>
      <w:pPr>
        <w:wordWrap w:val="0"/>
        <w:topLinePunct/>
        <w:spacing w:line="400" w:lineRule="exact"/>
        <w:rPr>
          <w:rFonts w:ascii="宋体" w:hAnsi="宋体" w:cs="宋体"/>
          <w:color w:val="auto"/>
          <w:sz w:val="24"/>
          <w:szCs w:val="24"/>
          <w:highlight w:val="none"/>
        </w:rPr>
      </w:pPr>
      <w:r>
        <w:rPr>
          <w:rFonts w:hint="eastAsia" w:ascii="宋体" w:hAnsi="宋体"/>
          <w:b/>
          <w:bCs/>
          <w:color w:val="auto"/>
          <w:sz w:val="24"/>
          <w:highlight w:val="none"/>
        </w:rPr>
        <w:t xml:space="preserve">附表：投标人本项目管理、技术、服务人员情况表  </w:t>
      </w:r>
    </w:p>
    <w:tbl>
      <w:tblPr>
        <w:tblStyle w:val="2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810"/>
        <w:gridCol w:w="781"/>
        <w:gridCol w:w="841"/>
        <w:gridCol w:w="811"/>
        <w:gridCol w:w="1081"/>
        <w:gridCol w:w="1082"/>
        <w:gridCol w:w="108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restart"/>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类别</w:t>
            </w:r>
          </w:p>
        </w:tc>
        <w:tc>
          <w:tcPr>
            <w:tcW w:w="810" w:type="dxa"/>
            <w:vMerge w:val="restart"/>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职务</w:t>
            </w:r>
          </w:p>
        </w:tc>
        <w:tc>
          <w:tcPr>
            <w:tcW w:w="781" w:type="dxa"/>
            <w:vMerge w:val="restart"/>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姓名</w:t>
            </w:r>
          </w:p>
        </w:tc>
        <w:tc>
          <w:tcPr>
            <w:tcW w:w="841" w:type="dxa"/>
            <w:vMerge w:val="restart"/>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职称</w:t>
            </w:r>
          </w:p>
        </w:tc>
        <w:tc>
          <w:tcPr>
            <w:tcW w:w="811" w:type="dxa"/>
            <w:vMerge w:val="restart"/>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常住地</w:t>
            </w:r>
          </w:p>
        </w:tc>
        <w:tc>
          <w:tcPr>
            <w:tcW w:w="4326" w:type="dxa"/>
            <w:gridSpan w:val="4"/>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vAlign w:val="center"/>
          </w:tcPr>
          <w:p>
            <w:pPr>
              <w:spacing w:line="400" w:lineRule="exact"/>
              <w:jc w:val="center"/>
              <w:rPr>
                <w:rFonts w:ascii="宋体" w:hAnsi="宋体" w:cs="宋体"/>
                <w:b/>
                <w:bCs/>
                <w:color w:val="auto"/>
                <w:sz w:val="24"/>
                <w:szCs w:val="24"/>
                <w:highlight w:val="none"/>
              </w:rPr>
            </w:pPr>
          </w:p>
        </w:tc>
        <w:tc>
          <w:tcPr>
            <w:tcW w:w="810" w:type="dxa"/>
            <w:vMerge w:val="continue"/>
            <w:vAlign w:val="center"/>
          </w:tcPr>
          <w:p>
            <w:pPr>
              <w:spacing w:line="400" w:lineRule="exact"/>
              <w:jc w:val="center"/>
              <w:rPr>
                <w:rFonts w:ascii="宋体" w:hAnsi="宋体" w:cs="宋体"/>
                <w:b/>
                <w:bCs/>
                <w:color w:val="auto"/>
                <w:sz w:val="24"/>
                <w:szCs w:val="24"/>
                <w:highlight w:val="none"/>
              </w:rPr>
            </w:pPr>
          </w:p>
        </w:tc>
        <w:tc>
          <w:tcPr>
            <w:tcW w:w="781" w:type="dxa"/>
            <w:vMerge w:val="continue"/>
            <w:vAlign w:val="center"/>
          </w:tcPr>
          <w:p>
            <w:pPr>
              <w:spacing w:line="400" w:lineRule="exact"/>
              <w:jc w:val="center"/>
              <w:rPr>
                <w:rFonts w:ascii="宋体" w:hAnsi="宋体" w:cs="宋体"/>
                <w:b/>
                <w:bCs/>
                <w:color w:val="auto"/>
                <w:sz w:val="24"/>
                <w:szCs w:val="24"/>
                <w:highlight w:val="none"/>
              </w:rPr>
            </w:pPr>
          </w:p>
        </w:tc>
        <w:tc>
          <w:tcPr>
            <w:tcW w:w="841" w:type="dxa"/>
            <w:vMerge w:val="continue"/>
            <w:vAlign w:val="center"/>
          </w:tcPr>
          <w:p>
            <w:pPr>
              <w:spacing w:line="400" w:lineRule="exact"/>
              <w:jc w:val="center"/>
              <w:rPr>
                <w:rFonts w:ascii="宋体" w:hAnsi="宋体" w:cs="宋体"/>
                <w:b/>
                <w:bCs/>
                <w:color w:val="auto"/>
                <w:sz w:val="24"/>
                <w:szCs w:val="24"/>
                <w:highlight w:val="none"/>
              </w:rPr>
            </w:pPr>
          </w:p>
        </w:tc>
        <w:tc>
          <w:tcPr>
            <w:tcW w:w="811" w:type="dxa"/>
            <w:vMerge w:val="continue"/>
            <w:vAlign w:val="center"/>
          </w:tcPr>
          <w:p>
            <w:pPr>
              <w:spacing w:line="400" w:lineRule="exact"/>
              <w:jc w:val="center"/>
              <w:rPr>
                <w:rFonts w:ascii="宋体" w:hAnsi="宋体" w:cs="宋体"/>
                <w:b/>
                <w:bCs/>
                <w:color w:val="auto"/>
                <w:sz w:val="24"/>
                <w:szCs w:val="24"/>
                <w:highlight w:val="none"/>
              </w:rPr>
            </w:pPr>
          </w:p>
        </w:tc>
        <w:tc>
          <w:tcPr>
            <w:tcW w:w="1081"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证书名称</w:t>
            </w:r>
          </w:p>
        </w:tc>
        <w:tc>
          <w:tcPr>
            <w:tcW w:w="1082"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级别</w:t>
            </w:r>
          </w:p>
        </w:tc>
        <w:tc>
          <w:tcPr>
            <w:tcW w:w="1081"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证号</w:t>
            </w:r>
          </w:p>
        </w:tc>
        <w:tc>
          <w:tcPr>
            <w:tcW w:w="1082" w:type="dxa"/>
            <w:vAlign w:val="center"/>
          </w:tcPr>
          <w:p>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restart"/>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管</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理</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人</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w:t>
            </w: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restart"/>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术</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人</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w:t>
            </w: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restart"/>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售后</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w:t>
            </w:r>
          </w:p>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人员</w:t>
            </w: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color w:val="auto"/>
                <w:sz w:val="24"/>
                <w:szCs w:val="24"/>
                <w:highlight w:val="none"/>
              </w:rPr>
            </w:pPr>
          </w:p>
        </w:tc>
        <w:tc>
          <w:tcPr>
            <w:tcW w:w="841" w:type="dxa"/>
          </w:tcPr>
          <w:p>
            <w:pPr>
              <w:spacing w:line="400" w:lineRule="exact"/>
              <w:jc w:val="center"/>
              <w:rPr>
                <w:rFonts w:ascii="宋体" w:hAnsi="宋体" w:cs="宋体"/>
                <w:color w:val="auto"/>
                <w:sz w:val="24"/>
                <w:szCs w:val="24"/>
                <w:highlight w:val="none"/>
              </w:rPr>
            </w:pPr>
          </w:p>
        </w:tc>
        <w:tc>
          <w:tcPr>
            <w:tcW w:w="811"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c>
          <w:tcPr>
            <w:tcW w:w="1081" w:type="dxa"/>
          </w:tcPr>
          <w:p>
            <w:pPr>
              <w:spacing w:line="400" w:lineRule="exact"/>
              <w:jc w:val="center"/>
              <w:rPr>
                <w:rFonts w:ascii="宋体" w:hAnsi="宋体" w:cs="宋体"/>
                <w:color w:val="auto"/>
                <w:sz w:val="24"/>
                <w:szCs w:val="24"/>
                <w:highlight w:val="none"/>
              </w:rPr>
            </w:pPr>
          </w:p>
        </w:tc>
        <w:tc>
          <w:tcPr>
            <w:tcW w:w="1082" w:type="dxa"/>
          </w:tcPr>
          <w:p>
            <w:pPr>
              <w:spacing w:line="4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bCs/>
                <w:color w:val="auto"/>
                <w:sz w:val="24"/>
                <w:szCs w:val="24"/>
                <w:highlight w:val="none"/>
              </w:rPr>
            </w:pPr>
          </w:p>
        </w:tc>
        <w:tc>
          <w:tcPr>
            <w:tcW w:w="841" w:type="dxa"/>
          </w:tcPr>
          <w:p>
            <w:pPr>
              <w:spacing w:line="400" w:lineRule="exact"/>
              <w:jc w:val="center"/>
              <w:rPr>
                <w:rFonts w:ascii="宋体" w:hAnsi="宋体" w:cs="宋体"/>
                <w:bCs/>
                <w:color w:val="auto"/>
                <w:sz w:val="24"/>
                <w:szCs w:val="24"/>
                <w:highlight w:val="none"/>
              </w:rPr>
            </w:pPr>
          </w:p>
        </w:tc>
        <w:tc>
          <w:tcPr>
            <w:tcW w:w="811" w:type="dxa"/>
          </w:tcPr>
          <w:p>
            <w:pPr>
              <w:spacing w:line="400" w:lineRule="exact"/>
              <w:jc w:val="center"/>
              <w:rPr>
                <w:rFonts w:ascii="宋体" w:hAnsi="宋体" w:cs="宋体"/>
                <w:bCs/>
                <w:color w:val="auto"/>
                <w:sz w:val="24"/>
                <w:szCs w:val="24"/>
                <w:highlight w:val="none"/>
              </w:rPr>
            </w:pPr>
          </w:p>
        </w:tc>
        <w:tc>
          <w:tcPr>
            <w:tcW w:w="1081" w:type="dxa"/>
          </w:tcPr>
          <w:p>
            <w:pPr>
              <w:spacing w:line="400" w:lineRule="exact"/>
              <w:jc w:val="center"/>
              <w:rPr>
                <w:rFonts w:ascii="宋体" w:hAnsi="宋体" w:cs="宋体"/>
                <w:bCs/>
                <w:color w:val="auto"/>
                <w:sz w:val="24"/>
                <w:szCs w:val="24"/>
                <w:highlight w:val="none"/>
              </w:rPr>
            </w:pPr>
          </w:p>
        </w:tc>
        <w:tc>
          <w:tcPr>
            <w:tcW w:w="1082" w:type="dxa"/>
          </w:tcPr>
          <w:p>
            <w:pPr>
              <w:spacing w:line="400" w:lineRule="exact"/>
              <w:jc w:val="center"/>
              <w:rPr>
                <w:rFonts w:ascii="宋体" w:hAnsi="宋体" w:cs="宋体"/>
                <w:bCs/>
                <w:color w:val="auto"/>
                <w:sz w:val="24"/>
                <w:szCs w:val="24"/>
                <w:highlight w:val="none"/>
              </w:rPr>
            </w:pPr>
          </w:p>
        </w:tc>
        <w:tc>
          <w:tcPr>
            <w:tcW w:w="1081" w:type="dxa"/>
          </w:tcPr>
          <w:p>
            <w:pPr>
              <w:spacing w:line="400" w:lineRule="exact"/>
              <w:jc w:val="center"/>
              <w:rPr>
                <w:rFonts w:ascii="宋体" w:hAnsi="宋体" w:cs="宋体"/>
                <w:bCs/>
                <w:color w:val="auto"/>
                <w:sz w:val="24"/>
                <w:szCs w:val="24"/>
                <w:highlight w:val="none"/>
              </w:rPr>
            </w:pPr>
          </w:p>
        </w:tc>
        <w:tc>
          <w:tcPr>
            <w:tcW w:w="1082" w:type="dxa"/>
          </w:tcPr>
          <w:p>
            <w:pPr>
              <w:spacing w:line="400" w:lineRule="exact"/>
              <w:jc w:val="center"/>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186" w:type="dxa"/>
            <w:vMerge w:val="continue"/>
          </w:tcPr>
          <w:p>
            <w:pPr>
              <w:spacing w:line="400" w:lineRule="exact"/>
              <w:jc w:val="center"/>
              <w:rPr>
                <w:rFonts w:ascii="宋体" w:hAnsi="宋体" w:cs="宋体"/>
                <w:color w:val="auto"/>
                <w:sz w:val="24"/>
                <w:szCs w:val="24"/>
                <w:highlight w:val="none"/>
              </w:rPr>
            </w:pPr>
          </w:p>
        </w:tc>
        <w:tc>
          <w:tcPr>
            <w:tcW w:w="810" w:type="dxa"/>
          </w:tcPr>
          <w:p>
            <w:pPr>
              <w:spacing w:line="400" w:lineRule="exact"/>
              <w:jc w:val="center"/>
              <w:rPr>
                <w:rFonts w:ascii="宋体" w:hAnsi="宋体" w:cs="宋体"/>
                <w:color w:val="auto"/>
                <w:sz w:val="24"/>
                <w:szCs w:val="24"/>
                <w:highlight w:val="none"/>
              </w:rPr>
            </w:pPr>
          </w:p>
        </w:tc>
        <w:tc>
          <w:tcPr>
            <w:tcW w:w="781" w:type="dxa"/>
          </w:tcPr>
          <w:p>
            <w:pPr>
              <w:spacing w:line="400" w:lineRule="exact"/>
              <w:jc w:val="center"/>
              <w:rPr>
                <w:rFonts w:ascii="宋体" w:hAnsi="宋体" w:cs="宋体"/>
                <w:bCs/>
                <w:color w:val="auto"/>
                <w:sz w:val="24"/>
                <w:szCs w:val="24"/>
                <w:highlight w:val="none"/>
              </w:rPr>
            </w:pPr>
          </w:p>
        </w:tc>
        <w:tc>
          <w:tcPr>
            <w:tcW w:w="841" w:type="dxa"/>
          </w:tcPr>
          <w:p>
            <w:pPr>
              <w:spacing w:line="400" w:lineRule="exact"/>
              <w:jc w:val="center"/>
              <w:rPr>
                <w:rFonts w:ascii="宋体" w:hAnsi="宋体" w:cs="宋体"/>
                <w:bCs/>
                <w:color w:val="auto"/>
                <w:sz w:val="24"/>
                <w:szCs w:val="24"/>
                <w:highlight w:val="none"/>
              </w:rPr>
            </w:pPr>
          </w:p>
        </w:tc>
        <w:tc>
          <w:tcPr>
            <w:tcW w:w="811" w:type="dxa"/>
          </w:tcPr>
          <w:p>
            <w:pPr>
              <w:spacing w:line="400" w:lineRule="exact"/>
              <w:jc w:val="center"/>
              <w:rPr>
                <w:rFonts w:ascii="宋体" w:hAnsi="宋体" w:cs="宋体"/>
                <w:bCs/>
                <w:color w:val="auto"/>
                <w:sz w:val="24"/>
                <w:szCs w:val="24"/>
                <w:highlight w:val="none"/>
              </w:rPr>
            </w:pPr>
          </w:p>
        </w:tc>
        <w:tc>
          <w:tcPr>
            <w:tcW w:w="1081" w:type="dxa"/>
          </w:tcPr>
          <w:p>
            <w:pPr>
              <w:spacing w:line="400" w:lineRule="exact"/>
              <w:jc w:val="center"/>
              <w:rPr>
                <w:rFonts w:ascii="宋体" w:hAnsi="宋体" w:cs="宋体"/>
                <w:bCs/>
                <w:color w:val="auto"/>
                <w:sz w:val="24"/>
                <w:szCs w:val="24"/>
                <w:highlight w:val="none"/>
              </w:rPr>
            </w:pPr>
          </w:p>
        </w:tc>
        <w:tc>
          <w:tcPr>
            <w:tcW w:w="1082" w:type="dxa"/>
          </w:tcPr>
          <w:p>
            <w:pPr>
              <w:spacing w:line="400" w:lineRule="exact"/>
              <w:jc w:val="center"/>
              <w:rPr>
                <w:rFonts w:ascii="宋体" w:hAnsi="宋体" w:cs="宋体"/>
                <w:bCs/>
                <w:color w:val="auto"/>
                <w:sz w:val="24"/>
                <w:szCs w:val="24"/>
                <w:highlight w:val="none"/>
              </w:rPr>
            </w:pPr>
          </w:p>
        </w:tc>
        <w:tc>
          <w:tcPr>
            <w:tcW w:w="1081" w:type="dxa"/>
          </w:tcPr>
          <w:p>
            <w:pPr>
              <w:spacing w:line="400" w:lineRule="exact"/>
              <w:jc w:val="center"/>
              <w:rPr>
                <w:rFonts w:ascii="宋体" w:hAnsi="宋体" w:cs="宋体"/>
                <w:bCs/>
                <w:color w:val="auto"/>
                <w:sz w:val="24"/>
                <w:szCs w:val="24"/>
                <w:highlight w:val="none"/>
              </w:rPr>
            </w:pPr>
          </w:p>
        </w:tc>
        <w:tc>
          <w:tcPr>
            <w:tcW w:w="1082" w:type="dxa"/>
          </w:tcPr>
          <w:p>
            <w:pPr>
              <w:spacing w:line="400" w:lineRule="exact"/>
              <w:jc w:val="center"/>
              <w:rPr>
                <w:rFonts w:ascii="宋体" w:hAnsi="宋体" w:cs="宋体"/>
                <w:bCs/>
                <w:color w:val="auto"/>
                <w:sz w:val="24"/>
                <w:szCs w:val="24"/>
                <w:highlight w:val="none"/>
              </w:rPr>
            </w:pPr>
          </w:p>
        </w:tc>
      </w:tr>
    </w:tbl>
    <w:p>
      <w:pPr>
        <w:wordWrap w:val="0"/>
        <w:topLinePunct/>
        <w:spacing w:line="360" w:lineRule="auto"/>
        <w:rPr>
          <w:rFonts w:ascii="宋体" w:hAnsi="宋体"/>
          <w:color w:val="auto"/>
          <w:sz w:val="24"/>
          <w:highlight w:val="none"/>
        </w:rPr>
      </w:pPr>
      <w:r>
        <w:rPr>
          <w:rFonts w:hint="eastAsia" w:ascii="宋体" w:hAnsi="宋体"/>
          <w:color w:val="auto"/>
          <w:sz w:val="24"/>
          <w:highlight w:val="none"/>
        </w:rPr>
        <w:t>备注：招标项目对人员有要求的，在本表下方附相关证件复印件。</w:t>
      </w:r>
    </w:p>
    <w:p>
      <w:pPr>
        <w:spacing w:line="400" w:lineRule="exact"/>
        <w:rPr>
          <w:rFonts w:ascii="宋体" w:hAnsi="宋体"/>
          <w:bCs/>
          <w:color w:val="auto"/>
          <w:sz w:val="24"/>
          <w:szCs w:val="24"/>
          <w:highlight w:val="none"/>
        </w:rPr>
      </w:pPr>
    </w:p>
    <w:p>
      <w:pPr>
        <w:wordWrap w:val="0"/>
        <w:topLinePunct/>
        <w:spacing w:line="360" w:lineRule="auto"/>
        <w:rPr>
          <w:rFonts w:ascii="宋体" w:hAnsi="宋体"/>
          <w:bCs/>
          <w:color w:val="auto"/>
          <w:sz w:val="24"/>
          <w:highlight w:val="none"/>
        </w:rPr>
      </w:pPr>
    </w:p>
    <w:p>
      <w:pPr>
        <w:widowControl/>
        <w:jc w:val="left"/>
        <w:rPr>
          <w:rFonts w:ascii="宋体" w:hAnsi="宋体"/>
          <w:bCs/>
          <w:color w:val="auto"/>
          <w:sz w:val="24"/>
          <w:highlight w:val="none"/>
        </w:rPr>
      </w:pPr>
      <w:r>
        <w:rPr>
          <w:rFonts w:ascii="宋体" w:hAnsi="宋体"/>
          <w:bCs/>
          <w:color w:val="auto"/>
          <w:sz w:val="24"/>
          <w:highlight w:val="none"/>
        </w:rPr>
        <w:br w:type="page"/>
      </w:r>
    </w:p>
    <w:p>
      <w:pPr>
        <w:jc w:val="center"/>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二</w:t>
      </w:r>
      <w:r>
        <w:rPr>
          <w:rFonts w:hint="eastAsia" w:ascii="宋体" w:hAnsi="宋体"/>
          <w:b/>
          <w:bCs/>
          <w:color w:val="auto"/>
          <w:sz w:val="24"/>
          <w:highlight w:val="none"/>
        </w:rPr>
        <w:t>）投标人类似项目业绩一览表</w:t>
      </w:r>
    </w:p>
    <w:p>
      <w:pPr>
        <w:topLinePunct/>
        <w:spacing w:line="360" w:lineRule="auto"/>
        <w:ind w:firstLine="600" w:firstLineChars="25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第XX包</w:t>
      </w:r>
    </w:p>
    <w:p>
      <w:pPr>
        <w:pStyle w:val="10"/>
      </w:pPr>
    </w:p>
    <w:tbl>
      <w:tblPr>
        <w:tblStyle w:val="24"/>
        <w:tblW w:w="82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166"/>
        <w:gridCol w:w="1344"/>
        <w:gridCol w:w="1127"/>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4" w:space="0"/>
              <w:left w:val="single" w:color="auto" w:sz="4" w:space="0"/>
              <w:bottom w:val="single" w:color="auto" w:sz="6" w:space="0"/>
              <w:right w:val="single" w:color="auto" w:sz="6" w:space="0"/>
            </w:tcBorders>
            <w:vAlign w:val="center"/>
          </w:tcPr>
          <w:p>
            <w:pPr>
              <w:wordWrap w:val="0"/>
              <w:topLinePunct/>
              <w:spacing w:line="400" w:lineRule="exact"/>
              <w:ind w:firstLine="120" w:firstLineChars="50"/>
              <w:rPr>
                <w:rFonts w:ascii="宋体" w:hAnsi="宋体" w:cs="Arial"/>
                <w:b/>
                <w:color w:val="auto"/>
                <w:sz w:val="24"/>
                <w:szCs w:val="24"/>
                <w:highlight w:val="none"/>
              </w:rPr>
            </w:pPr>
            <w:r>
              <w:rPr>
                <w:rFonts w:hint="eastAsia" w:ascii="宋体" w:hAnsi="宋体" w:cs="Arial"/>
                <w:b/>
                <w:color w:val="auto"/>
                <w:sz w:val="24"/>
                <w:szCs w:val="24"/>
                <w:highlight w:val="none"/>
              </w:rPr>
              <w:t>年份</w:t>
            </w:r>
          </w:p>
        </w:tc>
        <w:tc>
          <w:tcPr>
            <w:tcW w:w="1440"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b/>
                <w:color w:val="auto"/>
                <w:sz w:val="24"/>
                <w:szCs w:val="24"/>
                <w:highlight w:val="none"/>
              </w:rPr>
            </w:pPr>
            <w:r>
              <w:rPr>
                <w:rFonts w:hint="eastAsia" w:ascii="宋体" w:hAnsi="宋体" w:cs="Arial"/>
                <w:b/>
                <w:color w:val="auto"/>
                <w:sz w:val="24"/>
                <w:szCs w:val="24"/>
                <w:highlight w:val="none"/>
              </w:rPr>
              <w:t>用户名称</w:t>
            </w:r>
          </w:p>
        </w:tc>
        <w:tc>
          <w:tcPr>
            <w:tcW w:w="1320"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b/>
                <w:color w:val="auto"/>
                <w:sz w:val="24"/>
                <w:szCs w:val="24"/>
                <w:highlight w:val="none"/>
              </w:rPr>
            </w:pPr>
            <w:r>
              <w:rPr>
                <w:rFonts w:hint="eastAsia" w:ascii="宋体" w:hAnsi="宋体" w:cs="Arial"/>
                <w:b/>
                <w:color w:val="auto"/>
                <w:sz w:val="24"/>
                <w:szCs w:val="24"/>
                <w:highlight w:val="none"/>
              </w:rPr>
              <w:t>项目名称</w:t>
            </w:r>
          </w:p>
        </w:tc>
        <w:tc>
          <w:tcPr>
            <w:tcW w:w="1161"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b/>
                <w:color w:val="auto"/>
                <w:sz w:val="24"/>
                <w:szCs w:val="24"/>
                <w:highlight w:val="none"/>
              </w:rPr>
            </w:pPr>
            <w:r>
              <w:rPr>
                <w:rFonts w:hint="eastAsia" w:ascii="宋体" w:hAnsi="宋体" w:cs="Arial"/>
                <w:b/>
                <w:color w:val="auto"/>
                <w:sz w:val="24"/>
                <w:szCs w:val="24"/>
                <w:highlight w:val="none"/>
              </w:rPr>
              <w:t>合同签定时间</w:t>
            </w:r>
          </w:p>
        </w:tc>
        <w:tc>
          <w:tcPr>
            <w:tcW w:w="1166" w:type="dxa"/>
            <w:tcBorders>
              <w:top w:val="single" w:color="auto" w:sz="4" w:space="0"/>
              <w:left w:val="single" w:color="auto" w:sz="6" w:space="0"/>
              <w:bottom w:val="single" w:color="auto" w:sz="6" w:space="0"/>
              <w:right w:val="single" w:color="auto" w:sz="6" w:space="0"/>
            </w:tcBorders>
          </w:tcPr>
          <w:p>
            <w:pPr>
              <w:topLinePunct/>
              <w:spacing w:line="400" w:lineRule="exact"/>
              <w:ind w:firstLine="120" w:firstLineChars="50"/>
              <w:jc w:val="center"/>
              <w:rPr>
                <w:rFonts w:ascii="宋体" w:hAnsi="宋体" w:cs="Arial"/>
                <w:b/>
                <w:color w:val="auto"/>
                <w:sz w:val="24"/>
                <w:szCs w:val="24"/>
                <w:highlight w:val="none"/>
              </w:rPr>
            </w:pPr>
            <w:r>
              <w:rPr>
                <w:rFonts w:hint="eastAsia" w:ascii="宋体" w:hAnsi="宋体" w:cs="Arial"/>
                <w:b/>
                <w:color w:val="auto"/>
                <w:sz w:val="24"/>
                <w:szCs w:val="24"/>
                <w:highlight w:val="none"/>
              </w:rPr>
              <w:t>合同完成时间</w:t>
            </w:r>
          </w:p>
        </w:tc>
        <w:tc>
          <w:tcPr>
            <w:tcW w:w="1344"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ind w:firstLine="120" w:firstLineChars="50"/>
              <w:rPr>
                <w:rFonts w:ascii="宋体" w:hAnsi="宋体" w:cs="Arial"/>
                <w:b/>
                <w:color w:val="auto"/>
                <w:sz w:val="24"/>
                <w:szCs w:val="24"/>
                <w:highlight w:val="none"/>
              </w:rPr>
            </w:pPr>
            <w:r>
              <w:rPr>
                <w:rFonts w:hint="eastAsia" w:ascii="宋体" w:hAnsi="宋体" w:cs="Arial"/>
                <w:b/>
                <w:color w:val="auto"/>
                <w:sz w:val="24"/>
                <w:szCs w:val="24"/>
                <w:highlight w:val="none"/>
              </w:rPr>
              <w:t>合同金额</w:t>
            </w:r>
          </w:p>
        </w:tc>
        <w:tc>
          <w:tcPr>
            <w:tcW w:w="1127" w:type="dxa"/>
            <w:tcBorders>
              <w:top w:val="single" w:color="auto" w:sz="4"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b/>
                <w:color w:val="auto"/>
                <w:sz w:val="24"/>
                <w:szCs w:val="24"/>
                <w:highlight w:val="none"/>
              </w:rPr>
            </w:pPr>
            <w:r>
              <w:rPr>
                <w:rFonts w:hint="eastAsia" w:ascii="宋体" w:hAnsi="宋体" w:cs="Arial"/>
                <w:b/>
                <w:color w:val="auto"/>
                <w:sz w:val="24"/>
                <w:szCs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27"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27"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27"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27"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600" w:hRule="atLeast"/>
          <w:jc w:val="center"/>
        </w:trPr>
        <w:tc>
          <w:tcPr>
            <w:tcW w:w="720"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440"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320"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161"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166" w:type="dxa"/>
            <w:tcBorders>
              <w:top w:val="single" w:color="auto" w:sz="6" w:space="0"/>
              <w:left w:val="single" w:color="auto" w:sz="4" w:space="0"/>
              <w:bottom w:val="single" w:color="auto" w:sz="6" w:space="0"/>
              <w:right w:val="single" w:color="auto" w:sz="4" w:space="0"/>
            </w:tcBorders>
          </w:tcPr>
          <w:p>
            <w:pPr>
              <w:wordWrap w:val="0"/>
              <w:topLinePunct/>
              <w:spacing w:line="400" w:lineRule="exact"/>
              <w:rPr>
                <w:rFonts w:ascii="宋体" w:hAnsi="宋体" w:cs="Arial"/>
                <w:color w:val="auto"/>
                <w:sz w:val="24"/>
                <w:szCs w:val="24"/>
                <w:highlight w:val="none"/>
              </w:rPr>
            </w:pPr>
          </w:p>
        </w:tc>
        <w:tc>
          <w:tcPr>
            <w:tcW w:w="1344"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127"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6"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top w:val="single" w:color="auto" w:sz="6" w:space="0"/>
              <w:left w:val="single" w:color="auto" w:sz="4" w:space="0"/>
              <w:bottom w:val="single" w:color="auto" w:sz="4"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440" w:type="dxa"/>
            <w:tcBorders>
              <w:top w:val="single" w:color="auto" w:sz="6" w:space="0"/>
              <w:left w:val="single" w:color="auto" w:sz="6" w:space="0"/>
              <w:bottom w:val="single" w:color="auto" w:sz="4"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320" w:type="dxa"/>
            <w:tcBorders>
              <w:top w:val="single" w:color="auto" w:sz="6" w:space="0"/>
              <w:left w:val="single" w:color="auto" w:sz="6" w:space="0"/>
              <w:bottom w:val="single" w:color="auto" w:sz="4"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1" w:type="dxa"/>
            <w:tcBorders>
              <w:top w:val="single" w:color="auto" w:sz="6" w:space="0"/>
              <w:left w:val="single" w:color="auto" w:sz="6" w:space="0"/>
              <w:bottom w:val="single" w:color="auto" w:sz="4" w:space="0"/>
              <w:right w:val="single" w:color="auto" w:sz="6" w:space="0"/>
            </w:tcBorders>
            <w:vAlign w:val="center"/>
          </w:tcPr>
          <w:p>
            <w:pPr>
              <w:wordWrap w:val="0"/>
              <w:topLinePunct/>
              <w:spacing w:line="400" w:lineRule="exact"/>
              <w:jc w:val="center"/>
              <w:rPr>
                <w:rFonts w:ascii="宋体" w:hAnsi="宋体" w:cs="Arial"/>
                <w:color w:val="auto"/>
                <w:sz w:val="24"/>
                <w:szCs w:val="24"/>
                <w:highlight w:val="none"/>
              </w:rPr>
            </w:pPr>
          </w:p>
        </w:tc>
        <w:tc>
          <w:tcPr>
            <w:tcW w:w="1166" w:type="dxa"/>
            <w:tcBorders>
              <w:top w:val="single" w:color="auto" w:sz="6" w:space="0"/>
              <w:left w:val="single" w:color="auto" w:sz="6" w:space="0"/>
              <w:bottom w:val="single" w:color="auto" w:sz="4" w:space="0"/>
              <w:right w:val="single" w:color="auto" w:sz="6" w:space="0"/>
            </w:tcBorders>
          </w:tcPr>
          <w:p>
            <w:pPr>
              <w:wordWrap w:val="0"/>
              <w:topLinePunct/>
              <w:spacing w:line="400" w:lineRule="exact"/>
              <w:jc w:val="center"/>
              <w:rPr>
                <w:rFonts w:ascii="宋体" w:hAnsi="宋体" w:cs="Arial"/>
                <w:color w:val="auto"/>
                <w:sz w:val="24"/>
                <w:szCs w:val="24"/>
                <w:highlight w:val="none"/>
              </w:rPr>
            </w:pPr>
          </w:p>
        </w:tc>
        <w:tc>
          <w:tcPr>
            <w:tcW w:w="1344" w:type="dxa"/>
            <w:tcBorders>
              <w:top w:val="single" w:color="auto" w:sz="6" w:space="0"/>
              <w:left w:val="single" w:color="auto" w:sz="6" w:space="0"/>
              <w:bottom w:val="single" w:color="auto" w:sz="4"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c>
          <w:tcPr>
            <w:tcW w:w="1136" w:type="dxa"/>
            <w:gridSpan w:val="2"/>
            <w:tcBorders>
              <w:top w:val="single" w:color="auto" w:sz="6"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cs="Arial"/>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wordWrap w:val="0"/>
        <w:topLinePunct/>
        <w:spacing w:line="400" w:lineRule="exact"/>
        <w:ind w:left="359" w:leftChars="171"/>
        <w:rPr>
          <w:rFonts w:ascii="宋体" w:hAnsi="宋体" w:cs="Arial"/>
          <w:b/>
          <w:bCs/>
          <w:color w:val="auto"/>
          <w:sz w:val="24"/>
          <w:szCs w:val="24"/>
          <w:highlight w:val="none"/>
        </w:rPr>
      </w:pPr>
    </w:p>
    <w:p>
      <w:pPr>
        <w:tabs>
          <w:tab w:val="left" w:pos="555"/>
          <w:tab w:val="left" w:pos="2214"/>
          <w:tab w:val="left" w:pos="3774"/>
          <w:tab w:val="left" w:pos="4854"/>
          <w:tab w:val="left" w:pos="5934"/>
          <w:tab w:val="left" w:pos="7014"/>
          <w:tab w:val="left" w:pos="8214"/>
          <w:tab w:val="left" w:pos="10134"/>
          <w:tab w:val="left" w:pos="11124"/>
        </w:tabs>
        <w:wordWrap w:val="0"/>
        <w:topLinePunct/>
        <w:spacing w:line="400" w:lineRule="exact"/>
        <w:ind w:left="359" w:leftChars="171"/>
        <w:rPr>
          <w:rFonts w:ascii="宋体" w:hAnsi="宋体" w:cs="Arial"/>
          <w:color w:val="auto"/>
          <w:sz w:val="24"/>
          <w:szCs w:val="24"/>
          <w:highlight w:val="none"/>
        </w:rPr>
      </w:pPr>
      <w:r>
        <w:rPr>
          <w:rFonts w:hint="eastAsia" w:ascii="宋体" w:hAnsi="宋体" w:cs="Arial"/>
          <w:b/>
          <w:bCs/>
          <w:color w:val="auto"/>
          <w:sz w:val="24"/>
          <w:szCs w:val="24"/>
          <w:highlight w:val="none"/>
        </w:rPr>
        <w:t>附：</w:t>
      </w:r>
      <w:r>
        <w:rPr>
          <w:rFonts w:hint="eastAsia" w:ascii="宋体" w:hAnsi="宋体" w:cs="Arial"/>
          <w:color w:val="auto"/>
          <w:sz w:val="24"/>
          <w:szCs w:val="24"/>
          <w:highlight w:val="none"/>
        </w:rPr>
        <w:t>1、提供合同原件的复印件（如评分细则与该附注不一致以评分细则为准）。</w:t>
      </w:r>
    </w:p>
    <w:p>
      <w:pPr>
        <w:wordWrap w:val="0"/>
        <w:topLinePunct/>
        <w:spacing w:line="360" w:lineRule="auto"/>
        <w:ind w:firstLine="720" w:firstLineChars="300"/>
        <w:rPr>
          <w:rFonts w:ascii="宋体" w:hAnsi="宋体"/>
          <w:color w:val="auto"/>
          <w:sz w:val="24"/>
          <w:szCs w:val="24"/>
          <w:highlight w:val="none"/>
        </w:rPr>
      </w:pPr>
      <w:r>
        <w:rPr>
          <w:rFonts w:hint="eastAsia" w:ascii="宋体" w:hAnsi="宋体" w:cs="Arial"/>
          <w:color w:val="auto"/>
          <w:sz w:val="24"/>
          <w:szCs w:val="24"/>
          <w:highlight w:val="none"/>
        </w:rPr>
        <w:t xml:space="preserve">  2、如评分细则中对业绩时间没有明确规定的，以合同签订时间为准</w:t>
      </w:r>
      <w:r>
        <w:rPr>
          <w:rFonts w:hint="eastAsia" w:ascii="宋体" w:hAnsi="宋体"/>
          <w:color w:val="auto"/>
          <w:sz w:val="24"/>
          <w:szCs w:val="24"/>
          <w:highlight w:val="none"/>
        </w:rPr>
        <w:t>。</w:t>
      </w:r>
    </w:p>
    <w:p>
      <w:pPr>
        <w:wordWrap w:val="0"/>
        <w:topLinePunct/>
        <w:spacing w:line="360" w:lineRule="auto"/>
        <w:ind w:firstLine="600" w:firstLineChars="250"/>
        <w:rPr>
          <w:rFonts w:ascii="宋体" w:hAnsi="宋体"/>
          <w:color w:val="auto"/>
          <w:sz w:val="24"/>
          <w:highlight w:val="none"/>
        </w:rPr>
      </w:pPr>
    </w:p>
    <w:p>
      <w:pPr>
        <w:widowControl/>
        <w:jc w:val="left"/>
        <w:rPr>
          <w:rFonts w:ascii="宋体" w:hAnsi="宋体"/>
          <w:color w:val="auto"/>
          <w:sz w:val="24"/>
          <w:highlight w:val="none"/>
        </w:rPr>
      </w:pPr>
      <w:r>
        <w:rPr>
          <w:rFonts w:ascii="宋体" w:hAnsi="宋体"/>
          <w:color w:val="auto"/>
          <w:sz w:val="24"/>
          <w:highlight w:val="none"/>
        </w:rPr>
        <w:br w:type="page"/>
      </w:r>
    </w:p>
    <w:p>
      <w:pPr>
        <w:jc w:val="center"/>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三</w:t>
      </w:r>
      <w:r>
        <w:rPr>
          <w:rFonts w:hint="eastAsia" w:ascii="宋体" w:hAnsi="宋体"/>
          <w:b/>
          <w:bCs/>
          <w:color w:val="auto"/>
          <w:sz w:val="24"/>
          <w:highlight w:val="none"/>
        </w:rPr>
        <w:t>）中小企业声明函</w:t>
      </w:r>
    </w:p>
    <w:p>
      <w:pPr>
        <w:jc w:val="center"/>
        <w:rPr>
          <w:rFonts w:ascii="宋体" w:hAnsi="宋体"/>
          <w:b/>
          <w:bCs/>
          <w:color w:val="auto"/>
          <w:sz w:val="24"/>
          <w:highlight w:val="none"/>
        </w:rPr>
      </w:pPr>
    </w:p>
    <w:p>
      <w:pPr>
        <w:spacing w:before="31" w:beforeLines="10" w:after="31" w:afterLines="10" w:line="360" w:lineRule="auto"/>
        <w:ind w:firstLine="504" w:firstLineChars="200"/>
        <w:rPr>
          <w:rFonts w:hint="eastAsia" w:ascii="宋体" w:cs="宋体"/>
          <w:bCs/>
          <w:spacing w:val="6"/>
          <w:sz w:val="24"/>
          <w:szCs w:val="24"/>
          <w:lang w:bidi="ar-SA"/>
        </w:rPr>
      </w:pPr>
      <w:r>
        <w:rPr>
          <w:rFonts w:hint="eastAsia" w:ascii="宋体" w:cs="宋体"/>
          <w:bCs/>
          <w:spacing w:val="6"/>
          <w:sz w:val="24"/>
          <w:szCs w:val="24"/>
          <w:lang w:bidi="ar-SA"/>
        </w:rPr>
        <w:t>本公司（联合体）</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郑重声明，根据《政府采购促进中小企业发展管理办法》（财库﹝2020﹞46 号）的规定，本公司（联合体）</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参加（</w:t>
      </w:r>
      <w:r>
        <w:rPr>
          <w:rFonts w:hint="eastAsia" w:ascii="宋体" w:cs="宋体"/>
          <w:bCs/>
          <w:spacing w:val="6"/>
          <w:sz w:val="24"/>
          <w:szCs w:val="24"/>
          <w:lang w:eastAsia="zh-CN" w:bidi="ar-SA"/>
        </w:rPr>
        <w:t>采购</w:t>
      </w:r>
      <w:r>
        <w:rPr>
          <w:rFonts w:hint="eastAsia" w:ascii="宋体" w:cs="宋体"/>
          <w:bCs/>
          <w:spacing w:val="6"/>
          <w:sz w:val="24"/>
          <w:szCs w:val="24"/>
          <w:lang w:bidi="ar-SA"/>
        </w:rPr>
        <w:t>单位名称）</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的（项目名称）</w:t>
      </w:r>
      <w:r>
        <w:rPr>
          <w:rFonts w:hint="eastAsia" w:ascii="宋体" w:cs="宋体"/>
          <w:bCs/>
          <w:spacing w:val="6"/>
          <w:sz w:val="24"/>
          <w:szCs w:val="24"/>
          <w:lang w:eastAsia="zh-CN" w:bidi="ar-SA"/>
        </w:rPr>
        <w:t>（</w:t>
      </w:r>
      <w:r>
        <w:rPr>
          <w:rFonts w:hint="eastAsia" w:ascii="宋体" w:cs="宋体"/>
          <w:bCs/>
          <w:spacing w:val="6"/>
          <w:sz w:val="24"/>
          <w:szCs w:val="24"/>
          <w:lang w:val="en-US" w:eastAsia="zh-CN" w:bidi="ar-SA"/>
        </w:rPr>
        <w:t>第  包</w:t>
      </w:r>
      <w:r>
        <w:rPr>
          <w:rFonts w:hint="eastAsia" w:ascii="宋体" w:cs="宋体"/>
          <w:bCs/>
          <w:spacing w:val="6"/>
          <w:sz w:val="24"/>
          <w:szCs w:val="24"/>
          <w:lang w:eastAsia="zh-CN" w:bidi="ar-SA"/>
        </w:rPr>
        <w:t>）</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采购活动，提供的货物全部由符合政策要求的中小企业制造。相关企业（含联合体中的中小企业、签订分包意向协议的中小企业）的具体情况如下：</w:t>
      </w: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1. （标的名称）</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 xml:space="preserve"> ，属于</w:t>
      </w:r>
      <w:r>
        <w:rPr>
          <w:rFonts w:hint="eastAsia" w:ascii="宋体" w:cs="宋体"/>
          <w:bCs/>
          <w:spacing w:val="6"/>
          <w:sz w:val="24"/>
          <w:szCs w:val="24"/>
          <w:u w:val="single"/>
          <w:lang w:val="en-US" w:eastAsia="zh-CN" w:bidi="ar-SA"/>
        </w:rPr>
        <w:t xml:space="preserve"> 其他未列明 </w:t>
      </w:r>
      <w:r>
        <w:rPr>
          <w:rFonts w:hint="eastAsia" w:ascii="宋体" w:cs="宋体"/>
          <w:bCs/>
          <w:spacing w:val="6"/>
          <w:sz w:val="24"/>
          <w:szCs w:val="24"/>
          <w:lang w:bidi="ar-SA"/>
        </w:rPr>
        <w:t>行业；制造商为（企业名称）</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，从业人员</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人，营业收入为</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万元，资产总额为</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万元，属于</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（中型企业、小型企业、微型企业）；</w:t>
      </w: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2. （标的名称）</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 xml:space="preserve"> ，属于</w:t>
      </w:r>
      <w:r>
        <w:rPr>
          <w:rFonts w:hint="eastAsia" w:ascii="宋体" w:cs="宋体"/>
          <w:bCs/>
          <w:spacing w:val="6"/>
          <w:sz w:val="24"/>
          <w:szCs w:val="24"/>
          <w:u w:val="single"/>
          <w:lang w:val="en-US" w:eastAsia="zh-CN" w:bidi="ar-SA"/>
        </w:rPr>
        <w:t xml:space="preserve"> 其他未列明 </w:t>
      </w:r>
      <w:r>
        <w:rPr>
          <w:rFonts w:hint="eastAsia" w:ascii="宋体" w:cs="宋体"/>
          <w:bCs/>
          <w:spacing w:val="6"/>
          <w:sz w:val="24"/>
          <w:szCs w:val="24"/>
          <w:lang w:bidi="ar-SA"/>
        </w:rPr>
        <w:t>行业；制造商为（企业名称）</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，从业人员</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人，营业收入为</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万元，资产总额为</w:t>
      </w:r>
      <w:r>
        <w:rPr>
          <w:rFonts w:hint="eastAsia" w:ascii="宋体" w:cs="宋体"/>
          <w:bCs/>
          <w:spacing w:val="6"/>
          <w:sz w:val="24"/>
          <w:szCs w:val="24"/>
          <w:lang w:val="en-US" w:eastAsia="zh-CN" w:bidi="ar-SA"/>
        </w:rPr>
        <w:t xml:space="preserve">  </w:t>
      </w:r>
      <w:r>
        <w:rPr>
          <w:rFonts w:hint="eastAsia" w:ascii="宋体" w:cs="宋体"/>
          <w:bCs/>
          <w:spacing w:val="6"/>
          <w:sz w:val="24"/>
          <w:szCs w:val="24"/>
          <w:lang w:bidi="ar-SA"/>
        </w:rPr>
        <w:t>万元，属于</w:t>
      </w:r>
      <w:r>
        <w:rPr>
          <w:rFonts w:hint="eastAsia" w:ascii="宋体" w:cs="宋体"/>
          <w:bCs/>
          <w:spacing w:val="6"/>
          <w:sz w:val="24"/>
          <w:szCs w:val="24"/>
          <w:u w:val="single"/>
          <w:lang w:val="en-US" w:eastAsia="zh-CN" w:bidi="ar-SA"/>
        </w:rPr>
        <w:t xml:space="preserve">   </w:t>
      </w:r>
      <w:r>
        <w:rPr>
          <w:rFonts w:hint="eastAsia" w:ascii="宋体" w:cs="宋体"/>
          <w:bCs/>
          <w:spacing w:val="6"/>
          <w:sz w:val="24"/>
          <w:szCs w:val="24"/>
          <w:lang w:bidi="ar-SA"/>
        </w:rPr>
        <w:t>（中型企业、小型企业、微型企业）；</w:t>
      </w: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w:t>
      </w: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本企业对上述声明内容的真实性负责。如有虚假，将依法承担相应责任。</w:t>
      </w:r>
    </w:p>
    <w:p>
      <w:pPr>
        <w:spacing w:before="31" w:beforeLines="10" w:after="31" w:afterLines="10" w:line="360" w:lineRule="auto"/>
        <w:rPr>
          <w:rFonts w:hint="eastAsia" w:ascii="宋体" w:cs="宋体"/>
          <w:bCs/>
          <w:spacing w:val="6"/>
          <w:sz w:val="24"/>
          <w:szCs w:val="24"/>
          <w:lang w:bidi="ar-SA"/>
        </w:rPr>
      </w:pP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企业名称（盖章）：</w:t>
      </w:r>
    </w:p>
    <w:p>
      <w:pPr>
        <w:spacing w:before="31" w:beforeLines="10" w:after="31" w:afterLines="10" w:line="360" w:lineRule="auto"/>
        <w:rPr>
          <w:rFonts w:hint="eastAsia" w:ascii="宋体" w:cs="宋体"/>
          <w:bCs/>
          <w:spacing w:val="6"/>
          <w:sz w:val="24"/>
          <w:szCs w:val="24"/>
          <w:lang w:bidi="ar-SA"/>
        </w:rPr>
      </w:pPr>
      <w:r>
        <w:rPr>
          <w:rFonts w:hint="eastAsia" w:ascii="宋体" w:cs="宋体"/>
          <w:bCs/>
          <w:spacing w:val="6"/>
          <w:sz w:val="24"/>
          <w:szCs w:val="24"/>
          <w:lang w:bidi="ar-SA"/>
        </w:rPr>
        <w:t>日期：</w:t>
      </w:r>
    </w:p>
    <w:p>
      <w:pPr>
        <w:spacing w:before="31" w:beforeLines="10" w:after="31" w:afterLines="10" w:line="360" w:lineRule="auto"/>
        <w:rPr>
          <w:rFonts w:hint="eastAsia" w:ascii="宋体" w:cs="宋体"/>
          <w:bCs/>
          <w:spacing w:val="6"/>
          <w:sz w:val="24"/>
          <w:szCs w:val="24"/>
          <w:lang w:bidi="ar-SA"/>
        </w:rPr>
      </w:pPr>
    </w:p>
    <w:p>
      <w:pPr>
        <w:spacing w:before="31" w:beforeLines="10" w:after="31" w:afterLines="10" w:line="360" w:lineRule="auto"/>
        <w:rPr>
          <w:rFonts w:hint="eastAsia" w:ascii="宋体"/>
          <w:b/>
          <w:sz w:val="24"/>
          <w:szCs w:val="24"/>
        </w:rPr>
      </w:pPr>
      <w:r>
        <w:rPr>
          <w:rFonts w:hint="eastAsia" w:ascii="宋体" w:cs="宋体"/>
          <w:b/>
          <w:spacing w:val="6"/>
          <w:sz w:val="24"/>
          <w:szCs w:val="24"/>
          <w:lang w:bidi="ar-SA"/>
        </w:rPr>
        <w:t>说明：1、</w:t>
      </w:r>
      <w:r>
        <w:rPr>
          <w:rFonts w:hint="eastAsia" w:ascii="宋体"/>
          <w:b/>
          <w:sz w:val="24"/>
          <w:szCs w:val="24"/>
        </w:rPr>
        <w:t>货物制造商、工程承担人、服务实施人以及投标人自身全部为小型和微型企业的提供本声明，如不是则不提供本声明，不影响投标人响应文件的有效性。</w:t>
      </w:r>
    </w:p>
    <w:p>
      <w:pPr>
        <w:spacing w:before="31" w:beforeLines="10" w:after="31" w:afterLines="10" w:line="360" w:lineRule="auto"/>
        <w:ind w:firstLine="630"/>
        <w:rPr>
          <w:rFonts w:hint="eastAsia" w:ascii="宋体"/>
          <w:sz w:val="24"/>
          <w:szCs w:val="24"/>
        </w:rPr>
      </w:pPr>
      <w:r>
        <w:rPr>
          <w:rFonts w:hint="eastAsia" w:ascii="宋体"/>
          <w:sz w:val="24"/>
          <w:szCs w:val="24"/>
        </w:rPr>
        <w:t>2、允许联合体投标的，</w:t>
      </w:r>
      <w:r>
        <w:rPr>
          <w:rFonts w:hint="eastAsia" w:ascii="宋体"/>
          <w:sz w:val="24"/>
          <w:szCs w:val="24"/>
          <w:lang w:val="zh-CN" w:eastAsia="zh-CN"/>
        </w:rPr>
        <w:t>如所有成员均为中小企业的由所有成员共同签署；如联合体中部分成员为中小企业的且协议合同金额占到联合体协议合同金额30%以上的，由该部分中小企业进行签署，不属于中小企业的联合体成员不签署。2家及以上签署的填写盖鲜章、签字。</w:t>
      </w:r>
    </w:p>
    <w:p>
      <w:pPr>
        <w:widowControl/>
        <w:ind w:firstLine="600" w:firstLineChars="250"/>
        <w:jc w:val="left"/>
        <w:rPr>
          <w:rFonts w:hint="eastAsia" w:ascii="宋体"/>
          <w:bCs/>
          <w:sz w:val="24"/>
          <w:szCs w:val="24"/>
        </w:rPr>
      </w:pPr>
      <w:r>
        <w:rPr>
          <w:rFonts w:hint="eastAsia" w:ascii="宋体"/>
          <w:sz w:val="24"/>
          <w:szCs w:val="24"/>
        </w:rPr>
        <w:t>3、本声明不需要提供证明材料。</w:t>
      </w:r>
    </w:p>
    <w:p>
      <w:pPr>
        <w:jc w:val="center"/>
        <w:rPr>
          <w:rFonts w:ascii="宋体" w:hAnsi="宋体"/>
          <w:b/>
          <w:bCs/>
          <w:color w:val="auto"/>
          <w:sz w:val="24"/>
          <w:highlight w:val="none"/>
        </w:rPr>
      </w:pPr>
    </w:p>
    <w:p>
      <w:pPr>
        <w:jc w:val="both"/>
        <w:rPr>
          <w:rFonts w:ascii="宋体" w:hAnsi="宋体"/>
          <w:b/>
          <w:bCs/>
          <w:color w:val="auto"/>
          <w:sz w:val="24"/>
          <w:highlight w:val="none"/>
        </w:rPr>
      </w:pPr>
    </w:p>
    <w:p>
      <w:pPr>
        <w:jc w:val="center"/>
        <w:rPr>
          <w:rFonts w:ascii="宋体" w:hAnsi="宋体"/>
          <w:b/>
          <w:bCs/>
          <w:color w:val="auto"/>
          <w:sz w:val="24"/>
          <w:highlight w:val="none"/>
        </w:rPr>
      </w:pPr>
    </w:p>
    <w:p>
      <w:pPr>
        <w:numPr>
          <w:ilvl w:val="0"/>
          <w:numId w:val="6"/>
        </w:numPr>
        <w:jc w:val="center"/>
        <w:rPr>
          <w:rFonts w:hint="eastAsia" w:ascii="宋体" w:hAnsi="宋体"/>
          <w:b/>
          <w:bCs/>
          <w:color w:val="auto"/>
          <w:sz w:val="24"/>
          <w:highlight w:val="none"/>
        </w:rPr>
      </w:pPr>
      <w:r>
        <w:rPr>
          <w:rFonts w:hint="eastAsia" w:ascii="宋体" w:hAnsi="宋体"/>
          <w:b/>
          <w:bCs/>
          <w:color w:val="auto"/>
          <w:sz w:val="24"/>
          <w:highlight w:val="none"/>
        </w:rPr>
        <w:t>监狱企业声明函</w:t>
      </w:r>
    </w:p>
    <w:p>
      <w:pPr>
        <w:pStyle w:val="33"/>
        <w:numPr>
          <w:ilvl w:val="0"/>
          <w:numId w:val="0"/>
        </w:numPr>
        <w:rPr>
          <w:rFonts w:hint="eastAsia"/>
        </w:rPr>
      </w:pPr>
    </w:p>
    <w:p>
      <w:pPr>
        <w:spacing w:line="360" w:lineRule="auto"/>
        <w:ind w:firstLine="460" w:firstLineChars="200"/>
        <w:jc w:val="left"/>
        <w:rPr>
          <w:rFonts w:hint="eastAsia" w:ascii="宋体" w:hAnsi="宋体"/>
          <w:color w:val="000000"/>
          <w:sz w:val="23"/>
        </w:rPr>
      </w:pPr>
      <w:r>
        <w:rPr>
          <w:rFonts w:hint="eastAsia" w:ascii="宋体" w:hAnsi="宋体"/>
          <w:color w:val="000000"/>
          <w:sz w:val="23"/>
        </w:rPr>
        <w:t>本公司郑重声明，据《政府采购支持监狱企业发展有关问题的通知》（财库【2014】68 号）的规定，本公司为</w:t>
      </w:r>
      <w:r>
        <w:rPr>
          <w:rFonts w:hint="eastAsia" w:ascii="宋体" w:hAnsi="宋体"/>
          <w:color w:val="000000"/>
          <w:sz w:val="23"/>
          <w:u w:val="single"/>
        </w:rPr>
        <w:t>监狱企业</w:t>
      </w:r>
      <w:r>
        <w:rPr>
          <w:rFonts w:hint="eastAsia" w:ascii="宋体" w:hAnsi="宋体"/>
          <w:color w:val="000000"/>
          <w:sz w:val="23"/>
        </w:rPr>
        <w:t>。根据上述标准，我公司属于监狱企业的理由为：</w:t>
      </w:r>
      <w:r>
        <w:rPr>
          <w:rFonts w:hint="eastAsia" w:ascii="宋体" w:hAnsi="宋体"/>
          <w:color w:val="000000"/>
          <w:sz w:val="23"/>
          <w:u w:val="single"/>
        </w:rPr>
        <w:t xml:space="preserve">              </w:t>
      </w:r>
      <w:r>
        <w:rPr>
          <w:rFonts w:hint="eastAsia" w:ascii="宋体" w:hAnsi="宋体"/>
          <w:color w:val="000000"/>
          <w:sz w:val="23"/>
        </w:rPr>
        <w:t>。 本公司参加</w:t>
      </w:r>
      <w:r>
        <w:rPr>
          <w:rFonts w:hint="eastAsia" w:ascii="宋体" w:hAnsi="宋体"/>
          <w:color w:val="000000"/>
          <w:sz w:val="23"/>
          <w:u w:val="single"/>
        </w:rPr>
        <w:t xml:space="preserve"> （单位名称）  </w:t>
      </w:r>
      <w:r>
        <w:rPr>
          <w:rFonts w:hint="eastAsia" w:ascii="宋体" w:hAnsi="宋体"/>
          <w:color w:val="000000"/>
          <w:sz w:val="23"/>
        </w:rPr>
        <w:t>单位的</w:t>
      </w:r>
      <w:r>
        <w:rPr>
          <w:rFonts w:hint="eastAsia" w:ascii="宋体" w:hAnsi="宋体"/>
          <w:color w:val="000000"/>
          <w:sz w:val="23"/>
          <w:u w:val="single"/>
        </w:rPr>
        <w:t xml:space="preserve"> （项目名称）</w:t>
      </w:r>
      <w:r>
        <w:rPr>
          <w:rFonts w:hint="eastAsia" w:ascii="宋体" w:hAnsi="宋体"/>
          <w:color w:val="000000"/>
          <w:sz w:val="23"/>
          <w:u w:val="single"/>
          <w:lang w:eastAsia="zh-CN"/>
        </w:rPr>
        <w:t>（</w:t>
      </w:r>
      <w:r>
        <w:rPr>
          <w:rFonts w:hint="eastAsia" w:ascii="宋体" w:hAnsi="宋体"/>
          <w:color w:val="000000"/>
          <w:sz w:val="23"/>
          <w:u w:val="single"/>
          <w:lang w:val="en-US" w:eastAsia="zh-CN"/>
        </w:rPr>
        <w:t>第  包</w:t>
      </w:r>
      <w:r>
        <w:rPr>
          <w:rFonts w:hint="eastAsia" w:ascii="宋体" w:hAnsi="宋体"/>
          <w:color w:val="000000"/>
          <w:sz w:val="23"/>
          <w:u w:val="single"/>
          <w:lang w:eastAsia="zh-CN"/>
        </w:rPr>
        <w:t>）</w:t>
      </w:r>
      <w:r>
        <w:rPr>
          <w:rFonts w:hint="eastAsia" w:ascii="宋体" w:hAnsi="宋体"/>
          <w:color w:val="000000"/>
          <w:sz w:val="23"/>
          <w:u w:val="single"/>
        </w:rPr>
        <w:t xml:space="preserve"> </w:t>
      </w:r>
      <w:r>
        <w:rPr>
          <w:rFonts w:hint="eastAsia" w:ascii="宋体" w:hAnsi="宋体"/>
          <w:color w:val="000000"/>
          <w:sz w:val="23"/>
        </w:rPr>
        <w:t>项目（</w:t>
      </w:r>
      <w:r>
        <w:rPr>
          <w:rFonts w:hint="eastAsia" w:ascii="宋体" w:hAnsi="宋体"/>
          <w:color w:val="000000"/>
          <w:sz w:val="23"/>
          <w:u w:val="single"/>
        </w:rPr>
        <w:t xml:space="preserve">招标编号：       </w:t>
      </w:r>
      <w:r>
        <w:rPr>
          <w:rFonts w:hint="eastAsia" w:ascii="宋体" w:hAnsi="宋体"/>
          <w:color w:val="000000"/>
          <w:sz w:val="23"/>
        </w:rPr>
        <w:t xml:space="preserve">）采购活动提供本企业的服务。 </w:t>
      </w:r>
    </w:p>
    <w:p>
      <w:pPr>
        <w:spacing w:line="360" w:lineRule="auto"/>
        <w:ind w:firstLine="460" w:firstLineChars="200"/>
        <w:jc w:val="left"/>
        <w:rPr>
          <w:rFonts w:hint="eastAsia" w:ascii="宋体" w:hAnsi="宋体"/>
          <w:color w:val="000000"/>
          <w:sz w:val="23"/>
        </w:rPr>
      </w:pPr>
      <w:r>
        <w:rPr>
          <w:rFonts w:hint="eastAsia" w:ascii="宋体" w:hAnsi="宋体"/>
          <w:color w:val="000000"/>
          <w:sz w:val="23"/>
        </w:rPr>
        <w:t xml:space="preserve">本公司对上述声明的真实性负责。如有虚假，将依法承担相应责任。 </w:t>
      </w:r>
    </w:p>
    <w:p>
      <w:pPr>
        <w:spacing w:line="360" w:lineRule="auto"/>
        <w:ind w:firstLine="460" w:firstLineChars="200"/>
        <w:jc w:val="left"/>
        <w:rPr>
          <w:rFonts w:hint="eastAsia" w:ascii="宋体" w:hAnsi="宋体"/>
          <w:color w:val="000000"/>
          <w:sz w:val="23"/>
        </w:rPr>
      </w:pPr>
    </w:p>
    <w:p>
      <w:pPr>
        <w:spacing w:line="360" w:lineRule="auto"/>
        <w:ind w:firstLine="460" w:firstLineChars="200"/>
        <w:jc w:val="left"/>
        <w:rPr>
          <w:rFonts w:hint="eastAsia" w:ascii="宋体" w:hAnsi="宋体"/>
          <w:color w:val="000000"/>
          <w:sz w:val="23"/>
        </w:rPr>
      </w:pPr>
      <w:r>
        <w:rPr>
          <w:rFonts w:hint="eastAsia" w:ascii="宋体" w:hAnsi="宋体"/>
          <w:color w:val="000000"/>
          <w:sz w:val="23"/>
        </w:rPr>
        <w:t xml:space="preserve"> </w:t>
      </w:r>
    </w:p>
    <w:p>
      <w:pPr>
        <w:spacing w:line="360" w:lineRule="auto"/>
        <w:ind w:firstLine="460" w:firstLineChars="200"/>
        <w:jc w:val="left"/>
        <w:rPr>
          <w:rFonts w:hint="eastAsia" w:ascii="宋体" w:hAnsi="宋体"/>
          <w:color w:val="000000"/>
          <w:sz w:val="23"/>
        </w:rPr>
      </w:pPr>
    </w:p>
    <w:p>
      <w:pPr>
        <w:spacing w:line="360" w:lineRule="auto"/>
        <w:ind w:firstLine="460" w:firstLineChars="200"/>
        <w:jc w:val="left"/>
        <w:rPr>
          <w:rFonts w:hint="eastAsia" w:ascii="宋体" w:hAnsi="宋体"/>
          <w:color w:val="000000"/>
          <w:sz w:val="23"/>
        </w:rPr>
      </w:pPr>
    </w:p>
    <w:p>
      <w:pPr>
        <w:spacing w:line="360" w:lineRule="auto"/>
        <w:ind w:firstLine="460" w:firstLineChars="200"/>
        <w:jc w:val="left"/>
        <w:rPr>
          <w:rFonts w:hint="eastAsia" w:ascii="宋体" w:hAnsi="宋体"/>
          <w:color w:val="000000"/>
          <w:sz w:val="23"/>
        </w:rPr>
      </w:pPr>
    </w:p>
    <w:p>
      <w:pPr>
        <w:spacing w:line="360" w:lineRule="auto"/>
        <w:ind w:firstLine="460" w:firstLineChars="200"/>
        <w:jc w:val="left"/>
        <w:rPr>
          <w:rFonts w:hint="eastAsia" w:ascii="宋体" w:hAnsi="宋体"/>
          <w:color w:val="000000"/>
          <w:sz w:val="23"/>
        </w:rPr>
      </w:pPr>
    </w:p>
    <w:p>
      <w:pPr>
        <w:jc w:val="left"/>
        <w:rPr>
          <w:rFonts w:hAnsi="宋体" w:cs="仿宋"/>
          <w:sz w:val="24"/>
          <w:u w:val="single"/>
        </w:rPr>
      </w:pPr>
      <w:r>
        <w:rPr>
          <w:rFonts w:hint="eastAsia" w:hAnsi="宋体" w:cs="仿宋"/>
          <w:sz w:val="24"/>
        </w:rPr>
        <w:t>企业名称（盖章）：</w:t>
      </w:r>
      <w:r>
        <w:rPr>
          <w:rFonts w:ascii="宋体" w:hAnsi="宋体"/>
          <w:sz w:val="24"/>
          <w:u w:val="single"/>
        </w:rPr>
        <w:t xml:space="preserve">                   </w:t>
      </w:r>
      <w:r>
        <w:rPr>
          <w:rFonts w:hint="eastAsia" w:hAnsi="宋体" w:cs="仿宋"/>
          <w:sz w:val="24"/>
        </w:rPr>
        <w:t xml:space="preserve">           </w:t>
      </w:r>
    </w:p>
    <w:p>
      <w:pPr>
        <w:spacing w:before="120" w:beforeLines="50" w:after="120" w:afterLines="50" w:line="400" w:lineRule="exact"/>
        <w:rPr>
          <w:rFonts w:hint="eastAsia"/>
        </w:rPr>
      </w:pPr>
      <w:r>
        <w:rPr>
          <w:rFonts w:hint="eastAsia" w:ascii="宋体" w:hAnsi="宋体"/>
          <w:sz w:val="24"/>
        </w:rPr>
        <w:t>法定代表人/单位负责人或被授权人（签字或加盖个人印章）：</w:t>
      </w:r>
      <w:r>
        <w:rPr>
          <w:rFonts w:ascii="宋体" w:hAnsi="宋体"/>
          <w:sz w:val="24"/>
          <w:u w:val="single"/>
        </w:rPr>
        <w:t xml:space="preserve">                   </w:t>
      </w:r>
    </w:p>
    <w:p>
      <w:pPr>
        <w:jc w:val="left"/>
        <w:rPr>
          <w:rFonts w:hAnsi="宋体" w:cs="仿宋"/>
          <w:sz w:val="24"/>
          <w:u w:val="single"/>
        </w:rPr>
      </w:pPr>
      <w:r>
        <w:rPr>
          <w:rFonts w:hint="eastAsia" w:hAnsi="宋体" w:cs="仿宋"/>
          <w:sz w:val="24"/>
        </w:rPr>
        <w:t>日期：</w:t>
      </w:r>
      <w:r>
        <w:rPr>
          <w:rFonts w:ascii="宋体" w:hAnsi="宋体"/>
          <w:sz w:val="24"/>
          <w:u w:val="single"/>
        </w:rPr>
        <w:t xml:space="preserve">                   </w:t>
      </w:r>
    </w:p>
    <w:p>
      <w:pPr>
        <w:spacing w:line="360" w:lineRule="auto"/>
        <w:rPr>
          <w:rFonts w:hint="eastAsia" w:ascii="宋体" w:hAnsi="宋体"/>
          <w:color w:val="000000"/>
          <w:sz w:val="23"/>
        </w:rPr>
      </w:pPr>
    </w:p>
    <w:p>
      <w:pPr>
        <w:spacing w:line="360" w:lineRule="auto"/>
        <w:rPr>
          <w:rFonts w:hint="eastAsia" w:ascii="宋体" w:hAnsi="宋体"/>
          <w:color w:val="000000"/>
          <w:sz w:val="23"/>
        </w:rPr>
      </w:pPr>
    </w:p>
    <w:p>
      <w:pPr>
        <w:jc w:val="both"/>
        <w:rPr>
          <w:rFonts w:ascii="宋体" w:hAnsi="宋体"/>
          <w:color w:val="auto"/>
          <w:sz w:val="24"/>
          <w:highlight w:val="none"/>
        </w:rPr>
      </w:pPr>
      <w:r>
        <w:rPr>
          <w:rFonts w:hint="eastAsia" w:ascii="宋体" w:hAnsi="宋体"/>
          <w:color w:val="auto"/>
          <w:sz w:val="24"/>
          <w:highlight w:val="none"/>
        </w:rPr>
        <w:t>注：如投标人不是监狱企业不适用此声明，可不提供</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不</w:t>
      </w:r>
      <w:r>
        <w:rPr>
          <w:rFonts w:hint="eastAsia" w:ascii="宋体" w:hAnsi="宋体"/>
          <w:color w:val="auto"/>
          <w:sz w:val="24"/>
          <w:highlight w:val="none"/>
        </w:rPr>
        <w:t>影响投标人响应文件的有效性。本声明不需提供其他证明材料。</w:t>
      </w:r>
      <w:r>
        <w:rPr>
          <w:rFonts w:hint="eastAsia" w:ascii="宋体" w:hAnsi="宋体" w:cs="宋体"/>
          <w:sz w:val="22"/>
        </w:rPr>
        <w:br w:type="page"/>
      </w:r>
      <w:r>
        <w:rPr>
          <w:rFonts w:hint="eastAsia" w:ascii="宋体" w:hAnsi="宋体" w:cs="宋体"/>
          <w:sz w:val="22"/>
          <w:lang w:val="en-US" w:eastAsia="zh-CN"/>
        </w:rPr>
        <w:t xml:space="preserve">                   </w:t>
      </w:r>
      <w:r>
        <w:rPr>
          <w:rFonts w:hint="eastAsia" w:ascii="宋体" w:hAnsi="宋体"/>
          <w:b/>
          <w:bCs/>
          <w:color w:val="auto"/>
          <w:sz w:val="24"/>
          <w:highlight w:val="none"/>
        </w:rPr>
        <w:t>（十</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）残疾人福利性单位声明函</w:t>
      </w:r>
    </w:p>
    <w:p>
      <w:pPr>
        <w:spacing w:line="480" w:lineRule="auto"/>
        <w:ind w:firstLine="480" w:firstLineChars="200"/>
        <w:jc w:val="left"/>
        <w:rPr>
          <w:rFonts w:ascii="宋体" w:hAnsi="宋体"/>
          <w:color w:val="auto"/>
          <w:sz w:val="24"/>
          <w:highlight w:val="none"/>
        </w:rPr>
      </w:pPr>
    </w:p>
    <w:p>
      <w:pPr>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rPr>
        <w:t>本公司郑重声明，根据《财政部民政部中国残疾人联合会关于促进残疾人就</w:t>
      </w:r>
    </w:p>
    <w:p>
      <w:pPr>
        <w:spacing w:line="480" w:lineRule="auto"/>
        <w:jc w:val="left"/>
        <w:rPr>
          <w:rFonts w:ascii="宋体" w:hAnsi="宋体"/>
          <w:color w:val="auto"/>
          <w:sz w:val="24"/>
          <w:highlight w:val="none"/>
        </w:rPr>
      </w:pPr>
      <w:r>
        <w:rPr>
          <w:rFonts w:hint="eastAsia" w:ascii="宋体" w:hAnsi="宋体"/>
          <w:color w:val="auto"/>
          <w:sz w:val="24"/>
          <w:highlight w:val="none"/>
        </w:rPr>
        <w:t>业政府采购政策的通知》（财库【2017】141 号）的规定，本公司为符合条件的残疾人福利性单位，且本公司参加此次采购活动提供本单位制造的货物或者提供其他残疾人福利性单位制造的货物（不包括使用非残疾人福利性单位注册商标的货物）</w:t>
      </w:r>
    </w:p>
    <w:p>
      <w:pPr>
        <w:spacing w:line="480" w:lineRule="auto"/>
        <w:jc w:val="left"/>
        <w:rPr>
          <w:rFonts w:ascii="宋体" w:hAnsi="宋体"/>
          <w:color w:val="auto"/>
          <w:sz w:val="24"/>
          <w:highlight w:val="none"/>
        </w:rPr>
      </w:pPr>
    </w:p>
    <w:p>
      <w:pPr>
        <w:spacing w:line="480" w:lineRule="auto"/>
        <w:jc w:val="left"/>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480" w:lineRule="auto"/>
        <w:jc w:val="left"/>
        <w:rPr>
          <w:rFonts w:ascii="宋体" w:hAnsi="宋体"/>
          <w:color w:val="auto"/>
          <w:sz w:val="24"/>
          <w:highlight w:val="none"/>
        </w:rPr>
      </w:pPr>
    </w:p>
    <w:p>
      <w:pPr>
        <w:spacing w:line="480" w:lineRule="auto"/>
        <w:jc w:val="center"/>
        <w:rPr>
          <w:rFonts w:ascii="宋体" w:hAnsi="宋体"/>
          <w:color w:val="auto"/>
          <w:sz w:val="24"/>
          <w:highlight w:val="none"/>
        </w:rPr>
      </w:pPr>
      <w:r>
        <w:rPr>
          <w:rFonts w:hint="eastAsia" w:ascii="宋体" w:hAnsi="宋体"/>
          <w:color w:val="auto"/>
          <w:sz w:val="24"/>
          <w:highlight w:val="none"/>
        </w:rPr>
        <w:t>企业名称</w:t>
      </w:r>
      <w:r>
        <w:rPr>
          <w:rFonts w:hint="eastAsia" w:ascii="TimesNewRomanPSMT" w:hAnsi="TimesNewRomanPSMT" w:eastAsia="TimesNewRomanPSMT"/>
          <w:color w:val="auto"/>
          <w:sz w:val="24"/>
          <w:highlight w:val="none"/>
        </w:rPr>
        <w:t>(</w:t>
      </w:r>
      <w:r>
        <w:rPr>
          <w:rFonts w:hint="eastAsia" w:ascii="宋体" w:hAnsi="宋体"/>
          <w:color w:val="auto"/>
          <w:sz w:val="24"/>
          <w:highlight w:val="none"/>
        </w:rPr>
        <w:t>盖章</w:t>
      </w:r>
      <w:r>
        <w:rPr>
          <w:rFonts w:hint="eastAsia" w:ascii="TimesNewRomanPSMT" w:hAnsi="TimesNewRomanPSMT" w:eastAsia="TimesNewRomanPSMT"/>
          <w:color w:val="auto"/>
          <w:sz w:val="24"/>
          <w:highlight w:val="none"/>
        </w:rPr>
        <w:t>)</w:t>
      </w:r>
      <w:r>
        <w:rPr>
          <w:rFonts w:hint="eastAsia" w:ascii="宋体" w:hAnsi="宋体"/>
          <w:color w:val="auto"/>
          <w:sz w:val="24"/>
          <w:highlight w:val="none"/>
        </w:rPr>
        <w:t>：</w:t>
      </w:r>
    </w:p>
    <w:p>
      <w:pPr>
        <w:spacing w:line="480" w:lineRule="auto"/>
        <w:ind w:firstLine="3360" w:firstLineChars="1400"/>
        <w:rPr>
          <w:rFonts w:ascii="宋体" w:hAnsi="宋体"/>
          <w:color w:val="auto"/>
          <w:sz w:val="24"/>
          <w:highlight w:val="none"/>
        </w:rPr>
      </w:pPr>
      <w:r>
        <w:rPr>
          <w:rFonts w:hint="eastAsia" w:ascii="宋体" w:hAnsi="宋体"/>
          <w:color w:val="auto"/>
          <w:sz w:val="24"/>
          <w:highlight w:val="none"/>
        </w:rPr>
        <w:t>日期：</w:t>
      </w:r>
    </w:p>
    <w:p>
      <w:pPr>
        <w:spacing w:line="480" w:lineRule="auto"/>
        <w:ind w:firstLine="3360" w:firstLineChars="1400"/>
        <w:rPr>
          <w:rFonts w:ascii="宋体" w:hAnsi="宋体"/>
          <w:color w:val="auto"/>
          <w:sz w:val="24"/>
          <w:highlight w:val="none"/>
        </w:rPr>
      </w:pPr>
    </w:p>
    <w:p>
      <w:pPr>
        <w:spacing w:line="480" w:lineRule="auto"/>
        <w:ind w:firstLine="3360" w:firstLineChars="1400"/>
        <w:rPr>
          <w:rFonts w:ascii="宋体" w:hAnsi="宋体"/>
          <w:color w:val="auto"/>
          <w:sz w:val="24"/>
          <w:highlight w:val="none"/>
        </w:rPr>
      </w:pPr>
    </w:p>
    <w:p>
      <w:pPr>
        <w:spacing w:line="480" w:lineRule="auto"/>
        <w:ind w:firstLine="3360" w:firstLineChars="1400"/>
        <w:rPr>
          <w:rFonts w:ascii="宋体" w:hAnsi="宋体"/>
          <w:color w:val="auto"/>
          <w:sz w:val="24"/>
          <w:highlight w:val="none"/>
        </w:rPr>
      </w:pPr>
    </w:p>
    <w:p>
      <w:pPr>
        <w:spacing w:line="480" w:lineRule="auto"/>
        <w:ind w:firstLine="3360" w:firstLineChars="1400"/>
        <w:rPr>
          <w:rFonts w:ascii="宋体" w:hAnsi="宋体"/>
          <w:color w:val="auto"/>
          <w:sz w:val="24"/>
          <w:highlight w:val="none"/>
        </w:rPr>
      </w:pPr>
    </w:p>
    <w:p>
      <w:pPr>
        <w:spacing w:line="480" w:lineRule="auto"/>
        <w:jc w:val="left"/>
        <w:rPr>
          <w:rFonts w:ascii="宋体" w:hAnsi="宋体" w:cs="宋体"/>
          <w:color w:val="auto"/>
          <w:kern w:val="0"/>
          <w:sz w:val="24"/>
          <w:szCs w:val="24"/>
          <w:highlight w:val="none"/>
        </w:rPr>
      </w:pPr>
      <w:r>
        <w:rPr>
          <w:rFonts w:hint="eastAsia" w:ascii="宋体" w:hAnsi="宋体"/>
          <w:color w:val="auto"/>
          <w:sz w:val="24"/>
          <w:highlight w:val="none"/>
        </w:rPr>
        <w:t>说明：如投标人不是残疾人福利性单位则不提供本声明，不影响投标人响应文件的有效性。本声明不需提供其他证明材料。</w:t>
      </w:r>
    </w:p>
    <w:p>
      <w:pPr>
        <w:widowControl/>
        <w:jc w:val="left"/>
        <w:rPr>
          <w:rFonts w:ascii="宋体" w:hAnsi="宋体"/>
          <w:bCs/>
          <w:color w:val="auto"/>
          <w:sz w:val="36"/>
          <w:szCs w:val="36"/>
          <w:highlight w:val="none"/>
        </w:rPr>
      </w:pPr>
      <w:r>
        <w:rPr>
          <w:rFonts w:ascii="宋体" w:hAnsi="宋体"/>
          <w:bCs/>
          <w:color w:val="auto"/>
          <w:sz w:val="36"/>
          <w:szCs w:val="36"/>
          <w:highlight w:val="none"/>
        </w:rPr>
        <w:br w:type="page"/>
      </w:r>
    </w:p>
    <w:p>
      <w:pPr>
        <w:jc w:val="center"/>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五</w:t>
      </w:r>
      <w:r>
        <w:rPr>
          <w:rFonts w:hint="eastAsia" w:ascii="宋体" w:hAnsi="宋体"/>
          <w:b/>
          <w:bCs/>
          <w:color w:val="auto"/>
          <w:sz w:val="24"/>
          <w:highlight w:val="none"/>
        </w:rPr>
        <w:t>）其他材料</w:t>
      </w:r>
    </w:p>
    <w:p>
      <w:pPr>
        <w:pStyle w:val="15"/>
        <w:topLinePunct/>
        <w:spacing w:line="380" w:lineRule="exact"/>
        <w:ind w:left="420"/>
        <w:jc w:val="center"/>
        <w:rPr>
          <w:rFonts w:ascii="宋体" w:hAnsi="宋体"/>
          <w:bCs/>
          <w:color w:val="auto"/>
          <w:sz w:val="36"/>
          <w:szCs w:val="36"/>
          <w:highlight w:val="none"/>
        </w:rPr>
      </w:pPr>
    </w:p>
    <w:p>
      <w:pPr>
        <w:wordWrap w:val="0"/>
        <w:topLinePunct/>
        <w:spacing w:line="400" w:lineRule="exact"/>
        <w:ind w:firstLine="480" w:firstLineChars="200"/>
        <w:jc w:val="left"/>
        <w:rPr>
          <w:rFonts w:ascii="宋体" w:hAnsi="宋体" w:cs="Arial"/>
          <w:b/>
          <w:bCs/>
          <w:color w:val="auto"/>
          <w:sz w:val="24"/>
          <w:highlight w:val="none"/>
        </w:rPr>
      </w:pPr>
      <w:r>
        <w:rPr>
          <w:rFonts w:hint="eastAsia" w:ascii="宋体" w:hAnsi="宋体" w:cs="Arial"/>
          <w:bCs/>
          <w:color w:val="auto"/>
          <w:sz w:val="24"/>
          <w:highlight w:val="none"/>
        </w:rPr>
        <w:t>附:按照招标文件要求的其他材料以及投标人认为需要提供的其他资料。</w:t>
      </w:r>
    </w:p>
    <w:p>
      <w:pPr>
        <w:pStyle w:val="4"/>
        <w:pageBreakBefore/>
        <w:jc w:val="center"/>
        <w:rPr>
          <w:rFonts w:ascii="宋体"/>
          <w:color w:val="auto"/>
          <w:highlight w:val="none"/>
        </w:rPr>
      </w:pPr>
      <w:bookmarkStart w:id="66" w:name="_Toc16356"/>
      <w:r>
        <w:rPr>
          <w:rFonts w:hint="eastAsia" w:ascii="宋体"/>
          <w:color w:val="auto"/>
          <w:highlight w:val="none"/>
        </w:rPr>
        <w:t>第四章  招标项目技术、服务及其他要求</w:t>
      </w:r>
      <w:bookmarkEnd w:id="62"/>
      <w:bookmarkEnd w:id="63"/>
      <w:bookmarkEnd w:id="66"/>
    </w:p>
    <w:p>
      <w:pPr>
        <w:numPr>
          <w:ilvl w:val="0"/>
          <w:numId w:val="7"/>
        </w:numPr>
        <w:spacing w:before="156" w:beforeLines="50" w:after="156" w:afterLines="50" w:line="360" w:lineRule="auto"/>
        <w:outlineLvl w:val="1"/>
        <w:rPr>
          <w:rFonts w:ascii="仿宋_GB2312" w:eastAsia="仿宋_GB2312"/>
          <w:b/>
          <w:sz w:val="28"/>
          <w:szCs w:val="28"/>
        </w:rPr>
      </w:pPr>
      <w:bookmarkStart w:id="67" w:name="_Toc484268473"/>
      <w:bookmarkStart w:id="68" w:name="_Toc497397754"/>
      <w:r>
        <w:rPr>
          <w:rFonts w:hint="eastAsia" w:ascii="仿宋_GB2312" w:hAnsi="宋体" w:eastAsia="仿宋_GB2312"/>
          <w:b/>
          <w:sz w:val="28"/>
          <w:szCs w:val="28"/>
        </w:rPr>
        <w:t>项目采购清单</w:t>
      </w:r>
      <w:r>
        <w:rPr>
          <w:rFonts w:hint="eastAsia" w:ascii="仿宋_GB2312" w:hAnsi="宋体" w:eastAsia="仿宋_GB2312"/>
          <w:b/>
          <w:sz w:val="28"/>
          <w:szCs w:val="28"/>
          <w:lang w:eastAsia="zh-CN"/>
        </w:rPr>
        <w:t>、</w:t>
      </w:r>
      <w:r>
        <w:rPr>
          <w:rFonts w:hint="eastAsia" w:ascii="仿宋_GB2312" w:hAnsi="宋体" w:eastAsia="仿宋_GB2312"/>
          <w:b/>
          <w:sz w:val="28"/>
          <w:szCs w:val="28"/>
        </w:rPr>
        <w:t>参数配置</w:t>
      </w:r>
      <w:r>
        <w:rPr>
          <w:rFonts w:hint="eastAsia" w:ascii="宋体" w:hAnsi="宋体"/>
          <w:b/>
          <w:sz w:val="28"/>
          <w:szCs w:val="28"/>
        </w:rPr>
        <w:t xml:space="preserve"> </w:t>
      </w:r>
    </w:p>
    <w:p>
      <w:pPr>
        <w:numPr>
          <w:ilvl w:val="0"/>
          <w:numId w:val="0"/>
        </w:numPr>
        <w:spacing w:before="156" w:beforeLines="50" w:after="156" w:afterLines="50" w:line="360" w:lineRule="auto"/>
        <w:ind w:leftChars="0" w:firstLine="3855" w:firstLineChars="1200"/>
        <w:outlineLvl w:val="1"/>
        <w:rPr>
          <w:rFonts w:hint="eastAsia" w:ascii="宋体" w:hAnsi="宋体"/>
          <w:b/>
          <w:sz w:val="32"/>
          <w:szCs w:val="32"/>
          <w:lang w:val="en-US" w:eastAsia="zh-CN"/>
        </w:rPr>
      </w:pPr>
      <w:r>
        <w:rPr>
          <w:rFonts w:hint="eastAsia" w:ascii="宋体" w:hAnsi="宋体"/>
          <w:b/>
          <w:sz w:val="32"/>
          <w:szCs w:val="32"/>
          <w:lang w:val="en-US" w:eastAsia="zh-CN"/>
        </w:rPr>
        <w:t>包一</w:t>
      </w:r>
    </w:p>
    <w:p>
      <w:pPr>
        <w:numPr>
          <w:ilvl w:val="0"/>
          <w:numId w:val="0"/>
        </w:numPr>
        <w:spacing w:before="156" w:beforeLines="50" w:after="156" w:afterLines="50" w:line="360" w:lineRule="auto"/>
        <w:ind w:firstLine="960" w:firstLineChars="400"/>
        <w:outlineLvl w:val="1"/>
        <w:rPr>
          <w:rFonts w:hint="default" w:eastAsia="宋体"/>
          <w:lang w:val="en-US" w:eastAsia="zh-CN"/>
        </w:rPr>
      </w:pPr>
      <w:r>
        <w:rPr>
          <w:rFonts w:hint="eastAsia" w:ascii="宋体" w:hAnsi="宋体"/>
          <w:b w:val="0"/>
          <w:bCs/>
          <w:sz w:val="24"/>
          <w:szCs w:val="24"/>
          <w:lang w:val="en-US" w:eastAsia="zh-CN"/>
        </w:rPr>
        <w:t>（</w:t>
      </w:r>
      <w:r>
        <w:rPr>
          <w:rFonts w:hint="eastAsia" w:ascii="宋体" w:cs="宋体"/>
          <w:b w:val="0"/>
          <w:bCs/>
          <w:color w:val="auto"/>
          <w:sz w:val="24"/>
          <w:szCs w:val="24"/>
          <w:highlight w:val="none"/>
          <w:lang w:val="en-US" w:eastAsia="zh-CN"/>
        </w:rPr>
        <w:t>包一至包四为东坡区疾病预防控制中心实验室设备采购）</w:t>
      </w:r>
    </w:p>
    <w:tbl>
      <w:tblPr>
        <w:tblStyle w:val="24"/>
        <w:tblW w:w="8337" w:type="dxa"/>
        <w:tblInd w:w="0" w:type="dxa"/>
        <w:tblLayout w:type="fixed"/>
        <w:tblCellMar>
          <w:top w:w="0" w:type="dxa"/>
          <w:left w:w="108" w:type="dxa"/>
          <w:bottom w:w="0" w:type="dxa"/>
          <w:right w:w="108" w:type="dxa"/>
        </w:tblCellMar>
      </w:tblPr>
      <w:tblGrid>
        <w:gridCol w:w="1472"/>
        <w:gridCol w:w="603"/>
        <w:gridCol w:w="3306"/>
        <w:gridCol w:w="668"/>
        <w:gridCol w:w="1218"/>
        <w:gridCol w:w="1070"/>
      </w:tblGrid>
      <w:tr>
        <w:tblPrEx>
          <w:tblCellMar>
            <w:top w:w="0" w:type="dxa"/>
            <w:left w:w="108" w:type="dxa"/>
            <w:bottom w:w="0" w:type="dxa"/>
            <w:right w:w="108" w:type="dxa"/>
          </w:tblCellMar>
        </w:tblPrEx>
        <w:trPr>
          <w:trHeight w:val="750" w:hRule="atLeast"/>
        </w:trPr>
        <w:tc>
          <w:tcPr>
            <w:tcW w:w="14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_GB2312"/>
                <w:b/>
                <w:color w:val="000000"/>
                <w:kern w:val="0"/>
                <w:sz w:val="24"/>
                <w:szCs w:val="24"/>
                <w:lang w:bidi="ar"/>
              </w:rPr>
            </w:pPr>
            <w:r>
              <w:rPr>
                <w:rFonts w:hint="eastAsia" w:ascii="宋体" w:hAnsi="宋体" w:cs="仿宋_GB2312"/>
                <w:b/>
                <w:color w:val="000000"/>
                <w:kern w:val="0"/>
                <w:sz w:val="24"/>
                <w:szCs w:val="24"/>
                <w:lang w:bidi="ar"/>
              </w:rPr>
              <w:t>分包情况</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_GB2312"/>
                <w:b/>
                <w:color w:val="000000"/>
                <w:sz w:val="24"/>
                <w:szCs w:val="24"/>
                <w:highlight w:val="none"/>
              </w:rPr>
            </w:pPr>
            <w:r>
              <w:rPr>
                <w:rFonts w:hint="eastAsia" w:ascii="宋体" w:hAnsi="宋体" w:cs="仿宋_GB2312"/>
                <w:b/>
                <w:color w:val="000000"/>
                <w:kern w:val="0"/>
                <w:sz w:val="24"/>
                <w:szCs w:val="24"/>
                <w:highlight w:val="none"/>
                <w:lang w:bidi="ar"/>
              </w:rPr>
              <w:t>序 号</w:t>
            </w:r>
          </w:p>
        </w:tc>
        <w:tc>
          <w:tcPr>
            <w:tcW w:w="3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_GB2312"/>
                <w:b/>
                <w:color w:val="000000"/>
                <w:sz w:val="24"/>
                <w:szCs w:val="24"/>
              </w:rPr>
            </w:pPr>
            <w:r>
              <w:rPr>
                <w:rFonts w:hint="eastAsia" w:ascii="宋体" w:hAnsi="宋体" w:cs="仿宋_GB2312"/>
                <w:b/>
                <w:color w:val="000000"/>
                <w:kern w:val="0"/>
                <w:sz w:val="24"/>
                <w:szCs w:val="24"/>
                <w:lang w:bidi="ar"/>
              </w:rPr>
              <w:t>货物名称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_GB2312"/>
                <w:b/>
                <w:color w:val="000000"/>
                <w:sz w:val="24"/>
                <w:szCs w:val="24"/>
              </w:rPr>
            </w:pPr>
            <w:r>
              <w:rPr>
                <w:rFonts w:hint="eastAsia" w:ascii="宋体" w:hAnsi="宋体" w:cs="仿宋_GB2312"/>
                <w:b/>
                <w:color w:val="000000"/>
                <w:kern w:val="0"/>
                <w:sz w:val="24"/>
                <w:szCs w:val="24"/>
                <w:lang w:bidi="ar"/>
              </w:rPr>
              <w:t>数 量</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仿宋_GB2312"/>
                <w:b/>
                <w:color w:val="000000"/>
                <w:kern w:val="0"/>
                <w:sz w:val="24"/>
                <w:szCs w:val="24"/>
                <w:lang w:bidi="ar"/>
              </w:rPr>
            </w:pPr>
            <w:r>
              <w:rPr>
                <w:rFonts w:hint="eastAsia" w:ascii="宋体" w:hAnsi="宋体" w:cs="仿宋_GB2312"/>
                <w:b/>
                <w:color w:val="000000"/>
                <w:kern w:val="0"/>
                <w:sz w:val="24"/>
                <w:szCs w:val="24"/>
                <w:lang w:bidi="ar"/>
              </w:rPr>
              <w:t>是否允许进口投标</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val="en-US" w:eastAsia="zh-CN" w:bidi="ar"/>
              </w:rPr>
              <w:t>是否医疗设备</w:t>
            </w:r>
          </w:p>
        </w:tc>
      </w:tr>
      <w:tr>
        <w:tblPrEx>
          <w:tblCellMar>
            <w:top w:w="0" w:type="dxa"/>
            <w:left w:w="108" w:type="dxa"/>
            <w:bottom w:w="0" w:type="dxa"/>
            <w:right w:w="108" w:type="dxa"/>
          </w:tblCellMar>
        </w:tblPrEx>
        <w:trPr>
          <w:trHeight w:val="300" w:hRule="atLeast"/>
        </w:trPr>
        <w:tc>
          <w:tcPr>
            <w:tcW w:w="1472" w:type="dxa"/>
            <w:vMerge w:val="restart"/>
            <w:tcBorders>
              <w:top w:val="single" w:color="000000" w:sz="4" w:space="0"/>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r>
              <w:rPr>
                <w:rFonts w:hint="eastAsia" w:ascii="宋体" w:hAnsi="宋体" w:cs="宋体"/>
                <w:color w:val="000000"/>
                <w:kern w:val="0"/>
                <w:sz w:val="24"/>
                <w:szCs w:val="24"/>
                <w:lang w:bidi="ar"/>
              </w:rPr>
              <w:t>第一包</w:t>
            </w: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1</w:t>
            </w:r>
          </w:p>
        </w:tc>
        <w:tc>
          <w:tcPr>
            <w:tcW w:w="330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高效液相色谱仪</w:t>
            </w: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12" w:hRule="atLeast"/>
        </w:trPr>
        <w:tc>
          <w:tcPr>
            <w:tcW w:w="1472"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2</w:t>
            </w:r>
          </w:p>
        </w:tc>
        <w:tc>
          <w:tcPr>
            <w:tcW w:w="330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气相色谱三重四级杆质谱联用仪</w:t>
            </w: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00" w:hRule="atLeast"/>
        </w:trPr>
        <w:tc>
          <w:tcPr>
            <w:tcW w:w="1472" w:type="dxa"/>
            <w:vMerge w:val="continue"/>
            <w:tcBorders>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3</w:t>
            </w:r>
          </w:p>
        </w:tc>
        <w:tc>
          <w:tcPr>
            <w:tcW w:w="330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纯水超纯水系统</w:t>
            </w: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07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p>
        </w:tc>
      </w:tr>
      <w:tr>
        <w:tblPrEx>
          <w:tblCellMar>
            <w:top w:w="0" w:type="dxa"/>
            <w:left w:w="108" w:type="dxa"/>
            <w:bottom w:w="0" w:type="dxa"/>
            <w:right w:w="108" w:type="dxa"/>
          </w:tblCellMar>
        </w:tblPrEx>
        <w:trPr>
          <w:trHeight w:val="300" w:hRule="atLeast"/>
        </w:trPr>
        <w:tc>
          <w:tcPr>
            <w:tcW w:w="1472" w:type="dxa"/>
            <w:tcBorders>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合计金额（元）</w:t>
            </w:r>
          </w:p>
        </w:tc>
        <w:tc>
          <w:tcPr>
            <w:tcW w:w="686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1980000</w:t>
            </w:r>
          </w:p>
        </w:tc>
      </w:tr>
    </w:tbl>
    <w:p>
      <w:pPr>
        <w:numPr>
          <w:ilvl w:val="0"/>
          <w:numId w:val="0"/>
        </w:numPr>
        <w:adjustRightInd w:val="0"/>
        <w:spacing w:line="400" w:lineRule="exact"/>
        <w:rPr>
          <w:rFonts w:ascii="宋体" w:hAnsi="宋体" w:cs="宋体"/>
          <w:b/>
          <w:bCs/>
          <w:color w:val="000000"/>
          <w:kern w:val="0"/>
          <w:sz w:val="24"/>
          <w:szCs w:val="24"/>
          <w:lang w:bidi="ar"/>
        </w:rPr>
      </w:pPr>
    </w:p>
    <w:p>
      <w:pPr>
        <w:numPr>
          <w:ilvl w:val="0"/>
          <w:numId w:val="8"/>
        </w:numPr>
        <w:adjustRightInd w:val="0"/>
        <w:spacing w:line="400" w:lineRule="exact"/>
        <w:rPr>
          <w:rFonts w:ascii="宋体" w:hAnsi="宋体" w:cs="宋体"/>
          <w:b/>
          <w:bCs/>
          <w:color w:val="000000"/>
          <w:kern w:val="0"/>
          <w:sz w:val="24"/>
          <w:szCs w:val="24"/>
          <w:lang w:bidi="ar"/>
        </w:rPr>
      </w:pPr>
      <w:r>
        <w:rPr>
          <w:rFonts w:hint="eastAsia" w:ascii="宋体" w:hAnsi="宋体"/>
          <w:b/>
          <w:bCs/>
          <w:sz w:val="24"/>
          <w:szCs w:val="24"/>
        </w:rPr>
        <w:t>、</w:t>
      </w:r>
      <w:r>
        <w:rPr>
          <w:rFonts w:hint="eastAsia" w:ascii="宋体" w:hAnsi="宋体" w:cs="宋体"/>
          <w:b/>
          <w:bCs/>
          <w:color w:val="000000"/>
          <w:kern w:val="0"/>
          <w:sz w:val="24"/>
          <w:szCs w:val="24"/>
          <w:lang w:bidi="ar"/>
        </w:rPr>
        <w:t>高效液相色谱仪技术参数</w:t>
      </w:r>
    </w:p>
    <w:p>
      <w:pPr>
        <w:adjustRightInd w:val="0"/>
        <w:spacing w:line="400" w:lineRule="exact"/>
        <w:rPr>
          <w:rFonts w:ascii="宋体" w:hAnsi="宋体" w:cs="宋体"/>
          <w:b/>
          <w:sz w:val="24"/>
          <w:szCs w:val="24"/>
        </w:rPr>
      </w:pPr>
      <w:r>
        <w:rPr>
          <w:rFonts w:hint="eastAsia" w:ascii="宋体" w:hAnsi="宋体" w:cs="宋体"/>
          <w:bCs/>
          <w:sz w:val="24"/>
          <w:szCs w:val="24"/>
          <w:lang w:bidi="ar"/>
        </w:rPr>
        <w:t xml:space="preserve">1、高精度并联泵   </w:t>
      </w:r>
    </w:p>
    <w:p>
      <w:pPr>
        <w:adjustRightInd w:val="0"/>
        <w:spacing w:line="400" w:lineRule="exact"/>
        <w:jc w:val="left"/>
        <w:rPr>
          <w:rFonts w:ascii="宋体" w:hAnsi="宋体" w:cs="宋体"/>
          <w:b/>
          <w:sz w:val="24"/>
          <w:szCs w:val="24"/>
        </w:rPr>
      </w:pPr>
      <w:r>
        <w:rPr>
          <w:rFonts w:hint="eastAsia" w:ascii="宋体" w:hAnsi="宋体" w:cs="宋体"/>
          <w:sz w:val="24"/>
          <w:szCs w:val="24"/>
          <w:lang w:bidi="ar"/>
        </w:rPr>
        <w:t>★1.1 传动机构 ：微体积双柱塞往复并联泵,免维护润滑系统</w:t>
      </w:r>
    </w:p>
    <w:p>
      <w:pPr>
        <w:adjustRightInd w:val="0"/>
        <w:spacing w:line="400" w:lineRule="exact"/>
        <w:jc w:val="left"/>
        <w:rPr>
          <w:rFonts w:ascii="宋体" w:hAnsi="宋体" w:cs="宋体"/>
          <w:sz w:val="24"/>
          <w:szCs w:val="24"/>
        </w:rPr>
      </w:pPr>
      <w:r>
        <w:rPr>
          <w:rFonts w:hint="eastAsia" w:ascii="宋体" w:hAnsi="宋体" w:cs="宋体"/>
          <w:sz w:val="24"/>
          <w:szCs w:val="24"/>
          <w:lang w:bidi="ar"/>
        </w:rPr>
        <w:t>★1.2 流速范围：  0.0001-10.000ml/min（可为质谱检测器等高灵敏检测器提供稳定的流速）</w:t>
      </w:r>
    </w:p>
    <w:p>
      <w:pPr>
        <w:adjustRightInd w:val="0"/>
        <w:spacing w:line="400" w:lineRule="exact"/>
        <w:ind w:left="445" w:leftChars="-3" w:hanging="451" w:hangingChars="188"/>
        <w:jc w:val="left"/>
        <w:rPr>
          <w:rFonts w:ascii="宋体" w:hAnsi="宋体" w:cs="宋体"/>
          <w:sz w:val="24"/>
          <w:szCs w:val="24"/>
        </w:rPr>
      </w:pPr>
      <w:r>
        <w:rPr>
          <w:rFonts w:hint="eastAsia" w:ascii="宋体" w:hAnsi="宋体" w:cs="宋体"/>
          <w:sz w:val="24"/>
          <w:szCs w:val="24"/>
          <w:lang w:bidi="ar"/>
        </w:rPr>
        <w:t>★1.3 流速精确度： ≤0.06％RSD</w:t>
      </w:r>
    </w:p>
    <w:p>
      <w:pPr>
        <w:adjustRightInd w:val="0"/>
        <w:spacing w:line="400" w:lineRule="exact"/>
        <w:rPr>
          <w:rFonts w:ascii="宋体" w:hAnsi="宋体" w:cs="宋体"/>
          <w:sz w:val="24"/>
          <w:szCs w:val="24"/>
        </w:rPr>
      </w:pPr>
      <w:r>
        <w:rPr>
          <w:rFonts w:hint="eastAsia" w:ascii="宋体" w:hAnsi="宋体" w:cs="宋体"/>
          <w:sz w:val="24"/>
          <w:szCs w:val="24"/>
          <w:lang w:bidi="ar"/>
        </w:rPr>
        <w:t xml:space="preserve">1.4 流速准确度： ± 1% </w:t>
      </w:r>
    </w:p>
    <w:p>
      <w:pPr>
        <w:adjustRightInd w:val="0"/>
        <w:spacing w:line="400" w:lineRule="exact"/>
        <w:rPr>
          <w:rFonts w:ascii="宋体" w:hAnsi="宋体" w:cs="宋体"/>
          <w:sz w:val="24"/>
          <w:szCs w:val="24"/>
        </w:rPr>
      </w:pPr>
      <w:r>
        <w:rPr>
          <w:rFonts w:hint="eastAsia" w:ascii="宋体" w:hAnsi="宋体" w:cs="宋体"/>
          <w:sz w:val="24"/>
          <w:szCs w:val="24"/>
          <w:lang w:bidi="ar"/>
        </w:rPr>
        <w:t>★1.5 工作压力：≥50 Mpa</w:t>
      </w:r>
    </w:p>
    <w:p>
      <w:pPr>
        <w:adjustRightInd w:val="0"/>
        <w:spacing w:line="400" w:lineRule="exact"/>
        <w:rPr>
          <w:rFonts w:ascii="宋体" w:hAnsi="宋体" w:cs="宋体"/>
          <w:sz w:val="24"/>
          <w:szCs w:val="24"/>
        </w:rPr>
      </w:pPr>
      <w:r>
        <w:rPr>
          <w:rFonts w:hint="eastAsia" w:ascii="宋体" w:hAnsi="宋体" w:cs="宋体"/>
          <w:sz w:val="24"/>
          <w:szCs w:val="24"/>
          <w:lang w:bidi="ar"/>
        </w:rPr>
        <w:t>1.6 溶剂压缩性补偿：自动, 连续进行</w:t>
      </w:r>
    </w:p>
    <w:p>
      <w:pPr>
        <w:adjustRightInd w:val="0"/>
        <w:spacing w:line="400" w:lineRule="exact"/>
        <w:rPr>
          <w:rFonts w:ascii="宋体" w:hAnsi="宋体" w:cs="宋体"/>
          <w:sz w:val="24"/>
          <w:szCs w:val="24"/>
        </w:rPr>
      </w:pPr>
      <w:r>
        <w:rPr>
          <w:rFonts w:hint="eastAsia" w:ascii="宋体" w:hAnsi="宋体" w:cs="宋体"/>
          <w:sz w:val="24"/>
          <w:szCs w:val="24"/>
          <w:lang w:bidi="ar"/>
        </w:rPr>
        <w:t>1.7 柱塞冲洗：在线密封垫清洗装置,可编程</w:t>
      </w:r>
    </w:p>
    <w:p>
      <w:pPr>
        <w:adjustRightInd w:val="0"/>
        <w:spacing w:line="400" w:lineRule="exact"/>
        <w:ind w:left="445" w:leftChars="-3" w:hanging="451" w:hangingChars="188"/>
        <w:rPr>
          <w:rFonts w:ascii="宋体" w:hAnsi="宋体" w:cs="宋体"/>
          <w:sz w:val="24"/>
          <w:szCs w:val="24"/>
        </w:rPr>
      </w:pPr>
      <w:r>
        <w:rPr>
          <w:rFonts w:hint="eastAsia" w:ascii="宋体" w:hAnsi="宋体" w:cs="宋体"/>
          <w:sz w:val="24"/>
          <w:szCs w:val="24"/>
          <w:lang w:bidi="ar"/>
        </w:rPr>
        <w:t>★1.8 梯度曲线：共20文件，合计400段,可作复杂的函数梯度,如“凹型、凸型”，支持复杂体系样品</w:t>
      </w:r>
    </w:p>
    <w:p>
      <w:pPr>
        <w:adjustRightInd w:val="0"/>
        <w:spacing w:line="400" w:lineRule="exact"/>
        <w:rPr>
          <w:rFonts w:ascii="宋体" w:hAnsi="宋体" w:cs="宋体"/>
          <w:sz w:val="24"/>
          <w:szCs w:val="24"/>
        </w:rPr>
      </w:pPr>
      <w:r>
        <w:rPr>
          <w:rFonts w:hint="eastAsia" w:ascii="宋体" w:hAnsi="宋体" w:cs="宋体"/>
          <w:sz w:val="24"/>
          <w:szCs w:val="24"/>
          <w:lang w:bidi="ar"/>
        </w:rPr>
        <w:t>1.9 梯度组成范围： 0.0-100.0%, 0.1%步进</w:t>
      </w:r>
    </w:p>
    <w:p>
      <w:pPr>
        <w:adjustRightInd w:val="0"/>
        <w:spacing w:line="400" w:lineRule="exact"/>
        <w:rPr>
          <w:rFonts w:ascii="宋体" w:hAnsi="宋体" w:cs="宋体"/>
          <w:sz w:val="24"/>
          <w:szCs w:val="24"/>
        </w:rPr>
      </w:pPr>
      <w:r>
        <w:rPr>
          <w:rFonts w:hint="eastAsia" w:ascii="宋体" w:hAnsi="宋体" w:cs="宋体"/>
          <w:sz w:val="24"/>
          <w:szCs w:val="24"/>
          <w:lang w:bidi="ar"/>
        </w:rPr>
        <w:t>1.10 梯度混合准确度：±0.5%, 不随反压变化</w:t>
      </w:r>
    </w:p>
    <w:p>
      <w:pPr>
        <w:adjustRightInd w:val="0"/>
        <w:spacing w:line="400" w:lineRule="exact"/>
        <w:rPr>
          <w:rFonts w:ascii="宋体" w:hAnsi="宋体" w:cs="宋体"/>
          <w:sz w:val="24"/>
          <w:szCs w:val="24"/>
        </w:rPr>
      </w:pPr>
      <w:r>
        <w:rPr>
          <w:rFonts w:hint="eastAsia" w:ascii="宋体" w:hAnsi="宋体" w:cs="宋体"/>
          <w:sz w:val="24"/>
          <w:szCs w:val="24"/>
          <w:lang w:bidi="ar"/>
        </w:rPr>
        <w:t>1.11 梯度组成精度：0.15%RSD</w:t>
      </w:r>
    </w:p>
    <w:p>
      <w:pPr>
        <w:adjustRightInd w:val="0"/>
        <w:spacing w:line="400" w:lineRule="exact"/>
        <w:rPr>
          <w:rFonts w:ascii="宋体" w:hAnsi="宋体" w:cs="宋体"/>
          <w:sz w:val="24"/>
          <w:szCs w:val="24"/>
        </w:rPr>
      </w:pPr>
      <w:r>
        <w:rPr>
          <w:rFonts w:hint="eastAsia" w:ascii="宋体" w:hAnsi="宋体" w:cs="宋体"/>
          <w:sz w:val="24"/>
          <w:szCs w:val="24"/>
          <w:lang w:bidi="ar"/>
        </w:rPr>
        <w:t>1.12 压力范围：高压、低压</w:t>
      </w:r>
    </w:p>
    <w:p>
      <w:pPr>
        <w:adjustRightInd w:val="0"/>
        <w:spacing w:line="400" w:lineRule="exact"/>
        <w:ind w:left="583" w:hanging="583" w:hangingChars="243"/>
        <w:rPr>
          <w:rFonts w:ascii="宋体" w:hAnsi="宋体" w:cs="宋体"/>
          <w:sz w:val="24"/>
          <w:szCs w:val="24"/>
        </w:rPr>
      </w:pPr>
      <w:r>
        <w:rPr>
          <w:rFonts w:hint="eastAsia" w:ascii="宋体" w:hAnsi="宋体" w:cs="宋体"/>
          <w:sz w:val="24"/>
          <w:szCs w:val="24"/>
          <w:lang w:bidi="ar"/>
        </w:rPr>
        <w:t>1.13 时间程序：流量、压力、事件、LOOP（程序反复）、10文件、合计320段</w:t>
      </w:r>
    </w:p>
    <w:p>
      <w:pPr>
        <w:adjustRightInd w:val="0"/>
        <w:spacing w:line="400" w:lineRule="exact"/>
        <w:ind w:left="583" w:hanging="583" w:hangingChars="243"/>
        <w:rPr>
          <w:rFonts w:ascii="宋体" w:hAnsi="宋体" w:cs="宋体"/>
          <w:sz w:val="24"/>
          <w:szCs w:val="24"/>
        </w:rPr>
      </w:pPr>
    </w:p>
    <w:p>
      <w:pPr>
        <w:adjustRightInd w:val="0"/>
        <w:spacing w:line="400" w:lineRule="exact"/>
        <w:ind w:left="583" w:hanging="583" w:hangingChars="243"/>
        <w:rPr>
          <w:rFonts w:ascii="宋体" w:hAnsi="宋体" w:cs="宋体"/>
          <w:sz w:val="24"/>
          <w:szCs w:val="24"/>
          <w:lang w:bidi="ar"/>
        </w:rPr>
      </w:pPr>
      <w:r>
        <w:rPr>
          <w:rFonts w:hint="eastAsia" w:ascii="宋体" w:hAnsi="宋体" w:cs="仿宋"/>
          <w:sz w:val="24"/>
          <w:szCs w:val="24"/>
          <w:lang w:bidi="ar"/>
        </w:rPr>
        <w:t xml:space="preserve">2、 </w:t>
      </w:r>
      <w:r>
        <w:rPr>
          <w:rFonts w:hint="eastAsia" w:ascii="宋体" w:hAnsi="宋体" w:cs="宋体"/>
          <w:sz w:val="24"/>
          <w:szCs w:val="24"/>
          <w:lang w:bidi="ar"/>
        </w:rPr>
        <w:t>在线脱气单元</w:t>
      </w:r>
    </w:p>
    <w:p>
      <w:pPr>
        <w:adjustRightInd w:val="0"/>
        <w:spacing w:line="400" w:lineRule="exact"/>
        <w:ind w:left="2"/>
        <w:jc w:val="left"/>
        <w:rPr>
          <w:rFonts w:ascii="宋体" w:hAnsi="宋体" w:cs="宋体"/>
          <w:sz w:val="24"/>
          <w:szCs w:val="24"/>
        </w:rPr>
      </w:pPr>
      <w:r>
        <w:rPr>
          <w:rFonts w:hint="eastAsia" w:ascii="宋体" w:hAnsi="宋体" w:cs="宋体"/>
          <w:sz w:val="24"/>
          <w:szCs w:val="24"/>
          <w:lang w:bidi="ar"/>
        </w:rPr>
        <w:t>2.1流路数目：5通道                                                                           2.2 4路流动相脱气+1路洗针液</w:t>
      </w:r>
    </w:p>
    <w:p>
      <w:pPr>
        <w:adjustRightInd w:val="0"/>
        <w:spacing w:line="400" w:lineRule="exact"/>
        <w:ind w:left="2"/>
        <w:rPr>
          <w:rFonts w:ascii="宋体" w:hAnsi="宋体" w:cs="宋体"/>
          <w:b/>
          <w:sz w:val="24"/>
          <w:szCs w:val="24"/>
        </w:rPr>
      </w:pPr>
    </w:p>
    <w:p>
      <w:pPr>
        <w:adjustRightInd w:val="0"/>
        <w:spacing w:line="400" w:lineRule="exact"/>
        <w:ind w:left="2"/>
        <w:rPr>
          <w:rFonts w:ascii="宋体" w:hAnsi="宋体" w:cs="宋体"/>
          <w:bCs/>
          <w:sz w:val="24"/>
          <w:szCs w:val="24"/>
        </w:rPr>
      </w:pPr>
      <w:r>
        <w:rPr>
          <w:rFonts w:hint="eastAsia" w:ascii="宋体" w:hAnsi="宋体" w:cs="宋体"/>
          <w:bCs/>
          <w:sz w:val="24"/>
          <w:szCs w:val="24"/>
          <w:lang w:bidi="ar"/>
        </w:rPr>
        <w:t>3、系统控制</w:t>
      </w:r>
    </w:p>
    <w:p>
      <w:pPr>
        <w:adjustRightInd w:val="0"/>
        <w:spacing w:line="400" w:lineRule="exact"/>
        <w:ind w:left="2"/>
        <w:rPr>
          <w:rFonts w:ascii="宋体" w:hAnsi="宋体" w:cs="宋体"/>
          <w:bCs/>
          <w:sz w:val="24"/>
          <w:szCs w:val="24"/>
        </w:rPr>
      </w:pPr>
      <w:r>
        <w:rPr>
          <w:rFonts w:hint="eastAsia" w:ascii="宋体" w:hAnsi="宋体" w:cs="宋体"/>
          <w:bCs/>
          <w:sz w:val="24"/>
          <w:szCs w:val="24"/>
          <w:lang w:bidi="ar"/>
        </w:rPr>
        <w:t>3.1仪器面板：彩色液晶触控屏，GUI操作界面</w:t>
      </w:r>
    </w:p>
    <w:p>
      <w:pPr>
        <w:adjustRightInd w:val="0"/>
        <w:spacing w:line="400" w:lineRule="exact"/>
        <w:ind w:left="2"/>
        <w:rPr>
          <w:rFonts w:ascii="宋体" w:hAnsi="宋体" w:cs="宋体"/>
          <w:b/>
          <w:sz w:val="24"/>
          <w:szCs w:val="24"/>
        </w:rPr>
      </w:pPr>
    </w:p>
    <w:p>
      <w:pPr>
        <w:adjustRightInd w:val="0"/>
        <w:spacing w:line="400" w:lineRule="exact"/>
        <w:ind w:left="2"/>
        <w:rPr>
          <w:rFonts w:ascii="宋体" w:hAnsi="宋体" w:cs="宋体"/>
          <w:bCs/>
          <w:sz w:val="24"/>
          <w:szCs w:val="24"/>
        </w:rPr>
      </w:pPr>
      <w:r>
        <w:rPr>
          <w:rFonts w:hint="eastAsia" w:ascii="宋体" w:hAnsi="宋体" w:cs="宋体"/>
          <w:bCs/>
          <w:sz w:val="24"/>
          <w:szCs w:val="24"/>
          <w:lang w:bidi="ar"/>
        </w:rPr>
        <w:t>4、高性能自动进样器</w:t>
      </w:r>
    </w:p>
    <w:p>
      <w:pPr>
        <w:adjustRightInd w:val="0"/>
        <w:spacing w:line="400" w:lineRule="exact"/>
        <w:rPr>
          <w:rFonts w:ascii="宋体" w:hAnsi="宋体" w:cs="宋体"/>
          <w:sz w:val="24"/>
          <w:szCs w:val="24"/>
        </w:rPr>
      </w:pPr>
      <w:r>
        <w:rPr>
          <w:rFonts w:hint="eastAsia" w:ascii="宋体" w:hAnsi="宋体" w:cs="宋体"/>
          <w:sz w:val="24"/>
          <w:szCs w:val="24"/>
          <w:lang w:bidi="ar"/>
        </w:rPr>
        <w:t>4.1 进样方式:全量进样, 定量环结合计量泵精确计量。</w:t>
      </w:r>
    </w:p>
    <w:p>
      <w:pPr>
        <w:adjustRightInd w:val="0"/>
        <w:spacing w:line="400" w:lineRule="exact"/>
        <w:rPr>
          <w:rFonts w:ascii="宋体" w:hAnsi="宋体" w:cs="宋体"/>
          <w:sz w:val="24"/>
          <w:szCs w:val="24"/>
        </w:rPr>
      </w:pPr>
      <w:r>
        <w:rPr>
          <w:rFonts w:hint="eastAsia" w:ascii="宋体" w:hAnsi="宋体" w:cs="宋体"/>
          <w:sz w:val="24"/>
          <w:szCs w:val="24"/>
          <w:lang w:bidi="ar"/>
        </w:rPr>
        <w:t>★4.2 外部可视功能，带长寿命LED光源</w:t>
      </w:r>
    </w:p>
    <w:p>
      <w:pPr>
        <w:adjustRightInd w:val="0"/>
        <w:spacing w:line="400" w:lineRule="exact"/>
        <w:rPr>
          <w:rFonts w:ascii="宋体" w:hAnsi="宋体" w:cs="宋体"/>
          <w:sz w:val="24"/>
          <w:szCs w:val="24"/>
        </w:rPr>
      </w:pPr>
      <w:r>
        <w:rPr>
          <w:rFonts w:hint="eastAsia" w:ascii="宋体" w:hAnsi="宋体" w:cs="宋体"/>
          <w:sz w:val="24"/>
          <w:szCs w:val="24"/>
          <w:lang w:bidi="ar"/>
        </w:rPr>
        <w:t xml:space="preserve">4.3 进样量设定范围: 0.1ul ~ 100ul(标准值), </w:t>
      </w:r>
    </w:p>
    <w:p>
      <w:pPr>
        <w:adjustRightInd w:val="0"/>
        <w:spacing w:line="400" w:lineRule="exact"/>
        <w:rPr>
          <w:rFonts w:ascii="宋体" w:hAnsi="宋体" w:cs="宋体"/>
          <w:sz w:val="24"/>
          <w:szCs w:val="24"/>
        </w:rPr>
      </w:pPr>
      <w:r>
        <w:rPr>
          <w:rFonts w:hint="eastAsia" w:ascii="宋体" w:hAnsi="宋体" w:cs="宋体"/>
          <w:sz w:val="24"/>
          <w:szCs w:val="24"/>
          <w:lang w:bidi="ar"/>
        </w:rPr>
        <w:t>★4.4 样品瓶数目:＞200位（1.5mL/2mL）</w:t>
      </w:r>
    </w:p>
    <w:p>
      <w:pPr>
        <w:adjustRightInd w:val="0"/>
        <w:spacing w:line="400" w:lineRule="exact"/>
        <w:rPr>
          <w:rFonts w:ascii="宋体" w:hAnsi="宋体" w:cs="宋体"/>
          <w:sz w:val="24"/>
          <w:szCs w:val="24"/>
        </w:rPr>
      </w:pPr>
      <w:r>
        <w:rPr>
          <w:rFonts w:hint="eastAsia" w:ascii="宋体" w:hAnsi="宋体" w:cs="宋体"/>
          <w:sz w:val="24"/>
          <w:szCs w:val="24"/>
          <w:lang w:bidi="ar"/>
        </w:rPr>
        <w:t>4.5 进样次数:  每个样品瓶可重复进样1~99次</w:t>
      </w:r>
    </w:p>
    <w:p>
      <w:pPr>
        <w:adjustRightInd w:val="0"/>
        <w:spacing w:line="400" w:lineRule="exact"/>
        <w:rPr>
          <w:rFonts w:ascii="宋体" w:hAnsi="宋体" w:cs="宋体"/>
          <w:sz w:val="24"/>
          <w:szCs w:val="24"/>
        </w:rPr>
      </w:pPr>
      <w:r>
        <w:rPr>
          <w:rFonts w:hint="eastAsia" w:ascii="宋体" w:hAnsi="宋体" w:cs="宋体"/>
          <w:sz w:val="24"/>
          <w:szCs w:val="24"/>
          <w:lang w:bidi="ar"/>
        </w:rPr>
        <w:t>4.6 反复进样次数:最大30次/1个试样</w:t>
      </w:r>
    </w:p>
    <w:p>
      <w:pPr>
        <w:adjustRightInd w:val="0"/>
        <w:spacing w:line="400" w:lineRule="exact"/>
        <w:rPr>
          <w:rFonts w:ascii="宋体" w:hAnsi="宋体" w:cs="宋体"/>
          <w:sz w:val="24"/>
          <w:szCs w:val="24"/>
        </w:rPr>
      </w:pPr>
      <w:r>
        <w:rPr>
          <w:rFonts w:hint="eastAsia" w:ascii="宋体" w:hAnsi="宋体" w:cs="宋体"/>
          <w:sz w:val="24"/>
          <w:szCs w:val="24"/>
          <w:lang w:bidi="ar"/>
        </w:rPr>
        <w:t>4.7 进样精度: &lt;0.2%RSD</w:t>
      </w:r>
    </w:p>
    <w:p>
      <w:pPr>
        <w:adjustRightInd w:val="0"/>
        <w:spacing w:line="400" w:lineRule="exact"/>
        <w:rPr>
          <w:rFonts w:ascii="宋体" w:hAnsi="宋体" w:cs="宋体"/>
          <w:sz w:val="24"/>
          <w:szCs w:val="24"/>
        </w:rPr>
      </w:pPr>
      <w:r>
        <w:rPr>
          <w:rFonts w:hint="eastAsia" w:ascii="宋体" w:hAnsi="宋体" w:cs="宋体"/>
          <w:sz w:val="24"/>
          <w:szCs w:val="24"/>
          <w:lang w:bidi="ar"/>
        </w:rPr>
        <w:t>★4.8 交叉污染:  &lt; 0.0015% (萘、洗必泰)</w:t>
      </w:r>
    </w:p>
    <w:p>
      <w:pPr>
        <w:adjustRightInd w:val="0"/>
        <w:spacing w:line="400" w:lineRule="exact"/>
        <w:rPr>
          <w:rFonts w:ascii="宋体" w:hAnsi="宋体" w:cs="宋体"/>
          <w:sz w:val="24"/>
          <w:szCs w:val="24"/>
        </w:rPr>
      </w:pPr>
      <w:r>
        <w:rPr>
          <w:rFonts w:hint="eastAsia" w:ascii="宋体" w:hAnsi="宋体" w:cs="宋体"/>
          <w:sz w:val="24"/>
          <w:szCs w:val="24"/>
          <w:lang w:bidi="ar"/>
        </w:rPr>
        <w:t>★4.9 进样速度： 15秒完成10uL进样</w:t>
      </w:r>
    </w:p>
    <w:p>
      <w:pPr>
        <w:adjustRightInd w:val="0"/>
        <w:spacing w:line="400" w:lineRule="exact"/>
        <w:ind w:left="449" w:leftChars="-1" w:hanging="451" w:hangingChars="188"/>
        <w:rPr>
          <w:rFonts w:ascii="宋体" w:hAnsi="宋体" w:cs="宋体"/>
          <w:sz w:val="24"/>
          <w:szCs w:val="24"/>
        </w:rPr>
      </w:pPr>
      <w:r>
        <w:rPr>
          <w:rFonts w:hint="eastAsia" w:ascii="宋体" w:hAnsi="宋体" w:cs="宋体"/>
          <w:sz w:val="24"/>
          <w:szCs w:val="24"/>
          <w:lang w:bidi="ar"/>
        </w:rPr>
        <w:t>4.10 进样针清洗:  在进样前后任意设定/内外清洗功能/清洗液有在线</w:t>
      </w:r>
    </w:p>
    <w:p>
      <w:pPr>
        <w:adjustRightInd w:val="0"/>
        <w:spacing w:line="400" w:lineRule="exact"/>
        <w:rPr>
          <w:rFonts w:ascii="宋体" w:hAnsi="宋体" w:cs="宋体"/>
          <w:sz w:val="24"/>
          <w:szCs w:val="24"/>
        </w:rPr>
      </w:pPr>
      <w:r>
        <w:rPr>
          <w:rFonts w:hint="eastAsia" w:ascii="宋体" w:hAnsi="宋体" w:cs="宋体"/>
          <w:sz w:val="24"/>
          <w:szCs w:val="24"/>
          <w:lang w:bidi="ar"/>
        </w:rPr>
        <w:t>4.11进样线性：&gt;0.999</w:t>
      </w:r>
    </w:p>
    <w:p>
      <w:pPr>
        <w:adjustRightInd w:val="0"/>
        <w:spacing w:line="400" w:lineRule="exact"/>
        <w:rPr>
          <w:rFonts w:ascii="宋体" w:hAnsi="宋体" w:cs="宋体"/>
          <w:sz w:val="24"/>
          <w:szCs w:val="24"/>
        </w:rPr>
      </w:pPr>
      <w:r>
        <w:rPr>
          <w:rFonts w:hint="eastAsia" w:ascii="宋体" w:hAnsi="宋体" w:cs="宋体"/>
          <w:sz w:val="24"/>
          <w:szCs w:val="24"/>
          <w:lang w:bidi="ar"/>
        </w:rPr>
        <w:t>★4.12工作压力：≥50 Mpa</w:t>
      </w:r>
    </w:p>
    <w:p>
      <w:pPr>
        <w:adjustRightInd w:val="0"/>
        <w:spacing w:line="400" w:lineRule="exact"/>
        <w:rPr>
          <w:rFonts w:ascii="宋体" w:hAnsi="宋体" w:cs="宋体"/>
          <w:sz w:val="24"/>
          <w:szCs w:val="24"/>
        </w:rPr>
      </w:pPr>
    </w:p>
    <w:p>
      <w:pPr>
        <w:adjustRightInd w:val="0"/>
        <w:spacing w:line="400" w:lineRule="exact"/>
        <w:ind w:left="2"/>
        <w:rPr>
          <w:rFonts w:ascii="宋体" w:hAnsi="宋体" w:cs="宋体"/>
          <w:bCs/>
          <w:sz w:val="24"/>
          <w:szCs w:val="24"/>
        </w:rPr>
      </w:pPr>
      <w:r>
        <w:rPr>
          <w:rFonts w:hint="eastAsia" w:ascii="宋体" w:hAnsi="宋体" w:cs="宋体"/>
          <w:bCs/>
          <w:sz w:val="24"/>
          <w:szCs w:val="24"/>
          <w:lang w:bidi="ar"/>
        </w:rPr>
        <w:t>5、快速柱温箱</w:t>
      </w:r>
    </w:p>
    <w:p>
      <w:pPr>
        <w:adjustRightInd w:val="0"/>
        <w:spacing w:line="400" w:lineRule="exact"/>
        <w:ind w:left="633" w:leftChars="1" w:hanging="631" w:hangingChars="263"/>
        <w:rPr>
          <w:rFonts w:ascii="宋体" w:hAnsi="宋体" w:cs="宋体"/>
          <w:sz w:val="24"/>
          <w:szCs w:val="24"/>
        </w:rPr>
      </w:pPr>
      <w:r>
        <w:rPr>
          <w:rFonts w:hint="eastAsia" w:ascii="宋体" w:hAnsi="宋体" w:cs="宋体"/>
          <w:sz w:val="24"/>
          <w:szCs w:val="24"/>
          <w:lang w:bidi="ar"/>
        </w:rPr>
        <w:t>★5.1 容量: 可放置3根4.6x 300mm的色谱和一个柱切换阀等</w:t>
      </w:r>
    </w:p>
    <w:p>
      <w:pPr>
        <w:adjustRightInd w:val="0"/>
        <w:spacing w:line="400" w:lineRule="exact"/>
        <w:rPr>
          <w:rFonts w:ascii="宋体" w:hAnsi="宋体" w:cs="宋体"/>
          <w:sz w:val="24"/>
          <w:szCs w:val="24"/>
        </w:rPr>
      </w:pPr>
      <w:r>
        <w:rPr>
          <w:rFonts w:hint="eastAsia" w:ascii="宋体" w:hAnsi="宋体" w:cs="宋体"/>
          <w:sz w:val="24"/>
          <w:szCs w:val="24"/>
          <w:lang w:bidi="ar"/>
        </w:rPr>
        <w:t xml:space="preserve">★5.2 温度控制范围: 4℃~90℃ </w:t>
      </w:r>
    </w:p>
    <w:p>
      <w:pPr>
        <w:adjustRightInd w:val="0"/>
        <w:spacing w:line="400" w:lineRule="exact"/>
        <w:rPr>
          <w:rFonts w:ascii="宋体" w:hAnsi="宋体" w:cs="宋体"/>
          <w:sz w:val="24"/>
          <w:szCs w:val="24"/>
        </w:rPr>
      </w:pPr>
      <w:r>
        <w:rPr>
          <w:rFonts w:hint="eastAsia" w:ascii="宋体" w:hAnsi="宋体" w:cs="宋体"/>
          <w:sz w:val="24"/>
          <w:szCs w:val="24"/>
          <w:lang w:bidi="ar"/>
        </w:rPr>
        <w:t>5.3 控温方式： 强制空气循环电子冷却加热方式</w:t>
      </w:r>
    </w:p>
    <w:p>
      <w:pPr>
        <w:adjustRightInd w:val="0"/>
        <w:spacing w:line="400" w:lineRule="exact"/>
        <w:rPr>
          <w:rFonts w:ascii="宋体" w:hAnsi="宋体" w:cs="宋体"/>
          <w:sz w:val="24"/>
          <w:szCs w:val="24"/>
        </w:rPr>
      </w:pPr>
      <w:r>
        <w:rPr>
          <w:rFonts w:hint="eastAsia" w:ascii="宋体" w:hAnsi="宋体" w:cs="宋体"/>
          <w:sz w:val="24"/>
          <w:szCs w:val="24"/>
          <w:lang w:bidi="ar"/>
        </w:rPr>
        <w:t>5.4 定时程序: 线性温度程序</w:t>
      </w:r>
    </w:p>
    <w:p>
      <w:pPr>
        <w:adjustRightInd w:val="0"/>
        <w:spacing w:line="400" w:lineRule="exact"/>
        <w:rPr>
          <w:rFonts w:ascii="宋体" w:hAnsi="宋体" w:cs="宋体"/>
          <w:sz w:val="24"/>
          <w:szCs w:val="24"/>
        </w:rPr>
      </w:pPr>
      <w:r>
        <w:rPr>
          <w:rFonts w:hint="eastAsia" w:ascii="宋体" w:hAnsi="宋体" w:cs="宋体"/>
          <w:sz w:val="24"/>
          <w:szCs w:val="24"/>
          <w:lang w:bidi="ar"/>
        </w:rPr>
        <w:t>5.5 温度设定准确度:  ±0.5℃</w:t>
      </w:r>
    </w:p>
    <w:p>
      <w:pPr>
        <w:adjustRightInd w:val="0"/>
        <w:spacing w:line="400" w:lineRule="exact"/>
        <w:rPr>
          <w:rFonts w:ascii="宋体" w:hAnsi="宋体" w:cs="宋体"/>
          <w:sz w:val="24"/>
          <w:szCs w:val="24"/>
        </w:rPr>
      </w:pPr>
      <w:r>
        <w:rPr>
          <w:rFonts w:hint="eastAsia" w:ascii="宋体" w:hAnsi="宋体" w:cs="宋体"/>
          <w:sz w:val="24"/>
          <w:szCs w:val="24"/>
          <w:lang w:bidi="ar"/>
        </w:rPr>
        <w:t>5.6温度稳定性:  ±0.1℃</w:t>
      </w:r>
    </w:p>
    <w:p>
      <w:pPr>
        <w:adjustRightInd w:val="0"/>
        <w:spacing w:line="400" w:lineRule="exact"/>
        <w:rPr>
          <w:rFonts w:ascii="宋体" w:hAnsi="宋体" w:cs="宋体"/>
          <w:sz w:val="24"/>
          <w:szCs w:val="24"/>
        </w:rPr>
      </w:pPr>
      <w:r>
        <w:rPr>
          <w:rFonts w:hint="eastAsia" w:ascii="宋体" w:hAnsi="宋体" w:cs="宋体"/>
          <w:sz w:val="24"/>
          <w:szCs w:val="24"/>
          <w:lang w:bidi="ar"/>
        </w:rPr>
        <w:t>5.7 温度重现性:  ±0.1℃</w:t>
      </w:r>
    </w:p>
    <w:p>
      <w:pPr>
        <w:adjustRightInd w:val="0"/>
        <w:spacing w:line="400" w:lineRule="exact"/>
        <w:rPr>
          <w:rFonts w:ascii="宋体" w:hAnsi="宋体" w:cs="宋体"/>
          <w:sz w:val="24"/>
          <w:szCs w:val="24"/>
        </w:rPr>
      </w:pPr>
      <w:r>
        <w:rPr>
          <w:rFonts w:hint="eastAsia" w:ascii="宋体" w:hAnsi="宋体" w:cs="宋体"/>
          <w:sz w:val="24"/>
          <w:szCs w:val="24"/>
          <w:lang w:bidi="ar"/>
        </w:rPr>
        <w:t>5.8 时间程序功能： 温度设定变更，温度控制启动、停止。</w:t>
      </w:r>
    </w:p>
    <w:p>
      <w:pPr>
        <w:adjustRightInd w:val="0"/>
        <w:spacing w:line="400" w:lineRule="exact"/>
        <w:ind w:left="2"/>
        <w:rPr>
          <w:rFonts w:ascii="宋体" w:hAnsi="宋体" w:cs="宋体"/>
          <w:b/>
          <w:sz w:val="24"/>
          <w:szCs w:val="24"/>
        </w:rPr>
      </w:pPr>
      <w:r>
        <w:rPr>
          <w:rFonts w:hint="eastAsia" w:ascii="宋体" w:hAnsi="宋体" w:cs="宋体"/>
          <w:sz w:val="24"/>
          <w:szCs w:val="24"/>
          <w:lang w:bidi="ar"/>
        </w:rPr>
        <w:t>5.9 控制方式：软件控制、面板控制</w:t>
      </w:r>
    </w:p>
    <w:p>
      <w:pPr>
        <w:adjustRightInd w:val="0"/>
        <w:spacing w:line="400" w:lineRule="exact"/>
        <w:ind w:left="2"/>
        <w:rPr>
          <w:rFonts w:ascii="宋体" w:hAnsi="宋体" w:cs="宋体"/>
          <w:b/>
          <w:sz w:val="24"/>
          <w:szCs w:val="24"/>
        </w:rPr>
      </w:pPr>
    </w:p>
    <w:p>
      <w:pPr>
        <w:adjustRightInd w:val="0"/>
        <w:spacing w:line="400" w:lineRule="exact"/>
        <w:ind w:left="2"/>
        <w:rPr>
          <w:rFonts w:ascii="宋体" w:hAnsi="宋体" w:cs="宋体"/>
          <w:sz w:val="24"/>
          <w:szCs w:val="24"/>
        </w:rPr>
      </w:pPr>
      <w:r>
        <w:rPr>
          <w:rFonts w:hint="eastAsia" w:ascii="宋体" w:hAnsi="宋体" w:cs="宋体"/>
          <w:sz w:val="24"/>
          <w:szCs w:val="24"/>
          <w:lang w:bidi="ar"/>
        </w:rPr>
        <w:t>6、双波长紫外检测器</w:t>
      </w:r>
    </w:p>
    <w:p>
      <w:pPr>
        <w:adjustRightInd w:val="0"/>
        <w:spacing w:line="400" w:lineRule="exact"/>
        <w:rPr>
          <w:rFonts w:ascii="宋体" w:hAnsi="宋体" w:cs="宋体"/>
          <w:bCs/>
          <w:sz w:val="24"/>
          <w:szCs w:val="24"/>
        </w:rPr>
      </w:pPr>
      <w:r>
        <w:rPr>
          <w:rFonts w:hint="eastAsia" w:ascii="宋体" w:hAnsi="宋体" w:cs="宋体"/>
          <w:sz w:val="24"/>
          <w:szCs w:val="24"/>
          <w:lang w:bidi="ar"/>
        </w:rPr>
        <w:t>★</w:t>
      </w:r>
      <w:r>
        <w:rPr>
          <w:rFonts w:hint="eastAsia" w:ascii="宋体" w:hAnsi="宋体" w:cs="宋体"/>
          <w:bCs/>
          <w:sz w:val="24"/>
          <w:szCs w:val="24"/>
          <w:lang w:bidi="ar"/>
        </w:rPr>
        <w:t>6.1 波长范围：190－700nm ，实时双波长模式</w:t>
      </w:r>
    </w:p>
    <w:p>
      <w:pPr>
        <w:adjustRightInd w:val="0"/>
        <w:spacing w:line="400" w:lineRule="exact"/>
        <w:rPr>
          <w:rFonts w:ascii="宋体" w:hAnsi="宋体" w:cs="宋体"/>
          <w:bCs/>
          <w:sz w:val="24"/>
          <w:szCs w:val="24"/>
        </w:rPr>
      </w:pPr>
      <w:r>
        <w:rPr>
          <w:rFonts w:hint="eastAsia" w:ascii="宋体" w:hAnsi="宋体" w:cs="宋体"/>
          <w:bCs/>
          <w:sz w:val="24"/>
          <w:szCs w:val="24"/>
          <w:lang w:bidi="ar"/>
        </w:rPr>
        <w:t xml:space="preserve">6.2 波长准确度：&lt;1nm </w:t>
      </w:r>
    </w:p>
    <w:p>
      <w:pPr>
        <w:adjustRightInd w:val="0"/>
        <w:spacing w:line="400" w:lineRule="exact"/>
        <w:rPr>
          <w:rFonts w:ascii="宋体" w:hAnsi="宋体" w:cs="宋体"/>
          <w:bCs/>
          <w:sz w:val="24"/>
          <w:szCs w:val="24"/>
        </w:rPr>
      </w:pPr>
      <w:r>
        <w:rPr>
          <w:rFonts w:hint="eastAsia" w:ascii="宋体" w:hAnsi="宋体" w:cs="宋体"/>
          <w:bCs/>
          <w:sz w:val="24"/>
          <w:szCs w:val="24"/>
          <w:lang w:bidi="ar"/>
        </w:rPr>
        <w:t>6.3 波长精密度：&lt; 0.1nm</w:t>
      </w:r>
    </w:p>
    <w:p>
      <w:pPr>
        <w:adjustRightInd w:val="0"/>
        <w:spacing w:line="400" w:lineRule="exact"/>
        <w:rPr>
          <w:rFonts w:ascii="宋体" w:hAnsi="宋体" w:cs="宋体"/>
          <w:bCs/>
          <w:sz w:val="24"/>
          <w:szCs w:val="24"/>
        </w:rPr>
      </w:pPr>
      <w:r>
        <w:rPr>
          <w:rFonts w:hint="eastAsia" w:ascii="宋体" w:hAnsi="宋体" w:cs="宋体"/>
          <w:sz w:val="24"/>
          <w:szCs w:val="24"/>
          <w:lang w:bidi="ar"/>
        </w:rPr>
        <w:t>★</w:t>
      </w:r>
      <w:r>
        <w:rPr>
          <w:rFonts w:hint="eastAsia" w:ascii="宋体" w:hAnsi="宋体" w:cs="宋体"/>
          <w:bCs/>
          <w:sz w:val="24"/>
          <w:szCs w:val="24"/>
          <w:lang w:bidi="ar"/>
        </w:rPr>
        <w:t xml:space="preserve">6.4 波长校正：使用氘灯和低压汞灯特征线 (包括紫外区) </w:t>
      </w:r>
    </w:p>
    <w:p>
      <w:pPr>
        <w:adjustRightInd w:val="0"/>
        <w:spacing w:line="400" w:lineRule="exact"/>
        <w:rPr>
          <w:rFonts w:ascii="宋体" w:hAnsi="宋体" w:cs="宋体"/>
          <w:bCs/>
          <w:sz w:val="24"/>
          <w:szCs w:val="24"/>
        </w:rPr>
      </w:pPr>
      <w:r>
        <w:rPr>
          <w:rFonts w:hint="eastAsia" w:ascii="宋体" w:hAnsi="宋体" w:cs="宋体"/>
          <w:bCs/>
          <w:sz w:val="24"/>
          <w:szCs w:val="24"/>
          <w:lang w:bidi="ar"/>
        </w:rPr>
        <w:t>6.5 波长重现性：±0.1nm</w:t>
      </w:r>
    </w:p>
    <w:p>
      <w:pPr>
        <w:adjustRightInd w:val="0"/>
        <w:spacing w:line="400" w:lineRule="exact"/>
        <w:rPr>
          <w:rFonts w:ascii="宋体" w:hAnsi="宋体" w:cs="宋体"/>
          <w:bCs/>
          <w:sz w:val="24"/>
          <w:szCs w:val="24"/>
        </w:rPr>
      </w:pPr>
      <w:r>
        <w:rPr>
          <w:rFonts w:hint="eastAsia" w:ascii="宋体" w:hAnsi="宋体" w:cs="宋体"/>
          <w:bCs/>
          <w:sz w:val="24"/>
          <w:szCs w:val="24"/>
          <w:lang w:bidi="ar"/>
        </w:rPr>
        <w:t>6.6 噪音（AU）：±0.25×10</w:t>
      </w:r>
      <w:r>
        <w:rPr>
          <w:rFonts w:hint="eastAsia" w:ascii="宋体" w:hAnsi="宋体" w:cs="宋体"/>
          <w:bCs/>
          <w:sz w:val="24"/>
          <w:szCs w:val="24"/>
          <w:vertAlign w:val="superscript"/>
          <w:lang w:bidi="ar"/>
        </w:rPr>
        <w:t>－5</w:t>
      </w:r>
    </w:p>
    <w:p>
      <w:pPr>
        <w:adjustRightInd w:val="0"/>
        <w:spacing w:line="400" w:lineRule="exact"/>
        <w:rPr>
          <w:rFonts w:ascii="宋体" w:hAnsi="宋体" w:cs="宋体"/>
          <w:bCs/>
          <w:sz w:val="24"/>
          <w:szCs w:val="24"/>
        </w:rPr>
      </w:pPr>
      <w:r>
        <w:rPr>
          <w:rFonts w:hint="eastAsia" w:ascii="宋体" w:hAnsi="宋体" w:cs="宋体"/>
          <w:bCs/>
          <w:sz w:val="24"/>
          <w:szCs w:val="24"/>
          <w:lang w:bidi="ar"/>
        </w:rPr>
        <w:t>6.7 漂移：0.3×10</w:t>
      </w:r>
      <w:r>
        <w:rPr>
          <w:rFonts w:hint="eastAsia" w:ascii="宋体" w:hAnsi="宋体" w:cs="宋体"/>
          <w:bCs/>
          <w:sz w:val="24"/>
          <w:szCs w:val="24"/>
          <w:vertAlign w:val="superscript"/>
          <w:lang w:bidi="ar"/>
        </w:rPr>
        <w:t>－4</w:t>
      </w:r>
      <w:r>
        <w:rPr>
          <w:rFonts w:hint="eastAsia" w:ascii="宋体" w:hAnsi="宋体" w:cs="宋体"/>
          <w:bCs/>
          <w:sz w:val="24"/>
          <w:szCs w:val="24"/>
          <w:lang w:bidi="ar"/>
        </w:rPr>
        <w:t>AU/h</w:t>
      </w:r>
    </w:p>
    <w:p>
      <w:pPr>
        <w:adjustRightInd w:val="0"/>
        <w:spacing w:line="400" w:lineRule="exact"/>
        <w:rPr>
          <w:rFonts w:ascii="宋体" w:hAnsi="宋体" w:cs="宋体"/>
          <w:bCs/>
          <w:sz w:val="24"/>
          <w:szCs w:val="24"/>
        </w:rPr>
      </w:pPr>
      <w:r>
        <w:rPr>
          <w:rFonts w:hint="eastAsia" w:ascii="宋体" w:hAnsi="宋体" w:cs="宋体"/>
          <w:sz w:val="24"/>
          <w:szCs w:val="24"/>
          <w:lang w:bidi="ar"/>
        </w:rPr>
        <w:t>★</w:t>
      </w:r>
      <w:r>
        <w:rPr>
          <w:rFonts w:hint="eastAsia" w:ascii="宋体" w:hAnsi="宋体" w:cs="宋体"/>
          <w:bCs/>
          <w:sz w:val="24"/>
          <w:szCs w:val="24"/>
          <w:lang w:bidi="ar"/>
        </w:rPr>
        <w:t>6.8 采样频率：100Hz</w:t>
      </w:r>
    </w:p>
    <w:p>
      <w:pPr>
        <w:adjustRightInd w:val="0"/>
        <w:spacing w:line="400" w:lineRule="exact"/>
        <w:rPr>
          <w:rFonts w:ascii="宋体" w:hAnsi="宋体" w:cs="宋体"/>
          <w:bCs/>
          <w:sz w:val="24"/>
          <w:szCs w:val="24"/>
        </w:rPr>
      </w:pPr>
      <w:r>
        <w:rPr>
          <w:rFonts w:hint="eastAsia" w:ascii="宋体" w:hAnsi="宋体" w:cs="宋体"/>
          <w:bCs/>
          <w:sz w:val="24"/>
          <w:szCs w:val="24"/>
          <w:lang w:bidi="ar"/>
        </w:rPr>
        <w:t>6.9 检测池长：10mm</w:t>
      </w:r>
    </w:p>
    <w:p>
      <w:pPr>
        <w:adjustRightInd w:val="0"/>
        <w:spacing w:line="400" w:lineRule="exact"/>
        <w:ind w:left="2"/>
        <w:rPr>
          <w:rFonts w:ascii="宋体" w:hAnsi="宋体" w:cs="宋体"/>
          <w:bCs/>
          <w:sz w:val="24"/>
          <w:szCs w:val="24"/>
        </w:rPr>
      </w:pPr>
      <w:r>
        <w:rPr>
          <w:rFonts w:hint="eastAsia" w:ascii="宋体" w:hAnsi="宋体" w:cs="宋体"/>
          <w:sz w:val="24"/>
          <w:szCs w:val="24"/>
          <w:lang w:bidi="ar"/>
        </w:rPr>
        <w:t>★</w:t>
      </w:r>
      <w:r>
        <w:rPr>
          <w:rFonts w:hint="eastAsia" w:ascii="宋体" w:hAnsi="宋体" w:cs="宋体"/>
          <w:bCs/>
          <w:sz w:val="24"/>
          <w:szCs w:val="24"/>
          <w:lang w:bidi="ar"/>
        </w:rPr>
        <w:t>6.10 流通池温控：5 - 40°C</w:t>
      </w:r>
    </w:p>
    <w:p>
      <w:pPr>
        <w:adjustRightInd w:val="0"/>
        <w:spacing w:line="400" w:lineRule="exact"/>
        <w:ind w:left="2"/>
        <w:rPr>
          <w:rFonts w:ascii="宋体" w:hAnsi="宋体" w:cs="宋体"/>
          <w:b/>
          <w:sz w:val="24"/>
          <w:szCs w:val="24"/>
        </w:rPr>
      </w:pPr>
    </w:p>
    <w:p>
      <w:pPr>
        <w:adjustRightInd w:val="0"/>
        <w:spacing w:line="400" w:lineRule="exact"/>
        <w:ind w:left="2"/>
        <w:rPr>
          <w:rFonts w:ascii="宋体" w:hAnsi="宋体" w:cs="宋体"/>
          <w:b/>
          <w:sz w:val="24"/>
          <w:szCs w:val="24"/>
        </w:rPr>
      </w:pPr>
      <w:r>
        <w:rPr>
          <w:rFonts w:hint="eastAsia" w:ascii="宋体" w:hAnsi="宋体" w:cs="宋体"/>
          <w:b/>
          <w:sz w:val="24"/>
          <w:szCs w:val="24"/>
          <w:lang w:bidi="ar"/>
        </w:rPr>
        <w:t>7、特殊检测器</w:t>
      </w:r>
    </w:p>
    <w:p>
      <w:pPr>
        <w:adjustRightInd w:val="0"/>
        <w:spacing w:line="400" w:lineRule="exact"/>
        <w:ind w:left="2"/>
        <w:rPr>
          <w:rFonts w:ascii="宋体" w:hAnsi="宋体" w:cs="宋体"/>
          <w:bCs/>
          <w:sz w:val="24"/>
          <w:szCs w:val="24"/>
        </w:rPr>
      </w:pPr>
      <w:r>
        <w:rPr>
          <w:rFonts w:hint="eastAsia" w:ascii="宋体" w:hAnsi="宋体" w:cs="宋体"/>
          <w:bCs/>
          <w:sz w:val="24"/>
          <w:szCs w:val="24"/>
          <w:lang w:bidi="ar"/>
        </w:rPr>
        <w:t>7.1荧光检测器</w:t>
      </w:r>
    </w:p>
    <w:p>
      <w:pPr>
        <w:adjustRightInd w:val="0"/>
        <w:spacing w:line="400" w:lineRule="exact"/>
        <w:ind w:left="2"/>
        <w:rPr>
          <w:rFonts w:ascii="宋体" w:hAnsi="宋体" w:cs="宋体"/>
          <w:kern w:val="0"/>
          <w:sz w:val="24"/>
          <w:szCs w:val="24"/>
        </w:rPr>
      </w:pPr>
      <w:r>
        <w:rPr>
          <w:rFonts w:hint="eastAsia" w:ascii="宋体" w:hAnsi="宋体" w:cs="宋体"/>
          <w:sz w:val="24"/>
          <w:szCs w:val="24"/>
          <w:lang w:bidi="ar"/>
        </w:rPr>
        <w:t xml:space="preserve">7.1.1 </w:t>
      </w:r>
      <w:r>
        <w:rPr>
          <w:rFonts w:hint="eastAsia" w:ascii="宋体" w:hAnsi="宋体" w:cs="宋体"/>
          <w:kern w:val="0"/>
          <w:sz w:val="24"/>
          <w:szCs w:val="24"/>
          <w:lang w:bidi="ar"/>
        </w:rPr>
        <w:t>光源：</w:t>
      </w:r>
      <w:r>
        <w:rPr>
          <w:rFonts w:ascii="宋体" w:hAnsi="宋体"/>
          <w:kern w:val="0"/>
          <w:sz w:val="24"/>
          <w:szCs w:val="24"/>
          <w:lang w:bidi="ar"/>
        </w:rPr>
        <w:t>150W</w:t>
      </w:r>
      <w:r>
        <w:rPr>
          <w:rFonts w:hint="eastAsia" w:ascii="宋体" w:hAnsi="宋体" w:cs="宋体"/>
          <w:kern w:val="0"/>
          <w:sz w:val="24"/>
          <w:szCs w:val="24"/>
          <w:lang w:bidi="ar"/>
        </w:rPr>
        <w:t>氙灯</w:t>
      </w:r>
    </w:p>
    <w:p>
      <w:pPr>
        <w:adjustRightInd w:val="0"/>
        <w:spacing w:line="400" w:lineRule="exact"/>
        <w:ind w:left="2"/>
        <w:rPr>
          <w:rFonts w:ascii="宋体" w:hAnsi="宋体" w:cs="宋体"/>
          <w:kern w:val="0"/>
          <w:sz w:val="24"/>
          <w:szCs w:val="24"/>
        </w:rPr>
      </w:pPr>
      <w:r>
        <w:rPr>
          <w:rFonts w:hint="eastAsia" w:ascii="宋体" w:hAnsi="宋体" w:cs="宋体"/>
          <w:kern w:val="0"/>
          <w:sz w:val="24"/>
          <w:szCs w:val="24"/>
          <w:lang w:bidi="ar"/>
        </w:rPr>
        <w:t>7.1.2波长范围：</w:t>
      </w:r>
      <w:r>
        <w:rPr>
          <w:rFonts w:ascii="宋体" w:hAnsi="宋体"/>
          <w:kern w:val="0"/>
          <w:sz w:val="24"/>
          <w:szCs w:val="24"/>
          <w:lang w:bidi="ar"/>
        </w:rPr>
        <w:t>200-650nm</w:t>
      </w:r>
      <w:r>
        <w:rPr>
          <w:rFonts w:hint="eastAsia" w:ascii="宋体" w:hAnsi="宋体" w:cs="宋体"/>
          <w:kern w:val="0"/>
          <w:sz w:val="24"/>
          <w:szCs w:val="24"/>
          <w:lang w:bidi="ar"/>
        </w:rPr>
        <w:t>（可扩展至</w:t>
      </w:r>
      <w:r>
        <w:rPr>
          <w:rFonts w:ascii="宋体" w:hAnsi="宋体"/>
          <w:kern w:val="0"/>
          <w:sz w:val="24"/>
          <w:szCs w:val="24"/>
          <w:lang w:bidi="ar"/>
        </w:rPr>
        <w:t>900nm</w:t>
      </w:r>
      <w:r>
        <w:rPr>
          <w:rFonts w:hint="eastAsia" w:ascii="宋体" w:hAnsi="宋体" w:cs="宋体"/>
          <w:kern w:val="0"/>
          <w:sz w:val="24"/>
          <w:szCs w:val="24"/>
          <w:lang w:bidi="ar"/>
        </w:rPr>
        <w:t>）</w:t>
      </w:r>
    </w:p>
    <w:p>
      <w:pPr>
        <w:adjustRightInd w:val="0"/>
        <w:spacing w:line="400" w:lineRule="exact"/>
        <w:ind w:left="2"/>
        <w:rPr>
          <w:rFonts w:ascii="宋体" w:hAnsi="宋体"/>
          <w:kern w:val="0"/>
          <w:sz w:val="24"/>
          <w:szCs w:val="24"/>
        </w:rPr>
      </w:pPr>
      <w:r>
        <w:rPr>
          <w:rFonts w:hint="eastAsia" w:ascii="宋体" w:hAnsi="宋体" w:cs="宋体"/>
          <w:kern w:val="0"/>
          <w:sz w:val="24"/>
          <w:szCs w:val="24"/>
          <w:lang w:bidi="ar"/>
        </w:rPr>
        <w:t>7.1.3带宽：</w:t>
      </w:r>
      <w:r>
        <w:rPr>
          <w:rFonts w:ascii="宋体" w:hAnsi="宋体"/>
          <w:kern w:val="0"/>
          <w:sz w:val="24"/>
          <w:szCs w:val="24"/>
          <w:lang w:bidi="ar"/>
        </w:rPr>
        <w:t>15nm</w:t>
      </w:r>
    </w:p>
    <w:p>
      <w:pPr>
        <w:adjustRightInd w:val="0"/>
        <w:spacing w:line="400" w:lineRule="exact"/>
        <w:ind w:left="2"/>
        <w:rPr>
          <w:rFonts w:ascii="宋体" w:hAnsi="宋体"/>
          <w:kern w:val="0"/>
          <w:sz w:val="24"/>
          <w:szCs w:val="24"/>
        </w:rPr>
      </w:pPr>
      <w:r>
        <w:rPr>
          <w:rFonts w:hint="eastAsia" w:ascii="宋体" w:hAnsi="宋体" w:cs="宋体"/>
          <w:kern w:val="0"/>
          <w:sz w:val="24"/>
          <w:szCs w:val="24"/>
          <w:lang w:bidi="ar"/>
        </w:rPr>
        <w:t>7.1.4 波长重现性：</w:t>
      </w:r>
      <w:r>
        <w:rPr>
          <w:rFonts w:ascii="宋体" w:hAnsi="宋体"/>
          <w:kern w:val="0"/>
          <w:sz w:val="24"/>
          <w:szCs w:val="24"/>
          <w:lang w:bidi="ar"/>
        </w:rPr>
        <w:t>±0.2nm</w:t>
      </w:r>
    </w:p>
    <w:p>
      <w:pPr>
        <w:adjustRightInd w:val="0"/>
        <w:spacing w:line="400" w:lineRule="exact"/>
        <w:ind w:left="2"/>
        <w:rPr>
          <w:rFonts w:ascii="宋体" w:hAnsi="宋体" w:cs="宋体"/>
          <w:sz w:val="24"/>
          <w:szCs w:val="24"/>
        </w:rPr>
      </w:pPr>
      <w:r>
        <w:rPr>
          <w:rFonts w:hint="eastAsia" w:ascii="宋体" w:hAnsi="宋体" w:cs="宋体"/>
          <w:kern w:val="0"/>
          <w:sz w:val="24"/>
          <w:szCs w:val="24"/>
          <w:lang w:bidi="ar"/>
        </w:rPr>
        <w:t>7.1.5 检测灵敏度：蒸馏水的拉曼峰</w:t>
      </w:r>
      <w:r>
        <w:rPr>
          <w:rFonts w:ascii="宋体" w:hAnsi="宋体"/>
          <w:kern w:val="0"/>
          <w:sz w:val="24"/>
          <w:szCs w:val="24"/>
          <w:lang w:bidi="ar"/>
        </w:rPr>
        <w:t>S/N</w:t>
      </w:r>
      <w:r>
        <w:rPr>
          <w:rFonts w:hint="eastAsia" w:ascii="宋体" w:hAnsi="宋体" w:cs="宋体"/>
          <w:kern w:val="0"/>
          <w:sz w:val="24"/>
          <w:szCs w:val="24"/>
          <w:lang w:bidi="ar"/>
        </w:rPr>
        <w:t>≥</w:t>
      </w:r>
      <w:r>
        <w:rPr>
          <w:rFonts w:ascii="宋体" w:hAnsi="宋体"/>
          <w:kern w:val="0"/>
          <w:sz w:val="24"/>
          <w:szCs w:val="24"/>
          <w:lang w:bidi="ar"/>
        </w:rPr>
        <w:t>1500</w:t>
      </w:r>
    </w:p>
    <w:p>
      <w:pPr>
        <w:adjustRightInd w:val="0"/>
        <w:rPr>
          <w:rFonts w:ascii="宋体" w:hAnsi="宋体" w:cs="宋体"/>
          <w:kern w:val="0"/>
          <w:sz w:val="24"/>
          <w:szCs w:val="24"/>
        </w:rPr>
      </w:pPr>
    </w:p>
    <w:p>
      <w:pPr>
        <w:tabs>
          <w:tab w:val="left" w:pos="980"/>
        </w:tabs>
        <w:spacing w:line="500" w:lineRule="exact"/>
        <w:rPr>
          <w:rFonts w:ascii="宋体" w:hAnsi="宋体" w:cs="宋体"/>
          <w:b/>
          <w:bCs/>
          <w:sz w:val="24"/>
          <w:szCs w:val="24"/>
        </w:rPr>
      </w:pPr>
      <w:r>
        <w:rPr>
          <w:rFonts w:hint="eastAsia" w:ascii="宋体" w:hAnsi="宋体" w:cs="宋体"/>
          <w:b/>
          <w:bCs/>
          <w:sz w:val="24"/>
          <w:szCs w:val="24"/>
          <w:lang w:bidi="ar"/>
        </w:rPr>
        <w:t>8、中文系统工作站</w:t>
      </w:r>
    </w:p>
    <w:p>
      <w:pPr>
        <w:tabs>
          <w:tab w:val="left" w:pos="980"/>
        </w:tabs>
        <w:spacing w:line="500" w:lineRule="exact"/>
        <w:rPr>
          <w:rFonts w:ascii="宋体" w:hAnsi="宋体" w:cs="宋体"/>
          <w:bCs/>
          <w:sz w:val="24"/>
          <w:szCs w:val="24"/>
        </w:rPr>
      </w:pPr>
      <w:r>
        <w:rPr>
          <w:rFonts w:hint="eastAsia" w:ascii="宋体" w:hAnsi="宋体" w:cs="宋体"/>
          <w:bCs/>
          <w:sz w:val="24"/>
          <w:szCs w:val="24"/>
          <w:lang w:bidi="ar"/>
        </w:rPr>
        <w:t>8.1 适用Win XP / Win7 系统。</w:t>
      </w:r>
    </w:p>
    <w:p>
      <w:pPr>
        <w:tabs>
          <w:tab w:val="left" w:pos="980"/>
        </w:tabs>
        <w:spacing w:line="500" w:lineRule="exact"/>
        <w:rPr>
          <w:rFonts w:ascii="宋体" w:hAnsi="宋体" w:cs="宋体"/>
          <w:bCs/>
          <w:sz w:val="24"/>
          <w:szCs w:val="24"/>
        </w:rPr>
      </w:pPr>
      <w:r>
        <w:rPr>
          <w:rFonts w:hint="eastAsia" w:ascii="宋体" w:hAnsi="宋体" w:cs="宋体"/>
          <w:sz w:val="24"/>
          <w:szCs w:val="24"/>
          <w:lang w:bidi="ar"/>
        </w:rPr>
        <w:t xml:space="preserve">★8.2 </w:t>
      </w:r>
      <w:r>
        <w:rPr>
          <w:rFonts w:hint="eastAsia" w:ascii="宋体" w:hAnsi="宋体" w:cs="宋体"/>
          <w:bCs/>
          <w:sz w:val="24"/>
          <w:szCs w:val="24"/>
          <w:lang w:bidi="ar"/>
        </w:rPr>
        <w:t>界面：数据库型界面与图形化指导界面可随时切换</w:t>
      </w:r>
    </w:p>
    <w:p>
      <w:pPr>
        <w:tabs>
          <w:tab w:val="left" w:pos="980"/>
        </w:tabs>
        <w:spacing w:line="500" w:lineRule="exact"/>
        <w:ind w:left="443" w:leftChars="-4" w:hanging="451" w:hangingChars="188"/>
        <w:rPr>
          <w:rFonts w:ascii="宋体" w:hAnsi="宋体" w:cs="宋体"/>
          <w:bCs/>
          <w:sz w:val="24"/>
          <w:szCs w:val="24"/>
        </w:rPr>
      </w:pPr>
      <w:r>
        <w:rPr>
          <w:rFonts w:hint="eastAsia" w:ascii="宋体" w:hAnsi="宋体" w:cs="宋体"/>
          <w:bCs/>
          <w:sz w:val="24"/>
          <w:szCs w:val="24"/>
          <w:lang w:bidi="ar"/>
        </w:rPr>
        <w:t>8.3系统适应性：标准配置系统适应性软件，方便客户计算柱效、理论塔板数、拖尾因子等验证必备指标；</w:t>
      </w:r>
    </w:p>
    <w:p>
      <w:pPr>
        <w:adjustRightInd w:val="0"/>
        <w:spacing w:line="400" w:lineRule="exact"/>
        <w:jc w:val="left"/>
        <w:rPr>
          <w:rFonts w:ascii="宋体" w:hAnsi="宋体" w:cs="宋体"/>
          <w:sz w:val="24"/>
          <w:szCs w:val="24"/>
          <w:lang w:bidi="ar"/>
        </w:rPr>
      </w:pPr>
      <w:r>
        <w:rPr>
          <w:rFonts w:hint="eastAsia" w:ascii="宋体" w:hAnsi="宋体" w:cs="宋体"/>
          <w:bCs/>
          <w:sz w:val="24"/>
          <w:szCs w:val="24"/>
          <w:lang w:bidi="ar"/>
        </w:rPr>
        <w:t>8.4报告格式：可自主编制,也可选择模板,可自动生成E-mail 和Excel/PDF/TXT等格式，系</w:t>
      </w:r>
      <w:r>
        <w:rPr>
          <w:rFonts w:hint="eastAsia" w:ascii="宋体" w:hAnsi="宋体" w:cs="宋体"/>
          <w:sz w:val="24"/>
          <w:szCs w:val="24"/>
          <w:lang w:bidi="ar"/>
        </w:rPr>
        <w:t>统可接驳各种市售品牌LIMS系统；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8.5数据库：强大的数据管理功能，保证数据的完整性和安全性。原始数据、仪器条件和处理参数等信息的关联由软件自动建立，用户无需记忆就能找到相应的信息。在数据库中，用户可以采用各种检索方式从大量的数据中取出想要的数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8.6数据安全性：符合cGMP/GLP和21 CFR Part 11法规的要求。登录时输入用户名和密码，每个使用者可以使用各自的用户名、密码和权限，相互之间的数据互相独立，互不干扰；群组管理，预留网络化升级端口。</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8.7可以进行色谱峰的积分和标定，支持多种定量曲线方式，可以对色谱峰建立各种积分方式和积分事件，支持自动计算柱效、理论塔板数、拖尾因子等验证必备指标。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9.1四元梯度泵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9.2在线脱气单元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9.3高效混合器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9.4高性能自动进样器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9.5柱温箱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9.6双波长紫外检测器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9.7荧光检测器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9.8工作站软件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9.9输入设备 3套；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9.10输出设备1套；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9.11 C18通用色谱柱3根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9.12 保质期为验收合格后</w:t>
      </w:r>
      <w:r>
        <w:rPr>
          <w:rFonts w:ascii="宋体" w:hAnsi="宋体" w:cs="宋体"/>
          <w:sz w:val="24"/>
          <w:szCs w:val="24"/>
          <w:lang w:bidi="ar"/>
        </w:rPr>
        <w:t>2</w:t>
      </w:r>
      <w:r>
        <w:rPr>
          <w:rFonts w:hint="eastAsia" w:ascii="宋体" w:hAnsi="宋体" w:cs="宋体"/>
          <w:sz w:val="24"/>
          <w:szCs w:val="24"/>
          <w:lang w:bidi="ar"/>
        </w:rPr>
        <w:t xml:space="preserve">年        </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（二）、气相色谱三重四级杆质谱联用仪技术参数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1、仪器总体性能要求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对复杂基质样品中热稳定性强、极性低、等目标化合物进行高效分离并实现高灵敏度准确定量，定性分析，适用于水质，食品等样品。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2、工作条件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 电源:220V，50Hz</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 温度:操作环境20</w:t>
      </w:r>
      <w:r>
        <w:rPr>
          <w:rFonts w:ascii="宋体" w:hAnsi="宋体" w:cs="宋体"/>
          <w:sz w:val="24"/>
          <w:szCs w:val="24"/>
          <w:lang w:bidi="ar"/>
        </w:rPr>
        <w:t>˚</w:t>
      </w:r>
      <w:r>
        <w:rPr>
          <w:rFonts w:hint="eastAsia" w:ascii="宋体" w:hAnsi="宋体" w:cs="宋体"/>
          <w:sz w:val="24"/>
          <w:szCs w:val="24"/>
          <w:lang w:bidi="ar"/>
        </w:rPr>
        <w:t>C -35</w:t>
      </w:r>
      <w:r>
        <w:rPr>
          <w:rFonts w:ascii="宋体" w:hAnsi="宋体" w:cs="宋体"/>
          <w:sz w:val="24"/>
          <w:szCs w:val="24"/>
          <w:lang w:bidi="ar"/>
        </w:rPr>
        <w:t>˚</w:t>
      </w:r>
      <w:r>
        <w:rPr>
          <w:rFonts w:hint="eastAsia" w:ascii="宋体" w:hAnsi="宋体" w:cs="宋体"/>
          <w:sz w:val="24"/>
          <w:szCs w:val="24"/>
          <w:lang w:bidi="ar"/>
        </w:rPr>
        <w:t>C</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2.3 湿度: 操作状态25-50%，非操作状态20-80%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 仪器性能参数</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气相色谱部分：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★色谱性能：保留时间重现性&lt;0.008% 或&lt;0.0008 min ；峰面积重现性&lt;0.5%RSD，具有六个气相色谱柱智能钥匙和三个 USB 端口，具有电容式触摸屏界面，可实时访问仪器状态、配置和流路信息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3.1柱箱</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3.1.1  操作温度：室温以上4</w:t>
      </w:r>
      <w:r>
        <w:rPr>
          <w:rFonts w:ascii="宋体" w:hAnsi="宋体" w:cs="宋体"/>
          <w:sz w:val="24"/>
          <w:szCs w:val="24"/>
          <w:lang w:bidi="ar"/>
        </w:rPr>
        <w:t>˚</w:t>
      </w:r>
      <w:r>
        <w:rPr>
          <w:rFonts w:hint="eastAsia" w:ascii="宋体" w:hAnsi="宋体" w:cs="宋体"/>
          <w:sz w:val="24"/>
          <w:szCs w:val="24"/>
          <w:lang w:bidi="ar"/>
        </w:rPr>
        <w:t>C -450</w:t>
      </w:r>
      <w:r>
        <w:rPr>
          <w:rFonts w:ascii="宋体" w:hAnsi="宋体" w:cs="宋体"/>
          <w:sz w:val="24"/>
          <w:szCs w:val="24"/>
          <w:lang w:bidi="ar"/>
        </w:rPr>
        <w:t>˚</w:t>
      </w:r>
      <w:r>
        <w:rPr>
          <w:rFonts w:hint="eastAsia" w:ascii="宋体" w:hAnsi="宋体" w:cs="宋体"/>
          <w:sz w:val="24"/>
          <w:szCs w:val="24"/>
          <w:lang w:bidi="ar"/>
        </w:rPr>
        <w:t>C</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3.1.2  温度分辨：1</w:t>
      </w:r>
      <w:r>
        <w:rPr>
          <w:rFonts w:ascii="宋体" w:hAnsi="宋体" w:cs="宋体"/>
          <w:sz w:val="24"/>
          <w:szCs w:val="24"/>
          <w:lang w:bidi="ar"/>
        </w:rPr>
        <w:t>˚</w:t>
      </w:r>
      <w:r>
        <w:rPr>
          <w:rFonts w:hint="eastAsia" w:ascii="宋体" w:hAnsi="宋体" w:cs="宋体"/>
          <w:sz w:val="24"/>
          <w:szCs w:val="24"/>
          <w:lang w:bidi="ar"/>
        </w:rPr>
        <w:t>C温度设定，0.1</w:t>
      </w:r>
      <w:r>
        <w:rPr>
          <w:rFonts w:ascii="宋体" w:hAnsi="宋体" w:cs="宋体"/>
          <w:sz w:val="24"/>
          <w:szCs w:val="24"/>
          <w:lang w:bidi="ar"/>
        </w:rPr>
        <w:t>˚</w:t>
      </w:r>
      <w:r>
        <w:rPr>
          <w:rFonts w:hint="eastAsia" w:ascii="宋体" w:hAnsi="宋体" w:cs="宋体"/>
          <w:sz w:val="24"/>
          <w:szCs w:val="24"/>
          <w:lang w:bidi="ar"/>
        </w:rPr>
        <w:t>C程序设定</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3.1.3降温速率：从450</w:t>
      </w:r>
      <w:r>
        <w:rPr>
          <w:rFonts w:ascii="宋体" w:hAnsi="宋体" w:cs="宋体"/>
          <w:sz w:val="24"/>
          <w:szCs w:val="24"/>
          <w:lang w:bidi="ar"/>
        </w:rPr>
        <w:t>˚</w:t>
      </w:r>
      <w:r>
        <w:rPr>
          <w:rFonts w:hint="eastAsia" w:ascii="宋体" w:hAnsi="宋体" w:cs="宋体"/>
          <w:sz w:val="24"/>
          <w:szCs w:val="24"/>
          <w:lang w:bidi="ar"/>
        </w:rPr>
        <w:t>C降至50</w:t>
      </w:r>
      <w:r>
        <w:rPr>
          <w:rFonts w:ascii="宋体" w:hAnsi="宋体" w:cs="宋体"/>
          <w:sz w:val="24"/>
          <w:szCs w:val="24"/>
          <w:lang w:bidi="ar"/>
        </w:rPr>
        <w:t>˚</w:t>
      </w:r>
      <w:r>
        <w:rPr>
          <w:rFonts w:hint="eastAsia" w:ascii="宋体" w:hAnsi="宋体" w:cs="宋体"/>
          <w:sz w:val="24"/>
          <w:szCs w:val="24"/>
          <w:lang w:bidi="ar"/>
        </w:rPr>
        <w:t xml:space="preserve">C&lt;3.5min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3.1.4  最大运行时间：999.99分钟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3.1.5  20梯度/21平台程序升温</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3.1.6  温度稳定性: ＜0.01</w:t>
      </w:r>
      <w:r>
        <w:rPr>
          <w:rFonts w:ascii="宋体" w:hAnsi="宋体" w:cs="宋体"/>
          <w:sz w:val="24"/>
          <w:szCs w:val="24"/>
          <w:lang w:bidi="ar"/>
        </w:rPr>
        <w:t>˚</w:t>
      </w:r>
      <w:r>
        <w:rPr>
          <w:rFonts w:hint="eastAsia" w:ascii="宋体" w:hAnsi="宋体" w:cs="宋体"/>
          <w:sz w:val="24"/>
          <w:szCs w:val="24"/>
          <w:lang w:bidi="ar"/>
        </w:rPr>
        <w:t>C /1</w:t>
      </w:r>
      <w:r>
        <w:rPr>
          <w:rFonts w:ascii="宋体" w:hAnsi="宋体" w:cs="宋体"/>
          <w:sz w:val="24"/>
          <w:szCs w:val="24"/>
          <w:lang w:bidi="ar"/>
        </w:rPr>
        <w:t>˚</w:t>
      </w:r>
      <w:r>
        <w:rPr>
          <w:rFonts w:hint="eastAsia" w:ascii="宋体" w:hAnsi="宋体" w:cs="宋体"/>
          <w:sz w:val="24"/>
          <w:szCs w:val="24"/>
          <w:lang w:bidi="ar"/>
        </w:rPr>
        <w:t>C环境变化</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3.1.7  升温速率：120 </w:t>
      </w:r>
      <w:r>
        <w:rPr>
          <w:rFonts w:ascii="宋体" w:hAnsi="宋体" w:cs="宋体"/>
          <w:sz w:val="24"/>
          <w:szCs w:val="24"/>
          <w:lang w:bidi="ar"/>
        </w:rPr>
        <w:t>˚</w:t>
      </w:r>
      <w:r>
        <w:rPr>
          <w:rFonts w:hint="eastAsia" w:ascii="宋体" w:hAnsi="宋体" w:cs="宋体"/>
          <w:sz w:val="24"/>
          <w:szCs w:val="24"/>
          <w:lang w:bidi="ar"/>
        </w:rPr>
        <w:t>C/min</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3.2 分流/不分流毛细管柱进样口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3.2.1  可编程电子参数设定压力、流速、分流比</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3.2.2  最高使用温度400</w:t>
      </w:r>
      <w:r>
        <w:rPr>
          <w:rFonts w:ascii="宋体" w:hAnsi="宋体" w:cs="宋体"/>
          <w:sz w:val="24"/>
          <w:szCs w:val="24"/>
          <w:lang w:bidi="ar"/>
        </w:rPr>
        <w:t>˚</w:t>
      </w:r>
      <w:r>
        <w:rPr>
          <w:rFonts w:hint="eastAsia" w:ascii="宋体" w:hAnsi="宋体" w:cs="宋体"/>
          <w:sz w:val="24"/>
          <w:szCs w:val="24"/>
          <w:lang w:bidi="ar"/>
        </w:rPr>
        <w:t>C</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★3.2.3压力设定精度：0.001psi</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3.2.4 最大压力不小于100psi</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3.2.5 扳转式顶盖进样口密封系统， 更换衬管无需要拆卸螺丝</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 自动进样器：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3.3.1进样位数：不少于166位，包含独立进样塔以及具有高精度机械臂移液系统的样品盘。</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3.3.2进样量范围：0.1～50μL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3.3.3进样量线性：≥99%</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3.3.4进样重复性：RSD&lt;0.3%</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质谱部分：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  基本性能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3.4.1 质量数范围: 10～1050amu</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3.4.2 灵敏度：(测试的柱子规格为30mx0.25mmx0.25um)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EI MRM模式：100fg 八氟奈, 信/噪比≥15000:1(272—222 )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EI MRM模式：10fg 八氟奈, 信/噪比≥1200:1(272—222 )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3.4.3仪器检测限指标 (为仪器安装指标)：(测试的柱子规格为30mx0.25mmx0.25um)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仪器检测限指标(EI MRM IDL)：小于4fg  八氟奈 (OFN),10fg OFN进样8次 （需要提供安装验收报告作为证明文件）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3.4.4 分辨率： 0.4-4amu 可调</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3.4.5 扫描速度：≥20000 Da/秒</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3.4.6 MRM扫描速率：800个MRM/秒</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3.4.7  最小SRM扫描时间：0.5ms </w:t>
      </w:r>
    </w:p>
    <w:p>
      <w:pPr>
        <w:adjustRightInd w:val="0"/>
        <w:spacing w:line="400" w:lineRule="exact"/>
        <w:jc w:val="left"/>
        <w:rPr>
          <w:rFonts w:ascii="宋体" w:hAnsi="宋体" w:cs="宋体"/>
          <w:color w:val="auto"/>
          <w:sz w:val="24"/>
          <w:szCs w:val="24"/>
          <w:lang w:bidi="ar"/>
        </w:rPr>
      </w:pPr>
      <w:r>
        <w:rPr>
          <w:rFonts w:hint="eastAsia" w:ascii="宋体" w:hAnsi="宋体" w:cs="宋体"/>
          <w:color w:val="auto"/>
          <w:sz w:val="24"/>
          <w:szCs w:val="24"/>
          <w:lang w:bidi="ar"/>
        </w:rPr>
        <w:t>3.4.8  动态线性范围: &gt;10</w:t>
      </w:r>
      <w:r>
        <w:rPr>
          <w:rFonts w:hint="eastAsia" w:ascii="宋体" w:hAnsi="宋体" w:cs="宋体"/>
          <w:color w:val="auto"/>
          <w:sz w:val="24"/>
          <w:szCs w:val="24"/>
          <w:vertAlign w:val="superscript"/>
          <w:lang w:bidi="ar"/>
        </w:rPr>
        <w:t>6</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3.4.9  质量轴稳定性：+/- 0.1amu 24 hours.</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 离子源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3.5.1 EI</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★3.5.2 离子源电子能量：10-290eV</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★3.5.3 离子源温度：独立加热，最大温度可达360℃（需提供操作软件截图）</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3.5.4  接口传输线温度：可控温，最高达350℃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3.5.5 无损双灯丝设计，且具有灯丝透镜，保护灯丝，提高灯丝寿命，灯丝电流：0-300uA</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3.5.6  独特的一体化的带拉伸极的离子源设计,保证质谱的灵敏度.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3.6质量分析器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★3.6.1质量分析器：石英镀金共轭双曲面四极杆，能独立温控， 最高可达 190</w:t>
      </w:r>
      <w:r>
        <w:rPr>
          <w:rFonts w:ascii="宋体" w:hAnsi="宋体" w:cs="宋体"/>
          <w:sz w:val="24"/>
          <w:szCs w:val="24"/>
          <w:lang w:bidi="ar"/>
        </w:rPr>
        <w:t>˚</w:t>
      </w:r>
      <w:r>
        <w:rPr>
          <w:rFonts w:hint="eastAsia" w:ascii="宋体" w:hAnsi="宋体" w:cs="宋体"/>
          <w:sz w:val="24"/>
          <w:szCs w:val="24"/>
          <w:lang w:bidi="ar"/>
        </w:rPr>
        <w:t>C(非预四极杆加热)，消除中心干扰，保证热稳定性和重现性，终身免维护。（不具备控温功能的四级杆需配备额外1套四级杆以及在线GPC净化系统防污染备用）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3.6.2 采用线性加速高压碰撞，氦气淬灭消除中性噪音的六极杆碰撞池装置设计，消除“记忆效应”和“交叉污染”。</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3.6.3 碰撞能量：0-60eV </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3.7 扫描功能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3.7.1 提供全扫描(Full Scan)、子离子扫描( Product Ion Scan)、母离子扫描(Precursor Ion Scan)、中性丢失扫描(Neutral Loss Scan)、选择离子扫描模式(SIM)、选择反应扫描模式(SRM)、多反应扫描模式（MRM）等多种模式</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 检测系统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3.8.1检测器：三重离轴电子倍增器检测器, 后加速电压长寿命检测器，最大限度地降低中性粒子的干扰</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 真空系统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3.9.1  真空系统：两级分子涡轮泵高真空系统, 空气冷却，无需水冷，源区和分析区形成差分抽气系统.具有自动检漏功能,如果出现泄漏会自动报警和预处理。</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 工作站系统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3.10.1  气相色谱, 质谱, 质谱工作站之间的数据传输全部由内置的网卡实现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3.10.2 软件：气质串接软件应该同时包含中文和英文两种软件，用户可根据自己需要安装不同语言版本的软件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3.10.3  手动/自动调谐, 数据采集, 数据检索, 分析结果报告, 定量分析及谱库检索功能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3.10.4  数据分析软件应包括常规数据和符合EPA要求的专用环境数据处理等多种分析模式。两种模式通过软件配置互相转换,均能独立工作</w:t>
      </w:r>
    </w:p>
    <w:p>
      <w:pPr>
        <w:adjustRightInd w:val="0"/>
        <w:spacing w:line="400" w:lineRule="exact"/>
        <w:jc w:val="left"/>
        <w:rPr>
          <w:rFonts w:ascii="宋体" w:hAnsi="宋体" w:cs="宋体"/>
          <w:sz w:val="24"/>
          <w:szCs w:val="24"/>
          <w:lang w:bidi="ar"/>
        </w:rPr>
      </w:pPr>
      <w:bookmarkStart w:id="69" w:name="OLE_LINK1"/>
      <w:bookmarkStart w:id="70" w:name="OLE_LINK2"/>
      <w:r>
        <w:rPr>
          <w:rFonts w:hint="eastAsia" w:ascii="宋体" w:hAnsi="宋体" w:cs="宋体"/>
          <w:sz w:val="24"/>
          <w:szCs w:val="24"/>
          <w:lang w:bidi="ar"/>
        </w:rPr>
        <w:t>3.10.5扫描模式：全扫描（SCAN）、选择离子扫描（SIM）、多反应监测（MRM）、动态多反应监测（dMRM）、母离子扫描、子离子扫描、中性丢失扫描。</w:t>
      </w:r>
      <w:bookmarkEnd w:id="69"/>
      <w:bookmarkEnd w:id="70"/>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3.10.6串联质谱可直接导入并执行相同品牌单杆气质方法，无需转换</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3.10.7  操作环境：Windows 10或更高</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3.10.8  谱库: NIST20谱库和化学结构式库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★3.10.9 一针进样可以用SRM扫描同时检测800种以上化合物，投标时提供一针SRM进样同时检测800种以上化合物的应用文献。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3.10.10质谱数据处理软件可依据保留时间锁定谱库当中标准保留时间和质谱信息对样品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当中可能存在的目标化合物进行自动搜寻, 并显示搜寻结果.搜寻结果应显示每个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化合物的实测保留时间与谱库当中其标准保留时间的偏差, 定量及确认离子之间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的标准丰度比与实测丰度比等以供使用者准确定性。</w:t>
      </w:r>
    </w:p>
    <w:p>
      <w:pPr>
        <w:adjustRightInd w:val="0"/>
        <w:spacing w:line="400" w:lineRule="exact"/>
        <w:jc w:val="left"/>
        <w:rPr>
          <w:rFonts w:ascii="宋体" w:hAnsi="宋体" w:cs="宋体"/>
          <w:sz w:val="24"/>
          <w:szCs w:val="24"/>
          <w:lang w:bidi="ar"/>
        </w:rPr>
      </w:pPr>
      <w:bookmarkStart w:id="71" w:name="_Toc444783840"/>
      <w:r>
        <w:rPr>
          <w:rFonts w:hint="eastAsia" w:ascii="宋体" w:hAnsi="宋体" w:cs="宋体"/>
          <w:sz w:val="24"/>
          <w:szCs w:val="24"/>
          <w:lang w:bidi="ar"/>
        </w:rPr>
        <w:t>4、配置</w:t>
      </w:r>
      <w:bookmarkEnd w:id="71"/>
      <w:r>
        <w:rPr>
          <w:rFonts w:hint="eastAsia" w:ascii="宋体" w:hAnsi="宋体" w:cs="宋体"/>
          <w:sz w:val="24"/>
          <w:szCs w:val="24"/>
          <w:lang w:bidi="ar"/>
        </w:rPr>
        <w:t>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 GCMSMS质谱主机，（包括惰性离子源，四级杆质量分析器，检测器等）1套。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4.2气相色谱仪主机1套。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4.3 机械泵和分子涡轮泵系统1套。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4.4 5MS色谱柱 1根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4.5 1701 色谱柱 1根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4.6 自动进样器系统1套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4.7 安装工具包1套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4.8 质谱接口1套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4.9 调协液 1瓶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4.10质谱操作软件及数据处理系统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4.11数据处理装置及输出装置1套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4.12 NIST  质谱谱库1套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4.13 MRM数据库1套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4.14 分流/不分流衬管10根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4.15 进样隔垫100个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4.16 2mL样品瓶及瓶盖400个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4.17 O形圈20个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4.18密封垫20个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4.19氦气过滤器2个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4.20机械泵油2瓶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4.21自动进样针5根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4.22 UPS不间断稳压电源 1套</w:t>
      </w:r>
    </w:p>
    <w:p>
      <w:pPr>
        <w:adjustRightInd w:val="0"/>
        <w:spacing w:line="400" w:lineRule="exact"/>
        <w:jc w:val="left"/>
        <w:rPr>
          <w:rFonts w:ascii="宋体" w:hAnsi="宋体" w:cs="宋体"/>
          <w:sz w:val="24"/>
          <w:szCs w:val="24"/>
          <w:lang w:val="de" w:bidi="ar"/>
        </w:rPr>
      </w:pPr>
      <w:r>
        <w:rPr>
          <w:rFonts w:hint="eastAsia" w:ascii="宋体" w:hAnsi="宋体" w:cs="宋体"/>
          <w:sz w:val="24"/>
          <w:szCs w:val="24"/>
          <w:lang w:bidi="ar"/>
        </w:rPr>
        <w:t>4.23 高纯氦气和高纯氮气钢瓶及减压阀各1套</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（三）、纯水超纯水系统</w:t>
      </w:r>
      <w:bookmarkStart w:id="72" w:name="_Hlk535493836"/>
      <w:r>
        <w:rPr>
          <w:rFonts w:hint="eastAsia" w:ascii="宋体" w:hAnsi="宋体" w:cs="宋体"/>
          <w:b/>
          <w:bCs/>
          <w:sz w:val="24"/>
          <w:szCs w:val="24"/>
          <w:lang w:bidi="ar"/>
        </w:rPr>
        <w:t>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1、工作条件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1.1供给电压：</w:t>
      </w:r>
      <w:r>
        <w:rPr>
          <w:rFonts w:ascii="宋体" w:hAnsi="宋体" w:cs="宋体"/>
          <w:sz w:val="24"/>
          <w:szCs w:val="24"/>
          <w:lang w:bidi="ar"/>
        </w:rPr>
        <w:t>100 ~ 240 V ± 10%</w:t>
      </w:r>
      <w:r>
        <w:rPr>
          <w:rFonts w:hint="eastAsia" w:ascii="宋体" w:hAnsi="宋体" w:cs="宋体"/>
          <w:sz w:val="24"/>
          <w:szCs w:val="24"/>
          <w:lang w:bidi="ar"/>
        </w:rPr>
        <w:t>；</w:t>
      </w:r>
      <w:r>
        <w:rPr>
          <w:rFonts w:ascii="宋体" w:hAnsi="宋体" w:cs="宋体"/>
          <w:sz w:val="24"/>
          <w:szCs w:val="24"/>
          <w:lang w:bidi="ar"/>
        </w:rPr>
        <w:t>50 ~ 60 Hz ± 2Hz</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1.2环境温度：</w:t>
      </w:r>
      <w:r>
        <w:rPr>
          <w:rFonts w:ascii="宋体" w:hAnsi="宋体" w:cs="宋体"/>
          <w:sz w:val="24"/>
          <w:szCs w:val="24"/>
          <w:lang w:bidi="ar"/>
        </w:rPr>
        <w:t>4</w:t>
      </w:r>
      <w:r>
        <w:rPr>
          <w:rFonts w:hint="eastAsia" w:ascii="宋体" w:hAnsi="宋体" w:cs="宋体"/>
          <w:sz w:val="24"/>
          <w:szCs w:val="24"/>
          <w:lang w:bidi="ar"/>
        </w:rPr>
        <w:t>℃～</w:t>
      </w:r>
      <w:r>
        <w:rPr>
          <w:rFonts w:ascii="宋体" w:hAnsi="宋体" w:cs="宋体"/>
          <w:sz w:val="24"/>
          <w:szCs w:val="24"/>
          <w:lang w:bidi="ar"/>
        </w:rPr>
        <w:t xml:space="preserve"> 40 </w:t>
      </w:r>
      <w:r>
        <w:rPr>
          <w:rFonts w:hint="eastAsia" w:ascii="宋体" w:hAnsi="宋体" w:cs="宋体"/>
          <w:sz w:val="24"/>
          <w:szCs w:val="24"/>
          <w:lang w:bidi="ar"/>
        </w:rPr>
        <w:t>℃</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1.3相对湿度：当室内温度低于</w:t>
      </w:r>
      <w:r>
        <w:rPr>
          <w:rFonts w:ascii="宋体" w:hAnsi="宋体" w:cs="宋体"/>
          <w:sz w:val="24"/>
          <w:szCs w:val="24"/>
          <w:lang w:bidi="ar"/>
        </w:rPr>
        <w:t>31</w:t>
      </w:r>
      <w:r>
        <w:rPr>
          <w:rFonts w:hint="eastAsia" w:ascii="宋体" w:hAnsi="宋体" w:cs="宋体"/>
          <w:sz w:val="24"/>
          <w:szCs w:val="24"/>
          <w:lang w:bidi="ar"/>
        </w:rPr>
        <w:t>℃时，室内相对湿度为</w:t>
      </w:r>
      <w:r>
        <w:rPr>
          <w:rFonts w:ascii="宋体" w:hAnsi="宋体" w:cs="宋体"/>
          <w:sz w:val="24"/>
          <w:szCs w:val="24"/>
          <w:lang w:bidi="ar"/>
        </w:rPr>
        <w:t>80%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★1.4进水条件：</w:t>
      </w:r>
      <w:bookmarkEnd w:id="72"/>
      <w:r>
        <w:rPr>
          <w:rFonts w:hint="eastAsia" w:ascii="宋体" w:hAnsi="宋体" w:cs="宋体"/>
          <w:sz w:val="24"/>
          <w:szCs w:val="24"/>
          <w:lang w:bidi="ar"/>
        </w:rPr>
        <w:t>电导率＜</w:t>
      </w:r>
      <w:r>
        <w:rPr>
          <w:rFonts w:ascii="宋体" w:hAnsi="宋体" w:cs="宋体"/>
          <w:sz w:val="24"/>
          <w:szCs w:val="24"/>
          <w:lang w:bidi="ar"/>
        </w:rPr>
        <w:t>2000μs/cm @ 25</w:t>
      </w:r>
      <w:r>
        <w:rPr>
          <w:rFonts w:hint="eastAsia" w:ascii="宋体" w:hAnsi="宋体" w:cs="宋体"/>
          <w:sz w:val="24"/>
          <w:szCs w:val="24"/>
          <w:lang w:bidi="ar"/>
        </w:rPr>
        <w:t>℃</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2、实验应用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2.1产出的实验室一级超纯水可应用于：各种化学分析仪器（如</w:t>
      </w:r>
      <w:r>
        <w:rPr>
          <w:rFonts w:ascii="宋体" w:hAnsi="宋体" w:cs="宋体"/>
          <w:sz w:val="24"/>
          <w:szCs w:val="24"/>
          <w:lang w:bidi="ar"/>
        </w:rPr>
        <w:t>HPLC / LC-MS / ICP-MS</w:t>
      </w:r>
      <w:r>
        <w:rPr>
          <w:rFonts w:hint="eastAsia" w:ascii="宋体" w:hAnsi="宋体" w:cs="宋体"/>
          <w:sz w:val="24"/>
          <w:szCs w:val="24"/>
          <w:lang w:bidi="ar"/>
        </w:rPr>
        <w:t>等）</w:t>
      </w:r>
      <w:bookmarkStart w:id="73" w:name="_Hlk496871159"/>
      <w:r>
        <w:rPr>
          <w:rFonts w:hint="eastAsia" w:ascii="宋体" w:hAnsi="宋体" w:cs="宋体"/>
          <w:sz w:val="24"/>
          <w:szCs w:val="24"/>
          <w:lang w:bidi="ar"/>
        </w:rPr>
        <w:t>、</w:t>
      </w:r>
      <w:bookmarkEnd w:id="73"/>
      <w:r>
        <w:rPr>
          <w:rFonts w:hint="eastAsia" w:ascii="宋体" w:hAnsi="宋体" w:cs="宋体"/>
          <w:sz w:val="24"/>
          <w:szCs w:val="24"/>
          <w:lang w:bidi="ar"/>
        </w:rPr>
        <w:t>生命科学领域实验（如</w:t>
      </w:r>
      <w:r>
        <w:rPr>
          <w:rFonts w:ascii="宋体" w:hAnsi="宋体" w:cs="宋体"/>
          <w:sz w:val="24"/>
          <w:szCs w:val="24"/>
          <w:lang w:bidi="ar"/>
        </w:rPr>
        <w:t>PCR</w:t>
      </w:r>
      <w:r>
        <w:rPr>
          <w:rFonts w:hint="eastAsia" w:ascii="宋体" w:hAnsi="宋体" w:cs="宋体"/>
          <w:sz w:val="24"/>
          <w:szCs w:val="24"/>
          <w:lang w:bidi="ar"/>
        </w:rPr>
        <w:t>、细胞培养、分子生物学、基因测序等）。</w:t>
      </w:r>
    </w:p>
    <w:p>
      <w:pPr>
        <w:adjustRightInd w:val="0"/>
        <w:spacing w:line="400" w:lineRule="exact"/>
        <w:jc w:val="left"/>
        <w:rPr>
          <w:rFonts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bidi="ar"/>
        </w:rPr>
        <w:t>.2产出的实验室二级纯水可供洗瓶机和实验室用溶液的配置等。</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3、</w:t>
      </w:r>
      <w:r>
        <w:rPr>
          <w:rFonts w:hint="eastAsia" w:ascii="宋体" w:hAnsi="宋体" w:cs="宋体"/>
          <w:sz w:val="24"/>
          <w:szCs w:val="24"/>
          <w:lang w:val="it" w:bidi="ar"/>
        </w:rPr>
        <w:t>整体描述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3.1系统以满足进水条件的自来水作为进水，生产制备超纯水。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3.2超纯水产水速度为逐滴至最大</w:t>
      </w:r>
      <w:r>
        <w:rPr>
          <w:rFonts w:ascii="宋体" w:hAnsi="宋体" w:cs="宋体"/>
          <w:sz w:val="24"/>
          <w:szCs w:val="24"/>
          <w:lang w:bidi="ar"/>
        </w:rPr>
        <w:t>2 L/min</w:t>
      </w:r>
      <w:r>
        <w:rPr>
          <w:rFonts w:hint="eastAsia" w:ascii="宋体" w:hAnsi="宋体" w:cs="宋体"/>
          <w:sz w:val="24"/>
          <w:szCs w:val="24"/>
          <w:lang w:bidi="ar"/>
        </w:rPr>
        <w:t>，可以选择</w:t>
      </w:r>
      <w:r>
        <w:rPr>
          <w:rFonts w:ascii="宋体" w:hAnsi="宋体" w:cs="宋体"/>
          <w:sz w:val="24"/>
          <w:szCs w:val="24"/>
          <w:lang w:bidi="ar"/>
        </w:rPr>
        <w:t>8</w:t>
      </w:r>
      <w:r>
        <w:rPr>
          <w:rFonts w:hint="eastAsia" w:ascii="宋体" w:hAnsi="宋体" w:cs="宋体"/>
          <w:sz w:val="24"/>
          <w:szCs w:val="24"/>
          <w:lang w:bidi="ar"/>
        </w:rPr>
        <w:t>种不同的取水流速，纯水产水可以选择</w:t>
      </w:r>
      <w:r>
        <w:rPr>
          <w:rFonts w:ascii="宋体" w:hAnsi="宋体" w:cs="宋体"/>
          <w:sz w:val="24"/>
          <w:szCs w:val="24"/>
          <w:lang w:bidi="ar"/>
        </w:rPr>
        <w:t>2</w:t>
      </w:r>
      <w:r>
        <w:rPr>
          <w:rFonts w:hint="eastAsia" w:ascii="宋体" w:hAnsi="宋体" w:cs="宋体"/>
          <w:sz w:val="24"/>
          <w:szCs w:val="24"/>
          <w:lang w:bidi="ar"/>
        </w:rPr>
        <w:t>种不同取水流速，也可以通过脚踏开关辅助取水。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4、产水水质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★4.1一级超纯水：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产水电阻率：</w:t>
      </w:r>
      <w:r>
        <w:rPr>
          <w:rFonts w:ascii="宋体" w:hAnsi="宋体" w:cs="宋体"/>
          <w:sz w:val="24"/>
          <w:szCs w:val="24"/>
          <w:lang w:bidi="ar"/>
        </w:rPr>
        <w:t>18.2 MΩ.cm @ 25</w:t>
      </w:r>
      <w:r>
        <w:rPr>
          <w:rFonts w:hint="eastAsia" w:ascii="宋体" w:hAnsi="宋体" w:cs="宋体"/>
          <w:sz w:val="24"/>
          <w:szCs w:val="24"/>
          <w:lang w:bidi="ar"/>
        </w:rPr>
        <w:t>℃，</w:t>
      </w:r>
      <w:r>
        <w:rPr>
          <w:rFonts w:ascii="宋体" w:hAnsi="宋体" w:cs="宋体"/>
          <w:sz w:val="24"/>
          <w:szCs w:val="24"/>
          <w:lang w:bidi="ar"/>
        </w:rPr>
        <w:t>TOC</w:t>
      </w:r>
      <w:r>
        <w:rPr>
          <w:rFonts w:hint="eastAsia" w:ascii="宋体" w:hAnsi="宋体" w:cs="宋体"/>
          <w:sz w:val="24"/>
          <w:szCs w:val="24"/>
          <w:lang w:bidi="ar"/>
        </w:rPr>
        <w:t>含量</w:t>
      </w:r>
      <w:r>
        <w:rPr>
          <w:rFonts w:ascii="宋体" w:hAnsi="宋体" w:cs="宋体"/>
          <w:sz w:val="24"/>
          <w:szCs w:val="24"/>
          <w:lang w:bidi="ar"/>
        </w:rPr>
        <w:t>≤2 ppb</w:t>
      </w:r>
      <w:r>
        <w:rPr>
          <w:rFonts w:hint="eastAsia" w:ascii="宋体" w:hAnsi="宋体" w:cs="宋体"/>
          <w:sz w:val="24"/>
          <w:szCs w:val="24"/>
          <w:lang w:bidi="ar"/>
        </w:rPr>
        <w:t>，细菌</w:t>
      </w:r>
      <w:r>
        <w:rPr>
          <w:rFonts w:ascii="宋体" w:hAnsi="宋体" w:cs="宋体"/>
          <w:sz w:val="24"/>
          <w:szCs w:val="24"/>
          <w:lang w:bidi="ar"/>
        </w:rPr>
        <w:t>&lt;0.005 CFU/mL</w:t>
      </w:r>
      <w:r>
        <w:rPr>
          <w:rFonts w:hint="eastAsia" w:ascii="宋体" w:hAnsi="宋体" w:cs="宋体"/>
          <w:sz w:val="24"/>
          <w:szCs w:val="24"/>
          <w:lang w:bidi="ar"/>
        </w:rPr>
        <w:t>，蛋白酶</w:t>
      </w:r>
      <w:r>
        <w:rPr>
          <w:rFonts w:ascii="宋体" w:hAnsi="宋体" w:cs="宋体"/>
          <w:sz w:val="24"/>
          <w:szCs w:val="24"/>
          <w:lang w:bidi="ar"/>
        </w:rPr>
        <w:t xml:space="preserve">&lt;0.15 μg/mL </w:t>
      </w:r>
      <w:r>
        <w:rPr>
          <w:rFonts w:hint="eastAsia" w:ascii="宋体" w:hAnsi="宋体" w:cs="宋体"/>
          <w:sz w:val="24"/>
          <w:szCs w:val="24"/>
          <w:lang w:bidi="ar"/>
        </w:rPr>
        <w:t>。</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★4.2</w:t>
      </w:r>
      <w:r>
        <w:rPr>
          <w:rFonts w:hint="eastAsia" w:ascii="宋体" w:hAnsi="宋体" w:cs="宋体"/>
          <w:sz w:val="24"/>
          <w:szCs w:val="24"/>
          <w:lang w:val="it" w:bidi="ar"/>
        </w:rPr>
        <w:t>纯水产水水质：</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val="it" w:bidi="ar"/>
        </w:rPr>
        <w:t>电阻率＞</w:t>
      </w:r>
      <w:r>
        <w:rPr>
          <w:rFonts w:ascii="宋体" w:hAnsi="宋体" w:cs="宋体"/>
          <w:sz w:val="24"/>
          <w:szCs w:val="24"/>
          <w:lang w:val="it" w:bidi="ar"/>
        </w:rPr>
        <w:t xml:space="preserve"> 5 M</w:t>
      </w:r>
      <w:r>
        <w:rPr>
          <w:rFonts w:hint="eastAsia" w:ascii="宋体" w:hAnsi="宋体" w:cs="宋体"/>
          <w:sz w:val="24"/>
          <w:szCs w:val="24"/>
          <w:lang w:val="it" w:bidi="ar"/>
        </w:rPr>
        <w:t>Ω·</w:t>
      </w:r>
      <w:r>
        <w:rPr>
          <w:rFonts w:ascii="宋体" w:hAnsi="宋体" w:cs="宋体"/>
          <w:sz w:val="24"/>
          <w:szCs w:val="24"/>
          <w:lang w:val="it" w:bidi="ar"/>
        </w:rPr>
        <w:t>cm</w:t>
      </w:r>
      <w:r>
        <w:rPr>
          <w:rFonts w:hint="eastAsia" w:ascii="宋体" w:hAnsi="宋体" w:cs="宋体"/>
          <w:sz w:val="24"/>
          <w:szCs w:val="24"/>
          <w:lang w:val="it" w:bidi="ar"/>
        </w:rPr>
        <w:t>＠</w:t>
      </w:r>
      <w:r>
        <w:rPr>
          <w:rFonts w:ascii="宋体" w:hAnsi="宋体" w:cs="宋体"/>
          <w:sz w:val="24"/>
          <w:szCs w:val="24"/>
          <w:lang w:val="it" w:bidi="ar"/>
        </w:rPr>
        <w:t>25</w:t>
      </w:r>
      <w:r>
        <w:rPr>
          <w:rFonts w:hint="eastAsia" w:ascii="宋体" w:hAnsi="宋体" w:cs="宋体"/>
          <w:sz w:val="24"/>
          <w:szCs w:val="24"/>
          <w:lang w:val="it" w:bidi="ar"/>
        </w:rPr>
        <w:t>℃典型为</w:t>
      </w:r>
      <w:r>
        <w:rPr>
          <w:rFonts w:ascii="宋体" w:hAnsi="宋体" w:cs="宋体"/>
          <w:sz w:val="24"/>
          <w:szCs w:val="24"/>
          <w:lang w:val="it" w:bidi="ar"/>
        </w:rPr>
        <w:t>10-15 M</w:t>
      </w:r>
      <w:r>
        <w:rPr>
          <w:rFonts w:hint="eastAsia" w:ascii="宋体" w:hAnsi="宋体" w:cs="宋体"/>
          <w:sz w:val="24"/>
          <w:szCs w:val="24"/>
          <w:lang w:val="it" w:bidi="ar"/>
        </w:rPr>
        <w:t>Ω·</w:t>
      </w:r>
      <w:r>
        <w:rPr>
          <w:rFonts w:ascii="宋体" w:hAnsi="宋体" w:cs="宋体"/>
          <w:sz w:val="24"/>
          <w:szCs w:val="24"/>
          <w:lang w:val="it" w:bidi="ar"/>
        </w:rPr>
        <w:t>cm</w:t>
      </w:r>
      <w:r>
        <w:rPr>
          <w:rFonts w:hint="eastAsia" w:ascii="宋体" w:hAnsi="宋体" w:cs="宋体"/>
          <w:sz w:val="24"/>
          <w:szCs w:val="24"/>
          <w:lang w:val="it" w:bidi="ar"/>
        </w:rPr>
        <w:t>＠</w:t>
      </w:r>
      <w:r>
        <w:rPr>
          <w:rFonts w:ascii="宋体" w:hAnsi="宋体" w:cs="宋体"/>
          <w:sz w:val="24"/>
          <w:szCs w:val="24"/>
          <w:lang w:val="it" w:bidi="ar"/>
        </w:rPr>
        <w:t>25</w:t>
      </w:r>
      <w:r>
        <w:rPr>
          <w:rFonts w:hint="eastAsia" w:ascii="宋体" w:hAnsi="宋体" w:cs="宋体"/>
          <w:sz w:val="24"/>
          <w:szCs w:val="24"/>
          <w:lang w:val="it" w:bidi="ar"/>
        </w:rPr>
        <w:t>℃，总有机碳含量</w:t>
      </w:r>
      <w:r>
        <w:rPr>
          <w:rFonts w:ascii="宋体" w:hAnsi="宋体" w:cs="宋体"/>
          <w:sz w:val="24"/>
          <w:szCs w:val="24"/>
          <w:lang w:val="it" w:bidi="ar"/>
        </w:rPr>
        <w:t xml:space="preserve">(TOC) </w:t>
      </w:r>
      <w:r>
        <w:rPr>
          <w:rFonts w:hint="eastAsia" w:ascii="宋体" w:hAnsi="宋体" w:cs="宋体"/>
          <w:sz w:val="24"/>
          <w:szCs w:val="24"/>
          <w:lang w:val="it" w:bidi="ar"/>
        </w:rPr>
        <w:t>≤</w:t>
      </w:r>
      <w:r>
        <w:rPr>
          <w:rFonts w:ascii="宋体" w:hAnsi="宋体" w:cs="宋体"/>
          <w:sz w:val="24"/>
          <w:szCs w:val="24"/>
          <w:lang w:val="it" w:bidi="ar"/>
        </w:rPr>
        <w:t xml:space="preserve"> 30ppb</w:t>
      </w:r>
      <w:r>
        <w:rPr>
          <w:rFonts w:hint="eastAsia" w:ascii="宋体" w:hAnsi="宋体" w:cs="宋体"/>
          <w:sz w:val="24"/>
          <w:szCs w:val="24"/>
          <w:lang w:val="it" w:bidi="ar"/>
        </w:rPr>
        <w:t>；产水流速：</w:t>
      </w:r>
      <w:r>
        <w:rPr>
          <w:rFonts w:ascii="宋体" w:hAnsi="宋体" w:cs="宋体"/>
          <w:sz w:val="24"/>
          <w:szCs w:val="24"/>
          <w:lang w:val="it" w:bidi="ar"/>
        </w:rPr>
        <w:t>5 L/H</w:t>
      </w:r>
      <w:r>
        <w:rPr>
          <w:rFonts w:hint="eastAsia" w:ascii="宋体" w:hAnsi="宋体" w:cs="宋体"/>
          <w:sz w:val="24"/>
          <w:szCs w:val="24"/>
          <w:lang w:val="it" w:bidi="ar"/>
        </w:rPr>
        <w:t>，产水储存于外置</w:t>
      </w:r>
      <w:r>
        <w:rPr>
          <w:rFonts w:ascii="宋体" w:hAnsi="宋体" w:cs="宋体"/>
          <w:sz w:val="24"/>
          <w:szCs w:val="24"/>
          <w:lang w:val="it" w:bidi="ar"/>
        </w:rPr>
        <w:t>50 L</w:t>
      </w:r>
      <w:r>
        <w:rPr>
          <w:rFonts w:hint="eastAsia" w:ascii="宋体" w:hAnsi="宋体" w:cs="宋体"/>
          <w:sz w:val="24"/>
          <w:szCs w:val="24"/>
          <w:lang w:val="it" w:bidi="ar"/>
        </w:rPr>
        <w:t>智能纯水蓄水箱，圆锥形可完全排空</w:t>
      </w:r>
      <w:r>
        <w:rPr>
          <w:rFonts w:ascii="宋体" w:hAnsi="宋体" w:cs="宋体"/>
          <w:sz w:val="24"/>
          <w:szCs w:val="24"/>
          <w:lang w:val="it" w:bidi="ar"/>
        </w:rPr>
        <w:t xml:space="preserve">, </w:t>
      </w:r>
      <w:r>
        <w:rPr>
          <w:rFonts w:hint="eastAsia" w:ascii="宋体" w:hAnsi="宋体" w:cs="宋体"/>
          <w:sz w:val="24"/>
          <w:szCs w:val="24"/>
          <w:lang w:val="it" w:bidi="ar"/>
        </w:rPr>
        <w:t>标配空气过滤器、电子溢流器、</w:t>
      </w:r>
      <w:r>
        <w:rPr>
          <w:rFonts w:ascii="宋体" w:hAnsi="宋体" w:cs="宋体"/>
          <w:sz w:val="24"/>
          <w:szCs w:val="24"/>
          <w:lang w:val="it" w:bidi="ar"/>
        </w:rPr>
        <w:t>265nm UVC LED ASM</w:t>
      </w:r>
      <w:r>
        <w:rPr>
          <w:rFonts w:hint="eastAsia" w:ascii="宋体" w:hAnsi="宋体" w:cs="宋体"/>
          <w:sz w:val="24"/>
          <w:szCs w:val="24"/>
          <w:lang w:val="it" w:bidi="ar"/>
        </w:rPr>
        <w:t>杀菌紫外灯、压力液位传感器、漏水监测器。</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5、</w:t>
      </w:r>
      <w:r>
        <w:rPr>
          <w:rFonts w:hint="eastAsia" w:ascii="宋体" w:hAnsi="宋体" w:cs="宋体"/>
          <w:sz w:val="24"/>
          <w:szCs w:val="24"/>
          <w:lang w:val="it" w:bidi="ar"/>
        </w:rPr>
        <w:t>主机</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5.1</w:t>
      </w:r>
      <w:r>
        <w:rPr>
          <w:rFonts w:hint="eastAsia" w:ascii="宋体" w:hAnsi="宋体" w:cs="宋体"/>
          <w:sz w:val="24"/>
          <w:szCs w:val="24"/>
          <w:lang w:val="it" w:bidi="ar"/>
        </w:rPr>
        <w:t>智能化操作系统，操作界面设计如同手机或平板电脑一样直观，所有信息一触即得。自动耗材更换信息提示，所有操作步骤有图文引导，简洁高效。</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5.2</w:t>
      </w:r>
      <w:r>
        <w:rPr>
          <w:rFonts w:hint="eastAsia" w:ascii="宋体" w:hAnsi="宋体" w:cs="宋体"/>
          <w:sz w:val="24"/>
          <w:szCs w:val="24"/>
          <w:lang w:val="it" w:bidi="ar"/>
        </w:rPr>
        <w:t>新型预处理柱含皱褶过滤器和活性碳，可高效去除自来水中的胶体、微粒和游离氯。精滤柱使用创新的离子交换树脂去除离子，使离子含量低至痕量水平。</w:t>
      </w:r>
    </w:p>
    <w:p>
      <w:pPr>
        <w:adjustRightInd w:val="0"/>
        <w:spacing w:line="400" w:lineRule="exact"/>
        <w:jc w:val="left"/>
        <w:rPr>
          <w:rFonts w:ascii="宋体" w:hAnsi="宋体" w:cs="宋体"/>
          <w:sz w:val="24"/>
          <w:szCs w:val="24"/>
          <w:lang w:val="it" w:bidi="ar"/>
        </w:rPr>
      </w:pPr>
      <w:r>
        <w:rPr>
          <w:rFonts w:hint="eastAsia" w:ascii="宋体" w:hAnsi="宋体" w:cs="宋体"/>
          <w:sz w:val="24"/>
          <w:szCs w:val="24"/>
          <w:lang w:bidi="ar"/>
        </w:rPr>
        <w:t>5.3</w:t>
      </w:r>
      <w:r>
        <w:rPr>
          <w:rFonts w:hint="eastAsia" w:ascii="宋体" w:hAnsi="宋体" w:cs="宋体"/>
          <w:sz w:val="24"/>
          <w:szCs w:val="24"/>
          <w:lang w:val="it" w:bidi="ar"/>
        </w:rPr>
        <w:t>纯化柱具备识别芯片，系统自动识别和记录耗材使用及更换记录。</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★5.4</w:t>
      </w:r>
      <w:r>
        <w:rPr>
          <w:rFonts w:hint="eastAsia" w:ascii="宋体" w:hAnsi="宋体" w:cs="宋体"/>
          <w:sz w:val="24"/>
          <w:szCs w:val="24"/>
          <w:lang w:val="it" w:bidi="ar"/>
        </w:rPr>
        <w:t>标配</w:t>
      </w:r>
      <w:r>
        <w:rPr>
          <w:rFonts w:ascii="宋体" w:hAnsi="宋体" w:cs="宋体"/>
          <w:sz w:val="24"/>
          <w:szCs w:val="24"/>
          <w:lang w:val="it" w:bidi="ar"/>
        </w:rPr>
        <w:t>265</w:t>
      </w:r>
      <w:r>
        <w:rPr>
          <w:rFonts w:ascii="宋体" w:hAnsi="宋体" w:cs="宋体"/>
          <w:sz w:val="24"/>
          <w:szCs w:val="24"/>
          <w:lang w:bidi="ar"/>
        </w:rPr>
        <w:t>nm UVC LED</w:t>
      </w:r>
      <w:r>
        <w:rPr>
          <w:rFonts w:hint="eastAsia" w:ascii="宋体" w:hAnsi="宋体" w:cs="宋体"/>
          <w:sz w:val="24"/>
          <w:szCs w:val="24"/>
          <w:lang w:bidi="ar"/>
        </w:rPr>
        <w:t>杀菌紫外灯，采用无汞环保设计。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5.5产水前，系统</w:t>
      </w:r>
      <w:r>
        <w:rPr>
          <w:rFonts w:ascii="宋体" w:hAnsi="宋体" w:cs="宋体"/>
          <w:sz w:val="24"/>
          <w:szCs w:val="24"/>
          <w:lang w:bidi="ar"/>
        </w:rPr>
        <w:t>EDI</w:t>
      </w:r>
      <w:r>
        <w:rPr>
          <w:rFonts w:hint="eastAsia" w:ascii="宋体" w:hAnsi="宋体" w:cs="宋体"/>
          <w:sz w:val="24"/>
          <w:szCs w:val="24"/>
          <w:lang w:bidi="ar"/>
        </w:rPr>
        <w:t>自动冲洗功能，确保高质量纯水进入水箱。</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★5.6 蓄水自动再循环功能，滞留在水路的水，会再循环通过紫外杀菌灯，从而确保水箱中的水质。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★5.7内置独立在线</w:t>
      </w:r>
      <w:r>
        <w:rPr>
          <w:rFonts w:ascii="宋体" w:hAnsi="宋体" w:cs="宋体"/>
          <w:sz w:val="24"/>
          <w:szCs w:val="24"/>
          <w:lang w:bidi="ar"/>
        </w:rPr>
        <w:t>TOC</w:t>
      </w:r>
      <w:r>
        <w:rPr>
          <w:rFonts w:hint="eastAsia" w:ascii="宋体" w:hAnsi="宋体" w:cs="宋体"/>
          <w:sz w:val="24"/>
          <w:szCs w:val="24"/>
          <w:lang w:bidi="ar"/>
        </w:rPr>
        <w:t>检测模块，检测范围</w:t>
      </w:r>
      <w:r>
        <w:rPr>
          <w:rFonts w:ascii="宋体" w:hAnsi="宋体" w:cs="宋体"/>
          <w:sz w:val="24"/>
          <w:szCs w:val="24"/>
          <w:lang w:bidi="ar"/>
        </w:rPr>
        <w:t>0.5-999ppb</w:t>
      </w:r>
      <w:r>
        <w:rPr>
          <w:rFonts w:hint="eastAsia" w:ascii="宋体" w:hAnsi="宋体" w:cs="宋体"/>
          <w:sz w:val="24"/>
          <w:szCs w:val="24"/>
          <w:lang w:bidi="ar"/>
        </w:rPr>
        <w:t>，检测精度±</w:t>
      </w:r>
      <w:r>
        <w:rPr>
          <w:rFonts w:ascii="宋体" w:hAnsi="宋体" w:cs="宋体"/>
          <w:sz w:val="24"/>
          <w:szCs w:val="24"/>
          <w:lang w:bidi="ar"/>
        </w:rPr>
        <w:t>0.1ppb</w:t>
      </w:r>
      <w:r>
        <w:rPr>
          <w:rFonts w:hint="eastAsia" w:ascii="宋体" w:hAnsi="宋体" w:cs="宋体"/>
          <w:sz w:val="24"/>
          <w:szCs w:val="24"/>
          <w:lang w:bidi="ar"/>
        </w:rPr>
        <w:t>；符合</w:t>
      </w:r>
      <w:r>
        <w:rPr>
          <w:rFonts w:ascii="宋体" w:hAnsi="宋体" w:cs="宋体"/>
          <w:sz w:val="24"/>
          <w:szCs w:val="24"/>
          <w:lang w:bidi="ar"/>
        </w:rPr>
        <w:t>USP</w:t>
      </w:r>
      <w:r>
        <w:rPr>
          <w:rFonts w:hint="eastAsia" w:ascii="宋体" w:hAnsi="宋体" w:cs="宋体"/>
          <w:sz w:val="24"/>
          <w:szCs w:val="24"/>
          <w:lang w:bidi="ar"/>
        </w:rPr>
        <w:t>和</w:t>
      </w:r>
      <w:r>
        <w:rPr>
          <w:rFonts w:ascii="宋体" w:hAnsi="宋体" w:cs="宋体"/>
          <w:sz w:val="24"/>
          <w:szCs w:val="24"/>
          <w:lang w:bidi="ar"/>
        </w:rPr>
        <w:t>EP</w:t>
      </w:r>
      <w:r>
        <w:rPr>
          <w:rFonts w:hint="eastAsia" w:ascii="宋体" w:hAnsi="宋体" w:cs="宋体"/>
          <w:sz w:val="24"/>
          <w:szCs w:val="24"/>
          <w:lang w:bidi="ar"/>
        </w:rPr>
        <w:t>适应性测试的要求。附原厂出厂校验证书。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5.8产品是在</w:t>
      </w:r>
      <w:r>
        <w:rPr>
          <w:rFonts w:ascii="宋体" w:hAnsi="宋体" w:cs="宋体"/>
          <w:sz w:val="24"/>
          <w:szCs w:val="24"/>
          <w:lang w:bidi="ar"/>
        </w:rPr>
        <w:t xml:space="preserve">ISO 9001 </w:t>
      </w:r>
      <w:r>
        <w:rPr>
          <w:rFonts w:hint="eastAsia" w:ascii="宋体" w:hAnsi="宋体" w:cs="宋体"/>
          <w:sz w:val="24"/>
          <w:szCs w:val="24"/>
          <w:lang w:bidi="ar"/>
        </w:rPr>
        <w:t>和</w:t>
      </w:r>
      <w:r>
        <w:rPr>
          <w:rFonts w:ascii="宋体" w:hAnsi="宋体" w:cs="宋体"/>
          <w:sz w:val="24"/>
          <w:szCs w:val="24"/>
          <w:lang w:bidi="ar"/>
        </w:rPr>
        <w:t xml:space="preserve">ISO 14001 </w:t>
      </w:r>
      <w:r>
        <w:rPr>
          <w:rFonts w:hint="eastAsia" w:ascii="宋体" w:hAnsi="宋体" w:cs="宋体"/>
          <w:sz w:val="24"/>
          <w:szCs w:val="24"/>
          <w:lang w:bidi="ar"/>
        </w:rPr>
        <w:t>注册的生产现场内生产的，并可提供相应证书。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6、取水装置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6.1系统最多可以连接</w:t>
      </w:r>
      <w:r>
        <w:rPr>
          <w:rFonts w:ascii="宋体" w:hAnsi="宋体" w:cs="宋体"/>
          <w:sz w:val="24"/>
          <w:szCs w:val="24"/>
          <w:lang w:bidi="ar"/>
        </w:rPr>
        <w:t>4</w:t>
      </w:r>
      <w:r>
        <w:rPr>
          <w:rFonts w:hint="eastAsia" w:ascii="宋体" w:hAnsi="宋体" w:cs="宋体"/>
          <w:sz w:val="24"/>
          <w:szCs w:val="24"/>
          <w:lang w:bidi="ar"/>
        </w:rPr>
        <w:t>个取水臂（</w:t>
      </w:r>
      <w:r>
        <w:rPr>
          <w:rFonts w:ascii="宋体" w:hAnsi="宋体" w:cs="宋体"/>
          <w:sz w:val="24"/>
          <w:szCs w:val="24"/>
          <w:lang w:bidi="ar"/>
        </w:rPr>
        <w:t>1</w:t>
      </w:r>
      <w:r>
        <w:rPr>
          <w:rFonts w:hint="eastAsia" w:ascii="宋体" w:hAnsi="宋体" w:cs="宋体"/>
          <w:sz w:val="24"/>
          <w:szCs w:val="24"/>
          <w:lang w:bidi="ar"/>
        </w:rPr>
        <w:t>个</w:t>
      </w:r>
      <w:r>
        <w:rPr>
          <w:rFonts w:ascii="宋体" w:hAnsi="宋体" w:cs="宋体"/>
          <w:sz w:val="24"/>
          <w:szCs w:val="24"/>
          <w:lang w:bidi="ar"/>
        </w:rPr>
        <w:t>E-POD,3</w:t>
      </w:r>
      <w:r>
        <w:rPr>
          <w:rFonts w:hint="eastAsia" w:ascii="宋体" w:hAnsi="宋体" w:cs="宋体"/>
          <w:sz w:val="24"/>
          <w:szCs w:val="24"/>
          <w:lang w:bidi="ar"/>
        </w:rPr>
        <w:t>个</w:t>
      </w:r>
      <w:r>
        <w:rPr>
          <w:rFonts w:ascii="宋体" w:hAnsi="宋体" w:cs="宋体"/>
          <w:sz w:val="24"/>
          <w:szCs w:val="24"/>
          <w:lang w:bidi="ar"/>
        </w:rPr>
        <w:t>Q-POD,</w:t>
      </w:r>
      <w:r>
        <w:rPr>
          <w:rFonts w:hint="eastAsia" w:ascii="宋体" w:hAnsi="宋体" w:cs="宋体"/>
          <w:sz w:val="24"/>
          <w:szCs w:val="24"/>
          <w:lang w:bidi="ar"/>
        </w:rPr>
        <w:t>或者</w:t>
      </w:r>
      <w:r>
        <w:rPr>
          <w:rFonts w:ascii="宋体" w:hAnsi="宋体" w:cs="宋体"/>
          <w:sz w:val="24"/>
          <w:szCs w:val="24"/>
          <w:lang w:bidi="ar"/>
        </w:rPr>
        <w:t>4</w:t>
      </w:r>
      <w:r>
        <w:rPr>
          <w:rFonts w:hint="eastAsia" w:ascii="宋体" w:hAnsi="宋体" w:cs="宋体"/>
          <w:sz w:val="24"/>
          <w:szCs w:val="24"/>
          <w:lang w:bidi="ar"/>
        </w:rPr>
        <w:t>个</w:t>
      </w:r>
      <w:r>
        <w:rPr>
          <w:rFonts w:ascii="宋体" w:hAnsi="宋体" w:cs="宋体"/>
          <w:sz w:val="24"/>
          <w:szCs w:val="24"/>
          <w:lang w:bidi="ar"/>
        </w:rPr>
        <w:t>Q-POD</w:t>
      </w:r>
      <w:r>
        <w:rPr>
          <w:rFonts w:hint="eastAsia" w:ascii="宋体" w:hAnsi="宋体" w:cs="宋体"/>
          <w:sz w:val="24"/>
          <w:szCs w:val="24"/>
          <w:lang w:bidi="ar"/>
        </w:rPr>
        <w:t>），提供</w:t>
      </w:r>
      <w:r>
        <w:rPr>
          <w:rFonts w:ascii="宋体" w:hAnsi="宋体" w:cs="宋体"/>
          <w:sz w:val="24"/>
          <w:szCs w:val="24"/>
          <w:lang w:bidi="ar"/>
        </w:rPr>
        <w:t>5</w:t>
      </w:r>
      <w:r>
        <w:rPr>
          <w:rFonts w:hint="eastAsia" w:ascii="宋体" w:hAnsi="宋体" w:cs="宋体"/>
          <w:sz w:val="24"/>
          <w:szCs w:val="24"/>
          <w:lang w:bidi="ar"/>
        </w:rPr>
        <w:t>米的连接组件，可以通过取水臂和脚踏开关取水。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★6.2独立的</w:t>
      </w:r>
      <w:r>
        <w:rPr>
          <w:rFonts w:ascii="宋体" w:hAnsi="宋体" w:cs="宋体"/>
          <w:sz w:val="24"/>
          <w:szCs w:val="24"/>
          <w:lang w:bidi="ar"/>
        </w:rPr>
        <w:t>Q-POD</w:t>
      </w:r>
      <w:r>
        <w:rPr>
          <w:rFonts w:hint="eastAsia" w:ascii="宋体" w:hAnsi="宋体" w:cs="宋体"/>
          <w:sz w:val="24"/>
          <w:szCs w:val="24"/>
          <w:lang w:bidi="ar"/>
        </w:rPr>
        <w:t>取水手臂集成</w:t>
      </w:r>
      <w:r>
        <w:rPr>
          <w:rFonts w:ascii="宋体" w:hAnsi="宋体" w:cs="宋体"/>
          <w:sz w:val="24"/>
          <w:szCs w:val="24"/>
          <w:lang w:bidi="ar"/>
        </w:rPr>
        <w:t>5</w:t>
      </w:r>
      <w:r>
        <w:rPr>
          <w:rFonts w:hint="eastAsia" w:ascii="宋体" w:hAnsi="宋体" w:cs="宋体"/>
          <w:sz w:val="24"/>
          <w:szCs w:val="24"/>
          <w:lang w:bidi="ar"/>
        </w:rPr>
        <w:t>寸彩色触摸屏，内置流量计，两种取水功能选择：定量取水范围：</w:t>
      </w:r>
      <w:r>
        <w:rPr>
          <w:rFonts w:ascii="宋体" w:hAnsi="宋体" w:cs="宋体"/>
          <w:sz w:val="24"/>
          <w:szCs w:val="24"/>
          <w:lang w:bidi="ar"/>
        </w:rPr>
        <w:t>20mL</w:t>
      </w:r>
      <w:r>
        <w:rPr>
          <w:rFonts w:hint="eastAsia" w:ascii="宋体" w:hAnsi="宋体" w:cs="宋体"/>
          <w:sz w:val="24"/>
          <w:szCs w:val="24"/>
          <w:lang w:bidi="ar"/>
        </w:rPr>
        <w:t>～</w:t>
      </w:r>
      <w:r>
        <w:rPr>
          <w:rFonts w:ascii="宋体" w:hAnsi="宋体" w:cs="宋体"/>
          <w:sz w:val="24"/>
          <w:szCs w:val="24"/>
          <w:lang w:bidi="ar"/>
        </w:rPr>
        <w:t>100L</w:t>
      </w:r>
      <w:r>
        <w:rPr>
          <w:rFonts w:hint="eastAsia" w:ascii="宋体" w:hAnsi="宋体" w:cs="宋体"/>
          <w:sz w:val="24"/>
          <w:szCs w:val="24"/>
          <w:lang w:bidi="ar"/>
        </w:rPr>
        <w:t>，辅助定容取水范围：</w:t>
      </w:r>
      <w:r>
        <w:rPr>
          <w:rFonts w:ascii="宋体" w:hAnsi="宋体" w:cs="宋体"/>
          <w:sz w:val="24"/>
          <w:szCs w:val="24"/>
          <w:lang w:bidi="ar"/>
        </w:rPr>
        <w:t>50mL</w:t>
      </w:r>
      <w:r>
        <w:rPr>
          <w:rFonts w:hint="eastAsia" w:ascii="宋体" w:hAnsi="宋体" w:cs="宋体"/>
          <w:sz w:val="24"/>
          <w:szCs w:val="24"/>
          <w:lang w:bidi="ar"/>
        </w:rPr>
        <w:t>～</w:t>
      </w:r>
      <w:r>
        <w:rPr>
          <w:rFonts w:ascii="宋体" w:hAnsi="宋体" w:cs="宋体"/>
          <w:sz w:val="24"/>
          <w:szCs w:val="24"/>
          <w:lang w:bidi="ar"/>
        </w:rPr>
        <w:t>5L</w:t>
      </w:r>
      <w:r>
        <w:rPr>
          <w:rFonts w:hint="eastAsia" w:ascii="宋体" w:hAnsi="宋体" w:cs="宋体"/>
          <w:sz w:val="24"/>
          <w:szCs w:val="24"/>
          <w:lang w:bidi="ar"/>
        </w:rPr>
        <w:t>。从逐滴到最大</w:t>
      </w:r>
      <w:r>
        <w:rPr>
          <w:rFonts w:ascii="宋体" w:hAnsi="宋体" w:cs="宋体"/>
          <w:sz w:val="24"/>
          <w:szCs w:val="24"/>
          <w:lang w:bidi="ar"/>
        </w:rPr>
        <w:t>2 L/min</w:t>
      </w:r>
      <w:r>
        <w:rPr>
          <w:rFonts w:hint="eastAsia" w:ascii="宋体" w:hAnsi="宋体" w:cs="宋体"/>
          <w:sz w:val="24"/>
          <w:szCs w:val="24"/>
          <w:lang w:bidi="ar"/>
        </w:rPr>
        <w:t>连续可调，</w:t>
      </w:r>
      <w:r>
        <w:rPr>
          <w:rFonts w:ascii="宋体" w:hAnsi="宋体" w:cs="宋体"/>
          <w:sz w:val="24"/>
          <w:szCs w:val="24"/>
          <w:lang w:bidi="ar"/>
        </w:rPr>
        <w:t xml:space="preserve"> 8</w:t>
      </w:r>
      <w:r>
        <w:rPr>
          <w:rFonts w:hint="eastAsia" w:ascii="宋体" w:hAnsi="宋体" w:cs="宋体"/>
          <w:sz w:val="24"/>
          <w:szCs w:val="24"/>
          <w:lang w:bidi="ar"/>
        </w:rPr>
        <w:t>种取水流速可选。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★6.3</w:t>
      </w:r>
      <w:r>
        <w:rPr>
          <w:rFonts w:ascii="宋体" w:hAnsi="宋体" w:cs="宋体"/>
          <w:sz w:val="24"/>
          <w:szCs w:val="24"/>
          <w:lang w:bidi="ar"/>
        </w:rPr>
        <w:t>E-POD</w:t>
      </w:r>
      <w:r>
        <w:rPr>
          <w:rFonts w:hint="eastAsia" w:ascii="宋体" w:hAnsi="宋体" w:cs="宋体"/>
          <w:sz w:val="24"/>
          <w:szCs w:val="24"/>
          <w:lang w:bidi="ar"/>
        </w:rPr>
        <w:t>取水手臂，同样集成</w:t>
      </w:r>
      <w:r>
        <w:rPr>
          <w:rFonts w:ascii="宋体" w:hAnsi="宋体" w:cs="宋体"/>
          <w:sz w:val="24"/>
          <w:szCs w:val="24"/>
          <w:lang w:bidi="ar"/>
        </w:rPr>
        <w:t>5</w:t>
      </w:r>
      <w:r>
        <w:rPr>
          <w:rFonts w:hint="eastAsia" w:ascii="宋体" w:hAnsi="宋体" w:cs="宋体"/>
          <w:sz w:val="24"/>
          <w:szCs w:val="24"/>
          <w:lang w:bidi="ar"/>
        </w:rPr>
        <w:t>寸彩色触摸屏，</w:t>
      </w:r>
      <w:r>
        <w:rPr>
          <w:rFonts w:ascii="宋体" w:hAnsi="宋体" w:cs="宋体"/>
          <w:sz w:val="24"/>
          <w:szCs w:val="24"/>
          <w:lang w:bidi="ar"/>
        </w:rPr>
        <w:t>2</w:t>
      </w:r>
      <w:r>
        <w:rPr>
          <w:rFonts w:hint="eastAsia" w:ascii="宋体" w:hAnsi="宋体" w:cs="宋体"/>
          <w:sz w:val="24"/>
          <w:szCs w:val="24"/>
          <w:lang w:bidi="ar"/>
        </w:rPr>
        <w:t>种取水流速可选。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★6.4有</w:t>
      </w:r>
      <w:r>
        <w:rPr>
          <w:rFonts w:ascii="宋体" w:hAnsi="宋体" w:cs="宋体"/>
          <w:sz w:val="24"/>
          <w:szCs w:val="24"/>
          <w:lang w:bidi="ar"/>
        </w:rPr>
        <w:t>5</w:t>
      </w:r>
      <w:r>
        <w:rPr>
          <w:rFonts w:hint="eastAsia" w:ascii="宋体" w:hAnsi="宋体" w:cs="宋体"/>
          <w:sz w:val="24"/>
          <w:szCs w:val="24"/>
          <w:lang w:bidi="ar"/>
        </w:rPr>
        <w:t>种以上终端精制器可供选择配置，适用不同实验水质的要求，并提供原厂质量证书。每个终端精制器都带有芯片，系统能自动的识别类型和使用状态。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7、监控系统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7.1系统水质监测采用高精度的在线电阻率仪，电池常数</w:t>
      </w:r>
      <w:r>
        <w:rPr>
          <w:rFonts w:ascii="宋体" w:hAnsi="宋体" w:cs="宋体"/>
          <w:sz w:val="24"/>
          <w:szCs w:val="24"/>
          <w:lang w:bidi="ar"/>
        </w:rPr>
        <w:t xml:space="preserve">0.01cm-1, </w:t>
      </w:r>
      <w:r>
        <w:rPr>
          <w:rFonts w:hint="eastAsia" w:ascii="宋体" w:hAnsi="宋体" w:cs="宋体"/>
          <w:sz w:val="24"/>
          <w:szCs w:val="24"/>
          <w:lang w:bidi="ar"/>
        </w:rPr>
        <w:t>提供电阻率检测器原厂检验证书模板，随主机提供电阻率检验证书原件。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7.2在线检测超纯水中的</w:t>
      </w:r>
      <w:r>
        <w:rPr>
          <w:rFonts w:ascii="宋体" w:hAnsi="宋体" w:cs="宋体"/>
          <w:sz w:val="24"/>
          <w:szCs w:val="24"/>
          <w:lang w:bidi="ar"/>
        </w:rPr>
        <w:t xml:space="preserve">TOC. </w:t>
      </w:r>
      <w:r>
        <w:rPr>
          <w:rFonts w:hint="eastAsia" w:ascii="宋体" w:hAnsi="宋体" w:cs="宋体"/>
          <w:sz w:val="24"/>
          <w:szCs w:val="24"/>
          <w:lang w:bidi="ar"/>
        </w:rPr>
        <w:t>检测范围</w:t>
      </w:r>
      <w:r>
        <w:rPr>
          <w:rFonts w:ascii="宋体" w:hAnsi="宋体" w:cs="宋体"/>
          <w:sz w:val="24"/>
          <w:szCs w:val="24"/>
          <w:lang w:bidi="ar"/>
        </w:rPr>
        <w:t xml:space="preserve">:0.5-999ppb; </w:t>
      </w:r>
      <w:r>
        <w:rPr>
          <w:rFonts w:hint="eastAsia" w:ascii="宋体" w:hAnsi="宋体" w:cs="宋体"/>
          <w:sz w:val="24"/>
          <w:szCs w:val="24"/>
          <w:lang w:bidi="ar"/>
        </w:rPr>
        <w:t>检测精度</w:t>
      </w:r>
      <w:r>
        <w:rPr>
          <w:rFonts w:ascii="宋体" w:hAnsi="宋体" w:cs="宋体"/>
          <w:sz w:val="24"/>
          <w:szCs w:val="24"/>
          <w:lang w:bidi="ar"/>
        </w:rPr>
        <w:t>±0.1ppb,</w:t>
      </w:r>
      <w:r>
        <w:rPr>
          <w:rFonts w:hint="eastAsia" w:ascii="宋体" w:hAnsi="宋体" w:cs="宋体"/>
          <w:sz w:val="24"/>
          <w:szCs w:val="24"/>
          <w:lang w:bidi="ar"/>
        </w:rPr>
        <w:t>，符合</w:t>
      </w:r>
      <w:r>
        <w:rPr>
          <w:rFonts w:ascii="宋体" w:hAnsi="宋体" w:cs="宋体"/>
          <w:sz w:val="24"/>
          <w:szCs w:val="24"/>
          <w:lang w:bidi="ar"/>
        </w:rPr>
        <w:t>USP</w:t>
      </w:r>
      <w:r>
        <w:rPr>
          <w:rFonts w:hint="eastAsia" w:ascii="宋体" w:hAnsi="宋体" w:cs="宋体"/>
          <w:sz w:val="24"/>
          <w:szCs w:val="24"/>
          <w:lang w:bidi="ar"/>
        </w:rPr>
        <w:t>和</w:t>
      </w:r>
      <w:r>
        <w:rPr>
          <w:rFonts w:ascii="宋体" w:hAnsi="宋体" w:cs="宋体"/>
          <w:sz w:val="24"/>
          <w:szCs w:val="24"/>
          <w:lang w:bidi="ar"/>
        </w:rPr>
        <w:t>EP</w:t>
      </w:r>
      <w:r>
        <w:rPr>
          <w:rFonts w:hint="eastAsia" w:ascii="宋体" w:hAnsi="宋体" w:cs="宋体"/>
          <w:sz w:val="24"/>
          <w:szCs w:val="24"/>
          <w:lang w:bidi="ar"/>
        </w:rPr>
        <w:t>系统适应性测试。</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8、软件系统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8.1独立的取水臂集成</w:t>
      </w:r>
      <w:r>
        <w:rPr>
          <w:rFonts w:ascii="宋体" w:hAnsi="宋体" w:cs="宋体"/>
          <w:sz w:val="24"/>
          <w:szCs w:val="24"/>
          <w:lang w:bidi="ar"/>
        </w:rPr>
        <w:t>5</w:t>
      </w:r>
      <w:r>
        <w:rPr>
          <w:rFonts w:hint="eastAsia" w:ascii="宋体" w:hAnsi="宋体" w:cs="宋体"/>
          <w:sz w:val="24"/>
          <w:szCs w:val="24"/>
          <w:lang w:bidi="ar"/>
        </w:rPr>
        <w:t>寸以上彩色触摸屏，提供包含中文在内的多种语言和多客户登录管理功能，具备水质显示，取水功能设置，系统设置、维护引导，信息和历史记录等功能。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8.2全面的数据管理系统，可为最近</w:t>
      </w:r>
      <w:r>
        <w:rPr>
          <w:rFonts w:ascii="宋体" w:hAnsi="宋体" w:cs="宋体"/>
          <w:sz w:val="24"/>
          <w:szCs w:val="24"/>
          <w:lang w:bidi="ar"/>
        </w:rPr>
        <w:t>30</w:t>
      </w:r>
      <w:r>
        <w:rPr>
          <w:rFonts w:hint="eastAsia" w:ascii="宋体" w:hAnsi="宋体" w:cs="宋体"/>
          <w:sz w:val="24"/>
          <w:szCs w:val="24"/>
          <w:lang w:bidi="ar"/>
        </w:rPr>
        <w:t>天的事件提供图文预览；所有报告均可通过</w:t>
      </w:r>
      <w:r>
        <w:rPr>
          <w:rFonts w:ascii="宋体" w:hAnsi="宋体" w:cs="宋体"/>
          <w:sz w:val="24"/>
          <w:szCs w:val="24"/>
          <w:lang w:bidi="ar"/>
        </w:rPr>
        <w:t>USB</w:t>
      </w:r>
      <w:r>
        <w:rPr>
          <w:rFonts w:hint="eastAsia" w:ascii="宋体" w:hAnsi="宋体" w:cs="宋体"/>
          <w:sz w:val="24"/>
          <w:szCs w:val="24"/>
          <w:lang w:bidi="ar"/>
        </w:rPr>
        <w:t>端口导出，并且其打开格式适用于所有</w:t>
      </w:r>
      <w:r>
        <w:rPr>
          <w:rFonts w:ascii="宋体" w:hAnsi="宋体" w:cs="宋体"/>
          <w:sz w:val="24"/>
          <w:szCs w:val="24"/>
          <w:lang w:bidi="ar"/>
        </w:rPr>
        <w:t>LIMS</w:t>
      </w:r>
      <w:r>
        <w:rPr>
          <w:rFonts w:hint="eastAsia" w:ascii="宋体" w:hAnsi="宋体" w:cs="宋体"/>
          <w:sz w:val="24"/>
          <w:szCs w:val="24"/>
          <w:lang w:bidi="ar"/>
        </w:rPr>
        <w:t>（实验室信息管理系统），存档功能支持质量管理系统。系统可以存储长达</w:t>
      </w:r>
      <w:r>
        <w:rPr>
          <w:rFonts w:ascii="宋体" w:hAnsi="宋体" w:cs="宋体"/>
          <w:sz w:val="24"/>
          <w:szCs w:val="24"/>
          <w:lang w:bidi="ar"/>
        </w:rPr>
        <w:t>2</w:t>
      </w:r>
      <w:r>
        <w:rPr>
          <w:rFonts w:hint="eastAsia" w:ascii="宋体" w:hAnsi="宋体" w:cs="宋体"/>
          <w:sz w:val="24"/>
          <w:szCs w:val="24"/>
          <w:lang w:bidi="ar"/>
        </w:rPr>
        <w:t>年的水质数据。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8.3可以通过其他移动设备（手机或平板电脑等）实现对系统的远程监控和远程诊断，方便操作，极大的缩短解决故障时间。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9、配置内容：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9.1纯水超纯水主机</w:t>
      </w:r>
      <w:r>
        <w:rPr>
          <w:rFonts w:ascii="宋体" w:hAnsi="宋体" w:cs="宋体"/>
          <w:sz w:val="24"/>
          <w:szCs w:val="24"/>
          <w:lang w:bidi="ar"/>
        </w:rPr>
        <w:t>1</w:t>
      </w:r>
      <w:r>
        <w:rPr>
          <w:rFonts w:hint="eastAsia" w:ascii="宋体" w:hAnsi="宋体" w:cs="宋体"/>
          <w:sz w:val="24"/>
          <w:szCs w:val="24"/>
          <w:lang w:bidi="ar"/>
        </w:rPr>
        <w:t>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9.2 </w:t>
      </w:r>
      <w:r>
        <w:rPr>
          <w:rFonts w:ascii="宋体" w:hAnsi="宋体" w:cs="宋体"/>
          <w:sz w:val="24"/>
          <w:szCs w:val="24"/>
          <w:lang w:bidi="ar"/>
        </w:rPr>
        <w:t>50L PE</w:t>
      </w:r>
      <w:r>
        <w:rPr>
          <w:rFonts w:hint="eastAsia" w:ascii="宋体" w:hAnsi="宋体" w:cs="宋体"/>
          <w:sz w:val="24"/>
          <w:szCs w:val="24"/>
          <w:lang w:bidi="ar"/>
        </w:rPr>
        <w:t>水箱</w:t>
      </w:r>
      <w:r>
        <w:rPr>
          <w:rFonts w:ascii="宋体" w:hAnsi="宋体" w:cs="宋体"/>
          <w:sz w:val="24"/>
          <w:szCs w:val="24"/>
          <w:lang w:bidi="ar"/>
        </w:rPr>
        <w:t>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9.3水箱套件</w:t>
      </w:r>
      <w:r>
        <w:rPr>
          <w:rFonts w:ascii="宋体" w:hAnsi="宋体" w:cs="宋体"/>
          <w:sz w:val="24"/>
          <w:szCs w:val="24"/>
          <w:lang w:bidi="ar"/>
        </w:rPr>
        <w:t>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9.4超纯水智能取水手臂</w:t>
      </w:r>
      <w:r>
        <w:rPr>
          <w:rFonts w:ascii="宋体" w:hAnsi="宋体" w:cs="宋体"/>
          <w:sz w:val="24"/>
          <w:szCs w:val="24"/>
          <w:lang w:bidi="ar"/>
        </w:rPr>
        <w:t>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9.5纯水智能取水手臂</w:t>
      </w:r>
      <w:r>
        <w:rPr>
          <w:rFonts w:ascii="宋体" w:hAnsi="宋体" w:cs="宋体"/>
          <w:sz w:val="24"/>
          <w:szCs w:val="24"/>
          <w:lang w:bidi="ar"/>
        </w:rPr>
        <w:t xml:space="preserve"> 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9.6主机与水箱连接组件</w:t>
      </w:r>
      <w:r>
        <w:rPr>
          <w:rFonts w:ascii="宋体" w:hAnsi="宋体" w:cs="宋体"/>
          <w:sz w:val="24"/>
          <w:szCs w:val="24"/>
          <w:lang w:bidi="ar"/>
        </w:rPr>
        <w:t>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9.7取水手臂连接组件（</w:t>
      </w:r>
      <w:r>
        <w:rPr>
          <w:rFonts w:ascii="宋体" w:hAnsi="宋体" w:cs="宋体"/>
          <w:sz w:val="24"/>
          <w:szCs w:val="24"/>
          <w:lang w:bidi="ar"/>
        </w:rPr>
        <w:t>5m</w:t>
      </w:r>
      <w:r>
        <w:rPr>
          <w:rFonts w:hint="eastAsia" w:ascii="宋体" w:hAnsi="宋体" w:cs="宋体"/>
          <w:sz w:val="24"/>
          <w:szCs w:val="24"/>
          <w:lang w:bidi="ar"/>
        </w:rPr>
        <w:t>）</w:t>
      </w:r>
      <w:r>
        <w:rPr>
          <w:rFonts w:ascii="宋体" w:hAnsi="宋体" w:cs="宋体"/>
          <w:sz w:val="24"/>
          <w:szCs w:val="24"/>
          <w:lang w:bidi="ar"/>
        </w:rPr>
        <w:t>2</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9.8自来水预处理组件</w:t>
      </w:r>
      <w:r>
        <w:rPr>
          <w:rFonts w:ascii="宋体" w:hAnsi="宋体" w:cs="宋体"/>
          <w:sz w:val="24"/>
          <w:szCs w:val="24"/>
          <w:lang w:bidi="ar"/>
        </w:rPr>
        <w:t>1</w:t>
      </w:r>
      <w:r>
        <w:rPr>
          <w:rFonts w:hint="eastAsia" w:ascii="宋体" w:hAnsi="宋体" w:cs="宋体"/>
          <w:sz w:val="24"/>
          <w:szCs w:val="24"/>
          <w:lang w:bidi="ar"/>
        </w:rPr>
        <w:t>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9.9预处理柱</w:t>
      </w:r>
      <w:r>
        <w:rPr>
          <w:rFonts w:ascii="宋体" w:hAnsi="宋体" w:cs="宋体"/>
          <w:sz w:val="24"/>
          <w:szCs w:val="24"/>
          <w:lang w:bidi="ar"/>
        </w:rPr>
        <w:t xml:space="preserve"> 1</w:t>
      </w:r>
      <w:r>
        <w:rPr>
          <w:rFonts w:hint="eastAsia" w:ascii="宋体" w:hAnsi="宋体" w:cs="宋体"/>
          <w:sz w:val="24"/>
          <w:szCs w:val="24"/>
          <w:lang w:bidi="ar"/>
        </w:rPr>
        <w:t>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9.10反渗透膜清洗药片</w:t>
      </w:r>
      <w:r>
        <w:rPr>
          <w:rFonts w:ascii="宋体" w:hAnsi="宋体" w:cs="宋体"/>
          <w:sz w:val="24"/>
          <w:szCs w:val="24"/>
          <w:lang w:bidi="ar"/>
        </w:rPr>
        <w:t>1</w:t>
      </w:r>
      <w:r>
        <w:rPr>
          <w:rFonts w:hint="eastAsia" w:ascii="宋体" w:hAnsi="宋体" w:cs="宋体"/>
          <w:sz w:val="24"/>
          <w:szCs w:val="24"/>
          <w:lang w:bidi="ar"/>
        </w:rPr>
        <w:t>盒</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9.11精纯化柱</w:t>
      </w:r>
      <w:r>
        <w:rPr>
          <w:rFonts w:ascii="宋体" w:hAnsi="宋体" w:cs="宋体"/>
          <w:sz w:val="24"/>
          <w:szCs w:val="24"/>
          <w:lang w:bidi="ar"/>
        </w:rPr>
        <w:t>1</w:t>
      </w:r>
      <w:r>
        <w:rPr>
          <w:rFonts w:hint="eastAsia" w:ascii="宋体" w:hAnsi="宋体" w:cs="宋体"/>
          <w:sz w:val="24"/>
          <w:szCs w:val="24"/>
          <w:lang w:bidi="ar"/>
        </w:rPr>
        <w:t>个</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 xml:space="preserve">9.12 </w:t>
      </w:r>
      <w:r>
        <w:rPr>
          <w:rFonts w:ascii="宋体" w:hAnsi="宋体" w:cs="宋体"/>
          <w:sz w:val="24"/>
          <w:szCs w:val="24"/>
          <w:lang w:bidi="ar"/>
        </w:rPr>
        <w:t>0.22um</w:t>
      </w:r>
      <w:r>
        <w:rPr>
          <w:rFonts w:hint="eastAsia" w:ascii="宋体" w:hAnsi="宋体" w:cs="宋体"/>
          <w:sz w:val="24"/>
          <w:szCs w:val="24"/>
          <w:lang w:bidi="ar"/>
        </w:rPr>
        <w:t>终端过滤器</w:t>
      </w:r>
      <w:r>
        <w:rPr>
          <w:rFonts w:ascii="宋体" w:hAnsi="宋体" w:cs="宋体"/>
          <w:sz w:val="24"/>
          <w:szCs w:val="24"/>
          <w:lang w:bidi="ar"/>
        </w:rPr>
        <w:t xml:space="preserve"> 2</w:t>
      </w:r>
      <w:r>
        <w:rPr>
          <w:rFonts w:hint="eastAsia" w:ascii="宋体" w:hAnsi="宋体" w:cs="宋体"/>
          <w:sz w:val="24"/>
          <w:szCs w:val="24"/>
          <w:lang w:bidi="ar"/>
        </w:rPr>
        <w:t>个</w:t>
      </w:r>
    </w:p>
    <w:p>
      <w:pPr>
        <w:pStyle w:val="10"/>
        <w:ind w:firstLine="3534" w:firstLineChars="1100"/>
        <w:rPr>
          <w:rFonts w:hint="eastAsia" w:ascii="宋体" w:hAnsi="宋体" w:cs="宋体"/>
          <w:b/>
          <w:bCs/>
          <w:sz w:val="32"/>
          <w:szCs w:val="32"/>
          <w:lang w:val="en-US" w:eastAsia="zh-CN" w:bidi="ar"/>
        </w:rPr>
      </w:pPr>
    </w:p>
    <w:p>
      <w:pPr>
        <w:pStyle w:val="10"/>
        <w:ind w:firstLine="3534" w:firstLineChars="1100"/>
        <w:rPr>
          <w:rFonts w:hint="eastAsia" w:ascii="宋体" w:hAnsi="宋体" w:cs="宋体"/>
          <w:b/>
          <w:bCs/>
          <w:sz w:val="32"/>
          <w:szCs w:val="32"/>
          <w:lang w:val="en-US" w:eastAsia="zh-CN" w:bidi="ar"/>
        </w:rPr>
      </w:pPr>
    </w:p>
    <w:p>
      <w:pPr>
        <w:pStyle w:val="10"/>
        <w:ind w:firstLine="3534" w:firstLineChars="1100"/>
        <w:rPr>
          <w:rFonts w:hint="eastAsia" w:ascii="宋体" w:hAnsi="宋体" w:cs="宋体"/>
          <w:b/>
          <w:bCs/>
          <w:sz w:val="32"/>
          <w:szCs w:val="32"/>
          <w:lang w:val="en-US" w:eastAsia="zh-CN" w:bidi="ar"/>
        </w:rPr>
      </w:pPr>
    </w:p>
    <w:p>
      <w:pPr>
        <w:pStyle w:val="10"/>
        <w:ind w:firstLine="3534" w:firstLineChars="1100"/>
        <w:rPr>
          <w:rFonts w:hint="eastAsia" w:ascii="宋体" w:hAnsi="宋体" w:cs="宋体"/>
          <w:b/>
          <w:bCs/>
          <w:sz w:val="32"/>
          <w:szCs w:val="32"/>
          <w:lang w:val="en-US" w:eastAsia="zh-CN" w:bidi="ar"/>
        </w:rPr>
      </w:pPr>
    </w:p>
    <w:p>
      <w:pPr>
        <w:pStyle w:val="10"/>
        <w:ind w:firstLine="3534" w:firstLineChars="1100"/>
        <w:rPr>
          <w:rFonts w:hint="eastAsia" w:ascii="宋体" w:hAnsi="宋体" w:cs="宋体"/>
          <w:b/>
          <w:bCs/>
          <w:sz w:val="32"/>
          <w:szCs w:val="32"/>
          <w:lang w:val="en-US" w:eastAsia="zh-CN" w:bidi="ar"/>
        </w:rPr>
      </w:pPr>
    </w:p>
    <w:p>
      <w:pPr>
        <w:pStyle w:val="10"/>
        <w:rPr>
          <w:rFonts w:hint="eastAsia" w:ascii="宋体" w:hAnsi="宋体" w:cs="宋体"/>
          <w:b/>
          <w:bCs/>
          <w:sz w:val="32"/>
          <w:szCs w:val="32"/>
          <w:lang w:val="en-US" w:eastAsia="zh-CN" w:bidi="ar"/>
        </w:rPr>
      </w:pPr>
    </w:p>
    <w:p>
      <w:pPr>
        <w:rPr>
          <w:rFonts w:hint="eastAsia"/>
          <w:lang w:val="en-US" w:eastAsia="zh-CN"/>
        </w:rPr>
      </w:pPr>
    </w:p>
    <w:p>
      <w:pPr>
        <w:pStyle w:val="10"/>
        <w:rPr>
          <w:rFonts w:hint="eastAsia"/>
          <w:lang w:val="en-US" w:eastAsia="zh-CN"/>
        </w:rPr>
      </w:pPr>
    </w:p>
    <w:p>
      <w:pPr>
        <w:pStyle w:val="10"/>
        <w:ind w:firstLine="3534" w:firstLineChars="1100"/>
        <w:rPr>
          <w:rFonts w:hint="default" w:eastAsia="宋体"/>
          <w:b/>
          <w:bCs/>
          <w:sz w:val="24"/>
          <w:szCs w:val="28"/>
          <w:lang w:val="en-US" w:eastAsia="zh-CN"/>
        </w:rPr>
      </w:pPr>
      <w:r>
        <w:rPr>
          <w:rFonts w:hint="eastAsia" w:ascii="宋体" w:hAnsi="宋体" w:cs="宋体"/>
          <w:b/>
          <w:bCs/>
          <w:sz w:val="32"/>
          <w:szCs w:val="32"/>
          <w:lang w:val="en-US" w:eastAsia="zh-CN" w:bidi="ar"/>
        </w:rPr>
        <w:t>包二</w:t>
      </w:r>
    </w:p>
    <w:p/>
    <w:tbl>
      <w:tblPr>
        <w:tblStyle w:val="24"/>
        <w:tblW w:w="8656" w:type="dxa"/>
        <w:tblInd w:w="0" w:type="dxa"/>
        <w:tblLayout w:type="fixed"/>
        <w:tblCellMar>
          <w:top w:w="0" w:type="dxa"/>
          <w:left w:w="108" w:type="dxa"/>
          <w:bottom w:w="0" w:type="dxa"/>
          <w:right w:w="108" w:type="dxa"/>
        </w:tblCellMar>
      </w:tblPr>
      <w:tblGrid>
        <w:gridCol w:w="1497"/>
        <w:gridCol w:w="629"/>
        <w:gridCol w:w="3376"/>
        <w:gridCol w:w="682"/>
        <w:gridCol w:w="1172"/>
        <w:gridCol w:w="1300"/>
      </w:tblGrid>
      <w:tr>
        <w:tblPrEx>
          <w:tblCellMar>
            <w:top w:w="0" w:type="dxa"/>
            <w:left w:w="108" w:type="dxa"/>
            <w:bottom w:w="0" w:type="dxa"/>
            <w:right w:w="108" w:type="dxa"/>
          </w:tblCellMar>
        </w:tblPrEx>
        <w:trPr>
          <w:trHeight w:val="950" w:hRule="atLeast"/>
        </w:trPr>
        <w:tc>
          <w:tcPr>
            <w:tcW w:w="149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分包情况</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highlight w:val="none"/>
                <w:lang w:val="en-US" w:eastAsia="zh-CN" w:bidi="ar-SA"/>
              </w:rPr>
            </w:pPr>
            <w:r>
              <w:rPr>
                <w:rFonts w:hint="eastAsia" w:ascii="宋体" w:hAnsi="宋体" w:cs="仿宋_GB2312"/>
                <w:b/>
                <w:color w:val="000000"/>
                <w:kern w:val="0"/>
                <w:sz w:val="24"/>
                <w:szCs w:val="24"/>
                <w:highlight w:val="none"/>
                <w:lang w:bidi="ar"/>
              </w:rPr>
              <w:t>序 号</w:t>
            </w:r>
          </w:p>
        </w:tc>
        <w:tc>
          <w:tcPr>
            <w:tcW w:w="3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货物名称</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数 量</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是否允许进口投标</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val="en-US" w:eastAsia="zh-CN" w:bidi="ar"/>
              </w:rPr>
              <w:t>是否医疗设备</w:t>
            </w:r>
          </w:p>
        </w:tc>
      </w:tr>
      <w:tr>
        <w:tblPrEx>
          <w:tblCellMar>
            <w:top w:w="0" w:type="dxa"/>
            <w:left w:w="108" w:type="dxa"/>
            <w:bottom w:w="0" w:type="dxa"/>
            <w:right w:w="108" w:type="dxa"/>
          </w:tblCellMar>
        </w:tblPrEx>
        <w:trPr>
          <w:trHeight w:val="369" w:hRule="atLeast"/>
        </w:trPr>
        <w:tc>
          <w:tcPr>
            <w:tcW w:w="1497" w:type="dxa"/>
            <w:vMerge w:val="restart"/>
            <w:tcBorders>
              <w:top w:val="single" w:color="000000" w:sz="4" w:space="0"/>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r>
              <w:rPr>
                <w:rFonts w:hint="eastAsia" w:ascii="宋体" w:hAnsi="宋体" w:cs="宋体"/>
                <w:color w:val="000000"/>
                <w:kern w:val="0"/>
                <w:sz w:val="24"/>
                <w:szCs w:val="24"/>
                <w:lang w:bidi="ar"/>
              </w:rPr>
              <w:t>第二包</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1</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原子吸收光谱仪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9"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2</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流动注射分析仪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30"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3</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全自动紫外可见分光光度计</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9"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4</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测汞仪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9"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5</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全自动在线碘元素分析仪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30"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6</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低本底α、β放射性测定仪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9"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7</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微波水样蒸发仪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30"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8</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全自动高锰酸盐指数分析仪</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369" w:hRule="atLeast"/>
        </w:trPr>
        <w:tc>
          <w:tcPr>
            <w:tcW w:w="1497"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9</w:t>
            </w:r>
          </w:p>
        </w:tc>
        <w:tc>
          <w:tcPr>
            <w:tcW w:w="3376" w:type="dxa"/>
            <w:tcBorders>
              <w:top w:val="single" w:color="000000" w:sz="4" w:space="0"/>
              <w:left w:val="single" w:color="000000" w:sz="4" w:space="0"/>
              <w:bottom w:val="single" w:color="000000"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实验室器皿自动清洗机</w:t>
            </w: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30" w:hRule="atLeast"/>
        </w:trPr>
        <w:tc>
          <w:tcPr>
            <w:tcW w:w="1497" w:type="dxa"/>
            <w:vMerge w:val="continue"/>
            <w:tcBorders>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2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10</w:t>
            </w:r>
          </w:p>
        </w:tc>
        <w:tc>
          <w:tcPr>
            <w:tcW w:w="3376" w:type="dxa"/>
            <w:tcBorders>
              <w:top w:val="single" w:color="000000" w:sz="4" w:space="0"/>
              <w:left w:val="single" w:color="000000" w:sz="4" w:space="0"/>
              <w:bottom w:val="single" w:color="auto" w:sz="4" w:space="0"/>
              <w:right w:val="single" w:color="000000" w:sz="4" w:space="0"/>
            </w:tcBorders>
            <w:noWrap w:val="0"/>
            <w:vAlign w:val="top"/>
          </w:tcPr>
          <w:p>
            <w:pPr>
              <w:widowControl/>
              <w:spacing w:line="276" w:lineRule="auto"/>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全自动液体样品处理工作站</w:t>
            </w:r>
          </w:p>
        </w:tc>
        <w:tc>
          <w:tcPr>
            <w:tcW w:w="682" w:type="dxa"/>
            <w:tcBorders>
              <w:top w:val="single" w:color="000000" w:sz="4" w:space="0"/>
              <w:left w:val="single" w:color="000000" w:sz="4" w:space="0"/>
              <w:bottom w:val="single" w:color="auto"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72"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30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40" w:hRule="atLeast"/>
        </w:trPr>
        <w:tc>
          <w:tcPr>
            <w:tcW w:w="1497" w:type="dxa"/>
            <w:tcBorders>
              <w:top w:val="single" w:color="auto" w:sz="4" w:space="0"/>
              <w:left w:val="single" w:color="auto" w:sz="4" w:space="0"/>
              <w:bottom w:val="single" w:color="auto"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合计金额（元）</w:t>
            </w:r>
          </w:p>
        </w:tc>
        <w:tc>
          <w:tcPr>
            <w:tcW w:w="7159" w:type="dxa"/>
            <w:gridSpan w:val="5"/>
            <w:tcBorders>
              <w:top w:val="single" w:color="auto" w:sz="4" w:space="0"/>
              <w:left w:val="single" w:color="000000"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2678000</w:t>
            </w:r>
          </w:p>
        </w:tc>
      </w:tr>
    </w:tbl>
    <w:p>
      <w:pPr>
        <w:adjustRightInd w:val="0"/>
        <w:spacing w:line="400" w:lineRule="exact"/>
        <w:jc w:val="left"/>
        <w:rPr>
          <w:rFonts w:hint="eastAsia" w:ascii="宋体" w:hAnsi="宋体" w:cs="宋体"/>
          <w:b/>
          <w:bCs/>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（一）、原子吸收光谱仪技术参数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1、主要技术指标：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1.1仪器工作环境</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1.1.1 15 ~ 35 ℃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1.1.2 相对湿度 ： ≤80%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1.1.3 电    压 ： 220V AC ± 10%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仪器整体设计：系统为火焰、石墨炉一体机设计（非分体式设计）,石墨炉部分采用横向加热、纵向交流塞曼扣背景；并配置石墨炉自动进样器及进样彩色可视系统。火焰与石墨炉功能的切换不采用外部原子化器的机械切换，不采用内部光路系统中光学镜子的机械转动，而是采用两套高能量的光纤系统直接将光引到火焰原子化系统和石墨炉原子化系统，无光能量损失，整个光学系统没有一个运动部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1.3测量方式：火焰发射、吸收，石墨炉原子吸收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1.4光学系统：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1.4.1波长：185－900 nm；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1.4.2波长准确度：</w:t>
      </w:r>
      <w:r>
        <w:rPr>
          <w:rFonts w:hint="eastAsia" w:ascii="宋体" w:hAnsi="宋体" w:cs="宋体"/>
          <w:sz w:val="24"/>
          <w:szCs w:val="24"/>
          <w:lang w:bidi="ar"/>
        </w:rPr>
        <w:sym w:font="Symbol" w:char="F0B1"/>
      </w:r>
      <w:r>
        <w:rPr>
          <w:rFonts w:hint="eastAsia" w:ascii="宋体" w:hAnsi="宋体" w:cs="宋体"/>
          <w:sz w:val="24"/>
          <w:szCs w:val="24"/>
          <w:lang w:bidi="ar"/>
        </w:rPr>
        <w:t>0.2nm；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1.4.3 全光纤光路实时双光束光路设计，能同时检测样品光束和参比光束；（投标人需提供生产厂家的光路说明图片）；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1.4.4光谱带宽：0.2nm、0.7nm和2.0nm，每档又有高、低两档狭缝；</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1.4.5采用大面积全息光栅，且光栅面积不小于60mm</w:t>
      </w:r>
      <w:r>
        <w:rPr>
          <w:rFonts w:hint="eastAsia" w:ascii="宋体" w:hAnsi="宋体" w:cs="宋体"/>
          <w:sz w:val="24"/>
          <w:szCs w:val="24"/>
          <w:lang w:bidi="ar"/>
        </w:rPr>
        <w:sym w:font="Symbol" w:char="F0B4"/>
      </w:r>
      <w:r>
        <w:rPr>
          <w:rFonts w:hint="eastAsia" w:ascii="宋体" w:hAnsi="宋体" w:cs="宋体"/>
          <w:sz w:val="24"/>
          <w:szCs w:val="24"/>
          <w:lang w:bidi="ar"/>
        </w:rPr>
        <w:t>60mm；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1.4.6最高刻线密度光栅，1800条/毫米；</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1.4.7双闪耀波长光栅，其中一个用于紫外区，另一个用于可见区，保证在整个光谱范围190－900 nm，具有充足的光强。</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1.4.8基线漂移：小于0.001 Abs /30min。</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1.5灯光源：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1.5.1采用独立的一个8灯全自动灯架（保证在火焰或者是石墨炉使用时均有8只灯选择），既可装空心阴极灯，又可装无极放电灯；可同时点燃4支灯，灯位置全自动调节。（投标人需提供生产厂家的彩页图片和注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1.6火焰原子化系统：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1.6.1雾化-原子化系统安全可靠，有完整的安全连锁功能，包括水封、燃烧头识别、火焰监测、突发性断电断气保护、紧急气路切断等；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1.6.2雾化及原子化系统各部件拆卸方便，维护保养容易；</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1.6.3 10厘米长燃烧头，燃烧头位置和气路流量自动优化；</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1.6.4燃气、助燃气和雾化气三路气体独立分开，采用全流量控制技术；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1.6.5雾化器流量可在0.5~10ml/min之间任意在线调节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1.6.6铜（Cu）灵敏度：5mg/L，吸光度≥1A.</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1.6.7 铜（Cu）检测限：2ppb.</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1.7石墨炉原子化系统：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★1.7.1横向加热石墨炉和一体化园弧平台石墨管，最大进样量90μL以上；（投标人需提供生产厂家的石墨管图片及注释）；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1.7.2温度范围：室温－2600°C，温差小于±10°C；</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1.7.3石墨炉直流升温电源，不需要外接石墨炉电源；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1.7.4具有光控升温和的真实温度控制技术，升温速率2000°C/秒；</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1.7.5石墨管采用全彩色、高分辨可视系统，极大方便调节石墨炉自动进样器进样针在石墨管内的位置，同时监控样品在石墨管中干燥、灰化等全过程。方便用户操作及方法开发（投标人需提供生产厂家的彩页图片及注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1.7.6石墨管内外保护气流分开控制；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1.7.7具有石墨炉零点漂移校正功能；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★1.7.8超精密石墨炉自动进样器：最大进样量90μL以上（投标人需提供生产厂家的软件截屏），同时提供</w:t>
      </w:r>
      <w:r>
        <w:rPr>
          <w:rFonts w:hint="eastAsia" w:ascii="宋体" w:hAnsi="宋体" w:cs="宋体"/>
          <w:sz w:val="24"/>
          <w:szCs w:val="24"/>
          <w:lang w:bidi="ar"/>
        </w:rPr>
        <w:sym w:font="Symbol" w:char="F0B3"/>
      </w:r>
      <w:r>
        <w:rPr>
          <w:rFonts w:hint="eastAsia" w:ascii="宋体" w:hAnsi="宋体" w:cs="宋体"/>
          <w:sz w:val="24"/>
          <w:szCs w:val="24"/>
          <w:lang w:bidi="ar"/>
        </w:rPr>
        <w:t>80位和</w:t>
      </w:r>
      <w:r>
        <w:rPr>
          <w:rFonts w:hint="eastAsia" w:ascii="宋体" w:hAnsi="宋体" w:cs="宋体"/>
          <w:sz w:val="24"/>
          <w:szCs w:val="24"/>
          <w:lang w:bidi="ar"/>
        </w:rPr>
        <w:sym w:font="Symbol" w:char="F0B3"/>
      </w:r>
      <w:r>
        <w:rPr>
          <w:rFonts w:hint="eastAsia" w:ascii="宋体" w:hAnsi="宋体" w:cs="宋体"/>
          <w:sz w:val="24"/>
          <w:szCs w:val="24"/>
          <w:lang w:bidi="ar"/>
        </w:rPr>
        <w:t>140位的样品盘（投标人需提供生产厂家的两种样品盘实物图片）；标样自动稀释所得线性相关系数</w:t>
      </w:r>
      <w:r>
        <w:rPr>
          <w:rFonts w:hint="eastAsia" w:ascii="宋体" w:hAnsi="宋体" w:cs="宋体"/>
          <w:sz w:val="24"/>
          <w:szCs w:val="24"/>
          <w:lang w:bidi="ar"/>
        </w:rPr>
        <w:sym w:font="Symbol" w:char="F0B3"/>
      </w:r>
      <w:r>
        <w:rPr>
          <w:rFonts w:hint="eastAsia" w:ascii="宋体" w:hAnsi="宋体" w:cs="宋体"/>
          <w:sz w:val="24"/>
          <w:szCs w:val="24"/>
          <w:lang w:bidi="ar"/>
        </w:rPr>
        <w:t>0.9994；</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1.7.9具有峰高和峰面积测定功能，推荐使用峰面积；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1.7.10具有的等温平台石墨炉技术。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1.7.11 Cd检出限≤0.005ppb（20ul进样量），基线零点漂移，0.002abs/30min。</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1.8背景校正：</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1.8.1火焰测定用氘灯背景校正法，石墨炉测定用塞曼效应背景校正法，（无需任何偏振镜设计），可校正高达3A的背景, 在背景为3A时，校正误差小于2%；</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1.8.2塞曼效应背景校正采用纵向交变磁场设计，光路中无需任何偏振镜；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1.8.3在背景为2A时，校正误差小于1%。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★1.9检测器：采用带低噪声CMOS电荷放大器的固体检测器或两个光电倍增光，参比与样品同时测量，能做到真正的实时双光束。（投标人需提供生产厂家的彩页图片及注释）。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1.10软件功能：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1.10.1多任务操作功能，即在分析样品的同时，能同时进行数据处理。软件操作方便、直观，软件为中文提示多任务操作，并处理和打印全中文报告。控制软件可以在中文版Windows 7下运行，软件具有中文提示界面，分析报告为中文报告，可以脱离仪器安装在其它计算机上进行模拟运行（模拟点火、熄火、样品分析），同时模拟软件具有数据处理功能，以便于教学、演示和培训。</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1.10.2数据处理：仪器吸收值、浓度或发射强度等读数可在0.01至100倍的范围内扩展。积分时间可按0.1秒的增量在0.1至60秒之间任选，读数方式包括时间平均积分、峰面积和峰高测量法，同时内置数理统计功能。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1.10.3校正曲线：多达15个标准点的各种校正曲线法供选择，可任选单标进行曲线斜率重校。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1.10.4仪器诊断软件和网络通讯，数据再处理功能。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1.10.5每一元素的测量参数自动优化并推荐最佳值，无需使用者进行估计。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1.10.6全面符合电子签名管理的21 CFR Part 11管理法规；</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1.10.7全面控制流动注射分析系统（FIAS）；</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1.10.8具有氢化物发生装置与原子吸收仪联用分析功能；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1.10.9支持高效液相色谱（HPLC）与原子吸收仪联用进行形态分析；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1.10.10具有在主软件运行时同时运行离线数据处理（Offline）的功能；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1.10.11数据档案管理（Data Manager）功能，支持数据的备份、恢复、删除，支持数据的文本格式输出；</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1.10.12具有与实验室管理系统软件（简称LIMS）无缝连接的功能，并具有与国产实验室管理系统软件（LIMS）连接的专用接口。</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1.10.13全自动安全保护功能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1.10.14仪器升级功能：无论火焰还是石墨炉，均具有与流动注射仪或氢化物发生器、气相色谱仪（GC）、液相色谱仪（HPLC）、热分析仪（TA）等仪器联用的功能。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2、仪器主要配置：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2.1原装原子吸收光谱仪主机1台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2.2双盘位石墨炉自动进样器1套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2.3自动进样彩色可视系统1套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2.4石墨炉专用循环水冷却器1个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2.5配套空气压缩机1台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2.6原装空气干燥过滤器及连接导管1套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2.7原装原子吸收英文软件、英文使用手册及数据接口1套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2.8原子吸收中文软件包、中文使用手册1套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2.9原装锌（Zn）、铜（Cu）、镉（Cd）、铁（Fe）、铅（Pb）、锰（Mn）、铬（Cr）元素空心阴极灯7支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2.10原装横向加热石墨管10支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2.11原装横向加热石墨锥1对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2.12原装石墨炉自动进样器进样针1套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2.13原装火焰进样毛细管6米</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2.14原装石墨炉自动进样器样品杯2.5m l1000个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2.15原装石墨炉自动进样器样品杯1.5ml 2000个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2.16氩气连接管5米</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2.17 15升废液桶1个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2.18废液桶组件1套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2.19三种型号T型六角螺丝刀1套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2.20石墨锥安装工具1套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2.21 USB连接线1根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2.22输入设备1套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2.23输出设备1台</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制造商免费向甲方提供售后服务与质量保证，具体事项如下：</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3.1安装及保修：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厂家免费上门安装、调试，用户验收合格日起保修一年，终身维护,包括对零配件的供应与维护。厂家在中国境内设有保税库，方便客户购买消耗品和零配件。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3.2用户培训：</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厂家应提供三次培训:第一次为现场安装调试培训; 第二次培训在生产厂家成都的应用实验室培训;第三次为生产厂家应用工程师回访用户,并在现场进行提高培训。</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培训时间：仪器验收后，根据用户要求确定时间。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培训地点：用户所在地现场和生产厂家成都示范实验室培训。</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培训目标：使用户深入理解仪器各项功能，可进行仪器的日常维护，熟练地运用所购仪器进行分析，满足用户工作要求。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培训人数：现场培训人数不限；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应用支持：帮助用户建立常规样品分析的标准方法，定期（至少每年一次）巡访用户，及时解决用户使用过程中的问题，定期免费赠送相关仪器应用资料，免费邀请用户参加公司定期举办的各种技术交流会。</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3.3制造厂家在成都地区具有自己的实验室和技术中心，需提供地址和图片；配有同型号的原子吸收光谱仪，以便培训用户并协助用户进行方法开发；</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b/>
          <w:bCs/>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（二）、流动注射分析仪技术参数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1、主要用途：主要用作生活饮用水，地表水及污水中挥发酚，氰化物，总氰化物，可溶性硫化物，硝酸盐，亚硝酸盐，氨氮，硅酸盐，阴离子表面活性剂，尿素，总碱度，总硬度，酸度，COD等项目的检测。</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2、主要技术指标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2.1氰化物/总氰化物：检测方法：在线蒸馏异烟酸-巴比妥酸法</w:t>
      </w:r>
      <w:r>
        <w:rPr>
          <w:rFonts w:hint="eastAsia" w:ascii="宋体" w:hAnsi="宋体" w:cs="宋体"/>
          <w:sz w:val="24"/>
          <w:szCs w:val="24"/>
          <w:lang w:bidi="ar"/>
        </w:rPr>
        <w:tab/>
      </w:r>
      <w:r>
        <w:rPr>
          <w:rFonts w:hint="eastAsia" w:ascii="宋体" w:hAnsi="宋体" w:cs="宋体"/>
          <w:sz w:val="24"/>
          <w:szCs w:val="24"/>
          <w:lang w:bidi="ar"/>
        </w:rPr>
        <w:t xml:space="preserve">线性范围（mg/L）0.002-0.2  相关系数&gt;0.999  检出限(mg/L) &lt;0.001  RSD&lt;1% ；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2.2.挥发酚：检测方法：在线蒸馏4-氨基安替比林分光光度法 线性范围（mg/L）0.001-0.2  相关系数&gt;0.999  检出限(mg/L) &lt;0.0003   RSD&lt;1% </w:t>
      </w:r>
    </w:p>
    <w:p>
      <w:pPr>
        <w:adjustRightInd w:val="0"/>
        <w:spacing w:line="400" w:lineRule="exact"/>
        <w:jc w:val="left"/>
        <w:rPr>
          <w:rFonts w:ascii="宋体" w:hAnsi="宋体" w:cs="宋体"/>
          <w:sz w:val="24"/>
          <w:szCs w:val="24"/>
          <w:lang w:bidi="ar"/>
        </w:rPr>
      </w:pPr>
      <w:r>
        <w:rPr>
          <w:rFonts w:ascii="宋体" w:hAnsi="宋体" w:cs="宋体"/>
          <w:sz w:val="24"/>
          <w:szCs w:val="24"/>
          <w:lang w:bidi="ar"/>
        </w:rPr>
        <w:t>2.3.</w:t>
      </w:r>
      <w:r>
        <w:rPr>
          <w:rFonts w:hint="eastAsia" w:ascii="宋体" w:hAnsi="宋体" w:cs="宋体"/>
          <w:sz w:val="24"/>
          <w:szCs w:val="24"/>
          <w:lang w:bidi="ar"/>
        </w:rPr>
        <w:t>氨氮</w:t>
      </w:r>
      <w:r>
        <w:rPr>
          <w:rFonts w:ascii="宋体" w:hAnsi="宋体" w:cs="宋体"/>
          <w:sz w:val="24"/>
          <w:szCs w:val="24"/>
          <w:lang w:bidi="ar"/>
        </w:rPr>
        <w:t xml:space="preserve">：线性范围：0.01-2.0 mg/L  检测方法：在线蒸馏亚甲蓝法RSD＜3% MDL:＜0.005  相关系数：＞0.999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2.4.阴离子表面活性剂：检测方法：在线萃取亚甲蓝光度法 线性范围：0.025 -1.0mg/L 相关系数：＞0.999 MDL：&lt; 0.010 mg/L RSD＜3%</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3、仪器性能特点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仪器基于非稳态流动注射分析（FIA）的基本原理，试剂在封闭的管路中连续流动，一定体积的样品通过样品注入阀注入载流，载流携带样品在封闭的编结反应器与试剂混合，形成具有一定吸光度的混合物，在非完全反应的条件下，进入流动检测池，进行光度检测，形成检测峰形，通过峰面积进行检测值的计算。</w:t>
      </w:r>
      <w:r>
        <w:rPr>
          <w:rFonts w:hint="eastAsia" w:ascii="宋体" w:hAnsi="宋体" w:cs="宋体"/>
          <w:sz w:val="24"/>
          <w:szCs w:val="24"/>
          <w:lang w:bidi="ar"/>
        </w:rPr>
        <w:cr/>
      </w:r>
      <w:r>
        <w:rPr>
          <w:rFonts w:hint="eastAsia" w:ascii="宋体" w:hAnsi="宋体" w:cs="宋体"/>
          <w:sz w:val="24"/>
          <w:szCs w:val="24"/>
          <w:lang w:bidi="ar"/>
        </w:rPr>
        <w:t>3.2样品与样品之间，样品与试剂之间，无需加入气泡，无需达到物理混合和化学反应平衡状态即可重复测定，实现快速准确地分析,样品及标样具有自动稀释功能。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★3.3可以通过一个自动进样器实现一个样品或四个不同样品的氰化物、挥发酚、阴离子、硫化物同时测定。</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3.4仪器无需使用压缩气体，所有化学分析流路使用FEP全化学惰性透明管, 无翻边管路接头。不同分析通道可以放在完全不同实验室固定使用，无需搬动主机和自动进样器，满足不同实验人员负责不同检测项目的使用要求。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3.5仪器的工作环境：仪器可供在室内使用或车载使用，环境温度 10—40℃；电源供给：220VAC，50HZ，相对湿度：25%—85%。</w:t>
      </w:r>
      <w:r>
        <w:rPr>
          <w:rFonts w:hint="eastAsia" w:ascii="宋体" w:hAnsi="宋体" w:cs="宋体"/>
          <w:sz w:val="24"/>
          <w:szCs w:val="24"/>
          <w:lang w:bidi="ar"/>
        </w:rPr>
        <w:cr/>
      </w:r>
      <w:r>
        <w:rPr>
          <w:rFonts w:hint="eastAsia" w:ascii="宋体" w:hAnsi="宋体" w:cs="宋体"/>
          <w:sz w:val="24"/>
          <w:szCs w:val="24"/>
          <w:lang w:bidi="ar"/>
        </w:rPr>
        <w:t>3.6仪器的各个通道可独立工作，无需额外配置主机等其他配件。各个通道之间可独立工作，也可同时工作，互不影响，最多可连接16-254个同系列分析仪同时工作。同系列分析仪同时工作时，除电脑外，无其他共用装置，彼此之间完全独立。</w:t>
      </w:r>
      <w:r>
        <w:rPr>
          <w:rFonts w:hint="eastAsia" w:ascii="宋体" w:hAnsi="宋体" w:cs="宋体"/>
          <w:sz w:val="24"/>
          <w:szCs w:val="24"/>
          <w:lang w:bidi="ar"/>
        </w:rPr>
        <w:cr/>
      </w:r>
      <w:r>
        <w:rPr>
          <w:rFonts w:hint="eastAsia" w:ascii="宋体" w:hAnsi="宋体" w:cs="宋体"/>
          <w:sz w:val="24"/>
          <w:szCs w:val="24"/>
          <w:lang w:bidi="ar"/>
        </w:rPr>
        <w:t>★3.7进液系统使用可调压力式蠕动泵，泵速：0-100r/min连续可调。专利免调节整体压盖泵专利压盖泵技术，具备压力调节装置，相比一般压盖泵解决了不同壁厚泵管疲劳趋势不一致问题，保证长时间进液稳定性，提高检测精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每个通道都包括一个专用的电动六孔阀，六孔阀上的六个孔位两两相通，通过电机带动转换位置，六孔阀上连接有样品环，用于注入一定体积的样品到连续流动的载流中。实现试剂自动加入。每个通道都包括一个专用的检测器, 检测器为双光束设计，通过窄带滤光片分光，不同的系列分析仪可以使用相同的滤光片，也可使用不同的滤光片，滤光片更换方便。</w:t>
      </w:r>
      <w:r>
        <w:rPr>
          <w:rFonts w:hint="eastAsia" w:ascii="宋体" w:hAnsi="宋体" w:cs="宋体"/>
          <w:sz w:val="24"/>
          <w:szCs w:val="24"/>
          <w:lang w:bidi="ar"/>
        </w:rPr>
        <w:cr/>
      </w:r>
      <w:r>
        <w:rPr>
          <w:rFonts w:hint="eastAsia" w:ascii="宋体" w:hAnsi="宋体" w:cs="宋体"/>
          <w:sz w:val="24"/>
          <w:szCs w:val="24"/>
          <w:lang w:bidi="ar"/>
        </w:rPr>
        <w:t>★3.9仪器配置四针同测自动进样器：300位三维式四针自动进样器，具备10、50mL等多种规格样品盘，同时具备样品盘规格自动识别、进样针液位跟随检测、防扎偏保护、清洗液液位检测等功能。四针自动进样器：样品位数大于300位,可同时实现四针同时插一个50ml样品管，可实现同一个样品管里面的样品做到四种以上参数同时测定。以及四针可插入四个不同的样品管，可以实现不同固定样品（涉及到固定方法不同的样品）同时测定</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3.10仪器也可每个通道可独立配置50位自动进样器，保证任何通道没有任何公用连接。</w:t>
      </w:r>
    </w:p>
    <w:p>
      <w:pPr>
        <w:adjustRightInd w:val="0"/>
        <w:spacing w:line="400" w:lineRule="exact"/>
        <w:jc w:val="left"/>
        <w:rPr>
          <w:rFonts w:ascii="宋体" w:hAnsi="宋体" w:cs="宋体"/>
          <w:sz w:val="24"/>
          <w:szCs w:val="24"/>
          <w:lang w:val="zh-CN" w:bidi="ar"/>
        </w:rPr>
      </w:pPr>
      <w:r>
        <w:rPr>
          <w:rFonts w:hint="eastAsia" w:ascii="宋体" w:hAnsi="宋体" w:cs="宋体"/>
          <w:sz w:val="24"/>
          <w:szCs w:val="24"/>
          <w:lang w:bidi="ar"/>
        </w:rPr>
        <w:t>★3.11</w:t>
      </w:r>
      <w:r>
        <w:rPr>
          <w:rFonts w:hint="eastAsia" w:ascii="宋体" w:hAnsi="宋体" w:cs="宋体"/>
          <w:sz w:val="24"/>
          <w:szCs w:val="24"/>
          <w:lang w:val="zh-CN" w:bidi="ar"/>
        </w:rPr>
        <w:t xml:space="preserve"> 自动进样器上配置有独立的补液泵，自动补液使用独立的补液泵，不占用通道上蠕动泵的</w:t>
      </w:r>
      <w:r>
        <w:rPr>
          <w:rFonts w:hint="eastAsia" w:ascii="宋体" w:hAnsi="宋体" w:cs="宋体"/>
          <w:sz w:val="24"/>
          <w:szCs w:val="24"/>
          <w:lang w:bidi="ar"/>
        </w:rPr>
        <w:t>管</w:t>
      </w:r>
      <w:r>
        <w:rPr>
          <w:rFonts w:hint="eastAsia" w:ascii="宋体" w:hAnsi="宋体" w:cs="宋体"/>
          <w:sz w:val="24"/>
          <w:szCs w:val="24"/>
          <w:lang w:val="zh-CN" w:bidi="ar"/>
        </w:rPr>
        <w:t>位；</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3.12为保证仪器的稳定性和准确性，检测系统采用高灵敏度双光束光度检测器，能主动修正光源漂移，检出限通常可达ppb级别，系统稳定时间小于15分钟。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3.13仪器可配置多参数通道，最多可实现一个分析通道上实现17种方法检测；，不同项目转换时需进行清洗，在软件中执行自动清洗程序即可，选择下个方法后点击方法下发及预热、切换检测试剂即可准备新方法检测。无需任何手工操作。必要时可提供样机验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★3.14每个通道上所有的化学管路和桌面水平放置，没有夹角，可有效防止反应液体受重力回流，混合，影响检测效果。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★4.1 同时具备样品盘规格自动识别、进样针液位跟随检测、防扎偏保护、清洗液液位检测等功能的300位XYZ自动进样器一套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4.2独立的挥发酚、氰化物/总氰化物、阴离子表面活性剂通道、氨氮通道，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4.3 稳压电源一个，专用的中文仪器控制软件一套。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4.4 电脑 打印机各1套</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4.5 免费一年耗材，各通道泵管各1包，蒸馏膜各1盒。</w:t>
      </w:r>
    </w:p>
    <w:p>
      <w:pPr>
        <w:pStyle w:val="10"/>
      </w:pPr>
    </w:p>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（三）、全自动紫外可见分光光度计技术参数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1.1光路类型：双光束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1.2开放式仪器应用平台，方便用户二次开发</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★1.3内置三种光源（氘灯、钨灯、汞灯），方便用户进行波长校准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★1.4波长范围</w:t>
      </w:r>
      <w:r>
        <w:rPr>
          <w:rFonts w:hint="eastAsia" w:ascii="宋体" w:hAnsi="宋体" w:cs="宋体"/>
          <w:sz w:val="24"/>
          <w:szCs w:val="24"/>
          <w:lang w:bidi="ar"/>
        </w:rPr>
        <w:tab/>
      </w:r>
      <w:r>
        <w:rPr>
          <w:rFonts w:hint="eastAsia" w:ascii="宋体" w:hAnsi="宋体" w:cs="宋体"/>
          <w:sz w:val="24"/>
          <w:szCs w:val="24"/>
          <w:lang w:bidi="ar"/>
        </w:rPr>
        <w:t xml:space="preserve">185nm ～900nm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1.5波长准确度</w:t>
      </w:r>
      <w:r>
        <w:rPr>
          <w:rFonts w:hint="eastAsia" w:ascii="宋体" w:hAnsi="宋体" w:cs="宋体"/>
          <w:sz w:val="24"/>
          <w:szCs w:val="24"/>
          <w:lang w:bidi="ar"/>
        </w:rPr>
        <w:tab/>
      </w:r>
      <w:r>
        <w:rPr>
          <w:rFonts w:hint="eastAsia" w:ascii="宋体" w:hAnsi="宋体" w:cs="宋体"/>
          <w:sz w:val="24"/>
          <w:szCs w:val="24"/>
          <w:lang w:bidi="ar"/>
        </w:rPr>
        <w:t xml:space="preserve">±0.1nm（氘灯656.1nm）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★1.6波长重复性</w:t>
      </w:r>
      <w:r>
        <w:rPr>
          <w:rFonts w:hint="eastAsia" w:ascii="宋体" w:hAnsi="宋体" w:cs="宋体"/>
          <w:sz w:val="24"/>
          <w:szCs w:val="24"/>
          <w:lang w:bidi="ar"/>
        </w:rPr>
        <w:tab/>
      </w:r>
      <w:r>
        <w:rPr>
          <w:rFonts w:hint="eastAsia" w:ascii="宋体" w:hAnsi="宋体" w:cs="宋体"/>
          <w:sz w:val="24"/>
          <w:szCs w:val="24"/>
          <w:lang w:bidi="ar"/>
        </w:rPr>
        <w:t xml:space="preserve">≤0.05nm（氘灯656.1nm）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1.7光谱带宽：0.1nm,0.2nm,0.5nm,1nm,2nm,5nm（六档可调）</w:t>
      </w:r>
      <w:r>
        <w:rPr>
          <w:rFonts w:hint="eastAsia" w:ascii="宋体" w:hAnsi="宋体" w:cs="宋体"/>
          <w:sz w:val="24"/>
          <w:szCs w:val="24"/>
          <w:lang w:bidi="ar"/>
        </w:rPr>
        <w:tab/>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1.8杂散光</w:t>
      </w:r>
      <w:r>
        <w:rPr>
          <w:rFonts w:hint="eastAsia" w:ascii="宋体" w:hAnsi="宋体" w:cs="宋体"/>
          <w:sz w:val="24"/>
          <w:szCs w:val="24"/>
          <w:lang w:bidi="ar"/>
        </w:rPr>
        <w:tab/>
      </w:r>
      <w:r>
        <w:rPr>
          <w:rFonts w:hint="eastAsia" w:ascii="宋体" w:hAnsi="宋体" w:cs="宋体"/>
          <w:sz w:val="24"/>
          <w:szCs w:val="24"/>
          <w:lang w:bidi="ar"/>
        </w:rPr>
        <w:t xml:space="preserve">220 nm≤0.0001% （NaI）；360 nm≤0.0001% （NaNO2）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★1.9光度范围</w:t>
      </w:r>
      <w:r>
        <w:rPr>
          <w:rFonts w:hint="eastAsia" w:ascii="宋体" w:hAnsi="宋体" w:cs="宋体"/>
          <w:sz w:val="24"/>
          <w:szCs w:val="24"/>
          <w:lang w:bidi="ar"/>
        </w:rPr>
        <w:tab/>
      </w:r>
      <w:r>
        <w:rPr>
          <w:rFonts w:hint="eastAsia" w:ascii="宋体" w:hAnsi="宋体" w:cs="宋体"/>
          <w:sz w:val="24"/>
          <w:szCs w:val="24"/>
          <w:lang w:bidi="ar"/>
        </w:rPr>
        <w:t xml:space="preserve">-6.0Abs～6.0Abs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1.10光源</w:t>
      </w:r>
      <w:r>
        <w:rPr>
          <w:rFonts w:hint="eastAsia" w:ascii="宋体" w:hAnsi="宋体" w:cs="宋体"/>
          <w:sz w:val="24"/>
          <w:szCs w:val="24"/>
          <w:lang w:bidi="ar"/>
        </w:rPr>
        <w:tab/>
      </w:r>
      <w:r>
        <w:rPr>
          <w:rFonts w:hint="eastAsia" w:ascii="宋体" w:hAnsi="宋体" w:cs="宋体"/>
          <w:sz w:val="24"/>
          <w:szCs w:val="24"/>
          <w:lang w:bidi="ar"/>
        </w:rPr>
        <w:t xml:space="preserve">内置氘灯、钨灯、汞灯，自动切换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1.11光学系统</w:t>
      </w:r>
      <w:r>
        <w:rPr>
          <w:rFonts w:hint="eastAsia" w:ascii="宋体" w:hAnsi="宋体" w:cs="宋体"/>
          <w:sz w:val="24"/>
          <w:szCs w:val="24"/>
          <w:lang w:bidi="ar"/>
        </w:rPr>
        <w:tab/>
      </w:r>
      <w:r>
        <w:rPr>
          <w:rFonts w:hint="eastAsia" w:ascii="宋体" w:hAnsi="宋体" w:cs="宋体"/>
          <w:sz w:val="24"/>
          <w:szCs w:val="24"/>
          <w:lang w:bidi="ar"/>
        </w:rPr>
        <w:t xml:space="preserve">混合C-T双单器系统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1.12检测器</w:t>
      </w:r>
      <w:r>
        <w:rPr>
          <w:rFonts w:hint="eastAsia" w:ascii="宋体" w:hAnsi="宋体" w:cs="宋体"/>
          <w:sz w:val="24"/>
          <w:szCs w:val="24"/>
          <w:lang w:bidi="ar"/>
        </w:rPr>
        <w:tab/>
      </w:r>
      <w:r>
        <w:rPr>
          <w:rFonts w:hint="eastAsia" w:ascii="宋体" w:hAnsi="宋体" w:cs="宋体"/>
          <w:sz w:val="24"/>
          <w:szCs w:val="24"/>
          <w:lang w:bidi="ar"/>
        </w:rPr>
        <w:t xml:space="preserve">高效光电倍增管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1.13通讯接口</w:t>
      </w:r>
      <w:r>
        <w:rPr>
          <w:rFonts w:hint="eastAsia" w:ascii="宋体" w:hAnsi="宋体" w:cs="宋体"/>
          <w:sz w:val="24"/>
          <w:szCs w:val="24"/>
          <w:lang w:bidi="ar"/>
        </w:rPr>
        <w:tab/>
      </w:r>
      <w:r>
        <w:rPr>
          <w:rFonts w:hint="eastAsia" w:ascii="宋体" w:hAnsi="宋体" w:cs="宋体"/>
          <w:sz w:val="24"/>
          <w:szCs w:val="24"/>
          <w:lang w:bidi="ar"/>
        </w:rPr>
        <w:t xml:space="preserve">RS232，USB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1.14控制软件</w:t>
      </w:r>
      <w:r>
        <w:rPr>
          <w:rFonts w:hint="eastAsia" w:ascii="宋体" w:hAnsi="宋体" w:cs="宋体"/>
          <w:sz w:val="24"/>
          <w:szCs w:val="24"/>
          <w:lang w:bidi="ar"/>
        </w:rPr>
        <w:tab/>
      </w:r>
      <w:r>
        <w:rPr>
          <w:rFonts w:hint="eastAsia" w:ascii="宋体" w:hAnsi="宋体" w:cs="宋体"/>
          <w:sz w:val="24"/>
          <w:szCs w:val="24"/>
          <w:lang w:bidi="ar"/>
        </w:rPr>
        <w:t xml:space="preserve">PC机，WINDOWSXP，WIN7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1.15样品室</w:t>
      </w:r>
      <w:r>
        <w:rPr>
          <w:rFonts w:hint="eastAsia" w:ascii="宋体" w:hAnsi="宋体" w:cs="宋体"/>
          <w:sz w:val="24"/>
          <w:szCs w:val="24"/>
          <w:lang w:bidi="ar"/>
        </w:rPr>
        <w:tab/>
      </w:r>
      <w:r>
        <w:rPr>
          <w:rFonts w:hint="eastAsia" w:ascii="宋体" w:hAnsi="宋体" w:cs="宋体"/>
          <w:sz w:val="24"/>
          <w:szCs w:val="24"/>
          <w:lang w:bidi="ar"/>
        </w:rPr>
        <w:t xml:space="preserve">最大光程100mm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1.16参比光束与样品光束中心距100mm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★1.17样品池光斑高度0-12mm连续可调</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★1.18强大的测试功能：光度测量、定量测量、光谱扫描、时间扫描、最佳测量光谱带宽自动分析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1.19三维直角坐标式自动进样器：3个样品区，2种样品盘（25ml×18位、50ml×10位），最大可支持54个样品连续。高性能电机驱动系统，节省X、Y、Z轴移位时间。采用防腐蚀性能材料，防止试剂危害，延长使用寿命。进样针具有自动清洗功能，降低样品的交叉污染（需提供生产厂家盖鲜章的彩页资料或相关证明材料作为佐证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1.20丰富的附件扩展功能：长样品池架附件、溶出度附件、八联池架附件、固体样品池架附件、微量池架附件、可变角度样品台附件，镜面反射附件、恒温池架附件、积分球附件等多种附件，满足客户多种扩展应用功能需求（需提供生产厂家盖鲜章的彩页资料或相关证明材料作为佐证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★1.21三维谱图功能：可实现多条光谱组合显示为三维谱图，可对三维谱图进行光照、着色、分层等效果处理，可实现峰值检出功能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★1.22双光束长样品池架附件（100mm）可使用比色皿规格：5mm、10mm、20mm、30mm、40mm、50mm、100mm可调（需提供生产厂家盖鲜章的彩页资料或相关证明材料作为佐证材料）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★1.23制造厂家必须通过ISO9001、ISO14001和ISO45001，产品是自主创新产品。（需提供生产厂家盖鲜章的资料作为佐证材料）。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1.24配套重金属检测专用耗材及方法包（铅/镉），实现对水/食品/粮食中重金属特异性选择、富集及检测，消除背景干扰，特异性选择富集能力50倍以上；(提供有资质的食品检验机构出具的验证报告，提供原件或加盖公章的复印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★1.25生产厂家具有全国分析检测人员能力NTC培训资质（需提供NTC培训机构资质认定证书复印件并加盖生产厂家鲜章）</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★1.26生产厂家具有全国分析检测人员能力NTC考核资质（需提供NTC考核基地资质认定证书复印件并加盖生产厂家鲜章）</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2、详细配置：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2.1紫外可见分光光度计主机1台；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 UVWin紫外操作软件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2.3自动进样器1套；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2.4双光束100mm长样品池架1套（可使用比色皿规格：5mm、10mm、20mm、30mm、40mm、50mm、100mm可调）；</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2.5石英比色皿（10mm）1对；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2.6自动进样器专用接口及附件1套；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2.7镉离子印迹材料5套；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2.8铅离子印迹材料5套；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2.9品牌电脑1套；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2.10品牌打印机1套（选配）；</w:t>
      </w:r>
    </w:p>
    <w:p>
      <w:pPr>
        <w:adjustRightInd w:val="0"/>
        <w:spacing w:line="400" w:lineRule="exact"/>
        <w:jc w:val="left"/>
        <w:rPr>
          <w:rFonts w:ascii="宋体" w:hAnsi="宋体" w:cs="宋体"/>
          <w:sz w:val="24"/>
          <w:szCs w:val="24"/>
          <w:lang w:bidi="ar"/>
        </w:rPr>
      </w:pPr>
    </w:p>
    <w:p>
      <w:pPr>
        <w:pStyle w:val="10"/>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（四）、测汞仪技术参数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1、用途：对固、气、液样品微量汞含量直接进行测量。</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2、使用环境条件：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2.1工作电压：（220 ± 10% ）V，（50±1）Hz</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 温度： 15℃-30℃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2.3 湿度： ≤85 %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3、功能要求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★3.1仪器测量原理：电热蒸发-冷原子吸收原理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  仪器无需切换进样模块，可直接自动测定固体、液体样品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★3.3操作软件对裂解、催化、捕集释放、吸收全过程温度自动精确控制（须提供操作软件截图以佐证）。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3.4捕集管采用纳米镀层金汞齐材料制作技术，具有对样品释放的微量汞元素进行高效捕集（可实现样品多次捕集），提高仪器灵敏度。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★3.5采用120℃以上的恒温加热型双测量池或多测量池设计，无除水耗材，恒温长、短吸收池双光程技术，仪器能根据样品的浓度自动切换选择不同吸收池的校正曲线进行定量计算。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★3.6采用非反射式双光束光路设计和硅光二极管检测器，可对光源漂移和波动进行实时校正，光路无反射镜设计，避免因镜片污损造成测量误差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3.7高低灵敏度两个测量池的吸收信号使用同一个检测器得出，减少系统误差的产生。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3.8无限循环式固体/液体自动进样器，单盘不低于40位，带防尘罩，支持长时间无人值守测量</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3.9电子天平可以将样品重量数据直接传给数据处理系统，无需人工抄写，减少人为操作误差，提高测量效率。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3.10采用高性能低压汞灯，操作软件自动检测和校正汞灯能量。</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★3.11具有尾气有害元素处理装置，可以通过颜色变化判断处理装置的更换时间，防止污染实验室空气和危害监测人员身体健康。</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★3.12较低的使用成本：可采用压缩空气作为载气；采用分体式齐化管和催化管，齐化管和催化管可按需更换</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4、指标指标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检出限：≤0.001ng</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重复性： RSD≤1.0%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最大进样量：液体样品：1.5mL，固体样品：1.5g</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测量范围：（0～1600）ng</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5.1测汞仪主机1套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5.2镍舟40个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5.3石英舟40个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5.4内置催化管1套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5.5内置捕集管1套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5.6尾气捕集装置1套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5.7配套软件1套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5.8备品备件1套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5.9数据显示系统1套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5.10数据输出系统1套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5.11品牌电脑1套</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5.12品牌激光打印机1套</w:t>
      </w:r>
    </w:p>
    <w:p>
      <w:pPr>
        <w:pStyle w:val="10"/>
        <w:rPr>
          <w:rFonts w:hint="eastAsia" w:ascii="宋体" w:hAnsi="宋体" w:cs="宋体"/>
          <w:sz w:val="24"/>
          <w:szCs w:val="24"/>
          <w:lang w:bidi="ar"/>
        </w:rPr>
      </w:pPr>
    </w:p>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（五）、全自动在线碘元素分析仪技术参数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1.1功能与原理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1.1.1功能：全自动碘分析，用于检测尿，水中的碘元素含量。</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★1.1.2 执行标准：尿碘检测严格按照国家卫生行业标准方法《W S/T 107.1-2016 尿中碘的测定 第1部分砷铈催化分光光度法》要求的步骤进行检测，取样0.25mL后上机，仪器自动添加过硫酸铵1mL进行消解，消解完成后自动加入亚砷酸2.5mL，连续地间隔30s添加硫酸铈铵0.3mL，自动混匀后导入光度计检测并分析数据；水碘按照《GB/T 5750.5-2006 生活饮用水标准检验方法 无机非金属指标》中水中碘化物的要求或采用“适合缺碘及高碘地区水碘检测的方法研究”（中国地方病学杂志，2007,26（3）：333-336）的测定方法进行检测，添加过硫酸铵进行消解，连续地间隔30s添加硫酸铈铵，自动混匀后导入光度计检测并分析数据。（投标人必须提供所投产品符合国标方法的仪器实验动作细节包括试剂添加量，并附实验流程细节示意图，供评委评估是否符合国标，也作为采购人验收的依据之一）。</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1.2试剂：开放，可使用第三方试剂，用户也可自行配备。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1.3在线式比色皿分析技术：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1.3.1 自动吸取样品到光度计，直接读取样品的吸光度。</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1.3.2 采用在线式比色皿技术，体积小，清洗方便；所有样品都只经过一个比色皿避免了不同比色皿之间差异所带来的系统误差。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1.4LED光源：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1.4.1 吸光度范围：0-4。</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1.4.2 吸光度分辨率：0.00001。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1.4.3 检测波长：400nm、380nm、405nm、420nm。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1.5精度与范围：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1.5.1 检测范围：尿碘：2-1200μg/L；水碘：1-600μg/L。</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1.5.2 线性范围：&gt;0.999。</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1.5.3 相对标准偏差：RSD(低浓度)≤3%,，RSD(高浓度)≤2%。</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1.5.4 准确度：能满足国家标准对准确度的要求。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★1.5.5 尿碘低浓度300标曲点的吸光度值符合国标要求为0.15-0.18.（提供实验数据报告并加盖制造商鲜章）</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1.6在线自动恒温消解装置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1.6.1在线自动恒温消解装置技术要求：恒温消解装置采用16mm*150mm玻璃试管，孔间温差≤1℃，自动添加消解液，消解温度为国标要求100℃，消解完成后无需转移样品，自动进入恒温反应；一次性可消解不少于120个样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1.7在线超级恒温水浴装置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★1.7.1在线超级恒温水浴装置技术要求：工作站软件应显示实时水浴温度，温度控制+/- 0.1度。可自动添加反应试剂，恒温反应完成后自动导入光度计检测。</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1.7.2 试剂瓶：棕色500mL玻璃试剂瓶。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1.7.3 安装无需加装风机与通风管道，可直接放置在通风橱里使用。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1.7.4 可在线搅拌、混合。</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1.7.5 一次性可以同时摆放不少于120个样品，一次性可消解不少于120个样品。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1.8清洗站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1.8.1 自动清洗取样针，使用新鲜纯水清洗。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1.8.2 检测不同样品之间，自动清洗管路，避免交叉污染。</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1.8.3 实验结束后，根据预设程序一键清洗仪器。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1.9软件控制与数据输出</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1.9.1 PC软件控制，使用人员只需要取样放样，并勾选测试项目，即可一键运行。前处理与检测在线进行，实验中可实现全程无人值守。</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1.9.2 软件自动拟合工作曲线计算结果。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w:t>
      </w:r>
      <w:r>
        <w:rPr>
          <w:rFonts w:ascii="宋体" w:hAnsi="宋体" w:cs="宋体"/>
          <w:sz w:val="24"/>
          <w:szCs w:val="24"/>
          <w:lang w:bidi="ar"/>
        </w:rPr>
        <w:t>9</w:t>
      </w:r>
      <w:r>
        <w:rPr>
          <w:rFonts w:hint="eastAsia" w:ascii="宋体" w:hAnsi="宋体" w:cs="宋体"/>
          <w:sz w:val="24"/>
          <w:szCs w:val="24"/>
          <w:lang w:bidi="ar"/>
        </w:rPr>
        <w:t>.3 内置调试软件，自动校准取样针、加液口位置。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w:t>
      </w:r>
      <w:r>
        <w:rPr>
          <w:rFonts w:ascii="宋体" w:hAnsi="宋体" w:cs="宋体"/>
          <w:sz w:val="24"/>
          <w:szCs w:val="24"/>
          <w:lang w:bidi="ar"/>
        </w:rPr>
        <w:t>9</w:t>
      </w:r>
      <w:r>
        <w:rPr>
          <w:rFonts w:hint="eastAsia" w:ascii="宋体" w:hAnsi="宋体" w:cs="宋体"/>
          <w:sz w:val="24"/>
          <w:szCs w:val="24"/>
          <w:lang w:bidi="ar"/>
        </w:rPr>
        <w:t>.4实验报告体现吸光度与碘浓度值，数据表格可直接连接打印机打印。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1.9.5 软件终身免费更新。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验收要求：仪器由厂家工程师负责安装调试，并进行性能测试满足以下技术指标方可验收。线性≥0.999，尿碘质控结果符合国家要求（低值质控结果满足中心值±9，高值质控结果满足中心值±15），尿碘低浓度300标曲点吸光度满足国标要求0.15-0.18，RSD(低浓度)≤3%,，RSD(高浓度)≤2%，实验流程与条件控制（取样量，试剂量，消解、水浴等）满足国标要求，否则不予验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2、工作环境与条件：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2.1环境温度：20-35℃</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2.2相对湿度：20-85%</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2.3电源供应：200-240V (AC)</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2.4可直接安装在通风橱中使用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3、主要配置：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3.1高精度计量泵×2</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3.2蠕动泵×3</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3.3高精度光度计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3.4三轴机械臂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3.5独立的取样针</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3.6 120位样品盘</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3.7在线超级恒温水浴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3.8在线自动恒温消解装置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3.9自动加水排水系统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3.10低残留清洗位</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3.11 300根16mm*150mm样品管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3.12塑料储水桶（2个，15L）</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3.13纯水桶（1个，10L）</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3.14试剂盒：低浓度尿碘试剂盒（1盒）。</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3.15专用分析软件</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3.16工作站：i3，4G，500G，显示分辨率1920*1080以上，USB接口</w:t>
      </w:r>
    </w:p>
    <w:p>
      <w:pPr>
        <w:pStyle w:val="10"/>
      </w:pP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（六）、低本底α、β放射性测定仪技术参数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★1、产品制造厂家应具备《辐射安全许可证》、《制造计量器具许可证》、《放射源豁免证明》；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可同时测量的样品数量四个，并分别给出每个被测样品中的总α和/或总β的活度浓度；探测器：采用双闪烁体探测器，其中主探测器4个，反符合探测器2个（提供设备内部图片并加盖投标人公章作为证明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★3、单位面积平均本底计数率：仪器对于90Sr-90Y β源的2π探测效率比≥60%时，本底≤0.05cm-2min-1；仪器对于239Pu α源的2π效率比≥90%时，本底≤0.0015cm-2min-1；串道比：α／β串道比：α进入β道≤1％，β进入α道≤0.1％（提供设备数据报告并加盖投标人公章作为证明材料）；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4、效率稳定性：仪器连续通电24小时，各路探测器效率变化≤±5％；本底稳定性：在1000min的测量时间内，本底计数变化应在(Nb±3σ)的范围内，其中Nb为本底计数的平均值，σ为本底计数的标准误差；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5、采集模式：可断点续采，即用户随时暂停、随时继续采集；控制装置：具有高速多通道并行计算处理技术，实现同步处理多路信号，集成度高，仪器稳定性强；</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反符合探头效率＞99%；含铅室屏蔽装置；仪器工作过程无需气源耗材；铅室可实现样品自动开盖测量，采用机电一体化，做到无人值守，自动完成测量程序并打印结果；（提供控制装置实物图并加盖投标人公章作为证明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7、配置要求：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7.1标准机柜1个，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7.2控制系统1套，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7.3塑料双闪烁体的主探测器4支，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7.4塑料闪烁体的反符合探测器2支，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7.5铅室1套；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7.6标准粉末源241Am，标准粉末源KCL（40K）一套；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7.7样品盘100个，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7.8α、β测量仪操作系统软件1套（光盘），</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7.9产品使用说明书1份；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7.10配套数据处理系统1套；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7.11经中国合格评定国家认可委员会（CNAS）认可的校准机构出具的检定/校准证书1套。</w:t>
      </w:r>
    </w:p>
    <w:p>
      <w:pPr>
        <w:adjustRightInd w:val="0"/>
        <w:spacing w:line="400" w:lineRule="exact"/>
        <w:jc w:val="left"/>
        <w:rPr>
          <w:rFonts w:ascii="宋体" w:hAnsi="宋体" w:cs="宋体"/>
          <w:b/>
          <w:bCs/>
          <w:sz w:val="24"/>
          <w:szCs w:val="24"/>
          <w:lang w:bidi="ar"/>
        </w:rPr>
      </w:pPr>
    </w:p>
    <w:p>
      <w:pPr>
        <w:pStyle w:val="10"/>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（七）、微波水样蒸发仪技术参数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可同时处理样品通道数四个，单路单控；（提供设备实物图片并加盖投标人公章作为证明材料）；双重过流保护，总开关和加热模块各有过流保护措施，具有过热断电保护功能；（提供结构设计图并加盖投标人公章作为证明材料）；容器规格：400ml蒸发皿；</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电热丝加热，PID精准调控，各温度控制系统之间相互独立；最大处理量：≥40L；浓缩体积：≤100ml；采用自动滴定进样方式，通过超声波探测量水位高度、热电偶测量加热模块温度，经系统控制滴定速率、加热功率、水位高度，过程一键启动，无人值守（提供设备实物图片并加盖投标人公章作为证明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具有定量蒸发、高温灰化、管道清洗等处理功能，具备蒸发温度、进样体积、灰化温度、灰化时长、滴水速度调节功能；具备操作步骤、蒸发完成、水样不足、运行出错等声光提示功能，支持多点触控模式；大功率涡轮排风系统；内置断电保护模块，紧急断电开关；</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蒸发温度≤100℃，温度偏差≤±2.0%；灰化温度≤500℃，温度偏差≤±5%；蒸发速度：2L水可以在3h内蒸发浓缩至100ml，蒸发完成可自动进入灰化阶段；整机防腐处理，耐酸耐高温；整机功耗≤3500W；（提供产品彩页并加盖投标人公章作为证明材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5、配置要求：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5.1水样蒸发仪1套，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5.2水样蒸发皿8套，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5.3防浮沉接头6个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5.4管道风机1台;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5.5高温手套2套，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5.6其他随机必备配套品、备件等。</w:t>
      </w:r>
    </w:p>
    <w:p>
      <w:pPr>
        <w:adjustRightInd w:val="0"/>
        <w:spacing w:line="400" w:lineRule="exact"/>
        <w:jc w:val="left"/>
        <w:rPr>
          <w:rFonts w:ascii="宋体" w:hAnsi="宋体" w:cs="宋体"/>
          <w:sz w:val="24"/>
          <w:szCs w:val="24"/>
          <w:lang w:bidi="ar"/>
        </w:rPr>
      </w:pPr>
    </w:p>
    <w:p>
      <w:pPr>
        <w:pStyle w:val="10"/>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（八）、全自动高锰酸盐指数分析仪技术参数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1、全自动高锰酸盐指数分析仪主机</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 仪器测量需符合《GB 11892-89 水质 高锰酸盐指数的测定》、 《GB5750-2006 生活饮用水标准检验方法》、《水和废水监测分析方法》（第四版）标准。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 仪器制造商需具备生产制造资质,具备长期提供售后服务的基本规模及能力；通过ISO9001质量管理体系认证、ISO14001环境管理体系认证、ISO45001:2018职业健康安全管理体系认证、五星售后服务体系认证。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 仪器采用主机加一台外置式自动进样器结构设计，可实现全流程、连续性的高度自动化的样品处理。主机样品盘、自动进样器均为圆形可旋转结构，均设有加液杆、进样针装置，实验人员只需要将采集回来的样品按序号逐一倒入自动进样器样品杯的刻度范围内，仪器自动完成管路清洗、自动进样，自动定量100ml样品至主机样品盘待测区，进样器体积误差需小于0.2ml（需提供省级计量检测单位出具的计量证书）。不接收各种抽拉式、固定式方形样品盘结构设计，无法满足自动进样要求。（需提供主机加自动进样器实物图，并标注加液杆、进样针位置，否则视为实质不满足）</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 根据国标规范要求采用沸水浴加热方式，保证样品受热均匀并与国标保持一致。加热温度可设定0-100℃，消解时间为：30±2min，同时具有缺水自动补纯水功能，保证沸水浴面始终高于样品杯中的液面，不接受电极法测定水位，防止长时间使用造成水箱结垢腐蚀。</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 要求采用三轴高效电驱动机器人手臂替代人工，实现样品转移等功能。电驱动手臂运行稳定，不接受占空间、噪音大的空气动力泵抓取方式，避免管路漏气，样品转移过程中样品杯掉落。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 具有恒温滴定保护功能，消解结束后，可在恒温环境中（60-80度，温度可设定在一个恒温值范围内）用高锰酸钾回滴过量的草酸钠。</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★1.7 采用高精度注射泵进行滴定和加样，自动进样精度误差需＜0.2ml（需提供省级部门出具的权威验证报告）；专业的滴定头设计，滴定精度误差需＜0.01ml（需提供加盖公章的终端用户出具的产品应用证明），以减小滴定误差对检测结果的影响。</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1.8 滴定终点自动判定：采用模拟人眼的精准识别终点传感技术，通过溶液颜色变化自动判定滴定终点，不受水体浊度等影响且无需样品杯除水功能，精度更高，反应速度更快。</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1.9 主机设计有试剂瓶存放区，数量不少于四组。试剂瓶可以直接放入并具有试剂液量消耗监控功能，实时显示试剂液位，低于预警值能够实现人性化提醒，确保实验有效进行。</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1.10 具有高浓度样品自动稀释功能，操作人员选择稀释比例后仪器自动完成后续所有工作。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1.11 需同时适应酸碱法测定：默认程序为酸性法，样品氯离子含量高于300mg/L时可选择碱性法；</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★1.12 精密度要求：RSD＜2.0%，浓度为3.95mg/L（批号 080201）的环保部标准样品。（需提供省级计量检测部门权威的验证报告）</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w:t>
      </w:r>
      <w:r>
        <w:rPr>
          <w:rFonts w:ascii="宋体" w:hAnsi="宋体" w:cs="宋体"/>
          <w:color w:val="auto"/>
          <w:sz w:val="24"/>
          <w:szCs w:val="24"/>
          <w:highlight w:val="none"/>
          <w:lang w:bidi="ar"/>
        </w:rPr>
        <w:t>技术指标：</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2.1</w:t>
      </w:r>
      <w:r>
        <w:rPr>
          <w:rFonts w:ascii="宋体" w:hAnsi="宋体" w:cs="宋体"/>
          <w:color w:val="auto"/>
          <w:sz w:val="24"/>
          <w:szCs w:val="24"/>
          <w:highlight w:val="none"/>
          <w:lang w:bidi="ar"/>
        </w:rPr>
        <w:t>试剂添加单元：</w:t>
      </w:r>
      <w:r>
        <w:rPr>
          <w:rFonts w:hint="eastAsia" w:ascii="宋体" w:hAnsi="宋体" w:cs="宋体"/>
          <w:color w:val="auto"/>
          <w:sz w:val="24"/>
          <w:szCs w:val="24"/>
          <w:highlight w:val="none"/>
          <w:lang w:bidi="ar"/>
        </w:rPr>
        <w:t>不少于</w:t>
      </w:r>
      <w:r>
        <w:rPr>
          <w:rFonts w:ascii="宋体" w:hAnsi="宋体" w:cs="宋体"/>
          <w:color w:val="auto"/>
          <w:sz w:val="24"/>
          <w:szCs w:val="24"/>
          <w:highlight w:val="none"/>
          <w:lang w:bidi="ar"/>
        </w:rPr>
        <w:t>5个（硫酸、草酸钠、高锰酸钾、氢氧化钠、纯水）</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2.2</w:t>
      </w:r>
      <w:r>
        <w:rPr>
          <w:rFonts w:ascii="宋体" w:hAnsi="宋体" w:cs="宋体"/>
          <w:color w:val="auto"/>
          <w:sz w:val="24"/>
          <w:szCs w:val="24"/>
          <w:highlight w:val="none"/>
          <w:lang w:bidi="ar"/>
        </w:rPr>
        <w:t>样品转移：三轴</w:t>
      </w:r>
      <w:r>
        <w:rPr>
          <w:rFonts w:hint="eastAsia" w:ascii="宋体" w:hAnsi="宋体" w:cs="宋体"/>
          <w:color w:val="auto"/>
          <w:sz w:val="24"/>
          <w:szCs w:val="24"/>
          <w:highlight w:val="none"/>
          <w:lang w:bidi="ar"/>
        </w:rPr>
        <w:t>电驱动</w:t>
      </w:r>
      <w:r>
        <w:rPr>
          <w:rFonts w:ascii="宋体" w:hAnsi="宋体" w:cs="宋体"/>
          <w:color w:val="auto"/>
          <w:sz w:val="24"/>
          <w:szCs w:val="24"/>
          <w:highlight w:val="none"/>
          <w:lang w:bidi="ar"/>
        </w:rPr>
        <w:t>智能机械手臂</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2.3</w:t>
      </w:r>
      <w:r>
        <w:rPr>
          <w:rFonts w:ascii="宋体" w:hAnsi="宋体" w:cs="宋体"/>
          <w:color w:val="auto"/>
          <w:sz w:val="24"/>
          <w:szCs w:val="24"/>
          <w:highlight w:val="none"/>
          <w:lang w:bidi="ar"/>
        </w:rPr>
        <w:t>处理样品时间：平均单个样品处理时间≤</w:t>
      </w:r>
      <w:r>
        <w:rPr>
          <w:rFonts w:hint="eastAsia" w:ascii="宋体" w:hAnsi="宋体" w:cs="宋体"/>
          <w:color w:val="auto"/>
          <w:sz w:val="24"/>
          <w:szCs w:val="24"/>
          <w:highlight w:val="none"/>
          <w:lang w:bidi="ar"/>
        </w:rPr>
        <w:t>8</w:t>
      </w:r>
      <w:r>
        <w:rPr>
          <w:rFonts w:ascii="宋体" w:hAnsi="宋体" w:cs="宋体"/>
          <w:color w:val="auto"/>
          <w:sz w:val="24"/>
          <w:szCs w:val="24"/>
          <w:highlight w:val="none"/>
          <w:lang w:bidi="ar"/>
        </w:rPr>
        <w:t>分钟</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2.4</w:t>
      </w:r>
      <w:r>
        <w:rPr>
          <w:rFonts w:ascii="宋体" w:hAnsi="宋体" w:cs="宋体"/>
          <w:color w:val="auto"/>
          <w:sz w:val="24"/>
          <w:szCs w:val="24"/>
          <w:highlight w:val="none"/>
          <w:lang w:bidi="ar"/>
        </w:rPr>
        <w:t>额定电压：220V/50HZ</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2.5</w:t>
      </w:r>
      <w:r>
        <w:rPr>
          <w:rFonts w:ascii="宋体" w:hAnsi="宋体" w:cs="宋体"/>
          <w:color w:val="auto"/>
          <w:sz w:val="24"/>
          <w:szCs w:val="24"/>
          <w:highlight w:val="none"/>
          <w:lang w:bidi="ar"/>
        </w:rPr>
        <w:t>主机额定功率：</w:t>
      </w:r>
      <w:r>
        <w:rPr>
          <w:rFonts w:hint="eastAsia" w:ascii="宋体" w:hAnsi="宋体" w:cs="宋体"/>
          <w:color w:val="auto"/>
          <w:sz w:val="24"/>
          <w:szCs w:val="24"/>
          <w:highlight w:val="none"/>
          <w:lang w:bidi="ar"/>
        </w:rPr>
        <w:t>不高于</w:t>
      </w:r>
      <w:r>
        <w:rPr>
          <w:rFonts w:ascii="宋体" w:hAnsi="宋体" w:cs="宋体"/>
          <w:color w:val="auto"/>
          <w:sz w:val="24"/>
          <w:szCs w:val="24"/>
          <w:highlight w:val="none"/>
          <w:lang w:bidi="ar"/>
        </w:rPr>
        <w:t>3300W</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2.6 </w:t>
      </w:r>
      <w:r>
        <w:rPr>
          <w:rFonts w:ascii="宋体" w:hAnsi="宋体" w:cs="宋体"/>
          <w:color w:val="auto"/>
          <w:sz w:val="24"/>
          <w:szCs w:val="24"/>
          <w:highlight w:val="none"/>
          <w:lang w:bidi="ar"/>
        </w:rPr>
        <w:t>进样器额定功率：</w:t>
      </w:r>
      <w:r>
        <w:rPr>
          <w:rFonts w:hint="eastAsia" w:ascii="宋体" w:hAnsi="宋体" w:cs="宋体"/>
          <w:color w:val="auto"/>
          <w:sz w:val="24"/>
          <w:szCs w:val="24"/>
          <w:highlight w:val="none"/>
          <w:lang w:bidi="ar"/>
        </w:rPr>
        <w:t>不高于</w:t>
      </w:r>
      <w:r>
        <w:rPr>
          <w:rFonts w:ascii="宋体" w:hAnsi="宋体" w:cs="宋体"/>
          <w:color w:val="auto"/>
          <w:sz w:val="24"/>
          <w:szCs w:val="24"/>
          <w:highlight w:val="none"/>
          <w:lang w:bidi="ar"/>
        </w:rPr>
        <w:t>800W</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2.7 </w:t>
      </w:r>
      <w:r>
        <w:rPr>
          <w:rFonts w:ascii="宋体" w:hAnsi="宋体" w:cs="宋体"/>
          <w:color w:val="auto"/>
          <w:sz w:val="24"/>
          <w:szCs w:val="24"/>
          <w:highlight w:val="none"/>
          <w:lang w:bidi="ar"/>
        </w:rPr>
        <w:t>安全设置：仪器设有急停按钮，若遇紧急状况可一键停止工作。</w:t>
      </w:r>
    </w:p>
    <w:p>
      <w:pPr>
        <w:adjustRightInd w:val="0"/>
        <w:spacing w:line="400" w:lineRule="exact"/>
        <w:jc w:val="left"/>
        <w:rPr>
          <w:rFonts w:ascii="宋体" w:hAnsi="宋体" w:cs="宋体"/>
          <w:color w:val="auto"/>
          <w:sz w:val="24"/>
          <w:szCs w:val="24"/>
          <w:highlight w:val="none"/>
          <w:lang w:bidi="ar"/>
        </w:rPr>
      </w:pP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3、标准配置：</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3.1高锰酸盐指数主机套装（内置不少于26位样品盘、三轴电驱动机械臂、消解模块、滴定模块、加试剂模块）1台</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3.2不少于26位圆形自动吸样盘1台</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3.3控制系统含数据工作站1套</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3.4 石英样品杯60个</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3.5 试剂瓶（白）1L3个</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3.6 试剂瓶（棕）1L2个</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3.7 氢氧化钠试剂1个</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3.8 5L半透明试剂桶（带穿板接头）1个</w:t>
      </w:r>
    </w:p>
    <w:p>
      <w:pPr>
        <w:adjustRightInd w:val="0"/>
        <w:spacing w:line="400" w:lineRule="exact"/>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3.9 磁力搅拌子30个</w:t>
      </w:r>
    </w:p>
    <w:p>
      <w:pPr>
        <w:adjustRightInd w:val="0"/>
        <w:spacing w:line="400" w:lineRule="exact"/>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3.10合格证、用户手册各一套</w:t>
      </w:r>
    </w:p>
    <w:p>
      <w:pPr>
        <w:pStyle w:val="10"/>
      </w:pPr>
    </w:p>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（九）、实验室器皿自动清洗机技术参数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1、应用范围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用于实验室玻璃器皿或塑料等实验用具的灰尘、油脂等物理性污染物、无机残留物（如铅、汞、镉、砷等）和有机残留物（如工业染料、激素等）等化学性污染物的清洗和干燥，包括移液管、容量瓶、锥形瓶、蓝盖瓶、色谱自动进样瓶、烧杯、比色管、试管、移液管、圆底烧瓶、量筒、培养皿、玻片、漏斗等。</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2、工作条件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 电源：三相交流电220V/50Hz，6.5KW</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 温度：操作环境5˚C -50˚C</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 xml:space="preserve">2.3湿度：5-95% </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3、技术参数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3.1因安装条件限制要求外部尺寸：宽、深、高≤900*700*840mm。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3.2达到国际标准，通过ISO9001，ISO14000和CE等国际权威认证。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3.3每次最多可清洗100ml容量瓶 120个，2ml自动进样小瓶440个。清洗内腔容量≥180L，总功率≤6.5KW。仪器加热功率≧5KW，标准程序清洗时间50分钟以内。</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3.4篮架采用背部供水方式，进水口插头采用不锈钢接头，放置上下两层篮架，每层不少于2个，一共不少于4个篮架，每次可清洗100ml容量瓶≥100只，2ml自动进样小瓶≥400个。移液管≥196根，试管及比色管管≥50根</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3.5仪器控制系统有中文界面，内置≥16种标准清洗程序，涵盖实验室常用的无机、有机，重金属等污染物清洗，可以直接调用。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3.6自动进样小瓶和容量瓶污染脂类化合物，清洗过后，随机抽取上液相，色谱图与空白一致，不得检出异常峰，残留含量低于2ng/ml。（下划线部分需提供第三方检测、检验或验证报告证明）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3.7手动推送关门，不得采用仓门扣与定位扣连接后自动感应吸合关门。（下划线部分需提供第三方检测、检验或验证报告证明）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3.8带不锈钢滚珠导轨的抽屉放置清洗剂。清洗剂吸液管采用不锈钢材质，非塑料。</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3.9清洗剂储存：大容量抽屉式，可同时放置多桶12升清洗剂。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3.10电容感应式触摸按键，，一体化无缝隙面板。</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3.11外腔采用防刮擦、防指纹304不锈钢；内腔采用316L加厚≥1mm不锈钢，篮架采用316L不锈钢。</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3.12设备可拆卸顶板内嵌实验于台下安装，节约空间。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3.13内置智能水软化系统，对自来水自动软化。软化后水质硬度达到≤1mg/L。不可外置软水器。（下划线部分需提供第三方检测、检验或验证报告证明）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3.14电子式安全锁，高温状态下自动上锁保护，一键式电动开门；清洗剂和中和剂缺液提醒；高温保护；漏水监控；排水和循环水自动过滤系统；断电自动存储当前状态，重新上电启动后自动按照断电前状态清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3.15双排水装置，排水速度快。</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3.16清洗程序结束后可以利用余温烘干，烘干程序结束后进行提示，并自动开门。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3.17半导体干燥系统，全程自动控温，干燥时间≤30分钟以内，满载100ml容量瓶120个以上，干燥率≧95%以上。（下划线部分需提供第三方检测、检验或验证报告证明）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3.18干燥过程热风自动冷却，消耗自来水≤1L/H。（下划线部分需提供第三方检测、检验或验证报告证明）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3.19主要配置要求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3.19.1实验室痕量清洗系统主机 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3.19.2上层底座1套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3.19.3下层底座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3.19.4位移液管清洗篮架1套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3.19.5位容量瓶清洗篮架1套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3.19.6位锥形瓶清洗篮架1套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3.19.7位比色管清洗篮架1套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3.19.8清洗剂1套</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b/>
          <w:bCs/>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（十）、全自动液体样品处理工作站技术参数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1、基本要求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 功能要求：主要用于实验中各种液体样品的处理，满足各种液态样品的稀释、转移、定容，具备分液功能，同时满足标准溶液的配制，标准曲线的制备、标液的的定量添加等制备需求，支持多级稀释的配制需求。</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 基本参数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 硬件要求：具备双注射泵系统搭配≥2组L型三通阀，通过12通阀切换溶剂，通过三维机械臂及取样针在样品盘移取样品和稀释。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2.1.2 样品位可兼容2ml~100ml标液储备瓶，可兼容离心管，可定制其他管型，兼容性好。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2.1.3仪器同时安装一支标母液泵和一支溶剂泵，双泵均使用溶剂进行填充，母液只储存在定量管中，不进入泵，避免泵内残留导致的交叉污染。</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2.1.4平台可同时放置并移取≥200位2ml色谱瓶、≥72位50ml离心管或50ml试剂瓶。满足在一个运行方法的过程中，在无任何人为介入的情况下将不少于199种不同样品转移至同一个样品瓶的操作，满足多残留混标配制的位数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2.1.5溶剂通道数≥8位，各溶剂通过独立的多通阀进行切换，溶剂在管路中单向转移，支持同一制备方法中不同液体样品配制快速连续运行的多溶剂需求。（采用移动机械臂吸取溶剂的方式不视为有效溶剂通道。）</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2.1.6取样终端材质可更换：peek针，不锈钢针，多种材质可选，且可在无任何工具的协助下完成手动进行取样针的更换。</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2.1.7 液体处理体积：最小液体处理体积为10uL，满足微量液体处理的要求。</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2.1.8针对易挥发的有机试剂可采用具备自动穿刺脱瓶功能的取样终端，避免有机试剂的挥发。</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★2.1.9 移液器功能：具备移液器模式，在一个方法的运行过程中，仪器可在无任何人为介入的情况下，根据液体样品处理体积自行更换200μL、1000μL两种不同规格的移液器枪头进行制备。可自动取用的枪头数量≥150个。（需提供主机上摆放两种不同规格移液器枪头，并由机械臂取用的实拍图片并说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2.1.10具备枪头脱离装置，可将废弃枪头直接排放到仪器外部，无需人工从仪器内部取出废弃枪头。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2.1.11 具备自定义式多级清洗功能，至少三个独立的清洗槽，清洗溶剂可选，清洗次数可调节，有效的减少少标液残留对配制的影响，由三组独立的排废泵进行废液排放，独立排废泵位于主机外部可视化，方便观察与维护。</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★2.1.12 样品盘搭载磁力搅拌功能，可在运行后无人为介入的情况下实现至少18位50ml样品瓶的磁力搅拌混匀，可在运行方法任意步骤中自动开启磁力搅拌功能以完成标液混匀和配置。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★2.1.13 可视性：仪器正面侧面顶部四面全透明，方便观察运行情况和维护。（需提供仪器正面和左右侧面的实拍照片并说明）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2.1.14 针对光敏样品如亚硝胺等化合物，可选配遮光面板，防止样品光分解。</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2.2控制模块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2.2.1图形化操作软件，操作简易，支持方法设置导向功能。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2.2.2报警功能：当溶剂发生异常时，软件会自动报警提示操作者，更人性化、更有效</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2.2.3可内置配制方案，提供至少30种方法数据包，包括食品、水质、土壤等领域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2.2.4软件可支持Windows 7/8/10系统，支持笔记本电脑、台式电脑、平板电脑</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2.2.5 链接方式为无线WIFI控制，支持远程操作，具备实时监控功能。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2.2.6数据安全模块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2.2.7 具备方法报告导出功能，数据可导出留存，方法具备追溯性。</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2.2.8 日志可查询，配制过程实时记录，配制过程具备追溯性。</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2.2.9 配制过程具备实时监控功能，配制步骤实时显示，消耗体积实时显示，具备明确的原始记录。</w:t>
      </w:r>
    </w:p>
    <w:p>
      <w:pPr>
        <w:adjustRightInd w:val="0"/>
        <w:spacing w:line="400" w:lineRule="exact"/>
        <w:jc w:val="left"/>
        <w:rPr>
          <w:rFonts w:ascii="宋体" w:hAnsi="宋体" w:cs="宋体"/>
          <w:sz w:val="24"/>
          <w:szCs w:val="24"/>
          <w:lang w:bidi="ar"/>
        </w:rPr>
      </w:pP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3、配置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 主机 (包括1. XYZ三轴机械臂   2. 双泵控制系统  3. 溶剂选择系统  4.控制软件)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3.2 针清洗系统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3.3 18位磁力搅拌模块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3.4 100mLX8位样品架2个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3.5 PEEK针组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3.6. 500μL高精度注射器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3.7 25mL高精度注射器 </w:t>
      </w:r>
    </w:p>
    <w:p>
      <w:pPr>
        <w:adjustRightInd w:val="0"/>
        <w:spacing w:line="400" w:lineRule="exact"/>
        <w:jc w:val="left"/>
        <w:rPr>
          <w:rFonts w:ascii="宋体" w:hAnsi="宋体" w:cs="宋体"/>
          <w:sz w:val="24"/>
          <w:szCs w:val="24"/>
          <w:lang w:bidi="ar"/>
        </w:rPr>
      </w:pPr>
      <w:bookmarkStart w:id="74" w:name="_Hlk77803142"/>
      <w:r>
        <w:rPr>
          <w:rFonts w:hint="eastAsia" w:ascii="宋体" w:hAnsi="宋体" w:cs="宋体"/>
          <w:sz w:val="24"/>
          <w:szCs w:val="24"/>
          <w:lang w:bidi="ar"/>
        </w:rPr>
        <w:t>3.8 50mLX18位样品架2个</w:t>
      </w:r>
      <w:bookmarkEnd w:id="74"/>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3.9 160位移液器头架1个</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3.10 枪头适配器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3.11 1mL高精度注射器</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3.12 Tip枪头脱离装置</w:t>
      </w: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Pr>
        <w:pStyle w:val="10"/>
        <w:ind w:firstLine="3534" w:firstLineChars="1100"/>
        <w:rPr>
          <w:rFonts w:hint="eastAsia" w:eastAsia="宋体"/>
          <w:b/>
          <w:bCs/>
          <w:sz w:val="32"/>
          <w:szCs w:val="36"/>
          <w:lang w:val="en-US" w:eastAsia="zh-CN"/>
        </w:rPr>
      </w:pPr>
      <w:r>
        <w:rPr>
          <w:rFonts w:hint="eastAsia"/>
          <w:b/>
          <w:bCs/>
          <w:sz w:val="32"/>
          <w:szCs w:val="36"/>
          <w:lang w:val="en-US" w:eastAsia="zh-CN"/>
        </w:rPr>
        <w:t>包三</w:t>
      </w:r>
    </w:p>
    <w:tbl>
      <w:tblPr>
        <w:tblStyle w:val="24"/>
        <w:tblW w:w="8417" w:type="dxa"/>
        <w:tblInd w:w="0" w:type="dxa"/>
        <w:tblLayout w:type="fixed"/>
        <w:tblCellMar>
          <w:top w:w="0" w:type="dxa"/>
          <w:left w:w="108" w:type="dxa"/>
          <w:bottom w:w="0" w:type="dxa"/>
          <w:right w:w="108" w:type="dxa"/>
        </w:tblCellMar>
      </w:tblPr>
      <w:tblGrid>
        <w:gridCol w:w="1456"/>
        <w:gridCol w:w="612"/>
        <w:gridCol w:w="3283"/>
        <w:gridCol w:w="663"/>
        <w:gridCol w:w="1139"/>
        <w:gridCol w:w="1264"/>
      </w:tblGrid>
      <w:tr>
        <w:tblPrEx>
          <w:tblCellMar>
            <w:top w:w="0" w:type="dxa"/>
            <w:left w:w="108" w:type="dxa"/>
            <w:bottom w:w="0" w:type="dxa"/>
            <w:right w:w="108" w:type="dxa"/>
          </w:tblCellMar>
        </w:tblPrEx>
        <w:trPr>
          <w:trHeight w:val="931"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分包情况</w:t>
            </w:r>
          </w:p>
        </w:tc>
        <w:tc>
          <w:tcPr>
            <w:tcW w:w="61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highlight w:val="none"/>
                <w:lang w:val="en-US" w:eastAsia="zh-CN" w:bidi="ar-SA"/>
              </w:rPr>
            </w:pPr>
            <w:r>
              <w:rPr>
                <w:rFonts w:hint="eastAsia" w:ascii="宋体" w:hAnsi="宋体" w:cs="仿宋_GB2312"/>
                <w:b/>
                <w:color w:val="000000"/>
                <w:kern w:val="0"/>
                <w:sz w:val="24"/>
                <w:szCs w:val="24"/>
                <w:highlight w:val="none"/>
                <w:lang w:bidi="ar"/>
              </w:rPr>
              <w:t>序 号</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货物名称</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数 量</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是否允许进口投标</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val="en-US" w:eastAsia="zh-CN" w:bidi="ar"/>
              </w:rPr>
              <w:t>是否医疗设备</w:t>
            </w:r>
          </w:p>
        </w:tc>
      </w:tr>
      <w:tr>
        <w:tblPrEx>
          <w:tblCellMar>
            <w:top w:w="0" w:type="dxa"/>
            <w:left w:w="108" w:type="dxa"/>
            <w:bottom w:w="0" w:type="dxa"/>
            <w:right w:w="108" w:type="dxa"/>
          </w:tblCellMar>
        </w:tblPrEx>
        <w:trPr>
          <w:trHeight w:val="363" w:hRule="atLeast"/>
        </w:trPr>
        <w:tc>
          <w:tcPr>
            <w:tcW w:w="1456"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r>
              <w:rPr>
                <w:rFonts w:hint="eastAsia" w:ascii="宋体" w:hAnsi="宋体" w:cs="宋体"/>
                <w:color w:val="000000"/>
                <w:kern w:val="0"/>
                <w:sz w:val="24"/>
                <w:szCs w:val="24"/>
                <w:lang w:bidi="ar"/>
              </w:rPr>
              <w:t>第三包</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1</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全自动细菌生化鉴定仪</w:t>
            </w: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363" w:hRule="atLeast"/>
        </w:trPr>
        <w:tc>
          <w:tcPr>
            <w:tcW w:w="1456"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2</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均质器</w:t>
            </w: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r>
      <w:tr>
        <w:tblPrEx>
          <w:tblCellMar>
            <w:top w:w="0" w:type="dxa"/>
            <w:left w:w="108" w:type="dxa"/>
            <w:bottom w:w="0" w:type="dxa"/>
            <w:right w:w="108" w:type="dxa"/>
          </w:tblCellMar>
        </w:tblPrEx>
        <w:trPr>
          <w:trHeight w:val="716" w:hRule="atLeast"/>
        </w:trPr>
        <w:tc>
          <w:tcPr>
            <w:tcW w:w="1456"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3</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结核分枝杆菌复合群恒温核酸扩增检测仪</w:t>
            </w:r>
          </w:p>
        </w:tc>
        <w:tc>
          <w:tcPr>
            <w:tcW w:w="66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26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726" w:hRule="atLeast"/>
        </w:trPr>
        <w:tc>
          <w:tcPr>
            <w:tcW w:w="145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合计金额（元）</w:t>
            </w:r>
          </w:p>
        </w:tc>
        <w:tc>
          <w:tcPr>
            <w:tcW w:w="696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830000</w:t>
            </w:r>
          </w:p>
        </w:tc>
      </w:tr>
    </w:tbl>
    <w:p>
      <w:pPr>
        <w:adjustRightInd w:val="0"/>
        <w:spacing w:line="400" w:lineRule="exact"/>
        <w:jc w:val="left"/>
        <w:rPr>
          <w:rFonts w:hint="eastAsia" w:ascii="宋体" w:hAnsi="宋体" w:cs="宋体"/>
          <w:b/>
          <w:bCs/>
          <w:sz w:val="24"/>
          <w:szCs w:val="24"/>
          <w:lang w:bidi="ar"/>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（一）、全自动细菌生化鉴定仪技术参数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1.技术原理：利用比色、比浊动态分析法，采用生化反应原理鉴定微生物，24小时连续自动检测，实时出具检测报告，可同时做抗菌药物敏感性试验。</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自动化程度：通过真空填充试剂卡菌悬液，每次填充试剂卡数量不低于10张，条码扫描识别试剂卡信息，自动密封卡片并传送至读卡培养箱。温度控制范围：34.5-36.5℃，仪器自动完成检测、自动卸载废卡，自动报告结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3.检测通量：≥15个测试位，具备扩增检测通量功能。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试剂卡独立包装，每个鉴定（或药敏）试剂卡至少含有60个微孔，孔中预先填入试验的底物，试剂卡上条形码指示卡片的序列号和测试的种类。生物安全性：要求全密封试剂卡，确保试剂卡在任何翻转均不会泄漏菌液，从接种到报告结果，全过程无需任何附加试剂（肉汤或专用试剂），仅采用0.45%无菌生理盐水配置菌液。</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★5.读数频率：最少每15分钟对卡片进行1次光学检测。光学系统：应用至少三种波长的光学系统和透光度光学系统进行试剂卡样本孔中细菌生长的分析。</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★6.鉴定细菌范围：鉴定菌种数量≥580种，包括：革兰氏阴性杆菌(含大肠杆菌0157及非发酵菌)150种以上、 革兰氏阳性菌（含猪链球菌1型、2型和7种李斯特菌）120种以上、酵母菌50种以上、需氧芽胞杆菌（含炭疽芽孢杆菌）40种以上、奈瑟菌、嗜血杆菌、棒状杆菌、弯曲菌90种以上、厌氧菌（含专性厌氧菌）60种以上。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7.具备废卡收集系统：废卡自动从转轮移除，丢入废卡收集容器中；废卡收集站安装有收集盘，内置传感器可检测收集装置是否充满。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8.具有专家系统，专家软件提供自动确认结果功能，并根据对MIC的结果分析提供治疗的解释和临床治疗的建议。</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9.鉴定速度：95％常见细菌≤5小时，其中革兰氏阴性菌（GN）≤10小时，革兰氏阳性菌（GP）≤8小时；平均药敏实验时间不大于6小时。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10.鉴定试剂卡种类:革兰氏阳性菌类、革兰氏阴性菌类、酵母菌类、厌氧菌类、芽孢杆菌类、棒状杆菌类、奈瑟氏菌类。药敏试验种类：满足革兰氏阴性细菌药敏试验、革兰氏阳性细菌药敏试验、真菌药敏试验，肺炎链球菌药敏试验、葡萄球菌属、肠球菌属及无乳链球菌药敏试验。</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11.软件可储存至少30000个测试结果。可防止无效测试：可自动发现并拒绝使用超过有效期、或已使用过的试剂卡。</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12.提供图形界面的数据管理和统计分析软件。数据可以导入Excel和Whonet统计软件。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13.支持用户自建菌库功能，并具有21 CFR Part 11电子签名功能（具有追踪及溯源功能）。</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配置清单：</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14.1全自动微生物鉴定药敏分析仪主机  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14.2电子比浊仪           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14.3条码扫描枪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14.4不间断电源UPS        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14.5盐水分配器           1套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14.6数据处理专用工作站   1台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14.7革兰氏阳性细菌鉴定卡 1盒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14.8革兰氏阴性细菌鉴定卡 1盒 </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14.9一次性悬浮管         2000支</w:t>
      </w:r>
    </w:p>
    <w:p>
      <w:pPr>
        <w:pStyle w:val="10"/>
        <w:rPr>
          <w:rFonts w:hint="eastAsia" w:ascii="宋体" w:hAnsi="宋体" w:cs="宋体"/>
          <w:sz w:val="24"/>
          <w:szCs w:val="24"/>
          <w:lang w:bidi="ar"/>
        </w:rPr>
      </w:pPr>
    </w:p>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（二）、均质器技术参数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1、显示方式：5寸触摸屏</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2、定时时间：0-8小时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3、拍击速度：3~12次/秒（以0.1次秒步进）</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4、紫外消毒：有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5、温控：室温~50℃（可设定）</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6、参数存储：10组</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7、漏液保护：有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8、外部行程调节：0-20mm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9、快拆拍击板：有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10、有效容积：3-400ml</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11、拍击箱体：不锈钢</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12、最大功率：300W</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13、外形尺寸：430*245*280mm</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14、电源：220V/50Hz</w:t>
      </w:r>
    </w:p>
    <w:p>
      <w:pPr>
        <w:adjustRightInd w:val="0"/>
        <w:spacing w:line="400" w:lineRule="exact"/>
        <w:jc w:val="left"/>
        <w:rPr>
          <w:rFonts w:ascii="宋体" w:hAnsi="宋体" w:cs="宋体"/>
          <w:sz w:val="24"/>
          <w:szCs w:val="24"/>
          <w:lang w:bidi="ar"/>
        </w:rPr>
      </w:pPr>
    </w:p>
    <w:p>
      <w:pPr>
        <w:pStyle w:val="10"/>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（三）、结核分枝杆菌复合群恒温核酸扩增检测仪技术参数</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1、基本要求：用于进行结核杆菌的核酸提取和LAMP反应的环介导等温扩增检测系统。在进行基因的提取时，向专用的样本处理试管（内置有处理液）内加入样本后放置在Heating Block上就可以进行最多16个样本的核酸提取工作。此外，Reaction Block上可以安装16管专用反应试管。并且，核酸扩增试剂内预先加入荧光目视观察检测试剂，能够在LAMP反应结束后利用荧光目视辅助单元进行判定，集结核杆菌核酸提取、分子扩增和结果检测于一体的快速恒温检测设备。。</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★2、检测原理:</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2.1系统采用环介导等温扩增LAMP技术</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2.2患者样本的核酸提取、扩增和检测在同一台设备上即可完成，可在体外定性检测结核分枝杆菌复合群特异基因。</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★3、检测项目包含且不限于以下各项：结核分枝杆菌复合群（IS6110和gyrB双基因）已取得中国三类医疗器械注册证；流感病毒（通用型）和COVID-19（注册中）等。</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★4、检测模块数量≥16，可同时完成16个测试标本。</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★5、系统可完成样品制备、纯化、基因提取、核酸扩增、结果判断的全过程，并可肉眼目视的方式判断荧光信号进行结果判定并报告结果。</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6、单一样本5分钟提取，40分钟扩增，1个小时内即可完成结果检测，随来随做，无需批量操作，操作简单，提供快速检测报告。</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7、温度控制</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7.1结核杆菌核酸提取模块：90.0℃                                                   7.2基因扩增模块：67.0℃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7.3酶失活： 80.0℃</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8、光源和检测系统：荧光目视辅助单元，LED光源直接进行结果检测。</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 xml:space="preserve">9、加热方式：半导体加热。 </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10、扩增检测时间：</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★10.1结核分枝杆菌复合群≤50分钟</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11、生物安全性:核酸提取、核酸扩增和目标检测在同一台设备上完成，最小化污染的可能性。</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12、试剂储存要求及效期：常温运输、常温保存，有效期15个月。</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13、工作条件：环境温度：10-35℃，环境湿度20-80%；额定电源：AC100V-240V±10%　300VA，无需升降温即可完成实验。</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14、要求品牌检测项目：结核分枝杆菌复合群必须通过NMPA。</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★15、产品认证：取得WHO推荐并获得CE认证。</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16、配置清单：</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16.1恒温荧光核酸扩增仪×1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16.2电源线×1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16.3保险丝×1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16.4荧光目视×1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16.5辅助单元反应×1</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16.6试管架×1</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16.7 PURE组架×1</w:t>
      </w:r>
    </w:p>
    <w:p>
      <w:pPr>
        <w:pStyle w:val="10"/>
        <w:rPr>
          <w:rFonts w:hint="eastAsia" w:ascii="宋体" w:hAnsi="宋体" w:cs="宋体"/>
          <w:sz w:val="24"/>
          <w:szCs w:val="24"/>
          <w:lang w:bidi="ar"/>
        </w:rPr>
      </w:pPr>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3534" w:firstLineChars="1100"/>
        <w:rPr>
          <w:rFonts w:hint="eastAsia"/>
          <w:b/>
          <w:bCs/>
          <w:sz w:val="32"/>
          <w:szCs w:val="36"/>
          <w:lang w:val="en-US" w:eastAsia="zh-CN"/>
        </w:rPr>
      </w:pPr>
      <w:r>
        <w:rPr>
          <w:rFonts w:hint="eastAsia"/>
          <w:b/>
          <w:bCs/>
          <w:sz w:val="32"/>
          <w:szCs w:val="36"/>
          <w:lang w:val="en-US" w:eastAsia="zh-CN"/>
        </w:rPr>
        <w:t>包四</w:t>
      </w:r>
    </w:p>
    <w:p>
      <w:pPr>
        <w:pStyle w:val="10"/>
        <w:rPr>
          <w:rFonts w:hint="default"/>
          <w:lang w:val="en-US" w:eastAsia="zh-CN"/>
        </w:rPr>
      </w:pPr>
    </w:p>
    <w:tbl>
      <w:tblPr>
        <w:tblStyle w:val="24"/>
        <w:tblW w:w="8616" w:type="dxa"/>
        <w:tblInd w:w="0" w:type="dxa"/>
        <w:tblLayout w:type="fixed"/>
        <w:tblCellMar>
          <w:top w:w="0" w:type="dxa"/>
          <w:left w:w="108" w:type="dxa"/>
          <w:bottom w:w="0" w:type="dxa"/>
          <w:right w:w="108" w:type="dxa"/>
        </w:tblCellMar>
      </w:tblPr>
      <w:tblGrid>
        <w:gridCol w:w="1490"/>
        <w:gridCol w:w="609"/>
        <w:gridCol w:w="3378"/>
        <w:gridCol w:w="679"/>
        <w:gridCol w:w="1166"/>
        <w:gridCol w:w="1294"/>
      </w:tblGrid>
      <w:tr>
        <w:tblPrEx>
          <w:tblCellMar>
            <w:top w:w="0" w:type="dxa"/>
            <w:left w:w="108" w:type="dxa"/>
            <w:bottom w:w="0" w:type="dxa"/>
            <w:right w:w="108" w:type="dxa"/>
          </w:tblCellMar>
        </w:tblPrEx>
        <w:trPr>
          <w:trHeight w:val="953" w:hRule="atLeast"/>
        </w:trPr>
        <w:tc>
          <w:tcPr>
            <w:tcW w:w="149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分包情况</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highlight w:val="none"/>
                <w:lang w:val="en-US" w:eastAsia="zh-CN" w:bidi="ar-SA"/>
              </w:rPr>
            </w:pPr>
            <w:r>
              <w:rPr>
                <w:rFonts w:hint="eastAsia" w:ascii="宋体" w:hAnsi="宋体" w:cs="仿宋_GB2312"/>
                <w:b/>
                <w:color w:val="000000"/>
                <w:kern w:val="0"/>
                <w:sz w:val="24"/>
                <w:szCs w:val="24"/>
                <w:highlight w:val="none"/>
                <w:lang w:bidi="ar"/>
              </w:rPr>
              <w:t>序 号</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货物名称</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数 量</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是否允许进口投标</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val="en-US" w:eastAsia="zh-CN" w:bidi="ar"/>
              </w:rPr>
              <w:t>是否医疗设备</w:t>
            </w:r>
          </w:p>
        </w:tc>
      </w:tr>
      <w:tr>
        <w:tblPrEx>
          <w:tblCellMar>
            <w:top w:w="0" w:type="dxa"/>
            <w:left w:w="108" w:type="dxa"/>
            <w:bottom w:w="0" w:type="dxa"/>
            <w:right w:w="108" w:type="dxa"/>
          </w:tblCellMar>
        </w:tblPrEx>
        <w:trPr>
          <w:trHeight w:val="370" w:hRule="atLeast"/>
        </w:trPr>
        <w:tc>
          <w:tcPr>
            <w:tcW w:w="1490" w:type="dxa"/>
            <w:vMerge w:val="restart"/>
            <w:tcBorders>
              <w:top w:val="single" w:color="000000" w:sz="4" w:space="0"/>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r>
              <w:rPr>
                <w:rFonts w:hint="eastAsia" w:ascii="宋体" w:hAnsi="宋体" w:cs="宋体"/>
                <w:color w:val="000000"/>
                <w:kern w:val="0"/>
                <w:sz w:val="24"/>
                <w:szCs w:val="24"/>
                <w:lang w:bidi="ar"/>
              </w:rPr>
              <w:t>第四包</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1</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全自动免疫印迹检测系统</w:t>
            </w:r>
          </w:p>
        </w:tc>
        <w:tc>
          <w:tcPr>
            <w:tcW w:w="67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370" w:hRule="atLeast"/>
        </w:trPr>
        <w:tc>
          <w:tcPr>
            <w:tcW w:w="1490"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2</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流式细胞仪</w:t>
            </w:r>
          </w:p>
        </w:tc>
        <w:tc>
          <w:tcPr>
            <w:tcW w:w="67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370" w:hRule="atLeast"/>
        </w:trPr>
        <w:tc>
          <w:tcPr>
            <w:tcW w:w="1490"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3</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样本制备仪</w:t>
            </w:r>
          </w:p>
        </w:tc>
        <w:tc>
          <w:tcPr>
            <w:tcW w:w="67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430" w:hRule="atLeast"/>
        </w:trPr>
        <w:tc>
          <w:tcPr>
            <w:tcW w:w="1490"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4</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全自动样本处理系统</w:t>
            </w:r>
          </w:p>
        </w:tc>
        <w:tc>
          <w:tcPr>
            <w:tcW w:w="67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370" w:hRule="atLeast"/>
        </w:trPr>
        <w:tc>
          <w:tcPr>
            <w:tcW w:w="1490" w:type="dxa"/>
            <w:vMerge w:val="continue"/>
            <w:tcBorders>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5</w:t>
            </w:r>
          </w:p>
        </w:tc>
        <w:tc>
          <w:tcPr>
            <w:tcW w:w="33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全自动病毒载量检测系统</w:t>
            </w:r>
          </w:p>
        </w:tc>
        <w:tc>
          <w:tcPr>
            <w:tcW w:w="67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276" w:lineRule="auto"/>
              <w:jc w:val="center"/>
              <w:textAlignment w:val="bottom"/>
              <w:rPr>
                <w:rFonts w:ascii="宋体" w:hAnsi="宋体" w:cs="宋体"/>
                <w:color w:val="000000"/>
                <w:sz w:val="24"/>
                <w:szCs w:val="24"/>
              </w:rPr>
            </w:pPr>
            <w:r>
              <w:rPr>
                <w:rFonts w:hint="eastAsia" w:ascii="宋体" w:hAnsi="宋体" w:cs="宋体"/>
                <w:color w:val="000000"/>
                <w:kern w:val="0"/>
                <w:sz w:val="24"/>
                <w:szCs w:val="24"/>
                <w:lang w:bidi="ar"/>
              </w:rPr>
              <w:t>1</w:t>
            </w:r>
          </w:p>
        </w:tc>
        <w:tc>
          <w:tcPr>
            <w:tcW w:w="1166"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是</w:t>
            </w:r>
          </w:p>
        </w:tc>
      </w:tr>
      <w:tr>
        <w:tblPrEx>
          <w:tblCellMar>
            <w:top w:w="0" w:type="dxa"/>
            <w:left w:w="108" w:type="dxa"/>
            <w:bottom w:w="0" w:type="dxa"/>
            <w:right w:w="108" w:type="dxa"/>
          </w:tblCellMar>
        </w:tblPrEx>
        <w:trPr>
          <w:trHeight w:val="742" w:hRule="atLeast"/>
        </w:trPr>
        <w:tc>
          <w:tcPr>
            <w:tcW w:w="1490" w:type="dxa"/>
            <w:tcBorders>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合计金额（元）</w:t>
            </w:r>
          </w:p>
        </w:tc>
        <w:tc>
          <w:tcPr>
            <w:tcW w:w="712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76" w:lineRule="auto"/>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3130000</w:t>
            </w:r>
          </w:p>
        </w:tc>
      </w:tr>
    </w:tbl>
    <w:p>
      <w:pPr>
        <w:adjustRightInd w:val="0"/>
        <w:spacing w:line="400" w:lineRule="exact"/>
        <w:jc w:val="left"/>
        <w:rPr>
          <w:rFonts w:hint="eastAsia" w:ascii="宋体" w:hAnsi="宋体" w:cs="宋体"/>
          <w:b/>
          <w:bCs/>
          <w:sz w:val="24"/>
          <w:szCs w:val="24"/>
          <w:lang w:bidi="ar"/>
        </w:rPr>
      </w:pPr>
    </w:p>
    <w:p>
      <w:pPr>
        <w:adjustRightInd w:val="0"/>
        <w:spacing w:line="400" w:lineRule="exact"/>
        <w:jc w:val="left"/>
        <w:rPr>
          <w:rFonts w:hint="eastAsia" w:ascii="宋体" w:hAnsi="宋体" w:cs="宋体"/>
          <w:b/>
          <w:bCs/>
          <w:sz w:val="24"/>
          <w:szCs w:val="24"/>
          <w:lang w:bidi="ar"/>
        </w:rPr>
      </w:pPr>
      <w:r>
        <w:rPr>
          <w:rFonts w:hint="eastAsia" w:ascii="宋体" w:hAnsi="宋体" w:cs="宋体"/>
          <w:b/>
          <w:bCs/>
          <w:sz w:val="24"/>
          <w:szCs w:val="24"/>
          <w:lang w:bidi="ar"/>
        </w:rPr>
        <w:t>(一）、全自动免疫印迹检测系统技术参数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1、适用范围：基于免疫印迹原理，与市场上免疫印迹的检测试剂共同使用，在临床或科研中用于样本中待测物的定性检测；</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2、技术规格与要求</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2.1加样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2.1.1加样针：可选一次性加样尖或可清洗特氟龙钢针; 采用一次性针，防止样本间交叉污染;采用可清洗特氟龙钢针，可降低使用成本</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★2.1.2  200ul加样准确度和精确度：加样准确度(ACC)误差不超过±4.0%,精确度（CV）误差不超过2.0%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★2.1.3  1000ul加样准确度和精确度：加样准确度(ACC)误差不超过±2.0%,精确度（CV）误差不超过1.0%。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★2.1.4 钢针加样准确度和精确度：加样准确度(ACC)误差不超过±4.0%,精确度（CV）误差不超过2.0%。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2.1.5 液位探测功能：加样模块具有自动液位探测功能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2.1.6 加样自动处理功能：加样针具备液量跟踪、碰撞提示等功能，钢针内外壁高强度清洗加样针，尽量降低携带污染率</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2.1.7 液体监控功能：样品或管路均有：无液体，有气泡等液体信息提醒，避免漏加，空加，可自动补加</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★2.1.8 样本管兼容性：样本位兼容原始采血管，EP管，冻存管等，支持多种原始管上样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2.1.9 加样通道：1通道</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w:t>
      </w:r>
      <w:r>
        <w:rPr>
          <w:rFonts w:hint="eastAsia" w:ascii="宋体" w:hAnsi="宋体" w:cs="宋体"/>
          <w:sz w:val="24"/>
          <w:szCs w:val="24"/>
          <w:lang w:bidi="ar"/>
        </w:rPr>
        <w:tab/>
      </w:r>
      <w:r>
        <w:rPr>
          <w:rFonts w:hint="eastAsia" w:ascii="宋体" w:hAnsi="宋体" w:cs="宋体"/>
          <w:sz w:val="24"/>
          <w:szCs w:val="24"/>
          <w:lang w:bidi="ar"/>
        </w:rPr>
        <w:t>分配试剂</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2.2.1 分配2ml准确度：准确度误差不超过±2.0%，精确度（CV）误差不超过2.0%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2.2.2 分配1ml准确度：准确度误差不超过±4.0%，精确度（CV）误差不超过4.0%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★2.2.3 分配试剂通道：12通道</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2.2.4 试剂分配针：定制化注液头，防挂液，防溅液</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w:t>
      </w:r>
      <w:r>
        <w:rPr>
          <w:rFonts w:hint="eastAsia" w:ascii="宋体" w:hAnsi="宋体" w:cs="宋体"/>
          <w:sz w:val="24"/>
          <w:szCs w:val="24"/>
          <w:lang w:bidi="ar"/>
        </w:rPr>
        <w:tab/>
      </w:r>
      <w:r>
        <w:rPr>
          <w:rFonts w:hint="eastAsia" w:ascii="宋体" w:hAnsi="宋体" w:cs="宋体"/>
          <w:sz w:val="24"/>
          <w:szCs w:val="24"/>
          <w:lang w:bidi="ar"/>
        </w:rPr>
        <w:t>吸试剂功能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★2.3.1 通道数：3通道</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2.3.2 吸液针类型：特氟龙钢针，防挂液，低残留</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2.3.3 废液监控功能：废液满了自动提醒</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w:t>
      </w:r>
      <w:r>
        <w:rPr>
          <w:rFonts w:hint="eastAsia" w:ascii="宋体" w:hAnsi="宋体" w:cs="宋体"/>
          <w:sz w:val="24"/>
          <w:szCs w:val="24"/>
          <w:lang w:bidi="ar"/>
        </w:rPr>
        <w:tab/>
      </w:r>
      <w:r>
        <w:rPr>
          <w:rFonts w:hint="eastAsia" w:ascii="宋体" w:hAnsi="宋体" w:cs="宋体"/>
          <w:sz w:val="24"/>
          <w:szCs w:val="24"/>
          <w:lang w:bidi="ar"/>
        </w:rPr>
        <w:t>孵育功能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★2.4.1 孵育温度：可在20℃～50℃之间调节，以0.1℃为最小调节单位</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★2.4.2 温度准确度和波动度：温度值在设定的±1.0℃内，波动度不大1.0℃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★2.4.3 孵育模块数：2</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2.4.4 孵育震荡频率：孵育槽摆动频率多级可选，确保反应充分</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2.4.5 孵育时间：时间从0到99小时设置，1秒为单位连续可调</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2.5</w:t>
      </w:r>
      <w:r>
        <w:rPr>
          <w:rFonts w:hint="eastAsia" w:ascii="宋体" w:hAnsi="宋体" w:cs="宋体"/>
          <w:sz w:val="24"/>
          <w:szCs w:val="24"/>
          <w:lang w:bidi="ar"/>
        </w:rPr>
        <w:tab/>
      </w:r>
      <w:r>
        <w:rPr>
          <w:rFonts w:hint="eastAsia" w:ascii="宋体" w:hAnsi="宋体" w:cs="宋体"/>
          <w:sz w:val="24"/>
          <w:szCs w:val="24"/>
          <w:lang w:bidi="ar"/>
        </w:rPr>
        <w:t>风机干燥功能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2.5.1 风速调节功能：可根据不同膜条，调节风速和吹风角度，达到快速风干效果</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2.5.2 加热风干功能：可加热风干，加快风干速度，减少实验时间</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2.5.3 风机静音性：进口风机，运行安静。</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w:t>
      </w:r>
      <w:r>
        <w:rPr>
          <w:rFonts w:hint="eastAsia" w:ascii="宋体" w:hAnsi="宋体" w:cs="宋体"/>
          <w:sz w:val="24"/>
          <w:szCs w:val="24"/>
          <w:lang w:bidi="ar"/>
        </w:rPr>
        <w:tab/>
      </w:r>
      <w:r>
        <w:rPr>
          <w:rFonts w:hint="eastAsia" w:ascii="宋体" w:hAnsi="宋体" w:cs="宋体"/>
          <w:sz w:val="24"/>
          <w:szCs w:val="24"/>
          <w:lang w:bidi="ar"/>
        </w:rPr>
        <w:t>拍照功能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2.6.1 拍照保存：仪器可将装置在反应板上完好的膜条经过试剂反应后进行自动拍照，并将拍照结果保存</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★2.6.2 相机功能：1200万像素，自动对焦，拍照图片清晰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2.6.3 拍照光源：根据膜条要求定制光源，整体均匀光照，膜条亮度均一</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2.6.4 照度调节方式：可根据不同膜条自动调节光源，拍照自动补光</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2.7</w:t>
      </w:r>
      <w:r>
        <w:rPr>
          <w:rFonts w:hint="eastAsia" w:ascii="宋体" w:hAnsi="宋体" w:cs="宋体"/>
          <w:sz w:val="24"/>
          <w:szCs w:val="24"/>
          <w:lang w:bidi="ar"/>
        </w:rPr>
        <w:tab/>
      </w:r>
      <w:r>
        <w:rPr>
          <w:rFonts w:hint="eastAsia" w:ascii="宋体" w:hAnsi="宋体" w:cs="宋体"/>
          <w:sz w:val="24"/>
          <w:szCs w:val="24"/>
          <w:lang w:bidi="ar"/>
        </w:rPr>
        <w:t>判读分析功能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2.7.1 自动分析结果功能：软件自动分析采集的膜条图片，得出实验结论, 以辅助人工进行判断，最终结果需人工审核，形成分析报告</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★2.7.2 分析智能化：AI人工智能分析结果和操作者复核结果，确保结果判读准确有效</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2.7.3 分析方式：阴阳性及灰度半定量</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★2.7.4 膜条读数要求：膜条无需固定，在反应槽随意摆放，支持自动识别膜条位置，减少人为干预</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highlight w:val="none"/>
          <w:lang w:bidi="ar"/>
        </w:rPr>
        <w:t xml:space="preserve">2.7.5 </w:t>
      </w:r>
      <w:r>
        <w:rPr>
          <w:rFonts w:hint="eastAsia" w:ascii="宋体" w:hAnsi="宋体" w:cs="宋体"/>
          <w:sz w:val="24"/>
          <w:szCs w:val="24"/>
          <w:lang w:bidi="ar"/>
        </w:rPr>
        <w:t>数据存储：数据存储容量不限</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w:t>
      </w:r>
      <w:r>
        <w:rPr>
          <w:rFonts w:hint="eastAsia" w:ascii="宋体" w:hAnsi="宋体" w:cs="宋体"/>
          <w:sz w:val="24"/>
          <w:szCs w:val="24"/>
          <w:lang w:bidi="ar"/>
        </w:rPr>
        <w:tab/>
      </w:r>
      <w:r>
        <w:rPr>
          <w:rFonts w:hint="eastAsia" w:ascii="宋体" w:hAnsi="宋体" w:cs="宋体"/>
          <w:sz w:val="24"/>
          <w:szCs w:val="24"/>
          <w:lang w:bidi="ar"/>
        </w:rPr>
        <w:t>软件功能</w:t>
      </w:r>
      <w:r>
        <w:rPr>
          <w:rFonts w:hint="eastAsia" w:ascii="宋体" w:hAnsi="宋体" w:cs="宋体"/>
          <w:sz w:val="24"/>
          <w:szCs w:val="24"/>
          <w:lang w:bidi="ar"/>
        </w:rPr>
        <w:tab/>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2.8.1 流程灵活性：可以根据不同类型膜条灵活设置不同的反应流程且流程中的各个模块相关参数均可调整</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2.8.2 权限管理：有不同权限设置，符合实验室管理要求。</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2.8.3 样本位，孵育位：样本和孵育位的起始位置都可以自由选择</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2.8.4 液量校准：液量校准功能，可根据用户需要对蠕动泵液量进行校准</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2.8.5 项目并行功能：多个项目可以在同步运行</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2.8.6 多实验方案并行：2个孵育槽可独立同步运行2个不同的实验方案</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2.8.7 插入实验功能：再仪器运行过程中，可以随时插入新实验。</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2.8.8 试剂回流功能：实验运行当中，用不到的试剂可自动回流，节约试剂，不用等到实验结束再回吸</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2.8.9 维护及维护提醒功能：内置自动维护程序，并且实时提醒，如果没有做维护，准时提醒用户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2.9</w:t>
      </w:r>
      <w:r>
        <w:rPr>
          <w:rFonts w:hint="eastAsia" w:ascii="宋体" w:hAnsi="宋体" w:cs="宋体"/>
          <w:sz w:val="24"/>
          <w:szCs w:val="24"/>
          <w:lang w:bidi="ar"/>
        </w:rPr>
        <w:tab/>
      </w:r>
      <w:r>
        <w:rPr>
          <w:rFonts w:hint="eastAsia" w:ascii="宋体" w:hAnsi="宋体" w:cs="宋体"/>
          <w:sz w:val="24"/>
          <w:szCs w:val="24"/>
          <w:lang w:bidi="ar"/>
        </w:rPr>
        <w:t>样本录入功能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2.9.1 条码扫描器（可选）：条码识别器用于自动扫描样本试管上的条码，能有效避免样本手工添加的混乱，确保实验的准确性。</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2.9.2 自动录入：样本可自动编号，不用人工输入，方便快捷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2.10</w:t>
      </w:r>
      <w:r>
        <w:rPr>
          <w:rFonts w:hint="eastAsia" w:ascii="宋体" w:hAnsi="宋体" w:cs="宋体"/>
          <w:sz w:val="24"/>
          <w:szCs w:val="24"/>
          <w:lang w:bidi="ar"/>
        </w:rPr>
        <w:tab/>
      </w:r>
      <w:r>
        <w:rPr>
          <w:rFonts w:hint="eastAsia" w:ascii="宋体" w:hAnsi="宋体" w:cs="宋体"/>
          <w:sz w:val="24"/>
          <w:szCs w:val="24"/>
          <w:lang w:bidi="ar"/>
        </w:rPr>
        <w:t>试剂监控功能（可选）</w:t>
      </w:r>
      <w:r>
        <w:rPr>
          <w:rFonts w:hint="eastAsia" w:ascii="宋体" w:hAnsi="宋体" w:cs="宋体"/>
          <w:sz w:val="24"/>
          <w:szCs w:val="24"/>
          <w:lang w:bidi="ar"/>
        </w:rPr>
        <w:tab/>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2.10.1 试剂监控功能：试剂管道有：无液体，有气泡等试剂信息提醒，避免漏加，空加，少加</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 仪器通量</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2.11.1 标本位</w:t>
      </w:r>
      <w:r>
        <w:rPr>
          <w:rFonts w:hint="eastAsia" w:ascii="宋体" w:hAnsi="宋体" w:cs="宋体"/>
          <w:sz w:val="24"/>
          <w:szCs w:val="24"/>
          <w:lang w:bidi="ar"/>
        </w:rPr>
        <w:tab/>
      </w:r>
      <w:r>
        <w:rPr>
          <w:rFonts w:hint="eastAsia" w:ascii="宋体" w:hAnsi="宋体" w:cs="宋体"/>
          <w:sz w:val="24"/>
          <w:szCs w:val="24"/>
          <w:lang w:bidi="ar"/>
        </w:rPr>
        <w:t>≥60个，动态连续进样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2.11.2 质控位</w:t>
      </w:r>
      <w:r>
        <w:rPr>
          <w:rFonts w:hint="eastAsia" w:ascii="宋体" w:hAnsi="宋体" w:cs="宋体"/>
          <w:sz w:val="24"/>
          <w:szCs w:val="24"/>
          <w:lang w:bidi="ar"/>
        </w:rPr>
        <w:tab/>
      </w:r>
      <w:r>
        <w:rPr>
          <w:rFonts w:hint="eastAsia" w:ascii="宋体" w:hAnsi="宋体" w:cs="宋体"/>
          <w:sz w:val="24"/>
          <w:szCs w:val="24"/>
          <w:lang w:bidi="ar"/>
        </w:rPr>
        <w:t>≥16位质控和对照品</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2.11.3 反应位</w:t>
      </w:r>
      <w:r>
        <w:rPr>
          <w:rFonts w:hint="eastAsia" w:ascii="宋体" w:hAnsi="宋体" w:cs="宋体"/>
          <w:sz w:val="24"/>
          <w:szCs w:val="24"/>
          <w:lang w:bidi="ar"/>
        </w:rPr>
        <w:tab/>
      </w:r>
      <w:r>
        <w:rPr>
          <w:rFonts w:hint="eastAsia" w:ascii="宋体" w:hAnsi="宋体" w:cs="宋体"/>
          <w:sz w:val="24"/>
          <w:szCs w:val="24"/>
          <w:lang w:bidi="ar"/>
        </w:rPr>
        <w:t>≥50个</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2.11.4 试剂瓶位</w:t>
      </w:r>
      <w:r>
        <w:rPr>
          <w:rFonts w:hint="eastAsia" w:ascii="宋体" w:hAnsi="宋体" w:cs="宋体"/>
          <w:sz w:val="24"/>
          <w:szCs w:val="24"/>
          <w:lang w:bidi="ar"/>
        </w:rPr>
        <w:tab/>
      </w:r>
      <w:r>
        <w:rPr>
          <w:rFonts w:hint="eastAsia" w:ascii="宋体" w:hAnsi="宋体" w:cs="宋体"/>
          <w:sz w:val="24"/>
          <w:szCs w:val="24"/>
          <w:lang w:bidi="ar"/>
        </w:rPr>
        <w:t>≥10个</w:t>
      </w:r>
    </w:p>
    <w:p>
      <w:pPr>
        <w:pStyle w:val="10"/>
        <w:rPr>
          <w:rFonts w:hint="eastAsia" w:ascii="宋体" w:hAnsi="宋体" w:cs="宋体"/>
          <w:sz w:val="24"/>
          <w:szCs w:val="24"/>
          <w:lang w:bidi="ar"/>
        </w:rPr>
      </w:pPr>
    </w:p>
    <w:p>
      <w:pPr>
        <w:rPr>
          <w:rFonts w:hint="eastAsia"/>
        </w:rPr>
      </w:pPr>
    </w:p>
    <w:p>
      <w:pPr>
        <w:adjustRightInd w:val="0"/>
        <w:spacing w:line="400" w:lineRule="exact"/>
        <w:jc w:val="left"/>
        <w:rPr>
          <w:rFonts w:hint="eastAsia" w:ascii="宋体" w:hAnsi="宋体" w:eastAsia="宋体" w:cs="宋体"/>
          <w:b/>
          <w:bCs/>
          <w:sz w:val="24"/>
          <w:szCs w:val="24"/>
          <w:lang w:val="en-US" w:eastAsia="zh-CN" w:bidi="ar"/>
        </w:rPr>
      </w:pPr>
      <w:r>
        <w:rPr>
          <w:rFonts w:hint="eastAsia" w:ascii="宋体" w:hAnsi="宋体" w:cs="宋体"/>
          <w:b/>
          <w:bCs/>
          <w:sz w:val="24"/>
          <w:szCs w:val="24"/>
          <w:lang w:bidi="ar"/>
        </w:rPr>
        <w:t>（二）、流式细胞仪</w:t>
      </w:r>
      <w:r>
        <w:rPr>
          <w:rFonts w:hint="eastAsia" w:ascii="宋体" w:hAnsi="宋体" w:cs="宋体"/>
          <w:b/>
          <w:bCs/>
          <w:sz w:val="24"/>
          <w:szCs w:val="24"/>
          <w:lang w:val="en-US" w:eastAsia="zh-CN" w:bidi="ar"/>
        </w:rPr>
        <w:t>技术参数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 光源参数：标配两根激光器，同时激发6色荧光，具有FS,SS,FL1-FL6检测通道，荧光灵敏度FITC ≤ 2 MESF、PE ≤ 2 MESF，需提供产品检验报告加以证明；</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2.固定校准光路，激光器采用空间立体激发，保证多激光同时激发简便易行；</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3.CD4检测参数：可同时对CD3、CD4、CD8、CD45进行检测；</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 光路设计：采用激光传递，荧光收集系统采用八角形和三角形连续反射收集系统，先收集弱信号，后收集强信号，以保证最高效的信号收集；</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5. 荧光信号分辨率：CV≤2％；</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★6. 非负压注射泵方式上样，恒压支持保证上样连续不中断；</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★7. 仪器质控品：具有仪器质控品即荧光补偿微球，仪器质控品必须通过国家药监局注册认证，需提供仪器质控品注册证加以证明；</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8. 全自动质控：具有全自动质控软件，自动报告仪器状态质控系统，自动跟踪和监视仪器性能；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9. 全自动检测：自动读入样品信息，自动获取，自动混匀，自动冲洗，自动排堵；</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10. 主机自动冲洗功能：有样品间及关机前自动清洗程序；</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★11. 配备大容量液流系统车，包括20L鞘液桶，废液桶，开关机液桶，保证大样本量情况下液流工作的持久性，达到连续20小时开机检测无需更换鞘液，真正实现液流无人值守；</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12. 可实现开关机过程中液流的自动运转；</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 检测软件及操作系统: 提供全套科研检测及临床检测操作软件，并有接口接入实验室LIMS系统进行数据采集；</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14.配置自动上样仪，与主机无缝连接使用，适应主机的工作环境；</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15.样本转盘上机后，可在机器上对待测标本进行整盘震荡混匀；</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★16. 转盘式承载自动上样，支持常规12×75mm上样管，单个转盘通量≥35管（12×75mm规格），配套4个上样转盘，提供上样仪产品彩页加以说明；</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17.多角度感应器，可精确定位和确认上样样本管的位置和编号；</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18. 流式细胞仪须具有医疗器械注册证</w:t>
      </w:r>
    </w:p>
    <w:p>
      <w:pPr>
        <w:pStyle w:val="10"/>
        <w:rPr>
          <w:rFonts w:hint="eastAsia" w:ascii="宋体" w:hAnsi="宋体" w:cs="宋体"/>
          <w:sz w:val="24"/>
          <w:szCs w:val="24"/>
          <w:lang w:bidi="ar"/>
        </w:rPr>
      </w:pPr>
    </w:p>
    <w:p>
      <w:pPr>
        <w:rPr>
          <w:rFonts w:hint="eastAsia"/>
        </w:rPr>
      </w:pPr>
    </w:p>
    <w:p>
      <w:pPr>
        <w:adjustRightInd w:val="0"/>
        <w:spacing w:line="400" w:lineRule="exact"/>
        <w:jc w:val="left"/>
        <w:rPr>
          <w:rFonts w:hint="eastAsia" w:ascii="宋体" w:hAnsi="宋体" w:cs="宋体"/>
          <w:b/>
          <w:bCs/>
          <w:sz w:val="24"/>
          <w:szCs w:val="24"/>
          <w:lang w:bidi="ar"/>
        </w:rPr>
      </w:pPr>
      <w:r>
        <w:rPr>
          <w:rFonts w:hint="eastAsia" w:ascii="宋体" w:hAnsi="宋体" w:cs="宋体"/>
          <w:b/>
          <w:bCs/>
          <w:sz w:val="24"/>
          <w:szCs w:val="24"/>
          <w:lang w:bidi="ar"/>
        </w:rPr>
        <w:t>（三）、样本制备仪</w:t>
      </w:r>
      <w:r>
        <w:rPr>
          <w:rFonts w:hint="eastAsia" w:ascii="宋体" w:hAnsi="宋体" w:cs="宋体"/>
          <w:b/>
          <w:bCs/>
          <w:sz w:val="24"/>
          <w:szCs w:val="24"/>
          <w:lang w:val="en-US" w:eastAsia="zh-CN" w:bidi="ar"/>
        </w:rPr>
        <w:t>技术参数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★1.主要用途：能完全兼流式细胞仪主机设备，自动进行流式检测的前处理制备，产品通过国家药监局注册认证；</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★2.可实现自动穿刺取样并分装样本，自动添加溶血素及试剂，自动孵育，降低人为误差的同时减少生物暴露危险，整个过程全自动化且在同一单台设备中进行；</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3.采用机械臂针穿刺方式采血及分装，试管无需开口；</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4.同时支持常见13mm和16mm孔径规格全血样本管，具有样本管使用的灵活性；</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5.工作状态噪音水平≤80分贝；</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★6.样本制备的携带污染率≤0.1%，提供产品检验报告加以证明；</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★7.整个样本制备环境处于密封罩内封闭进行，且工作状态下密封罩可自动锁止来提高生物安全性；</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8.流式HIV样本制备中全血样本的加样准确度偏差：50μL ±10%；</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★9.制备完成的上样管转盘架容量≥35管/盘；</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★10.制备过程由配套的独立电脑工作站及软件控制进行，可通过电脑工作站对工作流程进行修改；</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11.自动化对仪器进行冲洗、漂洗和清洗；</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12.具有独立的液流系统，具有去离子水液体桶、溶血素液体桶以及废液桶；</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13.主要配置：</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13.1主机一台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13.2电脑工作站一台</w:t>
      </w:r>
    </w:p>
    <w:p>
      <w:pPr>
        <w:pStyle w:val="10"/>
        <w:rPr>
          <w:rFonts w:hint="eastAsia" w:ascii="宋体" w:hAnsi="宋体" w:cs="宋体"/>
          <w:sz w:val="24"/>
          <w:szCs w:val="24"/>
          <w:lang w:bidi="ar"/>
        </w:rPr>
      </w:pPr>
    </w:p>
    <w:p>
      <w:pPr>
        <w:rPr>
          <w:rFonts w:hint="eastAsia"/>
        </w:rPr>
      </w:pPr>
    </w:p>
    <w:p>
      <w:pPr>
        <w:adjustRightInd w:val="0"/>
        <w:spacing w:line="400" w:lineRule="exact"/>
        <w:jc w:val="left"/>
        <w:rPr>
          <w:rFonts w:ascii="宋体" w:hAnsi="宋体" w:cs="宋体"/>
          <w:b/>
          <w:bCs/>
          <w:sz w:val="24"/>
          <w:szCs w:val="24"/>
          <w:lang w:bidi="ar"/>
        </w:rPr>
      </w:pPr>
      <w:r>
        <w:rPr>
          <w:rFonts w:hint="eastAsia" w:ascii="宋体" w:hAnsi="宋体" w:cs="宋体"/>
          <w:b/>
          <w:bCs/>
          <w:sz w:val="24"/>
          <w:szCs w:val="24"/>
          <w:lang w:bidi="ar"/>
        </w:rPr>
        <w:t>（四）、全自动样本处理系统</w:t>
      </w:r>
      <w:r>
        <w:rPr>
          <w:rFonts w:hint="eastAsia" w:ascii="宋体" w:hAnsi="宋体" w:cs="宋体"/>
          <w:b/>
          <w:bCs/>
          <w:sz w:val="24"/>
          <w:szCs w:val="24"/>
          <w:lang w:val="en-US" w:eastAsia="zh-CN" w:bidi="ar"/>
        </w:rPr>
        <w:t>技术参数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★1、实验流程：采样管原管带盖上样，实现自动化样本条码识别、自动化开盖、自动化管转板分液，以及采样管的自动化关盖和回收；</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2、处理速度：20分钟以内完成96个样本的前处理过程；</w:t>
      </w:r>
    </w:p>
    <w:p>
      <w:pPr>
        <w:adjustRightInd w:val="0"/>
        <w:spacing w:line="400" w:lineRule="exact"/>
        <w:jc w:val="left"/>
        <w:rPr>
          <w:rFonts w:ascii="宋体" w:hAnsi="宋体" w:cs="宋体"/>
          <w:sz w:val="24"/>
          <w:szCs w:val="24"/>
          <w:lang w:bidi="ar"/>
        </w:rPr>
      </w:pPr>
      <w:r>
        <w:rPr>
          <w:rFonts w:hint="eastAsia" w:ascii="宋体" w:hAnsi="宋体" w:cs="宋体"/>
          <w:sz w:val="24"/>
          <w:szCs w:val="24"/>
          <w:lang w:bidi="ar"/>
        </w:rPr>
        <w:t>3、液体处理方式：一次性加样Tip头杜绝污染（配套滤芯吸头），液面探测功能，凝块检测功能；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4、样本管规格：支持多种离心管、冻存管、病毒采样管、采血管等螺旋盖样本管；</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★5、样本通量：1-96 样本；</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★6、样本载架：2个独立转盘式样本载架，提高样本处理效率；</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★7、机械臂：3个独立机械臂；</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★8、机械臂重复定位精度：±0.1 mm；</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★9、开盖模块：配备4个高扭矩开盖抓手，具有失步修正功能，防止使用次数过多，造成样本管脱落；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★10、工作模式：可同时进行4个采样管的开盖工作，具有红外检测模块，发现未开盖样本后会进行2次开盖；</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★11、加样通道：2个独立加样通道；</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12、液面检测：气压感应液面高度</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13、移液范围：1μl-1000μl；</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★14、液体分配精度：移液体积10μl，准确度±5%，CV≤3%；移液体积100μl，准确度±2%，CV≤2%；移液体积1000μl，准确度±1%，CV≤1%；</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15、配套耗材：一次性加样吸头；</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16、耗材监管：耗材剩余情况可在实验界面实时监管；</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17、防污染措施：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（1）加样采用一次性滤芯吸头；</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（2）配套高效过滤系统，工作区形成内部负压，可连接至实验室通风系统实现外排；</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（3）紫外灯灭菌，强度：100μw/cm²；</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（4）指定的液体分配移动路线；</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18、安全检测：吸头检测功能；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19、断电保护：实验过程可从任意步骤继续或开始；</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★20、实时监测功能：配备CCD视觉监控，有效识自动重试未能正确开盖的样本管，自动放回原处；并实时监测样本取样情况，对取样失败或不足的样本，标记对应孔位后继续运行，异常不停机；</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★21、条码扫描功能：样本扫描系统，内置4个独立扫码模块，1D、2D通用;支持2/5 Interleaved，Code39，Code128，ENA/UPC,EAN Addendun，Codebar，pharma Code，Code 93等多种条码；</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22、程序管理：实验项目及其参数可自由编辑；</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23、内部程序存储：可储存程序≥20000个；</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★24、操作界面：15.6寸触摸显示屏，采用可翻转隐藏式设计，操作便捷，节省空间；</w:t>
      </w:r>
    </w:p>
    <w:p>
      <w:pPr>
        <w:numPr>
          <w:ilvl w:val="0"/>
          <w:numId w:val="9"/>
        </w:num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信息接口：USB，RS232端口，支持LIS系统，可提供API接口；</w:t>
      </w:r>
    </w:p>
    <w:p>
      <w:pPr>
        <w:pStyle w:val="10"/>
        <w:numPr>
          <w:ilvl w:val="0"/>
          <w:numId w:val="0"/>
        </w:numPr>
        <w:rPr>
          <w:rFonts w:hint="eastAsia"/>
        </w:rPr>
      </w:pPr>
    </w:p>
    <w:p>
      <w:pPr>
        <w:rPr>
          <w:rFonts w:hint="eastAsia"/>
        </w:rPr>
      </w:pPr>
    </w:p>
    <w:p>
      <w:pPr>
        <w:adjustRightInd w:val="0"/>
        <w:spacing w:line="400" w:lineRule="exact"/>
        <w:jc w:val="left"/>
        <w:rPr>
          <w:rFonts w:hint="eastAsia" w:ascii="宋体" w:hAnsi="宋体" w:cs="宋体"/>
          <w:b/>
          <w:bCs/>
          <w:sz w:val="24"/>
          <w:szCs w:val="24"/>
          <w:lang w:bidi="ar"/>
        </w:rPr>
      </w:pPr>
      <w:r>
        <w:rPr>
          <w:rFonts w:hint="eastAsia" w:ascii="宋体" w:hAnsi="宋体" w:cs="宋体"/>
          <w:b/>
          <w:bCs/>
          <w:sz w:val="24"/>
          <w:szCs w:val="24"/>
          <w:lang w:bidi="ar"/>
        </w:rPr>
        <w:t>（五）、全自动病毒载量检测系统</w:t>
      </w:r>
      <w:r>
        <w:rPr>
          <w:rFonts w:hint="eastAsia" w:ascii="宋体" w:hAnsi="宋体" w:cs="宋体"/>
          <w:b/>
          <w:bCs/>
          <w:sz w:val="24"/>
          <w:szCs w:val="24"/>
          <w:lang w:val="en-US" w:eastAsia="zh-CN" w:bidi="ar"/>
        </w:rPr>
        <w:t>技术参数</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1、设备功能：样本、试剂、耗材条码扫描溯源，全自动样本分样、核酸提取及PCR反应体系配制；</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★2、提取原理：采用，磁珠法分离核酸模式，磁珠保留在提取孔中无转移，无损失（回收率≥98%），避免磁珠和核酸结合物在提取仓中转移暴露形成气溶胶污染；</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★3、自动化智能轨道：样本和试剂载架可自动载入和退出，减少手工移取废弃污染的耗材步骤，保障人员安全；</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4、移液加样方式：采用气体置换方式吸液、移液、弃液；</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★5、移液能力：≥4针可独立移动的加样通道，提取不含磁珠的核酸，单批96测试仪器运行时间≤3.5h，48测试仪器运行时间≤2h；</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6、混匀方式：无高温加热，移液通道吹打混匀或水平涡旋震荡混匀方式，避免磁棒上下震荡混匀产生气溶胶飞溅；</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7、操作温度：全过程无需高温加热；</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★8、吸头移液能力：1-1000ul，加样通道具备可压缩密封橡胶圈与Tip头密封接合设计，避免金属接头长期取枪头磨损导致的气密性变差，漏液；</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9、移液精密度：5-10ul移液精密度CV≤1.5%（使用10ul专用Tip头）；≥50ul移液精密度CV≤0.75%（50ul和300ulTip头）；</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10、样本加样体积：单孔样本用量体积范围0.2-0.5 ml，工作体积1-2ml；</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★11、提取通量：单批处理最高可实现1-96随机数量测试，无需连续进样。标准可放置2块PCR反应板进行PCR体系配制，至少可以防止放置5块PCR反应板；</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12、智能提示：载道放置耗材或试剂载架时具备状态指示灯提示以及电脑软件界面提示。运行错误时状态提示；</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13、智能监控：通过电容液面探测（cLLD）和压力液面探测（pLLD）技术，实现液面、气泡、凝块等的识别和自动校正；加样通道具备压力监控和补偿，实时监控通道内压力变化，防止液体滴落；</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14、防污染措施：可适配含矿物油液面封盖技术的提取试剂，减少气溶胶产生，紫外灯消毒措施等；</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15、适配样本管类型：支持规格为1.5-5ml离心管，冻存管，以及5-8ml样本管上机，以及原始采血管上机检测；</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16、适用标本类型：支持多种样本类型（如血清、血浆、咽拭子、宫颈脱落细胞、生殖道分泌物等）提取，采用通用型提取试剂可实现多种样本的总DNA/RNA提取；</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17、适配提取试剂：配套核酸提取试剂，样本上样量0.2-1ml，常规0.2或0.5ml，新冠样本核酸提取为0.5ml样本用量。洗脱体积为50-100ul；</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18、适配扩增试剂：配套项目扩增试剂PCR mix机载稳定性≥2h，可同步上机无需中间暂停仪器添加；</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19、配套有HBV DNA定量、HCV RNA定量、HIV－1 RNA定量，系统开放，可以开放做新冠、手足口、流感检测等PCR实验；</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★20、双区段设计：HBV、HIV-1采取双区段扩增设计，增强因突变造成的漏检。</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21、试剂储存温度：2-8℃，试剂盒内试剂为单人份独立包装；</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22、样本类型： EDTA抗凝血浆或血清；</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23、样本量： ≦0.5mL；</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★24、定量检测下限：HIV-1 ≦30IU/mL；</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25、全U体系UNG酶：防止扩增产物污染 ；</w:t>
      </w:r>
    </w:p>
    <w:p>
      <w:pPr>
        <w:adjustRightInd w:val="0"/>
        <w:spacing w:line="400" w:lineRule="exact"/>
        <w:jc w:val="left"/>
        <w:rPr>
          <w:rFonts w:hint="eastAsia" w:ascii="宋体" w:hAnsi="宋体" w:cs="宋体"/>
          <w:sz w:val="24"/>
          <w:szCs w:val="24"/>
          <w:lang w:bidi="ar"/>
        </w:rPr>
      </w:pPr>
      <w:r>
        <w:rPr>
          <w:rFonts w:hint="eastAsia" w:ascii="宋体" w:hAnsi="宋体" w:cs="宋体"/>
          <w:sz w:val="24"/>
          <w:szCs w:val="24"/>
          <w:lang w:bidi="ar"/>
        </w:rPr>
        <w:t>26、石蜡油封盖：提取和扩增过程均采用石蜡油封盖，避免蒸发，同时减少气溶胶产生，产物污染；</w:t>
      </w: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r>
        <w:rPr>
          <w:rFonts w:hint="eastAsia" w:ascii="宋体" w:hAnsi="宋体" w:cs="宋体"/>
          <w:sz w:val="24"/>
          <w:szCs w:val="24"/>
          <w:lang w:bidi="ar"/>
        </w:rPr>
        <w:t>★</w:t>
      </w:r>
      <w:r>
        <w:rPr>
          <w:rFonts w:hint="eastAsia" w:ascii="宋体" w:hAnsi="宋体" w:cs="宋体"/>
          <w:b w:val="0"/>
          <w:bCs w:val="0"/>
          <w:sz w:val="24"/>
          <w:szCs w:val="24"/>
          <w:lang w:bidi="ar"/>
        </w:rPr>
        <w:t>27、</w:t>
      </w:r>
      <w:r>
        <w:rPr>
          <w:rFonts w:hint="eastAsia" w:ascii="宋体" w:hAnsi="宋体" w:eastAsia="宋体" w:cs="宋体"/>
          <w:b w:val="0"/>
          <w:bCs w:val="0"/>
          <w:kern w:val="2"/>
          <w:sz w:val="24"/>
          <w:szCs w:val="24"/>
          <w:lang w:val="en-US" w:eastAsia="zh-CN" w:bidi="ar"/>
        </w:rPr>
        <w:t>内标法定量：降低孔间差，节约试剂。</w:t>
      </w:r>
    </w:p>
    <w:p>
      <w:pPr>
        <w:numPr>
          <w:ilvl w:val="0"/>
          <w:numId w:val="0"/>
        </w:numPr>
        <w:spacing w:before="156" w:beforeLines="50" w:after="156" w:afterLines="50" w:line="360" w:lineRule="auto"/>
        <w:ind w:leftChars="0"/>
        <w:outlineLvl w:val="1"/>
        <w:rPr>
          <w:rFonts w:hint="eastAsia" w:ascii="仿宋_GB2312" w:hAnsi="宋体" w:eastAsia="仿宋_GB2312"/>
          <w:b/>
          <w:sz w:val="28"/>
          <w:szCs w:val="28"/>
        </w:rPr>
      </w:pP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商务要求</w:t>
      </w:r>
    </w:p>
    <w:p>
      <w:pPr>
        <w:adjustRightInd w:val="0"/>
        <w:spacing w:line="480" w:lineRule="auto"/>
        <w:jc w:val="left"/>
        <w:rPr>
          <w:rFonts w:hint="eastAsia" w:ascii="宋体" w:hAnsi="宋体" w:eastAsia="宋体" w:cs="宋体"/>
          <w:sz w:val="24"/>
          <w:szCs w:val="24"/>
          <w:lang w:eastAsia="zh-CN" w:bidi="ar"/>
        </w:rPr>
      </w:pPr>
      <w:r>
        <w:rPr>
          <w:rFonts w:hint="eastAsia" w:ascii="宋体" w:hAnsi="宋体" w:cs="宋体"/>
          <w:sz w:val="24"/>
          <w:szCs w:val="24"/>
          <w:lang w:bidi="ar"/>
        </w:rPr>
        <w:t>1、</w:t>
      </w:r>
      <w:r>
        <w:rPr>
          <w:rFonts w:hint="eastAsia" w:ascii="宋体" w:hAnsi="宋体" w:cs="宋体"/>
          <w:b/>
          <w:bCs/>
          <w:sz w:val="24"/>
          <w:szCs w:val="24"/>
          <w:lang w:bidi="ar"/>
        </w:rPr>
        <w:t>交货时间</w:t>
      </w:r>
      <w:r>
        <w:rPr>
          <w:rFonts w:hint="eastAsia" w:ascii="宋体" w:hAnsi="宋体" w:cs="宋体"/>
          <w:sz w:val="24"/>
          <w:szCs w:val="24"/>
          <w:lang w:bidi="ar"/>
        </w:rPr>
        <w:t>：签订政府采购合同之日起20个工作日内</w:t>
      </w:r>
      <w:r>
        <w:rPr>
          <w:rFonts w:hint="eastAsia" w:ascii="宋体" w:hAnsi="宋体" w:cs="宋体"/>
          <w:sz w:val="24"/>
          <w:szCs w:val="24"/>
          <w:lang w:eastAsia="zh-CN" w:bidi="ar"/>
        </w:rPr>
        <w:t>。</w:t>
      </w:r>
    </w:p>
    <w:p>
      <w:pPr>
        <w:adjustRightInd w:val="0"/>
        <w:spacing w:line="480" w:lineRule="auto"/>
        <w:jc w:val="left"/>
        <w:rPr>
          <w:rFonts w:hint="eastAsia" w:ascii="宋体" w:hAnsi="宋体" w:eastAsia="宋体" w:cs="宋体"/>
          <w:sz w:val="24"/>
          <w:szCs w:val="24"/>
          <w:lang w:val="en-US" w:eastAsia="zh-CN" w:bidi="ar"/>
        </w:rPr>
      </w:pPr>
      <w:r>
        <w:rPr>
          <w:rFonts w:hint="eastAsia" w:ascii="宋体" w:hAnsi="宋体" w:cs="宋体"/>
          <w:sz w:val="24"/>
          <w:szCs w:val="24"/>
          <w:lang w:bidi="ar"/>
        </w:rPr>
        <w:t>2、</w:t>
      </w:r>
      <w:r>
        <w:rPr>
          <w:rFonts w:hint="eastAsia" w:ascii="宋体" w:hAnsi="宋体" w:cs="宋体"/>
          <w:b/>
          <w:bCs/>
          <w:sz w:val="24"/>
          <w:szCs w:val="24"/>
          <w:lang w:bidi="ar"/>
        </w:rPr>
        <w:t>交货地点</w:t>
      </w:r>
      <w:r>
        <w:rPr>
          <w:rFonts w:hint="eastAsia" w:ascii="宋体" w:hAnsi="宋体" w:cs="宋体"/>
          <w:sz w:val="24"/>
          <w:szCs w:val="24"/>
          <w:lang w:bidi="ar"/>
        </w:rPr>
        <w:t>：眉山市东坡区疾病预防控制中心</w:t>
      </w:r>
      <w:r>
        <w:rPr>
          <w:rFonts w:hint="eastAsia" w:ascii="宋体" w:hAnsi="宋体" w:cs="宋体"/>
          <w:sz w:val="24"/>
          <w:szCs w:val="24"/>
          <w:lang w:val="en-US" w:eastAsia="zh-CN" w:bidi="ar"/>
        </w:rPr>
        <w:t>指定地点。</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bidi="ar"/>
        </w:rPr>
        <w:t>3、</w:t>
      </w:r>
      <w:r>
        <w:rPr>
          <w:rFonts w:hint="eastAsia" w:ascii="宋体" w:hAnsi="宋体" w:cs="宋体"/>
          <w:b/>
          <w:bCs/>
          <w:sz w:val="24"/>
          <w:szCs w:val="24"/>
          <w:lang w:bidi="ar"/>
        </w:rPr>
        <w:t>售后服务要求：</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bidi="ar"/>
        </w:rPr>
        <w:t>3.1成交供应商提供仪器的现场安装调试并达到投标文件指标要求的技术性能，并同时在现场对用户进行操作培训。如果现场安装测试指标未通过，用户有权要求退货并要求赔偿损失。</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bidi="ar"/>
        </w:rPr>
        <w:t>3.2质保期为2年，在质保期内采购人在正常情况下使用时发生任何故障，由成交供应商免费为采购人修复及更换零部件；</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bidi="ar"/>
        </w:rPr>
        <w:t>3.3质保期外发生任何故障，由成交供应商维修，只收取成本费用，经过维修后更换零部件，则该部件以及设备维修后能正常工作至少3个月；</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bidi="ar"/>
        </w:rPr>
        <w:t>3.3在收到采购人故障报修后，1小时响应，12小时内到达现场维修；</w:t>
      </w: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r>
        <w:rPr>
          <w:rFonts w:hint="eastAsia" w:ascii="宋体" w:hAnsi="宋体" w:cs="宋体"/>
          <w:sz w:val="24"/>
          <w:szCs w:val="24"/>
          <w:lang w:val="en-US" w:eastAsia="zh-CN" w:bidi="ar"/>
        </w:rPr>
        <w:t>4.</w:t>
      </w:r>
      <w:r>
        <w:rPr>
          <w:rFonts w:hint="eastAsia" w:ascii="宋体" w:hAnsi="宋体" w:cs="宋体"/>
          <w:b/>
          <w:bCs/>
          <w:sz w:val="24"/>
          <w:szCs w:val="24"/>
          <w:lang w:bidi="ar"/>
        </w:rPr>
        <w:t>付款方式</w:t>
      </w:r>
      <w:r>
        <w:rPr>
          <w:rFonts w:hint="eastAsia" w:ascii="宋体" w:hAnsi="宋体" w:cs="宋体"/>
          <w:sz w:val="24"/>
          <w:szCs w:val="24"/>
          <w:lang w:bidi="ar"/>
        </w:rPr>
        <w:t>：签订合同后支付预付款，预付合同金额的30%，设备交货完成并验收合格3个月后支付剩余尾款。</w:t>
      </w:r>
    </w:p>
    <w:p>
      <w:pPr>
        <w:pStyle w:val="10"/>
        <w:ind w:firstLine="3534" w:firstLineChars="1100"/>
        <w:rPr>
          <w:rFonts w:hint="eastAsia" w:ascii="宋体" w:hAnsi="宋体" w:cs="宋体"/>
          <w:b/>
          <w:bCs/>
          <w:sz w:val="32"/>
          <w:szCs w:val="32"/>
          <w:lang w:val="en-US" w:eastAsia="zh-CN" w:bidi="ar"/>
        </w:rPr>
      </w:pPr>
    </w:p>
    <w:p>
      <w:pPr>
        <w:rPr>
          <w:rFonts w:hint="eastAsia" w:ascii="宋体" w:hAnsi="宋体" w:cs="宋体"/>
          <w:b/>
          <w:bCs/>
          <w:sz w:val="32"/>
          <w:szCs w:val="32"/>
          <w:lang w:val="en-US" w:eastAsia="zh-CN" w:bidi="ar"/>
        </w:rPr>
      </w:pPr>
    </w:p>
    <w:p>
      <w:pPr>
        <w:pStyle w:val="10"/>
        <w:rPr>
          <w:rFonts w:hint="eastAsia"/>
          <w:lang w:val="en-US" w:eastAsia="zh-CN"/>
        </w:rPr>
      </w:pPr>
    </w:p>
    <w:p>
      <w:pPr>
        <w:pStyle w:val="10"/>
        <w:ind w:firstLine="3534" w:firstLineChars="1100"/>
        <w:rPr>
          <w:rFonts w:hint="eastAsia" w:ascii="宋体" w:hAnsi="宋体" w:cs="宋体"/>
          <w:b/>
          <w:bCs/>
          <w:sz w:val="32"/>
          <w:szCs w:val="32"/>
          <w:lang w:val="en-US" w:eastAsia="zh-CN" w:bidi="ar"/>
        </w:rPr>
      </w:pPr>
    </w:p>
    <w:p>
      <w:pPr>
        <w:numPr>
          <w:ilvl w:val="0"/>
          <w:numId w:val="0"/>
        </w:numPr>
        <w:spacing w:before="156" w:beforeLines="50" w:after="156" w:afterLines="50" w:line="360" w:lineRule="auto"/>
        <w:ind w:leftChars="0"/>
        <w:outlineLvl w:val="1"/>
        <w:rPr>
          <w:rFonts w:ascii="仿宋_GB2312" w:eastAsia="仿宋_GB2312"/>
          <w:b/>
          <w:sz w:val="28"/>
          <w:szCs w:val="28"/>
        </w:rPr>
      </w:pPr>
      <w:r>
        <w:rPr>
          <w:rFonts w:hint="eastAsia" w:ascii="宋体" w:hAnsi="宋体"/>
          <w:b/>
          <w:sz w:val="28"/>
          <w:szCs w:val="28"/>
        </w:rPr>
        <w:t xml:space="preserve"> </w:t>
      </w:r>
    </w:p>
    <w:p>
      <w:pPr>
        <w:pStyle w:val="10"/>
        <w:ind w:firstLine="3855" w:firstLineChars="1200"/>
        <w:rPr>
          <w:rFonts w:hint="eastAsia" w:ascii="宋体" w:hAnsi="宋体" w:cs="宋体"/>
          <w:b/>
          <w:bCs/>
          <w:sz w:val="32"/>
          <w:szCs w:val="32"/>
          <w:lang w:val="en-US" w:eastAsia="zh-CN" w:bidi="ar"/>
        </w:rPr>
      </w:pPr>
      <w:r>
        <w:rPr>
          <w:rFonts w:hint="eastAsia" w:ascii="宋体" w:hAnsi="宋体" w:cs="宋体"/>
          <w:b/>
          <w:bCs/>
          <w:sz w:val="32"/>
          <w:szCs w:val="32"/>
          <w:lang w:val="en-US" w:eastAsia="zh-CN" w:bidi="ar"/>
        </w:rPr>
        <w:t>包五</w:t>
      </w:r>
    </w:p>
    <w:p>
      <w:pPr>
        <w:pStyle w:val="10"/>
        <w:ind w:firstLine="2640" w:firstLineChars="1100"/>
        <w:rPr>
          <w:rFonts w:hint="eastAsia" w:ascii="宋体" w:cs="宋体"/>
          <w:b w:val="0"/>
          <w:bCs/>
          <w:color w:val="auto"/>
          <w:sz w:val="24"/>
          <w:szCs w:val="24"/>
          <w:highlight w:val="none"/>
          <w:lang w:val="en-US" w:eastAsia="zh-CN"/>
        </w:rPr>
      </w:pPr>
      <w:r>
        <w:rPr>
          <w:rFonts w:hint="eastAsia" w:ascii="宋体" w:hAnsi="宋体" w:cs="宋体"/>
          <w:b w:val="0"/>
          <w:bCs w:val="0"/>
          <w:sz w:val="24"/>
          <w:szCs w:val="24"/>
          <w:lang w:val="en-US" w:eastAsia="zh-CN" w:bidi="ar"/>
        </w:rPr>
        <w:t>（</w:t>
      </w:r>
      <w:r>
        <w:rPr>
          <w:rFonts w:hint="eastAsia" w:ascii="宋体" w:cs="宋体"/>
          <w:b w:val="0"/>
          <w:bCs/>
          <w:color w:val="auto"/>
          <w:sz w:val="24"/>
          <w:szCs w:val="24"/>
          <w:highlight w:val="none"/>
          <w:lang w:val="en-US" w:eastAsia="zh-CN"/>
        </w:rPr>
        <w:t>苏祠街道社区卫生服务中心医疗设备采购）</w:t>
      </w:r>
    </w:p>
    <w:p>
      <w:pPr>
        <w:pStyle w:val="11"/>
        <w:rPr>
          <w:rFonts w:hint="default"/>
          <w:lang w:val="en-US" w:eastAsia="zh-CN"/>
        </w:rPr>
      </w:pPr>
    </w:p>
    <w:p>
      <w:pPr>
        <w:numPr>
          <w:ilvl w:val="0"/>
          <w:numId w:val="0"/>
        </w:numPr>
        <w:spacing w:before="156" w:beforeLines="50" w:after="156" w:afterLines="50" w:line="360" w:lineRule="auto"/>
        <w:ind w:leftChars="0"/>
        <w:outlineLvl w:val="1"/>
        <w:rPr>
          <w:sz w:val="20"/>
          <w:szCs w:val="21"/>
        </w:rPr>
      </w:pPr>
      <w:r>
        <w:rPr>
          <w:rFonts w:hint="eastAsia" w:ascii="仿宋_GB2312" w:hAnsi="宋体" w:eastAsia="仿宋_GB2312"/>
          <w:b/>
          <w:sz w:val="24"/>
          <w:szCs w:val="24"/>
          <w:lang w:val="en-US" w:eastAsia="zh-CN"/>
        </w:rPr>
        <w:t>一、</w:t>
      </w:r>
      <w:r>
        <w:rPr>
          <w:rFonts w:hint="eastAsia" w:ascii="仿宋_GB2312" w:hAnsi="宋体" w:eastAsia="仿宋_GB2312"/>
          <w:b/>
          <w:sz w:val="24"/>
          <w:szCs w:val="24"/>
        </w:rPr>
        <w:t>项目采购清单</w:t>
      </w:r>
      <w:r>
        <w:rPr>
          <w:rFonts w:hint="eastAsia" w:ascii="仿宋_GB2312" w:hAnsi="宋体" w:eastAsia="仿宋_GB2312"/>
          <w:b/>
          <w:sz w:val="24"/>
          <w:szCs w:val="24"/>
          <w:lang w:eastAsia="zh-CN"/>
        </w:rPr>
        <w:t>、</w:t>
      </w:r>
      <w:r>
        <w:rPr>
          <w:rFonts w:hint="eastAsia" w:ascii="仿宋_GB2312" w:hAnsi="宋体" w:eastAsia="仿宋_GB2312"/>
          <w:b/>
          <w:sz w:val="24"/>
          <w:szCs w:val="24"/>
        </w:rPr>
        <w:t>参数配置</w:t>
      </w:r>
      <w:r>
        <w:rPr>
          <w:rFonts w:hint="eastAsia" w:ascii="宋体" w:hAnsi="宋体"/>
          <w:b/>
          <w:sz w:val="24"/>
          <w:szCs w:val="24"/>
        </w:rPr>
        <w:t xml:space="preserve"> </w:t>
      </w:r>
    </w:p>
    <w:tbl>
      <w:tblPr>
        <w:tblStyle w:val="24"/>
        <w:tblW w:w="8616" w:type="dxa"/>
        <w:tblInd w:w="0" w:type="dxa"/>
        <w:tblLayout w:type="fixed"/>
        <w:tblCellMar>
          <w:top w:w="0" w:type="dxa"/>
          <w:left w:w="108" w:type="dxa"/>
          <w:bottom w:w="0" w:type="dxa"/>
          <w:right w:w="108" w:type="dxa"/>
        </w:tblCellMar>
      </w:tblPr>
      <w:tblGrid>
        <w:gridCol w:w="1369"/>
        <w:gridCol w:w="585"/>
        <w:gridCol w:w="3629"/>
        <w:gridCol w:w="814"/>
        <w:gridCol w:w="1150"/>
        <w:gridCol w:w="1069"/>
      </w:tblGrid>
      <w:tr>
        <w:tblPrEx>
          <w:tblCellMar>
            <w:top w:w="0" w:type="dxa"/>
            <w:left w:w="108" w:type="dxa"/>
            <w:bottom w:w="0" w:type="dxa"/>
            <w:right w:w="108" w:type="dxa"/>
          </w:tblCellMar>
        </w:tblPrEx>
        <w:trPr>
          <w:trHeight w:val="851" w:hRule="atLeast"/>
        </w:trPr>
        <w:tc>
          <w:tcPr>
            <w:tcW w:w="136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分包情况</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highlight w:val="none"/>
                <w:lang w:val="en-US" w:eastAsia="zh-CN" w:bidi="ar-SA"/>
              </w:rPr>
            </w:pPr>
            <w:r>
              <w:rPr>
                <w:rFonts w:hint="eastAsia" w:ascii="宋体" w:hAnsi="宋体" w:cs="仿宋_GB2312"/>
                <w:b/>
                <w:color w:val="000000"/>
                <w:kern w:val="0"/>
                <w:sz w:val="24"/>
                <w:szCs w:val="24"/>
                <w:highlight w:val="none"/>
                <w:lang w:bidi="ar"/>
              </w:rPr>
              <w:t>序 号</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货物名称</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仿宋_GB2312"/>
                <w:b/>
                <w:color w:val="000000"/>
                <w:kern w:val="2"/>
                <w:sz w:val="24"/>
                <w:szCs w:val="24"/>
                <w:lang w:val="en-US" w:eastAsia="zh-CN" w:bidi="ar-SA"/>
              </w:rPr>
            </w:pPr>
            <w:r>
              <w:rPr>
                <w:rFonts w:hint="eastAsia" w:ascii="宋体" w:hAnsi="宋体" w:cs="仿宋_GB2312"/>
                <w:b/>
                <w:color w:val="000000"/>
                <w:kern w:val="0"/>
                <w:sz w:val="24"/>
                <w:szCs w:val="24"/>
                <w:lang w:bidi="ar"/>
              </w:rPr>
              <w:t>数 量</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bidi="ar"/>
              </w:rPr>
              <w:t>是否允许进口投标</w:t>
            </w: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仿宋_GB2312"/>
                <w:b/>
                <w:color w:val="000000"/>
                <w:kern w:val="0"/>
                <w:sz w:val="24"/>
                <w:szCs w:val="24"/>
                <w:lang w:val="en-US" w:eastAsia="zh-CN" w:bidi="ar"/>
              </w:rPr>
            </w:pPr>
            <w:r>
              <w:rPr>
                <w:rFonts w:hint="eastAsia" w:ascii="宋体" w:hAnsi="宋体" w:cs="仿宋_GB2312"/>
                <w:b/>
                <w:color w:val="000000"/>
                <w:kern w:val="0"/>
                <w:sz w:val="24"/>
                <w:szCs w:val="24"/>
                <w:lang w:val="en-US" w:eastAsia="zh-CN" w:bidi="ar"/>
              </w:rPr>
              <w:t>是否医疗设备</w:t>
            </w:r>
          </w:p>
        </w:tc>
      </w:tr>
      <w:tr>
        <w:tblPrEx>
          <w:tblCellMar>
            <w:top w:w="0" w:type="dxa"/>
            <w:left w:w="108" w:type="dxa"/>
            <w:bottom w:w="0" w:type="dxa"/>
            <w:right w:w="108" w:type="dxa"/>
          </w:tblCellMar>
        </w:tblPrEx>
        <w:trPr>
          <w:trHeight w:val="336" w:hRule="atLeast"/>
        </w:trPr>
        <w:tc>
          <w:tcPr>
            <w:tcW w:w="1369" w:type="dxa"/>
            <w:vMerge w:val="restart"/>
            <w:tcBorders>
              <w:top w:val="single" w:color="000000" w:sz="4" w:space="0"/>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r>
              <w:rPr>
                <w:rFonts w:hint="eastAsia" w:ascii="宋体" w:hAnsi="宋体" w:cs="宋体"/>
                <w:b/>
                <w:bCs w:val="0"/>
                <w:color w:val="auto"/>
                <w:sz w:val="24"/>
                <w:szCs w:val="24"/>
              </w:rPr>
              <w:t>第</w:t>
            </w:r>
            <w:r>
              <w:rPr>
                <w:rFonts w:hint="eastAsia" w:ascii="宋体" w:hAnsi="宋体" w:cs="宋体"/>
                <w:b/>
                <w:bCs w:val="0"/>
                <w:color w:val="auto"/>
                <w:sz w:val="24"/>
                <w:szCs w:val="24"/>
                <w:lang w:val="en-US" w:eastAsia="zh-CN"/>
              </w:rPr>
              <w:t>五</w:t>
            </w:r>
            <w:r>
              <w:rPr>
                <w:rFonts w:hint="eastAsia" w:ascii="宋体" w:hAnsi="宋体" w:cs="宋体"/>
                <w:b/>
                <w:bCs w:val="0"/>
                <w:color w:val="auto"/>
                <w:sz w:val="24"/>
                <w:szCs w:val="24"/>
              </w:rPr>
              <w:t>包</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1</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中频治疗仪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3</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33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2</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color w:val="auto"/>
                <w:sz w:val="24"/>
                <w:szCs w:val="24"/>
              </w:rPr>
              <w:t>特定电磁波谱治疗器</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64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3</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深层肌肉刺激仪（磁振热医疗版）</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33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4</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熏蒸治疗仪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33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5</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r>
              <w:rPr>
                <w:rFonts w:hint="eastAsia" w:ascii="宋体" w:hAnsi="宋体" w:cs="宋体"/>
                <w:color w:val="auto"/>
                <w:sz w:val="24"/>
                <w:szCs w:val="24"/>
              </w:rPr>
              <w:t>碳钢检查床/按摩床</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12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521"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6</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超声波治疗仪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33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7</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红外光灸疗机</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84"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8</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低频脉冲治疗仪</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336"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9</w:t>
            </w:r>
          </w:p>
        </w:tc>
        <w:tc>
          <w:tcPr>
            <w:tcW w:w="362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治疗车</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513"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b/>
                <w:bCs w:val="0"/>
                <w:color w:val="000000"/>
                <w:sz w:val="24"/>
                <w:szCs w:val="24"/>
                <w:highlight w:val="none"/>
              </w:rPr>
            </w:pPr>
            <w:r>
              <w:rPr>
                <w:rFonts w:hint="eastAsia" w:ascii="宋体" w:hAnsi="宋体" w:cs="宋体"/>
                <w:b/>
                <w:bCs w:val="0"/>
                <w:color w:val="auto"/>
                <w:sz w:val="24"/>
                <w:szCs w:val="24"/>
              </w:rPr>
              <w:t>10</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color w:val="000000"/>
                <w:sz w:val="24"/>
                <w:szCs w:val="24"/>
              </w:rPr>
            </w:pPr>
            <w:r>
              <w:rPr>
                <w:rFonts w:hint="eastAsia" w:ascii="宋体" w:hAnsi="宋体" w:cs="宋体"/>
                <w:bCs/>
                <w:color w:val="auto"/>
                <w:sz w:val="24"/>
                <w:szCs w:val="24"/>
              </w:rPr>
              <w:t>上臂血压仪</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sz w:val="24"/>
                <w:szCs w:val="24"/>
              </w:rPr>
            </w:pPr>
            <w:r>
              <w:rPr>
                <w:rFonts w:hint="eastAsia" w:ascii="宋体" w:hAnsi="宋体" w:cs="宋体"/>
                <w:bCs/>
                <w:color w:val="auto"/>
                <w:sz w:val="24"/>
                <w:szCs w:val="24"/>
              </w:rPr>
              <w:t>4</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70"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11</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bCs/>
                <w:color w:val="auto"/>
                <w:sz w:val="24"/>
                <w:szCs w:val="24"/>
              </w:rPr>
              <w:t>自动血压仪</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2</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92"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12</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auto"/>
                <w:kern w:val="0"/>
                <w:sz w:val="24"/>
                <w:szCs w:val="24"/>
              </w:rPr>
              <w:t>肺功能治疗仪</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99"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13</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auto"/>
                <w:kern w:val="0"/>
                <w:sz w:val="24"/>
                <w:szCs w:val="24"/>
              </w:rPr>
              <w:t>心电图12导联</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84"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14</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auto"/>
                <w:kern w:val="0"/>
                <w:sz w:val="24"/>
                <w:szCs w:val="24"/>
              </w:rPr>
              <w:t>身高体重仪</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463" w:hRule="atLeast"/>
        </w:trPr>
        <w:tc>
          <w:tcPr>
            <w:tcW w:w="1369" w:type="dxa"/>
            <w:vMerge w:val="continue"/>
            <w:tcBorders>
              <w:left w:val="single" w:color="000000"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15</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kern w:val="0"/>
                <w:sz w:val="24"/>
                <w:szCs w:val="24"/>
                <w:lang w:bidi="ar"/>
              </w:rPr>
            </w:pPr>
            <w:r>
              <w:rPr>
                <w:rFonts w:hint="eastAsia" w:ascii="宋体" w:hAnsi="宋体" w:cs="宋体"/>
                <w:color w:val="auto"/>
                <w:kern w:val="0"/>
                <w:sz w:val="24"/>
                <w:szCs w:val="24"/>
              </w:rPr>
              <w:t>冷库</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539" w:hRule="atLeast"/>
        </w:trPr>
        <w:tc>
          <w:tcPr>
            <w:tcW w:w="1369" w:type="dxa"/>
            <w:vMerge w:val="continue"/>
            <w:tcBorders>
              <w:left w:val="single" w:color="000000" w:sz="4" w:space="0"/>
              <w:bottom w:val="single" w:color="auto" w:sz="4" w:space="0"/>
              <w:right w:val="single" w:color="000000" w:sz="4" w:space="0"/>
            </w:tcBorders>
            <w:noWrap w:val="0"/>
            <w:vAlign w:val="center"/>
          </w:tcPr>
          <w:p>
            <w:pPr>
              <w:widowControl/>
              <w:spacing w:line="276" w:lineRule="auto"/>
              <w:jc w:val="center"/>
              <w:textAlignment w:val="center"/>
              <w:rPr>
                <w:rFonts w:ascii="宋体" w:hAnsi="宋体" w:cs="宋体"/>
                <w:b/>
                <w:bCs/>
                <w:color w:val="000000"/>
                <w:kern w:val="0"/>
                <w:sz w:val="24"/>
                <w:szCs w:val="24"/>
                <w:lang w:bidi="ar"/>
              </w:rPr>
            </w:pPr>
          </w:p>
        </w:tc>
        <w:tc>
          <w:tcPr>
            <w:tcW w:w="585"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val="0"/>
                <w:color w:val="000000"/>
                <w:kern w:val="0"/>
                <w:sz w:val="24"/>
                <w:szCs w:val="24"/>
                <w:highlight w:val="none"/>
                <w:lang w:bidi="ar"/>
              </w:rPr>
            </w:pPr>
            <w:r>
              <w:rPr>
                <w:rFonts w:hint="eastAsia" w:ascii="宋体" w:hAnsi="宋体" w:cs="宋体"/>
                <w:b/>
                <w:bCs w:val="0"/>
                <w:color w:val="auto"/>
                <w:sz w:val="24"/>
                <w:szCs w:val="24"/>
              </w:rPr>
              <w:t>16</w:t>
            </w:r>
          </w:p>
        </w:tc>
        <w:tc>
          <w:tcPr>
            <w:tcW w:w="3629"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kern w:val="0"/>
                <w:sz w:val="24"/>
                <w:szCs w:val="24"/>
                <w:lang w:bidi="ar"/>
              </w:rPr>
            </w:pPr>
            <w:r>
              <w:rPr>
                <w:rFonts w:hint="eastAsia" w:ascii="宋体" w:hAnsi="宋体" w:cs="宋体"/>
                <w:bCs/>
                <w:color w:val="auto"/>
                <w:sz w:val="24"/>
                <w:szCs w:val="24"/>
              </w:rPr>
              <w:t>智慧门诊（预防接种）</w:t>
            </w:r>
          </w:p>
        </w:tc>
        <w:tc>
          <w:tcPr>
            <w:tcW w:w="81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sz w:val="24"/>
                <w:szCs w:val="24"/>
                <w:lang w:bidi="ar"/>
              </w:rPr>
            </w:pPr>
            <w:r>
              <w:rPr>
                <w:rFonts w:hint="eastAsia" w:ascii="宋体" w:hAnsi="宋体" w:cs="宋体"/>
                <w:bCs/>
                <w:color w:val="auto"/>
                <w:sz w:val="24"/>
                <w:szCs w:val="24"/>
              </w:rPr>
              <w:t>1</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p>
        </w:tc>
        <w:tc>
          <w:tcPr>
            <w:tcW w:w="1069" w:type="dxa"/>
            <w:tcBorders>
              <w:top w:val="single" w:color="000000" w:sz="4" w:space="0"/>
              <w:left w:val="single" w:color="000000" w:sz="4" w:space="0"/>
              <w:bottom w:val="single" w:color="auto" w:sz="4" w:space="0"/>
              <w:right w:val="single" w:color="000000" w:sz="4" w:space="0"/>
            </w:tcBorders>
            <w:noWrap/>
            <w:vAlign w:val="center"/>
          </w:tcPr>
          <w:p>
            <w:pPr>
              <w:widowControl/>
              <w:spacing w:line="276" w:lineRule="auto"/>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是</w:t>
            </w:r>
          </w:p>
        </w:tc>
      </w:tr>
      <w:tr>
        <w:tblPrEx>
          <w:tblCellMar>
            <w:top w:w="0" w:type="dxa"/>
            <w:left w:w="108" w:type="dxa"/>
            <w:bottom w:w="0" w:type="dxa"/>
            <w:right w:w="108" w:type="dxa"/>
          </w:tblCellMar>
        </w:tblPrEx>
        <w:trPr>
          <w:trHeight w:val="673" w:hRule="atLeast"/>
        </w:trPr>
        <w:tc>
          <w:tcPr>
            <w:tcW w:w="1369" w:type="dxa"/>
            <w:tcBorders>
              <w:top w:val="single" w:color="auto" w:sz="4" w:space="0"/>
              <w:left w:val="single" w:color="auto" w:sz="4" w:space="0"/>
              <w:bottom w:val="single" w:color="auto" w:sz="4" w:space="0"/>
              <w:right w:val="single" w:color="000000" w:sz="4" w:space="0"/>
            </w:tcBorders>
            <w:noWrap w:val="0"/>
            <w:vAlign w:val="center"/>
          </w:tcPr>
          <w:p>
            <w:pPr>
              <w:widowControl/>
              <w:spacing w:line="276" w:lineRule="auto"/>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合计金额（元）</w:t>
            </w:r>
          </w:p>
        </w:tc>
        <w:tc>
          <w:tcPr>
            <w:tcW w:w="7247" w:type="dxa"/>
            <w:gridSpan w:val="5"/>
            <w:tcBorders>
              <w:top w:val="single" w:color="auto" w:sz="4" w:space="0"/>
              <w:left w:val="single" w:color="000000"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bCs/>
                <w:color w:val="auto"/>
                <w:sz w:val="24"/>
                <w:szCs w:val="24"/>
                <w:lang w:val="en-US" w:eastAsia="zh-CN"/>
              </w:rPr>
              <w:t>428900</w:t>
            </w:r>
          </w:p>
        </w:tc>
      </w:tr>
    </w:tbl>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snapToGrid w:val="0"/>
        <w:ind w:firstLine="3360" w:firstLineChars="1600"/>
        <w:rPr>
          <w:rFonts w:ascii="宋体" w:hAnsi="宋体" w:cs="宋体"/>
          <w:b/>
          <w:color w:val="auto"/>
        </w:rPr>
      </w:pPr>
      <w:r>
        <w:rPr>
          <w:rFonts w:hint="eastAsia" w:ascii="宋体" w:hAnsi="宋体" w:cs="宋体"/>
          <w:color w:val="auto"/>
        </w:rPr>
        <w:t>（一）</w:t>
      </w:r>
      <w:r>
        <w:rPr>
          <w:rFonts w:hint="eastAsia" w:ascii="宋体" w:hAnsi="宋体" w:cs="宋体"/>
          <w:b/>
          <w:color w:val="auto"/>
        </w:rPr>
        <w:t>中频治疗仪</w:t>
      </w:r>
    </w:p>
    <w:p>
      <w:pPr>
        <w:spacing w:line="300" w:lineRule="auto"/>
        <w:ind w:left="-40" w:leftChars="-19" w:firstLine="420" w:firstLineChars="200"/>
        <w:rPr>
          <w:rFonts w:ascii="宋体" w:hAnsi="宋体" w:cs="宋体"/>
          <w:color w:val="auto"/>
        </w:rPr>
      </w:pPr>
      <w:r>
        <w:rPr>
          <w:rFonts w:hint="eastAsia" w:ascii="宋体" w:hAnsi="宋体" w:cs="宋体"/>
          <w:color w:val="auto"/>
        </w:rPr>
        <w:t>1、工作频率：1KHz-12KHz</w:t>
      </w:r>
    </w:p>
    <w:p>
      <w:pPr>
        <w:spacing w:line="300" w:lineRule="auto"/>
        <w:ind w:left="-40" w:leftChars="-19" w:firstLine="420" w:firstLineChars="200"/>
        <w:rPr>
          <w:rFonts w:ascii="宋体" w:hAnsi="宋体" w:cs="宋体"/>
          <w:color w:val="auto"/>
        </w:rPr>
      </w:pPr>
      <w:r>
        <w:rPr>
          <w:rFonts w:hint="eastAsia" w:ascii="宋体" w:hAnsi="宋体" w:cs="宋体"/>
          <w:color w:val="auto"/>
        </w:rPr>
        <w:t>2、输出电流：80mA±10%（工作频率≤1.5KHz，标准负载500欧姆）、 100mA±10%（工作频率&gt;1.5KHz，标准负载500欧姆）</w:t>
      </w:r>
    </w:p>
    <w:p>
      <w:pPr>
        <w:spacing w:line="300" w:lineRule="auto"/>
        <w:ind w:left="-40" w:leftChars="-19" w:firstLine="420" w:firstLineChars="200"/>
        <w:rPr>
          <w:rFonts w:ascii="宋体" w:hAnsi="宋体" w:cs="宋体"/>
          <w:color w:val="auto"/>
        </w:rPr>
      </w:pPr>
      <w:r>
        <w:rPr>
          <w:rFonts w:hint="eastAsia" w:ascii="宋体" w:hAnsi="宋体" w:cs="宋体"/>
          <w:color w:val="auto"/>
        </w:rPr>
        <w:t>3、调制频率范围：不窄于0Hz-150Hz</w:t>
      </w:r>
    </w:p>
    <w:p>
      <w:pPr>
        <w:spacing w:line="300" w:lineRule="auto"/>
        <w:ind w:left="-40" w:leftChars="-19" w:firstLine="420" w:firstLineChars="200"/>
        <w:rPr>
          <w:rFonts w:ascii="宋体" w:hAnsi="宋体" w:cs="宋体"/>
          <w:color w:val="auto"/>
        </w:rPr>
      </w:pPr>
      <w:r>
        <w:rPr>
          <w:rFonts w:hint="eastAsia" w:ascii="宋体" w:hAnsi="宋体" w:cs="宋体"/>
          <w:color w:val="auto"/>
        </w:rPr>
        <w:t>4、调 幅 度：0%、33%、60%、100%四种调幅度，调幅度允差±5%。</w:t>
      </w:r>
    </w:p>
    <w:p>
      <w:pPr>
        <w:spacing w:line="300" w:lineRule="auto"/>
        <w:ind w:left="-40" w:leftChars="-19" w:firstLine="420" w:firstLineChars="200"/>
        <w:rPr>
          <w:rFonts w:ascii="宋体" w:hAnsi="宋体" w:cs="宋体"/>
          <w:color w:val="auto"/>
        </w:rPr>
      </w:pPr>
      <w:r>
        <w:rPr>
          <w:rFonts w:hint="eastAsia" w:ascii="宋体" w:hAnsi="宋体" w:cs="宋体"/>
          <w:color w:val="auto"/>
        </w:rPr>
        <w:t>5、调制波形：方波、尖波、三角波、指数波、锯齿波、正弦波、等幅波、梯形波、扇形波、扇指波、以及它们的组合波形。</w:t>
      </w:r>
    </w:p>
    <w:p>
      <w:pPr>
        <w:spacing w:line="300" w:lineRule="auto"/>
        <w:ind w:left="-40" w:leftChars="-19" w:firstLine="420" w:firstLineChars="200"/>
        <w:rPr>
          <w:rFonts w:ascii="宋体" w:hAnsi="宋体" w:cs="宋体"/>
          <w:color w:val="auto"/>
        </w:rPr>
      </w:pPr>
      <w:r>
        <w:rPr>
          <w:rFonts w:hint="eastAsia" w:ascii="宋体" w:hAnsi="宋体" w:cs="宋体"/>
          <w:color w:val="auto"/>
        </w:rPr>
        <w:t>6、治疗时间：1-99分钟（到达预定时间发出声音信号并自动停止输出）</w:t>
      </w:r>
    </w:p>
    <w:p>
      <w:pPr>
        <w:spacing w:line="300" w:lineRule="auto"/>
        <w:ind w:left="-40" w:leftChars="-19" w:firstLine="420" w:firstLineChars="200"/>
        <w:rPr>
          <w:rFonts w:ascii="宋体" w:hAnsi="宋体" w:cs="宋体"/>
          <w:color w:val="auto"/>
        </w:rPr>
      </w:pPr>
      <w:r>
        <w:rPr>
          <w:rFonts w:hint="eastAsia" w:ascii="宋体" w:hAnsi="宋体" w:cs="宋体"/>
          <w:color w:val="auto"/>
        </w:rPr>
        <w:t>7、输出通道：</w:t>
      </w:r>
    </w:p>
    <w:p>
      <w:pPr>
        <w:spacing w:line="300" w:lineRule="auto"/>
        <w:ind w:left="-40" w:leftChars="-19" w:firstLine="420" w:firstLineChars="200"/>
        <w:rPr>
          <w:rFonts w:ascii="宋体" w:hAnsi="宋体" w:cs="宋体"/>
          <w:color w:val="auto"/>
        </w:rPr>
      </w:pPr>
      <w:r>
        <w:rPr>
          <w:rFonts w:hint="eastAsia" w:ascii="宋体" w:hAnsi="宋体" w:cs="宋体"/>
          <w:color w:val="auto"/>
        </w:rPr>
        <w:t>——具有两个输出通道，输出电流独立可调。</w:t>
      </w:r>
    </w:p>
    <w:p>
      <w:pPr>
        <w:spacing w:line="300" w:lineRule="auto"/>
        <w:ind w:left="-40" w:leftChars="-19" w:firstLine="420" w:firstLineChars="200"/>
        <w:rPr>
          <w:rFonts w:ascii="宋体" w:hAnsi="宋体" w:cs="宋体"/>
          <w:color w:val="auto"/>
        </w:rPr>
      </w:pPr>
      <w:r>
        <w:rPr>
          <w:rFonts w:hint="eastAsia" w:ascii="宋体" w:hAnsi="宋体" w:cs="宋体"/>
          <w:color w:val="auto"/>
        </w:rPr>
        <w:t>——温热电极：温度三档可调（25℃~41℃）</w:t>
      </w:r>
    </w:p>
    <w:p>
      <w:pPr>
        <w:spacing w:line="300" w:lineRule="auto"/>
        <w:ind w:left="-40" w:leftChars="-19" w:firstLine="420" w:firstLineChars="200"/>
        <w:rPr>
          <w:rFonts w:ascii="宋体" w:hAnsi="宋体" w:cs="宋体"/>
          <w:color w:val="auto"/>
        </w:rPr>
      </w:pPr>
      <w:r>
        <w:rPr>
          <w:rFonts w:hint="eastAsia" w:ascii="宋体" w:hAnsi="宋体" w:cs="宋体"/>
          <w:color w:val="auto"/>
        </w:rPr>
        <w:t>8、治疗处方：50个专家治疗处方，其中含多步程序（24个）</w:t>
      </w:r>
      <w:r>
        <w:rPr>
          <w:rFonts w:hint="eastAsia" w:ascii="宋体" w:hAnsi="宋体" w:cs="宋体"/>
          <w:color w:val="auto"/>
          <w:lang w:eastAsia="zh-CN"/>
        </w:rPr>
        <w:t>，</w:t>
      </w:r>
      <w:r>
        <w:rPr>
          <w:rFonts w:hint="eastAsia" w:ascii="宋体" w:hAnsi="宋体" w:cs="宋体"/>
          <w:color w:val="auto"/>
        </w:rPr>
        <w:t>音频电流、正弦调制、脉冲调制。</w:t>
      </w:r>
    </w:p>
    <w:p>
      <w:pPr>
        <w:spacing w:line="300" w:lineRule="auto"/>
        <w:ind w:left="-40" w:leftChars="-19" w:firstLine="420" w:firstLineChars="200"/>
        <w:rPr>
          <w:rFonts w:hint="eastAsia" w:ascii="宋体" w:hAnsi="宋体" w:cs="宋体"/>
          <w:color w:val="auto"/>
          <w:lang w:eastAsia="zh-CN"/>
        </w:rPr>
      </w:pPr>
      <w:r>
        <w:rPr>
          <w:rFonts w:hint="eastAsia" w:ascii="宋体" w:hAnsi="宋体" w:cs="宋体"/>
          <w:color w:val="auto"/>
        </w:rPr>
        <w:t>9、电源电压：220V/50Hz</w:t>
      </w:r>
    </w:p>
    <w:p>
      <w:pPr>
        <w:spacing w:line="300" w:lineRule="auto"/>
        <w:ind w:left="-40" w:leftChars="-19" w:firstLine="420" w:firstLineChars="200"/>
        <w:rPr>
          <w:rFonts w:hint="eastAsia" w:ascii="宋体" w:hAnsi="宋体" w:eastAsia="宋体" w:cs="宋体"/>
          <w:color w:val="auto"/>
          <w:lang w:eastAsia="zh-CN"/>
        </w:rPr>
      </w:pPr>
      <w:r>
        <w:rPr>
          <w:rFonts w:hint="eastAsia" w:ascii="宋体" w:hAnsi="宋体" w:cs="宋体"/>
          <w:color w:val="auto"/>
          <w:lang w:val="en-US" w:eastAsia="zh-CN"/>
        </w:rPr>
        <w:t>10、</w:t>
      </w:r>
      <w:r>
        <w:rPr>
          <w:rFonts w:hint="eastAsia" w:ascii="宋体" w:hAnsi="宋体" w:cs="宋体"/>
          <w:color w:val="auto"/>
        </w:rPr>
        <w:t>输入功率：90VA</w:t>
      </w:r>
      <w:r>
        <w:rPr>
          <w:rFonts w:hint="eastAsia" w:ascii="宋体" w:hAnsi="宋体" w:cs="宋体"/>
          <w:color w:val="auto"/>
        </w:rPr>
        <w:tab/>
      </w:r>
    </w:p>
    <w:p>
      <w:pPr>
        <w:spacing w:line="300" w:lineRule="auto"/>
        <w:ind w:left="-40" w:leftChars="-19" w:firstLine="420" w:firstLineChars="200"/>
        <w:rPr>
          <w:rFonts w:ascii="宋体" w:hAnsi="宋体" w:cs="宋体"/>
          <w:color w:val="auto"/>
        </w:rPr>
      </w:pPr>
      <w:r>
        <w:rPr>
          <w:rFonts w:hint="eastAsia" w:ascii="宋体" w:hAnsi="宋体" w:cs="宋体"/>
          <w:color w:val="auto"/>
        </w:rPr>
        <w:t>11、工作条件：环境温度5℃-40℃，相对湿度≤80%</w:t>
      </w:r>
      <w:r>
        <w:rPr>
          <w:rFonts w:hint="eastAsia" w:ascii="宋体" w:hAnsi="宋体" w:cs="宋体"/>
          <w:color w:val="auto"/>
        </w:rPr>
        <w:tab/>
      </w:r>
    </w:p>
    <w:p>
      <w:pPr>
        <w:spacing w:line="300" w:lineRule="auto"/>
        <w:ind w:left="-40" w:leftChars="-19" w:firstLine="420" w:firstLineChars="200"/>
        <w:rPr>
          <w:rFonts w:ascii="宋体" w:hAnsi="宋体" w:cs="宋体"/>
          <w:color w:val="auto"/>
        </w:rPr>
      </w:pPr>
      <w:r>
        <w:rPr>
          <w:rFonts w:hint="eastAsia" w:ascii="宋体" w:hAnsi="宋体" w:cs="宋体"/>
          <w:color w:val="auto"/>
        </w:rPr>
        <w:t>12、处方选择按键：彩色触摸式，具备“循环”和“加减”双重功能，操作便捷。</w:t>
      </w:r>
    </w:p>
    <w:p>
      <w:pPr>
        <w:spacing w:line="300" w:lineRule="auto"/>
        <w:ind w:left="-40" w:leftChars="-19" w:firstLine="420" w:firstLineChars="200"/>
        <w:rPr>
          <w:rFonts w:ascii="宋体" w:hAnsi="宋体" w:cs="宋体"/>
          <w:color w:val="auto"/>
        </w:rPr>
      </w:pPr>
      <w:r>
        <w:rPr>
          <w:rFonts w:hint="eastAsia" w:ascii="宋体" w:hAnsi="宋体" w:cs="宋体"/>
          <w:color w:val="auto"/>
        </w:rPr>
        <w:t>13、外形尺寸：380mm╳290mm╳85mm(长╳宽╳高)</w:t>
      </w:r>
    </w:p>
    <w:p>
      <w:pPr>
        <w:spacing w:line="300" w:lineRule="auto"/>
        <w:ind w:left="-40" w:leftChars="-19" w:firstLine="420" w:firstLineChars="200"/>
        <w:rPr>
          <w:rFonts w:hint="eastAsia" w:ascii="宋体" w:hAnsi="宋体" w:cs="宋体"/>
          <w:color w:val="auto"/>
        </w:rPr>
      </w:pPr>
      <w:r>
        <w:rPr>
          <w:rFonts w:hint="eastAsia" w:ascii="宋体" w:hAnsi="宋体" w:cs="宋体"/>
          <w:color w:val="auto"/>
        </w:rPr>
        <w:t>14、重量：3.75Kg</w:t>
      </w:r>
    </w:p>
    <w:p>
      <w:pPr>
        <w:pStyle w:val="2"/>
      </w:pPr>
    </w:p>
    <w:p>
      <w:pPr>
        <w:pStyle w:val="10"/>
        <w:ind w:firstLine="3162" w:firstLineChars="1500"/>
        <w:rPr>
          <w:rFonts w:ascii="宋体" w:hAnsi="宋体" w:cs="宋体"/>
          <w:b/>
          <w:bCs/>
          <w:color w:val="auto"/>
        </w:rPr>
      </w:pPr>
      <w:r>
        <w:rPr>
          <w:rFonts w:hint="eastAsia" w:ascii="宋体" w:hAnsi="宋体" w:cs="宋体"/>
          <w:b/>
          <w:bCs/>
          <w:color w:val="auto"/>
        </w:rPr>
        <w:t>（二）特定电磁波谱治疗器</w:t>
      </w:r>
    </w:p>
    <w:p>
      <w:pPr>
        <w:ind w:firstLine="420" w:firstLineChars="200"/>
        <w:rPr>
          <w:rFonts w:hint="default" w:ascii="宋体" w:hAnsi="宋体" w:eastAsia="宋体" w:cs="宋体"/>
          <w:color w:val="auto"/>
          <w:lang w:val="en-US" w:eastAsia="zh-CN"/>
        </w:rPr>
      </w:pPr>
      <w:r>
        <w:rPr>
          <w:rFonts w:hint="eastAsia" w:ascii="宋体" w:hAnsi="宋体" w:cs="宋体"/>
          <w:color w:val="auto"/>
        </w:rPr>
        <w:t>1、</w:t>
      </w:r>
      <w:r>
        <w:rPr>
          <w:rFonts w:hint="eastAsia" w:ascii="宋体" w:hAnsi="宋体" w:cs="宋体"/>
          <w:color w:val="auto"/>
          <w:lang w:val="en-US" w:eastAsia="zh-CN"/>
        </w:rPr>
        <w:t>输入功率230W</w:t>
      </w:r>
    </w:p>
    <w:p>
      <w:pPr>
        <w:ind w:firstLine="420" w:firstLineChars="200"/>
        <w:rPr>
          <w:rFonts w:ascii="宋体" w:hAnsi="宋体" w:cs="宋体"/>
          <w:color w:val="auto"/>
        </w:rPr>
      </w:pPr>
      <w:r>
        <w:rPr>
          <w:rFonts w:hint="eastAsia" w:ascii="宋体" w:hAnsi="宋体" w:cs="宋体"/>
          <w:color w:val="auto"/>
        </w:rPr>
        <w:t>2、电源</w:t>
      </w:r>
      <w:r>
        <w:rPr>
          <w:rFonts w:hint="eastAsia" w:ascii="宋体" w:hAnsi="宋体" w:cs="宋体"/>
          <w:color w:val="auto"/>
          <w:lang w:val="en-US" w:eastAsia="zh-CN"/>
        </w:rPr>
        <w:t>连接条件</w:t>
      </w:r>
      <w:r>
        <w:rPr>
          <w:rFonts w:hint="eastAsia" w:ascii="宋体" w:hAnsi="宋体" w:cs="宋体"/>
          <w:color w:val="auto"/>
        </w:rPr>
        <w:t xml:space="preserve">：AC220V 50Hz         </w:t>
      </w:r>
    </w:p>
    <w:p>
      <w:pPr>
        <w:ind w:firstLine="420" w:firstLineChars="200"/>
        <w:rPr>
          <w:rFonts w:hint="default" w:ascii="宋体" w:hAnsi="宋体" w:eastAsia="宋体" w:cs="宋体"/>
          <w:color w:val="auto"/>
          <w:lang w:val="en-US" w:eastAsia="zh-CN"/>
        </w:rPr>
      </w:pPr>
      <w:r>
        <w:rPr>
          <w:rFonts w:hint="eastAsia" w:ascii="宋体" w:hAnsi="宋体" w:cs="宋体"/>
          <w:color w:val="auto"/>
        </w:rPr>
        <w:t>3、</w:t>
      </w:r>
      <w:r>
        <w:rPr>
          <w:rFonts w:hint="eastAsia" w:ascii="宋体" w:hAnsi="宋体" w:cs="宋体"/>
          <w:color w:val="auto"/>
          <w:lang w:val="en-US" w:eastAsia="zh-CN"/>
        </w:rPr>
        <w:t>计时方式：机械定时</w:t>
      </w:r>
    </w:p>
    <w:p>
      <w:pPr>
        <w:ind w:firstLine="420" w:firstLineChars="200"/>
        <w:rPr>
          <w:rFonts w:hint="default" w:ascii="宋体" w:hAnsi="宋体" w:eastAsia="宋体" w:cs="宋体"/>
          <w:color w:val="auto"/>
          <w:lang w:val="en-US" w:eastAsia="zh-CN"/>
        </w:rPr>
      </w:pPr>
      <w:r>
        <w:rPr>
          <w:rFonts w:hint="eastAsia" w:ascii="宋体" w:hAnsi="宋体" w:cs="宋体"/>
          <w:color w:val="auto"/>
        </w:rPr>
        <w:t>4、</w:t>
      </w:r>
      <w:r>
        <w:rPr>
          <w:rFonts w:hint="eastAsia" w:ascii="宋体" w:hAnsi="宋体" w:cs="宋体"/>
          <w:color w:val="auto"/>
          <w:lang w:val="en-US" w:eastAsia="zh-CN"/>
        </w:rPr>
        <w:t>支臂提升范围：30-1200mm</w:t>
      </w:r>
    </w:p>
    <w:p>
      <w:pPr>
        <w:ind w:firstLine="420" w:firstLineChars="200"/>
        <w:rPr>
          <w:rFonts w:hint="default" w:ascii="宋体" w:hAnsi="宋体" w:eastAsia="宋体" w:cs="宋体"/>
          <w:color w:val="auto"/>
          <w:lang w:val="en-US" w:eastAsia="zh-CN"/>
        </w:rPr>
      </w:pPr>
      <w:r>
        <w:rPr>
          <w:rFonts w:hint="eastAsia" w:ascii="宋体" w:hAnsi="宋体" w:cs="宋体"/>
          <w:color w:val="auto"/>
        </w:rPr>
        <w:t>5、</w:t>
      </w:r>
      <w:r>
        <w:rPr>
          <w:rFonts w:hint="eastAsia" w:ascii="宋体" w:hAnsi="宋体" w:cs="宋体"/>
          <w:color w:val="auto"/>
          <w:lang w:val="en-US" w:eastAsia="zh-CN"/>
        </w:rPr>
        <w:t>支臂伸缩范围：20-800mm</w:t>
      </w:r>
    </w:p>
    <w:p>
      <w:pPr>
        <w:ind w:firstLine="420" w:firstLineChars="200"/>
        <w:rPr>
          <w:rFonts w:hint="default" w:ascii="宋体" w:hAnsi="宋体" w:eastAsia="宋体" w:cs="宋体"/>
          <w:color w:val="auto"/>
          <w:lang w:val="en-US" w:eastAsia="zh-CN"/>
        </w:rPr>
      </w:pPr>
      <w:r>
        <w:rPr>
          <w:rFonts w:hint="eastAsia" w:ascii="宋体" w:hAnsi="宋体" w:cs="宋体"/>
          <w:color w:val="auto"/>
        </w:rPr>
        <w:t>6、</w:t>
      </w:r>
      <w:r>
        <w:rPr>
          <w:rFonts w:hint="eastAsia" w:ascii="宋体" w:hAnsi="宋体" w:cs="宋体"/>
          <w:color w:val="auto"/>
          <w:lang w:val="en-US" w:eastAsia="zh-CN"/>
        </w:rPr>
        <w:t>治疗头方位角：0-360°</w:t>
      </w:r>
    </w:p>
    <w:p>
      <w:pPr>
        <w:ind w:firstLine="420" w:firstLineChars="200"/>
        <w:rPr>
          <w:rFonts w:hint="default" w:ascii="宋体" w:hAnsi="宋体" w:eastAsia="宋体" w:cs="宋体"/>
          <w:color w:val="auto"/>
          <w:lang w:val="en-US" w:eastAsia="zh-CN"/>
        </w:rPr>
      </w:pPr>
      <w:r>
        <w:rPr>
          <w:rFonts w:hint="eastAsia" w:ascii="宋体" w:hAnsi="宋体" w:cs="宋体"/>
          <w:color w:val="auto"/>
        </w:rPr>
        <w:t>7、</w:t>
      </w:r>
      <w:r>
        <w:rPr>
          <w:rFonts w:hint="eastAsia" w:ascii="宋体" w:hAnsi="宋体" w:cs="宋体"/>
          <w:color w:val="auto"/>
          <w:lang w:val="en-US" w:eastAsia="zh-CN"/>
        </w:rPr>
        <w:t>治疗板直径：核心U型治疗板124mm</w:t>
      </w:r>
    </w:p>
    <w:p>
      <w:pPr>
        <w:pStyle w:val="2"/>
      </w:pPr>
    </w:p>
    <w:p>
      <w:pPr>
        <w:pStyle w:val="10"/>
        <w:ind w:firstLine="2530" w:firstLineChars="1200"/>
        <w:rPr>
          <w:rFonts w:hint="eastAsia" w:ascii="宋体" w:hAnsi="宋体" w:eastAsia="宋体" w:cs="宋体"/>
          <w:b/>
          <w:bCs/>
          <w:color w:val="auto"/>
          <w:lang w:val="en-US" w:eastAsia="zh-CN"/>
        </w:rPr>
      </w:pPr>
      <w:r>
        <w:rPr>
          <w:rFonts w:hint="eastAsia" w:ascii="宋体" w:hAnsi="宋体" w:cs="宋体"/>
          <w:b/>
          <w:bCs/>
          <w:color w:val="auto"/>
        </w:rPr>
        <w:t>（三）深层肌肉刺激仪</w:t>
      </w:r>
      <w:r>
        <w:rPr>
          <w:rFonts w:hint="eastAsia" w:ascii="宋体" w:hAnsi="宋体" w:cs="宋体"/>
          <w:b/>
          <w:bCs/>
          <w:color w:val="auto"/>
          <w:lang w:val="en-US" w:eastAsia="zh-CN"/>
        </w:rPr>
        <w:t xml:space="preserve"> </w:t>
      </w:r>
      <w:r>
        <w:rPr>
          <w:rFonts w:hint="eastAsia" w:ascii="宋体" w:hAnsi="宋体" w:cs="宋体"/>
          <w:b/>
          <w:bCs/>
          <w:color w:val="auto"/>
        </w:rPr>
        <w:t>磁振热医疗版</w:t>
      </w:r>
    </w:p>
    <w:p>
      <w:pPr>
        <w:pStyle w:val="10"/>
        <w:ind w:firstLine="420" w:firstLineChars="200"/>
        <w:rPr>
          <w:rFonts w:ascii="宋体" w:hAnsi="宋体" w:cs="宋体"/>
          <w:color w:val="auto"/>
        </w:rPr>
      </w:pPr>
      <w:r>
        <w:rPr>
          <w:rFonts w:hint="eastAsia" w:ascii="宋体" w:hAnsi="宋体" w:cs="宋体"/>
          <w:color w:val="auto"/>
        </w:rPr>
        <w:t>1、高频率，高静音，高转速马达；</w:t>
      </w:r>
    </w:p>
    <w:p>
      <w:pPr>
        <w:pStyle w:val="10"/>
        <w:ind w:firstLine="420" w:firstLineChars="200"/>
        <w:rPr>
          <w:rFonts w:ascii="宋体" w:hAnsi="宋体" w:cs="宋体"/>
          <w:color w:val="auto"/>
        </w:rPr>
      </w:pPr>
      <w:r>
        <w:rPr>
          <w:rFonts w:hint="eastAsia" w:ascii="宋体" w:hAnsi="宋体" w:cs="宋体"/>
          <w:color w:val="auto"/>
        </w:rPr>
        <w:t>2、电池容量（2600mAh，62.4Wh）；</w:t>
      </w:r>
    </w:p>
    <w:p>
      <w:pPr>
        <w:pStyle w:val="10"/>
        <w:ind w:firstLine="420" w:firstLineChars="200"/>
        <w:rPr>
          <w:rFonts w:ascii="宋体" w:hAnsi="宋体" w:cs="宋体"/>
          <w:color w:val="auto"/>
        </w:rPr>
      </w:pPr>
      <w:r>
        <w:rPr>
          <w:rFonts w:hint="eastAsia" w:ascii="宋体" w:hAnsi="宋体" w:cs="宋体"/>
          <w:color w:val="auto"/>
        </w:rPr>
        <w:t>3、功率（62.4Wh，±10%）；</w:t>
      </w:r>
    </w:p>
    <w:p>
      <w:pPr>
        <w:pStyle w:val="10"/>
        <w:ind w:firstLine="420" w:firstLineChars="200"/>
        <w:rPr>
          <w:rFonts w:ascii="宋体" w:hAnsi="宋体" w:cs="宋体"/>
          <w:color w:val="auto"/>
        </w:rPr>
      </w:pPr>
      <w:r>
        <w:rPr>
          <w:rFonts w:hint="eastAsia" w:ascii="宋体" w:hAnsi="宋体" w:cs="宋体"/>
          <w:color w:val="auto"/>
        </w:rPr>
        <w:t>4、速度档位：400~4500rpm连续可调，点动按键（“+”“-”）电机速度步进100rpm；长按按键（“+”“-”）电机速度步进10rpm。</w:t>
      </w:r>
    </w:p>
    <w:p>
      <w:pPr>
        <w:pStyle w:val="10"/>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5、按摩头（25 种）；</w:t>
      </w:r>
    </w:p>
    <w:p>
      <w:pPr>
        <w:pStyle w:val="10"/>
        <w:ind w:firstLine="420" w:firstLineChars="200"/>
        <w:rPr>
          <w:rFonts w:ascii="宋体" w:hAnsi="宋体" w:cs="宋体"/>
          <w:color w:val="auto"/>
        </w:rPr>
      </w:pPr>
      <w:r>
        <w:rPr>
          <w:rFonts w:hint="eastAsia" w:ascii="宋体" w:hAnsi="宋体" w:cs="宋体"/>
          <w:color w:val="auto"/>
        </w:rPr>
        <w:t>显示方式：液晶显示。</w:t>
      </w:r>
    </w:p>
    <w:p>
      <w:pPr>
        <w:pStyle w:val="10"/>
        <w:ind w:firstLine="420" w:firstLineChars="200"/>
        <w:rPr>
          <w:rFonts w:ascii="宋体" w:hAnsi="宋体" w:cs="宋体"/>
          <w:color w:val="auto"/>
        </w:rPr>
      </w:pPr>
      <w:r>
        <w:rPr>
          <w:rFonts w:hint="eastAsia" w:ascii="宋体" w:hAnsi="宋体" w:cs="宋体"/>
          <w:color w:val="auto"/>
        </w:rPr>
        <w:t>振动幅度：振动幅度：≥6mm，允差±1mm；</w:t>
      </w:r>
    </w:p>
    <w:p>
      <w:pPr>
        <w:pStyle w:val="10"/>
        <w:ind w:firstLine="420" w:firstLineChars="200"/>
        <w:rPr>
          <w:rFonts w:ascii="宋体" w:hAnsi="宋体" w:cs="宋体"/>
          <w:color w:val="auto"/>
        </w:rPr>
      </w:pPr>
      <w:r>
        <w:rPr>
          <w:rFonts w:hint="eastAsia" w:ascii="宋体" w:hAnsi="宋体" w:cs="宋体"/>
          <w:color w:val="auto"/>
        </w:rPr>
        <w:t>充电器类型：DC插口；</w:t>
      </w:r>
    </w:p>
    <w:p>
      <w:pPr>
        <w:pStyle w:val="10"/>
        <w:ind w:firstLine="420" w:firstLineChars="200"/>
        <w:rPr>
          <w:rFonts w:ascii="宋体" w:hAnsi="宋体" w:cs="宋体"/>
          <w:color w:val="auto"/>
        </w:rPr>
      </w:pPr>
      <w:r>
        <w:rPr>
          <w:rFonts w:hint="eastAsia" w:ascii="宋体" w:hAnsi="宋体" w:cs="宋体"/>
          <w:color w:val="auto"/>
        </w:rPr>
        <w:t>电机过载保护：有；</w:t>
      </w:r>
    </w:p>
    <w:p>
      <w:pPr>
        <w:pStyle w:val="10"/>
        <w:numPr>
          <w:ilvl w:val="0"/>
          <w:numId w:val="0"/>
        </w:numPr>
        <w:rPr>
          <w:rFonts w:hint="eastAsia" w:ascii="宋体" w:hAnsi="宋体" w:cs="宋体"/>
          <w:b/>
          <w:bCs/>
          <w:color w:val="auto"/>
          <w:lang w:val="en-US" w:eastAsia="zh-CN"/>
        </w:rPr>
      </w:pPr>
      <w:r>
        <w:rPr>
          <w:rFonts w:hint="eastAsia" w:ascii="宋体" w:hAnsi="宋体" w:cs="宋体"/>
          <w:b/>
          <w:bCs/>
          <w:color w:val="auto"/>
          <w:lang w:val="en-US" w:eastAsia="zh-CN"/>
        </w:rPr>
        <w:t xml:space="preserve">                              </w:t>
      </w:r>
    </w:p>
    <w:p>
      <w:pPr>
        <w:pStyle w:val="10"/>
        <w:numPr>
          <w:ilvl w:val="0"/>
          <w:numId w:val="0"/>
        </w:numPr>
        <w:ind w:firstLine="3162" w:firstLineChars="1500"/>
        <w:rPr>
          <w:rFonts w:hint="eastAsia" w:ascii="宋体" w:hAnsi="宋体" w:eastAsia="宋体" w:cs="宋体"/>
          <w:b/>
          <w:bCs/>
          <w:color w:val="auto"/>
          <w:lang w:eastAsia="zh-CN"/>
        </w:rPr>
      </w:pPr>
      <w:r>
        <w:rPr>
          <w:rFonts w:hint="eastAsia" w:ascii="宋体" w:hAnsi="宋体" w:cs="宋体"/>
          <w:b/>
          <w:bCs/>
          <w:color w:val="auto"/>
        </w:rPr>
        <w:t>（</w:t>
      </w:r>
      <w:r>
        <w:rPr>
          <w:rFonts w:hint="eastAsia" w:ascii="宋体" w:hAnsi="宋体" w:cs="宋体"/>
          <w:b/>
          <w:bCs/>
          <w:color w:val="auto"/>
          <w:lang w:val="en-US" w:eastAsia="zh-CN"/>
        </w:rPr>
        <w:t>四</w:t>
      </w:r>
      <w:r>
        <w:rPr>
          <w:rFonts w:hint="eastAsia" w:ascii="宋体" w:hAnsi="宋体" w:cs="宋体"/>
          <w:b/>
          <w:bCs/>
          <w:color w:val="auto"/>
        </w:rPr>
        <w:t>）熏蒸治疗</w:t>
      </w:r>
      <w:r>
        <w:rPr>
          <w:rFonts w:hint="eastAsia" w:ascii="宋体" w:hAnsi="宋体" w:cs="宋体"/>
          <w:b/>
          <w:bCs/>
          <w:color w:val="auto"/>
          <w:lang w:val="en-US" w:eastAsia="zh-CN"/>
        </w:rPr>
        <w:t>仪</w:t>
      </w:r>
    </w:p>
    <w:p>
      <w:pPr>
        <w:ind w:firstLine="420" w:firstLineChars="200"/>
        <w:rPr>
          <w:rFonts w:ascii="宋体" w:hAnsi="宋体" w:cs="宋体"/>
          <w:color w:val="auto"/>
        </w:rPr>
      </w:pPr>
      <w:r>
        <w:rPr>
          <w:rFonts w:hint="eastAsia" w:ascii="宋体" w:hAnsi="宋体" w:cs="宋体"/>
          <w:color w:val="auto"/>
        </w:rPr>
        <w:t xml:space="preserve">1、电源电压：交流电压220V，频率50Hz           </w:t>
      </w:r>
    </w:p>
    <w:p>
      <w:pPr>
        <w:ind w:firstLine="420" w:firstLineChars="200"/>
        <w:rPr>
          <w:rFonts w:ascii="宋体" w:hAnsi="宋体" w:cs="宋体"/>
          <w:color w:val="auto"/>
        </w:rPr>
      </w:pPr>
      <w:r>
        <w:rPr>
          <w:rFonts w:hint="eastAsia" w:ascii="宋体" w:hAnsi="宋体" w:cs="宋体"/>
          <w:color w:val="auto"/>
        </w:rPr>
        <w:t>2、额定输入功率：2300VA</w:t>
      </w:r>
    </w:p>
    <w:p>
      <w:pPr>
        <w:ind w:firstLine="420" w:firstLineChars="200"/>
        <w:rPr>
          <w:rFonts w:ascii="宋体" w:hAnsi="宋体" w:cs="宋体"/>
          <w:color w:val="auto"/>
        </w:rPr>
      </w:pPr>
      <w:r>
        <w:rPr>
          <w:rFonts w:hint="eastAsia" w:ascii="宋体" w:hAnsi="宋体" w:cs="宋体"/>
          <w:color w:val="auto"/>
        </w:rPr>
        <w:t>3、外形尺寸：长780mm，宽640mm，高1250mm</w:t>
      </w:r>
    </w:p>
    <w:p>
      <w:pPr>
        <w:ind w:firstLine="420" w:firstLineChars="200"/>
        <w:rPr>
          <w:rFonts w:ascii="宋体" w:hAnsi="宋体" w:cs="宋体"/>
          <w:color w:val="auto"/>
        </w:rPr>
      </w:pPr>
      <w:r>
        <w:rPr>
          <w:rFonts w:hint="eastAsia" w:ascii="宋体" w:hAnsi="宋体" w:cs="宋体"/>
          <w:color w:val="auto"/>
        </w:rPr>
        <w:t>4、预加热时间：≤15min(水量适中1.8L)</w:t>
      </w:r>
    </w:p>
    <w:p>
      <w:pPr>
        <w:ind w:firstLine="420" w:firstLineChars="200"/>
        <w:rPr>
          <w:rFonts w:ascii="宋体" w:hAnsi="宋体" w:cs="宋体"/>
          <w:color w:val="auto"/>
        </w:rPr>
      </w:pPr>
      <w:r>
        <w:rPr>
          <w:rFonts w:hint="eastAsia" w:ascii="宋体" w:hAnsi="宋体" w:cs="宋体"/>
          <w:color w:val="auto"/>
        </w:rPr>
        <w:t>5、功率调节：1-6档可调</w:t>
      </w:r>
    </w:p>
    <w:p>
      <w:pPr>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6、喷头水平旋转角度360°，喷头上下旋转角度110°，喷杆横向调节角度110°</w:t>
      </w:r>
    </w:p>
    <w:p>
      <w:pPr>
        <w:ind w:firstLine="420" w:firstLineChars="200"/>
        <w:rPr>
          <w:rFonts w:ascii="宋体" w:hAnsi="宋体" w:cs="宋体"/>
          <w:color w:val="auto"/>
        </w:rPr>
      </w:pPr>
      <w:r>
        <w:rPr>
          <w:rFonts w:hint="eastAsia" w:ascii="宋体" w:hAnsi="宋体" w:cs="宋体"/>
          <w:color w:val="auto"/>
        </w:rPr>
        <w:t>7、工作时间：1-99min</w:t>
      </w:r>
    </w:p>
    <w:p>
      <w:pPr>
        <w:ind w:firstLine="420" w:firstLineChars="200"/>
        <w:rPr>
          <w:rFonts w:ascii="宋体" w:hAnsi="宋体" w:cs="宋体"/>
          <w:color w:val="auto"/>
        </w:rPr>
      </w:pPr>
      <w:r>
        <w:rPr>
          <w:rFonts w:hint="eastAsia" w:ascii="宋体" w:hAnsi="宋体" w:cs="宋体"/>
          <w:color w:val="auto"/>
        </w:rPr>
        <w:t>8、设置预热温度，70-99℃可调</w:t>
      </w:r>
    </w:p>
    <w:p>
      <w:pPr>
        <w:ind w:firstLine="420" w:firstLineChars="200"/>
        <w:rPr>
          <w:rFonts w:ascii="宋体" w:hAnsi="宋体" w:cs="宋体"/>
          <w:color w:val="auto"/>
        </w:rPr>
      </w:pPr>
      <w:r>
        <w:rPr>
          <w:rFonts w:hint="eastAsia" w:ascii="宋体" w:hAnsi="宋体" w:cs="宋体"/>
          <w:color w:val="auto"/>
        </w:rPr>
        <w:t>9、运行模式：连续运行</w:t>
      </w:r>
    </w:p>
    <w:p>
      <w:pPr>
        <w:ind w:firstLine="420" w:firstLineChars="200"/>
        <w:rPr>
          <w:rFonts w:ascii="宋体" w:hAnsi="宋体" w:cs="宋体"/>
          <w:color w:val="auto"/>
        </w:rPr>
      </w:pPr>
      <w:r>
        <w:rPr>
          <w:rFonts w:hint="eastAsia" w:ascii="宋体" w:hAnsi="宋体" w:cs="宋体"/>
          <w:color w:val="auto"/>
        </w:rPr>
        <w:t>10、单锅最大加液量为3L（实际可达到4L）</w:t>
      </w:r>
    </w:p>
    <w:p>
      <w:pPr>
        <w:ind w:firstLine="420" w:firstLineChars="200"/>
        <w:rPr>
          <w:rFonts w:ascii="宋体" w:hAnsi="宋体" w:cs="宋体"/>
          <w:color w:val="auto"/>
        </w:rPr>
      </w:pPr>
      <w:r>
        <w:rPr>
          <w:rFonts w:hint="eastAsia" w:ascii="宋体" w:hAnsi="宋体" w:cs="宋体"/>
          <w:color w:val="auto"/>
        </w:rPr>
        <w:t>11、微电脑控制操作系统，7寸电容触控。</w:t>
      </w:r>
    </w:p>
    <w:p>
      <w:pPr>
        <w:ind w:firstLine="420" w:firstLineChars="200"/>
        <w:rPr>
          <w:rFonts w:ascii="宋体" w:hAnsi="宋体" w:cs="宋体"/>
          <w:color w:val="auto"/>
        </w:rPr>
      </w:pPr>
      <w:r>
        <w:rPr>
          <w:rFonts w:hint="eastAsia" w:ascii="宋体" w:hAnsi="宋体" w:cs="宋体"/>
          <w:color w:val="auto"/>
        </w:rPr>
        <w:t>12、双锅双控双喷头的，双路独立控制，可以同时治疗两个病人</w:t>
      </w:r>
    </w:p>
    <w:p>
      <w:pPr>
        <w:ind w:firstLine="420" w:firstLineChars="200"/>
        <w:rPr>
          <w:rFonts w:ascii="宋体" w:hAnsi="宋体" w:cs="宋体"/>
          <w:color w:val="auto"/>
        </w:rPr>
      </w:pPr>
      <w:r>
        <w:rPr>
          <w:rFonts w:hint="eastAsia" w:ascii="宋体" w:hAnsi="宋体" w:cs="宋体"/>
          <w:color w:val="auto"/>
        </w:rPr>
        <w:t>13、三通道散热系统，保证设备安全稳定。</w:t>
      </w:r>
    </w:p>
    <w:p>
      <w:pPr>
        <w:ind w:firstLine="420" w:firstLineChars="200"/>
        <w:rPr>
          <w:rFonts w:ascii="宋体" w:hAnsi="宋体" w:cs="宋体"/>
          <w:color w:val="auto"/>
        </w:rPr>
      </w:pPr>
      <w:r>
        <w:rPr>
          <w:rFonts w:hint="eastAsia" w:ascii="宋体" w:hAnsi="宋体" w:cs="宋体"/>
          <w:color w:val="auto"/>
        </w:rPr>
        <w:t>14、加热锅120℃、300℃温控保护，双重防止干烧设计</w:t>
      </w:r>
    </w:p>
    <w:p>
      <w:pPr>
        <w:ind w:firstLine="420" w:firstLineChars="200"/>
        <w:rPr>
          <w:rFonts w:ascii="宋体" w:hAnsi="宋体" w:cs="宋体"/>
          <w:color w:val="auto"/>
        </w:rPr>
      </w:pPr>
      <w:r>
        <w:rPr>
          <w:rFonts w:hint="eastAsia" w:ascii="宋体" w:hAnsi="宋体" w:cs="宋体"/>
          <w:color w:val="auto"/>
        </w:rPr>
        <w:t>15、加热锅五重安全保护装置：报警阀、旋转锁盖钮、泄压窗、双卡钳、防堵过滤罩。</w:t>
      </w:r>
    </w:p>
    <w:p>
      <w:pPr>
        <w:ind w:firstLine="420" w:firstLineChars="200"/>
        <w:rPr>
          <w:rFonts w:ascii="宋体" w:hAnsi="宋体" w:cs="宋体"/>
          <w:color w:val="auto"/>
        </w:rPr>
      </w:pPr>
      <w:r>
        <w:rPr>
          <w:rFonts w:hint="eastAsia" w:ascii="宋体" w:hAnsi="宋体" w:cs="宋体"/>
          <w:color w:val="auto"/>
        </w:rPr>
        <w:t>16、压力值泄压三段调节（50kPa、80kPa、泄压），第二路120kPa安全阀保护。</w:t>
      </w:r>
    </w:p>
    <w:p>
      <w:pPr>
        <w:ind w:firstLine="420" w:firstLineChars="200"/>
        <w:rPr>
          <w:rFonts w:ascii="宋体" w:hAnsi="宋体" w:cs="宋体"/>
          <w:color w:val="auto"/>
        </w:rPr>
      </w:pPr>
      <w:r>
        <w:rPr>
          <w:rFonts w:hint="eastAsia" w:ascii="宋体" w:hAnsi="宋体" w:cs="宋体"/>
          <w:color w:val="auto"/>
        </w:rPr>
        <w:t>17、耐高温熏蒸罩，采用旋转扣紧的方式，保证熏蒸安全距离。</w:t>
      </w:r>
    </w:p>
    <w:p>
      <w:pPr>
        <w:ind w:firstLine="420" w:firstLineChars="200"/>
        <w:rPr>
          <w:rFonts w:hint="eastAsia" w:ascii="宋体" w:hAnsi="宋体" w:eastAsia="宋体" w:cs="宋体"/>
          <w:color w:val="auto"/>
          <w:lang w:eastAsia="zh-CN"/>
        </w:rPr>
      </w:pPr>
      <w:r>
        <w:rPr>
          <w:rFonts w:hint="eastAsia" w:ascii="宋体" w:hAnsi="宋体" w:cs="宋体"/>
          <w:color w:val="auto"/>
        </w:rPr>
        <w:t>18、吸水绑带设计，防止喷头滴水</w:t>
      </w:r>
      <w:r>
        <w:rPr>
          <w:rFonts w:hint="eastAsia" w:ascii="宋体" w:hAnsi="宋体" w:cs="宋体"/>
          <w:color w:val="auto"/>
          <w:lang w:eastAsia="zh-CN"/>
        </w:rPr>
        <w:t>。</w:t>
      </w:r>
    </w:p>
    <w:p>
      <w:pPr>
        <w:ind w:firstLine="420" w:firstLineChars="200"/>
        <w:rPr>
          <w:rFonts w:ascii="宋体" w:hAnsi="宋体" w:cs="宋体"/>
          <w:color w:val="auto"/>
        </w:rPr>
      </w:pPr>
      <w:r>
        <w:rPr>
          <w:rFonts w:hint="eastAsia" w:ascii="宋体" w:hAnsi="宋体" w:cs="宋体"/>
          <w:color w:val="auto"/>
        </w:rPr>
        <w:t>19、采用304材质的50目滤气装置，防止堵塞。</w:t>
      </w:r>
    </w:p>
    <w:p>
      <w:pPr>
        <w:ind w:firstLine="420" w:firstLineChars="200"/>
        <w:rPr>
          <w:rFonts w:hint="eastAsia" w:ascii="宋体" w:hAnsi="宋体" w:eastAsia="宋体" w:cs="宋体"/>
          <w:color w:val="auto"/>
          <w:lang w:eastAsia="zh-CN"/>
        </w:rPr>
      </w:pPr>
      <w:r>
        <w:rPr>
          <w:rFonts w:hint="eastAsia" w:ascii="宋体" w:hAnsi="宋体" w:cs="宋体"/>
          <w:color w:val="auto"/>
        </w:rPr>
        <w:t>20、具有自动漏电保护、自动防干烧</w:t>
      </w:r>
      <w:r>
        <w:rPr>
          <w:rFonts w:hint="eastAsia" w:ascii="宋体" w:hAnsi="宋体" w:cs="宋体"/>
          <w:color w:val="auto"/>
          <w:lang w:eastAsia="zh-CN"/>
        </w:rPr>
        <w:t>。</w:t>
      </w:r>
    </w:p>
    <w:p>
      <w:pPr>
        <w:ind w:firstLine="210" w:firstLineChars="100"/>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rPr>
        <w:t>21、红外测温技术，在熏蒸过程中实时监测皮肤表面温度，防止烫伤</w:t>
      </w:r>
      <w:r>
        <w:rPr>
          <w:rFonts w:hint="eastAsia" w:ascii="宋体" w:hAnsi="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cs="宋体"/>
          <w:color w:val="auto"/>
        </w:rPr>
        <w:t>22、电动控制废液的排放，采用先进的电磁方式控制，同时治疗两个病人，蒸汽量和温度都可以保证，不容易堵塞，不喷水</w:t>
      </w:r>
      <w:r>
        <w:rPr>
          <w:rFonts w:hint="eastAsia" w:ascii="宋体" w:hAnsi="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cs="宋体"/>
          <w:color w:val="auto"/>
        </w:rPr>
        <w:t>23、具有三维立体喷头旋转方向</w:t>
      </w:r>
      <w:r>
        <w:rPr>
          <w:rFonts w:hint="eastAsia" w:ascii="宋体" w:hAnsi="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cs="宋体"/>
          <w:color w:val="auto"/>
        </w:rPr>
        <w:t>24、隐藏式的加热</w:t>
      </w:r>
      <w:r>
        <w:rPr>
          <w:rFonts w:hint="eastAsia" w:ascii="宋体" w:hAnsi="宋体" w:cs="宋体"/>
          <w:color w:val="auto"/>
          <w:lang w:eastAsia="zh-CN"/>
        </w:rPr>
        <w:t>。</w:t>
      </w:r>
    </w:p>
    <w:p>
      <w:pPr>
        <w:ind w:firstLine="420" w:firstLineChars="200"/>
        <w:rPr>
          <w:rFonts w:hint="eastAsia" w:ascii="宋体" w:hAnsi="宋体" w:eastAsia="宋体" w:cs="宋体"/>
          <w:color w:val="auto"/>
          <w:lang w:eastAsia="zh-CN"/>
        </w:rPr>
      </w:pPr>
      <w:r>
        <w:rPr>
          <w:rFonts w:hint="eastAsia" w:ascii="宋体" w:hAnsi="宋体" w:cs="宋体"/>
          <w:color w:val="auto"/>
        </w:rPr>
        <w:t>25、配有专门的蒸馏水回收</w:t>
      </w:r>
      <w:r>
        <w:rPr>
          <w:rFonts w:hint="eastAsia" w:ascii="宋体" w:hAnsi="宋体" w:cs="宋体"/>
          <w:color w:val="auto"/>
          <w:lang w:eastAsia="zh-CN"/>
        </w:rPr>
        <w:t>。</w:t>
      </w:r>
    </w:p>
    <w:p>
      <w:pPr>
        <w:numPr>
          <w:ilvl w:val="0"/>
          <w:numId w:val="0"/>
        </w:numPr>
        <w:rPr>
          <w:rFonts w:hint="eastAsia" w:ascii="宋体" w:hAnsi="宋体" w:cs="宋体"/>
          <w:b/>
          <w:bCs/>
          <w:color w:val="auto"/>
          <w:lang w:val="en-US" w:eastAsia="zh-CN"/>
        </w:rPr>
      </w:pPr>
      <w:r>
        <w:rPr>
          <w:rFonts w:hint="eastAsia" w:ascii="宋体" w:hAnsi="宋体" w:cs="宋体"/>
          <w:b/>
          <w:bCs/>
          <w:color w:val="auto"/>
          <w:lang w:val="en-US" w:eastAsia="zh-CN"/>
        </w:rPr>
        <w:t xml:space="preserve">                          </w:t>
      </w:r>
    </w:p>
    <w:p>
      <w:pPr>
        <w:numPr>
          <w:ilvl w:val="0"/>
          <w:numId w:val="0"/>
        </w:numPr>
        <w:rPr>
          <w:rFonts w:hint="eastAsia" w:ascii="宋体" w:hAnsi="宋体" w:cs="宋体"/>
          <w:b/>
          <w:bCs/>
          <w:color w:val="auto"/>
          <w:lang w:val="en-US" w:eastAsia="zh-CN"/>
        </w:rPr>
      </w:pPr>
      <w:r>
        <w:rPr>
          <w:rFonts w:hint="eastAsia" w:ascii="宋体" w:hAnsi="宋体" w:cs="宋体"/>
          <w:b/>
          <w:bCs/>
          <w:color w:val="auto"/>
          <w:lang w:val="en-US" w:eastAsia="zh-CN"/>
        </w:rPr>
        <w:t xml:space="preserve">  </w:t>
      </w:r>
    </w:p>
    <w:p>
      <w:pPr>
        <w:numPr>
          <w:ilvl w:val="0"/>
          <w:numId w:val="0"/>
        </w:numPr>
        <w:ind w:firstLine="2530" w:firstLineChars="1200"/>
        <w:rPr>
          <w:rFonts w:ascii="宋体" w:hAnsi="宋体" w:cs="宋体"/>
          <w:b/>
          <w:bCs/>
          <w:color w:val="auto"/>
        </w:rPr>
      </w:pPr>
      <w:r>
        <w:rPr>
          <w:rFonts w:hint="eastAsia" w:ascii="宋体" w:hAnsi="宋体" w:cs="宋体"/>
          <w:b/>
          <w:bCs/>
          <w:color w:val="auto"/>
          <w:lang w:val="en-US" w:eastAsia="zh-CN"/>
        </w:rPr>
        <w:t>（五）</w:t>
      </w:r>
      <w:r>
        <w:rPr>
          <w:rFonts w:hint="eastAsia" w:ascii="宋体" w:hAnsi="宋体" w:cs="宋体"/>
          <w:b/>
          <w:bCs/>
          <w:color w:val="auto"/>
        </w:rPr>
        <w:t>碳钢检查床/按摩床</w:t>
      </w:r>
    </w:p>
    <w:p>
      <w:pPr>
        <w:ind w:firstLine="420" w:firstLineChars="200"/>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规格：1900*600*600</w:t>
      </w:r>
    </w:p>
    <w:p>
      <w:pPr>
        <w:ind w:firstLine="420" w:firstLineChars="200"/>
        <w:rPr>
          <w:rFonts w:ascii="宋体" w:hAnsi="宋体" w:cs="宋体"/>
          <w:color w:val="auto"/>
        </w:rPr>
      </w:pPr>
      <w:r>
        <w:rPr>
          <w:rFonts w:hint="eastAsia" w:ascii="宋体" w:hAnsi="宋体" w:cs="宋体"/>
          <w:color w:val="auto"/>
          <w:lang w:val="en-US" w:eastAsia="zh-CN"/>
        </w:rPr>
        <w:t>2、</w:t>
      </w:r>
      <w:r>
        <w:rPr>
          <w:rFonts w:hint="eastAsia" w:ascii="宋体" w:hAnsi="宋体" w:cs="宋体"/>
          <w:color w:val="auto"/>
        </w:rPr>
        <w:t>床边管采用50*25优质方管焊接，床脚采用50*50*1.2优质方管制作。</w:t>
      </w:r>
    </w:p>
    <w:p>
      <w:pPr>
        <w:ind w:firstLine="420" w:firstLineChars="200"/>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床脚配置防滑脚垫，分离式床脚，装卸方便。</w:t>
      </w:r>
    </w:p>
    <w:p>
      <w:pPr>
        <w:ind w:firstLine="420" w:firstLineChars="200"/>
        <w:rPr>
          <w:rFonts w:hint="eastAsia" w:ascii="宋体" w:hAnsi="宋体" w:eastAsia="宋体" w:cs="宋体"/>
          <w:color w:val="auto"/>
          <w:lang w:eastAsia="zh-CN"/>
        </w:rPr>
      </w:pPr>
      <w:r>
        <w:rPr>
          <w:rFonts w:hint="eastAsia" w:ascii="宋体" w:hAnsi="宋体" w:cs="宋体"/>
          <w:color w:val="auto"/>
          <w:lang w:val="en-US" w:eastAsia="zh-CN"/>
        </w:rPr>
        <w:t>4、</w:t>
      </w:r>
      <w:r>
        <w:rPr>
          <w:rFonts w:hint="eastAsia" w:ascii="宋体" w:hAnsi="宋体" w:cs="宋体"/>
          <w:color w:val="auto"/>
        </w:rPr>
        <w:t>床面采用优质人造革和高密度海绵，底面采用七层板，并且开有透气孔</w:t>
      </w:r>
      <w:r>
        <w:rPr>
          <w:rFonts w:hint="eastAsia" w:ascii="宋体" w:hAnsi="宋体" w:cs="宋体"/>
          <w:color w:val="auto"/>
          <w:lang w:eastAsia="zh-CN"/>
        </w:rPr>
        <w:t>。</w:t>
      </w:r>
    </w:p>
    <w:p>
      <w:pPr>
        <w:pStyle w:val="10"/>
        <w:numPr>
          <w:ilvl w:val="0"/>
          <w:numId w:val="0"/>
        </w:numPr>
        <w:ind w:firstLine="2741" w:firstLineChars="1300"/>
        <w:rPr>
          <w:rFonts w:hint="eastAsia" w:ascii="宋体" w:hAnsi="宋体" w:eastAsia="宋体" w:cs="宋体"/>
          <w:b/>
          <w:bCs/>
          <w:color w:val="auto"/>
          <w:kern w:val="2"/>
          <w:sz w:val="21"/>
          <w:szCs w:val="22"/>
          <w:lang w:val="en-US" w:eastAsia="zh-CN" w:bidi="ar-SA"/>
        </w:rPr>
      </w:pPr>
    </w:p>
    <w:p>
      <w:pPr>
        <w:pStyle w:val="10"/>
        <w:numPr>
          <w:ilvl w:val="0"/>
          <w:numId w:val="0"/>
        </w:numPr>
        <w:ind w:firstLine="2741" w:firstLineChars="1300"/>
        <w:rPr>
          <w:rFonts w:hint="eastAsia" w:ascii="宋体" w:hAnsi="宋体" w:eastAsia="宋体" w:cs="宋体"/>
          <w:b/>
          <w:bCs/>
          <w:color w:val="auto"/>
          <w:kern w:val="2"/>
          <w:sz w:val="21"/>
          <w:szCs w:val="22"/>
          <w:lang w:val="en-US" w:eastAsia="zh-CN" w:bidi="ar-SA"/>
        </w:rPr>
      </w:pPr>
    </w:p>
    <w:p>
      <w:pPr>
        <w:pStyle w:val="10"/>
        <w:numPr>
          <w:ilvl w:val="0"/>
          <w:numId w:val="0"/>
        </w:numPr>
        <w:ind w:firstLine="2951" w:firstLineChars="1400"/>
        <w:rPr>
          <w:rFonts w:hint="eastAsia" w:ascii="宋体" w:hAnsi="宋体" w:eastAsia="宋体" w:cs="宋体"/>
          <w:b/>
          <w:bCs/>
          <w:color w:val="auto"/>
          <w:kern w:val="2"/>
          <w:sz w:val="21"/>
          <w:szCs w:val="22"/>
          <w:lang w:val="en-US" w:eastAsia="zh-CN" w:bidi="ar-SA"/>
        </w:rPr>
      </w:pPr>
      <w:r>
        <w:rPr>
          <w:rFonts w:hint="eastAsia" w:ascii="宋体" w:hAnsi="宋体" w:eastAsia="宋体" w:cs="宋体"/>
          <w:b/>
          <w:bCs/>
          <w:color w:val="auto"/>
          <w:kern w:val="2"/>
          <w:sz w:val="21"/>
          <w:szCs w:val="22"/>
          <w:lang w:val="en-US" w:eastAsia="zh-CN" w:bidi="ar-SA"/>
        </w:rPr>
        <w:t>（六）超声波治疗仪</w:t>
      </w:r>
    </w:p>
    <w:p>
      <w:pPr>
        <w:numPr>
          <w:ilvl w:val="0"/>
          <w:numId w:val="10"/>
        </w:numPr>
        <w:ind w:firstLine="420" w:firstLineChars="200"/>
        <w:rPr>
          <w:rFonts w:ascii="宋体" w:hAnsi="宋体" w:cs="宋体"/>
          <w:color w:val="auto"/>
          <w:szCs w:val="21"/>
        </w:rPr>
      </w:pPr>
      <w:r>
        <w:rPr>
          <w:rFonts w:hint="eastAsia" w:asciiTheme="minorEastAsia" w:hAnsiTheme="minorEastAsia" w:cstheme="minorEastAsia"/>
          <w:color w:val="auto"/>
          <w:szCs w:val="21"/>
        </w:rPr>
        <w:t>输入电压：</w:t>
      </w:r>
      <w:r>
        <w:rPr>
          <w:rFonts w:hint="eastAsia" w:ascii="宋体" w:hAnsi="宋体" w:cs="宋体"/>
          <w:color w:val="auto"/>
          <w:szCs w:val="21"/>
        </w:rPr>
        <w:t>a.c.220V</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2、输入频率：50Hz±1Hz</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3、输入功率：</w:t>
      </w:r>
      <w:r>
        <w:rPr>
          <w:rFonts w:asciiTheme="minorEastAsia" w:hAnsiTheme="minorEastAsia" w:cstheme="minorEastAsia"/>
          <w:color w:val="auto"/>
          <w:szCs w:val="21"/>
        </w:rPr>
        <w:t>50</w:t>
      </w:r>
      <w:r>
        <w:rPr>
          <w:rFonts w:hint="eastAsia" w:asciiTheme="minorEastAsia" w:hAnsiTheme="minorEastAsia" w:cstheme="minorEastAsia"/>
          <w:color w:val="auto"/>
          <w:szCs w:val="21"/>
        </w:rPr>
        <w:t>VA</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4、输出通道：单路输出</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5、显示方式：</w:t>
      </w:r>
      <w:r>
        <w:rPr>
          <w:rFonts w:hint="eastAsia" w:ascii="宋体" w:hAnsi="宋体" w:cs="宋体"/>
          <w:color w:val="auto"/>
          <w:szCs w:val="21"/>
        </w:rPr>
        <w:t>液晶</w:t>
      </w:r>
      <w:r>
        <w:rPr>
          <w:rFonts w:hint="eastAsia" w:asciiTheme="minorEastAsia" w:hAnsiTheme="minorEastAsia" w:cstheme="minorEastAsia"/>
          <w:color w:val="auto"/>
          <w:szCs w:val="21"/>
        </w:rPr>
        <w:t>显示</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cstheme="minorEastAsia"/>
          <w:color w:val="auto"/>
          <w:szCs w:val="21"/>
        </w:rPr>
        <w:t>6、声工作频率：</w:t>
      </w:r>
      <w:r>
        <w:rPr>
          <w:rFonts w:hint="eastAsia" w:ascii="宋体" w:hAnsi="宋体" w:cs="宋体"/>
          <w:color w:val="auto"/>
          <w:szCs w:val="21"/>
        </w:rPr>
        <w:t>1MHz±10%</w:t>
      </w:r>
    </w:p>
    <w:p>
      <w:pPr>
        <w:ind w:firstLine="420" w:firstLineChars="200"/>
        <w:rPr>
          <w:rFonts w:ascii="宋体" w:hAnsi="宋体"/>
          <w:color w:val="auto"/>
          <w:szCs w:val="21"/>
        </w:rPr>
      </w:pPr>
      <w:r>
        <w:rPr>
          <w:rFonts w:hint="eastAsia" w:asciiTheme="minorEastAsia" w:hAnsiTheme="minorEastAsia" w:cstheme="minorEastAsia"/>
          <w:color w:val="auto"/>
          <w:szCs w:val="21"/>
        </w:rPr>
        <w:t>7、输出模式：</w:t>
      </w:r>
      <w:r>
        <w:rPr>
          <w:rFonts w:hint="eastAsia" w:ascii="宋体" w:hAnsi="宋体"/>
          <w:color w:val="auto"/>
          <w:szCs w:val="21"/>
        </w:rPr>
        <w:t>a)连续输出；</w:t>
      </w:r>
    </w:p>
    <w:p>
      <w:pPr>
        <w:pStyle w:val="70"/>
        <w:numPr>
          <w:ilvl w:val="0"/>
          <w:numId w:val="0"/>
        </w:numPr>
        <w:ind w:firstLine="420" w:firstLineChars="200"/>
        <w:rPr>
          <w:rFonts w:hAnsi="宋体" w:cs="宋体"/>
          <w:color w:val="auto"/>
          <w:szCs w:val="21"/>
        </w:rPr>
      </w:pPr>
      <w:r>
        <w:rPr>
          <w:rFonts w:hint="eastAsia" w:hAnsi="宋体"/>
          <w:color w:val="auto"/>
          <w:szCs w:val="21"/>
        </w:rPr>
        <w:t>b)断续</w:t>
      </w:r>
      <w:r>
        <w:rPr>
          <w:rFonts w:hint="eastAsia" w:hAnsi="宋体" w:cs="宋体"/>
          <w:color w:val="auto"/>
          <w:szCs w:val="21"/>
        </w:rPr>
        <w:t>1：输出1s，间歇1s；</w:t>
      </w:r>
    </w:p>
    <w:p>
      <w:pPr>
        <w:pStyle w:val="70"/>
        <w:numPr>
          <w:ilvl w:val="0"/>
          <w:numId w:val="0"/>
        </w:numPr>
        <w:ind w:firstLine="420" w:firstLineChars="200"/>
        <w:rPr>
          <w:rFonts w:hAnsi="宋体" w:cs="宋体"/>
          <w:color w:val="auto"/>
          <w:szCs w:val="21"/>
        </w:rPr>
      </w:pPr>
      <w:r>
        <w:rPr>
          <w:rFonts w:hint="eastAsia" w:hAnsi="宋体" w:cs="宋体"/>
          <w:color w:val="auto"/>
          <w:szCs w:val="21"/>
        </w:rPr>
        <w:t>c)断续2：输出0.5s，间歇0.5s；</w:t>
      </w:r>
    </w:p>
    <w:p>
      <w:pPr>
        <w:pStyle w:val="70"/>
        <w:numPr>
          <w:ilvl w:val="0"/>
          <w:numId w:val="0"/>
        </w:numPr>
        <w:ind w:firstLine="420" w:firstLineChars="200"/>
        <w:rPr>
          <w:rFonts w:hAnsi="宋体" w:cs="宋体"/>
          <w:color w:val="auto"/>
          <w:szCs w:val="21"/>
        </w:rPr>
      </w:pPr>
      <w:r>
        <w:rPr>
          <w:rFonts w:hint="eastAsia" w:hAnsi="宋体" w:cs="宋体"/>
          <w:color w:val="auto"/>
          <w:szCs w:val="21"/>
        </w:rPr>
        <w:t>d)断续3：输出0.3s，间歇0.3s。</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8、有效声强：0</w:t>
      </w:r>
      <w:r>
        <w:rPr>
          <w:rFonts w:asciiTheme="minorEastAsia" w:hAnsiTheme="minorEastAsia" w:cstheme="minorEastAsia"/>
          <w:color w:val="auto"/>
          <w:szCs w:val="21"/>
        </w:rPr>
        <w:t>-1.5</w:t>
      </w:r>
      <w:r>
        <w:rPr>
          <w:rFonts w:hint="eastAsia" w:asciiTheme="minorEastAsia" w:hAnsiTheme="minorEastAsia" w:cstheme="minorEastAsia"/>
          <w:color w:val="auto"/>
          <w:szCs w:val="21"/>
        </w:rPr>
        <w:t>W/cm²。</w:t>
      </w:r>
    </w:p>
    <w:p>
      <w:pPr>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9、定时范围：1-30min</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ab/>
      </w:r>
    </w:p>
    <w:p>
      <w:pPr>
        <w:ind w:firstLine="420" w:firstLineChars="20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10、尺寸：</w:t>
      </w:r>
      <w:r>
        <w:rPr>
          <w:rFonts w:hint="eastAsia" w:ascii="宋体" w:hAnsi="宋体" w:cs="宋体"/>
          <w:color w:val="auto"/>
          <w:szCs w:val="21"/>
        </w:rPr>
        <w:t>380mm*310mm*135mm</w:t>
      </w:r>
      <w:r>
        <w:rPr>
          <w:rFonts w:hint="eastAsia" w:ascii="宋体" w:hAnsi="宋体" w:cs="宋体"/>
          <w:color w:val="auto"/>
          <w:szCs w:val="21"/>
          <w:lang w:eastAsia="zh-CN"/>
        </w:rPr>
        <w:t>。</w:t>
      </w:r>
    </w:p>
    <w:p>
      <w:pPr>
        <w:ind w:firstLine="420" w:firstLineChars="200"/>
        <w:rPr>
          <w:rFonts w:hint="eastAsia" w:eastAsia="宋体" w:asciiTheme="minorEastAsia" w:hAnsiTheme="minorEastAsia" w:cstheme="minorEastAsia"/>
          <w:color w:val="auto"/>
          <w:szCs w:val="21"/>
          <w:lang w:eastAsia="zh-CN"/>
        </w:rPr>
      </w:pPr>
      <w:r>
        <w:rPr>
          <w:rFonts w:hint="eastAsia" w:asciiTheme="minorEastAsia" w:hAnsiTheme="minorEastAsia" w:cstheme="minorEastAsia"/>
          <w:color w:val="auto"/>
          <w:szCs w:val="21"/>
        </w:rPr>
        <w:t>11、重量：2.6kg</w:t>
      </w:r>
      <w:r>
        <w:rPr>
          <w:rFonts w:hint="eastAsia" w:asciiTheme="minorEastAsia" w:hAnsiTheme="minorEastAsia" w:cstheme="minorEastAsia"/>
          <w:color w:val="auto"/>
          <w:szCs w:val="21"/>
          <w:lang w:eastAsia="zh-CN"/>
        </w:rPr>
        <w:t>。</w:t>
      </w:r>
    </w:p>
    <w:p>
      <w:pPr>
        <w:ind w:firstLine="420" w:firstLineChars="200"/>
        <w:rPr>
          <w:rFonts w:ascii="宋体" w:hAnsi="宋体"/>
          <w:color w:val="auto"/>
          <w:szCs w:val="21"/>
        </w:rPr>
      </w:pPr>
      <w:r>
        <w:rPr>
          <w:rFonts w:hint="eastAsia" w:ascii="宋体" w:hAnsi="宋体"/>
          <w:color w:val="auto"/>
          <w:szCs w:val="21"/>
        </w:rPr>
        <w:t>12、最大输出功率：6W，允差±20%。</w:t>
      </w:r>
    </w:p>
    <w:p>
      <w:pPr>
        <w:ind w:firstLine="420" w:firstLineChars="200"/>
        <w:rPr>
          <w:rFonts w:ascii="宋体" w:hAnsi="宋体" w:eastAsiaTheme="minorEastAsia"/>
          <w:color w:val="auto"/>
          <w:szCs w:val="21"/>
        </w:rPr>
      </w:pPr>
      <w:r>
        <w:rPr>
          <w:rFonts w:hint="eastAsia" w:ascii="宋体" w:hAnsi="宋体"/>
          <w:color w:val="auto"/>
          <w:szCs w:val="21"/>
        </w:rPr>
        <w:t>13、有效辐射面积：4cm</w:t>
      </w:r>
      <w:r>
        <w:rPr>
          <w:rFonts w:hint="eastAsia" w:ascii="宋体" w:hAnsi="宋体"/>
          <w:color w:val="auto"/>
          <w:szCs w:val="21"/>
          <w:vertAlign w:val="superscript"/>
        </w:rPr>
        <w:t>2</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宋体" w:hAnsi="宋体"/>
          <w:color w:val="auto"/>
          <w:szCs w:val="21"/>
        </w:rPr>
      </w:pPr>
      <w:r>
        <w:rPr>
          <w:rFonts w:hint="eastAsia" w:ascii="宋体" w:hAnsi="宋体" w:cs="宋体"/>
          <w:color w:val="auto"/>
          <w:lang w:eastAsia="zh-CN"/>
        </w:rPr>
        <w:t>★</w:t>
      </w:r>
      <w:r>
        <w:rPr>
          <w:rFonts w:hint="eastAsia" w:ascii="宋体" w:hAnsi="宋体"/>
          <w:color w:val="auto"/>
          <w:szCs w:val="21"/>
        </w:rPr>
        <w:t>14、治疗头防水程度：IPX7,可在水下进行操作。</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373" w:firstLineChars="1400"/>
        <w:textAlignment w:val="auto"/>
        <w:rPr>
          <w:rFonts w:hint="eastAsia" w:ascii="宋体" w:hAnsi="宋体" w:cs="宋体"/>
          <w:b/>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871" w:firstLineChars="1300"/>
        <w:textAlignment w:val="auto"/>
        <w:rPr>
          <w:rFonts w:ascii="宋体" w:hAnsi="宋体" w:cs="宋体"/>
          <w:b/>
          <w:color w:val="auto"/>
          <w:sz w:val="20"/>
          <w:szCs w:val="21"/>
        </w:rPr>
      </w:pPr>
      <w:r>
        <w:rPr>
          <w:rFonts w:hint="eastAsia" w:ascii="宋体" w:hAnsi="宋体" w:cs="宋体"/>
          <w:b/>
          <w:color w:val="auto"/>
          <w:sz w:val="22"/>
          <w:szCs w:val="22"/>
          <w:lang w:eastAsia="zh-CN"/>
        </w:rPr>
        <w:t>（</w:t>
      </w:r>
      <w:r>
        <w:rPr>
          <w:rFonts w:hint="eastAsia" w:ascii="宋体" w:hAnsi="宋体" w:cs="宋体"/>
          <w:b/>
          <w:color w:val="auto"/>
          <w:sz w:val="22"/>
          <w:szCs w:val="22"/>
          <w:lang w:val="en-US" w:eastAsia="zh-CN"/>
        </w:rPr>
        <w:t>七）</w:t>
      </w:r>
      <w:r>
        <w:rPr>
          <w:rFonts w:hint="eastAsia" w:ascii="宋体" w:hAnsi="宋体" w:cs="宋体"/>
          <w:b/>
          <w:color w:val="auto"/>
          <w:sz w:val="22"/>
          <w:szCs w:val="22"/>
        </w:rPr>
        <w:t>红外光灸疗机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1、安全类型：I类，B型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 xml:space="preserve">2、电源：AC220V  频率：50Hz。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3、红外光波长范围580nm～1050nm；</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4、红外光治疗光功率输出最大10W，允差±2W;</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5、红外光输出档位三档调节，频率5—60HZ；</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6、艾灸加热温度100—160度；</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rPr>
        <w:t>7、红光与艾灸可同时输出；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8、工作时间1min-99min可调，级差1min，允差±60s；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9、支臂调节方便，艾灸治疗头三维方向可调；</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10、具有艾灸能量裙，使艾灸集中于病灶，又避免暴露隐私；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rPr>
      </w:pPr>
      <w:r>
        <w:rPr>
          <w:rFonts w:hint="eastAsia" w:ascii="宋体" w:hAnsi="宋体"/>
          <w:color w:val="auto"/>
          <w:szCs w:val="21"/>
        </w:rPr>
        <w:t>11、具有双通道，可同时输出；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olor w:val="auto"/>
          <w:szCs w:val="21"/>
          <w:lang w:eastAsia="zh-CN"/>
        </w:rPr>
      </w:pPr>
      <w:r>
        <w:rPr>
          <w:rFonts w:hint="eastAsia" w:ascii="宋体" w:hAnsi="宋体"/>
          <w:color w:val="auto"/>
          <w:szCs w:val="21"/>
        </w:rPr>
        <w:t>12、具有防倾倒保护功能</w:t>
      </w:r>
      <w:r>
        <w:rPr>
          <w:rFonts w:hint="eastAsia" w:ascii="宋体" w:hAnsi="宋体"/>
          <w:color w:val="auto"/>
          <w:szCs w:val="21"/>
          <w:lang w:eastAsia="zh-CN"/>
        </w:rPr>
        <w:t>。</w:t>
      </w:r>
    </w:p>
    <w:p>
      <w:pPr>
        <w:pStyle w:val="2"/>
      </w:pP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2650" w:firstLineChars="1200"/>
        <w:textAlignment w:val="auto"/>
        <w:rPr>
          <w:rFonts w:ascii="宋体" w:hAnsi="宋体" w:cs="宋体"/>
          <w:b/>
          <w:color w:val="auto"/>
          <w:sz w:val="22"/>
          <w:szCs w:val="22"/>
        </w:rPr>
      </w:pPr>
      <w:r>
        <w:rPr>
          <w:rFonts w:hint="eastAsia" w:ascii="宋体" w:hAnsi="宋体" w:cs="宋体"/>
          <w:b/>
          <w:color w:val="auto"/>
          <w:sz w:val="22"/>
          <w:szCs w:val="22"/>
          <w:lang w:eastAsia="zh-CN"/>
        </w:rPr>
        <w:t>（</w:t>
      </w:r>
      <w:r>
        <w:rPr>
          <w:rFonts w:hint="eastAsia" w:ascii="宋体" w:hAnsi="宋体" w:cs="宋体"/>
          <w:b/>
          <w:color w:val="auto"/>
          <w:sz w:val="22"/>
          <w:szCs w:val="22"/>
          <w:lang w:val="en-US" w:eastAsia="zh-CN"/>
        </w:rPr>
        <w:t>八</w:t>
      </w:r>
      <w:r>
        <w:rPr>
          <w:rFonts w:hint="eastAsia" w:ascii="宋体" w:hAnsi="宋体" w:cs="宋体"/>
          <w:b/>
          <w:color w:val="auto"/>
          <w:sz w:val="22"/>
          <w:szCs w:val="22"/>
          <w:lang w:eastAsia="zh-CN"/>
        </w:rPr>
        <w:t>）</w:t>
      </w:r>
      <w:r>
        <w:rPr>
          <w:rFonts w:hint="eastAsia" w:ascii="宋体" w:hAnsi="宋体" w:cs="宋体"/>
          <w:b/>
          <w:color w:val="auto"/>
          <w:sz w:val="22"/>
          <w:szCs w:val="22"/>
        </w:rPr>
        <w:t>低频脉冲治疗仪</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1、 电源：内置电源（AC220v±22V,5OHz或DC6V)4节2号电池；</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2、 输入功率：≤15VA。</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3、 输出波形为连续波、疏密波、断续波3种波形，可选择。</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4、连续波频率范围：0.8Hz~10OHz可调。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5</w:t>
      </w:r>
      <w:r>
        <w:rPr>
          <w:rFonts w:hint="eastAsia" w:ascii="宋体" w:hAnsi="宋体" w:cs="宋体"/>
          <w:color w:val="auto"/>
          <w:lang w:eastAsia="zh-CN"/>
        </w:rPr>
        <w:t>、</w:t>
      </w:r>
      <w:r>
        <w:rPr>
          <w:rFonts w:hint="eastAsia" w:ascii="宋体" w:hAnsi="宋体" w:cs="宋体"/>
          <w:color w:val="auto"/>
        </w:rPr>
        <w:t>疏密波、断续波波形输出频率范围：10~26次／分钟可调。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6、波宽：正脉冲300us±30%；负脉冲200us±30%。 输出电压正脉沖峰值≤9ov(1K负载）。</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lang w:val="en-US" w:eastAsia="zh-CN"/>
        </w:rPr>
        <w:t>7、</w:t>
      </w:r>
      <w:r>
        <w:rPr>
          <w:rFonts w:hint="eastAsia" w:ascii="宋体" w:hAnsi="宋体" w:cs="宋体"/>
          <w:color w:val="auto"/>
        </w:rPr>
        <w:t>输出电压负脉冲峰值≤40v(1K负载）。</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8、 输出脉沖路数：5路独立输出。</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9、 外形尺寸：185 mm ×142 mm ×82mm。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10、该仪器属于 I 类 BF 型设备。11、重量：0.75kg。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12、治疗仪开机注意事项：</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s="宋体"/>
          <w:color w:val="auto"/>
        </w:rPr>
      </w:pPr>
      <w:r>
        <w:rPr>
          <w:rFonts w:hint="eastAsia" w:ascii="宋体" w:hAnsi="宋体" w:cs="宋体"/>
          <w:color w:val="auto"/>
        </w:rPr>
        <w:t>接通电源前所有输出旋钮（治疗仪前端第一排）全部处于关闭状态，否则频率指示灯不亮，机器不工作。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092" w:firstLineChars="1400"/>
        <w:textAlignment w:val="auto"/>
        <w:rPr>
          <w:rFonts w:ascii="宋体" w:hAnsi="宋体" w:cs="宋体"/>
          <w:b/>
          <w:bCs/>
          <w:color w:val="auto"/>
        </w:rPr>
      </w:pPr>
      <w:r>
        <w:rPr>
          <w:rFonts w:hint="eastAsia" w:ascii="宋体" w:hAnsi="宋体" w:cs="宋体"/>
          <w:b/>
          <w:bCs/>
          <w:color w:val="auto"/>
          <w:sz w:val="22"/>
          <w:szCs w:val="22"/>
          <w:lang w:val="en-US" w:eastAsia="zh-CN"/>
        </w:rPr>
        <w:t>（九）</w:t>
      </w:r>
      <w:r>
        <w:rPr>
          <w:rFonts w:hint="eastAsia" w:ascii="宋体" w:hAnsi="宋体" w:cs="宋体"/>
          <w:b/>
          <w:bCs/>
          <w:color w:val="auto"/>
          <w:sz w:val="22"/>
          <w:szCs w:val="22"/>
        </w:rPr>
        <w:t>治疗车</w:t>
      </w:r>
    </w:p>
    <w:p>
      <w:pPr>
        <w:pStyle w:val="10"/>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kern w:val="2"/>
          <w:sz w:val="21"/>
          <w:szCs w:val="22"/>
          <w:lang w:val="en-US" w:eastAsia="zh-CN" w:bidi="ar-SA"/>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kern w:val="2"/>
          <w:sz w:val="21"/>
          <w:szCs w:val="22"/>
          <w:lang w:val="en-US" w:eastAsia="zh-CN" w:bidi="ar-SA"/>
        </w:rPr>
        <w:t>加厚方管双层器械车、中号、尺寸：660*440*860mm</w:t>
      </w:r>
      <w:r>
        <w:rPr>
          <w:rFonts w:hint="eastAsia" w:ascii="宋体" w:hAnsi="宋体" w:cs="宋体"/>
          <w:color w:val="auto"/>
          <w:kern w:val="2"/>
          <w:sz w:val="21"/>
          <w:szCs w:val="2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cs="宋体"/>
          <w:b/>
          <w:bCs/>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092" w:firstLineChars="1400"/>
        <w:textAlignment w:val="auto"/>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（十）上臂血压仪</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w:t>
      </w:r>
      <w:r>
        <w:rPr>
          <w:rFonts w:hint="eastAsia" w:ascii="宋体" w:hAnsi="宋体" w:cs="宋体"/>
          <w:color w:val="auto"/>
        </w:rPr>
        <w:t>测量原理：示波法&amp;听诊法；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w:t>
      </w:r>
      <w:r>
        <w:rPr>
          <w:rFonts w:hint="eastAsia" w:ascii="宋体" w:hAnsi="宋体" w:cs="宋体"/>
          <w:color w:val="auto"/>
        </w:rPr>
        <w:t>LCD显示；</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w:t>
      </w:r>
      <w:r>
        <w:rPr>
          <w:rFonts w:hint="eastAsia" w:ascii="宋体" w:hAnsi="宋体" w:cs="宋体"/>
          <w:color w:val="auto"/>
        </w:rPr>
        <w:t>测量位置：上臂；</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4</w:t>
      </w:r>
      <w:r>
        <w:rPr>
          <w:rFonts w:hint="eastAsia" w:ascii="宋体" w:hAnsi="宋体" w:cs="宋体"/>
          <w:color w:val="auto"/>
          <w:lang w:eastAsia="zh-CN"/>
        </w:rPr>
        <w:t>、</w:t>
      </w:r>
      <w:r>
        <w:rPr>
          <w:rFonts w:hint="eastAsia" w:ascii="宋体" w:hAnsi="宋体" w:cs="宋体"/>
          <w:color w:val="auto"/>
        </w:rPr>
        <w:t>适应手臂周长12～50cm（标配袖带 22～32cm）；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5</w:t>
      </w:r>
      <w:r>
        <w:rPr>
          <w:rFonts w:hint="eastAsia" w:ascii="宋体" w:hAnsi="宋体" w:cs="宋体"/>
          <w:color w:val="auto"/>
          <w:lang w:eastAsia="zh-CN"/>
        </w:rPr>
        <w:t>、</w:t>
      </w:r>
      <w:r>
        <w:rPr>
          <w:rFonts w:hint="eastAsia" w:ascii="宋体" w:hAnsi="宋体" w:cs="宋体"/>
          <w:color w:val="auto"/>
        </w:rPr>
        <w:t>压力测量范围0～300mmHg；脉搏测量范围40～200次/分；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6</w:t>
      </w:r>
      <w:r>
        <w:rPr>
          <w:rFonts w:hint="eastAsia" w:ascii="宋体" w:hAnsi="宋体" w:cs="宋体"/>
          <w:color w:val="auto"/>
          <w:lang w:eastAsia="zh-CN"/>
        </w:rPr>
        <w:t>、</w:t>
      </w:r>
      <w:r>
        <w:rPr>
          <w:rFonts w:hint="eastAsia" w:ascii="宋体" w:hAnsi="宋体" w:cs="宋体"/>
          <w:color w:val="auto"/>
        </w:rPr>
        <w:t>测量精度，压力精度：±3mmHg（±0.4KPa）；脉搏测量精度：±5%；</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7</w:t>
      </w:r>
      <w:r>
        <w:rPr>
          <w:rFonts w:hint="eastAsia" w:ascii="宋体" w:hAnsi="宋体" w:cs="宋体"/>
          <w:color w:val="auto"/>
          <w:lang w:eastAsia="zh-CN"/>
        </w:rPr>
        <w:t>、</w:t>
      </w:r>
      <w:r>
        <w:rPr>
          <w:rFonts w:hint="eastAsia" w:ascii="宋体" w:hAnsi="宋体" w:cs="宋体"/>
          <w:color w:val="auto"/>
        </w:rPr>
        <w:t>外型尺寸，本体：宽约123mm ×高约201mm ×厚约99mm，电源适配器：宽约46mm ×高约66mm ×厚约53mm，电池：宽约54mm ×高约43.5mm ×厚约15.4mm；</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8</w:t>
      </w:r>
      <w:r>
        <w:rPr>
          <w:rFonts w:hint="eastAsia" w:ascii="宋体" w:hAnsi="宋体" w:cs="宋体"/>
          <w:color w:val="auto"/>
          <w:lang w:eastAsia="zh-CN"/>
        </w:rPr>
        <w:t>、</w:t>
      </w:r>
      <w:r>
        <w:rPr>
          <w:rFonts w:hint="eastAsia" w:ascii="宋体" w:hAnsi="宋体" w:cs="宋体"/>
          <w:color w:val="auto"/>
        </w:rPr>
        <w:t>重量：本体约0.52kg，电源适配器约120g，电池约0.1kg，</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9</w:t>
      </w:r>
      <w:r>
        <w:rPr>
          <w:rFonts w:hint="eastAsia" w:ascii="宋体" w:hAnsi="宋体" w:cs="宋体"/>
          <w:color w:val="auto"/>
          <w:lang w:eastAsia="zh-CN"/>
        </w:rPr>
        <w:t>、</w:t>
      </w:r>
      <w:r>
        <w:rPr>
          <w:rFonts w:hint="eastAsia" w:ascii="宋体" w:hAnsi="宋体" w:cs="宋体"/>
          <w:color w:val="auto"/>
        </w:rPr>
        <w:t>电击防护型式Class II/内部电源BF型设备；</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lang w:eastAsia="zh-CN"/>
        </w:rPr>
      </w:pPr>
      <w:r>
        <w:rPr>
          <w:rFonts w:hint="eastAsia" w:ascii="宋体" w:hAnsi="宋体" w:cs="宋体"/>
          <w:color w:val="auto"/>
        </w:rPr>
        <w:t>10</w:t>
      </w:r>
      <w:r>
        <w:rPr>
          <w:rFonts w:hint="eastAsia" w:ascii="宋体" w:hAnsi="宋体" w:cs="宋体"/>
          <w:color w:val="auto"/>
          <w:lang w:eastAsia="zh-CN"/>
        </w:rPr>
        <w:t>、</w:t>
      </w:r>
      <w:r>
        <w:rPr>
          <w:rFonts w:hint="eastAsia" w:ascii="宋体" w:hAnsi="宋体" w:cs="宋体"/>
          <w:color w:val="auto"/>
        </w:rPr>
        <w:t>电源：交直流两用</w:t>
      </w:r>
      <w:r>
        <w:rPr>
          <w:rFonts w:hint="eastAsia" w:ascii="宋体" w:hAnsi="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电源适配器输入：AC100～240V，50/60Hz，350mA，输出：电压DC 直流6V，电流0-1.6A，电池额定DC 3.6V，1900mAh，(新电池充满电状态下可测量300次)；</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操作环境温度+5℃～+40℃，湿度15%RH～85%RH，大气压力700 hPa～1060 hPa；</w:t>
      </w:r>
    </w:p>
    <w:p>
      <w:pPr>
        <w:keepNext w:val="0"/>
        <w:keepLines w:val="0"/>
        <w:pageBreakBefore w:val="0"/>
        <w:widowControl w:val="0"/>
        <w:kinsoku/>
        <w:wordWrap/>
        <w:overflowPunct/>
        <w:topLinePunct w:val="0"/>
        <w:autoSpaceDE/>
        <w:autoSpaceDN/>
        <w:bidi w:val="0"/>
        <w:adjustRightInd/>
        <w:snapToGrid/>
        <w:spacing w:line="340" w:lineRule="exact"/>
        <w:ind w:left="210" w:leftChars="100" w:firstLine="210" w:firstLineChars="100"/>
        <w:textAlignment w:val="auto"/>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cs="宋体"/>
          <w:color w:val="auto"/>
        </w:rPr>
        <w:t>运输和保存环境 温度-20℃～60℃，湿度10%RH～95%RH，大气压力500 hPa～1060 hPa；</w:t>
      </w:r>
    </w:p>
    <w:p>
      <w:pPr>
        <w:ind w:left="10" w:leftChars="0" w:firstLine="409" w:firstLineChars="195"/>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4</w:t>
      </w:r>
      <w:r>
        <w:rPr>
          <w:rFonts w:hint="eastAsia" w:ascii="宋体" w:hAnsi="宋体" w:cs="宋体"/>
          <w:color w:val="auto"/>
          <w:lang w:eastAsia="zh-CN"/>
        </w:rPr>
        <w:t>、</w:t>
      </w:r>
      <w:r>
        <w:rPr>
          <w:rFonts w:hint="eastAsia" w:ascii="宋体" w:hAnsi="宋体" w:cs="宋体"/>
          <w:color w:val="auto"/>
        </w:rPr>
        <w:t>标准配置：HBP-1320 主机1台，中号袖带(22-32cm)1个，充电电池 1组，电源适配器1个，中文使用说明书1本，合格证1个，有毒有害物质元素含有表1个，EMC技术资料1份，</w:t>
      </w:r>
    </w:p>
    <w:p>
      <w:pPr>
        <w:ind w:left="10" w:leftChars="0" w:firstLine="409" w:firstLineChars="195"/>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5</w:t>
      </w:r>
      <w:r>
        <w:rPr>
          <w:rFonts w:hint="eastAsia" w:ascii="宋体" w:hAnsi="宋体" w:cs="宋体"/>
          <w:color w:val="auto"/>
          <w:lang w:eastAsia="zh-CN"/>
        </w:rPr>
        <w:t>、</w:t>
      </w:r>
      <w:r>
        <w:rPr>
          <w:rFonts w:hint="eastAsia" w:ascii="宋体" w:hAnsi="宋体" w:cs="宋体"/>
          <w:color w:val="auto"/>
        </w:rPr>
        <w:t>选配清单：极大袖带（42-50cm），大号袖带（32-42cm），小号袖带（17-22cm），极小袖带（12-18cm）。</w:t>
      </w:r>
    </w:p>
    <w:p>
      <w:pPr>
        <w:ind w:left="10" w:leftChars="0" w:firstLine="409" w:firstLineChars="195"/>
        <w:rPr>
          <w:rFonts w:hint="eastAsia" w:ascii="宋体" w:hAnsi="宋体" w:cs="宋体"/>
          <w:color w:val="auto"/>
        </w:rPr>
      </w:pPr>
      <w:r>
        <w:rPr>
          <w:rFonts w:hint="eastAsia" w:ascii="宋体" w:hAnsi="宋体" w:cs="宋体"/>
          <w:color w:val="auto"/>
        </w:rPr>
        <w:t>1</w:t>
      </w:r>
      <w:r>
        <w:rPr>
          <w:rFonts w:hint="eastAsia" w:ascii="宋体" w:hAnsi="宋体" w:cs="宋体"/>
          <w:color w:val="auto"/>
          <w:lang w:val="en-US" w:eastAsia="zh-CN"/>
        </w:rPr>
        <w:t>6</w:t>
      </w:r>
      <w:r>
        <w:rPr>
          <w:rFonts w:hint="eastAsia" w:ascii="宋体" w:hAnsi="宋体" w:cs="宋体"/>
          <w:color w:val="auto"/>
          <w:lang w:eastAsia="zh-CN"/>
        </w:rPr>
        <w:t>、</w:t>
      </w:r>
      <w:r>
        <w:rPr>
          <w:rFonts w:hint="eastAsia" w:ascii="宋体" w:hAnsi="宋体" w:cs="宋体"/>
          <w:color w:val="auto"/>
        </w:rPr>
        <w:t>产品主要特性：采用先进的血压测量技术，简单、精确、便捷。测量过程中舒适的Intelli Sense充气模式，自动判定合适的充气速度和自动收紧臂套软硬度。可适应臂围12-50cm的儿童、小儿及成人患者，各类人群均可获得精确测量。</w:t>
      </w:r>
    </w:p>
    <w:p>
      <w:pPr>
        <w:ind w:firstLine="210" w:firstLineChars="100"/>
        <w:rPr>
          <w:rFonts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17、</w:t>
      </w:r>
      <w:r>
        <w:rPr>
          <w:rFonts w:hint="eastAsia" w:ascii="宋体" w:hAnsi="宋体" w:cs="宋体"/>
          <w:color w:val="auto"/>
        </w:rPr>
        <w:t>整个主机及袖带均为医用耐久性设计，使用次数10万次以上，测量按键20万次以上，满足专业医疗机构的使用需求。听诊法测量功能，按照血压测量规范要求的速度自动充放气，但不进行测量，提供医生自己用听诊器进行听诊测量，且可通过按键记录，实现测量结果的显示和储存。防震、防水设计，适应医疗现场各种不同的环境要求。背光灯设计，使夜间测量更便捷，避免开灯影响其他患者。不规则脉波检测功能。测量过程中身体移动检测功能，提高检测的成功率和精确度。主机和袖带均可用酒精擦拭消毒，使用更安心。</w:t>
      </w:r>
    </w:p>
    <w:p>
      <w:pPr>
        <w:pStyle w:val="10"/>
        <w:numPr>
          <w:ilvl w:val="0"/>
          <w:numId w:val="0"/>
        </w:numPr>
        <w:rPr>
          <w:rFonts w:hint="eastAsia" w:ascii="宋体" w:hAnsi="宋体" w:cs="宋体"/>
          <w:b/>
          <w:bCs/>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092" w:firstLineChars="1400"/>
        <w:textAlignment w:val="auto"/>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（十一）自动血压仪</w:t>
      </w:r>
    </w:p>
    <w:p>
      <w:pPr>
        <w:numPr>
          <w:ilvl w:val="0"/>
          <w:numId w:val="11"/>
        </w:numPr>
        <w:ind w:firstLine="420" w:firstLineChars="200"/>
        <w:rPr>
          <w:rFonts w:hint="eastAsia" w:ascii="宋体" w:hAnsi="宋体" w:cs="宋体"/>
          <w:color w:val="auto"/>
          <w:szCs w:val="28"/>
        </w:rPr>
      </w:pPr>
      <w:r>
        <w:rPr>
          <w:rFonts w:hint="eastAsia" w:ascii="宋体" w:hAnsi="宋体" w:cs="宋体"/>
          <w:color w:val="auto"/>
          <w:szCs w:val="28"/>
        </w:rPr>
        <w:t>测量原理示波法</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LED数字显示</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 xml:space="preserve">测量位置双臂 </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手臂周长17～42cm以上</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量程范围0～299mmHg，压力单位mmHg和Kpa两种模式互选</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测量范围血压：40～260mmHg；脉率：40～180拍/min</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压力监测：半导体压力传感器</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加压：压力泵自动加压方式，减压：电磁控制阀自动减压系统</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超压保护，压力超过300mmHg时,急速排气保护。急速排气时间不大于10秒。</w:t>
      </w:r>
    </w:p>
    <w:p>
      <w:pPr>
        <w:numPr>
          <w:ilvl w:val="0"/>
          <w:numId w:val="11"/>
        </w:numPr>
        <w:ind w:firstLine="420" w:firstLineChars="200"/>
        <w:rPr>
          <w:color w:val="auto"/>
        </w:rPr>
      </w:pPr>
      <w:r>
        <w:rPr>
          <w:rFonts w:hint="eastAsia" w:ascii="宋体" w:hAnsi="宋体" w:cs="宋体"/>
          <w:color w:val="auto"/>
          <w:szCs w:val="28"/>
        </w:rPr>
        <w:t>测量精度压力显示精度：±3mmHg（±0.4KPa）；脉搏测量精度：±2%</w:t>
      </w:r>
    </w:p>
    <w:p>
      <w:pPr>
        <w:numPr>
          <w:ilvl w:val="0"/>
          <w:numId w:val="11"/>
        </w:numPr>
        <w:ind w:firstLine="420" w:firstLineChars="200"/>
        <w:rPr>
          <w:color w:val="auto"/>
        </w:rPr>
      </w:pPr>
      <w:r>
        <w:rPr>
          <w:rFonts w:hint="eastAsia" w:ascii="宋体" w:hAnsi="宋体" w:cs="宋体"/>
          <w:color w:val="auto"/>
          <w:szCs w:val="28"/>
        </w:rPr>
        <w:t>肘部位置传感器：电子肘部位置传感器，并有指示灯提示手臂放置位置是否正确，并能打印显示“手臂位置正确”。（需提供证明材料）</w:t>
      </w:r>
    </w:p>
    <w:p>
      <w:pPr>
        <w:numPr>
          <w:ilvl w:val="0"/>
          <w:numId w:val="11"/>
        </w:numPr>
        <w:ind w:firstLine="420" w:firstLineChars="200"/>
        <w:rPr>
          <w:color w:val="auto"/>
        </w:rPr>
      </w:pPr>
      <w:r>
        <w:rPr>
          <w:rFonts w:hint="eastAsia" w:ascii="宋体" w:hAnsi="宋体" w:cs="宋体"/>
          <w:color w:val="auto"/>
          <w:szCs w:val="28"/>
        </w:rPr>
        <w:t>臂筒角度调节：</w:t>
      </w:r>
      <w:r>
        <w:rPr>
          <w:rFonts w:hint="eastAsia" w:ascii="宋体" w:hAnsi="宋体" w:cs="宋体"/>
          <w:color w:val="auto"/>
        </w:rPr>
        <w:t>自动上下浮动式臂筒</w:t>
      </w:r>
      <w:r>
        <w:rPr>
          <w:rFonts w:hint="eastAsia" w:ascii="宋体" w:hAnsi="宋体" w:cs="宋体"/>
          <w:color w:val="auto"/>
          <w:szCs w:val="28"/>
        </w:rPr>
        <w:t>（</w:t>
      </w:r>
      <w:r>
        <w:rPr>
          <w:rFonts w:hint="eastAsia" w:ascii="宋体" w:hAnsi="宋体" w:cs="宋体"/>
          <w:color w:val="auto"/>
        </w:rPr>
        <w:t>臂筒可根据测量者的坐姿高度自动上下调节≥10度</w:t>
      </w:r>
      <w:r>
        <w:rPr>
          <w:rFonts w:hint="eastAsia" w:ascii="宋体" w:hAnsi="宋体" w:cs="宋体"/>
          <w:color w:val="auto"/>
          <w:szCs w:val="28"/>
        </w:rPr>
        <w:t>）</w:t>
      </w:r>
      <w:r>
        <w:rPr>
          <w:rFonts w:hint="eastAsia" w:ascii="宋体" w:hAnsi="宋体" w:cs="宋体"/>
          <w:color w:val="auto"/>
          <w:szCs w:val="28"/>
          <w:lang w:eastAsia="zh-CN"/>
        </w:rPr>
        <w:t>；</w:t>
      </w:r>
    </w:p>
    <w:p>
      <w:pPr>
        <w:numPr>
          <w:ilvl w:val="0"/>
          <w:numId w:val="11"/>
        </w:numPr>
        <w:ind w:firstLine="420" w:firstLineChars="200"/>
        <w:rPr>
          <w:color w:val="auto"/>
        </w:rPr>
      </w:pPr>
      <w:r>
        <w:rPr>
          <w:rFonts w:hint="eastAsia" w:ascii="宋体" w:hAnsi="宋体" w:cs="宋体"/>
          <w:color w:val="auto"/>
          <w:szCs w:val="28"/>
        </w:rPr>
        <w:t>打印装置：全中文热敏打印、多种打印模式可选并可打印显示干扰波形图，</w:t>
      </w:r>
    </w:p>
    <w:p>
      <w:pPr>
        <w:numPr>
          <w:ilvl w:val="0"/>
          <w:numId w:val="0"/>
        </w:numPr>
        <w:ind w:firstLine="210" w:firstLineChars="100"/>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szCs w:val="28"/>
          <w:lang w:val="en-US" w:eastAsia="zh-CN"/>
        </w:rPr>
        <w:t>14、</w:t>
      </w:r>
      <w:r>
        <w:rPr>
          <w:rFonts w:hint="eastAsia" w:ascii="宋体" w:hAnsi="宋体" w:cs="宋体"/>
          <w:color w:val="auto"/>
          <w:szCs w:val="28"/>
        </w:rPr>
        <w:t>抗菌设计对应，外壳：抗菌树脂，袖带：抗菌布套</w:t>
      </w:r>
      <w:r>
        <w:rPr>
          <w:rFonts w:hint="eastAsia" w:ascii="宋体" w:hAnsi="宋体" w:cs="宋体"/>
          <w:color w:val="auto"/>
          <w:szCs w:val="28"/>
          <w:lang w:eastAsia="zh-CN"/>
        </w:rPr>
        <w:t>；</w:t>
      </w:r>
    </w:p>
    <w:p>
      <w:pPr>
        <w:numPr>
          <w:ilvl w:val="0"/>
          <w:numId w:val="0"/>
        </w:numPr>
        <w:ind w:firstLine="420" w:firstLineChars="200"/>
        <w:rPr>
          <w:rFonts w:hint="eastAsia" w:ascii="宋体" w:hAnsi="宋体" w:cs="宋体"/>
          <w:color w:val="auto"/>
          <w:szCs w:val="28"/>
          <w:lang w:eastAsia="zh-CN"/>
        </w:rPr>
      </w:pPr>
      <w:r>
        <w:rPr>
          <w:rFonts w:hint="eastAsia" w:ascii="宋体" w:hAnsi="宋体" w:cs="宋体"/>
          <w:color w:val="auto"/>
          <w:szCs w:val="28"/>
          <w:lang w:val="en-US" w:eastAsia="zh-CN"/>
        </w:rPr>
        <w:t>15、</w:t>
      </w:r>
      <w:r>
        <w:rPr>
          <w:rFonts w:hint="eastAsia" w:ascii="宋体" w:hAnsi="宋体" w:cs="宋体"/>
          <w:color w:val="auto"/>
          <w:szCs w:val="28"/>
        </w:rPr>
        <w:t>电击防护型式Class II，B类设备</w:t>
      </w:r>
      <w:r>
        <w:rPr>
          <w:rFonts w:hint="eastAsia" w:ascii="宋体" w:hAnsi="宋体" w:cs="宋体"/>
          <w:color w:val="auto"/>
          <w:szCs w:val="28"/>
          <w:lang w:eastAsia="zh-CN"/>
        </w:rPr>
        <w:t>；</w:t>
      </w:r>
    </w:p>
    <w:p>
      <w:pPr>
        <w:numPr>
          <w:ilvl w:val="0"/>
          <w:numId w:val="0"/>
        </w:numPr>
        <w:ind w:firstLine="420" w:firstLineChars="200"/>
        <w:rPr>
          <w:rFonts w:hint="eastAsia" w:ascii="宋体" w:hAnsi="宋体" w:cs="宋体"/>
          <w:color w:val="auto"/>
          <w:szCs w:val="28"/>
          <w:lang w:eastAsia="zh-CN"/>
        </w:rPr>
      </w:pPr>
      <w:r>
        <w:rPr>
          <w:rFonts w:hint="eastAsia" w:ascii="宋体" w:hAnsi="宋体" w:cs="宋体"/>
          <w:color w:val="auto"/>
          <w:szCs w:val="28"/>
        </w:rPr>
        <w:t>16</w:t>
      </w:r>
      <w:r>
        <w:rPr>
          <w:rFonts w:hint="eastAsia" w:ascii="宋体" w:hAnsi="宋体" w:cs="宋体"/>
          <w:color w:val="auto"/>
          <w:szCs w:val="28"/>
          <w:lang w:eastAsia="zh-CN"/>
        </w:rPr>
        <w:t>、</w:t>
      </w:r>
      <w:r>
        <w:rPr>
          <w:rFonts w:hint="eastAsia" w:ascii="宋体" w:hAnsi="宋体" w:cs="宋体"/>
          <w:color w:val="auto"/>
          <w:szCs w:val="28"/>
        </w:rPr>
        <w:t>语音功能测量过程提示、测量结果播报</w:t>
      </w:r>
      <w:r>
        <w:rPr>
          <w:rFonts w:hint="eastAsia" w:ascii="宋体" w:hAnsi="宋体" w:cs="宋体"/>
          <w:color w:val="auto"/>
          <w:szCs w:val="28"/>
          <w:lang w:eastAsia="zh-CN"/>
        </w:rPr>
        <w:t>；</w:t>
      </w:r>
    </w:p>
    <w:p>
      <w:pPr>
        <w:numPr>
          <w:ilvl w:val="0"/>
          <w:numId w:val="0"/>
        </w:numPr>
        <w:ind w:firstLine="420" w:firstLineChars="200"/>
        <w:rPr>
          <w:rFonts w:hint="eastAsia" w:ascii="宋体" w:hAnsi="宋体" w:cs="宋体"/>
          <w:color w:val="auto"/>
          <w:szCs w:val="28"/>
          <w:lang w:eastAsia="zh-CN"/>
        </w:rPr>
      </w:pPr>
      <w:r>
        <w:rPr>
          <w:rFonts w:hint="eastAsia" w:ascii="宋体" w:hAnsi="宋体" w:cs="宋体"/>
          <w:color w:val="auto"/>
          <w:szCs w:val="28"/>
        </w:rPr>
        <w:t>17</w:t>
      </w:r>
      <w:r>
        <w:rPr>
          <w:rFonts w:hint="eastAsia" w:ascii="宋体" w:hAnsi="宋体" w:cs="宋体"/>
          <w:color w:val="auto"/>
          <w:szCs w:val="28"/>
          <w:lang w:eastAsia="zh-CN"/>
        </w:rPr>
        <w:t>、</w:t>
      </w:r>
      <w:r>
        <w:rPr>
          <w:rFonts w:hint="eastAsia" w:ascii="宋体" w:hAnsi="宋体" w:cs="宋体"/>
          <w:color w:val="auto"/>
          <w:szCs w:val="28"/>
        </w:rPr>
        <w:t>用户教育根据测量结果，打印显示教育信息（需提供证明材料）</w:t>
      </w:r>
      <w:r>
        <w:rPr>
          <w:rFonts w:hint="eastAsia" w:ascii="宋体" w:hAnsi="宋体" w:cs="宋体"/>
          <w:color w:val="auto"/>
          <w:szCs w:val="28"/>
          <w:lang w:eastAsia="zh-CN"/>
        </w:rPr>
        <w:t>；</w:t>
      </w:r>
    </w:p>
    <w:p>
      <w:pPr>
        <w:numPr>
          <w:ilvl w:val="0"/>
          <w:numId w:val="0"/>
        </w:numPr>
        <w:ind w:firstLine="420" w:firstLineChars="200"/>
        <w:rPr>
          <w:rFonts w:hint="eastAsia" w:ascii="宋体" w:hAnsi="宋体" w:cs="宋体"/>
          <w:color w:val="auto"/>
          <w:szCs w:val="28"/>
          <w:lang w:eastAsia="zh-CN"/>
        </w:rPr>
      </w:pPr>
      <w:r>
        <w:rPr>
          <w:rFonts w:hint="eastAsia" w:ascii="宋体" w:hAnsi="宋体" w:cs="宋体"/>
          <w:color w:val="auto"/>
          <w:szCs w:val="28"/>
        </w:rPr>
        <w:t>18</w:t>
      </w:r>
      <w:r>
        <w:rPr>
          <w:rFonts w:hint="eastAsia" w:ascii="宋体" w:hAnsi="宋体" w:cs="宋体"/>
          <w:color w:val="auto"/>
          <w:szCs w:val="28"/>
          <w:lang w:eastAsia="zh-CN"/>
        </w:rPr>
        <w:t>、</w:t>
      </w:r>
      <w:r>
        <w:rPr>
          <w:rFonts w:hint="eastAsia" w:ascii="宋体" w:hAnsi="宋体" w:cs="宋体"/>
          <w:color w:val="auto"/>
          <w:szCs w:val="28"/>
        </w:rPr>
        <w:t>通信数据输出 RS-232标准接口，连接电脑同步管理</w:t>
      </w:r>
      <w:r>
        <w:rPr>
          <w:rFonts w:hint="eastAsia" w:ascii="宋体" w:hAnsi="宋体" w:cs="宋体"/>
          <w:color w:val="auto"/>
          <w:szCs w:val="28"/>
          <w:lang w:eastAsia="zh-CN"/>
        </w:rPr>
        <w:t>；</w:t>
      </w:r>
    </w:p>
    <w:p>
      <w:pPr>
        <w:numPr>
          <w:ilvl w:val="0"/>
          <w:numId w:val="0"/>
        </w:numPr>
        <w:ind w:firstLine="420" w:firstLineChars="200"/>
        <w:rPr>
          <w:rFonts w:hint="eastAsia" w:ascii="宋体" w:hAnsi="宋体" w:cs="宋体"/>
          <w:color w:val="auto"/>
          <w:szCs w:val="28"/>
          <w:lang w:eastAsia="zh-CN"/>
        </w:rPr>
      </w:pPr>
      <w:r>
        <w:rPr>
          <w:rFonts w:hint="eastAsia" w:ascii="宋体" w:hAnsi="宋体" w:cs="宋体"/>
          <w:color w:val="auto"/>
          <w:szCs w:val="28"/>
        </w:rPr>
        <w:t>19</w:t>
      </w:r>
      <w:r>
        <w:rPr>
          <w:rFonts w:hint="eastAsia" w:ascii="宋体" w:hAnsi="宋体" w:cs="宋体"/>
          <w:color w:val="auto"/>
          <w:szCs w:val="28"/>
          <w:lang w:eastAsia="zh-CN"/>
        </w:rPr>
        <w:t>、</w:t>
      </w:r>
      <w:r>
        <w:rPr>
          <w:rFonts w:hint="eastAsia" w:ascii="宋体" w:hAnsi="宋体" w:cs="宋体"/>
          <w:color w:val="auto"/>
          <w:szCs w:val="28"/>
        </w:rPr>
        <w:t>外形尺寸\重量：宽460mm×高270mm×厚370mm（不包含搁手板）\约5.5KG</w:t>
      </w:r>
      <w:r>
        <w:rPr>
          <w:rFonts w:hint="eastAsia" w:ascii="宋体" w:hAnsi="宋体" w:cs="宋体"/>
          <w:color w:val="auto"/>
          <w:szCs w:val="28"/>
          <w:lang w:eastAsia="zh-CN"/>
        </w:rPr>
        <w:t>；</w:t>
      </w:r>
    </w:p>
    <w:p>
      <w:pPr>
        <w:numPr>
          <w:ilvl w:val="0"/>
          <w:numId w:val="0"/>
        </w:numPr>
        <w:ind w:firstLine="420" w:firstLineChars="200"/>
        <w:rPr>
          <w:rFonts w:hint="eastAsia" w:ascii="宋体" w:hAnsi="宋体" w:eastAsia="宋体" w:cs="宋体"/>
          <w:color w:val="auto"/>
          <w:szCs w:val="28"/>
          <w:lang w:eastAsia="zh-CN"/>
        </w:rPr>
      </w:pPr>
      <w:r>
        <w:rPr>
          <w:rFonts w:hint="eastAsia" w:ascii="宋体" w:hAnsi="宋体" w:cs="宋体"/>
          <w:color w:val="auto"/>
          <w:szCs w:val="28"/>
        </w:rPr>
        <w:t>20</w:t>
      </w:r>
      <w:r>
        <w:rPr>
          <w:rFonts w:hint="eastAsia" w:ascii="宋体" w:hAnsi="宋体" w:cs="宋体"/>
          <w:color w:val="auto"/>
          <w:szCs w:val="28"/>
          <w:lang w:eastAsia="zh-CN"/>
        </w:rPr>
        <w:t>、</w:t>
      </w:r>
      <w:r>
        <w:rPr>
          <w:rFonts w:hint="eastAsia" w:ascii="宋体" w:hAnsi="宋体" w:cs="宋体"/>
          <w:color w:val="auto"/>
          <w:szCs w:val="28"/>
        </w:rPr>
        <w:t>专用桌椅配备专用测量桌、椅</w:t>
      </w:r>
      <w:r>
        <w:rPr>
          <w:rFonts w:hint="eastAsia" w:ascii="宋体" w:hAnsi="宋体" w:cs="宋体"/>
          <w:color w:val="auto"/>
          <w:szCs w:val="28"/>
          <w:lang w:eastAsia="zh-CN"/>
        </w:rPr>
        <w:t>；</w:t>
      </w:r>
    </w:p>
    <w:p>
      <w:pPr>
        <w:numPr>
          <w:ilvl w:val="0"/>
          <w:numId w:val="0"/>
        </w:numPr>
        <w:ind w:firstLine="420" w:firstLineChars="200"/>
        <w:rPr>
          <w:rFonts w:hint="eastAsia" w:eastAsia="宋体"/>
          <w:color w:val="auto"/>
          <w:lang w:eastAsia="zh-CN"/>
        </w:rPr>
      </w:pPr>
      <w:r>
        <w:rPr>
          <w:rFonts w:hint="eastAsia" w:ascii="宋体" w:hAnsi="宋体" w:cs="宋体"/>
          <w:color w:val="auto"/>
          <w:szCs w:val="28"/>
        </w:rPr>
        <w:t>21</w:t>
      </w:r>
      <w:r>
        <w:rPr>
          <w:rFonts w:hint="eastAsia" w:ascii="宋体" w:hAnsi="宋体" w:cs="宋体"/>
          <w:color w:val="auto"/>
          <w:szCs w:val="28"/>
          <w:lang w:eastAsia="zh-CN"/>
        </w:rPr>
        <w:t>、</w:t>
      </w:r>
      <w:r>
        <w:rPr>
          <w:rFonts w:hint="eastAsia" w:ascii="宋体" w:hAnsi="宋体" w:cs="宋体"/>
          <w:color w:val="auto"/>
          <w:szCs w:val="28"/>
          <w:highlight w:val="none"/>
        </w:rPr>
        <w:t>资质认证SFDA</w:t>
      </w:r>
      <w:r>
        <w:rPr>
          <w:rFonts w:hint="eastAsia" w:ascii="宋体" w:hAnsi="宋体" w:cs="宋体"/>
          <w:color w:val="auto"/>
          <w:szCs w:val="28"/>
          <w:highlight w:val="none"/>
          <w:lang w:eastAsia="zh-CN"/>
        </w:rPr>
        <w:t>；</w:t>
      </w:r>
      <w:r>
        <w:rPr>
          <w:rFonts w:hint="eastAsia" w:ascii="宋体" w:hAnsi="宋体" w:cs="宋体"/>
          <w:color w:val="auto"/>
          <w:szCs w:val="28"/>
          <w:highlight w:val="none"/>
        </w:rPr>
        <w:t>国家计量认证ISO13485</w:t>
      </w:r>
      <w:r>
        <w:rPr>
          <w:rFonts w:hint="eastAsia" w:ascii="宋体" w:hAnsi="宋体" w:cs="宋体"/>
          <w:color w:val="auto"/>
          <w:szCs w:val="28"/>
          <w:highlight w:val="none"/>
          <w:lang w:eastAsia="zh-CN"/>
        </w:rPr>
        <w:t>。</w:t>
      </w:r>
    </w:p>
    <w:p>
      <w:pPr>
        <w:numPr>
          <w:ilvl w:val="0"/>
          <w:numId w:val="0"/>
        </w:numPr>
        <w:ind w:firstLine="2530" w:firstLineChars="1200"/>
        <w:rPr>
          <w:rFonts w:hint="eastAsia" w:ascii="宋体" w:hAnsi="宋体" w:cs="宋体"/>
          <w:b/>
          <w:bCs/>
          <w:color w:val="auto"/>
          <w:lang w:eastAsia="zh-CN"/>
        </w:rPr>
      </w:pPr>
    </w:p>
    <w:p>
      <w:pPr>
        <w:numPr>
          <w:ilvl w:val="0"/>
          <w:numId w:val="0"/>
        </w:numPr>
        <w:ind w:firstLine="2530" w:firstLineChars="12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十二</w:t>
      </w:r>
      <w:r>
        <w:rPr>
          <w:rFonts w:hint="eastAsia" w:ascii="宋体" w:hAnsi="宋体" w:cs="宋体"/>
          <w:b/>
          <w:bCs/>
          <w:color w:val="auto"/>
          <w:lang w:eastAsia="zh-CN"/>
        </w:rPr>
        <w:t>）</w:t>
      </w:r>
      <w:r>
        <w:rPr>
          <w:rFonts w:hint="eastAsia" w:ascii="宋体" w:hAnsi="宋体" w:cs="宋体"/>
          <w:b/>
          <w:bCs/>
          <w:color w:val="auto"/>
        </w:rPr>
        <w:t>肺功能治疗仪</w:t>
      </w:r>
    </w:p>
    <w:p>
      <w:pPr>
        <w:pStyle w:val="10"/>
        <w:numPr>
          <w:ilvl w:val="0"/>
          <w:numId w:val="0"/>
        </w:numPr>
        <w:ind w:left="420" w:leftChars="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产品用途及原理</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产品适用于心肺、颅脑、腹、胸等手术前常规检查，体检、职业病普查，各种呼吸病人治疗效果评定等。</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产品检测原理：采用压差检测技术原理。</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产品功能</w:t>
      </w:r>
    </w:p>
    <w:p>
      <w:pPr>
        <w:pStyle w:val="10"/>
        <w:numPr>
          <w:ilvl w:val="0"/>
          <w:numId w:val="0"/>
        </w:numPr>
        <w:ind w:firstLine="210" w:firstLineChars="100"/>
        <w:rPr>
          <w:rFonts w:hint="eastAsia" w:ascii="宋体" w:hAnsi="宋体" w:cs="宋体"/>
          <w:color w:val="auto"/>
        </w:rPr>
      </w:pP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 xml:space="preserve"> 操作界面：产品具有中英文操作界面,主机操作屏幕≥5.7英寸。</w:t>
      </w:r>
    </w:p>
    <w:p>
      <w:pPr>
        <w:pStyle w:val="10"/>
        <w:numPr>
          <w:ilvl w:val="0"/>
          <w:numId w:val="12"/>
        </w:numPr>
        <w:ind w:firstLine="420" w:firstLineChars="200"/>
        <w:rPr>
          <w:rFonts w:hint="eastAsia" w:ascii="宋体" w:hAnsi="宋体" w:cs="宋体"/>
          <w:color w:val="auto"/>
        </w:rPr>
      </w:pPr>
      <w:r>
        <w:rPr>
          <w:rFonts w:hint="eastAsia" w:ascii="宋体" w:hAnsi="宋体" w:cs="宋体"/>
          <w:color w:val="auto"/>
        </w:rPr>
        <w:t>预测公式：产品可实现10种预测公式，并可实现5种以上专门针对国人预测公式</w:t>
      </w:r>
    </w:p>
    <w:p>
      <w:pPr>
        <w:pStyle w:val="10"/>
        <w:numPr>
          <w:ilvl w:val="0"/>
          <w:numId w:val="12"/>
        </w:numPr>
        <w:ind w:firstLine="420" w:firstLineChars="200"/>
        <w:rPr>
          <w:rFonts w:ascii="宋体" w:hAnsi="宋体" w:cs="宋体"/>
          <w:color w:val="auto"/>
        </w:rPr>
      </w:pPr>
      <w:r>
        <w:rPr>
          <w:rFonts w:hint="eastAsia" w:ascii="宋体" w:hAnsi="宋体" w:cs="宋体"/>
          <w:color w:val="auto"/>
        </w:rPr>
        <w:t>产品测试曲线：产品可提供容量—时间曲线，容量—流速曲线（F-V）</w:t>
      </w:r>
    </w:p>
    <w:p>
      <w:pPr>
        <w:pStyle w:val="10"/>
        <w:numPr>
          <w:ilvl w:val="0"/>
          <w:numId w:val="12"/>
        </w:numPr>
        <w:ind w:firstLine="420" w:firstLineChars="200"/>
        <w:rPr>
          <w:rFonts w:ascii="宋体" w:hAnsi="宋体" w:cs="宋体"/>
          <w:color w:val="auto"/>
        </w:rPr>
      </w:pPr>
      <w:r>
        <w:rPr>
          <w:rFonts w:hint="eastAsia" w:ascii="宋体" w:hAnsi="宋体" w:cs="宋体"/>
          <w:color w:val="auto"/>
        </w:rPr>
        <w:t>品可实现各项检测指标反复进行测量，并可实现3次测试结果相比较功能。</w:t>
      </w:r>
    </w:p>
    <w:p>
      <w:pPr>
        <w:pStyle w:val="10"/>
        <w:numPr>
          <w:ilvl w:val="0"/>
          <w:numId w:val="0"/>
        </w:numPr>
        <w:ind w:leftChars="200"/>
        <w:rPr>
          <w:rFonts w:hint="eastAsia" w:ascii="宋体" w:hAnsi="宋体" w:cs="宋体"/>
          <w:color w:val="auto"/>
        </w:rPr>
      </w:pPr>
      <w:r>
        <w:rPr>
          <w:rFonts w:hint="eastAsia" w:ascii="宋体" w:hAnsi="宋体" w:cs="宋体"/>
          <w:color w:val="auto"/>
          <w:lang w:val="en-US" w:eastAsia="zh-CN"/>
        </w:rPr>
        <w:t>3、</w:t>
      </w:r>
      <w:r>
        <w:rPr>
          <w:rFonts w:hint="eastAsia" w:ascii="宋体" w:hAnsi="宋体" w:cs="宋体"/>
          <w:color w:val="auto"/>
        </w:rPr>
        <w:t>测量参数</w:t>
      </w:r>
    </w:p>
    <w:p>
      <w:pPr>
        <w:pStyle w:val="10"/>
        <w:numPr>
          <w:ilvl w:val="0"/>
          <w:numId w:val="0"/>
        </w:numPr>
        <w:ind w:leftChars="200" w:firstLine="420" w:firstLineChars="200"/>
        <w:rPr>
          <w:rFonts w:hint="eastAsia" w:ascii="宋体" w:hAnsi="宋体" w:cs="宋体"/>
          <w:color w:val="auto"/>
        </w:rPr>
      </w:pPr>
      <w:r>
        <w:rPr>
          <w:rFonts w:hint="eastAsia" w:ascii="宋体" w:hAnsi="宋体" w:cs="宋体"/>
          <w:color w:val="auto"/>
        </w:rPr>
        <w:t>具有≥30个肺通气功能检测参数。FVC（用力肺活量）： FVC、FEV0.5、FEV1（或FEV1.0）、FEV3（或FEV3.0）、FEV1/FVC（或FEV1.0%G）、FEV1/VC（或FEV1.0%T，或FEV1/VC Max）、FEV3/FVC（或FEV3.0%G）、FEV3/VC（或FEV3.0%T，或FEV3/VC Max）、VEXP（或Vext）、FET（或EX Time）、 MMEF (或MMF，或FEF25-75)、PEF、 FEF25（或MEF75）、FEF50（或MEF50）、FEF75（或MEF25）等呼气指标，FIVC、FIV0.5、FIV1（或FIV1.0）、FIV1/FVC（或FIV1.0/FVC）、FIV1/FIVC（或FIV1.0/FIVC）、PIF、MIF50等吸气指标；VC（肺活量）：VC（或VC Max）、VT（或TV）、IRV、ERV、IC等；MVV（最大自主通气量）： MVV、RR、VT (或TV)等。</w:t>
      </w:r>
    </w:p>
    <w:p>
      <w:pPr>
        <w:pStyle w:val="10"/>
        <w:numPr>
          <w:ilvl w:val="0"/>
          <w:numId w:val="0"/>
        </w:numPr>
        <w:ind w:leftChars="20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性能指标</w:t>
      </w:r>
    </w:p>
    <w:p>
      <w:pPr>
        <w:pStyle w:val="10"/>
        <w:numPr>
          <w:ilvl w:val="0"/>
          <w:numId w:val="0"/>
        </w:numPr>
        <w:ind w:firstLine="420" w:firstLineChars="200"/>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容量：1.1测量范围：0L～9L，1.2测量精度：：0L～1.6L（±50mL）、1.6L～9L（±3%）</w:t>
      </w:r>
      <w:r>
        <w:rPr>
          <w:rFonts w:hint="eastAsia" w:ascii="宋体" w:hAnsi="宋体" w:cs="宋体"/>
          <w:color w:val="auto"/>
          <w:lang w:eastAsia="zh-CN"/>
        </w:rPr>
        <w:t>；</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流速：流速范围：0～14升/秒，流速精度：5%或0.2升/秒。</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cs="宋体"/>
          <w:color w:val="auto"/>
          <w:lang w:eastAsia="zh-CN"/>
        </w:rPr>
        <w:t>）</w:t>
      </w:r>
      <w:r>
        <w:rPr>
          <w:rFonts w:hint="eastAsia" w:ascii="宋体" w:hAnsi="宋体" w:cs="宋体"/>
          <w:color w:val="auto"/>
        </w:rPr>
        <w:t>呼吸：测量范围：4次/分～60次/分，测量精度：4次/分～20次/分（±1次/分）、20次/分～60次/分（±5%）。</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、打印功能</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产品配置内置热敏打印机，打印宽度≥110mm，</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打印项目可选，可选择需要打印测量结果的参数。</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电源</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交直流两用，内置充电电池。</w:t>
      </w:r>
    </w:p>
    <w:p>
      <w:pPr>
        <w:pStyle w:val="10"/>
        <w:numPr>
          <w:ilvl w:val="0"/>
          <w:numId w:val="0"/>
        </w:numPr>
        <w:ind w:firstLine="420" w:firstLineChars="200"/>
        <w:rPr>
          <w:rFonts w:hint="eastAsia"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2</w:t>
      </w:r>
      <w:r>
        <w:rPr>
          <w:rFonts w:hint="eastAsia" w:ascii="宋体" w:hAnsi="宋体" w:cs="宋体"/>
          <w:color w:val="auto"/>
          <w:lang w:eastAsia="zh-CN"/>
        </w:rPr>
        <w:t>）</w:t>
      </w:r>
      <w:r>
        <w:rPr>
          <w:rFonts w:hint="eastAsia" w:ascii="宋体" w:hAnsi="宋体" w:cs="宋体"/>
          <w:color w:val="auto"/>
        </w:rPr>
        <w:t>电源：220V, 50Hz</w:t>
      </w:r>
    </w:p>
    <w:p>
      <w:pPr>
        <w:pStyle w:val="10"/>
        <w:numPr>
          <w:ilvl w:val="0"/>
          <w:numId w:val="0"/>
        </w:numPr>
        <w:ind w:firstLine="2741" w:firstLineChars="1300"/>
        <w:rPr>
          <w:rFonts w:hint="eastAsia" w:ascii="宋体" w:hAnsi="宋体" w:cs="宋体"/>
          <w:b/>
          <w:bCs/>
          <w:color w:val="auto"/>
          <w:lang w:eastAsia="zh-CN"/>
        </w:rPr>
      </w:pPr>
    </w:p>
    <w:p>
      <w:pPr>
        <w:pStyle w:val="10"/>
        <w:numPr>
          <w:ilvl w:val="0"/>
          <w:numId w:val="0"/>
        </w:numPr>
        <w:ind w:firstLine="2741" w:firstLineChars="13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十三</w:t>
      </w:r>
      <w:r>
        <w:rPr>
          <w:rFonts w:hint="eastAsia" w:ascii="宋体" w:hAnsi="宋体" w:cs="宋体"/>
          <w:b/>
          <w:bCs/>
          <w:color w:val="auto"/>
          <w:lang w:eastAsia="zh-CN"/>
        </w:rPr>
        <w:t>）</w:t>
      </w:r>
      <w:r>
        <w:rPr>
          <w:rFonts w:hint="eastAsia" w:ascii="宋体" w:hAnsi="宋体" w:cs="宋体"/>
          <w:b/>
          <w:bCs/>
          <w:color w:val="auto"/>
        </w:rPr>
        <w:t>心电图12导联</w:t>
      </w:r>
    </w:p>
    <w:p>
      <w:pPr>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适用范围：体检中心、心电图室、病房、门诊、民营医院；</w:t>
      </w:r>
    </w:p>
    <w:p>
      <w:pPr>
        <w:ind w:firstLine="420"/>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测量范围：利用心电图机从体表记录心脏每一心动周期所产生的电活动变化图形的技术；</w:t>
      </w:r>
    </w:p>
    <w:p>
      <w:pPr>
        <w:ind w:firstLine="420"/>
        <w:rPr>
          <w:rFonts w:hint="eastAsia" w:ascii="宋体" w:hAnsi="宋体" w:cs="宋体"/>
          <w:color w:val="auto"/>
        </w:rPr>
      </w:pPr>
      <w:r>
        <w:rPr>
          <w:rFonts w:hint="eastAsia" w:ascii="宋体" w:hAnsi="宋体" w:cs="宋体"/>
          <w:color w:val="auto"/>
          <w:lang w:val="en-US" w:eastAsia="zh-CN"/>
        </w:rPr>
        <w:t>3、</w:t>
      </w:r>
      <w:r>
        <w:rPr>
          <w:rFonts w:hint="eastAsia" w:ascii="宋体" w:hAnsi="宋体" w:cs="宋体"/>
          <w:color w:val="auto"/>
        </w:rPr>
        <w:t>产品类别：属于医疗器械产品II类。</w:t>
      </w:r>
    </w:p>
    <w:p>
      <w:pPr>
        <w:ind w:firstLine="42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电源：100-240V~ 50/60。</w:t>
      </w:r>
    </w:p>
    <w:p>
      <w:pPr>
        <w:pStyle w:val="2"/>
      </w:pPr>
    </w:p>
    <w:p>
      <w:pPr>
        <w:numPr>
          <w:ilvl w:val="0"/>
          <w:numId w:val="0"/>
        </w:numPr>
        <w:ind w:firstLine="2951" w:firstLineChars="14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十四</w:t>
      </w:r>
      <w:r>
        <w:rPr>
          <w:rFonts w:hint="eastAsia" w:ascii="宋体" w:hAnsi="宋体" w:cs="宋体"/>
          <w:b/>
          <w:bCs/>
          <w:color w:val="auto"/>
          <w:lang w:eastAsia="zh-CN"/>
        </w:rPr>
        <w:t>）</w:t>
      </w:r>
      <w:r>
        <w:rPr>
          <w:rFonts w:hint="eastAsia" w:ascii="宋体" w:hAnsi="宋体" w:cs="宋体"/>
          <w:b/>
          <w:bCs/>
          <w:color w:val="auto"/>
        </w:rPr>
        <w:t>身高体重仪</w:t>
      </w:r>
    </w:p>
    <w:p>
      <w:pPr>
        <w:pStyle w:val="10"/>
        <w:ind w:firstLine="420"/>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称重范围：8-200kg；</w:t>
      </w:r>
    </w:p>
    <w:p>
      <w:pPr>
        <w:pStyle w:val="10"/>
        <w:ind w:firstLine="420"/>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外形尺寸：33*46*235cm；</w:t>
      </w:r>
    </w:p>
    <w:p>
      <w:pPr>
        <w:pStyle w:val="10"/>
        <w:ind w:firstLine="420"/>
        <w:rPr>
          <w:rFonts w:hint="eastAsia" w:ascii="宋体" w:hAnsi="宋体" w:cs="宋体"/>
          <w:color w:val="auto"/>
        </w:rPr>
      </w:pPr>
      <w:r>
        <w:rPr>
          <w:rFonts w:hint="eastAsia" w:ascii="宋体" w:hAnsi="宋体" w:cs="宋体"/>
          <w:color w:val="auto"/>
          <w:lang w:val="en-US" w:eastAsia="zh-CN"/>
        </w:rPr>
        <w:t>3、</w:t>
      </w:r>
      <w:r>
        <w:rPr>
          <w:rFonts w:hint="eastAsia" w:ascii="宋体" w:hAnsi="宋体" w:cs="宋体"/>
          <w:color w:val="auto"/>
        </w:rPr>
        <w:t>计量方式：电子；</w:t>
      </w:r>
    </w:p>
    <w:p>
      <w:pPr>
        <w:pStyle w:val="10"/>
        <w:ind w:firstLine="42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供电方式：110-220V；</w:t>
      </w:r>
    </w:p>
    <w:p>
      <w:pPr>
        <w:pStyle w:val="10"/>
        <w:ind w:firstLine="420"/>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产品用途：人体；</w:t>
      </w:r>
    </w:p>
    <w:p>
      <w:pPr>
        <w:pStyle w:val="10"/>
        <w:ind w:firstLine="420"/>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规格：红外线身高体重仪；</w:t>
      </w:r>
    </w:p>
    <w:p>
      <w:pPr>
        <w:pStyle w:val="10"/>
        <w:ind w:firstLine="420"/>
        <w:rPr>
          <w:rFonts w:hint="eastAsia" w:ascii="宋体" w:hAnsi="宋体" w:cs="宋体"/>
          <w:color w:val="auto"/>
        </w:rPr>
      </w:pPr>
      <w:r>
        <w:rPr>
          <w:rFonts w:hint="eastAsia" w:ascii="宋体" w:hAnsi="宋体" w:cs="宋体"/>
          <w:color w:val="auto"/>
          <w:lang w:val="en-US" w:eastAsia="zh-CN"/>
        </w:rPr>
        <w:t>7、</w:t>
      </w:r>
      <w:r>
        <w:rPr>
          <w:rFonts w:hint="eastAsia" w:ascii="宋体" w:hAnsi="宋体" w:cs="宋体"/>
          <w:color w:val="auto"/>
        </w:rPr>
        <w:t>身高测量范围：20-200cm；</w:t>
      </w:r>
    </w:p>
    <w:p>
      <w:pPr>
        <w:pStyle w:val="10"/>
        <w:ind w:firstLine="420"/>
        <w:rPr>
          <w:rFonts w:hint="eastAsia" w:ascii="宋体" w:hAnsi="宋体" w:cs="宋体"/>
          <w:color w:val="auto"/>
        </w:rPr>
      </w:pPr>
      <w:r>
        <w:rPr>
          <w:rFonts w:hint="eastAsia" w:ascii="宋体" w:hAnsi="宋体" w:cs="宋体"/>
          <w:color w:val="auto"/>
          <w:lang w:val="en-US" w:eastAsia="zh-CN"/>
        </w:rPr>
        <w:t>8、</w:t>
      </w:r>
      <w:r>
        <w:rPr>
          <w:rFonts w:hint="eastAsia" w:ascii="宋体" w:hAnsi="宋体" w:cs="宋体"/>
          <w:color w:val="auto"/>
        </w:rPr>
        <w:t>体重测量范围：5-200kg；</w:t>
      </w:r>
    </w:p>
    <w:p>
      <w:pPr>
        <w:pStyle w:val="10"/>
        <w:ind w:firstLine="420"/>
        <w:rPr>
          <w:rFonts w:hint="eastAsia" w:ascii="宋体" w:hAnsi="宋体" w:cs="宋体"/>
          <w:color w:val="auto"/>
        </w:rPr>
      </w:pPr>
      <w:r>
        <w:rPr>
          <w:rFonts w:hint="eastAsia" w:ascii="宋体" w:hAnsi="宋体" w:cs="宋体"/>
          <w:color w:val="auto"/>
          <w:lang w:val="en-US" w:eastAsia="zh-CN"/>
        </w:rPr>
        <w:t>9、</w:t>
      </w:r>
      <w:r>
        <w:rPr>
          <w:rFonts w:hint="eastAsia" w:ascii="宋体" w:hAnsi="宋体" w:cs="宋体"/>
          <w:color w:val="auto"/>
        </w:rPr>
        <w:t>身体指数BMI：18-45；</w:t>
      </w:r>
    </w:p>
    <w:p>
      <w:pPr>
        <w:pStyle w:val="10"/>
        <w:ind w:firstLine="420"/>
        <w:rPr>
          <w:rFonts w:hint="eastAsia" w:ascii="宋体" w:hAnsi="宋体" w:cs="宋体"/>
          <w:color w:val="auto"/>
        </w:rPr>
      </w:pPr>
      <w:r>
        <w:rPr>
          <w:rFonts w:hint="eastAsia" w:ascii="宋体" w:hAnsi="宋体" w:cs="宋体"/>
          <w:color w:val="auto"/>
          <w:lang w:val="en-US" w:eastAsia="zh-CN"/>
        </w:rPr>
        <w:t>10、</w:t>
      </w:r>
      <w:r>
        <w:rPr>
          <w:rFonts w:hint="eastAsia" w:ascii="宋体" w:hAnsi="宋体" w:cs="宋体"/>
          <w:color w:val="auto"/>
        </w:rPr>
        <w:t>显示方式：LED显示屏；</w:t>
      </w:r>
    </w:p>
    <w:p>
      <w:pPr>
        <w:pStyle w:val="10"/>
        <w:ind w:firstLine="420"/>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标准配置：电脑接口；</w:t>
      </w:r>
    </w:p>
    <w:p>
      <w:pPr>
        <w:pStyle w:val="10"/>
        <w:ind w:firstLine="420"/>
        <w:rPr>
          <w:rFonts w:hint="eastAsia" w:ascii="宋体" w:hAnsi="宋体" w:cs="宋体"/>
          <w:color w:val="auto"/>
        </w:rPr>
      </w:pPr>
      <w:r>
        <w:rPr>
          <w:rFonts w:hint="eastAsia" w:ascii="宋体" w:hAnsi="宋体" w:cs="宋体"/>
          <w:color w:val="auto"/>
          <w:lang w:val="en-US" w:eastAsia="zh-CN"/>
        </w:rPr>
        <w:t>12、</w:t>
      </w:r>
      <w:r>
        <w:rPr>
          <w:rFonts w:hint="eastAsia" w:ascii="宋体" w:hAnsi="宋体" w:cs="宋体"/>
          <w:color w:val="auto"/>
        </w:rPr>
        <w:t>便携式：机身科以折叠；</w:t>
      </w:r>
    </w:p>
    <w:p>
      <w:pPr>
        <w:pStyle w:val="10"/>
        <w:ind w:firstLine="420"/>
        <w:rPr>
          <w:rFonts w:hint="eastAsia" w:ascii="宋体" w:hAnsi="宋体" w:cs="宋体"/>
          <w:color w:val="auto"/>
        </w:rPr>
      </w:pPr>
      <w:r>
        <w:rPr>
          <w:rFonts w:hint="eastAsia" w:ascii="宋体" w:hAnsi="宋体" w:cs="宋体"/>
          <w:color w:val="auto"/>
          <w:lang w:val="en-US" w:eastAsia="zh-CN"/>
        </w:rPr>
        <w:t>13、</w:t>
      </w:r>
      <w:r>
        <w:rPr>
          <w:rFonts w:hint="eastAsia" w:ascii="宋体" w:hAnsi="宋体" w:cs="宋体"/>
          <w:color w:val="auto"/>
        </w:rPr>
        <w:t>适用于：医院、体检中心人体健康监测；</w:t>
      </w:r>
    </w:p>
    <w:p>
      <w:pPr>
        <w:pStyle w:val="10"/>
        <w:ind w:firstLine="420"/>
        <w:rPr>
          <w:rFonts w:hint="eastAsia" w:ascii="宋体" w:hAnsi="宋体" w:cs="宋体"/>
          <w:color w:val="auto"/>
        </w:rPr>
      </w:pPr>
      <w:r>
        <w:rPr>
          <w:rFonts w:hint="eastAsia" w:ascii="宋体" w:hAnsi="宋体" w:cs="宋体"/>
          <w:color w:val="auto"/>
          <w:lang w:val="en-US" w:eastAsia="zh-CN"/>
        </w:rPr>
        <w:t>14、</w:t>
      </w:r>
      <w:r>
        <w:rPr>
          <w:rFonts w:hint="eastAsia" w:ascii="宋体" w:hAnsi="宋体" w:cs="宋体"/>
          <w:color w:val="auto"/>
        </w:rPr>
        <w:t>身高测量方式：超声波测高；</w:t>
      </w:r>
    </w:p>
    <w:p>
      <w:pPr>
        <w:pStyle w:val="10"/>
        <w:ind w:firstLine="420"/>
        <w:rPr>
          <w:rFonts w:hint="eastAsia" w:ascii="宋体" w:hAnsi="宋体" w:cs="宋体"/>
          <w:color w:val="auto"/>
        </w:rPr>
      </w:pPr>
      <w:r>
        <w:rPr>
          <w:rFonts w:hint="eastAsia" w:ascii="宋体" w:hAnsi="宋体" w:cs="宋体"/>
          <w:color w:val="auto"/>
          <w:lang w:val="en-US" w:eastAsia="zh-CN"/>
        </w:rPr>
        <w:t>15、</w:t>
      </w:r>
      <w:r>
        <w:rPr>
          <w:rFonts w:hint="eastAsia" w:ascii="宋体" w:hAnsi="宋体" w:cs="宋体"/>
          <w:color w:val="auto"/>
        </w:rPr>
        <w:t>体重测量方式：电子测重，中航精密压力传感器测重；</w:t>
      </w:r>
    </w:p>
    <w:p>
      <w:pPr>
        <w:pStyle w:val="10"/>
        <w:ind w:firstLine="420"/>
        <w:rPr>
          <w:rFonts w:hint="eastAsia" w:ascii="宋体" w:hAnsi="宋体" w:eastAsia="宋体" w:cs="宋体"/>
          <w:color w:val="auto"/>
          <w:lang w:eastAsia="zh-CN"/>
        </w:rPr>
      </w:pPr>
      <w:r>
        <w:rPr>
          <w:rFonts w:hint="eastAsia" w:ascii="宋体" w:hAnsi="宋体" w:cs="宋体"/>
          <w:color w:val="auto"/>
          <w:lang w:val="en-US" w:eastAsia="zh-CN"/>
        </w:rPr>
        <w:t>16、</w:t>
      </w:r>
      <w:r>
        <w:rPr>
          <w:rFonts w:hint="eastAsia" w:ascii="宋体" w:hAnsi="宋体" w:cs="宋体"/>
          <w:color w:val="auto"/>
        </w:rPr>
        <w:t>语音播报：自动语音播报测量结果</w:t>
      </w:r>
      <w:r>
        <w:rPr>
          <w:rFonts w:hint="eastAsia" w:ascii="宋体" w:hAnsi="宋体" w:cs="宋体"/>
          <w:color w:val="auto"/>
          <w:lang w:eastAsia="zh-CN"/>
        </w:rPr>
        <w:t>。</w:t>
      </w:r>
    </w:p>
    <w:p>
      <w:pPr>
        <w:pStyle w:val="10"/>
        <w:numPr>
          <w:ilvl w:val="0"/>
          <w:numId w:val="0"/>
        </w:numPr>
        <w:rPr>
          <w:rFonts w:hint="eastAsia" w:ascii="宋体" w:hAnsi="宋体" w:cs="宋体"/>
          <w:b/>
          <w:bCs/>
          <w:color w:val="auto"/>
          <w:lang w:eastAsia="zh-CN"/>
        </w:rPr>
      </w:pPr>
    </w:p>
    <w:p>
      <w:pPr>
        <w:pStyle w:val="10"/>
        <w:numPr>
          <w:ilvl w:val="0"/>
          <w:numId w:val="0"/>
        </w:numPr>
        <w:ind w:firstLine="3373" w:firstLineChars="1600"/>
        <w:rPr>
          <w:rFonts w:ascii="宋体" w:hAnsi="宋体" w:cs="宋体"/>
          <w:b/>
          <w:bCs/>
          <w:color w:val="auto"/>
        </w:rPr>
      </w:pPr>
      <w:r>
        <w:rPr>
          <w:rFonts w:hint="eastAsia" w:ascii="宋体" w:hAnsi="宋体" w:cs="宋体"/>
          <w:b/>
          <w:bCs/>
          <w:color w:val="auto"/>
          <w:lang w:eastAsia="zh-CN"/>
        </w:rPr>
        <w:t>（</w:t>
      </w:r>
      <w:r>
        <w:rPr>
          <w:rFonts w:hint="eastAsia" w:ascii="宋体" w:hAnsi="宋体" w:cs="宋体"/>
          <w:b/>
          <w:bCs/>
          <w:color w:val="auto"/>
          <w:lang w:val="en-US" w:eastAsia="zh-CN"/>
        </w:rPr>
        <w:t>十五</w:t>
      </w:r>
      <w:r>
        <w:rPr>
          <w:rFonts w:hint="eastAsia" w:ascii="宋体" w:hAnsi="宋体" w:cs="宋体"/>
          <w:b/>
          <w:bCs/>
          <w:color w:val="auto"/>
          <w:lang w:eastAsia="zh-CN"/>
        </w:rPr>
        <w:t>）</w:t>
      </w:r>
      <w:r>
        <w:rPr>
          <w:rFonts w:hint="eastAsia" w:ascii="宋体" w:hAnsi="宋体" w:cs="宋体"/>
          <w:b/>
          <w:bCs/>
          <w:color w:val="auto"/>
        </w:rPr>
        <w:t>冷库</w:t>
      </w:r>
    </w:p>
    <w:tbl>
      <w:tblPr>
        <w:tblStyle w:val="2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522"/>
        <w:gridCol w:w="7336"/>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3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序号</w:t>
            </w:r>
          </w:p>
        </w:tc>
        <w:tc>
          <w:tcPr>
            <w:tcW w:w="52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名称</w:t>
            </w:r>
          </w:p>
        </w:tc>
        <w:tc>
          <w:tcPr>
            <w:tcW w:w="7336"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要求</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1</w:t>
            </w:r>
          </w:p>
        </w:tc>
        <w:tc>
          <w:tcPr>
            <w:tcW w:w="52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20立方冷库</w:t>
            </w:r>
          </w:p>
          <w:p>
            <w:pPr>
              <w:spacing w:before="240"/>
              <w:jc w:val="center"/>
              <w:rPr>
                <w:rFonts w:ascii="宋体" w:hAnsi="宋体" w:cs="宋体"/>
                <w:color w:val="auto"/>
                <w:sz w:val="18"/>
                <w:szCs w:val="18"/>
              </w:rPr>
            </w:pPr>
            <w:r>
              <w:rPr>
                <w:rFonts w:hint="eastAsia" w:ascii="宋体" w:hAnsi="宋体" w:cs="宋体"/>
                <w:color w:val="auto"/>
                <w:sz w:val="18"/>
                <w:szCs w:val="18"/>
              </w:rPr>
              <w:t>（2-8度）</w:t>
            </w:r>
          </w:p>
        </w:tc>
        <w:tc>
          <w:tcPr>
            <w:tcW w:w="7336" w:type="dxa"/>
            <w:shd w:val="clear" w:color="auto" w:fill="auto"/>
            <w:noWrap/>
            <w:vAlign w:val="center"/>
          </w:tcPr>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b/>
                <w:bCs/>
                <w:color w:val="auto"/>
                <w:kern w:val="0"/>
                <w:sz w:val="18"/>
                <w:szCs w:val="18"/>
              </w:rPr>
              <w:t>1 冷库容积</w:t>
            </w:r>
            <w:r>
              <w:rPr>
                <w:rFonts w:hint="eastAsia" w:ascii="宋体" w:hAnsi="宋体" w:cs="宋体"/>
                <w:color w:val="auto"/>
                <w:kern w:val="0"/>
                <w:sz w:val="18"/>
                <w:szCs w:val="18"/>
              </w:rPr>
              <w:t xml:space="preserve"> ：20立方。</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b/>
                <w:bCs/>
                <w:color w:val="auto"/>
                <w:kern w:val="0"/>
                <w:sz w:val="18"/>
                <w:szCs w:val="18"/>
              </w:rPr>
              <w:t>2 冷库温度</w:t>
            </w:r>
            <w:r>
              <w:rPr>
                <w:rFonts w:hint="eastAsia" w:ascii="宋体" w:hAnsi="宋体" w:cs="宋体"/>
                <w:color w:val="auto"/>
                <w:kern w:val="0"/>
                <w:sz w:val="18"/>
                <w:szCs w:val="18"/>
              </w:rPr>
              <w:t xml:space="preserve">： 2℃～8℃， </w:t>
            </w:r>
          </w:p>
          <w:p>
            <w:pPr>
              <w:widowControl/>
              <w:jc w:val="left"/>
              <w:textAlignment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3 冷库板材及结构</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3.1 库体结构： 预埋不锈钢偏心锁紧装置，六面体相互锁紧方法连接。库板为高压发泡自熄型B1级聚氨酯夹芯库板。库板须具有国家权威部门出具的阻燃等级检测报告。</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3.2  库板材质：外侧彩钢0.5mm 内侧单面304亚光0.8不锈钢板，中间保温材料为高压发泡聚氨酯。库板厚度≥100mm；聚氨酯密度≥40kg/m3，导热系数：≤0.021W/(m.k)；库板须具有国家权威部门出具的完整的检测报告。</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 冷库门</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3.3.1 库门采用平开门 。</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3.3.2 库门门框安装有防霜自动限温加热丝。</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3.3.3 冷库板密封处处理平整圆滑。</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3.3.4 库内冷库专用防潮、防爆LED照明灯，并可通过门开关控制，防水等级IP65或以上；照度≥150勒克斯。</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3.3.5 冷库门带有应急机械开锁门装置确保在内部也可以打开冷库门和库内求救报警装置。</w:t>
            </w:r>
          </w:p>
          <w:p>
            <w:pPr>
              <w:widowControl/>
              <w:jc w:val="left"/>
              <w:textAlignment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4 操作控制系统</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lang w:eastAsia="zh-CN"/>
              </w:rPr>
              <w:t>★</w:t>
            </w:r>
            <w:r>
              <w:rPr>
                <w:rFonts w:hint="eastAsia" w:ascii="宋体" w:hAnsi="宋体" w:cs="宋体"/>
                <w:color w:val="auto"/>
                <w:kern w:val="0"/>
                <w:sz w:val="18"/>
                <w:szCs w:val="18"/>
              </w:rPr>
              <w:t>4.1 自带运行程序，故障代码显示。可在2℃~ 8℃任意调节。开停机保护（防止频繁启停）、显示和报警等功 能。可实现制冷机组轮值工作、故障自动切换运行。</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4.2 具备双系统自动轮值，出故障自动切换，超高温双机同时启动大冷量降温到设定的目标温度具备过热、过载、缺相、相序、系统高低压等多种保护装置。空气开关、漏电保 护器、接触器等电器元件、电线等应选用知名品牌。</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lang w:eastAsia="zh-CN"/>
              </w:rPr>
              <w:t>★</w:t>
            </w:r>
            <w:r>
              <w:rPr>
                <w:rFonts w:hint="eastAsia" w:ascii="宋体" w:hAnsi="宋体" w:cs="宋体"/>
                <w:color w:val="auto"/>
                <w:kern w:val="0"/>
                <w:sz w:val="18"/>
                <w:szCs w:val="18"/>
              </w:rPr>
              <w:t xml:space="preserve">4.3 </w:t>
            </w:r>
            <w:r>
              <w:rPr>
                <w:rFonts w:hint="eastAsia" w:ascii="宋体" w:hAnsi="宋体" w:cs="宋体"/>
                <w:color w:val="auto"/>
                <w:kern w:val="0"/>
                <w:sz w:val="18"/>
                <w:szCs w:val="18"/>
                <w:highlight w:val="none"/>
              </w:rPr>
              <w:t>物</w:t>
            </w:r>
            <w:r>
              <w:rPr>
                <w:rFonts w:hint="eastAsia" w:ascii="宋体" w:hAnsi="宋体" w:cs="宋体"/>
                <w:color w:val="auto"/>
                <w:kern w:val="0"/>
                <w:sz w:val="18"/>
                <w:szCs w:val="18"/>
              </w:rPr>
              <w:t>联网微电脑控制、有设计合理的温度自动监控。具备手机和PC端的平台集中控制、远程监测和故障报警、数据云端记录和导出数据打印、微信推送实时报警和定时运行信息。系统应当至少每隔 2 分钟（可调）记录一次实时温度数据。</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4.4 冷库应控制在 2℃–8℃且温度分布均匀，控制精度±1℃。库内不同位置温度差＜1℃，至少每个冷库内蒸发器风机配备1 个除霜温度探头和2只库温探头用于冷库控制系统监测。库温探头≧4只，化霜探头≧2只。</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4.5 控制器温度显示精度0.1,控制箱安装在冷库附近位置。</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4.6 控制系统整装标配出厂。</w:t>
            </w:r>
          </w:p>
          <w:p>
            <w:pPr>
              <w:widowControl/>
              <w:jc w:val="left"/>
              <w:textAlignment w:val="center"/>
              <w:rPr>
                <w:rFonts w:ascii="宋体" w:hAnsi="宋体" w:cs="宋体"/>
                <w:b/>
                <w:bCs/>
                <w:color w:val="auto"/>
                <w:kern w:val="0"/>
                <w:sz w:val="18"/>
                <w:szCs w:val="18"/>
              </w:rPr>
            </w:pPr>
            <w:r>
              <w:rPr>
                <w:rFonts w:hint="eastAsia" w:ascii="宋体" w:hAnsi="宋体" w:cs="宋体"/>
                <w:b/>
                <w:bCs/>
                <w:color w:val="auto"/>
                <w:kern w:val="0"/>
                <w:sz w:val="18"/>
                <w:szCs w:val="18"/>
              </w:rPr>
              <w:t>5 制冷设备</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5.1 制冷机组：采用风冷型全封闭制冷机组，功率≥2kw，双机组，1用1备设计，制冷机组和压缩机整机出厂。</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5.2 压缩机采用柔性化设计，柔性涡盘具有更高的寿命和可靠性，更好的液体容忍度和杂质容忍度，轴向和径向均具备良好的柔性特点。</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压缩机低噪音性能：压缩机具有平滑的声音频谱和柔和的声音质量。压缩腔的对称分布，很低的不平衡应力，高精度制造工艺，无须振动吸收装置。</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高强度的DU轴承。保证在没有完全润滑的情况下延长运行时间，聚四氟乙烯PTFE涂层，具有非常小的摩擦系数。</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独特卸载启动技术。压缩机在停机后，压缩机内部全面的压力平衡，无需附加启动装置。</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机组配置高低压控制器，具有高、低压力保护功能。 </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5.3 电源:电压380V/50Hz，具有过流、过热保护和断相、错相、过欠压等保护。</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5.4 除霜方式: 严禁使用电加热或自动热气除霜，采用自然除霜。</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5.5 冷风机：采用吊顶式侧出风后回风的冷风机型蒸发器；高效换热内螺纹紫铜管，电机，不锈钢加热管，带超温保护，防干烧。</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5.6 其他保护装置：具有系统高低压保护装置。</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5.7 主要制冷配件：电磁阀、膨胀阀、干燥过滤器、高低压控制器采用知名品牌。</w:t>
            </w:r>
          </w:p>
          <w:p>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5.8 制冷剂采用R404A</w:t>
            </w:r>
            <w:r>
              <w:rPr>
                <w:rFonts w:hint="eastAsia" w:ascii="宋体" w:hAnsi="宋体" w:cs="宋体"/>
                <w:color w:val="auto"/>
                <w:kern w:val="0"/>
                <w:sz w:val="18"/>
                <w:szCs w:val="18"/>
                <w:lang w:eastAsia="zh-CN"/>
              </w:rPr>
              <w:t>。</w:t>
            </w:r>
          </w:p>
          <w:p>
            <w:pPr>
              <w:widowControl/>
              <w:jc w:val="left"/>
              <w:textAlignment w:val="center"/>
              <w:rPr>
                <w:rFonts w:ascii="宋体" w:hAnsi="宋体" w:cs="宋体"/>
                <w:b/>
                <w:bCs/>
                <w:color w:val="auto"/>
                <w:kern w:val="0"/>
                <w:sz w:val="18"/>
                <w:szCs w:val="18"/>
              </w:rPr>
            </w:pPr>
            <w:r>
              <w:rPr>
                <w:rFonts w:hint="eastAsia" w:ascii="宋体" w:hAnsi="宋体" w:cs="宋体"/>
                <w:b/>
                <w:bCs/>
                <w:color w:val="auto"/>
                <w:kern w:val="0"/>
                <w:sz w:val="18"/>
                <w:szCs w:val="18"/>
              </w:rPr>
              <w:t>6 性能测试报告</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6.1 供应商安装调试完成，必须提供有资质的第三方检测机构出具的性能测试报告。</w:t>
            </w:r>
          </w:p>
          <w:p>
            <w:pPr>
              <w:widowControl/>
              <w:jc w:val="left"/>
              <w:textAlignment w:val="center"/>
              <w:rPr>
                <w:rFonts w:ascii="宋体" w:hAnsi="宋体" w:cs="宋体"/>
                <w:b/>
                <w:bCs/>
                <w:color w:val="auto"/>
                <w:kern w:val="0"/>
                <w:sz w:val="18"/>
                <w:szCs w:val="18"/>
              </w:rPr>
            </w:pPr>
            <w:r>
              <w:rPr>
                <w:rFonts w:hint="eastAsia" w:ascii="宋体" w:hAnsi="宋体" w:cs="宋体"/>
                <w:b/>
                <w:bCs/>
                <w:color w:val="auto"/>
                <w:kern w:val="0"/>
                <w:sz w:val="18"/>
                <w:szCs w:val="18"/>
              </w:rPr>
              <w:t>7 库内设施</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7.1 移动式货架：200*60*180，结构：四层隔层，可以自由调节高度，材质304不锈钢，每层承载重量200kg。共3组。</w:t>
            </w:r>
          </w:p>
          <w:p>
            <w:pPr>
              <w:widowControl/>
              <w:jc w:val="left"/>
              <w:textAlignment w:val="center"/>
              <w:rPr>
                <w:rFonts w:ascii="宋体" w:hAnsi="宋体" w:cs="宋体"/>
                <w:b/>
                <w:bCs/>
                <w:color w:val="auto"/>
                <w:kern w:val="0"/>
                <w:sz w:val="18"/>
                <w:szCs w:val="18"/>
              </w:rPr>
            </w:pPr>
            <w:r>
              <w:rPr>
                <w:rFonts w:hint="eastAsia" w:ascii="宋体" w:hAnsi="宋体" w:cs="宋体"/>
                <w:b/>
                <w:bCs/>
                <w:color w:val="auto"/>
                <w:kern w:val="0"/>
                <w:sz w:val="18"/>
                <w:szCs w:val="18"/>
              </w:rPr>
              <w:t>9 制造商要求</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9.1冷库制造商具有有效期内的建筑机电安装工程专业承包叁级，安全生产许可证，中国制冷设备安装维修保养服务企业资质证书。</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10远程监控系统</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系统基于B/S(浏览器/服务器)架构模式，可打开浏览器通过网页形式访问系统。</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10.1 实时数据具备列表显示，历史数据可按“设备名称、规格型号、设备编号、起始时间及结束时间”等条件查询。</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10.2 数据可以曲线图形式或统计报表形式呈现，曲线图或报表可导出电子版或打印。</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10.3 可实现短信报警、微信报警、电话报警。报警策略：可实现出现故障立刻报警，可接收人数可设99人以上。</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10.4 具备报警信息统计显示，含报警统计图表展示、根据分支点位置的地图形态展示；有报警原因备注的功能。</w:t>
            </w:r>
          </w:p>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10.5 具备数据库自动备份或手动备份功能，保证数据安全，所有与监测设备的交互以及系统操作全部有日志记录，可以追查历史操作记录。</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2</w:t>
            </w:r>
          </w:p>
        </w:tc>
        <w:tc>
          <w:tcPr>
            <w:tcW w:w="522" w:type="dxa"/>
            <w:shd w:val="clear" w:color="auto" w:fill="auto"/>
            <w:noWrap/>
            <w:vAlign w:val="center"/>
          </w:tcPr>
          <w:p>
            <w:pPr>
              <w:spacing w:before="240"/>
              <w:rPr>
                <w:rFonts w:ascii="宋体" w:hAnsi="宋体" w:cs="宋体"/>
                <w:color w:val="auto"/>
                <w:sz w:val="18"/>
                <w:szCs w:val="18"/>
              </w:rPr>
            </w:pPr>
            <w:r>
              <w:rPr>
                <w:rFonts w:hint="eastAsia" w:ascii="宋体" w:hAnsi="宋体" w:cs="宋体"/>
                <w:color w:val="auto"/>
                <w:sz w:val="18"/>
                <w:szCs w:val="18"/>
              </w:rPr>
              <w:t>医用冰箱</w:t>
            </w:r>
          </w:p>
          <w:p>
            <w:pPr>
              <w:pStyle w:val="10"/>
              <w:rPr>
                <w:rFonts w:ascii="宋体" w:hAnsi="宋体" w:cs="宋体"/>
                <w:color w:val="auto"/>
                <w:sz w:val="18"/>
                <w:szCs w:val="18"/>
              </w:rPr>
            </w:pPr>
            <w:r>
              <w:rPr>
                <w:rFonts w:hint="eastAsia" w:ascii="宋体" w:hAnsi="宋体" w:cs="宋体"/>
                <w:color w:val="auto"/>
                <w:sz w:val="18"/>
                <w:szCs w:val="18"/>
              </w:rPr>
              <w:t>75L</w:t>
            </w:r>
          </w:p>
        </w:tc>
        <w:tc>
          <w:tcPr>
            <w:tcW w:w="7336" w:type="dxa"/>
            <w:shd w:val="clear" w:color="auto" w:fill="auto"/>
            <w:noWrap/>
            <w:vAlign w:val="center"/>
          </w:tcPr>
          <w:p>
            <w:pPr>
              <w:numPr>
                <w:ilvl w:val="0"/>
                <w:numId w:val="13"/>
              </w:numPr>
              <w:rPr>
                <w:rFonts w:ascii="宋体" w:hAnsi="宋体" w:cs="宋体"/>
                <w:color w:val="auto"/>
                <w:sz w:val="18"/>
                <w:szCs w:val="18"/>
              </w:rPr>
            </w:pPr>
            <w:r>
              <w:rPr>
                <w:rFonts w:hint="eastAsia" w:ascii="宋体" w:hAnsi="宋体" w:cs="宋体"/>
                <w:color w:val="auto"/>
                <w:sz w:val="18"/>
                <w:szCs w:val="18"/>
              </w:rPr>
              <w:t>工作条件：环境温度16-32℃，环境湿度：20-80%，电压：220V±10%，频率50±1Hz</w:t>
            </w:r>
          </w:p>
          <w:p>
            <w:pPr>
              <w:numPr>
                <w:ilvl w:val="0"/>
                <w:numId w:val="13"/>
              </w:numPr>
              <w:rPr>
                <w:rFonts w:ascii="宋体" w:hAnsi="宋体" w:cs="宋体"/>
                <w:color w:val="auto"/>
                <w:sz w:val="18"/>
                <w:szCs w:val="18"/>
              </w:rPr>
            </w:pPr>
            <w:r>
              <w:rPr>
                <w:rFonts w:hint="eastAsia" w:ascii="宋体" w:hAnsi="宋体" w:cs="宋体"/>
                <w:color w:val="auto"/>
                <w:sz w:val="18"/>
                <w:szCs w:val="18"/>
              </w:rPr>
              <w:t>样式：立式，单门。</w:t>
            </w:r>
          </w:p>
          <w:p>
            <w:pPr>
              <w:numPr>
                <w:ilvl w:val="0"/>
                <w:numId w:val="13"/>
              </w:numPr>
              <w:rPr>
                <w:rFonts w:ascii="宋体" w:hAnsi="宋体" w:cs="宋体"/>
                <w:color w:val="auto"/>
                <w:sz w:val="18"/>
                <w:szCs w:val="18"/>
              </w:rPr>
            </w:pPr>
            <w:r>
              <w:rPr>
                <w:rFonts w:hint="eastAsia" w:ascii="宋体" w:hAnsi="宋体" w:cs="宋体"/>
                <w:color w:val="auto"/>
                <w:sz w:val="18"/>
                <w:szCs w:val="18"/>
              </w:rPr>
              <w:t>高度小于780mm,可存放≥600份接种疫苗</w:t>
            </w:r>
          </w:p>
          <w:p>
            <w:pPr>
              <w:numPr>
                <w:ilvl w:val="0"/>
                <w:numId w:val="13"/>
              </w:numPr>
              <w:rPr>
                <w:rFonts w:ascii="宋体" w:hAnsi="宋体" w:cs="宋体"/>
                <w:color w:val="auto"/>
                <w:sz w:val="18"/>
                <w:szCs w:val="18"/>
              </w:rPr>
            </w:pPr>
            <w:r>
              <w:rPr>
                <w:rFonts w:hint="eastAsia" w:ascii="宋体" w:hAnsi="宋体" w:cs="宋体"/>
                <w:color w:val="auto"/>
                <w:sz w:val="18"/>
                <w:szCs w:val="18"/>
              </w:rPr>
              <w:t>门体加热模式：自动加热模式、一直加热模式、关闭模式，实现32℃环温80%湿度条件下无凝露。</w:t>
            </w:r>
          </w:p>
          <w:p>
            <w:pPr>
              <w:numPr>
                <w:ilvl w:val="0"/>
                <w:numId w:val="13"/>
              </w:numPr>
              <w:rPr>
                <w:rFonts w:ascii="宋体" w:hAnsi="宋体" w:cs="宋体"/>
                <w:color w:val="auto"/>
                <w:sz w:val="18"/>
                <w:szCs w:val="18"/>
              </w:rPr>
            </w:pPr>
            <w:r>
              <w:rPr>
                <w:rFonts w:hint="eastAsia" w:ascii="宋体" w:hAnsi="宋体" w:cs="宋体"/>
                <w:color w:val="auto"/>
                <w:sz w:val="18"/>
                <w:szCs w:val="18"/>
              </w:rPr>
              <w:t>高效冷凝器及蒸发器，冷藏内置风机，制冷迅速，具备自动化霜功能。</w:t>
            </w:r>
          </w:p>
          <w:p>
            <w:pPr>
              <w:numPr>
                <w:ilvl w:val="0"/>
                <w:numId w:val="13"/>
              </w:numPr>
              <w:rPr>
                <w:rFonts w:ascii="宋体" w:hAnsi="宋体" w:cs="宋体"/>
                <w:color w:val="auto"/>
                <w:sz w:val="18"/>
                <w:szCs w:val="18"/>
              </w:rPr>
            </w:pPr>
            <w:r>
              <w:rPr>
                <w:rFonts w:hint="eastAsia" w:ascii="宋体" w:hAnsi="宋体" w:cs="宋体"/>
                <w:color w:val="auto"/>
                <w:sz w:val="18"/>
                <w:szCs w:val="18"/>
              </w:rPr>
              <w:t>配备3个高密度钢丝浸塑搁架（间距小于1公分，防止物品掉落），方便存放物品标识，且易于清洗。</w:t>
            </w:r>
          </w:p>
          <w:p>
            <w:pPr>
              <w:numPr>
                <w:ilvl w:val="0"/>
                <w:numId w:val="13"/>
              </w:numPr>
              <w:rPr>
                <w:rFonts w:ascii="宋体" w:hAnsi="宋体" w:cs="宋体"/>
                <w:color w:val="auto"/>
                <w:sz w:val="18"/>
                <w:szCs w:val="18"/>
              </w:rPr>
            </w:pPr>
            <w:r>
              <w:rPr>
                <w:rFonts w:hint="eastAsia" w:ascii="宋体" w:hAnsi="宋体" w:cs="宋体"/>
                <w:color w:val="auto"/>
                <w:sz w:val="18"/>
                <w:szCs w:val="18"/>
              </w:rPr>
              <w:t>左侧标配一个测试孔，方便测试箱内温度。</w:t>
            </w:r>
          </w:p>
          <w:p>
            <w:pPr>
              <w:numPr>
                <w:ilvl w:val="0"/>
                <w:numId w:val="13"/>
              </w:numPr>
              <w:rPr>
                <w:rFonts w:ascii="宋体" w:hAnsi="宋体" w:cs="宋体"/>
                <w:color w:val="auto"/>
                <w:sz w:val="18"/>
                <w:szCs w:val="18"/>
              </w:rPr>
            </w:pPr>
            <w:r>
              <w:rPr>
                <w:rFonts w:hint="eastAsia" w:ascii="宋体" w:hAnsi="宋体" w:cs="宋体"/>
                <w:color w:val="auto"/>
                <w:sz w:val="18"/>
                <w:szCs w:val="18"/>
              </w:rPr>
              <w:t>1英寸高亮度天蓝色数码温度屏，视觉更柔和，显示精度0.1℃，可调阅湿度。</w:t>
            </w:r>
          </w:p>
          <w:p>
            <w:pPr>
              <w:numPr>
                <w:ilvl w:val="0"/>
                <w:numId w:val="13"/>
              </w:numPr>
              <w:rPr>
                <w:rFonts w:ascii="宋体" w:hAnsi="宋体" w:cs="宋体"/>
                <w:color w:val="auto"/>
                <w:sz w:val="18"/>
                <w:szCs w:val="18"/>
              </w:rPr>
            </w:pPr>
            <w:r>
              <w:rPr>
                <w:rFonts w:hint="eastAsia" w:ascii="宋体" w:hAnsi="宋体" w:cs="宋体"/>
                <w:color w:val="auto"/>
                <w:sz w:val="18"/>
                <w:szCs w:val="18"/>
              </w:rPr>
              <w:t>高精度微电脑温度控制系统，具有控制/报警温度、箱内温度、环境温度3路传感器，确保运行状态安全稳定。</w:t>
            </w:r>
          </w:p>
          <w:p>
            <w:pPr>
              <w:numPr>
                <w:ilvl w:val="0"/>
                <w:numId w:val="13"/>
              </w:numPr>
              <w:rPr>
                <w:rFonts w:ascii="宋体" w:hAnsi="宋体" w:cs="宋体"/>
                <w:color w:val="auto"/>
                <w:sz w:val="18"/>
                <w:szCs w:val="18"/>
              </w:rPr>
            </w:pPr>
            <w:r>
              <w:rPr>
                <w:rFonts w:hint="eastAsia" w:ascii="宋体" w:hAnsi="宋体" w:cs="宋体"/>
                <w:color w:val="auto"/>
                <w:sz w:val="18"/>
                <w:szCs w:val="18"/>
              </w:rPr>
              <w:t>完善的报警功能：具有高低温报警、开门报警、断电报警、电池电量低报警、传感器故障报警等多种功能。开门蜂鸣报警，门关闭报警消除。</w:t>
            </w:r>
          </w:p>
          <w:p>
            <w:pPr>
              <w:numPr>
                <w:ilvl w:val="0"/>
                <w:numId w:val="13"/>
              </w:numPr>
              <w:rPr>
                <w:rFonts w:ascii="宋体" w:hAnsi="宋体" w:cs="宋体"/>
                <w:color w:val="auto"/>
                <w:sz w:val="18"/>
                <w:szCs w:val="18"/>
              </w:rPr>
            </w:pPr>
            <w:r>
              <w:rPr>
                <w:rFonts w:hint="eastAsia" w:ascii="宋体" w:hAnsi="宋体" w:cs="宋体"/>
                <w:color w:val="auto"/>
                <w:sz w:val="18"/>
                <w:szCs w:val="18"/>
              </w:rPr>
              <w:t>报警模式：声音蜂鸣、报警代码3秒/次间隔闪烁，物品存放更安全，具备远程报警功能。</w:t>
            </w:r>
          </w:p>
          <w:p>
            <w:pPr>
              <w:numPr>
                <w:ilvl w:val="0"/>
                <w:numId w:val="13"/>
              </w:numPr>
              <w:rPr>
                <w:rFonts w:ascii="宋体" w:hAnsi="宋体" w:cs="宋体"/>
                <w:color w:val="auto"/>
                <w:sz w:val="18"/>
                <w:szCs w:val="18"/>
              </w:rPr>
            </w:pPr>
            <w:r>
              <w:rPr>
                <w:rFonts w:hint="eastAsia" w:ascii="宋体" w:hAnsi="宋体" w:cs="宋体"/>
                <w:color w:val="auto"/>
                <w:sz w:val="18"/>
                <w:szCs w:val="18"/>
              </w:rPr>
              <w:t>标配USB数据导出接口，接入U盘可自动存储当月及上月数据，数据PDF格式。U盘持续连接可自动持续存储温度数据。</w:t>
            </w:r>
          </w:p>
          <w:p>
            <w:pPr>
              <w:numPr>
                <w:ilvl w:val="0"/>
                <w:numId w:val="13"/>
              </w:numPr>
              <w:rPr>
                <w:rFonts w:ascii="宋体" w:hAnsi="宋体" w:cs="宋体"/>
                <w:color w:val="auto"/>
                <w:sz w:val="18"/>
                <w:szCs w:val="18"/>
              </w:rPr>
            </w:pPr>
            <w:r>
              <w:rPr>
                <w:rFonts w:hint="eastAsia" w:ascii="宋体" w:hAnsi="宋体" w:cs="宋体"/>
                <w:color w:val="auto"/>
                <w:sz w:val="18"/>
                <w:szCs w:val="18"/>
              </w:rPr>
              <w:t>标配RS485接口、远程报警接口。</w:t>
            </w:r>
          </w:p>
          <w:p>
            <w:pPr>
              <w:pStyle w:val="11"/>
              <w:ind w:firstLine="0" w:firstLineChars="0"/>
              <w:rPr>
                <w:rFonts w:ascii="宋体" w:hAnsi="宋体" w:cs="宋体"/>
                <w:color w:val="auto"/>
                <w:sz w:val="18"/>
                <w:szCs w:val="18"/>
              </w:rPr>
            </w:pPr>
            <w:r>
              <w:rPr>
                <w:rFonts w:hint="eastAsia" w:ascii="宋体" w:hAnsi="宋体" w:cs="宋体"/>
                <w:lang w:eastAsia="zh-CN"/>
              </w:rPr>
              <w:t>★</w:t>
            </w:r>
            <w:r>
              <w:rPr>
                <w:rFonts w:hint="eastAsia" w:ascii="宋体" w:hAnsi="宋体" w:cs="宋体"/>
                <w:color w:val="auto"/>
                <w:sz w:val="18"/>
                <w:szCs w:val="18"/>
                <w:lang w:val="en-US" w:eastAsia="zh-CN"/>
              </w:rPr>
              <w:t>14.</w:t>
            </w:r>
            <w:r>
              <w:rPr>
                <w:rFonts w:hint="eastAsia" w:ascii="宋体" w:hAnsi="宋体" w:cs="宋体"/>
                <w:color w:val="auto"/>
                <w:sz w:val="18"/>
                <w:szCs w:val="18"/>
              </w:rPr>
              <w:t>当控制/报警传感器发生故障时，压缩机以开机5分钟、停机6分钟规律运作，确保物品存储安全。</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3</w:t>
            </w:r>
          </w:p>
        </w:tc>
        <w:tc>
          <w:tcPr>
            <w:tcW w:w="522" w:type="dxa"/>
            <w:shd w:val="clear" w:color="auto" w:fill="auto"/>
            <w:noWrap/>
            <w:vAlign w:val="center"/>
          </w:tcPr>
          <w:p>
            <w:pPr>
              <w:spacing w:before="240"/>
              <w:rPr>
                <w:rFonts w:ascii="宋体" w:hAnsi="宋体" w:cs="宋体"/>
                <w:color w:val="auto"/>
                <w:sz w:val="18"/>
                <w:szCs w:val="18"/>
              </w:rPr>
            </w:pPr>
            <w:r>
              <w:rPr>
                <w:rFonts w:hint="eastAsia" w:ascii="宋体" w:hAnsi="宋体" w:cs="宋体"/>
                <w:color w:val="auto"/>
                <w:sz w:val="18"/>
                <w:szCs w:val="18"/>
              </w:rPr>
              <w:t>低温冰箱</w:t>
            </w:r>
          </w:p>
          <w:p>
            <w:pPr>
              <w:pStyle w:val="10"/>
              <w:rPr>
                <w:rFonts w:ascii="宋体" w:hAnsi="宋体" w:cs="宋体"/>
                <w:color w:val="auto"/>
                <w:sz w:val="18"/>
                <w:szCs w:val="18"/>
              </w:rPr>
            </w:pPr>
            <w:r>
              <w:rPr>
                <w:rFonts w:hint="eastAsia" w:ascii="宋体" w:hAnsi="宋体" w:cs="宋体"/>
                <w:color w:val="auto"/>
                <w:sz w:val="18"/>
                <w:szCs w:val="18"/>
              </w:rPr>
              <w:t>270L</w:t>
            </w:r>
          </w:p>
        </w:tc>
        <w:tc>
          <w:tcPr>
            <w:tcW w:w="7336" w:type="dxa"/>
            <w:shd w:val="clear" w:color="auto" w:fill="auto"/>
            <w:noWrap/>
            <w:vAlign w:val="center"/>
          </w:tcPr>
          <w:p>
            <w:pPr>
              <w:numPr>
                <w:ilvl w:val="0"/>
                <w:numId w:val="0"/>
              </w:numPr>
              <w:ind w:leftChars="0"/>
              <w:rPr>
                <w:rFonts w:hint="eastAsia" w:ascii="宋体" w:hAnsi="宋体" w:eastAsia="宋体" w:cs="宋体"/>
                <w:b w:val="0"/>
                <w:bCs/>
                <w:color w:val="auto"/>
                <w:sz w:val="18"/>
                <w:szCs w:val="18"/>
                <w:lang w:eastAsia="zh-CN"/>
              </w:rPr>
            </w:pPr>
            <w:r>
              <w:rPr>
                <w:rFonts w:hint="eastAsia" w:ascii="宋体" w:hAnsi="宋体" w:cs="宋体"/>
                <w:b w:val="0"/>
                <w:bCs/>
                <w:color w:val="auto"/>
                <w:sz w:val="18"/>
                <w:szCs w:val="18"/>
                <w:lang w:val="en-US" w:eastAsia="zh-CN"/>
              </w:rPr>
              <w:t>1.</w:t>
            </w:r>
            <w:r>
              <w:rPr>
                <w:rFonts w:hint="eastAsia" w:ascii="宋体" w:hAnsi="宋体" w:cs="宋体"/>
                <w:b w:val="0"/>
                <w:bCs/>
                <w:color w:val="auto"/>
                <w:sz w:val="18"/>
                <w:szCs w:val="18"/>
              </w:rPr>
              <w:t>有效容积：≥270L，立式开门</w:t>
            </w:r>
            <w:r>
              <w:rPr>
                <w:rFonts w:hint="eastAsia" w:ascii="宋体" w:hAnsi="宋体" w:cs="宋体"/>
                <w:b w:val="0"/>
                <w:bCs/>
                <w:color w:val="auto"/>
                <w:sz w:val="18"/>
                <w:szCs w:val="18"/>
                <w:lang w:eastAsia="zh-CN"/>
              </w:rPr>
              <w:t>。</w:t>
            </w:r>
          </w:p>
          <w:p>
            <w:pPr>
              <w:numPr>
                <w:ilvl w:val="0"/>
                <w:numId w:val="0"/>
              </w:numPr>
              <w:ind w:leftChars="0"/>
              <w:rPr>
                <w:rFonts w:ascii="宋体" w:hAnsi="宋体" w:cs="宋体"/>
                <w:color w:val="auto"/>
                <w:sz w:val="18"/>
                <w:szCs w:val="18"/>
              </w:rPr>
            </w:pPr>
            <w:r>
              <w:rPr>
                <w:rFonts w:hint="eastAsia" w:ascii="宋体" w:hAnsi="宋体" w:cs="宋体"/>
                <w:lang w:eastAsia="zh-CN"/>
              </w:rPr>
              <w:t>★</w:t>
            </w:r>
            <w:r>
              <w:rPr>
                <w:rFonts w:hint="eastAsia" w:ascii="宋体" w:hAnsi="宋体" w:cs="宋体"/>
                <w:b w:val="0"/>
                <w:bCs/>
                <w:color w:val="auto"/>
                <w:sz w:val="18"/>
                <w:szCs w:val="18"/>
                <w:lang w:val="en-US" w:eastAsia="zh-CN"/>
              </w:rPr>
              <w:t>2.</w:t>
            </w:r>
            <w:r>
              <w:rPr>
                <w:rFonts w:hint="eastAsia" w:ascii="宋体" w:hAnsi="宋体" w:cs="宋体"/>
                <w:b w:val="0"/>
                <w:bCs/>
                <w:color w:val="auto"/>
                <w:sz w:val="18"/>
                <w:szCs w:val="18"/>
              </w:rPr>
              <w:t>内部结构：ABS抽屉≥7个，分类存储，耐腐蚀，强度大耐冲击。</w:t>
            </w:r>
          </w:p>
          <w:p>
            <w:pPr>
              <w:numPr>
                <w:ilvl w:val="0"/>
                <w:numId w:val="0"/>
              </w:numPr>
              <w:ind w:leftChars="0"/>
              <w:rPr>
                <w:rFonts w:ascii="宋体" w:hAnsi="宋体" w:cs="宋体"/>
                <w:color w:val="auto"/>
                <w:sz w:val="18"/>
                <w:szCs w:val="18"/>
              </w:rPr>
            </w:pPr>
            <w:r>
              <w:rPr>
                <w:rFonts w:hint="eastAsia" w:ascii="宋体" w:hAnsi="宋体" w:cs="宋体"/>
                <w:color w:val="auto"/>
                <w:sz w:val="18"/>
                <w:szCs w:val="18"/>
                <w:lang w:val="en-US" w:eastAsia="zh-CN"/>
              </w:rPr>
              <w:t>3.</w:t>
            </w:r>
            <w:r>
              <w:rPr>
                <w:rFonts w:hint="eastAsia" w:ascii="宋体" w:hAnsi="宋体" w:cs="宋体"/>
                <w:color w:val="auto"/>
                <w:sz w:val="18"/>
                <w:szCs w:val="18"/>
              </w:rPr>
              <w:t>左侧标配一个测试孔，方便监测箱内温度。</w:t>
            </w:r>
          </w:p>
          <w:p>
            <w:pPr>
              <w:numPr>
                <w:ilvl w:val="0"/>
                <w:numId w:val="0"/>
              </w:numPr>
              <w:ind w:leftChars="0"/>
              <w:rPr>
                <w:rFonts w:ascii="宋体" w:hAnsi="宋体" w:cs="宋体"/>
                <w:color w:val="auto"/>
                <w:sz w:val="18"/>
                <w:szCs w:val="18"/>
              </w:rPr>
            </w:pPr>
            <w:r>
              <w:rPr>
                <w:rFonts w:hint="eastAsia" w:ascii="宋体" w:hAnsi="宋体" w:cs="宋体"/>
                <w:color w:val="auto"/>
                <w:sz w:val="18"/>
                <w:szCs w:val="18"/>
                <w:lang w:val="en-US" w:eastAsia="zh-CN"/>
              </w:rPr>
              <w:t>4.</w:t>
            </w:r>
            <w:r>
              <w:rPr>
                <w:rFonts w:hint="eastAsia" w:ascii="宋体" w:hAnsi="宋体" w:cs="宋体"/>
                <w:color w:val="auto"/>
                <w:sz w:val="18"/>
                <w:szCs w:val="18"/>
              </w:rPr>
              <w:t>箱体配锁，确保箱内样本安全。</w:t>
            </w:r>
          </w:p>
          <w:p>
            <w:pPr>
              <w:numPr>
                <w:ilvl w:val="0"/>
                <w:numId w:val="0"/>
              </w:numPr>
              <w:ind w:leftChars="0"/>
              <w:rPr>
                <w:rFonts w:ascii="宋体" w:hAnsi="宋体" w:cs="宋体"/>
                <w:color w:val="auto"/>
                <w:sz w:val="18"/>
                <w:szCs w:val="18"/>
              </w:rPr>
            </w:pPr>
            <w:r>
              <w:rPr>
                <w:rFonts w:hint="eastAsia" w:ascii="宋体" w:hAnsi="宋体" w:cs="宋体"/>
                <w:color w:val="auto"/>
                <w:sz w:val="18"/>
                <w:szCs w:val="18"/>
                <w:lang w:val="en-US" w:eastAsia="zh-CN"/>
              </w:rPr>
              <w:t>5.</w:t>
            </w:r>
            <w:r>
              <w:rPr>
                <w:rFonts w:hint="eastAsia" w:ascii="宋体" w:hAnsi="宋体" w:cs="宋体"/>
                <w:color w:val="auto"/>
                <w:sz w:val="18"/>
                <w:szCs w:val="18"/>
              </w:rPr>
              <w:t>前面两个支撑脚+后面两个定向轮，方便箱体移动安放。</w:t>
            </w:r>
          </w:p>
          <w:p>
            <w:pPr>
              <w:numPr>
                <w:ilvl w:val="0"/>
                <w:numId w:val="0"/>
              </w:numPr>
              <w:ind w:leftChars="0"/>
              <w:rPr>
                <w:rFonts w:ascii="宋体" w:hAnsi="宋体" w:cs="宋体"/>
                <w:color w:val="auto"/>
                <w:sz w:val="18"/>
                <w:szCs w:val="18"/>
              </w:rPr>
            </w:pPr>
            <w:r>
              <w:rPr>
                <w:rFonts w:hint="eastAsia" w:ascii="宋体" w:hAnsi="宋体" w:cs="宋体"/>
                <w:color w:val="auto"/>
                <w:sz w:val="18"/>
                <w:szCs w:val="18"/>
                <w:lang w:val="en-US" w:eastAsia="zh-CN"/>
              </w:rPr>
              <w:t>6.</w:t>
            </w:r>
            <w:r>
              <w:rPr>
                <w:rFonts w:hint="eastAsia" w:ascii="宋体" w:hAnsi="宋体" w:cs="宋体"/>
                <w:color w:val="auto"/>
                <w:sz w:val="18"/>
                <w:szCs w:val="18"/>
              </w:rPr>
              <w:t>每层有丝管式蒸发器，降温速度快，使箱内温度在最短的时间内降低到客户用户设定的温度。</w:t>
            </w:r>
          </w:p>
          <w:p>
            <w:pPr>
              <w:numPr>
                <w:ilvl w:val="0"/>
                <w:numId w:val="0"/>
              </w:numPr>
              <w:ind w:leftChars="0"/>
              <w:rPr>
                <w:rFonts w:ascii="宋体" w:hAnsi="宋体" w:cs="宋体"/>
                <w:color w:val="auto"/>
                <w:sz w:val="18"/>
                <w:szCs w:val="18"/>
              </w:rPr>
            </w:pPr>
            <w:r>
              <w:rPr>
                <w:rFonts w:hint="eastAsia" w:ascii="宋体" w:hAnsi="宋体" w:cs="宋体"/>
                <w:b w:val="0"/>
                <w:bCs/>
                <w:color w:val="auto"/>
                <w:sz w:val="18"/>
                <w:szCs w:val="18"/>
                <w:lang w:val="en-US" w:eastAsia="zh-CN"/>
              </w:rPr>
              <w:t>7.</w:t>
            </w:r>
            <w:r>
              <w:rPr>
                <w:rFonts w:hint="eastAsia" w:ascii="宋体" w:hAnsi="宋体" w:cs="宋体"/>
                <w:color w:val="auto"/>
                <w:sz w:val="18"/>
                <w:szCs w:val="18"/>
              </w:rPr>
              <w:t xml:space="preserve">发泡层厚度为100mm，高效锁冷。 </w:t>
            </w:r>
          </w:p>
          <w:p>
            <w:pPr>
              <w:numPr>
                <w:ilvl w:val="0"/>
                <w:numId w:val="0"/>
              </w:numPr>
              <w:ind w:leftChars="0"/>
              <w:rPr>
                <w:rFonts w:ascii="宋体" w:hAnsi="宋体" w:cs="宋体"/>
                <w:bCs/>
                <w:color w:val="auto"/>
                <w:sz w:val="18"/>
                <w:szCs w:val="18"/>
              </w:rPr>
            </w:pPr>
            <w:r>
              <w:rPr>
                <w:rFonts w:hint="eastAsia" w:ascii="宋体" w:hAnsi="宋体" w:cs="宋体"/>
                <w:color w:val="auto"/>
                <w:sz w:val="18"/>
                <w:szCs w:val="18"/>
                <w:lang w:val="en-US" w:eastAsia="zh-CN"/>
              </w:rPr>
              <w:t>8.</w:t>
            </w:r>
            <w:r>
              <w:rPr>
                <w:rFonts w:hint="eastAsia" w:ascii="宋体" w:hAnsi="宋体" w:cs="宋体"/>
                <w:color w:val="auto"/>
                <w:sz w:val="18"/>
                <w:szCs w:val="18"/>
              </w:rPr>
              <w:t>精确控温：高清晰数码温度显示，高精度微电脑温度控制系统，箱体内温度-10℃~-25℃范围内任意设定，显示精度1℃。</w:t>
            </w:r>
          </w:p>
          <w:p>
            <w:pPr>
              <w:numPr>
                <w:ilvl w:val="0"/>
                <w:numId w:val="0"/>
              </w:numPr>
              <w:ind w:leftChars="0"/>
              <w:rPr>
                <w:rFonts w:ascii="宋体" w:hAnsi="宋体" w:cs="宋体"/>
                <w:bCs/>
                <w:color w:val="auto"/>
                <w:sz w:val="18"/>
                <w:szCs w:val="18"/>
              </w:rPr>
            </w:pPr>
            <w:r>
              <w:rPr>
                <w:rFonts w:hint="eastAsia" w:ascii="宋体" w:hAnsi="宋体" w:cs="宋体"/>
                <w:bCs/>
                <w:color w:val="auto"/>
                <w:sz w:val="18"/>
                <w:szCs w:val="18"/>
                <w:lang w:val="en-US" w:eastAsia="zh-CN"/>
              </w:rPr>
              <w:t>9.</w:t>
            </w:r>
            <w:r>
              <w:rPr>
                <w:rFonts w:hint="eastAsia" w:ascii="宋体" w:hAnsi="宋体" w:cs="宋体"/>
                <w:bCs/>
                <w:color w:val="auto"/>
                <w:sz w:val="18"/>
                <w:szCs w:val="18"/>
              </w:rPr>
              <w:t xml:space="preserve">声光报警系统：高低温报警、传感器故障报警、开门报警等多重保障，全面保障样本安全。 </w:t>
            </w:r>
          </w:p>
          <w:p>
            <w:pPr>
              <w:numPr>
                <w:ilvl w:val="0"/>
                <w:numId w:val="0"/>
              </w:numPr>
              <w:ind w:leftChars="0"/>
              <w:rPr>
                <w:rFonts w:ascii="宋体" w:hAnsi="宋体" w:cs="宋体"/>
                <w:color w:val="auto"/>
                <w:sz w:val="18"/>
                <w:szCs w:val="18"/>
              </w:rPr>
            </w:pPr>
            <w:r>
              <w:rPr>
                <w:rFonts w:hint="eastAsia" w:ascii="宋体" w:hAnsi="宋体" w:cs="宋体"/>
                <w:bCs/>
                <w:color w:val="auto"/>
                <w:sz w:val="18"/>
                <w:szCs w:val="18"/>
                <w:lang w:val="en-US" w:eastAsia="zh-CN"/>
              </w:rPr>
              <w:t>10.</w:t>
            </w:r>
            <w:r>
              <w:rPr>
                <w:rFonts w:hint="eastAsia" w:ascii="宋体" w:hAnsi="宋体" w:cs="宋体"/>
                <w:bCs/>
                <w:color w:val="auto"/>
                <w:sz w:val="18"/>
                <w:szCs w:val="18"/>
              </w:rPr>
              <w:t>运行保护：开机延时、停机间隔等保护功能，确保运行可靠。</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4</w:t>
            </w:r>
          </w:p>
        </w:tc>
        <w:tc>
          <w:tcPr>
            <w:tcW w:w="52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直饮机</w:t>
            </w:r>
          </w:p>
        </w:tc>
        <w:tc>
          <w:tcPr>
            <w:tcW w:w="7336" w:type="dxa"/>
            <w:shd w:val="clear" w:color="auto" w:fill="auto"/>
            <w:noWrap/>
            <w:vAlign w:val="center"/>
          </w:tcPr>
          <w:p>
            <w:pPr>
              <w:rPr>
                <w:rFonts w:ascii="宋体" w:hAnsi="宋体" w:cs="宋体"/>
                <w:bCs/>
                <w:color w:val="auto"/>
                <w:sz w:val="18"/>
                <w:szCs w:val="18"/>
                <w:lang w:eastAsia="en-US"/>
              </w:rPr>
            </w:pPr>
            <w:r>
              <w:rPr>
                <w:rFonts w:hint="eastAsia" w:ascii="宋体" w:hAnsi="宋体" w:cs="宋体"/>
                <w:bCs/>
                <w:color w:val="auto"/>
                <w:sz w:val="18"/>
                <w:szCs w:val="18"/>
              </w:rPr>
              <w:t>1.</w:t>
            </w:r>
            <w:r>
              <w:rPr>
                <w:rFonts w:hint="eastAsia" w:ascii="宋体" w:hAnsi="宋体" w:cs="宋体"/>
                <w:bCs/>
                <w:color w:val="auto"/>
                <w:sz w:val="18"/>
                <w:szCs w:val="18"/>
                <w:lang w:val="zh-TW" w:eastAsia="zh-TW"/>
              </w:rPr>
              <w:t>外观材质</w:t>
            </w:r>
            <w:r>
              <w:rPr>
                <w:rFonts w:hint="eastAsia" w:ascii="宋体" w:hAnsi="宋体" w:cs="宋体"/>
                <w:bCs/>
                <w:color w:val="auto"/>
                <w:sz w:val="18"/>
                <w:szCs w:val="18"/>
                <w:lang w:eastAsia="en-US"/>
              </w:rPr>
              <w:t>1mm</w:t>
            </w:r>
            <w:r>
              <w:rPr>
                <w:rFonts w:hint="eastAsia" w:ascii="宋体" w:hAnsi="宋体" w:cs="宋体"/>
                <w:bCs/>
                <w:color w:val="auto"/>
                <w:sz w:val="18"/>
                <w:szCs w:val="18"/>
                <w:lang w:val="zh-TW" w:eastAsia="zh-TW"/>
              </w:rPr>
              <w:t>宝钢一级料</w:t>
            </w:r>
            <w:r>
              <w:rPr>
                <w:rFonts w:hint="eastAsia" w:ascii="宋体" w:hAnsi="宋体" w:cs="宋体"/>
                <w:bCs/>
                <w:color w:val="auto"/>
                <w:sz w:val="18"/>
                <w:szCs w:val="18"/>
                <w:lang w:val="zh-TW"/>
              </w:rPr>
              <w:t>，</w:t>
            </w:r>
            <w:r>
              <w:rPr>
                <w:rFonts w:hint="eastAsia" w:ascii="宋体" w:hAnsi="宋体" w:cs="宋体"/>
                <w:bCs/>
                <w:color w:val="auto"/>
                <w:sz w:val="18"/>
                <w:szCs w:val="18"/>
                <w:lang w:val="zh-TW" w:eastAsia="zh-TW"/>
              </w:rPr>
              <w:t>额定电压</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220VAC</w:t>
            </w:r>
            <w:r>
              <w:rPr>
                <w:rFonts w:hint="eastAsia" w:ascii="宋体" w:hAnsi="宋体" w:cs="宋体"/>
                <w:bCs/>
                <w:color w:val="auto"/>
                <w:sz w:val="18"/>
                <w:szCs w:val="18"/>
              </w:rPr>
              <w:t>，</w:t>
            </w:r>
            <w:r>
              <w:rPr>
                <w:rFonts w:hint="eastAsia" w:ascii="宋体" w:hAnsi="宋体" w:cs="宋体"/>
                <w:bCs/>
                <w:color w:val="auto"/>
                <w:sz w:val="18"/>
                <w:szCs w:val="18"/>
                <w:lang w:val="zh-TW" w:eastAsia="zh-TW"/>
              </w:rPr>
              <w:t>额定频率</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50Hz</w:t>
            </w:r>
            <w:r>
              <w:rPr>
                <w:rFonts w:hint="eastAsia" w:ascii="宋体" w:hAnsi="宋体" w:cs="宋体"/>
                <w:bCs/>
                <w:color w:val="auto"/>
                <w:sz w:val="18"/>
                <w:szCs w:val="18"/>
              </w:rPr>
              <w:t>，</w:t>
            </w:r>
            <w:r>
              <w:rPr>
                <w:rFonts w:hint="eastAsia" w:ascii="宋体" w:hAnsi="宋体" w:cs="宋体"/>
                <w:bCs/>
                <w:color w:val="auto"/>
                <w:sz w:val="18"/>
                <w:szCs w:val="18"/>
                <w:lang w:val="zh-TW" w:eastAsia="zh-TW"/>
              </w:rPr>
              <w:t>额定功率</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1300W</w:t>
            </w:r>
            <w:r>
              <w:rPr>
                <w:rFonts w:hint="eastAsia" w:ascii="宋体" w:hAnsi="宋体" w:cs="宋体"/>
                <w:bCs/>
                <w:color w:val="auto"/>
                <w:sz w:val="18"/>
                <w:szCs w:val="18"/>
              </w:rPr>
              <w:t>，</w:t>
            </w:r>
            <w:r>
              <w:rPr>
                <w:rFonts w:hint="eastAsia" w:ascii="宋体" w:hAnsi="宋体" w:cs="宋体"/>
                <w:bCs/>
                <w:color w:val="auto"/>
                <w:sz w:val="18"/>
                <w:szCs w:val="18"/>
                <w:lang w:val="zh-TW" w:eastAsia="zh-TW"/>
              </w:rPr>
              <w:t>加热功率</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1200W</w:t>
            </w:r>
          </w:p>
          <w:p>
            <w:pPr>
              <w:rPr>
                <w:rFonts w:ascii="宋体" w:hAnsi="宋体" w:cs="宋体"/>
                <w:bCs/>
                <w:color w:val="auto"/>
                <w:sz w:val="18"/>
                <w:szCs w:val="18"/>
              </w:rPr>
            </w:pPr>
            <w:r>
              <w:rPr>
                <w:rFonts w:hint="eastAsia" w:ascii="宋体" w:hAnsi="宋体" w:cs="宋体"/>
                <w:bCs/>
                <w:color w:val="auto"/>
                <w:sz w:val="18"/>
                <w:szCs w:val="18"/>
              </w:rPr>
              <w:t>2.</w:t>
            </w:r>
            <w:r>
              <w:rPr>
                <w:rFonts w:hint="eastAsia" w:ascii="宋体" w:hAnsi="宋体" w:cs="宋体"/>
                <w:bCs/>
                <w:color w:val="auto"/>
                <w:sz w:val="18"/>
                <w:szCs w:val="18"/>
                <w:lang w:val="zh-TW" w:eastAsia="zh-TW"/>
              </w:rPr>
              <w:t>制冷功率</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70W</w:t>
            </w:r>
            <w:r>
              <w:rPr>
                <w:rFonts w:hint="eastAsia" w:ascii="宋体" w:hAnsi="宋体" w:cs="宋体"/>
                <w:bCs/>
                <w:color w:val="auto"/>
                <w:sz w:val="18"/>
                <w:szCs w:val="18"/>
              </w:rPr>
              <w:t>，</w:t>
            </w:r>
            <w:r>
              <w:rPr>
                <w:rFonts w:hint="eastAsia" w:ascii="宋体" w:hAnsi="宋体" w:cs="宋体"/>
                <w:bCs/>
                <w:color w:val="auto"/>
                <w:sz w:val="18"/>
                <w:szCs w:val="18"/>
                <w:lang w:val="zh-TW" w:eastAsia="zh-TW"/>
              </w:rPr>
              <w:t>净水箱容积</w:t>
            </w:r>
            <w:r>
              <w:rPr>
                <w:rFonts w:hint="eastAsia" w:ascii="宋体" w:hAnsi="宋体" w:cs="宋体"/>
                <w:bCs/>
                <w:color w:val="auto"/>
                <w:sz w:val="18"/>
                <w:szCs w:val="18"/>
                <w:lang w:val="zh-TW"/>
              </w:rPr>
              <w:t>，</w:t>
            </w:r>
            <w:r>
              <w:rPr>
                <w:rFonts w:hint="eastAsia" w:ascii="宋体" w:hAnsi="宋体" w:cs="宋体"/>
                <w:bCs/>
                <w:color w:val="auto"/>
                <w:sz w:val="18"/>
                <w:szCs w:val="18"/>
                <w:lang w:eastAsia="en-US"/>
              </w:rPr>
              <w:t>10L</w:t>
            </w:r>
            <w:r>
              <w:rPr>
                <w:rFonts w:hint="eastAsia" w:ascii="宋体" w:hAnsi="宋体" w:cs="宋体"/>
                <w:bCs/>
                <w:color w:val="auto"/>
                <w:sz w:val="18"/>
                <w:szCs w:val="18"/>
              </w:rPr>
              <w:t>,</w:t>
            </w:r>
            <w:r>
              <w:rPr>
                <w:rFonts w:hint="eastAsia" w:ascii="宋体" w:hAnsi="宋体" w:cs="宋体"/>
                <w:bCs/>
                <w:color w:val="auto"/>
                <w:sz w:val="18"/>
                <w:szCs w:val="18"/>
                <w:lang w:val="zh-TW" w:eastAsia="zh-TW"/>
              </w:rPr>
              <w:t>热水罐容积</w:t>
            </w:r>
            <w:r>
              <w:rPr>
                <w:rFonts w:hint="eastAsia" w:ascii="宋体" w:hAnsi="宋体" w:cs="宋体"/>
                <w:bCs/>
                <w:color w:val="auto"/>
                <w:sz w:val="18"/>
                <w:szCs w:val="18"/>
              </w:rPr>
              <w:t>,</w:t>
            </w:r>
            <w:r>
              <w:rPr>
                <w:rFonts w:hint="eastAsia" w:ascii="宋体" w:hAnsi="宋体" w:cs="宋体"/>
                <w:bCs/>
                <w:color w:val="auto"/>
                <w:sz w:val="18"/>
                <w:szCs w:val="18"/>
                <w:lang w:eastAsia="en-US"/>
              </w:rPr>
              <w:t>5L</w:t>
            </w:r>
            <w:r>
              <w:rPr>
                <w:rFonts w:hint="eastAsia" w:ascii="宋体" w:hAnsi="宋体" w:cs="宋体"/>
                <w:bCs/>
                <w:color w:val="auto"/>
                <w:sz w:val="18"/>
                <w:szCs w:val="18"/>
              </w:rPr>
              <w:t>,</w:t>
            </w:r>
            <w:r>
              <w:rPr>
                <w:rFonts w:hint="eastAsia" w:ascii="宋体" w:hAnsi="宋体" w:cs="宋体"/>
                <w:bCs/>
                <w:color w:val="auto"/>
                <w:sz w:val="18"/>
                <w:szCs w:val="18"/>
                <w:lang w:val="zh-TW" w:eastAsia="zh-TW"/>
              </w:rPr>
              <w:t>冷水罐容积</w:t>
            </w:r>
            <w:r>
              <w:rPr>
                <w:rFonts w:hint="eastAsia" w:ascii="宋体" w:hAnsi="宋体" w:cs="宋体"/>
                <w:bCs/>
                <w:color w:val="auto"/>
                <w:sz w:val="18"/>
                <w:szCs w:val="18"/>
              </w:rPr>
              <w:t>,</w:t>
            </w:r>
            <w:r>
              <w:rPr>
                <w:rFonts w:hint="eastAsia" w:ascii="宋体" w:hAnsi="宋体" w:cs="宋体"/>
                <w:bCs/>
                <w:color w:val="auto"/>
                <w:sz w:val="18"/>
                <w:szCs w:val="18"/>
                <w:lang w:eastAsia="en-US"/>
              </w:rPr>
              <w:t>0.8L</w:t>
            </w:r>
            <w:r>
              <w:rPr>
                <w:rFonts w:hint="eastAsia" w:ascii="宋体" w:hAnsi="宋体" w:cs="宋体"/>
                <w:bCs/>
                <w:color w:val="auto"/>
                <w:sz w:val="18"/>
                <w:szCs w:val="18"/>
              </w:rPr>
              <w:t>,</w:t>
            </w:r>
            <w:r>
              <w:rPr>
                <w:rFonts w:hint="eastAsia" w:ascii="宋体" w:hAnsi="宋体" w:cs="宋体"/>
                <w:bCs/>
                <w:color w:val="auto"/>
                <w:sz w:val="18"/>
                <w:szCs w:val="18"/>
                <w:lang w:val="zh-TW" w:eastAsia="zh-TW"/>
              </w:rPr>
              <w:t>净水流量</w:t>
            </w:r>
            <w:r>
              <w:rPr>
                <w:rFonts w:hint="eastAsia" w:ascii="宋体" w:hAnsi="宋体" w:cs="宋体"/>
                <w:bCs/>
                <w:color w:val="auto"/>
                <w:sz w:val="18"/>
                <w:szCs w:val="18"/>
              </w:rPr>
              <w:t>,</w:t>
            </w:r>
            <w:r>
              <w:rPr>
                <w:rFonts w:hint="eastAsia" w:ascii="宋体" w:hAnsi="宋体" w:cs="宋体"/>
                <w:bCs/>
                <w:color w:val="auto"/>
                <w:sz w:val="18"/>
                <w:szCs w:val="18"/>
                <w:lang w:eastAsia="en-US"/>
              </w:rPr>
              <w:t>12L/H</w:t>
            </w:r>
            <w:r>
              <w:rPr>
                <w:rFonts w:hint="eastAsia" w:ascii="宋体" w:hAnsi="宋体" w:cs="宋体"/>
                <w:bCs/>
                <w:color w:val="auto"/>
                <w:sz w:val="18"/>
                <w:szCs w:val="18"/>
              </w:rPr>
              <w:t>,</w:t>
            </w:r>
            <w:r>
              <w:rPr>
                <w:rFonts w:hint="eastAsia" w:ascii="宋体" w:hAnsi="宋体" w:cs="宋体"/>
                <w:bCs/>
                <w:color w:val="auto"/>
                <w:sz w:val="18"/>
                <w:szCs w:val="18"/>
                <w:lang w:val="zh-TW" w:eastAsia="zh-TW"/>
              </w:rPr>
              <w:t>热水温度</w:t>
            </w:r>
            <w:r>
              <w:rPr>
                <w:rFonts w:hint="eastAsia" w:ascii="宋体" w:hAnsi="宋体" w:cs="宋体"/>
                <w:bCs/>
                <w:color w:val="auto"/>
                <w:sz w:val="18"/>
                <w:szCs w:val="18"/>
              </w:rPr>
              <w:t>,</w:t>
            </w:r>
            <w:r>
              <w:rPr>
                <w:rFonts w:hint="eastAsia" w:ascii="宋体" w:hAnsi="宋体" w:cs="宋体"/>
                <w:bCs/>
                <w:color w:val="auto"/>
                <w:sz w:val="18"/>
                <w:szCs w:val="18"/>
                <w:lang w:eastAsia="en-US"/>
              </w:rPr>
              <w:t>&gt;90°C</w:t>
            </w:r>
            <w:r>
              <w:rPr>
                <w:rFonts w:hint="eastAsia" w:ascii="宋体" w:hAnsi="宋体" w:cs="宋体"/>
                <w:bCs/>
                <w:color w:val="auto"/>
                <w:sz w:val="18"/>
                <w:szCs w:val="18"/>
              </w:rPr>
              <w:t>,</w:t>
            </w:r>
          </w:p>
          <w:p>
            <w:pPr>
              <w:rPr>
                <w:rFonts w:ascii="宋体" w:hAnsi="宋体" w:cs="宋体"/>
                <w:color w:val="auto"/>
                <w:sz w:val="18"/>
                <w:szCs w:val="18"/>
              </w:rPr>
            </w:pPr>
            <w:r>
              <w:rPr>
                <w:rFonts w:hint="eastAsia" w:ascii="宋体" w:hAnsi="宋体" w:cs="宋体"/>
                <w:bCs/>
                <w:color w:val="auto"/>
                <w:sz w:val="18"/>
                <w:szCs w:val="18"/>
              </w:rPr>
              <w:t>3.</w:t>
            </w:r>
            <w:r>
              <w:rPr>
                <w:rFonts w:hint="eastAsia" w:ascii="宋体" w:hAnsi="宋体" w:cs="宋体"/>
                <w:bCs/>
                <w:color w:val="auto"/>
                <w:sz w:val="18"/>
                <w:szCs w:val="18"/>
                <w:lang w:val="zh-TW" w:eastAsia="zh-TW"/>
              </w:rPr>
              <w:t>冷水温度</w:t>
            </w:r>
            <w:r>
              <w:rPr>
                <w:rFonts w:hint="eastAsia" w:ascii="宋体" w:hAnsi="宋体" w:cs="宋体"/>
                <w:bCs/>
                <w:color w:val="auto"/>
                <w:sz w:val="18"/>
                <w:szCs w:val="18"/>
              </w:rPr>
              <w:t>,</w:t>
            </w:r>
            <w:r>
              <w:rPr>
                <w:rFonts w:hint="eastAsia" w:ascii="宋体" w:hAnsi="宋体" w:cs="宋体"/>
                <w:bCs/>
                <w:color w:val="auto"/>
                <w:sz w:val="18"/>
                <w:szCs w:val="18"/>
                <w:lang w:eastAsia="en-US"/>
              </w:rPr>
              <w:t>&lt;15°C</w:t>
            </w:r>
            <w:r>
              <w:rPr>
                <w:rFonts w:hint="eastAsia" w:ascii="宋体" w:hAnsi="宋体" w:cs="宋体"/>
                <w:bCs/>
                <w:color w:val="auto"/>
                <w:sz w:val="18"/>
                <w:szCs w:val="18"/>
              </w:rPr>
              <w:t>,</w:t>
            </w:r>
            <w:r>
              <w:rPr>
                <w:rFonts w:hint="eastAsia" w:ascii="宋体" w:hAnsi="宋体" w:cs="宋体"/>
                <w:bCs/>
                <w:color w:val="auto"/>
                <w:sz w:val="18"/>
                <w:szCs w:val="18"/>
                <w:lang w:val="zh-TW" w:eastAsia="zh-TW"/>
              </w:rPr>
              <w:t>通量</w:t>
            </w:r>
            <w:r>
              <w:rPr>
                <w:rFonts w:hint="eastAsia" w:ascii="宋体" w:hAnsi="宋体" w:cs="宋体"/>
                <w:bCs/>
                <w:color w:val="auto"/>
                <w:sz w:val="18"/>
                <w:szCs w:val="18"/>
              </w:rPr>
              <w:t>,</w:t>
            </w:r>
            <w:r>
              <w:rPr>
                <w:rFonts w:hint="eastAsia" w:ascii="宋体" w:hAnsi="宋体" w:cs="宋体"/>
                <w:bCs/>
                <w:color w:val="auto"/>
                <w:sz w:val="18"/>
                <w:szCs w:val="18"/>
                <w:lang w:eastAsia="en-US"/>
              </w:rPr>
              <w:t>75G</w:t>
            </w:r>
            <w:r>
              <w:rPr>
                <w:rFonts w:hint="eastAsia" w:ascii="宋体" w:hAnsi="宋体" w:cs="宋体"/>
                <w:bCs/>
                <w:color w:val="auto"/>
                <w:sz w:val="18"/>
                <w:szCs w:val="18"/>
              </w:rPr>
              <w:t>,</w:t>
            </w:r>
            <w:r>
              <w:rPr>
                <w:rFonts w:hint="eastAsia" w:ascii="宋体" w:hAnsi="宋体" w:cs="宋体"/>
                <w:bCs/>
                <w:color w:val="auto"/>
                <w:sz w:val="18"/>
                <w:szCs w:val="18"/>
                <w:lang w:val="zh-TW" w:eastAsia="zh-TW"/>
              </w:rPr>
              <w:t>滤芯等级</w:t>
            </w:r>
            <w:r>
              <w:rPr>
                <w:rFonts w:hint="eastAsia" w:ascii="宋体" w:hAnsi="宋体" w:cs="宋体"/>
                <w:bCs/>
                <w:color w:val="auto"/>
                <w:sz w:val="18"/>
                <w:szCs w:val="18"/>
              </w:rPr>
              <w:t>,</w:t>
            </w:r>
            <w:r>
              <w:rPr>
                <w:rFonts w:hint="eastAsia" w:ascii="宋体" w:hAnsi="宋体" w:cs="宋体"/>
                <w:bCs/>
                <w:color w:val="auto"/>
                <w:sz w:val="18"/>
                <w:szCs w:val="18"/>
                <w:lang w:val="zh-TW" w:eastAsia="zh-TW"/>
              </w:rPr>
              <w:t xml:space="preserve">4 级滤芯 </w:t>
            </w:r>
            <w:r>
              <w:rPr>
                <w:rFonts w:hint="eastAsia" w:ascii="宋体" w:hAnsi="宋体" w:cs="宋体"/>
                <w:bCs/>
                <w:color w:val="auto"/>
                <w:sz w:val="18"/>
                <w:szCs w:val="18"/>
              </w:rPr>
              <w:t>,</w:t>
            </w:r>
            <w:r>
              <w:rPr>
                <w:rFonts w:hint="eastAsia" w:ascii="宋体" w:hAnsi="宋体" w:cs="宋体"/>
                <w:bCs/>
                <w:color w:val="auto"/>
                <w:sz w:val="18"/>
                <w:szCs w:val="18"/>
                <w:lang w:val="zh-TW" w:eastAsia="zh-TW"/>
              </w:rPr>
              <w:t>杀菌方式</w:t>
            </w:r>
            <w:r>
              <w:rPr>
                <w:rFonts w:hint="eastAsia" w:ascii="宋体" w:hAnsi="宋体" w:cs="宋体"/>
                <w:bCs/>
                <w:color w:val="auto"/>
                <w:sz w:val="18"/>
                <w:szCs w:val="18"/>
              </w:rPr>
              <w:t>,</w:t>
            </w:r>
            <w:r>
              <w:rPr>
                <w:rFonts w:hint="eastAsia" w:ascii="宋体" w:hAnsi="宋体" w:cs="宋体"/>
                <w:bCs/>
                <w:color w:val="auto"/>
                <w:sz w:val="18"/>
                <w:szCs w:val="18"/>
                <w:lang w:eastAsia="en-US"/>
              </w:rPr>
              <w:t>UV</w:t>
            </w:r>
            <w:r>
              <w:rPr>
                <w:rFonts w:hint="eastAsia" w:ascii="宋体" w:hAnsi="宋体" w:cs="宋体"/>
                <w:bCs/>
                <w:color w:val="auto"/>
                <w:sz w:val="18"/>
                <w:szCs w:val="18"/>
                <w:lang w:val="zh-TW" w:eastAsia="zh-TW"/>
              </w:rPr>
              <w:t>紫外全天候</w:t>
            </w:r>
            <w:r>
              <w:rPr>
                <w:rFonts w:hint="eastAsia" w:ascii="宋体" w:hAnsi="宋体" w:cs="宋体"/>
                <w:bCs/>
                <w:color w:val="auto"/>
                <w:sz w:val="18"/>
                <w:szCs w:val="18"/>
              </w:rPr>
              <w:t>,</w:t>
            </w:r>
            <w:r>
              <w:rPr>
                <w:rFonts w:hint="eastAsia" w:ascii="宋体" w:hAnsi="宋体" w:cs="宋体"/>
                <w:bCs/>
                <w:color w:val="auto"/>
                <w:sz w:val="18"/>
                <w:szCs w:val="18"/>
                <w:lang w:val="zh-TW" w:eastAsia="zh-TW"/>
              </w:rPr>
              <w:t>适用场景</w:t>
            </w:r>
            <w:r>
              <w:rPr>
                <w:rFonts w:hint="eastAsia" w:ascii="宋体" w:hAnsi="宋体" w:cs="宋体"/>
                <w:bCs/>
                <w:color w:val="auto"/>
                <w:sz w:val="18"/>
                <w:szCs w:val="18"/>
              </w:rPr>
              <w:t>,</w:t>
            </w:r>
            <w:r>
              <w:rPr>
                <w:rFonts w:hint="eastAsia" w:ascii="宋体" w:hAnsi="宋体" w:cs="宋体"/>
                <w:bCs/>
                <w:color w:val="auto"/>
                <w:sz w:val="18"/>
                <w:szCs w:val="18"/>
                <w:lang w:val="zh-TW" w:eastAsia="zh-TW"/>
              </w:rPr>
              <w:t>50人以内</w:t>
            </w:r>
            <w:r>
              <w:rPr>
                <w:rFonts w:hint="eastAsia" w:ascii="宋体" w:hAnsi="宋体" w:cs="宋体"/>
                <w:bCs/>
                <w:color w:val="auto"/>
                <w:sz w:val="18"/>
                <w:szCs w:val="18"/>
              </w:rPr>
              <w:t>,</w:t>
            </w:r>
            <w:r>
              <w:rPr>
                <w:rFonts w:hint="eastAsia" w:ascii="宋体" w:hAnsi="宋体" w:cs="宋体"/>
                <w:bCs/>
                <w:color w:val="auto"/>
                <w:sz w:val="18"/>
                <w:szCs w:val="18"/>
                <w:lang w:val="zh-TW" w:eastAsia="zh-TW"/>
              </w:rPr>
              <w:t>适用水压</w:t>
            </w:r>
            <w:r>
              <w:rPr>
                <w:rFonts w:hint="eastAsia" w:ascii="宋体" w:hAnsi="宋体" w:cs="宋体"/>
                <w:bCs/>
                <w:color w:val="auto"/>
                <w:sz w:val="18"/>
                <w:szCs w:val="18"/>
              </w:rPr>
              <w:t>,</w:t>
            </w:r>
            <w:r>
              <w:rPr>
                <w:rFonts w:hint="eastAsia" w:ascii="宋体" w:hAnsi="宋体" w:cs="宋体"/>
                <w:bCs/>
                <w:color w:val="auto"/>
                <w:sz w:val="18"/>
                <w:szCs w:val="18"/>
                <w:lang w:eastAsia="en-US"/>
              </w:rPr>
              <w:t>0.1~0.35Mpa</w:t>
            </w:r>
            <w:r>
              <w:rPr>
                <w:rFonts w:hint="eastAsia" w:ascii="宋体" w:hAnsi="宋体" w:cs="宋体"/>
                <w:bCs/>
                <w:color w:val="auto"/>
                <w:sz w:val="18"/>
                <w:szCs w:val="18"/>
              </w:rPr>
              <w:t>,</w:t>
            </w:r>
            <w:r>
              <w:rPr>
                <w:rFonts w:hint="eastAsia" w:ascii="宋体" w:hAnsi="宋体" w:cs="宋体"/>
                <w:bCs/>
                <w:color w:val="auto"/>
                <w:sz w:val="18"/>
                <w:szCs w:val="18"/>
                <w:lang w:val="zh-TW" w:eastAsia="zh-TW"/>
              </w:rPr>
              <w:t>适用水源</w:t>
            </w:r>
            <w:r>
              <w:rPr>
                <w:rFonts w:hint="eastAsia" w:ascii="宋体" w:hAnsi="宋体" w:cs="宋体"/>
                <w:bCs/>
                <w:color w:val="auto"/>
                <w:sz w:val="18"/>
                <w:szCs w:val="18"/>
              </w:rPr>
              <w:t>,</w:t>
            </w:r>
            <w:r>
              <w:rPr>
                <w:rFonts w:hint="eastAsia" w:ascii="宋体" w:hAnsi="宋体" w:cs="宋体"/>
                <w:bCs/>
                <w:color w:val="auto"/>
                <w:sz w:val="18"/>
                <w:szCs w:val="18"/>
                <w:lang w:val="zh-TW" w:eastAsia="zh-TW"/>
              </w:rPr>
              <w:t>市政自来水</w:t>
            </w:r>
            <w:r>
              <w:rPr>
                <w:rFonts w:hint="eastAsia" w:ascii="宋体" w:hAnsi="宋体" w:cs="宋体"/>
                <w:bCs/>
                <w:color w:val="auto"/>
                <w:sz w:val="18"/>
                <w:szCs w:val="18"/>
              </w:rPr>
              <w:t>,</w:t>
            </w:r>
            <w:r>
              <w:rPr>
                <w:rFonts w:hint="eastAsia" w:ascii="宋体" w:hAnsi="宋体" w:cs="宋体"/>
                <w:bCs/>
                <w:color w:val="auto"/>
                <w:sz w:val="18"/>
                <w:szCs w:val="18"/>
                <w:lang w:val="zh-TW" w:eastAsia="zh-TW"/>
              </w:rPr>
              <w:t>适用环境温度</w:t>
            </w:r>
            <w:r>
              <w:rPr>
                <w:rFonts w:hint="eastAsia" w:ascii="宋体" w:hAnsi="宋体" w:cs="宋体"/>
                <w:bCs/>
                <w:color w:val="auto"/>
                <w:sz w:val="18"/>
                <w:szCs w:val="18"/>
              </w:rPr>
              <w:t>,</w:t>
            </w:r>
            <w:r>
              <w:rPr>
                <w:rFonts w:hint="eastAsia" w:ascii="宋体" w:hAnsi="宋体" w:cs="宋体"/>
                <w:bCs/>
                <w:color w:val="auto"/>
                <w:sz w:val="18"/>
                <w:szCs w:val="18"/>
                <w:lang w:eastAsia="en-US"/>
              </w:rPr>
              <w:t>3-38°C</w:t>
            </w:r>
            <w:r>
              <w:rPr>
                <w:rFonts w:hint="eastAsia" w:ascii="宋体" w:hAnsi="宋体" w:cs="宋体"/>
                <w:bCs/>
                <w:color w:val="auto"/>
                <w:sz w:val="18"/>
                <w:szCs w:val="18"/>
              </w:rPr>
              <w:t>,</w:t>
            </w:r>
            <w:r>
              <w:rPr>
                <w:rFonts w:hint="eastAsia" w:ascii="宋体" w:hAnsi="宋体" w:cs="宋体"/>
                <w:bCs/>
                <w:color w:val="auto"/>
                <w:sz w:val="18"/>
                <w:szCs w:val="18"/>
                <w:lang w:val="zh-TW" w:eastAsia="zh-TW"/>
              </w:rPr>
              <w:t>显示方式</w:t>
            </w:r>
            <w:r>
              <w:rPr>
                <w:rFonts w:hint="eastAsia" w:ascii="宋体" w:hAnsi="宋体" w:cs="宋体"/>
                <w:bCs/>
                <w:color w:val="auto"/>
                <w:sz w:val="18"/>
                <w:szCs w:val="18"/>
              </w:rPr>
              <w:t>,</w:t>
            </w:r>
            <w:r>
              <w:rPr>
                <w:rFonts w:hint="eastAsia" w:ascii="宋体" w:hAnsi="宋体" w:cs="宋体"/>
                <w:bCs/>
                <w:color w:val="auto"/>
                <w:sz w:val="18"/>
                <w:szCs w:val="18"/>
                <w:lang w:eastAsia="en-US"/>
              </w:rPr>
              <w:t>10.1</w:t>
            </w:r>
            <w:r>
              <w:rPr>
                <w:rFonts w:hint="eastAsia" w:ascii="宋体" w:hAnsi="宋体" w:cs="宋体"/>
                <w:bCs/>
                <w:color w:val="auto"/>
                <w:sz w:val="18"/>
                <w:szCs w:val="18"/>
                <w:lang w:val="zh-TW" w:eastAsia="zh-TW"/>
              </w:rPr>
              <w:t>寸</w:t>
            </w:r>
            <w:r>
              <w:rPr>
                <w:rFonts w:hint="eastAsia" w:ascii="宋体" w:hAnsi="宋体" w:cs="宋体"/>
                <w:bCs/>
                <w:color w:val="auto"/>
                <w:sz w:val="18"/>
                <w:szCs w:val="18"/>
                <w:lang w:eastAsia="en-US"/>
              </w:rPr>
              <w:t>TFT</w:t>
            </w:r>
            <w:r>
              <w:rPr>
                <w:rFonts w:hint="eastAsia" w:ascii="宋体" w:hAnsi="宋体" w:cs="宋体"/>
                <w:bCs/>
                <w:color w:val="auto"/>
                <w:sz w:val="18"/>
                <w:szCs w:val="18"/>
                <w:lang w:val="zh-TW" w:eastAsia="zh-TW"/>
              </w:rPr>
              <w:t>显示屏</w:t>
            </w:r>
            <w:r>
              <w:rPr>
                <w:rFonts w:hint="eastAsia" w:ascii="宋体" w:hAnsi="宋体" w:cs="宋体"/>
                <w:bCs/>
                <w:color w:val="auto"/>
                <w:sz w:val="18"/>
                <w:szCs w:val="18"/>
              </w:rPr>
              <w:t>,</w:t>
            </w:r>
            <w:r>
              <w:rPr>
                <w:rFonts w:hint="eastAsia" w:ascii="宋体" w:hAnsi="宋体" w:cs="宋体"/>
                <w:bCs/>
                <w:color w:val="auto"/>
                <w:sz w:val="18"/>
                <w:szCs w:val="18"/>
                <w:lang w:val="zh-TW" w:eastAsia="zh-TW"/>
              </w:rPr>
              <w:t>通讯方式</w:t>
            </w:r>
            <w:r>
              <w:rPr>
                <w:rFonts w:hint="eastAsia" w:ascii="宋体" w:hAnsi="宋体" w:cs="宋体"/>
                <w:bCs/>
                <w:color w:val="auto"/>
                <w:sz w:val="18"/>
                <w:szCs w:val="18"/>
              </w:rPr>
              <w:t>,</w:t>
            </w:r>
            <w:r>
              <w:rPr>
                <w:rFonts w:hint="eastAsia" w:ascii="宋体" w:hAnsi="宋体" w:cs="宋体"/>
                <w:bCs/>
                <w:color w:val="auto"/>
                <w:sz w:val="18"/>
                <w:szCs w:val="18"/>
                <w:lang w:eastAsia="en-US"/>
              </w:rPr>
              <w:t>NB/WIFI</w:t>
            </w:r>
            <w:r>
              <w:rPr>
                <w:rFonts w:hint="eastAsia" w:ascii="宋体" w:hAnsi="宋体" w:cs="宋体"/>
                <w:bCs/>
                <w:color w:val="auto"/>
                <w:sz w:val="18"/>
                <w:szCs w:val="18"/>
              </w:rPr>
              <w:t>,</w:t>
            </w:r>
            <w:r>
              <w:rPr>
                <w:rFonts w:hint="eastAsia" w:ascii="宋体" w:hAnsi="宋体" w:cs="宋体"/>
                <w:bCs/>
                <w:color w:val="auto"/>
                <w:sz w:val="18"/>
                <w:szCs w:val="18"/>
                <w:lang w:val="zh-TW" w:eastAsia="zh-TW"/>
              </w:rPr>
              <w:t>尺寸</w:t>
            </w:r>
            <w:r>
              <w:rPr>
                <w:rFonts w:hint="eastAsia" w:ascii="宋体" w:hAnsi="宋体" w:cs="宋体"/>
                <w:bCs/>
                <w:color w:val="auto"/>
                <w:sz w:val="18"/>
                <w:szCs w:val="18"/>
                <w:lang w:eastAsia="en-US"/>
              </w:rPr>
              <w:t>373*343*1420mm</w:t>
            </w:r>
            <w:r>
              <w:rPr>
                <w:rFonts w:hint="eastAsia" w:ascii="宋体" w:hAnsi="宋体" w:cs="宋体"/>
                <w:bCs/>
                <w:color w:val="auto"/>
                <w:sz w:val="18"/>
                <w:szCs w:val="18"/>
              </w:rPr>
              <w:t>,</w:t>
            </w:r>
            <w:r>
              <w:rPr>
                <w:rFonts w:hint="eastAsia" w:ascii="宋体" w:hAnsi="宋体" w:cs="宋体"/>
                <w:bCs/>
                <w:color w:val="auto"/>
                <w:sz w:val="18"/>
                <w:szCs w:val="18"/>
                <w:lang w:val="zh-TW" w:eastAsia="zh-TW"/>
              </w:rPr>
              <w:t>重量</w:t>
            </w:r>
            <w:r>
              <w:rPr>
                <w:rFonts w:hint="eastAsia" w:ascii="宋体" w:hAnsi="宋体" w:cs="宋体"/>
                <w:bCs/>
                <w:color w:val="auto"/>
                <w:sz w:val="18"/>
                <w:szCs w:val="18"/>
              </w:rPr>
              <w:t>,</w:t>
            </w:r>
            <w:r>
              <w:rPr>
                <w:rFonts w:hint="eastAsia" w:ascii="宋体" w:hAnsi="宋体" w:cs="宋体"/>
                <w:bCs/>
                <w:color w:val="auto"/>
                <w:sz w:val="18"/>
                <w:szCs w:val="18"/>
                <w:lang w:eastAsia="en-US"/>
              </w:rPr>
              <w:t>33kg</w:t>
            </w:r>
            <w:r>
              <w:rPr>
                <w:rFonts w:hint="eastAsia" w:ascii="宋体" w:hAnsi="宋体" w:cs="宋体"/>
                <w:bCs/>
                <w:color w:val="auto"/>
                <w:sz w:val="18"/>
                <w:szCs w:val="18"/>
              </w:rPr>
              <w:t>,</w:t>
            </w:r>
            <w:r>
              <w:rPr>
                <w:rFonts w:hint="eastAsia" w:ascii="宋体" w:hAnsi="宋体" w:cs="宋体"/>
                <w:bCs/>
                <w:color w:val="auto"/>
                <w:sz w:val="18"/>
                <w:szCs w:val="18"/>
                <w:lang w:val="zh-TW" w:eastAsia="zh-TW"/>
              </w:rPr>
              <w:t>增强配置</w:t>
            </w:r>
            <w:r>
              <w:rPr>
                <w:rFonts w:hint="eastAsia" w:ascii="宋体" w:hAnsi="宋体" w:cs="宋体"/>
                <w:bCs/>
                <w:color w:val="auto"/>
                <w:sz w:val="18"/>
                <w:szCs w:val="18"/>
              </w:rPr>
              <w:t>,</w:t>
            </w:r>
            <w:r>
              <w:rPr>
                <w:rFonts w:hint="eastAsia" w:ascii="宋体" w:hAnsi="宋体" w:cs="宋体"/>
                <w:bCs/>
                <w:color w:val="auto"/>
                <w:sz w:val="18"/>
                <w:szCs w:val="18"/>
                <w:lang w:val="zh-TW" w:eastAsia="zh-TW"/>
              </w:rPr>
              <w:t>压力桶</w:t>
            </w:r>
            <w:r>
              <w:rPr>
                <w:rFonts w:hint="eastAsia" w:ascii="宋体" w:hAnsi="宋体" w:cs="宋体"/>
                <w:bCs/>
                <w:color w:val="auto"/>
                <w:sz w:val="18"/>
                <w:szCs w:val="18"/>
              </w:rPr>
              <w:t>,</w:t>
            </w:r>
            <w:r>
              <w:rPr>
                <w:rFonts w:hint="eastAsia" w:ascii="宋体" w:hAnsi="宋体" w:cs="宋体"/>
                <w:bCs/>
                <w:color w:val="auto"/>
                <w:sz w:val="18"/>
                <w:szCs w:val="18"/>
                <w:lang w:val="zh-TW" w:eastAsia="zh-TW"/>
              </w:rPr>
              <w:t>压缩机</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32" w:type="dxa"/>
            <w:shd w:val="clear" w:color="auto" w:fill="auto"/>
            <w:noWrap/>
            <w:vAlign w:val="center"/>
          </w:tcPr>
          <w:p>
            <w:pPr>
              <w:spacing w:before="240"/>
              <w:jc w:val="center"/>
              <w:rPr>
                <w:rFonts w:ascii="宋体" w:hAnsi="宋体" w:cs="宋体"/>
                <w:color w:val="auto"/>
                <w:sz w:val="18"/>
                <w:szCs w:val="18"/>
              </w:rPr>
            </w:pPr>
          </w:p>
        </w:tc>
        <w:tc>
          <w:tcPr>
            <w:tcW w:w="522"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发电机</w:t>
            </w:r>
          </w:p>
        </w:tc>
        <w:tc>
          <w:tcPr>
            <w:tcW w:w="7336" w:type="dxa"/>
            <w:shd w:val="clear" w:color="auto" w:fill="auto"/>
            <w:noWrap/>
            <w:vAlign w:val="center"/>
          </w:tcPr>
          <w:p>
            <w:pPr>
              <w:rPr>
                <w:rFonts w:ascii="宋体" w:hAnsi="宋体" w:cs="宋体"/>
                <w:color w:val="auto"/>
                <w:sz w:val="18"/>
                <w:szCs w:val="18"/>
              </w:rPr>
            </w:pPr>
            <w:r>
              <w:rPr>
                <w:rFonts w:hint="eastAsia" w:ascii="宋体" w:hAnsi="宋体" w:cs="宋体"/>
                <w:b w:val="0"/>
                <w:bCs/>
                <w:color w:val="auto"/>
                <w:sz w:val="18"/>
                <w:szCs w:val="18"/>
                <w:highlight w:val="none"/>
              </w:rPr>
              <w:t>ATS,</w:t>
            </w:r>
            <w:r>
              <w:rPr>
                <w:rFonts w:hint="eastAsia" w:ascii="宋体" w:hAnsi="宋体" w:cs="宋体"/>
                <w:color w:val="auto"/>
                <w:sz w:val="18"/>
                <w:szCs w:val="18"/>
              </w:rPr>
              <w:t>型式：直喷风冷、双缸，排气量（cm³）：1326，最大输出功率(kw/rpm)：20/3600</w:t>
            </w:r>
          </w:p>
          <w:p>
            <w:pPr>
              <w:rPr>
                <w:rFonts w:ascii="宋体" w:hAnsi="宋体" w:cs="宋体"/>
                <w:color w:val="auto"/>
                <w:sz w:val="18"/>
                <w:szCs w:val="18"/>
              </w:rPr>
            </w:pPr>
            <w:r>
              <w:rPr>
                <w:rFonts w:hint="eastAsia" w:ascii="宋体" w:hAnsi="宋体" w:cs="宋体"/>
                <w:color w:val="auto"/>
                <w:sz w:val="18"/>
                <w:szCs w:val="18"/>
              </w:rPr>
              <w:t>额定功率（KW）:15KW 380V/220V, 机油容量(L)：4.0</w:t>
            </w:r>
          </w:p>
          <w:p>
            <w:pPr>
              <w:pStyle w:val="11"/>
              <w:ind w:firstLine="0" w:firstLineChars="0"/>
              <w:rPr>
                <w:rFonts w:ascii="宋体" w:hAnsi="宋体" w:cs="宋体"/>
                <w:color w:val="auto"/>
                <w:sz w:val="18"/>
                <w:szCs w:val="18"/>
              </w:rPr>
            </w:pPr>
            <w:r>
              <w:rPr>
                <w:rFonts w:hint="eastAsia" w:ascii="宋体" w:hAnsi="宋体" w:cs="宋体"/>
                <w:color w:val="auto"/>
                <w:sz w:val="18"/>
                <w:szCs w:val="18"/>
              </w:rPr>
              <w:t>市电停，发电机自动启动，市电来，发电机自动停止</w:t>
            </w:r>
          </w:p>
        </w:tc>
        <w:tc>
          <w:tcPr>
            <w:tcW w:w="450" w:type="dxa"/>
            <w:shd w:val="clear" w:color="auto" w:fill="auto"/>
            <w:noWrap/>
            <w:vAlign w:val="center"/>
          </w:tcPr>
          <w:p>
            <w:pPr>
              <w:spacing w:before="240"/>
              <w:jc w:val="center"/>
              <w:rPr>
                <w:rFonts w:ascii="宋体" w:hAnsi="宋体" w:cs="宋体"/>
                <w:color w:val="auto"/>
                <w:sz w:val="18"/>
                <w:szCs w:val="18"/>
              </w:rPr>
            </w:pPr>
            <w:r>
              <w:rPr>
                <w:rFonts w:hint="eastAsia" w:ascii="宋体" w:hAnsi="宋体" w:cs="宋体"/>
                <w:color w:val="auto"/>
                <w:sz w:val="18"/>
                <w:szCs w:val="18"/>
              </w:rPr>
              <w:t>1</w:t>
            </w:r>
          </w:p>
        </w:tc>
      </w:tr>
    </w:tbl>
    <w:p>
      <w:pPr>
        <w:rPr>
          <w:rFonts w:ascii="宋体" w:hAnsi="宋体" w:cs="宋体"/>
          <w:color w:val="auto"/>
        </w:rPr>
      </w:pPr>
    </w:p>
    <w:p>
      <w:pPr>
        <w:rPr>
          <w:rFonts w:hint="eastAsia" w:ascii="宋体" w:hAnsi="宋体" w:cs="宋体"/>
          <w:b/>
          <w:bCs/>
          <w:color w:val="auto"/>
          <w:lang w:val="en-US" w:eastAsia="zh-CN"/>
        </w:rPr>
      </w:pPr>
      <w:r>
        <w:rPr>
          <w:rFonts w:hint="eastAsia" w:ascii="宋体" w:hAnsi="宋体" w:cs="宋体"/>
          <w:b/>
          <w:bCs/>
          <w:color w:val="auto"/>
        </w:rPr>
        <w:t xml:space="preserve">    </w:t>
      </w:r>
      <w:r>
        <w:rPr>
          <w:rFonts w:hint="eastAsia" w:ascii="宋体" w:hAnsi="宋体" w:cs="宋体"/>
          <w:b/>
          <w:bCs/>
          <w:color w:val="auto"/>
          <w:lang w:val="en-US" w:eastAsia="zh-CN"/>
        </w:rPr>
        <w:t xml:space="preserve">                   </w:t>
      </w:r>
    </w:p>
    <w:p>
      <w:pPr>
        <w:ind w:firstLine="2871" w:firstLineChars="1300"/>
        <w:rPr>
          <w:rFonts w:hint="default" w:ascii="宋体" w:hAnsi="宋体" w:eastAsia="宋体" w:cs="宋体"/>
          <w:b/>
          <w:bCs/>
          <w:color w:val="auto"/>
          <w:lang w:val="en-US" w:eastAsia="zh-CN"/>
        </w:rPr>
      </w:pPr>
      <w:r>
        <w:rPr>
          <w:rFonts w:hint="eastAsia" w:ascii="宋体" w:hAnsi="宋体" w:cs="宋体"/>
          <w:b/>
          <w:bCs/>
          <w:color w:val="auto"/>
          <w:sz w:val="22"/>
          <w:szCs w:val="24"/>
        </w:rPr>
        <w:t>（十六）智慧门诊</w:t>
      </w:r>
      <w:r>
        <w:rPr>
          <w:rFonts w:hint="eastAsia" w:ascii="宋体" w:hAnsi="宋体" w:cs="宋体"/>
          <w:b/>
          <w:bCs/>
          <w:color w:val="auto"/>
          <w:sz w:val="22"/>
          <w:szCs w:val="24"/>
          <w:lang w:val="en-US" w:eastAsia="zh-CN"/>
        </w:rPr>
        <w:t xml:space="preserve"> 预防接种</w:t>
      </w:r>
    </w:p>
    <w:p>
      <w:pPr>
        <w:pStyle w:val="6"/>
        <w:numPr>
          <w:ilvl w:val="2"/>
          <w:numId w:val="0"/>
        </w:numPr>
        <w:tabs>
          <w:tab w:val="left" w:pos="862"/>
        </w:tabs>
        <w:ind w:left="420"/>
        <w:rPr>
          <w:b w:val="0"/>
          <w:bCs w:val="0"/>
          <w:color w:val="auto"/>
          <w:sz w:val="21"/>
          <w:szCs w:val="21"/>
        </w:rPr>
      </w:pPr>
      <w:r>
        <w:rPr>
          <w:rFonts w:hint="eastAsia"/>
          <w:b w:val="0"/>
          <w:bCs w:val="0"/>
          <w:color w:val="auto"/>
          <w:sz w:val="21"/>
          <w:szCs w:val="21"/>
        </w:rPr>
        <w:t>1、路由器</w:t>
      </w:r>
    </w:p>
    <w:tbl>
      <w:tblPr>
        <w:tblStyle w:val="24"/>
        <w:tblW w:w="8520" w:type="dxa"/>
        <w:tblInd w:w="0" w:type="dxa"/>
        <w:tblLayout w:type="fixed"/>
        <w:tblCellMar>
          <w:top w:w="0" w:type="dxa"/>
          <w:left w:w="108" w:type="dxa"/>
          <w:bottom w:w="0" w:type="dxa"/>
          <w:right w:w="108" w:type="dxa"/>
        </w:tblCellMar>
      </w:tblPr>
      <w:tblGrid>
        <w:gridCol w:w="3224"/>
        <w:gridCol w:w="5296"/>
      </w:tblGrid>
      <w:tr>
        <w:tblPrEx>
          <w:tblCellMar>
            <w:top w:w="0" w:type="dxa"/>
            <w:left w:w="108" w:type="dxa"/>
            <w:bottom w:w="0" w:type="dxa"/>
            <w:right w:w="108" w:type="dxa"/>
          </w:tblCellMar>
        </w:tblPrEx>
        <w:trPr>
          <w:trHeight w:val="27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颜色</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白色</w:t>
            </w:r>
          </w:p>
        </w:tc>
      </w:tr>
      <w:tr>
        <w:tblPrEx>
          <w:tblCellMar>
            <w:top w:w="0" w:type="dxa"/>
            <w:left w:w="108" w:type="dxa"/>
            <w:bottom w:w="0" w:type="dxa"/>
            <w:right w:w="108" w:type="dxa"/>
          </w:tblCellMar>
        </w:tblPrEx>
        <w:trPr>
          <w:trHeight w:val="285"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Wan接口（千兆）</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1个</w:t>
            </w:r>
          </w:p>
        </w:tc>
      </w:tr>
      <w:tr>
        <w:tblPrEx>
          <w:tblCellMar>
            <w:top w:w="0" w:type="dxa"/>
            <w:left w:w="108" w:type="dxa"/>
            <w:bottom w:w="0" w:type="dxa"/>
            <w:right w:w="108" w:type="dxa"/>
          </w:tblCellMar>
        </w:tblPrEx>
        <w:trPr>
          <w:trHeight w:val="40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Lan接口（千兆）</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3个</w:t>
            </w:r>
          </w:p>
        </w:tc>
      </w:tr>
      <w:tr>
        <w:tblPrEx>
          <w:tblCellMar>
            <w:top w:w="0" w:type="dxa"/>
            <w:left w:w="108" w:type="dxa"/>
            <w:bottom w:w="0" w:type="dxa"/>
            <w:right w:w="108" w:type="dxa"/>
          </w:tblCellMar>
        </w:tblPrEx>
        <w:trPr>
          <w:trHeight w:val="40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USB接口</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1个</w:t>
            </w:r>
          </w:p>
        </w:tc>
      </w:tr>
      <w:tr>
        <w:tblPrEx>
          <w:tblCellMar>
            <w:top w:w="0" w:type="dxa"/>
            <w:left w:w="108" w:type="dxa"/>
            <w:bottom w:w="0" w:type="dxa"/>
            <w:right w:w="108" w:type="dxa"/>
          </w:tblCellMar>
        </w:tblPrEx>
        <w:trPr>
          <w:trHeight w:val="40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电源规格</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12VDC,12A</w:t>
            </w:r>
          </w:p>
        </w:tc>
      </w:tr>
      <w:tr>
        <w:tblPrEx>
          <w:tblCellMar>
            <w:top w:w="0" w:type="dxa"/>
            <w:left w:w="108" w:type="dxa"/>
            <w:bottom w:w="0" w:type="dxa"/>
            <w:right w:w="108" w:type="dxa"/>
          </w:tblCellMar>
        </w:tblPrEx>
        <w:trPr>
          <w:trHeight w:val="27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无线频段</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 xml:space="preserve">5GHz&amp;2.4GHz双频并发 </w:t>
            </w:r>
          </w:p>
        </w:tc>
      </w:tr>
      <w:tr>
        <w:tblPrEx>
          <w:tblCellMar>
            <w:top w:w="0" w:type="dxa"/>
            <w:left w:w="108" w:type="dxa"/>
            <w:bottom w:w="0" w:type="dxa"/>
            <w:right w:w="108" w:type="dxa"/>
          </w:tblCellMar>
        </w:tblPrEx>
        <w:trPr>
          <w:trHeight w:val="270" w:hRule="atLeast"/>
        </w:trPr>
        <w:tc>
          <w:tcPr>
            <w:tcW w:w="3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整机功率</w:t>
            </w:r>
          </w:p>
        </w:tc>
        <w:tc>
          <w:tcPr>
            <w:tcW w:w="529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＜14W</w:t>
            </w:r>
          </w:p>
        </w:tc>
      </w:tr>
    </w:tbl>
    <w:p>
      <w:pPr>
        <w:pStyle w:val="6"/>
        <w:numPr>
          <w:ilvl w:val="2"/>
          <w:numId w:val="0"/>
        </w:numPr>
        <w:tabs>
          <w:tab w:val="left" w:pos="862"/>
        </w:tabs>
        <w:ind w:left="420"/>
        <w:rPr>
          <w:rFonts w:hint="eastAsia"/>
          <w:b w:val="0"/>
          <w:bCs w:val="0"/>
          <w:color w:val="auto"/>
          <w:sz w:val="21"/>
          <w:szCs w:val="21"/>
        </w:rPr>
      </w:pPr>
      <w:r>
        <w:rPr>
          <w:rFonts w:hint="eastAsia"/>
          <w:b w:val="0"/>
          <w:bCs w:val="0"/>
          <w:color w:val="auto"/>
          <w:sz w:val="21"/>
          <w:szCs w:val="21"/>
        </w:rPr>
        <w:t>2、取号机</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操作系统</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Android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处理器</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显示器</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24寸 分辨率FHD 1080×1920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存储(近似值)</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16G ROM+ 4G RAM     支持MicroSD(TF)，最高128G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打印机</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80mm宽度打印机头，纸卷直径80mm，带自动切刀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显示屏</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电容触摸屏，支持10点触摸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91"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WIFI</w:t>
            </w:r>
          </w:p>
        </w:tc>
        <w:tc>
          <w:tcPr>
            <w:tcW w:w="5528"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双频WIFI 支持 802.11 a/b/g/n/(2.4/5Ghz)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1"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外部接口</w:t>
            </w:r>
          </w:p>
        </w:tc>
        <w:tc>
          <w:tcPr>
            <w:tcW w:w="5528" w:type="dxa"/>
            <w:shd w:val="clear" w:color="auto" w:fill="auto"/>
            <w:vAlign w:val="bottom"/>
          </w:tcPr>
          <w:p>
            <w:pPr>
              <w:widowControl/>
              <w:spacing w:line="360" w:lineRule="auto"/>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5 × USB Type-A口</w:t>
            </w:r>
          </w:p>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 × Micro-USB调试口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91"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喇叭</w:t>
            </w:r>
          </w:p>
        </w:tc>
        <w:tc>
          <w:tcPr>
            <w:tcW w:w="5528"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2*3W（立体声）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91"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整机尺寸（宽 × 深 × 高）mm</w:t>
            </w:r>
          </w:p>
        </w:tc>
        <w:tc>
          <w:tcPr>
            <w:tcW w:w="5528"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540*490*1810mm</w:t>
            </w:r>
          </w:p>
        </w:tc>
      </w:tr>
    </w:tbl>
    <w:p>
      <w:pPr>
        <w:pStyle w:val="6"/>
        <w:numPr>
          <w:ilvl w:val="2"/>
          <w:numId w:val="0"/>
        </w:numPr>
        <w:tabs>
          <w:tab w:val="left" w:pos="862"/>
        </w:tabs>
        <w:ind w:left="420"/>
        <w:rPr>
          <w:rFonts w:hint="eastAsia"/>
          <w:b w:val="0"/>
          <w:bCs w:val="0"/>
          <w:color w:val="auto"/>
          <w:sz w:val="21"/>
          <w:szCs w:val="21"/>
        </w:rPr>
      </w:pPr>
      <w:r>
        <w:rPr>
          <w:rFonts w:hint="eastAsia"/>
          <w:b w:val="0"/>
          <w:bCs w:val="0"/>
          <w:color w:val="auto"/>
          <w:sz w:val="21"/>
          <w:szCs w:val="21"/>
        </w:rPr>
        <w:t>3、留观机</w:t>
      </w:r>
    </w:p>
    <w:tbl>
      <w:tblPr>
        <w:tblStyle w:val="2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操作系统</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Android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处理器</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显示器</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24寸 分辨率FHD 1080×1920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存储(近似值)</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16G ROM+ 4G RAM     支持MicroSD(TF)，最高128G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打印机</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80mm宽度打印机头，纸卷直径80mm，带自动切刀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显示屏</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电容触摸屏，支持10点触摸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09"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WIFI</w:t>
            </w:r>
          </w:p>
        </w:tc>
        <w:tc>
          <w:tcPr>
            <w:tcW w:w="5610"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双频WIFI 支持 802.11 a/b/g/n/(2.4/5Ghz)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909"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外部接口</w:t>
            </w:r>
          </w:p>
        </w:tc>
        <w:tc>
          <w:tcPr>
            <w:tcW w:w="5610" w:type="dxa"/>
            <w:shd w:val="clear" w:color="auto" w:fill="auto"/>
            <w:vAlign w:val="bottom"/>
          </w:tcPr>
          <w:p>
            <w:pPr>
              <w:widowControl/>
              <w:spacing w:line="360" w:lineRule="auto"/>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5 × USB Type-A口</w:t>
            </w:r>
          </w:p>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 × Micro-USB调试口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09"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喇叭</w:t>
            </w:r>
          </w:p>
        </w:tc>
        <w:tc>
          <w:tcPr>
            <w:tcW w:w="5610"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2*3W（立体声）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09"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整机尺寸（宽 × 深 × 高）mm</w:t>
            </w:r>
          </w:p>
        </w:tc>
        <w:tc>
          <w:tcPr>
            <w:tcW w:w="5610" w:type="dxa"/>
            <w:shd w:val="clear" w:color="auto" w:fill="auto"/>
            <w:vAlign w:val="center"/>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540*490*1810mm</w:t>
            </w:r>
          </w:p>
        </w:tc>
      </w:tr>
    </w:tbl>
    <w:p>
      <w:pPr>
        <w:pStyle w:val="6"/>
        <w:numPr>
          <w:ilvl w:val="2"/>
          <w:numId w:val="0"/>
        </w:numPr>
        <w:tabs>
          <w:tab w:val="left" w:pos="862"/>
        </w:tabs>
        <w:ind w:left="420"/>
        <w:rPr>
          <w:rFonts w:hint="eastAsia"/>
          <w:b w:val="0"/>
          <w:bCs w:val="0"/>
          <w:color w:val="auto"/>
          <w:sz w:val="21"/>
          <w:szCs w:val="21"/>
        </w:rPr>
      </w:pPr>
      <w:r>
        <w:rPr>
          <w:rFonts w:hint="eastAsia"/>
          <w:b w:val="0"/>
          <w:bCs w:val="0"/>
          <w:color w:val="auto"/>
          <w:sz w:val="21"/>
          <w:szCs w:val="21"/>
        </w:rPr>
        <w:t>4、32寸电视</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操作系统</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屏幕分辨率</w:t>
            </w:r>
          </w:p>
        </w:tc>
        <w:tc>
          <w:tcPr>
            <w:tcW w:w="6226" w:type="dxa"/>
            <w:shd w:val="clear" w:color="auto" w:fill="auto"/>
            <w:vAlign w:val="bottom"/>
          </w:tcPr>
          <w:p>
            <w:pPr>
              <w:widowControl/>
              <w:jc w:val="left"/>
              <w:rPr>
                <w:rFonts w:asciiTheme="minorEastAsia" w:hAnsiTheme="minorEastAsia" w:eastAsiaTheme="minorEastAsia" w:cstheme="minorEastAsia"/>
                <w:color w:val="auto"/>
                <w:kern w:val="0"/>
                <w:szCs w:val="21"/>
              </w:rPr>
            </w:pPr>
            <w:r>
              <w:rPr>
                <w:rFonts w:asciiTheme="minorEastAsia" w:hAnsiTheme="minorEastAsia" w:eastAsiaTheme="minorEastAsia" w:cstheme="minorEastAsia"/>
                <w:color w:val="auto"/>
                <w:kern w:val="0"/>
                <w:szCs w:val="21"/>
              </w:rPr>
              <w:t>全高清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屏幕比例</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屏幕尺寸</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rPr>
              <w:t>32</w:t>
            </w:r>
            <w:r>
              <w:rPr>
                <w:rFonts w:hint="eastAsia" w:asciiTheme="minorEastAsia" w:hAnsiTheme="minorEastAsia" w:eastAsiaTheme="minorEastAsia" w:cstheme="minorEastAsia"/>
                <w:color w:val="auto"/>
                <w:kern w:val="0"/>
                <w:szCs w:val="21"/>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单屏尺寸mm</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721.2*82.15*427.46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含底座重</w:t>
            </w:r>
            <w:r>
              <w:rPr>
                <w:rFonts w:hint="eastAsia" w:asciiTheme="minorEastAsia" w:hAnsiTheme="minorEastAsia" w:cstheme="minorEastAsia"/>
                <w:color w:val="auto"/>
                <w:kern w:val="0"/>
                <w:szCs w:val="21"/>
              </w:rPr>
              <w:t>量</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rPr>
              <w:t>3.77</w:t>
            </w:r>
            <w:r>
              <w:rPr>
                <w:rFonts w:hint="eastAsia" w:asciiTheme="minorEastAsia" w:hAnsiTheme="minorEastAsia" w:eastAsiaTheme="minorEastAsia" w:cstheme="minorEastAsia"/>
                <w:color w:val="auto"/>
                <w:kern w:val="0"/>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电视接口类型</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USB   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HDMI接口数量</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电源功率</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待机功率</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≤0.50W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工作电压</w:t>
            </w:r>
          </w:p>
        </w:tc>
        <w:tc>
          <w:tcPr>
            <w:tcW w:w="6226" w:type="dxa"/>
            <w:shd w:val="clear" w:color="auto" w:fill="auto"/>
            <w:vAlign w:val="bottom"/>
          </w:tcPr>
          <w:p>
            <w:pPr>
              <w:widowControl/>
              <w:spacing w:line="360"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220V</w:t>
            </w:r>
          </w:p>
        </w:tc>
      </w:tr>
    </w:tbl>
    <w:p>
      <w:pPr>
        <w:pStyle w:val="6"/>
        <w:numPr>
          <w:ilvl w:val="2"/>
          <w:numId w:val="0"/>
        </w:numPr>
        <w:tabs>
          <w:tab w:val="left" w:pos="862"/>
        </w:tabs>
        <w:ind w:left="420"/>
        <w:rPr>
          <w:rFonts w:hint="eastAsia"/>
          <w:b w:val="0"/>
          <w:bCs w:val="0"/>
          <w:color w:val="auto"/>
          <w:sz w:val="21"/>
          <w:szCs w:val="21"/>
        </w:rPr>
      </w:pPr>
      <w:r>
        <w:rPr>
          <w:rFonts w:hint="eastAsia"/>
          <w:b w:val="0"/>
          <w:bCs w:val="0"/>
          <w:color w:val="auto"/>
          <w:sz w:val="21"/>
          <w:szCs w:val="21"/>
        </w:rPr>
        <w:t>5、55寸电视</w:t>
      </w:r>
    </w:p>
    <w:tbl>
      <w:tblPr>
        <w:tblStyle w:val="2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操作系统</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屏幕分辨率</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超高清4K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屏幕比例</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屏幕尺寸</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单屏尺寸（宽*高*厚）mm</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1242mm*722.2mm*85.7mm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净重(不含底座)</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电视接口类型</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AV 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HDMI接口数量</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USB接口</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94"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连接方式</w:t>
            </w:r>
          </w:p>
        </w:tc>
        <w:tc>
          <w:tcPr>
            <w:tcW w:w="6226" w:type="dxa"/>
            <w:shd w:val="clear" w:color="auto" w:fill="auto"/>
            <w:vAlign w:val="center"/>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无线/有线</w:t>
            </w:r>
          </w:p>
        </w:tc>
      </w:tr>
    </w:tbl>
    <w:p>
      <w:pPr>
        <w:pStyle w:val="6"/>
        <w:numPr>
          <w:ilvl w:val="2"/>
          <w:numId w:val="0"/>
        </w:numPr>
        <w:tabs>
          <w:tab w:val="left" w:pos="862"/>
        </w:tabs>
        <w:ind w:left="420"/>
        <w:rPr>
          <w:rFonts w:hint="eastAsia"/>
          <w:b w:val="0"/>
          <w:bCs w:val="0"/>
          <w:color w:val="auto"/>
          <w:sz w:val="21"/>
          <w:szCs w:val="21"/>
        </w:rPr>
      </w:pPr>
      <w:r>
        <w:rPr>
          <w:rFonts w:hint="eastAsia"/>
          <w:b w:val="0"/>
          <w:bCs w:val="0"/>
          <w:color w:val="auto"/>
          <w:sz w:val="21"/>
          <w:szCs w:val="21"/>
        </w:rPr>
        <w:t>6、音响</w:t>
      </w:r>
    </w:p>
    <w:tbl>
      <w:tblPr>
        <w:tblStyle w:val="2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全频喇叭</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1*5"(135mm)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频率响应</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75-20KHz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系统/箱体类型</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全频反射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灵敏度</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95±2dB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连接输入</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阻抗</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40hm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尺寸</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320mm*210mm*110mm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声道</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连接方式</w:t>
            </w:r>
          </w:p>
        </w:tc>
        <w:tc>
          <w:tcPr>
            <w:tcW w:w="6194" w:type="dxa"/>
          </w:tcPr>
          <w:p>
            <w:pPr>
              <w:widowControl/>
              <w:spacing w:line="360" w:lineRule="auto"/>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蓝牙，AUX，USB</w:t>
            </w:r>
          </w:p>
        </w:tc>
      </w:tr>
    </w:tbl>
    <w:p>
      <w:pPr>
        <w:ind w:firstLine="211" w:firstLineChars="100"/>
        <w:rPr>
          <w:rFonts w:hint="eastAsia"/>
          <w:b/>
          <w:bCs/>
          <w:color w:val="auto"/>
        </w:rPr>
      </w:pPr>
    </w:p>
    <w:p>
      <w:pPr>
        <w:ind w:firstLine="210" w:firstLineChars="100"/>
        <w:rPr>
          <w:rFonts w:hint="eastAsia"/>
          <w:b w:val="0"/>
          <w:bCs w:val="0"/>
          <w:color w:val="auto"/>
        </w:rPr>
      </w:pPr>
    </w:p>
    <w:p>
      <w:pPr>
        <w:ind w:firstLine="210" w:firstLineChars="100"/>
        <w:rPr>
          <w:rFonts w:hint="eastAsia"/>
          <w:b w:val="0"/>
          <w:bCs w:val="0"/>
          <w:color w:val="auto"/>
        </w:rPr>
      </w:pPr>
    </w:p>
    <w:p>
      <w:pPr>
        <w:ind w:firstLine="210" w:firstLineChars="100"/>
        <w:rPr>
          <w:rFonts w:hint="eastAsia"/>
          <w:b w:val="0"/>
          <w:bCs w:val="0"/>
          <w:color w:val="auto"/>
        </w:rPr>
      </w:pPr>
    </w:p>
    <w:p>
      <w:pPr>
        <w:ind w:firstLine="210" w:firstLineChars="100"/>
        <w:rPr>
          <w:rFonts w:hint="eastAsia"/>
          <w:b w:val="0"/>
          <w:bCs w:val="0"/>
          <w:color w:val="auto"/>
        </w:rPr>
      </w:pPr>
    </w:p>
    <w:p>
      <w:pPr>
        <w:ind w:firstLine="210" w:firstLineChars="100"/>
        <w:rPr>
          <w:b w:val="0"/>
          <w:bCs w:val="0"/>
          <w:color w:val="auto"/>
        </w:rPr>
      </w:pPr>
      <w:r>
        <w:rPr>
          <w:rFonts w:hint="eastAsia"/>
          <w:b w:val="0"/>
          <w:bCs w:val="0"/>
          <w:color w:val="auto"/>
        </w:rPr>
        <w:t>7、</w:t>
      </w:r>
      <w:r>
        <w:rPr>
          <w:rFonts w:hint="eastAsia" w:ascii="宋体" w:hAnsi="宋体" w:cs="宋体"/>
          <w:b w:val="0"/>
          <w:bCs w:val="0"/>
          <w:color w:val="auto"/>
        </w:rPr>
        <w:t>智慧门诊</w:t>
      </w:r>
      <w:r>
        <w:rPr>
          <w:rFonts w:hint="eastAsia"/>
          <w:b w:val="0"/>
          <w:bCs w:val="0"/>
          <w:color w:val="auto"/>
        </w:rPr>
        <w:t>软件功能详细技术参数</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sz w:val="22"/>
          <w:szCs w:val="22"/>
          <w:lang w:eastAsia="zh-CN"/>
        </w:rPr>
        <w:t>★</w:t>
      </w:r>
      <w:r>
        <w:rPr>
          <w:rFonts w:hint="eastAsia" w:ascii="宋体" w:hAnsi="宋体" w:cs="宋体"/>
          <w:color w:val="auto"/>
          <w:sz w:val="22"/>
          <w:szCs w:val="20"/>
          <w:lang w:eastAsia="zh-CN"/>
        </w:rPr>
        <w:t>（一）</w:t>
      </w:r>
      <w:r>
        <w:rPr>
          <w:rFonts w:hint="eastAsia" w:ascii="宋体" w:hAnsi="宋体" w:cs="宋体"/>
          <w:color w:val="auto"/>
          <w:sz w:val="22"/>
          <w:szCs w:val="20"/>
        </w:rPr>
        <w:t>取号软件系统</w:t>
      </w:r>
    </w:p>
    <w:p>
      <w:pPr>
        <w:numPr>
          <w:ilvl w:val="0"/>
          <w:numId w:val="14"/>
        </w:numPr>
        <w:ind w:left="420" w:leftChars="200" w:firstLine="0"/>
        <w:rPr>
          <w:rFonts w:ascii="宋体" w:hAnsi="宋体"/>
          <w:color w:val="auto"/>
          <w:szCs w:val="21"/>
        </w:rPr>
      </w:pPr>
      <w:r>
        <w:rPr>
          <w:rFonts w:hint="eastAsia" w:ascii="宋体" w:hAnsi="宋体"/>
          <w:color w:val="auto"/>
          <w:szCs w:val="21"/>
        </w:rPr>
        <w:t>取号功能</w:t>
      </w:r>
      <w:r>
        <w:rPr>
          <w:rFonts w:ascii="宋体" w:hAnsi="宋体"/>
          <w:color w:val="auto"/>
          <w:szCs w:val="21"/>
        </w:rPr>
        <w:t>：</w:t>
      </w:r>
    </w:p>
    <w:p>
      <w:pPr>
        <w:numPr>
          <w:ilvl w:val="0"/>
          <w:numId w:val="15"/>
        </w:numPr>
        <w:ind w:left="0" w:firstLine="420" w:firstLineChars="200"/>
        <w:rPr>
          <w:rFonts w:ascii="宋体" w:hAnsi="宋体"/>
          <w:color w:val="auto"/>
          <w:szCs w:val="21"/>
        </w:rPr>
      </w:pPr>
      <w:r>
        <w:rPr>
          <w:rFonts w:hint="eastAsia" w:ascii="宋体" w:hAnsi="宋体"/>
          <w:color w:val="auto"/>
          <w:szCs w:val="21"/>
        </w:rPr>
        <w:t>支持取号机取号</w:t>
      </w:r>
      <w:r>
        <w:rPr>
          <w:rFonts w:hint="eastAsia" w:ascii="宋体" w:hAnsi="宋体"/>
          <w:color w:val="auto"/>
          <w:szCs w:val="21"/>
          <w:lang w:eastAsia="zh-CN"/>
        </w:rPr>
        <w:t>；</w:t>
      </w:r>
    </w:p>
    <w:p>
      <w:pPr>
        <w:numPr>
          <w:ilvl w:val="0"/>
          <w:numId w:val="15"/>
        </w:numPr>
        <w:ind w:left="0" w:firstLine="420" w:firstLineChars="200"/>
        <w:rPr>
          <w:rFonts w:ascii="宋体" w:hAnsi="宋体"/>
          <w:b w:val="0"/>
          <w:bCs/>
          <w:color w:val="auto"/>
          <w:szCs w:val="21"/>
        </w:rPr>
      </w:pPr>
      <w:r>
        <w:rPr>
          <w:rFonts w:hint="eastAsia" w:ascii="宋体" w:hAnsi="宋体"/>
          <w:b w:val="0"/>
          <w:bCs/>
          <w:color w:val="auto"/>
          <w:szCs w:val="21"/>
        </w:rPr>
        <w:t>支持智能手机取号</w:t>
      </w:r>
      <w:r>
        <w:rPr>
          <w:rFonts w:hint="eastAsia" w:ascii="宋体" w:hAnsi="宋体"/>
          <w:b w:val="0"/>
          <w:bCs/>
          <w:color w:val="auto"/>
          <w:szCs w:val="21"/>
          <w:lang w:eastAsia="zh-CN"/>
        </w:rPr>
        <w:t>；</w:t>
      </w:r>
    </w:p>
    <w:p>
      <w:pPr>
        <w:numPr>
          <w:ilvl w:val="0"/>
          <w:numId w:val="15"/>
        </w:numPr>
        <w:ind w:left="0" w:firstLine="420" w:firstLineChars="200"/>
        <w:rPr>
          <w:rFonts w:ascii="宋体" w:hAnsi="宋体"/>
          <w:b w:val="0"/>
          <w:bCs/>
          <w:color w:val="auto"/>
          <w:szCs w:val="21"/>
        </w:rPr>
      </w:pPr>
      <w:r>
        <w:rPr>
          <w:rFonts w:hint="eastAsia" w:ascii="宋体" w:hAnsi="宋体"/>
          <w:b w:val="0"/>
          <w:bCs/>
          <w:color w:val="auto"/>
          <w:szCs w:val="21"/>
        </w:rPr>
        <w:t>支持取</w:t>
      </w:r>
      <w:r>
        <w:rPr>
          <w:rFonts w:ascii="宋体" w:hAnsi="宋体"/>
          <w:b w:val="0"/>
          <w:bCs/>
          <w:color w:val="auto"/>
          <w:szCs w:val="21"/>
        </w:rPr>
        <w:t>预约号</w:t>
      </w:r>
      <w:r>
        <w:rPr>
          <w:rFonts w:hint="eastAsia" w:ascii="宋体" w:hAnsi="宋体"/>
          <w:b w:val="0"/>
          <w:bCs/>
          <w:color w:val="auto"/>
          <w:szCs w:val="21"/>
        </w:rPr>
        <w:t>、</w:t>
      </w:r>
      <w:r>
        <w:rPr>
          <w:rFonts w:ascii="宋体" w:hAnsi="宋体"/>
          <w:b w:val="0"/>
          <w:bCs/>
          <w:color w:val="auto"/>
          <w:szCs w:val="21"/>
        </w:rPr>
        <w:t>普通号、儿保号</w:t>
      </w:r>
      <w:r>
        <w:rPr>
          <w:rFonts w:hint="eastAsia" w:ascii="宋体" w:hAnsi="宋体"/>
          <w:b w:val="0"/>
          <w:bCs/>
          <w:color w:val="auto"/>
          <w:szCs w:val="21"/>
        </w:rPr>
        <w:t>，接种证取号；</w:t>
      </w:r>
    </w:p>
    <w:p>
      <w:pPr>
        <w:numPr>
          <w:ilvl w:val="0"/>
          <w:numId w:val="15"/>
        </w:numPr>
        <w:ind w:left="0" w:firstLine="420" w:firstLineChars="200"/>
        <w:rPr>
          <w:rFonts w:ascii="宋体" w:hAnsi="宋体"/>
          <w:b w:val="0"/>
          <w:bCs/>
          <w:color w:val="auto"/>
          <w:szCs w:val="21"/>
        </w:rPr>
      </w:pPr>
      <w:r>
        <w:rPr>
          <w:rFonts w:hint="eastAsia" w:ascii="宋体" w:hAnsi="宋体"/>
          <w:b w:val="0"/>
          <w:bCs/>
          <w:color w:val="auto"/>
          <w:szCs w:val="21"/>
        </w:rPr>
        <w:t>支持受种者或监护人通过手机在线取号，查看叫号状态、预计等待时间等</w:t>
      </w:r>
      <w:r>
        <w:rPr>
          <w:rFonts w:hint="eastAsia" w:ascii="宋体" w:hAnsi="宋体"/>
          <w:b w:val="0"/>
          <w:bCs/>
          <w:color w:val="auto"/>
          <w:szCs w:val="21"/>
          <w:lang w:eastAsia="zh-CN"/>
        </w:rPr>
        <w:t>。</w:t>
      </w:r>
    </w:p>
    <w:p>
      <w:pPr>
        <w:numPr>
          <w:ilvl w:val="0"/>
          <w:numId w:val="14"/>
        </w:numPr>
        <w:ind w:left="420" w:leftChars="200" w:firstLine="0"/>
        <w:rPr>
          <w:rFonts w:ascii="宋体" w:hAnsi="宋体"/>
          <w:color w:val="auto"/>
          <w:szCs w:val="21"/>
        </w:rPr>
      </w:pPr>
      <w:r>
        <w:rPr>
          <w:rFonts w:hint="eastAsia" w:ascii="宋体" w:hAnsi="宋体"/>
          <w:color w:val="auto"/>
          <w:szCs w:val="21"/>
        </w:rPr>
        <w:t>配置功能：</w:t>
      </w:r>
    </w:p>
    <w:p>
      <w:pPr>
        <w:numPr>
          <w:ilvl w:val="0"/>
          <w:numId w:val="16"/>
        </w:numPr>
        <w:ind w:left="0" w:firstLine="420" w:firstLineChars="200"/>
        <w:rPr>
          <w:rFonts w:ascii="宋体" w:hAnsi="宋体"/>
          <w:color w:val="auto"/>
          <w:szCs w:val="21"/>
        </w:rPr>
      </w:pPr>
      <w:r>
        <w:rPr>
          <w:rFonts w:ascii="宋体" w:hAnsi="宋体"/>
          <w:color w:val="auto"/>
          <w:szCs w:val="21"/>
        </w:rPr>
        <w:t>工作台设置：</w:t>
      </w:r>
      <w:r>
        <w:rPr>
          <w:rFonts w:hint="eastAsia" w:ascii="宋体" w:hAnsi="宋体"/>
          <w:color w:val="auto"/>
          <w:szCs w:val="21"/>
        </w:rPr>
        <w:t>支持</w:t>
      </w:r>
      <w:r>
        <w:rPr>
          <w:rFonts w:ascii="宋体" w:hAnsi="宋体"/>
          <w:color w:val="auto"/>
          <w:szCs w:val="21"/>
        </w:rPr>
        <w:t>儿保台、预检台、登记台、收费台、接种台多种不同的工作台供门诊选择</w:t>
      </w:r>
      <w:r>
        <w:rPr>
          <w:rFonts w:hint="eastAsia" w:ascii="宋体" w:hAnsi="宋体"/>
          <w:color w:val="auto"/>
          <w:szCs w:val="21"/>
        </w:rPr>
        <w:t>；</w:t>
      </w:r>
    </w:p>
    <w:p>
      <w:pPr>
        <w:numPr>
          <w:ilvl w:val="0"/>
          <w:numId w:val="16"/>
        </w:numPr>
        <w:ind w:left="0" w:firstLine="420" w:firstLineChars="200"/>
        <w:rPr>
          <w:rFonts w:ascii="宋体" w:hAnsi="宋体"/>
          <w:color w:val="auto"/>
          <w:szCs w:val="21"/>
        </w:rPr>
      </w:pPr>
      <w:r>
        <w:rPr>
          <w:rFonts w:ascii="宋体" w:hAnsi="宋体"/>
          <w:color w:val="auto"/>
          <w:szCs w:val="21"/>
        </w:rPr>
        <w:t>预约</w:t>
      </w:r>
      <w:r>
        <w:rPr>
          <w:rFonts w:hint="eastAsia" w:ascii="宋体" w:hAnsi="宋体"/>
          <w:color w:val="auto"/>
          <w:szCs w:val="21"/>
        </w:rPr>
        <w:t>取号</w:t>
      </w:r>
      <w:r>
        <w:rPr>
          <w:rFonts w:ascii="宋体" w:hAnsi="宋体"/>
          <w:color w:val="auto"/>
          <w:szCs w:val="21"/>
        </w:rPr>
        <w:t>设置：</w:t>
      </w:r>
      <w:r>
        <w:rPr>
          <w:rFonts w:hint="eastAsia" w:ascii="宋体" w:hAnsi="宋体"/>
          <w:color w:val="auto"/>
          <w:szCs w:val="21"/>
        </w:rPr>
        <w:t>支持</w:t>
      </w:r>
      <w:r>
        <w:rPr>
          <w:rFonts w:ascii="宋体" w:hAnsi="宋体"/>
          <w:color w:val="auto"/>
          <w:szCs w:val="21"/>
        </w:rPr>
        <w:t>设置预约用户可延迟取号时间</w:t>
      </w:r>
      <w:r>
        <w:rPr>
          <w:rFonts w:hint="eastAsia" w:ascii="宋体" w:hAnsi="宋体"/>
          <w:color w:val="auto"/>
          <w:szCs w:val="21"/>
        </w:rPr>
        <w:t>；</w:t>
      </w:r>
    </w:p>
    <w:p>
      <w:pPr>
        <w:numPr>
          <w:ilvl w:val="0"/>
          <w:numId w:val="16"/>
        </w:numPr>
        <w:ind w:left="0" w:firstLine="420" w:firstLineChars="200"/>
        <w:rPr>
          <w:rFonts w:ascii="宋体" w:hAnsi="宋体"/>
          <w:color w:val="auto"/>
          <w:szCs w:val="21"/>
        </w:rPr>
      </w:pPr>
      <w:r>
        <w:rPr>
          <w:rFonts w:ascii="宋体" w:hAnsi="宋体"/>
          <w:color w:val="auto"/>
          <w:szCs w:val="21"/>
        </w:rPr>
        <w:t>取号设置：</w:t>
      </w:r>
      <w:r>
        <w:rPr>
          <w:rFonts w:hint="eastAsia" w:ascii="宋体" w:hAnsi="宋体"/>
          <w:color w:val="auto"/>
          <w:szCs w:val="21"/>
        </w:rPr>
        <w:t>支持设置门诊当天取普通号的时段及取号数量、</w:t>
      </w:r>
      <w:r>
        <w:rPr>
          <w:rFonts w:ascii="宋体" w:hAnsi="宋体"/>
          <w:color w:val="auto"/>
          <w:szCs w:val="21"/>
        </w:rPr>
        <w:t>按钮名称</w:t>
      </w:r>
      <w:r>
        <w:rPr>
          <w:rFonts w:hint="eastAsia" w:ascii="宋体" w:hAnsi="宋体"/>
          <w:color w:val="auto"/>
          <w:szCs w:val="21"/>
        </w:rPr>
        <w:t>自定义；</w:t>
      </w:r>
    </w:p>
    <w:p>
      <w:pPr>
        <w:numPr>
          <w:ilvl w:val="0"/>
          <w:numId w:val="16"/>
        </w:numPr>
        <w:ind w:left="0" w:firstLine="420" w:firstLineChars="200"/>
        <w:rPr>
          <w:rFonts w:ascii="宋体" w:hAnsi="宋体"/>
          <w:color w:val="auto"/>
          <w:szCs w:val="21"/>
        </w:rPr>
      </w:pPr>
      <w:r>
        <w:rPr>
          <w:rFonts w:ascii="宋体" w:hAnsi="宋体"/>
          <w:color w:val="auto"/>
          <w:szCs w:val="21"/>
        </w:rPr>
        <w:t>打印设置：</w:t>
      </w:r>
      <w:r>
        <w:rPr>
          <w:rFonts w:hint="eastAsia" w:ascii="宋体" w:hAnsi="宋体"/>
          <w:color w:val="auto"/>
          <w:szCs w:val="21"/>
        </w:rPr>
        <w:t>支持可</w:t>
      </w:r>
      <w:r>
        <w:rPr>
          <w:rFonts w:ascii="宋体" w:hAnsi="宋体"/>
          <w:color w:val="auto"/>
          <w:szCs w:val="21"/>
        </w:rPr>
        <w:t>设置是否打印取号凭证的二维码及当前排队人数</w:t>
      </w:r>
      <w:r>
        <w:rPr>
          <w:rFonts w:hint="eastAsia" w:ascii="宋体" w:hAnsi="宋体"/>
          <w:color w:val="auto"/>
          <w:szCs w:val="21"/>
        </w:rPr>
        <w:t>；</w:t>
      </w:r>
    </w:p>
    <w:p>
      <w:pPr>
        <w:numPr>
          <w:ilvl w:val="0"/>
          <w:numId w:val="16"/>
        </w:numPr>
        <w:ind w:left="0" w:firstLine="420" w:firstLineChars="200"/>
        <w:rPr>
          <w:rFonts w:ascii="宋体" w:hAnsi="宋体"/>
          <w:color w:val="auto"/>
          <w:szCs w:val="21"/>
        </w:rPr>
      </w:pPr>
      <w:r>
        <w:rPr>
          <w:rFonts w:ascii="宋体" w:hAnsi="宋体"/>
          <w:color w:val="auto"/>
          <w:szCs w:val="21"/>
        </w:rPr>
        <w:t>语音播报设置：</w:t>
      </w:r>
      <w:r>
        <w:rPr>
          <w:rFonts w:hint="eastAsia" w:ascii="宋体" w:hAnsi="宋体"/>
          <w:color w:val="auto"/>
          <w:szCs w:val="21"/>
        </w:rPr>
        <w:t>支持设</w:t>
      </w:r>
      <w:r>
        <w:rPr>
          <w:rFonts w:ascii="宋体" w:hAnsi="宋体"/>
          <w:color w:val="auto"/>
          <w:szCs w:val="21"/>
        </w:rPr>
        <w:t>置在呼叫排队号时是否播报语音</w:t>
      </w:r>
      <w:r>
        <w:rPr>
          <w:rFonts w:hint="eastAsia" w:ascii="宋体" w:hAnsi="宋体"/>
          <w:color w:val="auto"/>
          <w:szCs w:val="21"/>
        </w:rPr>
        <w:t>；</w:t>
      </w:r>
    </w:p>
    <w:p>
      <w:pPr>
        <w:numPr>
          <w:ilvl w:val="0"/>
          <w:numId w:val="16"/>
        </w:numPr>
        <w:ind w:left="0" w:firstLine="420" w:firstLineChars="200"/>
        <w:rPr>
          <w:rFonts w:ascii="宋体" w:hAnsi="宋体"/>
          <w:color w:val="auto"/>
          <w:szCs w:val="21"/>
        </w:rPr>
      </w:pPr>
      <w:r>
        <w:rPr>
          <w:rFonts w:ascii="宋体" w:hAnsi="宋体"/>
          <w:color w:val="auto"/>
          <w:szCs w:val="21"/>
        </w:rPr>
        <w:t>工作台名称设置：</w:t>
      </w:r>
      <w:r>
        <w:rPr>
          <w:rFonts w:hint="eastAsia" w:ascii="宋体" w:hAnsi="宋体"/>
          <w:color w:val="auto"/>
          <w:szCs w:val="21"/>
        </w:rPr>
        <w:t>支持</w:t>
      </w:r>
      <w:r>
        <w:rPr>
          <w:rFonts w:ascii="宋体" w:hAnsi="宋体"/>
          <w:color w:val="auto"/>
          <w:szCs w:val="21"/>
        </w:rPr>
        <w:t>可对工作台的名称进行配置</w:t>
      </w:r>
      <w:r>
        <w:rPr>
          <w:rFonts w:hint="eastAsia" w:ascii="宋体" w:hAnsi="宋体"/>
          <w:color w:val="auto"/>
          <w:szCs w:val="21"/>
        </w:rPr>
        <w:t>和自定义。</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sz w:val="22"/>
          <w:szCs w:val="22"/>
          <w:lang w:eastAsia="zh-CN"/>
        </w:rPr>
        <w:t>★</w:t>
      </w:r>
      <w:r>
        <w:rPr>
          <w:rFonts w:hint="eastAsia" w:ascii="宋体" w:hAnsi="宋体" w:cs="宋体"/>
          <w:color w:val="auto"/>
          <w:sz w:val="22"/>
          <w:szCs w:val="20"/>
          <w:lang w:eastAsia="zh-CN"/>
        </w:rPr>
        <w:t>（二）</w:t>
      </w:r>
      <w:r>
        <w:rPr>
          <w:rFonts w:hint="eastAsia" w:ascii="宋体" w:hAnsi="宋体" w:cs="宋体"/>
          <w:color w:val="auto"/>
          <w:sz w:val="22"/>
          <w:szCs w:val="20"/>
        </w:rPr>
        <w:t>叫号软件系统</w:t>
      </w:r>
    </w:p>
    <w:p>
      <w:pPr>
        <w:numPr>
          <w:ilvl w:val="0"/>
          <w:numId w:val="17"/>
        </w:numPr>
        <w:ind w:left="420" w:leftChars="200" w:firstLine="0"/>
        <w:rPr>
          <w:rFonts w:ascii="宋体" w:hAnsi="宋体"/>
          <w:color w:val="auto"/>
          <w:szCs w:val="21"/>
        </w:rPr>
      </w:pPr>
      <w:r>
        <w:rPr>
          <w:rFonts w:hint="eastAsia" w:ascii="宋体" w:hAnsi="宋体"/>
          <w:color w:val="auto"/>
          <w:szCs w:val="21"/>
        </w:rPr>
        <w:t>叫号功能：</w:t>
      </w:r>
    </w:p>
    <w:p>
      <w:pPr>
        <w:numPr>
          <w:ilvl w:val="0"/>
          <w:numId w:val="18"/>
        </w:numPr>
        <w:ind w:left="0" w:firstLine="420" w:firstLineChars="200"/>
        <w:rPr>
          <w:rFonts w:ascii="宋体" w:hAnsi="宋体"/>
          <w:color w:val="auto"/>
          <w:szCs w:val="21"/>
        </w:rPr>
      </w:pPr>
      <w:r>
        <w:rPr>
          <w:rFonts w:hint="eastAsia" w:ascii="宋体" w:hAnsi="宋体"/>
          <w:color w:val="auto"/>
          <w:szCs w:val="21"/>
        </w:rPr>
        <w:t>支持手持移动智能终端或者PC电脑端叫号；</w:t>
      </w:r>
    </w:p>
    <w:p>
      <w:pPr>
        <w:numPr>
          <w:ilvl w:val="0"/>
          <w:numId w:val="18"/>
        </w:numPr>
        <w:ind w:left="0" w:firstLine="420" w:firstLineChars="200"/>
        <w:rPr>
          <w:rFonts w:ascii="宋体" w:hAnsi="宋体"/>
          <w:color w:val="auto"/>
          <w:szCs w:val="21"/>
        </w:rPr>
      </w:pPr>
      <w:r>
        <w:rPr>
          <w:rFonts w:hint="eastAsia" w:ascii="宋体" w:hAnsi="宋体"/>
          <w:color w:val="auto"/>
          <w:szCs w:val="21"/>
        </w:rPr>
        <w:t>支持</w:t>
      </w:r>
      <w:r>
        <w:rPr>
          <w:rFonts w:ascii="宋体" w:hAnsi="宋体"/>
          <w:color w:val="auto"/>
          <w:szCs w:val="21"/>
        </w:rPr>
        <w:t>对工作台中的排队</w:t>
      </w:r>
      <w:r>
        <w:rPr>
          <w:rFonts w:hint="eastAsia" w:ascii="宋体" w:hAnsi="宋体"/>
          <w:color w:val="auto"/>
          <w:szCs w:val="21"/>
        </w:rPr>
        <w:t>号码</w:t>
      </w:r>
      <w:r>
        <w:rPr>
          <w:rFonts w:ascii="宋体" w:hAnsi="宋体"/>
          <w:color w:val="auto"/>
          <w:szCs w:val="21"/>
        </w:rPr>
        <w:t>进行呼叫；</w:t>
      </w:r>
    </w:p>
    <w:p>
      <w:pPr>
        <w:numPr>
          <w:ilvl w:val="0"/>
          <w:numId w:val="17"/>
        </w:numPr>
        <w:ind w:left="420" w:leftChars="200" w:firstLine="0"/>
        <w:rPr>
          <w:rFonts w:ascii="宋体" w:hAnsi="宋体"/>
          <w:color w:val="auto"/>
          <w:szCs w:val="21"/>
        </w:rPr>
      </w:pPr>
      <w:r>
        <w:rPr>
          <w:rFonts w:hint="eastAsia" w:ascii="宋体" w:hAnsi="宋体"/>
          <w:color w:val="auto"/>
          <w:szCs w:val="21"/>
        </w:rPr>
        <w:t>查看数据：</w:t>
      </w:r>
    </w:p>
    <w:p>
      <w:pPr>
        <w:numPr>
          <w:ilvl w:val="0"/>
          <w:numId w:val="19"/>
        </w:numPr>
        <w:ind w:left="0" w:firstLine="420" w:firstLineChars="200"/>
        <w:rPr>
          <w:rFonts w:ascii="宋体" w:hAnsi="宋体"/>
          <w:color w:val="auto"/>
          <w:szCs w:val="21"/>
        </w:rPr>
      </w:pPr>
      <w:r>
        <w:rPr>
          <w:rFonts w:hint="eastAsia" w:ascii="宋体" w:hAnsi="宋体"/>
          <w:color w:val="auto"/>
          <w:szCs w:val="21"/>
        </w:rPr>
        <w:t>可查看各工作台当前排队情况、门诊当天预约情况；</w:t>
      </w:r>
    </w:p>
    <w:p>
      <w:pPr>
        <w:numPr>
          <w:ilvl w:val="0"/>
          <w:numId w:val="19"/>
        </w:numPr>
        <w:ind w:left="0" w:firstLine="420" w:firstLineChars="200"/>
        <w:rPr>
          <w:rFonts w:ascii="宋体" w:hAnsi="宋体"/>
          <w:color w:val="auto"/>
          <w:szCs w:val="21"/>
        </w:rPr>
      </w:pPr>
      <w:r>
        <w:rPr>
          <w:rFonts w:hint="eastAsia" w:ascii="宋体" w:hAnsi="宋体"/>
          <w:color w:val="auto"/>
          <w:szCs w:val="21"/>
        </w:rPr>
        <w:t>支持门诊当天所取的号的状态及接种核签情况查询与统计。</w:t>
      </w:r>
    </w:p>
    <w:p>
      <w:pPr>
        <w:numPr>
          <w:ilvl w:val="0"/>
          <w:numId w:val="17"/>
        </w:numPr>
        <w:ind w:left="420" w:leftChars="200" w:firstLine="0"/>
        <w:rPr>
          <w:rFonts w:ascii="宋体" w:hAnsi="宋体"/>
          <w:color w:val="auto"/>
          <w:szCs w:val="21"/>
        </w:rPr>
      </w:pPr>
      <w:r>
        <w:rPr>
          <w:rFonts w:hint="eastAsia" w:ascii="宋体" w:hAnsi="宋体"/>
          <w:color w:val="auto"/>
          <w:szCs w:val="21"/>
        </w:rPr>
        <w:t>功能设置：</w:t>
      </w:r>
    </w:p>
    <w:p>
      <w:pPr>
        <w:numPr>
          <w:ilvl w:val="0"/>
          <w:numId w:val="20"/>
        </w:numPr>
        <w:ind w:left="0" w:firstLine="420" w:firstLineChars="200"/>
        <w:rPr>
          <w:rFonts w:ascii="宋体" w:hAnsi="宋体"/>
          <w:color w:val="auto"/>
          <w:szCs w:val="21"/>
        </w:rPr>
      </w:pPr>
      <w:r>
        <w:rPr>
          <w:rFonts w:hint="eastAsia" w:ascii="宋体" w:hAnsi="宋体"/>
          <w:color w:val="auto"/>
          <w:szCs w:val="21"/>
        </w:rPr>
        <w:t>工作台设置：支持对当前设备所属的工作台及台号自定义设置；</w:t>
      </w:r>
    </w:p>
    <w:p>
      <w:pPr>
        <w:numPr>
          <w:ilvl w:val="0"/>
          <w:numId w:val="20"/>
        </w:numPr>
        <w:ind w:left="0" w:firstLine="420" w:firstLineChars="200"/>
        <w:rPr>
          <w:rFonts w:ascii="宋体" w:hAnsi="宋体"/>
          <w:color w:val="auto"/>
          <w:szCs w:val="21"/>
        </w:rPr>
      </w:pPr>
      <w:r>
        <w:rPr>
          <w:rFonts w:hint="eastAsia" w:ascii="宋体" w:hAnsi="宋体"/>
          <w:color w:val="auto"/>
          <w:szCs w:val="21"/>
        </w:rPr>
        <w:t>语音叫号次数设置：支持设置叫号语音播报次数及内容；</w:t>
      </w:r>
    </w:p>
    <w:p>
      <w:pPr>
        <w:numPr>
          <w:ilvl w:val="0"/>
          <w:numId w:val="20"/>
        </w:numPr>
        <w:ind w:left="0" w:firstLine="420" w:firstLineChars="200"/>
        <w:rPr>
          <w:rFonts w:ascii="宋体" w:hAnsi="宋体"/>
          <w:color w:val="auto"/>
          <w:szCs w:val="21"/>
        </w:rPr>
      </w:pPr>
      <w:r>
        <w:rPr>
          <w:rFonts w:hint="eastAsia" w:ascii="宋体" w:hAnsi="宋体"/>
          <w:color w:val="auto"/>
          <w:szCs w:val="21"/>
        </w:rPr>
        <w:t>叫号类型设置：支持设置当前工作台呼叫号的类型（预约号/普通号）；</w:t>
      </w:r>
    </w:p>
    <w:p>
      <w:pPr>
        <w:numPr>
          <w:ilvl w:val="0"/>
          <w:numId w:val="20"/>
        </w:numPr>
        <w:ind w:left="0" w:firstLine="420" w:firstLineChars="200"/>
        <w:rPr>
          <w:rFonts w:ascii="宋体" w:hAnsi="宋体"/>
          <w:color w:val="auto"/>
          <w:szCs w:val="21"/>
        </w:rPr>
      </w:pPr>
      <w:r>
        <w:rPr>
          <w:rFonts w:hint="eastAsia" w:ascii="宋体" w:hAnsi="宋体"/>
          <w:color w:val="auto"/>
          <w:szCs w:val="21"/>
        </w:rPr>
        <w:t>接种者信息核对设置：支持设置接种台是否开启接种核对功能</w:t>
      </w:r>
      <w:r>
        <w:rPr>
          <w:rFonts w:hint="eastAsia" w:ascii="宋体" w:hAnsi="宋体"/>
          <w:color w:val="auto"/>
          <w:szCs w:val="21"/>
          <w:lang w:eastAsia="zh-CN"/>
        </w:rPr>
        <w:t>；</w:t>
      </w:r>
    </w:p>
    <w:p>
      <w:pPr>
        <w:numPr>
          <w:ilvl w:val="0"/>
          <w:numId w:val="20"/>
        </w:numPr>
        <w:ind w:left="0" w:firstLine="420" w:firstLineChars="200"/>
        <w:rPr>
          <w:color w:val="auto"/>
        </w:rPr>
      </w:pPr>
      <w:r>
        <w:rPr>
          <w:rFonts w:hint="eastAsia" w:ascii="宋体" w:hAnsi="宋体"/>
          <w:color w:val="auto"/>
          <w:szCs w:val="21"/>
        </w:rPr>
        <w:t>支持在过号列表找回、重呼、将受种者信息传送至接种台、儿保台、收费台、选择不接种操作，可实现预约优先登记。</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color w:val="auto"/>
          <w:sz w:val="22"/>
          <w:szCs w:val="20"/>
          <w:lang w:eastAsia="zh-CN"/>
        </w:rPr>
        <w:t>（三）</w:t>
      </w:r>
      <w:r>
        <w:rPr>
          <w:rFonts w:hint="eastAsia" w:ascii="宋体" w:hAnsi="宋体" w:cs="宋体"/>
          <w:color w:val="auto"/>
          <w:sz w:val="22"/>
          <w:szCs w:val="20"/>
        </w:rPr>
        <w:t>电子知情同意书签署软件系统</w:t>
      </w:r>
    </w:p>
    <w:p>
      <w:pPr>
        <w:numPr>
          <w:ilvl w:val="0"/>
          <w:numId w:val="21"/>
        </w:numPr>
        <w:ind w:left="420" w:leftChars="200" w:firstLine="0"/>
        <w:rPr>
          <w:rFonts w:ascii="宋体" w:hAnsi="宋体"/>
          <w:color w:val="auto"/>
          <w:szCs w:val="21"/>
        </w:rPr>
      </w:pPr>
      <w:r>
        <w:rPr>
          <w:rFonts w:hint="eastAsia" w:ascii="宋体" w:hAnsi="宋体"/>
          <w:color w:val="auto"/>
          <w:szCs w:val="21"/>
        </w:rPr>
        <w:t>电子知情同意书签署功能：</w:t>
      </w:r>
    </w:p>
    <w:p>
      <w:pPr>
        <w:numPr>
          <w:ilvl w:val="0"/>
          <w:numId w:val="22"/>
        </w:numPr>
        <w:ind w:left="0" w:firstLine="420" w:firstLineChars="200"/>
        <w:rPr>
          <w:rFonts w:ascii="宋体" w:hAnsi="宋体"/>
          <w:color w:val="auto"/>
          <w:szCs w:val="21"/>
        </w:rPr>
      </w:pPr>
      <w:r>
        <w:rPr>
          <w:rFonts w:hint="eastAsia" w:ascii="宋体" w:hAnsi="宋体"/>
          <w:color w:val="auto"/>
          <w:szCs w:val="21"/>
        </w:rPr>
        <w:t>支持受种者或监护人在签署机对健康预检表及知情同意书内容进行阅读、选择、确认和签署；</w:t>
      </w:r>
    </w:p>
    <w:p>
      <w:pPr>
        <w:numPr>
          <w:ilvl w:val="0"/>
          <w:numId w:val="22"/>
        </w:numPr>
        <w:ind w:left="0" w:firstLine="420" w:firstLineChars="200"/>
        <w:rPr>
          <w:rFonts w:hint="eastAsia" w:ascii="宋体" w:hAnsi="宋体"/>
          <w:color w:val="auto"/>
          <w:szCs w:val="21"/>
        </w:rPr>
      </w:pPr>
      <w:r>
        <w:rPr>
          <w:rFonts w:hint="eastAsia" w:ascii="宋体" w:hAnsi="宋体"/>
          <w:color w:val="auto"/>
          <w:szCs w:val="21"/>
        </w:rPr>
        <w:t>支持受种者或监护人通过个人智能手机APP对健康预检表及知情同意书内容进行阅读、选择、确认和签署；</w:t>
      </w:r>
    </w:p>
    <w:p>
      <w:pPr>
        <w:numPr>
          <w:ilvl w:val="0"/>
          <w:numId w:val="22"/>
        </w:numPr>
        <w:ind w:left="0" w:firstLine="420" w:firstLineChars="200"/>
        <w:rPr>
          <w:rFonts w:ascii="宋体" w:hAnsi="宋体"/>
          <w:color w:val="auto"/>
          <w:szCs w:val="21"/>
        </w:rPr>
      </w:pPr>
      <w:r>
        <w:rPr>
          <w:rFonts w:hint="eastAsia" w:ascii="宋体" w:hAnsi="宋体"/>
          <w:color w:val="auto"/>
          <w:szCs w:val="21"/>
        </w:rPr>
        <w:t>签署方式支持拍照、指纹或手写签名的签字方式</w:t>
      </w:r>
      <w:r>
        <w:rPr>
          <w:rFonts w:hint="eastAsia" w:ascii="宋体" w:hAnsi="宋体"/>
          <w:color w:val="auto"/>
          <w:szCs w:val="21"/>
          <w:lang w:eastAsia="zh-CN"/>
        </w:rPr>
        <w:t>。</w:t>
      </w:r>
    </w:p>
    <w:p>
      <w:pPr>
        <w:numPr>
          <w:ilvl w:val="0"/>
          <w:numId w:val="21"/>
        </w:numPr>
        <w:ind w:left="420" w:leftChars="200" w:firstLine="0"/>
        <w:rPr>
          <w:rFonts w:ascii="宋体" w:hAnsi="宋体"/>
          <w:color w:val="auto"/>
          <w:szCs w:val="21"/>
        </w:rPr>
      </w:pPr>
      <w:r>
        <w:rPr>
          <w:rFonts w:hint="eastAsia" w:ascii="宋体" w:hAnsi="宋体"/>
          <w:color w:val="auto"/>
          <w:szCs w:val="21"/>
        </w:rPr>
        <w:t>功能设置：</w:t>
      </w:r>
    </w:p>
    <w:p>
      <w:pPr>
        <w:numPr>
          <w:ilvl w:val="0"/>
          <w:numId w:val="23"/>
        </w:numPr>
        <w:ind w:left="0" w:firstLine="420" w:firstLineChars="200"/>
        <w:rPr>
          <w:rFonts w:ascii="宋体" w:hAnsi="宋体"/>
          <w:color w:val="auto"/>
          <w:szCs w:val="21"/>
        </w:rPr>
      </w:pPr>
      <w:r>
        <w:rPr>
          <w:rFonts w:hint="eastAsia" w:ascii="宋体" w:hAnsi="宋体"/>
          <w:color w:val="auto"/>
          <w:szCs w:val="21"/>
        </w:rPr>
        <w:t>工作台号设置：支持设置当前设备所对应的工作台台号</w:t>
      </w:r>
      <w:r>
        <w:rPr>
          <w:rFonts w:hint="eastAsia" w:ascii="宋体" w:hAnsi="宋体"/>
          <w:color w:val="auto"/>
          <w:szCs w:val="21"/>
          <w:lang w:eastAsia="zh-CN"/>
        </w:rPr>
        <w:t>；</w:t>
      </w:r>
    </w:p>
    <w:p>
      <w:pPr>
        <w:numPr>
          <w:ilvl w:val="0"/>
          <w:numId w:val="23"/>
        </w:numPr>
        <w:ind w:left="0" w:firstLine="420" w:firstLineChars="200"/>
        <w:rPr>
          <w:rFonts w:ascii="宋体" w:hAnsi="宋体"/>
          <w:color w:val="auto"/>
          <w:szCs w:val="21"/>
        </w:rPr>
      </w:pPr>
      <w:r>
        <w:rPr>
          <w:rFonts w:hint="eastAsia" w:ascii="宋体" w:hAnsi="宋体"/>
          <w:color w:val="auto"/>
          <w:szCs w:val="21"/>
        </w:rPr>
        <w:t>数据存储方式：支持本地和云存储</w:t>
      </w:r>
      <w:r>
        <w:rPr>
          <w:rFonts w:hint="eastAsia" w:ascii="宋体" w:hAnsi="宋体"/>
          <w:color w:val="auto"/>
          <w:szCs w:val="21"/>
          <w:lang w:eastAsia="zh-CN"/>
        </w:rPr>
        <w:t>。</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sz w:val="22"/>
          <w:szCs w:val="22"/>
          <w:lang w:eastAsia="zh-CN"/>
        </w:rPr>
        <w:t>★</w:t>
      </w:r>
      <w:r>
        <w:rPr>
          <w:rFonts w:hint="eastAsia" w:ascii="宋体" w:hAnsi="宋体" w:cs="宋体"/>
          <w:color w:val="auto"/>
          <w:sz w:val="22"/>
          <w:szCs w:val="20"/>
          <w:lang w:eastAsia="zh-CN"/>
        </w:rPr>
        <w:t>（四）</w:t>
      </w:r>
      <w:r>
        <w:rPr>
          <w:rFonts w:hint="eastAsia" w:ascii="宋体" w:hAnsi="宋体" w:cs="宋体"/>
          <w:color w:val="auto"/>
          <w:sz w:val="22"/>
          <w:szCs w:val="20"/>
        </w:rPr>
        <w:t>信息分屏显示系统</w:t>
      </w:r>
    </w:p>
    <w:p>
      <w:pPr>
        <w:numPr>
          <w:ilvl w:val="0"/>
          <w:numId w:val="24"/>
        </w:numPr>
        <w:ind w:left="420" w:leftChars="200" w:firstLine="0"/>
        <w:rPr>
          <w:rFonts w:ascii="宋体" w:hAnsi="宋体"/>
          <w:color w:val="auto"/>
          <w:szCs w:val="21"/>
        </w:rPr>
      </w:pPr>
      <w:r>
        <w:rPr>
          <w:rFonts w:hint="eastAsia" w:ascii="宋体" w:hAnsi="宋体"/>
          <w:color w:val="auto"/>
          <w:szCs w:val="21"/>
        </w:rPr>
        <w:t>分屏显示功能：</w:t>
      </w:r>
    </w:p>
    <w:p>
      <w:pPr>
        <w:ind w:firstLine="420" w:firstLineChars="200"/>
        <w:rPr>
          <w:rFonts w:hint="eastAsia" w:eastAsia="宋体"/>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在受种者接种整个过程中，支持各个环节能够通过屏幕设备显示流程信息，提示受种者进入接种过程的每个环节当前状态，包括预检情况、登记情况、接种情况和留观情况等</w:t>
      </w:r>
      <w:r>
        <w:rPr>
          <w:rFonts w:hint="eastAsia"/>
          <w:color w:val="auto"/>
          <w:lang w:eastAsia="zh-CN"/>
        </w:rPr>
        <w:t>；</w:t>
      </w:r>
    </w:p>
    <w:p>
      <w:pPr>
        <w:ind w:firstLine="420" w:firstLineChars="200"/>
        <w:rPr>
          <w:b/>
          <w:color w:val="auto"/>
        </w:rPr>
      </w:pPr>
      <w:r>
        <w:rPr>
          <w:rFonts w:hint="eastAsia"/>
          <w:b w:val="0"/>
          <w:bCs/>
          <w:color w:val="auto"/>
          <w:lang w:eastAsia="zh-CN"/>
        </w:rPr>
        <w:t>（</w:t>
      </w:r>
      <w:r>
        <w:rPr>
          <w:rFonts w:hint="eastAsia"/>
          <w:b w:val="0"/>
          <w:bCs/>
          <w:color w:val="auto"/>
          <w:lang w:val="en-US" w:eastAsia="zh-CN"/>
        </w:rPr>
        <w:t>2</w:t>
      </w:r>
      <w:r>
        <w:rPr>
          <w:rFonts w:hint="eastAsia"/>
          <w:b w:val="0"/>
          <w:bCs/>
          <w:color w:val="auto"/>
          <w:lang w:eastAsia="zh-CN"/>
        </w:rPr>
        <w:t>）</w:t>
      </w:r>
      <w:r>
        <w:rPr>
          <w:rFonts w:hint="eastAsia"/>
          <w:color w:val="auto"/>
        </w:rPr>
        <w:t>支持受种者或监护人通过手机查询当前排队人数、预计等候时间、叫号提醒、过号提醒等。</w:t>
      </w:r>
    </w:p>
    <w:p>
      <w:pPr>
        <w:numPr>
          <w:ilvl w:val="0"/>
          <w:numId w:val="24"/>
        </w:numPr>
        <w:ind w:left="420" w:leftChars="200" w:firstLine="0"/>
        <w:rPr>
          <w:rFonts w:ascii="宋体" w:hAnsi="宋体"/>
          <w:color w:val="auto"/>
          <w:szCs w:val="21"/>
        </w:rPr>
      </w:pPr>
      <w:r>
        <w:rPr>
          <w:rFonts w:hint="eastAsia" w:ascii="宋体" w:hAnsi="宋体"/>
          <w:color w:val="auto"/>
          <w:szCs w:val="21"/>
        </w:rPr>
        <w:t>功能设置：</w:t>
      </w:r>
    </w:p>
    <w:p>
      <w:pPr>
        <w:numPr>
          <w:ilvl w:val="0"/>
          <w:numId w:val="25"/>
        </w:numPr>
        <w:ind w:left="0" w:firstLine="420" w:firstLineChars="200"/>
        <w:rPr>
          <w:rFonts w:ascii="宋体" w:hAnsi="宋体"/>
          <w:color w:val="auto"/>
          <w:szCs w:val="21"/>
        </w:rPr>
      </w:pPr>
      <w:r>
        <w:rPr>
          <w:rFonts w:hint="eastAsia" w:ascii="宋体" w:hAnsi="宋体"/>
          <w:color w:val="auto"/>
          <w:szCs w:val="21"/>
        </w:rPr>
        <w:t>支持控制各个接种单位内各功能区屏幕分屏显示的内容</w:t>
      </w:r>
      <w:r>
        <w:rPr>
          <w:rFonts w:hint="eastAsia" w:ascii="宋体" w:hAnsi="宋体"/>
          <w:color w:val="auto"/>
          <w:szCs w:val="21"/>
          <w:lang w:eastAsia="zh-CN"/>
        </w:rPr>
        <w:t>；</w:t>
      </w:r>
    </w:p>
    <w:p>
      <w:pPr>
        <w:numPr>
          <w:ilvl w:val="0"/>
          <w:numId w:val="25"/>
        </w:numPr>
        <w:ind w:left="0" w:firstLine="420" w:firstLineChars="200"/>
        <w:rPr>
          <w:rFonts w:ascii="宋体" w:hAnsi="宋体"/>
          <w:color w:val="auto"/>
          <w:szCs w:val="21"/>
        </w:rPr>
      </w:pPr>
      <w:r>
        <w:rPr>
          <w:rFonts w:hint="eastAsia" w:ascii="宋体" w:hAnsi="宋体"/>
          <w:color w:val="auto"/>
          <w:szCs w:val="21"/>
        </w:rPr>
        <w:t>对正在工作的预检分诊台、儿保台、接种台、收费台小屏幕支持显示正在操作的受种者信息；</w:t>
      </w:r>
    </w:p>
    <w:p>
      <w:pPr>
        <w:numPr>
          <w:ilvl w:val="0"/>
          <w:numId w:val="25"/>
        </w:numPr>
        <w:ind w:left="0" w:firstLine="420" w:firstLineChars="200"/>
        <w:rPr>
          <w:rFonts w:ascii="宋体" w:hAnsi="宋体"/>
          <w:color w:val="auto"/>
          <w:szCs w:val="21"/>
        </w:rPr>
      </w:pPr>
      <w:r>
        <w:rPr>
          <w:rFonts w:hint="eastAsia" w:ascii="宋体" w:hAnsi="宋体"/>
          <w:color w:val="auto"/>
          <w:szCs w:val="21"/>
        </w:rPr>
        <w:t>显示受种者姓名、服务窗口号信息，当前候种人数和即将叫号名单，提醒受种者及时等待叫号；</w:t>
      </w:r>
    </w:p>
    <w:p>
      <w:pPr>
        <w:numPr>
          <w:ilvl w:val="0"/>
          <w:numId w:val="25"/>
        </w:numPr>
        <w:ind w:left="0" w:firstLine="420" w:firstLineChars="200"/>
        <w:rPr>
          <w:rFonts w:ascii="宋体" w:hAnsi="宋体"/>
          <w:color w:val="auto"/>
          <w:szCs w:val="21"/>
        </w:rPr>
      </w:pPr>
      <w:r>
        <w:rPr>
          <w:rFonts w:hint="eastAsia" w:ascii="宋体" w:hAnsi="宋体"/>
          <w:color w:val="auto"/>
          <w:szCs w:val="21"/>
        </w:rPr>
        <w:t>滚动显示接种完成受种者的留观倒计时显示，支持播放预防接种相关的动画及宣教视频。</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color w:val="auto"/>
          <w:sz w:val="22"/>
          <w:szCs w:val="20"/>
          <w:lang w:eastAsia="zh-CN"/>
        </w:rPr>
        <w:t>（五）</w:t>
      </w:r>
      <w:r>
        <w:rPr>
          <w:rFonts w:hint="eastAsia" w:ascii="宋体" w:hAnsi="宋体" w:cs="宋体"/>
          <w:color w:val="auto"/>
          <w:sz w:val="22"/>
          <w:szCs w:val="20"/>
        </w:rPr>
        <w:t>留观软件系统</w:t>
      </w:r>
    </w:p>
    <w:p>
      <w:pPr>
        <w:numPr>
          <w:ilvl w:val="0"/>
          <w:numId w:val="26"/>
        </w:numPr>
        <w:ind w:left="0" w:firstLine="420" w:firstLineChars="200"/>
        <w:rPr>
          <w:rFonts w:ascii="宋体" w:hAnsi="宋体"/>
          <w:b/>
          <w:color w:val="auto"/>
          <w:szCs w:val="21"/>
        </w:rPr>
      </w:pPr>
      <w:r>
        <w:rPr>
          <w:rFonts w:hint="eastAsia" w:ascii="宋体" w:hAnsi="宋体"/>
          <w:color w:val="auto"/>
          <w:szCs w:val="21"/>
        </w:rPr>
        <w:t>支持通过语音设备、留观显示屏或留观查询终端机等设备，并提醒受种者已留观时间、留观剩余时间、留观结束等信息</w:t>
      </w:r>
      <w:r>
        <w:rPr>
          <w:rFonts w:hint="eastAsia" w:ascii="宋体" w:hAnsi="宋体"/>
          <w:color w:val="auto"/>
          <w:szCs w:val="21"/>
          <w:lang w:eastAsia="zh-CN"/>
        </w:rPr>
        <w:t>；</w:t>
      </w:r>
    </w:p>
    <w:p>
      <w:pPr>
        <w:numPr>
          <w:ilvl w:val="0"/>
          <w:numId w:val="26"/>
        </w:numPr>
        <w:ind w:left="0" w:firstLine="420" w:firstLineChars="200"/>
        <w:rPr>
          <w:rFonts w:ascii="宋体" w:hAnsi="宋体"/>
          <w:b w:val="0"/>
          <w:bCs/>
          <w:color w:val="auto"/>
          <w:szCs w:val="21"/>
        </w:rPr>
      </w:pPr>
      <w:r>
        <w:rPr>
          <w:rFonts w:hint="eastAsia" w:ascii="宋体" w:hAnsi="宋体"/>
          <w:b w:val="0"/>
          <w:bCs/>
          <w:color w:val="auto"/>
          <w:szCs w:val="21"/>
        </w:rPr>
        <w:t>支持受种者或监护人通过智能手机实时查看已留观时间、留观剩余时间、留观结束等信息</w:t>
      </w:r>
      <w:r>
        <w:rPr>
          <w:rFonts w:hint="eastAsia" w:ascii="宋体" w:hAnsi="宋体"/>
          <w:b w:val="0"/>
          <w:bCs/>
          <w:color w:val="auto"/>
          <w:szCs w:val="21"/>
          <w:lang w:eastAsia="zh-CN"/>
        </w:rPr>
        <w:t>；</w:t>
      </w:r>
    </w:p>
    <w:p>
      <w:pPr>
        <w:numPr>
          <w:ilvl w:val="0"/>
          <w:numId w:val="26"/>
        </w:numPr>
        <w:ind w:left="0" w:firstLine="420" w:firstLineChars="200"/>
        <w:rPr>
          <w:rFonts w:ascii="宋体" w:hAnsi="宋体"/>
          <w:color w:val="auto"/>
          <w:szCs w:val="21"/>
        </w:rPr>
      </w:pPr>
      <w:r>
        <w:rPr>
          <w:rFonts w:hint="eastAsia" w:ascii="宋体" w:hAnsi="宋体"/>
          <w:color w:val="auto"/>
          <w:szCs w:val="21"/>
        </w:rPr>
        <w:t>支持受种者或监护人通过扫描接种本、手机二维码或取号号码查询受种者当天留观状态，记录受种者留观时间，并对未满足留观时间要求（30分钟）的受种者进行信息提示。</w:t>
      </w:r>
    </w:p>
    <w:p>
      <w:pPr>
        <w:pStyle w:val="6"/>
        <w:numPr>
          <w:ilvl w:val="2"/>
          <w:numId w:val="0"/>
        </w:numPr>
        <w:tabs>
          <w:tab w:val="left" w:pos="862"/>
        </w:tabs>
        <w:spacing w:line="240" w:lineRule="auto"/>
        <w:rPr>
          <w:rFonts w:ascii="宋体" w:hAnsi="宋体" w:cs="宋体"/>
          <w:color w:val="auto"/>
          <w:sz w:val="22"/>
          <w:szCs w:val="20"/>
        </w:rPr>
      </w:pPr>
      <w:r>
        <w:rPr>
          <w:rFonts w:hint="eastAsia" w:ascii="宋体" w:hAnsi="宋体" w:cs="宋体"/>
          <w:color w:val="auto"/>
          <w:sz w:val="22"/>
          <w:szCs w:val="20"/>
          <w:lang w:eastAsia="zh-CN"/>
        </w:rPr>
        <w:t>（六）</w:t>
      </w:r>
      <w:r>
        <w:rPr>
          <w:rFonts w:hint="eastAsia" w:ascii="宋体" w:hAnsi="宋体" w:cs="宋体"/>
          <w:color w:val="auto"/>
          <w:sz w:val="22"/>
          <w:szCs w:val="20"/>
        </w:rPr>
        <w:t>接种预约系统</w:t>
      </w:r>
    </w:p>
    <w:p>
      <w:pPr>
        <w:numPr>
          <w:ilvl w:val="0"/>
          <w:numId w:val="27"/>
        </w:numPr>
        <w:ind w:left="0" w:firstLine="420" w:firstLineChars="200"/>
        <w:rPr>
          <w:rFonts w:ascii="宋体" w:hAnsi="宋体"/>
          <w:color w:val="auto"/>
          <w:szCs w:val="21"/>
        </w:rPr>
      </w:pPr>
      <w:r>
        <w:rPr>
          <w:rFonts w:hint="eastAsia" w:ascii="宋体" w:hAnsi="宋体"/>
          <w:color w:val="auto"/>
          <w:szCs w:val="21"/>
        </w:rPr>
        <w:t>受种者可以在手机APP上进行提前预约接种，实现门诊现场接种人群分流</w:t>
      </w:r>
      <w:r>
        <w:rPr>
          <w:rFonts w:hint="eastAsia" w:ascii="宋体" w:hAnsi="宋体"/>
          <w:color w:val="auto"/>
          <w:szCs w:val="21"/>
          <w:lang w:eastAsia="zh-CN"/>
        </w:rPr>
        <w:t>；</w:t>
      </w:r>
    </w:p>
    <w:p>
      <w:pPr>
        <w:numPr>
          <w:ilvl w:val="0"/>
          <w:numId w:val="27"/>
        </w:numPr>
        <w:ind w:left="0" w:firstLine="420" w:firstLineChars="200"/>
        <w:rPr>
          <w:rFonts w:ascii="宋体" w:hAnsi="宋体"/>
          <w:color w:val="auto"/>
          <w:szCs w:val="21"/>
        </w:rPr>
      </w:pPr>
      <w:r>
        <w:rPr>
          <w:rFonts w:hint="eastAsia" w:ascii="宋体" w:hAnsi="宋体"/>
          <w:color w:val="auto"/>
          <w:szCs w:val="21"/>
        </w:rPr>
        <w:t>预约设置：支持预约时间和预约疫苗设置，支持缺苗提醒设置；支持是否允许跨门诊预约设置</w:t>
      </w:r>
      <w:r>
        <w:rPr>
          <w:rFonts w:hint="eastAsia" w:ascii="宋体" w:hAnsi="宋体"/>
          <w:color w:val="auto"/>
          <w:szCs w:val="21"/>
          <w:lang w:eastAsia="zh-CN"/>
        </w:rPr>
        <w:t>；</w:t>
      </w:r>
    </w:p>
    <w:p>
      <w:pPr>
        <w:numPr>
          <w:ilvl w:val="0"/>
          <w:numId w:val="27"/>
        </w:numPr>
        <w:ind w:left="0" w:firstLine="420" w:firstLineChars="200"/>
        <w:rPr>
          <w:rFonts w:ascii="宋体" w:hAnsi="宋体"/>
          <w:color w:val="auto"/>
          <w:szCs w:val="21"/>
        </w:rPr>
      </w:pPr>
      <w:r>
        <w:rPr>
          <w:rFonts w:hint="eastAsia" w:ascii="宋体" w:hAnsi="宋体"/>
          <w:color w:val="auto"/>
          <w:szCs w:val="21"/>
        </w:rPr>
        <w:t>预约时间设置：支持预约时间段设置、每个时间段号源数量设置；支持放号周期设置；支持是否预约日期限制设置</w:t>
      </w:r>
      <w:r>
        <w:rPr>
          <w:rFonts w:hint="eastAsia" w:ascii="宋体" w:hAnsi="宋体"/>
          <w:color w:val="auto"/>
          <w:szCs w:val="21"/>
          <w:lang w:eastAsia="zh-CN"/>
        </w:rPr>
        <w:t>；</w:t>
      </w:r>
    </w:p>
    <w:p>
      <w:pPr>
        <w:numPr>
          <w:ilvl w:val="0"/>
          <w:numId w:val="27"/>
        </w:numPr>
        <w:ind w:left="0" w:firstLine="420" w:firstLineChars="200"/>
        <w:rPr>
          <w:rFonts w:ascii="宋体" w:hAnsi="宋体"/>
          <w:color w:val="auto"/>
          <w:szCs w:val="21"/>
        </w:rPr>
      </w:pPr>
      <w:r>
        <w:rPr>
          <w:rFonts w:hint="eastAsia" w:ascii="宋体" w:hAnsi="宋体"/>
          <w:color w:val="auto"/>
          <w:szCs w:val="21"/>
        </w:rPr>
        <w:t>特殊疫苗接种预约设置：支持特殊疫苗选择、及预约时间段设置</w:t>
      </w:r>
      <w:r>
        <w:rPr>
          <w:rFonts w:hint="eastAsia" w:ascii="宋体" w:hAnsi="宋体"/>
          <w:color w:val="auto"/>
          <w:szCs w:val="21"/>
          <w:lang w:eastAsia="zh-CN"/>
        </w:rPr>
        <w:t>；</w:t>
      </w:r>
    </w:p>
    <w:p>
      <w:pPr>
        <w:numPr>
          <w:ilvl w:val="0"/>
          <w:numId w:val="27"/>
        </w:numPr>
        <w:ind w:left="0" w:firstLine="420" w:firstLineChars="200"/>
        <w:rPr>
          <w:rFonts w:ascii="宋体" w:hAnsi="宋体"/>
          <w:color w:val="auto"/>
          <w:szCs w:val="21"/>
        </w:rPr>
      </w:pPr>
      <w:r>
        <w:rPr>
          <w:rFonts w:hint="eastAsia" w:ascii="宋体" w:hAnsi="宋体"/>
          <w:color w:val="auto"/>
          <w:szCs w:val="21"/>
        </w:rPr>
        <w:t>预约管理：支持预约记录统计和查询，包括查看预约时间、预约疫苗、预约时间段等详情等。</w:t>
      </w:r>
    </w:p>
    <w:p>
      <w:pPr>
        <w:numPr>
          <w:ilvl w:val="0"/>
          <w:numId w:val="0"/>
        </w:numPr>
        <w:spacing w:before="156" w:beforeLines="50" w:after="156" w:afterLines="50" w:line="360" w:lineRule="auto"/>
        <w:ind w:leftChars="0"/>
        <w:outlineLvl w:val="1"/>
        <w:rPr>
          <w:rFonts w:hint="eastAsia" w:ascii="仿宋_GB2312" w:hAnsi="宋体" w:eastAsia="仿宋_GB2312"/>
          <w:b/>
          <w:sz w:val="28"/>
          <w:szCs w:val="28"/>
          <w:lang w:val="en-US" w:eastAsia="zh-CN"/>
        </w:rPr>
      </w:pPr>
    </w:p>
    <w:p>
      <w:pPr>
        <w:pStyle w:val="2"/>
        <w:rPr>
          <w:rFonts w:hint="eastAsia"/>
          <w:lang w:val="en-US" w:eastAsia="zh-CN"/>
        </w:rPr>
      </w:pPr>
    </w:p>
    <w:p>
      <w:pPr>
        <w:pStyle w:val="2"/>
        <w:rPr>
          <w:rFonts w:hint="eastAsia"/>
          <w:lang w:val="en-US" w:eastAsia="zh-CN"/>
        </w:rPr>
      </w:pPr>
    </w:p>
    <w:p>
      <w:pPr>
        <w:numPr>
          <w:ilvl w:val="0"/>
          <w:numId w:val="0"/>
        </w:numPr>
        <w:spacing w:before="156" w:beforeLines="50" w:after="156" w:afterLines="50" w:line="360" w:lineRule="auto"/>
        <w:ind w:leftChars="0"/>
        <w:outlineLvl w:val="1"/>
        <w:rPr>
          <w:rFonts w:hint="eastAsia" w:ascii="仿宋_GB2312" w:hAnsi="宋体" w:eastAsia="仿宋_GB2312"/>
          <w:b/>
          <w:sz w:val="28"/>
          <w:szCs w:val="28"/>
        </w:rPr>
      </w:pPr>
      <w:r>
        <w:rPr>
          <w:rFonts w:hint="eastAsia" w:ascii="仿宋_GB2312" w:hAnsi="宋体" w:eastAsia="仿宋_GB2312"/>
          <w:b/>
          <w:sz w:val="28"/>
          <w:szCs w:val="28"/>
          <w:lang w:val="en-US" w:eastAsia="zh-CN"/>
        </w:rPr>
        <w:t>二、</w:t>
      </w:r>
      <w:r>
        <w:rPr>
          <w:rFonts w:hint="eastAsia" w:ascii="仿宋_GB2312" w:hAnsi="宋体" w:eastAsia="仿宋_GB2312"/>
          <w:b/>
          <w:sz w:val="28"/>
          <w:szCs w:val="28"/>
        </w:rPr>
        <w:t>商务要求</w:t>
      </w:r>
    </w:p>
    <w:p>
      <w:pPr>
        <w:adjustRightInd w:val="0"/>
        <w:spacing w:line="480" w:lineRule="auto"/>
        <w:jc w:val="left"/>
        <w:rPr>
          <w:rFonts w:hint="eastAsia" w:ascii="宋体" w:hAnsi="宋体" w:eastAsia="宋体" w:cs="宋体"/>
          <w:sz w:val="24"/>
          <w:szCs w:val="24"/>
          <w:lang w:eastAsia="zh-CN" w:bidi="ar"/>
        </w:rPr>
      </w:pPr>
      <w:r>
        <w:rPr>
          <w:rFonts w:hint="eastAsia" w:ascii="宋体" w:hAnsi="宋体" w:cs="宋体"/>
          <w:sz w:val="24"/>
          <w:szCs w:val="24"/>
          <w:lang w:bidi="ar"/>
        </w:rPr>
        <w:t>1、</w:t>
      </w:r>
      <w:r>
        <w:rPr>
          <w:rFonts w:hint="eastAsia" w:ascii="宋体" w:hAnsi="宋体" w:cs="宋体"/>
          <w:b/>
          <w:bCs/>
          <w:sz w:val="24"/>
          <w:szCs w:val="24"/>
          <w:lang w:bidi="ar"/>
        </w:rPr>
        <w:t>交货时间</w:t>
      </w:r>
      <w:r>
        <w:rPr>
          <w:rFonts w:hint="eastAsia" w:ascii="宋体" w:hAnsi="宋体" w:cs="宋体"/>
          <w:sz w:val="24"/>
          <w:szCs w:val="24"/>
          <w:lang w:bidi="ar"/>
        </w:rPr>
        <w:t>：签订政府采购合同之日起20个工作日内</w:t>
      </w:r>
      <w:r>
        <w:rPr>
          <w:rFonts w:hint="eastAsia" w:ascii="宋体" w:hAnsi="宋体" w:cs="宋体"/>
          <w:sz w:val="24"/>
          <w:szCs w:val="24"/>
          <w:lang w:eastAsia="zh-CN" w:bidi="ar"/>
        </w:rPr>
        <w:t>。</w:t>
      </w:r>
    </w:p>
    <w:p>
      <w:pPr>
        <w:adjustRightInd w:val="0"/>
        <w:spacing w:line="480" w:lineRule="auto"/>
        <w:jc w:val="left"/>
        <w:rPr>
          <w:rFonts w:hint="eastAsia" w:ascii="宋体" w:hAnsi="宋体" w:cs="宋体"/>
          <w:sz w:val="24"/>
          <w:szCs w:val="24"/>
          <w:lang w:val="en-US" w:eastAsia="zh-CN" w:bidi="ar"/>
        </w:rPr>
      </w:pPr>
      <w:r>
        <w:rPr>
          <w:rFonts w:hint="eastAsia" w:ascii="宋体" w:hAnsi="宋体" w:cs="宋体"/>
          <w:sz w:val="24"/>
          <w:szCs w:val="24"/>
          <w:lang w:bidi="ar"/>
        </w:rPr>
        <w:t>2、</w:t>
      </w:r>
      <w:r>
        <w:rPr>
          <w:rFonts w:hint="eastAsia" w:ascii="宋体" w:hAnsi="宋体" w:cs="宋体"/>
          <w:b/>
          <w:bCs/>
          <w:sz w:val="24"/>
          <w:szCs w:val="24"/>
          <w:lang w:bidi="ar"/>
        </w:rPr>
        <w:t>交货地点</w:t>
      </w:r>
      <w:r>
        <w:rPr>
          <w:rFonts w:hint="eastAsia" w:ascii="宋体" w:hAnsi="宋体" w:cs="宋体"/>
          <w:sz w:val="24"/>
          <w:szCs w:val="24"/>
          <w:lang w:bidi="ar"/>
        </w:rPr>
        <w:t>：眉山市</w:t>
      </w:r>
      <w:r>
        <w:rPr>
          <w:rFonts w:hint="eastAsia" w:ascii="宋体" w:hAnsi="宋体" w:cs="宋体"/>
          <w:sz w:val="24"/>
          <w:szCs w:val="24"/>
          <w:lang w:val="en-US" w:eastAsia="zh-CN" w:bidi="ar"/>
        </w:rPr>
        <w:t>苏祠街道社区卫生服务中心指定地点。</w:t>
      </w:r>
    </w:p>
    <w:p>
      <w:pPr>
        <w:adjustRightInd w:val="0"/>
        <w:spacing w:line="480" w:lineRule="auto"/>
        <w:jc w:val="left"/>
        <w:rPr>
          <w:rFonts w:hint="eastAsia" w:ascii="宋体" w:hAnsi="宋体" w:cs="宋体"/>
          <w:sz w:val="24"/>
          <w:szCs w:val="24"/>
          <w:lang w:bidi="ar"/>
        </w:rPr>
      </w:pPr>
      <w:r>
        <w:rPr>
          <w:rFonts w:hint="eastAsia" w:ascii="宋体" w:hAnsi="宋体" w:cs="宋体"/>
          <w:sz w:val="24"/>
          <w:szCs w:val="24"/>
          <w:lang w:val="en-US" w:eastAsia="zh-CN" w:bidi="ar"/>
        </w:rPr>
        <w:t>3、</w:t>
      </w:r>
      <w:r>
        <w:rPr>
          <w:rFonts w:hint="eastAsia" w:ascii="宋体" w:hAnsi="宋体" w:cs="宋体"/>
          <w:b/>
          <w:bCs/>
          <w:sz w:val="24"/>
          <w:szCs w:val="24"/>
          <w:lang w:bidi="ar"/>
        </w:rPr>
        <w:t>付款方式</w:t>
      </w:r>
      <w:r>
        <w:rPr>
          <w:rFonts w:hint="eastAsia" w:ascii="宋体" w:hAnsi="宋体" w:cs="宋体"/>
          <w:sz w:val="24"/>
          <w:szCs w:val="24"/>
          <w:lang w:bidi="ar"/>
        </w:rPr>
        <w:t>：签订合同后支付预付款，预付合同金额的30%，设备交货完成并验收合格3个月后支付剩余尾款。</w:t>
      </w:r>
    </w:p>
    <w:p>
      <w:pPr>
        <w:spacing w:line="360" w:lineRule="auto"/>
        <w:rPr>
          <w:rFonts w:hint="eastAsia" w:ascii="宋体" w:hAnsi="宋体" w:cs="宋体"/>
          <w:b/>
          <w:bCs/>
          <w:sz w:val="24"/>
          <w:szCs w:val="24"/>
          <w:lang w:bidi="ar"/>
        </w:rPr>
      </w:pPr>
      <w:r>
        <w:rPr>
          <w:rFonts w:hint="eastAsia" w:ascii="宋体" w:hAnsi="宋体" w:cs="宋体"/>
          <w:sz w:val="24"/>
          <w:szCs w:val="24"/>
          <w:lang w:val="en-US" w:eastAsia="zh-CN" w:bidi="ar"/>
        </w:rPr>
        <w:t>4</w:t>
      </w:r>
      <w:r>
        <w:rPr>
          <w:rFonts w:hint="eastAsia" w:ascii="宋体" w:hAnsi="宋体" w:cs="宋体"/>
          <w:sz w:val="24"/>
          <w:szCs w:val="24"/>
          <w:lang w:bidi="ar"/>
        </w:rPr>
        <w:t>、</w:t>
      </w:r>
      <w:r>
        <w:rPr>
          <w:rFonts w:hint="eastAsia" w:ascii="宋体" w:hAnsi="宋体" w:cs="宋体"/>
          <w:b/>
          <w:bCs/>
          <w:sz w:val="24"/>
          <w:szCs w:val="24"/>
          <w:lang w:bidi="ar"/>
        </w:rPr>
        <w:t>售后服务要求：</w:t>
      </w:r>
    </w:p>
    <w:p>
      <w:pPr>
        <w:spacing w:line="360" w:lineRule="auto"/>
        <w:rPr>
          <w:rFonts w:hint="eastAsia" w:ascii="宋体" w:hAnsi="宋体" w:cs="宋体"/>
          <w:sz w:val="24"/>
          <w:szCs w:val="24"/>
          <w:lang w:val="en-US" w:eastAsia="zh-CN" w:bidi="ar"/>
        </w:rPr>
      </w:pPr>
      <w:r>
        <w:rPr>
          <w:rFonts w:hint="eastAsia" w:ascii="宋体" w:hAnsi="宋体" w:cs="宋体"/>
          <w:b w:val="0"/>
          <w:bCs w:val="0"/>
          <w:sz w:val="24"/>
          <w:szCs w:val="24"/>
          <w:lang w:eastAsia="zh-CN" w:bidi="ar"/>
        </w:rPr>
        <w:t>（</w:t>
      </w:r>
      <w:r>
        <w:rPr>
          <w:rFonts w:hint="eastAsia" w:ascii="宋体" w:hAnsi="宋体" w:cs="宋体"/>
          <w:b w:val="0"/>
          <w:bCs w:val="0"/>
          <w:sz w:val="24"/>
          <w:szCs w:val="24"/>
          <w:lang w:val="en-US" w:eastAsia="zh-CN" w:bidi="ar"/>
        </w:rPr>
        <w:t>1</w:t>
      </w:r>
      <w:r>
        <w:rPr>
          <w:rFonts w:hint="eastAsia" w:ascii="宋体" w:hAnsi="宋体" w:cs="宋体"/>
          <w:b w:val="0"/>
          <w:bCs w:val="0"/>
          <w:sz w:val="24"/>
          <w:szCs w:val="24"/>
          <w:lang w:eastAsia="zh-CN" w:bidi="ar"/>
        </w:rPr>
        <w:t>）</w:t>
      </w:r>
      <w:r>
        <w:rPr>
          <w:rFonts w:hint="eastAsia" w:ascii="宋体" w:hAnsi="宋体" w:cs="宋体"/>
          <w:sz w:val="24"/>
          <w:szCs w:val="24"/>
          <w:lang w:bidi="ar"/>
        </w:rPr>
        <w:t>中频治疗仪</w:t>
      </w:r>
      <w:r>
        <w:rPr>
          <w:rFonts w:hint="eastAsia" w:ascii="宋体" w:hAnsi="宋体" w:cs="宋体"/>
          <w:sz w:val="24"/>
          <w:szCs w:val="24"/>
          <w:lang w:eastAsia="zh-CN" w:bidi="ar"/>
        </w:rPr>
        <w:t>、</w:t>
      </w:r>
      <w:r>
        <w:rPr>
          <w:rFonts w:hint="eastAsia" w:ascii="宋体" w:hAnsi="宋体" w:cs="宋体"/>
          <w:sz w:val="24"/>
          <w:szCs w:val="24"/>
          <w:lang w:bidi="ar"/>
        </w:rPr>
        <w:t>特定电磁波谱治疗器</w:t>
      </w:r>
      <w:r>
        <w:rPr>
          <w:rFonts w:hint="eastAsia" w:ascii="宋体" w:hAnsi="宋体" w:cs="宋体"/>
          <w:sz w:val="24"/>
          <w:szCs w:val="24"/>
          <w:lang w:eastAsia="zh-CN" w:bidi="ar"/>
        </w:rPr>
        <w:t>、</w:t>
      </w:r>
      <w:r>
        <w:rPr>
          <w:rFonts w:hint="eastAsia" w:ascii="宋体" w:hAnsi="宋体" w:cs="宋体"/>
          <w:sz w:val="24"/>
          <w:szCs w:val="24"/>
          <w:lang w:bidi="ar"/>
        </w:rPr>
        <w:t>深层肌肉刺激仪（磁振热医疗版）</w:t>
      </w:r>
      <w:r>
        <w:rPr>
          <w:rFonts w:hint="eastAsia" w:ascii="宋体" w:hAnsi="宋体" w:cs="宋体"/>
          <w:sz w:val="24"/>
          <w:szCs w:val="24"/>
          <w:lang w:eastAsia="zh-CN" w:bidi="ar"/>
        </w:rPr>
        <w:t>、</w:t>
      </w:r>
      <w:r>
        <w:rPr>
          <w:rFonts w:hint="eastAsia" w:ascii="宋体" w:hAnsi="宋体" w:cs="宋体"/>
          <w:sz w:val="24"/>
          <w:szCs w:val="24"/>
          <w:lang w:bidi="ar"/>
        </w:rPr>
        <w:t>熏蒸治疗仪</w:t>
      </w:r>
      <w:r>
        <w:rPr>
          <w:rFonts w:hint="eastAsia" w:ascii="宋体" w:hAnsi="宋体" w:cs="宋体"/>
          <w:sz w:val="24"/>
          <w:szCs w:val="24"/>
          <w:lang w:eastAsia="zh-CN" w:bidi="ar"/>
        </w:rPr>
        <w:t>、</w:t>
      </w:r>
      <w:r>
        <w:rPr>
          <w:rFonts w:hint="eastAsia" w:ascii="宋体" w:hAnsi="宋体" w:cs="宋体"/>
          <w:sz w:val="24"/>
          <w:szCs w:val="24"/>
          <w:lang w:bidi="ar"/>
        </w:rPr>
        <w:t>碳钢检查床/按摩床</w:t>
      </w:r>
      <w:r>
        <w:rPr>
          <w:rFonts w:hint="eastAsia" w:ascii="宋体" w:hAnsi="宋体" w:cs="宋体"/>
          <w:sz w:val="24"/>
          <w:szCs w:val="24"/>
          <w:lang w:eastAsia="zh-CN" w:bidi="ar"/>
        </w:rPr>
        <w:t>、</w:t>
      </w:r>
      <w:r>
        <w:rPr>
          <w:rFonts w:hint="eastAsia" w:ascii="宋体" w:hAnsi="宋体" w:cs="宋体"/>
          <w:sz w:val="24"/>
          <w:szCs w:val="24"/>
          <w:lang w:bidi="ar"/>
        </w:rPr>
        <w:t>超声波治疗仪</w:t>
      </w:r>
      <w:r>
        <w:rPr>
          <w:rFonts w:hint="eastAsia" w:ascii="宋体" w:hAnsi="宋体" w:cs="宋体"/>
          <w:sz w:val="24"/>
          <w:szCs w:val="24"/>
          <w:lang w:eastAsia="zh-CN" w:bidi="ar"/>
        </w:rPr>
        <w:t>、</w:t>
      </w:r>
      <w:r>
        <w:rPr>
          <w:rFonts w:hint="eastAsia" w:ascii="宋体" w:hAnsi="宋体" w:cs="宋体"/>
          <w:sz w:val="24"/>
          <w:szCs w:val="24"/>
          <w:lang w:bidi="ar"/>
        </w:rPr>
        <w:t>红外光灸疗机</w:t>
      </w:r>
      <w:r>
        <w:rPr>
          <w:rFonts w:hint="eastAsia" w:ascii="宋体" w:hAnsi="宋体" w:cs="宋体"/>
          <w:sz w:val="24"/>
          <w:szCs w:val="24"/>
          <w:lang w:eastAsia="zh-CN" w:bidi="ar"/>
        </w:rPr>
        <w:t>、</w:t>
      </w:r>
      <w:r>
        <w:rPr>
          <w:rFonts w:hint="eastAsia" w:ascii="宋体" w:hAnsi="宋体" w:cs="宋体"/>
          <w:sz w:val="24"/>
          <w:szCs w:val="24"/>
          <w:lang w:bidi="ar"/>
        </w:rPr>
        <w:t>低频脉冲治疗仪</w:t>
      </w:r>
      <w:r>
        <w:rPr>
          <w:rFonts w:hint="eastAsia" w:ascii="宋体" w:hAnsi="宋体" w:cs="宋体"/>
          <w:sz w:val="24"/>
          <w:szCs w:val="24"/>
          <w:lang w:eastAsia="zh-CN" w:bidi="ar"/>
        </w:rPr>
        <w:t>、</w:t>
      </w:r>
      <w:r>
        <w:rPr>
          <w:rFonts w:hint="eastAsia" w:ascii="宋体" w:hAnsi="宋体" w:cs="宋体"/>
          <w:sz w:val="24"/>
          <w:szCs w:val="24"/>
          <w:lang w:bidi="ar"/>
        </w:rPr>
        <w:t>治疗车</w:t>
      </w:r>
      <w:r>
        <w:rPr>
          <w:rFonts w:hint="eastAsia" w:ascii="宋体" w:hAnsi="宋体" w:cs="宋体"/>
          <w:sz w:val="24"/>
          <w:szCs w:val="24"/>
          <w:lang w:eastAsia="zh-CN" w:bidi="ar"/>
        </w:rPr>
        <w:t>、</w:t>
      </w:r>
      <w:r>
        <w:rPr>
          <w:rFonts w:hint="eastAsia" w:ascii="宋体" w:hAnsi="宋体" w:cs="宋体"/>
          <w:sz w:val="24"/>
          <w:szCs w:val="24"/>
          <w:lang w:bidi="ar"/>
        </w:rPr>
        <w:t>上臂血压仪</w:t>
      </w:r>
      <w:r>
        <w:rPr>
          <w:rFonts w:hint="eastAsia" w:ascii="宋体" w:hAnsi="宋体" w:cs="宋体"/>
          <w:sz w:val="24"/>
          <w:szCs w:val="24"/>
          <w:lang w:eastAsia="zh-CN" w:bidi="ar"/>
        </w:rPr>
        <w:t>、</w:t>
      </w:r>
      <w:r>
        <w:rPr>
          <w:rFonts w:hint="eastAsia" w:ascii="宋体" w:hAnsi="宋体" w:cs="宋体"/>
          <w:sz w:val="24"/>
          <w:szCs w:val="24"/>
          <w:lang w:bidi="ar"/>
        </w:rPr>
        <w:t>自动血压仪</w:t>
      </w:r>
      <w:r>
        <w:rPr>
          <w:rFonts w:hint="eastAsia" w:ascii="宋体" w:hAnsi="宋体" w:cs="宋体"/>
          <w:sz w:val="24"/>
          <w:szCs w:val="24"/>
          <w:lang w:eastAsia="zh-CN" w:bidi="ar"/>
        </w:rPr>
        <w:t>、</w:t>
      </w:r>
      <w:r>
        <w:rPr>
          <w:rFonts w:hint="eastAsia" w:ascii="宋体" w:hAnsi="宋体" w:cs="宋体"/>
          <w:sz w:val="24"/>
          <w:szCs w:val="24"/>
          <w:lang w:bidi="ar"/>
        </w:rPr>
        <w:t>肺功能治疗仪</w:t>
      </w:r>
      <w:r>
        <w:rPr>
          <w:rFonts w:hint="eastAsia" w:ascii="宋体" w:hAnsi="宋体" w:cs="宋体"/>
          <w:sz w:val="24"/>
          <w:szCs w:val="24"/>
          <w:lang w:eastAsia="zh-CN" w:bidi="ar"/>
        </w:rPr>
        <w:t>、</w:t>
      </w:r>
      <w:r>
        <w:rPr>
          <w:rFonts w:hint="eastAsia" w:ascii="宋体" w:hAnsi="宋体" w:cs="宋体"/>
          <w:sz w:val="24"/>
          <w:szCs w:val="24"/>
          <w:lang w:bidi="ar"/>
        </w:rPr>
        <w:t>心电图12导联</w:t>
      </w:r>
      <w:r>
        <w:rPr>
          <w:rFonts w:hint="eastAsia" w:ascii="宋体" w:hAnsi="宋体" w:cs="宋体"/>
          <w:sz w:val="24"/>
          <w:szCs w:val="24"/>
          <w:lang w:eastAsia="zh-CN" w:bidi="ar"/>
        </w:rPr>
        <w:t>、</w:t>
      </w:r>
      <w:r>
        <w:rPr>
          <w:rFonts w:hint="eastAsia" w:ascii="宋体" w:hAnsi="宋体" w:cs="宋体"/>
          <w:sz w:val="24"/>
          <w:szCs w:val="24"/>
          <w:lang w:bidi="ar"/>
        </w:rPr>
        <w:t>身高体重仪</w:t>
      </w:r>
      <w:r>
        <w:rPr>
          <w:rFonts w:hint="eastAsia" w:ascii="宋体" w:hAnsi="宋体" w:cs="宋体"/>
          <w:sz w:val="24"/>
          <w:szCs w:val="24"/>
          <w:lang w:eastAsia="zh-CN" w:bidi="ar"/>
        </w:rPr>
        <w:t>、</w:t>
      </w:r>
      <w:r>
        <w:rPr>
          <w:rFonts w:hint="eastAsia" w:ascii="宋体" w:hAnsi="宋体" w:cs="宋体"/>
          <w:sz w:val="24"/>
          <w:szCs w:val="24"/>
          <w:lang w:bidi="ar"/>
        </w:rPr>
        <w:t>冷库</w:t>
      </w:r>
      <w:r>
        <w:rPr>
          <w:rFonts w:hint="eastAsia" w:ascii="宋体" w:hAnsi="宋体" w:cs="宋体"/>
          <w:sz w:val="24"/>
          <w:szCs w:val="24"/>
          <w:lang w:eastAsia="zh-CN" w:bidi="ar"/>
        </w:rPr>
        <w:t>、</w:t>
      </w:r>
      <w:r>
        <w:rPr>
          <w:rFonts w:hint="eastAsia" w:ascii="宋体" w:hAnsi="宋体" w:cs="宋体"/>
          <w:sz w:val="24"/>
          <w:szCs w:val="24"/>
          <w:lang w:bidi="ar"/>
        </w:rPr>
        <w:t>智慧门诊</w:t>
      </w:r>
      <w:r>
        <w:rPr>
          <w:rFonts w:hint="eastAsia" w:ascii="宋体" w:hAnsi="宋体" w:cs="宋体"/>
          <w:sz w:val="24"/>
          <w:szCs w:val="24"/>
          <w:lang w:val="en-US" w:eastAsia="zh-CN" w:bidi="ar"/>
        </w:rPr>
        <w:t>在</w:t>
      </w:r>
      <w:r>
        <w:rPr>
          <w:rFonts w:hint="eastAsia" w:ascii="宋体" w:hAnsi="宋体" w:cs="宋体"/>
          <w:sz w:val="24"/>
          <w:szCs w:val="24"/>
          <w:lang w:bidi="ar"/>
        </w:rPr>
        <w:t>运维服务有效期内，软件版本号可自动升级至最新版本</w:t>
      </w:r>
      <w:r>
        <w:rPr>
          <w:rFonts w:hint="eastAsia" w:ascii="宋体" w:hAnsi="宋体" w:cs="宋体"/>
          <w:sz w:val="24"/>
          <w:szCs w:val="24"/>
          <w:lang w:eastAsia="zh-CN" w:bidi="ar"/>
        </w:rPr>
        <w:t>，</w:t>
      </w:r>
      <w:r>
        <w:rPr>
          <w:rFonts w:hint="eastAsia" w:ascii="宋体" w:hAnsi="宋体" w:cs="宋体"/>
          <w:sz w:val="24"/>
          <w:szCs w:val="24"/>
          <w:lang w:val="en-US" w:eastAsia="zh-CN" w:bidi="ar"/>
        </w:rPr>
        <w:t>所有产品</w:t>
      </w:r>
      <w:r>
        <w:rPr>
          <w:rFonts w:hint="eastAsia" w:ascii="宋体" w:hAnsi="宋体" w:cs="宋体"/>
          <w:sz w:val="24"/>
          <w:szCs w:val="24"/>
          <w:lang w:eastAsia="zh-CN" w:bidi="ar"/>
        </w:rPr>
        <w:t>质保期</w:t>
      </w:r>
      <w:r>
        <w:rPr>
          <w:rFonts w:hint="eastAsia" w:ascii="宋体" w:hAnsi="宋体" w:cs="宋体"/>
          <w:sz w:val="24"/>
          <w:szCs w:val="24"/>
          <w:lang w:val="en-US" w:eastAsia="zh-CN" w:bidi="ar"/>
        </w:rPr>
        <w:t>为</w:t>
      </w:r>
      <w:r>
        <w:rPr>
          <w:rFonts w:hint="eastAsia" w:ascii="宋体" w:hAnsi="宋体" w:cs="宋体"/>
          <w:sz w:val="24"/>
          <w:szCs w:val="24"/>
          <w:lang w:eastAsia="zh-CN" w:bidi="ar"/>
        </w:rPr>
        <w:t>一年。</w:t>
      </w:r>
    </w:p>
    <w:p>
      <w:pPr>
        <w:spacing w:line="360" w:lineRule="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质保期内非人为因素造成的损坏，免费更换零配件，若48小时内未维修启用，负责免费更换备用机。</w:t>
      </w:r>
    </w:p>
    <w:p>
      <w:pPr>
        <w:spacing w:line="360" w:lineRule="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rPr>
        <w:t>报修响应时间1小时，到场时间2小时（不可抗拒</w:t>
      </w:r>
      <w:r>
        <w:rPr>
          <w:rFonts w:hint="eastAsia" w:ascii="宋体" w:hAnsi="宋体" w:cs="宋体"/>
          <w:color w:val="auto"/>
          <w:sz w:val="24"/>
          <w:szCs w:val="24"/>
          <w:lang w:val="en-US" w:eastAsia="zh-CN"/>
        </w:rPr>
        <w:t>因素</w:t>
      </w:r>
      <w:r>
        <w:rPr>
          <w:rFonts w:hint="eastAsia" w:ascii="宋体" w:hAnsi="宋体" w:cs="宋体"/>
          <w:color w:val="auto"/>
          <w:sz w:val="24"/>
          <w:szCs w:val="24"/>
        </w:rPr>
        <w:t>下除外）。</w:t>
      </w:r>
    </w:p>
    <w:p>
      <w:pPr>
        <w:spacing w:line="360" w:lineRule="auto"/>
        <w:rPr>
          <w:rFonts w:ascii="宋体" w:hAnsi="宋体" w:cs="宋体"/>
          <w:b/>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rPr>
        <w:t>成交供应商</w:t>
      </w:r>
      <w:r>
        <w:rPr>
          <w:rFonts w:hint="eastAsia" w:ascii="宋体" w:hAnsi="宋体" w:cs="宋体"/>
          <w:color w:val="auto"/>
          <w:sz w:val="24"/>
          <w:szCs w:val="24"/>
          <w:lang w:val="en-US" w:eastAsia="zh-CN"/>
        </w:rPr>
        <w:t>应</w:t>
      </w:r>
      <w:r>
        <w:rPr>
          <w:rFonts w:hint="eastAsia" w:ascii="宋体" w:hAnsi="宋体" w:cs="宋体"/>
          <w:color w:val="auto"/>
          <w:sz w:val="24"/>
          <w:szCs w:val="24"/>
        </w:rPr>
        <w:t>负责设备的终身维修并</w:t>
      </w:r>
      <w:r>
        <w:rPr>
          <w:rFonts w:hint="eastAsia" w:ascii="宋体" w:hAnsi="宋体" w:cs="宋体"/>
          <w:color w:val="auto"/>
          <w:sz w:val="24"/>
          <w:szCs w:val="24"/>
          <w:lang w:val="en-US" w:eastAsia="zh-CN"/>
        </w:rPr>
        <w:t>应</w:t>
      </w:r>
      <w:r>
        <w:rPr>
          <w:rFonts w:hint="eastAsia" w:ascii="宋体" w:hAnsi="宋体" w:cs="宋体"/>
          <w:color w:val="auto"/>
          <w:sz w:val="24"/>
          <w:szCs w:val="24"/>
        </w:rPr>
        <w:t>继续提供优质的服务，储备足够的零配件备库，质保期满后，以不高于市场价八折的优惠价供应维修零配件。</w:t>
      </w:r>
    </w:p>
    <w:p>
      <w:pPr>
        <w:widowControl/>
        <w:spacing w:line="360" w:lineRule="auto"/>
        <w:ind w:firstLine="482" w:firstLineChars="200"/>
        <w:rPr>
          <w:rFonts w:hint="eastAsia" w:ascii="宋体" w:hAnsi="宋体" w:cs="宋体"/>
          <w:b/>
          <w:bCs/>
          <w:color w:val="auto"/>
          <w:sz w:val="24"/>
        </w:rPr>
      </w:pPr>
    </w:p>
    <w:p>
      <w:pPr>
        <w:widowControl/>
        <w:spacing w:line="360" w:lineRule="auto"/>
        <w:ind w:firstLine="442" w:firstLineChars="200"/>
        <w:rPr>
          <w:rFonts w:ascii="宋体" w:hAnsi="宋体" w:cs="宋体"/>
          <w:b/>
          <w:bCs/>
          <w:color w:val="auto"/>
          <w:kern w:val="0"/>
          <w:sz w:val="22"/>
          <w:szCs w:val="22"/>
        </w:rPr>
      </w:pPr>
      <w:r>
        <w:rPr>
          <w:rFonts w:hint="eastAsia" w:ascii="宋体" w:hAnsi="宋体" w:cs="宋体"/>
          <w:b/>
          <w:bCs/>
          <w:color w:val="auto"/>
          <w:sz w:val="22"/>
          <w:szCs w:val="21"/>
        </w:rPr>
        <w:t>备注：1、</w:t>
      </w:r>
      <w:r>
        <w:rPr>
          <w:rFonts w:hint="eastAsia" w:ascii="宋体" w:hAnsi="宋体" w:cs="宋体"/>
          <w:b/>
          <w:bCs/>
          <w:color w:val="auto"/>
          <w:kern w:val="0"/>
          <w:sz w:val="22"/>
          <w:szCs w:val="22"/>
        </w:rPr>
        <w:t>各投标供应商应根据</w:t>
      </w:r>
      <w:r>
        <w:rPr>
          <w:rFonts w:hint="eastAsia" w:ascii="宋体" w:hAnsi="宋体" w:cs="宋体"/>
          <w:b/>
          <w:bCs/>
          <w:color w:val="auto"/>
          <w:kern w:val="0"/>
          <w:sz w:val="22"/>
          <w:szCs w:val="22"/>
          <w:lang w:val="en-US" w:eastAsia="zh-CN"/>
        </w:rPr>
        <w:t>招标</w:t>
      </w:r>
      <w:r>
        <w:rPr>
          <w:rFonts w:hint="eastAsia" w:ascii="宋体" w:hAnsi="宋体" w:cs="宋体"/>
          <w:b/>
          <w:bCs/>
          <w:color w:val="auto"/>
          <w:kern w:val="0"/>
          <w:sz w:val="22"/>
          <w:szCs w:val="22"/>
        </w:rPr>
        <w:t>文件的技术要求提供科学、合理、完整的配置，尽可能保证投标人的设备配置的不低于以上要求。</w:t>
      </w:r>
    </w:p>
    <w:p>
      <w:pPr>
        <w:widowControl/>
        <w:spacing w:line="360" w:lineRule="auto"/>
        <w:ind w:firstLine="433" w:firstLineChars="196"/>
        <w:rPr>
          <w:rFonts w:ascii="宋体" w:hAnsi="宋体" w:cs="宋体"/>
          <w:b/>
          <w:bCs/>
          <w:color w:val="auto"/>
          <w:sz w:val="22"/>
          <w:szCs w:val="22"/>
        </w:rPr>
      </w:pPr>
      <w:r>
        <w:rPr>
          <w:rFonts w:hint="eastAsia" w:ascii="宋体" w:hAnsi="宋体" w:cs="宋体"/>
          <w:b/>
          <w:bCs/>
          <w:color w:val="auto"/>
          <w:sz w:val="22"/>
          <w:szCs w:val="22"/>
        </w:rPr>
        <w:t>2、标有“</w:t>
      </w:r>
      <w:r>
        <w:rPr>
          <w:rFonts w:hint="eastAsia" w:ascii="宋体" w:hAnsi="宋体" w:cs="宋体"/>
          <w:sz w:val="20"/>
          <w:szCs w:val="21"/>
          <w:lang w:eastAsia="zh-CN"/>
        </w:rPr>
        <w:t>★</w:t>
      </w:r>
      <w:r>
        <w:rPr>
          <w:rFonts w:hint="eastAsia" w:ascii="宋体" w:hAnsi="宋体" w:cs="宋体"/>
          <w:b/>
          <w:bCs/>
          <w:color w:val="auto"/>
          <w:sz w:val="22"/>
          <w:szCs w:val="22"/>
        </w:rPr>
        <w:t>”的地方均为重要参数和指标要求条款，仅作为评标的依据，不满足不作为无效投标处理。</w:t>
      </w:r>
    </w:p>
    <w:p>
      <w:pPr>
        <w:pStyle w:val="68"/>
        <w:shd w:val="clear" w:color="auto" w:fill="auto"/>
        <w:tabs>
          <w:tab w:val="left" w:pos="1518"/>
        </w:tabs>
        <w:spacing w:line="360" w:lineRule="auto"/>
        <w:ind w:firstLine="442" w:firstLineChars="200"/>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3、投标供应商在投标时应答的指标，在设备验收时如不符合验收标准，将视为违约，招标人有权退货，并按合同条款进行处罚。</w:t>
      </w: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pStyle w:val="68"/>
        <w:shd w:val="clear" w:color="auto" w:fill="auto"/>
        <w:tabs>
          <w:tab w:val="left" w:pos="1518"/>
        </w:tabs>
        <w:spacing w:line="360" w:lineRule="auto"/>
        <w:rPr>
          <w:rFonts w:hint="eastAsia" w:ascii="宋体" w:hAnsi="宋体" w:eastAsia="宋体" w:cs="宋体"/>
          <w:b w:val="0"/>
          <w:bCs w:val="0"/>
          <w:kern w:val="2"/>
          <w:sz w:val="24"/>
          <w:szCs w:val="24"/>
          <w:lang w:val="en-US" w:eastAsia="zh-CN" w:bidi="ar"/>
        </w:rPr>
      </w:pPr>
    </w:p>
    <w:p>
      <w:pPr>
        <w:pStyle w:val="4"/>
        <w:pageBreakBefore/>
        <w:spacing w:line="480" w:lineRule="auto"/>
        <w:jc w:val="center"/>
        <w:rPr>
          <w:rFonts w:ascii="宋体"/>
          <w:color w:val="auto"/>
          <w:highlight w:val="none"/>
        </w:rPr>
      </w:pPr>
      <w:bookmarkStart w:id="75" w:name="_Toc25935"/>
      <w:r>
        <w:rPr>
          <w:rFonts w:hint="eastAsia" w:ascii="宋体"/>
          <w:color w:val="auto"/>
          <w:highlight w:val="none"/>
        </w:rPr>
        <w:t>第五章  评标办法</w:t>
      </w:r>
      <w:bookmarkEnd w:id="67"/>
      <w:bookmarkEnd w:id="68"/>
      <w:bookmarkEnd w:id="75"/>
    </w:p>
    <w:p>
      <w:pPr>
        <w:spacing w:line="480" w:lineRule="auto"/>
        <w:ind w:firstLine="551" w:firstLineChars="196"/>
        <w:rPr>
          <w:rFonts w:ascii="宋体"/>
          <w:b/>
          <w:color w:val="auto"/>
          <w:sz w:val="28"/>
          <w:szCs w:val="28"/>
          <w:highlight w:val="none"/>
        </w:rPr>
      </w:pPr>
      <w:r>
        <w:rPr>
          <w:rFonts w:hint="eastAsia" w:ascii="宋体"/>
          <w:b/>
          <w:color w:val="auto"/>
          <w:sz w:val="28"/>
          <w:szCs w:val="28"/>
          <w:highlight w:val="none"/>
        </w:rPr>
        <w:t>1、 总则</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1.1 根据《中华人民共和国政府采购法》、《中华人民共和国政府采购法实施条例》、《政府采购货物和服务招标投标管理办法》（财政部令第87号）、等法律制度，结合采购项目特点制定本评标办法。</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1.2 评标工作由采购人和采购代理机构负责组织，具体评标事务由采购人依法组建的评标委员会负责。评标委员会由采购人代表和有关技术、经济、法律等方面的专家组成。</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1.3 评标工作应遵循公平、公正、科学及择优的原则，并以相同的评标程序和标准对待所有的投标人。</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1.4 评标委员会按照招标文件规定的评标方法和标准进行评标，并独立履行下列职责：</w:t>
      </w:r>
    </w:p>
    <w:p>
      <w:pPr>
        <w:spacing w:line="480" w:lineRule="auto"/>
        <w:ind w:firstLine="560" w:firstLineChars="200"/>
        <w:rPr>
          <w:rFonts w:ascii="宋体"/>
          <w:color w:val="auto"/>
          <w:sz w:val="28"/>
          <w:szCs w:val="28"/>
          <w:highlight w:val="none"/>
        </w:rPr>
      </w:pPr>
      <w:bookmarkStart w:id="76" w:name="_Toc217446098"/>
      <w:r>
        <w:rPr>
          <w:rFonts w:hint="eastAsia" w:ascii="宋体"/>
          <w:color w:val="auto"/>
          <w:sz w:val="28"/>
          <w:szCs w:val="28"/>
          <w:highlight w:val="none"/>
        </w:rPr>
        <w:t>（1）熟悉和理解招标文件；</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（2）审查投标人投标文件等是否满足招标文件的实质性要求，并作出比较和评价；</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（3）根据需要要求采购人、采购代理机构对招标文件作出解释；根据需要要求投标人对投标文件有关事项作出澄清、说明或者更正；</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（4）推荐中标候选投标人，或者受采购人委托确定</w:t>
      </w:r>
      <w:r>
        <w:rPr>
          <w:rFonts w:hint="eastAsia" w:ascii="宋体"/>
          <w:color w:val="auto"/>
          <w:sz w:val="28"/>
          <w:szCs w:val="28"/>
          <w:highlight w:val="none"/>
          <w:lang w:eastAsia="zh-CN"/>
        </w:rPr>
        <w:t>中标人</w:t>
      </w:r>
      <w:r>
        <w:rPr>
          <w:rFonts w:hint="eastAsia" w:ascii="宋体"/>
          <w:color w:val="auto"/>
          <w:sz w:val="28"/>
          <w:szCs w:val="28"/>
          <w:highlight w:val="none"/>
        </w:rPr>
        <w:t>；</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（5）起草评标报告并进行签署；</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（6）向采购人、采购代理机构、财政部门或者其他监督部门报告非法干预评标工作的行为；</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（7）法律、法规和规章规定的其他职责。</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1.5 评标过程独立、保密。投标人非法干预评标过程的行为将导致其投标文件作为无效处理。</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1.6评标委员会评价投标文件的响应性，对于投标人而言，除评标委员会要求其澄清、说明或者更正而提供的资料外，仅依据投标文件本身的内容，不寻求其他外部证据。</w:t>
      </w:r>
    </w:p>
    <w:p>
      <w:pPr>
        <w:spacing w:line="480" w:lineRule="auto"/>
        <w:ind w:firstLine="551" w:firstLineChars="196"/>
        <w:rPr>
          <w:rFonts w:ascii="宋体"/>
          <w:color w:val="auto"/>
          <w:sz w:val="28"/>
          <w:szCs w:val="28"/>
          <w:highlight w:val="none"/>
        </w:rPr>
      </w:pPr>
      <w:r>
        <w:rPr>
          <w:rFonts w:hint="eastAsia" w:ascii="宋体"/>
          <w:b/>
          <w:color w:val="auto"/>
          <w:sz w:val="28"/>
          <w:szCs w:val="28"/>
          <w:highlight w:val="none"/>
        </w:rPr>
        <w:t>2、评标方法</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本项目评标方法为：</w:t>
      </w:r>
      <w:r>
        <w:rPr>
          <w:rFonts w:hint="eastAsia" w:ascii="宋体"/>
          <w:b/>
          <w:color w:val="auto"/>
          <w:sz w:val="28"/>
          <w:szCs w:val="28"/>
          <w:highlight w:val="none"/>
        </w:rPr>
        <w:t>综合评分法。</w:t>
      </w:r>
    </w:p>
    <w:p>
      <w:pPr>
        <w:spacing w:line="480" w:lineRule="auto"/>
        <w:ind w:firstLine="560" w:firstLineChars="200"/>
        <w:rPr>
          <w:rFonts w:ascii="宋体"/>
          <w:b/>
          <w:color w:val="auto"/>
          <w:sz w:val="28"/>
          <w:szCs w:val="28"/>
          <w:highlight w:val="none"/>
        </w:rPr>
      </w:pPr>
      <w:r>
        <w:rPr>
          <w:rFonts w:hint="eastAsia" w:ascii="宋体"/>
          <w:color w:val="auto"/>
          <w:sz w:val="28"/>
          <w:szCs w:val="28"/>
          <w:highlight w:val="none"/>
        </w:rPr>
        <w:t>3、</w:t>
      </w:r>
      <w:r>
        <w:rPr>
          <w:rFonts w:hint="eastAsia" w:ascii="宋体"/>
          <w:b/>
          <w:color w:val="auto"/>
          <w:sz w:val="28"/>
          <w:szCs w:val="28"/>
          <w:highlight w:val="none"/>
        </w:rPr>
        <w:t xml:space="preserve"> 评标程序</w:t>
      </w:r>
      <w:bookmarkEnd w:id="76"/>
    </w:p>
    <w:p>
      <w:pPr>
        <w:spacing w:line="480" w:lineRule="auto"/>
        <w:ind w:firstLine="562" w:firstLineChars="200"/>
        <w:rPr>
          <w:rFonts w:ascii="宋体"/>
          <w:b/>
          <w:color w:val="auto"/>
          <w:sz w:val="28"/>
          <w:szCs w:val="28"/>
          <w:highlight w:val="none"/>
        </w:rPr>
      </w:pPr>
      <w:bookmarkStart w:id="77" w:name="_Toc217446103"/>
      <w:bookmarkStart w:id="78" w:name="_Toc217446099"/>
      <w:r>
        <w:rPr>
          <w:rFonts w:hint="eastAsia" w:ascii="宋体"/>
          <w:b/>
          <w:color w:val="auto"/>
          <w:sz w:val="28"/>
          <w:szCs w:val="28"/>
          <w:highlight w:val="none"/>
        </w:rPr>
        <w:t>3.1熟悉和理解招标文件和停止评标。</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3.1.1评标委员会正式评标前，应当对招标文件进行熟悉和理解，内容主要包括招标文件中采购项目技术、服务和商务要求、评标方法和标准以及可能涉及签订政府采购合同的内容等。</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3.1.2评标委员会熟悉和理解招标文件以及评标过程中，发现本招标文件有下列情形之一的，评标委员会应当停止评标：</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w:t>
      </w:r>
      <w:r>
        <w:rPr>
          <w:rFonts w:ascii="宋体"/>
          <w:color w:val="auto"/>
          <w:sz w:val="28"/>
          <w:szCs w:val="28"/>
          <w:highlight w:val="none"/>
        </w:rPr>
        <w:t>评标委员会发现招标文件存在歧义、重大缺陷导致评标工作无法进行，或者招标文件内容违反国家有关强制性规定的，应当停止评标工作，与采购人或者采购代理机构沟通并作书面记录。</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（2）招标文件明显以不合理条件对投标人实行差别待遇或者歧视待遇的；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（3）采购项目属于国家规定的优先、强制采购范围，但是招标文件未依法体现优先、强制采购相关规定的；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（4）采购项目属于政府采购促进中小企业发展的范围，但是招标文件未依法体现促进中小企业发展相关规定的；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（5）招标文件规定的评标方法是综合评分法、最低评标价法之外的评标方法，或者虽然名称为综合评分法、最低评标价法，但实际上不符合国家规定；</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（6）招标文件将投标人的资格条件列为评分因素的；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（7）招标文件有违反国家其他有关强制性规定的情形。</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3.1.3出现本条3.1.2规定应情形的，评标委员会成员应当向采购人、采购代理机构书面说明情况。除本条规定和评标委员会无法依法组建的情形外，评标委员会成员不得以任何方式和理由停止评标。</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3.2符合性检查。</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3.2.2</w:t>
      </w:r>
      <w:r>
        <w:rPr>
          <w:rFonts w:ascii="宋体"/>
          <w:color w:val="auto"/>
          <w:sz w:val="28"/>
          <w:szCs w:val="28"/>
          <w:highlight w:val="none"/>
        </w:rPr>
        <w:t>符合性审查内容：</w:t>
      </w:r>
    </w:p>
    <w:p>
      <w:pPr>
        <w:spacing w:line="480" w:lineRule="auto"/>
        <w:ind w:firstLine="560" w:firstLineChars="200"/>
        <w:rPr>
          <w:rFonts w:ascii="宋体"/>
          <w:color w:val="auto"/>
          <w:sz w:val="28"/>
          <w:szCs w:val="28"/>
          <w:highlight w:val="none"/>
        </w:rPr>
      </w:pPr>
      <w:r>
        <w:rPr>
          <w:rFonts w:ascii="宋体"/>
          <w:color w:val="auto"/>
          <w:sz w:val="28"/>
          <w:szCs w:val="28"/>
          <w:highlight w:val="none"/>
        </w:rPr>
        <w:t>(1)投标文件是否按照招标文件要求进行签章；</w:t>
      </w:r>
    </w:p>
    <w:p>
      <w:pPr>
        <w:spacing w:line="480" w:lineRule="auto"/>
        <w:ind w:firstLine="560" w:firstLineChars="200"/>
        <w:rPr>
          <w:rFonts w:ascii="宋体"/>
          <w:color w:val="auto"/>
          <w:sz w:val="28"/>
          <w:szCs w:val="28"/>
          <w:highlight w:val="none"/>
        </w:rPr>
      </w:pPr>
      <w:r>
        <w:rPr>
          <w:rFonts w:ascii="宋体"/>
          <w:color w:val="auto"/>
          <w:sz w:val="28"/>
          <w:szCs w:val="28"/>
          <w:highlight w:val="none"/>
        </w:rPr>
        <w:t>(2)投标文件的格式、语言、计量单位、报价货币、知识产权、投标有效期等</w:t>
      </w:r>
      <w:r>
        <w:rPr>
          <w:rFonts w:hint="eastAsia" w:ascii="宋体"/>
          <w:color w:val="auto"/>
          <w:sz w:val="28"/>
          <w:szCs w:val="28"/>
          <w:highlight w:val="none"/>
        </w:rPr>
        <w:t>是否符合招标文件的规定要求；</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(3)投标文件组成明显不符合招标文件的规定要求，影响评标委员会评判的；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(4)履约时间、方式、数量和其他政府采购合同主要内容是否符合招标文件的规定要求；</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(5)投标文件技术、服务应答内容（仅限于技术、服务及其他要求中明确的实质性要求）是否符合招标文件的规定要求；</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(6)报价是否超过招标文件中规定的预算金额或者最高限价的。</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投标文件有上述情形之一的，作为无效投标处理。</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3.2.3比较与评价。按招标文件中规定的评标方法和标准，对未作无效投标处理的投标文件进行技术、服务、商务等方面评估，综合比较与评价。</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低于成本价、价格加成、折扣的评审详见投标人须知前附表。</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3.3复核。</w:t>
      </w:r>
      <w:r>
        <w:rPr>
          <w:rFonts w:hint="eastAsia" w:ascii="宋体"/>
          <w:color w:val="auto"/>
          <w:sz w:val="28"/>
          <w:szCs w:val="28"/>
          <w:highlight w:val="none"/>
        </w:rPr>
        <w:t>评标结果汇总结束后，评标委员会应当进行复核，特别要对拟推荐为中标候选投标人的、报价最低的、投标文件被认定为无效的进行重点复核。</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3.4推荐中标候选投标人。</w:t>
      </w:r>
    </w:p>
    <w:p>
      <w:pPr>
        <w:spacing w:line="480" w:lineRule="auto"/>
        <w:ind w:firstLine="551" w:firstLineChars="196"/>
        <w:rPr>
          <w:rFonts w:ascii="宋体"/>
          <w:color w:val="auto"/>
          <w:sz w:val="28"/>
          <w:szCs w:val="28"/>
          <w:highlight w:val="none"/>
        </w:rPr>
      </w:pPr>
      <w:r>
        <w:rPr>
          <w:rFonts w:hint="eastAsia" w:ascii="宋体"/>
          <w:b/>
          <w:color w:val="auto"/>
          <w:sz w:val="28"/>
          <w:szCs w:val="28"/>
          <w:highlight w:val="none"/>
        </w:rPr>
        <w:t>采用最低评标价法的，</w:t>
      </w:r>
      <w:r>
        <w:rPr>
          <w:rFonts w:hint="eastAsia" w:ascii="宋体"/>
          <w:color w:val="auto"/>
          <w:sz w:val="28"/>
          <w:szCs w:val="28"/>
          <w:highlight w:val="none"/>
        </w:rPr>
        <w:t>评标结果按投标报价由低到高顺序排列；报价相等的，投标人所投产品中节能、环境标志、无线局域网产品所占比例大（以采购品目计算）的优先；还相等的由评标委员会组织投标人抽签确定投标人排序。投标文件满足招标文件全部实质性要求且投标报价最低的投标人为排名第一的中标候选人。</w:t>
      </w:r>
    </w:p>
    <w:p>
      <w:pPr>
        <w:spacing w:line="480" w:lineRule="auto"/>
        <w:ind w:firstLine="551" w:firstLineChars="196"/>
        <w:rPr>
          <w:rFonts w:ascii="宋体"/>
          <w:color w:val="auto"/>
          <w:sz w:val="28"/>
          <w:szCs w:val="28"/>
          <w:highlight w:val="none"/>
        </w:rPr>
      </w:pPr>
      <w:r>
        <w:rPr>
          <w:rFonts w:hint="eastAsia" w:ascii="宋体"/>
          <w:b/>
          <w:color w:val="auto"/>
          <w:sz w:val="28"/>
          <w:szCs w:val="28"/>
          <w:highlight w:val="none"/>
        </w:rPr>
        <w:t>采用综合评分法的，</w:t>
      </w:r>
      <w:r>
        <w:rPr>
          <w:rFonts w:hint="eastAsia" w:ascii="宋体"/>
          <w:color w:val="auto"/>
          <w:sz w:val="28"/>
          <w:szCs w:val="28"/>
          <w:highlight w:val="none"/>
        </w:rPr>
        <w:t>评标结果按评审后得分由高到低顺序排列，得分相同的，按投标报价由低到高顺序排列，得分且投标报价相同的由评标委员会组织投标人抽签确定投标人排序。投标文件满足招标文件全部实质性要求，且按照评审因素的量化指标评审得分最高的投标人为排名第一的中标候选人。</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3.5出具评标报告。</w:t>
      </w:r>
      <w:r>
        <w:rPr>
          <w:rFonts w:hint="eastAsia" w:ascii="宋体"/>
          <w:color w:val="auto"/>
          <w:sz w:val="28"/>
          <w:szCs w:val="28"/>
          <w:highlight w:val="none"/>
        </w:rPr>
        <w:t>评标委员会推荐中标候选投标人后，应当向采购人、采购代理机构出具评标报告。评标报告应当包括下列内容：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（1）招标公告刊登的媒体名称、开标日期和地点；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（2）获取招标文件的投标人名单和评标委员会成员名单；</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（3）评标方法和标准；</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（4）开标记录和评标情况及说明，包括无效投标人名单及原因；</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（5）评标结果和中标候选投标人排序表；</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（6）评标委员会授标建议；</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（7）报价最高的投标人为中标候选人的，评标委员会应当对其报价的合理性予以特别说明。</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3.6评标争议处理规则。</w:t>
      </w:r>
      <w:r>
        <w:rPr>
          <w:rFonts w:hint="eastAsia" w:ascii="宋体"/>
          <w:color w:val="auto"/>
          <w:sz w:val="28"/>
          <w:szCs w:val="28"/>
          <w:highlight w:val="none"/>
        </w:rPr>
        <w:t>评标委员会在评审过程中，对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采购代理机构书面反映。采购人、采购代理机构收到书面反映后，应当书面报告采购项目同级财政部门依法处理。</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3.7澄清、说明或者更正。</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3.7.1在评审过程中，评审委员会认为采购文件有关事项表述不明确或需要说明的，可以要求采购人、采购代理机构书面解释。采购人、采购代理机构应当给予书面解释。采购人、采购代理机构的解释不得改变采购文件的原义和影响公平、公正。</w:t>
      </w:r>
      <w:r>
        <w:rPr>
          <w:rFonts w:hint="eastAsia" w:ascii="宋体"/>
          <w:b/>
          <w:color w:val="auto"/>
          <w:sz w:val="28"/>
          <w:szCs w:val="28"/>
          <w:highlight w:val="none"/>
        </w:rPr>
        <w:t>采购人、代购代理机构应在60分钟内回复。</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3.7.2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3.7.3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r>
        <w:rPr>
          <w:rFonts w:hint="eastAsia" w:ascii="宋体"/>
          <w:b/>
          <w:color w:val="auto"/>
          <w:sz w:val="28"/>
          <w:szCs w:val="28"/>
          <w:highlight w:val="none"/>
        </w:rPr>
        <w:t>投标人应在评标委员会发出澄清、说明或者更正后60分钟内回复，超过时间的视为未回复。</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3.7.4评标委员会要求投标人澄清、说明或者更正，不得超出招标文件的范围，不得以此让投标人实质改变投标文件的内容，不得影响投标人公平竞争。本项目下列内容不得澄清：</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（1）按财政部规定应当在评标时不予承认的投标文件内容事项；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（2）投标文件中已经明确的内容事项；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（3）投标文件未提供的材料。</w:t>
      </w:r>
    </w:p>
    <w:p>
      <w:pPr>
        <w:spacing w:line="480" w:lineRule="auto"/>
        <w:ind w:firstLine="551" w:firstLineChars="196"/>
        <w:rPr>
          <w:rFonts w:ascii="宋体"/>
          <w:color w:val="auto"/>
          <w:sz w:val="28"/>
          <w:szCs w:val="28"/>
          <w:highlight w:val="none"/>
        </w:rPr>
      </w:pPr>
      <w:r>
        <w:rPr>
          <w:rFonts w:hint="eastAsia" w:ascii="宋体"/>
          <w:b/>
          <w:color w:val="auto"/>
          <w:sz w:val="28"/>
          <w:szCs w:val="28"/>
          <w:highlight w:val="none"/>
        </w:rPr>
        <w:t>3.7.5评标委员会发出澄清</w:t>
      </w:r>
      <w:r>
        <w:rPr>
          <w:rFonts w:ascii="宋体"/>
          <w:b/>
          <w:color w:val="auto"/>
          <w:sz w:val="28"/>
          <w:szCs w:val="28"/>
          <w:highlight w:val="none"/>
        </w:rPr>
        <w:t>，</w:t>
      </w:r>
      <w:r>
        <w:rPr>
          <w:rFonts w:hint="eastAsia" w:ascii="宋体"/>
          <w:b/>
          <w:color w:val="auto"/>
          <w:sz w:val="28"/>
          <w:szCs w:val="28"/>
          <w:highlight w:val="none"/>
        </w:rPr>
        <w:t>采购人、采购代理机构、投标人的回复，以书面的形式进行</w:t>
      </w:r>
      <w:r>
        <w:rPr>
          <w:rFonts w:ascii="宋体"/>
          <w:b/>
          <w:color w:val="auto"/>
          <w:sz w:val="28"/>
          <w:szCs w:val="28"/>
          <w:highlight w:val="none"/>
        </w:rPr>
        <w:t>。</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3.7.6投标文件报价出现前后不一致的，按照以下原则进行价格修正：</w:t>
      </w:r>
    </w:p>
    <w:p>
      <w:pPr>
        <w:spacing w:line="480" w:lineRule="auto"/>
        <w:rPr>
          <w:rFonts w:ascii="宋体"/>
          <w:color w:val="auto"/>
          <w:sz w:val="28"/>
          <w:szCs w:val="28"/>
          <w:highlight w:val="none"/>
        </w:rPr>
      </w:pPr>
      <w:r>
        <w:rPr>
          <w:rFonts w:ascii="宋体"/>
          <w:color w:val="auto"/>
          <w:sz w:val="28"/>
          <w:szCs w:val="28"/>
          <w:highlight w:val="none"/>
        </w:rPr>
        <w:t>　</w:t>
      </w:r>
      <w:r>
        <w:rPr>
          <w:rFonts w:hint="eastAsia" w:ascii="宋体"/>
          <w:color w:val="auto"/>
          <w:sz w:val="28"/>
          <w:szCs w:val="28"/>
          <w:highlight w:val="none"/>
        </w:rPr>
        <w:t xml:space="preserve">  (1)</w:t>
      </w:r>
      <w:r>
        <w:rPr>
          <w:rFonts w:ascii="宋体"/>
          <w:color w:val="auto"/>
          <w:sz w:val="28"/>
          <w:szCs w:val="28"/>
          <w:highlight w:val="none"/>
        </w:rPr>
        <w:t>投标文件中开标一览表（报价表）内容与投标文件中相应内容不一致的，以开标一览表（报价表）为准；</w:t>
      </w:r>
    </w:p>
    <w:p>
      <w:pPr>
        <w:spacing w:line="480" w:lineRule="auto"/>
        <w:rPr>
          <w:rFonts w:ascii="宋体"/>
          <w:color w:val="auto"/>
          <w:sz w:val="28"/>
          <w:szCs w:val="28"/>
          <w:highlight w:val="none"/>
        </w:rPr>
      </w:pPr>
      <w:r>
        <w:rPr>
          <w:rFonts w:ascii="宋体"/>
          <w:color w:val="auto"/>
          <w:sz w:val="28"/>
          <w:szCs w:val="28"/>
          <w:highlight w:val="none"/>
        </w:rPr>
        <w:t>　　</w:t>
      </w:r>
      <w:r>
        <w:rPr>
          <w:rFonts w:hint="eastAsia" w:ascii="宋体"/>
          <w:color w:val="auto"/>
          <w:sz w:val="28"/>
          <w:szCs w:val="28"/>
          <w:highlight w:val="none"/>
        </w:rPr>
        <w:t>(2)</w:t>
      </w:r>
      <w:r>
        <w:rPr>
          <w:rFonts w:ascii="宋体"/>
          <w:color w:val="auto"/>
          <w:sz w:val="28"/>
          <w:szCs w:val="28"/>
          <w:highlight w:val="none"/>
        </w:rPr>
        <w:t>大写金额和小写金额不一致的，以大写金额为准；</w:t>
      </w:r>
    </w:p>
    <w:p>
      <w:pPr>
        <w:spacing w:line="480" w:lineRule="auto"/>
        <w:rPr>
          <w:rFonts w:ascii="宋体"/>
          <w:color w:val="auto"/>
          <w:sz w:val="28"/>
          <w:szCs w:val="28"/>
          <w:highlight w:val="none"/>
        </w:rPr>
      </w:pPr>
      <w:r>
        <w:rPr>
          <w:rFonts w:ascii="宋体"/>
          <w:color w:val="auto"/>
          <w:sz w:val="28"/>
          <w:szCs w:val="28"/>
          <w:highlight w:val="none"/>
        </w:rPr>
        <w:t>　　</w:t>
      </w:r>
      <w:r>
        <w:rPr>
          <w:rFonts w:hint="eastAsia" w:ascii="宋体"/>
          <w:color w:val="auto"/>
          <w:sz w:val="28"/>
          <w:szCs w:val="28"/>
          <w:highlight w:val="none"/>
        </w:rPr>
        <w:t>(3)</w:t>
      </w:r>
      <w:r>
        <w:rPr>
          <w:rFonts w:ascii="宋体"/>
          <w:color w:val="auto"/>
          <w:sz w:val="28"/>
          <w:szCs w:val="28"/>
          <w:highlight w:val="none"/>
        </w:rPr>
        <w:t>单价金额小数点或者百分比有明显错位的，以开标一览表（报价表）的总价为准，并修改单价；</w:t>
      </w:r>
    </w:p>
    <w:p>
      <w:pPr>
        <w:spacing w:line="480" w:lineRule="auto"/>
        <w:rPr>
          <w:rFonts w:ascii="宋体"/>
          <w:color w:val="auto"/>
          <w:sz w:val="28"/>
          <w:szCs w:val="28"/>
          <w:highlight w:val="none"/>
        </w:rPr>
      </w:pPr>
      <w:r>
        <w:rPr>
          <w:rFonts w:ascii="宋体"/>
          <w:color w:val="auto"/>
          <w:sz w:val="28"/>
          <w:szCs w:val="28"/>
          <w:highlight w:val="none"/>
        </w:rPr>
        <w:t>　　</w:t>
      </w:r>
      <w:r>
        <w:rPr>
          <w:rFonts w:hint="eastAsia" w:ascii="宋体"/>
          <w:color w:val="auto"/>
          <w:sz w:val="28"/>
          <w:szCs w:val="28"/>
          <w:highlight w:val="none"/>
        </w:rPr>
        <w:t>(4)</w:t>
      </w:r>
      <w:r>
        <w:rPr>
          <w:rFonts w:ascii="宋体"/>
          <w:color w:val="auto"/>
          <w:sz w:val="28"/>
          <w:szCs w:val="28"/>
          <w:highlight w:val="none"/>
        </w:rPr>
        <w:t>总价金额与按单价汇总金额不一致的，以单价金额计算结果为准。</w:t>
      </w:r>
    </w:p>
    <w:p>
      <w:pPr>
        <w:spacing w:line="480" w:lineRule="auto"/>
        <w:rPr>
          <w:rFonts w:ascii="宋体"/>
          <w:color w:val="auto"/>
          <w:sz w:val="28"/>
          <w:szCs w:val="28"/>
          <w:highlight w:val="none"/>
        </w:rPr>
      </w:pPr>
      <w:r>
        <w:rPr>
          <w:rFonts w:ascii="宋体"/>
          <w:color w:val="auto"/>
          <w:sz w:val="28"/>
          <w:szCs w:val="28"/>
          <w:highlight w:val="none"/>
        </w:rPr>
        <w:t>　　</w:t>
      </w:r>
      <w:r>
        <w:rPr>
          <w:rFonts w:hint="eastAsia" w:ascii="宋体"/>
          <w:color w:val="auto"/>
          <w:sz w:val="28"/>
          <w:szCs w:val="28"/>
          <w:highlight w:val="none"/>
        </w:rPr>
        <w:t>同时出现两种以上不一致的，按照前款规定的顺序修正。修正后的报价经投标人确认后产生约束力，</w:t>
      </w:r>
      <w:r>
        <w:rPr>
          <w:rFonts w:hint="eastAsia" w:ascii="宋体"/>
          <w:b/>
          <w:color w:val="auto"/>
          <w:sz w:val="28"/>
          <w:szCs w:val="28"/>
          <w:highlight w:val="none"/>
        </w:rPr>
        <w:t>投标人不确认的，其投标无效。投标人应在评标委员会发出澄清后60分钟内确认，超出时间不确认的其投标无效。</w:t>
      </w:r>
      <w:r>
        <w:rPr>
          <w:rFonts w:hint="eastAsia" w:ascii="宋体"/>
          <w:color w:val="auto"/>
          <w:sz w:val="28"/>
          <w:szCs w:val="28"/>
          <w:highlight w:val="none"/>
        </w:rPr>
        <w:t>评标委员会可通过书面形式并经全体评标委员会成员签字后向投标人发出澄清，列明投标报价的修改内容，投标人通过纸质签字或盖章确认。</w:t>
      </w:r>
    </w:p>
    <w:p>
      <w:pPr>
        <w:spacing w:line="480" w:lineRule="auto"/>
        <w:ind w:firstLine="551" w:firstLineChars="196"/>
        <w:rPr>
          <w:rFonts w:ascii="宋体"/>
          <w:b/>
          <w:color w:val="auto"/>
          <w:sz w:val="28"/>
          <w:szCs w:val="28"/>
          <w:highlight w:val="none"/>
        </w:rPr>
      </w:pPr>
      <w:r>
        <w:rPr>
          <w:rFonts w:hint="eastAsia" w:ascii="宋体"/>
          <w:b/>
          <w:color w:val="auto"/>
          <w:sz w:val="28"/>
          <w:szCs w:val="28"/>
          <w:highlight w:val="none"/>
        </w:rPr>
        <w:t>出现该款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spacing w:line="480" w:lineRule="auto"/>
        <w:ind w:firstLine="551" w:firstLineChars="196"/>
        <w:rPr>
          <w:rFonts w:ascii="宋体"/>
          <w:b/>
          <w:color w:val="auto"/>
          <w:sz w:val="28"/>
          <w:szCs w:val="28"/>
          <w:highlight w:val="none"/>
        </w:rPr>
      </w:pPr>
      <w:r>
        <w:rPr>
          <w:rFonts w:hint="eastAsia" w:ascii="宋体"/>
          <w:b/>
          <w:color w:val="auto"/>
          <w:sz w:val="28"/>
          <w:szCs w:val="28"/>
          <w:highlight w:val="none"/>
        </w:rPr>
        <w:t>评标委员会当积极履行澄清、说明或者更正的职责，不得滥用权力。投标人的投标文件可以要求澄清、说明或者更正的，不得未经澄清、说明或者更正而直接作无效投标处理。</w:t>
      </w:r>
    </w:p>
    <w:p>
      <w:pPr>
        <w:spacing w:line="480" w:lineRule="auto"/>
        <w:ind w:firstLine="562" w:firstLineChars="200"/>
        <w:rPr>
          <w:rFonts w:ascii="宋体"/>
          <w:color w:val="auto"/>
          <w:sz w:val="28"/>
          <w:szCs w:val="28"/>
          <w:highlight w:val="none"/>
        </w:rPr>
      </w:pPr>
      <w:r>
        <w:rPr>
          <w:rFonts w:hint="eastAsia" w:ascii="宋体"/>
          <w:b/>
          <w:color w:val="auto"/>
          <w:sz w:val="28"/>
          <w:szCs w:val="28"/>
          <w:highlight w:val="none"/>
        </w:rPr>
        <w:t>4. 评标细则及标准</w:t>
      </w:r>
      <w:bookmarkEnd w:id="77"/>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4.1本项目综合评分采用百分制，总分100分。</w:t>
      </w:r>
      <w:r>
        <w:rPr>
          <w:rFonts w:hint="eastAsia" w:ascii="宋体"/>
          <w:bCs/>
          <w:color w:val="auto"/>
          <w:sz w:val="28"/>
          <w:szCs w:val="28"/>
          <w:highlight w:val="none"/>
        </w:rPr>
        <w:t>评分过程中采用四舍五入法，并保留小数点后2位。</w:t>
      </w:r>
      <w:r>
        <w:rPr>
          <w:rFonts w:hint="eastAsia" w:ascii="宋体"/>
          <w:color w:val="auto"/>
          <w:sz w:val="28"/>
          <w:szCs w:val="28"/>
          <w:highlight w:val="none"/>
        </w:rPr>
        <w:t>投标人</w:t>
      </w:r>
      <w:r>
        <w:rPr>
          <w:rFonts w:hint="eastAsia" w:ascii="宋体"/>
          <w:bCs/>
          <w:color w:val="auto"/>
          <w:sz w:val="28"/>
          <w:szCs w:val="28"/>
          <w:highlight w:val="none"/>
        </w:rPr>
        <w:t>综合得分</w:t>
      </w:r>
      <w:r>
        <w:rPr>
          <w:rFonts w:hint="eastAsia" w:ascii="宋体"/>
          <w:color w:val="auto"/>
          <w:sz w:val="28"/>
          <w:szCs w:val="28"/>
          <w:highlight w:val="none"/>
        </w:rPr>
        <w:t>为评标委员会各成员评标后得分之和的平均分</w:t>
      </w:r>
      <w:r>
        <w:rPr>
          <w:rFonts w:hint="eastAsia" w:ascii="宋体"/>
          <w:bCs/>
          <w:color w:val="auto"/>
          <w:sz w:val="28"/>
          <w:szCs w:val="28"/>
          <w:highlight w:val="none"/>
        </w:rPr>
        <w:t>。</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4.2 评标委员会成员应当根据自身专业情况对每个有效投标投标人的投标文件进行独立评分，加权汇总每项评分因素的得分，得出每个有效投标投标人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spacing w:line="480" w:lineRule="auto"/>
        <w:ind w:firstLine="562" w:firstLineChars="200"/>
        <w:rPr>
          <w:rFonts w:hint="eastAsia" w:ascii="宋体"/>
          <w:b/>
          <w:bCs/>
          <w:color w:val="auto"/>
          <w:sz w:val="28"/>
          <w:szCs w:val="28"/>
          <w:highlight w:val="none"/>
        </w:rPr>
      </w:pPr>
      <w:r>
        <w:rPr>
          <w:rFonts w:hint="eastAsia" w:ascii="宋体"/>
          <w:b/>
          <w:bCs/>
          <w:color w:val="auto"/>
          <w:sz w:val="28"/>
          <w:szCs w:val="28"/>
          <w:highlight w:val="none"/>
        </w:rPr>
        <w:t>4.3综合评分明细表</w:t>
      </w:r>
    </w:p>
    <w:p>
      <w:pPr>
        <w:spacing w:line="480" w:lineRule="auto"/>
        <w:ind w:firstLine="562" w:firstLineChars="200"/>
        <w:rPr>
          <w:rFonts w:hint="eastAsia" w:ascii="宋体"/>
          <w:b/>
          <w:bCs/>
          <w:color w:val="auto"/>
          <w:sz w:val="28"/>
          <w:szCs w:val="28"/>
          <w:highlight w:val="none"/>
        </w:rPr>
      </w:pPr>
      <w:r>
        <w:rPr>
          <w:rFonts w:hint="eastAsia" w:ascii="宋体"/>
          <w:b/>
          <w:bCs/>
          <w:color w:val="auto"/>
          <w:sz w:val="28"/>
          <w:szCs w:val="28"/>
          <w:highlight w:val="none"/>
        </w:rPr>
        <w:br w:type="page"/>
      </w:r>
    </w:p>
    <w:p>
      <w:pPr>
        <w:spacing w:line="360" w:lineRule="auto"/>
        <w:jc w:val="center"/>
        <w:rPr>
          <w:rFonts w:ascii="宋体" w:hAnsi="宋体"/>
          <w:b/>
          <w:sz w:val="24"/>
          <w:szCs w:val="24"/>
        </w:rPr>
      </w:pPr>
      <w:r>
        <w:rPr>
          <w:rFonts w:hint="eastAsia" w:ascii="宋体" w:hAnsi="宋体"/>
          <w:b/>
          <w:sz w:val="24"/>
          <w:szCs w:val="24"/>
        </w:rPr>
        <w:t>第一包</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90"/>
        <w:gridCol w:w="868"/>
        <w:gridCol w:w="339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序号</w:t>
            </w:r>
          </w:p>
        </w:tc>
        <w:tc>
          <w:tcPr>
            <w:tcW w:w="1190"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评分因素及权重</w:t>
            </w:r>
          </w:p>
        </w:tc>
        <w:tc>
          <w:tcPr>
            <w:tcW w:w="868"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分值</w:t>
            </w:r>
          </w:p>
        </w:tc>
        <w:tc>
          <w:tcPr>
            <w:tcW w:w="3393"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评分标准</w:t>
            </w:r>
          </w:p>
        </w:tc>
        <w:tc>
          <w:tcPr>
            <w:tcW w:w="2377"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1</w:t>
            </w:r>
          </w:p>
        </w:tc>
        <w:tc>
          <w:tcPr>
            <w:tcW w:w="1190"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报价30%</w:t>
            </w:r>
          </w:p>
        </w:tc>
        <w:tc>
          <w:tcPr>
            <w:tcW w:w="868"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3393" w:type="dxa"/>
            <w:noWrap w:val="0"/>
            <w:vAlign w:val="center"/>
          </w:tcPr>
          <w:p>
            <w:pPr>
              <w:spacing w:line="360" w:lineRule="auto"/>
              <w:rPr>
                <w:rFonts w:ascii="宋体" w:hAnsi="宋体" w:cs="宋体"/>
                <w:sz w:val="24"/>
                <w:szCs w:val="24"/>
              </w:rPr>
            </w:pPr>
            <w:r>
              <w:rPr>
                <w:rFonts w:hint="eastAsia" w:ascii="宋体" w:hAnsi="宋体" w:cs="宋体"/>
                <w:sz w:val="24"/>
                <w:szCs w:val="24"/>
              </w:rPr>
              <w:t>以本次符合要求的最低的有效投标报价为基准价，投标报价得分=（基准价／投标报价）×100×30%。</w:t>
            </w:r>
          </w:p>
        </w:tc>
        <w:tc>
          <w:tcPr>
            <w:tcW w:w="2377"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注：1、计分按“四舍五入法”保留小数点后两位。</w:t>
            </w:r>
          </w:p>
          <w:p>
            <w:pPr>
              <w:spacing w:line="360" w:lineRule="auto"/>
              <w:rPr>
                <w:rFonts w:ascii="宋体" w:hAnsi="宋体" w:cs="宋体"/>
                <w:sz w:val="24"/>
                <w:szCs w:val="24"/>
              </w:rPr>
            </w:pPr>
            <w:r>
              <w:rPr>
                <w:rFonts w:hint="eastAsia" w:ascii="宋体" w:hAnsi="宋体" w:cs="宋体"/>
                <w:sz w:val="24"/>
                <w:szCs w:val="24"/>
              </w:rPr>
              <w:t>2、小微企业（监狱企业、残疾人福利性单位视同小微企业）给予10%的价格扣除按照（财库〔2020〕46号）。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2</w:t>
            </w:r>
          </w:p>
        </w:tc>
        <w:tc>
          <w:tcPr>
            <w:tcW w:w="1190"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技术指标和配置54%</w:t>
            </w:r>
          </w:p>
        </w:tc>
        <w:tc>
          <w:tcPr>
            <w:tcW w:w="868"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54</w:t>
            </w:r>
          </w:p>
        </w:tc>
        <w:tc>
          <w:tcPr>
            <w:tcW w:w="3393"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完全满足招标文件技术指标和配置没有负偏离的得5</w:t>
            </w:r>
            <w:r>
              <w:rPr>
                <w:rFonts w:hint="eastAsia" w:ascii="宋体" w:hAnsi="宋体" w:cs="宋体"/>
                <w:sz w:val="24"/>
                <w:szCs w:val="24"/>
                <w:lang w:val="en-US" w:eastAsia="zh-CN"/>
              </w:rPr>
              <w:t>4</w:t>
            </w:r>
            <w:r>
              <w:rPr>
                <w:rFonts w:hint="eastAsia" w:ascii="宋体" w:hAnsi="宋体" w:cs="宋体"/>
                <w:sz w:val="24"/>
                <w:szCs w:val="24"/>
              </w:rPr>
              <w:t>分，带★号的重要参数有33条，共计33分，每有一条负偏离的扣1分,扣完为止；非★号参数有150条，共计21分，每有一条负偏离的扣</w:t>
            </w:r>
            <w:r>
              <w:rPr>
                <w:rFonts w:hint="eastAsia" w:ascii="宋体" w:hAnsi="宋体" w:cs="宋体"/>
                <w:sz w:val="24"/>
                <w:szCs w:val="24"/>
                <w:highlight w:val="none"/>
              </w:rPr>
              <w:t>0.14分，</w:t>
            </w:r>
            <w:r>
              <w:rPr>
                <w:rFonts w:hint="eastAsia" w:ascii="宋体" w:hAnsi="宋体" w:cs="宋体"/>
                <w:sz w:val="24"/>
                <w:szCs w:val="24"/>
              </w:rPr>
              <w:t>扣完为止。</w:t>
            </w:r>
          </w:p>
        </w:tc>
        <w:tc>
          <w:tcPr>
            <w:tcW w:w="2377" w:type="dxa"/>
            <w:noWrap w:val="0"/>
            <w:vAlign w:val="center"/>
          </w:tcPr>
          <w:p>
            <w:pPr>
              <w:widowControl/>
              <w:adjustRightInd w:val="0"/>
              <w:snapToGrid w:val="0"/>
              <w:spacing w:line="360" w:lineRule="auto"/>
              <w:rPr>
                <w:rFonts w:ascii="宋体" w:hAnsi="宋体" w:cs="宋体"/>
                <w:szCs w:val="21"/>
              </w:rPr>
            </w:pPr>
            <w:r>
              <w:rPr>
                <w:rFonts w:hint="eastAsia" w:ascii="宋体" w:hAnsi="宋体" w:cs="宋体"/>
                <w:sz w:val="24"/>
                <w:szCs w:val="24"/>
              </w:rPr>
              <w:t>以投标文件对招标文件技术指标和配置要求的响应情况为准。带★号参数应提供厂家彩页或白皮书或检测报告等佐证材料，如无佐证材料的，不予认定。（若具体参数中有明确证明材料要求的以具体要求为准）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3</w:t>
            </w:r>
          </w:p>
        </w:tc>
        <w:tc>
          <w:tcPr>
            <w:tcW w:w="1190" w:type="dxa"/>
            <w:noWrap w:val="0"/>
            <w:vAlign w:val="center"/>
          </w:tcPr>
          <w:p>
            <w:pPr>
              <w:widowControl/>
              <w:spacing w:line="360" w:lineRule="auto"/>
              <w:jc w:val="center"/>
              <w:rPr>
                <w:rFonts w:ascii="宋体" w:hAnsi="宋体" w:cs="宋体"/>
                <w:sz w:val="24"/>
                <w:szCs w:val="24"/>
              </w:rPr>
            </w:pPr>
            <w:r>
              <w:rPr>
                <w:rFonts w:hint="eastAsia" w:ascii="宋体" w:hAnsi="宋体" w:cs="宋体"/>
                <w:sz w:val="24"/>
                <w:szCs w:val="24"/>
              </w:rPr>
              <w:t>业绩4%</w:t>
            </w:r>
          </w:p>
        </w:tc>
        <w:tc>
          <w:tcPr>
            <w:tcW w:w="868" w:type="dxa"/>
            <w:noWrap w:val="0"/>
            <w:vAlign w:val="center"/>
          </w:tcPr>
          <w:p>
            <w:pPr>
              <w:widowControl/>
              <w:spacing w:line="360" w:lineRule="auto"/>
              <w:jc w:val="center"/>
              <w:rPr>
                <w:rFonts w:ascii="宋体" w:hAnsi="宋体" w:cs="宋体"/>
                <w:sz w:val="24"/>
                <w:szCs w:val="24"/>
              </w:rPr>
            </w:pPr>
            <w:r>
              <w:rPr>
                <w:rFonts w:hint="eastAsia" w:ascii="宋体" w:hAnsi="宋体" w:cs="宋体"/>
                <w:sz w:val="24"/>
                <w:szCs w:val="24"/>
              </w:rPr>
              <w:t>4</w:t>
            </w:r>
          </w:p>
        </w:tc>
        <w:tc>
          <w:tcPr>
            <w:tcW w:w="3393" w:type="dxa"/>
            <w:noWrap w:val="0"/>
            <w:vAlign w:val="center"/>
          </w:tcPr>
          <w:p>
            <w:pPr>
              <w:tabs>
                <w:tab w:val="left" w:pos="540"/>
              </w:tabs>
              <w:adjustRightInd w:val="0"/>
              <w:snapToGrid w:val="0"/>
              <w:spacing w:line="360" w:lineRule="auto"/>
              <w:rPr>
                <w:rFonts w:ascii="宋体" w:hAnsi="宋体" w:cs="宋体"/>
                <w:sz w:val="24"/>
                <w:szCs w:val="24"/>
              </w:rPr>
            </w:pPr>
            <w:r>
              <w:rPr>
                <w:rFonts w:hint="eastAsia" w:ascii="宋体" w:hAnsi="宋体" w:cs="宋体"/>
                <w:sz w:val="24"/>
                <w:szCs w:val="24"/>
              </w:rPr>
              <w:t>根据投标人提供的类似业绩（2018年1月1日至递交投标文件截止日）进行评审，每提供一个业绩得1分，最多得4分。</w:t>
            </w:r>
          </w:p>
        </w:tc>
        <w:tc>
          <w:tcPr>
            <w:tcW w:w="2377" w:type="dxa"/>
            <w:noWrap w:val="0"/>
            <w:vAlign w:val="center"/>
          </w:tcPr>
          <w:p>
            <w:pPr>
              <w:widowControl/>
              <w:spacing w:line="360" w:lineRule="auto"/>
              <w:rPr>
                <w:rFonts w:ascii="宋体" w:hAnsi="宋体" w:cs="宋体"/>
                <w:szCs w:val="21"/>
              </w:rPr>
            </w:pPr>
            <w:r>
              <w:rPr>
                <w:rFonts w:hint="eastAsia" w:ascii="宋体" w:hAnsi="宋体" w:cs="宋体"/>
                <w:sz w:val="24"/>
                <w:szCs w:val="24"/>
              </w:rPr>
              <w:t>提供合同复印件或中标通知书复印件加盖投标人鲜章。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4</w:t>
            </w:r>
          </w:p>
        </w:tc>
        <w:tc>
          <w:tcPr>
            <w:tcW w:w="1190"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售后服务方案8</w:t>
            </w:r>
            <w:r>
              <w:rPr>
                <w:rFonts w:hint="eastAsia" w:ascii="宋体" w:hAnsi="宋体" w:cs="宋体"/>
                <w:sz w:val="24"/>
                <w:szCs w:val="24"/>
                <w:lang w:val="zh-CN"/>
              </w:rPr>
              <w:t>%</w:t>
            </w:r>
          </w:p>
        </w:tc>
        <w:tc>
          <w:tcPr>
            <w:tcW w:w="868"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8</w:t>
            </w:r>
          </w:p>
        </w:tc>
        <w:tc>
          <w:tcPr>
            <w:tcW w:w="3393"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1、根据投标人提供的售后服务方案进行评审，包含但不限于：①售后服务点②售后服务人员设置及备品备件管理方案③培训方案④应急预案⑤巡检巡修方案等方面，完全满足上述要求且有利于本项目后期运行的得6分；在此基础上，每有缺项或不甚全面的扣1.2分，扣完为止，不提供不得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2、优于招标文件售后服务响应时间：售后服务方案中支持</w:t>
            </w:r>
            <w:r>
              <w:rPr>
                <w:rFonts w:hint="eastAsia" w:ascii="宋体" w:hAnsi="宋体" w:cs="宋体"/>
                <w:kern w:val="0"/>
                <w:sz w:val="24"/>
                <w:szCs w:val="24"/>
              </w:rPr>
              <w:t>在收到报修起1小时内响应，将在12小时内派专业维修人员到现场进行维修的加1分，在收到报修起30分钟内响应，将在8小时内派专业维修人员到现场进行维修的加2分。（本项最高得2分）</w:t>
            </w:r>
          </w:p>
        </w:tc>
        <w:tc>
          <w:tcPr>
            <w:tcW w:w="2377" w:type="dxa"/>
            <w:noWrap w:val="0"/>
            <w:vAlign w:val="center"/>
          </w:tcPr>
          <w:p>
            <w:pPr>
              <w:widowControl/>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5</w:t>
            </w:r>
          </w:p>
        </w:tc>
        <w:tc>
          <w:tcPr>
            <w:tcW w:w="1190" w:type="dxa"/>
            <w:noWrap w:val="0"/>
            <w:vAlign w:val="center"/>
          </w:tcPr>
          <w:p>
            <w:pPr>
              <w:autoSpaceDE w:val="0"/>
              <w:autoSpaceDN w:val="0"/>
              <w:adjustRightInd w:val="0"/>
              <w:snapToGrid w:val="0"/>
              <w:spacing w:line="360" w:lineRule="auto"/>
              <w:ind w:hanging="210"/>
              <w:jc w:val="center"/>
              <w:rPr>
                <w:rFonts w:ascii="宋体" w:hAnsi="宋体" w:cs="宋体"/>
                <w:sz w:val="24"/>
                <w:szCs w:val="24"/>
              </w:rPr>
            </w:pPr>
            <w:r>
              <w:rPr>
                <w:rFonts w:hint="eastAsia" w:ascii="宋体" w:hAnsi="宋体" w:cs="宋体"/>
                <w:sz w:val="24"/>
                <w:szCs w:val="24"/>
              </w:rPr>
              <w:t xml:space="preserve">   节能、环境标志、无线局域网产品3%</w:t>
            </w:r>
          </w:p>
        </w:tc>
        <w:tc>
          <w:tcPr>
            <w:tcW w:w="868"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3</w:t>
            </w:r>
          </w:p>
        </w:tc>
        <w:tc>
          <w:tcPr>
            <w:tcW w:w="3393"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1、所投产品属于优先采购节能产品、环保产品的每一个得0.5分，最高得2分。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2、所投产品属于无线局域网产品的每一个得0.5分，最高得1分。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注：1、提供国家确定的认证机构出具的、处于有效期之内的节能产品，环境标志产品认证证书复印件盖鲜章。</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 2、无线局域网产品提供国家相关部门制定的“无线局域网认证产品政府采购清单”截图盖鲜章。</w:t>
            </w:r>
          </w:p>
        </w:tc>
        <w:tc>
          <w:tcPr>
            <w:tcW w:w="2377" w:type="dxa"/>
            <w:noWrap w:val="0"/>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6</w:t>
            </w:r>
          </w:p>
        </w:tc>
        <w:tc>
          <w:tcPr>
            <w:tcW w:w="1190"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lang w:val="zh-CN"/>
              </w:rPr>
              <w:t>支持少数民族地区</w:t>
            </w:r>
            <w:r>
              <w:rPr>
                <w:rFonts w:hint="eastAsia" w:ascii="宋体" w:hAnsi="宋体" w:cs="宋体"/>
                <w:sz w:val="24"/>
                <w:szCs w:val="24"/>
              </w:rPr>
              <w:t>1%</w:t>
            </w:r>
          </w:p>
        </w:tc>
        <w:tc>
          <w:tcPr>
            <w:tcW w:w="868"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w:t>
            </w:r>
          </w:p>
        </w:tc>
        <w:tc>
          <w:tcPr>
            <w:tcW w:w="3393" w:type="dxa"/>
            <w:noWrap w:val="0"/>
            <w:vAlign w:val="center"/>
          </w:tcPr>
          <w:p>
            <w:pPr>
              <w:spacing w:line="360" w:lineRule="auto"/>
              <w:rPr>
                <w:rFonts w:ascii="宋体" w:hAnsi="宋体" w:cs="宋体"/>
                <w:sz w:val="24"/>
                <w:szCs w:val="24"/>
              </w:rPr>
            </w:pPr>
            <w:r>
              <w:rPr>
                <w:rFonts w:hint="eastAsia" w:ascii="宋体" w:hAnsi="宋体" w:cs="宋体"/>
                <w:sz w:val="24"/>
                <w:szCs w:val="24"/>
              </w:rPr>
              <w:t>所有投标（响应）产品为少数民族地区内注册的企业、单位生产的得1分。</w:t>
            </w:r>
          </w:p>
          <w:p>
            <w:pPr>
              <w:autoSpaceDE w:val="0"/>
              <w:autoSpaceDN w:val="0"/>
              <w:spacing w:line="360" w:lineRule="auto"/>
              <w:ind w:firstLine="480" w:firstLineChars="200"/>
              <w:rPr>
                <w:rFonts w:ascii="宋体" w:hAnsi="宋体" w:cs="宋体"/>
                <w:sz w:val="24"/>
                <w:szCs w:val="24"/>
              </w:rPr>
            </w:pPr>
          </w:p>
        </w:tc>
        <w:tc>
          <w:tcPr>
            <w:tcW w:w="2377" w:type="dxa"/>
            <w:noWrap w:val="0"/>
            <w:vAlign w:val="center"/>
          </w:tcPr>
          <w:p>
            <w:pPr>
              <w:autoSpaceDE w:val="0"/>
              <w:autoSpaceDN w:val="0"/>
              <w:spacing w:line="360" w:lineRule="auto"/>
              <w:ind w:left="-40"/>
              <w:rPr>
                <w:rFonts w:ascii="宋体" w:hAnsi="宋体" w:cs="宋体"/>
                <w:sz w:val="24"/>
                <w:szCs w:val="24"/>
              </w:rPr>
            </w:pPr>
            <w:r>
              <w:rPr>
                <w:rFonts w:hint="eastAsia" w:ascii="宋体" w:hAnsi="宋体" w:cs="宋体"/>
                <w:sz w:val="24"/>
                <w:szCs w:val="24"/>
                <w:lang w:val="zh-CN"/>
              </w:rPr>
              <w:t>注：投标人需提供所有投标（响应）产品属于上述企业、单位生产的证明材料。</w:t>
            </w:r>
          </w:p>
        </w:tc>
      </w:tr>
    </w:tbl>
    <w:p>
      <w:pPr>
        <w:pStyle w:val="10"/>
        <w:spacing w:line="360" w:lineRule="auto"/>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rPr>
          <w:rFonts w:ascii="宋体" w:hAnsi="宋体"/>
          <w:sz w:val="24"/>
        </w:rPr>
      </w:pPr>
    </w:p>
    <w:p>
      <w:pPr>
        <w:rPr>
          <w:rFonts w:ascii="宋体" w:hAnsi="宋体"/>
          <w:sz w:val="24"/>
        </w:rPr>
      </w:pPr>
    </w:p>
    <w:p>
      <w:pPr>
        <w:pStyle w:val="10"/>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第二包</w:t>
      </w:r>
    </w:p>
    <w:p>
      <w:pPr>
        <w:spacing w:line="360" w:lineRule="auto"/>
        <w:rPr>
          <w:rFonts w:ascii="宋体" w:hAnsi="宋体"/>
          <w:b/>
          <w:sz w:val="24"/>
          <w:szCs w:val="24"/>
        </w:rPr>
      </w:pP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9"/>
        <w:gridCol w:w="851"/>
        <w:gridCol w:w="387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序号</w:t>
            </w:r>
          </w:p>
        </w:tc>
        <w:tc>
          <w:tcPr>
            <w:tcW w:w="1309"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评分因素及权重</w:t>
            </w:r>
          </w:p>
        </w:tc>
        <w:tc>
          <w:tcPr>
            <w:tcW w:w="851"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分值</w:t>
            </w:r>
          </w:p>
        </w:tc>
        <w:tc>
          <w:tcPr>
            <w:tcW w:w="3875"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评分标准</w:t>
            </w:r>
          </w:p>
        </w:tc>
        <w:tc>
          <w:tcPr>
            <w:tcW w:w="2455"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309"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报价30%</w:t>
            </w:r>
          </w:p>
        </w:tc>
        <w:tc>
          <w:tcPr>
            <w:tcW w:w="85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3875" w:type="dxa"/>
            <w:noWrap w:val="0"/>
            <w:vAlign w:val="center"/>
          </w:tcPr>
          <w:p>
            <w:pPr>
              <w:spacing w:line="360" w:lineRule="auto"/>
              <w:rPr>
                <w:rFonts w:ascii="宋体" w:hAnsi="宋体" w:cs="宋体"/>
                <w:sz w:val="24"/>
                <w:szCs w:val="24"/>
              </w:rPr>
            </w:pPr>
            <w:r>
              <w:rPr>
                <w:rFonts w:hint="eastAsia" w:ascii="宋体" w:hAnsi="宋体" w:cs="宋体"/>
                <w:sz w:val="24"/>
                <w:szCs w:val="24"/>
              </w:rPr>
              <w:t>以本次符合要求的最低的有效投标报价为基准价，投标报价得分=（基准价／投标报价）×100×30%。</w:t>
            </w:r>
          </w:p>
        </w:tc>
        <w:tc>
          <w:tcPr>
            <w:tcW w:w="2455"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注：1、计分按“四舍五入法”保留小数点后两位。</w:t>
            </w:r>
          </w:p>
          <w:p>
            <w:pPr>
              <w:spacing w:line="360" w:lineRule="auto"/>
              <w:rPr>
                <w:rFonts w:ascii="宋体" w:hAnsi="宋体" w:cs="宋体"/>
                <w:sz w:val="24"/>
                <w:szCs w:val="24"/>
              </w:rPr>
            </w:pPr>
            <w:r>
              <w:rPr>
                <w:rFonts w:hint="eastAsia" w:ascii="宋体" w:hAnsi="宋体" w:cs="宋体"/>
                <w:sz w:val="24"/>
                <w:szCs w:val="24"/>
              </w:rPr>
              <w:t>2、小微企业（监狱企业、残疾人福利性单位视同小微企业）给予10%的价格扣除按照（财库〔2020〕46号）。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309" w:type="dxa"/>
            <w:noWrap w:val="0"/>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技术指标和配置41%</w:t>
            </w:r>
          </w:p>
        </w:tc>
        <w:tc>
          <w:tcPr>
            <w:tcW w:w="851" w:type="dxa"/>
            <w:noWrap w:val="0"/>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w:t>
            </w:r>
          </w:p>
        </w:tc>
        <w:tc>
          <w:tcPr>
            <w:tcW w:w="3875" w:type="dxa"/>
            <w:noWrap w:val="0"/>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完全满足招标文件技术指标和配置没有负偏离的得</w:t>
            </w: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分，带★号的重要参数有52条，共计13分，每有一条负偏离的扣0.25分,扣完为止；非★号参数有280条，共计28分，每有一条负偏离的扣0.1分，扣完为止。</w:t>
            </w:r>
          </w:p>
        </w:tc>
        <w:tc>
          <w:tcPr>
            <w:tcW w:w="2455"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以投标文件对招标文件技术指标和配置要求的响应情况为准。带★号参数应提供厂家彩页或白皮书或检测报告等佐证材料，如无佐证材料的，不予认定。（若具体参数中有明确证明材料要求的以具体要求为准）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309" w:type="dxa"/>
            <w:noWrap w:val="0"/>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投标人信誉和履约能力及综合实力</w:t>
            </w:r>
            <w:r>
              <w:rPr>
                <w:rFonts w:ascii="宋体" w:hAnsi="宋体" w:cs="宋体"/>
                <w:color w:val="auto"/>
                <w:sz w:val="24"/>
                <w:szCs w:val="24"/>
                <w:highlight w:val="none"/>
              </w:rPr>
              <w:t>8</w:t>
            </w:r>
            <w:r>
              <w:rPr>
                <w:rFonts w:hint="eastAsia" w:ascii="宋体" w:hAnsi="宋体" w:cs="宋体"/>
                <w:color w:val="auto"/>
                <w:sz w:val="24"/>
                <w:szCs w:val="24"/>
                <w:highlight w:val="none"/>
              </w:rPr>
              <w:t>%</w:t>
            </w:r>
          </w:p>
        </w:tc>
        <w:tc>
          <w:tcPr>
            <w:tcW w:w="851" w:type="dxa"/>
            <w:noWrap w:val="0"/>
            <w:vAlign w:val="center"/>
          </w:tcPr>
          <w:p>
            <w:pPr>
              <w:widowControl/>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8</w:t>
            </w:r>
          </w:p>
        </w:tc>
        <w:tc>
          <w:tcPr>
            <w:tcW w:w="3875" w:type="dxa"/>
            <w:noWrap w:val="0"/>
            <w:vAlign w:val="center"/>
          </w:tcPr>
          <w:p>
            <w:pPr>
              <w:spacing w:line="400" w:lineRule="exact"/>
              <w:jc w:val="left"/>
              <w:rPr>
                <w:color w:val="auto"/>
                <w:sz w:val="24"/>
                <w:highlight w:val="none"/>
              </w:rPr>
            </w:pPr>
            <w:r>
              <w:rPr>
                <w:rFonts w:hint="eastAsia"/>
                <w:color w:val="auto"/>
                <w:sz w:val="24"/>
                <w:szCs w:val="24"/>
                <w:highlight w:val="none"/>
              </w:rPr>
              <w:t>1.投标单位通过ISO9001质量管理体系认证、ISO14001环境管理体系认证、ISO45001职业健康管理体系认证的，每提供一证得1.0分，</w:t>
            </w:r>
            <w:r>
              <w:rPr>
                <w:rFonts w:hint="eastAsia" w:ascii="宋体" w:hAnsi="宋体" w:cs="宋体"/>
                <w:color w:val="auto"/>
                <w:sz w:val="24"/>
                <w:szCs w:val="24"/>
                <w:highlight w:val="none"/>
              </w:rPr>
              <w:t>本项最多得3分</w:t>
            </w:r>
            <w:r>
              <w:rPr>
                <w:rFonts w:hint="eastAsia"/>
                <w:color w:val="auto"/>
                <w:sz w:val="24"/>
                <w:szCs w:val="24"/>
                <w:highlight w:val="none"/>
              </w:rPr>
              <w:t>（提供有效证书复印件）。</w:t>
            </w:r>
          </w:p>
          <w:p>
            <w:pPr>
              <w:spacing w:line="400" w:lineRule="exact"/>
              <w:jc w:val="left"/>
              <w:rPr>
                <w:color w:val="auto"/>
                <w:sz w:val="24"/>
                <w:highlight w:val="none"/>
              </w:rPr>
            </w:pPr>
            <w:r>
              <w:rPr>
                <w:rFonts w:hint="eastAsia" w:ascii="宋体" w:hAnsi="宋体" w:cs="宋体"/>
                <w:color w:val="auto"/>
                <w:sz w:val="24"/>
                <w:szCs w:val="24"/>
                <w:highlight w:val="none"/>
              </w:rPr>
              <w:t>2.投标单位为2019年度至今获得AAA信用等级企业的，提供1份可得1分，不提供不得分，本项最多得1分（提供有效证书复印件）。</w:t>
            </w:r>
          </w:p>
          <w:p>
            <w:pPr>
              <w:tabs>
                <w:tab w:val="left" w:pos="540"/>
              </w:tabs>
              <w:adjustRightInd w:val="0"/>
              <w:snapToGrid w:val="0"/>
              <w:spacing w:line="360" w:lineRule="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根据投标人提供的类似业绩（2018年1月1日至递交投标文件截止日）进行评审，每提供一个业绩得1分，最多得</w:t>
            </w:r>
            <w:r>
              <w:rPr>
                <w:rFonts w:ascii="宋体" w:hAnsi="宋体" w:cs="宋体"/>
                <w:color w:val="auto"/>
                <w:sz w:val="24"/>
                <w:szCs w:val="24"/>
                <w:highlight w:val="none"/>
              </w:rPr>
              <w:t>4</w:t>
            </w:r>
            <w:r>
              <w:rPr>
                <w:rFonts w:hint="eastAsia" w:ascii="宋体" w:hAnsi="宋体" w:cs="宋体"/>
                <w:color w:val="auto"/>
                <w:sz w:val="24"/>
                <w:szCs w:val="24"/>
                <w:highlight w:val="none"/>
              </w:rPr>
              <w:t>分。</w:t>
            </w:r>
          </w:p>
        </w:tc>
        <w:tc>
          <w:tcPr>
            <w:tcW w:w="2455" w:type="dxa"/>
            <w:noWrap w:val="0"/>
            <w:vAlign w:val="center"/>
          </w:tcPr>
          <w:p>
            <w:pPr>
              <w:widowControl/>
              <w:spacing w:line="360" w:lineRule="auto"/>
              <w:rPr>
                <w:rFonts w:ascii="宋体" w:hAnsi="宋体" w:cs="宋体"/>
                <w:sz w:val="24"/>
                <w:szCs w:val="24"/>
              </w:rPr>
            </w:pPr>
            <w:r>
              <w:rPr>
                <w:rFonts w:hint="eastAsia" w:ascii="宋体" w:hAnsi="宋体" w:cs="宋体"/>
                <w:sz w:val="24"/>
                <w:szCs w:val="24"/>
              </w:rPr>
              <w:t>提供合同复印件或中标通知书复印件加盖投标人鲜章。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309" w:type="dxa"/>
            <w:noWrap w:val="0"/>
            <w:vAlign w:val="center"/>
          </w:tcPr>
          <w:p>
            <w:pPr>
              <w:autoSpaceDE w:val="0"/>
              <w:autoSpaceDN w:val="0"/>
              <w:adjustRightInd w:val="0"/>
              <w:snapToGrid w:val="0"/>
              <w:spacing w:line="360" w:lineRule="auto"/>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售后服务方案17</w:t>
            </w:r>
            <w:r>
              <w:rPr>
                <w:rFonts w:hint="eastAsia" w:ascii="宋体" w:hAnsi="宋体" w:cs="宋体"/>
                <w:color w:val="auto"/>
                <w:sz w:val="24"/>
                <w:szCs w:val="24"/>
                <w:highlight w:val="none"/>
                <w:lang w:val="zh-CN"/>
              </w:rPr>
              <w:t>%</w:t>
            </w:r>
          </w:p>
        </w:tc>
        <w:tc>
          <w:tcPr>
            <w:tcW w:w="851" w:type="dxa"/>
            <w:noWrap w:val="0"/>
            <w:vAlign w:val="center"/>
          </w:tcPr>
          <w:p>
            <w:pPr>
              <w:autoSpaceDE w:val="0"/>
              <w:autoSpaceDN w:val="0"/>
              <w:adjustRightInd w:val="0"/>
              <w:snapToGrid w:val="0"/>
              <w:spacing w:line="360" w:lineRule="auto"/>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3875" w:type="dxa"/>
            <w:noWrap w:val="0"/>
            <w:vAlign w:val="center"/>
          </w:tcPr>
          <w:p>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根据投标人提供的售后服务方案进行评审，包含但不限于：①售后服务点②售后服务人员设置及备品备件管理方案③培训方案④应急预案⑤巡检巡修方案等方面，完全满足上述要求且有利于本项目后期运行的得15分；在此基础上，每有缺项或不甚全面的扣3分，扣完为止，不提供不得分。</w:t>
            </w:r>
          </w:p>
          <w:p>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2、优于招标文件售后服务响应时间：售后服务方案中体现</w:t>
            </w:r>
            <w:r>
              <w:rPr>
                <w:rFonts w:hint="eastAsia" w:ascii="宋体" w:hAnsi="宋体" w:cs="宋体"/>
                <w:color w:val="auto"/>
                <w:kern w:val="0"/>
                <w:sz w:val="24"/>
                <w:szCs w:val="24"/>
                <w:highlight w:val="none"/>
              </w:rPr>
              <w:t>临床支持工程师会在收到报修起1小时内响应，将在12小时内派专业维修人员到现场进行维修的加1分，临床支持工程师会在收到报修起30分钟内响应，将在8小时内派专业维修人员到现场进行维修的加2分。（本项最高得2分）</w:t>
            </w:r>
          </w:p>
        </w:tc>
        <w:tc>
          <w:tcPr>
            <w:tcW w:w="2455" w:type="dxa"/>
            <w:noWrap w:val="0"/>
            <w:vAlign w:val="center"/>
          </w:tcPr>
          <w:p>
            <w:pPr>
              <w:widowControl/>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309" w:type="dxa"/>
            <w:noWrap w:val="0"/>
            <w:vAlign w:val="center"/>
          </w:tcPr>
          <w:p>
            <w:pPr>
              <w:autoSpaceDE w:val="0"/>
              <w:autoSpaceDN w:val="0"/>
              <w:adjustRightInd w:val="0"/>
              <w:snapToGrid w:val="0"/>
              <w:spacing w:line="360" w:lineRule="auto"/>
              <w:ind w:hanging="210"/>
              <w:jc w:val="center"/>
              <w:rPr>
                <w:rFonts w:ascii="宋体" w:hAnsi="宋体" w:cs="宋体"/>
                <w:sz w:val="24"/>
                <w:szCs w:val="24"/>
              </w:rPr>
            </w:pPr>
            <w:r>
              <w:rPr>
                <w:rFonts w:hint="eastAsia" w:ascii="宋体" w:hAnsi="宋体" w:cs="宋体"/>
                <w:sz w:val="24"/>
                <w:szCs w:val="24"/>
              </w:rPr>
              <w:t xml:space="preserve">   节能、环境标志、无线局域网产品3%</w:t>
            </w:r>
          </w:p>
        </w:tc>
        <w:tc>
          <w:tcPr>
            <w:tcW w:w="851"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3</w:t>
            </w:r>
          </w:p>
        </w:tc>
        <w:tc>
          <w:tcPr>
            <w:tcW w:w="3875" w:type="dxa"/>
            <w:noWrap w:val="0"/>
            <w:vAlign w:val="center"/>
          </w:tcPr>
          <w:p>
            <w:pPr>
              <w:pStyle w:val="54"/>
              <w:autoSpaceDE w:val="0"/>
              <w:autoSpaceDN w:val="0"/>
              <w:adjustRightInd w:val="0"/>
              <w:snapToGrid w:val="0"/>
              <w:spacing w:line="360" w:lineRule="auto"/>
              <w:ind w:firstLine="0" w:firstLineChars="0"/>
              <w:rPr>
                <w:rFonts w:ascii="宋体" w:hAnsi="宋体" w:cs="宋体"/>
                <w:sz w:val="24"/>
                <w:szCs w:val="24"/>
                <w:lang w:val="en-US" w:eastAsia="zh-CN"/>
              </w:rPr>
            </w:pPr>
            <w:r>
              <w:rPr>
                <w:rFonts w:hint="eastAsia" w:ascii="宋体" w:hAnsi="宋体" w:cs="宋体"/>
                <w:sz w:val="24"/>
                <w:szCs w:val="24"/>
                <w:lang w:val="en-US" w:eastAsia="zh-CN"/>
              </w:rPr>
              <w:t>1、所投产品属于优先采购节能产品、环保产品的每一个得0.5分，最高得2分。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2、所投产品属于无线局域网产品的每一个得0.5分，最高得1分。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注：1、提供国家确定的认证机构出具的、处于有效期之内的节能产品，环境标志产品认证证书复印件盖鲜章。</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2、无线局域网产品提供国家相关部门制定的“无线局域网认证产品政府采购清单”截图盖鲜章。</w:t>
            </w:r>
          </w:p>
        </w:tc>
        <w:tc>
          <w:tcPr>
            <w:tcW w:w="2455" w:type="dxa"/>
            <w:noWrap w:val="0"/>
            <w:vAlign w:val="center"/>
          </w:tcPr>
          <w:p>
            <w:pPr>
              <w:autoSpaceDE w:val="0"/>
              <w:autoSpaceDN w:val="0"/>
              <w:adjustRightInd w:val="0"/>
              <w:snapToGrid w:val="0"/>
              <w:spacing w:line="360" w:lineRule="auto"/>
              <w:rPr>
                <w:rFonts w:ascii="宋体" w:hAnsi="宋体" w:cs="宋体"/>
                <w:sz w:val="24"/>
                <w:szCs w:val="24"/>
                <w:lang w:val="zh-CN"/>
              </w:rPr>
            </w:pP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309"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lang w:val="zh-CN"/>
              </w:rPr>
              <w:t>支持少数民族地区</w:t>
            </w:r>
            <w:r>
              <w:rPr>
                <w:rFonts w:hint="eastAsia" w:ascii="宋体" w:hAnsi="宋体" w:cs="宋体"/>
                <w:sz w:val="24"/>
                <w:szCs w:val="24"/>
              </w:rPr>
              <w:t>1%</w:t>
            </w:r>
          </w:p>
        </w:tc>
        <w:tc>
          <w:tcPr>
            <w:tcW w:w="851"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w:t>
            </w:r>
          </w:p>
        </w:tc>
        <w:tc>
          <w:tcPr>
            <w:tcW w:w="3875" w:type="dxa"/>
            <w:noWrap w:val="0"/>
            <w:vAlign w:val="center"/>
          </w:tcPr>
          <w:p>
            <w:pPr>
              <w:spacing w:line="360" w:lineRule="auto"/>
              <w:rPr>
                <w:rFonts w:ascii="宋体" w:hAnsi="宋体" w:cs="宋体"/>
                <w:sz w:val="24"/>
                <w:szCs w:val="24"/>
              </w:rPr>
            </w:pPr>
            <w:r>
              <w:rPr>
                <w:rFonts w:hint="eastAsia" w:ascii="宋体" w:hAnsi="宋体" w:cs="宋体"/>
                <w:sz w:val="24"/>
                <w:szCs w:val="24"/>
              </w:rPr>
              <w:t>所有投标（响应）产品为少数民族地区内注册的企业、单位生产的得1分。</w:t>
            </w:r>
          </w:p>
          <w:p>
            <w:pPr>
              <w:autoSpaceDE w:val="0"/>
              <w:autoSpaceDN w:val="0"/>
              <w:spacing w:line="360" w:lineRule="auto"/>
              <w:ind w:firstLine="480" w:firstLineChars="200"/>
              <w:rPr>
                <w:rFonts w:ascii="宋体" w:hAnsi="宋体" w:cs="宋体"/>
                <w:sz w:val="24"/>
                <w:szCs w:val="24"/>
              </w:rPr>
            </w:pPr>
          </w:p>
        </w:tc>
        <w:tc>
          <w:tcPr>
            <w:tcW w:w="2455" w:type="dxa"/>
            <w:noWrap w:val="0"/>
            <w:vAlign w:val="center"/>
          </w:tcPr>
          <w:p>
            <w:pPr>
              <w:autoSpaceDE w:val="0"/>
              <w:autoSpaceDN w:val="0"/>
              <w:spacing w:line="360" w:lineRule="auto"/>
              <w:ind w:left="-40"/>
              <w:rPr>
                <w:rFonts w:ascii="宋体" w:hAnsi="宋体" w:cs="宋体"/>
                <w:sz w:val="24"/>
                <w:szCs w:val="24"/>
              </w:rPr>
            </w:pPr>
            <w:r>
              <w:rPr>
                <w:rFonts w:hint="eastAsia" w:ascii="宋体" w:hAnsi="宋体" w:cs="宋体"/>
                <w:sz w:val="24"/>
                <w:szCs w:val="24"/>
                <w:lang w:val="zh-CN"/>
              </w:rPr>
              <w:t>注：投标人需提供所有投标（响应）产品属于上述企业、单位生产的证明材料。</w:t>
            </w:r>
          </w:p>
        </w:tc>
      </w:tr>
    </w:tbl>
    <w:p/>
    <w:p>
      <w:pPr>
        <w:spacing w:line="360" w:lineRule="auto"/>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Pr>
        <w:rPr>
          <w:rFonts w:ascii="宋体" w:hAnsi="宋体"/>
          <w:b/>
          <w:sz w:val="24"/>
          <w:szCs w:val="24"/>
        </w:rPr>
      </w:pPr>
    </w:p>
    <w:p>
      <w:pPr>
        <w:pStyle w:val="10"/>
        <w:rPr>
          <w:rFonts w:ascii="宋体" w:hAnsi="宋体"/>
          <w:b/>
          <w:sz w:val="24"/>
          <w:szCs w:val="24"/>
        </w:rPr>
      </w:pPr>
    </w:p>
    <w:p/>
    <w:p>
      <w:pPr>
        <w:spacing w:line="360" w:lineRule="auto"/>
        <w:jc w:val="center"/>
        <w:rPr>
          <w:rFonts w:ascii="宋体" w:hAnsi="宋体"/>
          <w:b/>
          <w:sz w:val="24"/>
          <w:szCs w:val="24"/>
        </w:rPr>
      </w:pPr>
      <w:r>
        <w:rPr>
          <w:rFonts w:hint="eastAsia" w:ascii="宋体" w:hAnsi="宋体"/>
          <w:b/>
          <w:sz w:val="24"/>
          <w:szCs w:val="24"/>
        </w:rPr>
        <w:t>第三包</w:t>
      </w:r>
    </w:p>
    <w:p>
      <w:pPr>
        <w:spacing w:line="360" w:lineRule="auto"/>
        <w:rPr>
          <w:rFonts w:ascii="宋体" w:hAnsi="宋体"/>
          <w:b/>
          <w:sz w:val="24"/>
          <w:szCs w:val="24"/>
        </w:rPr>
      </w:pPr>
    </w:p>
    <w:tbl>
      <w:tblPr>
        <w:tblStyle w:val="24"/>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41"/>
        <w:gridCol w:w="849"/>
        <w:gridCol w:w="390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序号</w:t>
            </w:r>
          </w:p>
        </w:tc>
        <w:tc>
          <w:tcPr>
            <w:tcW w:w="1341"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评分因素及权重</w:t>
            </w:r>
          </w:p>
        </w:tc>
        <w:tc>
          <w:tcPr>
            <w:tcW w:w="849"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分值</w:t>
            </w:r>
          </w:p>
        </w:tc>
        <w:tc>
          <w:tcPr>
            <w:tcW w:w="3900"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评分标准</w:t>
            </w:r>
          </w:p>
        </w:tc>
        <w:tc>
          <w:tcPr>
            <w:tcW w:w="2434"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3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报价30%</w:t>
            </w:r>
          </w:p>
        </w:tc>
        <w:tc>
          <w:tcPr>
            <w:tcW w:w="849"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3900" w:type="dxa"/>
            <w:noWrap w:val="0"/>
            <w:vAlign w:val="center"/>
          </w:tcPr>
          <w:p>
            <w:pPr>
              <w:spacing w:line="360" w:lineRule="auto"/>
              <w:rPr>
                <w:rFonts w:ascii="宋体" w:hAnsi="宋体" w:cs="宋体"/>
                <w:sz w:val="24"/>
                <w:szCs w:val="24"/>
              </w:rPr>
            </w:pPr>
            <w:r>
              <w:rPr>
                <w:rFonts w:hint="eastAsia" w:ascii="宋体" w:hAnsi="宋体" w:cs="宋体"/>
                <w:sz w:val="24"/>
                <w:szCs w:val="24"/>
              </w:rPr>
              <w:t>以本次符合要求的最低的有效投标报价为基准价，投标报价得分=（基准价／投标报价）×100×30%。</w:t>
            </w:r>
          </w:p>
        </w:tc>
        <w:tc>
          <w:tcPr>
            <w:tcW w:w="2434"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注：1、计分按“四舍五入法”保留小数点后两位。</w:t>
            </w:r>
          </w:p>
          <w:p>
            <w:pPr>
              <w:spacing w:line="360" w:lineRule="auto"/>
              <w:rPr>
                <w:rFonts w:ascii="宋体" w:hAnsi="宋体" w:cs="宋体"/>
                <w:sz w:val="24"/>
                <w:szCs w:val="24"/>
              </w:rPr>
            </w:pPr>
            <w:r>
              <w:rPr>
                <w:rFonts w:hint="eastAsia" w:ascii="宋体" w:hAnsi="宋体" w:cs="宋体"/>
                <w:sz w:val="24"/>
                <w:szCs w:val="24"/>
              </w:rPr>
              <w:t>2、小微企业（监狱企业、残疾人福利性单位视同小微企业）给予10%的价格扣除按照（财库〔2020〕46号）。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3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技术指标和配置52%</w:t>
            </w:r>
          </w:p>
        </w:tc>
        <w:tc>
          <w:tcPr>
            <w:tcW w:w="849"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52</w:t>
            </w:r>
          </w:p>
        </w:tc>
        <w:tc>
          <w:tcPr>
            <w:tcW w:w="3900"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完全满足招标文件技术指标和配置没有负偏离的得52分，带★号的重要参数有10条，共计20分，每有一条负偏离的扣2分,扣完为止；非★号参数有50条，共计32分，每有一条负偏离的扣0.64分，扣完为止。</w:t>
            </w:r>
          </w:p>
        </w:tc>
        <w:tc>
          <w:tcPr>
            <w:tcW w:w="2434" w:type="dxa"/>
            <w:noWrap w:val="0"/>
            <w:vAlign w:val="center"/>
          </w:tcPr>
          <w:p>
            <w:pPr>
              <w:widowControl/>
              <w:adjustRightInd w:val="0"/>
              <w:snapToGrid w:val="0"/>
              <w:spacing w:line="360" w:lineRule="auto"/>
              <w:rPr>
                <w:rFonts w:ascii="宋体" w:hAnsi="宋体" w:cs="宋体"/>
                <w:sz w:val="24"/>
                <w:szCs w:val="24"/>
              </w:rPr>
            </w:pPr>
            <w:r>
              <w:rPr>
                <w:rFonts w:hint="eastAsia" w:ascii="宋体" w:hAnsi="宋体" w:cs="宋体"/>
                <w:sz w:val="24"/>
                <w:szCs w:val="24"/>
              </w:rPr>
              <w:t>以投标文件对招标文件技术指标和配置要求的响应情况为准。带★号参数应提供厂家彩页或白皮书或检测报告等佐证材料，如无佐证材料的，不予认定。（若具体参数中有明确证明材料要求的以具体要求为准）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341" w:type="dxa"/>
            <w:noWrap w:val="0"/>
            <w:vAlign w:val="center"/>
          </w:tcPr>
          <w:p>
            <w:pPr>
              <w:widowControl/>
              <w:spacing w:line="360" w:lineRule="auto"/>
              <w:jc w:val="center"/>
              <w:rPr>
                <w:rFonts w:ascii="宋体" w:hAnsi="宋体" w:cs="宋体"/>
                <w:sz w:val="24"/>
                <w:szCs w:val="24"/>
              </w:rPr>
            </w:pPr>
            <w:r>
              <w:rPr>
                <w:rFonts w:hint="eastAsia" w:ascii="宋体" w:hAnsi="宋体" w:cs="宋体"/>
                <w:sz w:val="24"/>
                <w:szCs w:val="24"/>
              </w:rPr>
              <w:t>投标人履约能力及综合实力6%</w:t>
            </w:r>
          </w:p>
        </w:tc>
        <w:tc>
          <w:tcPr>
            <w:tcW w:w="849" w:type="dxa"/>
            <w:noWrap w:val="0"/>
            <w:vAlign w:val="center"/>
          </w:tcPr>
          <w:p>
            <w:pPr>
              <w:widowControl/>
              <w:spacing w:line="360" w:lineRule="auto"/>
              <w:jc w:val="center"/>
              <w:rPr>
                <w:rFonts w:ascii="宋体" w:hAnsi="宋体" w:cs="宋体"/>
                <w:sz w:val="24"/>
                <w:szCs w:val="24"/>
              </w:rPr>
            </w:pPr>
            <w:r>
              <w:rPr>
                <w:rFonts w:hint="eastAsia" w:ascii="宋体" w:hAnsi="宋体" w:cs="宋体"/>
                <w:sz w:val="24"/>
                <w:szCs w:val="24"/>
              </w:rPr>
              <w:t>6</w:t>
            </w:r>
          </w:p>
        </w:tc>
        <w:tc>
          <w:tcPr>
            <w:tcW w:w="3900" w:type="dxa"/>
            <w:noWrap w:val="0"/>
            <w:vAlign w:val="center"/>
          </w:tcPr>
          <w:p>
            <w:pPr>
              <w:tabs>
                <w:tab w:val="left" w:pos="540"/>
              </w:tabs>
              <w:adjustRightInd w:val="0"/>
              <w:snapToGrid w:val="0"/>
              <w:spacing w:line="360" w:lineRule="auto"/>
              <w:rPr>
                <w:rFonts w:ascii="宋体" w:hAnsi="宋体" w:cs="宋体"/>
                <w:sz w:val="24"/>
                <w:szCs w:val="24"/>
              </w:rPr>
            </w:pPr>
            <w:r>
              <w:rPr>
                <w:rFonts w:hint="eastAsia" w:ascii="宋体" w:hAnsi="宋体" w:cs="宋体"/>
                <w:sz w:val="24"/>
                <w:szCs w:val="24"/>
              </w:rPr>
              <w:t>根据投标人提供的类似业绩（2018年1月1日至递交投标文件截止日）进行评审，每提供一个业绩得1分，最多得6分。</w:t>
            </w:r>
          </w:p>
        </w:tc>
        <w:tc>
          <w:tcPr>
            <w:tcW w:w="2434" w:type="dxa"/>
            <w:noWrap w:val="0"/>
            <w:vAlign w:val="center"/>
          </w:tcPr>
          <w:p>
            <w:pPr>
              <w:widowControl/>
              <w:spacing w:line="360" w:lineRule="auto"/>
              <w:rPr>
                <w:rFonts w:ascii="宋体" w:hAnsi="宋体" w:cs="宋体"/>
                <w:sz w:val="24"/>
                <w:szCs w:val="24"/>
              </w:rPr>
            </w:pPr>
            <w:r>
              <w:rPr>
                <w:rFonts w:hint="eastAsia" w:ascii="宋体" w:hAnsi="宋体" w:cs="宋体"/>
                <w:sz w:val="24"/>
                <w:szCs w:val="24"/>
              </w:rPr>
              <w:t>提供合同复印件或中标通知书复印件加盖投标人鲜章。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341"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售后服务方案8</w:t>
            </w:r>
            <w:r>
              <w:rPr>
                <w:rFonts w:hint="eastAsia" w:ascii="宋体" w:hAnsi="宋体" w:cs="宋体"/>
                <w:sz w:val="24"/>
                <w:szCs w:val="24"/>
                <w:lang w:val="zh-CN"/>
              </w:rPr>
              <w:t>%</w:t>
            </w:r>
          </w:p>
        </w:tc>
        <w:tc>
          <w:tcPr>
            <w:tcW w:w="849"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8</w:t>
            </w:r>
          </w:p>
        </w:tc>
        <w:tc>
          <w:tcPr>
            <w:tcW w:w="3900"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1、根据投标人提供的售后服务方案进行评审，包含但不限于：①售后服务点②售后服务人员设置及备品备件管理方案③培训方案④应急预案⑤巡检巡修方案等方面，完全满足上述要求且有利于本项目后期运行的得6分；在此基础上，每有缺项或不甚全面的扣1.2分，扣完为止，不提供不得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2、优于招标文件售后服务响应时间：售后服务方案中</w:t>
            </w:r>
            <w:r>
              <w:rPr>
                <w:rFonts w:hint="eastAsia" w:ascii="宋体" w:hAnsi="宋体" w:cs="宋体"/>
                <w:kern w:val="0"/>
                <w:sz w:val="24"/>
                <w:szCs w:val="24"/>
              </w:rPr>
              <w:t>支持工程师会在收到报修起1小时内响应，在12小时内派专业维修人员到现场进行维修的加1分，在收到报修起30分钟内响应，在8小时内派专业维修人员到现场进行维修的加2分。（本项最高得2分）</w:t>
            </w:r>
          </w:p>
        </w:tc>
        <w:tc>
          <w:tcPr>
            <w:tcW w:w="2434" w:type="dxa"/>
            <w:noWrap w:val="0"/>
            <w:vAlign w:val="center"/>
          </w:tcPr>
          <w:p>
            <w:pPr>
              <w:widowControl/>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341" w:type="dxa"/>
            <w:noWrap w:val="0"/>
            <w:vAlign w:val="center"/>
          </w:tcPr>
          <w:p>
            <w:pPr>
              <w:autoSpaceDE w:val="0"/>
              <w:autoSpaceDN w:val="0"/>
              <w:adjustRightInd w:val="0"/>
              <w:snapToGrid w:val="0"/>
              <w:spacing w:line="360" w:lineRule="auto"/>
              <w:ind w:hanging="210"/>
              <w:jc w:val="center"/>
              <w:rPr>
                <w:rFonts w:ascii="宋体" w:hAnsi="宋体" w:cs="宋体"/>
                <w:sz w:val="24"/>
                <w:szCs w:val="24"/>
              </w:rPr>
            </w:pPr>
            <w:r>
              <w:rPr>
                <w:rFonts w:hint="eastAsia" w:ascii="宋体" w:hAnsi="宋体" w:cs="宋体"/>
                <w:sz w:val="24"/>
                <w:szCs w:val="24"/>
              </w:rPr>
              <w:t xml:space="preserve">   节能、环境标志、无线局域网产品3%</w:t>
            </w:r>
          </w:p>
        </w:tc>
        <w:tc>
          <w:tcPr>
            <w:tcW w:w="849"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3</w:t>
            </w:r>
          </w:p>
        </w:tc>
        <w:tc>
          <w:tcPr>
            <w:tcW w:w="3900" w:type="dxa"/>
            <w:noWrap w:val="0"/>
            <w:vAlign w:val="center"/>
          </w:tcPr>
          <w:p>
            <w:pPr>
              <w:pStyle w:val="54"/>
              <w:autoSpaceDE w:val="0"/>
              <w:autoSpaceDN w:val="0"/>
              <w:adjustRightInd w:val="0"/>
              <w:snapToGrid w:val="0"/>
              <w:spacing w:line="360" w:lineRule="auto"/>
              <w:ind w:firstLine="0" w:firstLineChars="0"/>
              <w:rPr>
                <w:rFonts w:ascii="宋体" w:hAnsi="宋体" w:cs="宋体"/>
                <w:sz w:val="24"/>
                <w:szCs w:val="24"/>
                <w:lang w:val="en-US" w:eastAsia="zh-CN"/>
              </w:rPr>
            </w:pPr>
            <w:r>
              <w:rPr>
                <w:rFonts w:hint="eastAsia" w:ascii="宋体" w:hAnsi="宋体" w:cs="宋体"/>
                <w:sz w:val="24"/>
                <w:szCs w:val="24"/>
                <w:lang w:val="en-US" w:eastAsia="zh-CN"/>
              </w:rPr>
              <w:t>1、所投产品属于优先采购节能产品、环保产品的每一个得0.5分，最高得2分。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2、所投产品属于无线局域网产品的每一个得0.5分，最高得1分。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注：1、提供国家确定的认证机构出具的、处于有效期之内的节能产品，环境标志产品认证证书复印件盖鲜章。</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 2、无线局域网产品提供国家相关部门制定的“无线局域网认证产品政府采购清单”截图盖鲜章。</w:t>
            </w:r>
          </w:p>
        </w:tc>
        <w:tc>
          <w:tcPr>
            <w:tcW w:w="2434" w:type="dxa"/>
            <w:noWrap w:val="0"/>
            <w:vAlign w:val="center"/>
          </w:tcPr>
          <w:p>
            <w:pPr>
              <w:autoSpaceDE w:val="0"/>
              <w:autoSpaceDN w:val="0"/>
              <w:adjustRightInd w:val="0"/>
              <w:snapToGrid w:val="0"/>
              <w:spacing w:line="360" w:lineRule="auto"/>
              <w:rPr>
                <w:rFonts w:ascii="宋体" w:hAnsi="宋体" w:cs="宋体"/>
                <w:sz w:val="24"/>
                <w:szCs w:val="24"/>
                <w:lang w:val="zh-CN"/>
              </w:rPr>
            </w:pP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341"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lang w:val="zh-CN"/>
              </w:rPr>
              <w:t>支持少数民族地区</w:t>
            </w:r>
            <w:r>
              <w:rPr>
                <w:rFonts w:hint="eastAsia" w:ascii="宋体" w:hAnsi="宋体" w:cs="宋体"/>
                <w:sz w:val="24"/>
                <w:szCs w:val="24"/>
              </w:rPr>
              <w:t>1%</w:t>
            </w:r>
          </w:p>
        </w:tc>
        <w:tc>
          <w:tcPr>
            <w:tcW w:w="849"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w:t>
            </w:r>
          </w:p>
        </w:tc>
        <w:tc>
          <w:tcPr>
            <w:tcW w:w="3900" w:type="dxa"/>
            <w:noWrap w:val="0"/>
            <w:vAlign w:val="center"/>
          </w:tcPr>
          <w:p>
            <w:pPr>
              <w:spacing w:line="360" w:lineRule="auto"/>
              <w:rPr>
                <w:rFonts w:ascii="宋体" w:hAnsi="宋体" w:cs="宋体"/>
                <w:sz w:val="24"/>
                <w:szCs w:val="24"/>
              </w:rPr>
            </w:pPr>
            <w:r>
              <w:rPr>
                <w:rFonts w:hint="eastAsia" w:ascii="宋体" w:hAnsi="宋体" w:cs="宋体"/>
                <w:sz w:val="24"/>
                <w:szCs w:val="24"/>
              </w:rPr>
              <w:t>所有投标（响应）产品为少数民族地区内注册的企业、单位生产的得1分。</w:t>
            </w:r>
          </w:p>
          <w:p>
            <w:pPr>
              <w:autoSpaceDE w:val="0"/>
              <w:autoSpaceDN w:val="0"/>
              <w:spacing w:line="360" w:lineRule="auto"/>
              <w:ind w:firstLine="480" w:firstLineChars="200"/>
              <w:rPr>
                <w:rFonts w:ascii="宋体" w:hAnsi="宋体" w:cs="宋体"/>
                <w:sz w:val="24"/>
                <w:szCs w:val="24"/>
              </w:rPr>
            </w:pPr>
          </w:p>
        </w:tc>
        <w:tc>
          <w:tcPr>
            <w:tcW w:w="2434" w:type="dxa"/>
            <w:noWrap w:val="0"/>
            <w:vAlign w:val="center"/>
          </w:tcPr>
          <w:p>
            <w:pPr>
              <w:autoSpaceDE w:val="0"/>
              <w:autoSpaceDN w:val="0"/>
              <w:spacing w:line="360" w:lineRule="auto"/>
              <w:ind w:left="-40"/>
              <w:rPr>
                <w:rFonts w:ascii="宋体" w:hAnsi="宋体" w:cs="宋体"/>
                <w:sz w:val="24"/>
                <w:szCs w:val="24"/>
              </w:rPr>
            </w:pPr>
            <w:r>
              <w:rPr>
                <w:rFonts w:hint="eastAsia" w:ascii="宋体" w:hAnsi="宋体" w:cs="宋体"/>
                <w:sz w:val="24"/>
                <w:szCs w:val="24"/>
                <w:lang w:val="zh-CN"/>
              </w:rPr>
              <w:t>注：投标人需提供所有投标（响应）产品属于上述企业、单位生产的证明材料。</w:t>
            </w:r>
          </w:p>
        </w:tc>
      </w:tr>
    </w:tbl>
    <w:p>
      <w:pPr>
        <w:spacing w:line="360" w:lineRule="auto"/>
        <w:rPr>
          <w:rFonts w:hint="eastAsia" w:ascii="宋体" w:hAnsi="宋体"/>
          <w:b/>
          <w:sz w:val="24"/>
          <w:szCs w:val="24"/>
        </w:rPr>
      </w:pPr>
    </w:p>
    <w:p>
      <w:pPr>
        <w:pStyle w:val="10"/>
        <w:rPr>
          <w:rFonts w:hint="eastAsia" w:ascii="宋体" w:hAnsi="宋体"/>
          <w:b/>
          <w:sz w:val="24"/>
          <w:szCs w:val="24"/>
        </w:rPr>
      </w:pPr>
    </w:p>
    <w:p>
      <w:pPr>
        <w:rPr>
          <w:rFonts w:hint="eastAsia" w:ascii="宋体" w:hAnsi="宋体"/>
          <w:b/>
          <w:sz w:val="24"/>
          <w:szCs w:val="24"/>
        </w:rPr>
      </w:pPr>
    </w:p>
    <w:p>
      <w:pPr>
        <w:pStyle w:val="10"/>
        <w:rPr>
          <w:rFonts w:hint="eastAsia" w:ascii="宋体" w:hAnsi="宋体"/>
          <w:b/>
          <w:sz w:val="24"/>
          <w:szCs w:val="24"/>
        </w:rPr>
      </w:pPr>
    </w:p>
    <w:p>
      <w:pPr>
        <w:spacing w:line="360" w:lineRule="auto"/>
        <w:ind w:firstLine="3373" w:firstLineChars="1400"/>
        <w:jc w:val="both"/>
        <w:rPr>
          <w:rFonts w:ascii="宋体" w:hAnsi="宋体"/>
          <w:b/>
          <w:sz w:val="24"/>
          <w:szCs w:val="24"/>
        </w:rPr>
      </w:pPr>
      <w:r>
        <w:rPr>
          <w:rFonts w:hint="eastAsia" w:ascii="宋体" w:hAnsi="宋体"/>
          <w:b/>
          <w:sz w:val="24"/>
          <w:szCs w:val="24"/>
        </w:rPr>
        <w:t>第四包</w:t>
      </w:r>
    </w:p>
    <w:p>
      <w:pPr>
        <w:spacing w:line="360" w:lineRule="auto"/>
        <w:rPr>
          <w:rFonts w:ascii="宋体" w:hAnsi="宋体"/>
          <w:b/>
          <w:sz w:val="24"/>
          <w:szCs w:val="24"/>
        </w:rPr>
      </w:pPr>
    </w:p>
    <w:tbl>
      <w:tblPr>
        <w:tblStyle w:val="24"/>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64"/>
        <w:gridCol w:w="896"/>
        <w:gridCol w:w="3945"/>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序号</w:t>
            </w:r>
          </w:p>
        </w:tc>
        <w:tc>
          <w:tcPr>
            <w:tcW w:w="1264"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评分因素及权重</w:t>
            </w:r>
          </w:p>
        </w:tc>
        <w:tc>
          <w:tcPr>
            <w:tcW w:w="896"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分值</w:t>
            </w:r>
          </w:p>
        </w:tc>
        <w:tc>
          <w:tcPr>
            <w:tcW w:w="3945"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评分标准</w:t>
            </w:r>
          </w:p>
        </w:tc>
        <w:tc>
          <w:tcPr>
            <w:tcW w:w="2490"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264"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报价30%</w:t>
            </w:r>
          </w:p>
        </w:tc>
        <w:tc>
          <w:tcPr>
            <w:tcW w:w="896"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3945" w:type="dxa"/>
            <w:noWrap w:val="0"/>
            <w:vAlign w:val="center"/>
          </w:tcPr>
          <w:p>
            <w:pPr>
              <w:spacing w:line="360" w:lineRule="auto"/>
              <w:rPr>
                <w:rFonts w:ascii="宋体" w:hAnsi="宋体" w:cs="宋体"/>
                <w:sz w:val="24"/>
                <w:szCs w:val="24"/>
              </w:rPr>
            </w:pPr>
            <w:r>
              <w:rPr>
                <w:rFonts w:hint="eastAsia" w:ascii="宋体" w:hAnsi="宋体" w:cs="宋体"/>
                <w:sz w:val="24"/>
                <w:szCs w:val="24"/>
              </w:rPr>
              <w:t>以本次符合要求的最低的有效投标报价为基准价，投标报价得分=（基准价／投标报价）×100×30%。</w:t>
            </w:r>
          </w:p>
        </w:tc>
        <w:tc>
          <w:tcPr>
            <w:tcW w:w="249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注：1、计分按“四舍五入法”保留小数点后两位。</w:t>
            </w:r>
          </w:p>
          <w:p>
            <w:pPr>
              <w:spacing w:line="360" w:lineRule="auto"/>
              <w:rPr>
                <w:rFonts w:ascii="宋体" w:hAnsi="宋体" w:cs="宋体"/>
                <w:sz w:val="24"/>
                <w:szCs w:val="24"/>
              </w:rPr>
            </w:pPr>
            <w:r>
              <w:rPr>
                <w:rFonts w:hint="eastAsia" w:ascii="宋体" w:hAnsi="宋体" w:cs="宋体"/>
                <w:sz w:val="24"/>
                <w:szCs w:val="24"/>
              </w:rPr>
              <w:t>2、小微企业（监狱企业、残疾人福利性单位视同小微企业）给予10%的价格扣除按照（财库〔2020〕46号）。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64" w:type="dxa"/>
            <w:noWrap w:val="0"/>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技术指标和配置40%</w:t>
            </w:r>
          </w:p>
        </w:tc>
        <w:tc>
          <w:tcPr>
            <w:tcW w:w="896" w:type="dxa"/>
            <w:noWrap w:val="0"/>
            <w:vAlign w:val="center"/>
          </w:tcPr>
          <w:p>
            <w:pPr>
              <w:widowControl/>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40</w:t>
            </w:r>
          </w:p>
        </w:tc>
        <w:tc>
          <w:tcPr>
            <w:tcW w:w="3945" w:type="dxa"/>
            <w:noWrap w:val="0"/>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完全满足招标文件技术指标和配置没有负偏离的得40分，带★号的重要参数有44条，共计22分，每有一条负偏离的扣0.5分,扣完为止；非★号参数有90条，共计18分，每有一条负偏离的扣0.2分，扣完为止。</w:t>
            </w:r>
          </w:p>
        </w:tc>
        <w:tc>
          <w:tcPr>
            <w:tcW w:w="2490" w:type="dxa"/>
            <w:noWrap w:val="0"/>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sz w:val="24"/>
                <w:szCs w:val="24"/>
              </w:rPr>
              <w:t>以投标文件对招标文件技术指标和配置要求的响应情况为准。带★号参数应提供厂家彩页或白皮书或检测报告等佐证材料，如无佐证材料的，不予认定。（若具体参数中有明确证明材料要求的以具体要求为准）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264" w:type="dxa"/>
            <w:noWrap w:val="0"/>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投标人履约能力及综合实力8%</w:t>
            </w:r>
          </w:p>
        </w:tc>
        <w:tc>
          <w:tcPr>
            <w:tcW w:w="896" w:type="dxa"/>
            <w:noWrap w:val="0"/>
            <w:vAlign w:val="center"/>
          </w:tcPr>
          <w:p>
            <w:pPr>
              <w:widowControl/>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8</w:t>
            </w:r>
          </w:p>
        </w:tc>
        <w:tc>
          <w:tcPr>
            <w:tcW w:w="3945" w:type="dxa"/>
            <w:noWrap w:val="0"/>
            <w:vAlign w:val="center"/>
          </w:tcPr>
          <w:p>
            <w:pPr>
              <w:tabs>
                <w:tab w:val="left" w:pos="540"/>
              </w:tabs>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根据投标人提供的类似业绩（2018年1月1日至递交投标文件截止日）进行评审，每提供一个业绩得2分，最多得8分。</w:t>
            </w:r>
          </w:p>
        </w:tc>
        <w:tc>
          <w:tcPr>
            <w:tcW w:w="2490" w:type="dxa"/>
            <w:noWrap w:val="0"/>
            <w:vAlign w:val="center"/>
          </w:tcPr>
          <w:p>
            <w:pPr>
              <w:widowControl/>
              <w:spacing w:line="360" w:lineRule="auto"/>
              <w:rPr>
                <w:rFonts w:ascii="宋体" w:hAnsi="宋体" w:cs="宋体"/>
                <w:sz w:val="24"/>
                <w:szCs w:val="24"/>
              </w:rPr>
            </w:pPr>
            <w:r>
              <w:rPr>
                <w:rFonts w:hint="eastAsia" w:ascii="宋体" w:hAnsi="宋体" w:cs="宋体"/>
                <w:sz w:val="24"/>
                <w:szCs w:val="24"/>
              </w:rPr>
              <w:t>提供合同复印件或中标通知书复印件加盖投标人鲜章。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264"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售后服务方案19</w:t>
            </w:r>
            <w:r>
              <w:rPr>
                <w:rFonts w:hint="eastAsia" w:ascii="宋体" w:hAnsi="宋体" w:cs="宋体"/>
                <w:sz w:val="24"/>
                <w:szCs w:val="24"/>
                <w:lang w:val="zh-CN"/>
              </w:rPr>
              <w:t>%</w:t>
            </w:r>
          </w:p>
        </w:tc>
        <w:tc>
          <w:tcPr>
            <w:tcW w:w="896"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19</w:t>
            </w:r>
          </w:p>
        </w:tc>
        <w:tc>
          <w:tcPr>
            <w:tcW w:w="3945" w:type="dxa"/>
            <w:noWrap w:val="0"/>
            <w:vAlign w:val="center"/>
          </w:tcPr>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1、根据投标人提供的售后服务方案进行评审，包含但不限于：①售后服务点②售后服务人员设置及备品备件管理方案③培训方案④应急预案⑤巡检巡修方案等方面，完全满足上述要求且有利于本项目后期运行的得15分；在此基础上，每有缺项或不甚全面的扣3分，扣完为止，不提供不得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2、优于招标文件售后服务响应时间：售后服务方案中</w:t>
            </w:r>
            <w:r>
              <w:rPr>
                <w:rFonts w:hint="eastAsia" w:ascii="宋体" w:hAnsi="宋体" w:cs="宋体"/>
                <w:kern w:val="0"/>
                <w:sz w:val="24"/>
                <w:szCs w:val="24"/>
              </w:rPr>
              <w:t>在收到报修起1小时内响应，在12小时内派专业维修人员到现场进行维修的加1分，在收到报修起30分钟内响应，</w:t>
            </w:r>
            <w:r>
              <w:rPr>
                <w:rFonts w:hint="eastAsia" w:ascii="宋体" w:hAnsi="宋体" w:cs="宋体"/>
                <w:kern w:val="0"/>
                <w:sz w:val="24"/>
                <w:szCs w:val="24"/>
                <w:highlight w:val="none"/>
              </w:rPr>
              <w:t>在8小时内派专业维修人员到现场进行维修的加4分。（本项最高得4分）</w:t>
            </w:r>
          </w:p>
        </w:tc>
        <w:tc>
          <w:tcPr>
            <w:tcW w:w="2490" w:type="dxa"/>
            <w:noWrap w:val="0"/>
            <w:vAlign w:val="center"/>
          </w:tcPr>
          <w:p>
            <w:pPr>
              <w:widowControl/>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264" w:type="dxa"/>
            <w:noWrap w:val="0"/>
            <w:vAlign w:val="center"/>
          </w:tcPr>
          <w:p>
            <w:pPr>
              <w:autoSpaceDE w:val="0"/>
              <w:autoSpaceDN w:val="0"/>
              <w:adjustRightInd w:val="0"/>
              <w:snapToGrid w:val="0"/>
              <w:spacing w:line="360" w:lineRule="auto"/>
              <w:ind w:hanging="210"/>
              <w:jc w:val="center"/>
              <w:rPr>
                <w:rFonts w:ascii="宋体" w:hAnsi="宋体" w:cs="宋体"/>
                <w:sz w:val="24"/>
                <w:szCs w:val="24"/>
              </w:rPr>
            </w:pPr>
            <w:r>
              <w:rPr>
                <w:rFonts w:hint="eastAsia" w:ascii="宋体" w:hAnsi="宋体" w:cs="宋体"/>
                <w:sz w:val="24"/>
                <w:szCs w:val="24"/>
              </w:rPr>
              <w:t xml:space="preserve">   节能、环境标志、无线局域网产品3%</w:t>
            </w:r>
          </w:p>
        </w:tc>
        <w:tc>
          <w:tcPr>
            <w:tcW w:w="896" w:type="dxa"/>
            <w:noWrap w:val="0"/>
            <w:vAlign w:val="center"/>
          </w:tcPr>
          <w:p>
            <w:pPr>
              <w:autoSpaceDE w:val="0"/>
              <w:autoSpaceDN w:val="0"/>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2</w:t>
            </w:r>
          </w:p>
        </w:tc>
        <w:tc>
          <w:tcPr>
            <w:tcW w:w="3945" w:type="dxa"/>
            <w:noWrap w:val="0"/>
            <w:vAlign w:val="center"/>
          </w:tcPr>
          <w:p>
            <w:pPr>
              <w:pStyle w:val="54"/>
              <w:autoSpaceDE w:val="0"/>
              <w:autoSpaceDN w:val="0"/>
              <w:adjustRightInd w:val="0"/>
              <w:snapToGrid w:val="0"/>
              <w:spacing w:line="360" w:lineRule="auto"/>
              <w:ind w:firstLine="0" w:firstLineChars="0"/>
              <w:rPr>
                <w:rFonts w:ascii="宋体" w:hAnsi="宋体" w:cs="宋体"/>
                <w:sz w:val="24"/>
                <w:szCs w:val="24"/>
                <w:lang w:val="en-US" w:eastAsia="zh-CN"/>
              </w:rPr>
            </w:pPr>
            <w:r>
              <w:rPr>
                <w:rFonts w:hint="eastAsia" w:ascii="宋体" w:hAnsi="宋体" w:cs="宋体"/>
                <w:sz w:val="24"/>
                <w:szCs w:val="24"/>
                <w:lang w:val="en-US" w:eastAsia="zh-CN"/>
              </w:rPr>
              <w:t>1、所投产品属于优先采购节能产品、环保产品的每一个得0.5分，最高得1分。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2、所投产品属于无线局域网产品的每一个得0.5分，最高得1分。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注：1、提供国家确定的认证机构出具的、处于有效期之内的节能产品，环境标志产品认证证书复印件盖鲜章。</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 2、无线局域网产品提供国家相关部门制定的“无线局域网认证产品政府采购清单”截图盖鲜章。</w:t>
            </w:r>
          </w:p>
        </w:tc>
        <w:tc>
          <w:tcPr>
            <w:tcW w:w="2490" w:type="dxa"/>
            <w:noWrap w:val="0"/>
            <w:vAlign w:val="center"/>
          </w:tcPr>
          <w:p>
            <w:pPr>
              <w:autoSpaceDE w:val="0"/>
              <w:autoSpaceDN w:val="0"/>
              <w:adjustRightInd w:val="0"/>
              <w:snapToGrid w:val="0"/>
              <w:spacing w:line="360" w:lineRule="auto"/>
              <w:rPr>
                <w:rFonts w:ascii="宋体" w:hAnsi="宋体" w:cs="宋体"/>
                <w:sz w:val="24"/>
                <w:szCs w:val="24"/>
                <w:lang w:val="zh-CN"/>
              </w:rPr>
            </w:pP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264"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lang w:val="zh-CN"/>
              </w:rPr>
              <w:t>支持少数民族地区</w:t>
            </w:r>
            <w:r>
              <w:rPr>
                <w:rFonts w:hint="eastAsia" w:ascii="宋体" w:hAnsi="宋体" w:cs="宋体"/>
                <w:sz w:val="24"/>
                <w:szCs w:val="24"/>
              </w:rPr>
              <w:t>1%</w:t>
            </w:r>
          </w:p>
        </w:tc>
        <w:tc>
          <w:tcPr>
            <w:tcW w:w="896"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w:t>
            </w:r>
          </w:p>
        </w:tc>
        <w:tc>
          <w:tcPr>
            <w:tcW w:w="3945" w:type="dxa"/>
            <w:noWrap w:val="0"/>
            <w:vAlign w:val="center"/>
          </w:tcPr>
          <w:p>
            <w:pPr>
              <w:spacing w:line="360" w:lineRule="auto"/>
              <w:rPr>
                <w:rFonts w:ascii="宋体" w:hAnsi="宋体" w:cs="宋体"/>
                <w:sz w:val="24"/>
                <w:szCs w:val="24"/>
              </w:rPr>
            </w:pPr>
            <w:r>
              <w:rPr>
                <w:rFonts w:hint="eastAsia" w:ascii="宋体" w:hAnsi="宋体" w:cs="宋体"/>
                <w:sz w:val="24"/>
                <w:szCs w:val="24"/>
              </w:rPr>
              <w:t>所有投标（响应）产品为少数民族地区内注册的企业、单位生产的得1分。</w:t>
            </w:r>
          </w:p>
          <w:p>
            <w:pPr>
              <w:autoSpaceDE w:val="0"/>
              <w:autoSpaceDN w:val="0"/>
              <w:spacing w:line="360" w:lineRule="auto"/>
              <w:ind w:firstLine="480" w:firstLineChars="200"/>
              <w:rPr>
                <w:rFonts w:ascii="宋体" w:hAnsi="宋体" w:cs="宋体"/>
                <w:sz w:val="24"/>
                <w:szCs w:val="24"/>
              </w:rPr>
            </w:pPr>
          </w:p>
        </w:tc>
        <w:tc>
          <w:tcPr>
            <w:tcW w:w="2490" w:type="dxa"/>
            <w:noWrap w:val="0"/>
            <w:vAlign w:val="center"/>
          </w:tcPr>
          <w:p>
            <w:pPr>
              <w:autoSpaceDE w:val="0"/>
              <w:autoSpaceDN w:val="0"/>
              <w:spacing w:line="360" w:lineRule="auto"/>
              <w:ind w:left="-40"/>
              <w:rPr>
                <w:rFonts w:ascii="宋体" w:hAnsi="宋体" w:cs="宋体"/>
                <w:sz w:val="24"/>
                <w:szCs w:val="24"/>
              </w:rPr>
            </w:pPr>
            <w:r>
              <w:rPr>
                <w:rFonts w:hint="eastAsia" w:ascii="宋体" w:hAnsi="宋体" w:cs="宋体"/>
                <w:sz w:val="24"/>
                <w:szCs w:val="24"/>
                <w:lang w:val="zh-CN"/>
              </w:rPr>
              <w:t>注：投标人需提供所有投标（响应）产品属于上述企业、单位生产的证明材料。</w:t>
            </w:r>
          </w:p>
        </w:tc>
      </w:tr>
    </w:tbl>
    <w:p>
      <w:pPr>
        <w:pStyle w:val="33"/>
        <w:spacing w:line="480" w:lineRule="auto"/>
        <w:rPr>
          <w:rFonts w:hint="eastAsia" w:ascii="宋体"/>
          <w:b/>
          <w:color w:val="auto"/>
          <w:sz w:val="28"/>
          <w:szCs w:val="28"/>
          <w:highlight w:val="none"/>
        </w:rPr>
      </w:pPr>
      <w:bookmarkStart w:id="79" w:name="_Toc217446060"/>
    </w:p>
    <w:p>
      <w:pPr>
        <w:pStyle w:val="33"/>
        <w:spacing w:line="480" w:lineRule="auto"/>
        <w:rPr>
          <w:rFonts w:hint="eastAsia" w:ascii="宋体"/>
          <w:b/>
          <w:color w:val="auto"/>
          <w:sz w:val="28"/>
          <w:szCs w:val="28"/>
          <w:highlight w:val="none"/>
        </w:rPr>
      </w:pPr>
    </w:p>
    <w:p>
      <w:pPr>
        <w:pStyle w:val="33"/>
        <w:spacing w:line="480" w:lineRule="auto"/>
        <w:rPr>
          <w:rFonts w:hint="eastAsia" w:ascii="宋体"/>
          <w:b/>
          <w:color w:val="auto"/>
          <w:sz w:val="28"/>
          <w:szCs w:val="28"/>
          <w:highlight w:val="none"/>
        </w:rPr>
      </w:pPr>
    </w:p>
    <w:p>
      <w:pPr>
        <w:pStyle w:val="33"/>
        <w:spacing w:line="480" w:lineRule="auto"/>
        <w:rPr>
          <w:rFonts w:hint="default"/>
          <w:b/>
          <w:color w:val="auto"/>
          <w:sz w:val="28"/>
          <w:szCs w:val="28"/>
          <w:highlight w:val="none"/>
          <w:lang w:val="en-US" w:eastAsia="zh-CN"/>
        </w:rPr>
      </w:pPr>
      <w:r>
        <w:rPr>
          <w:rFonts w:hint="eastAsia"/>
          <w:b/>
          <w:color w:val="auto"/>
          <w:sz w:val="28"/>
          <w:szCs w:val="28"/>
          <w:highlight w:val="none"/>
          <w:lang w:val="en-US" w:eastAsia="zh-CN"/>
        </w:rPr>
        <w:t xml:space="preserve">                         第五包</w:t>
      </w:r>
    </w:p>
    <w:p>
      <w:pPr>
        <w:pStyle w:val="33"/>
        <w:spacing w:line="480" w:lineRule="auto"/>
        <w:rPr>
          <w:rFonts w:hint="default"/>
          <w:b/>
          <w:color w:val="auto"/>
          <w:sz w:val="28"/>
          <w:szCs w:val="28"/>
          <w:highlight w:val="none"/>
          <w:lang w:val="en-US" w:eastAsia="zh-CN"/>
        </w:rPr>
      </w:pPr>
      <w:r>
        <w:rPr>
          <w:rFonts w:hint="eastAsia"/>
          <w:b/>
          <w:color w:val="auto"/>
          <w:sz w:val="28"/>
          <w:szCs w:val="28"/>
          <w:highlight w:val="none"/>
          <w:lang w:val="en-US" w:eastAsia="zh-CN"/>
        </w:rPr>
        <w:t xml:space="preserve"> </w:t>
      </w: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9"/>
        <w:gridCol w:w="851"/>
        <w:gridCol w:w="387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序号</w:t>
            </w:r>
          </w:p>
        </w:tc>
        <w:tc>
          <w:tcPr>
            <w:tcW w:w="1309"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评分因素及权重</w:t>
            </w:r>
          </w:p>
        </w:tc>
        <w:tc>
          <w:tcPr>
            <w:tcW w:w="851"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分值</w:t>
            </w:r>
          </w:p>
        </w:tc>
        <w:tc>
          <w:tcPr>
            <w:tcW w:w="3875"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评分标准</w:t>
            </w:r>
          </w:p>
        </w:tc>
        <w:tc>
          <w:tcPr>
            <w:tcW w:w="2455" w:type="dxa"/>
            <w:noWrap w:val="0"/>
            <w:vAlign w:val="center"/>
          </w:tcPr>
          <w:p>
            <w:pPr>
              <w:snapToGrid w:val="0"/>
              <w:spacing w:line="360" w:lineRule="auto"/>
              <w:jc w:val="center"/>
              <w:rPr>
                <w:rFonts w:ascii="宋体" w:hAnsi="宋体" w:cs="宋体"/>
                <w:b/>
                <w:bCs/>
                <w:snapToGrid w:val="0"/>
                <w:sz w:val="24"/>
                <w:szCs w:val="24"/>
              </w:rPr>
            </w:pPr>
            <w:r>
              <w:rPr>
                <w:rFonts w:hint="eastAsia" w:ascii="宋体" w:hAnsi="宋体" w:cs="宋体"/>
                <w:b/>
                <w:bCs/>
                <w:snapToGrid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309"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报价30%</w:t>
            </w:r>
          </w:p>
        </w:tc>
        <w:tc>
          <w:tcPr>
            <w:tcW w:w="851"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3875" w:type="dxa"/>
            <w:noWrap w:val="0"/>
            <w:vAlign w:val="center"/>
          </w:tcPr>
          <w:p>
            <w:pPr>
              <w:spacing w:line="360" w:lineRule="auto"/>
              <w:rPr>
                <w:rFonts w:ascii="宋体" w:hAnsi="宋体" w:cs="宋体"/>
                <w:sz w:val="24"/>
                <w:szCs w:val="24"/>
              </w:rPr>
            </w:pPr>
            <w:r>
              <w:rPr>
                <w:rFonts w:hint="eastAsia" w:ascii="宋体" w:hAnsi="宋体" w:cs="宋体"/>
                <w:sz w:val="24"/>
                <w:szCs w:val="24"/>
              </w:rPr>
              <w:t>以本次符合要求的最低的有效投标报价为基准价，投标报价得分=（基准价／投标报价）×100×30%。</w:t>
            </w:r>
          </w:p>
        </w:tc>
        <w:tc>
          <w:tcPr>
            <w:tcW w:w="2455"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注：1、计分按“四舍五入法”保留小数点后两位。</w:t>
            </w:r>
          </w:p>
          <w:p>
            <w:pPr>
              <w:spacing w:line="360" w:lineRule="auto"/>
              <w:rPr>
                <w:rFonts w:ascii="宋体" w:hAnsi="宋体" w:cs="宋体"/>
                <w:sz w:val="24"/>
                <w:szCs w:val="24"/>
              </w:rPr>
            </w:pPr>
            <w:r>
              <w:rPr>
                <w:rFonts w:hint="eastAsia" w:ascii="宋体" w:hAnsi="宋体" w:cs="宋体"/>
                <w:sz w:val="24"/>
                <w:szCs w:val="24"/>
              </w:rPr>
              <w:t>2、小微企业（监狱企业、残疾人福利性单位视同小微企业）给予10%的价格扣除按照（财库〔2020〕46号）。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309" w:type="dxa"/>
            <w:noWrap w:val="0"/>
            <w:vAlign w:val="center"/>
          </w:tcPr>
          <w:p>
            <w:pPr>
              <w:widowControl/>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技术指标和配置4</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p>
        </w:tc>
        <w:tc>
          <w:tcPr>
            <w:tcW w:w="851" w:type="dxa"/>
            <w:noWrap w:val="0"/>
            <w:vAlign w:val="center"/>
          </w:tcPr>
          <w:p>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4</w:t>
            </w:r>
          </w:p>
        </w:tc>
        <w:tc>
          <w:tcPr>
            <w:tcW w:w="3875" w:type="dxa"/>
            <w:noWrap w:val="0"/>
            <w:vAlign w:val="center"/>
          </w:tcPr>
          <w:p>
            <w:pPr>
              <w:widowControl/>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完全满足招标文件技术指标和配置没有负偏离的得</w:t>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t>分，带★号的重要参数</w:t>
            </w:r>
            <w:r>
              <w:rPr>
                <w:rFonts w:hint="eastAsia" w:ascii="宋体" w:hAnsi="宋体" w:cs="宋体"/>
                <w:color w:val="auto"/>
                <w:sz w:val="24"/>
                <w:szCs w:val="24"/>
                <w:highlight w:val="none"/>
                <w:lang w:val="en-US" w:eastAsia="zh-CN"/>
              </w:rPr>
              <w:t>有15条，</w:t>
            </w:r>
            <w:r>
              <w:rPr>
                <w:rFonts w:hint="eastAsia" w:ascii="宋体" w:hAnsi="宋体" w:cs="宋体"/>
                <w:color w:val="auto"/>
                <w:sz w:val="24"/>
                <w:szCs w:val="24"/>
                <w:highlight w:val="none"/>
              </w:rPr>
              <w:t>共计</w:t>
            </w:r>
            <w:r>
              <w:rPr>
                <w:rFonts w:hint="eastAsia" w:ascii="宋体" w:hAnsi="宋体" w:cs="宋体"/>
                <w:color w:val="auto"/>
                <w:sz w:val="24"/>
                <w:szCs w:val="24"/>
                <w:highlight w:val="none"/>
                <w:lang w:val="en-US" w:eastAsia="zh-CN"/>
              </w:rPr>
              <w:t>22.5</w:t>
            </w:r>
            <w:r>
              <w:rPr>
                <w:rFonts w:hint="eastAsia" w:ascii="宋体" w:hAnsi="宋体" w:cs="宋体"/>
                <w:color w:val="auto"/>
                <w:sz w:val="24"/>
                <w:szCs w:val="24"/>
                <w:highlight w:val="none"/>
              </w:rPr>
              <w:t>分，每有一条负偏离的扣</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分,扣完为止；非★号参数</w:t>
            </w:r>
            <w:r>
              <w:rPr>
                <w:rFonts w:hint="eastAsia" w:ascii="宋体" w:hAnsi="宋体" w:cs="宋体"/>
                <w:color w:val="auto"/>
                <w:sz w:val="24"/>
                <w:szCs w:val="24"/>
                <w:highlight w:val="none"/>
                <w:lang w:val="en-US" w:eastAsia="zh-CN"/>
              </w:rPr>
              <w:t>有172条，</w:t>
            </w:r>
            <w:r>
              <w:rPr>
                <w:rFonts w:hint="eastAsia" w:ascii="宋体" w:hAnsi="宋体" w:cs="宋体"/>
                <w:color w:val="auto"/>
                <w:sz w:val="24"/>
                <w:szCs w:val="24"/>
                <w:highlight w:val="none"/>
              </w:rPr>
              <w:t>共计</w:t>
            </w:r>
            <w:r>
              <w:rPr>
                <w:rFonts w:hint="eastAsia" w:ascii="宋体" w:hAnsi="宋体" w:cs="宋体"/>
                <w:color w:val="auto"/>
                <w:sz w:val="24"/>
                <w:szCs w:val="24"/>
                <w:highlight w:val="none"/>
                <w:lang w:val="en-US" w:eastAsia="zh-CN"/>
              </w:rPr>
              <w:t>21.5</w:t>
            </w:r>
            <w:r>
              <w:rPr>
                <w:rFonts w:hint="eastAsia" w:ascii="宋体" w:hAnsi="宋体" w:cs="宋体"/>
                <w:color w:val="auto"/>
                <w:sz w:val="24"/>
                <w:szCs w:val="24"/>
                <w:highlight w:val="none"/>
              </w:rPr>
              <w:t>分，每有一条负偏离的扣0.1</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分，扣完为止。</w:t>
            </w:r>
          </w:p>
        </w:tc>
        <w:tc>
          <w:tcPr>
            <w:tcW w:w="2455"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以投标文件对招标文件技术指标和配置要求的响应情况为准。带★号参数应提供厂家彩页或白皮书或检测报告等佐证材料，如无佐证材料的，不予认定。（若具体参数中有明确证明材料要求的以具体要求为准）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309" w:type="dxa"/>
            <w:noWrap w:val="0"/>
            <w:vAlign w:val="center"/>
          </w:tcPr>
          <w:p>
            <w:pPr>
              <w:widowControl/>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投标人信誉和履约能力及综合实力</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p>
        </w:tc>
        <w:tc>
          <w:tcPr>
            <w:tcW w:w="851" w:type="dxa"/>
            <w:noWrap w:val="0"/>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75" w:type="dxa"/>
            <w:noWrap w:val="0"/>
            <w:vAlign w:val="center"/>
          </w:tcPr>
          <w:p>
            <w:pPr>
              <w:tabs>
                <w:tab w:val="left" w:pos="540"/>
              </w:tabs>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color w:val="auto"/>
                <w:sz w:val="24"/>
                <w:szCs w:val="24"/>
                <w:highlight w:val="none"/>
                <w:lang w:val="en-US" w:eastAsia="zh-CN"/>
              </w:rPr>
              <w:t>投标供应商提供2019年至今的类似业绩：每提供1个类似业绩得1分，最多得4分。无类似业绩不得分。</w:t>
            </w:r>
          </w:p>
        </w:tc>
        <w:tc>
          <w:tcPr>
            <w:tcW w:w="2455" w:type="dxa"/>
            <w:noWrap w:val="0"/>
            <w:vAlign w:val="center"/>
          </w:tcPr>
          <w:p>
            <w:pPr>
              <w:widowControl/>
              <w:spacing w:line="360" w:lineRule="auto"/>
              <w:rPr>
                <w:rFonts w:ascii="宋体" w:hAnsi="宋体" w:cs="宋体"/>
                <w:sz w:val="24"/>
                <w:szCs w:val="24"/>
              </w:rPr>
            </w:pPr>
            <w:r>
              <w:rPr>
                <w:rFonts w:hint="eastAsia" w:ascii="宋体" w:hAnsi="宋体" w:cs="宋体"/>
                <w:sz w:val="24"/>
                <w:szCs w:val="24"/>
              </w:rPr>
              <w:t>提供合同复印件或中标通知书复印件加盖投标人鲜章。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309" w:type="dxa"/>
            <w:noWrap w:val="0"/>
            <w:vAlign w:val="center"/>
          </w:tcPr>
          <w:p>
            <w:pPr>
              <w:autoSpaceDE w:val="0"/>
              <w:autoSpaceDN w:val="0"/>
              <w:adjustRightInd w:val="0"/>
              <w:snapToGrid w:val="0"/>
              <w:spacing w:line="360" w:lineRule="auto"/>
              <w:ind w:firstLine="28"/>
              <w:jc w:val="center"/>
              <w:rPr>
                <w:rFonts w:ascii="宋体" w:hAnsi="宋体" w:cs="宋体"/>
                <w:color w:val="auto"/>
                <w:sz w:val="24"/>
                <w:szCs w:val="24"/>
                <w:highlight w:val="none"/>
              </w:rPr>
            </w:pPr>
            <w:r>
              <w:rPr>
                <w:rFonts w:hint="eastAsia" w:ascii="宋体" w:hAnsi="宋体" w:cs="宋体"/>
                <w:color w:val="auto"/>
                <w:sz w:val="24"/>
                <w:szCs w:val="24"/>
                <w:highlight w:val="none"/>
              </w:rPr>
              <w:t>售后服务方案1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val="zh-CN"/>
              </w:rPr>
              <w:t>%</w:t>
            </w:r>
          </w:p>
        </w:tc>
        <w:tc>
          <w:tcPr>
            <w:tcW w:w="851" w:type="dxa"/>
            <w:noWrap w:val="0"/>
            <w:vAlign w:val="center"/>
          </w:tcPr>
          <w:p>
            <w:pPr>
              <w:autoSpaceDE w:val="0"/>
              <w:autoSpaceDN w:val="0"/>
              <w:adjustRightInd w:val="0"/>
              <w:snapToGrid w:val="0"/>
              <w:spacing w:line="360" w:lineRule="auto"/>
              <w:ind w:firstLine="2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3875" w:type="dxa"/>
            <w:noWrap w:val="0"/>
            <w:vAlign w:val="center"/>
          </w:tcPr>
          <w:p>
            <w:pPr>
              <w:autoSpaceDE w:val="0"/>
              <w:autoSpaceDN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1、根据投标人提供的售后服务方案进行评审，包含但不限于：①</w:t>
            </w:r>
            <w:r>
              <w:rPr>
                <w:rFonts w:hint="eastAsia" w:ascii="宋体" w:hAnsi="宋体" w:cs="宋体"/>
                <w:color w:val="auto"/>
                <w:sz w:val="24"/>
                <w:szCs w:val="24"/>
                <w:highlight w:val="none"/>
                <w:lang w:val="en-US" w:eastAsia="zh-CN"/>
              </w:rPr>
              <w:t>质量保证范围</w:t>
            </w:r>
            <w:r>
              <w:rPr>
                <w:rFonts w:hint="eastAsia" w:ascii="宋体" w:hAnsi="宋体" w:cs="宋体"/>
                <w:color w:val="auto"/>
                <w:sz w:val="24"/>
                <w:szCs w:val="24"/>
                <w:highlight w:val="none"/>
              </w:rPr>
              <w:t>②</w:t>
            </w:r>
            <w:r>
              <w:rPr>
                <w:rFonts w:hint="eastAsia" w:ascii="宋体" w:hAnsi="宋体" w:cs="宋体"/>
                <w:color w:val="auto"/>
                <w:sz w:val="24"/>
                <w:szCs w:val="24"/>
                <w:highlight w:val="none"/>
                <w:lang w:val="en-US" w:eastAsia="zh-CN"/>
              </w:rPr>
              <w:t>维修响应时间</w:t>
            </w:r>
            <w:r>
              <w:rPr>
                <w:rFonts w:hint="eastAsia" w:ascii="宋体" w:hAnsi="宋体" w:cs="宋体"/>
                <w:color w:val="auto"/>
                <w:sz w:val="24"/>
                <w:szCs w:val="24"/>
                <w:highlight w:val="none"/>
              </w:rPr>
              <w:t>③</w:t>
            </w:r>
            <w:r>
              <w:rPr>
                <w:rFonts w:hint="eastAsia" w:ascii="宋体" w:hAnsi="宋体" w:cs="宋体"/>
                <w:color w:val="auto"/>
                <w:sz w:val="24"/>
                <w:szCs w:val="24"/>
                <w:highlight w:val="none"/>
                <w:lang w:val="en-US" w:eastAsia="zh-CN"/>
              </w:rPr>
              <w:t>人员培训计划</w:t>
            </w:r>
            <w:r>
              <w:rPr>
                <w:rFonts w:hint="eastAsia" w:ascii="宋体" w:hAnsi="宋体" w:cs="宋体"/>
                <w:color w:val="auto"/>
                <w:sz w:val="24"/>
                <w:szCs w:val="24"/>
                <w:highlight w:val="none"/>
              </w:rPr>
              <w:t>④</w:t>
            </w:r>
            <w:r>
              <w:rPr>
                <w:rFonts w:hint="eastAsia" w:ascii="宋体" w:hAnsi="宋体" w:cs="宋体"/>
                <w:color w:val="auto"/>
                <w:sz w:val="24"/>
                <w:szCs w:val="24"/>
                <w:highlight w:val="none"/>
                <w:lang w:val="en-US" w:eastAsia="zh-CN"/>
              </w:rPr>
              <w:t>零部件更换措施</w:t>
            </w:r>
            <w:r>
              <w:rPr>
                <w:rFonts w:hint="eastAsia" w:ascii="宋体" w:hAnsi="宋体" w:cs="宋体"/>
                <w:color w:val="auto"/>
                <w:sz w:val="24"/>
                <w:szCs w:val="24"/>
                <w:highlight w:val="none"/>
              </w:rPr>
              <w:t>等方面，</w:t>
            </w:r>
            <w:r>
              <w:rPr>
                <w:rFonts w:hint="eastAsia" w:ascii="宋体" w:hAnsi="宋体" w:cs="宋体"/>
                <w:color w:val="auto"/>
                <w:sz w:val="24"/>
                <w:szCs w:val="24"/>
                <w:highlight w:val="none"/>
                <w:lang w:val="en-US" w:eastAsia="zh-CN"/>
              </w:rPr>
              <w:t>进行综合分析评分，</w:t>
            </w:r>
            <w:r>
              <w:rPr>
                <w:rFonts w:hint="eastAsia" w:ascii="宋体" w:hAnsi="宋体" w:cs="宋体"/>
                <w:color w:val="auto"/>
                <w:sz w:val="24"/>
                <w:szCs w:val="24"/>
                <w:highlight w:val="none"/>
              </w:rPr>
              <w:t>完全满足上述要求且有利于本项目后期运行的得</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分；在此基础上，</w:t>
            </w:r>
            <w:r>
              <w:rPr>
                <w:rFonts w:hint="eastAsia" w:ascii="宋体" w:hAnsi="宋体" w:cs="宋体"/>
                <w:color w:val="auto"/>
                <w:sz w:val="24"/>
                <w:szCs w:val="24"/>
                <w:highlight w:val="none"/>
                <w:lang w:val="en-US" w:eastAsia="zh-CN"/>
              </w:rPr>
              <w:t>每有一项内容缺失的扣4分，每有一项内容描述不合理或不满足本项目需求</w:t>
            </w:r>
            <w:r>
              <w:rPr>
                <w:rFonts w:hint="eastAsia" w:ascii="宋体" w:hAnsi="宋体" w:cs="宋体"/>
                <w:color w:val="auto"/>
                <w:sz w:val="24"/>
                <w:szCs w:val="24"/>
                <w:highlight w:val="none"/>
              </w:rPr>
              <w:t>的扣</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分，扣完为止，不提供不得分。</w:t>
            </w:r>
          </w:p>
          <w:p>
            <w:pPr>
              <w:autoSpaceDE w:val="0"/>
              <w:autoSpaceDN w:val="0"/>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供应商对采购人所采购的设备提供便利性和保障性的承诺函，提供的得3分，没有提供则不得分。</w:t>
            </w:r>
          </w:p>
        </w:tc>
        <w:tc>
          <w:tcPr>
            <w:tcW w:w="2455" w:type="dxa"/>
            <w:noWrap w:val="0"/>
            <w:vAlign w:val="center"/>
          </w:tcPr>
          <w:p>
            <w:pPr>
              <w:widowControl/>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309" w:type="dxa"/>
            <w:noWrap w:val="0"/>
            <w:vAlign w:val="center"/>
          </w:tcPr>
          <w:p>
            <w:pPr>
              <w:autoSpaceDE w:val="0"/>
              <w:autoSpaceDN w:val="0"/>
              <w:adjustRightInd w:val="0"/>
              <w:snapToGrid w:val="0"/>
              <w:spacing w:line="360" w:lineRule="auto"/>
              <w:ind w:hanging="210"/>
              <w:jc w:val="center"/>
              <w:rPr>
                <w:rFonts w:ascii="宋体" w:hAnsi="宋体" w:cs="宋体"/>
                <w:sz w:val="24"/>
                <w:szCs w:val="24"/>
                <w:highlight w:val="none"/>
              </w:rPr>
            </w:pPr>
            <w:r>
              <w:rPr>
                <w:rFonts w:hint="eastAsia" w:ascii="宋体" w:hAnsi="宋体" w:cs="宋体"/>
                <w:sz w:val="24"/>
                <w:szCs w:val="24"/>
                <w:highlight w:val="none"/>
              </w:rPr>
              <w:t xml:space="preserve">   节能、环境标志、无线局域网产品</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p>
        </w:tc>
        <w:tc>
          <w:tcPr>
            <w:tcW w:w="851" w:type="dxa"/>
            <w:noWrap w:val="0"/>
            <w:vAlign w:val="center"/>
          </w:tcPr>
          <w:p>
            <w:pPr>
              <w:autoSpaceDE w:val="0"/>
              <w:autoSpaceDN w:val="0"/>
              <w:adjustRightInd w:val="0"/>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3875" w:type="dxa"/>
            <w:noWrap w:val="0"/>
            <w:vAlign w:val="center"/>
          </w:tcPr>
          <w:p>
            <w:pPr>
              <w:pStyle w:val="54"/>
              <w:autoSpaceDE w:val="0"/>
              <w:autoSpaceDN w:val="0"/>
              <w:adjustRightInd w:val="0"/>
              <w:snapToGrid w:val="0"/>
              <w:spacing w:line="360" w:lineRule="auto"/>
              <w:ind w:firstLine="0" w:firstLineChars="0"/>
              <w:rPr>
                <w:rFonts w:ascii="宋体" w:hAnsi="宋体" w:cs="宋体"/>
                <w:sz w:val="24"/>
                <w:szCs w:val="24"/>
                <w:lang w:val="en-US" w:eastAsia="zh-CN"/>
              </w:rPr>
            </w:pPr>
            <w:r>
              <w:rPr>
                <w:rFonts w:hint="eastAsia" w:ascii="宋体" w:hAnsi="宋体" w:cs="宋体"/>
                <w:sz w:val="24"/>
                <w:szCs w:val="24"/>
                <w:lang w:val="en-US" w:eastAsia="zh-CN"/>
              </w:rPr>
              <w:t>1、所投产品属于优先采购节能产品、环保产品的每一个得0.5分，最高得2分。</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注：1、提供国家确定的认证机构出具的、处于有效期之内的节能产品，环境标志产品认证证书复印件盖鲜章。</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2、无线局域网产品提供国家相关部门制定的“无线局域网认证产品政府采购清单”截图盖鲜章。</w:t>
            </w:r>
          </w:p>
        </w:tc>
        <w:tc>
          <w:tcPr>
            <w:tcW w:w="2455" w:type="dxa"/>
            <w:noWrap w:val="0"/>
            <w:vAlign w:val="center"/>
          </w:tcPr>
          <w:p>
            <w:pPr>
              <w:autoSpaceDE w:val="0"/>
              <w:autoSpaceDN w:val="0"/>
              <w:adjustRightInd w:val="0"/>
              <w:snapToGrid w:val="0"/>
              <w:spacing w:line="360" w:lineRule="auto"/>
              <w:rPr>
                <w:rFonts w:ascii="宋体" w:hAnsi="宋体" w:cs="宋体"/>
                <w:sz w:val="24"/>
                <w:szCs w:val="24"/>
                <w:lang w:val="zh-CN"/>
              </w:rPr>
            </w:pP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提供相关证明文件，若未提供则不得分。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pPr>
              <w:widowControl/>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309"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lang w:val="zh-CN"/>
              </w:rPr>
              <w:t>支持少数民族地区</w:t>
            </w:r>
            <w:r>
              <w:rPr>
                <w:rFonts w:hint="eastAsia" w:ascii="宋体" w:hAnsi="宋体" w:cs="宋体"/>
                <w:sz w:val="24"/>
                <w:szCs w:val="24"/>
              </w:rPr>
              <w:t>1%</w:t>
            </w:r>
          </w:p>
        </w:tc>
        <w:tc>
          <w:tcPr>
            <w:tcW w:w="851" w:type="dxa"/>
            <w:noWrap w:val="0"/>
            <w:vAlign w:val="center"/>
          </w:tcPr>
          <w:p>
            <w:pPr>
              <w:autoSpaceDE w:val="0"/>
              <w:autoSpaceDN w:val="0"/>
              <w:adjustRightInd w:val="0"/>
              <w:snapToGrid w:val="0"/>
              <w:spacing w:line="360" w:lineRule="auto"/>
              <w:ind w:firstLine="28"/>
              <w:jc w:val="center"/>
              <w:rPr>
                <w:rFonts w:ascii="宋体" w:hAnsi="宋体" w:cs="宋体"/>
                <w:sz w:val="24"/>
                <w:szCs w:val="24"/>
              </w:rPr>
            </w:pPr>
            <w:r>
              <w:rPr>
                <w:rFonts w:hint="eastAsia" w:ascii="宋体" w:hAnsi="宋体" w:cs="宋体"/>
                <w:sz w:val="24"/>
                <w:szCs w:val="24"/>
              </w:rPr>
              <w:t>1</w:t>
            </w:r>
          </w:p>
        </w:tc>
        <w:tc>
          <w:tcPr>
            <w:tcW w:w="3875" w:type="dxa"/>
            <w:noWrap w:val="0"/>
            <w:vAlign w:val="center"/>
          </w:tcPr>
          <w:p>
            <w:pPr>
              <w:spacing w:line="360" w:lineRule="auto"/>
              <w:rPr>
                <w:rFonts w:ascii="宋体" w:hAnsi="宋体" w:cs="宋体"/>
                <w:sz w:val="24"/>
                <w:szCs w:val="24"/>
              </w:rPr>
            </w:pPr>
            <w:r>
              <w:rPr>
                <w:rFonts w:hint="eastAsia" w:ascii="宋体" w:hAnsi="宋体" w:cs="宋体"/>
                <w:sz w:val="24"/>
                <w:szCs w:val="24"/>
              </w:rPr>
              <w:t>所有投标（响应）产品为少数民族地区内注册的企业、单位生产的得1分。</w:t>
            </w:r>
          </w:p>
          <w:p>
            <w:pPr>
              <w:autoSpaceDE w:val="0"/>
              <w:autoSpaceDN w:val="0"/>
              <w:spacing w:line="360" w:lineRule="auto"/>
              <w:ind w:firstLine="480" w:firstLineChars="200"/>
              <w:rPr>
                <w:rFonts w:ascii="宋体" w:hAnsi="宋体" w:cs="宋体"/>
                <w:sz w:val="24"/>
                <w:szCs w:val="24"/>
              </w:rPr>
            </w:pPr>
          </w:p>
        </w:tc>
        <w:tc>
          <w:tcPr>
            <w:tcW w:w="2455" w:type="dxa"/>
            <w:noWrap w:val="0"/>
            <w:vAlign w:val="center"/>
          </w:tcPr>
          <w:p>
            <w:pPr>
              <w:autoSpaceDE w:val="0"/>
              <w:autoSpaceDN w:val="0"/>
              <w:spacing w:line="360" w:lineRule="auto"/>
              <w:ind w:left="-40"/>
              <w:rPr>
                <w:rFonts w:ascii="宋体" w:hAnsi="宋体" w:cs="宋体"/>
                <w:sz w:val="24"/>
                <w:szCs w:val="24"/>
              </w:rPr>
            </w:pPr>
            <w:r>
              <w:rPr>
                <w:rFonts w:hint="eastAsia" w:ascii="宋体" w:hAnsi="宋体" w:cs="宋体"/>
                <w:sz w:val="24"/>
                <w:szCs w:val="24"/>
                <w:lang w:val="zh-CN"/>
              </w:rPr>
              <w:t>注：投标人需提供所有投标（响应）产品属于上述企业、单位生产的证明材料。</w:t>
            </w:r>
          </w:p>
        </w:tc>
      </w:tr>
    </w:tbl>
    <w:p>
      <w:pPr>
        <w:pStyle w:val="33"/>
        <w:spacing w:line="480" w:lineRule="auto"/>
        <w:rPr>
          <w:rFonts w:hint="eastAsia" w:ascii="宋体"/>
          <w:b/>
          <w:color w:val="auto"/>
          <w:sz w:val="28"/>
          <w:szCs w:val="28"/>
          <w:highlight w:val="none"/>
        </w:rPr>
      </w:pPr>
    </w:p>
    <w:p>
      <w:pPr>
        <w:pStyle w:val="33"/>
        <w:spacing w:line="480" w:lineRule="auto"/>
        <w:rPr>
          <w:rFonts w:ascii="宋体"/>
          <w:b/>
          <w:color w:val="auto"/>
          <w:sz w:val="28"/>
          <w:szCs w:val="28"/>
          <w:highlight w:val="none"/>
        </w:rPr>
      </w:pPr>
      <w:r>
        <w:rPr>
          <w:rFonts w:hint="eastAsia" w:ascii="宋体"/>
          <w:b/>
          <w:color w:val="auto"/>
          <w:sz w:val="28"/>
          <w:szCs w:val="28"/>
          <w:highlight w:val="none"/>
        </w:rPr>
        <w:t>5、 废标</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5.1本次政府采购活动中，出现下列情形之一的，予以废标：</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(1)符合专业条件的投标人或者对招标文件作实质响应的投标人不足三家的；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(2)出现影响采购公正的违法、违规行为的；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(3)投标人的报价均超过了采购预算或限价，采购人不能支付的；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(4)因重大变故，采购任务取消的。</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5.2对于评标过程中废标的采购项目，评标委员会应当对招标文件是否存在倾向性和歧视性、是否存在不合理条款进行论证，并出具书面论证意见（格式另行提供）。</w:t>
      </w:r>
    </w:p>
    <w:p>
      <w:pPr>
        <w:spacing w:line="480" w:lineRule="auto"/>
        <w:ind w:firstLine="562" w:firstLineChars="200"/>
        <w:rPr>
          <w:rFonts w:ascii="宋体"/>
          <w:b/>
          <w:color w:val="auto"/>
          <w:sz w:val="28"/>
          <w:szCs w:val="28"/>
          <w:highlight w:val="none"/>
        </w:rPr>
      </w:pPr>
      <w:r>
        <w:rPr>
          <w:rFonts w:hint="eastAsia" w:ascii="宋体"/>
          <w:b/>
          <w:color w:val="auto"/>
          <w:sz w:val="28"/>
          <w:szCs w:val="28"/>
          <w:highlight w:val="none"/>
        </w:rPr>
        <w:t>6、定标</w:t>
      </w:r>
      <w:bookmarkEnd w:id="79"/>
      <w:bookmarkStart w:id="80" w:name="_Toc217446061"/>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6.1 定标原则</w:t>
      </w:r>
      <w:bookmarkEnd w:id="80"/>
      <w:r>
        <w:rPr>
          <w:rFonts w:hint="eastAsia" w:ascii="宋体"/>
          <w:color w:val="auto"/>
          <w:sz w:val="28"/>
          <w:szCs w:val="28"/>
          <w:highlight w:val="none"/>
        </w:rPr>
        <w:t>：本项目根据评标委员会推荐的中标候选投标人名单，按顺序确定</w:t>
      </w:r>
      <w:r>
        <w:rPr>
          <w:rFonts w:hint="eastAsia" w:ascii="宋体"/>
          <w:color w:val="auto"/>
          <w:sz w:val="28"/>
          <w:szCs w:val="28"/>
          <w:highlight w:val="none"/>
          <w:lang w:eastAsia="zh-CN"/>
        </w:rPr>
        <w:t>中标人</w:t>
      </w:r>
      <w:r>
        <w:rPr>
          <w:rFonts w:hint="eastAsia" w:ascii="宋体"/>
          <w:color w:val="auto"/>
          <w:sz w:val="28"/>
          <w:szCs w:val="28"/>
          <w:highlight w:val="none"/>
        </w:rPr>
        <w:t>。</w:t>
      </w:r>
    </w:p>
    <w:p>
      <w:pPr>
        <w:spacing w:line="480" w:lineRule="auto"/>
        <w:ind w:firstLine="560" w:firstLineChars="200"/>
        <w:rPr>
          <w:rFonts w:ascii="宋体"/>
          <w:color w:val="auto"/>
          <w:sz w:val="28"/>
          <w:szCs w:val="28"/>
          <w:highlight w:val="none"/>
        </w:rPr>
      </w:pPr>
      <w:bookmarkStart w:id="81" w:name="_Toc217446062"/>
      <w:r>
        <w:rPr>
          <w:rFonts w:hint="eastAsia" w:ascii="宋体"/>
          <w:color w:val="auto"/>
          <w:sz w:val="28"/>
          <w:szCs w:val="28"/>
          <w:highlight w:val="none"/>
        </w:rPr>
        <w:t>6.2 定标程序</w:t>
      </w:r>
      <w:bookmarkEnd w:id="81"/>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6.2.1 评标委员会将评标情况写出书面报告，推荐中标候选投标人。</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6.2.2 采购代理机构在评标结束后2个工作日内将评标报告送采购人。</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6.2.3 采购人在收到评标报告后5个工作日内，按照评标报告中推荐的中标候选投标人顺序确定</w:t>
      </w:r>
      <w:r>
        <w:rPr>
          <w:rFonts w:hint="eastAsia" w:ascii="宋体"/>
          <w:color w:val="auto"/>
          <w:sz w:val="28"/>
          <w:szCs w:val="28"/>
          <w:highlight w:val="none"/>
          <w:lang w:eastAsia="zh-CN"/>
        </w:rPr>
        <w:t>中标人</w:t>
      </w:r>
      <w:r>
        <w:rPr>
          <w:rFonts w:hint="eastAsia" w:ascii="宋体"/>
          <w:color w:val="auto"/>
          <w:sz w:val="28"/>
          <w:szCs w:val="28"/>
          <w:highlight w:val="none"/>
        </w:rPr>
        <w:t>，并书面告知采购代理机构。</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6.2.4 根据采购人确定的</w:t>
      </w:r>
      <w:r>
        <w:rPr>
          <w:rFonts w:hint="eastAsia" w:ascii="宋体"/>
          <w:color w:val="auto"/>
          <w:sz w:val="28"/>
          <w:szCs w:val="28"/>
          <w:highlight w:val="none"/>
          <w:lang w:eastAsia="zh-CN"/>
        </w:rPr>
        <w:t>中标人</w:t>
      </w:r>
      <w:r>
        <w:rPr>
          <w:rFonts w:hint="eastAsia" w:ascii="宋体"/>
          <w:color w:val="auto"/>
          <w:sz w:val="28"/>
          <w:szCs w:val="28"/>
          <w:highlight w:val="none"/>
        </w:rPr>
        <w:t>，采购代理机构在</w:t>
      </w:r>
      <w:r>
        <w:rPr>
          <w:rFonts w:hint="eastAsia" w:ascii="宋体"/>
          <w:color w:val="auto"/>
          <w:sz w:val="28"/>
          <w:szCs w:val="28"/>
          <w:highlight w:val="none"/>
          <w:lang w:eastAsia="zh-CN"/>
        </w:rPr>
        <w:t>中国政府采购网</w:t>
      </w:r>
      <w:r>
        <w:rPr>
          <w:rFonts w:hint="eastAsia" w:ascii="宋体"/>
          <w:color w:val="auto"/>
          <w:sz w:val="28"/>
          <w:szCs w:val="28"/>
          <w:highlight w:val="none"/>
        </w:rPr>
        <w:t>上发布中标公告，同时采购人向中标人发出中标通知书。</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6.2.5 采购人、采购代理机构不退回投标人投标文件和其他投标资料。</w:t>
      </w:r>
    </w:p>
    <w:bookmarkEnd w:id="78"/>
    <w:p>
      <w:pPr>
        <w:spacing w:line="480" w:lineRule="auto"/>
        <w:ind w:firstLine="551" w:firstLineChars="196"/>
        <w:rPr>
          <w:rFonts w:ascii="宋体"/>
          <w:b/>
          <w:bCs/>
          <w:color w:val="auto"/>
          <w:sz w:val="28"/>
          <w:szCs w:val="28"/>
          <w:highlight w:val="none"/>
        </w:rPr>
      </w:pPr>
      <w:bookmarkStart w:id="82" w:name="_Toc208849022"/>
      <w:bookmarkStart w:id="83" w:name="_Toc183682432"/>
      <w:bookmarkStart w:id="84" w:name="_Toc183582297"/>
      <w:bookmarkStart w:id="85" w:name="_Toc217446105"/>
      <w:r>
        <w:rPr>
          <w:rFonts w:hint="eastAsia" w:ascii="宋体"/>
          <w:b/>
          <w:bCs/>
          <w:color w:val="auto"/>
          <w:sz w:val="28"/>
          <w:szCs w:val="28"/>
          <w:highlight w:val="none"/>
        </w:rPr>
        <w:t xml:space="preserve">7. </w:t>
      </w:r>
      <w:bookmarkEnd w:id="82"/>
      <w:bookmarkEnd w:id="83"/>
      <w:bookmarkEnd w:id="84"/>
      <w:bookmarkEnd w:id="85"/>
      <w:r>
        <w:rPr>
          <w:rFonts w:hint="eastAsia" w:ascii="宋体"/>
          <w:b/>
          <w:color w:val="auto"/>
          <w:sz w:val="28"/>
          <w:szCs w:val="28"/>
          <w:highlight w:val="none"/>
        </w:rPr>
        <w:t>评标专家在政府采购活动中承担以下义务：</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 xml:space="preserve">(1)遵守评审工作纪律； </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(2)按照客观、公正、审慎的原则，根据采购文件规定的评审程序、评审方法和评审标准进行独立评审；</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(3)不得泄露评审文件、评审情况和在评审过程中获悉的商业秘密；</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(4)及时向监督部门报告评审过程中采购组织单位向评审专家做倾向性、误导性的解释或者说明，投标人行贿、提供虚假材料或者串通、受到的非法干预情况等违法违规行为；</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(5)发现采购文件内容违反国家有关强制性规定或者存在歧义、重大缺陷导致评审工作无法进行时，停止评审并向采购组织单位书面说明情况；</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(6)配合答复处理投标人的询问、质疑和投诉等事项；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(7)法律、法规和规章规定的其他义务。</w:t>
      </w:r>
    </w:p>
    <w:p>
      <w:pPr>
        <w:spacing w:line="480" w:lineRule="auto"/>
        <w:ind w:firstLine="562" w:firstLineChars="200"/>
        <w:rPr>
          <w:rFonts w:ascii="宋体"/>
          <w:b/>
          <w:bCs/>
          <w:color w:val="auto"/>
          <w:sz w:val="28"/>
          <w:szCs w:val="28"/>
          <w:highlight w:val="none"/>
        </w:rPr>
      </w:pPr>
      <w:r>
        <w:rPr>
          <w:rFonts w:hint="eastAsia" w:ascii="宋体"/>
          <w:b/>
          <w:bCs/>
          <w:color w:val="auto"/>
          <w:sz w:val="28"/>
          <w:szCs w:val="28"/>
          <w:highlight w:val="none"/>
        </w:rPr>
        <w:t>8.评标专家在政府采购活动中应当遵守以下工作纪律：</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(1)遵行《政府采购法》第十二条和《政府采购法实施条例》第九条及财政部关于回避的规定。</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(2)评标前，应当将通讯工具或者相关电子设备交由采购人、采购代理机构统一保管。</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(3)评标过程中，不得与外界联系，因发生不可预见情况，确实需要与外界联系的，应当在监督人员监督之下办理。</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(5)在评标过程中和评标结束后，不得记录、复制或带走任何评标资料，除因规定的义务外，不得向外界透露评标内容。</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(6)服从评标现场采购人、采购代理机构的现场秩序管理，接受评标现场监督人员的合法监督。</w:t>
      </w:r>
    </w:p>
    <w:p>
      <w:pPr>
        <w:spacing w:line="480" w:lineRule="auto"/>
        <w:ind w:firstLine="560" w:firstLineChars="200"/>
        <w:rPr>
          <w:rFonts w:ascii="宋体"/>
          <w:color w:val="auto"/>
          <w:sz w:val="28"/>
          <w:szCs w:val="28"/>
          <w:highlight w:val="none"/>
        </w:rPr>
      </w:pPr>
      <w:r>
        <w:rPr>
          <w:rFonts w:hint="eastAsia" w:ascii="宋体"/>
          <w:color w:val="auto"/>
          <w:sz w:val="28"/>
          <w:szCs w:val="28"/>
          <w:highlight w:val="none"/>
        </w:rPr>
        <w:t>(7)遵守有关廉洁自律规定，不得私下接触投标人，不得收受投标人及有关业务单位和个人的财物或好处，不得接受采购组织单位的请托。</w:t>
      </w:r>
    </w:p>
    <w:p>
      <w:pPr>
        <w:wordWrap w:val="0"/>
        <w:topLinePunct/>
        <w:spacing w:line="480" w:lineRule="auto"/>
        <w:ind w:firstLine="480" w:firstLineChars="200"/>
        <w:rPr>
          <w:rFonts w:ascii="宋体"/>
          <w:color w:val="auto"/>
          <w:sz w:val="24"/>
          <w:szCs w:val="24"/>
          <w:highlight w:val="none"/>
        </w:rPr>
      </w:pPr>
    </w:p>
    <w:p>
      <w:pPr>
        <w:pageBreakBefore/>
        <w:spacing w:line="480" w:lineRule="auto"/>
        <w:jc w:val="center"/>
        <w:outlineLvl w:val="0"/>
        <w:rPr>
          <w:rFonts w:hint="eastAsia" w:ascii="宋体"/>
          <w:b/>
          <w:bCs/>
          <w:color w:val="auto"/>
          <w:sz w:val="36"/>
          <w:szCs w:val="40"/>
          <w:highlight w:val="none"/>
        </w:rPr>
      </w:pPr>
      <w:bookmarkStart w:id="86" w:name="_Toc484268474"/>
      <w:bookmarkStart w:id="87" w:name="_Toc497397755"/>
      <w:r>
        <w:rPr>
          <w:rFonts w:hint="eastAsia" w:ascii="宋体"/>
          <w:b/>
          <w:bCs/>
          <w:color w:val="auto"/>
          <w:sz w:val="56"/>
          <w:szCs w:val="72"/>
          <w:highlight w:val="none"/>
          <w:lang w:val="en-US" w:eastAsia="zh-CN"/>
        </w:rPr>
        <w:t xml:space="preserve">  </w:t>
      </w:r>
      <w:bookmarkStart w:id="88" w:name="_Toc20543"/>
      <w:r>
        <w:rPr>
          <w:rFonts w:hint="eastAsia" w:ascii="宋体"/>
          <w:b/>
          <w:bCs/>
          <w:color w:val="auto"/>
          <w:sz w:val="44"/>
          <w:szCs w:val="44"/>
          <w:highlight w:val="none"/>
          <w:lang w:eastAsia="zh-CN"/>
        </w:rPr>
        <w:t>第六章</w:t>
      </w:r>
      <w:r>
        <w:rPr>
          <w:rFonts w:hint="eastAsia" w:ascii="宋体"/>
          <w:b/>
          <w:bCs/>
          <w:color w:val="auto"/>
          <w:sz w:val="44"/>
          <w:szCs w:val="44"/>
          <w:highlight w:val="none"/>
          <w:lang w:val="en-US" w:eastAsia="zh-CN"/>
        </w:rPr>
        <w:t xml:space="preserve">  </w:t>
      </w:r>
      <w:r>
        <w:rPr>
          <w:rFonts w:hint="eastAsia" w:ascii="宋体"/>
          <w:b/>
          <w:bCs/>
          <w:color w:val="auto"/>
          <w:sz w:val="44"/>
          <w:szCs w:val="44"/>
          <w:highlight w:val="none"/>
          <w:lang w:eastAsia="zh-CN"/>
        </w:rPr>
        <w:t>政府采购合同（样例）</w:t>
      </w:r>
      <w:r>
        <w:rPr>
          <w:rFonts w:hint="eastAsia" w:ascii="宋体"/>
          <w:b/>
          <w:bCs/>
          <w:color w:val="auto"/>
          <w:sz w:val="44"/>
          <w:szCs w:val="44"/>
          <w:highlight w:val="none"/>
          <w:lang w:val="en-US" w:eastAsia="zh-CN"/>
        </w:rPr>
        <w:t xml:space="preserve">  </w:t>
      </w:r>
      <w:r>
        <w:rPr>
          <w:rFonts w:hint="eastAsia" w:ascii="宋体"/>
          <w:b/>
          <w:bCs/>
          <w:color w:val="auto"/>
          <w:sz w:val="56"/>
          <w:szCs w:val="72"/>
          <w:highlight w:val="none"/>
          <w:lang w:val="en-US" w:eastAsia="zh-CN"/>
        </w:rPr>
        <w:t xml:space="preserve">           </w:t>
      </w:r>
      <w:r>
        <w:rPr>
          <w:rFonts w:hint="eastAsia" w:ascii="宋体"/>
          <w:color w:val="auto"/>
          <w:highlight w:val="none"/>
          <w:lang w:val="en-US" w:eastAsia="zh-CN"/>
        </w:rPr>
        <w:t xml:space="preserve">                        </w:t>
      </w:r>
      <w:bookmarkEnd w:id="88"/>
    </w:p>
    <w:p>
      <w:pPr>
        <w:pStyle w:val="32"/>
        <w:spacing w:line="480" w:lineRule="auto"/>
        <w:rPr>
          <w:rFonts w:hint="eastAsia"/>
          <w:highlight w:val="none"/>
        </w:rPr>
      </w:pPr>
    </w:p>
    <w:bookmarkEnd w:id="86"/>
    <w:bookmarkEnd w:id="87"/>
    <w:p>
      <w:pPr>
        <w:pStyle w:val="39"/>
        <w:spacing w:line="360" w:lineRule="auto"/>
        <w:ind w:firstLine="480"/>
        <w:rPr>
          <w:rFonts w:hAnsi="宋体"/>
          <w:sz w:val="28"/>
          <w:szCs w:val="28"/>
        </w:rPr>
      </w:pPr>
      <w:r>
        <w:rPr>
          <w:rFonts w:hint="eastAsia" w:hAnsi="宋体"/>
          <w:sz w:val="28"/>
          <w:szCs w:val="28"/>
        </w:rPr>
        <w:t>合同编号：XXX</w:t>
      </w:r>
      <w:r>
        <w:rPr>
          <w:rFonts w:hAnsi="宋体"/>
          <w:sz w:val="28"/>
          <w:szCs w:val="28"/>
        </w:rPr>
        <w:t xml:space="preserve">               </w:t>
      </w:r>
      <w:r>
        <w:rPr>
          <w:rFonts w:hint="eastAsia" w:hAnsi="宋体"/>
          <w:sz w:val="28"/>
          <w:szCs w:val="28"/>
        </w:rPr>
        <w:t xml:space="preserve">            </w:t>
      </w:r>
      <w:r>
        <w:rPr>
          <w:rFonts w:hAnsi="宋体"/>
          <w:sz w:val="28"/>
          <w:szCs w:val="28"/>
        </w:rPr>
        <w:t xml:space="preserve">        </w:t>
      </w:r>
      <w:r>
        <w:rPr>
          <w:rFonts w:hint="eastAsia" w:hAnsi="宋体"/>
          <w:sz w:val="28"/>
          <w:szCs w:val="28"/>
        </w:rPr>
        <w:t xml:space="preserve">      </w:t>
      </w:r>
    </w:p>
    <w:p>
      <w:pPr>
        <w:pStyle w:val="39"/>
        <w:spacing w:line="360" w:lineRule="auto"/>
        <w:ind w:firstLine="480"/>
        <w:rPr>
          <w:rFonts w:hAnsi="宋体"/>
          <w:sz w:val="28"/>
          <w:szCs w:val="28"/>
        </w:rPr>
      </w:pPr>
      <w:r>
        <w:rPr>
          <w:rFonts w:hint="eastAsia" w:hAnsi="宋体"/>
          <w:sz w:val="28"/>
          <w:szCs w:val="28"/>
        </w:rPr>
        <w:t>签订地点：XXX</w:t>
      </w:r>
      <w:r>
        <w:rPr>
          <w:rFonts w:hAnsi="宋体"/>
          <w:sz w:val="28"/>
          <w:szCs w:val="28"/>
        </w:rPr>
        <w:t xml:space="preserve">                      </w:t>
      </w:r>
      <w:r>
        <w:rPr>
          <w:rFonts w:hint="eastAsia" w:hAnsi="宋体"/>
          <w:sz w:val="28"/>
          <w:szCs w:val="28"/>
        </w:rPr>
        <w:t xml:space="preserve">  </w:t>
      </w:r>
      <w:r>
        <w:rPr>
          <w:rFonts w:hAnsi="宋体"/>
          <w:sz w:val="28"/>
          <w:szCs w:val="28"/>
        </w:rPr>
        <w:t xml:space="preserve">       </w:t>
      </w:r>
      <w:r>
        <w:rPr>
          <w:rFonts w:hint="eastAsia" w:hAnsi="宋体"/>
          <w:sz w:val="28"/>
          <w:szCs w:val="28"/>
        </w:rPr>
        <w:t xml:space="preserve">          </w:t>
      </w:r>
    </w:p>
    <w:p>
      <w:pPr>
        <w:pStyle w:val="39"/>
        <w:spacing w:line="360" w:lineRule="auto"/>
        <w:ind w:firstLine="480"/>
        <w:rPr>
          <w:rFonts w:hAnsi="宋体"/>
          <w:sz w:val="28"/>
          <w:szCs w:val="28"/>
        </w:rPr>
      </w:pPr>
      <w:r>
        <w:rPr>
          <w:rFonts w:hint="eastAsia" w:hAnsi="宋体"/>
          <w:sz w:val="28"/>
          <w:szCs w:val="28"/>
        </w:rPr>
        <w:t>签订时间：XXX年XXX月XXX日</w:t>
      </w:r>
      <w:r>
        <w:rPr>
          <w:rFonts w:hAnsi="宋体"/>
          <w:sz w:val="28"/>
          <w:szCs w:val="28"/>
        </w:rPr>
        <w:t xml:space="preserve">                           </w:t>
      </w:r>
      <w:r>
        <w:rPr>
          <w:rFonts w:hint="eastAsia" w:hAnsi="宋体"/>
          <w:sz w:val="28"/>
          <w:szCs w:val="28"/>
        </w:rPr>
        <w:t xml:space="preserve">  </w:t>
      </w:r>
      <w:r>
        <w:rPr>
          <w:rFonts w:hAnsi="宋体"/>
          <w:sz w:val="28"/>
          <w:szCs w:val="28"/>
        </w:rPr>
        <w:t xml:space="preserve">    </w:t>
      </w:r>
      <w:r>
        <w:rPr>
          <w:rFonts w:hint="eastAsia" w:hAnsi="宋体"/>
          <w:sz w:val="28"/>
          <w:szCs w:val="28"/>
        </w:rPr>
        <w:t xml:space="preserve">        </w:t>
      </w:r>
    </w:p>
    <w:p>
      <w:pPr>
        <w:pStyle w:val="39"/>
        <w:spacing w:line="360" w:lineRule="auto"/>
        <w:ind w:firstLine="480"/>
        <w:rPr>
          <w:rFonts w:hAnsi="宋体"/>
          <w:sz w:val="28"/>
          <w:szCs w:val="28"/>
        </w:rPr>
      </w:pPr>
      <w:r>
        <w:rPr>
          <w:rFonts w:hint="eastAsia" w:hAnsi="宋体"/>
          <w:sz w:val="28"/>
          <w:szCs w:val="28"/>
        </w:rPr>
        <w:t>采购人（甲方）：XXX</w:t>
      </w:r>
      <w:r>
        <w:rPr>
          <w:rFonts w:hAnsi="宋体"/>
          <w:sz w:val="28"/>
          <w:szCs w:val="28"/>
        </w:rPr>
        <w:t xml:space="preserve">                           </w:t>
      </w:r>
      <w:r>
        <w:rPr>
          <w:rFonts w:hint="eastAsia" w:hAnsi="宋体"/>
          <w:sz w:val="28"/>
          <w:szCs w:val="28"/>
        </w:rPr>
        <w:t xml:space="preserve">  </w:t>
      </w:r>
      <w:r>
        <w:rPr>
          <w:rFonts w:hAnsi="宋体"/>
          <w:sz w:val="28"/>
          <w:szCs w:val="28"/>
        </w:rPr>
        <w:t xml:space="preserve">     </w:t>
      </w:r>
      <w:r>
        <w:rPr>
          <w:rFonts w:hint="eastAsia" w:hAnsi="宋体"/>
          <w:sz w:val="28"/>
          <w:szCs w:val="28"/>
        </w:rPr>
        <w:t xml:space="preserve">        </w:t>
      </w:r>
    </w:p>
    <w:p>
      <w:pPr>
        <w:pStyle w:val="39"/>
        <w:spacing w:line="360" w:lineRule="auto"/>
        <w:ind w:firstLine="480"/>
        <w:rPr>
          <w:rFonts w:hAnsi="宋体"/>
          <w:sz w:val="28"/>
          <w:szCs w:val="28"/>
        </w:rPr>
      </w:pPr>
      <w:r>
        <w:rPr>
          <w:rFonts w:hint="eastAsia" w:hAnsi="宋体"/>
          <w:sz w:val="28"/>
          <w:szCs w:val="28"/>
        </w:rPr>
        <w:t>投标人（乙方）：XXX</w:t>
      </w:r>
      <w:r>
        <w:rPr>
          <w:rFonts w:hAnsi="宋体"/>
          <w:sz w:val="28"/>
          <w:szCs w:val="28"/>
        </w:rPr>
        <w:t xml:space="preserve">    </w:t>
      </w:r>
      <w:r>
        <w:rPr>
          <w:rFonts w:hint="eastAsia" w:hAnsi="宋体"/>
          <w:sz w:val="28"/>
          <w:szCs w:val="28"/>
        </w:rPr>
        <w:t xml:space="preserve">                                    </w:t>
      </w:r>
      <w:r>
        <w:rPr>
          <w:rFonts w:hAnsi="宋体"/>
          <w:sz w:val="28"/>
          <w:szCs w:val="28"/>
        </w:rPr>
        <w:t xml:space="preserve">  </w:t>
      </w:r>
    </w:p>
    <w:p>
      <w:pPr>
        <w:spacing w:line="360" w:lineRule="auto"/>
        <w:rPr>
          <w:rFonts w:hAnsi="宋体"/>
          <w:sz w:val="28"/>
          <w:szCs w:val="28"/>
        </w:rPr>
      </w:pPr>
    </w:p>
    <w:p>
      <w:pPr>
        <w:pStyle w:val="39"/>
        <w:spacing w:line="360" w:lineRule="auto"/>
        <w:ind w:firstLine="480"/>
        <w:rPr>
          <w:sz w:val="28"/>
          <w:szCs w:val="28"/>
        </w:rPr>
      </w:pPr>
      <w:r>
        <w:rPr>
          <w:rFonts w:hint="eastAsia" w:hAnsi="宋体"/>
          <w:sz w:val="28"/>
          <w:szCs w:val="28"/>
        </w:rPr>
        <w:t>根据《中华人民共和国政府采购法》、《中华人民共和国民法典》及XXX采购项目（项目编号：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28"/>
        </w:numPr>
        <w:spacing w:line="360" w:lineRule="auto"/>
        <w:rPr>
          <w:rFonts w:ascii="黑体" w:hAnsi="宋体"/>
          <w:b/>
          <w:sz w:val="28"/>
          <w:szCs w:val="28"/>
        </w:rPr>
      </w:pPr>
      <w:r>
        <w:rPr>
          <w:rFonts w:hint="eastAsia" w:ascii="黑体" w:hAnsi="宋体"/>
          <w:b/>
          <w:sz w:val="28"/>
          <w:szCs w:val="28"/>
        </w:rPr>
        <w:t>合同货物</w:t>
      </w:r>
    </w:p>
    <w:tbl>
      <w:tblPr>
        <w:tblStyle w:val="24"/>
        <w:tblW w:w="84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5"/>
        <w:gridCol w:w="1365"/>
        <w:gridCol w:w="540"/>
        <w:gridCol w:w="757"/>
        <w:gridCol w:w="1141"/>
        <w:gridCol w:w="115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005" w:type="dxa"/>
            <w:vMerge w:val="restart"/>
            <w:tcBorders>
              <w:top w:val="single" w:color="auto" w:sz="4" w:space="0"/>
              <w:left w:val="single" w:color="auto" w:sz="4" w:space="0"/>
              <w:right w:val="single" w:color="auto" w:sz="4" w:space="0"/>
            </w:tcBorders>
            <w:vAlign w:val="center"/>
          </w:tcPr>
          <w:p>
            <w:pPr>
              <w:spacing w:line="360" w:lineRule="auto"/>
              <w:jc w:val="center"/>
              <w:rPr>
                <w:sz w:val="28"/>
                <w:szCs w:val="28"/>
              </w:rPr>
            </w:pPr>
            <w:r>
              <w:rPr>
                <w:rFonts w:hint="eastAsia" w:hAnsi="宋体" w:cs="宋体"/>
                <w:sz w:val="28"/>
                <w:szCs w:val="28"/>
              </w:rPr>
              <w:t>设备名称</w:t>
            </w:r>
          </w:p>
        </w:tc>
        <w:tc>
          <w:tcPr>
            <w:tcW w:w="1365" w:type="dxa"/>
            <w:vMerge w:val="restart"/>
            <w:tcBorders>
              <w:top w:val="single" w:color="auto" w:sz="4" w:space="0"/>
              <w:left w:val="single" w:color="auto" w:sz="4" w:space="0"/>
              <w:right w:val="single" w:color="auto" w:sz="4" w:space="0"/>
            </w:tcBorders>
            <w:vAlign w:val="center"/>
          </w:tcPr>
          <w:p>
            <w:pPr>
              <w:spacing w:line="360" w:lineRule="auto"/>
              <w:jc w:val="center"/>
              <w:rPr>
                <w:sz w:val="28"/>
                <w:szCs w:val="28"/>
              </w:rPr>
            </w:pPr>
            <w:r>
              <w:rPr>
                <w:rFonts w:hint="eastAsia" w:hAnsi="宋体" w:cs="宋体"/>
                <w:sz w:val="28"/>
                <w:szCs w:val="28"/>
              </w:rPr>
              <w:t>规格型号</w:t>
            </w:r>
          </w:p>
        </w:tc>
        <w:tc>
          <w:tcPr>
            <w:tcW w:w="540" w:type="dxa"/>
            <w:vMerge w:val="restart"/>
            <w:tcBorders>
              <w:top w:val="single" w:color="auto" w:sz="4" w:space="0"/>
              <w:left w:val="single" w:color="auto" w:sz="4" w:space="0"/>
              <w:right w:val="single" w:color="auto" w:sz="4" w:space="0"/>
            </w:tcBorders>
            <w:vAlign w:val="center"/>
          </w:tcPr>
          <w:p>
            <w:pPr>
              <w:spacing w:line="360" w:lineRule="auto"/>
              <w:jc w:val="center"/>
              <w:rPr>
                <w:sz w:val="28"/>
                <w:szCs w:val="28"/>
              </w:rPr>
            </w:pPr>
            <w:r>
              <w:rPr>
                <w:rFonts w:hint="eastAsia" w:hAnsi="宋体" w:cs="Arial"/>
                <w:sz w:val="28"/>
                <w:szCs w:val="28"/>
              </w:rPr>
              <w:t>单位</w:t>
            </w:r>
          </w:p>
        </w:tc>
        <w:tc>
          <w:tcPr>
            <w:tcW w:w="757" w:type="dxa"/>
            <w:vMerge w:val="restart"/>
            <w:tcBorders>
              <w:top w:val="single" w:color="auto" w:sz="4" w:space="0"/>
              <w:left w:val="single" w:color="auto" w:sz="4" w:space="0"/>
              <w:right w:val="single" w:color="auto" w:sz="4" w:space="0"/>
            </w:tcBorders>
            <w:vAlign w:val="center"/>
          </w:tcPr>
          <w:p>
            <w:pPr>
              <w:spacing w:line="360" w:lineRule="auto"/>
              <w:jc w:val="center"/>
              <w:rPr>
                <w:rFonts w:cs="Arial"/>
                <w:sz w:val="28"/>
                <w:szCs w:val="28"/>
              </w:rPr>
            </w:pPr>
            <w:r>
              <w:rPr>
                <w:rFonts w:hint="eastAsia" w:hAnsi="宋体" w:cs="Arial"/>
                <w:sz w:val="28"/>
                <w:szCs w:val="28"/>
              </w:rPr>
              <w:t>数量</w:t>
            </w:r>
          </w:p>
        </w:tc>
        <w:tc>
          <w:tcPr>
            <w:tcW w:w="1141" w:type="dxa"/>
            <w:vMerge w:val="restart"/>
            <w:tcBorders>
              <w:top w:val="single" w:color="auto" w:sz="4" w:space="0"/>
              <w:left w:val="single" w:color="auto" w:sz="4" w:space="0"/>
              <w:right w:val="single" w:color="auto" w:sz="4" w:space="0"/>
            </w:tcBorders>
            <w:vAlign w:val="center"/>
          </w:tcPr>
          <w:p>
            <w:pPr>
              <w:spacing w:line="360" w:lineRule="auto"/>
              <w:ind w:firstLine="140" w:firstLineChars="50"/>
              <w:jc w:val="center"/>
              <w:rPr>
                <w:rFonts w:cs="Arial"/>
                <w:sz w:val="28"/>
                <w:szCs w:val="28"/>
              </w:rPr>
            </w:pPr>
            <w:r>
              <w:rPr>
                <w:rFonts w:hint="eastAsia" w:hAnsi="宋体" w:cs="Arial"/>
                <w:sz w:val="28"/>
                <w:szCs w:val="28"/>
              </w:rPr>
              <w:t>单价</w:t>
            </w:r>
          </w:p>
          <w:p>
            <w:pPr>
              <w:spacing w:line="360" w:lineRule="auto"/>
              <w:jc w:val="center"/>
              <w:rPr>
                <w:rFonts w:cs="Arial"/>
                <w:sz w:val="28"/>
                <w:szCs w:val="28"/>
              </w:rPr>
            </w:pPr>
            <w:r>
              <w:rPr>
                <w:rFonts w:hint="eastAsia" w:hAnsi="宋体" w:cs="Arial"/>
                <w:sz w:val="28"/>
                <w:szCs w:val="28"/>
              </w:rPr>
              <w:t>（万元）</w:t>
            </w:r>
          </w:p>
        </w:tc>
        <w:tc>
          <w:tcPr>
            <w:tcW w:w="1155" w:type="dxa"/>
            <w:vMerge w:val="restart"/>
            <w:tcBorders>
              <w:top w:val="single" w:color="auto" w:sz="4" w:space="0"/>
              <w:left w:val="single" w:color="auto" w:sz="4" w:space="0"/>
              <w:right w:val="single" w:color="auto" w:sz="4" w:space="0"/>
            </w:tcBorders>
            <w:vAlign w:val="center"/>
          </w:tcPr>
          <w:p>
            <w:pPr>
              <w:spacing w:line="360" w:lineRule="auto"/>
              <w:ind w:leftChars="-1" w:right="-88" w:rightChars="-42" w:hanging="2" w:hangingChars="1"/>
              <w:jc w:val="center"/>
              <w:rPr>
                <w:rFonts w:cs="Arial"/>
                <w:sz w:val="28"/>
                <w:szCs w:val="28"/>
              </w:rPr>
            </w:pPr>
            <w:r>
              <w:rPr>
                <w:rFonts w:hint="eastAsia" w:hAnsi="宋体" w:cs="Arial"/>
                <w:sz w:val="28"/>
                <w:szCs w:val="28"/>
              </w:rPr>
              <w:t>总价</w:t>
            </w:r>
          </w:p>
          <w:p>
            <w:pPr>
              <w:spacing w:line="360" w:lineRule="auto"/>
              <w:ind w:leftChars="-1" w:right="-88" w:rightChars="-42" w:hanging="2" w:hangingChars="1"/>
              <w:jc w:val="center"/>
              <w:rPr>
                <w:sz w:val="28"/>
                <w:szCs w:val="28"/>
              </w:rPr>
            </w:pPr>
            <w:r>
              <w:rPr>
                <w:rFonts w:hint="eastAsia" w:hAnsi="宋体" w:cs="Arial"/>
                <w:sz w:val="28"/>
                <w:szCs w:val="28"/>
              </w:rPr>
              <w:t>（万元）</w:t>
            </w:r>
          </w:p>
        </w:tc>
        <w:tc>
          <w:tcPr>
            <w:tcW w:w="1485" w:type="dxa"/>
            <w:vMerge w:val="restart"/>
            <w:tcBorders>
              <w:top w:val="single" w:color="auto" w:sz="4" w:space="0"/>
              <w:left w:val="single" w:color="auto" w:sz="4" w:space="0"/>
              <w:right w:val="single" w:color="auto" w:sz="4" w:space="0"/>
            </w:tcBorders>
            <w:vAlign w:val="center"/>
          </w:tcPr>
          <w:p>
            <w:pPr>
              <w:spacing w:line="360" w:lineRule="auto"/>
              <w:ind w:left="15" w:leftChars="-22" w:hanging="61" w:hangingChars="22"/>
              <w:jc w:val="center"/>
              <w:rPr>
                <w:sz w:val="28"/>
                <w:szCs w:val="28"/>
              </w:rPr>
            </w:pPr>
            <w:r>
              <w:rPr>
                <w:rFonts w:hint="eastAsia" w:hAnsi="宋体" w:cs="Arial"/>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005" w:type="dxa"/>
            <w:vMerge w:val="continue"/>
            <w:tcBorders>
              <w:left w:val="single" w:color="auto" w:sz="4" w:space="0"/>
              <w:bottom w:val="single" w:color="auto" w:sz="4" w:space="0"/>
              <w:right w:val="single" w:color="auto" w:sz="4" w:space="0"/>
            </w:tcBorders>
            <w:vAlign w:val="center"/>
          </w:tcPr>
          <w:p>
            <w:pPr>
              <w:spacing w:line="360" w:lineRule="auto"/>
              <w:jc w:val="center"/>
              <w:rPr>
                <w:rFonts w:cs="Arial"/>
                <w:sz w:val="28"/>
                <w:szCs w:val="28"/>
              </w:rPr>
            </w:pPr>
          </w:p>
        </w:tc>
        <w:tc>
          <w:tcPr>
            <w:tcW w:w="1365" w:type="dxa"/>
            <w:vMerge w:val="continue"/>
            <w:tcBorders>
              <w:left w:val="single" w:color="auto" w:sz="4" w:space="0"/>
              <w:bottom w:val="single" w:color="auto" w:sz="4" w:space="0"/>
              <w:right w:val="single" w:color="auto" w:sz="4" w:space="0"/>
            </w:tcBorders>
            <w:vAlign w:val="center"/>
          </w:tcPr>
          <w:p>
            <w:pPr>
              <w:spacing w:line="360" w:lineRule="auto"/>
              <w:rPr>
                <w:rFonts w:cs="Arial"/>
                <w:sz w:val="28"/>
                <w:szCs w:val="28"/>
              </w:rPr>
            </w:pPr>
          </w:p>
        </w:tc>
        <w:tc>
          <w:tcPr>
            <w:tcW w:w="540" w:type="dxa"/>
            <w:vMerge w:val="continue"/>
            <w:tcBorders>
              <w:left w:val="single" w:color="auto" w:sz="4" w:space="0"/>
              <w:bottom w:val="single" w:color="auto" w:sz="4" w:space="0"/>
              <w:right w:val="single" w:color="auto" w:sz="4" w:space="0"/>
            </w:tcBorders>
            <w:vAlign w:val="center"/>
          </w:tcPr>
          <w:p>
            <w:pPr>
              <w:spacing w:line="360" w:lineRule="auto"/>
              <w:ind w:firstLine="140" w:firstLineChars="50"/>
              <w:jc w:val="center"/>
              <w:rPr>
                <w:rFonts w:cs="Arial"/>
                <w:sz w:val="28"/>
                <w:szCs w:val="28"/>
              </w:rPr>
            </w:pPr>
          </w:p>
        </w:tc>
        <w:tc>
          <w:tcPr>
            <w:tcW w:w="757" w:type="dxa"/>
            <w:vMerge w:val="continue"/>
            <w:tcBorders>
              <w:left w:val="single" w:color="auto" w:sz="4" w:space="0"/>
              <w:bottom w:val="single" w:color="auto" w:sz="4" w:space="0"/>
              <w:right w:val="single" w:color="auto" w:sz="4" w:space="0"/>
            </w:tcBorders>
            <w:vAlign w:val="center"/>
          </w:tcPr>
          <w:p>
            <w:pPr>
              <w:spacing w:line="360" w:lineRule="auto"/>
              <w:ind w:firstLine="140" w:firstLineChars="50"/>
              <w:jc w:val="center"/>
              <w:rPr>
                <w:rFonts w:cs="Arial"/>
                <w:sz w:val="28"/>
                <w:szCs w:val="28"/>
              </w:rPr>
            </w:pPr>
          </w:p>
        </w:tc>
        <w:tc>
          <w:tcPr>
            <w:tcW w:w="1141" w:type="dxa"/>
            <w:vMerge w:val="continue"/>
            <w:tcBorders>
              <w:left w:val="single" w:color="auto" w:sz="4" w:space="0"/>
              <w:bottom w:val="single" w:color="auto" w:sz="4" w:space="0"/>
              <w:right w:val="single" w:color="auto" w:sz="4" w:space="0"/>
            </w:tcBorders>
            <w:vAlign w:val="center"/>
          </w:tcPr>
          <w:p>
            <w:pPr>
              <w:spacing w:line="360" w:lineRule="auto"/>
              <w:ind w:firstLine="280" w:firstLineChars="100"/>
              <w:rPr>
                <w:rFonts w:cs="Arial"/>
                <w:sz w:val="28"/>
                <w:szCs w:val="28"/>
              </w:rPr>
            </w:pPr>
          </w:p>
        </w:tc>
        <w:tc>
          <w:tcPr>
            <w:tcW w:w="1155" w:type="dxa"/>
            <w:vMerge w:val="continue"/>
            <w:tcBorders>
              <w:left w:val="single" w:color="auto" w:sz="4" w:space="0"/>
              <w:bottom w:val="single" w:color="auto" w:sz="4" w:space="0"/>
              <w:right w:val="single" w:color="auto" w:sz="4" w:space="0"/>
            </w:tcBorders>
            <w:vAlign w:val="center"/>
          </w:tcPr>
          <w:p>
            <w:pPr>
              <w:spacing w:line="360" w:lineRule="auto"/>
              <w:jc w:val="center"/>
              <w:rPr>
                <w:rFonts w:cs="Arial"/>
                <w:sz w:val="28"/>
                <w:szCs w:val="28"/>
              </w:rPr>
            </w:pPr>
          </w:p>
        </w:tc>
        <w:tc>
          <w:tcPr>
            <w:tcW w:w="1485" w:type="dxa"/>
            <w:vMerge w:val="continue"/>
            <w:tcBorders>
              <w:left w:val="single" w:color="auto" w:sz="4" w:space="0"/>
              <w:bottom w:val="single" w:color="auto" w:sz="4" w:space="0"/>
              <w:right w:val="single" w:color="auto" w:sz="4" w:space="0"/>
            </w:tcBorders>
            <w:vAlign w:val="center"/>
          </w:tcPr>
          <w:p>
            <w:pPr>
              <w:spacing w:line="360" w:lineRule="auto"/>
              <w:ind w:firstLine="140" w:firstLineChars="50"/>
              <w:rPr>
                <w:rFonts w:cs="Arial"/>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5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p>
        </w:tc>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8"/>
                <w:szCs w:val="28"/>
              </w:rPr>
            </w:pPr>
            <w:r>
              <w:rPr>
                <w:sz w:val="28"/>
                <w:szCs w:val="28"/>
              </w:rPr>
              <w:t> </w:t>
            </w:r>
          </w:p>
        </w:tc>
      </w:tr>
    </w:tbl>
    <w:p>
      <w:pPr>
        <w:spacing w:line="360" w:lineRule="auto"/>
        <w:rPr>
          <w:rFonts w:ascii="黑体" w:hAnsi="宋体"/>
          <w:b/>
          <w:sz w:val="28"/>
          <w:szCs w:val="28"/>
        </w:rPr>
      </w:pPr>
    </w:p>
    <w:p>
      <w:pPr>
        <w:spacing w:line="360" w:lineRule="auto"/>
        <w:rPr>
          <w:rFonts w:ascii="黑体" w:hAnsi="宋体"/>
          <w:b/>
          <w:sz w:val="28"/>
          <w:szCs w:val="28"/>
        </w:rPr>
      </w:pPr>
      <w:r>
        <w:rPr>
          <w:rFonts w:hint="eastAsia" w:ascii="黑体" w:hAnsi="宋体"/>
          <w:b/>
          <w:sz w:val="28"/>
          <w:szCs w:val="28"/>
        </w:rPr>
        <w:t>二、合同总价</w:t>
      </w:r>
    </w:p>
    <w:p>
      <w:pPr>
        <w:pStyle w:val="8"/>
        <w:spacing w:line="360" w:lineRule="auto"/>
        <w:ind w:firstLine="480"/>
        <w:rPr>
          <w:rFonts w:ascii="黑体" w:hAnsi="宋体"/>
          <w:b/>
          <w:sz w:val="28"/>
          <w:szCs w:val="28"/>
        </w:rPr>
      </w:pPr>
      <w:r>
        <w:rPr>
          <w:rFonts w:hint="eastAsia"/>
          <w:sz w:val="28"/>
          <w:szCs w:val="28"/>
        </w:rPr>
        <w:t>合同总价为人民币大写：XXX元，即</w:t>
      </w:r>
      <w:r>
        <w:rPr>
          <w:sz w:val="28"/>
          <w:szCs w:val="28"/>
        </w:rPr>
        <w:t>RMB</w:t>
      </w:r>
      <w:r>
        <w:rPr>
          <w:rFonts w:hint="eastAsia"/>
          <w:sz w:val="28"/>
          <w:szCs w:val="28"/>
        </w:rPr>
        <w:t>￥XXX元；该合同总价已包括货物材料、制造、包装、运输、检测、验收合格交付使用之前及保修期内保修服务与备用物件等所有其他有关各项的含税费用。本合同执行期间如合同货物发生变化，须甲乙双方协商确定。</w:t>
      </w:r>
    </w:p>
    <w:p>
      <w:pPr>
        <w:tabs>
          <w:tab w:val="left" w:pos="2145"/>
        </w:tabs>
        <w:spacing w:line="360" w:lineRule="auto"/>
        <w:rPr>
          <w:rFonts w:ascii="黑体" w:hAnsi="宋体"/>
          <w:b/>
          <w:sz w:val="28"/>
          <w:szCs w:val="28"/>
        </w:rPr>
      </w:pPr>
      <w:r>
        <w:rPr>
          <w:rFonts w:hint="eastAsia" w:ascii="黑体" w:hAnsi="宋体"/>
          <w:b/>
          <w:sz w:val="28"/>
          <w:szCs w:val="28"/>
        </w:rPr>
        <w:t>三、质量要求</w:t>
      </w:r>
      <w:r>
        <w:rPr>
          <w:rFonts w:ascii="黑体" w:hAnsi="宋体"/>
          <w:b/>
          <w:sz w:val="28"/>
          <w:szCs w:val="28"/>
        </w:rPr>
        <w:tab/>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.乙方须提供全新的货物，且权属清楚，不得侵害他人的知识产权。</w:t>
      </w:r>
    </w:p>
    <w:p>
      <w:pPr>
        <w:pStyle w:val="39"/>
        <w:spacing w:line="360" w:lineRule="auto"/>
        <w:ind w:firstLine="480"/>
        <w:rPr>
          <w:rFonts w:hAnsi="宋体"/>
          <w:sz w:val="28"/>
          <w:szCs w:val="28"/>
        </w:rPr>
      </w:pPr>
      <w:r>
        <w:rPr>
          <w:rFonts w:hint="eastAsia" w:hAnsi="宋体"/>
          <w:sz w:val="28"/>
          <w:szCs w:val="28"/>
        </w:rPr>
        <w:t>2.货物必须符合或优于国家（行业）XXX标准，以及本项目招标文件的质量要求和技术指标与出厂标准。</w:t>
      </w:r>
    </w:p>
    <w:p>
      <w:pPr>
        <w:pStyle w:val="39"/>
        <w:spacing w:line="360" w:lineRule="auto"/>
        <w:ind w:firstLine="480"/>
        <w:rPr>
          <w:rFonts w:hAnsi="宋体"/>
          <w:sz w:val="28"/>
          <w:szCs w:val="28"/>
        </w:rPr>
      </w:pPr>
      <w:r>
        <w:rPr>
          <w:rFonts w:hint="eastAsia" w:hAnsi="宋体"/>
          <w:sz w:val="28"/>
          <w:szCs w:val="28"/>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39"/>
        <w:spacing w:line="360" w:lineRule="auto"/>
        <w:ind w:firstLine="480"/>
        <w:rPr>
          <w:rFonts w:hAnsi="宋体"/>
          <w:sz w:val="28"/>
          <w:szCs w:val="28"/>
        </w:rPr>
      </w:pPr>
      <w:r>
        <w:rPr>
          <w:rFonts w:hint="eastAsia" w:hAnsi="宋体"/>
          <w:sz w:val="28"/>
          <w:szCs w:val="28"/>
        </w:rPr>
        <w:t>4.货物制造质量出现问题，乙方应负责三包（包修、包换、包退），费用由乙方负担，甲方有权到乙方生产场地检查货物质量和生产进度。</w:t>
      </w:r>
    </w:p>
    <w:p>
      <w:pPr>
        <w:pStyle w:val="39"/>
        <w:spacing w:line="360" w:lineRule="auto"/>
        <w:ind w:firstLine="480"/>
        <w:rPr>
          <w:rFonts w:ascii="黑体" w:hAnsi="宋体"/>
          <w:b/>
          <w:sz w:val="28"/>
          <w:szCs w:val="28"/>
        </w:rPr>
      </w:pPr>
      <w:r>
        <w:rPr>
          <w:rFonts w:hint="eastAsia" w:hAnsi="宋体"/>
          <w:sz w:val="28"/>
          <w:szCs w:val="28"/>
        </w:rPr>
        <w:t>5.货物到现场后由于甲方保管不当造成的质量问题，乙方亦应负责修理，但费用由甲方负担。</w:t>
      </w:r>
    </w:p>
    <w:p>
      <w:pPr>
        <w:spacing w:line="360" w:lineRule="auto"/>
        <w:ind w:firstLine="551" w:firstLineChars="196"/>
        <w:rPr>
          <w:rFonts w:ascii="黑体" w:hAnsi="宋体"/>
          <w:b/>
          <w:sz w:val="28"/>
          <w:szCs w:val="28"/>
        </w:rPr>
      </w:pPr>
      <w:r>
        <w:rPr>
          <w:rFonts w:hint="eastAsia" w:ascii="黑体" w:hAnsi="宋体"/>
          <w:b/>
          <w:sz w:val="28"/>
          <w:szCs w:val="28"/>
        </w:rPr>
        <w:t>四、交货及验收</w:t>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.乙方交货期限为合同签订生效后的XXX日内，在合同签订生效之日起（XXX）天内交货到甲方指定地点，随即在XXX日内全部完成验收合格交付</w:t>
      </w:r>
      <w:r>
        <w:rPr>
          <w:rFonts w:hAnsi="宋体"/>
          <w:sz w:val="28"/>
          <w:szCs w:val="28"/>
        </w:rPr>
        <w:t>(</w:t>
      </w:r>
      <w:r>
        <w:rPr>
          <w:rFonts w:hint="eastAsia" w:hAnsi="宋体"/>
          <w:sz w:val="28"/>
          <w:szCs w:val="28"/>
        </w:rPr>
        <w:t>如由于采购人的原因造成合同延迟签订或验收的，时间顺延</w:t>
      </w:r>
      <w:r>
        <w:rPr>
          <w:rFonts w:hAnsi="宋体"/>
          <w:sz w:val="28"/>
          <w:szCs w:val="28"/>
        </w:rPr>
        <w:t>)</w:t>
      </w:r>
      <w:r>
        <w:rPr>
          <w:rFonts w:hint="eastAsia" w:hAnsi="宋体"/>
          <w:sz w:val="28"/>
          <w:szCs w:val="28"/>
        </w:rPr>
        <w:t>。交货验收时须提供产品质检部门从同类产品中抽样检查合格的检测报告。</w:t>
      </w:r>
    </w:p>
    <w:p>
      <w:pPr>
        <w:pStyle w:val="39"/>
        <w:spacing w:line="360" w:lineRule="auto"/>
        <w:ind w:firstLine="480"/>
        <w:rPr>
          <w:rFonts w:hAnsi="宋体"/>
          <w:sz w:val="28"/>
          <w:szCs w:val="28"/>
        </w:rPr>
      </w:pPr>
      <w:r>
        <w:rPr>
          <w:rFonts w:hAnsi="宋体"/>
          <w:sz w:val="28"/>
          <w:szCs w:val="28"/>
        </w:rPr>
        <w:t>2</w:t>
      </w:r>
      <w:r>
        <w:rPr>
          <w:rFonts w:hint="eastAsia" w:hAnsi="宋体"/>
          <w:sz w:val="28"/>
          <w:szCs w:val="28"/>
        </w:rPr>
        <w:t>.验收由甲方组织，乙方配合进行：</w:t>
      </w:r>
    </w:p>
    <w:p>
      <w:pPr>
        <w:pStyle w:val="39"/>
        <w:spacing w:line="360" w:lineRule="auto"/>
        <w:ind w:firstLine="480"/>
        <w:rPr>
          <w:rFonts w:hAnsi="宋体"/>
          <w:sz w:val="28"/>
          <w:szCs w:val="28"/>
        </w:rPr>
      </w:pPr>
      <w:r>
        <w:rPr>
          <w:rFonts w:hAnsi="宋体"/>
          <w:sz w:val="28"/>
          <w:szCs w:val="28"/>
        </w:rPr>
        <w:t xml:space="preserve">(1)  </w:t>
      </w:r>
      <w:r>
        <w:rPr>
          <w:rFonts w:hint="eastAsia" w:hAnsi="宋体"/>
          <w:sz w:val="28"/>
          <w:szCs w:val="28"/>
        </w:rPr>
        <w:t>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pStyle w:val="39"/>
        <w:spacing w:line="360" w:lineRule="auto"/>
        <w:ind w:firstLine="480"/>
        <w:rPr>
          <w:rFonts w:hAnsi="宋体"/>
          <w:sz w:val="28"/>
          <w:szCs w:val="28"/>
        </w:rPr>
      </w:pPr>
      <w:r>
        <w:rPr>
          <w:rFonts w:hAnsi="宋体"/>
          <w:sz w:val="28"/>
          <w:szCs w:val="28"/>
        </w:rPr>
        <w:t>(</w:t>
      </w:r>
      <w:r>
        <w:rPr>
          <w:rFonts w:hint="eastAsia" w:hAnsi="宋体"/>
          <w:sz w:val="28"/>
          <w:szCs w:val="28"/>
        </w:rPr>
        <w:t>2</w:t>
      </w:r>
      <w:r>
        <w:rPr>
          <w:rFonts w:hAnsi="宋体"/>
          <w:sz w:val="28"/>
          <w:szCs w:val="28"/>
        </w:rPr>
        <w:t xml:space="preserve">) </w:t>
      </w:r>
      <w:r>
        <w:rPr>
          <w:rFonts w:hint="eastAsia" w:hAnsi="宋体"/>
          <w:sz w:val="28"/>
          <w:szCs w:val="28"/>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9"/>
        <w:spacing w:line="360" w:lineRule="auto"/>
        <w:ind w:firstLine="480"/>
        <w:rPr>
          <w:rFonts w:hAnsi="宋体"/>
          <w:sz w:val="28"/>
          <w:szCs w:val="28"/>
        </w:rPr>
      </w:pPr>
      <w:r>
        <w:rPr>
          <w:rFonts w:hint="eastAsia" w:hAnsi="宋体"/>
          <w:sz w:val="28"/>
          <w:szCs w:val="28"/>
        </w:rPr>
        <w:t>(4)如质量验收合格，双方签署质量验收报告。</w:t>
      </w:r>
    </w:p>
    <w:p>
      <w:pPr>
        <w:pStyle w:val="39"/>
        <w:spacing w:line="360" w:lineRule="auto"/>
        <w:ind w:firstLine="480"/>
        <w:rPr>
          <w:rFonts w:hAnsi="宋体"/>
          <w:sz w:val="28"/>
          <w:szCs w:val="28"/>
        </w:rPr>
      </w:pPr>
      <w:r>
        <w:rPr>
          <w:rFonts w:hint="eastAsia" w:hAnsi="宋体"/>
          <w:sz w:val="28"/>
          <w:szCs w:val="28"/>
        </w:rPr>
        <w:t>3.乙方应将所提供货物的装箱清单等资料交付给甲方；乙方不能完整交付货物及本款规定的单证和工具的，必须负责补齐，否则视为未按合同约定交货。</w:t>
      </w:r>
    </w:p>
    <w:p>
      <w:pPr>
        <w:pStyle w:val="39"/>
        <w:spacing w:line="360" w:lineRule="auto"/>
        <w:ind w:firstLine="480"/>
        <w:rPr>
          <w:rFonts w:hAnsi="宋体"/>
          <w:sz w:val="28"/>
          <w:szCs w:val="28"/>
        </w:rPr>
      </w:pPr>
      <w:r>
        <w:rPr>
          <w:rFonts w:hAnsi="宋体"/>
          <w:sz w:val="28"/>
          <w:szCs w:val="28"/>
        </w:rPr>
        <w:t>5</w:t>
      </w:r>
      <w:r>
        <w:rPr>
          <w:rFonts w:hint="eastAsia" w:hAnsi="宋体"/>
          <w:sz w:val="28"/>
          <w:szCs w:val="28"/>
        </w:rPr>
        <w:t>.如货物经乙方XXX次维修仍不能达到合同约定的质量标准，甲方有权退货，并视作乙方不能交付货物且须支付违约赔偿金给甲方，甲方还可依法追究乙方的违约责任。</w:t>
      </w:r>
    </w:p>
    <w:p>
      <w:pPr>
        <w:pStyle w:val="39"/>
        <w:spacing w:line="360" w:lineRule="auto"/>
        <w:ind w:firstLine="480"/>
        <w:rPr>
          <w:rFonts w:ascii="黑体" w:hAnsi="宋体"/>
          <w:b/>
          <w:sz w:val="28"/>
          <w:szCs w:val="28"/>
        </w:rPr>
      </w:pPr>
      <w:r>
        <w:rPr>
          <w:rFonts w:hint="eastAsia" w:hAnsi="宋体"/>
          <w:sz w:val="28"/>
          <w:szCs w:val="28"/>
        </w:rPr>
        <w:t>6.其他未尽事宜应严格按照</w:t>
      </w:r>
      <w:r>
        <w:rPr>
          <w:rFonts w:hint="eastAsia" w:hAnsi="宋体"/>
          <w:sz w:val="28"/>
          <w:szCs w:val="28"/>
          <w:lang w:eastAsia="zh-CN"/>
        </w:rPr>
        <w:t>《关于进一步加强政府采购需求和履约验收管理的指导意见》（财库[2016]205号）</w:t>
      </w:r>
      <w:r>
        <w:rPr>
          <w:rFonts w:hint="eastAsia" w:hAnsi="宋体"/>
          <w:sz w:val="28"/>
          <w:szCs w:val="28"/>
        </w:rPr>
        <w:t>的要求进行。</w:t>
      </w:r>
      <w:r>
        <w:rPr>
          <w:rFonts w:hAnsi="宋体"/>
          <w:sz w:val="28"/>
          <w:szCs w:val="28"/>
        </w:rPr>
        <w:t> </w:t>
      </w:r>
    </w:p>
    <w:p>
      <w:pPr>
        <w:spacing w:line="360" w:lineRule="auto"/>
        <w:ind w:firstLine="551" w:firstLineChars="196"/>
        <w:rPr>
          <w:rFonts w:ascii="黑体" w:hAnsi="宋体"/>
          <w:b/>
          <w:sz w:val="28"/>
          <w:szCs w:val="28"/>
        </w:rPr>
      </w:pPr>
      <w:r>
        <w:rPr>
          <w:rFonts w:hint="eastAsia" w:ascii="黑体" w:hAnsi="宋体"/>
          <w:b/>
          <w:sz w:val="28"/>
          <w:szCs w:val="28"/>
        </w:rPr>
        <w:t>五、付款方式</w:t>
      </w:r>
    </w:p>
    <w:p>
      <w:pPr>
        <w:pStyle w:val="9"/>
        <w:rPr>
          <w:rFonts w:hint="default"/>
          <w:lang w:val="en-US" w:eastAsia="zh-CN"/>
        </w:rPr>
      </w:pPr>
    </w:p>
    <w:p>
      <w:pPr>
        <w:pStyle w:val="9"/>
        <w:rPr>
          <w:rFonts w:hint="default"/>
          <w:lang w:val="en-US" w:eastAsia="zh-CN"/>
        </w:rPr>
      </w:pPr>
      <w:r>
        <w:rPr>
          <w:rFonts w:hint="eastAsia"/>
          <w:lang w:val="en-US" w:eastAsia="zh-CN"/>
        </w:rPr>
        <w:t xml:space="preserve">            ……</w:t>
      </w:r>
    </w:p>
    <w:p>
      <w:pPr>
        <w:pStyle w:val="39"/>
        <w:spacing w:line="360" w:lineRule="auto"/>
        <w:ind w:firstLine="482"/>
        <w:rPr>
          <w:rFonts w:ascii="黑体"/>
          <w:b/>
          <w:sz w:val="28"/>
          <w:szCs w:val="28"/>
        </w:rPr>
      </w:pPr>
      <w:r>
        <w:rPr>
          <w:rFonts w:hint="eastAsia" w:ascii="黑体"/>
          <w:b/>
          <w:sz w:val="28"/>
          <w:szCs w:val="28"/>
        </w:rPr>
        <w:t>六、售后服务</w:t>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.质保期为验收合格后</w:t>
      </w:r>
      <w:r>
        <w:rPr>
          <w:rFonts w:hint="eastAsia"/>
          <w:sz w:val="28"/>
          <w:szCs w:val="28"/>
        </w:rPr>
        <w:t>XX</w:t>
      </w:r>
      <w:r>
        <w:rPr>
          <w:rFonts w:hint="eastAsia" w:hAnsi="宋体"/>
          <w:sz w:val="28"/>
          <w:szCs w:val="28"/>
        </w:rPr>
        <w:t>年，质保期内出现质量问题，乙方在接到通知后XXX小时内响应到场，XXX小时内完成更换，并承担修理调换的费用；如货物经乙方XXX次维修仍不能达到本合同约定的质量标准，视作乙方未能按时交货，甲方有权退货并追究乙方的违约责任。</w:t>
      </w:r>
    </w:p>
    <w:p>
      <w:pPr>
        <w:pStyle w:val="39"/>
        <w:spacing w:line="360" w:lineRule="auto"/>
        <w:ind w:firstLine="480"/>
        <w:rPr>
          <w:rFonts w:ascii="黑体" w:hAnsi="宋体"/>
          <w:b/>
          <w:sz w:val="28"/>
          <w:szCs w:val="28"/>
        </w:rPr>
      </w:pPr>
      <w:r>
        <w:rPr>
          <w:rFonts w:hAnsi="宋体"/>
          <w:sz w:val="28"/>
          <w:szCs w:val="28"/>
        </w:rPr>
        <w:t>2</w:t>
      </w:r>
      <w:r>
        <w:rPr>
          <w:rFonts w:hint="eastAsia" w:hAnsi="宋体"/>
          <w:sz w:val="28"/>
          <w:szCs w:val="28"/>
        </w:rPr>
        <w:t>.乙方须指派专人负责与甲方联系售后服务事宜。</w:t>
      </w:r>
      <w:r>
        <w:rPr>
          <w:rFonts w:hAnsi="宋体"/>
          <w:sz w:val="28"/>
          <w:szCs w:val="28"/>
        </w:rPr>
        <w:t> </w:t>
      </w:r>
    </w:p>
    <w:p>
      <w:pPr>
        <w:spacing w:line="360" w:lineRule="auto"/>
        <w:ind w:firstLine="551" w:firstLineChars="196"/>
        <w:rPr>
          <w:rFonts w:ascii="黑体" w:hAnsi="宋体"/>
          <w:b/>
          <w:sz w:val="28"/>
          <w:szCs w:val="28"/>
        </w:rPr>
      </w:pPr>
      <w:r>
        <w:rPr>
          <w:rFonts w:hint="eastAsia" w:ascii="黑体" w:hAnsi="宋体"/>
          <w:b/>
          <w:sz w:val="28"/>
          <w:szCs w:val="28"/>
        </w:rPr>
        <w:t>七、违约责任</w:t>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.甲方违约责任</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1</w:t>
      </w:r>
      <w:r>
        <w:rPr>
          <w:rFonts w:hint="eastAsia" w:hAnsi="宋体"/>
          <w:sz w:val="28"/>
          <w:szCs w:val="28"/>
        </w:rPr>
        <w:t>）甲方无正当理由拒收货物的，甲方应偿付合同总价百分之XXX的违约金；</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2</w:t>
      </w:r>
      <w:r>
        <w:rPr>
          <w:rFonts w:hint="eastAsia" w:hAnsi="宋体"/>
          <w:sz w:val="28"/>
          <w:szCs w:val="28"/>
        </w:rPr>
        <w:t>）甲方逾期支付货款的，除应及时付足货款外，</w:t>
      </w:r>
      <w:r>
        <w:rPr>
          <w:rFonts w:hAnsi="宋体"/>
          <w:sz w:val="28"/>
          <w:szCs w:val="28"/>
        </w:rPr>
        <w:t>应向乙方偿付欠款总额万分之</w:t>
      </w:r>
      <w:r>
        <w:rPr>
          <w:rFonts w:hint="eastAsia" w:hAnsi="宋体"/>
          <w:sz w:val="28"/>
          <w:szCs w:val="28"/>
        </w:rPr>
        <w:t>XXX</w:t>
      </w:r>
      <w:r>
        <w:rPr>
          <w:rFonts w:hAnsi="宋体"/>
          <w:sz w:val="28"/>
          <w:szCs w:val="28"/>
        </w:rPr>
        <w:t>/天</w:t>
      </w:r>
      <w:r>
        <w:rPr>
          <w:rFonts w:hint="eastAsia" w:hAnsi="宋体"/>
          <w:sz w:val="28"/>
          <w:szCs w:val="28"/>
        </w:rPr>
        <w:t>的违约金；逾期付款超过XXX天的，乙方有权终止合同；</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3</w:t>
      </w:r>
      <w:r>
        <w:rPr>
          <w:rFonts w:hint="eastAsia" w:hAnsi="宋体"/>
          <w:sz w:val="28"/>
          <w:szCs w:val="28"/>
        </w:rPr>
        <w:t>）</w:t>
      </w:r>
      <w:r>
        <w:rPr>
          <w:rFonts w:hAnsi="宋体"/>
          <w:sz w:val="28"/>
          <w:szCs w:val="28"/>
        </w:rPr>
        <w:t xml:space="preserve"> </w:t>
      </w:r>
      <w:r>
        <w:rPr>
          <w:rFonts w:hint="eastAsia" w:hAnsi="宋体"/>
          <w:sz w:val="28"/>
          <w:szCs w:val="28"/>
        </w:rPr>
        <w:t>甲方偿付的违约金不足以弥补乙方损失的，还应按乙方损失尚未弥补的部分，支付赔偿金给乙方。</w:t>
      </w:r>
    </w:p>
    <w:p>
      <w:pPr>
        <w:pStyle w:val="39"/>
        <w:spacing w:line="360" w:lineRule="auto"/>
        <w:ind w:firstLine="480"/>
        <w:rPr>
          <w:rFonts w:hAnsi="宋体"/>
          <w:sz w:val="28"/>
          <w:szCs w:val="28"/>
        </w:rPr>
      </w:pPr>
      <w:r>
        <w:rPr>
          <w:rFonts w:hAnsi="宋体"/>
          <w:sz w:val="28"/>
          <w:szCs w:val="28"/>
        </w:rPr>
        <w:t>2</w:t>
      </w:r>
      <w:r>
        <w:rPr>
          <w:rFonts w:hint="eastAsia" w:hAnsi="宋体"/>
          <w:sz w:val="28"/>
          <w:szCs w:val="28"/>
        </w:rPr>
        <w:t>.乙方违约责任</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1</w:t>
      </w:r>
      <w:r>
        <w:rPr>
          <w:rFonts w:hint="eastAsia" w:hAnsi="宋体"/>
          <w:sz w:val="28"/>
          <w:szCs w:val="28"/>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2</w:t>
      </w:r>
      <w:r>
        <w:rPr>
          <w:rFonts w:hint="eastAsia" w:hAnsi="宋体"/>
          <w:sz w:val="28"/>
          <w:szCs w:val="28"/>
        </w:rPr>
        <w:t>）乙方不能交付货物或逾期交付货物而违约的，除应及时交足货物外，</w:t>
      </w:r>
      <w:r>
        <w:rPr>
          <w:rFonts w:hAnsi="宋体"/>
          <w:sz w:val="28"/>
          <w:szCs w:val="28"/>
        </w:rPr>
        <w:t>应向甲方偿付逾期交货部分货款总额的万分之</w:t>
      </w:r>
      <w:r>
        <w:rPr>
          <w:rFonts w:hint="eastAsia" w:hAnsi="宋体"/>
          <w:sz w:val="28"/>
          <w:szCs w:val="28"/>
        </w:rPr>
        <w:t>XXX</w:t>
      </w:r>
      <w:r>
        <w:rPr>
          <w:rFonts w:hAnsi="宋体"/>
          <w:sz w:val="28"/>
          <w:szCs w:val="28"/>
        </w:rPr>
        <w:t>/天</w:t>
      </w:r>
      <w:r>
        <w:rPr>
          <w:rFonts w:hint="eastAsia" w:hAnsi="宋体"/>
          <w:sz w:val="28"/>
          <w:szCs w:val="28"/>
        </w:rPr>
        <w:t>的违约金；逾期交货超过</w:t>
      </w:r>
      <w:r>
        <w:rPr>
          <w:rFonts w:hint="eastAsia"/>
          <w:sz w:val="28"/>
          <w:szCs w:val="28"/>
        </w:rPr>
        <w:t>XX</w:t>
      </w:r>
      <w:r>
        <w:rPr>
          <w:rFonts w:hint="eastAsia" w:hAnsi="宋体"/>
          <w:sz w:val="28"/>
          <w:szCs w:val="28"/>
        </w:rPr>
        <w:t>天，甲方有权终止合同，乙方则应按合同总价的百分之XXX的款额向甲方偿付赔偿金，并须全额退还甲方已经付给乙方的货款及其利息。</w:t>
      </w:r>
    </w:p>
    <w:p>
      <w:pPr>
        <w:pStyle w:val="39"/>
        <w:spacing w:line="360" w:lineRule="auto"/>
        <w:ind w:firstLine="480"/>
        <w:rPr>
          <w:rFonts w:hAnsi="宋体"/>
          <w:sz w:val="28"/>
          <w:szCs w:val="28"/>
        </w:rPr>
      </w:pPr>
      <w:r>
        <w:rPr>
          <w:rFonts w:hint="eastAsia" w:hAnsi="宋体"/>
          <w:sz w:val="28"/>
          <w:szCs w:val="28"/>
        </w:rPr>
        <w:t>（</w:t>
      </w:r>
      <w:r>
        <w:rPr>
          <w:rFonts w:hAnsi="宋体"/>
          <w:sz w:val="28"/>
          <w:szCs w:val="28"/>
        </w:rPr>
        <w:t>3</w:t>
      </w:r>
      <w:r>
        <w:rPr>
          <w:rFonts w:hint="eastAsia" w:hAnsi="宋体"/>
          <w:sz w:val="28"/>
          <w:szCs w:val="28"/>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39"/>
        <w:spacing w:line="360" w:lineRule="auto"/>
        <w:ind w:firstLine="480"/>
        <w:rPr>
          <w:rFonts w:hAnsi="宋体"/>
          <w:sz w:val="28"/>
          <w:szCs w:val="28"/>
        </w:rPr>
      </w:pPr>
      <w:r>
        <w:rPr>
          <w:rFonts w:hint="eastAsia" w:hAnsi="宋体"/>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39"/>
        <w:spacing w:line="360" w:lineRule="auto"/>
        <w:ind w:firstLine="480"/>
        <w:rPr>
          <w:rFonts w:hAnsi="宋体"/>
          <w:b/>
          <w:sz w:val="28"/>
          <w:szCs w:val="28"/>
        </w:rPr>
      </w:pPr>
      <w:r>
        <w:rPr>
          <w:rFonts w:hint="eastAsia" w:hAnsi="宋体"/>
          <w:sz w:val="28"/>
          <w:szCs w:val="28"/>
        </w:rPr>
        <w:t>（</w:t>
      </w:r>
      <w:r>
        <w:rPr>
          <w:rFonts w:hAnsi="宋体"/>
          <w:sz w:val="28"/>
          <w:szCs w:val="28"/>
        </w:rPr>
        <w:t>5</w:t>
      </w:r>
      <w:r>
        <w:rPr>
          <w:rFonts w:hint="eastAsia" w:hAnsi="宋体"/>
          <w:sz w:val="28"/>
          <w:szCs w:val="28"/>
        </w:rPr>
        <w:t>）乙方偿付的违约金不足以弥补甲方损失的，还应按甲方损失尚未弥补的部分，支付赔偿金给甲方。</w:t>
      </w:r>
    </w:p>
    <w:p>
      <w:pPr>
        <w:spacing w:line="360" w:lineRule="auto"/>
        <w:ind w:firstLine="559" w:firstLineChars="199"/>
        <w:rPr>
          <w:rFonts w:hAnsi="宋体"/>
          <w:b/>
          <w:sz w:val="28"/>
          <w:szCs w:val="28"/>
        </w:rPr>
      </w:pPr>
      <w:r>
        <w:rPr>
          <w:rFonts w:hint="eastAsia" w:hAnsi="宋体"/>
          <w:b/>
          <w:sz w:val="28"/>
          <w:szCs w:val="28"/>
        </w:rPr>
        <w:t>八、争议解决办法</w:t>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.因货物的质量问题发生争议，由质量技术监督部门或其指定的质量鉴定机构进行质量鉴定。货物符合标准的，鉴定费由甲方承担；货物不符合质量标准的，鉴定费由乙方承担。</w:t>
      </w:r>
    </w:p>
    <w:p>
      <w:pPr>
        <w:pStyle w:val="39"/>
        <w:spacing w:line="360" w:lineRule="auto"/>
        <w:ind w:firstLine="480"/>
        <w:rPr>
          <w:rFonts w:hAnsi="宋体"/>
          <w:b/>
          <w:sz w:val="28"/>
          <w:szCs w:val="28"/>
        </w:rPr>
      </w:pPr>
      <w:r>
        <w:rPr>
          <w:rFonts w:hAnsi="宋体"/>
          <w:sz w:val="28"/>
          <w:szCs w:val="28"/>
        </w:rPr>
        <w:t>2</w:t>
      </w:r>
      <w:r>
        <w:rPr>
          <w:rFonts w:hint="eastAsia" w:hAnsi="宋体"/>
          <w:sz w:val="28"/>
          <w:szCs w:val="28"/>
        </w:rPr>
        <w:t>.合同履行期间</w:t>
      </w:r>
      <w:r>
        <w:rPr>
          <w:rFonts w:hAnsi="宋体"/>
          <w:sz w:val="28"/>
          <w:szCs w:val="28"/>
        </w:rPr>
        <w:t>,</w:t>
      </w:r>
      <w:r>
        <w:rPr>
          <w:rFonts w:hint="eastAsia" w:hAnsi="宋体"/>
          <w:sz w:val="28"/>
          <w:szCs w:val="28"/>
        </w:rPr>
        <w:t>若双方发生争议，可协商或由有关部门调解解决，协商或调解不成的，由当事人依法维护其合法权益。</w:t>
      </w:r>
    </w:p>
    <w:p>
      <w:pPr>
        <w:spacing w:line="360" w:lineRule="auto"/>
        <w:ind w:firstLine="360" w:firstLineChars="128"/>
        <w:rPr>
          <w:rFonts w:ascii="黑体" w:hAnsi="宋体"/>
          <w:b/>
          <w:sz w:val="28"/>
          <w:szCs w:val="28"/>
        </w:rPr>
      </w:pPr>
      <w:r>
        <w:rPr>
          <w:rFonts w:hint="eastAsia" w:ascii="黑体" w:hAnsi="宋体"/>
          <w:b/>
          <w:sz w:val="28"/>
          <w:szCs w:val="28"/>
        </w:rPr>
        <w:t>九、其他</w:t>
      </w:r>
    </w:p>
    <w:p>
      <w:pPr>
        <w:pStyle w:val="39"/>
        <w:spacing w:line="360" w:lineRule="auto"/>
        <w:ind w:firstLine="480"/>
        <w:rPr>
          <w:rFonts w:hAnsi="宋体"/>
          <w:sz w:val="28"/>
          <w:szCs w:val="28"/>
        </w:rPr>
      </w:pPr>
      <w:r>
        <w:rPr>
          <w:rFonts w:hAnsi="宋体"/>
          <w:sz w:val="28"/>
          <w:szCs w:val="28"/>
        </w:rPr>
        <w:t>1</w:t>
      </w:r>
      <w:r>
        <w:rPr>
          <w:rFonts w:hint="eastAsia" w:hAnsi="宋体"/>
          <w:sz w:val="28"/>
          <w:szCs w:val="28"/>
        </w:rPr>
        <w:t>.如有未尽事宜，由双方依法订立补充合同。</w:t>
      </w:r>
    </w:p>
    <w:p>
      <w:pPr>
        <w:pStyle w:val="39"/>
        <w:spacing w:line="360" w:lineRule="auto"/>
        <w:ind w:firstLine="480"/>
        <w:rPr>
          <w:rFonts w:hAnsi="宋体"/>
          <w:sz w:val="28"/>
          <w:szCs w:val="28"/>
        </w:rPr>
      </w:pPr>
      <w:r>
        <w:rPr>
          <w:rFonts w:hAnsi="宋体"/>
          <w:sz w:val="28"/>
          <w:szCs w:val="28"/>
        </w:rPr>
        <w:t>2</w:t>
      </w:r>
      <w:r>
        <w:rPr>
          <w:rFonts w:hint="eastAsia" w:hAnsi="宋体"/>
          <w:sz w:val="28"/>
          <w:szCs w:val="28"/>
        </w:rPr>
        <w:t>.本合同双方应加盖骑缝章。</w:t>
      </w:r>
    </w:p>
    <w:p>
      <w:pPr>
        <w:pStyle w:val="39"/>
        <w:spacing w:line="360" w:lineRule="auto"/>
        <w:ind w:firstLine="480"/>
        <w:rPr>
          <w:sz w:val="28"/>
          <w:szCs w:val="28"/>
        </w:rPr>
      </w:pPr>
      <w:r>
        <w:rPr>
          <w:rFonts w:hint="eastAsia" w:hAnsi="宋体"/>
          <w:sz w:val="28"/>
          <w:szCs w:val="28"/>
        </w:rPr>
        <w:t>3.本合同一式四份，自双方签章并经代理机构审核编号后生效。甲方、乙方各</w:t>
      </w:r>
      <w:r>
        <w:rPr>
          <w:rFonts w:hint="eastAsia" w:hAnsi="宋体"/>
          <w:sz w:val="28"/>
          <w:szCs w:val="28"/>
          <w:lang w:eastAsia="zh-CN"/>
        </w:rPr>
        <w:t>贰</w:t>
      </w:r>
      <w:r>
        <w:rPr>
          <w:rFonts w:hint="eastAsia" w:hAnsi="宋体"/>
          <w:sz w:val="28"/>
          <w:szCs w:val="28"/>
        </w:rPr>
        <w:t>份。</w:t>
      </w:r>
    </w:p>
    <w:p>
      <w:pPr>
        <w:pStyle w:val="37"/>
        <w:spacing w:line="360" w:lineRule="auto"/>
        <w:ind w:firstLine="480"/>
        <w:rPr>
          <w:sz w:val="28"/>
          <w:szCs w:val="28"/>
        </w:rPr>
      </w:pPr>
    </w:p>
    <w:p>
      <w:pPr>
        <w:spacing w:line="360" w:lineRule="auto"/>
        <w:ind w:firstLine="560" w:firstLineChars="200"/>
        <w:rPr>
          <w:sz w:val="28"/>
          <w:szCs w:val="28"/>
        </w:rPr>
      </w:pPr>
      <w:r>
        <w:rPr>
          <w:rFonts w:hint="eastAsia" w:hAnsi="宋体"/>
          <w:sz w:val="28"/>
          <w:szCs w:val="28"/>
        </w:rPr>
        <w:t>甲方：</w:t>
      </w:r>
      <w:r>
        <w:rPr>
          <w:rFonts w:hAnsi="宋体"/>
          <w:sz w:val="28"/>
          <w:szCs w:val="28"/>
        </w:rPr>
        <w:t xml:space="preserve">   </w:t>
      </w:r>
      <w:r>
        <w:rPr>
          <w:rFonts w:hint="eastAsia" w:hAnsi="宋体"/>
          <w:sz w:val="28"/>
          <w:szCs w:val="28"/>
        </w:rPr>
        <w:t>（盖单位公章）</w:t>
      </w:r>
      <w:r>
        <w:rPr>
          <w:rFonts w:hAnsi="宋体"/>
          <w:sz w:val="28"/>
          <w:szCs w:val="28"/>
        </w:rPr>
        <w:t xml:space="preserve">   </w:t>
      </w:r>
      <w:r>
        <w:rPr>
          <w:rFonts w:hAnsi="宋体"/>
          <w:sz w:val="28"/>
          <w:szCs w:val="28"/>
        </w:rPr>
        <w:tab/>
      </w:r>
      <w:r>
        <w:rPr>
          <w:rFonts w:hAnsi="宋体"/>
          <w:sz w:val="28"/>
          <w:szCs w:val="28"/>
        </w:rPr>
        <w:tab/>
      </w:r>
      <w:r>
        <w:rPr>
          <w:rFonts w:hAnsi="宋体"/>
          <w:sz w:val="28"/>
          <w:szCs w:val="28"/>
        </w:rPr>
        <w:t xml:space="preserve"> </w:t>
      </w:r>
      <w:r>
        <w:rPr>
          <w:rFonts w:hint="eastAsia" w:hAnsi="宋体"/>
          <w:sz w:val="28"/>
          <w:szCs w:val="28"/>
        </w:rPr>
        <w:t>乙方：</w:t>
      </w:r>
      <w:r>
        <w:rPr>
          <w:rFonts w:hAnsi="宋体"/>
          <w:sz w:val="28"/>
          <w:szCs w:val="28"/>
        </w:rPr>
        <w:t xml:space="preserve">  </w:t>
      </w:r>
      <w:r>
        <w:rPr>
          <w:rFonts w:hint="eastAsia" w:hAnsi="宋体"/>
          <w:sz w:val="28"/>
          <w:szCs w:val="28"/>
        </w:rPr>
        <w:t>（盖单位公章）</w:t>
      </w:r>
    </w:p>
    <w:p>
      <w:pPr>
        <w:spacing w:line="360" w:lineRule="auto"/>
        <w:ind w:firstLine="560" w:firstLineChars="200"/>
        <w:rPr>
          <w:sz w:val="28"/>
          <w:szCs w:val="28"/>
        </w:rPr>
      </w:pPr>
      <w:r>
        <w:rPr>
          <w:rFonts w:hint="eastAsia" w:hAnsi="宋体"/>
          <w:sz w:val="28"/>
          <w:szCs w:val="28"/>
        </w:rPr>
        <w:t>法定代表人（授权代表）：</w:t>
      </w:r>
      <w:r>
        <w:rPr>
          <w:rFonts w:hAnsi="宋体"/>
          <w:sz w:val="28"/>
          <w:szCs w:val="28"/>
        </w:rPr>
        <w:t xml:space="preserve">            </w:t>
      </w:r>
      <w:r>
        <w:rPr>
          <w:rFonts w:hint="eastAsia" w:hAnsi="宋体"/>
          <w:sz w:val="28"/>
          <w:szCs w:val="28"/>
        </w:rPr>
        <w:t>法定代表人（授权代表）：</w:t>
      </w:r>
    </w:p>
    <w:p>
      <w:pPr>
        <w:spacing w:line="360" w:lineRule="auto"/>
        <w:ind w:firstLine="560" w:firstLineChars="200"/>
        <w:rPr>
          <w:sz w:val="28"/>
          <w:szCs w:val="28"/>
        </w:rPr>
      </w:pPr>
      <w:r>
        <w:rPr>
          <w:rFonts w:hint="eastAsia" w:hAnsi="宋体"/>
          <w:sz w:val="28"/>
          <w:szCs w:val="28"/>
        </w:rPr>
        <w:t>地</w:t>
      </w:r>
      <w:r>
        <w:rPr>
          <w:rFonts w:hAnsi="宋体"/>
          <w:sz w:val="28"/>
          <w:szCs w:val="28"/>
        </w:rPr>
        <w:t xml:space="preserve">    </w:t>
      </w:r>
      <w:r>
        <w:rPr>
          <w:rFonts w:hint="eastAsia" w:hAnsi="宋体"/>
          <w:sz w:val="28"/>
          <w:szCs w:val="28"/>
        </w:rPr>
        <w:t>址：</w:t>
      </w:r>
      <w:r>
        <w:rPr>
          <w:rFonts w:hAnsi="宋体"/>
          <w:sz w:val="28"/>
          <w:szCs w:val="28"/>
        </w:rPr>
        <w:t xml:space="preserve">                         </w:t>
      </w:r>
      <w:r>
        <w:rPr>
          <w:rFonts w:hint="eastAsia" w:hAnsi="宋体"/>
          <w:sz w:val="28"/>
          <w:szCs w:val="28"/>
        </w:rPr>
        <w:t>地</w:t>
      </w:r>
      <w:r>
        <w:rPr>
          <w:rFonts w:hAnsi="宋体"/>
          <w:sz w:val="28"/>
          <w:szCs w:val="28"/>
        </w:rPr>
        <w:t xml:space="preserve">    </w:t>
      </w:r>
      <w:r>
        <w:rPr>
          <w:rFonts w:hint="eastAsia" w:hAnsi="宋体"/>
          <w:sz w:val="28"/>
          <w:szCs w:val="28"/>
        </w:rPr>
        <w:t>址：</w:t>
      </w:r>
    </w:p>
    <w:p>
      <w:pPr>
        <w:spacing w:line="360" w:lineRule="auto"/>
        <w:ind w:firstLine="560" w:firstLineChars="200"/>
        <w:rPr>
          <w:sz w:val="28"/>
          <w:szCs w:val="28"/>
        </w:rPr>
      </w:pPr>
      <w:r>
        <w:rPr>
          <w:rFonts w:hint="eastAsia" w:hAnsi="宋体"/>
          <w:sz w:val="28"/>
          <w:szCs w:val="28"/>
        </w:rPr>
        <w:t>开户银行：</w:t>
      </w:r>
      <w:r>
        <w:rPr>
          <w:rFonts w:hAnsi="宋体"/>
          <w:sz w:val="28"/>
          <w:szCs w:val="28"/>
        </w:rPr>
        <w:t xml:space="preserve">                         </w:t>
      </w:r>
      <w:r>
        <w:rPr>
          <w:rFonts w:hint="eastAsia" w:hAnsi="宋体"/>
          <w:sz w:val="28"/>
          <w:szCs w:val="28"/>
        </w:rPr>
        <w:t>开户银行：</w:t>
      </w:r>
    </w:p>
    <w:p>
      <w:pPr>
        <w:spacing w:line="360" w:lineRule="auto"/>
        <w:ind w:firstLine="560" w:firstLineChars="200"/>
        <w:rPr>
          <w:sz w:val="28"/>
          <w:szCs w:val="28"/>
        </w:rPr>
      </w:pPr>
      <w:r>
        <w:rPr>
          <w:rFonts w:hint="eastAsia" w:hAnsi="宋体"/>
          <w:sz w:val="28"/>
          <w:szCs w:val="28"/>
        </w:rPr>
        <w:t>账号：</w:t>
      </w:r>
      <w:r>
        <w:rPr>
          <w:rFonts w:hAnsi="宋体"/>
          <w:sz w:val="28"/>
          <w:szCs w:val="28"/>
        </w:rPr>
        <w:t xml:space="preserve">                             </w:t>
      </w:r>
      <w:r>
        <w:rPr>
          <w:rFonts w:hint="eastAsia" w:hAnsi="宋体"/>
          <w:sz w:val="28"/>
          <w:szCs w:val="28"/>
        </w:rPr>
        <w:t>账号：</w:t>
      </w:r>
    </w:p>
    <w:p>
      <w:pPr>
        <w:spacing w:line="360" w:lineRule="auto"/>
        <w:ind w:firstLine="560" w:firstLineChars="200"/>
        <w:rPr>
          <w:sz w:val="28"/>
          <w:szCs w:val="28"/>
        </w:rPr>
      </w:pPr>
      <w:r>
        <w:rPr>
          <w:rFonts w:hint="eastAsia" w:hAnsi="宋体"/>
          <w:sz w:val="28"/>
          <w:szCs w:val="28"/>
        </w:rPr>
        <w:t>电</w:t>
      </w:r>
      <w:r>
        <w:rPr>
          <w:rFonts w:hAnsi="宋体"/>
          <w:sz w:val="28"/>
          <w:szCs w:val="28"/>
        </w:rPr>
        <w:t xml:space="preserve">    </w:t>
      </w:r>
      <w:r>
        <w:rPr>
          <w:rFonts w:hint="eastAsia" w:hAnsi="宋体"/>
          <w:sz w:val="28"/>
          <w:szCs w:val="28"/>
        </w:rPr>
        <w:t>话：</w:t>
      </w:r>
      <w:r>
        <w:rPr>
          <w:rFonts w:hAnsi="宋体"/>
          <w:sz w:val="28"/>
          <w:szCs w:val="28"/>
        </w:rPr>
        <w:t xml:space="preserve">                         </w:t>
      </w:r>
      <w:r>
        <w:rPr>
          <w:rFonts w:hint="eastAsia" w:hAnsi="宋体"/>
          <w:sz w:val="28"/>
          <w:szCs w:val="28"/>
        </w:rPr>
        <w:t>电</w:t>
      </w:r>
      <w:r>
        <w:rPr>
          <w:rFonts w:hAnsi="宋体"/>
          <w:sz w:val="28"/>
          <w:szCs w:val="28"/>
        </w:rPr>
        <w:t xml:space="preserve">    </w:t>
      </w:r>
      <w:r>
        <w:rPr>
          <w:rFonts w:hint="eastAsia" w:hAnsi="宋体"/>
          <w:sz w:val="28"/>
          <w:szCs w:val="28"/>
        </w:rPr>
        <w:t>话：</w:t>
      </w:r>
    </w:p>
    <w:p>
      <w:pPr>
        <w:spacing w:line="360" w:lineRule="auto"/>
        <w:ind w:firstLine="560" w:firstLineChars="200"/>
        <w:rPr>
          <w:sz w:val="28"/>
          <w:szCs w:val="28"/>
        </w:rPr>
      </w:pPr>
      <w:r>
        <w:rPr>
          <w:rFonts w:hint="eastAsia" w:hAnsi="宋体"/>
          <w:sz w:val="28"/>
          <w:szCs w:val="28"/>
        </w:rPr>
        <w:t>传</w:t>
      </w:r>
      <w:r>
        <w:rPr>
          <w:rFonts w:hAnsi="宋体"/>
          <w:sz w:val="28"/>
          <w:szCs w:val="28"/>
        </w:rPr>
        <w:t xml:space="preserve">    </w:t>
      </w:r>
      <w:r>
        <w:rPr>
          <w:rFonts w:hint="eastAsia" w:hAnsi="宋体"/>
          <w:sz w:val="28"/>
          <w:szCs w:val="28"/>
        </w:rPr>
        <w:t>真：</w:t>
      </w:r>
      <w:r>
        <w:rPr>
          <w:rFonts w:hAnsi="宋体"/>
          <w:sz w:val="28"/>
          <w:szCs w:val="28"/>
        </w:rPr>
        <w:t xml:space="preserve">                         </w:t>
      </w:r>
      <w:r>
        <w:rPr>
          <w:rFonts w:hint="eastAsia" w:hAnsi="宋体"/>
          <w:sz w:val="28"/>
          <w:szCs w:val="28"/>
        </w:rPr>
        <w:t>传</w:t>
      </w:r>
      <w:r>
        <w:rPr>
          <w:rFonts w:hAnsi="宋体"/>
          <w:sz w:val="28"/>
          <w:szCs w:val="28"/>
        </w:rPr>
        <w:t xml:space="preserve">    </w:t>
      </w:r>
      <w:r>
        <w:rPr>
          <w:rFonts w:hint="eastAsia" w:hAnsi="宋体"/>
          <w:sz w:val="28"/>
          <w:szCs w:val="28"/>
        </w:rPr>
        <w:t>真：</w:t>
      </w:r>
    </w:p>
    <w:p>
      <w:pPr>
        <w:pStyle w:val="10"/>
        <w:spacing w:line="360" w:lineRule="auto"/>
        <w:ind w:firstLine="480"/>
        <w:rPr>
          <w:sz w:val="28"/>
          <w:szCs w:val="28"/>
        </w:rPr>
      </w:pPr>
      <w:r>
        <w:rPr>
          <w:rFonts w:hint="eastAsia" w:hAnsi="宋体"/>
          <w:sz w:val="28"/>
          <w:szCs w:val="28"/>
        </w:rPr>
        <w:t>签约日期：</w:t>
      </w:r>
      <w:r>
        <w:rPr>
          <w:rFonts w:hAnsi="宋体"/>
          <w:sz w:val="28"/>
          <w:szCs w:val="28"/>
        </w:rPr>
        <w:t>XX</w:t>
      </w:r>
      <w:r>
        <w:rPr>
          <w:rFonts w:hint="eastAsia" w:hAnsi="宋体"/>
          <w:sz w:val="28"/>
          <w:szCs w:val="28"/>
        </w:rPr>
        <w:t>年</w:t>
      </w:r>
      <w:r>
        <w:rPr>
          <w:rFonts w:hAnsi="宋体"/>
          <w:sz w:val="28"/>
          <w:szCs w:val="28"/>
        </w:rPr>
        <w:t>XX</w:t>
      </w:r>
      <w:r>
        <w:rPr>
          <w:rFonts w:hint="eastAsia" w:hAnsi="宋体"/>
          <w:sz w:val="28"/>
          <w:szCs w:val="28"/>
        </w:rPr>
        <w:t>月</w:t>
      </w:r>
      <w:r>
        <w:rPr>
          <w:rFonts w:hAnsi="宋体"/>
          <w:sz w:val="28"/>
          <w:szCs w:val="28"/>
        </w:rPr>
        <w:t>XX</w:t>
      </w:r>
      <w:r>
        <w:rPr>
          <w:rFonts w:hint="eastAsia" w:hAnsi="宋体"/>
          <w:sz w:val="28"/>
          <w:szCs w:val="28"/>
        </w:rPr>
        <w:t>日</w:t>
      </w:r>
      <w:r>
        <w:rPr>
          <w:rFonts w:hAnsi="宋体"/>
          <w:sz w:val="28"/>
          <w:szCs w:val="28"/>
        </w:rPr>
        <w:t xml:space="preserve"> </w:t>
      </w:r>
      <w:r>
        <w:rPr>
          <w:rFonts w:hAnsi="宋体"/>
          <w:sz w:val="28"/>
          <w:szCs w:val="28"/>
        </w:rPr>
        <w:tab/>
      </w:r>
      <w:r>
        <w:rPr>
          <w:rFonts w:hAnsi="宋体"/>
          <w:sz w:val="28"/>
          <w:szCs w:val="28"/>
        </w:rPr>
        <w:tab/>
      </w:r>
      <w:r>
        <w:rPr>
          <w:rFonts w:hint="eastAsia" w:hAnsi="宋体"/>
          <w:sz w:val="28"/>
          <w:szCs w:val="28"/>
        </w:rPr>
        <w:t xml:space="preserve"> 签约日期：</w:t>
      </w:r>
      <w:r>
        <w:rPr>
          <w:rFonts w:hAnsi="宋体"/>
          <w:sz w:val="28"/>
          <w:szCs w:val="28"/>
        </w:rPr>
        <w:t>XX</w:t>
      </w:r>
      <w:r>
        <w:rPr>
          <w:rFonts w:hint="eastAsia" w:hAnsi="宋体"/>
          <w:sz w:val="28"/>
          <w:szCs w:val="28"/>
        </w:rPr>
        <w:t>年</w:t>
      </w:r>
      <w:r>
        <w:rPr>
          <w:rFonts w:hAnsi="宋体"/>
          <w:sz w:val="28"/>
          <w:szCs w:val="28"/>
        </w:rPr>
        <w:t>XX</w:t>
      </w:r>
      <w:r>
        <w:rPr>
          <w:rFonts w:hint="eastAsia" w:hAnsi="宋体"/>
          <w:sz w:val="28"/>
          <w:szCs w:val="28"/>
        </w:rPr>
        <w:t>月</w:t>
      </w:r>
      <w:r>
        <w:rPr>
          <w:rFonts w:hAnsi="宋体"/>
          <w:sz w:val="28"/>
          <w:szCs w:val="28"/>
        </w:rPr>
        <w:t>XX</w:t>
      </w:r>
      <w:r>
        <w:rPr>
          <w:rFonts w:hint="eastAsia" w:hAnsi="宋体"/>
          <w:sz w:val="28"/>
          <w:szCs w:val="28"/>
        </w:rPr>
        <w:t>日</w:t>
      </w:r>
    </w:p>
    <w:p>
      <w:pPr>
        <w:pStyle w:val="8"/>
        <w:spacing w:line="360" w:lineRule="auto"/>
        <w:ind w:firstLine="492" w:firstLineChars="175"/>
        <w:rPr>
          <w:rFonts w:cs="宋体"/>
          <w:b/>
          <w:bCs/>
          <w:sz w:val="28"/>
          <w:szCs w:val="28"/>
        </w:rPr>
      </w:pPr>
    </w:p>
    <w:p>
      <w:pPr>
        <w:spacing w:line="360" w:lineRule="auto"/>
        <w:ind w:firstLine="562" w:firstLineChars="200"/>
        <w:rPr>
          <w:rFonts w:ascii="仿宋" w:hAnsi="仿宋" w:eastAsia="仿宋" w:cs="仿宋"/>
          <w:b/>
          <w:bCs/>
          <w:sz w:val="28"/>
          <w:szCs w:val="28"/>
        </w:rPr>
      </w:pPr>
      <w:r>
        <w:rPr>
          <w:rFonts w:hint="eastAsia" w:hAnsi="宋体" w:cs="宋体"/>
          <w:b/>
          <w:sz w:val="28"/>
          <w:szCs w:val="28"/>
        </w:rPr>
        <w:t>注：以上合同范本仅供参考，所有条款均可在采购人与</w:t>
      </w:r>
      <w:r>
        <w:rPr>
          <w:rFonts w:hint="eastAsia" w:hAnsi="宋体" w:cs="宋体"/>
          <w:b/>
          <w:sz w:val="28"/>
          <w:szCs w:val="28"/>
          <w:lang w:val="en-US" w:eastAsia="zh-CN"/>
        </w:rPr>
        <w:t>中标</w:t>
      </w:r>
      <w:r>
        <w:rPr>
          <w:rFonts w:hint="eastAsia" w:hAnsi="宋体" w:cs="宋体"/>
          <w:b/>
          <w:sz w:val="28"/>
          <w:szCs w:val="28"/>
        </w:rPr>
        <w:t>人协商后进行修改。</w:t>
      </w:r>
    </w:p>
    <w:p>
      <w:pPr>
        <w:rPr>
          <w:rFonts w:hint="eastAsia"/>
          <w:b/>
          <w:bCs/>
          <w:sz w:val="28"/>
          <w:szCs w:val="32"/>
          <w:lang w:eastAsia="zh-CN"/>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r>
        <w:rPr>
          <w:rFonts w:hint="eastAsia"/>
          <w:b/>
          <w:bCs/>
          <w:sz w:val="28"/>
          <w:szCs w:val="32"/>
          <w:lang w:eastAsia="zh-CN"/>
        </w:rPr>
        <w:t>附件：报名登记表</w:t>
      </w:r>
    </w:p>
    <w:p>
      <w:pPr>
        <w:pStyle w:val="10"/>
        <w:rPr>
          <w:rFonts w:hint="eastAsia"/>
          <w:lang w:eastAsia="zh-CN"/>
        </w:rPr>
      </w:pPr>
    </w:p>
    <w:tbl>
      <w:tblPr>
        <w:tblStyle w:val="25"/>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37"/>
        <w:gridCol w:w="1888"/>
        <w:gridCol w:w="1519"/>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525"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285" w:type="dxa"/>
            <w:gridSpan w:val="4"/>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lang w:eastAsia="zh-CN"/>
              </w:rPr>
              <w:t>眉山市东坡区医疗应急救治能力提升项目医疗设备采购（</w:t>
            </w:r>
            <w:r>
              <w:rPr>
                <w:rFonts w:hint="eastAsia" w:ascii="仿宋" w:hAnsi="仿宋" w:eastAsia="仿宋" w:cs="仿宋"/>
                <w:sz w:val="24"/>
                <w:szCs w:val="24"/>
                <w:lang w:val="en-US" w:eastAsia="zh-CN"/>
              </w:rPr>
              <w:t>第XX包</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25"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7285" w:type="dxa"/>
            <w:gridSpan w:val="4"/>
            <w:noWrap w:val="0"/>
            <w:vAlign w:val="center"/>
          </w:tcPr>
          <w:p>
            <w:pPr>
              <w:spacing w:line="6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525" w:type="dxa"/>
            <w:vMerge w:val="restart"/>
            <w:noWrap w:val="0"/>
            <w:vAlign w:val="center"/>
          </w:tcPr>
          <w:p>
            <w:pPr>
              <w:spacing w:line="6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经办人</w:t>
            </w:r>
            <w:r>
              <w:rPr>
                <w:rFonts w:hint="eastAsia" w:ascii="仿宋" w:hAnsi="仿宋" w:eastAsia="仿宋" w:cs="仿宋"/>
                <w:sz w:val="24"/>
                <w:szCs w:val="24"/>
                <w:lang w:eastAsia="zh-CN"/>
              </w:rPr>
              <w:t>联系方式</w:t>
            </w:r>
          </w:p>
        </w:tc>
        <w:tc>
          <w:tcPr>
            <w:tcW w:w="2037"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5248" w:type="dxa"/>
            <w:gridSpan w:val="3"/>
            <w:noWrap w:val="0"/>
            <w:vAlign w:val="center"/>
          </w:tcPr>
          <w:p>
            <w:pPr>
              <w:spacing w:line="6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25" w:type="dxa"/>
            <w:vMerge w:val="continue"/>
            <w:noWrap w:val="0"/>
            <w:vAlign w:val="center"/>
          </w:tcPr>
          <w:p>
            <w:pPr>
              <w:spacing w:line="600" w:lineRule="exact"/>
              <w:jc w:val="center"/>
              <w:rPr>
                <w:rFonts w:hint="eastAsia" w:ascii="仿宋" w:hAnsi="仿宋" w:eastAsia="仿宋" w:cs="仿宋"/>
                <w:sz w:val="24"/>
                <w:szCs w:val="24"/>
              </w:rPr>
            </w:pPr>
          </w:p>
        </w:tc>
        <w:tc>
          <w:tcPr>
            <w:tcW w:w="2037"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手    机</w:t>
            </w:r>
          </w:p>
        </w:tc>
        <w:tc>
          <w:tcPr>
            <w:tcW w:w="1888" w:type="dxa"/>
            <w:noWrap w:val="0"/>
            <w:vAlign w:val="center"/>
          </w:tcPr>
          <w:p>
            <w:pPr>
              <w:spacing w:line="600" w:lineRule="exact"/>
              <w:jc w:val="center"/>
              <w:rPr>
                <w:rFonts w:hint="eastAsia" w:ascii="仿宋" w:hAnsi="仿宋" w:eastAsia="仿宋" w:cs="仿宋"/>
                <w:sz w:val="24"/>
                <w:szCs w:val="24"/>
              </w:rPr>
            </w:pPr>
          </w:p>
        </w:tc>
        <w:tc>
          <w:tcPr>
            <w:tcW w:w="1519"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1841" w:type="dxa"/>
            <w:noWrap w:val="0"/>
            <w:vAlign w:val="center"/>
          </w:tcPr>
          <w:p>
            <w:pPr>
              <w:spacing w:line="6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25" w:type="dxa"/>
            <w:vMerge w:val="continue"/>
            <w:noWrap w:val="0"/>
            <w:vAlign w:val="center"/>
          </w:tcPr>
          <w:p>
            <w:pPr>
              <w:spacing w:line="600" w:lineRule="exact"/>
              <w:jc w:val="center"/>
              <w:rPr>
                <w:rFonts w:hint="eastAsia" w:ascii="仿宋" w:hAnsi="仿宋" w:eastAsia="仿宋" w:cs="仿宋"/>
                <w:sz w:val="24"/>
                <w:szCs w:val="24"/>
              </w:rPr>
            </w:pPr>
          </w:p>
        </w:tc>
        <w:tc>
          <w:tcPr>
            <w:tcW w:w="2037"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邮   箱</w:t>
            </w:r>
          </w:p>
        </w:tc>
        <w:tc>
          <w:tcPr>
            <w:tcW w:w="1888" w:type="dxa"/>
            <w:noWrap w:val="0"/>
            <w:vAlign w:val="center"/>
          </w:tcPr>
          <w:p>
            <w:pPr>
              <w:spacing w:line="600" w:lineRule="exact"/>
              <w:jc w:val="center"/>
              <w:rPr>
                <w:rFonts w:hint="eastAsia" w:ascii="仿宋" w:hAnsi="仿宋" w:eastAsia="仿宋" w:cs="仿宋"/>
                <w:sz w:val="24"/>
                <w:szCs w:val="24"/>
              </w:rPr>
            </w:pPr>
          </w:p>
        </w:tc>
        <w:tc>
          <w:tcPr>
            <w:tcW w:w="1519" w:type="dxa"/>
            <w:noWrap w:val="0"/>
            <w:vAlign w:val="center"/>
          </w:tcPr>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传   真</w:t>
            </w:r>
          </w:p>
        </w:tc>
        <w:tc>
          <w:tcPr>
            <w:tcW w:w="1841" w:type="dxa"/>
            <w:noWrap w:val="0"/>
            <w:vAlign w:val="center"/>
          </w:tcPr>
          <w:p>
            <w:pPr>
              <w:spacing w:line="6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2" w:hRule="atLeast"/>
        </w:trPr>
        <w:tc>
          <w:tcPr>
            <w:tcW w:w="8810" w:type="dxa"/>
            <w:gridSpan w:val="5"/>
            <w:noWrap w:val="0"/>
            <w:vAlign w:val="center"/>
          </w:tcPr>
          <w:p>
            <w:pPr>
              <w:spacing w:line="600" w:lineRule="exact"/>
              <w:jc w:val="center"/>
              <w:rPr>
                <w:rFonts w:hint="eastAsia" w:ascii="仿宋" w:hAnsi="仿宋" w:eastAsia="仿宋" w:cs="仿宋"/>
                <w:b/>
                <w:sz w:val="24"/>
                <w:szCs w:val="24"/>
              </w:rPr>
            </w:pPr>
            <w:r>
              <w:rPr>
                <w:rFonts w:hint="eastAsia" w:ascii="仿宋" w:hAnsi="仿宋" w:eastAsia="仿宋" w:cs="仿宋"/>
                <w:b/>
                <w:sz w:val="24"/>
                <w:szCs w:val="24"/>
              </w:rPr>
              <w:t>投标人声明</w:t>
            </w:r>
          </w:p>
          <w:p>
            <w:pPr>
              <w:spacing w:line="600" w:lineRule="exact"/>
              <w:ind w:firstLine="573"/>
              <w:jc w:val="left"/>
              <w:rPr>
                <w:rFonts w:hint="eastAsia" w:ascii="仿宋" w:hAnsi="仿宋" w:eastAsia="仿宋" w:cs="仿宋"/>
                <w:sz w:val="24"/>
                <w:szCs w:val="24"/>
              </w:rPr>
            </w:pPr>
            <w:r>
              <w:rPr>
                <w:rFonts w:hint="eastAsia" w:ascii="仿宋" w:hAnsi="仿宋" w:eastAsia="仿宋" w:cs="仿宋"/>
                <w:sz w:val="24"/>
                <w:szCs w:val="24"/>
              </w:rPr>
              <w:t>1、我单位已阅读并理解该项目采购公告的全部内容，对本项目的范围、资质要求等情况已有了解，我单位基本符合采购公告所列的报名条件，现正式提出报名申请。</w:t>
            </w:r>
          </w:p>
          <w:p>
            <w:pPr>
              <w:spacing w:line="600" w:lineRule="exact"/>
              <w:ind w:firstLine="573"/>
              <w:jc w:val="left"/>
              <w:rPr>
                <w:rFonts w:hint="eastAsia" w:ascii="仿宋" w:hAnsi="仿宋" w:eastAsia="仿宋" w:cs="仿宋"/>
                <w:sz w:val="24"/>
                <w:szCs w:val="24"/>
              </w:rPr>
            </w:pPr>
            <w:r>
              <w:rPr>
                <w:rFonts w:hint="eastAsia" w:ascii="仿宋" w:hAnsi="仿宋" w:eastAsia="仿宋" w:cs="仿宋"/>
                <w:sz w:val="24"/>
                <w:szCs w:val="24"/>
              </w:rPr>
              <w:t>2、我单位郑重承诺本授权委托人和拟派人员均为本单位人员，绝无挂靠、租借资质等违法违规行为，并愿承担由此而产生的一切权利、义务以及法律责任。</w:t>
            </w:r>
          </w:p>
          <w:p>
            <w:pPr>
              <w:spacing w:line="600" w:lineRule="exact"/>
              <w:jc w:val="center"/>
              <w:rPr>
                <w:rFonts w:hint="eastAsia" w:ascii="仿宋" w:hAnsi="仿宋" w:eastAsia="仿宋" w:cs="仿宋"/>
                <w:sz w:val="24"/>
                <w:szCs w:val="24"/>
              </w:rPr>
            </w:pPr>
          </w:p>
          <w:p>
            <w:pPr>
              <w:spacing w:line="600" w:lineRule="exact"/>
              <w:jc w:val="center"/>
              <w:rPr>
                <w:rFonts w:hint="eastAsia" w:ascii="仿宋" w:hAnsi="仿宋" w:eastAsia="仿宋" w:cs="仿宋"/>
                <w:sz w:val="24"/>
                <w:szCs w:val="24"/>
              </w:rPr>
            </w:pPr>
            <w:r>
              <w:rPr>
                <w:rFonts w:hint="eastAsia" w:ascii="仿宋" w:hAnsi="仿宋" w:eastAsia="仿宋" w:cs="仿宋"/>
                <w:sz w:val="24"/>
                <w:szCs w:val="24"/>
              </w:rPr>
              <w:t>授权委托人（签字）：</w:t>
            </w:r>
          </w:p>
          <w:p>
            <w:pPr>
              <w:pStyle w:val="13"/>
              <w:rPr>
                <w:rFonts w:hint="eastAsia"/>
              </w:rPr>
            </w:pPr>
          </w:p>
          <w:p>
            <w:pPr>
              <w:pStyle w:val="13"/>
              <w:rPr>
                <w:rFonts w:hint="eastAsia"/>
              </w:rPr>
            </w:pPr>
          </w:p>
          <w:p>
            <w:pPr>
              <w:spacing w:line="600" w:lineRule="exact"/>
              <w:ind w:right="960"/>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bl>
    <w:p>
      <w:pPr>
        <w:pStyle w:val="39"/>
        <w:spacing w:line="480" w:lineRule="auto"/>
        <w:ind w:firstLine="480"/>
        <w:rPr>
          <w:rFonts w:ascii="宋体" w:cs="宋体"/>
          <w:sz w:val="24"/>
          <w:szCs w:val="24"/>
        </w:rPr>
      </w:pPr>
    </w:p>
    <w:p>
      <w:pPr>
        <w:pStyle w:val="39"/>
        <w:spacing w:line="480" w:lineRule="auto"/>
        <w:ind w:firstLine="480"/>
        <w:rPr>
          <w:color w:val="auto"/>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简体">
    <w:altName w:val="宋体"/>
    <w:panose1 w:val="02010601030101010101"/>
    <w:charset w:val="86"/>
    <w:family w:val="script"/>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282841300"/>
    </w:sdtPr>
    <w:sdtEndPr>
      <w:rPr>
        <w:b/>
        <w:sz w:val="44"/>
        <w:szCs w:val="24"/>
        <w:lang w:val="en-US"/>
      </w:rPr>
    </w:sdtEndPr>
    <w:sdtContent>
      <w:p>
        <w:pPr>
          <w:pStyle w:val="17"/>
          <w:jc w:val="center"/>
          <w:rPr>
            <w:sz w:val="28"/>
          </w:rPr>
        </w:pPr>
        <w:r>
          <w:rPr>
            <w:b/>
            <w:sz w:val="44"/>
            <w:szCs w:val="24"/>
          </w:rPr>
          <w:fldChar w:fldCharType="begin"/>
        </w:r>
        <w:r>
          <w:rPr>
            <w:b/>
            <w:sz w:val="28"/>
          </w:rPr>
          <w:instrText xml:space="preserve">PAGE</w:instrText>
        </w:r>
        <w:r>
          <w:rPr>
            <w:b/>
            <w:sz w:val="44"/>
            <w:szCs w:val="24"/>
          </w:rPr>
          <w:fldChar w:fldCharType="separate"/>
        </w:r>
        <w:r>
          <w:rPr>
            <w:b/>
            <w:sz w:val="28"/>
          </w:rPr>
          <w:t>84</w:t>
        </w:r>
        <w:r>
          <w:rPr>
            <w:b/>
            <w:sz w:val="44"/>
            <w:szCs w:val="24"/>
          </w:rPr>
          <w:fldChar w:fldCharType="end"/>
        </w:r>
        <w:r>
          <w:rPr>
            <w:sz w:val="28"/>
            <w:lang w:val="zh-CN"/>
          </w:rPr>
          <w:t xml:space="preserve"> / </w:t>
        </w:r>
        <w:r>
          <w:rPr>
            <w:b/>
            <w:sz w:val="44"/>
            <w:szCs w:val="24"/>
          </w:rPr>
          <w:fldChar w:fldCharType="begin"/>
        </w:r>
        <w:r>
          <w:rPr>
            <w:b/>
            <w:sz w:val="28"/>
          </w:rPr>
          <w:instrText xml:space="preserve">NUMPAGES</w:instrText>
        </w:r>
        <w:r>
          <w:rPr>
            <w:b/>
            <w:sz w:val="44"/>
            <w:szCs w:val="24"/>
          </w:rPr>
          <w:fldChar w:fldCharType="separate"/>
        </w:r>
        <w:r>
          <w:rPr>
            <w:b/>
            <w:sz w:val="28"/>
          </w:rPr>
          <w:t>87</w:t>
        </w:r>
        <w:r>
          <w:rPr>
            <w:b/>
            <w:sz w:val="44"/>
            <w:szCs w:val="24"/>
          </w:rP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Times New Roman" w:hAnsi="Times New Roman"/>
        <w:lang w:eastAsia="zh-CN"/>
      </w:rPr>
      <w:t xml:space="preserve">眉山市东坡区医疗应急救治能力提升项目医疗设备采购 </w:t>
    </w:r>
    <w:r>
      <w:rPr>
        <w:rFonts w:hint="eastAsia" w:ascii="Times New Roman" w:hAnsi="Times New Roma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78CF0"/>
    <w:multiLevelType w:val="singleLevel"/>
    <w:tmpl w:val="87578CF0"/>
    <w:lvl w:ilvl="0" w:tentative="0">
      <w:start w:val="1"/>
      <w:numFmt w:val="decimal"/>
      <w:lvlText w:val="(%1)"/>
      <w:lvlJc w:val="left"/>
      <w:pPr>
        <w:ind w:left="425" w:hanging="425"/>
      </w:pPr>
      <w:rPr>
        <w:rFonts w:hint="default"/>
      </w:rPr>
    </w:lvl>
  </w:abstractNum>
  <w:abstractNum w:abstractNumId="1">
    <w:nsid w:val="ACF30AB7"/>
    <w:multiLevelType w:val="singleLevel"/>
    <w:tmpl w:val="ACF30AB7"/>
    <w:lvl w:ilvl="0" w:tentative="0">
      <w:start w:val="25"/>
      <w:numFmt w:val="decimal"/>
      <w:suff w:val="nothing"/>
      <w:lvlText w:val="%1、"/>
      <w:lvlJc w:val="left"/>
    </w:lvl>
  </w:abstractNum>
  <w:abstractNum w:abstractNumId="2">
    <w:nsid w:val="AE9EF0AE"/>
    <w:multiLevelType w:val="singleLevel"/>
    <w:tmpl w:val="AE9EF0AE"/>
    <w:lvl w:ilvl="0" w:tentative="0">
      <w:start w:val="1"/>
      <w:numFmt w:val="decimal"/>
      <w:lvlText w:val="(%1)"/>
      <w:lvlJc w:val="left"/>
      <w:pPr>
        <w:ind w:left="425" w:hanging="425"/>
      </w:pPr>
      <w:rPr>
        <w:rFonts w:hint="default"/>
      </w:rPr>
    </w:lvl>
  </w:abstractNum>
  <w:abstractNum w:abstractNumId="3">
    <w:nsid w:val="B6DBB76D"/>
    <w:multiLevelType w:val="singleLevel"/>
    <w:tmpl w:val="B6DBB76D"/>
    <w:lvl w:ilvl="0" w:tentative="0">
      <w:start w:val="1"/>
      <w:numFmt w:val="decimal"/>
      <w:suff w:val="nothing"/>
      <w:lvlText w:val="%1、"/>
      <w:lvlJc w:val="left"/>
    </w:lvl>
  </w:abstractNum>
  <w:abstractNum w:abstractNumId="4">
    <w:nsid w:val="B8C487E1"/>
    <w:multiLevelType w:val="singleLevel"/>
    <w:tmpl w:val="B8C487E1"/>
    <w:lvl w:ilvl="0" w:tentative="0">
      <w:start w:val="1"/>
      <w:numFmt w:val="decimal"/>
      <w:lvlText w:val="%1."/>
      <w:lvlJc w:val="left"/>
      <w:pPr>
        <w:ind w:left="425" w:hanging="425"/>
      </w:pPr>
      <w:rPr>
        <w:rFonts w:hint="default"/>
      </w:rPr>
    </w:lvl>
  </w:abstractNum>
  <w:abstractNum w:abstractNumId="5">
    <w:nsid w:val="DE4DB0D4"/>
    <w:multiLevelType w:val="singleLevel"/>
    <w:tmpl w:val="DE4DB0D4"/>
    <w:lvl w:ilvl="0" w:tentative="0">
      <w:start w:val="1"/>
      <w:numFmt w:val="decimal"/>
      <w:lvlText w:val="(%1)"/>
      <w:lvlJc w:val="left"/>
      <w:pPr>
        <w:ind w:left="425" w:hanging="425"/>
      </w:pPr>
      <w:rPr>
        <w:rFonts w:hint="default"/>
      </w:rPr>
    </w:lvl>
  </w:abstractNum>
  <w:abstractNum w:abstractNumId="6">
    <w:nsid w:val="DFBBB016"/>
    <w:multiLevelType w:val="singleLevel"/>
    <w:tmpl w:val="DFBBB016"/>
    <w:lvl w:ilvl="0" w:tentative="0">
      <w:start w:val="14"/>
      <w:numFmt w:val="chineseCounting"/>
      <w:suff w:val="nothing"/>
      <w:lvlText w:val="（%1）"/>
      <w:lvlJc w:val="left"/>
      <w:rPr>
        <w:rFonts w:hint="eastAsia"/>
      </w:rPr>
    </w:lvl>
  </w:abstractNum>
  <w:abstractNum w:abstractNumId="7">
    <w:nsid w:val="F11EAA09"/>
    <w:multiLevelType w:val="singleLevel"/>
    <w:tmpl w:val="F11EAA09"/>
    <w:lvl w:ilvl="0" w:tentative="0">
      <w:start w:val="1"/>
      <w:numFmt w:val="decimal"/>
      <w:lvlText w:val="(%1)"/>
      <w:lvlJc w:val="left"/>
      <w:pPr>
        <w:ind w:left="425" w:hanging="425"/>
      </w:pPr>
      <w:rPr>
        <w:rFonts w:hint="default"/>
      </w:rPr>
    </w:lvl>
  </w:abstractNum>
  <w:abstractNum w:abstractNumId="8">
    <w:nsid w:val="F1292225"/>
    <w:multiLevelType w:val="singleLevel"/>
    <w:tmpl w:val="F1292225"/>
    <w:lvl w:ilvl="0" w:tentative="0">
      <w:start w:val="1"/>
      <w:numFmt w:val="decimal"/>
      <w:lvlText w:val="%1."/>
      <w:lvlJc w:val="left"/>
      <w:pPr>
        <w:ind w:left="425" w:hanging="425"/>
      </w:pPr>
      <w:rPr>
        <w:rFonts w:hint="default"/>
      </w:rPr>
    </w:lvl>
  </w:abstractNum>
  <w:abstractNum w:abstractNumId="9">
    <w:nsid w:val="0C4A7C65"/>
    <w:multiLevelType w:val="singleLevel"/>
    <w:tmpl w:val="0C4A7C65"/>
    <w:lvl w:ilvl="0" w:tentative="0">
      <w:start w:val="2"/>
      <w:numFmt w:val="chineseCounting"/>
      <w:suff w:val="nothing"/>
      <w:lvlText w:val="（%1）"/>
      <w:lvlJc w:val="left"/>
      <w:rPr>
        <w:rFonts w:hint="eastAsia"/>
      </w:rPr>
    </w:lvl>
  </w:abstractNum>
  <w:abstractNum w:abstractNumId="10">
    <w:nsid w:val="112116FF"/>
    <w:multiLevelType w:val="singleLevel"/>
    <w:tmpl w:val="112116FF"/>
    <w:lvl w:ilvl="0" w:tentative="0">
      <w:start w:val="1"/>
      <w:numFmt w:val="decimal"/>
      <w:lvlText w:val="%1."/>
      <w:lvlJc w:val="left"/>
      <w:pPr>
        <w:ind w:left="425" w:hanging="425"/>
      </w:pPr>
      <w:rPr>
        <w:rFonts w:hint="default"/>
      </w:rPr>
    </w:lvl>
  </w:abstractNum>
  <w:abstractNum w:abstractNumId="11">
    <w:nsid w:val="15380C5F"/>
    <w:multiLevelType w:val="singleLevel"/>
    <w:tmpl w:val="15380C5F"/>
    <w:lvl w:ilvl="0" w:tentative="0">
      <w:start w:val="1"/>
      <w:numFmt w:val="decimal"/>
      <w:lvlText w:val="(%1)"/>
      <w:lvlJc w:val="left"/>
      <w:pPr>
        <w:ind w:left="425" w:hanging="425"/>
      </w:pPr>
      <w:rPr>
        <w:rFonts w:hint="default"/>
      </w:rPr>
    </w:lvl>
  </w:abstractNum>
  <w:abstractNum w:abstractNumId="12">
    <w:nsid w:val="160F6E34"/>
    <w:multiLevelType w:val="singleLevel"/>
    <w:tmpl w:val="160F6E34"/>
    <w:lvl w:ilvl="0" w:tentative="0">
      <w:start w:val="1"/>
      <w:numFmt w:val="decimal"/>
      <w:lvlText w:val="(%1)"/>
      <w:lvlJc w:val="left"/>
      <w:pPr>
        <w:ind w:left="425" w:hanging="425"/>
      </w:pPr>
      <w:rPr>
        <w:rFonts w:hint="default"/>
      </w:rPr>
    </w:lvl>
  </w:abstractNum>
  <w:abstractNum w:abstractNumId="13">
    <w:nsid w:val="1E47760E"/>
    <w:multiLevelType w:val="singleLevel"/>
    <w:tmpl w:val="1E47760E"/>
    <w:lvl w:ilvl="0" w:tentative="0">
      <w:start w:val="1"/>
      <w:numFmt w:val="decimal"/>
      <w:lvlText w:val="%1."/>
      <w:lvlJc w:val="left"/>
      <w:pPr>
        <w:ind w:left="425" w:hanging="425"/>
      </w:pPr>
      <w:rPr>
        <w:rFonts w:hint="default"/>
      </w:rPr>
    </w:lvl>
  </w:abstractNum>
  <w:abstractNum w:abstractNumId="14">
    <w:nsid w:val="1ECDF5A5"/>
    <w:multiLevelType w:val="singleLevel"/>
    <w:tmpl w:val="1ECDF5A5"/>
    <w:lvl w:ilvl="0" w:tentative="0">
      <w:start w:val="1"/>
      <w:numFmt w:val="decimal"/>
      <w:lvlText w:val="(%1)"/>
      <w:lvlJc w:val="left"/>
      <w:pPr>
        <w:ind w:left="425" w:hanging="425"/>
      </w:pPr>
      <w:rPr>
        <w:rFonts w:hint="default"/>
      </w:rPr>
    </w:lvl>
  </w:abstractNum>
  <w:abstractNum w:abstractNumId="15">
    <w:nsid w:val="216FE70C"/>
    <w:multiLevelType w:val="singleLevel"/>
    <w:tmpl w:val="216FE70C"/>
    <w:lvl w:ilvl="0" w:tentative="0">
      <w:start w:val="9"/>
      <w:numFmt w:val="chineseCounting"/>
      <w:suff w:val="nothing"/>
      <w:lvlText w:val="（%1）"/>
      <w:lvlJc w:val="left"/>
      <w:rPr>
        <w:rFonts w:hint="eastAsia"/>
      </w:rPr>
    </w:lvl>
  </w:abstractNum>
  <w:abstractNum w:abstractNumId="16">
    <w:nsid w:val="313194AB"/>
    <w:multiLevelType w:val="singleLevel"/>
    <w:tmpl w:val="313194AB"/>
    <w:lvl w:ilvl="0" w:tentative="0">
      <w:start w:val="1"/>
      <w:numFmt w:val="decimal"/>
      <w:lvlText w:val="%1."/>
      <w:lvlJc w:val="left"/>
      <w:pPr>
        <w:ind w:left="425" w:hanging="425"/>
      </w:pPr>
      <w:rPr>
        <w:rFonts w:hint="default"/>
      </w:rPr>
    </w:lvl>
  </w:abstractNum>
  <w:abstractNum w:abstractNumId="17">
    <w:nsid w:val="35A6C394"/>
    <w:multiLevelType w:val="singleLevel"/>
    <w:tmpl w:val="35A6C394"/>
    <w:lvl w:ilvl="0" w:tentative="0">
      <w:start w:val="1"/>
      <w:numFmt w:val="decimal"/>
      <w:lvlText w:val="%1."/>
      <w:lvlJc w:val="left"/>
      <w:pPr>
        <w:ind w:left="425" w:hanging="425"/>
      </w:pPr>
      <w:rPr>
        <w:rFonts w:hint="default"/>
      </w:rPr>
    </w:lvl>
  </w:abstractNum>
  <w:abstractNum w:abstractNumId="18">
    <w:nsid w:val="439368FF"/>
    <w:multiLevelType w:val="singleLevel"/>
    <w:tmpl w:val="439368FF"/>
    <w:lvl w:ilvl="0" w:tentative="0">
      <w:start w:val="1"/>
      <w:numFmt w:val="decimal"/>
      <w:lvlText w:val="%1."/>
      <w:lvlJc w:val="left"/>
      <w:pPr>
        <w:ind w:left="425" w:hanging="425"/>
      </w:pPr>
      <w:rPr>
        <w:rFonts w:hint="default"/>
      </w:rPr>
    </w:lvl>
  </w:abstractNum>
  <w:abstractNum w:abstractNumId="19">
    <w:nsid w:val="4956289A"/>
    <w:multiLevelType w:val="multilevel"/>
    <w:tmpl w:val="4956289A"/>
    <w:lvl w:ilvl="0" w:tentative="0">
      <w:start w:val="1"/>
      <w:numFmt w:val="japaneseCounting"/>
      <w:pStyle w:val="6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5C248BA"/>
    <w:multiLevelType w:val="multilevel"/>
    <w:tmpl w:val="55C248BA"/>
    <w:lvl w:ilvl="0" w:tentative="0">
      <w:start w:val="1"/>
      <w:numFmt w:val="decimal"/>
      <w:pStyle w:val="6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F73985"/>
    <w:multiLevelType w:val="singleLevel"/>
    <w:tmpl w:val="59F73985"/>
    <w:lvl w:ilvl="0" w:tentative="0">
      <w:start w:val="1"/>
      <w:numFmt w:val="chineseCounting"/>
      <w:suff w:val="nothing"/>
      <w:lvlText w:val="（%1）"/>
      <w:lvlJc w:val="left"/>
      <w:rPr>
        <w:rFonts w:hint="eastAsia"/>
      </w:rPr>
    </w:lvl>
  </w:abstractNum>
  <w:abstractNum w:abstractNumId="23">
    <w:nsid w:val="6049F779"/>
    <w:multiLevelType w:val="singleLevel"/>
    <w:tmpl w:val="6049F779"/>
    <w:lvl w:ilvl="0" w:tentative="0">
      <w:start w:val="1"/>
      <w:numFmt w:val="decimal"/>
      <w:lvlText w:val="(%1)"/>
      <w:lvlJc w:val="left"/>
      <w:pPr>
        <w:ind w:left="425" w:hanging="425"/>
      </w:pPr>
      <w:rPr>
        <w:rFonts w:hint="default"/>
      </w:rPr>
    </w:lvl>
  </w:abstractNum>
  <w:abstractNum w:abstractNumId="24">
    <w:nsid w:val="71191F6D"/>
    <w:multiLevelType w:val="multilevel"/>
    <w:tmpl w:val="71191F6D"/>
    <w:lvl w:ilvl="0" w:tentative="0">
      <w:start w:val="1"/>
      <w:numFmt w:val="japaneseCounting"/>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514371"/>
    <w:multiLevelType w:val="singleLevel"/>
    <w:tmpl w:val="76514371"/>
    <w:lvl w:ilvl="0" w:tentative="0">
      <w:start w:val="1"/>
      <w:numFmt w:val="decimal"/>
      <w:suff w:val="nothing"/>
      <w:lvlText w:val="%1、"/>
      <w:lvlJc w:val="left"/>
    </w:lvl>
  </w:abstractNum>
  <w:abstractNum w:abstractNumId="26">
    <w:nsid w:val="775D71C9"/>
    <w:multiLevelType w:val="multilevel"/>
    <w:tmpl w:val="775D71C9"/>
    <w:lvl w:ilvl="0" w:tentative="0">
      <w:start w:val="1"/>
      <w:numFmt w:val="decimal"/>
      <w:pStyle w:val="7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7">
    <w:nsid w:val="7A822263"/>
    <w:multiLevelType w:val="singleLevel"/>
    <w:tmpl w:val="7A822263"/>
    <w:lvl w:ilvl="0" w:tentative="0">
      <w:start w:val="2"/>
      <w:numFmt w:val="decimal"/>
      <w:suff w:val="nothing"/>
      <w:lvlText w:val="（%1）"/>
      <w:lvlJc w:val="left"/>
    </w:lvl>
  </w:abstractNum>
  <w:num w:numId="1">
    <w:abstractNumId w:val="19"/>
  </w:num>
  <w:num w:numId="2">
    <w:abstractNumId w:val="20"/>
  </w:num>
  <w:num w:numId="3">
    <w:abstractNumId w:val="26"/>
  </w:num>
  <w:num w:numId="4">
    <w:abstractNumId w:val="9"/>
  </w:num>
  <w:num w:numId="5">
    <w:abstractNumId w:val="15"/>
  </w:num>
  <w:num w:numId="6">
    <w:abstractNumId w:val="6"/>
  </w:num>
  <w:num w:numId="7">
    <w:abstractNumId w:val="24"/>
  </w:num>
  <w:num w:numId="8">
    <w:abstractNumId w:val="22"/>
  </w:num>
  <w:num w:numId="9">
    <w:abstractNumId w:val="1"/>
  </w:num>
  <w:num w:numId="10">
    <w:abstractNumId w:val="3"/>
  </w:num>
  <w:num w:numId="11">
    <w:abstractNumId w:val="25"/>
  </w:num>
  <w:num w:numId="12">
    <w:abstractNumId w:val="27"/>
  </w:num>
  <w:num w:numId="13">
    <w:abstractNumId w:val="18"/>
  </w:num>
  <w:num w:numId="14">
    <w:abstractNumId w:val="10"/>
  </w:num>
  <w:num w:numId="15">
    <w:abstractNumId w:val="5"/>
  </w:num>
  <w:num w:numId="16">
    <w:abstractNumId w:val="2"/>
  </w:num>
  <w:num w:numId="17">
    <w:abstractNumId w:val="13"/>
  </w:num>
  <w:num w:numId="18">
    <w:abstractNumId w:val="14"/>
  </w:num>
  <w:num w:numId="19">
    <w:abstractNumId w:val="23"/>
  </w:num>
  <w:num w:numId="20">
    <w:abstractNumId w:val="0"/>
  </w:num>
  <w:num w:numId="21">
    <w:abstractNumId w:val="8"/>
  </w:num>
  <w:num w:numId="22">
    <w:abstractNumId w:val="7"/>
  </w:num>
  <w:num w:numId="23">
    <w:abstractNumId w:val="12"/>
  </w:num>
  <w:num w:numId="24">
    <w:abstractNumId w:val="16"/>
  </w:num>
  <w:num w:numId="25">
    <w:abstractNumId w:val="11"/>
  </w:num>
  <w:num w:numId="26">
    <w:abstractNumId w:val="17"/>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NDkxN2Y1NjM0YWZhNjU4MGNmOGVmZDNlZDA4YjcifQ=="/>
  </w:docVars>
  <w:rsids>
    <w:rsidRoot w:val="00172A27"/>
    <w:rsid w:val="00001E4D"/>
    <w:rsid w:val="000429DA"/>
    <w:rsid w:val="00050C1A"/>
    <w:rsid w:val="00083E32"/>
    <w:rsid w:val="000919B8"/>
    <w:rsid w:val="000A774A"/>
    <w:rsid w:val="000C0B12"/>
    <w:rsid w:val="000C49FD"/>
    <w:rsid w:val="000E6B8D"/>
    <w:rsid w:val="00172A27"/>
    <w:rsid w:val="001B79BE"/>
    <w:rsid w:val="003460C5"/>
    <w:rsid w:val="0035721D"/>
    <w:rsid w:val="003821EA"/>
    <w:rsid w:val="00383D41"/>
    <w:rsid w:val="00383EB6"/>
    <w:rsid w:val="003B2B6F"/>
    <w:rsid w:val="003E7497"/>
    <w:rsid w:val="00403859"/>
    <w:rsid w:val="00425369"/>
    <w:rsid w:val="00456D61"/>
    <w:rsid w:val="004721DA"/>
    <w:rsid w:val="00485CC0"/>
    <w:rsid w:val="004C661D"/>
    <w:rsid w:val="004D7E97"/>
    <w:rsid w:val="005014A9"/>
    <w:rsid w:val="00532419"/>
    <w:rsid w:val="0053287C"/>
    <w:rsid w:val="0054588D"/>
    <w:rsid w:val="00585941"/>
    <w:rsid w:val="005F3B69"/>
    <w:rsid w:val="00622188"/>
    <w:rsid w:val="00634048"/>
    <w:rsid w:val="006606C8"/>
    <w:rsid w:val="007018F9"/>
    <w:rsid w:val="00747392"/>
    <w:rsid w:val="007723DB"/>
    <w:rsid w:val="007A22D5"/>
    <w:rsid w:val="00833BAF"/>
    <w:rsid w:val="00837A64"/>
    <w:rsid w:val="008920FC"/>
    <w:rsid w:val="008D4DB1"/>
    <w:rsid w:val="008D558F"/>
    <w:rsid w:val="008E2745"/>
    <w:rsid w:val="00900C00"/>
    <w:rsid w:val="00932A9A"/>
    <w:rsid w:val="009815B3"/>
    <w:rsid w:val="009B6F6E"/>
    <w:rsid w:val="009C62EA"/>
    <w:rsid w:val="009D691B"/>
    <w:rsid w:val="009F36E5"/>
    <w:rsid w:val="00A166B7"/>
    <w:rsid w:val="00A91720"/>
    <w:rsid w:val="00AE2396"/>
    <w:rsid w:val="00B60C17"/>
    <w:rsid w:val="00B778F5"/>
    <w:rsid w:val="00B9442B"/>
    <w:rsid w:val="00BD0397"/>
    <w:rsid w:val="00BE4644"/>
    <w:rsid w:val="00C07293"/>
    <w:rsid w:val="00C23E67"/>
    <w:rsid w:val="00C3378A"/>
    <w:rsid w:val="00C85860"/>
    <w:rsid w:val="00C95222"/>
    <w:rsid w:val="00CA19DB"/>
    <w:rsid w:val="00CD1AA4"/>
    <w:rsid w:val="00DE0432"/>
    <w:rsid w:val="00E1155B"/>
    <w:rsid w:val="00E24D09"/>
    <w:rsid w:val="00E34E86"/>
    <w:rsid w:val="00E50C60"/>
    <w:rsid w:val="00EB5422"/>
    <w:rsid w:val="00EE5CD9"/>
    <w:rsid w:val="00F22913"/>
    <w:rsid w:val="00F34F68"/>
    <w:rsid w:val="00F46598"/>
    <w:rsid w:val="00F62D7D"/>
    <w:rsid w:val="00F73F7D"/>
    <w:rsid w:val="00F91B80"/>
    <w:rsid w:val="00FB0CCC"/>
    <w:rsid w:val="00FB27F6"/>
    <w:rsid w:val="00FC2704"/>
    <w:rsid w:val="00FE7A17"/>
    <w:rsid w:val="019365FD"/>
    <w:rsid w:val="01B64472"/>
    <w:rsid w:val="01E72409"/>
    <w:rsid w:val="02B302FB"/>
    <w:rsid w:val="02B44FE5"/>
    <w:rsid w:val="03387422"/>
    <w:rsid w:val="033E15B3"/>
    <w:rsid w:val="03B16EF7"/>
    <w:rsid w:val="0445447C"/>
    <w:rsid w:val="04BC3D2C"/>
    <w:rsid w:val="05DD1A8D"/>
    <w:rsid w:val="05E03CC2"/>
    <w:rsid w:val="05E85E14"/>
    <w:rsid w:val="05ED681F"/>
    <w:rsid w:val="05EE2C61"/>
    <w:rsid w:val="064866E3"/>
    <w:rsid w:val="06524044"/>
    <w:rsid w:val="06B94FC9"/>
    <w:rsid w:val="06E41C6E"/>
    <w:rsid w:val="079D1735"/>
    <w:rsid w:val="085C02E8"/>
    <w:rsid w:val="08A535BF"/>
    <w:rsid w:val="093360D8"/>
    <w:rsid w:val="09F806D5"/>
    <w:rsid w:val="0A3018E6"/>
    <w:rsid w:val="0A62364D"/>
    <w:rsid w:val="0A807D93"/>
    <w:rsid w:val="0AB0465B"/>
    <w:rsid w:val="0AE00969"/>
    <w:rsid w:val="0BC0142D"/>
    <w:rsid w:val="0C0B773F"/>
    <w:rsid w:val="0C0E14AE"/>
    <w:rsid w:val="0C126CBD"/>
    <w:rsid w:val="0C3E4B98"/>
    <w:rsid w:val="0C4B7F39"/>
    <w:rsid w:val="0C7A1CAA"/>
    <w:rsid w:val="0CC01B64"/>
    <w:rsid w:val="0DAC164E"/>
    <w:rsid w:val="0E522EA3"/>
    <w:rsid w:val="0E981463"/>
    <w:rsid w:val="0F1B0E76"/>
    <w:rsid w:val="0F903161"/>
    <w:rsid w:val="0F920C4B"/>
    <w:rsid w:val="0F9B63B7"/>
    <w:rsid w:val="0FD1467C"/>
    <w:rsid w:val="10163346"/>
    <w:rsid w:val="102B20CE"/>
    <w:rsid w:val="10384175"/>
    <w:rsid w:val="10884DCC"/>
    <w:rsid w:val="10A002DF"/>
    <w:rsid w:val="10E56888"/>
    <w:rsid w:val="110A2264"/>
    <w:rsid w:val="11586E93"/>
    <w:rsid w:val="119A4E1E"/>
    <w:rsid w:val="11B6359E"/>
    <w:rsid w:val="11D53DFB"/>
    <w:rsid w:val="122C440B"/>
    <w:rsid w:val="13F508D8"/>
    <w:rsid w:val="142C40EE"/>
    <w:rsid w:val="14685121"/>
    <w:rsid w:val="147676A3"/>
    <w:rsid w:val="148258FF"/>
    <w:rsid w:val="14C91617"/>
    <w:rsid w:val="15127240"/>
    <w:rsid w:val="156175AB"/>
    <w:rsid w:val="15BD74F8"/>
    <w:rsid w:val="15C3386A"/>
    <w:rsid w:val="165E30A0"/>
    <w:rsid w:val="16D620E1"/>
    <w:rsid w:val="17136442"/>
    <w:rsid w:val="175251CD"/>
    <w:rsid w:val="17907D70"/>
    <w:rsid w:val="17AE1868"/>
    <w:rsid w:val="19AC566D"/>
    <w:rsid w:val="19EE6B6E"/>
    <w:rsid w:val="1A256B6C"/>
    <w:rsid w:val="1A270381"/>
    <w:rsid w:val="1A55659E"/>
    <w:rsid w:val="1A7D1171"/>
    <w:rsid w:val="1B634B34"/>
    <w:rsid w:val="1B6F1C54"/>
    <w:rsid w:val="1B797E69"/>
    <w:rsid w:val="1BDE53F8"/>
    <w:rsid w:val="1D055F53"/>
    <w:rsid w:val="1D824BE1"/>
    <w:rsid w:val="1D88278C"/>
    <w:rsid w:val="1E361A0A"/>
    <w:rsid w:val="1E621004"/>
    <w:rsid w:val="1E632753"/>
    <w:rsid w:val="1F1E7F6E"/>
    <w:rsid w:val="1F3B5F52"/>
    <w:rsid w:val="1F6431A2"/>
    <w:rsid w:val="1F6B74EC"/>
    <w:rsid w:val="1F7624D3"/>
    <w:rsid w:val="1FC00FED"/>
    <w:rsid w:val="208868E2"/>
    <w:rsid w:val="20D709C2"/>
    <w:rsid w:val="21431105"/>
    <w:rsid w:val="21840DF7"/>
    <w:rsid w:val="22D228AE"/>
    <w:rsid w:val="22F54238"/>
    <w:rsid w:val="233B23E4"/>
    <w:rsid w:val="23F13BEE"/>
    <w:rsid w:val="24473190"/>
    <w:rsid w:val="24842925"/>
    <w:rsid w:val="24992BF2"/>
    <w:rsid w:val="24E25495"/>
    <w:rsid w:val="25F05147"/>
    <w:rsid w:val="26892DC9"/>
    <w:rsid w:val="26C44247"/>
    <w:rsid w:val="26D87888"/>
    <w:rsid w:val="27547EE0"/>
    <w:rsid w:val="27A61145"/>
    <w:rsid w:val="27D17710"/>
    <w:rsid w:val="28DF0072"/>
    <w:rsid w:val="293729D1"/>
    <w:rsid w:val="29614390"/>
    <w:rsid w:val="297631A2"/>
    <w:rsid w:val="29C60C1A"/>
    <w:rsid w:val="2A3061D4"/>
    <w:rsid w:val="2A5809ED"/>
    <w:rsid w:val="2A7D01D7"/>
    <w:rsid w:val="2A8E4FC4"/>
    <w:rsid w:val="2A903FD9"/>
    <w:rsid w:val="2AC93041"/>
    <w:rsid w:val="2AF52F66"/>
    <w:rsid w:val="2BEF6F07"/>
    <w:rsid w:val="2C5904E3"/>
    <w:rsid w:val="2C991EC8"/>
    <w:rsid w:val="2CB419AA"/>
    <w:rsid w:val="2CE1383B"/>
    <w:rsid w:val="2E25143B"/>
    <w:rsid w:val="2E474DC7"/>
    <w:rsid w:val="2EAA22AC"/>
    <w:rsid w:val="2EAF0D65"/>
    <w:rsid w:val="2F0544F5"/>
    <w:rsid w:val="2F305158"/>
    <w:rsid w:val="2F357A66"/>
    <w:rsid w:val="2F896FDD"/>
    <w:rsid w:val="2FB70F61"/>
    <w:rsid w:val="30065103"/>
    <w:rsid w:val="30134C11"/>
    <w:rsid w:val="30440E6B"/>
    <w:rsid w:val="30A36483"/>
    <w:rsid w:val="30B11B9D"/>
    <w:rsid w:val="316D1807"/>
    <w:rsid w:val="319005BF"/>
    <w:rsid w:val="31DA396B"/>
    <w:rsid w:val="32FF01E8"/>
    <w:rsid w:val="33103456"/>
    <w:rsid w:val="338945DF"/>
    <w:rsid w:val="3467525A"/>
    <w:rsid w:val="348679FE"/>
    <w:rsid w:val="348B1F47"/>
    <w:rsid w:val="34B35EC2"/>
    <w:rsid w:val="356F1B66"/>
    <w:rsid w:val="359754D3"/>
    <w:rsid w:val="35AC3F90"/>
    <w:rsid w:val="361639F6"/>
    <w:rsid w:val="36903005"/>
    <w:rsid w:val="36B057AA"/>
    <w:rsid w:val="36EB7435"/>
    <w:rsid w:val="372524E8"/>
    <w:rsid w:val="37E459A0"/>
    <w:rsid w:val="383A3CB7"/>
    <w:rsid w:val="383E6E45"/>
    <w:rsid w:val="38553EA0"/>
    <w:rsid w:val="38B4584C"/>
    <w:rsid w:val="38C25792"/>
    <w:rsid w:val="38CC3D78"/>
    <w:rsid w:val="38D16038"/>
    <w:rsid w:val="38F45497"/>
    <w:rsid w:val="397A0CC9"/>
    <w:rsid w:val="39AB186E"/>
    <w:rsid w:val="39B06558"/>
    <w:rsid w:val="3ADB20BA"/>
    <w:rsid w:val="3AF03133"/>
    <w:rsid w:val="3B5C5ED3"/>
    <w:rsid w:val="3B8B5808"/>
    <w:rsid w:val="3BE4734A"/>
    <w:rsid w:val="3BEC19D4"/>
    <w:rsid w:val="3C7D1030"/>
    <w:rsid w:val="3D510286"/>
    <w:rsid w:val="3D93388E"/>
    <w:rsid w:val="3D933EE9"/>
    <w:rsid w:val="3DC4722D"/>
    <w:rsid w:val="3E1A1489"/>
    <w:rsid w:val="3E9B60DB"/>
    <w:rsid w:val="3EA84C11"/>
    <w:rsid w:val="3FB31BAC"/>
    <w:rsid w:val="3FC41CD9"/>
    <w:rsid w:val="40AD72E6"/>
    <w:rsid w:val="413E2DA1"/>
    <w:rsid w:val="41590A70"/>
    <w:rsid w:val="41AD4A53"/>
    <w:rsid w:val="41EC0B88"/>
    <w:rsid w:val="41F87E22"/>
    <w:rsid w:val="422B68F4"/>
    <w:rsid w:val="42BB71F8"/>
    <w:rsid w:val="431D40AA"/>
    <w:rsid w:val="433E4EFA"/>
    <w:rsid w:val="43976EED"/>
    <w:rsid w:val="43F66561"/>
    <w:rsid w:val="444670A1"/>
    <w:rsid w:val="44564BC8"/>
    <w:rsid w:val="44EA6C94"/>
    <w:rsid w:val="4540303C"/>
    <w:rsid w:val="463B6DDE"/>
    <w:rsid w:val="464850DE"/>
    <w:rsid w:val="4748264E"/>
    <w:rsid w:val="476F44E3"/>
    <w:rsid w:val="47BD1931"/>
    <w:rsid w:val="47DB60B2"/>
    <w:rsid w:val="48692218"/>
    <w:rsid w:val="48AD05CC"/>
    <w:rsid w:val="48C444B5"/>
    <w:rsid w:val="490379F4"/>
    <w:rsid w:val="4991303E"/>
    <w:rsid w:val="49A919A6"/>
    <w:rsid w:val="4B355BFC"/>
    <w:rsid w:val="4B6445F8"/>
    <w:rsid w:val="4B9A1AAD"/>
    <w:rsid w:val="4BC30B63"/>
    <w:rsid w:val="4BFD4BA6"/>
    <w:rsid w:val="4DA347EF"/>
    <w:rsid w:val="4DDA14DE"/>
    <w:rsid w:val="4E2C790D"/>
    <w:rsid w:val="4EA827F5"/>
    <w:rsid w:val="4EFF36B5"/>
    <w:rsid w:val="4F0C7245"/>
    <w:rsid w:val="4F4536A4"/>
    <w:rsid w:val="4F4E23E4"/>
    <w:rsid w:val="4FB24B47"/>
    <w:rsid w:val="50103961"/>
    <w:rsid w:val="504B0065"/>
    <w:rsid w:val="50842A15"/>
    <w:rsid w:val="50DD4A90"/>
    <w:rsid w:val="513B212A"/>
    <w:rsid w:val="51786CD7"/>
    <w:rsid w:val="517B0E21"/>
    <w:rsid w:val="519053F5"/>
    <w:rsid w:val="51BB3F27"/>
    <w:rsid w:val="51CA794A"/>
    <w:rsid w:val="51D51F5B"/>
    <w:rsid w:val="52233DDC"/>
    <w:rsid w:val="53695FBA"/>
    <w:rsid w:val="536E2E56"/>
    <w:rsid w:val="53EA422B"/>
    <w:rsid w:val="541F345A"/>
    <w:rsid w:val="54713453"/>
    <w:rsid w:val="549C3924"/>
    <w:rsid w:val="55693D64"/>
    <w:rsid w:val="56282026"/>
    <w:rsid w:val="568B1357"/>
    <w:rsid w:val="5744152B"/>
    <w:rsid w:val="581A71FB"/>
    <w:rsid w:val="590E2F0E"/>
    <w:rsid w:val="59B20025"/>
    <w:rsid w:val="5A100965"/>
    <w:rsid w:val="5AFF7E07"/>
    <w:rsid w:val="5B9D51E8"/>
    <w:rsid w:val="5C0F751C"/>
    <w:rsid w:val="5C252A4E"/>
    <w:rsid w:val="5C4901D3"/>
    <w:rsid w:val="5D3138DB"/>
    <w:rsid w:val="5DBC04BC"/>
    <w:rsid w:val="5DC0165F"/>
    <w:rsid w:val="5EE47963"/>
    <w:rsid w:val="5EFF21FB"/>
    <w:rsid w:val="5F8407C4"/>
    <w:rsid w:val="5FE94CAA"/>
    <w:rsid w:val="5FFC6668"/>
    <w:rsid w:val="60604A83"/>
    <w:rsid w:val="614F6C40"/>
    <w:rsid w:val="619D1AB7"/>
    <w:rsid w:val="61CF61DE"/>
    <w:rsid w:val="625744A0"/>
    <w:rsid w:val="628153F7"/>
    <w:rsid w:val="631037FE"/>
    <w:rsid w:val="63132D87"/>
    <w:rsid w:val="638246FB"/>
    <w:rsid w:val="63FA2108"/>
    <w:rsid w:val="64041EBF"/>
    <w:rsid w:val="64726A7F"/>
    <w:rsid w:val="64B97319"/>
    <w:rsid w:val="64C15935"/>
    <w:rsid w:val="64C55C09"/>
    <w:rsid w:val="64E01E13"/>
    <w:rsid w:val="658B4160"/>
    <w:rsid w:val="66201650"/>
    <w:rsid w:val="6624644D"/>
    <w:rsid w:val="676F44A7"/>
    <w:rsid w:val="67860DAD"/>
    <w:rsid w:val="67E841F7"/>
    <w:rsid w:val="682B0AE0"/>
    <w:rsid w:val="682B5336"/>
    <w:rsid w:val="683B79BD"/>
    <w:rsid w:val="68B25165"/>
    <w:rsid w:val="68FC4F33"/>
    <w:rsid w:val="697754C1"/>
    <w:rsid w:val="6A5063C6"/>
    <w:rsid w:val="6AA5206F"/>
    <w:rsid w:val="6AA52A94"/>
    <w:rsid w:val="6ABA5843"/>
    <w:rsid w:val="6ADD1643"/>
    <w:rsid w:val="6B2379BD"/>
    <w:rsid w:val="6B423620"/>
    <w:rsid w:val="6B83219D"/>
    <w:rsid w:val="6B9F2748"/>
    <w:rsid w:val="6C0323EB"/>
    <w:rsid w:val="6CCC3D08"/>
    <w:rsid w:val="6D2D5281"/>
    <w:rsid w:val="6D700C73"/>
    <w:rsid w:val="6D816026"/>
    <w:rsid w:val="6DA938EC"/>
    <w:rsid w:val="6DC72854"/>
    <w:rsid w:val="6DF573B1"/>
    <w:rsid w:val="6E3E6BF5"/>
    <w:rsid w:val="6E5D314B"/>
    <w:rsid w:val="6E7F1BE6"/>
    <w:rsid w:val="6EA866FE"/>
    <w:rsid w:val="6EE94D28"/>
    <w:rsid w:val="6EE955FB"/>
    <w:rsid w:val="6F0066C0"/>
    <w:rsid w:val="6F7C1F23"/>
    <w:rsid w:val="6FA75098"/>
    <w:rsid w:val="70035285"/>
    <w:rsid w:val="701A3EDA"/>
    <w:rsid w:val="70327AB7"/>
    <w:rsid w:val="709F227A"/>
    <w:rsid w:val="70A07CD6"/>
    <w:rsid w:val="711608BF"/>
    <w:rsid w:val="715C47C6"/>
    <w:rsid w:val="716A2B50"/>
    <w:rsid w:val="71CF7C7E"/>
    <w:rsid w:val="720D7B0B"/>
    <w:rsid w:val="72154B8A"/>
    <w:rsid w:val="72890F2C"/>
    <w:rsid w:val="72FB6680"/>
    <w:rsid w:val="73346811"/>
    <w:rsid w:val="74911353"/>
    <w:rsid w:val="74AE0FCE"/>
    <w:rsid w:val="75215A14"/>
    <w:rsid w:val="75AE6035"/>
    <w:rsid w:val="75FE5B2D"/>
    <w:rsid w:val="766F362C"/>
    <w:rsid w:val="76A23547"/>
    <w:rsid w:val="771760F8"/>
    <w:rsid w:val="77231F44"/>
    <w:rsid w:val="776A6614"/>
    <w:rsid w:val="77FF6BD9"/>
    <w:rsid w:val="781A32C8"/>
    <w:rsid w:val="782913B4"/>
    <w:rsid w:val="784C284B"/>
    <w:rsid w:val="78672EFB"/>
    <w:rsid w:val="790C4746"/>
    <w:rsid w:val="795A6A75"/>
    <w:rsid w:val="795E4CB2"/>
    <w:rsid w:val="796D4A86"/>
    <w:rsid w:val="7993699F"/>
    <w:rsid w:val="79DF6E23"/>
    <w:rsid w:val="79FE6ADB"/>
    <w:rsid w:val="79FF2811"/>
    <w:rsid w:val="7A562C37"/>
    <w:rsid w:val="7A770168"/>
    <w:rsid w:val="7BDA16C6"/>
    <w:rsid w:val="7BE77632"/>
    <w:rsid w:val="7C35774E"/>
    <w:rsid w:val="7DEF0B79"/>
    <w:rsid w:val="7E37562E"/>
    <w:rsid w:val="7E582DCD"/>
    <w:rsid w:val="7EFC491C"/>
    <w:rsid w:val="7F2D7C08"/>
    <w:rsid w:val="7FE9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5" w:lineRule="auto"/>
      <w:outlineLvl w:val="2"/>
    </w:pPr>
    <w:rPr>
      <w:b/>
      <w:bCs/>
      <w:kern w:val="0"/>
      <w:sz w:val="32"/>
      <w:szCs w:val="32"/>
    </w:rPr>
  </w:style>
  <w:style w:type="paragraph" w:styleId="7">
    <w:name w:val="heading 4"/>
    <w:basedOn w:val="1"/>
    <w:next w:val="1"/>
    <w:qFormat/>
    <w:uiPriority w:val="0"/>
    <w:pPr>
      <w:keepNext/>
      <w:keepLines/>
      <w:spacing w:before="280" w:after="290" w:line="377" w:lineRule="auto"/>
      <w:outlineLvl w:val="3"/>
    </w:pPr>
    <w:rPr>
      <w:rFonts w:ascii="Cambria" w:hAnsi="Cambria"/>
      <w:b/>
      <w:bCs/>
      <w:kern w:val="0"/>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30"/>
    </w:pPr>
    <w:rPr>
      <w:rFonts w:ascii="宋体"/>
      <w:kern w:val="0"/>
      <w:sz w:val="32"/>
      <w:szCs w:val="20"/>
    </w:rPr>
  </w:style>
  <w:style w:type="paragraph" w:styleId="8">
    <w:name w:val="Normal Indent"/>
    <w:basedOn w:val="1"/>
    <w:qFormat/>
    <w:uiPriority w:val="0"/>
    <w:pPr>
      <w:ind w:firstLine="200" w:firstLineChars="200"/>
    </w:pPr>
    <w:rPr>
      <w:rFonts w:ascii="Times New Roman" w:hAnsi="Times New Roman"/>
      <w:szCs w:val="24"/>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0"/>
    <w:unhideWhenUsed/>
    <w:qFormat/>
    <w:uiPriority w:val="99"/>
    <w:pPr>
      <w:ind w:firstLine="420" w:firstLineChars="100"/>
    </w:pPr>
  </w:style>
  <w:style w:type="paragraph" w:styleId="12">
    <w:name w:val="toc 3"/>
    <w:basedOn w:val="1"/>
    <w:next w:val="1"/>
    <w:qFormat/>
    <w:uiPriority w:val="0"/>
    <w:pPr>
      <w:tabs>
        <w:tab w:val="right" w:leader="dot" w:pos="8296"/>
      </w:tabs>
      <w:ind w:left="400" w:leftChars="400"/>
    </w:pPr>
  </w:style>
  <w:style w:type="paragraph" w:styleId="13">
    <w:name w:val="Plain Text"/>
    <w:basedOn w:val="1"/>
    <w:qFormat/>
    <w:uiPriority w:val="0"/>
    <w:rPr>
      <w:rFonts w:ascii="宋体" w:hAnsi="Courier New"/>
      <w:szCs w:val="20"/>
    </w:rPr>
  </w:style>
  <w:style w:type="paragraph" w:styleId="14">
    <w:name w:val="Date"/>
    <w:basedOn w:val="1"/>
    <w:next w:val="1"/>
    <w:qFormat/>
    <w:uiPriority w:val="0"/>
    <w:rPr>
      <w:szCs w:val="20"/>
    </w:rPr>
  </w:style>
  <w:style w:type="paragraph" w:styleId="15">
    <w:name w:val="Body Text Indent 2"/>
    <w:basedOn w:val="1"/>
    <w:qFormat/>
    <w:uiPriority w:val="0"/>
    <w:pPr>
      <w:spacing w:after="120" w:line="480" w:lineRule="auto"/>
      <w:ind w:left="200" w:leftChars="200"/>
    </w:pPr>
  </w:style>
  <w:style w:type="paragraph" w:styleId="16">
    <w:name w:val="Balloon Text"/>
    <w:basedOn w:val="1"/>
    <w:qFormat/>
    <w:uiPriority w:val="0"/>
    <w:rPr>
      <w:kern w:val="0"/>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Normal (Web)"/>
    <w:basedOn w:val="1"/>
    <w:qFormat/>
    <w:uiPriority w:val="0"/>
    <w:pPr>
      <w:widowControl/>
      <w:jc w:val="left"/>
    </w:pPr>
    <w:rPr>
      <w:rFonts w:ascii="宋体" w:cs="宋体"/>
      <w:kern w:val="0"/>
      <w:sz w:val="24"/>
      <w:szCs w:val="24"/>
    </w:rPr>
  </w:style>
  <w:style w:type="paragraph" w:styleId="22">
    <w:name w:val="Title"/>
    <w:basedOn w:val="1"/>
    <w:next w:val="1"/>
    <w:qFormat/>
    <w:uiPriority w:val="99"/>
    <w:pPr>
      <w:spacing w:before="240" w:after="60"/>
      <w:jc w:val="center"/>
      <w:outlineLvl w:val="0"/>
    </w:pPr>
    <w:rPr>
      <w:b/>
      <w:bCs/>
      <w:sz w:val="32"/>
      <w:szCs w:val="32"/>
    </w:rPr>
  </w:style>
  <w:style w:type="paragraph" w:styleId="23">
    <w:name w:val="annotation subject"/>
    <w:basedOn w:val="9"/>
    <w:next w:val="9"/>
    <w:qFormat/>
    <w:uiPriority w:val="0"/>
    <w:rPr>
      <w:b/>
      <w:bCs/>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Hyperlink"/>
    <w:qFormat/>
    <w:uiPriority w:val="0"/>
    <w:rPr>
      <w:color w:val="333333"/>
      <w:u w:val="none"/>
    </w:rPr>
  </w:style>
  <w:style w:type="character" w:styleId="31">
    <w:name w:val="annotation reference"/>
    <w:qFormat/>
    <w:uiPriority w:val="0"/>
    <w:rPr>
      <w:sz w:val="21"/>
      <w:szCs w:val="21"/>
    </w:rPr>
  </w:style>
  <w:style w:type="paragraph" w:customStyle="1" w:styleId="32">
    <w:name w:val="首行缩进"/>
    <w:basedOn w:val="1"/>
    <w:qFormat/>
    <w:uiPriority w:val="99"/>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正文首行缩进两字符"/>
    <w:basedOn w:val="1"/>
    <w:qFormat/>
    <w:uiPriority w:val="0"/>
    <w:pPr>
      <w:spacing w:line="360" w:lineRule="auto"/>
      <w:ind w:firstLine="200" w:firstLineChars="200"/>
    </w:pPr>
    <w:rPr>
      <w:rFonts w:ascii="宋体"/>
      <w:kern w:val="0"/>
      <w:sz w:val="34"/>
      <w:szCs w:val="20"/>
    </w:rPr>
  </w:style>
  <w:style w:type="paragraph" w:customStyle="1" w:styleId="3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7">
    <w:name w:val="列出段落1"/>
    <w:basedOn w:val="1"/>
    <w:qFormat/>
    <w:uiPriority w:val="0"/>
    <w:pPr>
      <w:ind w:firstLine="200" w:firstLineChars="200"/>
    </w:pPr>
  </w:style>
  <w:style w:type="paragraph" w:customStyle="1" w:styleId="38">
    <w:name w:val="表格"/>
    <w:basedOn w:val="1"/>
    <w:qFormat/>
    <w:uiPriority w:val="0"/>
    <w:pPr>
      <w:spacing w:line="400" w:lineRule="exact"/>
    </w:pPr>
    <w:rPr>
      <w:rFonts w:ascii="宋体"/>
      <w:kern w:val="0"/>
      <w:sz w:val="24"/>
      <w:szCs w:val="20"/>
    </w:rPr>
  </w:style>
  <w:style w:type="paragraph" w:customStyle="1" w:styleId="39">
    <w:name w:val="样式 首行缩进:  2 字符"/>
    <w:next w:val="23"/>
    <w:qFormat/>
    <w:uiPriority w:val="0"/>
    <w:pPr>
      <w:widowControl w:val="0"/>
      <w:spacing w:line="400" w:lineRule="exact"/>
      <w:ind w:firstLine="200" w:firstLineChars="200"/>
      <w:jc w:val="both"/>
    </w:pPr>
    <w:rPr>
      <w:rFonts w:ascii="宋体" w:hAnsi="Times New Roman" w:eastAsia="宋体" w:cs="宋体"/>
      <w:sz w:val="24"/>
      <w:lang w:val="en-US" w:eastAsia="zh-CN" w:bidi="ar-SA"/>
    </w:rPr>
  </w:style>
  <w:style w:type="paragraph" w:customStyle="1" w:styleId="40">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2"/>
    <w:qFormat/>
    <w:uiPriority w:val="0"/>
    <w:rPr>
      <w:rFonts w:ascii="Times New Roman" w:hAnsi="Times New Roman" w:eastAsia="Times New Roman" w:cs="Times New Roman"/>
      <w:sz w:val="24"/>
      <w:szCs w:val="24"/>
      <w:lang w:val="en-US" w:eastAsia="zh-CN" w:bidi="ar-SA"/>
    </w:rPr>
  </w:style>
  <w:style w:type="paragraph" w:customStyle="1" w:styleId="43">
    <w:name w:val="MsoNormal"/>
    <w:basedOn w:val="42"/>
    <w:qFormat/>
    <w:uiPriority w:val="0"/>
    <w:rPr>
      <w:rFonts w:ascii="Calibri" w:hAnsi="Calibri" w:eastAsia="Calibri"/>
      <w:sz w:val="21"/>
    </w:rPr>
  </w:style>
  <w:style w:type="paragraph" w:customStyle="1" w:styleId="44">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 首行缩进:  2 字符_0"/>
    <w:basedOn w:val="45"/>
    <w:qFormat/>
    <w:uiPriority w:val="0"/>
    <w:pPr>
      <w:spacing w:line="400" w:lineRule="exact"/>
      <w:ind w:firstLine="200" w:firstLineChars="200"/>
    </w:pPr>
    <w:rPr>
      <w:rFonts w:ascii="宋体" w:cs="宋体"/>
      <w:kern w:val="0"/>
      <w:sz w:val="24"/>
      <w:szCs w:val="20"/>
    </w:rPr>
  </w:style>
  <w:style w:type="paragraph" w:customStyle="1" w:styleId="47">
    <w:name w:val="正文缩进_0"/>
    <w:basedOn w:val="45"/>
    <w:qFormat/>
    <w:uiPriority w:val="0"/>
    <w:pPr>
      <w:adjustRightInd w:val="0"/>
      <w:spacing w:line="360" w:lineRule="atLeast"/>
      <w:ind w:firstLine="482"/>
    </w:pPr>
    <w:rPr>
      <w:rFonts w:ascii="Calibri" w:hAnsi="Calibri"/>
      <w:kern w:val="0"/>
      <w:sz w:val="24"/>
      <w:szCs w:val="20"/>
    </w:rPr>
  </w:style>
  <w:style w:type="paragraph" w:customStyle="1" w:styleId="48">
    <w:name w:val="_Style 1"/>
    <w:basedOn w:val="1"/>
    <w:qFormat/>
    <w:uiPriority w:val="0"/>
    <w:pPr>
      <w:ind w:firstLine="200" w:firstLineChars="200"/>
    </w:pPr>
    <w:rPr>
      <w:rFonts w:ascii="宋体"/>
      <w:kern w:val="0"/>
      <w:sz w:val="18"/>
      <w:szCs w:val="18"/>
    </w:rPr>
  </w:style>
  <w:style w:type="paragraph" w:customStyle="1" w:styleId="49">
    <w:name w:val="列出段落2"/>
    <w:next w:val="19"/>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50">
    <w:name w:val="列出段落3"/>
    <w:next w:val="20"/>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51">
    <w:name w:val="p0"/>
    <w:next w:val="12"/>
    <w:qFormat/>
    <w:uiPriority w:val="0"/>
    <w:pPr>
      <w:jc w:val="both"/>
    </w:pPr>
    <w:rPr>
      <w:rFonts w:ascii="Calibri" w:hAnsi="Calibri" w:eastAsia="Arial Unicode MS" w:cs="Times New Roman"/>
      <w:sz w:val="21"/>
      <w:lang w:val="en-US" w:eastAsia="zh-CN" w:bidi="ar-SA"/>
    </w:rPr>
  </w:style>
  <w:style w:type="paragraph" w:customStyle="1" w:styleId="52">
    <w:name w:val="_Style 3"/>
    <w:basedOn w:val="1"/>
    <w:qFormat/>
    <w:uiPriority w:val="0"/>
    <w:pPr>
      <w:ind w:firstLine="420" w:firstLineChars="200"/>
    </w:pPr>
  </w:style>
  <w:style w:type="paragraph" w:customStyle="1" w:styleId="53">
    <w:name w:val="列出段落21"/>
    <w:next w:val="19"/>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54">
    <w:name w:val="List Paragraph"/>
    <w:basedOn w:val="1"/>
    <w:unhideWhenUsed/>
    <w:qFormat/>
    <w:uiPriority w:val="99"/>
    <w:pPr>
      <w:ind w:firstLine="420" w:firstLineChars="200"/>
    </w:pPr>
  </w:style>
  <w:style w:type="character" w:customStyle="1" w:styleId="55">
    <w:name w:val="font51"/>
    <w:basedOn w:val="26"/>
    <w:qFormat/>
    <w:uiPriority w:val="0"/>
    <w:rPr>
      <w:rFonts w:hint="eastAsia" w:ascii="宋体" w:hAnsi="宋体" w:eastAsia="宋体" w:cs="宋体"/>
      <w:color w:val="000000"/>
      <w:sz w:val="18"/>
      <w:szCs w:val="18"/>
      <w:u w:val="none"/>
    </w:rPr>
  </w:style>
  <w:style w:type="character" w:customStyle="1" w:styleId="56">
    <w:name w:val="font11"/>
    <w:basedOn w:val="26"/>
    <w:qFormat/>
    <w:uiPriority w:val="0"/>
    <w:rPr>
      <w:rFonts w:hint="eastAsia" w:ascii="宋体" w:hAnsi="宋体" w:eastAsia="宋体" w:cs="宋体"/>
      <w:b/>
      <w:color w:val="000000"/>
      <w:sz w:val="18"/>
      <w:szCs w:val="18"/>
      <w:u w:val="none"/>
    </w:rPr>
  </w:style>
  <w:style w:type="character" w:customStyle="1" w:styleId="57">
    <w:name w:val="font41"/>
    <w:basedOn w:val="26"/>
    <w:qFormat/>
    <w:uiPriority w:val="0"/>
    <w:rPr>
      <w:rFonts w:hint="eastAsia" w:ascii="宋体" w:hAnsi="宋体" w:eastAsia="宋体" w:cs="宋体"/>
      <w:color w:val="000000"/>
      <w:sz w:val="24"/>
      <w:szCs w:val="24"/>
      <w:u w:val="none"/>
    </w:rPr>
  </w:style>
  <w:style w:type="character" w:customStyle="1" w:styleId="58">
    <w:name w:val="font01"/>
    <w:basedOn w:val="26"/>
    <w:qFormat/>
    <w:uiPriority w:val="0"/>
    <w:rPr>
      <w:rFonts w:hint="default" w:ascii="Times New Roman" w:hAnsi="Times New Roman" w:cs="Times New Roman"/>
      <w:color w:val="000000"/>
      <w:sz w:val="24"/>
      <w:szCs w:val="24"/>
      <w:u w:val="none"/>
      <w:vertAlign w:val="superscript"/>
    </w:rPr>
  </w:style>
  <w:style w:type="paragraph" w:customStyle="1" w:styleId="59">
    <w:name w:val="正文 A"/>
    <w:qFormat/>
    <w:uiPriority w:val="0"/>
    <w:pPr>
      <w:framePr w:wrap="around" w:vAnchor="margin" w:hAnchor="text" w:y="1"/>
    </w:pPr>
    <w:rPr>
      <w:rFonts w:ascii="Helvetica" w:hAnsi="Helvetica" w:eastAsia="Arial Unicode MS" w:cs="Arial Unicode MS"/>
      <w:color w:val="000000"/>
      <w:kern w:val="0"/>
      <w:sz w:val="22"/>
      <w:szCs w:val="22"/>
      <w:lang w:val="en-US" w:eastAsia="zh-CN" w:bidi="ar-SA"/>
    </w:rPr>
  </w:style>
  <w:style w:type="paragraph" w:customStyle="1" w:styleId="60">
    <w:name w:val="标题1"/>
    <w:basedOn w:val="54"/>
    <w:qFormat/>
    <w:uiPriority w:val="99"/>
    <w:pPr>
      <w:numPr>
        <w:ilvl w:val="0"/>
        <w:numId w:val="1"/>
      </w:numPr>
      <w:ind w:left="0" w:leftChars="100" w:right="100" w:rightChars="100" w:firstLine="0" w:firstLineChars="0"/>
    </w:pPr>
    <w:rPr>
      <w:rFonts w:ascii="微软雅黑" w:hAnsi="微软雅黑" w:eastAsia="微软雅黑" w:cs="微软雅黑"/>
      <w:b/>
      <w:bCs/>
      <w:kern w:val="2"/>
    </w:rPr>
  </w:style>
  <w:style w:type="paragraph" w:customStyle="1" w:styleId="61">
    <w:name w:val="标题2"/>
    <w:basedOn w:val="60"/>
    <w:qFormat/>
    <w:uiPriority w:val="99"/>
    <w:pPr>
      <w:numPr>
        <w:numId w:val="2"/>
      </w:numPr>
      <w:spacing w:line="500" w:lineRule="exact"/>
    </w:pPr>
    <w:rPr>
      <w:b w:val="0"/>
      <w:bCs w:val="0"/>
      <w:sz w:val="21"/>
      <w:szCs w:val="21"/>
    </w:rPr>
  </w:style>
  <w:style w:type="character" w:customStyle="1" w:styleId="62">
    <w:name w:val="font21"/>
    <w:basedOn w:val="26"/>
    <w:qFormat/>
    <w:uiPriority w:val="0"/>
    <w:rPr>
      <w:rFonts w:hint="eastAsia" w:ascii="宋体" w:hAnsi="宋体" w:eastAsia="宋体" w:cs="宋体"/>
      <w:color w:val="000000"/>
      <w:sz w:val="20"/>
      <w:szCs w:val="20"/>
      <w:u w:val="none"/>
    </w:rPr>
  </w:style>
  <w:style w:type="character" w:customStyle="1" w:styleId="63">
    <w:name w:val="font31"/>
    <w:basedOn w:val="26"/>
    <w:qFormat/>
    <w:uiPriority w:val="0"/>
    <w:rPr>
      <w:rFonts w:hint="eastAsia" w:ascii="宋体" w:hAnsi="宋体" w:eastAsia="宋体" w:cs="宋体"/>
      <w:color w:val="000000"/>
      <w:sz w:val="22"/>
      <w:szCs w:val="22"/>
      <w:u w:val="none"/>
    </w:rPr>
  </w:style>
  <w:style w:type="character" w:customStyle="1" w:styleId="64">
    <w:name w:val="font61"/>
    <w:basedOn w:val="26"/>
    <w:qFormat/>
    <w:uiPriority w:val="0"/>
    <w:rPr>
      <w:rFonts w:hint="eastAsia" w:ascii="宋体" w:hAnsi="宋体" w:eastAsia="宋体" w:cs="宋体"/>
      <w:color w:val="000000"/>
      <w:sz w:val="20"/>
      <w:szCs w:val="20"/>
      <w:u w:val="none"/>
    </w:rPr>
  </w:style>
  <w:style w:type="character" w:customStyle="1" w:styleId="65">
    <w:name w:val="font71"/>
    <w:basedOn w:val="26"/>
    <w:qFormat/>
    <w:uiPriority w:val="0"/>
    <w:rPr>
      <w:rFonts w:hint="default" w:ascii="Times New Roman" w:hAnsi="Times New Roman" w:cs="Times New Roman"/>
      <w:color w:val="000000"/>
      <w:sz w:val="20"/>
      <w:szCs w:val="20"/>
      <w:u w:val="none"/>
    </w:rPr>
  </w:style>
  <w:style w:type="paragraph" w:customStyle="1" w:styleId="66">
    <w:name w:val="列表段落1"/>
    <w:basedOn w:val="1"/>
    <w:qFormat/>
    <w:uiPriority w:val="34"/>
    <w:pPr>
      <w:ind w:firstLine="420" w:firstLineChars="200"/>
    </w:pPr>
    <w:rPr>
      <w:rFonts w:ascii="Calibri" w:hAnsi="Calibri"/>
      <w:szCs w:val="22"/>
    </w:rPr>
  </w:style>
  <w:style w:type="paragraph" w:customStyle="1" w:styleId="67">
    <w:name w:val="正文文本 (2)4"/>
    <w:basedOn w:val="1"/>
    <w:qFormat/>
    <w:uiPriority w:val="0"/>
    <w:pPr>
      <w:shd w:val="clear" w:color="auto" w:fill="FFFFFF"/>
      <w:spacing w:line="624" w:lineRule="exact"/>
      <w:ind w:hanging="640"/>
      <w:jc w:val="distribute"/>
    </w:pPr>
    <w:rPr>
      <w:rFonts w:ascii="MingLiU" w:hAnsi="MingLiU" w:eastAsia="MingLiU" w:cs="MingLiU"/>
      <w:sz w:val="26"/>
      <w:szCs w:val="26"/>
    </w:rPr>
  </w:style>
  <w:style w:type="paragraph" w:customStyle="1" w:styleId="68">
    <w:name w:val="正文文本 (4)"/>
    <w:basedOn w:val="1"/>
    <w:qFormat/>
    <w:uiPriority w:val="0"/>
    <w:pPr>
      <w:shd w:val="clear" w:color="auto" w:fill="FFFFFF"/>
      <w:spacing w:line="1253" w:lineRule="exact"/>
    </w:pPr>
    <w:rPr>
      <w:rFonts w:ascii="MingLiU" w:hAnsi="MingLiU" w:eastAsia="MingLiU" w:cs="MingLiU"/>
      <w:b/>
      <w:bCs/>
      <w:sz w:val="28"/>
      <w:szCs w:val="28"/>
    </w:rPr>
  </w:style>
  <w:style w:type="paragraph" w:customStyle="1" w:styleId="69">
    <w:name w:val="标题 #3"/>
    <w:basedOn w:val="1"/>
    <w:qFormat/>
    <w:uiPriority w:val="0"/>
    <w:pPr>
      <w:shd w:val="clear" w:color="auto" w:fill="FFFFFF"/>
      <w:spacing w:line="523" w:lineRule="exact"/>
      <w:jc w:val="center"/>
      <w:outlineLvl w:val="2"/>
    </w:pPr>
    <w:rPr>
      <w:rFonts w:ascii="MingLiU" w:hAnsi="MingLiU" w:eastAsia="MingLiU" w:cs="MingLiU"/>
      <w:b/>
      <w:bCs/>
      <w:sz w:val="28"/>
      <w:szCs w:val="28"/>
    </w:rPr>
  </w:style>
  <w:style w:type="paragraph" w:customStyle="1" w:styleId="70">
    <w:name w:val="字母编号列项（一级）"/>
    <w:qFormat/>
    <w:uiPriority w:val="0"/>
    <w:pPr>
      <w:numPr>
        <w:ilvl w:val="0"/>
        <w:numId w:val="3"/>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6E4B-1123-497B-8C47-23B2DB301A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148</Pages>
  <Words>66121</Words>
  <Characters>74093</Characters>
  <Lines>414</Lines>
  <Paragraphs>116</Paragraphs>
  <TotalTime>98</TotalTime>
  <ScaleCrop>false</ScaleCrop>
  <LinksUpToDate>false</LinksUpToDate>
  <CharactersWithSpaces>76764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2019-07-10T06:32:00Z</dcterms:created>
  <dc:creator>李伟</dc:creator>
  <cp:lastModifiedBy>Administrator</cp:lastModifiedBy>
  <cp:lastPrinted>2022-05-06T00:44:00Z</cp:lastPrinted>
  <dcterms:modified xsi:type="dcterms:W3CDTF">2022-06-30T03:43:16Z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4079F17704BD4009B6C8F920FB25123F</vt:lpwstr>
  </property>
</Properties>
</file>