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8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jc w:val="center"/>
              <w:rPr>
                <w:rFonts w:ascii="宋体" w:hAnsi="宋体" w:cs="宋体"/>
                <w:szCs w:val="21"/>
              </w:rPr>
            </w:pPr>
            <w:r>
              <w:rPr>
                <w:rFonts w:hint="eastAsia" w:ascii="宋体" w:hAnsi="宋体" w:cs="黑体"/>
                <w:szCs w:val="21"/>
              </w:rPr>
              <w:t>器材消防车（宿营车）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bCs/>
                <w:szCs w:val="21"/>
              </w:rPr>
            </w:pPr>
            <w:bookmarkStart w:id="0" w:name="_GoBack"/>
            <w:bookmarkEnd w:id="0"/>
            <w:r>
              <w:rPr>
                <w:rFonts w:hint="eastAsia" w:ascii="宋体" w:hAnsi="宋体" w:cs="宋体"/>
                <w:b/>
                <w:bCs/>
                <w:szCs w:val="21"/>
              </w:rPr>
              <w:t>预算单价：150万元/辆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bCs/>
                <w:szCs w:val="21"/>
              </w:rPr>
            </w:pPr>
            <w:r>
              <w:rPr>
                <w:rFonts w:hint="eastAsia" w:ascii="宋体" w:hAnsi="宋体" w:cs="宋体"/>
                <w:b/>
                <w:bCs/>
                <w:szCs w:val="21"/>
              </w:rPr>
              <w:t>1、整车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Theme="minorEastAsia" w:hAnsiTheme="minorEastAsia" w:eastAsiaTheme="minorEastAsia" w:cstheme="minorEastAsia"/>
                <w:color w:val="auto"/>
                <w:sz w:val="21"/>
                <w:szCs w:val="21"/>
                <w:highlight w:val="none"/>
              </w:rPr>
              <w:t>外廓尺寸</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≤长</w:t>
            </w:r>
            <w:r>
              <w:rPr>
                <w:rFonts w:hint="eastAsia" w:asciiTheme="minorEastAsia" w:hAnsiTheme="minorEastAsia" w:cstheme="minorEastAsia"/>
                <w:color w:val="auto"/>
                <w:sz w:val="21"/>
                <w:szCs w:val="21"/>
                <w:highlight w:val="none"/>
                <w:lang w:val="en-US" w:eastAsia="zh-CN"/>
              </w:rPr>
              <w:t>900</w:t>
            </w:r>
            <w:r>
              <w:rPr>
                <w:rFonts w:hint="eastAsia" w:asciiTheme="minorEastAsia" w:hAnsiTheme="minorEastAsia" w:eastAsiaTheme="minorEastAsia" w:cstheme="minorEastAsia"/>
                <w:color w:val="auto"/>
                <w:sz w:val="21"/>
                <w:szCs w:val="21"/>
                <w:highlight w:val="none"/>
              </w:rPr>
              <w:t>0mm×宽2550mm×高4000mm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1.2</w:t>
            </w:r>
          </w:p>
        </w:tc>
        <w:tc>
          <w:tcPr>
            <w:tcW w:w="8525"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Cs w:val="21"/>
              </w:rPr>
            </w:pPr>
            <w:r>
              <w:rPr>
                <w:rFonts w:hint="eastAsia" w:ascii="宋体" w:hAnsi="宋体" w:cs="宋体"/>
                <w:szCs w:val="21"/>
              </w:rPr>
              <w:t>安全要求：车内所有物品固定牢固，车内突出物无尖角、锐边，均采用圆滑角；车顶安装摄像装置，对车四周进行监控，采用便携设备集中监看管理；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w:t>
            </w:r>
            <w:r>
              <w:rPr>
                <w:rFonts w:ascii="宋体" w:hAnsi="宋体" w:cs="宋体"/>
                <w:szCs w:val="21"/>
              </w:rPr>
              <w:t>.3</w:t>
            </w:r>
          </w:p>
        </w:tc>
        <w:tc>
          <w:tcPr>
            <w:tcW w:w="8525"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Cs w:val="21"/>
              </w:rPr>
            </w:pPr>
            <w:r>
              <w:rPr>
                <w:rFonts w:hint="eastAsia" w:ascii="宋体" w:hAnsi="宋体" w:cs="宋体"/>
                <w:szCs w:val="21"/>
              </w:rPr>
              <w:t>出厂时必须配备开放式智能物联网管理终端，能与总队装备物联网云无缝对接，终端具备车辆定位、实时工况（底盘、上装等主要部件工作状态等）、保养情况等信息。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w:t>
            </w:r>
            <w:r>
              <w:rPr>
                <w:rFonts w:ascii="宋体" w:hAnsi="宋体" w:cs="宋体"/>
                <w:szCs w:val="21"/>
              </w:rPr>
              <w:t>.4</w:t>
            </w:r>
          </w:p>
        </w:tc>
        <w:tc>
          <w:tcPr>
            <w:tcW w:w="8525"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Cs w:val="21"/>
              </w:rPr>
            </w:pPr>
            <w:r>
              <w:rPr>
                <w:rFonts w:hint="eastAsia" w:ascii="宋体" w:hAnsi="宋体" w:cs="宋体"/>
                <w:szCs w:val="21"/>
              </w:rPr>
              <w:t>整车上装：主休息室、副休息室、洗漱卫厕区、会议区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2、底盘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jc w:val="center"/>
              <w:rPr>
                <w:rFonts w:ascii="宋体" w:hAnsi="宋体" w:cs="宋体"/>
                <w:szCs w:val="21"/>
              </w:rPr>
            </w:pPr>
            <w:r>
              <w:rPr>
                <w:rFonts w:hint="eastAsia" w:ascii="宋体" w:hAnsi="宋体" w:cs="宋体"/>
                <w:szCs w:val="21"/>
              </w:rPr>
              <w:t>2.1</w:t>
            </w:r>
          </w:p>
        </w:tc>
        <w:tc>
          <w:tcPr>
            <w:tcW w:w="8525"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Cs w:val="21"/>
              </w:rPr>
            </w:pPr>
            <w:r>
              <w:rPr>
                <w:rFonts w:hint="eastAsia" w:ascii="宋体" w:hAnsi="宋体" w:eastAsia="宋体" w:cs="宋体"/>
                <w:kern w:val="0"/>
                <w:szCs w:val="21"/>
                <w:highlight w:val="none"/>
              </w:rPr>
              <w:t>▲</w:t>
            </w:r>
            <w:r>
              <w:rPr>
                <w:rFonts w:hint="eastAsia" w:asciiTheme="minorEastAsia" w:hAnsiTheme="minorEastAsia" w:eastAsiaTheme="minorEastAsia" w:cstheme="minorEastAsia"/>
                <w:color w:val="auto"/>
                <w:sz w:val="21"/>
                <w:szCs w:val="21"/>
                <w:highlight w:val="none"/>
              </w:rPr>
              <w:t>额定功率：≥2</w:t>
            </w:r>
            <w:r>
              <w:rPr>
                <w:rFonts w:hint="eastAsia" w:asciiTheme="minorEastAsia" w:hAnsiTheme="minorEastAsia" w:cstheme="minorEastAsia"/>
                <w:color w:val="auto"/>
                <w:sz w:val="21"/>
                <w:szCs w:val="21"/>
                <w:highlight w:val="none"/>
                <w:lang w:val="en-US" w:eastAsia="zh-CN"/>
              </w:rPr>
              <w:t>00</w:t>
            </w:r>
            <w:r>
              <w:rPr>
                <w:rFonts w:hint="eastAsia" w:asciiTheme="minorEastAsia" w:hAnsiTheme="minorEastAsia" w:eastAsiaTheme="minorEastAsia" w:cstheme="minorEastAsia"/>
                <w:color w:val="auto"/>
                <w:sz w:val="21"/>
                <w:szCs w:val="21"/>
                <w:highlight w:val="none"/>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jc w:val="center"/>
              <w:rPr>
                <w:rFonts w:ascii="宋体" w:hAnsi="宋体" w:cs="宋体"/>
                <w:b/>
                <w:bCs/>
                <w:kern w:val="0"/>
                <w:szCs w:val="21"/>
              </w:rPr>
            </w:pPr>
            <w:r>
              <w:rPr>
                <w:rFonts w:hint="eastAsia" w:ascii="宋体" w:hAnsi="宋体" w:cs="宋体"/>
                <w:szCs w:val="21"/>
              </w:rPr>
              <w:t>2.2</w:t>
            </w:r>
          </w:p>
        </w:tc>
        <w:tc>
          <w:tcPr>
            <w:tcW w:w="8525"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cs="宋体"/>
                <w:szCs w:val="21"/>
              </w:rPr>
            </w:pPr>
            <w:r>
              <w:rPr>
                <w:rFonts w:hint="eastAsia" w:ascii="宋体" w:hAnsi="宋体"/>
                <w:szCs w:val="21"/>
              </w:rPr>
              <w:t>▲</w:t>
            </w:r>
            <w:r>
              <w:rPr>
                <w:rFonts w:hint="eastAsia" w:ascii="宋体" w:hAnsi="宋体" w:cs="宋体"/>
                <w:szCs w:val="21"/>
              </w:rPr>
              <w:t>驱动形式：4×2或</w:t>
            </w:r>
            <w:r>
              <w:rPr>
                <w:rFonts w:ascii="仿宋" w:hAnsi="仿宋" w:eastAsia="仿宋"/>
              </w:rPr>
              <w:t>4×4</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jc w:val="center"/>
              <w:rPr>
                <w:rFonts w:ascii="宋体" w:hAnsi="宋体" w:cs="宋体"/>
                <w:szCs w:val="21"/>
              </w:rPr>
            </w:pPr>
            <w:r>
              <w:rPr>
                <w:rFonts w:hint="eastAsia" w:ascii="宋体" w:hAnsi="宋体" w:cs="宋体"/>
                <w:kern w:val="0"/>
                <w:szCs w:val="21"/>
              </w:rPr>
              <w:t>2.3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最高时速≥</w:t>
            </w:r>
            <w:r>
              <w:rPr>
                <w:rFonts w:ascii="宋体" w:hAnsi="宋体" w:cs="宋体"/>
                <w:szCs w:val="21"/>
              </w:rPr>
              <w:t>9</w:t>
            </w:r>
            <w:r>
              <w:rPr>
                <w:rFonts w:hint="eastAsia" w:ascii="宋体" w:hAnsi="宋体" w:cs="宋体"/>
                <w:szCs w:val="21"/>
              </w:rPr>
              <w:t>0km/h。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jc w:val="center"/>
              <w:rPr>
                <w:rFonts w:ascii="宋体" w:hAnsi="宋体" w:cs="宋体"/>
                <w:szCs w:val="21"/>
              </w:rPr>
            </w:pPr>
            <w:r>
              <w:rPr>
                <w:rFonts w:hint="eastAsia" w:ascii="宋体" w:hAnsi="宋体" w:cs="宋体"/>
                <w:szCs w:val="21"/>
              </w:rPr>
              <w:t>2.4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eastAsia="宋体" w:cs="宋体"/>
                <w:kern w:val="0"/>
                <w:szCs w:val="21"/>
              </w:rPr>
              <w:t>▲</w:t>
            </w:r>
            <w:r>
              <w:rPr>
                <w:rFonts w:hint="eastAsia" w:asciiTheme="minorEastAsia" w:hAnsiTheme="minorEastAsia" w:eastAsiaTheme="minorEastAsia" w:cstheme="minorEastAsia"/>
                <w:color w:val="auto"/>
                <w:sz w:val="21"/>
                <w:szCs w:val="21"/>
                <w:highlight w:val="none"/>
              </w:rPr>
              <w:t>满载质量：≤19000kg。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rPr>
              <w:t>2.</w:t>
            </w:r>
            <w:r>
              <w:rPr>
                <w:rFonts w:hint="eastAsia" w:ascii="宋体" w:hAnsi="宋体" w:eastAsia="宋体" w:cs="宋体"/>
                <w:kern w:val="0"/>
                <w:szCs w:val="21"/>
                <w:lang w:val="en-US" w:eastAsia="zh-CN"/>
              </w:rPr>
              <w:t>5</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rPr>
            </w:pPr>
            <w:r>
              <w:rPr>
                <w:rFonts w:hint="eastAsia" w:ascii="宋体" w:hAnsi="宋体" w:eastAsia="宋体" w:cs="宋体"/>
                <w:kern w:val="0"/>
                <w:szCs w:val="21"/>
              </w:rPr>
              <w:t>排放标准：国六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rPr>
              <w:t>2.</w:t>
            </w:r>
            <w:r>
              <w:rPr>
                <w:rFonts w:hint="eastAsia" w:ascii="宋体" w:hAnsi="宋体" w:eastAsia="宋体" w:cs="宋体"/>
                <w:kern w:val="0"/>
                <w:szCs w:val="21"/>
                <w:lang w:val="en-US" w:eastAsia="zh-CN"/>
              </w:rPr>
              <w:t>6</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lang w:val="en-US" w:eastAsia="zh-CN"/>
              </w:rPr>
            </w:pPr>
            <w:r>
              <w:rPr>
                <w:rFonts w:hint="eastAsia" w:ascii="宋体" w:hAnsi="宋体" w:eastAsia="宋体" w:cs="宋体"/>
                <w:kern w:val="0"/>
                <w:szCs w:val="21"/>
              </w:rPr>
              <w:t>▲</w:t>
            </w:r>
            <w:r>
              <w:rPr>
                <w:rFonts w:hint="eastAsia" w:ascii="宋体" w:hAnsi="宋体" w:eastAsia="宋体" w:cs="宋体"/>
                <w:kern w:val="0"/>
                <w:szCs w:val="21"/>
                <w:lang w:val="en-US" w:eastAsia="zh-CN"/>
              </w:rPr>
              <w:t>爬坡度 ≥30%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2.7</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lang w:val="en-US" w:eastAsia="zh-CN"/>
              </w:rPr>
            </w:pPr>
            <w:r>
              <w:rPr>
                <w:rFonts w:hint="eastAsia" w:ascii="宋体" w:hAnsi="宋体" w:eastAsia="宋体" w:cs="宋体"/>
                <w:kern w:val="0"/>
                <w:szCs w:val="21"/>
              </w:rPr>
              <w:t>▲轴距≤6300mm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2.8</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lang w:val="en-US" w:eastAsia="zh-CN"/>
              </w:rPr>
            </w:pPr>
            <w:r>
              <w:rPr>
                <w:rFonts w:hint="eastAsia" w:ascii="宋体" w:hAnsi="宋体" w:eastAsia="宋体" w:cs="宋体"/>
                <w:kern w:val="0"/>
                <w:szCs w:val="21"/>
              </w:rPr>
              <w:t>▲最小转弯直径 ( m )左转≤23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2.9</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lang w:val="en-US" w:eastAsia="zh-CN"/>
              </w:rPr>
            </w:pPr>
            <w:r>
              <w:rPr>
                <w:rFonts w:hint="eastAsia" w:ascii="宋体" w:hAnsi="宋体" w:eastAsia="宋体" w:cs="宋体"/>
                <w:kern w:val="0"/>
                <w:szCs w:val="21"/>
              </w:rPr>
              <w:t>▲最小转弯直径 ( m )右转≤23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2.10</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lang w:val="en-US" w:eastAsia="zh-CN"/>
              </w:rPr>
            </w:pPr>
            <w:r>
              <w:rPr>
                <w:rFonts w:hint="eastAsia" w:ascii="宋体" w:hAnsi="宋体" w:eastAsia="宋体" w:cs="宋体"/>
                <w:kern w:val="0"/>
                <w:szCs w:val="21"/>
              </w:rPr>
              <w:t>▲接近角/离去角 (° )≥15/7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spacing w:line="288"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2.11</w:t>
            </w:r>
          </w:p>
        </w:tc>
        <w:tc>
          <w:tcPr>
            <w:tcW w:w="8525" w:type="dxa"/>
            <w:tcBorders>
              <w:top w:val="single" w:color="auto" w:sz="4" w:space="0"/>
              <w:left w:val="single" w:color="auto" w:sz="4" w:space="0"/>
              <w:bottom w:val="single" w:color="auto" w:sz="4" w:space="0"/>
              <w:right w:val="single" w:color="auto" w:sz="4" w:space="0"/>
            </w:tcBorders>
            <w:vAlign w:val="top"/>
          </w:tcPr>
          <w:p>
            <w:pPr>
              <w:spacing w:line="288" w:lineRule="auto"/>
              <w:jc w:val="left"/>
              <w:rPr>
                <w:rFonts w:hint="eastAsia" w:ascii="宋体" w:hAnsi="宋体" w:eastAsia="宋体" w:cs="宋体"/>
                <w:kern w:val="0"/>
                <w:szCs w:val="21"/>
              </w:rPr>
            </w:pPr>
            <w:r>
              <w:rPr>
                <w:rFonts w:hint="eastAsia" w:asciiTheme="minorEastAsia" w:hAnsiTheme="minorEastAsia" w:eastAsiaTheme="minorEastAsia" w:cstheme="minorEastAsia"/>
                <w:color w:val="auto"/>
                <w:sz w:val="21"/>
                <w:szCs w:val="21"/>
                <w:highlight w:val="none"/>
              </w:rPr>
              <w:t>油箱：配备燃油过滤网，油箱盖带锁；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3、驾驶室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3.1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结构：单排或单排带卧铺驾驶室，电动玻璃升降系统。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3</w:t>
            </w:r>
            <w:r>
              <w:rPr>
                <w:rFonts w:ascii="宋体" w:hAnsi="宋体" w:cs="宋体"/>
                <w:szCs w:val="21"/>
              </w:rPr>
              <w:t>.2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Theme="minorEastAsia" w:hAnsiTheme="minorEastAsia" w:eastAsiaTheme="minorEastAsia" w:cstheme="minorEastAsia"/>
                <w:color w:val="auto"/>
                <w:sz w:val="21"/>
                <w:szCs w:val="21"/>
                <w:highlight w:val="none"/>
              </w:rPr>
              <w:t>▲驾乘员人数≥2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3</w:t>
            </w:r>
            <w:r>
              <w:rPr>
                <w:rFonts w:ascii="宋体" w:hAnsi="宋体" w:cs="宋体"/>
                <w:szCs w:val="21"/>
              </w:rPr>
              <w:t>.3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szCs w:val="21"/>
              </w:rPr>
              <w:t>设有原装冷暖空调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ascii="宋体" w:hAnsi="宋体" w:cs="宋体"/>
                <w:szCs w:val="21"/>
              </w:rPr>
              <w:t>3.4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szCs w:val="21"/>
              </w:rPr>
              <w:t>配备倒车雷达影像；预留卫星定位系统、计算机、车载集群电台的电源接口和安装位置，驾驶室配备倒车告警蜂鸣器、倒车摄像头和驾驶室内监视器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4、</w:t>
            </w:r>
            <w:r>
              <w:rPr>
                <w:rFonts w:hint="eastAsia" w:ascii="宋体" w:hAnsi="宋体" w:cs="宋体"/>
                <w:b/>
                <w:bCs/>
                <w:szCs w:val="21"/>
                <w:lang w:val="en-US" w:eastAsia="zh-CN"/>
              </w:rPr>
              <w:t>上装</w:t>
            </w:r>
            <w:r>
              <w:rPr>
                <w:rFonts w:hint="eastAsia" w:ascii="宋体" w:hAnsi="宋体" w:cs="宋体"/>
                <w:b/>
                <w:bCs/>
                <w:szCs w:val="21"/>
              </w:rPr>
              <w:t>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4.1</w:t>
            </w:r>
          </w:p>
        </w:tc>
        <w:tc>
          <w:tcPr>
            <w:tcW w:w="8525" w:type="dxa"/>
            <w:tcBorders>
              <w:top w:val="single" w:color="auto" w:sz="4" w:space="0"/>
              <w:left w:val="single" w:color="auto" w:sz="4" w:space="0"/>
              <w:bottom w:val="single" w:color="auto" w:sz="4" w:space="0"/>
              <w:right w:val="single" w:color="auto" w:sz="4" w:space="0"/>
            </w:tcBorders>
          </w:tcPr>
          <w:p>
            <w:r>
              <w:rPr>
                <w:rFonts w:hint="eastAsia" w:ascii="宋体" w:hAnsi="宋体" w:cs="宋体"/>
                <w:szCs w:val="21"/>
              </w:rPr>
              <w:t>配置：车厢设1个主休息室，副休息室，配置</w:t>
            </w:r>
            <w:r>
              <w:rPr>
                <w:rFonts w:hint="eastAsia" w:ascii="宋体" w:hAnsi="宋体" w:cs="宋体"/>
                <w:kern w:val="0"/>
                <w:szCs w:val="21"/>
              </w:rPr>
              <w:t>≥</w:t>
            </w:r>
            <w:r>
              <w:rPr>
                <w:rFonts w:hint="eastAsia" w:ascii="宋体" w:hAnsi="宋体" w:cs="宋体"/>
                <w:szCs w:val="21"/>
              </w:rPr>
              <w:t>2套上下双床（</w:t>
            </w:r>
            <w:r>
              <w:rPr>
                <w:rFonts w:hint="eastAsia" w:ascii="宋体" w:hAnsi="宋体" w:cs="宋体"/>
                <w:kern w:val="0"/>
                <w:szCs w:val="21"/>
              </w:rPr>
              <w:t>≥</w:t>
            </w:r>
            <w:r>
              <w:rPr>
                <w:rFonts w:hint="eastAsia" w:ascii="宋体" w:hAnsi="宋体" w:cs="宋体"/>
                <w:szCs w:val="21"/>
              </w:rPr>
              <w:t>4床位）；设卫生间、淋浴间，衣柜、床头柜、设备机柜等</w:t>
            </w:r>
            <w:r>
              <w:rPr>
                <w:rFonts w:hint="eastAsia"/>
              </w:rPr>
              <w:t>；会议区设有设备柜、茶水柜等。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4.2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结构：扩展箱结构，主休息室不扩展情况下，厢内净高≥2米。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4.3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所有线束均预埋处理，整车线束规范整齐、线束应有抗磨绝缘保护层，抗老化、外露部位耐折弯。车厢装有登顶踏板。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4.4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扩展机构：整车采用电动扩展机构，并配备应急装置，当扩展机构出现故障时，可手动实现扩展伸缩；</w:t>
            </w:r>
          </w:p>
          <w:p>
            <w:pPr>
              <w:spacing w:line="288" w:lineRule="auto"/>
              <w:rPr>
                <w:rFonts w:ascii="宋体" w:hAnsi="宋体" w:cs="宋体"/>
                <w:szCs w:val="21"/>
              </w:rPr>
            </w:pPr>
            <w:r>
              <w:rPr>
                <w:rFonts w:hint="eastAsia" w:ascii="宋体" w:hAnsi="宋体" w:cs="宋体"/>
                <w:szCs w:val="21"/>
              </w:rPr>
              <w:t>厢门：车厢设置1套上下门，1套应急逃生门，均做防滑处理，适当位置应配扶手，设置相应的警示和操作说明，逃生门设计制造标准同主门。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4.</w:t>
            </w:r>
            <w:r>
              <w:rPr>
                <w:rFonts w:ascii="宋体" w:hAnsi="宋体" w:cs="宋体"/>
                <w:szCs w:val="21"/>
              </w:rPr>
              <w:t>5</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车厢内地板需进行防水、防滑处理。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val="en-US" w:eastAsia="zh-CN"/>
              </w:rPr>
              <w:t>6</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车厢底部设置4个液压支撑腿，配置4块垫板。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default"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sz w:val="21"/>
                <w:szCs w:val="21"/>
                <w:highlight w:val="none"/>
                <w:lang w:val="en-US" w:eastAsia="zh-CN"/>
              </w:rPr>
              <w:t>4.7</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w:t>
            </w:r>
            <w:r>
              <w:rPr>
                <w:rFonts w:hint="eastAsia" w:asciiTheme="majorEastAsia" w:hAnsiTheme="majorEastAsia" w:eastAsiaTheme="majorEastAsia"/>
                <w:snapToGrid w:val="0"/>
                <w:color w:val="000000"/>
                <w:szCs w:val="21"/>
              </w:rPr>
              <w:t>空调系统：</w:t>
            </w:r>
            <w:r>
              <w:rPr>
                <w:rFonts w:hint="eastAsia" w:asciiTheme="majorEastAsia" w:hAnsiTheme="majorEastAsia" w:eastAsiaTheme="majorEastAsia"/>
                <w:kern w:val="0"/>
                <w:szCs w:val="21"/>
              </w:rPr>
              <w:t>配置了冷暖空调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default" w:eastAsia="宋体" w:asciiTheme="minorEastAsia" w:hAnsi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sz w:val="21"/>
                <w:szCs w:val="21"/>
                <w:highlight w:val="none"/>
                <w:lang w:val="en-US" w:eastAsia="zh-CN"/>
              </w:rPr>
              <w:t>4.8</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cs="Times New Roman" w:asciiTheme="majorEastAsia" w:hAnsiTheme="majorEastAsia" w:eastAsiaTheme="majorEastAsia"/>
                <w:snapToGrid w:val="0"/>
                <w:color w:val="000000"/>
                <w:kern w:val="2"/>
                <w:sz w:val="21"/>
                <w:szCs w:val="21"/>
                <w:lang w:val="en-US" w:eastAsia="zh-CN" w:bidi="ar-SA"/>
              </w:rPr>
            </w:pPr>
            <w:r>
              <w:rPr>
                <w:rFonts w:hint="eastAsia" w:asciiTheme="minorEastAsia" w:hAnsiTheme="minorEastAsia" w:eastAsiaTheme="minorEastAsia" w:cstheme="minorEastAsia"/>
                <w:color w:val="auto"/>
                <w:sz w:val="21"/>
                <w:szCs w:val="21"/>
                <w:highlight w:val="none"/>
              </w:rPr>
              <w:t>▲</w:t>
            </w:r>
            <w:r>
              <w:rPr>
                <w:rFonts w:hint="eastAsia" w:asciiTheme="majorEastAsia" w:hAnsiTheme="majorEastAsia" w:eastAsiaTheme="majorEastAsia"/>
                <w:snapToGrid w:val="0"/>
                <w:color w:val="000000"/>
                <w:szCs w:val="21"/>
              </w:rPr>
              <w:t>舱室高度≥2000mm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5、主、副休息室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5.1</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主休息室尺寸应满足床铺摆放后仍有宽敞空间可供人员行走。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5.2</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right="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主休息室配置：床铺、床头柜、挂衣钩；床铺舒适可靠，且合理利用空间将床铺做到最大化；床头适当位置设置多功能电源插座，220V，带USB充电接口；</w:t>
            </w:r>
          </w:p>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副休息室配置：设置在车厢拓展仓上，尺寸应满足床铺展开后仍有宽敞空间可供人员行走；床头侧面适当位置设置多功能电源插座，220V，带USB充电接口，设置床头灯和夜灯，应急按钮等。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5.3</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主休息室窗户：配纱窗、窗帘，开启方式为外开上悬，窗户玻璃为单面反射玻璃。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5.4</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副休息室窗户：配纱窗、窗帘，开启方式为外开上悬，窗户玻璃为单面反射玻璃。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5.5</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主、副休息室配有防蚊虫装置。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cstheme="minorEastAsia"/>
                <w:color w:val="auto"/>
                <w:sz w:val="21"/>
                <w:szCs w:val="21"/>
                <w:highlight w:val="none"/>
                <w:lang w:val="en-US" w:eastAsia="zh-CN"/>
              </w:rPr>
              <w:t>5.6</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eastAsiaTheme="minorEastAsia" w:cstheme="minorEastAsia"/>
                <w:color w:val="auto"/>
                <w:sz w:val="21"/>
                <w:szCs w:val="21"/>
                <w:highlight w:val="none"/>
                <w:lang w:val="en-US" w:eastAsia="zh-CN"/>
              </w:rPr>
              <w:t>宿营人数≥</w:t>
            </w:r>
            <w:r>
              <w:rPr>
                <w:rFonts w:hint="eastAsia" w:asciiTheme="minorEastAsia" w:hAnsi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lang w:val="en-US"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cstheme="minorEastAsia"/>
                <w:color w:val="auto"/>
                <w:sz w:val="21"/>
                <w:szCs w:val="21"/>
                <w:highlight w:val="none"/>
                <w:lang w:val="en-US" w:eastAsia="zh-CN"/>
              </w:rPr>
              <w:t>5.7</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宋体" w:hAnsi="宋体" w:eastAsia="宋体" w:cs="宋体"/>
                <w:kern w:val="0"/>
                <w:szCs w:val="21"/>
              </w:rPr>
              <w:t>▲</w:t>
            </w:r>
            <w:r>
              <w:rPr>
                <w:rFonts w:hint="eastAsia" w:asciiTheme="minorEastAsia" w:hAnsiTheme="minorEastAsia" w:eastAsiaTheme="minorEastAsia" w:cstheme="minorEastAsia"/>
                <w:color w:val="auto"/>
                <w:sz w:val="21"/>
                <w:szCs w:val="21"/>
                <w:highlight w:val="none"/>
                <w:lang w:val="en-US" w:eastAsia="zh-CN"/>
              </w:rPr>
              <w:t>床铺尺寸≥1900×650mm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6、卫浴室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6.1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卫浴室结构：卫生间与淋浴间设立隔断。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6.2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卫生间配置：洗手池、卫浴镜（含镜前灯），洗手池侧上方预留洗手液、抽纸、洗漱用品摆放位置，马桶侧方预留卫生纸摆放位置；在洗手池和马桶的适当位置设置隐藏式垃圾桶。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6.3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合理布置扶手、摆放毛巾及卫浴用品，地板进行防滑处理，应能提供可调节恒温热水，并对加热设备配备安全保护装置。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6.4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卫生间与淋浴间均配备制热装置及通风换气系统，具有废水收集处理功能。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6.5</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柴油热水机功率：≥4.2KW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7、会议室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7.1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color w:val="000000" w:themeColor="text1"/>
                <w:szCs w:val="21"/>
              </w:rPr>
            </w:pPr>
            <w:r>
              <w:rPr>
                <w:rFonts w:hint="eastAsia" w:ascii="宋体" w:hAnsi="宋体" w:cs="宋体"/>
                <w:color w:val="000000" w:themeColor="text1"/>
                <w:szCs w:val="21"/>
              </w:rPr>
              <w:t>车厢内部设置可满足5人以上的小型会议室。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7.2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color w:val="000000" w:themeColor="text1"/>
                <w:szCs w:val="21"/>
              </w:rPr>
            </w:pPr>
            <w:r>
              <w:rPr>
                <w:rFonts w:hint="eastAsia" w:ascii="宋体" w:hAnsi="宋体" w:cs="宋体"/>
                <w:color w:val="000000" w:themeColor="text1"/>
                <w:szCs w:val="21"/>
              </w:rPr>
              <w:t>照明：会议设置不低于2个LED顶灯，功率≥5</w:t>
            </w:r>
            <w:r>
              <w:rPr>
                <w:rFonts w:ascii="宋体" w:hAnsi="宋体" w:cs="宋体"/>
                <w:color w:val="000000" w:themeColor="text1"/>
                <w:szCs w:val="21"/>
              </w:rPr>
              <w:t>0W/</w:t>
            </w:r>
            <w:r>
              <w:rPr>
                <w:rFonts w:hint="eastAsia" w:ascii="宋体" w:hAnsi="宋体" w:cs="宋体"/>
                <w:color w:val="000000" w:themeColor="text1"/>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7.3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color w:val="000000" w:themeColor="text1"/>
                <w:szCs w:val="21"/>
              </w:rPr>
            </w:pPr>
            <w:r>
              <w:rPr>
                <w:rFonts w:hint="eastAsia" w:ascii="宋体" w:hAnsi="宋体" w:cs="宋体"/>
                <w:color w:val="000000" w:themeColor="text1"/>
                <w:szCs w:val="21"/>
              </w:rPr>
              <w:t>会议桌：会议桌尺寸≥1</w:t>
            </w:r>
            <w:r>
              <w:rPr>
                <w:rFonts w:ascii="宋体" w:hAnsi="宋体" w:cs="宋体"/>
                <w:color w:val="000000" w:themeColor="text1"/>
                <w:szCs w:val="21"/>
              </w:rPr>
              <w:t>5</w:t>
            </w:r>
            <w:r>
              <w:rPr>
                <w:rFonts w:hint="eastAsia" w:ascii="宋体" w:hAnsi="宋体" w:cs="宋体"/>
                <w:color w:val="000000" w:themeColor="text1"/>
                <w:szCs w:val="21"/>
              </w:rPr>
              <w:t>00mm*700mm*750mm，木质结构；</w:t>
            </w:r>
            <w:r>
              <w:rPr>
                <w:rFonts w:hint="eastAsia"/>
                <w:color w:val="000000" w:themeColor="text1"/>
              </w:rPr>
              <w:t>主位皮质沙发1个，设扶手，电动前后移动、靠背可调节，会议桌设置4个单人电动皮质沙发</w:t>
            </w:r>
            <w:r>
              <w:rPr>
                <w:rFonts w:hint="eastAsia" w:ascii="宋体" w:hAnsi="宋体" w:cs="宋体"/>
                <w:color w:val="000000" w:themeColor="text1"/>
                <w:szCs w:val="21"/>
              </w:rPr>
              <w:t>；会议桌设有盖板式综合接口，根据实际需求设置电源、电话、USB、各类视频传输接口等，接口符合国家标准。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7.4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彩色显示屏：≥</w:t>
            </w:r>
            <w:r>
              <w:rPr>
                <w:rFonts w:ascii="宋体" w:hAnsi="宋体" w:cs="宋体"/>
                <w:szCs w:val="21"/>
              </w:rPr>
              <w:t>50</w:t>
            </w:r>
            <w:r>
              <w:rPr>
                <w:rFonts w:hint="eastAsia" w:ascii="宋体" w:hAnsi="宋体" w:cs="宋体"/>
                <w:szCs w:val="21"/>
              </w:rPr>
              <w:t>寸；设置于会议室主位沙发的对面；配备彩色打印机，可与笔记本电脑连接。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7</w:t>
            </w:r>
            <w:r>
              <w:rPr>
                <w:rFonts w:ascii="宋体" w:hAnsi="宋体" w:cs="宋体"/>
                <w:szCs w:val="21"/>
              </w:rPr>
              <w:t>.5</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会议室要无缝接入广东省消防救援总队图像综合管理平台，实现音视频互联互通。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7.</w:t>
            </w:r>
            <w:r>
              <w:rPr>
                <w:rFonts w:ascii="宋体" w:hAnsi="宋体" w:cs="宋体"/>
                <w:szCs w:val="21"/>
              </w:rPr>
              <w:t>6</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会议室配备微波炉、饮水机、车载冰箱（容量≥5</w:t>
            </w:r>
            <w:r>
              <w:rPr>
                <w:rFonts w:ascii="宋体" w:hAnsi="宋体" w:cs="宋体"/>
                <w:szCs w:val="21"/>
              </w:rPr>
              <w:t>0L）</w:t>
            </w:r>
            <w:r>
              <w:rPr>
                <w:rFonts w:hint="eastAsia" w:ascii="宋体" w:hAnsi="宋体" w:cs="宋体"/>
                <w:szCs w:val="21"/>
              </w:rPr>
              <w:t>、空气加湿器、储物柜（内部物品固定），饮水机能随时提供温、热水。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8、内装材料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8.1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内装材料应保证安全、环保，做到无污染、无变形、无异味、防火、防尘、防水、防磨等，床上用品保证舒适性、安全性。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8.2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内饰主色调：浅色、暖色系。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8.3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床架材质：不锈钢或铝型材质。副休息室床垫固定于床架上。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8.4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主、副休息室床垫材质：采用天然、舒适、环保面料。卧室和指挥室墙面上合理设置墙壁隐形大号挂衣钩或衣柜。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9、水箱及管路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水箱储水量：净水箱≥200L；</w:t>
            </w:r>
          </w:p>
          <w:p>
            <w:pPr>
              <w:spacing w:line="288" w:lineRule="auto"/>
              <w:rPr>
                <w:rFonts w:ascii="宋体" w:hAnsi="宋体" w:cs="宋体"/>
                <w:szCs w:val="21"/>
              </w:rPr>
            </w:pPr>
            <w:r>
              <w:rPr>
                <w:rFonts w:hint="eastAsia" w:ascii="宋体" w:hAnsi="宋体" w:cs="宋体"/>
                <w:szCs w:val="21"/>
              </w:rPr>
              <w:t>水箱应采取独立式可抽拉搬运设计，底部设球阀排污口，配排污导管。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材质：不锈钢材质。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净水箱：设有溢流管，车厢体应设有DN65注水口，箱底设有不锈钢带球阀的排污口，并带防腐蚀排污导管。出口带水质净化器，水处理后清澈无异味。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真空马桶下设置电动搅碎泵，通向黑水箱，搅碎泵旁必须设置检修孔；马桶采取适合的方式集污。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9.5</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水箱带保温、加热功能，保证高寒地区正常使用。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9.6</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水路系统配备车用水泵，在无外接水源情况下净水正常使用。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9.7</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管路采用铝塑管，整体管路设计合理通畅。整车用水管路最低位设置排空阀。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10、电源系统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10.1</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w:t>
            </w:r>
            <w:r>
              <w:rPr>
                <w:rFonts w:hint="eastAsia" w:asciiTheme="minorEastAsia" w:hAnsiTheme="minorEastAsia" w:eastAsiaTheme="minorEastAsia" w:cstheme="minorEastAsia"/>
                <w:color w:val="auto"/>
                <w:sz w:val="21"/>
                <w:szCs w:val="21"/>
                <w:highlight w:val="none"/>
              </w:rPr>
              <w:t>供电方式</w:t>
            </w:r>
            <w:r>
              <w:rPr>
                <w:rFonts w:hint="eastAsia" w:asciiTheme="minorEastAsia" w:hAnsiTheme="minorEastAsia" w:cstheme="minorEastAsia"/>
                <w:color w:val="auto"/>
                <w:sz w:val="21"/>
                <w:szCs w:val="21"/>
                <w:highlight w:val="none"/>
                <w:lang w:val="en-US" w:eastAsia="zh-CN"/>
              </w:rPr>
              <w:t>:能在自带发电机供电和市电供电两种模式之间切换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10.2</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静音发电机:功率≥</w:t>
            </w:r>
            <w:r>
              <w:rPr>
                <w:rFonts w:hint="eastAsia" w:ascii="宋体" w:hAnsi="宋体" w:cs="宋体"/>
                <w:szCs w:val="21"/>
                <w:lang w:val="en-US" w:eastAsia="zh-CN"/>
              </w:rPr>
              <w:t>6</w:t>
            </w:r>
            <w:r>
              <w:rPr>
                <w:rFonts w:hint="eastAsia" w:ascii="宋体" w:hAnsi="宋体" w:cs="宋体"/>
                <w:szCs w:val="21"/>
              </w:rPr>
              <w:t>kw，且能满足整车用电设备满载需要，满载运行时间≥10h.</w:t>
            </w:r>
          </w:p>
          <w:p>
            <w:pPr>
              <w:spacing w:line="288" w:lineRule="auto"/>
              <w:rPr>
                <w:rFonts w:ascii="宋体" w:hAnsi="宋体" w:cs="宋体"/>
                <w:szCs w:val="21"/>
              </w:rPr>
            </w:pPr>
            <w:r>
              <w:rPr>
                <w:rFonts w:hint="eastAsia" w:ascii="宋体" w:hAnsi="宋体" w:cs="宋体"/>
                <w:szCs w:val="21"/>
              </w:rPr>
              <w:t>选用带助力系统可移出车外使用的发电机，并配置≥30米的电缆卷盘、接地钎、接地线。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10.3</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发电机满负荷工作时室内噪音≤50dB，具备散热措施。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10.4</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配备不低于1组蓄电池，满足上装照明、警灯、通信等关键设备，运行时间≥4小时。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10.5</w:t>
            </w:r>
          </w:p>
        </w:tc>
        <w:tc>
          <w:tcPr>
            <w:tcW w:w="8525"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szCs w:val="21"/>
              </w:rPr>
              <w:t>国标制式插座配置，外供插座防雨淋符合IP65等级。配置接地功能和防雷措施。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11、电器及控制设备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11.1</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警示灯具：驾驶室顶部设置长排消防专用灯具，驾驶室内设置警报器和扩音系统(功率≥</w:t>
            </w:r>
            <w:r>
              <w:rPr>
                <w:rFonts w:hint="eastAsia" w:asciiTheme="minorEastAsia" w:hAnsi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00W)，在驾驶室可控制扩音器。在车厢两侧、尾部等并联安装爆闪灯，警灯、警报器各自采用独立控制开关。下方安装安全标志灯和侧回复反射器，配有示廓灯。驻车拓展时，外扩厢的边缘安装警示灯。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11.2</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车辆两侧上方及后部各配有侧照明灯（入口处，每侧不少于2个）。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11.3</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车内卫浴间电气照明应使用防潮灯具，防护等级为IP67。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11.4</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ascii="宋体" w:hAnsi="宋体" w:cs="宋体"/>
                <w:szCs w:val="21"/>
              </w:rPr>
            </w:pPr>
            <w:r>
              <w:rPr>
                <w:rFonts w:hint="eastAsia" w:asciiTheme="minorEastAsia" w:hAnsiTheme="minorEastAsia" w:eastAsiaTheme="minorEastAsia" w:cstheme="minorEastAsia"/>
                <w:color w:val="auto"/>
                <w:sz w:val="21"/>
                <w:szCs w:val="21"/>
                <w:highlight w:val="none"/>
              </w:rPr>
              <w:t>设置可连接所有电器设备的控制柜，内设电压表、电流表、指示灯、插座、照明灯开关、排风扇等所有电器开关指示，并具有漏电保护、过载保护、短路过流保护漏电保护、过载保护、短路过流保护等。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eastAsiaTheme="minorEastAsia" w:cstheme="minorEastAsia"/>
                <w:color w:val="auto"/>
                <w:sz w:val="21"/>
                <w:szCs w:val="21"/>
                <w:highlight w:val="none"/>
              </w:rPr>
              <w:t>11.5</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eastAsiaTheme="minorEastAsia" w:cstheme="minorEastAsia"/>
                <w:color w:val="auto"/>
                <w:sz w:val="21"/>
                <w:szCs w:val="21"/>
                <w:highlight w:val="none"/>
              </w:rPr>
              <w:t>整车配备智能自动控制面板，对净水箱、黑水箱、灰水箱液位、车内空气质量等设备运行情况监控，同时可监测整车电压电流异常状态，并具备报警功能。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eastAsiaTheme="minorEastAsia" w:cstheme="minorEastAsia"/>
                <w:color w:val="auto"/>
                <w:sz w:val="21"/>
                <w:szCs w:val="21"/>
                <w:highlight w:val="none"/>
              </w:rPr>
              <w:t>11.6</w:t>
            </w:r>
          </w:p>
        </w:tc>
        <w:tc>
          <w:tcPr>
            <w:tcW w:w="8525"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288" w:lineRule="auto"/>
              <w:ind w:left="0" w:leftChars="0" w:right="0" w:rightChars="0"/>
              <w:rPr>
                <w:rFonts w:hint="eastAsia" w:ascii="宋体" w:hAnsi="宋体" w:cs="宋体"/>
                <w:szCs w:val="21"/>
              </w:rPr>
            </w:pPr>
            <w:r>
              <w:rPr>
                <w:rFonts w:hint="eastAsia" w:asciiTheme="minorEastAsia" w:hAnsiTheme="minorEastAsia" w:eastAsiaTheme="minorEastAsia" w:cstheme="minorEastAsia"/>
                <w:color w:val="auto"/>
                <w:sz w:val="21"/>
                <w:szCs w:val="21"/>
                <w:highlight w:val="none"/>
              </w:rPr>
              <w:t>厢体内空调采用≥2P静音冷暖空调。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2</w:t>
            </w:r>
            <w:r>
              <w:rPr>
                <w:rFonts w:hint="eastAsia" w:ascii="宋体" w:hAnsi="宋体" w:cs="宋体"/>
                <w:b/>
                <w:bCs/>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Pr>
          <w:p>
            <w:pPr>
              <w:spacing w:line="288" w:lineRule="auto"/>
              <w:rPr>
                <w:rFonts w:ascii="宋体" w:hAnsi="宋体" w:cs="宋体"/>
                <w:szCs w:val="21"/>
              </w:rPr>
            </w:pPr>
            <w:r>
              <w:rPr>
                <w:rFonts w:hint="eastAsia" w:ascii="宋体" w:hAnsi="宋体" w:cs="宋体"/>
                <w:szCs w:val="21"/>
              </w:rPr>
              <w:t>12.1</w:t>
            </w:r>
          </w:p>
        </w:tc>
        <w:tc>
          <w:tcPr>
            <w:tcW w:w="8525" w:type="dxa"/>
          </w:tcPr>
          <w:p>
            <w:pPr>
              <w:spacing w:line="288" w:lineRule="auto"/>
              <w:rPr>
                <w:rFonts w:ascii="宋体" w:hAnsi="宋体" w:cs="宋体"/>
                <w:szCs w:val="21"/>
              </w:rPr>
            </w:pPr>
            <w:r>
              <w:rPr>
                <w:rFonts w:hint="eastAsia" w:ascii="宋体" w:hAnsi="宋体" w:cs="宋体"/>
                <w:szCs w:val="21"/>
              </w:rPr>
              <w:t>全车及车载仪器具有2套中文使用说明书。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Pr>
          <w:p>
            <w:pPr>
              <w:spacing w:line="288" w:lineRule="auto"/>
              <w:rPr>
                <w:rFonts w:hint="default" w:ascii="宋体" w:hAnsi="宋体" w:eastAsia="宋体" w:cs="宋体"/>
                <w:szCs w:val="21"/>
                <w:lang w:val="en-US" w:eastAsia="zh-CN"/>
              </w:rPr>
            </w:pPr>
            <w:r>
              <w:rPr>
                <w:rFonts w:hint="eastAsia" w:ascii="宋体" w:hAnsi="宋体" w:cs="宋体"/>
                <w:szCs w:val="21"/>
                <w:lang w:val="en-US" w:eastAsia="zh-CN"/>
              </w:rPr>
              <w:t>12.2</w:t>
            </w:r>
          </w:p>
        </w:tc>
        <w:tc>
          <w:tcPr>
            <w:tcW w:w="8525" w:type="dxa"/>
          </w:tcPr>
          <w:p>
            <w:pPr>
              <w:spacing w:line="288" w:lineRule="auto"/>
              <w:rPr>
                <w:rFonts w:hint="eastAsia" w:ascii="宋体" w:hAnsi="宋体" w:cs="宋体"/>
                <w:szCs w:val="21"/>
              </w:rPr>
            </w:pPr>
            <w:r>
              <w:rPr>
                <w:rFonts w:hint="eastAsia" w:ascii="宋体" w:hAnsi="宋体" w:cs="宋体"/>
                <w:color w:val="000000"/>
                <w:kern w:val="0"/>
                <w:sz w:val="24"/>
                <w:szCs w:val="24"/>
                <w:lang w:bidi="ar"/>
              </w:rPr>
              <w:t>长排警灯1.2米长排警灯及150W警报器</w:t>
            </w:r>
            <w:r>
              <w:rPr>
                <w:rFonts w:hint="eastAsia" w:ascii="宋体" w:hAnsi="宋体" w:cs="宋体"/>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Pr>
          <w:p>
            <w:pPr>
              <w:spacing w:line="288" w:lineRule="auto"/>
              <w:rPr>
                <w:rFonts w:hint="default" w:ascii="宋体" w:hAnsi="宋体" w:eastAsia="宋体" w:cs="宋体"/>
                <w:szCs w:val="21"/>
                <w:lang w:val="en-US" w:eastAsia="zh-CN"/>
              </w:rPr>
            </w:pPr>
            <w:r>
              <w:rPr>
                <w:rFonts w:hint="eastAsia" w:ascii="宋体" w:hAnsi="宋体" w:cs="宋体"/>
                <w:szCs w:val="21"/>
                <w:lang w:val="en-US" w:eastAsia="zh-CN"/>
              </w:rPr>
              <w:t>12.3</w:t>
            </w:r>
          </w:p>
        </w:tc>
        <w:tc>
          <w:tcPr>
            <w:tcW w:w="8525" w:type="dxa"/>
          </w:tcPr>
          <w:p>
            <w:pPr>
              <w:widowControl/>
              <w:jc w:val="left"/>
              <w:textAlignment w:val="center"/>
              <w:rPr>
                <w:rFonts w:hint="eastAsia" w:ascii="宋体" w:hAnsi="宋体" w:cs="宋体"/>
                <w:szCs w:val="21"/>
              </w:rPr>
            </w:pPr>
            <w:r>
              <w:rPr>
                <w:rFonts w:hint="eastAsia" w:ascii="宋体" w:hAnsi="宋体" w:cs="宋体"/>
                <w:color w:val="000000"/>
                <w:kern w:val="0"/>
                <w:sz w:val="24"/>
                <w:szCs w:val="24"/>
                <w:lang w:bidi="ar"/>
              </w:rPr>
              <w:t>整车标识：符合《国务院办公厅关于国家综合性消防救援车辆悬挂应急救援专用号牌有关事项的通知》（国办发【2018】114号）、《消防救援局关于做好消防救援车辆外观制式涂装工作的通知》（应急消【2019】76号）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Pr>
          <w:p>
            <w:pPr>
              <w:spacing w:line="288" w:lineRule="auto"/>
              <w:rPr>
                <w:rFonts w:hint="default" w:ascii="宋体" w:hAnsi="宋体" w:cs="宋体"/>
                <w:szCs w:val="21"/>
                <w:lang w:val="en-US" w:eastAsia="zh-CN"/>
              </w:rPr>
            </w:pPr>
            <w:r>
              <w:rPr>
                <w:rFonts w:hint="eastAsia" w:ascii="宋体" w:hAnsi="宋体" w:cs="宋体"/>
                <w:szCs w:val="21"/>
                <w:lang w:val="en-US" w:eastAsia="zh-CN"/>
              </w:rPr>
              <w:t>12.4</w:t>
            </w:r>
          </w:p>
        </w:tc>
        <w:tc>
          <w:tcPr>
            <w:tcW w:w="8525" w:type="dxa"/>
          </w:tcPr>
          <w:p>
            <w:pPr>
              <w:widowControl/>
              <w:jc w:val="left"/>
              <w:textAlignment w:val="center"/>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eastAsia="zh-CN" w:bidi="ar"/>
              </w:rPr>
              <w:t>随车资料及上牌的资料齐全；其他功能和可自行增加。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461" w:type="dxa"/>
            <w:gridSpan w:val="2"/>
          </w:tcPr>
          <w:p>
            <w:pPr>
              <w:spacing w:line="288" w:lineRule="auto"/>
              <w:rPr>
                <w:rFonts w:ascii="宋体" w:hAnsi="宋体" w:cs="宋体"/>
                <w:szCs w:val="21"/>
              </w:rPr>
            </w:pPr>
            <w:r>
              <w:rPr>
                <w:rFonts w:hint="eastAsia" w:ascii="宋体" w:hAnsi="宋体" w:cs="宋体"/>
                <w:b/>
                <w:bCs/>
                <w:szCs w:val="21"/>
              </w:rPr>
              <w:t>13、随车器材表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36" w:type="dxa"/>
          </w:tcPr>
          <w:p>
            <w:pPr>
              <w:spacing w:line="288" w:lineRule="auto"/>
              <w:rPr>
                <w:rFonts w:ascii="宋体" w:hAnsi="宋体" w:cs="宋体"/>
                <w:szCs w:val="21"/>
              </w:rPr>
            </w:pPr>
          </w:p>
        </w:tc>
        <w:tc>
          <w:tcPr>
            <w:tcW w:w="8525" w:type="dxa"/>
          </w:tcPr>
          <w:tbl>
            <w:tblPr>
              <w:tblStyle w:val="8"/>
              <w:tblpPr w:leftFromText="180" w:rightFromText="180" w:vertAnchor="text" w:horzAnchor="page" w:tblpXSpec="center" w:tblpY="61"/>
              <w:tblOverlap w:val="never"/>
              <w:tblW w:w="6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158"/>
              <w:gridCol w:w="866"/>
              <w:gridCol w:w="750"/>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6" w:type="dxa"/>
                </w:tcPr>
                <w:p>
                  <w:pPr>
                    <w:spacing w:line="288" w:lineRule="auto"/>
                    <w:jc w:val="center"/>
                    <w:rPr>
                      <w:rFonts w:ascii="宋体" w:hAnsi="宋体" w:cs="宋体"/>
                      <w:kern w:val="0"/>
                      <w:szCs w:val="21"/>
                    </w:rPr>
                  </w:pPr>
                  <w:r>
                    <w:rPr>
                      <w:rFonts w:hint="eastAsia" w:ascii="宋体" w:hAnsi="宋体" w:cs="宋体"/>
                      <w:kern w:val="0"/>
                      <w:szCs w:val="21"/>
                    </w:rPr>
                    <w:t>序号</w:t>
                  </w:r>
                </w:p>
              </w:tc>
              <w:tc>
                <w:tcPr>
                  <w:tcW w:w="2158" w:type="dxa"/>
                </w:tcPr>
                <w:p>
                  <w:pPr>
                    <w:spacing w:line="288" w:lineRule="auto"/>
                    <w:jc w:val="center"/>
                    <w:rPr>
                      <w:rFonts w:ascii="宋体" w:hAnsi="宋体" w:cs="宋体"/>
                      <w:kern w:val="0"/>
                      <w:szCs w:val="21"/>
                    </w:rPr>
                  </w:pPr>
                  <w:r>
                    <w:rPr>
                      <w:rFonts w:hint="eastAsia" w:ascii="宋体" w:hAnsi="宋体" w:cs="宋体"/>
                      <w:kern w:val="0"/>
                      <w:szCs w:val="21"/>
                    </w:rPr>
                    <w:t>器材名称</w:t>
                  </w:r>
                </w:p>
              </w:tc>
              <w:tc>
                <w:tcPr>
                  <w:tcW w:w="866" w:type="dxa"/>
                </w:tcPr>
                <w:p>
                  <w:pPr>
                    <w:spacing w:line="288" w:lineRule="auto"/>
                    <w:jc w:val="center"/>
                    <w:rPr>
                      <w:rFonts w:ascii="宋体" w:hAnsi="宋体" w:cs="宋体"/>
                      <w:kern w:val="0"/>
                      <w:szCs w:val="21"/>
                    </w:rPr>
                  </w:pPr>
                  <w:r>
                    <w:rPr>
                      <w:rFonts w:hint="eastAsia" w:ascii="宋体" w:hAnsi="宋体" w:cs="宋体"/>
                      <w:kern w:val="0"/>
                      <w:szCs w:val="21"/>
                    </w:rPr>
                    <w:t>数量</w:t>
                  </w:r>
                </w:p>
              </w:tc>
              <w:tc>
                <w:tcPr>
                  <w:tcW w:w="750" w:type="dxa"/>
                </w:tcPr>
                <w:p>
                  <w:pPr>
                    <w:spacing w:line="288" w:lineRule="auto"/>
                    <w:jc w:val="center"/>
                    <w:rPr>
                      <w:rFonts w:ascii="宋体" w:hAnsi="宋体" w:cs="宋体"/>
                      <w:kern w:val="0"/>
                      <w:szCs w:val="21"/>
                    </w:rPr>
                  </w:pPr>
                  <w:r>
                    <w:rPr>
                      <w:rFonts w:hint="eastAsia" w:ascii="宋体" w:hAnsi="宋体" w:cs="宋体"/>
                      <w:kern w:val="0"/>
                      <w:szCs w:val="21"/>
                    </w:rPr>
                    <w:t>单位</w:t>
                  </w:r>
                </w:p>
              </w:tc>
              <w:tc>
                <w:tcPr>
                  <w:tcW w:w="2174" w:type="dxa"/>
                </w:tcPr>
                <w:p>
                  <w:pPr>
                    <w:spacing w:line="288" w:lineRule="auto"/>
                    <w:jc w:val="center"/>
                    <w:rPr>
                      <w:rFonts w:ascii="宋体" w:hAnsi="宋体" w:cs="宋体"/>
                      <w:kern w:val="0"/>
                      <w:szCs w:val="21"/>
                    </w:rPr>
                  </w:pPr>
                  <w:r>
                    <w:rPr>
                      <w:rFonts w:hint="eastAsia" w:ascii="宋体" w:hAnsi="宋体" w:cs="宋体"/>
                      <w:kern w:val="0"/>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pStyle w:val="12"/>
                    <w:numPr>
                      <w:ilvl w:val="0"/>
                      <w:numId w:val="1"/>
                    </w:numPr>
                    <w:spacing w:before="156" w:after="156" w:line="288" w:lineRule="auto"/>
                    <w:ind w:firstLineChars="0"/>
                    <w:jc w:val="center"/>
                    <w:rPr>
                      <w:rFonts w:ascii="宋体" w:hAnsi="宋体" w:cs="宋体"/>
                      <w:kern w:val="0"/>
                      <w:szCs w:val="21"/>
                    </w:rPr>
                  </w:pPr>
                </w:p>
              </w:tc>
              <w:tc>
                <w:tcPr>
                  <w:tcW w:w="2158"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手持式应急照明灯</w:t>
                  </w:r>
                </w:p>
              </w:tc>
              <w:tc>
                <w:tcPr>
                  <w:tcW w:w="866" w:type="dxa"/>
                  <w:vAlign w:val="center"/>
                </w:tcPr>
                <w:p>
                  <w:pPr>
                    <w:snapToGrid w:val="0"/>
                    <w:spacing w:beforeLines="30" w:line="280" w:lineRule="exact"/>
                    <w:jc w:val="center"/>
                    <w:rPr>
                      <w:rFonts w:ascii="宋体" w:hAnsi="宋体" w:cs="宋体"/>
                      <w:szCs w:val="21"/>
                    </w:rPr>
                  </w:pPr>
                  <w:r>
                    <w:rPr>
                      <w:rFonts w:ascii="宋体" w:hAnsi="宋体" w:cs="宋体"/>
                      <w:szCs w:val="21"/>
                    </w:rPr>
                    <w:t>2</w:t>
                  </w:r>
                </w:p>
              </w:tc>
              <w:tc>
                <w:tcPr>
                  <w:tcW w:w="750"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套</w:t>
                  </w:r>
                </w:p>
              </w:tc>
              <w:tc>
                <w:tcPr>
                  <w:tcW w:w="2174"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灯源：LED</w:t>
                  </w:r>
                </w:p>
                <w:p>
                  <w:pPr>
                    <w:snapToGrid w:val="0"/>
                    <w:spacing w:beforeLines="30" w:line="280" w:lineRule="exact"/>
                    <w:jc w:val="center"/>
                    <w:rPr>
                      <w:rFonts w:ascii="宋体" w:hAnsi="宋体" w:cs="宋体"/>
                      <w:szCs w:val="21"/>
                    </w:rPr>
                  </w:pPr>
                  <w:r>
                    <w:rPr>
                      <w:rFonts w:hint="eastAsia" w:ascii="宋体" w:hAnsi="宋体" w:cs="宋体"/>
                      <w:szCs w:val="21"/>
                    </w:rPr>
                    <w:t>持续工作时间：≥6h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pStyle w:val="12"/>
                    <w:numPr>
                      <w:ilvl w:val="0"/>
                      <w:numId w:val="1"/>
                    </w:numPr>
                    <w:spacing w:before="156" w:after="156" w:line="288" w:lineRule="auto"/>
                    <w:ind w:firstLineChars="0"/>
                    <w:jc w:val="center"/>
                    <w:rPr>
                      <w:rFonts w:ascii="宋体" w:hAnsi="宋体" w:cs="宋体"/>
                      <w:kern w:val="0"/>
                      <w:szCs w:val="21"/>
                    </w:rPr>
                  </w:pPr>
                </w:p>
              </w:tc>
              <w:tc>
                <w:tcPr>
                  <w:tcW w:w="2158"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工具箱</w:t>
                  </w:r>
                </w:p>
              </w:tc>
              <w:tc>
                <w:tcPr>
                  <w:tcW w:w="866"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1</w:t>
                  </w:r>
                </w:p>
              </w:tc>
              <w:tc>
                <w:tcPr>
                  <w:tcW w:w="750"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套</w:t>
                  </w:r>
                </w:p>
              </w:tc>
              <w:tc>
                <w:tcPr>
                  <w:tcW w:w="2174"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53件套，含扳手、卷尺、尖嘴钳、套筒等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pStyle w:val="12"/>
                    <w:numPr>
                      <w:ilvl w:val="0"/>
                      <w:numId w:val="1"/>
                    </w:numPr>
                    <w:spacing w:before="156" w:after="156" w:line="288" w:lineRule="auto"/>
                    <w:ind w:firstLineChars="0"/>
                    <w:jc w:val="center"/>
                    <w:rPr>
                      <w:rFonts w:ascii="宋体" w:hAnsi="宋体" w:cs="宋体"/>
                      <w:kern w:val="0"/>
                      <w:szCs w:val="21"/>
                    </w:rPr>
                  </w:pPr>
                </w:p>
              </w:tc>
              <w:tc>
                <w:tcPr>
                  <w:tcW w:w="2158"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备品备件</w:t>
                  </w:r>
                </w:p>
              </w:tc>
              <w:tc>
                <w:tcPr>
                  <w:tcW w:w="866" w:type="dxa"/>
                  <w:vAlign w:val="center"/>
                </w:tcPr>
                <w:p>
                  <w:pPr>
                    <w:snapToGrid w:val="0"/>
                    <w:spacing w:beforeLines="30" w:line="280" w:lineRule="exact"/>
                    <w:jc w:val="center"/>
                    <w:rPr>
                      <w:rFonts w:ascii="宋体" w:hAnsi="宋体" w:cs="宋体"/>
                      <w:szCs w:val="21"/>
                    </w:rPr>
                  </w:pPr>
                  <w:r>
                    <w:rPr>
                      <w:rFonts w:ascii="宋体" w:hAnsi="宋体" w:cs="宋体"/>
                      <w:szCs w:val="21"/>
                    </w:rPr>
                    <w:t>2</w:t>
                  </w:r>
                </w:p>
              </w:tc>
              <w:tc>
                <w:tcPr>
                  <w:tcW w:w="750"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套</w:t>
                  </w:r>
                </w:p>
              </w:tc>
              <w:tc>
                <w:tcPr>
                  <w:tcW w:w="2174"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含断路器、空开等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pStyle w:val="12"/>
                    <w:numPr>
                      <w:ilvl w:val="0"/>
                      <w:numId w:val="1"/>
                    </w:numPr>
                    <w:spacing w:before="156" w:after="156" w:line="288" w:lineRule="auto"/>
                    <w:ind w:firstLineChars="0"/>
                    <w:jc w:val="center"/>
                    <w:rPr>
                      <w:rFonts w:ascii="宋体" w:hAnsi="宋体" w:cs="宋体"/>
                      <w:kern w:val="0"/>
                      <w:szCs w:val="21"/>
                    </w:rPr>
                  </w:pPr>
                </w:p>
              </w:tc>
              <w:tc>
                <w:tcPr>
                  <w:tcW w:w="2158"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干粉灭火器（8kg）</w:t>
                  </w:r>
                </w:p>
              </w:tc>
              <w:tc>
                <w:tcPr>
                  <w:tcW w:w="866" w:type="dxa"/>
                  <w:vAlign w:val="center"/>
                </w:tcPr>
                <w:p>
                  <w:pPr>
                    <w:snapToGrid w:val="0"/>
                    <w:spacing w:beforeLines="30" w:line="280" w:lineRule="exact"/>
                    <w:jc w:val="center"/>
                    <w:rPr>
                      <w:rFonts w:ascii="宋体" w:hAnsi="宋体" w:cs="宋体"/>
                      <w:szCs w:val="21"/>
                    </w:rPr>
                  </w:pPr>
                  <w:r>
                    <w:rPr>
                      <w:rFonts w:ascii="宋体" w:hAnsi="宋体" w:cs="宋体"/>
                      <w:szCs w:val="21"/>
                    </w:rPr>
                    <w:t>2</w:t>
                  </w:r>
                </w:p>
              </w:tc>
              <w:tc>
                <w:tcPr>
                  <w:tcW w:w="750"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个</w:t>
                  </w:r>
                </w:p>
              </w:tc>
              <w:tc>
                <w:tcPr>
                  <w:tcW w:w="2174" w:type="dxa"/>
                  <w:vAlign w:val="center"/>
                </w:tcPr>
                <w:p>
                  <w:pPr>
                    <w:snapToGrid w:val="0"/>
                    <w:spacing w:beforeLines="30" w:line="280" w:lineRule="exact"/>
                    <w:jc w:val="center"/>
                    <w:rPr>
                      <w:rFonts w:ascii="宋体" w:hAnsi="宋体" w:cs="宋体"/>
                      <w:szCs w:val="21"/>
                    </w:rPr>
                  </w:pPr>
                  <w:r>
                    <w:rPr>
                      <w:rFonts w:hint="eastAsia" w:ascii="宋体" w:hAnsi="宋体" w:cs="宋体"/>
                      <w:szCs w:val="21"/>
                    </w:rPr>
                    <w:t>8kg(BC类)</w:t>
                  </w:r>
                </w:p>
              </w:tc>
            </w:tr>
          </w:tbl>
          <w:p>
            <w:pPr>
              <w:widowControl/>
              <w:adjustRightInd w:val="0"/>
              <w:snapToGrid w:val="0"/>
              <w:spacing w:line="288" w:lineRule="auto"/>
              <w:rPr>
                <w:rFonts w:ascii="宋体" w:hAnsi="宋体" w:cs="宋体"/>
                <w:kern w:val="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A97BEE"/>
    <w:multiLevelType w:val="multilevel"/>
    <w:tmpl w:val="0FA97BEE"/>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QzZWY0Y2UzMmMxMTQ5NDRhNzUyY2E2MWNiOTM2NGUifQ=="/>
  </w:docVars>
  <w:rsids>
    <w:rsidRoot w:val="00A81E40"/>
    <w:rsid w:val="00014E51"/>
    <w:rsid w:val="00027300"/>
    <w:rsid w:val="00052D0C"/>
    <w:rsid w:val="00093C38"/>
    <w:rsid w:val="00102EEC"/>
    <w:rsid w:val="0015617A"/>
    <w:rsid w:val="001E2F10"/>
    <w:rsid w:val="0023086D"/>
    <w:rsid w:val="002858BB"/>
    <w:rsid w:val="002B012E"/>
    <w:rsid w:val="003029DD"/>
    <w:rsid w:val="00307ADB"/>
    <w:rsid w:val="00315C4F"/>
    <w:rsid w:val="00330D34"/>
    <w:rsid w:val="003330AC"/>
    <w:rsid w:val="003E459D"/>
    <w:rsid w:val="004212A7"/>
    <w:rsid w:val="0044230D"/>
    <w:rsid w:val="004901BF"/>
    <w:rsid w:val="00514A98"/>
    <w:rsid w:val="00531DF9"/>
    <w:rsid w:val="00566A2D"/>
    <w:rsid w:val="005A7E2C"/>
    <w:rsid w:val="0062131E"/>
    <w:rsid w:val="0063211F"/>
    <w:rsid w:val="00687518"/>
    <w:rsid w:val="006F06C3"/>
    <w:rsid w:val="007E5FE1"/>
    <w:rsid w:val="0085229C"/>
    <w:rsid w:val="00860C61"/>
    <w:rsid w:val="008B2209"/>
    <w:rsid w:val="008C4CBA"/>
    <w:rsid w:val="008D01D4"/>
    <w:rsid w:val="008D1702"/>
    <w:rsid w:val="00A0046F"/>
    <w:rsid w:val="00A24382"/>
    <w:rsid w:val="00A63FCA"/>
    <w:rsid w:val="00A72A01"/>
    <w:rsid w:val="00A81E40"/>
    <w:rsid w:val="00BD245D"/>
    <w:rsid w:val="00C33957"/>
    <w:rsid w:val="00C73295"/>
    <w:rsid w:val="00C8403E"/>
    <w:rsid w:val="00C87B72"/>
    <w:rsid w:val="00CF32D3"/>
    <w:rsid w:val="00D03720"/>
    <w:rsid w:val="00D24E16"/>
    <w:rsid w:val="00D635CA"/>
    <w:rsid w:val="00DC481A"/>
    <w:rsid w:val="00DF532C"/>
    <w:rsid w:val="00E71B34"/>
    <w:rsid w:val="00EC4455"/>
    <w:rsid w:val="00F065DC"/>
    <w:rsid w:val="00FA1FB4"/>
    <w:rsid w:val="00FB1E0B"/>
    <w:rsid w:val="00FD399C"/>
    <w:rsid w:val="0A612388"/>
    <w:rsid w:val="17364FBD"/>
    <w:rsid w:val="18365A0D"/>
    <w:rsid w:val="2A7456F9"/>
    <w:rsid w:val="2B67111E"/>
    <w:rsid w:val="30175AB7"/>
    <w:rsid w:val="31B40B9B"/>
    <w:rsid w:val="31C550F9"/>
    <w:rsid w:val="35BC3054"/>
    <w:rsid w:val="360C3B38"/>
    <w:rsid w:val="3AEC5920"/>
    <w:rsid w:val="3CF95500"/>
    <w:rsid w:val="3EA812FA"/>
    <w:rsid w:val="409F1AF2"/>
    <w:rsid w:val="5435659E"/>
    <w:rsid w:val="58AF2056"/>
    <w:rsid w:val="64FA3056"/>
    <w:rsid w:val="65F33B95"/>
    <w:rsid w:val="67DF718E"/>
    <w:rsid w:val="77086D0B"/>
    <w:rsid w:val="7AF74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link w:val="1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pPr>
    <w:rPr>
      <w:rFonts w:ascii="宋体" w:hAnsi="宋体"/>
      <w:sz w:val="24"/>
    </w:rPr>
  </w:style>
  <w:style w:type="paragraph" w:styleId="3">
    <w:name w:val="Body Text"/>
    <w:basedOn w:val="1"/>
    <w:qFormat/>
    <w:uiPriority w:val="0"/>
    <w:pPr>
      <w:widowControl/>
      <w:spacing w:line="360" w:lineRule="auto"/>
    </w:pPr>
    <w:rPr>
      <w:color w:val="FF0000"/>
    </w:rPr>
  </w:style>
  <w:style w:type="paragraph" w:styleId="5">
    <w:name w:val="Document Map"/>
    <w:basedOn w:val="1"/>
    <w:link w:val="15"/>
    <w:semiHidden/>
    <w:unhideWhenUsed/>
    <w:qFormat/>
    <w:uiPriority w:val="99"/>
    <w:rPr>
      <w:rFonts w:ascii="Microsoft YaHei UI" w:eastAsia="Microsoft YaHei UI"/>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styleId="12">
    <w:name w:val="List Paragraph"/>
    <w:basedOn w:val="1"/>
    <w:qFormat/>
    <w:uiPriority w:val="34"/>
    <w:pPr>
      <w:ind w:firstLine="420" w:firstLineChars="200"/>
    </w:pPr>
    <w:rPr>
      <w:szCs w:val="22"/>
    </w:rPr>
  </w:style>
  <w:style w:type="character" w:customStyle="1" w:styleId="13">
    <w:name w:val="标题 4 Char"/>
    <w:basedOn w:val="9"/>
    <w:link w:val="4"/>
    <w:semiHidden/>
    <w:qFormat/>
    <w:uiPriority w:val="9"/>
    <w:rPr>
      <w:rFonts w:asciiTheme="majorHAnsi" w:hAnsiTheme="majorHAnsi" w:eastAsiaTheme="majorEastAsia" w:cstheme="majorBidi"/>
      <w:b/>
      <w:bCs/>
      <w:sz w:val="28"/>
      <w:szCs w:val="28"/>
    </w:rPr>
  </w:style>
  <w:style w:type="paragraph" w:customStyle="1" w:styleId="14">
    <w:name w:val="_Style 352"/>
    <w:basedOn w:val="5"/>
    <w:qFormat/>
    <w:uiPriority w:val="0"/>
    <w:pPr>
      <w:widowControl/>
      <w:shd w:val="clear" w:color="auto" w:fill="000080"/>
      <w:autoSpaceDE w:val="0"/>
      <w:autoSpaceDN w:val="0"/>
      <w:ind w:firstLine="454"/>
      <w:jc w:val="left"/>
    </w:pPr>
    <w:rPr>
      <w:rFonts w:ascii="Times New Roman" w:eastAsia="宋体"/>
      <w:kern w:val="0"/>
      <w:sz w:val="21"/>
      <w:szCs w:val="20"/>
      <w:lang w:val="zh-CN" w:bidi="zh-CN"/>
    </w:rPr>
  </w:style>
  <w:style w:type="character" w:customStyle="1" w:styleId="15">
    <w:name w:val="文档结构图 Char"/>
    <w:basedOn w:val="9"/>
    <w:link w:val="5"/>
    <w:semiHidden/>
    <w:qFormat/>
    <w:uiPriority w:val="99"/>
    <w:rPr>
      <w:rFonts w:ascii="Microsoft YaHei UI" w:hAnsi="Times New Roman" w:eastAsia="Microsoft YaHei UI"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2817</Words>
  <Characters>3128</Characters>
  <Lines>20</Lines>
  <Paragraphs>5</Paragraphs>
  <TotalTime>0</TotalTime>
  <ScaleCrop>false</ScaleCrop>
  <LinksUpToDate>false</LinksUpToDate>
  <CharactersWithSpaces>3139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2022-03-03T01:25:00Z</dcterms:created>
  <dc:creator>马 生</dc:creator>
  <cp:lastModifiedBy>sunxk</cp:lastModifiedBy>
  <dcterms:modified xsi:type="dcterms:W3CDTF">2022-06-28T02:43:55Z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A456295C8038463C823CBB1602797C62</vt:lpwstr>
  </property>
</Properties>
</file>