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
        <w:gridCol w:w="7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jc w:val="center"/>
              <w:rPr>
                <w:rFonts w:ascii="宋体" w:hAnsi="宋体" w:cs="宋体"/>
                <w:sz w:val="30"/>
                <w:szCs w:val="30"/>
              </w:rPr>
            </w:pPr>
            <w:r>
              <w:rPr>
                <w:rFonts w:hint="eastAsia" w:ascii="宋体" w:hAnsi="宋体" w:cs="宋体"/>
                <w:b/>
                <w:bCs/>
                <w:sz w:val="30"/>
                <w:szCs w:val="30"/>
              </w:rPr>
              <w:t>宣传消防车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ascii="宋体" w:hAnsi="宋体"/>
                <w:b/>
                <w:bCs/>
              </w:rPr>
            </w:pPr>
            <w:r>
              <w:rPr>
                <w:rFonts w:hint="eastAsia" w:ascii="宋体" w:hAnsi="宋体" w:cs="宋体"/>
                <w:sz w:val="24"/>
                <w:szCs w:val="24"/>
              </w:rPr>
              <w:t>预算：1</w:t>
            </w:r>
            <w:r>
              <w:rPr>
                <w:rFonts w:ascii="宋体" w:hAnsi="宋体" w:cs="宋体"/>
                <w:sz w:val="24"/>
                <w:szCs w:val="24"/>
              </w:rPr>
              <w:t>1</w:t>
            </w:r>
            <w:r>
              <w:rPr>
                <w:rFonts w:hint="eastAsia" w:ascii="宋体" w:hAnsi="宋体" w:cs="宋体"/>
                <w:sz w:val="24"/>
                <w:szCs w:val="24"/>
              </w:rPr>
              <w:t xml:space="preserve">0万元/辆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jc w:val="center"/>
              <w:rPr>
                <w:rFonts w:ascii="宋体" w:hAnsi="宋体"/>
                <w:b/>
                <w:bCs/>
              </w:rPr>
            </w:pPr>
            <w:bookmarkStart w:id="0" w:name="_GoBack"/>
            <w:bookmarkEnd w:id="0"/>
            <w:r>
              <w:rPr>
                <w:rFonts w:hint="eastAsia" w:ascii="宋体" w:hAnsi="宋体"/>
                <w:b/>
                <w:bCs/>
                <w:sz w:val="24"/>
                <w:szCs w:val="24"/>
              </w:rPr>
              <w:t>技术参数及要求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ascii="宋体" w:hAnsi="宋体"/>
              </w:rPr>
            </w:pPr>
            <w:r>
              <w:rPr>
                <w:rFonts w:hint="eastAsia" w:ascii="Cambria" w:hAnsi="宋体"/>
                <w:b/>
                <w:bCs/>
                <w:sz w:val="24"/>
                <w:szCs w:val="24"/>
              </w:rPr>
              <w:t>一</w:t>
            </w:r>
            <w:r>
              <w:rPr>
                <w:rFonts w:hint="eastAsia" w:ascii="宋体" w:hAnsi="宋体"/>
                <w:b/>
                <w:bCs/>
                <w:sz w:val="24"/>
                <w:szCs w:val="24"/>
              </w:rPr>
              <w:t>、底盘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tcPr>
          <w:p>
            <w:pPr>
              <w:rPr>
                <w:rFonts w:ascii="宋体" w:hAnsi="宋体" w:cs="宋体"/>
                <w:sz w:val="24"/>
                <w:szCs w:val="24"/>
              </w:rPr>
            </w:pPr>
            <w:r>
              <w:rPr>
                <w:rFonts w:hint="eastAsia"/>
              </w:rPr>
              <w:t>二类底盘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tcPr>
          <w:p>
            <w:pPr>
              <w:rPr>
                <w:rFonts w:ascii="宋体" w:hAnsi="宋体" w:cs="宋体"/>
                <w:sz w:val="24"/>
                <w:szCs w:val="24"/>
              </w:rPr>
            </w:pPr>
            <w:r>
              <w:rPr>
                <w:rFonts w:hint="eastAsia"/>
              </w:rPr>
              <w:t>排放标准：国六或以上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pPr>
            <w:r>
              <w:rPr>
                <w:rFonts w:hint="eastAsia"/>
              </w:rPr>
              <w:t>3</w:t>
            </w:r>
          </w:p>
        </w:tc>
        <w:tc>
          <w:tcPr>
            <w:tcW w:w="7752" w:type="dxa"/>
            <w:tcBorders>
              <w:right w:val="single" w:color="auto" w:sz="4" w:space="0"/>
            </w:tcBorders>
          </w:tcPr>
          <w:p>
            <w:pPr>
              <w:rPr>
                <w:rFonts w:ascii="宋体" w:hAnsi="宋体"/>
              </w:rPr>
            </w:pPr>
            <w:r>
              <w:rPr>
                <w:rFonts w:hint="eastAsia" w:ascii="宋体" w:hAnsi="宋体"/>
              </w:rPr>
              <w:t>排量: ≥51</w:t>
            </w:r>
            <w:r>
              <w:rPr>
                <w:rFonts w:ascii="宋体" w:hAnsi="宋体"/>
              </w:rPr>
              <w:t>00</w:t>
            </w:r>
            <w:r>
              <w:rPr>
                <w:rFonts w:hint="eastAsia" w:ascii="宋体" w:hAnsi="宋体"/>
              </w:rPr>
              <w: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835" w:type="dxa"/>
            <w:vAlign w:val="center"/>
          </w:tcPr>
          <w:p>
            <w:pPr>
              <w:jc w:val="center"/>
              <w:rPr>
                <w:rFonts w:hint="eastAsia" w:eastAsia="宋体"/>
                <w:lang w:val="en-US" w:eastAsia="zh-CN"/>
              </w:rPr>
            </w:pPr>
            <w:r>
              <w:rPr>
                <w:rFonts w:hint="eastAsia"/>
                <w:lang w:val="en-US" w:eastAsia="zh-CN"/>
              </w:rPr>
              <w:t>4</w:t>
            </w:r>
          </w:p>
        </w:tc>
        <w:tc>
          <w:tcPr>
            <w:tcW w:w="7752" w:type="dxa"/>
            <w:tcBorders>
              <w:right w:val="single" w:color="auto" w:sz="4" w:space="0"/>
            </w:tcBorders>
          </w:tcPr>
          <w:p>
            <w:pPr>
              <w:rPr>
                <w:rFonts w:hint="eastAsia" w:ascii="Arial" w:hAnsi="Arial" w:eastAsia="宋体" w:cs="Arial"/>
                <w:color w:val="222222"/>
                <w:sz w:val="20"/>
                <w:szCs w:val="20"/>
                <w:shd w:val="clear" w:color="auto" w:fill="FFFFFF"/>
                <w:lang w:eastAsia="zh-CN"/>
              </w:rPr>
            </w:pPr>
            <w:r>
              <w:rPr>
                <w:rFonts w:hint="eastAsia" w:ascii="Arial" w:hAnsi="Arial" w:cs="Arial"/>
                <w:color w:val="222222"/>
                <w:sz w:val="20"/>
                <w:szCs w:val="20"/>
                <w:shd w:val="clear" w:color="auto" w:fill="FFFFFF"/>
              </w:rPr>
              <w:t>驱动型式</w:t>
            </w:r>
            <w:r>
              <w:rPr>
                <w:rFonts w:hint="eastAsia" w:ascii="Arial" w:hAnsi="Arial" w:cs="Arial"/>
                <w:color w:val="222222"/>
                <w:sz w:val="20"/>
                <w:szCs w:val="20"/>
                <w:shd w:val="clear" w:color="auto" w:fill="FFFFFF"/>
                <w:lang w:eastAsia="zh-CN"/>
              </w:rPr>
              <w:t>：≥4x2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835" w:type="dxa"/>
            <w:vAlign w:val="center"/>
          </w:tcPr>
          <w:p>
            <w:pPr>
              <w:jc w:val="center"/>
              <w:rPr>
                <w:rFonts w:hint="eastAsia" w:eastAsia="宋体"/>
                <w:lang w:eastAsia="zh-CN"/>
              </w:rPr>
            </w:pPr>
            <w:r>
              <w:rPr>
                <w:rFonts w:hint="eastAsia"/>
                <w:lang w:val="en-US" w:eastAsia="zh-CN"/>
              </w:rPr>
              <w:t>5</w:t>
            </w:r>
          </w:p>
        </w:tc>
        <w:tc>
          <w:tcPr>
            <w:tcW w:w="7752" w:type="dxa"/>
            <w:tcBorders>
              <w:right w:val="single" w:color="auto" w:sz="4" w:space="0"/>
            </w:tcBorders>
          </w:tcPr>
          <w:p>
            <w:pPr>
              <w:rPr>
                <w:rFonts w:ascii="宋体" w:hAnsi="宋体"/>
              </w:rPr>
            </w:pPr>
            <w:r>
              <w:rPr>
                <w:rFonts w:ascii="Arial" w:hAnsi="Arial" w:cs="Arial"/>
                <w:color w:val="222222"/>
                <w:sz w:val="20"/>
                <w:szCs w:val="20"/>
                <w:shd w:val="clear" w:color="auto" w:fill="FFFFFF"/>
              </w:rPr>
              <w:t>▲</w:t>
            </w:r>
            <w:r>
              <w:rPr>
                <w:rFonts w:hint="eastAsia" w:ascii="宋体" w:hAnsi="宋体"/>
              </w:rPr>
              <w:t>轴距：</w:t>
            </w:r>
            <w:r>
              <w:rPr>
                <w:rFonts w:hint="eastAsia" w:ascii="宋体" w:hAnsi="宋体"/>
                <w:lang w:eastAsia="zh-CN"/>
              </w:rPr>
              <w:t>≥</w:t>
            </w:r>
            <w:r>
              <w:rPr>
                <w:rFonts w:hint="eastAsia" w:ascii="宋体" w:hAnsi="宋体" w:cs="宋体"/>
                <w:color w:val="auto"/>
                <w:sz w:val="24"/>
                <w:szCs w:val="24"/>
                <w:highlight w:val="none"/>
              </w:rPr>
              <w:t>4</w:t>
            </w:r>
            <w:r>
              <w:rPr>
                <w:rFonts w:hint="eastAsia" w:ascii="宋体" w:hAnsi="宋体" w:cs="宋体"/>
                <w:color w:val="auto"/>
                <w:sz w:val="24"/>
                <w:szCs w:val="24"/>
                <w:highlight w:val="none"/>
                <w:lang w:val="en-US" w:eastAsia="zh-CN"/>
              </w:rPr>
              <w:t>45</w:t>
            </w:r>
            <w:r>
              <w:rPr>
                <w:rFonts w:hint="eastAsia" w:ascii="宋体" w:hAnsi="宋体" w:cs="宋体"/>
                <w:color w:val="auto"/>
                <w:sz w:val="24"/>
                <w:szCs w:val="24"/>
                <w:highlight w:val="none"/>
              </w:rPr>
              <w:t>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eastAsia="宋体"/>
                <w:lang w:eastAsia="zh-CN"/>
              </w:rPr>
            </w:pPr>
            <w:r>
              <w:rPr>
                <w:rFonts w:hint="eastAsia"/>
                <w:lang w:val="en-US" w:eastAsia="zh-CN"/>
              </w:rPr>
              <w:t>6</w:t>
            </w:r>
          </w:p>
        </w:tc>
        <w:tc>
          <w:tcPr>
            <w:tcW w:w="7752" w:type="dxa"/>
            <w:tcBorders>
              <w:right w:val="single" w:color="auto" w:sz="4" w:space="0"/>
            </w:tcBorders>
          </w:tcPr>
          <w:p>
            <w:pPr>
              <w:rPr>
                <w:rFonts w:ascii="宋体" w:hAnsi="宋体"/>
              </w:rPr>
            </w:pPr>
            <w:r>
              <w:rPr>
                <w:rFonts w:ascii="Arial" w:hAnsi="Arial" w:cs="Arial"/>
                <w:color w:val="222222"/>
                <w:sz w:val="20"/>
                <w:szCs w:val="20"/>
                <w:shd w:val="clear" w:color="auto" w:fill="FFFFFF"/>
              </w:rPr>
              <w:t>▲</w:t>
            </w:r>
            <w:r>
              <w:rPr>
                <w:rFonts w:hint="eastAsia" w:ascii="Arial" w:hAnsi="Arial" w:cs="Arial"/>
                <w:color w:val="222222"/>
                <w:sz w:val="20"/>
                <w:szCs w:val="20"/>
                <w:shd w:val="clear" w:color="auto" w:fill="FFFFFF"/>
                <w:lang w:eastAsia="zh-CN"/>
              </w:rPr>
              <w:t>发动机</w:t>
            </w:r>
            <w:r>
              <w:rPr>
                <w:rFonts w:hint="eastAsia" w:ascii="宋体" w:hAnsi="宋体"/>
              </w:rPr>
              <w:t>功率：≥1</w:t>
            </w:r>
            <w:r>
              <w:rPr>
                <w:rFonts w:hint="eastAsia" w:ascii="宋体" w:hAnsi="宋体"/>
                <w:lang w:val="en-US" w:eastAsia="zh-CN"/>
              </w:rPr>
              <w:t>50</w:t>
            </w:r>
            <w:r>
              <w:rPr>
                <w:rFonts w:hint="eastAsia" w:ascii="宋体" w:hAnsi="宋体"/>
              </w:rPr>
              <w:t>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lang w:val="en-US" w:eastAsia="zh-CN"/>
              </w:rPr>
            </w:pPr>
            <w:r>
              <w:rPr>
                <w:rFonts w:hint="eastAsia"/>
                <w:lang w:val="en-US" w:eastAsia="zh-CN"/>
              </w:rPr>
              <w:t>7</w:t>
            </w:r>
          </w:p>
        </w:tc>
        <w:tc>
          <w:tcPr>
            <w:tcW w:w="7752" w:type="dxa"/>
            <w:tcBorders>
              <w:right w:val="single" w:color="auto" w:sz="4" w:space="0"/>
            </w:tcBorders>
          </w:tcPr>
          <w:p>
            <w:pPr>
              <w:keepNext w:val="0"/>
              <w:keepLines w:val="0"/>
              <w:widowControl/>
              <w:suppressLineNumbers w:val="0"/>
              <w:jc w:val="left"/>
              <w:rPr>
                <w:rFonts w:hint="eastAsia" w:ascii="Arial" w:hAnsi="Arial" w:eastAsia="宋体" w:cs="Arial"/>
                <w:color w:val="222222"/>
                <w:sz w:val="20"/>
                <w:szCs w:val="20"/>
                <w:shd w:val="clear" w:color="auto" w:fill="FFFFFF"/>
                <w:lang w:eastAsia="zh-CN"/>
              </w:rPr>
            </w:pPr>
            <w:r>
              <w:rPr>
                <w:rFonts w:hint="eastAsia" w:ascii="Arial" w:hAnsi="Arial" w:cs="Arial"/>
                <w:color w:val="222222"/>
                <w:sz w:val="20"/>
                <w:szCs w:val="20"/>
                <w:shd w:val="clear" w:color="auto" w:fill="FFFFFF"/>
              </w:rPr>
              <w:t>最小转弯半径（m）</w:t>
            </w:r>
            <w:r>
              <w:rPr>
                <w:rFonts w:hint="eastAsia" w:ascii="Arial" w:hAnsi="Arial" w:cs="Arial"/>
                <w:color w:val="222222"/>
                <w:sz w:val="20"/>
                <w:szCs w:val="20"/>
                <w:shd w:val="clear" w:color="auto" w:fill="FFFFFF"/>
                <w:lang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35" w:type="dxa"/>
            <w:vAlign w:val="center"/>
          </w:tcPr>
          <w:p>
            <w:pPr>
              <w:jc w:val="center"/>
              <w:rPr>
                <w:rFonts w:hint="eastAsia" w:eastAsia="宋体"/>
                <w:lang w:val="en-US" w:eastAsia="zh-CN"/>
              </w:rPr>
            </w:pPr>
            <w:r>
              <w:rPr>
                <w:rFonts w:hint="eastAsia"/>
                <w:lang w:val="en-US" w:eastAsia="zh-CN"/>
              </w:rPr>
              <w:t>8</w:t>
            </w:r>
          </w:p>
        </w:tc>
        <w:tc>
          <w:tcPr>
            <w:tcW w:w="7752" w:type="dxa"/>
            <w:tcBorders>
              <w:right w:val="single" w:color="auto" w:sz="4" w:space="0"/>
            </w:tcBorders>
          </w:tcPr>
          <w:p>
            <w:pPr>
              <w:keepNext w:val="0"/>
              <w:keepLines w:val="0"/>
              <w:widowControl/>
              <w:suppressLineNumbers w:val="0"/>
              <w:jc w:val="left"/>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r>
              <w:rPr>
                <w:rFonts w:hint="eastAsia" w:ascii="宋体" w:hAnsi="宋体" w:eastAsia="宋体" w:cs="宋体"/>
                <w:color w:val="000000"/>
                <w:kern w:val="0"/>
                <w:sz w:val="21"/>
                <w:szCs w:val="21"/>
                <w:lang w:val="en-US" w:eastAsia="zh-CN" w:bidi="ar"/>
              </w:rPr>
              <w:t xml:space="preserve">长×宽×高（mm） </w:t>
            </w:r>
            <w:r>
              <w:rPr>
                <w:rFonts w:hint="eastAsia" w:ascii="宋体" w:hAnsi="宋体" w:cs="宋体"/>
                <w:color w:val="000000"/>
                <w:kern w:val="0"/>
                <w:sz w:val="21"/>
                <w:szCs w:val="21"/>
                <w:lang w:val="en-US" w:eastAsia="zh-CN" w:bidi="ar"/>
              </w:rPr>
              <w:t>：≤12000×2520×4000（mm）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lang w:val="en-US" w:eastAsia="zh-CN"/>
              </w:rPr>
            </w:pPr>
            <w:r>
              <w:rPr>
                <w:rFonts w:hint="eastAsia"/>
                <w:lang w:val="en-US" w:eastAsia="zh-CN"/>
              </w:rPr>
              <w:t>9</w:t>
            </w:r>
          </w:p>
        </w:tc>
        <w:tc>
          <w:tcPr>
            <w:tcW w:w="7752" w:type="dxa"/>
            <w:tcBorders>
              <w:right w:val="single" w:color="auto" w:sz="4" w:space="0"/>
            </w:tcBorders>
          </w:tcPr>
          <w:p>
            <w:pPr>
              <w:keepNext w:val="0"/>
              <w:keepLines w:val="0"/>
              <w:widowControl/>
              <w:suppressLineNumbers w:val="0"/>
              <w:jc w:val="left"/>
              <w:rPr>
                <w:rFonts w:hint="default" w:ascii="Arial" w:hAnsi="Arial" w:eastAsia="宋体" w:cs="Arial"/>
                <w:color w:val="222222"/>
                <w:sz w:val="20"/>
                <w:szCs w:val="20"/>
                <w:shd w:val="clear" w:color="auto" w:fill="FFFFFF"/>
                <w:lang w:val="en-US" w:eastAsia="zh-CN"/>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最大允许总质量</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14000kg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eastAsia="宋体"/>
                <w:lang w:val="en-US" w:eastAsia="zh-CN"/>
              </w:rPr>
            </w:pPr>
            <w:r>
              <w:rPr>
                <w:rFonts w:hint="eastAsia"/>
                <w:lang w:val="en-US" w:eastAsia="zh-CN"/>
              </w:rPr>
              <w:t>10</w:t>
            </w:r>
          </w:p>
        </w:tc>
        <w:tc>
          <w:tcPr>
            <w:tcW w:w="7752" w:type="dxa"/>
            <w:tcBorders>
              <w:right w:val="single" w:color="auto" w:sz="4" w:space="0"/>
            </w:tcBorders>
          </w:tcPr>
          <w:p>
            <w:pPr>
              <w:rPr>
                <w:rFonts w:hint="default" w:ascii="Arial" w:hAnsi="Arial" w:eastAsia="宋体" w:cs="Arial"/>
                <w:color w:val="222222"/>
                <w:sz w:val="20"/>
                <w:szCs w:val="20"/>
                <w:shd w:val="clear" w:color="auto" w:fill="FFFFFF"/>
                <w:lang w:val="en-US" w:eastAsia="zh-CN"/>
              </w:rPr>
            </w:pPr>
            <w:r>
              <w:rPr>
                <w:rFonts w:hint="eastAsia" w:ascii="Arial" w:hAnsi="Arial" w:cs="Arial"/>
                <w:color w:val="222222"/>
                <w:sz w:val="20"/>
                <w:szCs w:val="20"/>
                <w:shd w:val="clear" w:color="auto" w:fill="FFFFFF"/>
                <w:lang w:eastAsia="zh-CN"/>
              </w:rPr>
              <w:t>最高车速（</w:t>
            </w:r>
            <w:r>
              <w:rPr>
                <w:rFonts w:hint="eastAsia" w:ascii="宋体" w:hAnsi="宋体"/>
                <w:lang w:val="en-US" w:eastAsia="zh-CN"/>
              </w:rPr>
              <w:t>km/h</w:t>
            </w:r>
            <w:r>
              <w:rPr>
                <w:rFonts w:hint="eastAsia" w:ascii="Arial" w:hAnsi="Arial" w:cs="Arial"/>
                <w:color w:val="222222"/>
                <w:sz w:val="20"/>
                <w:szCs w:val="20"/>
                <w:shd w:val="clear" w:color="auto" w:fill="FFFFFF"/>
                <w:lang w:eastAsia="zh-CN"/>
              </w:rPr>
              <w:t>）：</w:t>
            </w:r>
            <w:r>
              <w:rPr>
                <w:rFonts w:hint="eastAsia" w:ascii="宋体" w:hAnsi="宋体"/>
              </w:rPr>
              <w:t>≥</w:t>
            </w:r>
            <w:r>
              <w:rPr>
                <w:rFonts w:hint="eastAsia" w:ascii="宋体" w:hAnsi="宋体"/>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tcPr>
          <w:p>
            <w:pPr>
              <w:rPr>
                <w:rFonts w:ascii="宋体" w:hAnsi="宋体" w:cs="宋体"/>
                <w:sz w:val="24"/>
                <w:szCs w:val="24"/>
              </w:rPr>
            </w:pPr>
            <w:r>
              <w:rPr>
                <w:rFonts w:hint="eastAsia" w:ascii="宋体" w:hAnsi="宋体" w:cs="宋体"/>
                <w:b/>
                <w:bCs/>
                <w:sz w:val="24"/>
                <w:szCs w:val="24"/>
              </w:rPr>
              <w:t>二</w:t>
            </w:r>
            <w:r>
              <w:rPr>
                <w:rFonts w:hint="eastAsia" w:ascii="宋体" w:hAnsi="宋体"/>
                <w:b/>
                <w:bCs/>
                <w:sz w:val="24"/>
                <w:szCs w:val="24"/>
              </w:rPr>
              <w:t>、车辆改装部分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tcPr>
          <w:p>
            <w:pPr>
              <w:rPr>
                <w:rFonts w:ascii="宋体" w:hAnsi="宋体"/>
              </w:rPr>
            </w:pPr>
            <w:r>
              <w:rPr>
                <w:rFonts w:hint="eastAsia" w:ascii="宋体" w:hAnsi="宋体"/>
              </w:rPr>
              <w:t>箱体采用高强度碳钢骨架，型腔内避震隔音处理；箱体四周平整，美观，比例协调，车身设置单开门，裙厢门，储物柜，不锈钢铰链，优质锁具，所有开门均带有助力机构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tcPr>
          <w:p>
            <w:pPr>
              <w:rPr>
                <w:rFonts w:ascii="宋体" w:hAnsi="宋体"/>
              </w:rPr>
            </w:pPr>
            <w:r>
              <w:rPr>
                <w:rFonts w:hint="eastAsia" w:ascii="宋体" w:hAnsi="宋体"/>
              </w:rPr>
              <w:t>分区及系统门设置合理，LED屏带液压举升功能，举升高度1.0米，设计便于检修，车内配备标准机柜和2kg灭火器2具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3</w:t>
            </w:r>
          </w:p>
        </w:tc>
        <w:tc>
          <w:tcPr>
            <w:tcW w:w="7752" w:type="dxa"/>
            <w:tcBorders>
              <w:right w:val="single" w:color="auto" w:sz="4" w:space="0"/>
            </w:tcBorders>
          </w:tcPr>
          <w:p>
            <w:pPr>
              <w:rPr>
                <w:rFonts w:ascii="宋体" w:hAnsi="宋体"/>
              </w:rPr>
            </w:pPr>
            <w:r>
              <w:rPr>
                <w:rFonts w:hint="eastAsia" w:ascii="宋体" w:hAnsi="宋体"/>
              </w:rPr>
              <w:t>发电机舱二级降噪处理，发电机检修便捷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4</w:t>
            </w:r>
          </w:p>
        </w:tc>
        <w:tc>
          <w:tcPr>
            <w:tcW w:w="7752" w:type="dxa"/>
            <w:tcBorders>
              <w:right w:val="single" w:color="auto" w:sz="4" w:space="0"/>
            </w:tcBorders>
          </w:tcPr>
          <w:p>
            <w:pPr>
              <w:rPr>
                <w:rFonts w:hint="eastAsia" w:ascii="宋体" w:hAnsi="宋体"/>
              </w:rPr>
            </w:pPr>
            <w:r>
              <w:rPr>
                <w:rFonts w:hint="eastAsia" w:ascii="宋体" w:hAnsi="宋体" w:cs="宋体"/>
                <w:color w:val="auto"/>
                <w:sz w:val="24"/>
                <w:szCs w:val="24"/>
                <w:highlight w:val="none"/>
              </w:rPr>
              <w:t>▲</w:t>
            </w:r>
            <w:r>
              <w:rPr>
                <w:rFonts w:hint="eastAsia" w:ascii="宋体" w:hAnsi="宋体"/>
              </w:rPr>
              <w:t>放置消防宣传设备及其他需防水器材的器材箱不应漏水，外装LED大屏、警灯和频闪灯不应进水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lang w:val="en-US" w:eastAsia="zh-CN"/>
              </w:rPr>
            </w:pPr>
            <w:r>
              <w:rPr>
                <w:rFonts w:hint="eastAsia" w:ascii="宋体" w:hAnsi="宋体"/>
                <w:lang w:val="en-US" w:eastAsia="zh-CN"/>
              </w:rPr>
              <w:t>5</w:t>
            </w:r>
          </w:p>
        </w:tc>
        <w:tc>
          <w:tcPr>
            <w:tcW w:w="7752" w:type="dxa"/>
            <w:tcBorders>
              <w:right w:val="single" w:color="auto" w:sz="4" w:space="0"/>
            </w:tcBorders>
            <w:vAlign w:val="top"/>
          </w:tcPr>
          <w:p>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rPr>
              <w:t>▲各宣教演示设备的位置应布置合理，在同时开启时应互不干扰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lang w:val="en-US" w:eastAsia="zh-CN"/>
              </w:rPr>
            </w:pPr>
            <w:r>
              <w:rPr>
                <w:rFonts w:hint="eastAsia" w:ascii="宋体" w:hAnsi="宋体"/>
                <w:lang w:val="en-US" w:eastAsia="zh-CN"/>
              </w:rPr>
              <w:t>6</w:t>
            </w:r>
          </w:p>
        </w:tc>
        <w:tc>
          <w:tcPr>
            <w:tcW w:w="7752" w:type="dxa"/>
            <w:tcBorders>
              <w:right w:val="single" w:color="auto" w:sz="4" w:space="0"/>
            </w:tcBorders>
            <w:vAlign w:val="top"/>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包含消防宣传系统数：</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8套（包含但不仅限于报警体验系统、厨房火灾演示系统、常见安全隐患排查互动系统等）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default" w:ascii="宋体" w:hAnsi="宋体"/>
                <w:lang w:val="en-US" w:eastAsia="zh-CN"/>
              </w:rPr>
            </w:pPr>
            <w:r>
              <w:rPr>
                <w:rFonts w:hint="eastAsia" w:ascii="宋体" w:hAnsi="宋体"/>
                <w:lang w:val="en-US" w:eastAsia="zh-CN"/>
              </w:rPr>
              <w:t>7</w:t>
            </w:r>
          </w:p>
        </w:tc>
        <w:tc>
          <w:tcPr>
            <w:tcW w:w="7752" w:type="dxa"/>
            <w:tcBorders>
              <w:right w:val="single" w:color="auto" w:sz="4" w:space="0"/>
            </w:tcBorders>
            <w:vAlign w:val="top"/>
          </w:tcPr>
          <w:p>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宣传舞台平台展开后应支撑牢固可靠，承载能力≥200kg/㎡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8587" w:type="dxa"/>
            <w:gridSpan w:val="2"/>
            <w:tcBorders>
              <w:right w:val="single" w:color="auto" w:sz="4" w:space="0"/>
            </w:tcBorders>
          </w:tcPr>
          <w:p>
            <w:pPr>
              <w:rPr>
                <w:rFonts w:hint="eastAsia" w:ascii="宋体" w:hAnsi="宋体" w:eastAsia="宋体" w:cs="宋体"/>
                <w:sz w:val="24"/>
                <w:szCs w:val="24"/>
                <w:lang w:eastAsia="zh-CN"/>
              </w:rPr>
            </w:pPr>
            <w:r>
              <w:rPr>
                <w:rFonts w:hint="eastAsia" w:ascii="宋体" w:hAnsi="宋体" w:cs="宋体"/>
                <w:b/>
                <w:bCs/>
                <w:sz w:val="24"/>
                <w:szCs w:val="24"/>
              </w:rPr>
              <w:t>三</w:t>
            </w:r>
            <w:r>
              <w:rPr>
                <w:rFonts w:hint="eastAsia" w:ascii="宋体" w:hAnsi="宋体"/>
                <w:b/>
                <w:bCs/>
                <w:sz w:val="24"/>
                <w:szCs w:val="24"/>
              </w:rPr>
              <w:t>、车顶空调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hint="default" w:ascii="宋体" w:hAnsi="宋体" w:eastAsia="宋体"/>
                <w:lang w:val="en-US" w:eastAsia="zh-CN"/>
              </w:rPr>
            </w:pPr>
            <w:r>
              <w:rPr>
                <w:rFonts w:hint="eastAsia" w:ascii="宋体" w:hAnsi="宋体"/>
              </w:rPr>
              <w:t>空调系统制冷量大于1.5kw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四、外观涂装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车辆专业烤漆、外观设计符合国家法律法规，R03 消防红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rPr>
                <w:rFonts w:hint="eastAsia" w:ascii="宋体" w:hAnsi="宋体"/>
                <w:lang w:val="en-US" w:eastAsia="zh-CN"/>
              </w:rPr>
            </w:pPr>
            <w:r>
              <w:rPr>
                <w:rFonts w:hint="eastAsia" w:ascii="宋体" w:hAnsi="宋体"/>
                <w:lang w:val="en-US" w:eastAsia="zh-CN"/>
              </w:rPr>
              <w:t>2</w:t>
            </w:r>
          </w:p>
        </w:tc>
        <w:tc>
          <w:tcPr>
            <w:tcW w:w="7752" w:type="dxa"/>
            <w:tcBorders>
              <w:right w:val="single" w:color="auto" w:sz="4" w:space="0"/>
            </w:tcBorders>
            <w:vAlign w:val="center"/>
          </w:tcPr>
          <w:p>
            <w:pPr>
              <w:rPr>
                <w:rFonts w:hint="eastAsia" w:ascii="宋体" w:hAnsi="宋体"/>
              </w:rPr>
            </w:pPr>
            <w:r>
              <w:rPr>
                <w:rFonts w:hint="eastAsia" w:ascii="宋体" w:hAnsi="宋体"/>
              </w:rPr>
              <w:t>整车标识：符合《国务院办公厅关于国家综合性消防救援车辆悬挂应急救援专用号牌有发【2018】114号）、《消防救援局关于做好消防救援车辆外观制式涂装关事项的通知》（国办工作的通知》（应急消【2019】76号）等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五、发电机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tcPr>
          <w:p>
            <w:pPr>
              <w:tabs>
                <w:tab w:val="left" w:pos="2577"/>
              </w:tabs>
              <w:rPr>
                <w:rFonts w:ascii="宋体" w:hAnsi="宋体"/>
              </w:rPr>
            </w:pPr>
            <w:r>
              <w:rPr>
                <w:rFonts w:hint="eastAsia" w:ascii="宋体" w:hAnsi="宋体"/>
              </w:rPr>
              <w:t>额定功率：≥</w:t>
            </w:r>
            <w:r>
              <w:rPr>
                <w:rFonts w:hint="eastAsia" w:ascii="宋体" w:hAnsi="宋体"/>
                <w:lang w:val="en-US" w:eastAsia="zh-CN"/>
              </w:rPr>
              <w:t>10</w:t>
            </w:r>
            <w:r>
              <w:rPr>
                <w:rFonts w:hint="eastAsia" w:ascii="宋体" w:hAnsi="宋体"/>
              </w:rPr>
              <w:t>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2</w:t>
            </w:r>
          </w:p>
        </w:tc>
        <w:tc>
          <w:tcPr>
            <w:tcW w:w="7752" w:type="dxa"/>
            <w:tcBorders>
              <w:right w:val="single" w:color="auto" w:sz="4" w:space="0"/>
            </w:tcBorders>
            <w:vAlign w:val="center"/>
          </w:tcPr>
          <w:p>
            <w:pPr>
              <w:pStyle w:val="5"/>
              <w:spacing w:line="240" w:lineRule="auto"/>
              <w:rPr>
                <w:rFonts w:hint="eastAsia" w:ascii="宋体" w:hAnsi="宋体"/>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发电机连续运转可靠性：开启所有车载设备后，发电机可以至少连续运转8小时，且所有设备工作正常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3</w:t>
            </w:r>
          </w:p>
        </w:tc>
        <w:tc>
          <w:tcPr>
            <w:tcW w:w="7752" w:type="dxa"/>
            <w:tcBorders>
              <w:right w:val="single" w:color="auto" w:sz="4" w:space="0"/>
            </w:tcBorders>
            <w:vAlign w:val="center"/>
          </w:tcPr>
          <w:p>
            <w:pPr>
              <w:pStyle w:val="5"/>
              <w:spacing w:line="240" w:lineRule="auto"/>
              <w:rPr>
                <w:rFonts w:hint="eastAsia" w:ascii="宋体" w:hAnsi="宋体"/>
              </w:rPr>
            </w:pPr>
            <w:r>
              <w:rPr>
                <w:rFonts w:hint="eastAsia" w:ascii="宋体" w:hAnsi="宋体" w:cs="宋体"/>
                <w:color w:val="auto"/>
                <w:sz w:val="24"/>
                <w:szCs w:val="24"/>
                <w:highlight w:val="none"/>
              </w:rPr>
              <w:t>▲发电机组功率应能满足宣传车所有设备同时开启的用电负荷需求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六、电气系统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警示、照明灯光、外观/LED长排警灯，100w报警器，车内应急照明，车外场地照明，车厢廓灯；配备行车记录仪和倒车系统；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vAlign w:val="center"/>
          </w:tcPr>
          <w:p>
            <w:pPr>
              <w:rPr>
                <w:rFonts w:ascii="宋体" w:hAnsi="宋体"/>
              </w:rPr>
            </w:pPr>
            <w:r>
              <w:rPr>
                <w:rFonts w:hint="eastAsia" w:ascii="宋体" w:hAnsi="宋体"/>
              </w:rPr>
              <w:t>车辆配电设计合理，配置蓄电池、充电机、蓄电池、音视频组件等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3</w:t>
            </w:r>
          </w:p>
        </w:tc>
        <w:tc>
          <w:tcPr>
            <w:tcW w:w="7752" w:type="dxa"/>
            <w:tcBorders>
              <w:right w:val="single" w:color="auto" w:sz="4" w:space="0"/>
            </w:tcBorders>
            <w:vAlign w:val="center"/>
          </w:tcPr>
          <w:p>
            <w:pPr>
              <w:rPr>
                <w:rFonts w:ascii="宋体" w:hAnsi="宋体"/>
              </w:rPr>
            </w:pPr>
            <w:r>
              <w:rPr>
                <w:rFonts w:hint="eastAsia" w:ascii="宋体" w:hAnsi="宋体"/>
              </w:rPr>
              <w:t>可市发电自动切换，不间断电源≥</w:t>
            </w:r>
            <w:r>
              <w:rPr>
                <w:rFonts w:ascii="宋体" w:hAnsi="宋体"/>
              </w:rPr>
              <w:t>3KVA</w:t>
            </w:r>
            <w:r>
              <w:rPr>
                <w:rFonts w:hint="eastAsia" w:ascii="宋体" w:hAnsi="宋体"/>
              </w:rPr>
              <w:t>，并兼顾直流配电，外接电缆盘≥30米。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4</w:t>
            </w:r>
          </w:p>
        </w:tc>
        <w:tc>
          <w:tcPr>
            <w:tcW w:w="7752" w:type="dxa"/>
            <w:tcBorders>
              <w:right w:val="single" w:color="auto" w:sz="4" w:space="0"/>
            </w:tcBorders>
            <w:vAlign w:val="center"/>
          </w:tcPr>
          <w:p>
            <w:pPr>
              <w:pStyle w:val="5"/>
              <w:spacing w:line="240" w:lineRule="auto"/>
              <w:rPr>
                <w:rFonts w:hint="eastAsia" w:ascii="宋体" w:hAnsi="宋体"/>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配电箱的防护等级不应低于GB 4208-2008规定的IP 22 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5</w:t>
            </w:r>
          </w:p>
        </w:tc>
        <w:tc>
          <w:tcPr>
            <w:tcW w:w="7752" w:type="dxa"/>
            <w:tcBorders>
              <w:right w:val="single" w:color="auto" w:sz="4" w:space="0"/>
            </w:tcBorders>
            <w:vAlign w:val="center"/>
          </w:tcPr>
          <w:p>
            <w:pPr>
              <w:pStyle w:val="5"/>
              <w:spacing w:line="240" w:lineRule="auto"/>
              <w:rPr>
                <w:rFonts w:hint="eastAsia" w:ascii="宋体" w:hAnsi="宋体"/>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配电箱应设有短路保护、过载保护及接地装置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vAlign w:val="center"/>
          </w:tcPr>
          <w:p>
            <w:pPr>
              <w:rPr>
                <w:rFonts w:ascii="宋体" w:hAnsi="宋体" w:cs="宋体"/>
                <w:sz w:val="24"/>
                <w:szCs w:val="24"/>
              </w:rPr>
            </w:pPr>
            <w:r>
              <w:rPr>
                <w:rFonts w:hint="eastAsia" w:ascii="宋体" w:hAnsi="宋体" w:cs="宋体"/>
                <w:b/>
                <w:bCs/>
                <w:sz w:val="24"/>
                <w:szCs w:val="24"/>
              </w:rPr>
              <w:t>七、高亮度LED屏显示系统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trPr>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tcPr>
          <w:p>
            <w:pPr>
              <w:rPr>
                <w:rFonts w:hint="default" w:ascii="宋体" w:hAnsi="宋体" w:eastAsia="宋体"/>
                <w:lang w:val="en-US" w:eastAsia="zh-CN"/>
              </w:rPr>
            </w:pPr>
            <w:r>
              <w:rPr>
                <w:rFonts w:ascii="Arial" w:hAnsi="Arial" w:cs="Arial"/>
                <w:color w:val="222222"/>
                <w:sz w:val="20"/>
                <w:szCs w:val="20"/>
                <w:shd w:val="clear" w:color="auto" w:fill="FFFFFF"/>
              </w:rPr>
              <w:t>▲</w:t>
            </w:r>
            <w:r>
              <w:rPr>
                <w:rFonts w:hint="eastAsia" w:ascii="宋体" w:hAnsi="宋体"/>
                <w:lang w:eastAsia="zh-CN"/>
              </w:rPr>
              <w:t>显示屏幕</w:t>
            </w:r>
            <w:r>
              <w:rPr>
                <w:rFonts w:hint="eastAsia" w:ascii="宋体" w:hAnsi="宋体"/>
              </w:rPr>
              <w:t>面积</w:t>
            </w:r>
            <w:r>
              <w:rPr>
                <w:rFonts w:hint="eastAsia" w:ascii="宋体" w:hAnsi="宋体"/>
                <w:lang w:eastAsia="zh-CN"/>
              </w:rPr>
              <w:t>（㎡）：</w:t>
            </w:r>
            <w:r>
              <w:rPr>
                <w:rFonts w:hint="eastAsia" w:ascii="宋体" w:hAnsi="宋体"/>
              </w:rPr>
              <w:t>≥</w:t>
            </w:r>
            <w:r>
              <w:rPr>
                <w:rFonts w:hint="eastAsia" w:ascii="宋体" w:hAnsi="宋体"/>
                <w:lang w:val="en-US" w:eastAsia="zh-CN"/>
              </w:rPr>
              <w:t>6，P6表贴传输卡+全密封控制箱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hint="eastAsia" w:ascii="宋体" w:hAnsi="宋体" w:eastAsia="宋体"/>
                <w:lang w:val="en-US" w:eastAsia="zh-CN"/>
              </w:rPr>
            </w:pPr>
            <w:r>
              <w:rPr>
                <w:rFonts w:hint="eastAsia" w:ascii="宋体" w:hAnsi="宋体"/>
                <w:lang w:val="en-US" w:eastAsia="zh-CN"/>
              </w:rPr>
              <w:t>2</w:t>
            </w:r>
          </w:p>
        </w:tc>
        <w:tc>
          <w:tcPr>
            <w:tcW w:w="7752" w:type="dxa"/>
            <w:tcBorders>
              <w:right w:val="single" w:color="auto" w:sz="4" w:space="0"/>
            </w:tcBorders>
          </w:tcPr>
          <w:p>
            <w:pPr>
              <w:keepNext w:val="0"/>
              <w:keepLines w:val="0"/>
              <w:widowControl/>
              <w:suppressLineNumbers w:val="0"/>
              <w:jc w:val="left"/>
              <w:rPr>
                <w:rFonts w:hint="eastAsia" w:ascii="宋体" w:hAnsi="宋体"/>
              </w:rPr>
            </w:pPr>
            <w:r>
              <w:rPr>
                <w:rFonts w:hint="eastAsia" w:ascii="宋体" w:hAnsi="宋体" w:eastAsia="宋体" w:cs="宋体"/>
                <w:color w:val="000000"/>
                <w:kern w:val="0"/>
                <w:sz w:val="21"/>
                <w:szCs w:val="21"/>
                <w:lang w:val="en-US" w:eastAsia="zh-CN" w:bidi="ar"/>
              </w:rPr>
              <w:t>车身外部设有广告屏（箱）的汽车和挂车，应保证广告屏（箱）在车辆行驶状态下处于关闭状态。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8587" w:type="dxa"/>
            <w:gridSpan w:val="2"/>
            <w:tcBorders>
              <w:right w:val="single" w:color="auto" w:sz="4" w:space="0"/>
            </w:tcBorders>
            <w:vAlign w:val="center"/>
          </w:tcPr>
          <w:p>
            <w:r>
              <w:rPr>
                <w:rFonts w:hint="eastAsia" w:ascii="宋体" w:hAnsi="宋体" w:cs="宋体"/>
                <w:b/>
                <w:bCs/>
                <w:sz w:val="24"/>
                <w:szCs w:val="24"/>
              </w:rPr>
              <w:t>八、多媒体宣传系统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包含车载电脑、扩音功放、无线麦克风、室外音响、LED显示屏等器材。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vAlign w:val="center"/>
          </w:tcPr>
          <w:p>
            <w:pPr>
              <w:rPr>
                <w:rFonts w:ascii="宋体" w:hAnsi="宋体"/>
              </w:rPr>
            </w:pPr>
            <w:r>
              <w:rPr>
                <w:rFonts w:hint="eastAsia" w:ascii="宋体" w:hAnsi="宋体"/>
              </w:rPr>
              <w:t>LED参数：LED参数：间距（mm）：≤5像素密度：（Dots/m²）40000像素构成：1R1G1B模组重量(Kg)：≤0.45亮度（CD/m²）：≥4500最大功耗（W/m²）：≤836模组尺寸：320*160（mm）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3</w:t>
            </w:r>
          </w:p>
        </w:tc>
        <w:tc>
          <w:tcPr>
            <w:tcW w:w="7752" w:type="dxa"/>
            <w:tcBorders>
              <w:right w:val="single" w:color="auto" w:sz="4" w:space="0"/>
            </w:tcBorders>
            <w:vAlign w:val="center"/>
          </w:tcPr>
          <w:p>
            <w:pPr>
              <w:rPr>
                <w:rFonts w:ascii="宋体" w:hAnsi="宋体"/>
              </w:rPr>
            </w:pPr>
            <w:r>
              <w:rPr>
                <w:rFonts w:hint="eastAsia" w:ascii="宋体" w:hAnsi="宋体"/>
              </w:rPr>
              <w:t>前置翻盖式检修，防护等级≥IP67，显示面积≥7㎡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4</w:t>
            </w:r>
          </w:p>
        </w:tc>
        <w:tc>
          <w:tcPr>
            <w:tcW w:w="7752" w:type="dxa"/>
            <w:tcBorders>
              <w:right w:val="single" w:color="auto" w:sz="4" w:space="0"/>
            </w:tcBorders>
            <w:vAlign w:val="center"/>
          </w:tcPr>
          <w:p>
            <w:pPr>
              <w:rPr>
                <w:rFonts w:ascii="宋体" w:hAnsi="宋体"/>
              </w:rPr>
            </w:pPr>
            <w:r>
              <w:rPr>
                <w:rFonts w:hint="eastAsia" w:ascii="宋体" w:hAnsi="宋体"/>
              </w:rPr>
              <w:t xml:space="preserve">车载电脑：≥高4U /I5 4460/8G内存，1T硬盘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5</w:t>
            </w:r>
          </w:p>
        </w:tc>
        <w:tc>
          <w:tcPr>
            <w:tcW w:w="7752" w:type="dxa"/>
            <w:tcBorders>
              <w:right w:val="single" w:color="auto" w:sz="4" w:space="0"/>
            </w:tcBorders>
            <w:vAlign w:val="center"/>
          </w:tcPr>
          <w:p>
            <w:pPr>
              <w:rPr>
                <w:rFonts w:ascii="宋体" w:hAnsi="宋体"/>
              </w:rPr>
            </w:pPr>
            <w:r>
              <w:rPr>
                <w:rFonts w:hint="eastAsia" w:ascii="宋体" w:hAnsi="宋体"/>
              </w:rPr>
              <w:t>车载监视器：≥17寸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trPr>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九、119报警体验系统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tcPr>
          <w:p>
            <w:pPr>
              <w:rPr>
                <w:rFonts w:hint="eastAsia" w:ascii="宋体" w:hAnsi="宋体" w:eastAsia="宋体"/>
                <w:lang w:eastAsia="zh-CN"/>
              </w:rPr>
            </w:pPr>
            <w:r>
              <w:rPr>
                <w:rFonts w:hint="eastAsia" w:ascii="宋体" w:hAnsi="宋体"/>
              </w:rPr>
              <w:t>≥21.5英寸 (</w:t>
            </w:r>
            <w:r>
              <w:rPr>
                <w:rFonts w:hint="eastAsia" w:ascii="宋体" w:hAnsi="宋体"/>
                <w:lang w:eastAsia="zh-CN"/>
              </w:rPr>
              <w:t>配置：</w:t>
            </w:r>
            <w:r>
              <w:rPr>
                <w:rFonts w:hint="eastAsia" w:ascii="宋体" w:hAnsi="宋体"/>
              </w:rPr>
              <w:t>I5-8400/8G/1T/W10H/触摸屏一体机21.5内置音箱</w:t>
            </w:r>
            <w:r>
              <w:rPr>
                <w:rFonts w:hint="eastAsia" w:ascii="宋体" w:hAnsi="宋体"/>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tcPr>
          <w:p>
            <w:pPr>
              <w:rPr>
                <w:rFonts w:ascii="宋体" w:hAnsi="宋体"/>
              </w:rPr>
            </w:pPr>
            <w:r>
              <w:rPr>
                <w:rFonts w:hint="eastAsia" w:ascii="宋体" w:hAnsi="宋体"/>
              </w:rPr>
              <w:t>119报警体验软件/119报警体验系统采用触摸屏、计算机人机互动技术，模拟训练系统包括119报警学习、座机、手机报警体验和消防互动游戏体验三个部分，体验者在119报警学习部分，将学习到如何正确、准确及时的进行火灾报警。要求提供不少于3套消防游戏体验：消防员救火体验系统、消防指挥官指挥体验、火灾逃生游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十、消防知识查询系统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ascii="宋体" w:hAnsi="宋体"/>
              </w:rPr>
              <w:t>工业控制主机配置：低功耗i5CPU 内存 8G/硬盘120G低功耗工控机</w:t>
            </w:r>
          </w:p>
          <w:p>
            <w:pPr>
              <w:rPr>
                <w:rFonts w:ascii="宋体" w:hAnsi="宋体"/>
              </w:rPr>
            </w:pPr>
            <w:r>
              <w:rPr>
                <w:rFonts w:ascii="宋体" w:hAnsi="宋体"/>
              </w:rPr>
              <w:t>抢答评分软件</w:t>
            </w:r>
            <w:r>
              <w:rPr>
                <w:rFonts w:hint="eastAsia" w:ascii="宋体" w:hAnsi="宋体"/>
              </w:rPr>
              <w:t>，提供软件证书</w:t>
            </w:r>
          </w:p>
          <w:p>
            <w:pPr>
              <w:rPr>
                <w:rFonts w:ascii="宋体" w:hAnsi="宋体"/>
              </w:rPr>
            </w:pPr>
            <w:r>
              <w:rPr>
                <w:rFonts w:ascii="宋体" w:hAnsi="宋体"/>
              </w:rPr>
              <w:t>工业可编程序控制器PLC控制系统:三菱/FXS-30MR-001</w:t>
            </w:r>
          </w:p>
          <w:p>
            <w:pPr>
              <w:rPr>
                <w:rFonts w:ascii="宋体" w:hAnsi="宋体"/>
              </w:rPr>
            </w:pPr>
            <w:r>
              <w:rPr>
                <w:rFonts w:hint="eastAsia" w:ascii="宋体" w:hAnsi="宋体"/>
              </w:rPr>
              <w:t>≥</w:t>
            </w:r>
            <w:r>
              <w:rPr>
                <w:rFonts w:ascii="宋体" w:hAnsi="宋体"/>
              </w:rPr>
              <w:t>3个3坐席抢答器</w:t>
            </w:r>
          </w:p>
          <w:p>
            <w:pPr>
              <w:rPr>
                <w:rFonts w:ascii="宋体" w:hAnsi="宋体"/>
              </w:rPr>
            </w:pPr>
            <w:r>
              <w:rPr>
                <w:rFonts w:hint="eastAsia" w:ascii="宋体" w:hAnsi="宋体"/>
              </w:rPr>
              <w:t>≥</w:t>
            </w:r>
            <w:r>
              <w:rPr>
                <w:rFonts w:ascii="宋体" w:hAnsi="宋体"/>
              </w:rPr>
              <w:t>32"液晶显示屏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十一、常见安全隐患排查互动系统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工业控制主机配置≥21.5英寸触摸屏/内置音箱隐患排查互动软件/在壁挂触摸屏一体机上，通过虚拟互动模式，让体验者自行设计多种线缆连接方案，通过PC后台计算来演示日常电器绝缘层破坏、电气线路过载、短路、烟头引发火灾的过程，系统通过声音对各种安全隐患点进行互动讲解说明。系统提供每个真实实验的测试视频可以学习。本系统具有体验效率高、安全性高等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vAlign w:val="center"/>
          </w:tcPr>
          <w:p>
            <w:pPr>
              <w:rPr>
                <w:rFonts w:ascii="宋体" w:hAnsi="宋体"/>
              </w:rPr>
            </w:pPr>
            <w:r>
              <w:rPr>
                <w:rFonts w:hint="eastAsia" w:ascii="宋体" w:hAnsi="宋体"/>
              </w:rPr>
              <w:t>≥32 寸 LED 液晶电视、低功耗工控主机（Intel i5四核 128GSSD 4G 内存）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3</w:t>
            </w:r>
          </w:p>
        </w:tc>
        <w:tc>
          <w:tcPr>
            <w:tcW w:w="7752" w:type="dxa"/>
            <w:tcBorders>
              <w:right w:val="single" w:color="auto" w:sz="4" w:space="0"/>
            </w:tcBorders>
            <w:vAlign w:val="center"/>
          </w:tcPr>
          <w:p>
            <w:pPr>
              <w:rPr>
                <w:rFonts w:ascii="宋体" w:hAnsi="宋体"/>
              </w:rPr>
            </w:pPr>
            <w:r>
              <w:rPr>
                <w:rFonts w:hint="eastAsia" w:ascii="宋体" w:hAnsi="宋体"/>
              </w:rPr>
              <w:t>发生火灾物品：炒锅、电热水壶、电饭煲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4</w:t>
            </w:r>
          </w:p>
        </w:tc>
        <w:tc>
          <w:tcPr>
            <w:tcW w:w="7752" w:type="dxa"/>
            <w:tcBorders>
              <w:right w:val="single" w:color="auto" w:sz="4" w:space="0"/>
            </w:tcBorders>
            <w:vAlign w:val="center"/>
          </w:tcPr>
          <w:p>
            <w:pPr>
              <w:rPr>
                <w:rFonts w:ascii="宋体" w:hAnsi="宋体"/>
              </w:rPr>
            </w:pPr>
            <w:r>
              <w:rPr>
                <w:rFonts w:hint="eastAsia" w:ascii="宋体" w:hAnsi="宋体"/>
              </w:rPr>
              <w:t>模拟灭火器、灭火毯、锅盖、电源空开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十三、大屏模拟灭火演示系统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软件能模拟日常生活中经常遇到的家具火灾、厨房火灾、电器火灾、油类火灾等四类火灾，设置对应这几种火灾的灭火器，让参与人员体验到紧张而有趣的过程。硬件灭火器≥4套</w:t>
            </w:r>
            <w:r>
              <w:rPr>
                <w:rFonts w:ascii="宋体" w:hAnsi="宋体"/>
              </w:rPr>
              <w:t>工业电脑主机/共用LED多媒体电脑主机大屏显示单元/共用LED多媒体显示大屏液压升降功能，带多功能舞台功能PLC控制器及人机操作面板/三菱FX14MR PLC处理器人机操作面板/人机操作面板模拟灭火体验系统软件/模拟灭火体验系统软件灭火器选取传感器/NPN接近传感器摄像头/高清红外户外摄像头1套改制灭火器/4只灭火器含无线发射、接收装置改制1套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十四、厨房消防安全体验系统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tcBorders>
              <w:bottom w:val="single" w:color="auto" w:sz="4" w:space="0"/>
            </w:tcBorders>
            <w:vAlign w:val="center"/>
          </w:tcPr>
          <w:p>
            <w:pPr>
              <w:jc w:val="center"/>
              <w:rPr>
                <w:rFonts w:ascii="宋体" w:hAnsi="宋体"/>
              </w:rPr>
            </w:pPr>
            <w:r>
              <w:rPr>
                <w:rFonts w:hint="eastAsia" w:ascii="宋体" w:hAnsi="宋体"/>
              </w:rPr>
              <w:t>1</w:t>
            </w:r>
          </w:p>
        </w:tc>
        <w:tc>
          <w:tcPr>
            <w:tcW w:w="7752" w:type="dxa"/>
            <w:tcBorders>
              <w:bottom w:val="single" w:color="auto" w:sz="4" w:space="0"/>
              <w:right w:val="single" w:color="auto" w:sz="4" w:space="0"/>
            </w:tcBorders>
            <w:vAlign w:val="center"/>
          </w:tcPr>
          <w:p>
            <w:pPr>
              <w:rPr>
                <w:rFonts w:ascii="宋体" w:hAnsi="宋体"/>
              </w:rPr>
            </w:pPr>
            <w:r>
              <w:rPr>
                <w:rFonts w:ascii="宋体" w:hAnsi="宋体"/>
              </w:rPr>
              <w:t>橱柜</w:t>
            </w:r>
          </w:p>
          <w:p>
            <w:pPr>
              <w:rPr>
                <w:rFonts w:ascii="宋体" w:hAnsi="宋体"/>
              </w:rPr>
            </w:pPr>
            <w:r>
              <w:rPr>
                <w:rFonts w:ascii="宋体" w:hAnsi="宋体"/>
              </w:rPr>
              <w:t>灶台</w:t>
            </w:r>
          </w:p>
          <w:p>
            <w:pPr>
              <w:rPr>
                <w:rFonts w:ascii="宋体" w:hAnsi="宋体"/>
              </w:rPr>
            </w:pPr>
            <w:r>
              <w:rPr>
                <w:rFonts w:ascii="宋体" w:hAnsi="宋体"/>
              </w:rPr>
              <w:t>液化气罐</w:t>
            </w:r>
          </w:p>
          <w:p>
            <w:pPr>
              <w:rPr>
                <w:rFonts w:ascii="宋体" w:hAnsi="宋体"/>
              </w:rPr>
            </w:pPr>
            <w:r>
              <w:rPr>
                <w:rFonts w:ascii="宋体" w:hAnsi="宋体"/>
              </w:rPr>
              <w:t>微波炉</w:t>
            </w:r>
          </w:p>
          <w:p>
            <w:pPr>
              <w:rPr>
                <w:rFonts w:ascii="宋体" w:hAnsi="宋体"/>
              </w:rPr>
            </w:pPr>
            <w:r>
              <w:rPr>
                <w:rFonts w:ascii="宋体" w:hAnsi="宋体"/>
              </w:rPr>
              <w:t>液化气灶具</w:t>
            </w:r>
          </w:p>
          <w:p>
            <w:pPr>
              <w:rPr>
                <w:rFonts w:ascii="宋体" w:hAnsi="宋体"/>
              </w:rPr>
            </w:pPr>
            <w:r>
              <w:rPr>
                <w:rFonts w:ascii="宋体" w:hAnsi="宋体"/>
              </w:rPr>
              <w:t>常规厨具、锅、洗菜盆</w:t>
            </w:r>
          </w:p>
          <w:p>
            <w:pPr>
              <w:rPr>
                <w:rFonts w:ascii="宋体" w:hAnsi="宋体"/>
              </w:rPr>
            </w:pPr>
            <w:r>
              <w:rPr>
                <w:rFonts w:ascii="宋体" w:hAnsi="宋体"/>
              </w:rPr>
              <w:t>隐患道具毛巾、插线板、油壶</w:t>
            </w:r>
          </w:p>
          <w:p>
            <w:pPr>
              <w:rPr>
                <w:rFonts w:ascii="宋体" w:hAnsi="宋体"/>
              </w:rPr>
            </w:pPr>
            <w:r>
              <w:rPr>
                <w:rFonts w:hint="eastAsia" w:ascii="宋体" w:hAnsi="宋体"/>
              </w:rPr>
              <w:t>≥</w:t>
            </w:r>
            <w:r>
              <w:rPr>
                <w:rFonts w:ascii="宋体" w:hAnsi="宋体"/>
              </w:rPr>
              <w:t>32"显示屏</w:t>
            </w:r>
          </w:p>
          <w:p>
            <w:pPr>
              <w:rPr>
                <w:rFonts w:ascii="宋体" w:hAnsi="宋体"/>
              </w:rPr>
            </w:pPr>
            <w:r>
              <w:rPr>
                <w:rFonts w:ascii="宋体" w:hAnsi="宋体"/>
              </w:rPr>
              <w:t>毛巾、插线板、油壶</w:t>
            </w:r>
          </w:p>
          <w:p>
            <w:pPr>
              <w:rPr>
                <w:rFonts w:ascii="宋体" w:hAnsi="宋体"/>
              </w:rPr>
            </w:pPr>
            <w:r>
              <w:rPr>
                <w:rFonts w:ascii="宋体" w:hAnsi="宋体"/>
              </w:rPr>
              <w:t>厨房模拟火灾体验控制软件</w:t>
            </w:r>
          </w:p>
          <w:p>
            <w:pPr>
              <w:rPr>
                <w:rFonts w:ascii="宋体" w:hAnsi="宋体"/>
              </w:rPr>
            </w:pPr>
            <w:r>
              <w:rPr>
                <w:rFonts w:ascii="宋体" w:hAnsi="宋体"/>
              </w:rPr>
              <w:t>工业控制主机配置：低功耗CPUi5 内存 8G/硬盘120G低功耗工控机</w:t>
            </w:r>
          </w:p>
          <w:p>
            <w:pPr>
              <w:rPr>
                <w:rFonts w:ascii="宋体" w:hAnsi="宋体"/>
              </w:rPr>
            </w:pPr>
            <w:r>
              <w:rPr>
                <w:rFonts w:ascii="宋体" w:hAnsi="宋体"/>
              </w:rPr>
              <w:t xml:space="preserve">PLC处理器：三菱FX14MR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tcBorders>
              <w:bottom w:val="single" w:color="auto" w:sz="4" w:space="0"/>
            </w:tcBorders>
            <w:vAlign w:val="center"/>
          </w:tcPr>
          <w:p>
            <w:pPr>
              <w:jc w:val="center"/>
              <w:rPr>
                <w:rFonts w:hint="eastAsia" w:ascii="宋体" w:hAnsi="宋体" w:eastAsia="宋体"/>
                <w:lang w:eastAsia="zh-CN"/>
              </w:rPr>
            </w:pPr>
            <w:r>
              <w:rPr>
                <w:rFonts w:hint="eastAsia" w:ascii="宋体" w:hAnsi="宋体"/>
                <w:b/>
                <w:bCs/>
                <w:sz w:val="28"/>
                <w:szCs w:val="32"/>
                <w:lang w:eastAsia="zh-CN"/>
              </w:rPr>
              <w:t>十五</w:t>
            </w:r>
          </w:p>
        </w:tc>
        <w:tc>
          <w:tcPr>
            <w:tcW w:w="7752" w:type="dxa"/>
            <w:tcBorders>
              <w:bottom w:val="single" w:color="auto" w:sz="4" w:space="0"/>
              <w:right w:val="single" w:color="auto" w:sz="4" w:space="0"/>
            </w:tcBorders>
            <w:vAlign w:val="center"/>
          </w:tcPr>
          <w:p>
            <w:pPr>
              <w:tabs>
                <w:tab w:val="left" w:pos="5998"/>
              </w:tabs>
              <w:rPr>
                <w:rFonts w:hint="eastAsia" w:ascii="宋体" w:hAnsi="宋体" w:eastAsia="宋体"/>
                <w:lang w:eastAsia="zh-CN"/>
              </w:rPr>
            </w:pPr>
            <w:r>
              <w:rPr>
                <w:rFonts w:hint="eastAsia" w:ascii="宋体" w:hAnsi="宋体"/>
                <w:b/>
                <w:bCs/>
                <w:sz w:val="28"/>
                <w:szCs w:val="32"/>
              </w:rPr>
              <w:t>消防逃生帐篷：</w:t>
            </w:r>
            <w:r>
              <w:rPr>
                <w:rFonts w:hint="eastAsia" w:ascii="宋体" w:hAnsi="宋体"/>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tcBorders>
              <w:bottom w:val="single" w:color="auto" w:sz="4" w:space="0"/>
            </w:tcBorders>
            <w:vAlign w:val="center"/>
          </w:tcPr>
          <w:p>
            <w:pPr>
              <w:jc w:val="center"/>
              <w:rPr>
                <w:rFonts w:hint="eastAsia" w:ascii="宋体" w:hAnsi="宋体" w:eastAsia="宋体"/>
                <w:lang w:val="en-US" w:eastAsia="zh-CN"/>
              </w:rPr>
            </w:pPr>
            <w:r>
              <w:rPr>
                <w:rFonts w:hint="eastAsia" w:ascii="宋体" w:hAnsi="宋体"/>
                <w:lang w:val="en-US" w:eastAsia="zh-CN"/>
              </w:rPr>
              <w:t>1</w:t>
            </w:r>
          </w:p>
        </w:tc>
        <w:tc>
          <w:tcPr>
            <w:tcW w:w="7752" w:type="dxa"/>
            <w:tcBorders>
              <w:bottom w:val="single" w:color="auto" w:sz="4" w:space="0"/>
              <w:right w:val="single" w:color="auto" w:sz="4" w:space="0"/>
            </w:tcBorders>
            <w:vAlign w:val="center"/>
          </w:tcPr>
          <w:p>
            <w:pPr>
              <w:tabs>
                <w:tab w:val="left" w:pos="5998"/>
              </w:tabs>
              <w:rPr>
                <w:rFonts w:hint="eastAsia" w:ascii="宋体" w:hAnsi="宋体" w:eastAsia="宋体"/>
                <w:lang w:val="en-US" w:eastAsia="zh-CN"/>
              </w:rPr>
            </w:pPr>
            <w:r>
              <w:rPr>
                <w:rFonts w:hint="eastAsia" w:ascii="宋体" w:hAnsi="宋体"/>
              </w:rPr>
              <w:t>充气式逃生帐篷不小于45平方米，可展开可折叠放置于车箱内，通过烟机模拟着火现场，并可通过广播模拟火灾现场的背景广播声音和燃烧着火声音，通过简易的逃生指示标志指引体验者找到正确的逃生路径和安全出口；配备高速风机≥1套、发烟机光能安全指示标牌≥10套、逃生知识漫画≥1套；遥控火场声光模拟报警器≥1只</w:t>
            </w:r>
            <w:r>
              <w:rPr>
                <w:rFonts w:hint="eastAsia" w:ascii="宋体" w:hAnsi="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top w:val="single" w:color="auto" w:sz="4" w:space="0"/>
              <w:right w:val="single" w:color="auto" w:sz="4" w:space="0"/>
            </w:tcBorders>
            <w:vAlign w:val="center"/>
          </w:tcPr>
          <w:p>
            <w:pPr>
              <w:rPr>
                <w:rFonts w:ascii="宋体" w:hAnsi="宋体" w:cs="宋体"/>
                <w:sz w:val="24"/>
                <w:szCs w:val="24"/>
              </w:rPr>
            </w:pPr>
            <w:r>
              <w:rPr>
                <w:rFonts w:hint="eastAsia" w:ascii="宋体" w:hAnsi="宋体" w:cs="宋体"/>
                <w:b/>
                <w:bCs/>
                <w:sz w:val="24"/>
                <w:szCs w:val="24"/>
              </w:rPr>
              <w:t>十六、灭火救援装备示系统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rPr>
              <w:t>1</w:t>
            </w:r>
          </w:p>
        </w:tc>
        <w:tc>
          <w:tcPr>
            <w:tcW w:w="7752" w:type="dxa"/>
            <w:tcBorders>
              <w:right w:val="single" w:color="auto" w:sz="4" w:space="0"/>
            </w:tcBorders>
          </w:tcPr>
          <w:p>
            <w:pPr>
              <w:rPr>
                <w:rFonts w:ascii="宋体" w:hAnsi="宋体"/>
              </w:rPr>
            </w:pPr>
            <w:r>
              <w:rPr>
                <w:rFonts w:hint="eastAsia" w:ascii="宋体" w:hAnsi="宋体"/>
              </w:rPr>
              <w:t>灭火救援装备体验展示功能：能够展示简单灭火救援装备</w:t>
            </w:r>
          </w:p>
          <w:tbl>
            <w:tblPr>
              <w:tblStyle w:val="3"/>
              <w:tblpPr w:leftFromText="180" w:rightFromText="180" w:vertAnchor="text" w:horzAnchor="page" w:tblpX="-58" w:tblpY="31"/>
              <w:tblOverlap w:val="never"/>
              <w:tblW w:w="5205" w:type="dxa"/>
              <w:tblInd w:w="0" w:type="dxa"/>
              <w:tblLayout w:type="fixed"/>
              <w:tblCellMar>
                <w:top w:w="0" w:type="dxa"/>
                <w:left w:w="0" w:type="dxa"/>
                <w:bottom w:w="0" w:type="dxa"/>
                <w:right w:w="0" w:type="dxa"/>
              </w:tblCellMar>
            </w:tblPr>
            <w:tblGrid>
              <w:gridCol w:w="5205"/>
            </w:tblGrid>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消防斧</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消防腰斧</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撬棍</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消防栓扳手</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灭火器/3只（干粉、二氧化碳、水基）</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灭火毯</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消防水带</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消防水枪</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室内消防栓</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安全出口</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防毒面具</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应急照明</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消防喷头3种各1个（68、93、141）</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逃生缓降器</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烟感</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rPr>
                  </w:pPr>
                  <w:r>
                    <w:rPr>
                      <w:rFonts w:ascii="宋体" w:hAnsi="宋体"/>
                    </w:rPr>
                    <w:t>温感</w:t>
                  </w:r>
                </w:p>
              </w:tc>
            </w:tr>
            <w:tr>
              <w:tblPrEx>
                <w:tblCellMar>
                  <w:top w:w="0" w:type="dxa"/>
                  <w:left w:w="0" w:type="dxa"/>
                  <w:bottom w:w="0" w:type="dxa"/>
                  <w:right w:w="0" w:type="dxa"/>
                </w:tblCellMar>
              </w:tblPrEx>
              <w:trPr>
                <w:trHeight w:val="270" w:hRule="atLeast"/>
              </w:trPr>
              <w:tc>
                <w:tcPr>
                  <w:tcW w:w="52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default" w:ascii="宋体" w:hAnsi="宋体" w:eastAsia="宋体"/>
                      <w:lang w:val="en-US" w:eastAsia="zh-CN"/>
                    </w:rPr>
                  </w:pPr>
                  <w:r>
                    <w:rPr>
                      <w:rFonts w:hint="eastAsia" w:ascii="宋体" w:hAnsi="宋体"/>
                      <w:lang w:val="en-US" w:eastAsia="zh-CN"/>
                    </w:rPr>
                    <w:t>便携移车器1套</w:t>
                  </w:r>
                </w:p>
              </w:tc>
            </w:tr>
          </w:tbl>
          <w:p>
            <w:pPr>
              <w:rPr>
                <w:rFonts w:ascii="宋体" w:hAnsi="宋体"/>
              </w:rPr>
            </w:pPr>
          </w:p>
          <w:p>
            <w:pPr>
              <w:bidi w:val="0"/>
              <w:rPr>
                <w:rFonts w:ascii="Calibri" w:hAnsi="Calibri" w:eastAsia="宋体" w:cs="Times New Roman"/>
                <w:kern w:val="2"/>
                <w:sz w:val="21"/>
                <w:szCs w:val="22"/>
                <w:lang w:val="en-US" w:eastAsia="zh-CN" w:bidi="ar-SA"/>
              </w:rPr>
            </w:pPr>
          </w:p>
          <w:p>
            <w:pPr>
              <w:bidi w:val="0"/>
              <w:rPr>
                <w:lang w:val="en-US" w:eastAsia="zh-CN"/>
              </w:rPr>
            </w:pPr>
          </w:p>
          <w:p>
            <w:pPr>
              <w:bidi w:val="0"/>
              <w:rPr>
                <w:lang w:val="en-US" w:eastAsia="zh-CN"/>
              </w:rPr>
            </w:pPr>
          </w:p>
          <w:p>
            <w:pPr>
              <w:bidi w:val="0"/>
              <w:rPr>
                <w:lang w:val="en-US" w:eastAsia="zh-CN"/>
              </w:rPr>
            </w:pPr>
          </w:p>
          <w:p>
            <w:pPr>
              <w:bidi w:val="0"/>
              <w:jc w:val="right"/>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87" w:type="dxa"/>
            <w:gridSpan w:val="2"/>
            <w:tcBorders>
              <w:right w:val="single" w:color="auto" w:sz="4" w:space="0"/>
            </w:tcBorders>
            <w:vAlign w:val="center"/>
          </w:tcPr>
          <w:p>
            <w:pPr>
              <w:rPr>
                <w:rFonts w:ascii="宋体" w:hAnsi="宋体" w:cs="宋体"/>
                <w:sz w:val="24"/>
                <w:szCs w:val="24"/>
              </w:rPr>
            </w:pPr>
            <w:r>
              <w:rPr>
                <w:rFonts w:hint="eastAsia" w:ascii="宋体" w:hAnsi="宋体" w:cs="宋体"/>
                <w:b/>
                <w:bCs/>
                <w:sz w:val="24"/>
                <w:szCs w:val="24"/>
              </w:rPr>
              <w:t>十八、随车资料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w:t>
            </w:r>
          </w:p>
        </w:tc>
        <w:tc>
          <w:tcPr>
            <w:tcW w:w="7752" w:type="dxa"/>
            <w:tcBorders>
              <w:right w:val="single" w:color="auto" w:sz="4" w:space="0"/>
            </w:tcBorders>
            <w:vAlign w:val="center"/>
          </w:tcPr>
          <w:p>
            <w:pPr>
              <w:rPr>
                <w:rFonts w:ascii="宋体" w:hAnsi="宋体"/>
              </w:rPr>
            </w:pPr>
            <w:r>
              <w:rPr>
                <w:rFonts w:hint="eastAsia" w:ascii="宋体" w:hAnsi="宋体"/>
              </w:rPr>
              <w:t>底盘使用说明书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2</w:t>
            </w:r>
          </w:p>
        </w:tc>
        <w:tc>
          <w:tcPr>
            <w:tcW w:w="7752" w:type="dxa"/>
            <w:tcBorders>
              <w:right w:val="single" w:color="auto" w:sz="4" w:space="0"/>
            </w:tcBorders>
            <w:vAlign w:val="center"/>
          </w:tcPr>
          <w:p>
            <w:pPr>
              <w:rPr>
                <w:rFonts w:ascii="宋体" w:hAnsi="宋体"/>
              </w:rPr>
            </w:pPr>
            <w:r>
              <w:rPr>
                <w:rFonts w:hint="eastAsia" w:ascii="宋体" w:hAnsi="宋体"/>
              </w:rPr>
              <w:t>底盘质量保修卡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3</w:t>
            </w:r>
          </w:p>
        </w:tc>
        <w:tc>
          <w:tcPr>
            <w:tcW w:w="7752" w:type="dxa"/>
            <w:tcBorders>
              <w:right w:val="single" w:color="auto" w:sz="4" w:space="0"/>
            </w:tcBorders>
            <w:vAlign w:val="center"/>
          </w:tcPr>
          <w:p>
            <w:pPr>
              <w:rPr>
                <w:rFonts w:ascii="宋体" w:hAnsi="宋体"/>
              </w:rPr>
            </w:pPr>
            <w:r>
              <w:rPr>
                <w:rFonts w:hint="eastAsia" w:ascii="宋体" w:hAnsi="宋体"/>
              </w:rPr>
              <w:t>底盘合格证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4</w:t>
            </w:r>
          </w:p>
        </w:tc>
        <w:tc>
          <w:tcPr>
            <w:tcW w:w="7752" w:type="dxa"/>
            <w:tcBorders>
              <w:right w:val="single" w:color="auto" w:sz="4" w:space="0"/>
            </w:tcBorders>
            <w:vAlign w:val="center"/>
          </w:tcPr>
          <w:p>
            <w:pPr>
              <w:rPr>
                <w:rFonts w:ascii="宋体" w:hAnsi="宋体"/>
              </w:rPr>
            </w:pPr>
            <w:r>
              <w:rPr>
                <w:rFonts w:hint="eastAsia" w:ascii="宋体" w:hAnsi="宋体"/>
              </w:rPr>
              <w:t>发动机号码拓印(2份)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trPr>
        <w:tc>
          <w:tcPr>
            <w:tcW w:w="835" w:type="dxa"/>
            <w:vAlign w:val="center"/>
          </w:tcPr>
          <w:p>
            <w:pPr>
              <w:jc w:val="center"/>
              <w:rPr>
                <w:rFonts w:ascii="宋体" w:hAnsi="宋体"/>
              </w:rPr>
            </w:pPr>
            <w:r>
              <w:rPr>
                <w:rFonts w:hint="eastAsia" w:ascii="宋体" w:hAnsi="宋体"/>
              </w:rPr>
              <w:t>5</w:t>
            </w:r>
          </w:p>
        </w:tc>
        <w:tc>
          <w:tcPr>
            <w:tcW w:w="7752" w:type="dxa"/>
            <w:tcBorders>
              <w:right w:val="single" w:color="auto" w:sz="4" w:space="0"/>
            </w:tcBorders>
            <w:vAlign w:val="center"/>
          </w:tcPr>
          <w:p>
            <w:pPr>
              <w:rPr>
                <w:rFonts w:ascii="宋体" w:hAnsi="宋体"/>
              </w:rPr>
            </w:pPr>
            <w:r>
              <w:rPr>
                <w:rFonts w:hint="eastAsia" w:ascii="宋体" w:hAnsi="宋体"/>
              </w:rPr>
              <w:t>底盘号码拓印件(2份)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6</w:t>
            </w:r>
          </w:p>
        </w:tc>
        <w:tc>
          <w:tcPr>
            <w:tcW w:w="7752" w:type="dxa"/>
            <w:tcBorders>
              <w:right w:val="single" w:color="auto" w:sz="4" w:space="0"/>
            </w:tcBorders>
            <w:vAlign w:val="center"/>
          </w:tcPr>
          <w:p>
            <w:pPr>
              <w:rPr>
                <w:rFonts w:ascii="宋体" w:hAnsi="宋体"/>
              </w:rPr>
            </w:pPr>
            <w:r>
              <w:rPr>
                <w:rFonts w:hint="eastAsia" w:ascii="宋体" w:hAnsi="宋体"/>
              </w:rPr>
              <w:t>整车合格证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7</w:t>
            </w:r>
          </w:p>
        </w:tc>
        <w:tc>
          <w:tcPr>
            <w:tcW w:w="7752" w:type="dxa"/>
            <w:tcBorders>
              <w:right w:val="single" w:color="auto" w:sz="4" w:space="0"/>
            </w:tcBorders>
            <w:vAlign w:val="center"/>
          </w:tcPr>
          <w:p>
            <w:pPr>
              <w:rPr>
                <w:rFonts w:ascii="宋体" w:hAnsi="宋体"/>
              </w:rPr>
            </w:pPr>
            <w:r>
              <w:rPr>
                <w:rFonts w:hint="eastAsia" w:ascii="宋体" w:hAnsi="宋体"/>
              </w:rPr>
              <w:t>消防车跟踪服务卡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8</w:t>
            </w:r>
          </w:p>
        </w:tc>
        <w:tc>
          <w:tcPr>
            <w:tcW w:w="7752" w:type="dxa"/>
            <w:tcBorders>
              <w:right w:val="single" w:color="auto" w:sz="4" w:space="0"/>
            </w:tcBorders>
            <w:vAlign w:val="center"/>
          </w:tcPr>
          <w:p>
            <w:pPr>
              <w:rPr>
                <w:rFonts w:ascii="宋体" w:hAnsi="宋体"/>
              </w:rPr>
            </w:pPr>
            <w:r>
              <w:rPr>
                <w:rFonts w:hint="eastAsia" w:ascii="宋体" w:hAnsi="宋体"/>
              </w:rPr>
              <w:t>车辆一致性证书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9</w:t>
            </w:r>
          </w:p>
        </w:tc>
        <w:tc>
          <w:tcPr>
            <w:tcW w:w="7752" w:type="dxa"/>
            <w:tcBorders>
              <w:right w:val="single" w:color="auto" w:sz="4" w:space="0"/>
            </w:tcBorders>
            <w:vAlign w:val="center"/>
          </w:tcPr>
          <w:p>
            <w:pPr>
              <w:rPr>
                <w:rFonts w:ascii="宋体" w:hAnsi="宋体"/>
              </w:rPr>
            </w:pPr>
            <w:r>
              <w:rPr>
                <w:rFonts w:ascii="宋体" w:hAnsi="宋体"/>
              </w:rPr>
              <w:t>提供检验报告和工信部公告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5" w:type="dxa"/>
            <w:vAlign w:val="center"/>
          </w:tcPr>
          <w:p>
            <w:pPr>
              <w:jc w:val="center"/>
              <w:rPr>
                <w:rFonts w:ascii="宋体" w:hAnsi="宋体"/>
              </w:rPr>
            </w:pPr>
            <w:r>
              <w:rPr>
                <w:rFonts w:hint="eastAsia" w:ascii="宋体" w:hAnsi="宋体"/>
              </w:rPr>
              <w:t>10</w:t>
            </w:r>
          </w:p>
        </w:tc>
        <w:tc>
          <w:tcPr>
            <w:tcW w:w="7752" w:type="dxa"/>
            <w:tcBorders>
              <w:right w:val="single" w:color="auto" w:sz="4" w:space="0"/>
            </w:tcBorders>
            <w:vAlign w:val="center"/>
          </w:tcPr>
          <w:p>
            <w:pPr>
              <w:rPr>
                <w:rFonts w:ascii="宋体" w:hAnsi="宋体"/>
              </w:rPr>
            </w:pPr>
            <w:r>
              <w:rPr>
                <w:rFonts w:hint="eastAsia" w:ascii="宋体" w:hAnsi="宋体"/>
              </w:rPr>
              <w:t>消防车交接清单</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K">
    <w:altName w:val="Times New Roman"/>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zZWY0Y2UzMmMxMTQ5NDRhNzUyY2E2MWNiOTM2NGUifQ=="/>
  </w:docVars>
  <w:rsids>
    <w:rsidRoot w:val="00537762"/>
    <w:rsid w:val="00260B59"/>
    <w:rsid w:val="004108F8"/>
    <w:rsid w:val="00537762"/>
    <w:rsid w:val="00575A5B"/>
    <w:rsid w:val="008A0400"/>
    <w:rsid w:val="00AA715D"/>
    <w:rsid w:val="00AC2791"/>
    <w:rsid w:val="00D72E41"/>
    <w:rsid w:val="00ED404C"/>
    <w:rsid w:val="01A40A25"/>
    <w:rsid w:val="05B00CD7"/>
    <w:rsid w:val="0CBB7AF0"/>
    <w:rsid w:val="0D867F86"/>
    <w:rsid w:val="12EC13E9"/>
    <w:rsid w:val="1D6B5229"/>
    <w:rsid w:val="29852496"/>
    <w:rsid w:val="32F02F31"/>
    <w:rsid w:val="358F537C"/>
    <w:rsid w:val="36E23E8E"/>
    <w:rsid w:val="45E4657F"/>
    <w:rsid w:val="467D0B27"/>
    <w:rsid w:val="4A4F0811"/>
    <w:rsid w:val="4E122D4E"/>
    <w:rsid w:val="5D1D1855"/>
    <w:rsid w:val="633876C2"/>
    <w:rsid w:val="634D4F51"/>
    <w:rsid w:val="6BBA226D"/>
    <w:rsid w:val="6DCC1B9E"/>
    <w:rsid w:val="71A61352"/>
    <w:rsid w:val="723217D1"/>
    <w:rsid w:val="72AE6A4F"/>
    <w:rsid w:val="776D5995"/>
    <w:rsid w:val="7C24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基本段落]"/>
    <w:basedOn w:val="1"/>
    <w:qFormat/>
    <w:uiPriority w:val="0"/>
    <w:pPr>
      <w:widowControl/>
      <w:autoSpaceDE w:val="0"/>
      <w:autoSpaceDN w:val="0"/>
      <w:spacing w:line="288" w:lineRule="auto"/>
    </w:pPr>
    <w:rPr>
      <w:rFonts w:ascii="??????_GBK" w:hAnsi="??????_GBK" w:cs="宋体"/>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2332</Words>
  <Characters>2614</Characters>
  <Lines>15</Lines>
  <Paragraphs>4</Paragraphs>
  <TotalTime>1</TotalTime>
  <ScaleCrop>false</ScaleCrop>
  <LinksUpToDate>false</LinksUpToDate>
  <CharactersWithSpaces>2644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2021-11-23T06:58:00Z</dcterms:created>
  <dc:creator>lllggg516@outlook.com</dc:creator>
  <cp:lastModifiedBy>sunxk</cp:lastModifiedBy>
  <dcterms:modified xsi:type="dcterms:W3CDTF">2022-06-28T02:44:09Z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D9E8991C7B764714951810AAEB59BB8B</vt:lpwstr>
  </property>
</Properties>
</file>