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5"/>
        <w:gridCol w:w="77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87" w:type="dxa"/>
            <w:gridSpan w:val="2"/>
            <w:tcBorders>
              <w:right w:val="single" w:color="auto" w:sz="4" w:space="0"/>
            </w:tcBorders>
          </w:tcPr>
          <w:p>
            <w:pPr>
              <w:jc w:val="center"/>
              <w:rPr>
                <w:rFonts w:ascii="宋体" w:hAnsi="宋体" w:cs="宋体"/>
                <w:sz w:val="30"/>
                <w:szCs w:val="30"/>
              </w:rPr>
            </w:pPr>
            <w:r>
              <w:rPr>
                <w:rFonts w:hint="eastAsia" w:ascii="宋体" w:hAnsi="宋体" w:cs="宋体"/>
                <w:b/>
                <w:bCs/>
                <w:sz w:val="32"/>
                <w:szCs w:val="32"/>
              </w:rPr>
              <w:t>通信指挥消防车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tcPr>
          <w:p>
            <w:pPr>
              <w:rPr>
                <w:rFonts w:ascii="宋体" w:hAnsi="宋体"/>
                <w:b/>
                <w:bCs/>
                <w:sz w:val="24"/>
                <w:szCs w:val="24"/>
              </w:rPr>
            </w:pPr>
            <w:bookmarkStart w:id="0" w:name="_GoBack"/>
            <w:bookmarkEnd w:id="0"/>
            <w:r>
              <w:rPr>
                <w:rFonts w:hint="eastAsia" w:ascii="宋体" w:hAnsi="宋体" w:cs="宋体"/>
                <w:sz w:val="24"/>
                <w:szCs w:val="24"/>
              </w:rPr>
              <w:t>预算：</w:t>
            </w:r>
            <w:r>
              <w:rPr>
                <w:rFonts w:hint="eastAsia" w:ascii="宋体" w:hAnsi="宋体" w:cs="宋体"/>
                <w:sz w:val="24"/>
                <w:szCs w:val="24"/>
                <w:lang w:val="en-US" w:eastAsia="zh-CN"/>
              </w:rPr>
              <w:t>48</w:t>
            </w:r>
            <w:r>
              <w:rPr>
                <w:rFonts w:hint="eastAsia" w:ascii="宋体" w:hAnsi="宋体" w:cs="宋体"/>
                <w:sz w:val="24"/>
                <w:szCs w:val="24"/>
              </w:rPr>
              <w:t xml:space="preserve">万元/辆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tcPr>
          <w:p>
            <w:pPr>
              <w:jc w:val="center"/>
              <w:rPr>
                <w:rFonts w:ascii="宋体" w:hAnsi="宋体"/>
                <w:b/>
                <w:bCs/>
                <w:sz w:val="24"/>
                <w:szCs w:val="24"/>
              </w:rPr>
            </w:pPr>
            <w:r>
              <w:rPr>
                <w:rFonts w:hint="eastAsia" w:ascii="宋体" w:hAnsi="宋体"/>
                <w:b/>
                <w:bCs/>
                <w:sz w:val="24"/>
                <w:szCs w:val="24"/>
              </w:rPr>
              <w:t>技术参数及要求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tcPr>
          <w:p>
            <w:pPr>
              <w:rPr>
                <w:rFonts w:hint="eastAsia" w:ascii="宋体" w:hAnsi="宋体" w:eastAsia="宋体"/>
                <w:sz w:val="24"/>
                <w:szCs w:val="24"/>
                <w:lang w:eastAsia="zh-CN"/>
              </w:rPr>
            </w:pPr>
            <w:r>
              <w:rPr>
                <w:rFonts w:hint="eastAsia" w:ascii="Cambria" w:hAnsi="宋体"/>
                <w:b/>
                <w:bCs/>
                <w:sz w:val="24"/>
                <w:szCs w:val="24"/>
              </w:rPr>
              <w:t>一</w:t>
            </w:r>
            <w:r>
              <w:rPr>
                <w:rFonts w:hint="eastAsia" w:ascii="宋体" w:hAnsi="宋体"/>
                <w:b/>
                <w:bCs/>
                <w:sz w:val="24"/>
                <w:szCs w:val="24"/>
              </w:rPr>
              <w:t>、</w:t>
            </w:r>
            <w:r>
              <w:rPr>
                <w:rFonts w:hint="eastAsia" w:ascii="宋体" w:hAnsi="宋体"/>
                <w:b/>
                <w:bCs/>
                <w:sz w:val="24"/>
                <w:szCs w:val="24"/>
                <w:lang w:eastAsia="zh-CN"/>
              </w:rPr>
              <w:t>整车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1</w:t>
            </w:r>
          </w:p>
        </w:tc>
        <w:tc>
          <w:tcPr>
            <w:tcW w:w="7752" w:type="dxa"/>
            <w:tcBorders>
              <w:right w:val="single" w:color="auto" w:sz="4" w:space="0"/>
            </w:tcBorders>
          </w:tcPr>
          <w:p>
            <w:pPr>
              <w:widowControl/>
              <w:jc w:val="left"/>
              <w:textAlignment w:val="center"/>
              <w:rPr>
                <w:rFonts w:ascii="宋体" w:hAnsi="宋体" w:cs="宋体"/>
                <w:sz w:val="24"/>
                <w:szCs w:val="24"/>
              </w:rPr>
            </w:pPr>
            <w:r>
              <w:rPr>
                <w:rFonts w:hint="eastAsia" w:ascii="宋体" w:hAnsi="宋体" w:cs="宋体"/>
                <w:color w:val="000000"/>
                <w:kern w:val="0"/>
                <w:sz w:val="24"/>
                <w:szCs w:val="24"/>
                <w:lang w:bidi="ar"/>
              </w:rPr>
              <w:t>燃油种类：汽油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835" w:type="dxa"/>
            <w:vAlign w:val="center"/>
          </w:tcPr>
          <w:p>
            <w:pPr>
              <w:jc w:val="center"/>
              <w:rPr>
                <w:rFonts w:ascii="宋体" w:hAnsi="宋体"/>
                <w:sz w:val="24"/>
                <w:szCs w:val="24"/>
              </w:rPr>
            </w:pPr>
            <w:r>
              <w:rPr>
                <w:rFonts w:hint="eastAsia" w:ascii="宋体" w:hAnsi="宋体"/>
                <w:sz w:val="24"/>
                <w:szCs w:val="24"/>
              </w:rPr>
              <w:t>2</w:t>
            </w:r>
          </w:p>
        </w:tc>
        <w:tc>
          <w:tcPr>
            <w:tcW w:w="7752" w:type="dxa"/>
            <w:tcBorders>
              <w:right w:val="single" w:color="auto" w:sz="4" w:space="0"/>
            </w:tcBorders>
          </w:tcPr>
          <w:p>
            <w:pPr>
              <w:widowControl/>
              <w:jc w:val="left"/>
              <w:textAlignment w:val="center"/>
              <w:rPr>
                <w:rFonts w:ascii="宋体" w:hAnsi="宋体" w:cs="宋体"/>
                <w:sz w:val="24"/>
                <w:szCs w:val="24"/>
              </w:rPr>
            </w:pPr>
            <w:r>
              <w:rPr>
                <w:rFonts w:hint="eastAsia" w:ascii="宋体" w:hAnsi="宋体" w:cs="宋体"/>
                <w:color w:val="000000"/>
                <w:kern w:val="0"/>
                <w:sz w:val="24"/>
                <w:szCs w:val="24"/>
                <w:lang w:bidi="ar"/>
              </w:rPr>
              <w:t>驱动形式：4×</w:t>
            </w:r>
            <w:r>
              <w:rPr>
                <w:rFonts w:ascii="宋体" w:hAnsi="宋体" w:cs="宋体"/>
                <w:color w:val="000000"/>
                <w:kern w:val="0"/>
                <w:sz w:val="24"/>
                <w:szCs w:val="24"/>
                <w:lang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3</w:t>
            </w:r>
          </w:p>
        </w:tc>
        <w:tc>
          <w:tcPr>
            <w:tcW w:w="7752" w:type="dxa"/>
            <w:tcBorders>
              <w:right w:val="single" w:color="auto" w:sz="4" w:space="0"/>
            </w:tcBorders>
          </w:tcPr>
          <w:p>
            <w:pPr>
              <w:widowControl/>
              <w:jc w:val="left"/>
              <w:textAlignment w:val="center"/>
              <w:rPr>
                <w:rFonts w:ascii="宋体" w:hAnsi="宋体" w:cs="宋体"/>
                <w:sz w:val="24"/>
                <w:szCs w:val="24"/>
              </w:rPr>
            </w:pPr>
            <w:r>
              <w:rPr>
                <w:rFonts w:hint="eastAsia" w:ascii="宋体" w:hAnsi="宋体" w:cs="宋体"/>
                <w:color w:val="000000"/>
                <w:kern w:val="0"/>
                <w:sz w:val="24"/>
                <w:szCs w:val="24"/>
                <w:lang w:bidi="ar"/>
              </w:rPr>
              <w:t>排放标准：国六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ascii="宋体" w:hAnsi="宋体"/>
                <w:sz w:val="24"/>
                <w:szCs w:val="24"/>
              </w:rPr>
              <w:t>4</w:t>
            </w:r>
          </w:p>
        </w:tc>
        <w:tc>
          <w:tcPr>
            <w:tcW w:w="7752" w:type="dxa"/>
            <w:tcBorders>
              <w:right w:val="single" w:color="auto" w:sz="4" w:space="0"/>
            </w:tcBorders>
          </w:tcPr>
          <w:p>
            <w:pPr>
              <w:widowControl/>
              <w:jc w:val="left"/>
              <w:textAlignment w:val="center"/>
              <w:rPr>
                <w:rFonts w:ascii="宋体" w:hAnsi="宋体" w:cs="宋体"/>
                <w:color w:val="000000"/>
                <w:kern w:val="0"/>
                <w:sz w:val="24"/>
                <w:szCs w:val="24"/>
                <w:lang w:bidi="ar"/>
              </w:rPr>
            </w:pPr>
            <w:r>
              <w:rPr>
                <w:rFonts w:ascii="宋体" w:hAnsi="宋体" w:cs="宋体"/>
                <w:color w:val="000000"/>
                <w:kern w:val="0"/>
                <w:sz w:val="24"/>
                <w:szCs w:val="24"/>
                <w:lang w:bidi="ar"/>
              </w:rPr>
              <w:t>▲</w:t>
            </w:r>
            <w:r>
              <w:rPr>
                <w:rFonts w:hint="eastAsia" w:ascii="宋体" w:hAnsi="宋体" w:cs="宋体"/>
                <w:color w:val="000000"/>
                <w:kern w:val="0"/>
                <w:sz w:val="24"/>
                <w:szCs w:val="24"/>
                <w:lang w:bidi="ar"/>
              </w:rPr>
              <w:t>轴距：≥</w:t>
            </w:r>
            <w:r>
              <w:rPr>
                <w:rFonts w:ascii="宋体" w:hAnsi="宋体" w:cs="宋体"/>
                <w:color w:val="000000"/>
                <w:kern w:val="0"/>
                <w:sz w:val="24"/>
                <w:szCs w:val="24"/>
                <w:lang w:bidi="ar"/>
              </w:rPr>
              <w:t>2</w:t>
            </w:r>
            <w:r>
              <w:rPr>
                <w:rFonts w:hint="eastAsia" w:ascii="宋体" w:hAnsi="宋体" w:cs="宋体"/>
                <w:color w:val="000000"/>
                <w:kern w:val="0"/>
                <w:sz w:val="24"/>
                <w:szCs w:val="24"/>
                <w:lang w:val="en-US" w:eastAsia="zh-CN" w:bidi="ar"/>
              </w:rPr>
              <w:t>8</w:t>
            </w:r>
            <w:r>
              <w:rPr>
                <w:rFonts w:ascii="宋体" w:hAnsi="宋体" w:cs="宋体"/>
                <w:color w:val="000000"/>
                <w:kern w:val="0"/>
                <w:sz w:val="24"/>
                <w:szCs w:val="24"/>
                <w:lang w:bidi="ar"/>
              </w:rPr>
              <w:t>00mm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ascii="宋体" w:hAnsi="宋体"/>
                <w:sz w:val="24"/>
                <w:szCs w:val="24"/>
              </w:rPr>
              <w:t>5</w:t>
            </w:r>
          </w:p>
        </w:tc>
        <w:tc>
          <w:tcPr>
            <w:tcW w:w="7752" w:type="dxa"/>
            <w:tcBorders>
              <w:right w:val="single" w:color="auto" w:sz="4" w:space="0"/>
            </w:tcBorders>
          </w:tcPr>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排量（cc）≥</w:t>
            </w:r>
            <w:r>
              <w:rPr>
                <w:rFonts w:ascii="宋体" w:hAnsi="宋体" w:cs="宋体"/>
                <w:color w:val="000000"/>
                <w:kern w:val="0"/>
                <w:sz w:val="24"/>
                <w:szCs w:val="24"/>
                <w:lang w:bidi="ar"/>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ascii="宋体" w:hAnsi="宋体"/>
                <w:sz w:val="24"/>
                <w:szCs w:val="24"/>
              </w:rPr>
              <w:t>6</w:t>
            </w:r>
          </w:p>
        </w:tc>
        <w:tc>
          <w:tcPr>
            <w:tcW w:w="7752" w:type="dxa"/>
            <w:tcBorders>
              <w:right w:val="single" w:color="auto" w:sz="4" w:space="0"/>
            </w:tcBorders>
          </w:tcPr>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接近角/离去角（°）：≤</w:t>
            </w:r>
            <w:r>
              <w:rPr>
                <w:rFonts w:ascii="宋体" w:hAnsi="宋体" w:cs="宋体"/>
                <w:color w:val="000000"/>
                <w:kern w:val="0"/>
                <w:sz w:val="24"/>
                <w:szCs w:val="24"/>
                <w:lang w:bidi="ar"/>
              </w:rPr>
              <w:t>18</w:t>
            </w:r>
            <w:r>
              <w:rPr>
                <w:rFonts w:hint="eastAsia" w:ascii="宋体" w:hAnsi="宋体" w:cs="宋体"/>
                <w:color w:val="000000"/>
                <w:kern w:val="0"/>
                <w:sz w:val="24"/>
                <w:szCs w:val="24"/>
                <w:lang w:bidi="ar"/>
              </w:rPr>
              <w:t>/</w:t>
            </w:r>
            <w:r>
              <w:rPr>
                <w:rFonts w:ascii="宋体" w:hAnsi="宋体" w:cs="宋体"/>
                <w:color w:val="000000"/>
                <w:kern w:val="0"/>
                <w:sz w:val="24"/>
                <w:szCs w:val="24"/>
                <w:lang w:bidi="ar"/>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ascii="宋体" w:hAnsi="宋体"/>
                <w:sz w:val="24"/>
                <w:szCs w:val="24"/>
              </w:rPr>
              <w:t>7</w:t>
            </w:r>
          </w:p>
        </w:tc>
        <w:tc>
          <w:tcPr>
            <w:tcW w:w="7752" w:type="dxa"/>
            <w:tcBorders>
              <w:right w:val="single" w:color="auto" w:sz="4" w:space="0"/>
            </w:tcBorders>
          </w:tcPr>
          <w:p>
            <w:pPr>
              <w:widowControl/>
              <w:jc w:val="left"/>
              <w:textAlignment w:val="center"/>
              <w:rPr>
                <w:rFonts w:ascii="宋体" w:hAnsi="宋体" w:cs="宋体"/>
                <w:color w:val="000000"/>
                <w:kern w:val="0"/>
                <w:sz w:val="24"/>
                <w:szCs w:val="24"/>
                <w:lang w:bidi="ar"/>
              </w:rPr>
            </w:pPr>
            <w:r>
              <w:rPr>
                <w:rFonts w:ascii="宋体" w:hAnsi="宋体" w:cs="宋体"/>
                <w:color w:val="000000"/>
                <w:kern w:val="0"/>
                <w:sz w:val="24"/>
                <w:szCs w:val="24"/>
                <w:lang w:bidi="ar"/>
              </w:rPr>
              <w:t>▲</w:t>
            </w:r>
            <w:r>
              <w:rPr>
                <w:rFonts w:hint="eastAsia" w:ascii="宋体" w:hAnsi="宋体" w:cs="宋体"/>
                <w:color w:val="000000"/>
                <w:kern w:val="0"/>
                <w:sz w:val="24"/>
                <w:szCs w:val="24"/>
                <w:lang w:bidi="ar"/>
              </w:rPr>
              <w:t>发动机功率：≥</w:t>
            </w:r>
            <w:r>
              <w:rPr>
                <w:rFonts w:ascii="宋体" w:hAnsi="宋体" w:cs="宋体"/>
                <w:color w:val="000000"/>
                <w:kern w:val="0"/>
                <w:sz w:val="24"/>
                <w:szCs w:val="24"/>
                <w:lang w:bidi="ar"/>
              </w:rPr>
              <w:t>180KW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sz w:val="24"/>
                <w:szCs w:val="24"/>
                <w:lang w:val="en-US" w:eastAsia="zh-CN"/>
              </w:rPr>
            </w:pPr>
            <w:r>
              <w:rPr>
                <w:rFonts w:hint="eastAsia" w:ascii="宋体" w:hAnsi="宋体"/>
                <w:sz w:val="24"/>
                <w:szCs w:val="24"/>
                <w:lang w:val="en-US" w:eastAsia="zh-CN"/>
              </w:rPr>
              <w:t>8</w:t>
            </w:r>
          </w:p>
        </w:tc>
        <w:tc>
          <w:tcPr>
            <w:tcW w:w="7752" w:type="dxa"/>
            <w:tcBorders>
              <w:right w:val="single" w:color="auto" w:sz="4" w:space="0"/>
            </w:tcBorders>
          </w:tcPr>
          <w:p>
            <w:pPr>
              <w:widowControl/>
              <w:jc w:val="left"/>
              <w:textAlignment w:val="center"/>
              <w:rPr>
                <w:rFonts w:hint="eastAsia" w:ascii="宋体" w:hAnsi="宋体" w:eastAsia="宋体" w:cs="宋体"/>
                <w:color w:val="000000"/>
                <w:kern w:val="0"/>
                <w:sz w:val="24"/>
                <w:szCs w:val="24"/>
                <w:lang w:eastAsia="zh-CN" w:bidi="ar"/>
              </w:rPr>
            </w:pPr>
            <w:r>
              <w:rPr>
                <w:rFonts w:ascii="宋体" w:hAnsi="宋体" w:cs="宋体"/>
                <w:color w:val="000000"/>
                <w:kern w:val="0"/>
                <w:sz w:val="24"/>
                <w:szCs w:val="24"/>
                <w:lang w:bidi="ar"/>
              </w:rPr>
              <w:t>▲</w:t>
            </w:r>
            <w:r>
              <w:rPr>
                <w:rFonts w:hint="eastAsia" w:ascii="宋体" w:hAnsi="宋体" w:cs="宋体"/>
                <w:color w:val="000000"/>
                <w:kern w:val="0"/>
                <w:sz w:val="24"/>
                <w:szCs w:val="24"/>
                <w:lang w:eastAsia="zh-CN" w:bidi="ar"/>
              </w:rPr>
              <w:t>整备质量：≤2550</w:t>
            </w:r>
            <w:r>
              <w:rPr>
                <w:rFonts w:hint="eastAsia" w:ascii="宋体" w:hAnsi="宋体" w:cs="宋体"/>
                <w:color w:val="000000"/>
                <w:kern w:val="0"/>
                <w:sz w:val="24"/>
                <w:szCs w:val="24"/>
                <w:lang w:val="en-US" w:eastAsia="zh-CN" w:bidi="ar"/>
              </w:rPr>
              <w:t>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eastAsia" w:ascii="宋体" w:hAnsi="宋体" w:eastAsia="宋体"/>
                <w:sz w:val="24"/>
                <w:szCs w:val="24"/>
                <w:lang w:val="en-US" w:eastAsia="zh-CN"/>
              </w:rPr>
            </w:pPr>
            <w:r>
              <w:rPr>
                <w:rFonts w:hint="eastAsia" w:ascii="宋体" w:hAnsi="宋体"/>
                <w:sz w:val="24"/>
                <w:szCs w:val="24"/>
                <w:lang w:val="en-US" w:eastAsia="zh-CN"/>
              </w:rPr>
              <w:t>9</w:t>
            </w:r>
          </w:p>
        </w:tc>
        <w:tc>
          <w:tcPr>
            <w:tcW w:w="7752" w:type="dxa"/>
            <w:tcBorders>
              <w:right w:val="single" w:color="auto" w:sz="4" w:space="0"/>
            </w:tcBorders>
          </w:tcPr>
          <w:p>
            <w:pPr>
              <w:widowControl/>
              <w:jc w:val="left"/>
              <w:textAlignment w:val="center"/>
              <w:rPr>
                <w:rFonts w:hint="default" w:ascii="宋体" w:hAnsi="宋体" w:eastAsia="宋体" w:cs="宋体"/>
                <w:color w:val="000000"/>
                <w:kern w:val="0"/>
                <w:sz w:val="24"/>
                <w:szCs w:val="24"/>
                <w:lang w:val="en-US" w:eastAsia="zh-CN" w:bidi="ar"/>
              </w:rPr>
            </w:pPr>
            <w:r>
              <w:rPr>
                <w:rFonts w:ascii="宋体" w:hAnsi="宋体" w:cs="宋体"/>
                <w:color w:val="000000"/>
                <w:kern w:val="0"/>
                <w:sz w:val="24"/>
                <w:szCs w:val="24"/>
                <w:lang w:bidi="ar"/>
              </w:rPr>
              <w:t>▲</w:t>
            </w:r>
            <w:r>
              <w:rPr>
                <w:rFonts w:hint="eastAsia" w:ascii="宋体" w:hAnsi="宋体" w:cs="宋体"/>
                <w:color w:val="000000"/>
                <w:kern w:val="0"/>
                <w:sz w:val="24"/>
                <w:szCs w:val="24"/>
                <w:lang w:eastAsia="zh-CN" w:bidi="ar"/>
              </w:rPr>
              <w:t>最大总质量：≤</w:t>
            </w:r>
            <w:r>
              <w:rPr>
                <w:rFonts w:hint="eastAsia" w:ascii="宋体" w:hAnsi="宋体" w:cs="宋体"/>
                <w:color w:val="000000"/>
                <w:kern w:val="0"/>
                <w:sz w:val="24"/>
                <w:szCs w:val="24"/>
                <w:lang w:val="en-US" w:eastAsia="zh-CN" w:bidi="ar"/>
              </w:rPr>
              <w:t>2800kg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sz w:val="24"/>
                <w:szCs w:val="24"/>
                <w:lang w:val="en-US" w:eastAsia="zh-CN"/>
              </w:rPr>
            </w:pPr>
            <w:r>
              <w:rPr>
                <w:rFonts w:hint="eastAsia" w:ascii="宋体" w:hAnsi="宋体"/>
                <w:sz w:val="24"/>
                <w:szCs w:val="24"/>
                <w:lang w:val="en-US" w:eastAsia="zh-CN"/>
              </w:rPr>
              <w:t>10</w:t>
            </w:r>
          </w:p>
        </w:tc>
        <w:tc>
          <w:tcPr>
            <w:tcW w:w="7752" w:type="dxa"/>
            <w:tcBorders>
              <w:right w:val="single" w:color="auto" w:sz="4" w:space="0"/>
            </w:tcBorders>
          </w:tcPr>
          <w:p>
            <w:pPr>
              <w:widowControl/>
              <w:jc w:val="left"/>
              <w:textAlignment w:val="center"/>
              <w:rPr>
                <w:rFonts w:hint="eastAsia" w:ascii="宋体" w:hAnsi="宋体" w:eastAsia="宋体" w:cs="宋体"/>
                <w:color w:val="000000"/>
                <w:kern w:val="0"/>
                <w:sz w:val="24"/>
                <w:szCs w:val="24"/>
                <w:lang w:eastAsia="zh-CN" w:bidi="ar"/>
              </w:rPr>
            </w:pPr>
            <w:r>
              <w:rPr>
                <w:rFonts w:ascii="宋体" w:hAnsi="宋体" w:cs="宋体"/>
                <w:color w:val="000000"/>
                <w:kern w:val="0"/>
                <w:sz w:val="24"/>
                <w:szCs w:val="24"/>
                <w:lang w:bidi="ar"/>
              </w:rPr>
              <w:t>▲</w:t>
            </w:r>
            <w:r>
              <w:rPr>
                <w:rFonts w:hint="eastAsia" w:ascii="宋体" w:hAnsi="宋体" w:cs="宋体"/>
                <w:color w:val="000000"/>
                <w:kern w:val="0"/>
                <w:sz w:val="24"/>
                <w:szCs w:val="24"/>
                <w:lang w:eastAsia="zh-CN" w:bidi="ar"/>
              </w:rPr>
              <w:t>比功率（kW/t）：≥64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11</w:t>
            </w:r>
          </w:p>
        </w:tc>
        <w:tc>
          <w:tcPr>
            <w:tcW w:w="7752" w:type="dxa"/>
            <w:tcBorders>
              <w:right w:val="single" w:color="auto" w:sz="4" w:space="0"/>
            </w:tcBorders>
          </w:tcPr>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▲机动车转向轴轴荷（或转向轮</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轮荷）与整备质量（空载）及</w:t>
            </w:r>
          </w:p>
          <w:p>
            <w:pPr>
              <w:widowControl/>
              <w:jc w:val="left"/>
              <w:textAlignment w:val="center"/>
              <w:rPr>
                <w:rFonts w:hint="eastAsia" w:ascii="宋体" w:hAnsi="宋体" w:eastAsia="宋体" w:cs="宋体"/>
                <w:color w:val="000000"/>
                <w:kern w:val="0"/>
                <w:sz w:val="24"/>
                <w:szCs w:val="24"/>
                <w:lang w:eastAsia="zh-CN" w:bidi="ar"/>
              </w:rPr>
            </w:pPr>
            <w:r>
              <w:rPr>
                <w:rFonts w:hint="eastAsia" w:ascii="宋体" w:hAnsi="宋体" w:cs="宋体"/>
                <w:color w:val="000000"/>
                <w:kern w:val="0"/>
                <w:sz w:val="24"/>
                <w:szCs w:val="24"/>
                <w:lang w:bidi="ar"/>
              </w:rPr>
              <w:t>总质量（满载）的比值</w:t>
            </w:r>
            <w:r>
              <w:rPr>
                <w:rFonts w:hint="eastAsia" w:ascii="宋体" w:hAnsi="宋体" w:cs="宋体"/>
                <w:color w:val="000000"/>
                <w:kern w:val="0"/>
                <w:sz w:val="24"/>
                <w:szCs w:val="24"/>
                <w:lang w:eastAsia="zh-CN" w:bidi="ar"/>
              </w:rPr>
              <w:t>：空载时：≥46.0%，满载时：≥46.0%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12</w:t>
            </w:r>
          </w:p>
        </w:tc>
        <w:tc>
          <w:tcPr>
            <w:tcW w:w="7752" w:type="dxa"/>
            <w:tcBorders>
              <w:right w:val="single" w:color="auto" w:sz="4" w:space="0"/>
            </w:tcBorders>
          </w:tcPr>
          <w:p>
            <w:pPr>
              <w:widowControl/>
              <w:jc w:val="left"/>
              <w:textAlignment w:val="center"/>
              <w:rPr>
                <w:rFonts w:ascii="宋体" w:hAnsi="宋体" w:cs="宋体"/>
                <w:color w:val="000000"/>
                <w:kern w:val="0"/>
                <w:sz w:val="24"/>
                <w:szCs w:val="24"/>
                <w:lang w:bidi="ar"/>
              </w:rPr>
            </w:pPr>
            <w:r>
              <w:rPr>
                <w:rFonts w:ascii="宋体" w:hAnsi="宋体" w:cs="宋体"/>
                <w:color w:val="000000"/>
                <w:kern w:val="0"/>
                <w:sz w:val="24"/>
                <w:szCs w:val="24"/>
                <w:lang w:bidi="ar"/>
              </w:rPr>
              <w:t>▲</w:t>
            </w:r>
            <w:r>
              <w:rPr>
                <w:rFonts w:hint="eastAsia" w:ascii="宋体" w:hAnsi="宋体" w:cs="宋体"/>
                <w:color w:val="000000"/>
                <w:kern w:val="0"/>
                <w:sz w:val="24"/>
                <w:szCs w:val="24"/>
                <w:lang w:eastAsia="zh-CN" w:bidi="ar"/>
              </w:rPr>
              <w:t>尺寸：</w:t>
            </w:r>
            <w:r>
              <w:rPr>
                <w:rFonts w:hint="eastAsia" w:ascii="宋体" w:hAnsi="宋体" w:cs="宋体"/>
                <w:color w:val="000000"/>
                <w:kern w:val="0"/>
                <w:sz w:val="24"/>
                <w:szCs w:val="24"/>
                <w:lang w:bidi="ar"/>
              </w:rPr>
              <w:t>长×宽×高（mm）≤</w:t>
            </w:r>
            <w:r>
              <w:rPr>
                <w:rFonts w:hint="eastAsia" w:ascii="宋体" w:hAnsi="宋体" w:cs="宋体"/>
                <w:color w:val="000000"/>
                <w:kern w:val="0"/>
                <w:sz w:val="24"/>
                <w:szCs w:val="24"/>
                <w:lang w:val="en-US" w:eastAsia="zh-CN" w:bidi="ar"/>
              </w:rPr>
              <w:t>500</w:t>
            </w:r>
            <w:r>
              <w:rPr>
                <w:rFonts w:ascii="宋体" w:hAnsi="宋体" w:cs="宋体"/>
                <w:color w:val="000000"/>
                <w:kern w:val="0"/>
                <w:sz w:val="24"/>
                <w:szCs w:val="24"/>
                <w:lang w:bidi="ar"/>
              </w:rPr>
              <w:t>0*</w:t>
            </w:r>
            <w:r>
              <w:rPr>
                <w:rFonts w:hint="eastAsia" w:ascii="宋体" w:hAnsi="宋体" w:cs="宋体"/>
                <w:color w:val="000000"/>
                <w:kern w:val="0"/>
                <w:sz w:val="24"/>
                <w:szCs w:val="24"/>
                <w:lang w:val="en-US" w:eastAsia="zh-CN" w:bidi="ar"/>
              </w:rPr>
              <w:t>200</w:t>
            </w:r>
            <w:r>
              <w:rPr>
                <w:rFonts w:ascii="宋体" w:hAnsi="宋体" w:cs="宋体"/>
                <w:color w:val="000000"/>
                <w:kern w:val="0"/>
                <w:sz w:val="24"/>
                <w:szCs w:val="24"/>
                <w:lang w:bidi="ar"/>
              </w:rPr>
              <w:t>0*1</w:t>
            </w:r>
            <w:r>
              <w:rPr>
                <w:rFonts w:hint="eastAsia" w:ascii="宋体" w:hAnsi="宋体" w:cs="宋体"/>
                <w:color w:val="000000"/>
                <w:kern w:val="0"/>
                <w:sz w:val="24"/>
                <w:szCs w:val="24"/>
                <w:lang w:val="en-US" w:eastAsia="zh-CN" w:bidi="ar"/>
              </w:rPr>
              <w:t>80</w:t>
            </w:r>
            <w:r>
              <w:rPr>
                <w:rFonts w:ascii="宋体" w:hAnsi="宋体" w:cs="宋体"/>
                <w:color w:val="000000"/>
                <w:kern w:val="0"/>
                <w:sz w:val="24"/>
                <w:szCs w:val="24"/>
                <w:lang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13</w:t>
            </w:r>
          </w:p>
        </w:tc>
        <w:tc>
          <w:tcPr>
            <w:tcW w:w="7752" w:type="dxa"/>
            <w:tcBorders>
              <w:right w:val="single" w:color="auto" w:sz="4" w:space="0"/>
            </w:tcBorders>
          </w:tcPr>
          <w:p>
            <w:pPr>
              <w:widowControl/>
              <w:jc w:val="left"/>
              <w:textAlignment w:val="center"/>
              <w:rPr>
                <w:rFonts w:hint="eastAsia" w:ascii="宋体" w:hAnsi="宋体" w:eastAsia="宋体" w:cs="宋体"/>
                <w:color w:val="000000"/>
                <w:kern w:val="0"/>
                <w:sz w:val="24"/>
                <w:szCs w:val="24"/>
                <w:lang w:eastAsia="zh-CN" w:bidi="ar"/>
              </w:rPr>
            </w:pPr>
            <w:r>
              <w:rPr>
                <w:rFonts w:ascii="宋体" w:hAnsi="宋体" w:cs="宋体"/>
                <w:color w:val="000000"/>
                <w:kern w:val="0"/>
                <w:sz w:val="24"/>
                <w:szCs w:val="24"/>
                <w:lang w:bidi="ar"/>
              </w:rPr>
              <w:t>▲</w:t>
            </w:r>
            <w:r>
              <w:rPr>
                <w:rFonts w:hint="eastAsia" w:ascii="宋体" w:hAnsi="宋体" w:cs="宋体"/>
                <w:color w:val="000000"/>
                <w:kern w:val="0"/>
                <w:sz w:val="24"/>
                <w:szCs w:val="24"/>
                <w:lang w:bidi="ar"/>
              </w:rPr>
              <w:t>最大车速（km/h）</w:t>
            </w:r>
            <w:r>
              <w:rPr>
                <w:rFonts w:hint="eastAsia" w:ascii="宋体" w:hAnsi="宋体" w:cs="宋体"/>
                <w:color w:val="000000"/>
                <w:kern w:val="0"/>
                <w:sz w:val="24"/>
                <w:szCs w:val="24"/>
                <w:lang w:eastAsia="zh-CN" w:bidi="ar"/>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sz w:val="24"/>
                <w:szCs w:val="24"/>
                <w:lang w:val="en-US" w:eastAsia="zh-CN"/>
              </w:rPr>
            </w:pPr>
            <w:r>
              <w:rPr>
                <w:rFonts w:hint="eastAsia" w:ascii="宋体" w:hAnsi="宋体"/>
                <w:sz w:val="24"/>
                <w:szCs w:val="24"/>
                <w:lang w:val="en-US" w:eastAsia="zh-CN"/>
              </w:rPr>
              <w:t>14</w:t>
            </w:r>
          </w:p>
        </w:tc>
        <w:tc>
          <w:tcPr>
            <w:tcW w:w="7752" w:type="dxa"/>
            <w:tcBorders>
              <w:right w:val="single" w:color="auto" w:sz="4" w:space="0"/>
            </w:tcBorders>
          </w:tcPr>
          <w:p>
            <w:pPr>
              <w:widowControl/>
              <w:jc w:val="left"/>
              <w:textAlignment w:val="center"/>
              <w:rPr>
                <w:rFonts w:hint="eastAsia" w:ascii="宋体" w:hAnsi="宋体" w:eastAsia="宋体" w:cs="宋体"/>
                <w:color w:val="000000"/>
                <w:kern w:val="0"/>
                <w:sz w:val="24"/>
                <w:szCs w:val="24"/>
                <w:lang w:eastAsia="zh-CN" w:bidi="ar"/>
              </w:rPr>
            </w:pPr>
            <w:r>
              <w:rPr>
                <w:rFonts w:ascii="宋体" w:hAnsi="宋体" w:cs="宋体"/>
                <w:color w:val="000000"/>
                <w:kern w:val="0"/>
                <w:sz w:val="24"/>
                <w:szCs w:val="24"/>
                <w:lang w:bidi="ar"/>
              </w:rPr>
              <w:t>▲</w:t>
            </w:r>
            <w:r>
              <w:rPr>
                <w:rFonts w:hint="eastAsia" w:ascii="宋体" w:hAnsi="宋体" w:cs="宋体"/>
                <w:color w:val="000000"/>
                <w:kern w:val="0"/>
                <w:sz w:val="24"/>
                <w:szCs w:val="24"/>
                <w:lang w:eastAsia="zh-CN" w:bidi="ar"/>
              </w:rPr>
              <w:t>轮胎规格：≥275/50R20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15</w:t>
            </w:r>
          </w:p>
        </w:tc>
        <w:tc>
          <w:tcPr>
            <w:tcW w:w="7752" w:type="dxa"/>
            <w:tcBorders>
              <w:right w:val="single" w:color="auto" w:sz="4" w:space="0"/>
            </w:tcBorders>
          </w:tcPr>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安全系统：A</w:t>
            </w:r>
            <w:r>
              <w:rPr>
                <w:rFonts w:ascii="宋体" w:hAnsi="宋体" w:cs="宋体"/>
                <w:color w:val="000000"/>
                <w:kern w:val="0"/>
                <w:sz w:val="24"/>
                <w:szCs w:val="24"/>
                <w:lang w:bidi="ar"/>
              </w:rPr>
              <w:t>BS+EBD+HDC+HHC,</w:t>
            </w:r>
            <w:r>
              <w:rPr>
                <w:rFonts w:hint="eastAsia" w:ascii="宋体" w:hAnsi="宋体" w:cs="宋体"/>
                <w:color w:val="000000"/>
                <w:kern w:val="0"/>
                <w:sz w:val="24"/>
                <w:szCs w:val="24"/>
                <w:lang w:bidi="ar"/>
              </w:rPr>
              <w:t xml:space="preserve"> 电动助力转向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16</w:t>
            </w:r>
          </w:p>
        </w:tc>
        <w:tc>
          <w:tcPr>
            <w:tcW w:w="7752" w:type="dxa"/>
            <w:tcBorders>
              <w:right w:val="single" w:color="auto" w:sz="4" w:space="0"/>
            </w:tcBorders>
          </w:tcPr>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eastAsia="zh-CN" w:bidi="ar"/>
              </w:rPr>
              <w:t>变速箱形式：</w:t>
            </w:r>
            <w:r>
              <w:rPr>
                <w:rFonts w:hint="eastAsia" w:ascii="宋体" w:hAnsi="宋体" w:cs="宋体"/>
                <w:color w:val="000000"/>
                <w:kern w:val="0"/>
                <w:sz w:val="24"/>
                <w:szCs w:val="24"/>
                <w:lang w:bidi="ar"/>
              </w:rPr>
              <w:t>8AT变速箱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tcPr>
          <w:p>
            <w:pPr>
              <w:rPr>
                <w:rFonts w:ascii="宋体" w:hAnsi="宋体" w:cs="宋体"/>
                <w:sz w:val="24"/>
                <w:szCs w:val="24"/>
              </w:rPr>
            </w:pPr>
            <w:r>
              <w:rPr>
                <w:rFonts w:hint="eastAsia" w:ascii="宋体" w:hAnsi="宋体" w:cs="宋体"/>
                <w:b/>
                <w:bCs/>
                <w:sz w:val="24"/>
                <w:szCs w:val="24"/>
              </w:rPr>
              <w:t>二</w:t>
            </w:r>
            <w:r>
              <w:rPr>
                <w:rFonts w:hint="eastAsia" w:ascii="宋体" w:hAnsi="宋体"/>
                <w:b/>
                <w:bCs/>
                <w:sz w:val="24"/>
                <w:szCs w:val="24"/>
              </w:rPr>
              <w:t>、车辆改装部分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ascii="宋体" w:hAnsi="宋体" w:cs="宋体"/>
                <w:sz w:val="24"/>
                <w:szCs w:val="24"/>
              </w:rPr>
            </w:pPr>
            <w:r>
              <w:rPr>
                <w:rFonts w:hint="eastAsia" w:ascii="宋体" w:hAnsi="宋体" w:cs="宋体"/>
                <w:sz w:val="24"/>
                <w:szCs w:val="24"/>
              </w:rPr>
              <w:t>1</w:t>
            </w:r>
          </w:p>
        </w:tc>
        <w:tc>
          <w:tcPr>
            <w:tcW w:w="7752" w:type="dxa"/>
            <w:tcBorders>
              <w:right w:val="single" w:color="auto" w:sz="4" w:space="0"/>
            </w:tcBorders>
            <w:vAlign w:val="center"/>
          </w:tcPr>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车载行车记录仪、点烟器供电模式，配置32G存储卡，支持循环记录、自动覆盖，紧急视频及图片加锁，真皮座椅，前排座椅加热，驾驶员座椅8向电动调节+2向气动腰托，DMS驾驶员疲劳监测系统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ascii="宋体" w:hAnsi="宋体" w:cs="宋体"/>
                <w:sz w:val="24"/>
                <w:szCs w:val="24"/>
              </w:rPr>
            </w:pPr>
            <w:r>
              <w:rPr>
                <w:rFonts w:ascii="宋体" w:hAnsi="宋体" w:cs="宋体"/>
                <w:sz w:val="24"/>
                <w:szCs w:val="24"/>
              </w:rPr>
              <w:t>2</w:t>
            </w:r>
          </w:p>
        </w:tc>
        <w:tc>
          <w:tcPr>
            <w:tcW w:w="7752" w:type="dxa"/>
            <w:tcBorders>
              <w:right w:val="single" w:color="auto" w:sz="4" w:space="0"/>
            </w:tcBorders>
            <w:vAlign w:val="center"/>
          </w:tcPr>
          <w:p>
            <w:pPr>
              <w:widowControl/>
              <w:jc w:val="left"/>
              <w:textAlignment w:val="center"/>
              <w:rPr>
                <w:rFonts w:hint="eastAsia" w:ascii="宋体" w:hAnsi="宋体" w:cs="宋体"/>
                <w:color w:val="000000"/>
                <w:kern w:val="0"/>
                <w:sz w:val="24"/>
                <w:szCs w:val="24"/>
                <w:lang w:eastAsia="zh-CN" w:bidi="ar"/>
              </w:rPr>
            </w:pPr>
            <w:r>
              <w:rPr>
                <w:rFonts w:hint="eastAsia" w:ascii="宋体" w:hAnsi="宋体" w:cs="宋体"/>
                <w:color w:val="000000"/>
                <w:kern w:val="0"/>
                <w:sz w:val="24"/>
                <w:szCs w:val="24"/>
                <w:lang w:eastAsia="zh-CN" w:bidi="ar"/>
              </w:rPr>
              <w:t>配备</w:t>
            </w:r>
            <w:r>
              <w:rPr>
                <w:rFonts w:hint="eastAsia" w:ascii="宋体" w:hAnsi="宋体" w:cs="宋体"/>
                <w:color w:val="000000"/>
                <w:kern w:val="0"/>
                <w:sz w:val="24"/>
                <w:szCs w:val="24"/>
                <w:lang w:bidi="ar"/>
              </w:rPr>
              <w:t>车</w:t>
            </w:r>
            <w:r>
              <w:rPr>
                <w:rFonts w:hint="eastAsia" w:ascii="宋体" w:hAnsi="宋体" w:cs="宋体"/>
                <w:color w:val="000000"/>
                <w:kern w:val="0"/>
                <w:sz w:val="24"/>
                <w:szCs w:val="24"/>
                <w:lang w:eastAsia="zh-CN" w:bidi="ar"/>
              </w:rPr>
              <w:t>外</w:t>
            </w:r>
            <w:r>
              <w:rPr>
                <w:rFonts w:hint="eastAsia" w:ascii="宋体" w:hAnsi="宋体" w:cs="宋体"/>
                <w:color w:val="000000"/>
                <w:kern w:val="0"/>
                <w:sz w:val="24"/>
                <w:szCs w:val="24"/>
                <w:lang w:bidi="ar"/>
              </w:rPr>
              <w:t>高清摄像机</w:t>
            </w:r>
            <w:r>
              <w:rPr>
                <w:rFonts w:hint="eastAsia" w:ascii="宋体" w:hAnsi="宋体" w:cs="宋体"/>
                <w:color w:val="000000"/>
                <w:kern w:val="0"/>
                <w:sz w:val="24"/>
                <w:szCs w:val="24"/>
                <w:lang w:eastAsia="zh-CN" w:bidi="ar"/>
              </w:rPr>
              <w:t>；</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4G视频会议终端</w:t>
            </w:r>
            <w:r>
              <w:rPr>
                <w:rFonts w:hint="eastAsia" w:ascii="宋体" w:hAnsi="宋体" w:cs="宋体"/>
                <w:color w:val="000000"/>
                <w:kern w:val="0"/>
                <w:sz w:val="24"/>
                <w:szCs w:val="24"/>
                <w:lang w:eastAsia="zh-CN" w:bidi="ar"/>
              </w:rPr>
              <w:t>：</w:t>
            </w:r>
            <w:r>
              <w:rPr>
                <w:rFonts w:hint="eastAsia" w:ascii="宋体" w:hAnsi="宋体" w:cs="宋体"/>
                <w:color w:val="000000"/>
                <w:kern w:val="0"/>
                <w:sz w:val="24"/>
                <w:szCs w:val="24"/>
                <w:lang w:bidi="ar"/>
              </w:rPr>
              <w:t>能够接入消防局和总队图像综合管理平台，与部局、总队、支队互通；</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1.指挥箱式车载终端，可以根据需要，灵活适用于临时指挥中心、车载安装使用、背负式使用三个场景，安全箱具有三防能力，内置终端主机，电池包，设备背包，显示器，摄像头，麦克风，喊话器、无线键盘</w:t>
            </w:r>
            <w:r>
              <w:rPr>
                <w:rFonts w:hint="eastAsia" w:ascii="宋体" w:hAnsi="宋体" w:cs="宋体"/>
                <w:color w:val="000000"/>
                <w:kern w:val="0"/>
                <w:sz w:val="24"/>
                <w:szCs w:val="24"/>
                <w:lang w:eastAsia="zh-CN" w:bidi="ar"/>
              </w:rPr>
              <w:t>、车内音响</w:t>
            </w:r>
            <w:r>
              <w:rPr>
                <w:rFonts w:hint="eastAsia" w:ascii="宋体" w:hAnsi="宋体" w:cs="宋体"/>
                <w:color w:val="000000"/>
                <w:kern w:val="0"/>
                <w:sz w:val="24"/>
                <w:szCs w:val="24"/>
                <w:lang w:bidi="ar"/>
              </w:rPr>
              <w:t>。</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2.可无缝接入消防图像综合管理平台，车载终端通过4G网络可与后端指挥中心实现双向视音频交互，方便指挥中心对行进中的力量进行视频指挥调度，在指挥前移时，也方便指挥员实现在行进过程中进行指挥；</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3.符合ITU-T H.323协议、SIP协议标准；</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4.视频编码支持H.263+、H.264、H.264 High Profile</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5.音频编码支持G.711/G.722/G.722.1/G.729，宽频语音；</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6.视频分辨率支持1920*1080、1280*720、960*540、704*576、640*480、640*360、AUTO等；</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7.活动图像帧率支持1～60帧/秒可选；</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8.视频码流支持32Kbps～6Mbps；</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9.视频输入需满足多种视频输入要求，不低于1×CVBS标清输入，1×DVI-I数据输入（配合高清视频线，与手持DV可靠连接），1×SDI高清输入，1×USB摄像头输入；</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10.视频输出需满足1路VGA/DVI/DP输出，1路HDMI输出，需满足2路高清视频同时输出；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ascii="宋体" w:hAnsi="宋体" w:cs="宋体"/>
                <w:sz w:val="24"/>
                <w:szCs w:val="24"/>
              </w:rPr>
            </w:pPr>
            <w:r>
              <w:rPr>
                <w:rFonts w:ascii="宋体" w:hAnsi="宋体" w:cs="宋体"/>
                <w:sz w:val="24"/>
                <w:szCs w:val="24"/>
              </w:rPr>
              <w:t>3</w:t>
            </w:r>
          </w:p>
        </w:tc>
        <w:tc>
          <w:tcPr>
            <w:tcW w:w="7752" w:type="dxa"/>
            <w:tcBorders>
              <w:right w:val="single" w:color="auto" w:sz="4" w:space="0"/>
            </w:tcBorders>
            <w:vAlign w:val="center"/>
          </w:tcPr>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多功能柜，设计配电面板，控制开关，电流电压显示等；安装于车后部，可拆卸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ascii="宋体" w:hAnsi="宋体" w:cs="宋体"/>
                <w:sz w:val="24"/>
                <w:szCs w:val="24"/>
              </w:rPr>
            </w:pPr>
            <w:r>
              <w:rPr>
                <w:rFonts w:ascii="宋体" w:hAnsi="宋体" w:cs="宋体"/>
                <w:sz w:val="24"/>
                <w:szCs w:val="24"/>
              </w:rPr>
              <w:t>4</w:t>
            </w:r>
          </w:p>
        </w:tc>
        <w:tc>
          <w:tcPr>
            <w:tcW w:w="7752" w:type="dxa"/>
            <w:tcBorders>
              <w:right w:val="single" w:color="auto" w:sz="4" w:space="0"/>
            </w:tcBorders>
            <w:vAlign w:val="center"/>
          </w:tcPr>
          <w:p>
            <w:pPr>
              <w:widowControl/>
              <w:jc w:val="left"/>
              <w:textAlignment w:val="center"/>
              <w:rPr>
                <w:rFonts w:hint="eastAsia" w:ascii="宋体" w:hAnsi="宋体" w:eastAsia="宋体" w:cs="宋体"/>
                <w:color w:val="000000"/>
                <w:kern w:val="0"/>
                <w:sz w:val="24"/>
                <w:szCs w:val="24"/>
                <w:lang w:eastAsia="zh-CN" w:bidi="ar"/>
              </w:rPr>
            </w:pPr>
            <w:r>
              <w:rPr>
                <w:rFonts w:ascii="宋体" w:hAnsi="宋体" w:cs="宋体"/>
                <w:color w:val="000000"/>
                <w:kern w:val="0"/>
                <w:sz w:val="24"/>
                <w:szCs w:val="24"/>
                <w:lang w:bidi="ar"/>
              </w:rPr>
              <w:t>▲</w:t>
            </w:r>
            <w:r>
              <w:rPr>
                <w:rFonts w:hint="eastAsia" w:ascii="宋体" w:hAnsi="宋体" w:cs="宋体"/>
                <w:color w:val="000000"/>
                <w:kern w:val="0"/>
                <w:sz w:val="24"/>
                <w:szCs w:val="24"/>
                <w:lang w:eastAsia="zh-CN" w:bidi="ar"/>
              </w:rPr>
              <w:t>卫星电话：</w:t>
            </w:r>
            <w:r>
              <w:rPr>
                <w:rFonts w:hint="eastAsia" w:ascii="宋体" w:hAnsi="宋体" w:cs="宋体"/>
                <w:color w:val="000000"/>
                <w:kern w:val="0"/>
                <w:sz w:val="24"/>
                <w:szCs w:val="24"/>
                <w:lang w:bidi="ar"/>
              </w:rPr>
              <w:t>接入铱星网络，实现语音通信。</w:t>
            </w:r>
            <w:r>
              <w:rPr>
                <w:rFonts w:hint="eastAsia" w:ascii="宋体" w:hAnsi="宋体" w:cs="宋体"/>
                <w:color w:val="000000"/>
                <w:kern w:val="0"/>
                <w:sz w:val="24"/>
                <w:szCs w:val="24"/>
                <w:lang w:eastAsia="zh-CN" w:bidi="ar"/>
              </w:rPr>
              <w:t>（提供技术规格书证明）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ascii="宋体" w:hAnsi="宋体" w:cs="宋体"/>
                <w:sz w:val="24"/>
                <w:szCs w:val="24"/>
              </w:rPr>
            </w:pPr>
            <w:r>
              <w:rPr>
                <w:rFonts w:ascii="宋体" w:hAnsi="宋体" w:cs="宋体"/>
                <w:sz w:val="24"/>
                <w:szCs w:val="24"/>
              </w:rPr>
              <w:t>5</w:t>
            </w:r>
          </w:p>
        </w:tc>
        <w:tc>
          <w:tcPr>
            <w:tcW w:w="7752" w:type="dxa"/>
            <w:tcBorders>
              <w:right w:val="single" w:color="auto" w:sz="4" w:space="0"/>
            </w:tcBorders>
            <w:vAlign w:val="center"/>
          </w:tcPr>
          <w:p>
            <w:pPr>
              <w:widowControl/>
              <w:jc w:val="left"/>
              <w:textAlignment w:val="center"/>
              <w:rPr>
                <w:rFonts w:hint="eastAsia" w:ascii="宋体" w:hAnsi="宋体" w:cs="宋体"/>
                <w:color w:val="000000"/>
                <w:kern w:val="0"/>
                <w:sz w:val="24"/>
                <w:szCs w:val="24"/>
                <w:lang w:eastAsia="zh-CN" w:bidi="ar"/>
              </w:rPr>
            </w:pPr>
            <w:r>
              <w:rPr>
                <w:rFonts w:hint="eastAsia" w:ascii="宋体" w:hAnsi="宋体" w:cs="宋体"/>
                <w:color w:val="000000"/>
                <w:kern w:val="0"/>
                <w:sz w:val="24"/>
                <w:szCs w:val="24"/>
                <w:lang w:eastAsia="zh-CN" w:bidi="ar"/>
              </w:rPr>
              <w:t>配电系统：</w:t>
            </w:r>
          </w:p>
          <w:p>
            <w:pPr>
              <w:widowControl/>
              <w:jc w:val="left"/>
              <w:textAlignment w:val="center"/>
              <w:rPr>
                <w:rFonts w:hint="eastAsia" w:ascii="宋体" w:hAnsi="宋体" w:cs="宋体"/>
                <w:color w:val="000000"/>
                <w:kern w:val="0"/>
                <w:sz w:val="24"/>
                <w:szCs w:val="24"/>
                <w:lang w:bidi="ar"/>
              </w:rPr>
            </w:pPr>
            <w:r>
              <w:rPr>
                <w:rFonts w:ascii="宋体" w:hAnsi="宋体" w:cs="宋体"/>
                <w:color w:val="000000"/>
                <w:kern w:val="0"/>
                <w:sz w:val="24"/>
                <w:szCs w:val="24"/>
                <w:lang w:bidi="ar"/>
              </w:rPr>
              <w:t>▲</w:t>
            </w:r>
            <w:r>
              <w:rPr>
                <w:rFonts w:hint="eastAsia" w:ascii="宋体" w:hAnsi="宋体" w:cs="宋体"/>
                <w:color w:val="000000"/>
                <w:kern w:val="0"/>
                <w:sz w:val="24"/>
                <w:szCs w:val="24"/>
                <w:lang w:bidi="ar"/>
              </w:rPr>
              <w:t>功率：≥1000W</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纯真弦波输出（畸变&lt;3%）</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切换时间：≤2S;额定输出电压：230VAC;</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额定输出频率50HZ；尺寸（mm）：≤4</w:t>
            </w:r>
            <w:r>
              <w:rPr>
                <w:rFonts w:hint="eastAsia" w:ascii="宋体" w:hAnsi="宋体" w:cs="宋体"/>
                <w:color w:val="000000"/>
                <w:kern w:val="0"/>
                <w:sz w:val="24"/>
                <w:szCs w:val="24"/>
                <w:lang w:val="en-US" w:eastAsia="zh-CN" w:bidi="ar"/>
              </w:rPr>
              <w:t>60</w:t>
            </w:r>
            <w:r>
              <w:rPr>
                <w:rFonts w:hint="eastAsia" w:ascii="宋体" w:hAnsi="宋体" w:cs="宋体"/>
                <w:color w:val="000000"/>
                <w:kern w:val="0"/>
                <w:sz w:val="24"/>
                <w:szCs w:val="24"/>
                <w:lang w:bidi="ar"/>
              </w:rPr>
              <w:t>×190×130;</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防护等级：≥IP21。</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eastAsia="zh-CN" w:bidi="ar"/>
              </w:rPr>
              <w:t>带蓄电池管理系统。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ascii="宋体" w:hAnsi="宋体" w:cs="宋体"/>
                <w:color w:val="000000"/>
                <w:kern w:val="0"/>
                <w:sz w:val="24"/>
                <w:szCs w:val="24"/>
                <w:lang w:bidi="ar"/>
              </w:rPr>
            </w:pPr>
            <w:r>
              <w:rPr>
                <w:rFonts w:ascii="宋体" w:hAnsi="宋体" w:cs="宋体"/>
                <w:color w:val="000000"/>
                <w:kern w:val="0"/>
                <w:sz w:val="24"/>
                <w:szCs w:val="24"/>
                <w:lang w:bidi="ar"/>
              </w:rPr>
              <w:t>6</w:t>
            </w:r>
          </w:p>
        </w:tc>
        <w:tc>
          <w:tcPr>
            <w:tcW w:w="7752" w:type="dxa"/>
            <w:tcBorders>
              <w:right w:val="single" w:color="auto" w:sz="4" w:space="0"/>
            </w:tcBorders>
            <w:vAlign w:val="center"/>
          </w:tcPr>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eastAsia="zh-CN" w:bidi="ar"/>
              </w:rPr>
              <w:t>配置火场车载防爆电台</w:t>
            </w:r>
          </w:p>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1.</w:t>
            </w:r>
            <w:r>
              <w:rPr>
                <w:rFonts w:ascii="宋体" w:hAnsi="宋体" w:cs="宋体"/>
                <w:color w:val="000000"/>
                <w:kern w:val="0"/>
                <w:sz w:val="24"/>
                <w:szCs w:val="24"/>
                <w:lang w:bidi="ar"/>
              </w:rPr>
              <w:t>▲</w:t>
            </w:r>
            <w:r>
              <w:rPr>
                <w:rFonts w:hint="eastAsia" w:ascii="宋体" w:hAnsi="宋体" w:cs="宋体"/>
                <w:color w:val="000000"/>
                <w:kern w:val="0"/>
                <w:sz w:val="24"/>
                <w:szCs w:val="24"/>
                <w:lang w:bidi="ar"/>
              </w:rPr>
              <w:t>与用户现有车载台兼容，能接入用户现有专用网络；</w:t>
            </w:r>
          </w:p>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2.产品类别：数字/模拟兼容；</w:t>
            </w:r>
          </w:p>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3.区域容量≥64(每组最多16个信道)；</w:t>
            </w:r>
          </w:p>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4.信道间隔12.5KHz/20KHz/25KHz；</w:t>
            </w:r>
          </w:p>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5.工作电压13.6V±15%；</w:t>
            </w:r>
          </w:p>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6.电流消耗 待机电流≤0.6A；</w:t>
            </w:r>
          </w:p>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7.电流消耗 接收电流≤2.0A；</w:t>
            </w:r>
          </w:p>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8.电流消耗 发射电流@5W≤5A；@25W≤8A；@45W≤12A；</w:t>
            </w:r>
          </w:p>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9.频率稳定度±0.5ppm；</w:t>
            </w:r>
          </w:p>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10.天线阻抗50Ω。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left"/>
              <w:textAlignment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7</w:t>
            </w:r>
          </w:p>
        </w:tc>
        <w:tc>
          <w:tcPr>
            <w:tcW w:w="7752" w:type="dxa"/>
            <w:tcBorders>
              <w:right w:val="single" w:color="auto" w:sz="4" w:space="0"/>
            </w:tcBorders>
            <w:vAlign w:val="center"/>
          </w:tcPr>
          <w:p>
            <w:pPr>
              <w:widowControl/>
              <w:jc w:val="left"/>
              <w:textAlignment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eastAsia="zh-CN" w:bidi="ar"/>
              </w:rPr>
              <w:t>配置</w:t>
            </w:r>
            <w:r>
              <w:rPr>
                <w:rFonts w:hint="eastAsia" w:ascii="宋体" w:hAnsi="宋体" w:cs="宋体"/>
                <w:color w:val="000000"/>
                <w:kern w:val="0"/>
                <w:sz w:val="24"/>
                <w:szCs w:val="24"/>
                <w:lang w:bidi="ar"/>
              </w:rPr>
              <w:t>移动图形工作站：1台，</w:t>
            </w:r>
            <w:r>
              <w:rPr>
                <w:rFonts w:hint="eastAsia" w:ascii="宋体" w:hAnsi="宋体" w:cs="宋体"/>
                <w:color w:val="000000"/>
                <w:kern w:val="0"/>
                <w:sz w:val="24"/>
                <w:szCs w:val="24"/>
                <w:lang w:eastAsia="zh-CN" w:bidi="ar"/>
              </w:rPr>
              <w:t>不小于</w:t>
            </w:r>
            <w:r>
              <w:rPr>
                <w:rFonts w:hint="eastAsia" w:ascii="宋体" w:hAnsi="宋体" w:cs="宋体"/>
                <w:color w:val="000000"/>
                <w:kern w:val="0"/>
                <w:sz w:val="24"/>
                <w:szCs w:val="24"/>
                <w:lang w:bidi="ar"/>
              </w:rPr>
              <w:t>15.6英寸</w:t>
            </w:r>
            <w:r>
              <w:rPr>
                <w:rFonts w:hint="eastAsia" w:ascii="宋体" w:hAnsi="宋体" w:cs="宋体"/>
                <w:color w:val="000000"/>
                <w:kern w:val="0"/>
                <w:sz w:val="24"/>
                <w:szCs w:val="24"/>
                <w:lang w:eastAsia="zh-CN" w:bidi="ar"/>
              </w:rPr>
              <w:t>；选用专业图形设计显卡；</w:t>
            </w:r>
            <w:r>
              <w:rPr>
                <w:rFonts w:hint="eastAsia" w:ascii="宋体" w:hAnsi="宋体" w:cs="宋体"/>
                <w:color w:val="000000"/>
                <w:kern w:val="0"/>
                <w:sz w:val="24"/>
                <w:szCs w:val="24"/>
                <w:lang w:val="en-US" w:eastAsia="zh-CN" w:bidi="ar"/>
              </w:rPr>
              <w:t>4G独显及以上配置；固态硬盘容量</w:t>
            </w:r>
            <w:r>
              <w:rPr>
                <w:rFonts w:hint="eastAsia" w:ascii="宋体" w:hAnsi="宋体" w:cs="宋体"/>
                <w:color w:val="000000"/>
                <w:kern w:val="0"/>
                <w:sz w:val="24"/>
                <w:szCs w:val="24"/>
                <w:lang w:bidi="ar"/>
              </w:rPr>
              <w:t>≥</w:t>
            </w:r>
            <w:r>
              <w:rPr>
                <w:rFonts w:hint="eastAsia" w:ascii="宋体" w:hAnsi="宋体" w:cs="宋体"/>
                <w:color w:val="000000"/>
                <w:kern w:val="0"/>
                <w:sz w:val="24"/>
                <w:szCs w:val="24"/>
                <w:lang w:val="en-US" w:eastAsia="zh-CN" w:bidi="ar"/>
              </w:rPr>
              <w:t>512G；硬盘</w:t>
            </w:r>
            <w:r>
              <w:rPr>
                <w:rFonts w:hint="eastAsia" w:ascii="宋体" w:hAnsi="宋体" w:cs="宋体"/>
                <w:color w:val="000000"/>
                <w:kern w:val="0"/>
                <w:sz w:val="24"/>
                <w:szCs w:val="24"/>
                <w:lang w:bidi="ar"/>
              </w:rPr>
              <w:t>≥</w:t>
            </w:r>
            <w:r>
              <w:rPr>
                <w:rFonts w:hint="eastAsia" w:ascii="宋体" w:hAnsi="宋体" w:cs="宋体"/>
                <w:color w:val="000000"/>
                <w:kern w:val="0"/>
                <w:sz w:val="24"/>
                <w:szCs w:val="24"/>
                <w:lang w:val="en-US" w:eastAsia="zh-CN" w:bidi="ar"/>
              </w:rPr>
              <w:t>1T.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hint="eastAsia" w:ascii="宋体" w:hAnsi="宋体" w:eastAsia="宋体" w:cs="宋体"/>
                <w:color w:val="000000"/>
                <w:kern w:val="0"/>
                <w:sz w:val="24"/>
                <w:szCs w:val="24"/>
                <w:lang w:eastAsia="zh-CN" w:bidi="ar"/>
              </w:rPr>
            </w:pPr>
            <w:r>
              <w:rPr>
                <w:rFonts w:hint="eastAsia" w:ascii="宋体" w:hAnsi="宋体" w:cs="宋体"/>
                <w:color w:val="000000"/>
                <w:kern w:val="0"/>
                <w:sz w:val="24"/>
                <w:szCs w:val="24"/>
                <w:lang w:val="en-US" w:eastAsia="zh-CN" w:bidi="ar"/>
              </w:rPr>
              <w:t>8</w:t>
            </w:r>
          </w:p>
        </w:tc>
        <w:tc>
          <w:tcPr>
            <w:tcW w:w="7752" w:type="dxa"/>
            <w:tcBorders>
              <w:right w:val="single" w:color="auto" w:sz="4" w:space="0"/>
            </w:tcBorders>
            <w:vAlign w:val="center"/>
          </w:tcPr>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箱内装潢：板材要环保、耐用、安全。要求：甲醛释放量≤0.2mg/L，静曲强度≥25MPa，弹性模量≥2880 MPa，握螺钉力（板面）≥1100N，握螺钉力（板边）≥805N；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hint="eastAsia" w:ascii="宋体" w:hAnsi="宋体" w:eastAsia="宋体" w:cs="宋体"/>
                <w:color w:val="000000"/>
                <w:kern w:val="0"/>
                <w:sz w:val="24"/>
                <w:szCs w:val="24"/>
                <w:lang w:eastAsia="zh-CN" w:bidi="ar"/>
              </w:rPr>
            </w:pPr>
            <w:r>
              <w:rPr>
                <w:rFonts w:hint="eastAsia" w:ascii="宋体" w:hAnsi="宋体" w:cs="宋体"/>
                <w:color w:val="000000"/>
                <w:kern w:val="0"/>
                <w:sz w:val="24"/>
                <w:szCs w:val="24"/>
                <w:lang w:val="en-US" w:eastAsia="zh-CN" w:bidi="ar"/>
              </w:rPr>
              <w:t>9</w:t>
            </w:r>
          </w:p>
        </w:tc>
        <w:tc>
          <w:tcPr>
            <w:tcW w:w="7752" w:type="dxa"/>
            <w:tcBorders>
              <w:right w:val="single" w:color="auto" w:sz="4" w:space="0"/>
            </w:tcBorders>
            <w:vAlign w:val="center"/>
          </w:tcPr>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车厢内前后在明显位置各安装一台电子温湿度计，使用耐久度和安全性要达到合格标准。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trPr>
        <w:tc>
          <w:tcPr>
            <w:tcW w:w="835" w:type="dxa"/>
            <w:vAlign w:val="center"/>
          </w:tcPr>
          <w:p>
            <w:pPr>
              <w:widowControl/>
              <w:jc w:val="center"/>
              <w:textAlignment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10</w:t>
            </w:r>
          </w:p>
        </w:tc>
        <w:tc>
          <w:tcPr>
            <w:tcW w:w="7752" w:type="dxa"/>
            <w:tcBorders>
              <w:right w:val="single" w:color="auto" w:sz="4" w:space="0"/>
            </w:tcBorders>
            <w:vAlign w:val="center"/>
          </w:tcPr>
          <w:p>
            <w:pPr>
              <w:widowControl/>
              <w:jc w:val="left"/>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外观颜色及标识喷涂烤漆，平整明亮；整车外观按消防标准进行制作（消防红）。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11</w:t>
            </w:r>
          </w:p>
        </w:tc>
        <w:tc>
          <w:tcPr>
            <w:tcW w:w="7752" w:type="dxa"/>
            <w:tcBorders>
              <w:right w:val="single" w:color="auto" w:sz="4" w:space="0"/>
            </w:tcBorders>
            <w:vAlign w:val="center"/>
          </w:tcPr>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随车工具维修工具套装，53件1套，灭火器</w:t>
            </w:r>
            <w:r>
              <w:rPr>
                <w:rFonts w:hint="eastAsia" w:ascii="宋体" w:hAnsi="宋体" w:cs="宋体"/>
                <w:color w:val="000000"/>
                <w:kern w:val="0"/>
                <w:sz w:val="24"/>
                <w:szCs w:val="24"/>
                <w:lang w:val="en-US" w:eastAsia="zh-CN" w:bidi="ar"/>
              </w:rPr>
              <w:t>2</w:t>
            </w:r>
            <w:r>
              <w:rPr>
                <w:rFonts w:hint="eastAsia" w:ascii="宋体" w:hAnsi="宋体" w:cs="宋体"/>
                <w:color w:val="000000"/>
                <w:kern w:val="0"/>
                <w:sz w:val="24"/>
                <w:szCs w:val="24"/>
                <w:lang w:bidi="ar"/>
              </w:rPr>
              <w:t>个 2kg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12</w:t>
            </w:r>
          </w:p>
        </w:tc>
        <w:tc>
          <w:tcPr>
            <w:tcW w:w="7752" w:type="dxa"/>
            <w:tcBorders>
              <w:right w:val="single" w:color="auto" w:sz="4" w:space="0"/>
            </w:tcBorders>
            <w:vAlign w:val="center"/>
          </w:tcPr>
          <w:p>
            <w:pPr>
              <w:widowControl/>
              <w:jc w:val="left"/>
              <w:textAlignment w:val="center"/>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bidi="ar"/>
              </w:rPr>
              <w:t>整车标识：长排警灯1.2米长排警灯及150W警报器</w:t>
            </w:r>
            <w:r>
              <w:rPr>
                <w:rFonts w:hint="eastAsia" w:ascii="宋体" w:hAnsi="宋体" w:cs="宋体"/>
                <w:color w:val="000000"/>
                <w:kern w:val="0"/>
                <w:sz w:val="24"/>
                <w:szCs w:val="24"/>
                <w:lang w:val="en-US" w:eastAsia="zh-CN" w:bidi="ar"/>
              </w:rPr>
              <w:t>;</w:t>
            </w:r>
          </w:p>
          <w:p>
            <w:pPr>
              <w:widowControl/>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符合《国务院办公厅关于国家综合性消防救援车辆悬挂应急救援专用号牌有关事项的通知》（国办发【2018】114号）、《消防救援局关于做好消防救援车辆外观制式涂装工作的通知》（应急消【2019】76号）等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widowControl/>
              <w:jc w:val="center"/>
              <w:textAlignment w:val="center"/>
              <w:rPr>
                <w:rFonts w:hint="default"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13</w:t>
            </w:r>
          </w:p>
        </w:tc>
        <w:tc>
          <w:tcPr>
            <w:tcW w:w="7752" w:type="dxa"/>
            <w:tcBorders>
              <w:right w:val="single" w:color="auto" w:sz="4" w:space="0"/>
            </w:tcBorders>
            <w:vAlign w:val="center"/>
          </w:tcPr>
          <w:p>
            <w:pPr>
              <w:widowControl/>
              <w:jc w:val="left"/>
              <w:textAlignment w:val="center"/>
              <w:rPr>
                <w:rFonts w:hint="eastAsia" w:ascii="宋体" w:hAnsi="宋体" w:cs="宋体"/>
                <w:color w:val="000000"/>
                <w:kern w:val="0"/>
                <w:sz w:val="24"/>
                <w:szCs w:val="24"/>
                <w:lang w:bidi="ar"/>
              </w:rPr>
            </w:pPr>
            <w:r>
              <w:rPr>
                <w:rFonts w:hint="eastAsia" w:ascii="宋体" w:hAnsi="宋体"/>
                <w:color w:val="000000"/>
                <w:kern w:val="0"/>
                <w:sz w:val="18"/>
                <w:szCs w:val="18"/>
                <w:lang w:eastAsia="zh-CN"/>
              </w:rPr>
              <w:t>车辆改装方案应于用户单位进行共同协商确定。</w:t>
            </w:r>
            <w:r>
              <w:rPr>
                <w:rFonts w:hint="eastAsia" w:ascii="宋体" w:hAnsi="宋体"/>
                <w:color w:val="000000"/>
                <w:kern w:val="0"/>
                <w:sz w:val="18"/>
                <w:szCs w:val="18"/>
              </w:rPr>
              <w:t>未提及功能可自行增加。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vAlign w:val="center"/>
          </w:tcPr>
          <w:p>
            <w:pPr>
              <w:rPr>
                <w:rFonts w:ascii="宋体" w:hAnsi="宋体" w:cs="宋体"/>
                <w:sz w:val="24"/>
                <w:szCs w:val="24"/>
              </w:rPr>
            </w:pPr>
            <w:r>
              <w:rPr>
                <w:rFonts w:hint="eastAsia" w:ascii="宋体" w:hAnsi="宋体" w:cs="宋体"/>
                <w:b/>
                <w:bCs/>
                <w:sz w:val="24"/>
                <w:szCs w:val="24"/>
              </w:rPr>
              <w:t>三、随车资料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1</w:t>
            </w:r>
          </w:p>
        </w:tc>
        <w:tc>
          <w:tcPr>
            <w:tcW w:w="7752" w:type="dxa"/>
            <w:tcBorders>
              <w:right w:val="single" w:color="auto" w:sz="4" w:space="0"/>
            </w:tcBorders>
            <w:vAlign w:val="center"/>
          </w:tcPr>
          <w:p>
            <w:pPr>
              <w:rPr>
                <w:rFonts w:ascii="宋体" w:hAnsi="宋体" w:cs="宋体"/>
                <w:sz w:val="24"/>
                <w:szCs w:val="24"/>
              </w:rPr>
            </w:pPr>
            <w:r>
              <w:rPr>
                <w:rFonts w:hint="eastAsia" w:ascii="宋体" w:hAnsi="宋体" w:cs="宋体"/>
                <w:sz w:val="24"/>
                <w:szCs w:val="24"/>
              </w:rPr>
              <w:t>底盘使用说明书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2</w:t>
            </w:r>
          </w:p>
        </w:tc>
        <w:tc>
          <w:tcPr>
            <w:tcW w:w="7752" w:type="dxa"/>
            <w:tcBorders>
              <w:right w:val="single" w:color="auto" w:sz="4" w:space="0"/>
            </w:tcBorders>
            <w:vAlign w:val="center"/>
          </w:tcPr>
          <w:p>
            <w:pPr>
              <w:rPr>
                <w:rFonts w:ascii="宋体" w:hAnsi="宋体" w:cs="宋体"/>
                <w:sz w:val="24"/>
                <w:szCs w:val="24"/>
              </w:rPr>
            </w:pPr>
            <w:r>
              <w:rPr>
                <w:rFonts w:hint="eastAsia" w:ascii="宋体" w:hAnsi="宋体" w:cs="宋体"/>
                <w:sz w:val="24"/>
                <w:szCs w:val="24"/>
              </w:rPr>
              <w:t>底盘质量保修卡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3</w:t>
            </w:r>
          </w:p>
        </w:tc>
        <w:tc>
          <w:tcPr>
            <w:tcW w:w="7752" w:type="dxa"/>
            <w:tcBorders>
              <w:right w:val="single" w:color="auto" w:sz="4" w:space="0"/>
            </w:tcBorders>
            <w:vAlign w:val="center"/>
          </w:tcPr>
          <w:p>
            <w:pPr>
              <w:rPr>
                <w:rFonts w:ascii="宋体" w:hAnsi="宋体" w:cs="宋体"/>
                <w:sz w:val="24"/>
                <w:szCs w:val="24"/>
              </w:rPr>
            </w:pPr>
            <w:r>
              <w:rPr>
                <w:rFonts w:hint="eastAsia" w:ascii="宋体" w:hAnsi="宋体" w:cs="宋体"/>
                <w:sz w:val="24"/>
                <w:szCs w:val="24"/>
              </w:rPr>
              <w:t>底盘合格证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4</w:t>
            </w:r>
          </w:p>
        </w:tc>
        <w:tc>
          <w:tcPr>
            <w:tcW w:w="7752" w:type="dxa"/>
            <w:tcBorders>
              <w:right w:val="single" w:color="auto" w:sz="4" w:space="0"/>
            </w:tcBorders>
            <w:vAlign w:val="center"/>
          </w:tcPr>
          <w:p>
            <w:pPr>
              <w:rPr>
                <w:rFonts w:ascii="宋体" w:hAnsi="宋体" w:cs="宋体"/>
                <w:sz w:val="24"/>
                <w:szCs w:val="24"/>
              </w:rPr>
            </w:pPr>
            <w:r>
              <w:rPr>
                <w:rFonts w:hint="eastAsia" w:ascii="宋体" w:hAnsi="宋体" w:cs="宋体"/>
                <w:sz w:val="24"/>
                <w:szCs w:val="24"/>
              </w:rPr>
              <w:t>发动机号码拓印(2份)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trPr>
        <w:tc>
          <w:tcPr>
            <w:tcW w:w="835" w:type="dxa"/>
            <w:vAlign w:val="center"/>
          </w:tcPr>
          <w:p>
            <w:pPr>
              <w:jc w:val="center"/>
              <w:rPr>
                <w:rFonts w:ascii="宋体" w:hAnsi="宋体"/>
                <w:sz w:val="24"/>
                <w:szCs w:val="24"/>
              </w:rPr>
            </w:pPr>
            <w:r>
              <w:rPr>
                <w:rFonts w:hint="eastAsia" w:ascii="宋体" w:hAnsi="宋体"/>
                <w:sz w:val="24"/>
                <w:szCs w:val="24"/>
              </w:rPr>
              <w:t>5</w:t>
            </w:r>
          </w:p>
        </w:tc>
        <w:tc>
          <w:tcPr>
            <w:tcW w:w="7752" w:type="dxa"/>
            <w:tcBorders>
              <w:right w:val="single" w:color="auto" w:sz="4" w:space="0"/>
            </w:tcBorders>
            <w:vAlign w:val="center"/>
          </w:tcPr>
          <w:p>
            <w:pPr>
              <w:rPr>
                <w:rFonts w:ascii="宋体" w:hAnsi="宋体" w:cs="宋体"/>
                <w:sz w:val="24"/>
                <w:szCs w:val="24"/>
              </w:rPr>
            </w:pPr>
            <w:r>
              <w:rPr>
                <w:rFonts w:hint="eastAsia" w:ascii="宋体" w:hAnsi="宋体" w:cs="宋体"/>
                <w:sz w:val="24"/>
                <w:szCs w:val="24"/>
              </w:rPr>
              <w:t>底盘号码拓印件(2份)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6</w:t>
            </w:r>
          </w:p>
        </w:tc>
        <w:tc>
          <w:tcPr>
            <w:tcW w:w="7752" w:type="dxa"/>
            <w:tcBorders>
              <w:right w:val="single" w:color="auto" w:sz="4" w:space="0"/>
            </w:tcBorders>
            <w:vAlign w:val="center"/>
          </w:tcPr>
          <w:p>
            <w:pPr>
              <w:rPr>
                <w:rFonts w:ascii="宋体" w:hAnsi="宋体" w:cs="宋体"/>
                <w:sz w:val="24"/>
                <w:szCs w:val="24"/>
              </w:rPr>
            </w:pPr>
            <w:r>
              <w:rPr>
                <w:rFonts w:hint="eastAsia" w:ascii="宋体" w:hAnsi="宋体" w:cs="宋体"/>
                <w:sz w:val="24"/>
                <w:szCs w:val="24"/>
              </w:rPr>
              <w:t>整车合格证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7</w:t>
            </w:r>
          </w:p>
        </w:tc>
        <w:tc>
          <w:tcPr>
            <w:tcW w:w="7752" w:type="dxa"/>
            <w:tcBorders>
              <w:right w:val="single" w:color="auto" w:sz="4" w:space="0"/>
            </w:tcBorders>
            <w:vAlign w:val="center"/>
          </w:tcPr>
          <w:p>
            <w:pPr>
              <w:rPr>
                <w:rFonts w:ascii="宋体" w:hAnsi="宋体" w:cs="宋体"/>
                <w:sz w:val="24"/>
                <w:szCs w:val="24"/>
              </w:rPr>
            </w:pPr>
            <w:r>
              <w:rPr>
                <w:rFonts w:hint="eastAsia" w:ascii="宋体" w:hAnsi="宋体" w:cs="宋体"/>
                <w:sz w:val="24"/>
                <w:szCs w:val="24"/>
              </w:rPr>
              <w:t>消防车跟踪服务卡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8</w:t>
            </w:r>
          </w:p>
        </w:tc>
        <w:tc>
          <w:tcPr>
            <w:tcW w:w="7752" w:type="dxa"/>
            <w:tcBorders>
              <w:right w:val="single" w:color="auto" w:sz="4" w:space="0"/>
            </w:tcBorders>
            <w:vAlign w:val="center"/>
          </w:tcPr>
          <w:p>
            <w:pPr>
              <w:rPr>
                <w:rFonts w:ascii="宋体" w:hAnsi="宋体" w:cs="宋体"/>
                <w:sz w:val="24"/>
                <w:szCs w:val="24"/>
              </w:rPr>
            </w:pPr>
            <w:r>
              <w:rPr>
                <w:rFonts w:hint="eastAsia" w:ascii="宋体" w:hAnsi="宋体" w:cs="宋体"/>
                <w:sz w:val="24"/>
                <w:szCs w:val="24"/>
              </w:rPr>
              <w:t>车辆一致性证书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9</w:t>
            </w:r>
          </w:p>
        </w:tc>
        <w:tc>
          <w:tcPr>
            <w:tcW w:w="7752" w:type="dxa"/>
            <w:tcBorders>
              <w:right w:val="single" w:color="auto" w:sz="4" w:space="0"/>
            </w:tcBorders>
            <w:vAlign w:val="center"/>
          </w:tcPr>
          <w:p>
            <w:pPr>
              <w:rPr>
                <w:rFonts w:ascii="宋体" w:hAnsi="宋体" w:cs="宋体"/>
                <w:sz w:val="24"/>
                <w:szCs w:val="24"/>
              </w:rPr>
            </w:pPr>
            <w:r>
              <w:rPr>
                <w:rFonts w:hint="eastAsia" w:ascii="宋体" w:hAnsi="宋体" w:cs="宋体"/>
                <w:sz w:val="24"/>
                <w:szCs w:val="24"/>
              </w:rPr>
              <w:t>工信部车型备案公告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sz w:val="24"/>
                <w:szCs w:val="24"/>
              </w:rPr>
            </w:pPr>
            <w:r>
              <w:rPr>
                <w:rFonts w:hint="eastAsia" w:ascii="宋体" w:hAnsi="宋体"/>
                <w:sz w:val="24"/>
                <w:szCs w:val="24"/>
              </w:rPr>
              <w:t>10</w:t>
            </w:r>
          </w:p>
        </w:tc>
        <w:tc>
          <w:tcPr>
            <w:tcW w:w="7752" w:type="dxa"/>
            <w:tcBorders>
              <w:right w:val="single" w:color="auto" w:sz="4" w:space="0"/>
            </w:tcBorders>
            <w:vAlign w:val="center"/>
          </w:tcPr>
          <w:p>
            <w:pPr>
              <w:rPr>
                <w:rFonts w:ascii="宋体" w:hAnsi="宋体" w:cs="宋体"/>
                <w:sz w:val="24"/>
                <w:szCs w:val="24"/>
              </w:rPr>
            </w:pPr>
            <w:r>
              <w:rPr>
                <w:rFonts w:hint="eastAsia" w:ascii="宋体" w:hAnsi="宋体" w:cs="宋体"/>
                <w:sz w:val="24"/>
                <w:szCs w:val="24"/>
              </w:rPr>
              <w:t>消防车交接清单</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chineseCountingThousand"/>
      <w:suff w:val="nothing"/>
      <w:lvlText w:val="第%1章"/>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2"/>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zZWY0Y2UzMmMxMTQ5NDRhNzUyY2E2MWNiOTM2NGUifQ=="/>
  </w:docVars>
  <w:rsids>
    <w:rsidRoot w:val="005F66D2"/>
    <w:rsid w:val="0001192F"/>
    <w:rsid w:val="001B1E4F"/>
    <w:rsid w:val="002743D4"/>
    <w:rsid w:val="002C2A8C"/>
    <w:rsid w:val="003543C7"/>
    <w:rsid w:val="00384F1E"/>
    <w:rsid w:val="003D6BBF"/>
    <w:rsid w:val="004E14B8"/>
    <w:rsid w:val="005F66D2"/>
    <w:rsid w:val="0061422D"/>
    <w:rsid w:val="00687785"/>
    <w:rsid w:val="006979D3"/>
    <w:rsid w:val="00730929"/>
    <w:rsid w:val="0087528B"/>
    <w:rsid w:val="009E58CF"/>
    <w:rsid w:val="00A22348"/>
    <w:rsid w:val="00A474E6"/>
    <w:rsid w:val="00A7598A"/>
    <w:rsid w:val="00A97FF4"/>
    <w:rsid w:val="00B36A07"/>
    <w:rsid w:val="00B576E0"/>
    <w:rsid w:val="00BF1C43"/>
    <w:rsid w:val="00C325F8"/>
    <w:rsid w:val="00C66B3E"/>
    <w:rsid w:val="00D12E61"/>
    <w:rsid w:val="00E7688F"/>
    <w:rsid w:val="00EA4C2C"/>
    <w:rsid w:val="00EE619F"/>
    <w:rsid w:val="00EF4217"/>
    <w:rsid w:val="00F154C3"/>
    <w:rsid w:val="00F264A7"/>
    <w:rsid w:val="00F9215E"/>
    <w:rsid w:val="07457308"/>
    <w:rsid w:val="103A1754"/>
    <w:rsid w:val="13CC5833"/>
    <w:rsid w:val="16B81E2F"/>
    <w:rsid w:val="1C206619"/>
    <w:rsid w:val="2B016371"/>
    <w:rsid w:val="2D026120"/>
    <w:rsid w:val="389A2EE0"/>
    <w:rsid w:val="38A40387"/>
    <w:rsid w:val="3D7A3CFF"/>
    <w:rsid w:val="45907E35"/>
    <w:rsid w:val="510F0A43"/>
    <w:rsid w:val="52975287"/>
    <w:rsid w:val="56813D1C"/>
    <w:rsid w:val="5C6E367B"/>
    <w:rsid w:val="5FAD13FF"/>
    <w:rsid w:val="629F6527"/>
    <w:rsid w:val="63AD50EC"/>
    <w:rsid w:val="70146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
    <w:pPr>
      <w:keepNext/>
      <w:keepLines/>
      <w:numPr>
        <w:ilvl w:val="3"/>
        <w:numId w:val="1"/>
      </w:numPr>
      <w:spacing w:before="280" w:after="290" w:line="376" w:lineRule="auto"/>
      <w:outlineLvl w:val="3"/>
    </w:pPr>
    <w:rPr>
      <w:rFonts w:ascii="Cambria" w:hAnsi="Cambria" w:cs="Cambria"/>
      <w:b/>
      <w:bCs/>
      <w:sz w:val="28"/>
      <w:szCs w:val="28"/>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1517</Words>
  <Characters>1904</Characters>
  <Lines>7</Lines>
  <Paragraphs>2</Paragraphs>
  <TotalTime>21</TotalTime>
  <ScaleCrop>false</ScaleCrop>
  <LinksUpToDate>false</LinksUpToDate>
  <CharactersWithSpaces>1929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2021-11-23T06:57:00Z</dcterms:created>
  <dc:creator>lllggg516@outlook.com</dc:creator>
  <cp:lastModifiedBy>sunxk</cp:lastModifiedBy>
  <dcterms:modified xsi:type="dcterms:W3CDTF">2022-06-28T02:43:47Z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48E1A044716B43A9BD1AA0E4935A085D</vt:lpwstr>
  </property>
</Properties>
</file>