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500" w:lineRule="exact"/>
        <w:jc w:val="center"/>
        <w:rPr>
          <w:rFonts w:hint="eastAsia" w:ascii="华文中宋" w:hAnsi="华文中宋" w:eastAsia="华文中宋"/>
          <w:lang w:val="en-US" w:eastAsia="zh-CN"/>
        </w:rPr>
      </w:pPr>
      <w:bookmarkStart w:id="0" w:name="_Toc28359011"/>
      <w:bookmarkStart w:id="1" w:name="_Toc35393797"/>
      <w:r>
        <w:rPr>
          <w:rFonts w:hint="eastAsia" w:ascii="华文中宋" w:hAnsi="华文中宋" w:eastAsia="华文中宋"/>
        </w:rPr>
        <w:t>竞争性谈判公告</w:t>
      </w:r>
      <w:bookmarkEnd w:id="0"/>
      <w:bookmarkEnd w:id="1"/>
      <w:r>
        <w:rPr>
          <w:rFonts w:hint="eastAsia" w:ascii="华文中宋" w:hAnsi="华文中宋" w:eastAsia="华文中宋"/>
          <w:lang w:val="en-US" w:eastAsia="zh-CN"/>
        </w:rPr>
        <w:t>(第二次）</w:t>
      </w:r>
    </w:p>
    <w:p>
      <w:pPr>
        <w:spacing w:line="500" w:lineRule="exact"/>
      </w:pP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u w:val="single"/>
        </w:rPr>
        <w:t>东北石油大学2022年下半年食堂原材料小麦粉和食用油采购项目</w:t>
      </w:r>
      <w:r>
        <w:rPr>
          <w:rFonts w:hint="eastAsia" w:ascii="仿宋" w:hAnsi="仿宋" w:eastAsia="仿宋"/>
          <w:sz w:val="28"/>
          <w:szCs w:val="28"/>
        </w:rPr>
        <w:t>的潜在供应商应在</w:t>
      </w:r>
      <w:r>
        <w:rPr>
          <w:rFonts w:hint="eastAsia" w:ascii="仿宋" w:hAnsi="仿宋" w:eastAsia="仿宋"/>
          <w:sz w:val="28"/>
          <w:szCs w:val="28"/>
          <w:u w:val="single"/>
        </w:rPr>
        <w:t>中国政府采购网、东北石油大学网</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rPr>
        <w:t>2022年</w:t>
      </w:r>
      <w:r>
        <w:rPr>
          <w:rFonts w:hint="eastAsia" w:ascii="仿宋" w:hAnsi="仿宋" w:eastAsia="仿宋"/>
          <w:sz w:val="28"/>
          <w:szCs w:val="28"/>
          <w:u w:val="single"/>
          <w:lang w:val="en-US" w:eastAsia="zh-CN"/>
        </w:rPr>
        <w:t>07</w:t>
      </w:r>
      <w:r>
        <w:rPr>
          <w:rFonts w:hint="eastAsia" w:ascii="仿宋" w:hAnsi="仿宋" w:eastAsia="仿宋"/>
          <w:sz w:val="28"/>
          <w:szCs w:val="28"/>
          <w:u w:val="single"/>
        </w:rPr>
        <w:t>月</w:t>
      </w:r>
      <w:r>
        <w:rPr>
          <w:rFonts w:hint="eastAsia" w:ascii="仿宋" w:hAnsi="仿宋" w:eastAsia="仿宋"/>
          <w:sz w:val="28"/>
          <w:szCs w:val="28"/>
          <w:u w:val="single"/>
          <w:lang w:val="en-US" w:eastAsia="zh-CN"/>
        </w:rPr>
        <w:t>01</w:t>
      </w:r>
      <w:r>
        <w:rPr>
          <w:rFonts w:hint="eastAsia" w:ascii="仿宋" w:hAnsi="仿宋" w:eastAsia="仿宋"/>
          <w:sz w:val="28"/>
          <w:szCs w:val="28"/>
          <w:u w:val="single"/>
        </w:rPr>
        <w:t>日14点00分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napToGrid w:val="0"/>
        <w:spacing w:line="500" w:lineRule="exact"/>
      </w:pPr>
    </w:p>
    <w:p>
      <w:pPr>
        <w:pStyle w:val="6"/>
        <w:snapToGrid w:val="0"/>
        <w:spacing w:before="0" w:after="0" w:line="500" w:lineRule="exact"/>
        <w:rPr>
          <w:rFonts w:ascii="黑体" w:hAnsi="黑体" w:cs="宋体"/>
          <w:b w:val="0"/>
          <w:sz w:val="28"/>
          <w:szCs w:val="28"/>
        </w:rPr>
      </w:pPr>
      <w:bookmarkStart w:id="2" w:name="_Toc35393798"/>
      <w:bookmarkStart w:id="3" w:name="_Toc35393629"/>
      <w:bookmarkStart w:id="4" w:name="_Toc28359089"/>
      <w:bookmarkStart w:id="5" w:name="_Toc28359012"/>
      <w:r>
        <w:rPr>
          <w:rFonts w:hint="eastAsia" w:ascii="黑体" w:hAnsi="黑体" w:cs="宋体"/>
          <w:b w:val="0"/>
          <w:sz w:val="28"/>
          <w:szCs w:val="28"/>
        </w:rPr>
        <w:t>一、项目基本情况</w:t>
      </w:r>
      <w:bookmarkEnd w:id="2"/>
      <w:bookmarkEnd w:id="3"/>
      <w:bookmarkEnd w:id="4"/>
      <w:bookmarkEnd w:id="5"/>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项目编号：NEPUFS22023</w:t>
      </w:r>
    </w:p>
    <w:p>
      <w:pPr>
        <w:snapToGrid w:val="0"/>
        <w:spacing w:line="500" w:lineRule="exact"/>
        <w:ind w:firstLine="560" w:firstLineChars="200"/>
        <w:rPr>
          <w:rFonts w:ascii="仿宋" w:hAnsi="仿宋" w:eastAsia="仿宋"/>
          <w:sz w:val="28"/>
          <w:szCs w:val="28"/>
          <w:u w:val="single"/>
        </w:rPr>
      </w:pPr>
      <w:r>
        <w:rPr>
          <w:rFonts w:hint="eastAsia" w:ascii="仿宋" w:hAnsi="仿宋" w:eastAsia="仿宋"/>
          <w:sz w:val="28"/>
          <w:szCs w:val="28"/>
        </w:rPr>
        <w:t>项目名称：东北石油大学2022年下半年食堂原材料小麦粉和食用油采购项目</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采购方式：竞争性谈判</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标段划分：二个标段。</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预算金额：70万元（一标段20万，二标段50万）。</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最高限价：十折。参与竞争的供应商响应报价不得超出最高限价，不得0报价，否则，响应无效。</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采购需求：</w:t>
      </w:r>
      <w:bookmarkStart w:id="6" w:name="_Hlk47165474"/>
      <w:r>
        <w:rPr>
          <w:rFonts w:hint="eastAsia" w:ascii="仿宋" w:hAnsi="仿宋" w:eastAsia="仿宋"/>
          <w:sz w:val="28"/>
          <w:szCs w:val="28"/>
        </w:rPr>
        <w:t>一标段小麦粉采购、二标段食用油采购。具体项目需求见竞争性谈判文件第二部分“项目需求”。</w:t>
      </w:r>
      <w:bookmarkEnd w:id="6"/>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合同履行期限：2022年7月22日至2022年12月31日。合同期内，产品价格不予调整，市场价格波动的风险由甲乙双方各自承担。</w:t>
      </w:r>
    </w:p>
    <w:p>
      <w:pPr>
        <w:snapToGrid w:val="0"/>
        <w:spacing w:line="500" w:lineRule="exact"/>
        <w:ind w:firstLine="560" w:firstLineChars="200"/>
        <w:rPr>
          <w:rFonts w:ascii="仿宋" w:hAnsi="仿宋" w:eastAsia="仿宋"/>
          <w:sz w:val="28"/>
          <w:szCs w:val="28"/>
        </w:rPr>
      </w:pPr>
      <w:bookmarkStart w:id="7" w:name="_Toc28359090"/>
      <w:bookmarkStart w:id="8" w:name="_Toc28359013"/>
      <w:bookmarkStart w:id="9" w:name="_Toc35393799"/>
      <w:bookmarkStart w:id="10" w:name="_Toc35393630"/>
      <w:r>
        <w:rPr>
          <w:rFonts w:hint="eastAsia" w:ascii="仿宋" w:hAnsi="仿宋" w:eastAsia="仿宋"/>
          <w:sz w:val="28"/>
          <w:szCs w:val="28"/>
        </w:rPr>
        <w:t>本项目不接受联合体参与投标。</w:t>
      </w:r>
    </w:p>
    <w:p>
      <w:pPr>
        <w:pStyle w:val="6"/>
        <w:snapToGrid w:val="0"/>
        <w:spacing w:before="0" w:after="0" w:line="500" w:lineRule="exact"/>
        <w:rPr>
          <w:rFonts w:ascii="黑体" w:hAnsi="黑体" w:cs="宋体"/>
          <w:b w:val="0"/>
          <w:sz w:val="28"/>
          <w:szCs w:val="28"/>
        </w:rPr>
      </w:pPr>
      <w:r>
        <w:rPr>
          <w:rFonts w:hint="eastAsia" w:ascii="黑体" w:hAnsi="黑体" w:cs="宋体"/>
          <w:b w:val="0"/>
          <w:sz w:val="28"/>
          <w:szCs w:val="28"/>
        </w:rPr>
        <w:t>二、申请人的资格要求：</w:t>
      </w:r>
      <w:bookmarkEnd w:id="7"/>
      <w:bookmarkEnd w:id="8"/>
      <w:bookmarkEnd w:id="9"/>
      <w:bookmarkEnd w:id="10"/>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bookmarkStart w:id="11" w:name="_Toc28359014"/>
      <w:bookmarkStart w:id="12" w:name="_Toc28359091"/>
    </w:p>
    <w:p>
      <w:pPr>
        <w:snapToGrid w:val="0"/>
        <w:spacing w:line="500" w:lineRule="exact"/>
        <w:ind w:firstLine="560" w:firstLineChars="200"/>
      </w:pPr>
      <w:r>
        <w:rPr>
          <w:rFonts w:hint="eastAsia" w:ascii="仿宋" w:hAnsi="仿宋" w:eastAsia="仿宋"/>
          <w:sz w:val="28"/>
          <w:szCs w:val="28"/>
        </w:rPr>
        <w:t>2.落实政府采购政策需满足的资格要求：/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3.本项目的特定资格要求：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①具有有效的《营业执照》或《事业单位法人证书》。</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②具备有效的食品生产许可证或食品经营许可证（生产商提供食品生产许可证，经销商提供食品经营许可证）；</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③产品生产企业须为农业农村部公布的《第七批农业产业化国家重点龙头企业名单》中所列企业，或者为农业产业化省级重点龙头企业。提供有效期内的相关证明文件（证书扫描件或网站名单截图或通知文件扫描件等均可以）。母公司为龙头企业，子公司为生产企业，需由母公司与子公司共同出具证明双方关系的证明文件；</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④具有有效的由第三方检测机构出具的产品质量检测报告，一标段要求质量指标为：等级、灰分、粗细度、面筋质、含砂量、磁性金属物、水分、脂肪酸值、气味口味。</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二标段要求质量指标为：色泽、透明度、气味滋味、水分及挥发物含量、不溶性杂质含量、酸价、过氧化值、加热试验、含皂量、冷冻试验、烟点、溶剂残留量。</w:t>
      </w:r>
    </w:p>
    <w:p>
      <w:pPr>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⑤供应商未被“信用中国”网站、“中国政府采购网”网站列入失信被执行人、重大税收违法案件当事人名单、政府采购严重违法失信行为记录名单。查询网址：信用中国(http://www.creditchina.gov.cn)、中国政府采购网：（http://www.ccgp.gov.cn/cr/list）。（供应商无需提供证明资料，以评审人员于投标（响应）截止时间当天在“信用中国”网站（www.creditchina.gov.cn）及中国政府采购网（http://www.ccgp.gov.cn/）查询结果为准，如相关失信记录已失效，供应商需提供相关证明资料）。</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⑥具有良好的银行资信和商业信誉，没有处于被责令停业、财产被接管、冻结、破产状态(投标单位需自行提供承诺书，格式自拟)。</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⑦单位负责人为同一人或者存在直接控股、管理关系的不同供应商，不得参加同一合同项下的政府采购活动。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⑧与采购人存在利害关系可能影响招标公正性的法人、其他组织或者个人，不得参加投标。</w:t>
      </w:r>
    </w:p>
    <w:p>
      <w:pPr>
        <w:pStyle w:val="6"/>
        <w:snapToGrid w:val="0"/>
        <w:spacing w:before="0" w:after="0" w:line="500" w:lineRule="exact"/>
        <w:rPr>
          <w:rFonts w:ascii="黑体" w:hAnsi="黑体" w:cs="宋体"/>
          <w:b w:val="0"/>
          <w:sz w:val="28"/>
          <w:szCs w:val="28"/>
        </w:rPr>
      </w:pPr>
      <w:bookmarkStart w:id="13" w:name="_Toc35393631"/>
      <w:bookmarkStart w:id="14" w:name="_Toc35393800"/>
      <w:r>
        <w:rPr>
          <w:rFonts w:hint="eastAsia" w:ascii="黑体" w:hAnsi="黑体" w:cs="宋体"/>
          <w:b w:val="0"/>
          <w:sz w:val="28"/>
          <w:szCs w:val="28"/>
        </w:rPr>
        <w:t>三、获取采购文件</w:t>
      </w:r>
      <w:bookmarkEnd w:id="11"/>
      <w:bookmarkEnd w:id="12"/>
      <w:bookmarkEnd w:id="13"/>
      <w:bookmarkEnd w:id="14"/>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时间：</w:t>
      </w:r>
      <w:bookmarkStart w:id="15" w:name="_Hlk47165535"/>
      <w:r>
        <w:rPr>
          <w:rFonts w:hint="eastAsia" w:ascii="仿宋" w:hAnsi="仿宋" w:eastAsia="仿宋" w:cs="宋体"/>
          <w:sz w:val="28"/>
          <w:szCs w:val="28"/>
        </w:rPr>
        <w:t>2022年06月</w:t>
      </w:r>
      <w:r>
        <w:rPr>
          <w:rFonts w:hint="eastAsia" w:ascii="仿宋" w:hAnsi="仿宋" w:eastAsia="仿宋" w:cs="宋体"/>
          <w:sz w:val="28"/>
          <w:szCs w:val="28"/>
          <w:lang w:val="en-US" w:eastAsia="zh-CN"/>
        </w:rPr>
        <w:t>28</w:t>
      </w:r>
      <w:r>
        <w:rPr>
          <w:rFonts w:hint="eastAsia" w:ascii="仿宋" w:hAnsi="仿宋" w:eastAsia="仿宋" w:cs="宋体"/>
          <w:sz w:val="28"/>
          <w:szCs w:val="28"/>
        </w:rPr>
        <w:t>日至2022年06月</w:t>
      </w:r>
      <w:r>
        <w:rPr>
          <w:rFonts w:hint="eastAsia" w:ascii="仿宋" w:hAnsi="仿宋" w:eastAsia="仿宋" w:cs="宋体"/>
          <w:sz w:val="28"/>
          <w:szCs w:val="28"/>
          <w:lang w:val="en-US" w:eastAsia="zh-CN"/>
        </w:rPr>
        <w:t>30</w:t>
      </w:r>
      <w:r>
        <w:rPr>
          <w:rFonts w:hint="eastAsia" w:ascii="仿宋" w:hAnsi="仿宋" w:eastAsia="仿宋" w:cs="宋体"/>
          <w:sz w:val="28"/>
          <w:szCs w:val="28"/>
        </w:rPr>
        <w:t>日</w:t>
      </w:r>
      <w:bookmarkEnd w:id="15"/>
      <w:r>
        <w:rPr>
          <w:rFonts w:hint="eastAsia" w:ascii="仿宋" w:hAnsi="仿宋" w:eastAsia="仿宋" w:cs="宋体"/>
          <w:sz w:val="28"/>
          <w:szCs w:val="28"/>
        </w:rPr>
        <w:t>上午8点00分至11点30分-下午13：30至17点00分。（北京时间，法定节假日除外）</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地点：中国政府采购网、东北石油大学网</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方式：供应商自行在网页下载</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售价：600元/标段。</w:t>
      </w:r>
      <w:bookmarkStart w:id="16" w:name="_Toc28359015"/>
      <w:bookmarkStart w:id="17" w:name="_Toc35393801"/>
      <w:bookmarkStart w:id="18" w:name="_Toc35393632"/>
      <w:bookmarkStart w:id="19" w:name="_Toc28359092"/>
      <w:r>
        <w:rPr>
          <w:rFonts w:hint="eastAsia" w:ascii="仿宋" w:hAnsi="仿宋" w:eastAsia="仿宋" w:cs="宋体"/>
          <w:sz w:val="28"/>
          <w:szCs w:val="28"/>
        </w:rPr>
        <w:t>采用公对公转账形式或现金形式支付，售后不退。</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（1）采用现场以现金形式进行缴纳的：</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缴纳地点：黑龙江鼎鑫建筑工程管理咨询有限公司（黑龙江省大庆市高新区外包园A3楼2单元602室）。联系人：戈女士。联系方式：0459-8997013。</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（2）供应商通过公对公转账形式自行支付竞争性谈判文件费的，支付完成后请将获取文件登记表及付款截图发送至dingxinzhaobiao@163.com邮箱中。</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供应商交费及确认情况的三点说明：</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①交费方式：供应商通过公对公转账自行支付文件费（特别提示：付款时必须在备注处注明投标单位简称、项目编号，例：信合NEPUFS22023。</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收款账户：黑龙江鼎鑫建筑工程管理咨询有限公司</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账号：236000609018170075240</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开户行：交通银行大庆分行开发区支行</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行号：301265000097</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②交费时间：同公告中获取采购文件时间。</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③确认时注意事项：供应商请将在规定的获取采购文件时间内将获取文件登记表（必须为Word版）发送至dingxinzhaobiao@163.com邮箱中（发送时主题请注明项目编号＋单位名称）。</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特别提示：不按上述备注要求备注付款的、不按上述要求发送获取文件登记表及截图导致影响后续投标的后果自负。未按上述要求缴纳支付文件费用的，不得参与本项目竞争。</w:t>
      </w:r>
    </w:p>
    <w:p>
      <w:pPr>
        <w:snapToGrid w:val="0"/>
        <w:spacing w:line="500" w:lineRule="exact"/>
        <w:ind w:firstLine="540"/>
        <w:rPr>
          <w:rFonts w:ascii="黑体" w:hAnsi="黑体" w:cs="宋体"/>
          <w:sz w:val="28"/>
          <w:szCs w:val="28"/>
        </w:rPr>
      </w:pPr>
      <w:r>
        <w:rPr>
          <w:rFonts w:hint="eastAsia" w:ascii="黑体" w:hAnsi="黑体" w:cs="宋体"/>
          <w:sz w:val="28"/>
          <w:szCs w:val="28"/>
        </w:rPr>
        <w:t>四、响应文件提交</w:t>
      </w:r>
      <w:bookmarkEnd w:id="16"/>
      <w:bookmarkEnd w:id="17"/>
      <w:bookmarkEnd w:id="18"/>
      <w:bookmarkEnd w:id="19"/>
    </w:p>
    <w:p>
      <w:pPr>
        <w:snapToGrid w:val="0"/>
        <w:spacing w:line="50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提交方式：本项目远程开标，供应商无须到达开标现场，具体递交方式详见竞争性谈判文件。</w:t>
      </w:r>
    </w:p>
    <w:p>
      <w:pPr>
        <w:pStyle w:val="6"/>
        <w:snapToGrid w:val="0"/>
        <w:spacing w:before="0" w:after="0" w:line="500" w:lineRule="exact"/>
        <w:rPr>
          <w:rFonts w:ascii="黑体" w:hAnsi="黑体" w:cs="宋体"/>
          <w:b w:val="0"/>
          <w:sz w:val="28"/>
          <w:szCs w:val="28"/>
        </w:rPr>
      </w:pPr>
      <w:bookmarkStart w:id="20" w:name="_Toc35393633"/>
      <w:bookmarkStart w:id="21" w:name="_Toc28359016"/>
      <w:bookmarkStart w:id="22" w:name="_Toc35393802"/>
      <w:bookmarkStart w:id="23" w:name="_Toc28359093"/>
      <w:r>
        <w:rPr>
          <w:rFonts w:hint="eastAsia" w:ascii="黑体" w:hAnsi="黑体" w:cs="宋体"/>
          <w:b w:val="0"/>
          <w:sz w:val="28"/>
          <w:szCs w:val="28"/>
        </w:rPr>
        <w:t>五、开启</w:t>
      </w:r>
      <w:bookmarkEnd w:id="20"/>
      <w:bookmarkEnd w:id="21"/>
      <w:bookmarkEnd w:id="22"/>
      <w:bookmarkEnd w:id="23"/>
    </w:p>
    <w:p>
      <w:pPr>
        <w:snapToGrid w:val="0"/>
        <w:spacing w:line="500" w:lineRule="exact"/>
        <w:ind w:firstLine="560" w:firstLineChars="200"/>
        <w:rPr>
          <w:rFonts w:ascii="仿宋" w:hAnsi="仿宋" w:eastAsia="仿宋"/>
          <w:bCs/>
          <w:sz w:val="28"/>
          <w:szCs w:val="28"/>
        </w:rPr>
      </w:pPr>
      <w:bookmarkStart w:id="24" w:name="_Toc35393634"/>
      <w:bookmarkStart w:id="25" w:name="_Toc35393803"/>
      <w:bookmarkStart w:id="26" w:name="_Toc28359017"/>
      <w:bookmarkStart w:id="27" w:name="_Toc28359094"/>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01</w:t>
      </w:r>
      <w:bookmarkStart w:id="34" w:name="_GoBack"/>
      <w:bookmarkEnd w:id="34"/>
      <w:r>
        <w:rPr>
          <w:rFonts w:hint="eastAsia" w:ascii="仿宋" w:hAnsi="仿宋" w:eastAsia="仿宋"/>
          <w:bCs/>
          <w:sz w:val="28"/>
          <w:szCs w:val="28"/>
          <w:u w:val="single"/>
        </w:rPr>
        <w:t>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地点：黑龙江鼎鑫建筑工程管理咨询有限公司五楼会议室（黑龙江省大庆高新区外包园A</w:t>
      </w:r>
      <w:r>
        <w:rPr>
          <w:rFonts w:ascii="仿宋" w:hAnsi="仿宋" w:eastAsia="仿宋"/>
          <w:sz w:val="28"/>
          <w:szCs w:val="28"/>
        </w:rPr>
        <w:t>3</w:t>
      </w:r>
      <w:r>
        <w:rPr>
          <w:rFonts w:hint="eastAsia" w:ascii="仿宋" w:hAnsi="仿宋" w:eastAsia="仿宋"/>
          <w:sz w:val="28"/>
          <w:szCs w:val="28"/>
        </w:rPr>
        <w:t>楼2单元502室）。</w:t>
      </w:r>
    </w:p>
    <w:p>
      <w:pPr>
        <w:pStyle w:val="6"/>
        <w:snapToGrid w:val="0"/>
        <w:spacing w:before="0" w:after="0" w:line="500" w:lineRule="exact"/>
        <w:rPr>
          <w:rFonts w:ascii="黑体" w:hAnsi="黑体" w:cs="宋体"/>
          <w:b w:val="0"/>
          <w:sz w:val="28"/>
          <w:szCs w:val="28"/>
        </w:rPr>
      </w:pPr>
      <w:r>
        <w:rPr>
          <w:rFonts w:hint="eastAsia" w:ascii="黑体" w:hAnsi="黑体" w:cs="宋体"/>
          <w:b w:val="0"/>
          <w:sz w:val="28"/>
          <w:szCs w:val="28"/>
        </w:rPr>
        <w:t>六、公告期限</w:t>
      </w:r>
      <w:bookmarkEnd w:id="24"/>
      <w:bookmarkEnd w:id="25"/>
      <w:bookmarkEnd w:id="26"/>
      <w:bookmarkEnd w:id="27"/>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6"/>
        <w:snapToGrid w:val="0"/>
        <w:spacing w:before="0" w:after="0" w:line="500" w:lineRule="exact"/>
        <w:rPr>
          <w:rFonts w:ascii="黑体" w:hAnsi="黑体" w:cs="宋体"/>
          <w:b w:val="0"/>
          <w:sz w:val="28"/>
          <w:szCs w:val="28"/>
        </w:rPr>
      </w:pPr>
      <w:bookmarkStart w:id="28" w:name="_Toc35393635"/>
      <w:bookmarkStart w:id="29" w:name="_Toc35393804"/>
      <w:r>
        <w:rPr>
          <w:rFonts w:hint="eastAsia" w:ascii="黑体" w:hAnsi="黑体" w:cs="宋体"/>
          <w:b w:val="0"/>
          <w:sz w:val="28"/>
          <w:szCs w:val="28"/>
        </w:rPr>
        <w:t>七、其他补充事宜</w:t>
      </w:r>
      <w:bookmarkEnd w:id="28"/>
      <w:bookmarkEnd w:id="29"/>
    </w:p>
    <w:p>
      <w:pPr>
        <w:snapToGrid w:val="0"/>
        <w:spacing w:line="500" w:lineRule="exact"/>
        <w:ind w:firstLine="560" w:firstLineChars="200"/>
        <w:rPr>
          <w:rFonts w:ascii="仿宋" w:hAnsi="仿宋" w:eastAsia="仿宋"/>
          <w:sz w:val="28"/>
          <w:szCs w:val="28"/>
        </w:rPr>
      </w:pPr>
      <w:bookmarkStart w:id="30" w:name="_Toc28359018"/>
      <w:bookmarkStart w:id="31" w:name="_Toc35393636"/>
      <w:bookmarkStart w:id="32" w:name="_Toc28359095"/>
      <w:bookmarkStart w:id="33" w:name="_Toc35393805"/>
      <w:r>
        <w:rPr>
          <w:rFonts w:hint="eastAsia" w:ascii="仿宋" w:hAnsi="仿宋" w:eastAsia="仿宋"/>
          <w:sz w:val="28"/>
          <w:szCs w:val="28"/>
        </w:rPr>
        <w:t>（一）本项目招标代理服务费为一标段为2100元，二标段为5250元，由成交单位在成交通知书发放前以现金形式支付给采购代理机构（供应商报价时必须考虑并包括此部分费用），否则成交通知书不予发放，由于延迟领取成交通知书导致的后续事宜由成交单位自行负责。</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成交通知书发放后即视为采购代理机构工作任务结束，若因供应商自身原因提出弃标或采购人原因取消项目后续工作的或其他原因导致的项目取消的，招标代理费不予退还，供应商自行考虑此费用损失及风险，由此引起的责任由采购人及成交单位双方解决，与采购代理机构无关，凡参加投标的投标人即为同意此约定。</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（二）注意事项：</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本项目竞争性谈判文件发出后，如有变更（如：变更通知、有关问题答复、质疑答复等相关文件），将在中国政府采购网、东北石油大学网告知所有参与本项目竞争的供应商，供应商应主动自行查看。所有供应商均有义务定期登陆采购代理机构公布的网站获取相关信息，采购代理机构发布在上述网站的更正公告和变更文件视为已送达各供应商且已为各供应商知悉，请各供应商密切关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2、本项目不设报名环节，供应商应详细阅读本竞争性谈判公告，符合条件即可参与。</w:t>
      </w:r>
    </w:p>
    <w:p>
      <w:pPr>
        <w:snapToGrid w:val="0"/>
        <w:spacing w:line="500" w:lineRule="exact"/>
        <w:ind w:firstLine="560" w:firstLineChars="200"/>
        <w:rPr>
          <w:rFonts w:ascii="黑体" w:hAnsi="黑体" w:cs="宋体"/>
          <w:sz w:val="28"/>
          <w:szCs w:val="28"/>
        </w:rPr>
      </w:pPr>
      <w:r>
        <w:rPr>
          <w:rFonts w:hint="eastAsia" w:ascii="仿宋" w:hAnsi="仿宋" w:eastAsia="仿宋"/>
          <w:sz w:val="28"/>
          <w:szCs w:val="28"/>
        </w:rPr>
        <w:t>3、本项目非政府采购项目，特借助中国政府采购网发布信息。</w:t>
      </w:r>
      <w:r>
        <w:rPr>
          <w:rFonts w:hint="eastAsia" w:ascii="黑体" w:hAnsi="黑体" w:cs="宋体"/>
          <w:sz w:val="28"/>
          <w:szCs w:val="28"/>
        </w:rPr>
        <w:t>八、凡对本次采购提出询问，请按</w:t>
      </w:r>
      <w:r>
        <w:rPr>
          <w:rFonts w:ascii="黑体" w:hAnsi="黑体" w:cs="宋体"/>
          <w:sz w:val="28"/>
          <w:szCs w:val="28"/>
        </w:rPr>
        <w:t>以下方式</w:t>
      </w:r>
      <w:r>
        <w:rPr>
          <w:rFonts w:hint="eastAsia" w:ascii="黑体" w:hAnsi="黑体" w:cs="宋体"/>
          <w:sz w:val="28"/>
          <w:szCs w:val="28"/>
        </w:rPr>
        <w:t>联系。</w:t>
      </w:r>
      <w:bookmarkEnd w:id="30"/>
      <w:bookmarkEnd w:id="31"/>
      <w:bookmarkEnd w:id="32"/>
      <w:bookmarkEnd w:id="33"/>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1.采购人信息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名    称：东北石油大学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地    址：黑龙江省大庆市高新技术产业开发区学府街99号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联系方式：黄锦石</w:t>
      </w:r>
      <w:r>
        <w:rPr>
          <w:rFonts w:ascii="仿宋" w:hAnsi="仿宋" w:eastAsia="仿宋" w:cs="宋体"/>
          <w:kern w:val="0"/>
          <w:sz w:val="28"/>
          <w:szCs w:val="28"/>
        </w:rPr>
        <w:t>0459-650</w:t>
      </w:r>
      <w:r>
        <w:rPr>
          <w:rFonts w:hint="eastAsia" w:ascii="仿宋" w:hAnsi="仿宋" w:eastAsia="仿宋" w:cs="宋体"/>
          <w:kern w:val="0"/>
          <w:sz w:val="28"/>
          <w:szCs w:val="28"/>
        </w:rPr>
        <w:t xml:space="preserve">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2.采购代理机构信息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名    称：黑龙江鼎鑫建筑工程管理咨询有限公司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　　址：黑龙江省大庆市高新区外包园A3楼2单元502室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联系方式：侯玉坤 0459-8972049/8997026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3.项目联系方式</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采购人项目联系人：黄锦石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电　    话：0459-6504293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采购代理机构项目联系人：侯玉坤                                     </w:t>
      </w:r>
    </w:p>
    <w:p>
      <w:pPr>
        <w:snapToGrid w:val="0"/>
        <w:spacing w:line="500" w:lineRule="exact"/>
        <w:ind w:firstLine="560" w:firstLineChars="200"/>
      </w:pPr>
      <w:r>
        <w:rPr>
          <w:rFonts w:hint="eastAsia" w:ascii="仿宋" w:hAnsi="仿宋" w:eastAsia="仿宋" w:cs="宋体"/>
          <w:kern w:val="0"/>
          <w:sz w:val="28"/>
          <w:szCs w:val="28"/>
        </w:rPr>
        <w:t xml:space="preserve">电　 　 话：0459-8972049/8997026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1ZmMyMjE3OGZjYTA5NWJhMDdhZjA3OGM5MmExNjYifQ=="/>
  </w:docVars>
  <w:rsids>
    <w:rsidRoot w:val="009E13E7"/>
    <w:rsid w:val="00000588"/>
    <w:rsid w:val="00010BCE"/>
    <w:rsid w:val="00015420"/>
    <w:rsid w:val="000201DF"/>
    <w:rsid w:val="000210DF"/>
    <w:rsid w:val="000327CA"/>
    <w:rsid w:val="00033A34"/>
    <w:rsid w:val="0003401D"/>
    <w:rsid w:val="00040964"/>
    <w:rsid w:val="00040E32"/>
    <w:rsid w:val="00041DD9"/>
    <w:rsid w:val="00045C77"/>
    <w:rsid w:val="00054BC8"/>
    <w:rsid w:val="00055090"/>
    <w:rsid w:val="000560D2"/>
    <w:rsid w:val="00057D21"/>
    <w:rsid w:val="000613B8"/>
    <w:rsid w:val="000643A6"/>
    <w:rsid w:val="000643CE"/>
    <w:rsid w:val="00066880"/>
    <w:rsid w:val="00067D03"/>
    <w:rsid w:val="00070C9C"/>
    <w:rsid w:val="00071AD4"/>
    <w:rsid w:val="00072580"/>
    <w:rsid w:val="0007368E"/>
    <w:rsid w:val="00075277"/>
    <w:rsid w:val="00075DED"/>
    <w:rsid w:val="00076F1D"/>
    <w:rsid w:val="00085461"/>
    <w:rsid w:val="000859B6"/>
    <w:rsid w:val="0009267B"/>
    <w:rsid w:val="00092A1F"/>
    <w:rsid w:val="000A4151"/>
    <w:rsid w:val="000B29A0"/>
    <w:rsid w:val="000C1FD3"/>
    <w:rsid w:val="000C46A3"/>
    <w:rsid w:val="000C5CE4"/>
    <w:rsid w:val="000D0DFA"/>
    <w:rsid w:val="000E5BBB"/>
    <w:rsid w:val="000F37B8"/>
    <w:rsid w:val="000F615B"/>
    <w:rsid w:val="001228A2"/>
    <w:rsid w:val="00135895"/>
    <w:rsid w:val="00136365"/>
    <w:rsid w:val="001446A3"/>
    <w:rsid w:val="00146002"/>
    <w:rsid w:val="00147F63"/>
    <w:rsid w:val="0015019C"/>
    <w:rsid w:val="00156A3F"/>
    <w:rsid w:val="00156CF4"/>
    <w:rsid w:val="00162621"/>
    <w:rsid w:val="00172A21"/>
    <w:rsid w:val="00172D2D"/>
    <w:rsid w:val="001820EC"/>
    <w:rsid w:val="0018247B"/>
    <w:rsid w:val="00194AAF"/>
    <w:rsid w:val="0019716F"/>
    <w:rsid w:val="001A0E1B"/>
    <w:rsid w:val="001A2049"/>
    <w:rsid w:val="001A206D"/>
    <w:rsid w:val="001A22F3"/>
    <w:rsid w:val="001A3791"/>
    <w:rsid w:val="001A3ACA"/>
    <w:rsid w:val="001B0F29"/>
    <w:rsid w:val="001B2AD4"/>
    <w:rsid w:val="001B2DC0"/>
    <w:rsid w:val="001C40C1"/>
    <w:rsid w:val="001D289B"/>
    <w:rsid w:val="001D3AE0"/>
    <w:rsid w:val="001E0171"/>
    <w:rsid w:val="001E104F"/>
    <w:rsid w:val="001E26E6"/>
    <w:rsid w:val="002077A6"/>
    <w:rsid w:val="002146A9"/>
    <w:rsid w:val="002146FC"/>
    <w:rsid w:val="00224BA4"/>
    <w:rsid w:val="00224F15"/>
    <w:rsid w:val="0022737D"/>
    <w:rsid w:val="00230ABF"/>
    <w:rsid w:val="002333BE"/>
    <w:rsid w:val="002576FB"/>
    <w:rsid w:val="00276E03"/>
    <w:rsid w:val="00277DAA"/>
    <w:rsid w:val="00280EBC"/>
    <w:rsid w:val="0028427D"/>
    <w:rsid w:val="00286833"/>
    <w:rsid w:val="002A705D"/>
    <w:rsid w:val="002B58E4"/>
    <w:rsid w:val="002B7D3F"/>
    <w:rsid w:val="002C5EDF"/>
    <w:rsid w:val="002D09F7"/>
    <w:rsid w:val="002D0BA0"/>
    <w:rsid w:val="002D2001"/>
    <w:rsid w:val="002D60D5"/>
    <w:rsid w:val="002F1EBF"/>
    <w:rsid w:val="002F5C68"/>
    <w:rsid w:val="00300606"/>
    <w:rsid w:val="00300728"/>
    <w:rsid w:val="00302E77"/>
    <w:rsid w:val="003058D2"/>
    <w:rsid w:val="00307A43"/>
    <w:rsid w:val="003112B5"/>
    <w:rsid w:val="00321D0A"/>
    <w:rsid w:val="00326681"/>
    <w:rsid w:val="00331EB8"/>
    <w:rsid w:val="003345D2"/>
    <w:rsid w:val="00335BFA"/>
    <w:rsid w:val="00351DB5"/>
    <w:rsid w:val="00355396"/>
    <w:rsid w:val="00356A6E"/>
    <w:rsid w:val="00357E75"/>
    <w:rsid w:val="00360D56"/>
    <w:rsid w:val="00363DBF"/>
    <w:rsid w:val="00364E9C"/>
    <w:rsid w:val="00365729"/>
    <w:rsid w:val="00367E87"/>
    <w:rsid w:val="00370EC9"/>
    <w:rsid w:val="00386642"/>
    <w:rsid w:val="00391FF4"/>
    <w:rsid w:val="00392374"/>
    <w:rsid w:val="003A274C"/>
    <w:rsid w:val="003A3693"/>
    <w:rsid w:val="003A4E64"/>
    <w:rsid w:val="003A4F5B"/>
    <w:rsid w:val="003B0EBD"/>
    <w:rsid w:val="003B2711"/>
    <w:rsid w:val="003C1F4A"/>
    <w:rsid w:val="003C2CC5"/>
    <w:rsid w:val="003C5F62"/>
    <w:rsid w:val="003D0365"/>
    <w:rsid w:val="003D31EB"/>
    <w:rsid w:val="003D4CFB"/>
    <w:rsid w:val="003D7133"/>
    <w:rsid w:val="003E1848"/>
    <w:rsid w:val="003E1D82"/>
    <w:rsid w:val="003E74CF"/>
    <w:rsid w:val="003F1AB7"/>
    <w:rsid w:val="0040067E"/>
    <w:rsid w:val="00406295"/>
    <w:rsid w:val="0041153D"/>
    <w:rsid w:val="00412B7C"/>
    <w:rsid w:val="00412C89"/>
    <w:rsid w:val="00414090"/>
    <w:rsid w:val="004151C0"/>
    <w:rsid w:val="004156E4"/>
    <w:rsid w:val="00417E50"/>
    <w:rsid w:val="00421D94"/>
    <w:rsid w:val="00433B44"/>
    <w:rsid w:val="0044043D"/>
    <w:rsid w:val="004412BA"/>
    <w:rsid w:val="004422DD"/>
    <w:rsid w:val="004453FC"/>
    <w:rsid w:val="00452682"/>
    <w:rsid w:val="0045417D"/>
    <w:rsid w:val="004543F6"/>
    <w:rsid w:val="004630C0"/>
    <w:rsid w:val="00463AEF"/>
    <w:rsid w:val="004666A8"/>
    <w:rsid w:val="00470D8D"/>
    <w:rsid w:val="00471BC4"/>
    <w:rsid w:val="00473813"/>
    <w:rsid w:val="00475A83"/>
    <w:rsid w:val="0047678A"/>
    <w:rsid w:val="004868B4"/>
    <w:rsid w:val="00495DA6"/>
    <w:rsid w:val="004A1B4A"/>
    <w:rsid w:val="004A3519"/>
    <w:rsid w:val="004A5B6D"/>
    <w:rsid w:val="004A7447"/>
    <w:rsid w:val="004B2056"/>
    <w:rsid w:val="004B5CF6"/>
    <w:rsid w:val="004C149F"/>
    <w:rsid w:val="004C49B9"/>
    <w:rsid w:val="004D2A63"/>
    <w:rsid w:val="004F095D"/>
    <w:rsid w:val="004F5D14"/>
    <w:rsid w:val="00507CB5"/>
    <w:rsid w:val="00516F1D"/>
    <w:rsid w:val="00527109"/>
    <w:rsid w:val="00531EA0"/>
    <w:rsid w:val="00536A95"/>
    <w:rsid w:val="005412F8"/>
    <w:rsid w:val="0055119E"/>
    <w:rsid w:val="0056306C"/>
    <w:rsid w:val="005634BC"/>
    <w:rsid w:val="00572694"/>
    <w:rsid w:val="00573F60"/>
    <w:rsid w:val="005803FD"/>
    <w:rsid w:val="00583A10"/>
    <w:rsid w:val="00584966"/>
    <w:rsid w:val="00592914"/>
    <w:rsid w:val="00595B87"/>
    <w:rsid w:val="00597122"/>
    <w:rsid w:val="005A00EA"/>
    <w:rsid w:val="005B328F"/>
    <w:rsid w:val="005B608B"/>
    <w:rsid w:val="005B6EAA"/>
    <w:rsid w:val="005B7937"/>
    <w:rsid w:val="005C12E6"/>
    <w:rsid w:val="005D3DD1"/>
    <w:rsid w:val="005F00F9"/>
    <w:rsid w:val="005F3203"/>
    <w:rsid w:val="005F556B"/>
    <w:rsid w:val="005F5AA4"/>
    <w:rsid w:val="005F6AC7"/>
    <w:rsid w:val="006064F4"/>
    <w:rsid w:val="006113FB"/>
    <w:rsid w:val="00616B25"/>
    <w:rsid w:val="006234E0"/>
    <w:rsid w:val="00632972"/>
    <w:rsid w:val="006356BD"/>
    <w:rsid w:val="006362EE"/>
    <w:rsid w:val="0064053E"/>
    <w:rsid w:val="00642E7F"/>
    <w:rsid w:val="00650AD6"/>
    <w:rsid w:val="00653E03"/>
    <w:rsid w:val="00663833"/>
    <w:rsid w:val="00665641"/>
    <w:rsid w:val="00673256"/>
    <w:rsid w:val="006868B6"/>
    <w:rsid w:val="00686A35"/>
    <w:rsid w:val="0068717F"/>
    <w:rsid w:val="006916AB"/>
    <w:rsid w:val="0069275F"/>
    <w:rsid w:val="0069558D"/>
    <w:rsid w:val="006A005C"/>
    <w:rsid w:val="006A4E81"/>
    <w:rsid w:val="006B18BD"/>
    <w:rsid w:val="006B7B75"/>
    <w:rsid w:val="006C0330"/>
    <w:rsid w:val="006D216D"/>
    <w:rsid w:val="006E301A"/>
    <w:rsid w:val="006E3D30"/>
    <w:rsid w:val="006E4455"/>
    <w:rsid w:val="006E4DEB"/>
    <w:rsid w:val="006F19D7"/>
    <w:rsid w:val="006F31A4"/>
    <w:rsid w:val="006F690E"/>
    <w:rsid w:val="006F6980"/>
    <w:rsid w:val="00701131"/>
    <w:rsid w:val="007036A1"/>
    <w:rsid w:val="00704D9F"/>
    <w:rsid w:val="007153CC"/>
    <w:rsid w:val="00715551"/>
    <w:rsid w:val="00726DE7"/>
    <w:rsid w:val="0073391B"/>
    <w:rsid w:val="00733A29"/>
    <w:rsid w:val="00737BF5"/>
    <w:rsid w:val="00747459"/>
    <w:rsid w:val="00754BFD"/>
    <w:rsid w:val="00756167"/>
    <w:rsid w:val="007607EA"/>
    <w:rsid w:val="00760FF4"/>
    <w:rsid w:val="007630FA"/>
    <w:rsid w:val="007638C6"/>
    <w:rsid w:val="0076797C"/>
    <w:rsid w:val="00773610"/>
    <w:rsid w:val="00773BC3"/>
    <w:rsid w:val="00776749"/>
    <w:rsid w:val="007865F3"/>
    <w:rsid w:val="00787D5D"/>
    <w:rsid w:val="0079320B"/>
    <w:rsid w:val="00793DAC"/>
    <w:rsid w:val="007A1DFC"/>
    <w:rsid w:val="007D4567"/>
    <w:rsid w:val="007D5154"/>
    <w:rsid w:val="007D5C00"/>
    <w:rsid w:val="007E4BB8"/>
    <w:rsid w:val="007F0FD8"/>
    <w:rsid w:val="007F47CA"/>
    <w:rsid w:val="00801A22"/>
    <w:rsid w:val="00804495"/>
    <w:rsid w:val="00811FFF"/>
    <w:rsid w:val="00815F17"/>
    <w:rsid w:val="00820AED"/>
    <w:rsid w:val="00831F7E"/>
    <w:rsid w:val="00832402"/>
    <w:rsid w:val="008417D7"/>
    <w:rsid w:val="0085035C"/>
    <w:rsid w:val="00850576"/>
    <w:rsid w:val="0086443C"/>
    <w:rsid w:val="0086565B"/>
    <w:rsid w:val="00865823"/>
    <w:rsid w:val="00870844"/>
    <w:rsid w:val="0088008C"/>
    <w:rsid w:val="00886640"/>
    <w:rsid w:val="0089339D"/>
    <w:rsid w:val="008952BB"/>
    <w:rsid w:val="008A0248"/>
    <w:rsid w:val="008A0545"/>
    <w:rsid w:val="008A184A"/>
    <w:rsid w:val="008A6488"/>
    <w:rsid w:val="008A7098"/>
    <w:rsid w:val="008B2170"/>
    <w:rsid w:val="008B652B"/>
    <w:rsid w:val="008B7090"/>
    <w:rsid w:val="008B71CB"/>
    <w:rsid w:val="008C7A31"/>
    <w:rsid w:val="008D1E11"/>
    <w:rsid w:val="008D4A7F"/>
    <w:rsid w:val="008D7EE0"/>
    <w:rsid w:val="008E17A5"/>
    <w:rsid w:val="008E3B61"/>
    <w:rsid w:val="008F51FE"/>
    <w:rsid w:val="00907A0E"/>
    <w:rsid w:val="00911287"/>
    <w:rsid w:val="00911B6D"/>
    <w:rsid w:val="009170A7"/>
    <w:rsid w:val="009200B1"/>
    <w:rsid w:val="00922E5D"/>
    <w:rsid w:val="009232D9"/>
    <w:rsid w:val="00930BF3"/>
    <w:rsid w:val="00934754"/>
    <w:rsid w:val="00936235"/>
    <w:rsid w:val="00943895"/>
    <w:rsid w:val="00943D50"/>
    <w:rsid w:val="00951036"/>
    <w:rsid w:val="00952121"/>
    <w:rsid w:val="00960450"/>
    <w:rsid w:val="0097587F"/>
    <w:rsid w:val="0098102A"/>
    <w:rsid w:val="00984717"/>
    <w:rsid w:val="0098522E"/>
    <w:rsid w:val="00996A68"/>
    <w:rsid w:val="009A1B06"/>
    <w:rsid w:val="009B1223"/>
    <w:rsid w:val="009B26E1"/>
    <w:rsid w:val="009C1B39"/>
    <w:rsid w:val="009C440F"/>
    <w:rsid w:val="009C466C"/>
    <w:rsid w:val="009C5AA7"/>
    <w:rsid w:val="009C7D12"/>
    <w:rsid w:val="009D26B8"/>
    <w:rsid w:val="009D405C"/>
    <w:rsid w:val="009D4725"/>
    <w:rsid w:val="009E13E7"/>
    <w:rsid w:val="009E1AB5"/>
    <w:rsid w:val="009E32BE"/>
    <w:rsid w:val="009F21AF"/>
    <w:rsid w:val="009F70E6"/>
    <w:rsid w:val="009F7570"/>
    <w:rsid w:val="00A04340"/>
    <w:rsid w:val="00A04422"/>
    <w:rsid w:val="00A10752"/>
    <w:rsid w:val="00A11397"/>
    <w:rsid w:val="00A13A06"/>
    <w:rsid w:val="00A15346"/>
    <w:rsid w:val="00A154DC"/>
    <w:rsid w:val="00A17589"/>
    <w:rsid w:val="00A22943"/>
    <w:rsid w:val="00A25600"/>
    <w:rsid w:val="00A272E6"/>
    <w:rsid w:val="00A31DCD"/>
    <w:rsid w:val="00A364EA"/>
    <w:rsid w:val="00A44180"/>
    <w:rsid w:val="00A453C2"/>
    <w:rsid w:val="00A46455"/>
    <w:rsid w:val="00A52F45"/>
    <w:rsid w:val="00A56CDE"/>
    <w:rsid w:val="00A62FD5"/>
    <w:rsid w:val="00A67378"/>
    <w:rsid w:val="00A70305"/>
    <w:rsid w:val="00A709D8"/>
    <w:rsid w:val="00A834F1"/>
    <w:rsid w:val="00A8790A"/>
    <w:rsid w:val="00A90913"/>
    <w:rsid w:val="00AA6000"/>
    <w:rsid w:val="00AA7BF6"/>
    <w:rsid w:val="00AB1BEA"/>
    <w:rsid w:val="00AB3E0A"/>
    <w:rsid w:val="00AD6F1D"/>
    <w:rsid w:val="00AE34D7"/>
    <w:rsid w:val="00AE36B1"/>
    <w:rsid w:val="00AE67C6"/>
    <w:rsid w:val="00AF59E2"/>
    <w:rsid w:val="00AF65FE"/>
    <w:rsid w:val="00AF6664"/>
    <w:rsid w:val="00AF7D49"/>
    <w:rsid w:val="00B01797"/>
    <w:rsid w:val="00B17843"/>
    <w:rsid w:val="00B20C9F"/>
    <w:rsid w:val="00B22B8A"/>
    <w:rsid w:val="00B3772A"/>
    <w:rsid w:val="00B3777A"/>
    <w:rsid w:val="00B4317F"/>
    <w:rsid w:val="00B43F71"/>
    <w:rsid w:val="00B568A7"/>
    <w:rsid w:val="00B606CC"/>
    <w:rsid w:val="00B70719"/>
    <w:rsid w:val="00BA02D2"/>
    <w:rsid w:val="00BA0E7B"/>
    <w:rsid w:val="00BA19BB"/>
    <w:rsid w:val="00BB057A"/>
    <w:rsid w:val="00BB4D60"/>
    <w:rsid w:val="00BB672C"/>
    <w:rsid w:val="00BD0039"/>
    <w:rsid w:val="00BD3EA0"/>
    <w:rsid w:val="00BD4580"/>
    <w:rsid w:val="00BD6A88"/>
    <w:rsid w:val="00BE5003"/>
    <w:rsid w:val="00BE7336"/>
    <w:rsid w:val="00BE73BF"/>
    <w:rsid w:val="00BF2094"/>
    <w:rsid w:val="00BF2B44"/>
    <w:rsid w:val="00BF3370"/>
    <w:rsid w:val="00BF3C4D"/>
    <w:rsid w:val="00BF5D1A"/>
    <w:rsid w:val="00BF7920"/>
    <w:rsid w:val="00C04216"/>
    <w:rsid w:val="00C055F2"/>
    <w:rsid w:val="00C059CB"/>
    <w:rsid w:val="00C071B2"/>
    <w:rsid w:val="00C16B50"/>
    <w:rsid w:val="00C20566"/>
    <w:rsid w:val="00C27048"/>
    <w:rsid w:val="00C35DEE"/>
    <w:rsid w:val="00C4255A"/>
    <w:rsid w:val="00C4351F"/>
    <w:rsid w:val="00C43FA2"/>
    <w:rsid w:val="00C51070"/>
    <w:rsid w:val="00C53FA1"/>
    <w:rsid w:val="00C55122"/>
    <w:rsid w:val="00C652E4"/>
    <w:rsid w:val="00C67453"/>
    <w:rsid w:val="00C71369"/>
    <w:rsid w:val="00C747D7"/>
    <w:rsid w:val="00C76828"/>
    <w:rsid w:val="00C81BFB"/>
    <w:rsid w:val="00C907C0"/>
    <w:rsid w:val="00C935BB"/>
    <w:rsid w:val="00C952D4"/>
    <w:rsid w:val="00CA0A68"/>
    <w:rsid w:val="00CA6795"/>
    <w:rsid w:val="00CB1C24"/>
    <w:rsid w:val="00CB2342"/>
    <w:rsid w:val="00CB2F56"/>
    <w:rsid w:val="00CB5310"/>
    <w:rsid w:val="00CB5A30"/>
    <w:rsid w:val="00CB61DA"/>
    <w:rsid w:val="00CB7750"/>
    <w:rsid w:val="00CC71CE"/>
    <w:rsid w:val="00CD1009"/>
    <w:rsid w:val="00CD7783"/>
    <w:rsid w:val="00CE4C15"/>
    <w:rsid w:val="00CE4C4A"/>
    <w:rsid w:val="00CE5955"/>
    <w:rsid w:val="00CF13F0"/>
    <w:rsid w:val="00CF77F5"/>
    <w:rsid w:val="00D0525D"/>
    <w:rsid w:val="00D21439"/>
    <w:rsid w:val="00D238FF"/>
    <w:rsid w:val="00D24EE5"/>
    <w:rsid w:val="00D25CC3"/>
    <w:rsid w:val="00D2667B"/>
    <w:rsid w:val="00D313F8"/>
    <w:rsid w:val="00D31CBD"/>
    <w:rsid w:val="00D324F5"/>
    <w:rsid w:val="00D3766C"/>
    <w:rsid w:val="00D4143E"/>
    <w:rsid w:val="00D50FFC"/>
    <w:rsid w:val="00D61DE1"/>
    <w:rsid w:val="00D65B46"/>
    <w:rsid w:val="00D7021B"/>
    <w:rsid w:val="00D76B0D"/>
    <w:rsid w:val="00D814AE"/>
    <w:rsid w:val="00D841B7"/>
    <w:rsid w:val="00D8469D"/>
    <w:rsid w:val="00D87253"/>
    <w:rsid w:val="00D95F10"/>
    <w:rsid w:val="00DA2576"/>
    <w:rsid w:val="00DA66B9"/>
    <w:rsid w:val="00DB051C"/>
    <w:rsid w:val="00DC0AA5"/>
    <w:rsid w:val="00DC42B2"/>
    <w:rsid w:val="00DD18EA"/>
    <w:rsid w:val="00DD4A36"/>
    <w:rsid w:val="00DD755A"/>
    <w:rsid w:val="00DE5E2B"/>
    <w:rsid w:val="00DE68B9"/>
    <w:rsid w:val="00DE7E35"/>
    <w:rsid w:val="00DF7A45"/>
    <w:rsid w:val="00E21226"/>
    <w:rsid w:val="00E23B09"/>
    <w:rsid w:val="00E32332"/>
    <w:rsid w:val="00E32AC1"/>
    <w:rsid w:val="00E33F44"/>
    <w:rsid w:val="00E45849"/>
    <w:rsid w:val="00E50FF3"/>
    <w:rsid w:val="00E54534"/>
    <w:rsid w:val="00E57EBF"/>
    <w:rsid w:val="00E70B46"/>
    <w:rsid w:val="00E80C20"/>
    <w:rsid w:val="00E93037"/>
    <w:rsid w:val="00E95340"/>
    <w:rsid w:val="00EA41AE"/>
    <w:rsid w:val="00EA7C3F"/>
    <w:rsid w:val="00EB4A7C"/>
    <w:rsid w:val="00EC3B06"/>
    <w:rsid w:val="00EC3FF0"/>
    <w:rsid w:val="00EC413B"/>
    <w:rsid w:val="00EC687B"/>
    <w:rsid w:val="00EC6F56"/>
    <w:rsid w:val="00ED1A40"/>
    <w:rsid w:val="00EF087B"/>
    <w:rsid w:val="00EF3C99"/>
    <w:rsid w:val="00EF7B07"/>
    <w:rsid w:val="00F04831"/>
    <w:rsid w:val="00F0720B"/>
    <w:rsid w:val="00F20AB9"/>
    <w:rsid w:val="00F233BF"/>
    <w:rsid w:val="00F26A9F"/>
    <w:rsid w:val="00F27E63"/>
    <w:rsid w:val="00F32625"/>
    <w:rsid w:val="00F3555B"/>
    <w:rsid w:val="00F423F4"/>
    <w:rsid w:val="00F439DF"/>
    <w:rsid w:val="00F453F8"/>
    <w:rsid w:val="00F45D46"/>
    <w:rsid w:val="00F476A6"/>
    <w:rsid w:val="00F52477"/>
    <w:rsid w:val="00F56BBB"/>
    <w:rsid w:val="00F60D04"/>
    <w:rsid w:val="00F627BB"/>
    <w:rsid w:val="00F67DC2"/>
    <w:rsid w:val="00F77D0C"/>
    <w:rsid w:val="00F82CB6"/>
    <w:rsid w:val="00F8424F"/>
    <w:rsid w:val="00F9279D"/>
    <w:rsid w:val="00F9433E"/>
    <w:rsid w:val="00F95A72"/>
    <w:rsid w:val="00F96FD6"/>
    <w:rsid w:val="00F97473"/>
    <w:rsid w:val="00FA74BF"/>
    <w:rsid w:val="00FB0E0A"/>
    <w:rsid w:val="00FB3305"/>
    <w:rsid w:val="00FB364B"/>
    <w:rsid w:val="00FB6472"/>
    <w:rsid w:val="00FE79B9"/>
    <w:rsid w:val="00FF291B"/>
    <w:rsid w:val="00FF6B92"/>
    <w:rsid w:val="00FF70F3"/>
    <w:rsid w:val="02D84F09"/>
    <w:rsid w:val="055F3A9A"/>
    <w:rsid w:val="06862C41"/>
    <w:rsid w:val="06D43318"/>
    <w:rsid w:val="07122623"/>
    <w:rsid w:val="0747173D"/>
    <w:rsid w:val="074E27F4"/>
    <w:rsid w:val="079828E0"/>
    <w:rsid w:val="079E5EAF"/>
    <w:rsid w:val="08810F4F"/>
    <w:rsid w:val="08CF699F"/>
    <w:rsid w:val="0E064943"/>
    <w:rsid w:val="10413E40"/>
    <w:rsid w:val="106A7B44"/>
    <w:rsid w:val="116E1181"/>
    <w:rsid w:val="11A10785"/>
    <w:rsid w:val="126C6474"/>
    <w:rsid w:val="12ED7A0A"/>
    <w:rsid w:val="13C474F8"/>
    <w:rsid w:val="13EB2145"/>
    <w:rsid w:val="150B4859"/>
    <w:rsid w:val="155C0571"/>
    <w:rsid w:val="159A7E53"/>
    <w:rsid w:val="15E05194"/>
    <w:rsid w:val="161E635D"/>
    <w:rsid w:val="16427F73"/>
    <w:rsid w:val="16BF18E9"/>
    <w:rsid w:val="16F92313"/>
    <w:rsid w:val="18896A58"/>
    <w:rsid w:val="19001F9F"/>
    <w:rsid w:val="1BF32DDD"/>
    <w:rsid w:val="1C667F46"/>
    <w:rsid w:val="1D90592B"/>
    <w:rsid w:val="1D9122D2"/>
    <w:rsid w:val="1DE237E7"/>
    <w:rsid w:val="21015C31"/>
    <w:rsid w:val="2468212D"/>
    <w:rsid w:val="25434CF5"/>
    <w:rsid w:val="25E301E4"/>
    <w:rsid w:val="278C5DD6"/>
    <w:rsid w:val="282102ED"/>
    <w:rsid w:val="2BBC41BA"/>
    <w:rsid w:val="2D8B5809"/>
    <w:rsid w:val="34151693"/>
    <w:rsid w:val="355E771D"/>
    <w:rsid w:val="37084B00"/>
    <w:rsid w:val="3A3E114C"/>
    <w:rsid w:val="3A4C4807"/>
    <w:rsid w:val="3BF54FA1"/>
    <w:rsid w:val="3CC079D4"/>
    <w:rsid w:val="3DF336FA"/>
    <w:rsid w:val="3E6A6B1E"/>
    <w:rsid w:val="3FAB6079"/>
    <w:rsid w:val="3FB47393"/>
    <w:rsid w:val="3FBD13A4"/>
    <w:rsid w:val="420961D5"/>
    <w:rsid w:val="42D8191C"/>
    <w:rsid w:val="438B5AD0"/>
    <w:rsid w:val="46322974"/>
    <w:rsid w:val="465661E4"/>
    <w:rsid w:val="46A37C42"/>
    <w:rsid w:val="487A70E4"/>
    <w:rsid w:val="4A256B7D"/>
    <w:rsid w:val="4BFA077D"/>
    <w:rsid w:val="4D31519F"/>
    <w:rsid w:val="50A14508"/>
    <w:rsid w:val="52F21D3D"/>
    <w:rsid w:val="55C83EB0"/>
    <w:rsid w:val="57810AE8"/>
    <w:rsid w:val="579F7E18"/>
    <w:rsid w:val="58930D97"/>
    <w:rsid w:val="59340DFC"/>
    <w:rsid w:val="59FF59D7"/>
    <w:rsid w:val="5A3C29A8"/>
    <w:rsid w:val="5C84442F"/>
    <w:rsid w:val="5E064EE8"/>
    <w:rsid w:val="628040E9"/>
    <w:rsid w:val="64887B97"/>
    <w:rsid w:val="68753C15"/>
    <w:rsid w:val="68A21D28"/>
    <w:rsid w:val="6CBE65B0"/>
    <w:rsid w:val="6E682563"/>
    <w:rsid w:val="6EB070D2"/>
    <w:rsid w:val="70616799"/>
    <w:rsid w:val="741B4902"/>
    <w:rsid w:val="7B4651A4"/>
    <w:rsid w:val="7C1A1064"/>
    <w:rsid w:val="7CD15DF2"/>
    <w:rsid w:val="7EC2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qFormat/>
    <w:uiPriority w:val="0"/>
    <w:pPr>
      <w:spacing w:after="120" w:line="360" w:lineRule="auto"/>
      <w:ind w:firstLine="420"/>
    </w:pPr>
    <w:rPr>
      <w:b w:val="0"/>
      <w:sz w:val="24"/>
      <w:szCs w:val="22"/>
    </w:rPr>
  </w:style>
  <w:style w:type="paragraph" w:styleId="3">
    <w:name w:val="Body Text"/>
    <w:basedOn w:val="1"/>
    <w:next w:val="4"/>
    <w:qFormat/>
    <w:uiPriority w:val="0"/>
    <w:rPr>
      <w:b/>
      <w:sz w:val="32"/>
    </w:rPr>
  </w:style>
  <w:style w:type="paragraph" w:styleId="4">
    <w:name w:val="Body Text 2"/>
    <w:basedOn w:val="1"/>
    <w:qFormat/>
    <w:uiPriority w:val="0"/>
    <w:rPr>
      <w:rFonts w:ascii="宋体" w:hAnsi="宋体"/>
      <w:sz w:val="24"/>
    </w:rPr>
  </w:style>
  <w:style w:type="paragraph" w:styleId="7">
    <w:name w:val="annotation text"/>
    <w:basedOn w:val="1"/>
    <w:semiHidden/>
    <w:unhideWhenUsed/>
    <w:qFormat/>
    <w:uiPriority w:val="99"/>
    <w:pPr>
      <w:jc w:val="left"/>
    </w:pPr>
  </w:style>
  <w:style w:type="paragraph" w:styleId="8">
    <w:name w:val="Plain Text"/>
    <w:basedOn w:val="1"/>
    <w:link w:val="23"/>
    <w:qFormat/>
    <w:uiPriority w:val="0"/>
    <w:rPr>
      <w:rFonts w:ascii="宋体" w:hAnsi="Courier New" w:eastAsiaTheme="minorEastAsia" w:cstheme="minorBidi"/>
      <w:szCs w:val="22"/>
    </w:rPr>
  </w:style>
  <w:style w:type="paragraph" w:styleId="9">
    <w:name w:val="Date"/>
    <w:basedOn w:val="1"/>
    <w:next w:val="1"/>
    <w:qFormat/>
    <w:uiPriority w:val="0"/>
    <w:rPr>
      <w:kern w:val="0"/>
      <w:sz w:val="28"/>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szCs w:val="24"/>
    </w:r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2"/>
    <w:qFormat/>
    <w:uiPriority w:val="99"/>
    <w:rPr>
      <w:sz w:val="18"/>
      <w:szCs w:val="18"/>
    </w:rPr>
  </w:style>
  <w:style w:type="character" w:customStyle="1" w:styleId="20">
    <w:name w:val="页脚 Char"/>
    <w:basedOn w:val="15"/>
    <w:link w:val="11"/>
    <w:qFormat/>
    <w:uiPriority w:val="99"/>
    <w:rPr>
      <w:sz w:val="18"/>
      <w:szCs w:val="18"/>
    </w:rPr>
  </w:style>
  <w:style w:type="character" w:customStyle="1" w:styleId="21">
    <w:name w:val="标题 1 Char"/>
    <w:basedOn w:val="15"/>
    <w:link w:val="5"/>
    <w:qFormat/>
    <w:uiPriority w:val="9"/>
    <w:rPr>
      <w:rFonts w:ascii="Times New Roman" w:hAnsi="Times New Roman" w:eastAsia="宋体" w:cs="Times New Roman"/>
      <w:b/>
      <w:bCs/>
      <w:kern w:val="44"/>
      <w:sz w:val="44"/>
      <w:szCs w:val="44"/>
    </w:rPr>
  </w:style>
  <w:style w:type="character" w:customStyle="1" w:styleId="22">
    <w:name w:val="标题 2 Char"/>
    <w:basedOn w:val="15"/>
    <w:link w:val="6"/>
    <w:qFormat/>
    <w:uiPriority w:val="0"/>
    <w:rPr>
      <w:rFonts w:ascii="Arial" w:hAnsi="Arial" w:eastAsia="黑体" w:cs="Arial"/>
      <w:b/>
      <w:bCs/>
      <w:sz w:val="32"/>
      <w:szCs w:val="32"/>
    </w:rPr>
  </w:style>
  <w:style w:type="character" w:customStyle="1" w:styleId="23">
    <w:name w:val="纯文本 Char"/>
    <w:basedOn w:val="15"/>
    <w:link w:val="8"/>
    <w:qFormat/>
    <w:uiPriority w:val="0"/>
    <w:rPr>
      <w:rFonts w:ascii="宋体" w:hAnsi="Courier New"/>
    </w:rPr>
  </w:style>
  <w:style w:type="character" w:customStyle="1" w:styleId="24">
    <w:name w:val="正文首行缩进 Char"/>
    <w:link w:val="2"/>
    <w:qFormat/>
    <w:uiPriority w:val="0"/>
    <w:rPr>
      <w:kern w:val="2"/>
      <w:sz w:val="24"/>
      <w:szCs w:val="22"/>
    </w:rPr>
  </w:style>
  <w:style w:type="character" w:customStyle="1" w:styleId="25">
    <w:name w:val="批注框文本 Char"/>
    <w:basedOn w:val="15"/>
    <w:link w:val="10"/>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A7189-743E-4F84-B5DF-DEE47783857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2483</Words>
  <Characters>2834</Characters>
  <Lines>22</Lines>
  <Paragraphs>6</Paragraphs>
  <TotalTime>35</TotalTime>
  <ScaleCrop>false</ScaleCrop>
  <LinksUpToDate>false</LinksUpToDate>
  <CharactersWithSpaces>3040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2020-09-15T03:16:00Z</dcterms:created>
  <dc:creator>Windows 用户</dc:creator>
  <cp:lastModifiedBy>黑龙江鼎鑫建筑工程管理咨询有限公司</cp:lastModifiedBy>
  <dcterms:modified xsi:type="dcterms:W3CDTF">2022-06-24T01:09:34Z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56A55735D49D4B0CBE1671F3642A8C6A</vt:lpwstr>
  </property>
</Properties>
</file>