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line="360" w:lineRule="auto"/>
        <w:rPr>
          <w:rFonts w:ascii="宋体"/>
        </w:rPr>
      </w:pPr>
    </w:p>
    <w:p>
      <w:pPr>
        <w:spacing w:before="120" w:line="360" w:lineRule="auto"/>
        <w:jc w:val="center"/>
        <w:rPr>
          <w:rFonts w:ascii="宋体"/>
        </w:rPr>
      </w:pPr>
    </w:p>
    <w:p>
      <w:pPr>
        <w:spacing w:before="120" w:line="360" w:lineRule="auto"/>
        <w:jc w:val="center"/>
        <w:rPr>
          <w:rFonts w:ascii="宋体"/>
        </w:rPr>
      </w:pPr>
    </w:p>
    <w:p>
      <w:pPr>
        <w:spacing w:before="120" w:line="360" w:lineRule="auto"/>
        <w:jc w:val="center"/>
        <w:rPr>
          <w:rFonts w:ascii="宋体"/>
          <w:b/>
          <w:sz w:val="72"/>
          <w:szCs w:val="72"/>
        </w:rPr>
      </w:pPr>
      <w:r>
        <w:rPr>
          <w:rFonts w:hint="eastAsia" w:ascii="宋体" w:hAnsi="宋体"/>
          <w:b/>
          <w:sz w:val="72"/>
          <w:szCs w:val="72"/>
        </w:rPr>
        <w:t>竞争性磋商文件</w:t>
      </w:r>
    </w:p>
    <w:p>
      <w:pPr>
        <w:spacing w:before="120" w:line="360" w:lineRule="auto"/>
        <w:jc w:val="center"/>
        <w:rPr>
          <w:rFonts w:ascii="宋体"/>
          <w:b/>
          <w:sz w:val="32"/>
          <w:szCs w:val="32"/>
        </w:rPr>
      </w:pPr>
    </w:p>
    <w:p>
      <w:pPr>
        <w:pStyle w:val="25"/>
        <w:tabs>
          <w:tab w:val="left" w:pos="5640"/>
        </w:tabs>
        <w:snapToGrid w:val="0"/>
        <w:spacing w:line="360" w:lineRule="auto"/>
        <w:ind w:left="907" w:leftChars="432"/>
        <w:rPr>
          <w:rFonts w:hAnsi="宋体"/>
          <w:b/>
          <w:bCs/>
          <w:sz w:val="36"/>
          <w:szCs w:val="36"/>
        </w:rPr>
      </w:pPr>
    </w:p>
    <w:p>
      <w:pPr>
        <w:pStyle w:val="25"/>
        <w:tabs>
          <w:tab w:val="left" w:pos="5640"/>
        </w:tabs>
        <w:snapToGrid w:val="0"/>
        <w:spacing w:line="360" w:lineRule="auto"/>
        <w:ind w:left="2189" w:leftChars="354" w:hanging="1446" w:hangingChars="400"/>
        <w:rPr>
          <w:rFonts w:hAnsi="宋体"/>
          <w:b/>
          <w:sz w:val="28"/>
          <w:szCs w:val="36"/>
          <w:u w:val="single"/>
        </w:rPr>
      </w:pPr>
      <w:r>
        <w:rPr>
          <w:rFonts w:hint="eastAsia" w:hAnsi="宋体"/>
          <w:b/>
          <w:bCs/>
          <w:sz w:val="36"/>
          <w:szCs w:val="36"/>
        </w:rPr>
        <w:t>项目名称：</w:t>
      </w:r>
      <w:r>
        <w:rPr>
          <w:rFonts w:hint="eastAsia" w:hAnsi="宋体" w:cs="Courier New"/>
          <w:b/>
          <w:bCs/>
          <w:color w:val="000000"/>
          <w:w w:val="95"/>
          <w:kern w:val="0"/>
          <w:sz w:val="30"/>
          <w:szCs w:val="30"/>
        </w:rPr>
        <w:t>交通（铁路）智能化综合服务平台建设项目</w:t>
      </w:r>
      <w:r>
        <w:rPr>
          <w:rFonts w:hint="eastAsia" w:hAnsi="宋体"/>
          <w:b/>
          <w:bCs/>
          <w:sz w:val="36"/>
          <w:szCs w:val="36"/>
        </w:rPr>
        <w:t xml:space="preserve"> </w:t>
      </w:r>
    </w:p>
    <w:p>
      <w:pPr>
        <w:pStyle w:val="25"/>
        <w:snapToGrid w:val="0"/>
        <w:spacing w:line="360" w:lineRule="auto"/>
        <w:ind w:left="2189" w:leftChars="354" w:hanging="1446" w:hangingChars="400"/>
        <w:rPr>
          <w:rFonts w:hAnsi="宋体" w:cs="Courier New"/>
          <w:b/>
          <w:bCs/>
          <w:color w:val="000000"/>
          <w:w w:val="95"/>
          <w:kern w:val="0"/>
          <w:sz w:val="30"/>
          <w:szCs w:val="30"/>
        </w:rPr>
      </w:pPr>
      <w:r>
        <w:rPr>
          <w:rFonts w:hint="eastAsia" w:hAnsi="宋体"/>
          <w:b/>
          <w:bCs/>
          <w:sz w:val="36"/>
          <w:szCs w:val="36"/>
        </w:rPr>
        <w:t>项目编号：</w:t>
      </w:r>
      <w:r>
        <w:rPr>
          <w:rFonts w:hint="eastAsia" w:hAnsi="宋体" w:cs="Courier New"/>
          <w:b/>
          <w:bCs/>
          <w:color w:val="000000"/>
          <w:w w:val="95"/>
          <w:kern w:val="0"/>
          <w:sz w:val="30"/>
          <w:szCs w:val="30"/>
        </w:rPr>
        <w:t>GXHH（Z）2022005C3</w:t>
      </w:r>
    </w:p>
    <w:p>
      <w:pPr>
        <w:spacing w:before="120" w:line="360" w:lineRule="auto"/>
        <w:rPr>
          <w:rFonts w:ascii="宋体"/>
          <w:b/>
          <w:sz w:val="28"/>
          <w:szCs w:val="28"/>
        </w:rPr>
      </w:pPr>
    </w:p>
    <w:p>
      <w:pPr>
        <w:spacing w:before="120" w:line="360" w:lineRule="auto"/>
        <w:rPr>
          <w:rFonts w:ascii="宋体"/>
          <w:b/>
          <w:sz w:val="36"/>
          <w:szCs w:val="36"/>
          <w:u w:val="single"/>
        </w:rPr>
      </w:pPr>
    </w:p>
    <w:p>
      <w:pPr>
        <w:spacing w:before="120" w:line="360" w:lineRule="auto"/>
        <w:rPr>
          <w:rFonts w:ascii="宋体"/>
          <w:b/>
          <w:sz w:val="36"/>
          <w:szCs w:val="36"/>
          <w:u w:val="single"/>
        </w:rPr>
      </w:pPr>
    </w:p>
    <w:p>
      <w:pPr>
        <w:spacing w:before="120" w:line="360" w:lineRule="auto"/>
        <w:rPr>
          <w:rFonts w:ascii="宋体"/>
          <w:b/>
          <w:sz w:val="36"/>
          <w:szCs w:val="36"/>
          <w:u w:val="single"/>
        </w:rPr>
      </w:pPr>
    </w:p>
    <w:p>
      <w:pPr>
        <w:spacing w:before="120" w:line="360" w:lineRule="auto"/>
        <w:rPr>
          <w:rFonts w:ascii="宋体"/>
          <w:b/>
          <w:sz w:val="36"/>
          <w:szCs w:val="36"/>
          <w:u w:val="single"/>
        </w:rPr>
      </w:pPr>
    </w:p>
    <w:p>
      <w:pPr>
        <w:spacing w:before="120" w:line="360" w:lineRule="auto"/>
        <w:rPr>
          <w:rFonts w:ascii="宋体"/>
        </w:rPr>
      </w:pPr>
    </w:p>
    <w:p>
      <w:pPr>
        <w:spacing w:before="120" w:line="360" w:lineRule="auto"/>
        <w:rPr>
          <w:rFonts w:ascii="宋体"/>
        </w:rPr>
      </w:pPr>
    </w:p>
    <w:p>
      <w:pPr>
        <w:pStyle w:val="25"/>
        <w:snapToGrid w:val="0"/>
        <w:spacing w:line="360" w:lineRule="auto"/>
        <w:ind w:firstLine="1870" w:firstLineChars="700"/>
        <w:jc w:val="left"/>
        <w:rPr>
          <w:rFonts w:hint="eastAsia" w:hAnsi="宋体" w:eastAsia="宋体"/>
          <w:b/>
          <w:sz w:val="28"/>
          <w:szCs w:val="36"/>
          <w:u w:val="single"/>
          <w:lang w:eastAsia="zh-CN"/>
        </w:rPr>
      </w:pPr>
      <w:r>
        <w:rPr>
          <w:rFonts w:hint="eastAsia" w:hAnsi="宋体"/>
          <w:b/>
          <w:bCs/>
          <w:w w:val="95"/>
          <w:sz w:val="28"/>
          <w:szCs w:val="36"/>
        </w:rPr>
        <w:t>采购单位：</w:t>
      </w:r>
      <w:bookmarkStart w:id="91" w:name="_GoBack"/>
      <w:bookmarkEnd w:id="91"/>
      <w:r>
        <w:rPr>
          <w:rFonts w:hint="eastAsia" w:hAnsi="宋体"/>
          <w:b/>
          <w:bCs/>
          <w:sz w:val="28"/>
          <w:szCs w:val="36"/>
          <w:u w:val="single"/>
          <w:lang w:eastAsia="zh-CN"/>
        </w:rPr>
        <w:t>广西壮族自治区防雷中心</w:t>
      </w:r>
    </w:p>
    <w:p>
      <w:pPr>
        <w:pStyle w:val="25"/>
        <w:snapToGrid w:val="0"/>
        <w:spacing w:line="360" w:lineRule="auto"/>
        <w:ind w:firstLine="1870" w:firstLineChars="700"/>
        <w:jc w:val="left"/>
        <w:rPr>
          <w:rFonts w:hAnsi="宋体"/>
          <w:b/>
          <w:sz w:val="28"/>
          <w:szCs w:val="36"/>
          <w:u w:val="single"/>
        </w:rPr>
      </w:pPr>
      <w:r>
        <w:rPr>
          <w:rFonts w:hint="eastAsia" w:hAnsi="宋体"/>
          <w:b/>
          <w:bCs/>
          <w:w w:val="95"/>
          <w:sz w:val="28"/>
          <w:szCs w:val="36"/>
        </w:rPr>
        <w:t>代理机构：</w:t>
      </w:r>
      <w:r>
        <w:rPr>
          <w:rFonts w:hint="eastAsia" w:hAnsi="宋体"/>
          <w:b/>
          <w:bCs/>
          <w:sz w:val="28"/>
          <w:szCs w:val="36"/>
          <w:u w:val="single"/>
        </w:rPr>
        <w:t>广西海恒项目管理有限公司</w:t>
      </w:r>
    </w:p>
    <w:p>
      <w:pPr>
        <w:pStyle w:val="25"/>
        <w:spacing w:before="120" w:line="360" w:lineRule="auto"/>
        <w:jc w:val="center"/>
        <w:rPr>
          <w:rFonts w:hAnsi="宋体"/>
          <w:b/>
          <w:bCs/>
          <w:w w:val="95"/>
          <w:sz w:val="28"/>
          <w:szCs w:val="36"/>
        </w:rPr>
        <w:sectPr>
          <w:footerReference r:id="rId3" w:type="default"/>
          <w:footerReference r:id="rId4" w:type="even"/>
          <w:pgSz w:w="11906" w:h="16838"/>
          <w:pgMar w:top="1418" w:right="1418" w:bottom="1418" w:left="1418" w:header="851" w:footer="992" w:gutter="0"/>
          <w:pgNumType w:fmt="upperRoman" w:start="1"/>
          <w:cols w:space="720" w:num="1"/>
          <w:titlePg/>
          <w:docGrid w:type="lines" w:linePitch="312" w:charSpace="0"/>
        </w:sectPr>
      </w:pPr>
      <w:r>
        <w:rPr>
          <w:rFonts w:hAnsi="宋体"/>
          <w:b/>
          <w:sz w:val="28"/>
          <w:szCs w:val="36"/>
          <w:u w:val="single"/>
        </w:rPr>
        <w:t xml:space="preserve"> 2022</w:t>
      </w:r>
      <w:r>
        <w:rPr>
          <w:rFonts w:hint="eastAsia" w:hAnsi="宋体"/>
          <w:b/>
          <w:bCs/>
          <w:w w:val="95"/>
          <w:sz w:val="28"/>
          <w:szCs w:val="36"/>
        </w:rPr>
        <w:t>年</w:t>
      </w:r>
      <w:r>
        <w:rPr>
          <w:rFonts w:hint="eastAsia" w:hAnsi="宋体"/>
          <w:b/>
          <w:sz w:val="28"/>
          <w:szCs w:val="36"/>
          <w:u w:val="single"/>
        </w:rPr>
        <w:t xml:space="preserve"> </w:t>
      </w:r>
      <w:r>
        <w:rPr>
          <w:rFonts w:hint="eastAsia" w:hAnsi="宋体"/>
          <w:b/>
          <w:sz w:val="28"/>
          <w:szCs w:val="36"/>
          <w:u w:val="single"/>
          <w:lang w:val="en-US" w:eastAsia="zh-CN"/>
        </w:rPr>
        <w:t>6</w:t>
      </w:r>
      <w:r>
        <w:rPr>
          <w:rFonts w:hint="eastAsia" w:hAnsi="宋体"/>
          <w:b/>
          <w:sz w:val="28"/>
          <w:szCs w:val="36"/>
          <w:u w:val="single"/>
        </w:rPr>
        <w:t xml:space="preserve"> </w:t>
      </w:r>
      <w:r>
        <w:rPr>
          <w:rFonts w:hint="eastAsia" w:hAnsi="宋体"/>
          <w:b/>
          <w:bCs/>
          <w:w w:val="95"/>
          <w:sz w:val="28"/>
          <w:szCs w:val="36"/>
        </w:rPr>
        <w:t>月</w:t>
      </w:r>
    </w:p>
    <w:p>
      <w:pPr>
        <w:pStyle w:val="25"/>
        <w:spacing w:before="120" w:line="360" w:lineRule="auto"/>
        <w:jc w:val="center"/>
        <w:rPr>
          <w:rFonts w:hAnsi="宋体"/>
          <w:b/>
          <w:bCs/>
          <w:sz w:val="36"/>
          <w:szCs w:val="36"/>
        </w:rPr>
      </w:pPr>
      <w:r>
        <w:rPr>
          <w:rFonts w:hint="eastAsia" w:hAnsi="宋体"/>
          <w:b/>
          <w:bCs/>
          <w:sz w:val="36"/>
          <w:szCs w:val="36"/>
        </w:rPr>
        <w:t>目录</w:t>
      </w:r>
    </w:p>
    <w:p/>
    <w:p>
      <w:pPr>
        <w:pStyle w:val="32"/>
        <w:tabs>
          <w:tab w:val="right" w:leader="dot" w:pos="9060"/>
        </w:tabs>
        <w:spacing w:before="120" w:line="360" w:lineRule="auto"/>
        <w:rPr>
          <w:rFonts w:ascii="宋体"/>
          <w:sz w:val="32"/>
          <w:szCs w:val="32"/>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fldChar w:fldCharType="begin"/>
      </w:r>
      <w:r>
        <w:instrText xml:space="preserve"> HYPERLINK \l "_Toc501090495" </w:instrText>
      </w:r>
      <w:r>
        <w:fldChar w:fldCharType="separate"/>
      </w:r>
      <w:r>
        <w:rPr>
          <w:rStyle w:val="56"/>
          <w:rFonts w:hint="eastAsia" w:ascii="宋体" w:hAnsi="宋体"/>
          <w:b/>
          <w:color w:val="auto"/>
          <w:sz w:val="32"/>
          <w:szCs w:val="32"/>
        </w:rPr>
        <w:t>第一章竞争性磋商公告</w:t>
      </w:r>
      <w:r>
        <w:rPr>
          <w:rFonts w:ascii="宋体"/>
          <w:sz w:val="32"/>
          <w:szCs w:val="32"/>
        </w:rPr>
        <w:tab/>
      </w:r>
      <w:r>
        <w:rPr>
          <w:rFonts w:ascii="宋体" w:hAnsi="宋体"/>
          <w:sz w:val="32"/>
          <w:szCs w:val="32"/>
        </w:rPr>
        <w:fldChar w:fldCharType="begin"/>
      </w:r>
      <w:r>
        <w:rPr>
          <w:rFonts w:ascii="宋体" w:hAnsi="宋体"/>
          <w:sz w:val="32"/>
          <w:szCs w:val="32"/>
        </w:rPr>
        <w:instrText xml:space="preserve"> PAGEREF _Toc501090495 \h </w:instrText>
      </w:r>
      <w:r>
        <w:rPr>
          <w:rFonts w:ascii="宋体" w:hAnsi="宋体"/>
          <w:sz w:val="32"/>
          <w:szCs w:val="32"/>
        </w:rPr>
        <w:fldChar w:fldCharType="separate"/>
      </w:r>
      <w:r>
        <w:rPr>
          <w:rFonts w:ascii="宋体" w:hAnsi="宋体"/>
          <w:sz w:val="32"/>
          <w:szCs w:val="32"/>
        </w:rPr>
        <w:t>1</w:t>
      </w:r>
      <w:r>
        <w:rPr>
          <w:rFonts w:ascii="宋体" w:hAnsi="宋体"/>
          <w:sz w:val="32"/>
          <w:szCs w:val="32"/>
        </w:rPr>
        <w:fldChar w:fldCharType="end"/>
      </w:r>
      <w:r>
        <w:rPr>
          <w:rFonts w:ascii="宋体" w:hAnsi="宋体"/>
          <w:sz w:val="32"/>
          <w:szCs w:val="32"/>
        </w:rPr>
        <w:fldChar w:fldCharType="end"/>
      </w:r>
    </w:p>
    <w:p>
      <w:pPr>
        <w:pStyle w:val="32"/>
        <w:tabs>
          <w:tab w:val="right" w:leader="dot" w:pos="9060"/>
        </w:tabs>
        <w:spacing w:before="120" w:line="360" w:lineRule="auto"/>
        <w:rPr>
          <w:rFonts w:ascii="宋体"/>
          <w:sz w:val="32"/>
          <w:szCs w:val="32"/>
        </w:rPr>
      </w:pPr>
      <w:r>
        <w:fldChar w:fldCharType="begin"/>
      </w:r>
      <w:r>
        <w:instrText xml:space="preserve"> HYPERLINK \l "_Toc501090496" </w:instrText>
      </w:r>
      <w:r>
        <w:fldChar w:fldCharType="separate"/>
      </w:r>
      <w:r>
        <w:rPr>
          <w:rStyle w:val="56"/>
          <w:rFonts w:hint="eastAsia" w:ascii="宋体" w:hAnsi="宋体"/>
          <w:b/>
          <w:color w:val="auto"/>
          <w:sz w:val="32"/>
          <w:szCs w:val="32"/>
        </w:rPr>
        <w:t>第二章竞标人须知及前附表</w:t>
      </w:r>
      <w:r>
        <w:rPr>
          <w:rFonts w:ascii="宋体"/>
          <w:sz w:val="32"/>
          <w:szCs w:val="32"/>
        </w:rPr>
        <w:tab/>
      </w:r>
      <w:r>
        <w:rPr>
          <w:rFonts w:hint="eastAsia" w:ascii="宋体" w:hAnsi="宋体"/>
          <w:sz w:val="32"/>
          <w:szCs w:val="32"/>
        </w:rPr>
        <w:t>6</w:t>
      </w:r>
      <w:r>
        <w:rPr>
          <w:rFonts w:hint="eastAsia" w:ascii="宋体" w:hAnsi="宋体"/>
          <w:sz w:val="32"/>
          <w:szCs w:val="32"/>
        </w:rPr>
        <w:fldChar w:fldCharType="end"/>
      </w:r>
    </w:p>
    <w:p>
      <w:pPr>
        <w:pStyle w:val="32"/>
        <w:tabs>
          <w:tab w:val="right" w:leader="dot" w:pos="9060"/>
        </w:tabs>
        <w:spacing w:before="120" w:line="360" w:lineRule="auto"/>
        <w:rPr>
          <w:rStyle w:val="56"/>
          <w:rFonts w:ascii="宋体"/>
          <w:b/>
          <w:color w:val="auto"/>
          <w:sz w:val="32"/>
          <w:szCs w:val="32"/>
        </w:rPr>
      </w:pPr>
      <w:r>
        <w:fldChar w:fldCharType="begin"/>
      </w:r>
      <w:r>
        <w:instrText xml:space="preserve"> HYPERLINK \l "_Toc501090510" </w:instrText>
      </w:r>
      <w:r>
        <w:fldChar w:fldCharType="separate"/>
      </w:r>
      <w:r>
        <w:rPr>
          <w:rStyle w:val="56"/>
          <w:rFonts w:hint="eastAsia" w:ascii="宋体" w:hAnsi="宋体"/>
          <w:b/>
          <w:color w:val="auto"/>
          <w:sz w:val="32"/>
          <w:szCs w:val="32"/>
        </w:rPr>
        <w:t>第三章项目采购需求</w:t>
      </w:r>
      <w:r>
        <w:rPr>
          <w:rStyle w:val="56"/>
          <w:rFonts w:ascii="宋体"/>
          <w:b/>
          <w:color w:val="auto"/>
          <w:sz w:val="32"/>
          <w:szCs w:val="32"/>
        </w:rPr>
        <w:tab/>
      </w:r>
      <w:r>
        <w:rPr>
          <w:rStyle w:val="56"/>
          <w:rFonts w:ascii="宋体" w:hAnsi="宋体"/>
          <w:color w:val="auto"/>
          <w:sz w:val="32"/>
          <w:szCs w:val="32"/>
        </w:rPr>
        <w:fldChar w:fldCharType="begin"/>
      </w:r>
      <w:r>
        <w:rPr>
          <w:rStyle w:val="56"/>
          <w:rFonts w:ascii="宋体" w:hAnsi="宋体"/>
          <w:color w:val="auto"/>
          <w:sz w:val="32"/>
          <w:szCs w:val="32"/>
        </w:rPr>
        <w:instrText xml:space="preserve"> PAGEREF _Toc501090510 \h </w:instrText>
      </w:r>
      <w:r>
        <w:rPr>
          <w:rStyle w:val="56"/>
          <w:rFonts w:ascii="宋体" w:hAnsi="宋体"/>
          <w:color w:val="auto"/>
          <w:sz w:val="32"/>
          <w:szCs w:val="32"/>
        </w:rPr>
        <w:fldChar w:fldCharType="separate"/>
      </w:r>
      <w:r>
        <w:rPr>
          <w:rStyle w:val="56"/>
          <w:rFonts w:ascii="宋体" w:hAnsi="宋体"/>
          <w:color w:val="auto"/>
          <w:sz w:val="32"/>
          <w:szCs w:val="32"/>
        </w:rPr>
        <w:t>1</w:t>
      </w:r>
      <w:r>
        <w:rPr>
          <w:rStyle w:val="56"/>
          <w:rFonts w:hint="eastAsia" w:ascii="宋体" w:hAnsi="宋体"/>
          <w:color w:val="auto"/>
          <w:sz w:val="32"/>
          <w:szCs w:val="32"/>
        </w:rPr>
        <w:t>8</w:t>
      </w:r>
      <w:r>
        <w:rPr>
          <w:rStyle w:val="56"/>
          <w:rFonts w:ascii="宋体" w:hAnsi="宋体"/>
          <w:color w:val="auto"/>
          <w:sz w:val="32"/>
          <w:szCs w:val="32"/>
        </w:rPr>
        <w:fldChar w:fldCharType="end"/>
      </w:r>
      <w:r>
        <w:rPr>
          <w:rStyle w:val="56"/>
          <w:rFonts w:ascii="宋体" w:hAnsi="宋体"/>
          <w:color w:val="auto"/>
          <w:sz w:val="32"/>
          <w:szCs w:val="32"/>
        </w:rPr>
        <w:fldChar w:fldCharType="end"/>
      </w:r>
    </w:p>
    <w:p>
      <w:pPr>
        <w:pStyle w:val="32"/>
        <w:tabs>
          <w:tab w:val="right" w:leader="dot" w:pos="9060"/>
        </w:tabs>
        <w:spacing w:before="120" w:line="360" w:lineRule="auto"/>
        <w:rPr>
          <w:rFonts w:ascii="宋体"/>
          <w:sz w:val="32"/>
          <w:szCs w:val="32"/>
        </w:rPr>
      </w:pPr>
      <w:r>
        <w:fldChar w:fldCharType="begin"/>
      </w:r>
      <w:r>
        <w:instrText xml:space="preserve"> HYPERLINK \l "_Toc501090511" </w:instrText>
      </w:r>
      <w:r>
        <w:fldChar w:fldCharType="separate"/>
      </w:r>
      <w:r>
        <w:rPr>
          <w:rStyle w:val="56"/>
          <w:rFonts w:hint="eastAsia" w:ascii="宋体" w:hAnsi="宋体"/>
          <w:b/>
          <w:color w:val="auto"/>
          <w:sz w:val="32"/>
          <w:szCs w:val="32"/>
        </w:rPr>
        <w:t>第四章响应文件（格式）</w:t>
      </w:r>
      <w:r>
        <w:rPr>
          <w:rFonts w:ascii="宋体"/>
          <w:sz w:val="32"/>
          <w:szCs w:val="32"/>
        </w:rPr>
        <w:tab/>
      </w:r>
      <w:r>
        <w:rPr>
          <w:rFonts w:hint="eastAsia" w:ascii="宋体" w:hAnsi="宋体"/>
          <w:sz w:val="32"/>
          <w:szCs w:val="32"/>
        </w:rPr>
        <w:t>36</w:t>
      </w:r>
      <w:r>
        <w:rPr>
          <w:rFonts w:hint="eastAsia" w:ascii="宋体" w:hAnsi="宋体"/>
          <w:sz w:val="32"/>
          <w:szCs w:val="32"/>
        </w:rPr>
        <w:fldChar w:fldCharType="end"/>
      </w:r>
    </w:p>
    <w:p>
      <w:pPr>
        <w:pStyle w:val="32"/>
        <w:tabs>
          <w:tab w:val="right" w:leader="dot" w:pos="9060"/>
        </w:tabs>
        <w:spacing w:before="120" w:line="360" w:lineRule="auto"/>
        <w:rPr>
          <w:rFonts w:ascii="宋体"/>
          <w:sz w:val="32"/>
          <w:szCs w:val="32"/>
        </w:rPr>
      </w:pPr>
      <w:r>
        <w:fldChar w:fldCharType="begin"/>
      </w:r>
      <w:r>
        <w:instrText xml:space="preserve"> HYPERLINK \l "_Toc501090522" </w:instrText>
      </w:r>
      <w:r>
        <w:fldChar w:fldCharType="separate"/>
      </w:r>
      <w:r>
        <w:rPr>
          <w:rStyle w:val="56"/>
          <w:rFonts w:hint="eastAsia" w:ascii="宋体" w:hAnsi="宋体"/>
          <w:b/>
          <w:color w:val="auto"/>
          <w:sz w:val="32"/>
          <w:szCs w:val="32"/>
        </w:rPr>
        <w:t>第五章合同主要条款及格式</w:t>
      </w:r>
      <w:r>
        <w:rPr>
          <w:rFonts w:ascii="宋体"/>
          <w:sz w:val="32"/>
          <w:szCs w:val="32"/>
        </w:rPr>
        <w:tab/>
      </w:r>
      <w:r>
        <w:rPr>
          <w:rFonts w:ascii="宋体" w:hAnsi="宋体"/>
          <w:sz w:val="32"/>
          <w:szCs w:val="32"/>
        </w:rPr>
        <w:fldChar w:fldCharType="begin"/>
      </w:r>
      <w:r>
        <w:rPr>
          <w:rFonts w:ascii="宋体" w:hAnsi="宋体"/>
          <w:sz w:val="32"/>
          <w:szCs w:val="32"/>
        </w:rPr>
        <w:instrText xml:space="preserve"> PAGEREF _Toc501090522 \h </w:instrText>
      </w:r>
      <w:r>
        <w:rPr>
          <w:rFonts w:ascii="宋体" w:hAnsi="宋体"/>
          <w:sz w:val="32"/>
          <w:szCs w:val="32"/>
        </w:rPr>
        <w:fldChar w:fldCharType="separate"/>
      </w:r>
      <w:r>
        <w:rPr>
          <w:rFonts w:ascii="宋体" w:hAnsi="宋体"/>
          <w:sz w:val="32"/>
          <w:szCs w:val="32"/>
        </w:rPr>
        <w:t>4</w:t>
      </w:r>
      <w:r>
        <w:rPr>
          <w:rFonts w:hint="eastAsia" w:ascii="宋体" w:hAnsi="宋体"/>
          <w:sz w:val="32"/>
          <w:szCs w:val="32"/>
        </w:rPr>
        <w:t>2</w:t>
      </w:r>
      <w:r>
        <w:rPr>
          <w:rFonts w:ascii="宋体" w:hAnsi="宋体"/>
          <w:sz w:val="32"/>
          <w:szCs w:val="32"/>
        </w:rPr>
        <w:fldChar w:fldCharType="end"/>
      </w:r>
      <w:r>
        <w:rPr>
          <w:rFonts w:ascii="宋体" w:hAnsi="宋体"/>
          <w:sz w:val="32"/>
          <w:szCs w:val="32"/>
        </w:rPr>
        <w:fldChar w:fldCharType="end"/>
      </w:r>
    </w:p>
    <w:p>
      <w:pPr>
        <w:pStyle w:val="32"/>
        <w:tabs>
          <w:tab w:val="right" w:leader="dot" w:pos="9060"/>
        </w:tabs>
        <w:spacing w:before="120" w:line="360" w:lineRule="auto"/>
        <w:rPr>
          <w:rFonts w:ascii="宋体"/>
          <w:sz w:val="32"/>
          <w:szCs w:val="32"/>
        </w:rPr>
      </w:pPr>
      <w:r>
        <w:fldChar w:fldCharType="begin"/>
      </w:r>
      <w:r>
        <w:instrText xml:space="preserve"> HYPERLINK \l "_Toc501090523" </w:instrText>
      </w:r>
      <w:r>
        <w:fldChar w:fldCharType="separate"/>
      </w:r>
      <w:r>
        <w:rPr>
          <w:rStyle w:val="56"/>
          <w:rFonts w:hint="eastAsia" w:ascii="宋体" w:hAnsi="宋体"/>
          <w:b/>
          <w:color w:val="auto"/>
          <w:sz w:val="32"/>
          <w:szCs w:val="32"/>
        </w:rPr>
        <w:t>第六章评分标准</w:t>
      </w:r>
      <w:r>
        <w:rPr>
          <w:rFonts w:ascii="宋体"/>
          <w:sz w:val="32"/>
          <w:szCs w:val="32"/>
        </w:rPr>
        <w:tab/>
      </w:r>
      <w:r>
        <w:rPr>
          <w:rFonts w:hint="eastAsia" w:ascii="宋体" w:hAnsi="宋体"/>
          <w:sz w:val="32"/>
          <w:szCs w:val="32"/>
        </w:rPr>
        <w:t>51</w:t>
      </w:r>
      <w:r>
        <w:rPr>
          <w:rFonts w:hint="eastAsia" w:ascii="宋体" w:hAnsi="宋体"/>
          <w:sz w:val="32"/>
          <w:szCs w:val="32"/>
        </w:rPr>
        <w:fldChar w:fldCharType="end"/>
      </w:r>
    </w:p>
    <w:p>
      <w:pPr>
        <w:spacing w:before="120" w:line="360" w:lineRule="auto"/>
      </w:pPr>
      <w:r>
        <w:rPr>
          <w:rFonts w:ascii="宋体" w:hAnsi="宋体"/>
          <w:sz w:val="32"/>
          <w:szCs w:val="32"/>
        </w:rPr>
        <w:fldChar w:fldCharType="end"/>
      </w:r>
    </w:p>
    <w:p>
      <w:pPr>
        <w:pStyle w:val="25"/>
        <w:spacing w:before="120" w:line="360" w:lineRule="auto"/>
        <w:rPr>
          <w:rFonts w:hAnsi="宋体"/>
          <w:b/>
          <w:bCs/>
          <w:sz w:val="32"/>
          <w:szCs w:val="32"/>
        </w:rPr>
        <w:sectPr>
          <w:footerReference r:id="rId5" w:type="first"/>
          <w:pgSz w:w="11906" w:h="16838"/>
          <w:pgMar w:top="1418" w:right="1418" w:bottom="1418" w:left="1418" w:header="851" w:footer="992" w:gutter="0"/>
          <w:pgNumType w:fmt="upperRoman" w:start="1"/>
          <w:cols w:space="720" w:num="1"/>
          <w:titlePg/>
          <w:docGrid w:type="lines" w:linePitch="312" w:charSpace="0"/>
        </w:sectPr>
      </w:pPr>
    </w:p>
    <w:p>
      <w:pPr>
        <w:jc w:val="center"/>
        <w:outlineLvl w:val="0"/>
        <w:rPr>
          <w:b/>
          <w:bCs/>
          <w:sz w:val="36"/>
          <w:szCs w:val="36"/>
        </w:rPr>
      </w:pPr>
      <w:bookmarkStart w:id="0" w:name="_Toc501090495"/>
      <w:r>
        <w:rPr>
          <w:rFonts w:hint="eastAsia"/>
          <w:b/>
          <w:sz w:val="36"/>
          <w:szCs w:val="36"/>
        </w:rPr>
        <w:t>第一章 竞争性磋商公告</w:t>
      </w:r>
      <w:bookmarkEnd w:id="0"/>
    </w:p>
    <w:p>
      <w:pPr>
        <w:widowControl/>
        <w:spacing w:line="276" w:lineRule="auto"/>
        <w:ind w:firstLine="480" w:firstLineChars="200"/>
        <w:jc w:val="left"/>
        <w:rPr>
          <w:rFonts w:ascii="宋体" w:hAnsi="宋体" w:cs="宋体"/>
          <w:sz w:val="24"/>
        </w:rPr>
      </w:pPr>
    </w:p>
    <w:p>
      <w:pPr>
        <w:rPr>
          <w:rFonts w:ascii="宋体" w:hAnsi="宋体"/>
          <w:szCs w:val="21"/>
        </w:rPr>
      </w:pPr>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宋体" w:hAnsi="宋体"/>
          <w:sz w:val="24"/>
        </w:rPr>
      </w:pPr>
      <w:r>
        <w:rPr>
          <w:rFonts w:hint="eastAsia" w:ascii="宋体" w:hAnsi="宋体"/>
          <w:sz w:val="24"/>
        </w:rPr>
        <w:t>项目概况</w:t>
      </w:r>
    </w:p>
    <w:p>
      <w:pPr>
        <w:pBdr>
          <w:top w:val="single" w:color="auto" w:sz="4" w:space="1"/>
          <w:left w:val="single" w:color="auto" w:sz="4" w:space="4"/>
          <w:bottom w:val="single" w:color="auto" w:sz="4" w:space="1"/>
          <w:right w:val="single" w:color="auto" w:sz="4" w:space="4"/>
        </w:pBdr>
        <w:spacing w:line="360" w:lineRule="exact"/>
        <w:ind w:firstLine="424" w:firstLineChars="177"/>
        <w:rPr>
          <w:rFonts w:ascii="宋体" w:hAnsi="宋体"/>
          <w:sz w:val="24"/>
        </w:rPr>
      </w:pPr>
      <w:r>
        <w:rPr>
          <w:rFonts w:hint="eastAsia" w:ascii="宋体" w:hAnsi="宋体"/>
          <w:sz w:val="24"/>
          <w:u w:val="single"/>
        </w:rPr>
        <w:t>交通（铁路）智能化综合服务平台建设项目</w:t>
      </w:r>
      <w:r>
        <w:rPr>
          <w:rFonts w:hint="eastAsia" w:ascii="宋体" w:hAnsi="宋体"/>
          <w:sz w:val="24"/>
        </w:rPr>
        <w:t>的潜在供应商应在</w:t>
      </w:r>
      <w:r>
        <w:rPr>
          <w:rFonts w:hint="eastAsia" w:ascii="宋体" w:hAnsi="宋体"/>
          <w:sz w:val="24"/>
          <w:u w:val="single"/>
        </w:rPr>
        <w:t>广西海恒项目管理有限公司（南宁市青秀区竹溪大道荣恒名都A座508室）</w:t>
      </w:r>
      <w:r>
        <w:rPr>
          <w:rFonts w:hint="eastAsia" w:ascii="宋体" w:hAnsi="宋体"/>
          <w:sz w:val="24"/>
        </w:rPr>
        <w:t>获取采购文件，并于</w:t>
      </w:r>
      <w:r>
        <w:rPr>
          <w:rFonts w:ascii="宋体" w:hAnsi="宋体"/>
          <w:sz w:val="24"/>
          <w:u w:val="single"/>
        </w:rPr>
        <w:t xml:space="preserve"> 2022 </w:t>
      </w:r>
      <w:r>
        <w:rPr>
          <w:rFonts w:hint="eastAsia" w:ascii="宋体" w:hAnsi="宋体"/>
          <w:bCs/>
          <w:sz w:val="24"/>
          <w:u w:val="single"/>
        </w:rPr>
        <w:t>年</w:t>
      </w:r>
      <w:r>
        <w:rPr>
          <w:rFonts w:hint="eastAsia" w:ascii="宋体" w:hAnsi="宋体"/>
          <w:bCs/>
          <w:sz w:val="24"/>
          <w:u w:val="single"/>
          <w:lang w:val="en-US" w:eastAsia="zh-CN"/>
        </w:rPr>
        <w:t>6</w:t>
      </w:r>
      <w:r>
        <w:rPr>
          <w:rFonts w:hint="eastAsia" w:ascii="宋体" w:hAnsi="宋体"/>
          <w:bCs/>
          <w:sz w:val="24"/>
          <w:u w:val="single"/>
        </w:rPr>
        <w:t>月</w:t>
      </w:r>
      <w:r>
        <w:rPr>
          <w:rFonts w:hint="eastAsia" w:ascii="宋体" w:hAnsi="宋体"/>
          <w:bCs/>
          <w:sz w:val="24"/>
          <w:u w:val="single"/>
          <w:lang w:val="en-US" w:eastAsia="zh-CN"/>
        </w:rPr>
        <w:t>27</w:t>
      </w:r>
      <w:r>
        <w:rPr>
          <w:rFonts w:hint="eastAsia" w:ascii="宋体" w:hAnsi="宋体"/>
          <w:bCs/>
          <w:sz w:val="24"/>
          <w:u w:val="single"/>
        </w:rPr>
        <w:t>日</w:t>
      </w:r>
      <w:r>
        <w:rPr>
          <w:rFonts w:hint="eastAsia" w:ascii="宋体" w:hAnsi="宋体"/>
          <w:bCs/>
          <w:sz w:val="24"/>
          <w:u w:val="single"/>
          <w:lang w:val="en-US" w:eastAsia="zh-CN"/>
        </w:rPr>
        <w:t>15</w:t>
      </w:r>
      <w:r>
        <w:rPr>
          <w:rFonts w:hint="eastAsia" w:ascii="宋体" w:hAnsi="宋体"/>
          <w:bCs/>
          <w:sz w:val="24"/>
          <w:u w:val="single"/>
        </w:rPr>
        <w:t>时</w:t>
      </w:r>
      <w:r>
        <w:rPr>
          <w:rFonts w:hint="eastAsia" w:ascii="宋体" w:hAnsi="宋体"/>
          <w:bCs/>
          <w:sz w:val="24"/>
          <w:u w:val="single"/>
          <w:lang w:val="en-US" w:eastAsia="zh-CN"/>
        </w:rPr>
        <w:t>0</w:t>
      </w:r>
      <w:r>
        <w:rPr>
          <w:rFonts w:hint="eastAsia" w:ascii="宋体" w:hAnsi="宋体"/>
          <w:bCs/>
          <w:sz w:val="24"/>
          <w:u w:val="single"/>
        </w:rPr>
        <w:t>0分</w:t>
      </w:r>
      <w:r>
        <w:rPr>
          <w:rFonts w:hint="eastAsia" w:ascii="宋体" w:hAnsi="宋体"/>
          <w:bCs/>
          <w:sz w:val="24"/>
        </w:rPr>
        <w:t>（北京时间）前提交响应</w:t>
      </w:r>
      <w:r>
        <w:rPr>
          <w:rFonts w:ascii="宋体" w:hAnsi="宋体"/>
          <w:bCs/>
          <w:sz w:val="24"/>
        </w:rPr>
        <w:t>文件</w:t>
      </w:r>
      <w:r>
        <w:rPr>
          <w:rFonts w:hint="eastAsia" w:ascii="宋体" w:hAnsi="宋体"/>
          <w:sz w:val="24"/>
        </w:rPr>
        <w:t>。</w:t>
      </w:r>
    </w:p>
    <w:p>
      <w:pPr>
        <w:widowControl/>
        <w:spacing w:line="360" w:lineRule="exact"/>
        <w:ind w:firstLine="480" w:firstLineChars="200"/>
        <w:jc w:val="left"/>
        <w:rPr>
          <w:rFonts w:ascii="宋体" w:hAnsi="宋体" w:cs="宋体"/>
          <w:b/>
          <w:sz w:val="24"/>
          <w:u w:val="single"/>
        </w:rPr>
      </w:pPr>
    </w:p>
    <w:p>
      <w:pPr>
        <w:spacing w:line="360" w:lineRule="exact"/>
        <w:rPr>
          <w:rFonts w:ascii="宋体" w:hAnsi="宋体" w:cs="宋体"/>
          <w:b/>
          <w:sz w:val="24"/>
        </w:rPr>
      </w:pPr>
      <w:r>
        <w:rPr>
          <w:rFonts w:hint="eastAsia" w:ascii="宋体" w:hAnsi="宋体" w:cs="宋体"/>
          <w:b/>
          <w:sz w:val="24"/>
        </w:rPr>
        <w:t>一、项目基本情况</w:t>
      </w:r>
    </w:p>
    <w:p>
      <w:pPr>
        <w:spacing w:line="360" w:lineRule="exact"/>
        <w:ind w:firstLine="480"/>
        <w:rPr>
          <w:rFonts w:ascii="宋体" w:hAnsi="宋体" w:cs="宋体"/>
          <w:sz w:val="24"/>
        </w:rPr>
      </w:pPr>
      <w:r>
        <w:rPr>
          <w:rFonts w:hint="eastAsia" w:ascii="宋体" w:hAnsi="宋体" w:cs="宋体"/>
          <w:sz w:val="24"/>
        </w:rPr>
        <w:t>1.项目编号： GXHH（Z）2022005C3</w:t>
      </w:r>
    </w:p>
    <w:p>
      <w:pPr>
        <w:spacing w:line="360" w:lineRule="exact"/>
        <w:ind w:firstLine="480"/>
        <w:rPr>
          <w:rFonts w:ascii="宋体" w:hAnsi="宋体" w:cs="宋体"/>
          <w:sz w:val="24"/>
        </w:rPr>
      </w:pPr>
      <w:r>
        <w:rPr>
          <w:rFonts w:hint="eastAsia" w:ascii="宋体" w:hAnsi="宋体" w:cs="宋体"/>
          <w:sz w:val="24"/>
        </w:rPr>
        <w:t xml:space="preserve">2.项目名称：交通（铁路）智能化综合服务平台建设项目 </w:t>
      </w:r>
    </w:p>
    <w:p>
      <w:pPr>
        <w:spacing w:line="360" w:lineRule="exact"/>
        <w:ind w:firstLine="480"/>
        <w:rPr>
          <w:rFonts w:ascii="宋体" w:hAnsi="宋体" w:cs="宋体"/>
          <w:sz w:val="24"/>
        </w:rPr>
      </w:pPr>
      <w:r>
        <w:rPr>
          <w:rFonts w:hint="eastAsia" w:ascii="宋体" w:hAnsi="宋体" w:cs="宋体"/>
          <w:sz w:val="24"/>
        </w:rPr>
        <w:t>3.采购方式：□竞争性谈判 ■竞争性磋商 □询价</w:t>
      </w:r>
    </w:p>
    <w:p>
      <w:pPr>
        <w:spacing w:line="360" w:lineRule="exact"/>
        <w:ind w:firstLine="480"/>
        <w:rPr>
          <w:rFonts w:ascii="宋体" w:hAnsi="宋体" w:cs="宋体"/>
          <w:sz w:val="24"/>
        </w:rPr>
      </w:pPr>
      <w:r>
        <w:rPr>
          <w:rFonts w:hint="eastAsia" w:ascii="宋体" w:hAnsi="宋体" w:cs="宋体"/>
          <w:sz w:val="24"/>
        </w:rPr>
        <w:t>4.预算金额：143.3万元</w:t>
      </w:r>
    </w:p>
    <w:p>
      <w:pPr>
        <w:spacing w:line="360" w:lineRule="exact"/>
        <w:ind w:firstLine="480"/>
        <w:rPr>
          <w:rFonts w:ascii="宋体" w:hAnsi="宋体"/>
          <w:color w:val="000000"/>
          <w:szCs w:val="21"/>
        </w:rPr>
      </w:pPr>
      <w:r>
        <w:rPr>
          <w:rFonts w:hint="eastAsia" w:ascii="宋体" w:hAnsi="宋体" w:cs="宋体"/>
          <w:sz w:val="24"/>
        </w:rPr>
        <w:t>5.采购需求：</w:t>
      </w:r>
    </w:p>
    <w:tbl>
      <w:tblPr>
        <w:tblStyle w:val="46"/>
        <w:tblW w:w="97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127"/>
        <w:gridCol w:w="764"/>
        <w:gridCol w:w="645"/>
        <w:gridCol w:w="5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hint="eastAsia" w:ascii="宋体" w:hAnsi="宋体"/>
                <w:color w:val="000000"/>
                <w:sz w:val="24"/>
              </w:rPr>
              <w:t>序号</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hint="eastAsia" w:ascii="宋体" w:hAnsi="宋体"/>
                <w:color w:val="000000"/>
                <w:sz w:val="24"/>
              </w:rPr>
              <w:t>标的的名称</w:t>
            </w:r>
          </w:p>
        </w:tc>
        <w:tc>
          <w:tcPr>
            <w:tcW w:w="7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 w:leftChars="-1" w:firstLine="36" w:firstLineChars="15"/>
              <w:jc w:val="center"/>
              <w:rPr>
                <w:rFonts w:ascii="宋体" w:hAnsi="宋体"/>
                <w:color w:val="000000"/>
                <w:sz w:val="24"/>
              </w:rPr>
            </w:pPr>
            <w:r>
              <w:rPr>
                <w:rFonts w:hint="eastAsia" w:ascii="宋体" w:hAnsi="宋体"/>
                <w:color w:val="000000"/>
                <w:sz w:val="24"/>
              </w:rPr>
              <w:t>数量</w:t>
            </w:r>
          </w:p>
        </w:tc>
        <w:tc>
          <w:tcPr>
            <w:tcW w:w="6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hint="eastAsia" w:ascii="宋体" w:hAnsi="宋体"/>
                <w:color w:val="000000"/>
                <w:sz w:val="24"/>
              </w:rPr>
              <w:t>单位</w:t>
            </w:r>
          </w:p>
        </w:tc>
        <w:tc>
          <w:tcPr>
            <w:tcW w:w="55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hint="eastAsia" w:ascii="宋体" w:hAnsi="宋体"/>
                <w:color w:val="000000"/>
                <w:sz w:val="24"/>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rPr>
            </w:pPr>
            <w:r>
              <w:rPr>
                <w:rFonts w:hint="eastAsia" w:ascii="宋体" w:hAnsi="宋体" w:cs="宋体"/>
                <w:color w:val="000000"/>
                <w:sz w:val="24"/>
              </w:rPr>
              <w:t>01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rPr>
            </w:pPr>
            <w:r>
              <w:rPr>
                <w:rFonts w:hint="eastAsia" w:ascii="宋体" w:hAnsi="宋体" w:cs="宋体"/>
                <w:color w:val="000000"/>
                <w:sz w:val="24"/>
              </w:rPr>
              <w:t>交通（铁路）智能化综合服务平台建设项目</w:t>
            </w:r>
          </w:p>
        </w:tc>
        <w:tc>
          <w:tcPr>
            <w:tcW w:w="7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rPr>
            </w:pPr>
            <w:r>
              <w:rPr>
                <w:rFonts w:hint="eastAsia" w:ascii="宋体" w:hAnsi="宋体" w:cs="宋体"/>
                <w:color w:val="000000"/>
                <w:sz w:val="24"/>
              </w:rPr>
              <w:t>1</w:t>
            </w:r>
          </w:p>
        </w:tc>
        <w:tc>
          <w:tcPr>
            <w:tcW w:w="6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rPr>
            </w:pPr>
            <w:r>
              <w:rPr>
                <w:rFonts w:hint="eastAsia" w:ascii="宋体" w:hAnsi="宋体" w:cs="宋体"/>
                <w:color w:val="000000"/>
                <w:sz w:val="24"/>
              </w:rPr>
              <w:t>项</w:t>
            </w:r>
          </w:p>
        </w:tc>
        <w:tc>
          <w:tcPr>
            <w:tcW w:w="5535"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20" w:lineRule="exact"/>
              <w:rPr>
                <w:rFonts w:ascii="宋体" w:hAnsi="宋体" w:cs="宋体"/>
                <w:kern w:val="0"/>
                <w:sz w:val="24"/>
                <w:lang w:bidi="ar"/>
              </w:rPr>
            </w:pPr>
            <w:r>
              <w:rPr>
                <w:rFonts w:hint="eastAsia" w:ascii="宋体" w:hAnsi="宋体" w:cs="宋体"/>
                <w:kern w:val="0"/>
                <w:sz w:val="24"/>
                <w:lang w:bidi="ar"/>
              </w:rPr>
              <w:t xml:space="preserve">项目建设需求 </w:t>
            </w:r>
          </w:p>
          <w:p>
            <w:pPr>
              <w:spacing w:before="120" w:after="120" w:line="320" w:lineRule="exact"/>
              <w:ind w:firstLine="480" w:firstLineChars="200"/>
              <w:rPr>
                <w:rFonts w:ascii="宋体" w:hAnsi="宋体" w:cs="宋体"/>
                <w:sz w:val="24"/>
              </w:rPr>
            </w:pPr>
            <w:r>
              <w:rPr>
                <w:rFonts w:hint="eastAsia" w:cs="宋体"/>
                <w:sz w:val="24"/>
              </w:rPr>
              <w:t>“交通（铁路）智能化综合服务平台建设项目”是面向铁路行业用户气象保障需求，基于行业用户数据、雷达、卫星、气象站点或格点实况与数值预报模式等数据，开展行业数据融合应用，研发铁路沿线风险评估和影响预报产品，构建智能化和智慧化的铁路气象综合服务平台，为铁路部门用户提供高效、及时的专业气象预报预警服务，为其应对突发灾害性天气影响提供决策依据，有效提升铁路防灾减灾的气象服务保障水平和能力。</w:t>
            </w:r>
          </w:p>
          <w:p>
            <w:pPr>
              <w:widowControl/>
              <w:numPr>
                <w:ilvl w:val="0"/>
                <w:numId w:val="3"/>
              </w:numPr>
              <w:spacing w:line="320" w:lineRule="exact"/>
              <w:rPr>
                <w:rFonts w:ascii="宋体" w:hAnsi="宋体" w:cs="宋体"/>
                <w:kern w:val="0"/>
                <w:sz w:val="24"/>
                <w:lang w:bidi="ar"/>
              </w:rPr>
            </w:pPr>
            <w:r>
              <w:rPr>
                <w:rFonts w:hint="eastAsia" w:ascii="宋体" w:hAnsi="宋体" w:cs="宋体"/>
                <w:kern w:val="0"/>
                <w:sz w:val="24"/>
                <w:lang w:bidi="ar"/>
              </w:rPr>
              <w:t xml:space="preserve">成果交付要求 </w:t>
            </w:r>
          </w:p>
          <w:p>
            <w:pPr>
              <w:numPr>
                <w:ilvl w:val="0"/>
                <w:numId w:val="4"/>
              </w:numPr>
              <w:spacing w:line="320" w:lineRule="exact"/>
              <w:jc w:val="left"/>
              <w:rPr>
                <w:rFonts w:ascii="宋体" w:hAnsi="宋体" w:cs="宋体"/>
                <w:sz w:val="24"/>
              </w:rPr>
            </w:pPr>
            <w:r>
              <w:rPr>
                <w:rFonts w:hint="eastAsia" w:ascii="宋体" w:hAnsi="宋体" w:cs="宋体"/>
                <w:sz w:val="24"/>
              </w:rPr>
              <w:t>建设铁路智能化综合服务平台，平台包含以下子平台：</w:t>
            </w:r>
          </w:p>
          <w:p>
            <w:pPr>
              <w:spacing w:line="320" w:lineRule="exact"/>
              <w:jc w:val="left"/>
              <w:rPr>
                <w:rFonts w:ascii="宋体" w:hAnsi="宋体" w:cs="宋体"/>
                <w:sz w:val="24"/>
              </w:rPr>
            </w:pPr>
            <w:r>
              <w:rPr>
                <w:rFonts w:hint="eastAsia" w:ascii="宋体" w:hAnsi="宋体" w:cs="宋体"/>
                <w:sz w:val="24"/>
              </w:rPr>
              <w:t>（1）建设铁路行业气象数据共享子平台，实现行业与气象数据的共享应用。</w:t>
            </w:r>
          </w:p>
          <w:p>
            <w:pPr>
              <w:spacing w:line="320" w:lineRule="exact"/>
              <w:jc w:val="left"/>
              <w:rPr>
                <w:rFonts w:ascii="宋体" w:hAnsi="宋体" w:cs="宋体"/>
                <w:sz w:val="24"/>
              </w:rPr>
            </w:pPr>
            <w:r>
              <w:rPr>
                <w:rFonts w:hint="eastAsia" w:ascii="宋体" w:hAnsi="宋体" w:cs="宋体"/>
                <w:sz w:val="24"/>
              </w:rPr>
              <w:t>（2）建设精细化的铁路路段轨温、山洪地质灾害等专业化产品应用子平台。</w:t>
            </w:r>
          </w:p>
          <w:p>
            <w:pPr>
              <w:spacing w:line="320" w:lineRule="exact"/>
              <w:jc w:val="left"/>
              <w:rPr>
                <w:rFonts w:ascii="宋体" w:hAnsi="宋体" w:cs="宋体"/>
                <w:sz w:val="24"/>
              </w:rPr>
            </w:pPr>
            <w:r>
              <w:rPr>
                <w:rFonts w:hint="eastAsia" w:ascii="宋体" w:hAnsi="宋体" w:cs="宋体"/>
                <w:sz w:val="24"/>
              </w:rPr>
              <w:t>（3）建设铁路智能化综合服务子平台，自动生成基于专业模型产品或阈值的预报预警产品，实现自动化与人工判识相结合的预警与服务产品制作与发布，提升广西铁路气象保障服务智能化水平。</w:t>
            </w:r>
          </w:p>
          <w:p>
            <w:pPr>
              <w:snapToGrid w:val="0"/>
              <w:spacing w:line="360" w:lineRule="auto"/>
              <w:jc w:val="left"/>
              <w:rPr>
                <w:rFonts w:ascii="宋体" w:hAnsi="宋体" w:cs="宋体"/>
                <w:color w:val="000000"/>
                <w:sz w:val="24"/>
              </w:rPr>
            </w:pPr>
            <w:r>
              <w:rPr>
                <w:rFonts w:hint="eastAsia" w:ascii="宋体" w:hAnsi="宋体" w:cs="宋体"/>
                <w:sz w:val="24"/>
              </w:rPr>
              <w:t>2.技术培训不少于</w:t>
            </w:r>
            <w:r>
              <w:rPr>
                <w:rFonts w:ascii="宋体" w:hAnsi="宋体" w:cs="宋体"/>
                <w:sz w:val="24"/>
              </w:rPr>
              <w:t>1</w:t>
            </w:r>
            <w:r>
              <w:rPr>
                <w:rFonts w:hint="eastAsia" w:ascii="宋体" w:hAnsi="宋体" w:cs="宋体"/>
                <w:sz w:val="24"/>
              </w:rPr>
              <w:t>次，包括系统和模块的使用培训等。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4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sz w:val="24"/>
              </w:rPr>
            </w:pPr>
            <w:r>
              <w:rPr>
                <w:rFonts w:hint="eastAsia" w:ascii="宋体" w:hAnsi="宋体" w:cs="宋体"/>
                <w:sz w:val="24"/>
              </w:rPr>
              <w:t>建设周期：自签订合同之日起180个日历</w:t>
            </w:r>
            <w:r>
              <w:rPr>
                <w:rFonts w:hint="eastAsia" w:ascii="宋体" w:hAnsi="宋体" w:cs="宋体"/>
                <w:sz w:val="24"/>
                <w:lang w:eastAsia="zh-CN"/>
              </w:rPr>
              <w:t>日</w:t>
            </w:r>
            <w:r>
              <w:rPr>
                <w:rFonts w:hint="eastAsia" w:ascii="宋体" w:hAnsi="宋体" w:cs="宋体"/>
                <w:sz w:val="24"/>
              </w:rPr>
              <w:t>内完成。</w:t>
            </w:r>
          </w:p>
        </w:tc>
      </w:tr>
    </w:tbl>
    <w:p>
      <w:pPr>
        <w:spacing w:line="360" w:lineRule="exact"/>
        <w:ind w:firstLine="480" w:firstLineChars="200"/>
        <w:rPr>
          <w:rFonts w:ascii="宋体" w:hAnsi="宋体" w:cs="宋体"/>
          <w:sz w:val="24"/>
        </w:rPr>
      </w:pPr>
      <w:r>
        <w:rPr>
          <w:rFonts w:hint="eastAsia" w:ascii="宋体" w:hAnsi="宋体" w:cs="宋体"/>
          <w:sz w:val="24"/>
        </w:rPr>
        <w:t>需进一步了解详细内容，详见磋商文件。</w:t>
      </w:r>
    </w:p>
    <w:p>
      <w:pPr>
        <w:spacing w:line="360" w:lineRule="exact"/>
        <w:ind w:firstLine="480"/>
        <w:rPr>
          <w:rFonts w:ascii="宋体" w:hAnsi="宋体" w:cs="宋体"/>
          <w:b/>
          <w:sz w:val="24"/>
        </w:rPr>
      </w:pPr>
      <w:r>
        <w:rPr>
          <w:rFonts w:hint="eastAsia" w:ascii="宋体" w:hAnsi="宋体" w:cs="宋体"/>
          <w:b/>
          <w:sz w:val="24"/>
        </w:rPr>
        <w:t>6.本项目是否接受联合体：否</w:t>
      </w:r>
    </w:p>
    <w:p>
      <w:pPr>
        <w:spacing w:line="360" w:lineRule="exact"/>
        <w:rPr>
          <w:rFonts w:ascii="宋体" w:hAnsi="宋体" w:cs="宋体"/>
          <w:b/>
          <w:sz w:val="24"/>
        </w:rPr>
      </w:pPr>
      <w:r>
        <w:rPr>
          <w:rFonts w:hint="eastAsia" w:ascii="宋体" w:hAnsi="宋体" w:cs="宋体"/>
          <w:b/>
          <w:sz w:val="24"/>
        </w:rPr>
        <w:t>二、供应商资格要求</w:t>
      </w:r>
    </w:p>
    <w:p>
      <w:pPr>
        <w:snapToGrid w:val="0"/>
        <w:spacing w:line="360" w:lineRule="auto"/>
        <w:ind w:firstLine="480" w:firstLineChars="200"/>
        <w:jc w:val="left"/>
        <w:rPr>
          <w:rFonts w:cs="宋体"/>
          <w:bCs/>
          <w:sz w:val="24"/>
        </w:rPr>
      </w:pPr>
      <w:r>
        <w:rPr>
          <w:rFonts w:hint="eastAsia" w:cs="宋体"/>
          <w:bCs/>
          <w:sz w:val="24"/>
        </w:rPr>
        <w:t>1.满足《中华人民共和国政府采购法》第二十二条规定；</w:t>
      </w:r>
    </w:p>
    <w:p>
      <w:pPr>
        <w:snapToGrid w:val="0"/>
        <w:spacing w:line="360" w:lineRule="auto"/>
        <w:ind w:firstLine="480" w:firstLineChars="200"/>
        <w:jc w:val="left"/>
        <w:rPr>
          <w:rFonts w:cs="宋体"/>
          <w:bCs/>
          <w:sz w:val="24"/>
        </w:rPr>
      </w:pPr>
      <w:r>
        <w:rPr>
          <w:rFonts w:hint="eastAsia" w:cs="宋体"/>
          <w:bCs/>
          <w:sz w:val="24"/>
        </w:rPr>
        <w:t>2.落实政府采购政策需满足的资格要求：</w:t>
      </w:r>
    </w:p>
    <w:p>
      <w:pPr>
        <w:snapToGrid w:val="0"/>
        <w:spacing w:line="360" w:lineRule="auto"/>
        <w:ind w:firstLine="480" w:firstLineChars="200"/>
        <w:jc w:val="left"/>
        <w:rPr>
          <w:rFonts w:cs="宋体"/>
          <w:bCs/>
          <w:sz w:val="24"/>
        </w:rPr>
      </w:pPr>
      <w:r>
        <w:rPr>
          <w:rFonts w:hint="eastAsia" w:cs="宋体"/>
          <w:bCs/>
          <w:sz w:val="24"/>
        </w:rPr>
        <w:t>□专门面向中小企业采购的项目（供应商应为中小微企业、监狱企业、残疾人福利性单位)</w:t>
      </w:r>
    </w:p>
    <w:p>
      <w:pPr>
        <w:snapToGrid w:val="0"/>
        <w:spacing w:line="360" w:lineRule="auto"/>
        <w:ind w:firstLine="480" w:firstLineChars="200"/>
        <w:jc w:val="left"/>
        <w:rPr>
          <w:rFonts w:cs="宋体"/>
          <w:bCs/>
          <w:sz w:val="24"/>
        </w:rPr>
      </w:pPr>
      <w:r>
        <w:rPr>
          <w:rFonts w:hint="eastAsia" w:cs="宋体"/>
          <w:bCs/>
          <w:sz w:val="24"/>
        </w:rPr>
        <w:t>☑非专门面向中小企业采购的项目</w:t>
      </w:r>
    </w:p>
    <w:p>
      <w:pPr>
        <w:snapToGrid w:val="0"/>
        <w:spacing w:line="360" w:lineRule="auto"/>
        <w:ind w:firstLine="480" w:firstLineChars="200"/>
        <w:jc w:val="left"/>
        <w:rPr>
          <w:rFonts w:cs="宋体"/>
          <w:bCs/>
          <w:sz w:val="24"/>
        </w:rPr>
      </w:pPr>
      <w:r>
        <w:rPr>
          <w:rFonts w:hint="eastAsia" w:cs="宋体"/>
          <w:bCs/>
          <w:sz w:val="24"/>
        </w:rPr>
        <w:t>3.本项目的特定资格要求：无。</w:t>
      </w:r>
    </w:p>
    <w:p>
      <w:pPr>
        <w:snapToGrid w:val="0"/>
        <w:spacing w:line="360" w:lineRule="auto"/>
        <w:ind w:firstLine="480" w:firstLineChars="200"/>
        <w:jc w:val="left"/>
        <w:rPr>
          <w:rFonts w:cs="宋体"/>
          <w:bCs/>
          <w:sz w:val="24"/>
        </w:rPr>
      </w:pPr>
      <w:r>
        <w:rPr>
          <w:rFonts w:hint="eastAsia" w:cs="宋体"/>
          <w:bCs/>
          <w:sz w:val="24"/>
        </w:rPr>
        <w:t>4. 本项目的特定条件：无。</w:t>
      </w:r>
    </w:p>
    <w:p>
      <w:pPr>
        <w:snapToGrid w:val="0"/>
        <w:spacing w:line="360" w:lineRule="auto"/>
        <w:ind w:firstLine="480" w:firstLineChars="200"/>
        <w:jc w:val="left"/>
        <w:rPr>
          <w:rFonts w:cs="宋体"/>
          <w:bCs/>
          <w:sz w:val="24"/>
        </w:rPr>
      </w:pPr>
      <w:r>
        <w:rPr>
          <w:rFonts w:hint="eastAsia" w:cs="宋体"/>
          <w:bCs/>
          <w:sz w:val="24"/>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ind w:firstLine="480" w:firstLineChars="200"/>
        <w:jc w:val="left"/>
        <w:rPr>
          <w:rFonts w:cs="宋体"/>
          <w:bCs/>
          <w:sz w:val="24"/>
        </w:rPr>
      </w:pPr>
      <w:r>
        <w:rPr>
          <w:rFonts w:hint="eastAsia" w:cs="宋体"/>
          <w:bCs/>
          <w:sz w:val="24"/>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rPr>
          <w:rFonts w:ascii="宋体" w:hAnsi="宋体" w:cs="宋体"/>
          <w:b/>
          <w:sz w:val="24"/>
        </w:rPr>
      </w:pPr>
      <w:r>
        <w:rPr>
          <w:rFonts w:hint="eastAsia" w:ascii="宋体" w:hAnsi="宋体" w:cs="宋体"/>
          <w:b/>
          <w:sz w:val="24"/>
        </w:rPr>
        <w:t>三、本项目需要落实的政府采购政策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1.政府采购促进中小企业发展。</w:t>
      </w:r>
    </w:p>
    <w:p>
      <w:pPr>
        <w:spacing w:line="360" w:lineRule="auto"/>
        <w:ind w:firstLine="480" w:firstLineChars="200"/>
        <w:rPr>
          <w:rFonts w:ascii="宋体" w:hAnsi="宋体" w:cs="宋体"/>
          <w:sz w:val="24"/>
        </w:rPr>
      </w:pPr>
      <w:r>
        <w:rPr>
          <w:rFonts w:hint="eastAsia" w:ascii="宋体" w:hAnsi="宋体" w:cs="宋体"/>
          <w:sz w:val="24"/>
        </w:rPr>
        <w:t>2.政府采购支持采用本国产品的政策。</w:t>
      </w:r>
    </w:p>
    <w:p>
      <w:pPr>
        <w:spacing w:line="360" w:lineRule="auto"/>
        <w:ind w:firstLine="480" w:firstLineChars="200"/>
        <w:rPr>
          <w:rFonts w:ascii="宋体" w:hAnsi="宋体" w:cs="宋体"/>
          <w:sz w:val="24"/>
        </w:rPr>
      </w:pPr>
      <w:r>
        <w:rPr>
          <w:rFonts w:hint="eastAsia" w:ascii="宋体" w:hAnsi="宋体" w:cs="宋体"/>
          <w:sz w:val="24"/>
        </w:rPr>
        <w:t>3.强制采购节能产品；优先采购节能产品、环境标志产品。</w:t>
      </w:r>
    </w:p>
    <w:p>
      <w:pPr>
        <w:spacing w:line="360" w:lineRule="auto"/>
        <w:ind w:firstLine="480" w:firstLineChars="200"/>
        <w:rPr>
          <w:rFonts w:ascii="宋体" w:hAnsi="宋体" w:cs="宋体"/>
          <w:sz w:val="24"/>
        </w:rPr>
      </w:pPr>
      <w:r>
        <w:rPr>
          <w:rFonts w:hint="eastAsia" w:ascii="宋体" w:hAnsi="宋体" w:cs="宋体"/>
          <w:sz w:val="24"/>
        </w:rPr>
        <w:t>4.政府采购促进残疾人就业政策。</w:t>
      </w:r>
    </w:p>
    <w:p>
      <w:pPr>
        <w:spacing w:line="360" w:lineRule="auto"/>
        <w:ind w:firstLine="480"/>
        <w:rPr>
          <w:rFonts w:ascii="宋体" w:hAnsi="宋体" w:cs="宋体"/>
          <w:sz w:val="24"/>
        </w:rPr>
      </w:pPr>
      <w:r>
        <w:rPr>
          <w:rFonts w:hint="eastAsia" w:ascii="宋体" w:hAnsi="宋体" w:cs="宋体"/>
          <w:sz w:val="24"/>
        </w:rPr>
        <w:t>5.政府采购支持监狱企业发展。</w:t>
      </w:r>
    </w:p>
    <w:p>
      <w:pPr>
        <w:spacing w:line="360" w:lineRule="auto"/>
        <w:rPr>
          <w:rFonts w:ascii="宋体" w:hAnsi="宋体" w:cs="宋体"/>
          <w:b/>
          <w:sz w:val="24"/>
        </w:rPr>
      </w:pPr>
      <w:r>
        <w:rPr>
          <w:rFonts w:hint="eastAsia" w:ascii="宋体" w:hAnsi="宋体" w:cs="宋体"/>
          <w:b/>
          <w:sz w:val="24"/>
        </w:rPr>
        <w:t>四、获取采购文件</w:t>
      </w:r>
    </w:p>
    <w:p>
      <w:pPr>
        <w:spacing w:line="360" w:lineRule="exact"/>
        <w:ind w:firstLine="480"/>
        <w:rPr>
          <w:rFonts w:ascii="宋体" w:hAnsi="宋体" w:cs="宋体"/>
          <w:sz w:val="24"/>
        </w:rPr>
      </w:pPr>
      <w:r>
        <w:rPr>
          <w:rFonts w:hint="eastAsia" w:ascii="宋体" w:hAnsi="宋体" w:cs="宋体"/>
          <w:sz w:val="24"/>
        </w:rPr>
        <w:t>1.时间：202</w:t>
      </w:r>
      <w:r>
        <w:rPr>
          <w:rFonts w:ascii="宋体" w:hAnsi="宋体" w:cs="宋体"/>
          <w:sz w:val="24"/>
        </w:rPr>
        <w:t>2</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日至202</w:t>
      </w:r>
      <w:r>
        <w:rPr>
          <w:rFonts w:ascii="宋体" w:hAnsi="宋体" w:cs="宋体"/>
          <w:sz w:val="24"/>
        </w:rPr>
        <w:t>2</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21</w:t>
      </w:r>
      <w:r>
        <w:rPr>
          <w:rFonts w:hint="eastAsia" w:ascii="宋体" w:hAnsi="宋体" w:cs="宋体"/>
          <w:sz w:val="24"/>
        </w:rPr>
        <w:t>日止（工作日）,每日上午9:00～12:00，下午15:00～17:30（北京时间，节假日除外）；</w:t>
      </w:r>
    </w:p>
    <w:p>
      <w:pPr>
        <w:spacing w:line="360" w:lineRule="exact"/>
        <w:ind w:firstLine="480"/>
        <w:rPr>
          <w:rFonts w:ascii="宋体" w:hAnsi="宋体" w:cs="宋体"/>
          <w:sz w:val="24"/>
        </w:rPr>
      </w:pPr>
      <w:r>
        <w:rPr>
          <w:rFonts w:hint="eastAsia" w:ascii="宋体" w:hAnsi="宋体" w:cs="宋体"/>
          <w:sz w:val="24"/>
        </w:rPr>
        <w:t>2.地点：</w:t>
      </w:r>
      <w:r>
        <w:rPr>
          <w:rFonts w:hint="eastAsia" w:ascii="宋体" w:hAnsi="宋体" w:cs="Arial"/>
          <w:kern w:val="0"/>
          <w:sz w:val="24"/>
        </w:rPr>
        <w:t>广西海恒项目管理有限公司</w:t>
      </w:r>
      <w:r>
        <w:rPr>
          <w:rFonts w:hint="eastAsia" w:ascii="宋体" w:hAnsi="宋体" w:cs="宋体"/>
          <w:sz w:val="24"/>
        </w:rPr>
        <w:t>（</w:t>
      </w:r>
      <w:r>
        <w:rPr>
          <w:rFonts w:hint="eastAsia" w:ascii="宋体" w:hAnsi="宋体" w:cs="Arial"/>
          <w:kern w:val="0"/>
          <w:sz w:val="24"/>
        </w:rPr>
        <w:t>南宁市青秀区竹溪大道荣恒名都A座508室</w:t>
      </w:r>
      <w:r>
        <w:rPr>
          <w:rFonts w:hint="eastAsia" w:ascii="宋体" w:hAnsi="宋体" w:cs="宋体"/>
          <w:sz w:val="24"/>
        </w:rPr>
        <w:t>）。</w:t>
      </w:r>
    </w:p>
    <w:p>
      <w:pPr>
        <w:spacing w:line="360" w:lineRule="exact"/>
        <w:ind w:firstLine="480"/>
        <w:rPr>
          <w:rFonts w:ascii="宋体" w:hAnsi="宋体" w:cs="宋体"/>
          <w:sz w:val="24"/>
        </w:rPr>
      </w:pPr>
      <w:r>
        <w:rPr>
          <w:rFonts w:hint="eastAsia" w:ascii="宋体" w:hAnsi="宋体" w:cs="宋体"/>
          <w:sz w:val="24"/>
        </w:rPr>
        <w:t>3.方式：由法定代表人或委托代理人身份证，非法定代表人携带法定代表人授权书原件、主体资格证明（如营业执照、事业单位法人证书等）副本复印件（须加盖单位公章），现场购买采购文件。</w:t>
      </w:r>
    </w:p>
    <w:p>
      <w:pPr>
        <w:spacing w:line="360" w:lineRule="exact"/>
        <w:ind w:firstLine="480"/>
        <w:rPr>
          <w:rFonts w:ascii="宋体" w:hAnsi="宋体" w:cs="宋体"/>
          <w:sz w:val="24"/>
        </w:rPr>
      </w:pPr>
      <w:r>
        <w:rPr>
          <w:rFonts w:hint="eastAsia" w:ascii="宋体" w:hAnsi="宋体" w:cs="宋体"/>
          <w:sz w:val="24"/>
        </w:rPr>
        <w:t>4.售价：竞争性磋商文件工本费每本300元，售后不退。</w:t>
      </w:r>
    </w:p>
    <w:p>
      <w:pPr>
        <w:spacing w:line="360" w:lineRule="exact"/>
        <w:rPr>
          <w:rFonts w:ascii="宋体" w:hAnsi="宋体" w:cs="宋体"/>
          <w:b/>
          <w:sz w:val="24"/>
        </w:rPr>
      </w:pPr>
      <w:r>
        <w:rPr>
          <w:rFonts w:hint="eastAsia" w:ascii="宋体" w:hAnsi="宋体" w:cs="宋体"/>
          <w:b/>
          <w:sz w:val="24"/>
        </w:rPr>
        <w:t>五、响应文件递交</w:t>
      </w:r>
    </w:p>
    <w:p>
      <w:pPr>
        <w:spacing w:line="360" w:lineRule="exact"/>
        <w:ind w:firstLine="480"/>
        <w:rPr>
          <w:rFonts w:ascii="宋体" w:hAnsi="宋体" w:cs="宋体"/>
          <w:sz w:val="24"/>
        </w:rPr>
      </w:pPr>
      <w:r>
        <w:rPr>
          <w:rFonts w:hint="eastAsia" w:ascii="宋体" w:hAnsi="宋体" w:cs="宋体"/>
          <w:sz w:val="24"/>
        </w:rPr>
        <w:t>竞标人应于2022年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w:t>
      </w:r>
      <w:r>
        <w:rPr>
          <w:rFonts w:hint="eastAsia" w:ascii="宋体" w:hAnsi="宋体" w:cs="宋体"/>
          <w:sz w:val="24"/>
          <w:lang w:val="en-US" w:eastAsia="zh-CN"/>
        </w:rPr>
        <w:t>15</w:t>
      </w:r>
      <w:r>
        <w:rPr>
          <w:rFonts w:hint="eastAsia" w:ascii="宋体" w:hAnsi="宋体" w:cs="宋体"/>
          <w:sz w:val="24"/>
        </w:rPr>
        <w:t>时</w:t>
      </w:r>
      <w:r>
        <w:rPr>
          <w:rFonts w:hint="eastAsia" w:ascii="宋体" w:hAnsi="宋体" w:cs="宋体"/>
          <w:sz w:val="24"/>
          <w:lang w:val="en-US" w:eastAsia="zh-CN"/>
        </w:rPr>
        <w:t>0</w:t>
      </w:r>
      <w:r>
        <w:rPr>
          <w:rFonts w:hint="eastAsia" w:ascii="宋体" w:hAnsi="宋体" w:cs="宋体"/>
          <w:sz w:val="24"/>
        </w:rPr>
        <w:t>0分前，将响应文件密封提交到广西海恒项目管理有限公司开标室（南宁市青秀区竹溪大道荣恒名都A座508室），逾期送达的将予以拒收。</w:t>
      </w:r>
    </w:p>
    <w:p>
      <w:pPr>
        <w:spacing w:line="360" w:lineRule="exact"/>
        <w:rPr>
          <w:rFonts w:ascii="宋体" w:hAnsi="宋体" w:cs="宋体"/>
          <w:b/>
          <w:sz w:val="24"/>
        </w:rPr>
      </w:pPr>
      <w:r>
        <w:rPr>
          <w:rFonts w:hint="eastAsia" w:ascii="宋体" w:hAnsi="宋体" w:cs="宋体"/>
          <w:b/>
          <w:sz w:val="24"/>
        </w:rPr>
        <w:t>六</w:t>
      </w:r>
      <w:r>
        <w:rPr>
          <w:rFonts w:ascii="宋体" w:hAnsi="宋体" w:cs="宋体"/>
          <w:b/>
          <w:sz w:val="24"/>
        </w:rPr>
        <w:t>、</w:t>
      </w:r>
      <w:r>
        <w:rPr>
          <w:rFonts w:hint="eastAsia" w:ascii="宋体" w:hAnsi="宋体" w:cs="宋体"/>
          <w:b/>
          <w:sz w:val="24"/>
        </w:rPr>
        <w:t>响应文件递交截止时间</w:t>
      </w:r>
    </w:p>
    <w:p>
      <w:pPr>
        <w:spacing w:line="360" w:lineRule="exact"/>
        <w:ind w:firstLine="480"/>
        <w:rPr>
          <w:rFonts w:ascii="宋体" w:hAnsi="宋体" w:cs="宋体"/>
          <w:sz w:val="24"/>
        </w:rPr>
      </w:pPr>
      <w:r>
        <w:rPr>
          <w:rFonts w:hint="eastAsia" w:ascii="宋体" w:hAnsi="宋体" w:cs="宋体"/>
          <w:sz w:val="24"/>
        </w:rPr>
        <w:t>时间：</w:t>
      </w:r>
      <w:r>
        <w:rPr>
          <w:rFonts w:ascii="宋体" w:hAnsi="宋体" w:cs="宋体"/>
          <w:sz w:val="24"/>
        </w:rPr>
        <w:t>2022</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w:t>
      </w:r>
      <w:r>
        <w:rPr>
          <w:rFonts w:hint="eastAsia" w:ascii="宋体" w:hAnsi="宋体" w:cs="宋体"/>
          <w:sz w:val="24"/>
          <w:lang w:val="en-US" w:eastAsia="zh-CN"/>
        </w:rPr>
        <w:t>15</w:t>
      </w:r>
      <w:r>
        <w:rPr>
          <w:rFonts w:hint="eastAsia" w:ascii="宋体" w:hAnsi="宋体" w:cs="宋体"/>
          <w:sz w:val="24"/>
        </w:rPr>
        <w:t>时</w:t>
      </w:r>
      <w:r>
        <w:rPr>
          <w:rFonts w:hint="eastAsia" w:ascii="宋体" w:hAnsi="宋体" w:cs="宋体"/>
          <w:sz w:val="24"/>
          <w:lang w:val="en-US" w:eastAsia="zh-CN"/>
        </w:rPr>
        <w:t>0</w:t>
      </w:r>
      <w:r>
        <w:rPr>
          <w:rFonts w:hint="eastAsia" w:ascii="宋体" w:hAnsi="宋体" w:cs="宋体"/>
          <w:sz w:val="24"/>
        </w:rPr>
        <w:t>0分（北京时间）</w:t>
      </w:r>
    </w:p>
    <w:p>
      <w:pPr>
        <w:rPr>
          <w:rFonts w:ascii="宋体" w:hAnsi="宋体"/>
          <w:b/>
          <w:sz w:val="24"/>
        </w:rPr>
      </w:pPr>
      <w:r>
        <w:rPr>
          <w:rFonts w:hint="eastAsia" w:ascii="宋体" w:hAnsi="宋体"/>
          <w:b/>
          <w:sz w:val="24"/>
        </w:rPr>
        <w:t>七、磋商时间及地点：</w:t>
      </w:r>
    </w:p>
    <w:p>
      <w:pPr>
        <w:ind w:firstLine="600" w:firstLineChars="250"/>
        <w:rPr>
          <w:rFonts w:ascii="宋体" w:hAnsi="宋体" w:cs="宋体"/>
          <w:kern w:val="0"/>
          <w:sz w:val="24"/>
          <w:szCs w:val="20"/>
        </w:rPr>
      </w:pPr>
      <w:r>
        <w:rPr>
          <w:rFonts w:hint="eastAsia" w:ascii="宋体" w:hAnsi="宋体"/>
          <w:sz w:val="24"/>
        </w:rPr>
        <w:t>1.磋商时间：</w:t>
      </w:r>
      <w:r>
        <w:rPr>
          <w:rFonts w:ascii="宋体" w:hAnsi="宋体" w:cs="宋体"/>
          <w:kern w:val="0"/>
          <w:sz w:val="24"/>
          <w:szCs w:val="20"/>
        </w:rPr>
        <w:t>20</w:t>
      </w:r>
      <w:r>
        <w:rPr>
          <w:rFonts w:hint="eastAsia" w:ascii="宋体" w:hAnsi="宋体" w:cs="宋体"/>
          <w:kern w:val="0"/>
          <w:sz w:val="24"/>
          <w:szCs w:val="20"/>
        </w:rPr>
        <w:t>22年</w:t>
      </w:r>
      <w:r>
        <w:rPr>
          <w:rFonts w:hint="eastAsia" w:ascii="宋体" w:hAnsi="宋体" w:cs="宋体"/>
          <w:kern w:val="0"/>
          <w:sz w:val="24"/>
          <w:szCs w:val="20"/>
          <w:lang w:val="en-US" w:eastAsia="zh-CN"/>
        </w:rPr>
        <w:t>6</w:t>
      </w:r>
      <w:r>
        <w:rPr>
          <w:rFonts w:hint="eastAsia" w:ascii="宋体" w:hAnsi="宋体" w:cs="宋体"/>
          <w:kern w:val="0"/>
          <w:sz w:val="24"/>
          <w:szCs w:val="20"/>
        </w:rPr>
        <w:t>月</w:t>
      </w:r>
      <w:r>
        <w:rPr>
          <w:rFonts w:hint="eastAsia" w:ascii="宋体" w:hAnsi="宋体" w:cs="宋体"/>
          <w:kern w:val="0"/>
          <w:sz w:val="24"/>
          <w:szCs w:val="20"/>
          <w:lang w:val="en-US" w:eastAsia="zh-CN"/>
        </w:rPr>
        <w:t>27</w:t>
      </w:r>
      <w:r>
        <w:rPr>
          <w:rFonts w:hint="eastAsia" w:ascii="宋体" w:hAnsi="宋体" w:cs="宋体"/>
          <w:kern w:val="0"/>
          <w:sz w:val="24"/>
          <w:szCs w:val="20"/>
        </w:rPr>
        <w:t>日</w:t>
      </w:r>
      <w:r>
        <w:rPr>
          <w:rFonts w:hint="eastAsia" w:ascii="宋体" w:hAnsi="宋体" w:cs="宋体"/>
          <w:kern w:val="0"/>
          <w:sz w:val="24"/>
          <w:szCs w:val="20"/>
          <w:lang w:val="en-US" w:eastAsia="zh-CN"/>
        </w:rPr>
        <w:t>15</w:t>
      </w:r>
      <w:r>
        <w:rPr>
          <w:rFonts w:hint="eastAsia" w:ascii="宋体" w:hAnsi="宋体" w:cs="宋体"/>
          <w:kern w:val="0"/>
          <w:sz w:val="24"/>
          <w:szCs w:val="20"/>
        </w:rPr>
        <w:t>时</w:t>
      </w:r>
      <w:r>
        <w:rPr>
          <w:rFonts w:hint="eastAsia" w:ascii="宋体" w:hAnsi="宋体" w:cs="宋体"/>
          <w:kern w:val="0"/>
          <w:sz w:val="24"/>
          <w:szCs w:val="20"/>
          <w:lang w:val="en-US" w:eastAsia="zh-CN"/>
        </w:rPr>
        <w:t>0</w:t>
      </w:r>
      <w:r>
        <w:rPr>
          <w:rFonts w:hint="eastAsia" w:ascii="宋体" w:hAnsi="宋体" w:cs="宋体"/>
          <w:kern w:val="0"/>
          <w:sz w:val="24"/>
          <w:szCs w:val="20"/>
        </w:rPr>
        <w:t>0分整截止后为磋商小组与竞标供应商磋商时间，具体时间由代理机构</w:t>
      </w:r>
      <w:r>
        <w:rPr>
          <w:rFonts w:hint="eastAsia" w:ascii="宋体" w:hAnsi="宋体" w:cs="宋体"/>
          <w:b/>
          <w:kern w:val="0"/>
          <w:sz w:val="24"/>
        </w:rPr>
        <w:t>广西海恒项目管理有限公司</w:t>
      </w:r>
      <w:r>
        <w:rPr>
          <w:rFonts w:hint="eastAsia" w:ascii="宋体" w:hAnsi="宋体" w:cs="宋体"/>
          <w:kern w:val="0"/>
          <w:sz w:val="24"/>
          <w:szCs w:val="20"/>
        </w:rPr>
        <w:t>另行通知。</w:t>
      </w:r>
    </w:p>
    <w:p>
      <w:pPr>
        <w:ind w:firstLine="600" w:firstLineChars="250"/>
        <w:rPr>
          <w:rFonts w:ascii="宋体" w:hAnsi="宋体" w:cs="宋体"/>
          <w:bCs/>
          <w:kern w:val="0"/>
          <w:sz w:val="24"/>
        </w:rPr>
      </w:pPr>
      <w:r>
        <w:rPr>
          <w:rFonts w:hint="eastAsia" w:ascii="宋体" w:hAnsi="宋体" w:cs="宋体"/>
          <w:kern w:val="0"/>
          <w:sz w:val="24"/>
          <w:szCs w:val="20"/>
        </w:rPr>
        <w:t>2.</w:t>
      </w:r>
      <w:r>
        <w:rPr>
          <w:rFonts w:hint="eastAsia" w:ascii="宋体" w:hAnsi="宋体" w:cs="宋体"/>
          <w:b/>
          <w:kern w:val="0"/>
          <w:sz w:val="24"/>
          <w:szCs w:val="20"/>
        </w:rPr>
        <w:t>磋商地点：</w:t>
      </w:r>
      <w:r>
        <w:rPr>
          <w:rFonts w:hint="eastAsia" w:ascii="宋体" w:hAnsi="宋体" w:cs="宋体"/>
          <w:bCs/>
          <w:kern w:val="0"/>
          <w:sz w:val="24"/>
          <w:szCs w:val="20"/>
        </w:rPr>
        <w:t>广西海恒项目管理有限公司评标室（南宁市青秀区竹溪大道荣恒名都A座508室）。</w:t>
      </w:r>
    </w:p>
    <w:p>
      <w:pPr>
        <w:spacing w:line="360" w:lineRule="exact"/>
        <w:rPr>
          <w:rFonts w:ascii="宋体" w:hAnsi="宋体" w:cs="宋体"/>
          <w:b/>
          <w:sz w:val="24"/>
        </w:rPr>
      </w:pPr>
      <w:r>
        <w:rPr>
          <w:rFonts w:hint="eastAsia" w:ascii="宋体" w:hAnsi="宋体" w:cs="宋体"/>
          <w:b/>
          <w:sz w:val="24"/>
        </w:rPr>
        <w:t>八</w:t>
      </w:r>
      <w:r>
        <w:rPr>
          <w:rFonts w:ascii="宋体" w:hAnsi="宋体" w:cs="宋体"/>
          <w:b/>
          <w:sz w:val="24"/>
        </w:rPr>
        <w:t>、</w:t>
      </w:r>
      <w:r>
        <w:rPr>
          <w:rFonts w:hint="eastAsia" w:ascii="宋体" w:hAnsi="宋体" w:cs="宋体"/>
          <w:b/>
          <w:sz w:val="24"/>
        </w:rPr>
        <w:t>公告期限</w:t>
      </w:r>
    </w:p>
    <w:p>
      <w:pPr>
        <w:spacing w:line="360" w:lineRule="exact"/>
        <w:ind w:firstLine="480"/>
        <w:rPr>
          <w:rFonts w:ascii="宋体" w:hAnsi="宋体" w:cs="宋体"/>
          <w:sz w:val="24"/>
        </w:rPr>
      </w:pPr>
      <w:r>
        <w:rPr>
          <w:rFonts w:hint="eastAsia" w:ascii="宋体" w:hAnsi="宋体" w:cs="宋体"/>
          <w:sz w:val="24"/>
        </w:rPr>
        <w:t>自本公告发布之日起</w:t>
      </w:r>
      <w:r>
        <w:rPr>
          <w:rFonts w:ascii="宋体" w:hAnsi="宋体" w:cs="宋体"/>
          <w:sz w:val="24"/>
        </w:rPr>
        <w:t>5</w:t>
      </w:r>
      <w:r>
        <w:rPr>
          <w:rFonts w:hint="eastAsia" w:ascii="宋体" w:hAnsi="宋体" w:cs="宋体"/>
          <w:sz w:val="24"/>
        </w:rPr>
        <w:t>个工作日。</w:t>
      </w:r>
    </w:p>
    <w:p>
      <w:pPr>
        <w:spacing w:line="360" w:lineRule="exact"/>
        <w:rPr>
          <w:rFonts w:ascii="宋体" w:hAnsi="宋体" w:cs="宋体"/>
          <w:b/>
          <w:sz w:val="24"/>
        </w:rPr>
      </w:pPr>
      <w:r>
        <w:rPr>
          <w:rFonts w:hint="eastAsia" w:ascii="宋体" w:hAnsi="宋体" w:cs="宋体"/>
          <w:b/>
          <w:sz w:val="24"/>
        </w:rPr>
        <w:t>九</w:t>
      </w:r>
      <w:r>
        <w:rPr>
          <w:rFonts w:ascii="宋体" w:hAnsi="宋体" w:cs="宋体"/>
          <w:b/>
          <w:sz w:val="24"/>
        </w:rPr>
        <w:t>、</w:t>
      </w:r>
      <w:r>
        <w:rPr>
          <w:rFonts w:hint="eastAsia" w:ascii="宋体" w:hAnsi="宋体" w:cs="宋体"/>
          <w:b/>
          <w:sz w:val="24"/>
        </w:rPr>
        <w:t>其他补充事宜</w:t>
      </w:r>
    </w:p>
    <w:p>
      <w:pPr>
        <w:widowControl/>
        <w:spacing w:before="75" w:after="75" w:line="420" w:lineRule="exact"/>
        <w:ind w:firstLine="480"/>
        <w:jc w:val="left"/>
        <w:rPr>
          <w:rFonts w:ascii="宋体" w:cs="Arial"/>
          <w:kern w:val="0"/>
          <w:sz w:val="24"/>
        </w:rPr>
      </w:pPr>
      <w:r>
        <w:rPr>
          <w:rFonts w:ascii="宋体" w:hAnsi="宋体" w:cs="Arial"/>
          <w:kern w:val="0"/>
          <w:sz w:val="24"/>
        </w:rPr>
        <w:t>1.</w:t>
      </w:r>
      <w:r>
        <w:rPr>
          <w:rFonts w:hint="eastAsia" w:ascii="宋体" w:hAnsi="宋体" w:cs="Arial"/>
          <w:kern w:val="0"/>
          <w:sz w:val="24"/>
        </w:rPr>
        <w:t>竞标保证金：10</w:t>
      </w:r>
      <w:r>
        <w:rPr>
          <w:rFonts w:ascii="宋体" w:hAnsi="宋体" w:cs="Arial"/>
          <w:kern w:val="0"/>
          <w:sz w:val="24"/>
        </w:rPr>
        <w:t>000</w:t>
      </w:r>
      <w:r>
        <w:rPr>
          <w:rFonts w:hint="eastAsia" w:ascii="宋体" w:hAnsi="宋体" w:cs="Arial"/>
          <w:kern w:val="0"/>
          <w:sz w:val="24"/>
        </w:rPr>
        <w:t>元。</w:t>
      </w:r>
    </w:p>
    <w:p>
      <w:pPr>
        <w:widowControl/>
        <w:spacing w:before="75" w:after="75" w:line="420" w:lineRule="exact"/>
        <w:ind w:firstLine="480"/>
        <w:jc w:val="left"/>
        <w:rPr>
          <w:rFonts w:ascii="宋体" w:hAnsi="宋体" w:cs="Arial"/>
          <w:kern w:val="0"/>
          <w:sz w:val="24"/>
        </w:rPr>
      </w:pPr>
      <w:r>
        <w:rPr>
          <w:rFonts w:hint="eastAsia" w:ascii="宋体" w:hAnsi="宋体" w:cs="Arial"/>
          <w:kern w:val="0"/>
          <w:sz w:val="24"/>
        </w:rPr>
        <w:t>竞标人应于截标前将竞标保证金以电汇、转账等非现金及非个人转账形式交至指定账户。竞标时，必须在响应文件中提供竞标保证金交纳证明材料，否则竞标无效。本次竞标保证金不收现金及现金支票，不接受现金缴存银行和个人转账。</w:t>
      </w:r>
    </w:p>
    <w:p>
      <w:pPr>
        <w:widowControl/>
        <w:spacing w:before="75" w:after="75" w:line="420" w:lineRule="exact"/>
        <w:ind w:firstLine="480"/>
        <w:jc w:val="left"/>
        <w:rPr>
          <w:rFonts w:ascii="宋体" w:hAnsi="宋体" w:cs="Arial"/>
          <w:kern w:val="0"/>
          <w:sz w:val="24"/>
        </w:rPr>
      </w:pPr>
      <w:r>
        <w:rPr>
          <w:rFonts w:hint="eastAsia" w:ascii="宋体" w:hAnsi="宋体" w:cs="Arial"/>
          <w:kern w:val="0"/>
          <w:sz w:val="24"/>
        </w:rPr>
        <w:t>开户名称：广西海恒项目管理有限公司</w:t>
      </w:r>
    </w:p>
    <w:p>
      <w:pPr>
        <w:widowControl/>
        <w:spacing w:before="75" w:after="75" w:line="420" w:lineRule="exact"/>
        <w:ind w:firstLine="480"/>
        <w:jc w:val="left"/>
        <w:rPr>
          <w:rFonts w:ascii="宋体" w:hAnsi="宋体" w:cs="Arial"/>
          <w:kern w:val="0"/>
          <w:sz w:val="24"/>
        </w:rPr>
      </w:pPr>
      <w:r>
        <w:rPr>
          <w:rFonts w:hint="eastAsia" w:ascii="宋体" w:hAnsi="宋体" w:cs="Arial"/>
          <w:kern w:val="0"/>
          <w:sz w:val="24"/>
        </w:rPr>
        <w:t xml:space="preserve">开户银行：中国民生银行广西自贸试验区南宁片区支行 </w:t>
      </w:r>
    </w:p>
    <w:p>
      <w:pPr>
        <w:widowControl/>
        <w:spacing w:before="75" w:after="75" w:line="420" w:lineRule="exact"/>
        <w:ind w:firstLine="480"/>
        <w:jc w:val="left"/>
        <w:rPr>
          <w:rFonts w:ascii="宋体" w:cs="Arial"/>
          <w:kern w:val="0"/>
          <w:sz w:val="24"/>
        </w:rPr>
      </w:pPr>
      <w:r>
        <w:rPr>
          <w:rFonts w:hint="eastAsia" w:ascii="宋体" w:hAnsi="宋体" w:cs="Arial"/>
          <w:kern w:val="0"/>
          <w:sz w:val="24"/>
        </w:rPr>
        <w:t xml:space="preserve">银行账号：171941518 </w:t>
      </w:r>
    </w:p>
    <w:p>
      <w:pPr>
        <w:spacing w:line="360" w:lineRule="exact"/>
        <w:ind w:firstLine="480"/>
        <w:rPr>
          <w:rFonts w:ascii="宋体" w:hAnsi="宋体" w:cs="宋体"/>
          <w:sz w:val="24"/>
        </w:rPr>
      </w:pPr>
      <w:r>
        <w:rPr>
          <w:rFonts w:hint="eastAsia" w:ascii="宋体" w:hAnsi="宋体" w:cs="宋体"/>
          <w:sz w:val="24"/>
        </w:rPr>
        <w:t>2.发布网址：</w:t>
      </w:r>
      <w:r>
        <w:rPr>
          <w:rFonts w:hint="eastAsia" w:ascii="宋体" w:hAnsi="宋体" w:cs="宋体"/>
          <w:bCs/>
          <w:sz w:val="24"/>
        </w:rPr>
        <w:t>http://www.ccgp.gov.cn（中国政府采购网）</w:t>
      </w:r>
    </w:p>
    <w:p>
      <w:pPr>
        <w:spacing w:line="360" w:lineRule="exact"/>
        <w:rPr>
          <w:rFonts w:ascii="宋体" w:hAnsi="宋体" w:cs="宋体"/>
          <w:sz w:val="24"/>
        </w:rPr>
      </w:pPr>
      <w:r>
        <w:rPr>
          <w:rFonts w:hint="eastAsia" w:ascii="宋体" w:hAnsi="宋体" w:cs="宋体"/>
          <w:b/>
          <w:sz w:val="24"/>
        </w:rPr>
        <w:t>十、凡对本次采购提出询问，请按</w:t>
      </w:r>
      <w:r>
        <w:rPr>
          <w:rFonts w:ascii="宋体" w:hAnsi="宋体" w:cs="宋体"/>
          <w:b/>
          <w:sz w:val="24"/>
        </w:rPr>
        <w:t>以下方式</w:t>
      </w:r>
      <w:r>
        <w:rPr>
          <w:rFonts w:hint="eastAsia" w:ascii="宋体" w:hAnsi="宋体" w:cs="宋体"/>
          <w:b/>
          <w:sz w:val="24"/>
        </w:rPr>
        <w:t>联系。</w:t>
      </w:r>
    </w:p>
    <w:p>
      <w:pPr>
        <w:widowControl/>
        <w:spacing w:before="75" w:after="75" w:line="420" w:lineRule="exact"/>
        <w:ind w:firstLine="480"/>
        <w:jc w:val="left"/>
        <w:rPr>
          <w:rFonts w:hint="eastAsia" w:ascii="宋体" w:hAnsi="宋体" w:eastAsia="宋体" w:cs="Arial"/>
          <w:kern w:val="0"/>
          <w:sz w:val="24"/>
          <w:lang w:eastAsia="zh-CN"/>
        </w:rPr>
      </w:pPr>
      <w:r>
        <w:rPr>
          <w:rFonts w:hint="eastAsia" w:ascii="宋体" w:hAnsi="宋体" w:cs="Arial"/>
          <w:kern w:val="0"/>
          <w:sz w:val="24"/>
        </w:rPr>
        <w:t>1.采购人名称：</w:t>
      </w:r>
      <w:r>
        <w:rPr>
          <w:rFonts w:hint="eastAsia" w:ascii="宋体" w:hAnsi="宋体" w:cs="Arial"/>
          <w:kern w:val="0"/>
          <w:sz w:val="24"/>
          <w:lang w:eastAsia="zh-CN"/>
        </w:rPr>
        <w:t>广西壮族自治区防雷中心</w:t>
      </w:r>
    </w:p>
    <w:p>
      <w:pPr>
        <w:widowControl/>
        <w:spacing w:before="75" w:after="75" w:line="420" w:lineRule="exact"/>
        <w:ind w:firstLine="480"/>
        <w:jc w:val="left"/>
        <w:rPr>
          <w:rFonts w:hint="default" w:ascii="宋体" w:hAnsi="宋体" w:eastAsia="宋体" w:cs="Arial"/>
          <w:kern w:val="0"/>
          <w:sz w:val="24"/>
          <w:lang w:val="en-US" w:eastAsia="zh-CN"/>
        </w:rPr>
      </w:pPr>
      <w:r>
        <w:rPr>
          <w:rFonts w:hint="eastAsia" w:ascii="宋体" w:hAnsi="宋体" w:cs="Arial"/>
          <w:kern w:val="0"/>
          <w:sz w:val="24"/>
        </w:rPr>
        <w:t>地址：广西南宁市青秀区</w:t>
      </w:r>
      <w:r>
        <w:rPr>
          <w:rFonts w:hint="eastAsia" w:ascii="宋体" w:hAnsi="宋体" w:cs="Arial"/>
          <w:kern w:val="0"/>
          <w:sz w:val="24"/>
          <w:lang w:eastAsia="zh-CN"/>
        </w:rPr>
        <w:t>民族大道</w:t>
      </w:r>
      <w:r>
        <w:rPr>
          <w:rFonts w:hint="eastAsia" w:ascii="宋体" w:hAnsi="宋体" w:cs="Arial"/>
          <w:kern w:val="0"/>
          <w:sz w:val="24"/>
          <w:lang w:val="en-US" w:eastAsia="zh-CN"/>
        </w:rPr>
        <w:t>81</w:t>
      </w:r>
      <w:r>
        <w:rPr>
          <w:rFonts w:hint="eastAsia" w:ascii="宋体" w:hAnsi="宋体" w:cs="Arial"/>
          <w:kern w:val="0"/>
          <w:sz w:val="24"/>
        </w:rPr>
        <w:t>号</w:t>
      </w:r>
      <w:r>
        <w:rPr>
          <w:rFonts w:hint="eastAsia" w:ascii="宋体" w:hAnsi="宋体" w:cs="Arial"/>
          <w:kern w:val="0"/>
          <w:sz w:val="24"/>
          <w:lang w:eastAsia="zh-CN"/>
        </w:rPr>
        <w:t>气象大厦</w:t>
      </w:r>
      <w:r>
        <w:rPr>
          <w:rFonts w:hint="eastAsia" w:ascii="宋体" w:hAnsi="宋体" w:cs="Arial"/>
          <w:kern w:val="0"/>
          <w:sz w:val="24"/>
          <w:lang w:val="en-US" w:eastAsia="zh-CN"/>
        </w:rPr>
        <w:t>23楼</w:t>
      </w:r>
    </w:p>
    <w:p>
      <w:pPr>
        <w:widowControl/>
        <w:spacing w:before="75" w:after="75" w:line="420" w:lineRule="exact"/>
        <w:ind w:firstLine="480"/>
        <w:jc w:val="left"/>
        <w:rPr>
          <w:rFonts w:hint="default" w:ascii="宋体" w:hAnsi="宋体" w:eastAsia="宋体" w:cs="Arial"/>
          <w:kern w:val="0"/>
          <w:sz w:val="24"/>
          <w:lang w:val="en-US" w:eastAsia="zh-CN"/>
        </w:rPr>
      </w:pPr>
      <w:r>
        <w:rPr>
          <w:rFonts w:hint="eastAsia" w:ascii="宋体" w:hAnsi="宋体" w:cs="Arial"/>
          <w:kern w:val="0"/>
          <w:sz w:val="24"/>
        </w:rPr>
        <w:t xml:space="preserve">联系人及电话：郭科长     联系电话： 0771- </w:t>
      </w:r>
      <w:r>
        <w:rPr>
          <w:rFonts w:hint="eastAsia" w:ascii="宋体" w:hAnsi="宋体" w:cs="Arial"/>
          <w:kern w:val="0"/>
          <w:sz w:val="24"/>
          <w:lang w:val="en-US" w:eastAsia="zh-CN"/>
        </w:rPr>
        <w:t>5776870</w:t>
      </w:r>
    </w:p>
    <w:p>
      <w:pPr>
        <w:widowControl/>
        <w:spacing w:before="75" w:after="75" w:line="420" w:lineRule="exact"/>
        <w:ind w:firstLine="480"/>
        <w:jc w:val="left"/>
        <w:rPr>
          <w:rFonts w:ascii="宋体" w:hAnsi="宋体" w:cs="Arial"/>
          <w:kern w:val="0"/>
          <w:sz w:val="24"/>
        </w:rPr>
      </w:pPr>
      <w:r>
        <w:rPr>
          <w:rFonts w:hint="eastAsia" w:ascii="宋体" w:hAnsi="宋体" w:cs="Arial"/>
          <w:kern w:val="0"/>
          <w:sz w:val="24"/>
        </w:rPr>
        <w:t>2.采购代理机构名称：广西海恒项目管理有限公司</w:t>
      </w:r>
    </w:p>
    <w:p>
      <w:pPr>
        <w:widowControl/>
        <w:spacing w:before="75" w:after="75" w:line="420" w:lineRule="exact"/>
        <w:ind w:firstLine="480"/>
        <w:jc w:val="left"/>
        <w:rPr>
          <w:rFonts w:ascii="宋体" w:hAnsi="宋体" w:cs="Arial"/>
          <w:kern w:val="0"/>
          <w:sz w:val="24"/>
        </w:rPr>
      </w:pPr>
      <w:r>
        <w:rPr>
          <w:rFonts w:hint="eastAsia" w:ascii="宋体" w:hAnsi="宋体" w:cs="Arial"/>
          <w:kern w:val="0"/>
          <w:sz w:val="24"/>
        </w:rPr>
        <w:t>地址：南宁市青秀区竹溪大道荣恒名都A座508室</w:t>
      </w:r>
    </w:p>
    <w:p>
      <w:pPr>
        <w:widowControl/>
        <w:spacing w:before="75" w:after="75" w:line="420" w:lineRule="exact"/>
        <w:ind w:firstLine="480"/>
        <w:jc w:val="left"/>
        <w:rPr>
          <w:rFonts w:ascii="宋体" w:hAnsi="宋体" w:cs="Arial"/>
          <w:kern w:val="0"/>
          <w:sz w:val="24"/>
        </w:rPr>
      </w:pPr>
      <w:r>
        <w:rPr>
          <w:rFonts w:hint="eastAsia" w:ascii="宋体" w:hAnsi="宋体" w:cs="Arial"/>
          <w:kern w:val="0"/>
          <w:sz w:val="24"/>
        </w:rPr>
        <w:t>项目联系人：周鑫怡   联系电话:0771-2213708，18378062480</w:t>
      </w:r>
    </w:p>
    <w:p>
      <w:pPr>
        <w:widowControl/>
        <w:spacing w:before="75" w:after="75" w:line="420" w:lineRule="exact"/>
        <w:ind w:firstLine="480"/>
        <w:jc w:val="left"/>
        <w:rPr>
          <w:rFonts w:ascii="宋体" w:hAnsi="宋体" w:cs="Arial"/>
          <w:kern w:val="0"/>
          <w:sz w:val="24"/>
        </w:rPr>
      </w:pPr>
      <w:r>
        <w:rPr>
          <w:rFonts w:ascii="宋体" w:hAnsi="宋体" w:cs="Arial"/>
          <w:kern w:val="0"/>
          <w:sz w:val="24"/>
        </w:rPr>
        <w:t>3.</w:t>
      </w:r>
      <w:r>
        <w:rPr>
          <w:rFonts w:hint="eastAsia" w:ascii="宋体" w:hAnsi="宋体" w:cs="Arial"/>
          <w:kern w:val="0"/>
          <w:sz w:val="24"/>
        </w:rPr>
        <w:t>项目联系方式</w:t>
      </w:r>
    </w:p>
    <w:p>
      <w:pPr>
        <w:widowControl/>
        <w:spacing w:before="75" w:after="75" w:line="420" w:lineRule="exact"/>
        <w:ind w:firstLine="480"/>
        <w:jc w:val="left"/>
        <w:rPr>
          <w:rFonts w:ascii="宋体" w:hAnsi="宋体" w:cs="Arial"/>
          <w:kern w:val="0"/>
          <w:sz w:val="24"/>
        </w:rPr>
      </w:pPr>
      <w:r>
        <w:rPr>
          <w:rFonts w:hint="eastAsia" w:ascii="宋体" w:hAnsi="宋体" w:cs="Arial"/>
          <w:kern w:val="0"/>
          <w:sz w:val="24"/>
        </w:rPr>
        <w:t>项目联系人：周鑫怡</w:t>
      </w:r>
    </w:p>
    <w:p>
      <w:pPr>
        <w:widowControl/>
        <w:spacing w:before="75" w:after="75" w:line="420" w:lineRule="exact"/>
        <w:ind w:firstLine="480"/>
        <w:jc w:val="left"/>
        <w:rPr>
          <w:rFonts w:ascii="宋体" w:hAnsi="宋体" w:cs="Arial"/>
          <w:kern w:val="0"/>
          <w:sz w:val="24"/>
        </w:rPr>
      </w:pPr>
      <w:r>
        <w:rPr>
          <w:rFonts w:hint="eastAsia" w:ascii="宋体" w:hAnsi="宋体" w:cs="Arial"/>
          <w:kern w:val="0"/>
          <w:sz w:val="24"/>
        </w:rPr>
        <w:t>电　话：0771-2213708，18378062480　</w:t>
      </w:r>
    </w:p>
    <w:p>
      <w:pPr>
        <w:widowControl/>
        <w:wordWrap w:val="0"/>
        <w:spacing w:line="440" w:lineRule="exact"/>
        <w:jc w:val="right"/>
        <w:rPr>
          <w:rFonts w:ascii="宋体" w:hAnsi="宋体" w:cs="宋体"/>
          <w:sz w:val="24"/>
        </w:rPr>
      </w:pPr>
      <w:r>
        <w:rPr>
          <w:rFonts w:hint="eastAsia" w:ascii="宋体" w:hAnsi="宋体" w:cs="宋体"/>
          <w:sz w:val="24"/>
        </w:rPr>
        <w:t>2022年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p>
    <w:p>
      <w:pPr>
        <w:widowControl/>
        <w:jc w:val="left"/>
        <w:rPr>
          <w:rFonts w:ascii="宋体" w:cs="宋体"/>
          <w:kern w:val="0"/>
          <w:szCs w:val="21"/>
        </w:rPr>
      </w:pPr>
      <w:r>
        <w:rPr>
          <w:rFonts w:ascii="宋体" w:cs="宋体"/>
          <w:kern w:val="0"/>
          <w:szCs w:val="21"/>
        </w:rPr>
        <w:br w:type="page"/>
      </w:r>
    </w:p>
    <w:p>
      <w:pPr>
        <w:jc w:val="center"/>
        <w:outlineLvl w:val="0"/>
        <w:rPr>
          <w:b/>
          <w:sz w:val="36"/>
          <w:szCs w:val="36"/>
        </w:rPr>
      </w:pPr>
      <w:bookmarkStart w:id="1" w:name="_Toc501090496"/>
      <w:r>
        <w:rPr>
          <w:rFonts w:hint="eastAsia"/>
          <w:b/>
          <w:sz w:val="36"/>
          <w:szCs w:val="36"/>
        </w:rPr>
        <w:t>第二章竞标人须知及前附表</w:t>
      </w:r>
      <w:bookmarkEnd w:id="1"/>
    </w:p>
    <w:p>
      <w:pPr>
        <w:pStyle w:val="25"/>
        <w:spacing w:before="120" w:line="360" w:lineRule="auto"/>
        <w:jc w:val="center"/>
        <w:outlineLvl w:val="1"/>
        <w:rPr>
          <w:rFonts w:hAnsi="宋体"/>
          <w:b/>
          <w:sz w:val="32"/>
          <w:szCs w:val="32"/>
        </w:rPr>
      </w:pPr>
      <w:bookmarkStart w:id="2" w:name="_Toc501090360"/>
      <w:bookmarkStart w:id="3" w:name="_Toc501090497"/>
      <w:r>
        <w:rPr>
          <w:rFonts w:hint="eastAsia" w:hAnsi="宋体"/>
          <w:b/>
          <w:sz w:val="32"/>
          <w:szCs w:val="32"/>
        </w:rPr>
        <w:t>竞标人须知前附表</w:t>
      </w:r>
      <w:bookmarkEnd w:id="2"/>
      <w:bookmarkEnd w:id="3"/>
    </w:p>
    <w:tbl>
      <w:tblPr>
        <w:tblStyle w:val="46"/>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516"/>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97" w:type="dxa"/>
            <w:vAlign w:val="center"/>
          </w:tcPr>
          <w:p>
            <w:pPr>
              <w:pStyle w:val="25"/>
              <w:spacing w:line="420" w:lineRule="exact"/>
              <w:jc w:val="center"/>
              <w:rPr>
                <w:rFonts w:hAnsi="宋体"/>
                <w:b/>
                <w:sz w:val="24"/>
                <w:szCs w:val="24"/>
              </w:rPr>
            </w:pPr>
            <w:r>
              <w:rPr>
                <w:rFonts w:hint="eastAsia" w:hAnsi="宋体"/>
                <w:b/>
                <w:sz w:val="24"/>
                <w:szCs w:val="24"/>
              </w:rPr>
              <w:t>序号</w:t>
            </w:r>
          </w:p>
        </w:tc>
        <w:tc>
          <w:tcPr>
            <w:tcW w:w="1516" w:type="dxa"/>
            <w:vAlign w:val="center"/>
          </w:tcPr>
          <w:p>
            <w:pPr>
              <w:pStyle w:val="25"/>
              <w:spacing w:line="420" w:lineRule="exact"/>
              <w:jc w:val="center"/>
              <w:rPr>
                <w:rFonts w:hAnsi="宋体"/>
                <w:b/>
                <w:sz w:val="24"/>
                <w:szCs w:val="24"/>
              </w:rPr>
            </w:pPr>
            <w:r>
              <w:rPr>
                <w:rFonts w:hint="eastAsia" w:hAnsi="宋体"/>
                <w:b/>
                <w:sz w:val="24"/>
                <w:szCs w:val="24"/>
              </w:rPr>
              <w:t>条款名称</w:t>
            </w:r>
          </w:p>
        </w:tc>
        <w:tc>
          <w:tcPr>
            <w:tcW w:w="7540" w:type="dxa"/>
            <w:vAlign w:val="center"/>
          </w:tcPr>
          <w:p>
            <w:pPr>
              <w:pStyle w:val="25"/>
              <w:spacing w:line="420" w:lineRule="exact"/>
              <w:jc w:val="center"/>
              <w:rPr>
                <w:rFonts w:hAnsi="宋体"/>
                <w:b/>
                <w:sz w:val="24"/>
                <w:szCs w:val="24"/>
              </w:rPr>
            </w:pPr>
            <w:r>
              <w:rPr>
                <w:rFonts w:hint="eastAsia" w:hAnsi="宋体"/>
                <w:b/>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97" w:type="dxa"/>
            <w:vAlign w:val="center"/>
          </w:tcPr>
          <w:p>
            <w:pPr>
              <w:pStyle w:val="25"/>
              <w:spacing w:line="420" w:lineRule="exact"/>
              <w:jc w:val="center"/>
              <w:rPr>
                <w:rFonts w:hAnsi="宋体"/>
                <w:sz w:val="24"/>
                <w:szCs w:val="24"/>
              </w:rPr>
            </w:pPr>
            <w:r>
              <w:rPr>
                <w:rFonts w:hAnsi="宋体"/>
                <w:sz w:val="24"/>
                <w:szCs w:val="24"/>
              </w:rPr>
              <w:t>1</w:t>
            </w:r>
          </w:p>
        </w:tc>
        <w:tc>
          <w:tcPr>
            <w:tcW w:w="1516" w:type="dxa"/>
            <w:vAlign w:val="center"/>
          </w:tcPr>
          <w:p>
            <w:pPr>
              <w:pStyle w:val="25"/>
              <w:spacing w:line="420" w:lineRule="exact"/>
              <w:jc w:val="center"/>
              <w:rPr>
                <w:rFonts w:hAnsi="宋体"/>
                <w:sz w:val="24"/>
                <w:szCs w:val="24"/>
              </w:rPr>
            </w:pPr>
            <w:r>
              <w:rPr>
                <w:rFonts w:hint="eastAsia" w:hAnsi="宋体"/>
                <w:sz w:val="24"/>
                <w:szCs w:val="24"/>
              </w:rPr>
              <w:t>项目名称及编号</w:t>
            </w:r>
          </w:p>
        </w:tc>
        <w:tc>
          <w:tcPr>
            <w:tcW w:w="7540" w:type="dxa"/>
            <w:vAlign w:val="center"/>
          </w:tcPr>
          <w:p>
            <w:pPr>
              <w:pStyle w:val="13"/>
              <w:numPr>
                <w:ilvl w:val="0"/>
                <w:numId w:val="0"/>
              </w:numPr>
              <w:spacing w:after="165" w:line="276" w:lineRule="auto"/>
              <w:rPr>
                <w:rFonts w:ascii="宋体" w:hAnsi="宋体"/>
              </w:rPr>
            </w:pPr>
            <w:r>
              <w:rPr>
                <w:rFonts w:hint="eastAsia" w:ascii="宋体" w:hAnsi="宋体"/>
              </w:rPr>
              <w:t>项目名称：</w:t>
            </w:r>
            <w:r>
              <w:rPr>
                <w:rFonts w:hint="eastAsia" w:ascii="宋体" w:hAnsi="宋体" w:cs="宋体"/>
              </w:rPr>
              <w:t>交通（铁路）智能化综合服务平台建设项目</w:t>
            </w:r>
          </w:p>
          <w:p>
            <w:pPr>
              <w:spacing w:line="360" w:lineRule="exact"/>
              <w:rPr>
                <w:u w:val="single"/>
              </w:rPr>
            </w:pPr>
            <w:r>
              <w:rPr>
                <w:rFonts w:hint="eastAsia" w:ascii="宋体" w:hAnsi="宋体" w:cs="宋体"/>
                <w:sz w:val="24"/>
              </w:rPr>
              <w:t>项目编号： GXHH（Z）2022005C3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497" w:type="dxa"/>
            <w:vAlign w:val="center"/>
          </w:tcPr>
          <w:p>
            <w:pPr>
              <w:pStyle w:val="25"/>
              <w:spacing w:line="420" w:lineRule="exact"/>
              <w:jc w:val="center"/>
              <w:rPr>
                <w:rFonts w:hAnsi="宋体"/>
                <w:sz w:val="24"/>
                <w:szCs w:val="24"/>
              </w:rPr>
            </w:pPr>
            <w:r>
              <w:rPr>
                <w:rFonts w:hAnsi="宋体"/>
                <w:sz w:val="24"/>
                <w:szCs w:val="24"/>
              </w:rPr>
              <w:t>2</w:t>
            </w:r>
          </w:p>
        </w:tc>
        <w:tc>
          <w:tcPr>
            <w:tcW w:w="1516" w:type="dxa"/>
            <w:vAlign w:val="center"/>
          </w:tcPr>
          <w:p>
            <w:pPr>
              <w:spacing w:line="360" w:lineRule="exact"/>
              <w:jc w:val="center"/>
              <w:rPr>
                <w:rFonts w:ascii="宋体"/>
                <w:sz w:val="24"/>
              </w:rPr>
            </w:pPr>
            <w:r>
              <w:rPr>
                <w:rFonts w:hint="eastAsia" w:ascii="宋体" w:hAnsi="宋体"/>
                <w:sz w:val="24"/>
              </w:rPr>
              <w:t>竞标人资格</w:t>
            </w:r>
          </w:p>
        </w:tc>
        <w:tc>
          <w:tcPr>
            <w:tcW w:w="7540" w:type="dxa"/>
            <w:vAlign w:val="center"/>
          </w:tcPr>
          <w:p>
            <w:pPr>
              <w:snapToGrid w:val="0"/>
              <w:spacing w:line="360" w:lineRule="auto"/>
              <w:jc w:val="left"/>
              <w:rPr>
                <w:rFonts w:cs="宋体"/>
                <w:bCs/>
                <w:sz w:val="24"/>
              </w:rPr>
            </w:pPr>
            <w:r>
              <w:rPr>
                <w:rFonts w:hint="eastAsia" w:cs="宋体"/>
                <w:bCs/>
                <w:sz w:val="24"/>
              </w:rPr>
              <w:t>1.满足《中华人民共和国政府采购法》第二十二条规定；</w:t>
            </w:r>
          </w:p>
          <w:p>
            <w:pPr>
              <w:snapToGrid w:val="0"/>
              <w:spacing w:line="360" w:lineRule="auto"/>
              <w:jc w:val="left"/>
              <w:rPr>
                <w:rFonts w:cs="宋体"/>
                <w:bCs/>
                <w:sz w:val="24"/>
              </w:rPr>
            </w:pPr>
            <w:r>
              <w:rPr>
                <w:rFonts w:hint="eastAsia" w:cs="宋体"/>
                <w:bCs/>
                <w:sz w:val="24"/>
              </w:rPr>
              <w:t>2.落实政府采购政策需满足的资格要求：</w:t>
            </w:r>
          </w:p>
          <w:p>
            <w:pPr>
              <w:snapToGrid w:val="0"/>
              <w:spacing w:line="360" w:lineRule="auto"/>
              <w:jc w:val="left"/>
              <w:rPr>
                <w:rFonts w:cs="宋体"/>
                <w:bCs/>
                <w:sz w:val="24"/>
              </w:rPr>
            </w:pPr>
            <w:r>
              <w:rPr>
                <w:rFonts w:hint="eastAsia" w:cs="宋体"/>
                <w:bCs/>
                <w:sz w:val="24"/>
              </w:rPr>
              <w:sym w:font="Wingdings 2" w:char="00A3"/>
            </w:r>
            <w:r>
              <w:rPr>
                <w:rFonts w:hint="eastAsia" w:cs="宋体"/>
                <w:bCs/>
                <w:sz w:val="24"/>
              </w:rPr>
              <w:t>专门面向中小企业采购的项目（供应商应为中小微企业、监狱企业、残疾人福利性单位)</w:t>
            </w:r>
          </w:p>
          <w:p>
            <w:pPr>
              <w:snapToGrid w:val="0"/>
              <w:spacing w:line="360" w:lineRule="auto"/>
              <w:jc w:val="left"/>
              <w:rPr>
                <w:rFonts w:cs="宋体"/>
                <w:bCs/>
                <w:sz w:val="24"/>
              </w:rPr>
            </w:pPr>
            <w:r>
              <w:rPr>
                <w:rFonts w:hint="eastAsia" w:cs="宋体"/>
                <w:bCs/>
                <w:sz w:val="24"/>
              </w:rPr>
              <w:t>☑非专门面向中小企业采购的项目</w:t>
            </w:r>
          </w:p>
          <w:p>
            <w:pPr>
              <w:snapToGrid w:val="0"/>
              <w:spacing w:line="360" w:lineRule="auto"/>
              <w:jc w:val="left"/>
              <w:rPr>
                <w:rFonts w:cs="宋体"/>
                <w:bCs/>
                <w:sz w:val="24"/>
              </w:rPr>
            </w:pPr>
            <w:r>
              <w:rPr>
                <w:rFonts w:hint="eastAsia" w:cs="宋体"/>
                <w:bCs/>
                <w:sz w:val="24"/>
              </w:rPr>
              <w:t>3.本项目的特定资格要求：无。</w:t>
            </w:r>
          </w:p>
          <w:p>
            <w:pPr>
              <w:snapToGrid w:val="0"/>
              <w:spacing w:line="360" w:lineRule="auto"/>
              <w:jc w:val="left"/>
              <w:rPr>
                <w:rFonts w:cs="宋体"/>
                <w:bCs/>
                <w:sz w:val="24"/>
              </w:rPr>
            </w:pPr>
            <w:r>
              <w:rPr>
                <w:rFonts w:hint="eastAsia" w:cs="宋体"/>
                <w:bCs/>
                <w:sz w:val="24"/>
              </w:rPr>
              <w:t>4. 本项目的特定条件：无。</w:t>
            </w:r>
          </w:p>
          <w:p>
            <w:pPr>
              <w:snapToGrid w:val="0"/>
              <w:spacing w:line="360" w:lineRule="auto"/>
              <w:jc w:val="left"/>
              <w:rPr>
                <w:rFonts w:cs="宋体"/>
                <w:bCs/>
                <w:sz w:val="24"/>
              </w:rPr>
            </w:pPr>
            <w:r>
              <w:rPr>
                <w:rFonts w:hint="eastAsia" w:cs="宋体"/>
                <w:bCs/>
                <w:sz w:val="24"/>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jc w:val="left"/>
              <w:rPr>
                <w:rFonts w:ascii="宋体" w:hAnsi="宋体" w:cs="宋体"/>
                <w:sz w:val="24"/>
              </w:rPr>
            </w:pPr>
            <w:r>
              <w:rPr>
                <w:rFonts w:hint="eastAsia" w:cs="宋体"/>
                <w:bCs/>
                <w:sz w:val="24"/>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97" w:type="dxa"/>
            <w:vAlign w:val="center"/>
          </w:tcPr>
          <w:p>
            <w:pPr>
              <w:pStyle w:val="25"/>
              <w:spacing w:line="420" w:lineRule="exact"/>
              <w:jc w:val="center"/>
              <w:rPr>
                <w:rFonts w:hAnsi="宋体"/>
                <w:sz w:val="24"/>
                <w:szCs w:val="24"/>
              </w:rPr>
            </w:pPr>
            <w:r>
              <w:rPr>
                <w:rFonts w:hAnsi="宋体"/>
                <w:sz w:val="24"/>
                <w:szCs w:val="24"/>
              </w:rPr>
              <w:t>3</w:t>
            </w:r>
          </w:p>
        </w:tc>
        <w:tc>
          <w:tcPr>
            <w:tcW w:w="1516" w:type="dxa"/>
            <w:vAlign w:val="center"/>
          </w:tcPr>
          <w:p>
            <w:pPr>
              <w:spacing w:line="360" w:lineRule="exact"/>
              <w:jc w:val="center"/>
              <w:rPr>
                <w:rFonts w:ascii="宋体"/>
                <w:sz w:val="24"/>
              </w:rPr>
            </w:pPr>
            <w:r>
              <w:rPr>
                <w:rFonts w:hint="eastAsia" w:ascii="宋体" w:hAnsi="宋体"/>
                <w:sz w:val="24"/>
              </w:rPr>
              <w:t>竞标费用</w:t>
            </w:r>
          </w:p>
        </w:tc>
        <w:tc>
          <w:tcPr>
            <w:tcW w:w="7540" w:type="dxa"/>
            <w:vAlign w:val="center"/>
          </w:tcPr>
          <w:p>
            <w:pPr>
              <w:spacing w:line="340" w:lineRule="exact"/>
              <w:jc w:val="left"/>
              <w:rPr>
                <w:rFonts w:ascii="宋体"/>
                <w:sz w:val="24"/>
              </w:rPr>
            </w:pPr>
            <w:r>
              <w:rPr>
                <w:rFonts w:hint="eastAsia" w:ascii="宋体" w:hAnsi="宋体"/>
                <w:sz w:val="24"/>
              </w:rPr>
              <w:t>不论</w:t>
            </w:r>
            <w:r>
              <w:rPr>
                <w:rFonts w:hint="eastAsia" w:ascii="宋体" w:hAnsi="宋体" w:cs="宋体"/>
                <w:sz w:val="24"/>
              </w:rPr>
              <w:t>竞</w:t>
            </w:r>
            <w:r>
              <w:rPr>
                <w:rFonts w:hint="eastAsia" w:ascii="宋体" w:hAnsi="宋体"/>
                <w:sz w:val="24"/>
              </w:rPr>
              <w:t>标结果如何，竞标人均应自行承担所有与竞标有关的全部费用。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497" w:type="dxa"/>
            <w:vAlign w:val="center"/>
          </w:tcPr>
          <w:p>
            <w:pPr>
              <w:pStyle w:val="25"/>
              <w:spacing w:line="420" w:lineRule="exact"/>
              <w:jc w:val="center"/>
              <w:rPr>
                <w:rFonts w:hAnsi="宋体"/>
                <w:sz w:val="24"/>
                <w:szCs w:val="24"/>
              </w:rPr>
            </w:pPr>
            <w:r>
              <w:rPr>
                <w:rFonts w:hAnsi="宋体"/>
                <w:sz w:val="24"/>
                <w:szCs w:val="24"/>
              </w:rPr>
              <w:t>4</w:t>
            </w:r>
          </w:p>
        </w:tc>
        <w:tc>
          <w:tcPr>
            <w:tcW w:w="1516" w:type="dxa"/>
            <w:vAlign w:val="center"/>
          </w:tcPr>
          <w:p>
            <w:pPr>
              <w:spacing w:line="360" w:lineRule="exact"/>
              <w:jc w:val="center"/>
              <w:rPr>
                <w:rFonts w:ascii="宋体"/>
                <w:position w:val="-2"/>
                <w:sz w:val="24"/>
              </w:rPr>
            </w:pPr>
            <w:r>
              <w:rPr>
                <w:rFonts w:hint="eastAsia" w:ascii="宋体" w:hAnsi="宋体"/>
                <w:sz w:val="24"/>
              </w:rPr>
              <w:t>竞标报价</w:t>
            </w:r>
          </w:p>
        </w:tc>
        <w:tc>
          <w:tcPr>
            <w:tcW w:w="7540" w:type="dxa"/>
            <w:vAlign w:val="center"/>
          </w:tcPr>
          <w:p>
            <w:pPr>
              <w:spacing w:line="340" w:lineRule="exact"/>
              <w:rPr>
                <w:rFonts w:ascii="宋体"/>
                <w:sz w:val="24"/>
              </w:rPr>
            </w:pPr>
            <w:r>
              <w:rPr>
                <w:rFonts w:hint="eastAsia" w:ascii="宋体" w:hAnsi="宋体"/>
                <w:sz w:val="24"/>
              </w:rPr>
              <w:t>竞标人须就《项目采购需求》中的某一标段或多个标段内容作完整唯一报价。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497" w:type="dxa"/>
            <w:vAlign w:val="center"/>
          </w:tcPr>
          <w:p>
            <w:pPr>
              <w:pStyle w:val="25"/>
              <w:spacing w:line="420" w:lineRule="exact"/>
              <w:jc w:val="center"/>
              <w:rPr>
                <w:rFonts w:hAnsi="宋体"/>
                <w:sz w:val="24"/>
                <w:szCs w:val="24"/>
              </w:rPr>
            </w:pPr>
            <w:r>
              <w:rPr>
                <w:rFonts w:hAnsi="宋体"/>
                <w:sz w:val="24"/>
                <w:szCs w:val="24"/>
              </w:rPr>
              <w:t>5</w:t>
            </w:r>
          </w:p>
        </w:tc>
        <w:tc>
          <w:tcPr>
            <w:tcW w:w="1516" w:type="dxa"/>
            <w:vAlign w:val="center"/>
          </w:tcPr>
          <w:p>
            <w:pPr>
              <w:spacing w:line="360" w:lineRule="exact"/>
              <w:jc w:val="center"/>
              <w:rPr>
                <w:rFonts w:ascii="宋体"/>
                <w:position w:val="-2"/>
                <w:sz w:val="24"/>
              </w:rPr>
            </w:pPr>
            <w:r>
              <w:rPr>
                <w:rFonts w:hint="eastAsia" w:ascii="宋体" w:hAnsi="宋体"/>
                <w:position w:val="-2"/>
                <w:sz w:val="24"/>
              </w:rPr>
              <w:t>竞标有效期</w:t>
            </w:r>
          </w:p>
        </w:tc>
        <w:tc>
          <w:tcPr>
            <w:tcW w:w="7540" w:type="dxa"/>
            <w:vAlign w:val="center"/>
          </w:tcPr>
          <w:p>
            <w:pPr>
              <w:tabs>
                <w:tab w:val="left" w:pos="1305"/>
              </w:tabs>
              <w:spacing w:line="340" w:lineRule="exact"/>
              <w:jc w:val="left"/>
              <w:rPr>
                <w:rFonts w:ascii="宋体"/>
                <w:sz w:val="24"/>
              </w:rPr>
            </w:pPr>
            <w:r>
              <w:rPr>
                <w:rFonts w:hint="eastAsia" w:ascii="宋体" w:hAnsi="宋体"/>
                <w:sz w:val="24"/>
              </w:rPr>
              <w:t>竞标截止之日起</w:t>
            </w:r>
            <w:r>
              <w:rPr>
                <w:rFonts w:ascii="宋体" w:hAnsi="宋体"/>
                <w:sz w:val="24"/>
              </w:rPr>
              <w:t>60</w:t>
            </w:r>
            <w:r>
              <w:rPr>
                <w:rFonts w:hint="eastAsia" w:ascii="宋体" w:hAnsi="宋体"/>
                <w:sz w:val="24"/>
              </w:rPr>
              <w:t>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497" w:type="dxa"/>
            <w:vAlign w:val="center"/>
          </w:tcPr>
          <w:p>
            <w:pPr>
              <w:pStyle w:val="25"/>
              <w:spacing w:line="420" w:lineRule="exact"/>
              <w:jc w:val="center"/>
              <w:rPr>
                <w:rFonts w:hAnsi="宋体"/>
                <w:sz w:val="24"/>
                <w:szCs w:val="24"/>
              </w:rPr>
            </w:pPr>
            <w:r>
              <w:rPr>
                <w:rFonts w:hint="eastAsia" w:hAnsi="宋体"/>
                <w:sz w:val="24"/>
                <w:szCs w:val="24"/>
              </w:rPr>
              <w:t>6</w:t>
            </w:r>
          </w:p>
        </w:tc>
        <w:tc>
          <w:tcPr>
            <w:tcW w:w="1516" w:type="dxa"/>
            <w:vAlign w:val="center"/>
          </w:tcPr>
          <w:p>
            <w:pPr>
              <w:spacing w:line="360" w:lineRule="exact"/>
              <w:jc w:val="center"/>
              <w:rPr>
                <w:rFonts w:ascii="宋体"/>
                <w:sz w:val="24"/>
              </w:rPr>
            </w:pPr>
            <w:r>
              <w:rPr>
                <w:rFonts w:hint="eastAsia" w:ascii="宋体" w:hAnsi="宋体"/>
                <w:sz w:val="24"/>
              </w:rPr>
              <w:t>响应文件份数</w:t>
            </w:r>
          </w:p>
        </w:tc>
        <w:tc>
          <w:tcPr>
            <w:tcW w:w="7540" w:type="dxa"/>
            <w:vAlign w:val="center"/>
          </w:tcPr>
          <w:p>
            <w:pPr>
              <w:spacing w:line="350" w:lineRule="exact"/>
              <w:rPr>
                <w:rFonts w:ascii="宋体"/>
                <w:sz w:val="24"/>
              </w:rPr>
            </w:pPr>
            <w:r>
              <w:rPr>
                <w:rFonts w:hint="eastAsia" w:ascii="宋体" w:hAnsi="宋体"/>
                <w:b/>
                <w:color w:val="000000" w:themeColor="text1"/>
                <w:sz w:val="24"/>
                <w14:textFill>
                  <w14:solidFill>
                    <w14:schemeClr w14:val="tx1"/>
                  </w14:solidFill>
                </w14:textFill>
              </w:rPr>
              <w:t>正本壹册，副本叁册</w:t>
            </w:r>
            <w:r>
              <w:rPr>
                <w:rFonts w:ascii="宋体"/>
                <w:sz w:val="24"/>
              </w:rPr>
              <w:t>,</w:t>
            </w:r>
            <w:r>
              <w:rPr>
                <w:rFonts w:hint="eastAsia" w:ascii="宋体" w:hAnsi="宋体"/>
                <w:sz w:val="24"/>
              </w:rPr>
              <w:t>电子版响应文件壹份（电子文件为含签章的正本文件扫描件，</w:t>
            </w:r>
            <w:r>
              <w:rPr>
                <w:rFonts w:ascii="宋体" w:hAnsi="宋体"/>
                <w:sz w:val="24"/>
              </w:rPr>
              <w:t>U</w:t>
            </w:r>
            <w:r>
              <w:rPr>
                <w:rFonts w:hint="eastAsia" w:ascii="宋体" w:hAnsi="宋体"/>
                <w:sz w:val="24"/>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97" w:type="dxa"/>
            <w:vAlign w:val="center"/>
          </w:tcPr>
          <w:p>
            <w:pPr>
              <w:pStyle w:val="25"/>
              <w:spacing w:line="420" w:lineRule="exact"/>
              <w:jc w:val="center"/>
              <w:rPr>
                <w:rFonts w:hAnsi="宋体"/>
                <w:sz w:val="24"/>
                <w:szCs w:val="24"/>
              </w:rPr>
            </w:pPr>
            <w:r>
              <w:rPr>
                <w:rFonts w:hint="eastAsia" w:hAnsi="宋体"/>
                <w:sz w:val="24"/>
                <w:szCs w:val="24"/>
              </w:rPr>
              <w:t>7</w:t>
            </w:r>
          </w:p>
        </w:tc>
        <w:tc>
          <w:tcPr>
            <w:tcW w:w="1516" w:type="dxa"/>
            <w:vAlign w:val="center"/>
          </w:tcPr>
          <w:p>
            <w:pPr>
              <w:spacing w:line="360" w:lineRule="exact"/>
              <w:jc w:val="center"/>
              <w:rPr>
                <w:rFonts w:ascii="宋体"/>
                <w:position w:val="10"/>
                <w:sz w:val="24"/>
              </w:rPr>
            </w:pPr>
            <w:r>
              <w:rPr>
                <w:rFonts w:hint="eastAsia" w:ascii="宋体" w:hAnsi="宋体"/>
                <w:sz w:val="24"/>
              </w:rPr>
              <w:t>响应文件装订要求</w:t>
            </w:r>
          </w:p>
        </w:tc>
        <w:tc>
          <w:tcPr>
            <w:tcW w:w="7540" w:type="dxa"/>
            <w:vAlign w:val="center"/>
          </w:tcPr>
          <w:p>
            <w:pPr>
              <w:spacing w:line="350" w:lineRule="exact"/>
              <w:rPr>
                <w:rFonts w:ascii="宋体"/>
                <w:sz w:val="24"/>
              </w:rPr>
            </w:pPr>
            <w:r>
              <w:rPr>
                <w:rFonts w:hint="eastAsia" w:ascii="宋体" w:hAnsi="宋体"/>
                <w:b/>
                <w:sz w:val="24"/>
              </w:rPr>
              <w:t>响应文件按标段（如有）进行编制、装订</w:t>
            </w:r>
            <w:r>
              <w:rPr>
                <w:rFonts w:hint="eastAsia" w:ascii="宋体" w:hAnsi="宋体"/>
                <w:sz w:val="24"/>
              </w:rPr>
              <w:t>，竞标人应按竞标人须知“响应文件组成”规定的顺序自编目录及页码，响应文件的“正本”、“副本”应当单独装订成册并标注页码，装订应牢固，不易拆散和换页。封面应注明“正本”、“副本”字样，封面上写明项目名称、项目编号、采购代理机构、竞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97" w:type="dxa"/>
            <w:vAlign w:val="center"/>
          </w:tcPr>
          <w:p>
            <w:pPr>
              <w:pStyle w:val="25"/>
              <w:spacing w:line="420" w:lineRule="exact"/>
              <w:jc w:val="center"/>
              <w:rPr>
                <w:rFonts w:hAnsi="宋体"/>
                <w:sz w:val="24"/>
                <w:szCs w:val="24"/>
              </w:rPr>
            </w:pPr>
            <w:r>
              <w:rPr>
                <w:rFonts w:hint="eastAsia" w:hAnsi="宋体"/>
                <w:sz w:val="24"/>
                <w:szCs w:val="24"/>
              </w:rPr>
              <w:t>8</w:t>
            </w:r>
          </w:p>
        </w:tc>
        <w:tc>
          <w:tcPr>
            <w:tcW w:w="1516" w:type="dxa"/>
            <w:vAlign w:val="center"/>
          </w:tcPr>
          <w:p>
            <w:pPr>
              <w:spacing w:line="360" w:lineRule="exact"/>
              <w:jc w:val="center"/>
              <w:rPr>
                <w:rFonts w:ascii="宋体"/>
                <w:sz w:val="24"/>
              </w:rPr>
            </w:pPr>
            <w:r>
              <w:rPr>
                <w:rFonts w:hint="eastAsia" w:ascii="宋体" w:hAnsi="宋体"/>
                <w:sz w:val="24"/>
              </w:rPr>
              <w:t>响应文件包装、密封、标记</w:t>
            </w:r>
          </w:p>
        </w:tc>
        <w:tc>
          <w:tcPr>
            <w:tcW w:w="7540" w:type="dxa"/>
            <w:vAlign w:val="center"/>
          </w:tcPr>
          <w:p>
            <w:pPr>
              <w:spacing w:line="350" w:lineRule="exact"/>
              <w:rPr>
                <w:rFonts w:ascii="宋体"/>
                <w:sz w:val="24"/>
              </w:rPr>
            </w:pPr>
            <w:r>
              <w:rPr>
                <w:rFonts w:hint="eastAsia" w:ascii="宋体" w:hAnsi="宋体"/>
                <w:b/>
                <w:sz w:val="24"/>
              </w:rPr>
              <w:t>响应文件按标段（如有）包装、密封：</w:t>
            </w:r>
            <w:r>
              <w:rPr>
                <w:rFonts w:hint="eastAsia" w:ascii="宋体" w:hAnsi="宋体" w:cs="宋体"/>
                <w:sz w:val="24"/>
              </w:rPr>
              <w:t>竞标人须将响应文件“正本”、“副本”以及电子版响应文件一并装入并密封在一个响应文件袋（盒、箱）中，并在密封处密封签章（公章、密封章、法定代表人或其授权委托代理人签字均可）。</w:t>
            </w:r>
          </w:p>
          <w:p>
            <w:pPr>
              <w:spacing w:line="350" w:lineRule="exact"/>
              <w:rPr>
                <w:rFonts w:ascii="宋体"/>
                <w:b/>
                <w:sz w:val="24"/>
              </w:rPr>
            </w:pPr>
            <w:r>
              <w:rPr>
                <w:rFonts w:hint="eastAsia" w:ascii="宋体" w:hAnsi="宋体"/>
                <w:b/>
                <w:sz w:val="24"/>
              </w:rPr>
              <w:t>响应文件袋标记：</w:t>
            </w:r>
          </w:p>
          <w:p>
            <w:pPr>
              <w:spacing w:line="340" w:lineRule="exact"/>
              <w:rPr>
                <w:rFonts w:ascii="宋体"/>
                <w:sz w:val="24"/>
              </w:rPr>
            </w:pPr>
            <w:r>
              <w:rPr>
                <w:rFonts w:hint="eastAsia" w:ascii="宋体" w:hAnsi="宋体"/>
                <w:sz w:val="24"/>
              </w:rPr>
              <w:t xml:space="preserve">项目名称： </w:t>
            </w:r>
          </w:p>
          <w:p>
            <w:pPr>
              <w:spacing w:line="340" w:lineRule="exact"/>
              <w:rPr>
                <w:rFonts w:ascii="宋体"/>
                <w:color w:val="FF0000"/>
                <w:sz w:val="24"/>
              </w:rPr>
            </w:pPr>
            <w:r>
              <w:rPr>
                <w:rFonts w:hint="eastAsia" w:ascii="宋体" w:hAnsi="宋体"/>
                <w:sz w:val="24"/>
              </w:rPr>
              <w:t>项目编号：</w:t>
            </w:r>
            <w:r>
              <w:rPr>
                <w:rFonts w:hint="eastAsia" w:ascii="宋体" w:hAnsi="宋体"/>
                <w:color w:val="FF0000"/>
                <w:sz w:val="24"/>
              </w:rPr>
              <w:t xml:space="preserve"> </w:t>
            </w:r>
          </w:p>
          <w:p>
            <w:pPr>
              <w:spacing w:line="340" w:lineRule="exact"/>
              <w:rPr>
                <w:rFonts w:ascii="宋体" w:hAnsi="宋体"/>
                <w:sz w:val="24"/>
              </w:rPr>
            </w:pPr>
            <w:r>
              <w:rPr>
                <w:rFonts w:hint="eastAsia" w:ascii="宋体" w:hAnsi="宋体"/>
                <w:sz w:val="24"/>
              </w:rPr>
              <w:t>标段：</w:t>
            </w:r>
          </w:p>
          <w:p>
            <w:pPr>
              <w:spacing w:line="340" w:lineRule="exact"/>
              <w:rPr>
                <w:rFonts w:ascii="宋体" w:cs="宋体"/>
                <w:kern w:val="0"/>
                <w:sz w:val="24"/>
                <w:u w:val="single"/>
              </w:rPr>
            </w:pPr>
            <w:r>
              <w:rPr>
                <w:rFonts w:hint="eastAsia" w:ascii="宋体" w:hAnsi="宋体"/>
                <w:sz w:val="24"/>
              </w:rPr>
              <w:t>采购代理机构：</w:t>
            </w:r>
            <w:r>
              <w:rPr>
                <w:rFonts w:hint="eastAsia" w:ascii="宋体" w:hAnsi="宋体" w:cs="Arial"/>
                <w:kern w:val="0"/>
                <w:sz w:val="24"/>
              </w:rPr>
              <w:t>广西海恒项目管理有限公司</w:t>
            </w:r>
          </w:p>
          <w:p>
            <w:pPr>
              <w:spacing w:line="350" w:lineRule="exact"/>
              <w:rPr>
                <w:rFonts w:ascii="宋体"/>
                <w:sz w:val="24"/>
              </w:rPr>
            </w:pPr>
            <w:r>
              <w:rPr>
                <w:rFonts w:hint="eastAsia" w:ascii="宋体" w:hAnsi="宋体"/>
                <w:sz w:val="24"/>
              </w:rPr>
              <w:t>竞标单位名称：</w:t>
            </w:r>
          </w:p>
          <w:p>
            <w:pPr>
              <w:spacing w:line="350" w:lineRule="exact"/>
              <w:rPr>
                <w:rFonts w:ascii="宋体"/>
                <w:sz w:val="24"/>
              </w:rPr>
            </w:pPr>
            <w:r>
              <w:rPr>
                <w:rFonts w:hint="eastAsia" w:ascii="宋体" w:hAnsi="宋体"/>
                <w:sz w:val="24"/>
              </w:rPr>
              <w:t>在  年  月  日时分前不得开启</w:t>
            </w:r>
            <w:r>
              <w:rPr>
                <w:rFonts w:ascii="宋体" w:hAnsi="宋体"/>
                <w:b/>
                <w:sz w:val="24"/>
              </w:rPr>
              <w:t>(</w:t>
            </w:r>
            <w:r>
              <w:rPr>
                <w:rFonts w:hint="eastAsia" w:ascii="宋体" w:hAnsi="宋体"/>
                <w:b/>
                <w:sz w:val="24"/>
              </w:rPr>
              <w:t>此处竞标人填写竞标截止时间</w:t>
            </w:r>
            <w:r>
              <w:rPr>
                <w:rFonts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497" w:type="dxa"/>
            <w:vAlign w:val="center"/>
          </w:tcPr>
          <w:p>
            <w:pPr>
              <w:pStyle w:val="25"/>
              <w:spacing w:line="420" w:lineRule="exact"/>
              <w:jc w:val="center"/>
              <w:rPr>
                <w:rFonts w:hAnsi="宋体"/>
                <w:sz w:val="24"/>
                <w:szCs w:val="24"/>
              </w:rPr>
            </w:pPr>
            <w:r>
              <w:rPr>
                <w:rFonts w:hint="eastAsia" w:hAnsi="宋体"/>
                <w:sz w:val="24"/>
                <w:szCs w:val="24"/>
              </w:rPr>
              <w:t>9</w:t>
            </w:r>
          </w:p>
        </w:tc>
        <w:tc>
          <w:tcPr>
            <w:tcW w:w="1516" w:type="dxa"/>
            <w:vAlign w:val="center"/>
          </w:tcPr>
          <w:p>
            <w:pPr>
              <w:spacing w:line="360" w:lineRule="exact"/>
              <w:jc w:val="center"/>
              <w:rPr>
                <w:rFonts w:ascii="宋体"/>
                <w:sz w:val="24"/>
              </w:rPr>
            </w:pPr>
            <w:r>
              <w:rPr>
                <w:rFonts w:hint="eastAsia" w:ascii="宋体" w:hAnsi="宋体"/>
                <w:sz w:val="24"/>
              </w:rPr>
              <w:t>竞标人公章</w:t>
            </w:r>
          </w:p>
        </w:tc>
        <w:tc>
          <w:tcPr>
            <w:tcW w:w="7540" w:type="dxa"/>
            <w:vAlign w:val="center"/>
          </w:tcPr>
          <w:p>
            <w:pPr>
              <w:spacing w:line="350" w:lineRule="exact"/>
              <w:rPr>
                <w:rFonts w:ascii="宋体"/>
                <w:sz w:val="24"/>
              </w:rPr>
            </w:pPr>
            <w:r>
              <w:rPr>
                <w:rFonts w:hint="eastAsia" w:ascii="宋体" w:hAnsi="宋体" w:cs="宋体"/>
                <w:sz w:val="24"/>
              </w:rPr>
              <w:t>本竞争性磋商采购文件中描述竞标人的</w:t>
            </w:r>
            <w:r>
              <w:rPr>
                <w:rFonts w:hint="eastAsia" w:ascii="宋体" w:cs="宋体"/>
                <w:sz w:val="24"/>
              </w:rPr>
              <w:t>“</w:t>
            </w:r>
            <w:r>
              <w:rPr>
                <w:rFonts w:hint="eastAsia" w:ascii="宋体" w:hAnsi="宋体" w:cs="宋体"/>
                <w:sz w:val="24"/>
              </w:rPr>
              <w:t>公章</w:t>
            </w:r>
            <w:r>
              <w:rPr>
                <w:rFonts w:hint="eastAsia" w:ascii="宋体" w:cs="宋体"/>
                <w:sz w:val="24"/>
              </w:rPr>
              <w:t>”</w:t>
            </w:r>
            <w:r>
              <w:rPr>
                <w:rFonts w:hint="eastAsia" w:ascii="宋体" w:hAnsi="宋体" w:cs="宋体"/>
                <w:sz w:val="24"/>
              </w:rPr>
              <w:t>是指根据我国对公章的管理规定，用竞标人法定主体行为名称制作的印章，除本文件有特殊规定外，竞标人的财务章、部门章、分公司章、工会章、合同章、投标专用章、业务专用章及银行的转账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497" w:type="dxa"/>
            <w:vAlign w:val="center"/>
          </w:tcPr>
          <w:p>
            <w:pPr>
              <w:pStyle w:val="25"/>
              <w:spacing w:line="420" w:lineRule="exact"/>
              <w:jc w:val="center"/>
              <w:rPr>
                <w:rFonts w:hAnsi="宋体"/>
                <w:sz w:val="24"/>
                <w:szCs w:val="24"/>
              </w:rPr>
            </w:pPr>
            <w:r>
              <w:rPr>
                <w:rFonts w:hint="eastAsia" w:hAnsi="宋体"/>
                <w:sz w:val="24"/>
                <w:szCs w:val="24"/>
              </w:rPr>
              <w:t>10</w:t>
            </w:r>
          </w:p>
        </w:tc>
        <w:tc>
          <w:tcPr>
            <w:tcW w:w="1516" w:type="dxa"/>
            <w:vAlign w:val="center"/>
          </w:tcPr>
          <w:p>
            <w:pPr>
              <w:spacing w:line="360" w:lineRule="exact"/>
              <w:jc w:val="center"/>
              <w:rPr>
                <w:rFonts w:ascii="宋体" w:hAnsi="宋体"/>
                <w:sz w:val="24"/>
              </w:rPr>
            </w:pPr>
            <w:r>
              <w:rPr>
                <w:rFonts w:hint="eastAsia" w:ascii="宋体" w:hAnsi="宋体"/>
                <w:sz w:val="24"/>
              </w:rPr>
              <w:t>竞标保证金</w:t>
            </w:r>
          </w:p>
        </w:tc>
        <w:tc>
          <w:tcPr>
            <w:tcW w:w="7540" w:type="dxa"/>
            <w:vAlign w:val="center"/>
          </w:tcPr>
          <w:p>
            <w:pPr>
              <w:spacing w:line="276" w:lineRule="auto"/>
              <w:ind w:firstLine="120" w:firstLineChars="50"/>
              <w:rPr>
                <w:rFonts w:ascii="宋体" w:hAnsi="宋体" w:cs="宋体"/>
                <w:b/>
                <w:sz w:val="24"/>
              </w:rPr>
            </w:pPr>
            <w:r>
              <w:rPr>
                <w:rFonts w:hint="eastAsia" w:ascii="宋体" w:hAnsi="宋体" w:cs="宋体"/>
                <w:b/>
                <w:sz w:val="24"/>
              </w:rPr>
              <w:t>竞标保证金</w:t>
            </w:r>
            <w:r>
              <w:rPr>
                <w:rFonts w:ascii="宋体" w:hAnsi="宋体" w:cs="宋体"/>
                <w:b/>
                <w:sz w:val="24"/>
              </w:rPr>
              <w:t>(</w:t>
            </w:r>
            <w:r>
              <w:rPr>
                <w:rFonts w:hint="eastAsia" w:ascii="宋体" w:hAnsi="宋体" w:cs="宋体"/>
                <w:b/>
                <w:sz w:val="24"/>
              </w:rPr>
              <w:t>人民币</w:t>
            </w:r>
            <w:r>
              <w:rPr>
                <w:rFonts w:ascii="宋体" w:hAnsi="宋体" w:cs="宋体"/>
                <w:b/>
                <w:sz w:val="24"/>
              </w:rPr>
              <w:t>)</w:t>
            </w:r>
            <w:r>
              <w:rPr>
                <w:rFonts w:hint="eastAsia" w:ascii="宋体" w:hAnsi="宋体" w:cs="宋体"/>
                <w:b/>
                <w:sz w:val="24"/>
              </w:rPr>
              <w:t>：10000元。</w:t>
            </w:r>
          </w:p>
          <w:p>
            <w:pPr>
              <w:spacing w:line="360" w:lineRule="exact"/>
              <w:ind w:firstLine="480"/>
              <w:rPr>
                <w:rFonts w:ascii="宋体" w:hAnsi="宋体" w:cs="宋体"/>
                <w:sz w:val="24"/>
              </w:rPr>
            </w:pPr>
            <w:r>
              <w:rPr>
                <w:rFonts w:hint="eastAsia" w:ascii="宋体" w:hAnsi="宋体" w:cs="宋体"/>
                <w:sz w:val="24"/>
              </w:rPr>
              <w:t>磋商保证金的交纳方式：银行转账、电汇或者银行、保险机构出具的保函，禁止采用现钞方式（分别按标段进行交纳）。</w:t>
            </w:r>
          </w:p>
          <w:p>
            <w:pPr>
              <w:tabs>
                <w:tab w:val="left" w:pos="1990"/>
              </w:tabs>
              <w:spacing w:line="340" w:lineRule="exact"/>
              <w:ind w:firstLine="480" w:firstLineChars="200"/>
              <w:rPr>
                <w:rFonts w:ascii="宋体" w:hAnsi="宋体"/>
                <w:sz w:val="24"/>
              </w:rPr>
            </w:pPr>
            <w:r>
              <w:rPr>
                <w:rFonts w:hint="eastAsia" w:ascii="宋体" w:hAnsi="宋体"/>
                <w:sz w:val="24"/>
              </w:rPr>
              <w:t>如选择以银行转账、电汇形式，交纳至以下账户：</w:t>
            </w:r>
          </w:p>
          <w:p>
            <w:pPr>
              <w:spacing w:line="360" w:lineRule="exact"/>
              <w:ind w:firstLine="480"/>
              <w:rPr>
                <w:rFonts w:ascii="宋体" w:hAnsi="宋体" w:cs="宋体"/>
                <w:sz w:val="24"/>
              </w:rPr>
            </w:pPr>
            <w:r>
              <w:rPr>
                <w:rFonts w:hint="eastAsia" w:ascii="宋体" w:hAnsi="宋体" w:cs="宋体"/>
                <w:sz w:val="24"/>
              </w:rPr>
              <w:t>开户名称：广西海恒项目管理有限公司</w:t>
            </w:r>
          </w:p>
          <w:p>
            <w:pPr>
              <w:spacing w:line="360" w:lineRule="exact"/>
              <w:ind w:firstLine="480"/>
              <w:rPr>
                <w:rFonts w:ascii="宋体" w:hAnsi="宋体" w:cs="宋体"/>
                <w:sz w:val="24"/>
              </w:rPr>
            </w:pPr>
            <w:r>
              <w:rPr>
                <w:rFonts w:hint="eastAsia" w:ascii="宋体" w:hAnsi="宋体" w:cs="宋体"/>
                <w:sz w:val="24"/>
              </w:rPr>
              <w:t xml:space="preserve">开户银行：中国民生银行广西自贸试验区南宁片区支行 </w:t>
            </w:r>
          </w:p>
          <w:p>
            <w:pPr>
              <w:spacing w:line="360" w:lineRule="exact"/>
              <w:ind w:firstLine="480"/>
              <w:rPr>
                <w:rFonts w:ascii="宋体" w:hAnsi="宋体" w:cs="宋体"/>
                <w:sz w:val="24"/>
              </w:rPr>
            </w:pPr>
            <w:r>
              <w:rPr>
                <w:rFonts w:hint="eastAsia" w:ascii="宋体" w:hAnsi="宋体" w:cs="宋体"/>
                <w:sz w:val="24"/>
              </w:rPr>
              <w:t>银行账号：171941518</w:t>
            </w:r>
          </w:p>
          <w:p>
            <w:pPr>
              <w:snapToGrid w:val="0"/>
              <w:spacing w:line="400" w:lineRule="exact"/>
              <w:jc w:val="left"/>
              <w:rPr>
                <w:rFonts w:ascii="宋体"/>
                <w:b/>
                <w:szCs w:val="21"/>
              </w:rPr>
            </w:pPr>
            <w:r>
              <w:rPr>
                <w:rFonts w:hint="eastAsia" w:ascii="宋体" w:hAnsi="宋体"/>
                <w:b/>
                <w:szCs w:val="21"/>
              </w:rPr>
              <w:t>竞标保证金：</w:t>
            </w:r>
          </w:p>
          <w:p>
            <w:pPr>
              <w:snapToGrid w:val="0"/>
              <w:spacing w:line="400" w:lineRule="exact"/>
              <w:jc w:val="left"/>
              <w:rPr>
                <w:rFonts w:ascii="宋体"/>
                <w:szCs w:val="21"/>
              </w:rPr>
            </w:pPr>
            <w:r>
              <w:rPr>
                <w:rFonts w:ascii="宋体" w:hAnsi="宋体"/>
                <w:szCs w:val="21"/>
              </w:rPr>
              <w:t xml:space="preserve">1. </w:t>
            </w:r>
            <w:r>
              <w:rPr>
                <w:rFonts w:hint="eastAsia" w:ascii="宋体" w:hAnsi="宋体"/>
                <w:szCs w:val="21"/>
              </w:rPr>
              <w:t>竞标人须按规定提交投标保证金。否则，其投标将被拒绝。</w:t>
            </w:r>
          </w:p>
          <w:p>
            <w:pPr>
              <w:snapToGrid w:val="0"/>
              <w:spacing w:line="400" w:lineRule="exact"/>
              <w:jc w:val="left"/>
              <w:rPr>
                <w:rFonts w:ascii="宋体"/>
                <w:szCs w:val="21"/>
              </w:rPr>
            </w:pPr>
            <w:r>
              <w:rPr>
                <w:rFonts w:ascii="宋体" w:hAnsi="宋体"/>
                <w:szCs w:val="21"/>
              </w:rPr>
              <w:t xml:space="preserve">2. </w:t>
            </w:r>
            <w:r>
              <w:rPr>
                <w:rFonts w:hint="eastAsia" w:ascii="宋体" w:hAnsi="宋体"/>
                <w:szCs w:val="21"/>
              </w:rPr>
              <w:t>竞标保证金交纳形式：</w:t>
            </w:r>
            <w:r>
              <w:rPr>
                <w:rFonts w:hint="eastAsia" w:ascii="宋体" w:hAnsi="宋体" w:cs="Arial"/>
                <w:b/>
                <w:bCs/>
                <w:szCs w:val="21"/>
                <w:u w:val="single"/>
              </w:rPr>
              <w:t>电汇、转账或保函（提供保函形式保证金的的须在递交响应文件时验证保函原件，响应文件中须放清晰可辨的保函复印件，无保函原件或保函不足额的视为无保证金）</w:t>
            </w:r>
            <w:r>
              <w:rPr>
                <w:rFonts w:hint="eastAsia" w:ascii="宋体" w:hAnsi="宋体"/>
                <w:szCs w:val="21"/>
              </w:rPr>
              <w:t>。</w:t>
            </w:r>
          </w:p>
          <w:p>
            <w:pPr>
              <w:snapToGrid w:val="0"/>
              <w:spacing w:line="400" w:lineRule="exact"/>
              <w:jc w:val="left"/>
              <w:rPr>
                <w:rFonts w:ascii="宋体"/>
                <w:b/>
                <w:szCs w:val="21"/>
              </w:rPr>
            </w:pPr>
            <w:r>
              <w:rPr>
                <w:rFonts w:ascii="宋体" w:hAnsi="宋体"/>
                <w:szCs w:val="21"/>
              </w:rPr>
              <w:t xml:space="preserve">3. </w:t>
            </w:r>
            <w:r>
              <w:rPr>
                <w:rFonts w:hint="eastAsia" w:ascii="宋体" w:hAnsi="宋体"/>
                <w:szCs w:val="21"/>
              </w:rPr>
              <w:t>未成交人的竞标保证金在成交通知书发出后五个工作日内退还</w:t>
            </w:r>
            <w:r>
              <w:rPr>
                <w:rFonts w:hint="eastAsia" w:ascii="宋体" w:hAnsi="宋体"/>
                <w:b/>
                <w:szCs w:val="21"/>
              </w:rPr>
              <w:t>。</w:t>
            </w:r>
          </w:p>
          <w:p>
            <w:pPr>
              <w:snapToGrid w:val="0"/>
              <w:spacing w:line="400" w:lineRule="exact"/>
              <w:jc w:val="left"/>
              <w:rPr>
                <w:rFonts w:ascii="宋体"/>
                <w:b/>
                <w:szCs w:val="21"/>
              </w:rPr>
            </w:pPr>
            <w:r>
              <w:rPr>
                <w:rFonts w:ascii="宋体" w:hAnsi="宋体"/>
                <w:szCs w:val="21"/>
              </w:rPr>
              <w:t xml:space="preserve">4. </w:t>
            </w:r>
            <w:r>
              <w:rPr>
                <w:rFonts w:hint="eastAsia" w:ascii="宋体" w:hAnsi="宋体"/>
                <w:szCs w:val="21"/>
              </w:rPr>
              <w:t>成交人应在成交通知书发出后</w:t>
            </w:r>
            <w:r>
              <w:rPr>
                <w:rFonts w:hint="eastAsia" w:ascii="宋体" w:hAnsi="宋体"/>
                <w:b/>
                <w:szCs w:val="21"/>
                <w:u w:val="single"/>
              </w:rPr>
              <w:t>15</w:t>
            </w:r>
            <w:r>
              <w:rPr>
                <w:rFonts w:hint="eastAsia" w:ascii="宋体" w:hAnsi="宋体"/>
                <w:szCs w:val="21"/>
              </w:rPr>
              <w:t>日内与采购人签订合同，成交人的竞标保证金在合同签订后五个工作日内退还，</w:t>
            </w:r>
            <w:r>
              <w:rPr>
                <w:rFonts w:hint="eastAsia" w:ascii="宋体" w:hAnsi="宋体"/>
                <w:b/>
                <w:szCs w:val="21"/>
              </w:rPr>
              <w:t>需提供成交人与采购人签订的采购合同书一份。</w:t>
            </w:r>
          </w:p>
          <w:p>
            <w:pPr>
              <w:snapToGrid w:val="0"/>
              <w:spacing w:line="400" w:lineRule="exact"/>
              <w:jc w:val="left"/>
              <w:rPr>
                <w:rFonts w:ascii="宋体"/>
                <w:bCs/>
                <w:szCs w:val="21"/>
              </w:rPr>
            </w:pPr>
            <w:r>
              <w:rPr>
                <w:rFonts w:ascii="宋体" w:hAnsi="宋体"/>
                <w:szCs w:val="21"/>
              </w:rPr>
              <w:t>5.</w:t>
            </w:r>
            <w:r>
              <w:rPr>
                <w:rFonts w:hint="eastAsia" w:ascii="宋体" w:hAnsi="宋体"/>
                <w:bCs/>
                <w:szCs w:val="21"/>
              </w:rPr>
              <w:t>竞标人有下列情形之一的，投标保证金将不予退还：</w:t>
            </w:r>
          </w:p>
          <w:p>
            <w:pPr>
              <w:snapToGrid w:val="0"/>
              <w:spacing w:line="400" w:lineRule="exact"/>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）竞标人在投标有效期内撤回投标文件的；</w:t>
            </w:r>
          </w:p>
          <w:p>
            <w:pPr>
              <w:snapToGrid w:val="0"/>
              <w:spacing w:line="400" w:lineRule="exact"/>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）竞标人在投标过程中弄虚作假，提供虚假材料的；</w:t>
            </w:r>
          </w:p>
          <w:p>
            <w:pPr>
              <w:snapToGrid w:val="0"/>
              <w:spacing w:line="400" w:lineRule="exact"/>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）成交人无正当理由不与采购人签订合同的；</w:t>
            </w:r>
          </w:p>
          <w:p>
            <w:pPr>
              <w:snapToGrid w:val="0"/>
              <w:spacing w:line="400" w:lineRule="exact"/>
              <w:rPr>
                <w:rFonts w:ascii="宋体"/>
                <w:szCs w:val="21"/>
              </w:rPr>
            </w:pPr>
            <w:r>
              <w:rPr>
                <w:rFonts w:hint="eastAsia" w:ascii="宋体" w:hAnsi="宋体"/>
                <w:szCs w:val="21"/>
              </w:rPr>
              <w:t>（</w:t>
            </w:r>
            <w:r>
              <w:rPr>
                <w:rFonts w:ascii="宋体" w:hAnsi="宋体"/>
                <w:szCs w:val="21"/>
              </w:rPr>
              <w:t>4</w:t>
            </w:r>
            <w:r>
              <w:rPr>
                <w:rFonts w:hint="eastAsia" w:ascii="宋体" w:hAnsi="宋体"/>
                <w:szCs w:val="21"/>
              </w:rPr>
              <w:t>）</w:t>
            </w:r>
            <w:r>
              <w:rPr>
                <w:rFonts w:hint="eastAsia" w:ascii="宋体" w:hAnsi="宋体"/>
                <w:bCs/>
                <w:szCs w:val="21"/>
              </w:rPr>
              <w:t>将成交项目转让给他人或者在竞标文件中未说明且未经采购人同意，将成交项目分包给他人的；</w:t>
            </w:r>
          </w:p>
          <w:p>
            <w:pPr>
              <w:snapToGrid w:val="0"/>
              <w:spacing w:line="400" w:lineRule="exact"/>
              <w:rPr>
                <w:rFonts w:ascii="宋体"/>
                <w:b/>
                <w:szCs w:val="21"/>
              </w:rPr>
            </w:pPr>
            <w:r>
              <w:rPr>
                <w:rFonts w:hint="eastAsia" w:ascii="宋体" w:hAnsi="宋体"/>
                <w:szCs w:val="21"/>
              </w:rPr>
              <w:t>（</w:t>
            </w:r>
            <w:r>
              <w:rPr>
                <w:rFonts w:ascii="宋体" w:hAnsi="宋体"/>
                <w:szCs w:val="21"/>
              </w:rPr>
              <w:t>5</w:t>
            </w:r>
            <w:r>
              <w:rPr>
                <w:rFonts w:hint="eastAsia" w:ascii="宋体" w:hAnsi="宋体"/>
                <w:szCs w:val="21"/>
              </w:rPr>
              <w:t>）拒绝履行合同义务的；</w:t>
            </w:r>
          </w:p>
          <w:p>
            <w:pPr>
              <w:spacing w:line="340" w:lineRule="exact"/>
              <w:rPr>
                <w:rFonts w:ascii="宋体" w:hAnsi="宋体"/>
                <w:sz w:val="24"/>
              </w:rPr>
            </w:pPr>
            <w:r>
              <w:rPr>
                <w:rFonts w:hint="eastAsia" w:ascii="宋体" w:hAnsi="宋体"/>
                <w:szCs w:val="21"/>
              </w:rPr>
              <w:t>（</w:t>
            </w:r>
            <w:r>
              <w:rPr>
                <w:rFonts w:ascii="宋体" w:hAnsi="宋体"/>
                <w:szCs w:val="21"/>
              </w:rPr>
              <w:t>6</w:t>
            </w:r>
            <w:r>
              <w:rPr>
                <w:rFonts w:hint="eastAsia" w:ascii="宋体" w:hAnsi="宋体"/>
                <w:szCs w:val="21"/>
              </w:rPr>
              <w:t>）其他严重扰乱招投标程序的。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497" w:type="dxa"/>
            <w:vAlign w:val="center"/>
          </w:tcPr>
          <w:p>
            <w:pPr>
              <w:pStyle w:val="25"/>
              <w:spacing w:line="420" w:lineRule="exact"/>
              <w:jc w:val="center"/>
              <w:rPr>
                <w:rFonts w:hAnsi="宋体"/>
                <w:sz w:val="24"/>
                <w:szCs w:val="24"/>
              </w:rPr>
            </w:pPr>
            <w:r>
              <w:rPr>
                <w:rFonts w:hAnsi="宋体"/>
                <w:sz w:val="24"/>
                <w:szCs w:val="24"/>
              </w:rPr>
              <w:t>1</w:t>
            </w:r>
            <w:r>
              <w:rPr>
                <w:rFonts w:hint="eastAsia" w:hAnsi="宋体"/>
                <w:sz w:val="24"/>
                <w:szCs w:val="24"/>
              </w:rPr>
              <w:t>1</w:t>
            </w:r>
          </w:p>
        </w:tc>
        <w:tc>
          <w:tcPr>
            <w:tcW w:w="1516" w:type="dxa"/>
            <w:vAlign w:val="center"/>
          </w:tcPr>
          <w:p>
            <w:pPr>
              <w:spacing w:line="360" w:lineRule="exact"/>
              <w:jc w:val="center"/>
              <w:rPr>
                <w:rFonts w:ascii="宋体"/>
                <w:sz w:val="24"/>
              </w:rPr>
            </w:pPr>
            <w:r>
              <w:rPr>
                <w:rFonts w:hint="eastAsia" w:ascii="宋体" w:hAnsi="宋体"/>
                <w:sz w:val="24"/>
              </w:rPr>
              <w:t>响应文件递交截止时间</w:t>
            </w:r>
          </w:p>
        </w:tc>
        <w:tc>
          <w:tcPr>
            <w:tcW w:w="7540" w:type="dxa"/>
            <w:vAlign w:val="center"/>
          </w:tcPr>
          <w:p>
            <w:pPr>
              <w:spacing w:line="360" w:lineRule="exact"/>
              <w:rPr>
                <w:rFonts w:ascii="宋体" w:hAnsi="宋体"/>
                <w:sz w:val="24"/>
              </w:rPr>
            </w:pPr>
            <w:r>
              <w:rPr>
                <w:rFonts w:hint="eastAsia" w:ascii="宋体" w:hAnsi="宋体"/>
                <w:b/>
                <w:sz w:val="24"/>
              </w:rPr>
              <w:t>响应文件递交</w:t>
            </w:r>
            <w:r>
              <w:rPr>
                <w:rFonts w:hint="eastAsia" w:ascii="宋体" w:hAnsi="宋体"/>
                <w:sz w:val="24"/>
              </w:rPr>
              <w:t>地址：</w:t>
            </w:r>
            <w:r>
              <w:rPr>
                <w:rFonts w:hint="eastAsia" w:ascii="宋体" w:hAnsi="宋体" w:cs="Arial"/>
                <w:kern w:val="0"/>
                <w:sz w:val="24"/>
              </w:rPr>
              <w:t>广西海恒项目管理有限公司开标室</w:t>
            </w:r>
            <w:r>
              <w:rPr>
                <w:rFonts w:hint="eastAsia" w:ascii="宋体" w:hAnsi="宋体"/>
                <w:sz w:val="24"/>
              </w:rPr>
              <w:t>（</w:t>
            </w:r>
            <w:r>
              <w:rPr>
                <w:rFonts w:hint="eastAsia" w:ascii="宋体" w:hAnsi="宋体" w:cs="Arial"/>
                <w:kern w:val="0"/>
                <w:sz w:val="24"/>
              </w:rPr>
              <w:t>南宁市青秀区竹溪大道荣恒名都A座508室</w:t>
            </w:r>
            <w:r>
              <w:rPr>
                <w:rFonts w:hint="eastAsia" w:ascii="宋体" w:hAnsi="宋体"/>
                <w:sz w:val="24"/>
              </w:rPr>
              <w:t>）。</w:t>
            </w:r>
          </w:p>
          <w:p>
            <w:pPr>
              <w:spacing w:line="360" w:lineRule="exact"/>
              <w:rPr>
                <w:rFonts w:ascii="宋体"/>
                <w:sz w:val="24"/>
              </w:rPr>
            </w:pPr>
            <w:r>
              <w:rPr>
                <w:rFonts w:hint="eastAsia" w:ascii="宋体" w:hAnsi="宋体"/>
                <w:sz w:val="24"/>
              </w:rPr>
              <w:t>响应文件递交截止时间：</w:t>
            </w:r>
            <w:r>
              <w:rPr>
                <w:rFonts w:ascii="宋体" w:hAnsi="宋体"/>
                <w:sz w:val="24"/>
                <w:u w:val="single"/>
              </w:rPr>
              <w:t xml:space="preserve"> 20</w:t>
            </w:r>
            <w:r>
              <w:rPr>
                <w:rFonts w:hint="eastAsia" w:ascii="宋体" w:hAnsi="宋体"/>
                <w:sz w:val="24"/>
                <w:u w:val="single"/>
              </w:rPr>
              <w:t>22</w:t>
            </w:r>
            <w:r>
              <w:rPr>
                <w:rFonts w:hint="eastAsia" w:ascii="宋体" w:hAnsi="宋体"/>
                <w:sz w:val="24"/>
              </w:rPr>
              <w:t>年</w:t>
            </w:r>
            <w:r>
              <w:rPr>
                <w:rFonts w:hint="eastAsia" w:ascii="宋体" w:hAnsi="宋体"/>
                <w:sz w:val="24"/>
                <w:u w:val="single"/>
                <w:lang w:val="en-US" w:eastAsia="zh-CN"/>
              </w:rPr>
              <w:t>6</w:t>
            </w:r>
            <w:r>
              <w:rPr>
                <w:rFonts w:hint="eastAsia" w:ascii="宋体" w:hAnsi="宋体"/>
                <w:sz w:val="24"/>
              </w:rPr>
              <w:t>月</w:t>
            </w:r>
            <w:r>
              <w:rPr>
                <w:rFonts w:hint="eastAsia" w:ascii="宋体" w:hAnsi="宋体"/>
                <w:sz w:val="24"/>
                <w:u w:val="single"/>
                <w:lang w:val="en-US" w:eastAsia="zh-CN"/>
              </w:rPr>
              <w:t>27</w:t>
            </w:r>
            <w:r>
              <w:rPr>
                <w:rFonts w:hint="eastAsia" w:ascii="宋体" w:hAnsi="宋体"/>
                <w:sz w:val="24"/>
              </w:rPr>
              <w:t>日</w:t>
            </w:r>
            <w:r>
              <w:rPr>
                <w:rFonts w:ascii="宋体" w:hAnsi="宋体"/>
                <w:sz w:val="24"/>
              </w:rPr>
              <w:t xml:space="preserve"> </w:t>
            </w:r>
            <w:r>
              <w:rPr>
                <w:rFonts w:ascii="宋体" w:hAnsi="宋体"/>
                <w:sz w:val="24"/>
                <w:u w:val="single"/>
              </w:rPr>
              <w:t xml:space="preserve"> </w:t>
            </w:r>
            <w:r>
              <w:rPr>
                <w:rFonts w:hint="eastAsia" w:ascii="宋体" w:hAnsi="宋体"/>
                <w:sz w:val="24"/>
                <w:u w:val="single"/>
                <w:lang w:val="en-US" w:eastAsia="zh-CN"/>
              </w:rPr>
              <w:t>15</w:t>
            </w:r>
            <w:r>
              <w:rPr>
                <w:rFonts w:hint="eastAsia" w:ascii="宋体" w:hAnsi="宋体"/>
                <w:sz w:val="24"/>
                <w:u w:val="single"/>
              </w:rPr>
              <w:t xml:space="preserve"> </w:t>
            </w:r>
            <w:r>
              <w:rPr>
                <w:rFonts w:hint="eastAsia" w:ascii="宋体" w:hAnsi="宋体"/>
                <w:sz w:val="24"/>
              </w:rPr>
              <w:t>时</w:t>
            </w:r>
            <w:r>
              <w:rPr>
                <w:rFonts w:ascii="宋体" w:hAnsi="宋体"/>
                <w:sz w:val="24"/>
                <w:u w:val="single"/>
              </w:rPr>
              <w:t xml:space="preserve"> </w:t>
            </w:r>
            <w:r>
              <w:rPr>
                <w:rFonts w:hint="eastAsia" w:ascii="宋体" w:hAnsi="宋体"/>
                <w:sz w:val="24"/>
                <w:u w:val="single"/>
                <w:lang w:val="en-US" w:eastAsia="zh-CN"/>
              </w:rPr>
              <w:t>0</w:t>
            </w:r>
            <w:r>
              <w:rPr>
                <w:rFonts w:ascii="宋体"/>
                <w:sz w:val="24"/>
                <w:u w:val="single"/>
              </w:rPr>
              <w:t>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97" w:type="dxa"/>
            <w:vAlign w:val="center"/>
          </w:tcPr>
          <w:p>
            <w:pPr>
              <w:pStyle w:val="25"/>
              <w:spacing w:line="420" w:lineRule="exact"/>
              <w:jc w:val="center"/>
              <w:rPr>
                <w:rFonts w:hAnsi="宋体"/>
                <w:sz w:val="24"/>
                <w:szCs w:val="24"/>
              </w:rPr>
            </w:pPr>
            <w:r>
              <w:rPr>
                <w:rFonts w:hAnsi="宋体"/>
                <w:sz w:val="24"/>
                <w:szCs w:val="24"/>
              </w:rPr>
              <w:t>1</w:t>
            </w:r>
            <w:r>
              <w:rPr>
                <w:rFonts w:hint="eastAsia" w:hAnsi="宋体"/>
                <w:sz w:val="24"/>
                <w:szCs w:val="24"/>
              </w:rPr>
              <w:t>2</w:t>
            </w:r>
          </w:p>
        </w:tc>
        <w:tc>
          <w:tcPr>
            <w:tcW w:w="1516" w:type="dxa"/>
            <w:vAlign w:val="center"/>
          </w:tcPr>
          <w:p>
            <w:pPr>
              <w:spacing w:line="360" w:lineRule="exact"/>
              <w:jc w:val="center"/>
              <w:rPr>
                <w:rFonts w:ascii="宋体"/>
                <w:position w:val="-2"/>
                <w:sz w:val="24"/>
              </w:rPr>
            </w:pPr>
            <w:r>
              <w:rPr>
                <w:rFonts w:hint="eastAsia" w:ascii="宋体" w:hAnsi="宋体"/>
                <w:position w:val="-2"/>
                <w:sz w:val="24"/>
              </w:rPr>
              <w:t>递交响应文件地点</w:t>
            </w:r>
          </w:p>
        </w:tc>
        <w:tc>
          <w:tcPr>
            <w:tcW w:w="7540" w:type="dxa"/>
            <w:vAlign w:val="center"/>
          </w:tcPr>
          <w:p>
            <w:pPr>
              <w:spacing w:line="360" w:lineRule="exact"/>
              <w:rPr>
                <w:rFonts w:ascii="宋体" w:hAnsi="宋体" w:cs="Arial"/>
                <w:kern w:val="0"/>
                <w:sz w:val="24"/>
              </w:rPr>
            </w:pPr>
            <w:r>
              <w:rPr>
                <w:rFonts w:hint="eastAsia" w:ascii="宋体" w:hAnsi="宋体" w:cs="Arial"/>
                <w:kern w:val="0"/>
                <w:sz w:val="24"/>
              </w:rPr>
              <w:t>1.竞标响应文件递交方式：现场递交</w:t>
            </w:r>
          </w:p>
          <w:p>
            <w:pPr>
              <w:spacing w:line="360" w:lineRule="exact"/>
              <w:rPr>
                <w:rFonts w:ascii="宋体" w:hAnsi="宋体" w:cs="Arial"/>
                <w:kern w:val="0"/>
                <w:sz w:val="24"/>
              </w:rPr>
            </w:pPr>
            <w:r>
              <w:rPr>
                <w:rFonts w:hint="eastAsia" w:ascii="宋体" w:hAnsi="宋体" w:cs="Arial"/>
                <w:kern w:val="0"/>
                <w:sz w:val="24"/>
              </w:rPr>
              <w:t>2.响应文件递交地点：广西海恒项目管理有限公司开标室（南宁市青秀区竹溪大道荣恒名都A座508室）。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497" w:type="dxa"/>
            <w:vAlign w:val="center"/>
          </w:tcPr>
          <w:p>
            <w:pPr>
              <w:pStyle w:val="25"/>
              <w:spacing w:line="420" w:lineRule="exact"/>
              <w:jc w:val="center"/>
              <w:rPr>
                <w:rFonts w:hAnsi="宋体"/>
                <w:sz w:val="24"/>
                <w:szCs w:val="24"/>
              </w:rPr>
            </w:pPr>
            <w:r>
              <w:rPr>
                <w:rFonts w:hAnsi="宋体"/>
                <w:sz w:val="24"/>
                <w:szCs w:val="24"/>
              </w:rPr>
              <w:t>1</w:t>
            </w:r>
            <w:r>
              <w:rPr>
                <w:rFonts w:hint="eastAsia" w:hAnsi="宋体"/>
                <w:sz w:val="24"/>
                <w:szCs w:val="24"/>
              </w:rPr>
              <w:t>3</w:t>
            </w:r>
          </w:p>
        </w:tc>
        <w:tc>
          <w:tcPr>
            <w:tcW w:w="1516" w:type="dxa"/>
            <w:vAlign w:val="center"/>
          </w:tcPr>
          <w:p>
            <w:pPr>
              <w:spacing w:line="360" w:lineRule="exact"/>
              <w:jc w:val="center"/>
              <w:rPr>
                <w:rFonts w:ascii="宋体"/>
                <w:sz w:val="24"/>
              </w:rPr>
            </w:pPr>
            <w:r>
              <w:rPr>
                <w:rFonts w:hint="eastAsia" w:ascii="宋体" w:hAnsi="宋体"/>
                <w:sz w:val="24"/>
              </w:rPr>
              <w:t>磋商时间、地点、人员</w:t>
            </w:r>
          </w:p>
        </w:tc>
        <w:tc>
          <w:tcPr>
            <w:tcW w:w="7540" w:type="dxa"/>
          </w:tcPr>
          <w:p>
            <w:pPr>
              <w:spacing w:line="340" w:lineRule="exact"/>
              <w:rPr>
                <w:rFonts w:ascii="宋体" w:hAnsi="宋体"/>
                <w:sz w:val="24"/>
              </w:rPr>
            </w:pPr>
            <w:r>
              <w:rPr>
                <w:rFonts w:hint="eastAsia" w:ascii="宋体" w:hAnsi="宋体"/>
                <w:sz w:val="24"/>
              </w:rPr>
              <w:t>磋商时间：2022年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27</w:t>
            </w:r>
            <w:r>
              <w:rPr>
                <w:rFonts w:hint="eastAsia" w:ascii="宋体" w:hAnsi="宋体"/>
                <w:sz w:val="24"/>
              </w:rPr>
              <w:t>日</w:t>
            </w:r>
            <w:r>
              <w:rPr>
                <w:rFonts w:hint="eastAsia" w:ascii="宋体" w:hAnsi="宋体"/>
                <w:sz w:val="24"/>
                <w:lang w:val="en-US" w:eastAsia="zh-CN"/>
              </w:rPr>
              <w:t>15</w:t>
            </w:r>
            <w:r>
              <w:rPr>
                <w:rFonts w:hint="eastAsia" w:ascii="宋体" w:hAnsi="宋体"/>
                <w:sz w:val="24"/>
              </w:rPr>
              <w:t>时</w:t>
            </w:r>
            <w:r>
              <w:rPr>
                <w:rFonts w:hint="eastAsia" w:ascii="宋体" w:hAnsi="宋体"/>
                <w:sz w:val="24"/>
                <w:lang w:val="en-US" w:eastAsia="zh-CN"/>
              </w:rPr>
              <w:t>0</w:t>
            </w:r>
            <w:r>
              <w:rPr>
                <w:rFonts w:hint="eastAsia" w:ascii="宋体" w:hAnsi="宋体"/>
                <w:sz w:val="24"/>
              </w:rPr>
              <w:t>0分相应文件递交截止时间后为磋商小组与磋商供应商磋商时间，具体时间由采购代理机构另行通知。</w:t>
            </w:r>
          </w:p>
          <w:p>
            <w:pPr>
              <w:spacing w:line="340" w:lineRule="exact"/>
              <w:rPr>
                <w:rFonts w:ascii="宋体" w:hAnsi="宋体"/>
                <w:sz w:val="24"/>
              </w:rPr>
            </w:pPr>
            <w:r>
              <w:rPr>
                <w:rFonts w:hint="eastAsia" w:ascii="宋体" w:hAnsi="宋体"/>
                <w:sz w:val="24"/>
              </w:rPr>
              <w:t>磋商地点：</w:t>
            </w:r>
            <w:r>
              <w:rPr>
                <w:rFonts w:hint="eastAsia" w:ascii="宋体" w:hAnsi="宋体"/>
                <w:sz w:val="24"/>
                <w:u w:val="single"/>
              </w:rPr>
              <w:t>广西海恒项目管理有限公司评标室</w:t>
            </w:r>
          </w:p>
          <w:p>
            <w:pPr>
              <w:spacing w:line="340" w:lineRule="exact"/>
              <w:rPr>
                <w:rFonts w:ascii="宋体"/>
                <w:b/>
                <w:sz w:val="24"/>
              </w:rPr>
            </w:pPr>
            <w:r>
              <w:rPr>
                <w:rFonts w:hint="eastAsia" w:ascii="宋体" w:hAnsi="宋体"/>
                <w:sz w:val="24"/>
              </w:rPr>
              <w:t>磋商参加人员：竞标人法定代表人或委托代理人持有效身份证原件参加磋商。请竞标人按时到达指定地点等候当面磋商。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7" w:type="dxa"/>
            <w:vAlign w:val="center"/>
          </w:tcPr>
          <w:p>
            <w:pPr>
              <w:pStyle w:val="25"/>
              <w:spacing w:line="420" w:lineRule="exact"/>
              <w:jc w:val="center"/>
              <w:rPr>
                <w:rFonts w:hAnsi="宋体"/>
                <w:sz w:val="24"/>
                <w:szCs w:val="24"/>
              </w:rPr>
            </w:pPr>
            <w:r>
              <w:rPr>
                <w:rFonts w:hAnsi="宋体"/>
                <w:sz w:val="24"/>
                <w:szCs w:val="24"/>
              </w:rPr>
              <w:t>1</w:t>
            </w:r>
            <w:r>
              <w:rPr>
                <w:rFonts w:hint="eastAsia" w:hAnsi="宋体"/>
                <w:sz w:val="24"/>
                <w:szCs w:val="24"/>
              </w:rPr>
              <w:t>4</w:t>
            </w:r>
          </w:p>
        </w:tc>
        <w:tc>
          <w:tcPr>
            <w:tcW w:w="1516" w:type="dxa"/>
            <w:vAlign w:val="center"/>
          </w:tcPr>
          <w:p>
            <w:pPr>
              <w:spacing w:line="360" w:lineRule="exact"/>
              <w:jc w:val="center"/>
              <w:rPr>
                <w:rFonts w:ascii="宋体"/>
                <w:sz w:val="24"/>
              </w:rPr>
            </w:pPr>
            <w:r>
              <w:rPr>
                <w:rFonts w:hint="eastAsia" w:ascii="宋体" w:hAnsi="宋体"/>
                <w:sz w:val="24"/>
              </w:rPr>
              <w:t>澄清或者修改</w:t>
            </w:r>
          </w:p>
        </w:tc>
        <w:tc>
          <w:tcPr>
            <w:tcW w:w="7540" w:type="dxa"/>
          </w:tcPr>
          <w:p>
            <w:pPr>
              <w:spacing w:line="340" w:lineRule="exact"/>
              <w:rPr>
                <w:rFonts w:ascii="宋体"/>
                <w:sz w:val="24"/>
              </w:rPr>
            </w:pPr>
            <w:r>
              <w:rPr>
                <w:rFonts w:hint="eastAsia" w:ascii="宋体" w:hAnsi="宋体"/>
                <w:sz w:val="24"/>
              </w:rPr>
              <w:t>澄清或者修改的内容可能影响响应文件编制的，采购人、采购代理机构应当在提交首次响应文件截止时间至少</w:t>
            </w:r>
            <w:r>
              <w:rPr>
                <w:rFonts w:ascii="宋体" w:hAnsi="宋体"/>
                <w:sz w:val="24"/>
              </w:rPr>
              <w:t>5</w:t>
            </w:r>
            <w:r>
              <w:rPr>
                <w:rFonts w:hint="eastAsia" w:ascii="宋体" w:hAnsi="宋体"/>
                <w:sz w:val="24"/>
              </w:rPr>
              <w:t>日前，以书面形式通知所有获取谈判文件的供应商，不足</w:t>
            </w:r>
            <w:r>
              <w:rPr>
                <w:rFonts w:ascii="宋体" w:hAnsi="宋体"/>
                <w:sz w:val="24"/>
              </w:rPr>
              <w:t>5</w:t>
            </w:r>
            <w:r>
              <w:rPr>
                <w:rFonts w:hint="eastAsia" w:ascii="宋体" w:hAnsi="宋体"/>
                <w:sz w:val="24"/>
              </w:rPr>
              <w:t>日的，将顺延提交首次响应文件截止时间。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7" w:type="dxa"/>
            <w:vAlign w:val="center"/>
          </w:tcPr>
          <w:p>
            <w:pPr>
              <w:pStyle w:val="25"/>
              <w:spacing w:line="420" w:lineRule="exact"/>
              <w:jc w:val="center"/>
              <w:rPr>
                <w:rFonts w:hAnsi="宋体"/>
                <w:sz w:val="24"/>
                <w:szCs w:val="24"/>
              </w:rPr>
            </w:pPr>
            <w:r>
              <w:rPr>
                <w:rFonts w:hAnsi="宋体"/>
                <w:sz w:val="24"/>
                <w:szCs w:val="24"/>
              </w:rPr>
              <w:t>1</w:t>
            </w:r>
            <w:r>
              <w:rPr>
                <w:rFonts w:hint="eastAsia" w:hAnsi="宋体"/>
                <w:sz w:val="24"/>
                <w:szCs w:val="24"/>
              </w:rPr>
              <w:t>5</w:t>
            </w:r>
          </w:p>
        </w:tc>
        <w:tc>
          <w:tcPr>
            <w:tcW w:w="1516" w:type="dxa"/>
            <w:vAlign w:val="center"/>
          </w:tcPr>
          <w:p>
            <w:pPr>
              <w:spacing w:line="400" w:lineRule="exact"/>
              <w:jc w:val="left"/>
              <w:rPr>
                <w:rFonts w:ascii="宋体" w:hAnsi="宋体"/>
                <w:sz w:val="24"/>
              </w:rPr>
            </w:pPr>
            <w:r>
              <w:rPr>
                <w:rFonts w:hint="eastAsia" w:ascii="宋体" w:hAnsi="宋体"/>
                <w:sz w:val="24"/>
              </w:rPr>
              <w:t>签订合同时间</w:t>
            </w:r>
          </w:p>
        </w:tc>
        <w:tc>
          <w:tcPr>
            <w:tcW w:w="7540" w:type="dxa"/>
          </w:tcPr>
          <w:p>
            <w:pPr>
              <w:spacing w:line="340" w:lineRule="exact"/>
              <w:rPr>
                <w:rFonts w:ascii="宋体" w:hAnsi="宋体"/>
                <w:sz w:val="24"/>
              </w:rPr>
            </w:pPr>
            <w:r>
              <w:rPr>
                <w:rFonts w:hint="eastAsia" w:ascii="宋体" w:hAnsi="宋体"/>
                <w:sz w:val="24"/>
              </w:rPr>
              <w:t>成交通知书发出之日起15日内。成交供应商领取成交通知书后，应按规定与采购人签订合同。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7" w:type="dxa"/>
            <w:vAlign w:val="center"/>
          </w:tcPr>
          <w:p>
            <w:pPr>
              <w:pStyle w:val="25"/>
              <w:spacing w:line="420" w:lineRule="exact"/>
              <w:jc w:val="center"/>
              <w:rPr>
                <w:rFonts w:hAnsi="宋体"/>
                <w:sz w:val="24"/>
                <w:szCs w:val="24"/>
              </w:rPr>
            </w:pPr>
            <w:r>
              <w:rPr>
                <w:rFonts w:hAnsi="宋体"/>
                <w:sz w:val="24"/>
                <w:szCs w:val="24"/>
              </w:rPr>
              <w:t>1</w:t>
            </w:r>
            <w:r>
              <w:rPr>
                <w:rFonts w:hint="eastAsia" w:hAnsi="宋体"/>
                <w:sz w:val="24"/>
                <w:szCs w:val="24"/>
              </w:rPr>
              <w:t>6</w:t>
            </w:r>
          </w:p>
        </w:tc>
        <w:tc>
          <w:tcPr>
            <w:tcW w:w="1516" w:type="dxa"/>
            <w:vAlign w:val="center"/>
          </w:tcPr>
          <w:p>
            <w:pPr>
              <w:snapToGrid w:val="0"/>
              <w:spacing w:line="360" w:lineRule="exact"/>
              <w:jc w:val="center"/>
              <w:rPr>
                <w:rFonts w:ascii="宋体"/>
                <w:sz w:val="24"/>
              </w:rPr>
            </w:pPr>
            <w:r>
              <w:rPr>
                <w:rFonts w:hint="eastAsia" w:ascii="宋体" w:hAnsi="宋体"/>
                <w:sz w:val="24"/>
              </w:rPr>
              <w:t>代理服务费</w:t>
            </w:r>
          </w:p>
        </w:tc>
        <w:tc>
          <w:tcPr>
            <w:tcW w:w="7540" w:type="dxa"/>
            <w:vAlign w:val="center"/>
          </w:tcPr>
          <w:p>
            <w:pPr>
              <w:spacing w:line="360" w:lineRule="exact"/>
              <w:rPr>
                <w:rFonts w:ascii="宋体"/>
                <w:sz w:val="24"/>
              </w:rPr>
            </w:pPr>
            <w:r>
              <w:rPr>
                <w:rFonts w:hint="eastAsia" w:ascii="宋体" w:hAnsi="宋体"/>
                <w:sz w:val="24"/>
              </w:rPr>
              <w:t>成交供应商领取成交通知书前，采购代理服务费：</w:t>
            </w:r>
            <w:r>
              <w:rPr>
                <w:rFonts w:hint="eastAsia" w:ascii="宋体" w:hAnsi="宋体"/>
                <w:sz w:val="24"/>
                <w:u w:val="single"/>
              </w:rPr>
              <w:t>参照国家发展计划委员会《招标代理服务费管理暂行办法》（计价格[2002]1980号）收费标准（服务类）</w:t>
            </w:r>
            <w:r>
              <w:rPr>
                <w:rFonts w:hint="eastAsia" w:ascii="宋体" w:hAnsi="宋体"/>
                <w:sz w:val="24"/>
                <w:u w:val="single"/>
                <w:lang w:eastAsia="zh-CN"/>
              </w:rPr>
              <w:t>下浮</w:t>
            </w:r>
            <w:r>
              <w:rPr>
                <w:rFonts w:hint="eastAsia" w:ascii="宋体" w:hAnsi="宋体"/>
                <w:sz w:val="24"/>
                <w:u w:val="single"/>
                <w:lang w:val="en-US" w:eastAsia="zh-CN"/>
              </w:rPr>
              <w:t>40%计取</w:t>
            </w:r>
            <w:r>
              <w:rPr>
                <w:rFonts w:hint="eastAsia" w:ascii="宋体" w:hAnsi="宋体"/>
                <w:sz w:val="24"/>
                <w:u w:val="single"/>
              </w:rPr>
              <w:t>，不足伍仟元按伍仟元收取</w:t>
            </w:r>
            <w:r>
              <w:rPr>
                <w:rFonts w:hint="eastAsia" w:ascii="宋体" w:hAnsi="宋体"/>
                <w:sz w:val="24"/>
              </w:rPr>
              <w:t>。由采购代理机构向成交供应商收取。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7" w:type="dxa"/>
            <w:vAlign w:val="center"/>
          </w:tcPr>
          <w:p>
            <w:pPr>
              <w:pStyle w:val="25"/>
              <w:spacing w:line="420" w:lineRule="exact"/>
              <w:jc w:val="center"/>
              <w:rPr>
                <w:rFonts w:hAnsi="宋体"/>
                <w:sz w:val="24"/>
                <w:szCs w:val="24"/>
              </w:rPr>
            </w:pPr>
            <w:r>
              <w:rPr>
                <w:rFonts w:hAnsi="宋体"/>
                <w:sz w:val="24"/>
                <w:szCs w:val="24"/>
              </w:rPr>
              <w:t>1</w:t>
            </w:r>
            <w:r>
              <w:rPr>
                <w:rFonts w:hint="eastAsia" w:hAnsi="宋体"/>
                <w:sz w:val="24"/>
                <w:szCs w:val="24"/>
              </w:rPr>
              <w:t>7</w:t>
            </w:r>
          </w:p>
        </w:tc>
        <w:tc>
          <w:tcPr>
            <w:tcW w:w="1516" w:type="dxa"/>
            <w:vAlign w:val="center"/>
          </w:tcPr>
          <w:p>
            <w:pPr>
              <w:autoSpaceDE w:val="0"/>
              <w:autoSpaceDN w:val="0"/>
              <w:spacing w:line="360" w:lineRule="exact"/>
              <w:jc w:val="center"/>
              <w:rPr>
                <w:rFonts w:ascii="宋体"/>
                <w:sz w:val="24"/>
              </w:rPr>
            </w:pPr>
            <w:r>
              <w:rPr>
                <w:rFonts w:hint="eastAsia" w:ascii="宋体" w:hAnsi="宋体"/>
                <w:sz w:val="24"/>
              </w:rPr>
              <w:t>需补充的其他内容</w:t>
            </w:r>
          </w:p>
        </w:tc>
        <w:tc>
          <w:tcPr>
            <w:tcW w:w="7540" w:type="dxa"/>
            <w:vAlign w:val="center"/>
          </w:tcPr>
          <w:p>
            <w:pPr>
              <w:pStyle w:val="25"/>
              <w:spacing w:line="360" w:lineRule="exact"/>
              <w:rPr>
                <w:rFonts w:hAnsi="宋体"/>
                <w:sz w:val="24"/>
                <w:szCs w:val="24"/>
              </w:rPr>
            </w:pPr>
            <w:r>
              <w:rPr>
                <w:rFonts w:hint="eastAsia" w:hAnsi="宋体"/>
                <w:sz w:val="24"/>
                <w:szCs w:val="24"/>
              </w:rPr>
              <w:t>磋商小组可能对技术服务、合同条款、价格等实质性内容进行磋商。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7" w:type="dxa"/>
            <w:vAlign w:val="center"/>
          </w:tcPr>
          <w:p>
            <w:pPr>
              <w:pStyle w:val="25"/>
              <w:spacing w:line="420" w:lineRule="exact"/>
              <w:jc w:val="center"/>
              <w:rPr>
                <w:rFonts w:hAnsi="宋体"/>
                <w:sz w:val="24"/>
                <w:szCs w:val="24"/>
              </w:rPr>
            </w:pPr>
            <w:r>
              <w:rPr>
                <w:rFonts w:hAnsi="宋体"/>
                <w:sz w:val="24"/>
                <w:szCs w:val="24"/>
              </w:rPr>
              <w:t>1</w:t>
            </w:r>
            <w:r>
              <w:rPr>
                <w:rFonts w:hint="eastAsia" w:hAnsi="宋体"/>
                <w:sz w:val="24"/>
                <w:szCs w:val="24"/>
              </w:rPr>
              <w:t>8</w:t>
            </w:r>
          </w:p>
        </w:tc>
        <w:tc>
          <w:tcPr>
            <w:tcW w:w="1516" w:type="dxa"/>
            <w:vAlign w:val="center"/>
          </w:tcPr>
          <w:p>
            <w:pPr>
              <w:spacing w:line="400" w:lineRule="exact"/>
              <w:jc w:val="center"/>
              <w:rPr>
                <w:rFonts w:ascii="宋体"/>
                <w:sz w:val="24"/>
              </w:rPr>
            </w:pPr>
            <w:r>
              <w:rPr>
                <w:rFonts w:hint="eastAsia" w:ascii="宋体" w:hAnsi="宋体"/>
                <w:sz w:val="24"/>
              </w:rPr>
              <w:t>解释权</w:t>
            </w:r>
          </w:p>
        </w:tc>
        <w:tc>
          <w:tcPr>
            <w:tcW w:w="7540" w:type="dxa"/>
            <w:vAlign w:val="center"/>
          </w:tcPr>
          <w:p>
            <w:pPr>
              <w:spacing w:line="340" w:lineRule="exact"/>
              <w:jc w:val="left"/>
              <w:rPr>
                <w:rFonts w:ascii="宋体"/>
                <w:sz w:val="24"/>
              </w:rPr>
            </w:pPr>
            <w:r>
              <w:rPr>
                <w:rFonts w:hint="eastAsia" w:ascii="宋体" w:hAnsi="宋体"/>
                <w:sz w:val="24"/>
              </w:rPr>
              <w:t>本竞争性磋商文件的解释权属于采购代理机构。</w:t>
            </w:r>
          </w:p>
        </w:tc>
      </w:tr>
    </w:tbl>
    <w:p>
      <w:pPr>
        <w:pStyle w:val="25"/>
        <w:spacing w:before="120" w:line="360" w:lineRule="auto"/>
        <w:jc w:val="center"/>
        <w:outlineLvl w:val="1"/>
        <w:rPr>
          <w:rFonts w:ascii="黑体" w:eastAsia="黑体"/>
          <w:b/>
          <w:sz w:val="32"/>
          <w:szCs w:val="32"/>
        </w:rPr>
      </w:pPr>
      <w:r>
        <w:rPr>
          <w:sz w:val="24"/>
          <w:szCs w:val="24"/>
        </w:rPr>
        <w:br w:type="page"/>
      </w:r>
      <w:bookmarkStart w:id="4" w:name="_Toc501090498"/>
      <w:bookmarkStart w:id="5" w:name="_Toc501090361"/>
      <w:r>
        <w:rPr>
          <w:rFonts w:hint="eastAsia" w:hAnsi="宋体"/>
          <w:b/>
          <w:sz w:val="32"/>
          <w:szCs w:val="32"/>
        </w:rPr>
        <w:t>竞标人须知</w:t>
      </w:r>
      <w:bookmarkEnd w:id="4"/>
      <w:bookmarkEnd w:id="5"/>
    </w:p>
    <w:p>
      <w:pPr>
        <w:pStyle w:val="25"/>
        <w:spacing w:before="120" w:line="360" w:lineRule="auto"/>
        <w:jc w:val="center"/>
        <w:outlineLvl w:val="2"/>
        <w:rPr>
          <w:rFonts w:hAnsi="宋体"/>
          <w:b/>
          <w:bCs/>
          <w:szCs w:val="21"/>
        </w:rPr>
      </w:pPr>
      <w:bookmarkStart w:id="6" w:name="_Toc501090362"/>
      <w:bookmarkStart w:id="7" w:name="_Toc299093132"/>
      <w:bookmarkStart w:id="8" w:name="_Toc298758276"/>
      <w:bookmarkStart w:id="9" w:name="_Toc299550472"/>
      <w:bookmarkStart w:id="10" w:name="_Toc297534342"/>
      <w:bookmarkStart w:id="11" w:name="_Toc298322360"/>
      <w:bookmarkStart w:id="12" w:name="_Toc290453781"/>
      <w:bookmarkStart w:id="13" w:name="_Toc501090499"/>
      <w:bookmarkStart w:id="14" w:name="_Toc297563183"/>
      <w:bookmarkStart w:id="15" w:name="_Toc300846365"/>
      <w:r>
        <w:rPr>
          <w:rFonts w:hint="eastAsia" w:hAnsi="宋体"/>
          <w:b/>
          <w:bCs/>
          <w:szCs w:val="21"/>
        </w:rPr>
        <w:t>一、总则</w:t>
      </w:r>
      <w:bookmarkEnd w:id="6"/>
      <w:bookmarkEnd w:id="7"/>
      <w:bookmarkEnd w:id="8"/>
      <w:bookmarkEnd w:id="9"/>
      <w:bookmarkEnd w:id="10"/>
      <w:bookmarkEnd w:id="11"/>
      <w:bookmarkEnd w:id="12"/>
      <w:bookmarkEnd w:id="13"/>
      <w:bookmarkEnd w:id="14"/>
      <w:bookmarkEnd w:id="15"/>
    </w:p>
    <w:p>
      <w:pPr>
        <w:spacing w:line="400" w:lineRule="exact"/>
        <w:rPr>
          <w:rFonts w:ascii="宋体"/>
          <w:b/>
          <w:sz w:val="24"/>
        </w:rPr>
      </w:pPr>
      <w:bookmarkStart w:id="16" w:name="_Toc297563184"/>
      <w:bookmarkStart w:id="17" w:name="_Toc300846366"/>
      <w:bookmarkStart w:id="18" w:name="_Toc297534343"/>
      <w:bookmarkStart w:id="19" w:name="_Toc290453782"/>
      <w:bookmarkStart w:id="20" w:name="_Toc298758277"/>
      <w:bookmarkStart w:id="21" w:name="_Toc298322361"/>
      <w:bookmarkStart w:id="22" w:name="_Toc299550473"/>
      <w:bookmarkStart w:id="23" w:name="_Toc299093133"/>
      <w:r>
        <w:rPr>
          <w:rFonts w:ascii="宋体" w:hAnsi="宋体"/>
          <w:b/>
          <w:bCs/>
          <w:sz w:val="24"/>
        </w:rPr>
        <w:t>1</w:t>
      </w:r>
      <w:r>
        <w:rPr>
          <w:rFonts w:ascii="宋体"/>
          <w:b/>
          <w:sz w:val="24"/>
        </w:rPr>
        <w:t>.</w:t>
      </w:r>
      <w:bookmarkEnd w:id="16"/>
      <w:bookmarkEnd w:id="17"/>
      <w:bookmarkEnd w:id="18"/>
      <w:bookmarkEnd w:id="19"/>
      <w:bookmarkEnd w:id="20"/>
      <w:bookmarkEnd w:id="21"/>
      <w:bookmarkEnd w:id="22"/>
      <w:bookmarkEnd w:id="23"/>
      <w:bookmarkStart w:id="24" w:name="_Toc298758279"/>
      <w:bookmarkStart w:id="25" w:name="_Toc297563186"/>
      <w:bookmarkStart w:id="26" w:name="_Toc299550475"/>
      <w:bookmarkStart w:id="27" w:name="_Toc300846368"/>
      <w:bookmarkStart w:id="28" w:name="_Toc299093135"/>
      <w:bookmarkStart w:id="29" w:name="_Toc298322363"/>
      <w:bookmarkStart w:id="30" w:name="_Toc297534345"/>
      <w:bookmarkStart w:id="31" w:name="_Toc290453784"/>
      <w:r>
        <w:rPr>
          <w:rFonts w:hint="eastAsia" w:ascii="宋体" w:hAnsi="宋体"/>
          <w:b/>
          <w:sz w:val="24"/>
        </w:rPr>
        <w:t>项目说明</w:t>
      </w:r>
    </w:p>
    <w:p>
      <w:pPr>
        <w:spacing w:line="400" w:lineRule="exact"/>
        <w:ind w:firstLine="720" w:firstLineChars="300"/>
        <w:rPr>
          <w:rFonts w:ascii="宋体"/>
          <w:sz w:val="24"/>
        </w:rPr>
      </w:pPr>
      <w:r>
        <w:rPr>
          <w:rFonts w:ascii="宋体" w:hAnsi="宋体"/>
          <w:sz w:val="24"/>
        </w:rPr>
        <w:t>1.1</w:t>
      </w:r>
      <w:r>
        <w:rPr>
          <w:rFonts w:hint="eastAsia" w:ascii="宋体" w:hAnsi="宋体"/>
          <w:sz w:val="24"/>
        </w:rPr>
        <w:t>适用范围：本文件仅适用于本文件中所叙述的货物、服务类采购项目。</w:t>
      </w:r>
    </w:p>
    <w:p>
      <w:pPr>
        <w:spacing w:line="400" w:lineRule="exact"/>
        <w:rPr>
          <w:rFonts w:ascii="宋体"/>
          <w:b/>
          <w:sz w:val="24"/>
        </w:rPr>
      </w:pPr>
      <w:r>
        <w:rPr>
          <w:rFonts w:ascii="宋体" w:hAnsi="宋体"/>
          <w:b/>
          <w:sz w:val="24"/>
        </w:rPr>
        <w:t>2.</w:t>
      </w:r>
      <w:r>
        <w:rPr>
          <w:rFonts w:hint="eastAsia" w:ascii="宋体" w:hAnsi="宋体"/>
          <w:b/>
          <w:sz w:val="24"/>
        </w:rPr>
        <w:t>定义</w:t>
      </w:r>
    </w:p>
    <w:p>
      <w:pPr>
        <w:spacing w:line="400" w:lineRule="exact"/>
        <w:ind w:firstLine="720" w:firstLineChars="300"/>
        <w:rPr>
          <w:rFonts w:hint="eastAsia" w:ascii="宋体" w:eastAsia="宋体"/>
          <w:sz w:val="24"/>
          <w:u w:val="single"/>
          <w:lang w:eastAsia="zh-CN"/>
        </w:rPr>
      </w:pPr>
      <w:r>
        <w:rPr>
          <w:rFonts w:ascii="宋体" w:hAnsi="宋体"/>
          <w:sz w:val="24"/>
        </w:rPr>
        <w:t>2.1</w:t>
      </w:r>
      <w:r>
        <w:rPr>
          <w:rFonts w:hint="eastAsia" w:ascii="宋体" w:hAnsi="宋体"/>
          <w:sz w:val="24"/>
        </w:rPr>
        <w:t>“采购人”是指：</w:t>
      </w:r>
      <w:r>
        <w:rPr>
          <w:rFonts w:hint="eastAsia" w:ascii="宋体" w:hAnsi="宋体" w:cs="Arial"/>
          <w:kern w:val="0"/>
          <w:sz w:val="24"/>
          <w:lang w:eastAsia="zh-CN"/>
        </w:rPr>
        <w:t>广西壮族自治区防雷中心</w:t>
      </w:r>
    </w:p>
    <w:p>
      <w:pPr>
        <w:spacing w:line="400" w:lineRule="exact"/>
        <w:ind w:firstLine="720" w:firstLineChars="300"/>
        <w:rPr>
          <w:rFonts w:ascii="宋体"/>
          <w:sz w:val="24"/>
        </w:rPr>
      </w:pPr>
      <w:r>
        <w:rPr>
          <w:rFonts w:ascii="宋体" w:hAnsi="宋体"/>
          <w:sz w:val="24"/>
        </w:rPr>
        <w:t>2.2</w:t>
      </w:r>
      <w:r>
        <w:rPr>
          <w:rFonts w:hint="eastAsia" w:ascii="宋体" w:hAnsi="宋体"/>
          <w:sz w:val="24"/>
        </w:rPr>
        <w:t>“采购代理机构”是指：</w:t>
      </w:r>
      <w:r>
        <w:rPr>
          <w:rFonts w:hint="eastAsia" w:ascii="宋体" w:hAnsi="宋体" w:cs="Arial"/>
          <w:kern w:val="0"/>
          <w:sz w:val="24"/>
        </w:rPr>
        <w:t>广西海恒项目管理有限公司</w:t>
      </w:r>
    </w:p>
    <w:p>
      <w:pPr>
        <w:spacing w:line="400" w:lineRule="exact"/>
        <w:ind w:firstLine="720" w:firstLineChars="300"/>
        <w:rPr>
          <w:rFonts w:ascii="宋体"/>
          <w:sz w:val="24"/>
        </w:rPr>
      </w:pPr>
      <w:r>
        <w:rPr>
          <w:rFonts w:ascii="宋体" w:hAnsi="宋体"/>
          <w:sz w:val="24"/>
        </w:rPr>
        <w:t>2.3</w:t>
      </w:r>
      <w:r>
        <w:rPr>
          <w:rFonts w:hint="eastAsia" w:ascii="宋体" w:hAnsi="宋体"/>
          <w:sz w:val="24"/>
        </w:rPr>
        <w:t>“磋商供应商”是指购买了磋商采购文件，响应本文件要求，参加磋商的法人或者其他组织，即“竞标人”。如果该供应商在本次磋商中成交，即成为“成交供应商”。</w:t>
      </w:r>
    </w:p>
    <w:p>
      <w:pPr>
        <w:spacing w:line="400" w:lineRule="exact"/>
        <w:ind w:firstLine="720" w:firstLineChars="300"/>
        <w:rPr>
          <w:rFonts w:ascii="宋体"/>
          <w:sz w:val="24"/>
        </w:rPr>
      </w:pPr>
      <w:r>
        <w:rPr>
          <w:rFonts w:ascii="宋体" w:hAnsi="宋体"/>
          <w:sz w:val="24"/>
        </w:rPr>
        <w:t>2.4</w:t>
      </w:r>
      <w:r>
        <w:rPr>
          <w:rFonts w:hint="eastAsia" w:ascii="宋体" w:hAnsi="宋体"/>
          <w:sz w:val="24"/>
        </w:rPr>
        <w:t>“货物”是指各种形态和种类的物品，包括原材料、燃料、设备、产品等。</w:t>
      </w:r>
    </w:p>
    <w:p>
      <w:pPr>
        <w:spacing w:line="400" w:lineRule="exact"/>
        <w:ind w:firstLine="720" w:firstLineChars="300"/>
        <w:rPr>
          <w:rFonts w:ascii="宋体"/>
          <w:sz w:val="24"/>
        </w:rPr>
      </w:pPr>
      <w:r>
        <w:rPr>
          <w:rFonts w:ascii="宋体" w:hAnsi="宋体"/>
          <w:sz w:val="24"/>
        </w:rPr>
        <w:t>2.5</w:t>
      </w:r>
      <w:r>
        <w:rPr>
          <w:rFonts w:hint="eastAsia" w:ascii="宋体" w:hAnsi="宋体"/>
          <w:sz w:val="24"/>
        </w:rPr>
        <w:t>“服务”是指除货物和工程以外的其他采购对象。</w:t>
      </w:r>
    </w:p>
    <w:p>
      <w:pPr>
        <w:spacing w:line="400" w:lineRule="exact"/>
        <w:ind w:firstLine="720" w:firstLineChars="300"/>
        <w:rPr>
          <w:rFonts w:ascii="宋体"/>
          <w:sz w:val="24"/>
        </w:rPr>
      </w:pPr>
      <w:r>
        <w:rPr>
          <w:rFonts w:ascii="宋体" w:hAnsi="宋体"/>
          <w:sz w:val="24"/>
        </w:rPr>
        <w:t>2.6</w:t>
      </w:r>
      <w:r>
        <w:rPr>
          <w:rFonts w:hint="eastAsia" w:ascii="宋体" w:hAnsi="宋体"/>
          <w:sz w:val="24"/>
        </w:rPr>
        <w:t>“竞争性磋商响应文件”简称“磋商响应文件”是指：供应商根据本文件要求，编制包含报价、技术和服务等所有内容的文件。</w:t>
      </w:r>
    </w:p>
    <w:p>
      <w:pPr>
        <w:widowControl/>
        <w:shd w:val="clear" w:color="auto" w:fill="FFFFFF"/>
        <w:spacing w:line="400" w:lineRule="exact"/>
        <w:ind w:firstLine="720" w:firstLineChars="300"/>
        <w:jc w:val="left"/>
        <w:rPr>
          <w:rFonts w:ascii="宋体" w:cs="宋体"/>
          <w:kern w:val="0"/>
          <w:sz w:val="24"/>
        </w:rPr>
      </w:pPr>
      <w:r>
        <w:rPr>
          <w:rFonts w:ascii="宋体" w:hAnsi="宋体" w:cs="Tahoma"/>
          <w:kern w:val="0"/>
          <w:sz w:val="24"/>
        </w:rPr>
        <w:t>2.7</w:t>
      </w:r>
      <w:r>
        <w:rPr>
          <w:rFonts w:hint="eastAsia" w:ascii="宋体" w:hAnsi="宋体"/>
          <w:sz w:val="24"/>
        </w:rPr>
        <w:t>磋商供应商有下列情形之一的视为竞标人相互串通，响应文件将视为无效：</w:t>
      </w:r>
    </w:p>
    <w:p>
      <w:pPr>
        <w:widowControl/>
        <w:shd w:val="clear" w:color="auto" w:fill="FFFFFF"/>
        <w:spacing w:line="400" w:lineRule="exact"/>
        <w:ind w:firstLine="640"/>
        <w:jc w:val="left"/>
        <w:rPr>
          <w:rFonts w:ascii="宋体" w:cs="宋体"/>
          <w:kern w:val="0"/>
          <w:sz w:val="24"/>
        </w:rPr>
      </w:pPr>
      <w:r>
        <w:rPr>
          <w:rFonts w:hint="eastAsia" w:ascii="宋体" w:hAnsi="宋体" w:cs="Tahoma"/>
          <w:kern w:val="0"/>
          <w:sz w:val="24"/>
        </w:rPr>
        <w:t>（</w:t>
      </w:r>
      <w:r>
        <w:rPr>
          <w:rFonts w:ascii="宋体" w:hAnsi="宋体" w:cs="Tahoma"/>
          <w:kern w:val="0"/>
          <w:sz w:val="24"/>
        </w:rPr>
        <w:t>1</w:t>
      </w:r>
      <w:r>
        <w:rPr>
          <w:rFonts w:hint="eastAsia" w:ascii="宋体" w:hAnsi="宋体" w:cs="Tahoma"/>
          <w:kern w:val="0"/>
          <w:sz w:val="24"/>
        </w:rPr>
        <w:t>）不同“</w:t>
      </w:r>
      <w:r>
        <w:rPr>
          <w:rFonts w:hint="eastAsia" w:ascii="宋体" w:hAnsi="宋体"/>
          <w:sz w:val="24"/>
        </w:rPr>
        <w:t>磋商供应商”</w:t>
      </w:r>
      <w:r>
        <w:rPr>
          <w:rFonts w:hint="eastAsia" w:ascii="宋体" w:hAnsi="宋体" w:cs="Tahoma"/>
          <w:kern w:val="0"/>
          <w:sz w:val="24"/>
        </w:rPr>
        <w:t>的</w:t>
      </w:r>
      <w:r>
        <w:rPr>
          <w:rFonts w:hint="eastAsia" w:ascii="宋体" w:hAnsi="宋体"/>
          <w:sz w:val="24"/>
        </w:rPr>
        <w:t>“竞争性磋商响应文件”</w:t>
      </w:r>
      <w:r>
        <w:rPr>
          <w:rFonts w:hint="eastAsia" w:ascii="宋体" w:hAnsi="宋体" w:cs="Tahoma"/>
          <w:kern w:val="0"/>
          <w:sz w:val="24"/>
        </w:rPr>
        <w:t>由同一单位或者个人编制；</w:t>
      </w:r>
    </w:p>
    <w:p>
      <w:pPr>
        <w:widowControl/>
        <w:shd w:val="clear" w:color="auto" w:fill="FFFFFF"/>
        <w:spacing w:line="400" w:lineRule="exact"/>
        <w:ind w:firstLine="640"/>
        <w:jc w:val="left"/>
        <w:rPr>
          <w:rFonts w:ascii="宋体" w:cs="宋体"/>
          <w:kern w:val="0"/>
          <w:sz w:val="24"/>
        </w:rPr>
      </w:pPr>
      <w:r>
        <w:rPr>
          <w:rFonts w:hint="eastAsia" w:ascii="宋体" w:hAnsi="宋体" w:cs="Tahoma"/>
          <w:kern w:val="0"/>
          <w:sz w:val="24"/>
        </w:rPr>
        <w:t>（</w:t>
      </w:r>
      <w:r>
        <w:rPr>
          <w:rFonts w:ascii="宋体" w:hAnsi="宋体" w:cs="Tahoma"/>
          <w:kern w:val="0"/>
          <w:sz w:val="24"/>
        </w:rPr>
        <w:t>2</w:t>
      </w:r>
      <w:r>
        <w:rPr>
          <w:rFonts w:hint="eastAsia" w:ascii="宋体" w:hAnsi="宋体" w:cs="Tahoma"/>
          <w:kern w:val="0"/>
          <w:sz w:val="24"/>
        </w:rPr>
        <w:t>）不同“</w:t>
      </w:r>
      <w:r>
        <w:rPr>
          <w:rFonts w:hint="eastAsia" w:ascii="宋体" w:hAnsi="宋体"/>
          <w:sz w:val="24"/>
        </w:rPr>
        <w:t>磋商供应商”</w:t>
      </w:r>
      <w:r>
        <w:rPr>
          <w:rFonts w:hint="eastAsia" w:ascii="宋体" w:hAnsi="宋体" w:cs="Tahoma"/>
          <w:kern w:val="0"/>
          <w:sz w:val="24"/>
        </w:rPr>
        <w:t>委托同一单位或者个人办理竞标事宜；</w:t>
      </w:r>
    </w:p>
    <w:p>
      <w:pPr>
        <w:widowControl/>
        <w:shd w:val="clear" w:color="auto" w:fill="FFFFFF"/>
        <w:spacing w:line="400" w:lineRule="exact"/>
        <w:ind w:firstLine="640"/>
        <w:jc w:val="left"/>
        <w:rPr>
          <w:rFonts w:ascii="宋体" w:cs="宋体"/>
          <w:kern w:val="0"/>
          <w:sz w:val="24"/>
        </w:rPr>
      </w:pPr>
      <w:r>
        <w:rPr>
          <w:rFonts w:hint="eastAsia" w:ascii="宋体" w:hAnsi="宋体" w:cs="Tahoma"/>
          <w:kern w:val="0"/>
          <w:sz w:val="24"/>
        </w:rPr>
        <w:t>（</w:t>
      </w:r>
      <w:r>
        <w:rPr>
          <w:rFonts w:ascii="宋体" w:hAnsi="宋体" w:cs="Tahoma"/>
          <w:kern w:val="0"/>
          <w:sz w:val="24"/>
        </w:rPr>
        <w:t>3</w:t>
      </w:r>
      <w:r>
        <w:rPr>
          <w:rFonts w:hint="eastAsia" w:ascii="宋体" w:hAnsi="宋体" w:cs="Tahoma"/>
          <w:kern w:val="0"/>
          <w:sz w:val="24"/>
        </w:rPr>
        <w:t>）不同的“</w:t>
      </w:r>
      <w:r>
        <w:rPr>
          <w:rFonts w:hint="eastAsia" w:ascii="宋体" w:hAnsi="宋体"/>
          <w:sz w:val="24"/>
        </w:rPr>
        <w:t>磋商供应商”</w:t>
      </w:r>
      <w:r>
        <w:rPr>
          <w:rFonts w:hint="eastAsia" w:ascii="宋体" w:hAnsi="宋体" w:cs="Tahoma"/>
          <w:kern w:val="0"/>
          <w:sz w:val="24"/>
        </w:rPr>
        <w:t>的</w:t>
      </w:r>
      <w:r>
        <w:rPr>
          <w:rFonts w:hint="eastAsia" w:ascii="宋体" w:hAnsi="宋体"/>
          <w:sz w:val="24"/>
        </w:rPr>
        <w:t>“竞争性磋商响应文件”</w:t>
      </w:r>
      <w:r>
        <w:rPr>
          <w:rFonts w:hint="eastAsia" w:ascii="宋体" w:hAnsi="宋体" w:cs="Tahoma"/>
          <w:kern w:val="0"/>
          <w:sz w:val="24"/>
        </w:rPr>
        <w:t>载明的项目管理员为同一个人；</w:t>
      </w:r>
    </w:p>
    <w:p>
      <w:pPr>
        <w:widowControl/>
        <w:shd w:val="clear" w:color="auto" w:fill="FFFFFF"/>
        <w:spacing w:line="400" w:lineRule="exact"/>
        <w:ind w:firstLine="640"/>
        <w:jc w:val="left"/>
        <w:rPr>
          <w:rFonts w:ascii="宋体" w:cs="宋体"/>
          <w:kern w:val="0"/>
          <w:sz w:val="24"/>
        </w:rPr>
      </w:pPr>
      <w:r>
        <w:rPr>
          <w:rFonts w:hint="eastAsia" w:ascii="宋体" w:hAnsi="宋体" w:cs="Tahoma"/>
          <w:kern w:val="0"/>
          <w:sz w:val="24"/>
        </w:rPr>
        <w:t>（</w:t>
      </w:r>
      <w:r>
        <w:rPr>
          <w:rFonts w:ascii="宋体" w:hAnsi="宋体" w:cs="Tahoma"/>
          <w:kern w:val="0"/>
          <w:sz w:val="24"/>
        </w:rPr>
        <w:t>4</w:t>
      </w:r>
      <w:r>
        <w:rPr>
          <w:rFonts w:hint="eastAsia" w:ascii="宋体" w:hAnsi="宋体" w:cs="Tahoma"/>
          <w:kern w:val="0"/>
          <w:sz w:val="24"/>
        </w:rPr>
        <w:t>）不同“</w:t>
      </w:r>
      <w:r>
        <w:rPr>
          <w:rFonts w:hint="eastAsia" w:ascii="宋体" w:hAnsi="宋体"/>
          <w:sz w:val="24"/>
        </w:rPr>
        <w:t>磋商供应商”</w:t>
      </w:r>
      <w:r>
        <w:rPr>
          <w:rFonts w:hint="eastAsia" w:ascii="宋体" w:hAnsi="宋体" w:cs="Tahoma"/>
          <w:kern w:val="0"/>
          <w:sz w:val="24"/>
        </w:rPr>
        <w:t>的</w:t>
      </w:r>
      <w:r>
        <w:rPr>
          <w:rFonts w:hint="eastAsia" w:ascii="宋体" w:hAnsi="宋体"/>
          <w:sz w:val="24"/>
        </w:rPr>
        <w:t>“竞争性磋商响应文件”</w:t>
      </w:r>
      <w:r>
        <w:rPr>
          <w:rFonts w:hint="eastAsia" w:ascii="宋体" w:hAnsi="宋体" w:cs="Tahoma"/>
          <w:kern w:val="0"/>
          <w:sz w:val="24"/>
        </w:rPr>
        <w:t>异常一致或竞标报价呈规律性差异；</w:t>
      </w:r>
    </w:p>
    <w:p>
      <w:pPr>
        <w:widowControl/>
        <w:shd w:val="clear" w:color="auto" w:fill="FFFFFF"/>
        <w:spacing w:line="400" w:lineRule="exact"/>
        <w:ind w:firstLine="641"/>
        <w:jc w:val="left"/>
        <w:rPr>
          <w:rFonts w:ascii="宋体" w:cs="宋体"/>
          <w:kern w:val="0"/>
          <w:sz w:val="24"/>
        </w:rPr>
      </w:pPr>
      <w:r>
        <w:rPr>
          <w:rFonts w:hint="eastAsia" w:ascii="宋体" w:hAnsi="宋体" w:cs="Tahoma"/>
          <w:kern w:val="0"/>
          <w:sz w:val="24"/>
        </w:rPr>
        <w:t>（</w:t>
      </w:r>
      <w:r>
        <w:rPr>
          <w:rFonts w:ascii="宋体" w:hAnsi="宋体" w:cs="Tahoma"/>
          <w:kern w:val="0"/>
          <w:sz w:val="24"/>
        </w:rPr>
        <w:t>5</w:t>
      </w:r>
      <w:r>
        <w:rPr>
          <w:rFonts w:hint="eastAsia" w:ascii="宋体" w:hAnsi="宋体" w:cs="Tahoma"/>
          <w:kern w:val="0"/>
          <w:sz w:val="24"/>
        </w:rPr>
        <w:t>）不同“</w:t>
      </w:r>
      <w:r>
        <w:rPr>
          <w:rFonts w:hint="eastAsia" w:ascii="宋体" w:hAnsi="宋体"/>
          <w:sz w:val="24"/>
        </w:rPr>
        <w:t>磋商供应商”</w:t>
      </w:r>
      <w:r>
        <w:rPr>
          <w:rFonts w:hint="eastAsia" w:ascii="宋体" w:hAnsi="宋体" w:cs="Tahoma"/>
          <w:kern w:val="0"/>
          <w:sz w:val="24"/>
        </w:rPr>
        <w:t>的</w:t>
      </w:r>
      <w:r>
        <w:rPr>
          <w:rFonts w:hint="eastAsia" w:ascii="宋体" w:hAnsi="宋体"/>
          <w:sz w:val="24"/>
        </w:rPr>
        <w:t>“竞争性磋商响应文件”</w:t>
      </w:r>
      <w:r>
        <w:rPr>
          <w:rFonts w:hint="eastAsia" w:ascii="宋体" w:hAnsi="宋体" w:cs="Tahoma"/>
          <w:kern w:val="0"/>
          <w:sz w:val="24"/>
        </w:rPr>
        <w:t>相互混装；</w:t>
      </w:r>
    </w:p>
    <w:p>
      <w:pPr>
        <w:spacing w:line="400" w:lineRule="exact"/>
        <w:rPr>
          <w:rFonts w:ascii="宋体"/>
          <w:b/>
          <w:sz w:val="24"/>
        </w:rPr>
      </w:pPr>
      <w:r>
        <w:rPr>
          <w:rFonts w:ascii="宋体" w:hAnsi="宋体"/>
          <w:b/>
          <w:bCs/>
          <w:sz w:val="24"/>
        </w:rPr>
        <w:t>3.</w:t>
      </w:r>
      <w:bookmarkEnd w:id="24"/>
      <w:bookmarkEnd w:id="25"/>
      <w:bookmarkEnd w:id="26"/>
      <w:bookmarkEnd w:id="27"/>
      <w:bookmarkEnd w:id="28"/>
      <w:bookmarkEnd w:id="29"/>
      <w:bookmarkEnd w:id="30"/>
      <w:bookmarkEnd w:id="31"/>
      <w:r>
        <w:rPr>
          <w:rFonts w:hint="eastAsia" w:ascii="宋体" w:hAnsi="宋体"/>
          <w:b/>
          <w:sz w:val="24"/>
        </w:rPr>
        <w:t>合格的竞标人资格要求</w:t>
      </w:r>
    </w:p>
    <w:p>
      <w:pPr>
        <w:snapToGrid w:val="0"/>
        <w:spacing w:line="360" w:lineRule="auto"/>
        <w:ind w:firstLine="480" w:firstLineChars="200"/>
        <w:jc w:val="left"/>
        <w:rPr>
          <w:rFonts w:cs="宋体"/>
          <w:bCs/>
          <w:sz w:val="24"/>
        </w:rPr>
      </w:pPr>
      <w:bookmarkStart w:id="32" w:name="_Toc325975480"/>
      <w:bookmarkStart w:id="33" w:name="_Toc441585408"/>
      <w:r>
        <w:rPr>
          <w:rFonts w:hint="eastAsia" w:cs="宋体"/>
          <w:bCs/>
          <w:sz w:val="24"/>
        </w:rPr>
        <w:t>3.1满足《中华人民共和国政府采购法》第二十二条规定；</w:t>
      </w:r>
    </w:p>
    <w:p>
      <w:pPr>
        <w:snapToGrid w:val="0"/>
        <w:spacing w:line="360" w:lineRule="auto"/>
        <w:ind w:firstLine="480" w:firstLineChars="200"/>
        <w:jc w:val="left"/>
        <w:rPr>
          <w:rFonts w:cs="宋体"/>
          <w:bCs/>
          <w:sz w:val="24"/>
        </w:rPr>
      </w:pPr>
      <w:r>
        <w:rPr>
          <w:rFonts w:hint="eastAsia" w:cs="宋体"/>
          <w:bCs/>
          <w:sz w:val="24"/>
        </w:rPr>
        <w:t>3.2落实政府采购政策需满足的资格要求：</w:t>
      </w:r>
    </w:p>
    <w:p>
      <w:pPr>
        <w:snapToGrid w:val="0"/>
        <w:spacing w:line="360" w:lineRule="auto"/>
        <w:ind w:firstLine="480" w:firstLineChars="200"/>
        <w:jc w:val="left"/>
        <w:rPr>
          <w:rFonts w:cs="宋体"/>
          <w:bCs/>
          <w:sz w:val="24"/>
        </w:rPr>
      </w:pPr>
      <w:r>
        <w:rPr>
          <w:rFonts w:hint="eastAsia" w:cs="宋体"/>
          <w:bCs/>
          <w:sz w:val="24"/>
        </w:rPr>
        <w:t>□专门面向中小企业采购的项目（供应商应为中小微企业、监狱企业、残疾人福利性单位)</w:t>
      </w:r>
    </w:p>
    <w:p>
      <w:pPr>
        <w:snapToGrid w:val="0"/>
        <w:spacing w:line="360" w:lineRule="auto"/>
        <w:ind w:firstLine="480" w:firstLineChars="200"/>
        <w:jc w:val="left"/>
        <w:rPr>
          <w:rFonts w:cs="宋体"/>
          <w:bCs/>
          <w:sz w:val="24"/>
        </w:rPr>
      </w:pPr>
      <w:r>
        <w:rPr>
          <w:rFonts w:hint="eastAsia" w:cs="宋体"/>
          <w:bCs/>
          <w:sz w:val="24"/>
        </w:rPr>
        <w:t>☑非专门面向中小企业采购的项目</w:t>
      </w:r>
    </w:p>
    <w:p>
      <w:pPr>
        <w:snapToGrid w:val="0"/>
        <w:spacing w:line="360" w:lineRule="auto"/>
        <w:ind w:firstLine="480" w:firstLineChars="200"/>
        <w:jc w:val="left"/>
        <w:rPr>
          <w:rFonts w:cs="宋体"/>
          <w:bCs/>
          <w:sz w:val="24"/>
        </w:rPr>
      </w:pPr>
      <w:r>
        <w:rPr>
          <w:rFonts w:hint="eastAsia" w:cs="宋体"/>
          <w:bCs/>
          <w:sz w:val="24"/>
        </w:rPr>
        <w:t>3.3本项目的特定资格要求：无。</w:t>
      </w:r>
    </w:p>
    <w:p>
      <w:pPr>
        <w:snapToGrid w:val="0"/>
        <w:spacing w:line="360" w:lineRule="auto"/>
        <w:ind w:firstLine="480" w:firstLineChars="200"/>
        <w:jc w:val="left"/>
        <w:rPr>
          <w:rFonts w:cs="宋体"/>
          <w:bCs/>
          <w:sz w:val="24"/>
        </w:rPr>
      </w:pPr>
      <w:r>
        <w:rPr>
          <w:rFonts w:hint="eastAsia" w:cs="宋体"/>
          <w:bCs/>
          <w:sz w:val="24"/>
        </w:rPr>
        <w:t>3.4本项目的特定条件：无。</w:t>
      </w:r>
    </w:p>
    <w:p>
      <w:pPr>
        <w:snapToGrid w:val="0"/>
        <w:spacing w:line="360" w:lineRule="auto"/>
        <w:ind w:firstLine="480" w:firstLineChars="200"/>
        <w:jc w:val="left"/>
        <w:rPr>
          <w:rFonts w:cs="宋体"/>
          <w:bCs/>
          <w:sz w:val="24"/>
        </w:rPr>
      </w:pPr>
      <w:r>
        <w:rPr>
          <w:rFonts w:hint="eastAsia" w:cs="宋体"/>
          <w:bCs/>
          <w:sz w:val="24"/>
        </w:rPr>
        <w:t>3.5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ind w:firstLine="480" w:firstLineChars="200"/>
        <w:jc w:val="left"/>
        <w:rPr>
          <w:rFonts w:cs="宋体"/>
          <w:bCs/>
          <w:sz w:val="24"/>
        </w:rPr>
      </w:pPr>
      <w:r>
        <w:rPr>
          <w:rFonts w:hint="eastAsia" w:cs="宋体"/>
          <w:bCs/>
          <w:sz w:val="24"/>
        </w:rPr>
        <w:t>3.6对在“信用中国”网站(www.creditchina.gov.cn)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276" w:lineRule="auto"/>
        <w:ind w:firstLine="480" w:firstLineChars="200"/>
        <w:rPr>
          <w:rFonts w:ascii="宋体"/>
          <w:b/>
          <w:sz w:val="24"/>
        </w:rPr>
      </w:pPr>
      <w:r>
        <w:rPr>
          <w:rFonts w:ascii="宋体" w:hAnsi="宋体"/>
          <w:b/>
          <w:sz w:val="24"/>
        </w:rPr>
        <w:t>4.</w:t>
      </w:r>
      <w:r>
        <w:rPr>
          <w:rFonts w:hint="eastAsia" w:ascii="宋体" w:hAnsi="宋体"/>
          <w:b/>
          <w:sz w:val="24"/>
        </w:rPr>
        <w:t>磋商费用及其他事项</w:t>
      </w:r>
    </w:p>
    <w:p>
      <w:pPr>
        <w:tabs>
          <w:tab w:val="left" w:pos="426"/>
        </w:tabs>
        <w:spacing w:line="400" w:lineRule="exact"/>
        <w:ind w:left="-61" w:firstLine="720" w:firstLineChars="300"/>
        <w:rPr>
          <w:rFonts w:ascii="宋体"/>
          <w:sz w:val="24"/>
        </w:rPr>
      </w:pPr>
      <w:r>
        <w:rPr>
          <w:rFonts w:ascii="宋体" w:hAnsi="宋体"/>
          <w:sz w:val="24"/>
        </w:rPr>
        <w:t>4.1</w:t>
      </w:r>
      <w:r>
        <w:rPr>
          <w:rFonts w:hint="eastAsia" w:ascii="宋体" w:hAnsi="宋体"/>
          <w:sz w:val="24"/>
        </w:rPr>
        <w:t>磋商供应商应自行承担所有与编写和提交竞争性磋商响应文件有关的费用，不论磋商结果如何，采购人和</w:t>
      </w:r>
      <w:r>
        <w:rPr>
          <w:rFonts w:hint="eastAsia" w:ascii="宋体" w:hAnsi="宋体" w:cs="Arial"/>
          <w:kern w:val="0"/>
          <w:sz w:val="24"/>
        </w:rPr>
        <w:t>广西海恒项目管理有限公司</w:t>
      </w:r>
      <w:r>
        <w:rPr>
          <w:rFonts w:hint="eastAsia" w:ascii="宋体" w:hAnsi="宋体"/>
          <w:sz w:val="24"/>
        </w:rPr>
        <w:t>在任何情况下无义务和责任承担此类费用。</w:t>
      </w:r>
    </w:p>
    <w:p>
      <w:pPr>
        <w:pStyle w:val="25"/>
        <w:spacing w:line="400" w:lineRule="exact"/>
        <w:ind w:firstLine="600" w:firstLineChars="250"/>
        <w:rPr>
          <w:rFonts w:hAnsi="宋体"/>
          <w:sz w:val="24"/>
          <w:szCs w:val="24"/>
        </w:rPr>
      </w:pPr>
      <w:r>
        <w:rPr>
          <w:rFonts w:hAnsi="宋体"/>
          <w:sz w:val="24"/>
          <w:szCs w:val="24"/>
        </w:rPr>
        <w:t>4.2</w:t>
      </w:r>
      <w:r>
        <w:rPr>
          <w:rFonts w:hint="eastAsia" w:hAnsi="宋体"/>
          <w:sz w:val="24"/>
          <w:szCs w:val="24"/>
        </w:rPr>
        <w:t>竞标截止时间结束后参加竞标的供应商不足三家的</w:t>
      </w:r>
      <w:r>
        <w:rPr>
          <w:rFonts w:hAnsi="宋体"/>
          <w:sz w:val="24"/>
          <w:szCs w:val="24"/>
        </w:rPr>
        <w:t>,</w:t>
      </w:r>
      <w:r>
        <w:rPr>
          <w:rFonts w:hint="eastAsia" w:hAnsi="宋体"/>
          <w:sz w:val="24"/>
          <w:szCs w:val="24"/>
        </w:rPr>
        <w:t>将按政府采购有关规定进行办理。</w:t>
      </w:r>
    </w:p>
    <w:p>
      <w:pPr>
        <w:pStyle w:val="25"/>
        <w:spacing w:line="400" w:lineRule="exact"/>
        <w:ind w:firstLine="480" w:firstLineChars="200"/>
        <w:rPr>
          <w:rFonts w:hAnsi="宋体"/>
          <w:sz w:val="24"/>
          <w:szCs w:val="24"/>
        </w:rPr>
      </w:pPr>
      <w:r>
        <w:rPr>
          <w:rFonts w:hint="eastAsia" w:hAnsi="宋体"/>
          <w:sz w:val="24"/>
          <w:szCs w:val="24"/>
        </w:rPr>
        <w:t>在评标期间，出现符合专业条件的供应商或者对采购文件作出实质响应的供应商不足三家情形的，根据财库</w:t>
      </w:r>
      <w:r>
        <w:rPr>
          <w:rFonts w:hint="eastAsia" w:hAnsi="宋体" w:cs="宋体"/>
          <w:sz w:val="24"/>
        </w:rPr>
        <w:t>〔</w:t>
      </w:r>
      <w:r>
        <w:rPr>
          <w:rFonts w:hAnsi="宋体" w:cs="宋体"/>
          <w:sz w:val="24"/>
        </w:rPr>
        <w:t>2015</w:t>
      </w:r>
      <w:r>
        <w:rPr>
          <w:rFonts w:hint="eastAsia" w:hAnsi="宋体" w:cs="宋体"/>
          <w:sz w:val="24"/>
        </w:rPr>
        <w:t>〕</w:t>
      </w:r>
      <w:r>
        <w:rPr>
          <w:rFonts w:hAnsi="宋体"/>
          <w:sz w:val="24"/>
          <w:szCs w:val="24"/>
        </w:rPr>
        <w:t>124</w:t>
      </w:r>
      <w:r>
        <w:rPr>
          <w:rFonts w:hint="eastAsia" w:hAnsi="宋体"/>
          <w:sz w:val="24"/>
          <w:szCs w:val="24"/>
        </w:rPr>
        <w:t>号文，采用竞争性磋商采购方式采购的政府购买服务项目，在采购过程中符合要求的供应商只有</w:t>
      </w:r>
      <w:r>
        <w:rPr>
          <w:rFonts w:hAnsi="宋体"/>
          <w:sz w:val="24"/>
          <w:szCs w:val="24"/>
        </w:rPr>
        <w:t>2</w:t>
      </w:r>
      <w:r>
        <w:rPr>
          <w:rFonts w:hint="eastAsia" w:hAnsi="宋体"/>
          <w:sz w:val="24"/>
          <w:szCs w:val="24"/>
        </w:rPr>
        <w:t>家的，竞争性磋商采购活动可以继续；</w:t>
      </w:r>
    </w:p>
    <w:p>
      <w:pPr>
        <w:shd w:val="clear" w:color="auto" w:fill="FFFFFF"/>
        <w:spacing w:line="400" w:lineRule="exact"/>
        <w:ind w:firstLine="600" w:firstLineChars="250"/>
        <w:rPr>
          <w:rFonts w:ascii="宋体" w:cs="宋体"/>
          <w:kern w:val="0"/>
          <w:sz w:val="24"/>
        </w:rPr>
      </w:pPr>
      <w:r>
        <w:rPr>
          <w:rFonts w:ascii="宋体" w:hAnsi="宋体" w:cs="宋体"/>
          <w:kern w:val="0"/>
          <w:sz w:val="24"/>
        </w:rPr>
        <w:t>4.3</w:t>
      </w:r>
      <w:r>
        <w:rPr>
          <w:rFonts w:hint="eastAsia" w:ascii="宋体" w:hAnsi="宋体" w:cs="宋体"/>
          <w:kern w:val="0"/>
          <w:sz w:val="24"/>
        </w:rPr>
        <w:t>多家供应商参加同一标段竞标，如</w:t>
      </w:r>
      <w:r>
        <w:rPr>
          <w:rFonts w:hint="eastAsia" w:ascii="宋体" w:hAnsi="宋体" w:cs="Tahoma"/>
          <w:kern w:val="0"/>
          <w:sz w:val="24"/>
        </w:rPr>
        <w:t>提供相同品牌产品的不同竞标人参加同一合同项下竞标的，以其中通过资格审查、符合性审查且报价最低的参加磋商，</w:t>
      </w:r>
      <w:r>
        <w:rPr>
          <w:rFonts w:hint="eastAsia" w:ascii="宋体" w:hAnsi="宋体" w:cs="宋体"/>
          <w:kern w:val="0"/>
          <w:sz w:val="24"/>
        </w:rPr>
        <w:t>报价相同的，按照</w:t>
      </w:r>
    </w:p>
    <w:p>
      <w:pPr>
        <w:shd w:val="clear" w:color="auto" w:fill="FFFFFF"/>
        <w:spacing w:line="400" w:lineRule="exact"/>
        <w:ind w:firstLine="480" w:firstLineChars="200"/>
        <w:rPr>
          <w:rFonts w:ascii="宋体" w:cs="宋体"/>
          <w:kern w:val="0"/>
          <w:sz w:val="24"/>
        </w:rPr>
      </w:pPr>
      <w:r>
        <w:rPr>
          <w:rFonts w:hint="eastAsia" w:ascii="宋体" w:hAnsi="宋体" w:cs="宋体"/>
          <w:kern w:val="0"/>
          <w:sz w:val="24"/>
        </w:rPr>
        <w:t>磋商小组商定的方式确定一个参加磋商的竞标人</w:t>
      </w:r>
      <w:r>
        <w:rPr>
          <w:rFonts w:ascii="宋体" w:hAnsi="宋体" w:cs="Tahoma"/>
          <w:kern w:val="0"/>
          <w:sz w:val="24"/>
        </w:rPr>
        <w:t>;</w:t>
      </w:r>
    </w:p>
    <w:p>
      <w:pPr>
        <w:spacing w:line="400" w:lineRule="exact"/>
        <w:ind w:firstLine="480" w:firstLineChars="200"/>
        <w:jc w:val="left"/>
        <w:rPr>
          <w:rFonts w:ascii="宋体" w:cs="Tahoma"/>
          <w:kern w:val="0"/>
          <w:sz w:val="24"/>
        </w:rPr>
      </w:pPr>
      <w:r>
        <w:rPr>
          <w:rFonts w:hint="eastAsia" w:ascii="宋体" w:hAnsi="宋体" w:cs="Tahoma"/>
          <w:kern w:val="0"/>
          <w:sz w:val="24"/>
        </w:rPr>
        <w:t>非单一产品采购项目中，多家竞标人提供的核心产品品牌相同的，视为提供相同品牌产品。</w:t>
      </w:r>
    </w:p>
    <w:p>
      <w:pPr>
        <w:spacing w:line="400" w:lineRule="exact"/>
        <w:ind w:firstLine="480" w:firstLineChars="200"/>
        <w:rPr>
          <w:rFonts w:ascii="宋体"/>
          <w:b/>
          <w:sz w:val="24"/>
        </w:rPr>
      </w:pPr>
      <w:r>
        <w:rPr>
          <w:rFonts w:ascii="宋体" w:hAnsi="宋体" w:cs="Tahoma"/>
          <w:kern w:val="0"/>
          <w:sz w:val="24"/>
        </w:rPr>
        <w:t>4.4</w:t>
      </w:r>
      <w:r>
        <w:rPr>
          <w:rFonts w:hint="eastAsia" w:ascii="宋体" w:hAnsi="宋体" w:cs="Tahoma"/>
          <w:kern w:val="0"/>
          <w:sz w:val="24"/>
        </w:rPr>
        <w:t>生产厂商授权给供应商后自己不得参加同一合同项下的政府采购活动；生产厂</w:t>
      </w:r>
      <w:r>
        <w:rPr>
          <w:rFonts w:hint="eastAsia" w:ascii="宋体" w:hAnsi="宋体"/>
          <w:sz w:val="24"/>
        </w:rPr>
        <w:t>商对同一品牌同一型号的货物，仅能委托一个代理商参加竞标。</w:t>
      </w:r>
    </w:p>
    <w:p>
      <w:pPr>
        <w:spacing w:line="400" w:lineRule="exact"/>
        <w:jc w:val="left"/>
        <w:rPr>
          <w:rFonts w:ascii="宋体" w:cs="宋体"/>
          <w:kern w:val="0"/>
          <w:sz w:val="24"/>
        </w:rPr>
      </w:pPr>
    </w:p>
    <w:p>
      <w:pPr>
        <w:spacing w:before="120" w:line="360" w:lineRule="auto"/>
        <w:jc w:val="center"/>
        <w:outlineLvl w:val="2"/>
        <w:rPr>
          <w:rFonts w:ascii="宋体"/>
          <w:b/>
          <w:sz w:val="24"/>
        </w:rPr>
      </w:pPr>
      <w:bookmarkStart w:id="34" w:name="_Toc501090500"/>
      <w:bookmarkStart w:id="35" w:name="_Toc501090363"/>
      <w:r>
        <w:rPr>
          <w:rFonts w:hint="eastAsia" w:ascii="宋体" w:hAnsi="宋体"/>
          <w:b/>
          <w:sz w:val="24"/>
        </w:rPr>
        <w:t>二、</w:t>
      </w:r>
      <w:bookmarkEnd w:id="32"/>
      <w:bookmarkEnd w:id="33"/>
      <w:r>
        <w:rPr>
          <w:rFonts w:hint="eastAsia" w:ascii="宋体" w:hAnsi="宋体"/>
          <w:b/>
          <w:sz w:val="24"/>
        </w:rPr>
        <w:t>竞争性磋商文件</w:t>
      </w:r>
      <w:bookmarkEnd w:id="34"/>
      <w:bookmarkEnd w:id="35"/>
    </w:p>
    <w:p>
      <w:pPr>
        <w:spacing w:line="400" w:lineRule="exact"/>
        <w:rPr>
          <w:rFonts w:ascii="宋体"/>
          <w:b/>
          <w:sz w:val="24"/>
        </w:rPr>
      </w:pPr>
      <w:r>
        <w:rPr>
          <w:rFonts w:ascii="宋体" w:hAnsi="宋体"/>
          <w:b/>
          <w:sz w:val="24"/>
        </w:rPr>
        <w:t>5</w:t>
      </w:r>
      <w:r>
        <w:rPr>
          <w:rFonts w:hint="eastAsia" w:ascii="宋体" w:hAnsi="宋体"/>
          <w:b/>
          <w:sz w:val="24"/>
        </w:rPr>
        <w:t>、竞争性磋商文件的组成</w:t>
      </w:r>
    </w:p>
    <w:p>
      <w:pPr>
        <w:spacing w:line="400" w:lineRule="exact"/>
        <w:ind w:firstLine="480" w:firstLineChars="200"/>
        <w:rPr>
          <w:rFonts w:ascii="宋体"/>
          <w:sz w:val="24"/>
        </w:rPr>
      </w:pPr>
      <w:r>
        <w:rPr>
          <w:rFonts w:ascii="宋体" w:hAnsi="宋体"/>
          <w:sz w:val="24"/>
        </w:rPr>
        <w:t>5</w:t>
      </w:r>
      <w:r>
        <w:rPr>
          <w:rFonts w:ascii="宋体"/>
          <w:sz w:val="24"/>
        </w:rPr>
        <w:t>.</w:t>
      </w:r>
      <w:r>
        <w:rPr>
          <w:rFonts w:ascii="宋体" w:hAnsi="宋体"/>
          <w:sz w:val="24"/>
        </w:rPr>
        <w:t>1</w:t>
      </w:r>
      <w:r>
        <w:rPr>
          <w:rFonts w:hint="eastAsia" w:ascii="宋体" w:hAnsi="宋体"/>
          <w:sz w:val="24"/>
        </w:rPr>
        <w:t>本采购文件包括以下内容：</w:t>
      </w:r>
    </w:p>
    <w:p>
      <w:pPr>
        <w:spacing w:line="400" w:lineRule="exact"/>
        <w:ind w:firstLine="480" w:firstLineChars="200"/>
        <w:rPr>
          <w:rFonts w:ascii="宋体"/>
          <w:sz w:val="24"/>
        </w:rPr>
      </w:pPr>
      <w:r>
        <w:rPr>
          <w:rFonts w:hint="eastAsia" w:ascii="宋体" w:hAnsi="宋体"/>
          <w:sz w:val="24"/>
        </w:rPr>
        <w:t>第一章磋商公告</w:t>
      </w:r>
    </w:p>
    <w:p>
      <w:pPr>
        <w:spacing w:line="400" w:lineRule="exact"/>
        <w:ind w:firstLine="480" w:firstLineChars="200"/>
        <w:rPr>
          <w:rFonts w:ascii="宋体" w:cs="Courier New"/>
          <w:bCs/>
          <w:spacing w:val="2"/>
          <w:sz w:val="24"/>
        </w:rPr>
      </w:pPr>
      <w:r>
        <w:rPr>
          <w:rFonts w:hint="eastAsia" w:ascii="宋体" w:hAnsi="宋体"/>
          <w:sz w:val="24"/>
        </w:rPr>
        <w:t>第二章竞标人须知及前附表</w:t>
      </w:r>
    </w:p>
    <w:p>
      <w:pPr>
        <w:spacing w:line="400" w:lineRule="exact"/>
        <w:ind w:firstLine="480" w:firstLineChars="200"/>
        <w:rPr>
          <w:rFonts w:ascii="宋体"/>
          <w:sz w:val="24"/>
        </w:rPr>
      </w:pPr>
      <w:r>
        <w:rPr>
          <w:rFonts w:hint="eastAsia" w:ascii="宋体" w:hAnsi="宋体"/>
          <w:sz w:val="24"/>
        </w:rPr>
        <w:t>第三章项目采购需求</w:t>
      </w:r>
    </w:p>
    <w:p>
      <w:pPr>
        <w:spacing w:line="400" w:lineRule="exact"/>
        <w:ind w:firstLine="480" w:firstLineChars="200"/>
        <w:rPr>
          <w:rFonts w:ascii="宋体"/>
          <w:sz w:val="24"/>
        </w:rPr>
      </w:pPr>
      <w:r>
        <w:rPr>
          <w:rFonts w:hint="eastAsia" w:ascii="宋体" w:hAnsi="宋体"/>
          <w:sz w:val="24"/>
        </w:rPr>
        <w:t>第四章</w:t>
      </w:r>
      <w:r>
        <w:rPr>
          <w:rFonts w:hint="eastAsia" w:ascii="宋体" w:hAnsi="宋体" w:cs="Courier New"/>
          <w:bCs/>
          <w:spacing w:val="2"/>
          <w:sz w:val="24"/>
        </w:rPr>
        <w:t>磋商文件格式</w:t>
      </w:r>
    </w:p>
    <w:p>
      <w:pPr>
        <w:spacing w:line="400" w:lineRule="exact"/>
        <w:ind w:firstLine="480" w:firstLineChars="200"/>
        <w:rPr>
          <w:rFonts w:ascii="宋体" w:cs="Courier New"/>
          <w:bCs/>
          <w:spacing w:val="2"/>
          <w:sz w:val="24"/>
        </w:rPr>
      </w:pPr>
      <w:r>
        <w:rPr>
          <w:rFonts w:hint="eastAsia" w:ascii="宋体" w:hAnsi="宋体"/>
          <w:sz w:val="24"/>
        </w:rPr>
        <w:t>第五章合同条款及格式</w:t>
      </w:r>
    </w:p>
    <w:p>
      <w:pPr>
        <w:spacing w:line="400" w:lineRule="exact"/>
        <w:ind w:firstLine="480" w:firstLineChars="200"/>
        <w:rPr>
          <w:rFonts w:ascii="宋体"/>
          <w:sz w:val="24"/>
        </w:rPr>
      </w:pPr>
      <w:r>
        <w:rPr>
          <w:rFonts w:hint="eastAsia" w:ascii="宋体" w:hAnsi="宋体"/>
          <w:sz w:val="24"/>
        </w:rPr>
        <w:t>第六章评标标准及方法</w:t>
      </w:r>
    </w:p>
    <w:p>
      <w:pPr>
        <w:spacing w:line="400" w:lineRule="exact"/>
        <w:ind w:firstLine="480" w:firstLineChars="200"/>
        <w:rPr>
          <w:rFonts w:ascii="宋体"/>
          <w:sz w:val="24"/>
        </w:rPr>
      </w:pPr>
      <w:r>
        <w:rPr>
          <w:rFonts w:ascii="宋体" w:hAnsi="宋体"/>
          <w:sz w:val="24"/>
        </w:rPr>
        <w:t>5</w:t>
      </w:r>
      <w:r>
        <w:rPr>
          <w:rFonts w:ascii="宋体"/>
          <w:sz w:val="24"/>
        </w:rPr>
        <w:t>.</w:t>
      </w:r>
      <w:r>
        <w:rPr>
          <w:rFonts w:ascii="宋体" w:hAnsi="宋体"/>
          <w:sz w:val="24"/>
        </w:rPr>
        <w:t>2</w:t>
      </w:r>
      <w:r>
        <w:rPr>
          <w:rFonts w:hint="eastAsia" w:ascii="宋体" w:hAnsi="宋体"/>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宋体" w:hAnsi="宋体"/>
          <w:sz w:val="24"/>
        </w:rPr>
        <w:t>5</w:t>
      </w:r>
      <w:r>
        <w:rPr>
          <w:rFonts w:hint="eastAsia" w:ascii="宋体" w:hAnsi="宋体"/>
          <w:sz w:val="24"/>
        </w:rPr>
        <w:t>日前，以书面形式通知所有获取磋商文件的供应商；不足</w:t>
      </w:r>
      <w:r>
        <w:rPr>
          <w:rFonts w:ascii="宋体" w:hAnsi="宋体"/>
          <w:sz w:val="24"/>
        </w:rPr>
        <w:t>5</w:t>
      </w:r>
      <w:r>
        <w:rPr>
          <w:rFonts w:hint="eastAsia" w:ascii="宋体" w:hAnsi="宋体"/>
          <w:sz w:val="24"/>
        </w:rPr>
        <w:t>日的，采购人、采购代理机构应当顺延提交首次响应文件截止时间。</w:t>
      </w:r>
    </w:p>
    <w:p>
      <w:pPr>
        <w:spacing w:line="400" w:lineRule="exact"/>
        <w:ind w:firstLine="480" w:firstLineChars="200"/>
        <w:rPr>
          <w:rFonts w:ascii="宋体"/>
          <w:sz w:val="24"/>
        </w:rPr>
      </w:pPr>
      <w:r>
        <w:rPr>
          <w:rFonts w:ascii="宋体" w:hAnsi="宋体"/>
          <w:sz w:val="24"/>
        </w:rPr>
        <w:t>5</w:t>
      </w:r>
      <w:r>
        <w:rPr>
          <w:rFonts w:ascii="宋体"/>
          <w:sz w:val="24"/>
        </w:rPr>
        <w:t>.</w:t>
      </w:r>
      <w:r>
        <w:rPr>
          <w:rFonts w:ascii="宋体" w:hAnsi="宋体"/>
          <w:sz w:val="24"/>
        </w:rPr>
        <w:t>3</w:t>
      </w:r>
      <w:r>
        <w:rPr>
          <w:rFonts w:hint="eastAsia" w:ascii="宋体" w:hAnsi="宋体"/>
          <w:sz w:val="24"/>
        </w:rPr>
        <w:t>竞标人获取采购文件后，应仔细检查采购文件的所有内容，如有残缺等问题应及时向采购人提出，否则，由此引起的损失由竞标人自己承担。竞标人同时应认真审阅采购文件中所有的事项、格式、条款和规范要求等，若竞标人的磋商响应文件没有按采购文件的要求提交全部资料，或磋商响应文件没有对采购文件做出实质性响应，其风险由竞标人自行承担，并根据有关条款规定，该磋商文件有可能被拒绝。</w:t>
      </w:r>
    </w:p>
    <w:p>
      <w:pPr>
        <w:spacing w:line="400" w:lineRule="exact"/>
        <w:rPr>
          <w:rFonts w:ascii="宋体"/>
          <w:b/>
          <w:sz w:val="24"/>
        </w:rPr>
      </w:pPr>
      <w:r>
        <w:rPr>
          <w:rFonts w:ascii="宋体" w:hAnsi="宋体"/>
          <w:b/>
          <w:sz w:val="24"/>
        </w:rPr>
        <w:t>6</w:t>
      </w:r>
      <w:r>
        <w:rPr>
          <w:rFonts w:hint="eastAsia" w:ascii="宋体" w:hAnsi="宋体"/>
          <w:b/>
          <w:sz w:val="24"/>
        </w:rPr>
        <w:t>、竞争性磋商文件的澄清和修改：</w:t>
      </w:r>
    </w:p>
    <w:p>
      <w:pPr>
        <w:pStyle w:val="25"/>
        <w:spacing w:line="400" w:lineRule="exact"/>
        <w:ind w:firstLine="420"/>
        <w:rPr>
          <w:rFonts w:hAnsi="宋体"/>
          <w:sz w:val="24"/>
          <w:szCs w:val="24"/>
        </w:rPr>
      </w:pPr>
      <w:r>
        <w:rPr>
          <w:rFonts w:hAnsi="宋体"/>
          <w:sz w:val="24"/>
          <w:szCs w:val="24"/>
        </w:rPr>
        <w:t>6.1</w:t>
      </w:r>
      <w:r>
        <w:rPr>
          <w:rFonts w:hint="eastAsia" w:hAnsi="宋体"/>
          <w:bCs/>
          <w:sz w:val="24"/>
          <w:szCs w:val="24"/>
        </w:rPr>
        <w:t>供应商应认真审核《项目采购需求》中的技术参数、配置及要求，如发现项目采购需求中技术参数、配置有误或要求不合理的，供应商必须在规定的时间前要求澄清，否则，由此产生的后果由供应商负责。</w:t>
      </w:r>
    </w:p>
    <w:p>
      <w:pPr>
        <w:spacing w:line="400" w:lineRule="exact"/>
        <w:ind w:firstLine="479"/>
        <w:rPr>
          <w:rFonts w:ascii="宋体"/>
          <w:sz w:val="24"/>
        </w:rPr>
      </w:pPr>
      <w:r>
        <w:rPr>
          <w:rFonts w:ascii="宋体" w:hAnsi="宋体"/>
          <w:sz w:val="24"/>
        </w:rPr>
        <w:t>6.2</w:t>
      </w:r>
      <w:r>
        <w:rPr>
          <w:rFonts w:hint="eastAsia" w:ascii="宋体" w:hAnsi="宋体"/>
          <w:sz w:val="24"/>
        </w:rPr>
        <w:t>任何要求澄清竞争性磋商文件的供应商，均应在响应文件递交截止日期三日前的正常工作时间以书面形式通知采购代理机构，同时认定其他澄清方式为无效。采购代理机构将以书面形式予以答复。</w:t>
      </w:r>
    </w:p>
    <w:p>
      <w:pPr>
        <w:spacing w:line="400" w:lineRule="exact"/>
        <w:ind w:firstLine="479"/>
        <w:rPr>
          <w:rFonts w:ascii="宋体"/>
          <w:sz w:val="24"/>
        </w:rPr>
      </w:pPr>
      <w:r>
        <w:rPr>
          <w:rFonts w:ascii="宋体" w:hAnsi="宋体"/>
          <w:sz w:val="24"/>
        </w:rPr>
        <w:t>6.3</w:t>
      </w:r>
      <w:r>
        <w:rPr>
          <w:rFonts w:hint="eastAsia" w:ascii="宋体" w:hAnsi="宋体"/>
          <w:sz w:val="24"/>
        </w:rPr>
        <w:t>采购代理机构可视具体情况，延长磋商截止时间。采购代理机构至少在采购文件要求提交响应文件的截止时间</w:t>
      </w:r>
      <w:r>
        <w:rPr>
          <w:rFonts w:ascii="宋体" w:hAnsi="宋体"/>
          <w:sz w:val="24"/>
        </w:rPr>
        <w:t>3</w:t>
      </w:r>
      <w:r>
        <w:rPr>
          <w:rFonts w:hint="eastAsia" w:ascii="宋体" w:hAnsi="宋体"/>
          <w:sz w:val="24"/>
        </w:rPr>
        <w:t>日前，将变更时间书面通知所有采购文件收受人。</w:t>
      </w:r>
    </w:p>
    <w:p>
      <w:pPr>
        <w:spacing w:line="400" w:lineRule="exact"/>
        <w:ind w:firstLine="479"/>
        <w:rPr>
          <w:rFonts w:ascii="宋体"/>
          <w:sz w:val="24"/>
        </w:rPr>
      </w:pPr>
    </w:p>
    <w:p>
      <w:pPr>
        <w:spacing w:before="120" w:line="360" w:lineRule="auto"/>
        <w:jc w:val="center"/>
        <w:outlineLvl w:val="2"/>
        <w:rPr>
          <w:rFonts w:ascii="宋体"/>
          <w:b/>
          <w:bCs/>
          <w:sz w:val="24"/>
        </w:rPr>
      </w:pPr>
      <w:bookmarkStart w:id="36" w:name="_Toc501090364"/>
      <w:bookmarkStart w:id="37" w:name="_Toc501090501"/>
      <w:r>
        <w:rPr>
          <w:rFonts w:hint="eastAsia" w:ascii="宋体" w:hAnsi="宋体"/>
          <w:b/>
          <w:bCs/>
          <w:sz w:val="24"/>
        </w:rPr>
        <w:t>三、响应文件</w:t>
      </w:r>
      <w:bookmarkEnd w:id="36"/>
      <w:bookmarkEnd w:id="37"/>
    </w:p>
    <w:p>
      <w:pPr>
        <w:spacing w:line="400" w:lineRule="exact"/>
        <w:rPr>
          <w:rFonts w:ascii="宋体"/>
          <w:b/>
          <w:sz w:val="24"/>
        </w:rPr>
      </w:pPr>
      <w:bookmarkStart w:id="38" w:name="_Toc385992337"/>
      <w:bookmarkStart w:id="39" w:name="_Toc389620176"/>
      <w:r>
        <w:rPr>
          <w:rFonts w:ascii="宋体" w:hAnsi="宋体"/>
          <w:b/>
          <w:sz w:val="24"/>
        </w:rPr>
        <w:t>7</w:t>
      </w:r>
      <w:r>
        <w:rPr>
          <w:rFonts w:hint="eastAsia" w:ascii="宋体" w:hAnsi="宋体"/>
          <w:b/>
          <w:sz w:val="24"/>
        </w:rPr>
        <w:t>、语言</w:t>
      </w:r>
    </w:p>
    <w:p>
      <w:pPr>
        <w:spacing w:line="400" w:lineRule="exact"/>
        <w:ind w:firstLine="480" w:firstLineChars="200"/>
        <w:rPr>
          <w:rFonts w:ascii="宋体"/>
          <w:sz w:val="24"/>
        </w:rPr>
      </w:pPr>
      <w:r>
        <w:rPr>
          <w:rFonts w:hint="eastAsia" w:ascii="宋体" w:hAnsi="宋体"/>
          <w:sz w:val="24"/>
        </w:rPr>
        <w:t>磋商响应文件以及往来信件应以中文书写。</w:t>
      </w:r>
    </w:p>
    <w:bookmarkEnd w:id="38"/>
    <w:bookmarkEnd w:id="39"/>
    <w:p>
      <w:pPr>
        <w:spacing w:line="400" w:lineRule="exact"/>
        <w:rPr>
          <w:rFonts w:ascii="宋体"/>
          <w:b/>
          <w:sz w:val="24"/>
        </w:rPr>
      </w:pPr>
      <w:r>
        <w:rPr>
          <w:rFonts w:ascii="宋体" w:hAnsi="宋体"/>
          <w:b/>
          <w:sz w:val="24"/>
        </w:rPr>
        <w:t>8</w:t>
      </w:r>
      <w:r>
        <w:rPr>
          <w:rFonts w:hint="eastAsia" w:ascii="宋体" w:hAnsi="宋体"/>
          <w:b/>
          <w:sz w:val="24"/>
        </w:rPr>
        <w:t>、计量单位</w:t>
      </w:r>
    </w:p>
    <w:p>
      <w:pPr>
        <w:spacing w:line="400" w:lineRule="exact"/>
        <w:ind w:firstLine="480" w:firstLineChars="200"/>
        <w:rPr>
          <w:rFonts w:ascii="宋体"/>
          <w:sz w:val="24"/>
        </w:rPr>
      </w:pPr>
      <w:r>
        <w:rPr>
          <w:rFonts w:hint="eastAsia" w:ascii="宋体" w:hAnsi="宋体"/>
          <w:sz w:val="24"/>
        </w:rPr>
        <w:t>除另有规定外，磋商响应文件使用的度量衡单位，均应使用中华人民共和国法定计量单位。</w:t>
      </w:r>
    </w:p>
    <w:p>
      <w:pPr>
        <w:spacing w:line="400" w:lineRule="exact"/>
        <w:rPr>
          <w:rFonts w:ascii="宋体"/>
          <w:b/>
          <w:sz w:val="24"/>
        </w:rPr>
      </w:pPr>
      <w:r>
        <w:rPr>
          <w:rFonts w:ascii="宋体" w:hAnsi="宋体"/>
          <w:b/>
          <w:sz w:val="24"/>
        </w:rPr>
        <w:t>9</w:t>
      </w:r>
      <w:r>
        <w:rPr>
          <w:rFonts w:hint="eastAsia" w:ascii="宋体" w:hAnsi="宋体"/>
          <w:b/>
          <w:sz w:val="24"/>
        </w:rPr>
        <w:t>、磋商响应文件的组成</w:t>
      </w:r>
    </w:p>
    <w:p>
      <w:pPr>
        <w:spacing w:line="400" w:lineRule="exact"/>
        <w:ind w:firstLine="480" w:firstLineChars="200"/>
        <w:rPr>
          <w:rFonts w:ascii="宋体" w:hAnsi="宋体"/>
          <w:sz w:val="24"/>
        </w:rPr>
      </w:pPr>
      <w:r>
        <w:rPr>
          <w:rFonts w:hint="eastAsia" w:ascii="宋体" w:hAnsi="宋体"/>
          <w:sz w:val="24"/>
        </w:rPr>
        <w:t>竞标人编制的磋商响应文件必须使用采购文件提供的表格格式，表格可以按同样的格式扩展（要求必须提供的文件，如不按要求提供，视为无效投标）。</w:t>
      </w:r>
    </w:p>
    <w:p>
      <w:pPr>
        <w:spacing w:line="400" w:lineRule="exact"/>
        <w:ind w:firstLine="480" w:firstLineChars="200"/>
        <w:rPr>
          <w:rFonts w:ascii="宋体"/>
          <w:sz w:val="24"/>
        </w:rPr>
      </w:pPr>
      <w:r>
        <w:rPr>
          <w:rFonts w:ascii="宋体" w:hAnsi="宋体"/>
          <w:sz w:val="24"/>
        </w:rPr>
        <w:t>9.1</w:t>
      </w:r>
      <w:r>
        <w:rPr>
          <w:rFonts w:hint="eastAsia" w:ascii="宋体" w:hAnsi="宋体"/>
          <w:sz w:val="24"/>
        </w:rPr>
        <w:t>磋商函（格式见第四章）</w:t>
      </w:r>
      <w:r>
        <w:rPr>
          <w:rFonts w:hint="eastAsia" w:ascii="宋体" w:hAnsi="宋体"/>
          <w:b/>
          <w:sz w:val="24"/>
        </w:rPr>
        <w:t>（必须提供）；</w:t>
      </w:r>
    </w:p>
    <w:p>
      <w:pPr>
        <w:spacing w:line="400" w:lineRule="exact"/>
        <w:ind w:firstLine="480" w:firstLineChars="200"/>
        <w:rPr>
          <w:rFonts w:ascii="宋体"/>
          <w:sz w:val="24"/>
        </w:rPr>
      </w:pPr>
      <w:r>
        <w:rPr>
          <w:rFonts w:ascii="宋体" w:hAnsi="宋体"/>
          <w:sz w:val="24"/>
        </w:rPr>
        <w:t>9.2</w:t>
      </w:r>
      <w:r>
        <w:rPr>
          <w:rFonts w:hint="eastAsia" w:ascii="宋体" w:hAnsi="宋体"/>
          <w:sz w:val="24"/>
        </w:rPr>
        <w:t>报价表（格式见第四章）</w:t>
      </w:r>
      <w:r>
        <w:rPr>
          <w:rFonts w:hint="eastAsia" w:ascii="宋体" w:hAnsi="宋体"/>
          <w:b/>
          <w:sz w:val="24"/>
        </w:rPr>
        <w:t>（必须提供）</w:t>
      </w:r>
      <w:r>
        <w:rPr>
          <w:rFonts w:hint="eastAsia" w:ascii="宋体" w:hAnsi="宋体"/>
          <w:sz w:val="24"/>
        </w:rPr>
        <w:t>；</w:t>
      </w:r>
    </w:p>
    <w:p>
      <w:pPr>
        <w:spacing w:line="400" w:lineRule="exact"/>
        <w:ind w:firstLine="480" w:firstLineChars="200"/>
        <w:rPr>
          <w:rFonts w:ascii="宋体"/>
          <w:sz w:val="24"/>
        </w:rPr>
      </w:pPr>
      <w:r>
        <w:rPr>
          <w:rFonts w:ascii="宋体" w:hAnsi="宋体"/>
          <w:sz w:val="24"/>
        </w:rPr>
        <w:t>9.3</w:t>
      </w:r>
      <w:r>
        <w:rPr>
          <w:rFonts w:hint="eastAsia" w:ascii="宋体" w:hAnsi="宋体"/>
          <w:sz w:val="24"/>
        </w:rPr>
        <w:t>法定代表人授权委托书原件（格式见第四章）和委托代理人身份证正反两面复印件</w:t>
      </w:r>
      <w:r>
        <w:rPr>
          <w:rFonts w:hint="eastAsia" w:ascii="宋体" w:hAnsi="宋体"/>
          <w:b/>
          <w:sz w:val="24"/>
        </w:rPr>
        <w:t>（委托时必须提供）</w:t>
      </w:r>
      <w:r>
        <w:rPr>
          <w:rFonts w:hint="eastAsia" w:ascii="宋体" w:hAnsi="宋体"/>
          <w:sz w:val="24"/>
        </w:rPr>
        <w:t>；</w:t>
      </w:r>
    </w:p>
    <w:p>
      <w:pPr>
        <w:spacing w:line="400" w:lineRule="exact"/>
        <w:ind w:firstLine="480" w:firstLineChars="200"/>
        <w:rPr>
          <w:rFonts w:ascii="宋体"/>
          <w:sz w:val="24"/>
        </w:rPr>
      </w:pPr>
      <w:r>
        <w:rPr>
          <w:rFonts w:ascii="宋体" w:hAnsi="宋体"/>
          <w:sz w:val="24"/>
        </w:rPr>
        <w:t>9.4</w:t>
      </w:r>
      <w:r>
        <w:rPr>
          <w:rFonts w:hint="eastAsia" w:ascii="宋体" w:hAnsi="宋体"/>
          <w:sz w:val="24"/>
        </w:rPr>
        <w:t>法定代表人身份证正反两面复印件</w:t>
      </w:r>
      <w:r>
        <w:rPr>
          <w:rFonts w:hint="eastAsia" w:ascii="宋体" w:hAnsi="宋体"/>
          <w:b/>
          <w:sz w:val="24"/>
        </w:rPr>
        <w:t>（必须提供）</w:t>
      </w:r>
      <w:r>
        <w:rPr>
          <w:rFonts w:hint="eastAsia" w:ascii="宋体" w:hAnsi="宋体"/>
          <w:sz w:val="24"/>
        </w:rPr>
        <w:t>；</w:t>
      </w:r>
    </w:p>
    <w:p>
      <w:pPr>
        <w:spacing w:line="400" w:lineRule="exact"/>
        <w:ind w:firstLine="480" w:firstLineChars="200"/>
        <w:rPr>
          <w:rFonts w:ascii="宋体"/>
          <w:sz w:val="24"/>
        </w:rPr>
      </w:pPr>
      <w:r>
        <w:rPr>
          <w:rFonts w:ascii="宋体" w:hAnsi="宋体"/>
          <w:sz w:val="24"/>
        </w:rPr>
        <w:t>9.5</w:t>
      </w:r>
      <w:r>
        <w:rPr>
          <w:rFonts w:hint="eastAsia" w:ascii="宋体" w:hAnsi="宋体"/>
          <w:sz w:val="24"/>
        </w:rPr>
        <w:t>营业执照副本（或事业单位法人证副本）复印件</w:t>
      </w:r>
      <w:r>
        <w:rPr>
          <w:rFonts w:hint="eastAsia" w:ascii="宋体" w:hAnsi="宋体"/>
          <w:b/>
          <w:sz w:val="24"/>
        </w:rPr>
        <w:t>（必须提供）</w:t>
      </w:r>
      <w:r>
        <w:rPr>
          <w:rFonts w:hint="eastAsia" w:ascii="宋体" w:hAnsi="宋体"/>
          <w:sz w:val="24"/>
        </w:rPr>
        <w:t>；</w:t>
      </w:r>
    </w:p>
    <w:p>
      <w:pPr>
        <w:spacing w:line="400" w:lineRule="exact"/>
        <w:ind w:firstLine="480" w:firstLineChars="200"/>
        <w:rPr>
          <w:rFonts w:ascii="宋体"/>
          <w:sz w:val="24"/>
        </w:rPr>
      </w:pPr>
      <w:r>
        <w:rPr>
          <w:rFonts w:ascii="宋体" w:hAnsi="宋体"/>
          <w:b/>
          <w:sz w:val="24"/>
        </w:rPr>
        <w:t>9.6</w:t>
      </w:r>
      <w:r>
        <w:rPr>
          <w:rFonts w:hint="eastAsia" w:ascii="宋体" w:hAnsi="宋体"/>
          <w:sz w:val="24"/>
        </w:rPr>
        <w:t>竞标保证金交纳证明</w:t>
      </w:r>
      <w:r>
        <w:rPr>
          <w:rFonts w:hint="eastAsia" w:ascii="宋体" w:hAnsi="宋体"/>
          <w:b/>
          <w:sz w:val="24"/>
        </w:rPr>
        <w:t>（必须提供）；</w:t>
      </w:r>
    </w:p>
    <w:p>
      <w:pPr>
        <w:spacing w:line="400" w:lineRule="exact"/>
        <w:ind w:firstLine="480" w:firstLineChars="200"/>
        <w:rPr>
          <w:rFonts w:ascii="宋体" w:hAnsi="宋体"/>
          <w:sz w:val="24"/>
        </w:rPr>
      </w:pPr>
      <w:r>
        <w:rPr>
          <w:rFonts w:ascii="宋体" w:hAnsi="宋体"/>
          <w:sz w:val="24"/>
        </w:rPr>
        <w:t>9.</w:t>
      </w:r>
      <w:r>
        <w:rPr>
          <w:rFonts w:hint="eastAsia" w:ascii="宋体" w:hAnsi="宋体"/>
          <w:sz w:val="24"/>
        </w:rPr>
        <w:t>7竞标声明书</w:t>
      </w:r>
      <w:r>
        <w:rPr>
          <w:rFonts w:hint="eastAsia" w:ascii="宋体" w:hAnsi="宋体"/>
          <w:b/>
          <w:sz w:val="24"/>
        </w:rPr>
        <w:t>（必须提供）</w:t>
      </w:r>
      <w:r>
        <w:rPr>
          <w:rFonts w:hint="eastAsia" w:ascii="宋体" w:hAnsi="宋体"/>
          <w:sz w:val="24"/>
        </w:rPr>
        <w:t>；</w:t>
      </w:r>
    </w:p>
    <w:p>
      <w:pPr>
        <w:spacing w:line="400" w:lineRule="exact"/>
        <w:ind w:firstLine="480" w:firstLineChars="200"/>
        <w:rPr>
          <w:rFonts w:ascii="宋体"/>
          <w:sz w:val="24"/>
        </w:rPr>
      </w:pPr>
      <w:r>
        <w:rPr>
          <w:rFonts w:ascii="宋体" w:hAnsi="宋体"/>
          <w:sz w:val="24"/>
        </w:rPr>
        <w:t>9.</w:t>
      </w:r>
      <w:r>
        <w:rPr>
          <w:rFonts w:hint="eastAsia" w:ascii="宋体" w:hAnsi="宋体"/>
          <w:sz w:val="24"/>
        </w:rPr>
        <w:t>8截标时间前半年内任意连续三个月竞标人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竞标人所在地的税务部门出具的《依法纳税或依法免税证明》复印件；成立不足</w:t>
      </w:r>
      <w:r>
        <w:rPr>
          <w:rFonts w:ascii="宋体" w:hAnsi="宋体"/>
          <w:sz w:val="24"/>
        </w:rPr>
        <w:t>3</w:t>
      </w:r>
      <w:r>
        <w:rPr>
          <w:rFonts w:hint="eastAsia" w:ascii="宋体" w:hAnsi="宋体"/>
          <w:sz w:val="24"/>
        </w:rPr>
        <w:t>个月的供应商按实际情况提供；</w:t>
      </w:r>
      <w:r>
        <w:rPr>
          <w:rFonts w:hint="eastAsia" w:ascii="宋体" w:hAnsi="宋体"/>
          <w:b/>
          <w:sz w:val="24"/>
        </w:rPr>
        <w:t>（必须提供）</w:t>
      </w:r>
      <w:r>
        <w:rPr>
          <w:rFonts w:ascii="宋体" w:hAnsi="宋体"/>
          <w:b/>
          <w:sz w:val="24"/>
        </w:rPr>
        <w:t xml:space="preserve"> </w:t>
      </w:r>
    </w:p>
    <w:p>
      <w:pPr>
        <w:spacing w:line="400" w:lineRule="exact"/>
        <w:ind w:firstLine="480" w:firstLineChars="200"/>
        <w:rPr>
          <w:rFonts w:ascii="宋体"/>
          <w:sz w:val="24"/>
        </w:rPr>
      </w:pPr>
      <w:r>
        <w:rPr>
          <w:rFonts w:ascii="宋体" w:hAnsi="宋体"/>
          <w:sz w:val="24"/>
        </w:rPr>
        <w:t>9.</w:t>
      </w:r>
      <w:r>
        <w:rPr>
          <w:rFonts w:hint="eastAsia" w:ascii="宋体" w:hAnsi="宋体"/>
          <w:sz w:val="24"/>
        </w:rPr>
        <w:t>9截标时间前半年内，任意连续三个月竞标人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竞标人所在地社保部门出具的《依法缴纳或依法免缴社保费证明》复印件；成立不足</w:t>
      </w:r>
      <w:r>
        <w:rPr>
          <w:rFonts w:ascii="宋体" w:hAnsi="宋体"/>
          <w:sz w:val="24"/>
        </w:rPr>
        <w:t>3</w:t>
      </w:r>
      <w:r>
        <w:rPr>
          <w:rFonts w:hint="eastAsia" w:ascii="宋体" w:hAnsi="宋体"/>
          <w:sz w:val="24"/>
        </w:rPr>
        <w:t>个月的供应商按实际情况提供；</w:t>
      </w:r>
      <w:r>
        <w:rPr>
          <w:rFonts w:hint="eastAsia" w:ascii="宋体" w:hAnsi="宋体"/>
          <w:b/>
          <w:sz w:val="24"/>
        </w:rPr>
        <w:t>（必须提供）</w:t>
      </w:r>
      <w:r>
        <w:rPr>
          <w:rFonts w:ascii="宋体" w:hAnsi="宋体"/>
          <w:sz w:val="24"/>
        </w:rPr>
        <w:t xml:space="preserve"> </w:t>
      </w:r>
    </w:p>
    <w:p>
      <w:pPr>
        <w:spacing w:line="400" w:lineRule="exact"/>
        <w:ind w:firstLine="480" w:firstLineChars="200"/>
        <w:rPr>
          <w:rFonts w:ascii="宋体" w:hAnsi="宋体"/>
          <w:sz w:val="24"/>
        </w:rPr>
      </w:pPr>
      <w:r>
        <w:rPr>
          <w:rFonts w:ascii="宋体" w:hAnsi="宋体"/>
          <w:sz w:val="24"/>
        </w:rPr>
        <w:t>9.</w:t>
      </w:r>
      <w:r>
        <w:rPr>
          <w:rFonts w:hint="eastAsia" w:ascii="宋体" w:hAnsi="宋体"/>
          <w:sz w:val="24"/>
        </w:rPr>
        <w:t>10商务、技术偏离表（格式见第四章）</w:t>
      </w:r>
      <w:r>
        <w:rPr>
          <w:rFonts w:hint="eastAsia" w:ascii="宋体" w:hAnsi="宋体"/>
          <w:b/>
          <w:sz w:val="24"/>
        </w:rPr>
        <w:t>（必须提供）</w:t>
      </w:r>
      <w:r>
        <w:rPr>
          <w:rFonts w:hint="eastAsia" w:ascii="宋体" w:hAnsi="宋体"/>
          <w:sz w:val="24"/>
        </w:rPr>
        <w:t>；</w:t>
      </w:r>
    </w:p>
    <w:p>
      <w:pPr>
        <w:spacing w:line="400" w:lineRule="exact"/>
        <w:ind w:firstLine="480" w:firstLineChars="200"/>
        <w:rPr>
          <w:rFonts w:ascii="宋体"/>
          <w:szCs w:val="21"/>
        </w:rPr>
      </w:pPr>
      <w:r>
        <w:rPr>
          <w:rFonts w:hint="eastAsia" w:ascii="宋体" w:hAnsi="宋体"/>
          <w:sz w:val="24"/>
        </w:rPr>
        <w:t>9.11技术方案(包含但不限于项目总体方案、项目实施方案、售后服务方案、培训服务方案等，具体内容按评分办法内容进行编制)；</w:t>
      </w:r>
    </w:p>
    <w:p>
      <w:pPr>
        <w:spacing w:line="400" w:lineRule="exact"/>
        <w:ind w:firstLine="480" w:firstLineChars="200"/>
        <w:rPr>
          <w:rFonts w:ascii="宋体" w:hAnsi="宋体"/>
          <w:sz w:val="24"/>
        </w:rPr>
      </w:pPr>
      <w:r>
        <w:rPr>
          <w:rFonts w:ascii="宋体" w:hAnsi="宋体"/>
          <w:sz w:val="24"/>
        </w:rPr>
        <w:t>9.1</w:t>
      </w:r>
      <w:r>
        <w:rPr>
          <w:rFonts w:hint="eastAsia" w:ascii="宋体" w:hAnsi="宋体"/>
          <w:sz w:val="24"/>
        </w:rPr>
        <w:t>2竞标人认为有必要提供的其他资料。</w:t>
      </w:r>
    </w:p>
    <w:p>
      <w:pPr>
        <w:spacing w:line="400" w:lineRule="exact"/>
        <w:rPr>
          <w:rFonts w:ascii="宋体"/>
          <w:b/>
          <w:sz w:val="24"/>
        </w:rPr>
      </w:pPr>
      <w:r>
        <w:rPr>
          <w:rFonts w:ascii="宋体" w:hAnsi="宋体"/>
          <w:b/>
          <w:sz w:val="24"/>
        </w:rPr>
        <w:t>10</w:t>
      </w:r>
      <w:r>
        <w:rPr>
          <w:rFonts w:hint="eastAsia" w:ascii="宋体" w:hAnsi="宋体"/>
          <w:b/>
          <w:sz w:val="24"/>
        </w:rPr>
        <w:t>、竞争性磋商响应文件的份数和签署</w:t>
      </w:r>
    </w:p>
    <w:p>
      <w:pPr>
        <w:spacing w:line="400" w:lineRule="exact"/>
        <w:ind w:firstLine="480" w:firstLineChars="200"/>
        <w:rPr>
          <w:rFonts w:ascii="宋体"/>
          <w:sz w:val="24"/>
        </w:rPr>
      </w:pPr>
      <w:r>
        <w:rPr>
          <w:rFonts w:ascii="宋体" w:hAnsi="宋体"/>
          <w:sz w:val="24"/>
        </w:rPr>
        <w:t>1</w:t>
      </w:r>
      <w:r>
        <w:rPr>
          <w:rFonts w:ascii="宋体"/>
          <w:sz w:val="24"/>
        </w:rPr>
        <w:t>0</w:t>
      </w:r>
      <w:r>
        <w:rPr>
          <w:rFonts w:ascii="宋体" w:hAnsi="宋体"/>
          <w:sz w:val="24"/>
        </w:rPr>
        <w:t>.1</w:t>
      </w:r>
      <w:r>
        <w:rPr>
          <w:rFonts w:hint="eastAsia" w:ascii="宋体" w:hAnsi="宋体"/>
          <w:sz w:val="24"/>
        </w:rPr>
        <w:t>竞标人应按竞标人须知前附表要求提供响应文件的份数。</w:t>
      </w:r>
    </w:p>
    <w:p>
      <w:pPr>
        <w:spacing w:line="400" w:lineRule="exact"/>
        <w:ind w:firstLine="480" w:firstLineChars="200"/>
        <w:rPr>
          <w:rFonts w:ascii="宋体" w:hAnsi="宋体"/>
          <w:sz w:val="24"/>
        </w:rPr>
      </w:pPr>
      <w:r>
        <w:rPr>
          <w:rFonts w:ascii="宋体" w:hAnsi="宋体"/>
          <w:sz w:val="24"/>
        </w:rPr>
        <w:t>1</w:t>
      </w:r>
      <w:r>
        <w:rPr>
          <w:rFonts w:ascii="宋体"/>
          <w:sz w:val="24"/>
        </w:rPr>
        <w:t>0</w:t>
      </w:r>
      <w:r>
        <w:rPr>
          <w:rFonts w:ascii="宋体" w:hAnsi="宋体"/>
          <w:sz w:val="24"/>
        </w:rPr>
        <w:t>.2</w:t>
      </w:r>
      <w:r>
        <w:rPr>
          <w:rFonts w:hint="eastAsia" w:ascii="宋体" w:hAnsi="宋体"/>
          <w:sz w:val="24"/>
        </w:rPr>
        <w:t>响应文件的正本使用不褪色的蓝、黑墨水笔书写，字迹应清晰易于辨认，副本可以采用正本的复印件，当正本和副本不一致时，以正本为准，并应在响应文件封面的右上角清楚地注明“正本”或“副本”。</w:t>
      </w:r>
    </w:p>
    <w:p>
      <w:pPr>
        <w:spacing w:line="400" w:lineRule="exact"/>
        <w:ind w:firstLine="480" w:firstLineChars="200"/>
        <w:rPr>
          <w:rFonts w:ascii="宋体"/>
          <w:sz w:val="24"/>
        </w:rPr>
      </w:pPr>
      <w:r>
        <w:rPr>
          <w:rFonts w:ascii="宋体" w:hAnsi="宋体"/>
          <w:sz w:val="24"/>
        </w:rPr>
        <w:t>1</w:t>
      </w:r>
      <w:r>
        <w:rPr>
          <w:rFonts w:ascii="宋体"/>
          <w:sz w:val="24"/>
        </w:rPr>
        <w:t>0</w:t>
      </w:r>
      <w:r>
        <w:rPr>
          <w:rFonts w:ascii="宋体" w:hAnsi="宋体"/>
          <w:sz w:val="24"/>
        </w:rPr>
        <w:t>.3</w:t>
      </w:r>
      <w:r>
        <w:rPr>
          <w:rFonts w:hint="eastAsia" w:ascii="宋体" w:hAnsi="宋体"/>
          <w:sz w:val="24"/>
        </w:rPr>
        <w:t>响应文件封面、磋商函均应加盖竞标人印章并经法定代表人或其授权代表签字或盖章。由授权代表签字或盖章的在响应文件中须同时提交响应文件签署授权委托书。响应文件签署授权委托书格式、签字、盖章及内容均应符合要求，否则响应文件签署授权委托书无效。</w:t>
      </w:r>
    </w:p>
    <w:p>
      <w:pPr>
        <w:spacing w:line="400" w:lineRule="exact"/>
        <w:ind w:firstLine="480" w:firstLineChars="200"/>
        <w:rPr>
          <w:rFonts w:ascii="宋体"/>
          <w:sz w:val="24"/>
        </w:rPr>
      </w:pPr>
      <w:r>
        <w:rPr>
          <w:rFonts w:ascii="宋体" w:hAnsi="宋体"/>
          <w:sz w:val="24"/>
        </w:rPr>
        <w:t>10.4</w:t>
      </w:r>
      <w:r>
        <w:rPr>
          <w:rFonts w:hint="eastAsia" w:ascii="宋体" w:hAnsi="宋体"/>
          <w:sz w:val="24"/>
        </w:rPr>
        <w:t>竞标人如对响应文件有修改，修改处应由竞标人加盖竞标人的印章或由法定代表人或其授权代表签字或盖章。</w:t>
      </w:r>
    </w:p>
    <w:p>
      <w:pPr>
        <w:pStyle w:val="5"/>
        <w:keepNext w:val="0"/>
        <w:keepLines w:val="0"/>
        <w:numPr>
          <w:ilvl w:val="2"/>
          <w:numId w:val="0"/>
        </w:numPr>
        <w:tabs>
          <w:tab w:val="left" w:pos="720"/>
        </w:tabs>
        <w:spacing w:before="120" w:after="0" w:line="360" w:lineRule="auto"/>
        <w:jc w:val="center"/>
        <w:rPr>
          <w:rFonts w:ascii="宋体"/>
          <w:sz w:val="24"/>
          <w:szCs w:val="24"/>
        </w:rPr>
      </w:pPr>
      <w:bookmarkStart w:id="40" w:name="_Toc501090502"/>
      <w:bookmarkStart w:id="41" w:name="_Toc56590917"/>
      <w:bookmarkStart w:id="42" w:name="_Toc501090365"/>
      <w:bookmarkStart w:id="43" w:name="_Toc441585410"/>
      <w:bookmarkStart w:id="44" w:name="_Toc325975482"/>
      <w:r>
        <w:rPr>
          <w:rFonts w:hint="eastAsia" w:ascii="宋体" w:hAnsi="宋体"/>
          <w:sz w:val="24"/>
          <w:szCs w:val="24"/>
        </w:rPr>
        <w:t>四、响应文件的递交</w:t>
      </w:r>
      <w:bookmarkEnd w:id="40"/>
      <w:bookmarkEnd w:id="41"/>
      <w:bookmarkEnd w:id="42"/>
      <w:bookmarkEnd w:id="43"/>
      <w:bookmarkEnd w:id="44"/>
    </w:p>
    <w:p>
      <w:pPr>
        <w:spacing w:line="400" w:lineRule="exact"/>
        <w:rPr>
          <w:rFonts w:ascii="宋体"/>
          <w:b/>
          <w:sz w:val="24"/>
        </w:rPr>
      </w:pPr>
      <w:r>
        <w:rPr>
          <w:rFonts w:ascii="宋体" w:hAnsi="宋体"/>
          <w:b/>
          <w:sz w:val="24"/>
        </w:rPr>
        <w:t>11</w:t>
      </w:r>
      <w:r>
        <w:rPr>
          <w:rFonts w:hint="eastAsia" w:ascii="宋体" w:hAnsi="宋体"/>
          <w:b/>
          <w:sz w:val="24"/>
        </w:rPr>
        <w:t>、响应文件的装订、密封和标记</w:t>
      </w:r>
    </w:p>
    <w:p>
      <w:pPr>
        <w:spacing w:line="400" w:lineRule="exact"/>
        <w:ind w:firstLine="480" w:firstLineChars="200"/>
        <w:rPr>
          <w:rFonts w:ascii="宋体"/>
          <w:sz w:val="24"/>
        </w:rPr>
      </w:pPr>
      <w:r>
        <w:rPr>
          <w:rFonts w:ascii="宋体" w:hAnsi="宋体"/>
          <w:sz w:val="24"/>
        </w:rPr>
        <w:t>11</w:t>
      </w:r>
      <w:r>
        <w:rPr>
          <w:rFonts w:ascii="宋体"/>
          <w:sz w:val="24"/>
        </w:rPr>
        <w:t>.</w:t>
      </w:r>
      <w:r>
        <w:rPr>
          <w:rFonts w:ascii="宋体" w:hAnsi="宋体"/>
          <w:sz w:val="24"/>
        </w:rPr>
        <w:t>1</w:t>
      </w:r>
      <w:r>
        <w:rPr>
          <w:rFonts w:hint="eastAsia" w:ascii="宋体" w:hAnsi="宋体"/>
          <w:b/>
          <w:sz w:val="24"/>
        </w:rPr>
        <w:t>响应文件分别按标段进行编制、装订、密封和标记</w:t>
      </w:r>
      <w:r>
        <w:rPr>
          <w:rFonts w:hint="eastAsia" w:ascii="宋体" w:hAnsi="宋体"/>
          <w:sz w:val="24"/>
        </w:rPr>
        <w:t>，竞标人应将响应文件正本、副本分别装订并与电子版响应文件一起密封在一个密封袋中。</w:t>
      </w:r>
    </w:p>
    <w:p>
      <w:pPr>
        <w:spacing w:line="400" w:lineRule="exact"/>
        <w:ind w:firstLine="480" w:firstLineChars="200"/>
        <w:rPr>
          <w:rFonts w:ascii="宋体"/>
          <w:sz w:val="24"/>
        </w:rPr>
      </w:pPr>
      <w:r>
        <w:rPr>
          <w:rFonts w:ascii="宋体" w:hAnsi="宋体"/>
          <w:sz w:val="24"/>
        </w:rPr>
        <w:t>11</w:t>
      </w:r>
      <w:r>
        <w:rPr>
          <w:rFonts w:ascii="宋体"/>
          <w:sz w:val="24"/>
        </w:rPr>
        <w:t>.</w:t>
      </w:r>
      <w:r>
        <w:rPr>
          <w:rFonts w:ascii="宋体" w:hAnsi="宋体"/>
          <w:sz w:val="24"/>
        </w:rPr>
        <w:t>2</w:t>
      </w:r>
      <w:r>
        <w:rPr>
          <w:rFonts w:hint="eastAsia" w:ascii="宋体" w:hAnsi="宋体"/>
          <w:sz w:val="24"/>
        </w:rPr>
        <w:t>在响应文件密封袋上应注明下列识别标记：</w:t>
      </w:r>
    </w:p>
    <w:p>
      <w:pPr>
        <w:spacing w:line="400" w:lineRule="exact"/>
        <w:ind w:firstLine="600" w:firstLineChars="250"/>
        <w:rPr>
          <w:rFonts w:ascii="宋体"/>
          <w:sz w:val="24"/>
        </w:rPr>
      </w:pPr>
      <w:r>
        <w:rPr>
          <w:rFonts w:hint="eastAsia" w:ascii="宋体" w:hAnsi="宋体"/>
          <w:sz w:val="24"/>
        </w:rPr>
        <w:t>（</w:t>
      </w:r>
      <w:r>
        <w:rPr>
          <w:rFonts w:ascii="宋体" w:hAnsi="宋体"/>
          <w:sz w:val="24"/>
        </w:rPr>
        <w:t>1</w:t>
      </w:r>
      <w:r>
        <w:rPr>
          <w:rFonts w:hint="eastAsia" w:ascii="宋体" w:hAnsi="宋体"/>
          <w:sz w:val="24"/>
        </w:rPr>
        <w:t>）项目编号；</w:t>
      </w:r>
    </w:p>
    <w:p>
      <w:pPr>
        <w:spacing w:line="400" w:lineRule="exact"/>
        <w:ind w:firstLine="600" w:firstLineChars="25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）项目名称；</w:t>
      </w:r>
    </w:p>
    <w:p>
      <w:pPr>
        <w:spacing w:line="400" w:lineRule="exact"/>
        <w:ind w:firstLine="600" w:firstLineChars="250"/>
        <w:rPr>
          <w:rFonts w:ascii="宋体" w:hAnsi="宋体"/>
          <w:sz w:val="24"/>
        </w:rPr>
      </w:pPr>
      <w:r>
        <w:rPr>
          <w:rFonts w:hint="eastAsia" w:ascii="宋体" w:hAnsi="宋体"/>
          <w:sz w:val="24"/>
        </w:rPr>
        <w:t>（3）标段：</w:t>
      </w:r>
    </w:p>
    <w:p>
      <w:pPr>
        <w:spacing w:line="400" w:lineRule="exact"/>
        <w:ind w:firstLine="600" w:firstLineChars="250"/>
        <w:rPr>
          <w:rFonts w:ascii="宋体"/>
          <w:sz w:val="24"/>
        </w:rPr>
      </w:pPr>
      <w:r>
        <w:rPr>
          <w:rFonts w:hint="eastAsia" w:ascii="宋体" w:hAnsi="宋体"/>
          <w:sz w:val="24"/>
        </w:rPr>
        <w:t>（4）采购代理机构；</w:t>
      </w:r>
    </w:p>
    <w:p>
      <w:pPr>
        <w:spacing w:line="400" w:lineRule="exact"/>
        <w:ind w:firstLine="600" w:firstLineChars="250"/>
        <w:rPr>
          <w:rFonts w:ascii="宋体"/>
          <w:sz w:val="24"/>
        </w:rPr>
      </w:pPr>
      <w:r>
        <w:rPr>
          <w:rFonts w:hint="eastAsia" w:ascii="宋体" w:hAnsi="宋体"/>
          <w:sz w:val="24"/>
        </w:rPr>
        <w:t>（5）竞标人名称；</w:t>
      </w:r>
    </w:p>
    <w:p>
      <w:pPr>
        <w:spacing w:line="400" w:lineRule="exact"/>
        <w:ind w:firstLine="600" w:firstLineChars="250"/>
        <w:rPr>
          <w:rFonts w:ascii="宋体"/>
          <w:sz w:val="24"/>
        </w:rPr>
      </w:pPr>
      <w:r>
        <w:rPr>
          <w:rFonts w:hint="eastAsia" w:ascii="宋体" w:hAnsi="宋体"/>
          <w:sz w:val="24"/>
        </w:rPr>
        <w:t>（6）年月日时分开标，此时间以前不得开封。</w:t>
      </w:r>
    </w:p>
    <w:p>
      <w:pPr>
        <w:spacing w:line="400" w:lineRule="exact"/>
        <w:ind w:firstLine="480" w:firstLineChars="200"/>
        <w:rPr>
          <w:rFonts w:ascii="宋体"/>
          <w:sz w:val="24"/>
        </w:rPr>
      </w:pPr>
      <w:r>
        <w:rPr>
          <w:rFonts w:ascii="宋体" w:hAnsi="宋体"/>
          <w:sz w:val="24"/>
        </w:rPr>
        <w:t>11</w:t>
      </w:r>
      <w:r>
        <w:rPr>
          <w:rFonts w:ascii="宋体"/>
          <w:sz w:val="24"/>
        </w:rPr>
        <w:t>.</w:t>
      </w:r>
      <w:r>
        <w:rPr>
          <w:rFonts w:ascii="宋体" w:hAnsi="宋体"/>
          <w:sz w:val="24"/>
        </w:rPr>
        <w:t xml:space="preserve">3 </w:t>
      </w:r>
      <w:r>
        <w:rPr>
          <w:rFonts w:hint="eastAsia" w:ascii="宋体" w:hAnsi="宋体"/>
          <w:sz w:val="24"/>
        </w:rPr>
        <w:t>如果响应文件没有按本竞标人须知第</w:t>
      </w:r>
      <w:r>
        <w:rPr>
          <w:rFonts w:ascii="宋体" w:hAnsi="宋体"/>
          <w:sz w:val="24"/>
        </w:rPr>
        <w:t>11.1</w:t>
      </w:r>
      <w:r>
        <w:rPr>
          <w:rFonts w:hint="eastAsia" w:ascii="宋体" w:hAnsi="宋体"/>
          <w:sz w:val="24"/>
        </w:rPr>
        <w:t>款、第</w:t>
      </w:r>
      <w:r>
        <w:rPr>
          <w:rFonts w:ascii="宋体" w:hAnsi="宋体"/>
          <w:sz w:val="24"/>
        </w:rPr>
        <w:t>11.2</w:t>
      </w:r>
      <w:r>
        <w:rPr>
          <w:rFonts w:hint="eastAsia" w:ascii="宋体" w:hAnsi="宋体"/>
          <w:sz w:val="24"/>
        </w:rPr>
        <w:t>款的规定装订和注明标记及密封，采购人将不承担响应文件提前开封的责任。对由此造成提前开封的响应文件将予以拒绝，并退还给竞标人。</w:t>
      </w:r>
    </w:p>
    <w:p>
      <w:pPr>
        <w:spacing w:line="400" w:lineRule="exact"/>
        <w:ind w:firstLine="480" w:firstLineChars="200"/>
        <w:rPr>
          <w:rFonts w:ascii="宋体"/>
          <w:sz w:val="24"/>
        </w:rPr>
      </w:pPr>
      <w:r>
        <w:rPr>
          <w:rFonts w:ascii="宋体" w:hAnsi="宋体"/>
          <w:sz w:val="24"/>
        </w:rPr>
        <w:t>11</w:t>
      </w:r>
      <w:r>
        <w:rPr>
          <w:rFonts w:ascii="宋体"/>
          <w:sz w:val="24"/>
        </w:rPr>
        <w:t>.</w:t>
      </w:r>
      <w:r>
        <w:rPr>
          <w:rFonts w:ascii="宋体" w:hAnsi="宋体"/>
          <w:sz w:val="24"/>
        </w:rPr>
        <w:t>4</w:t>
      </w:r>
      <w:r>
        <w:rPr>
          <w:rFonts w:hint="eastAsia" w:ascii="宋体" w:hAnsi="宋体"/>
          <w:sz w:val="24"/>
        </w:rPr>
        <w:t>响应文件的密封袋的封口处应加盖密封章或单位公章。</w:t>
      </w:r>
    </w:p>
    <w:p>
      <w:pPr>
        <w:spacing w:line="400" w:lineRule="exact"/>
        <w:ind w:firstLine="480" w:firstLineChars="200"/>
        <w:rPr>
          <w:rFonts w:ascii="宋体"/>
          <w:sz w:val="24"/>
        </w:rPr>
      </w:pPr>
      <w:r>
        <w:rPr>
          <w:rFonts w:ascii="宋体" w:hAnsi="宋体"/>
          <w:sz w:val="24"/>
        </w:rPr>
        <w:t>11</w:t>
      </w:r>
      <w:r>
        <w:rPr>
          <w:rFonts w:ascii="宋体"/>
          <w:sz w:val="24"/>
        </w:rPr>
        <w:t>.</w:t>
      </w:r>
      <w:r>
        <w:rPr>
          <w:rFonts w:ascii="宋体" w:hAnsi="宋体"/>
          <w:sz w:val="24"/>
        </w:rPr>
        <w:t>5</w:t>
      </w:r>
      <w:r>
        <w:rPr>
          <w:rFonts w:hint="eastAsia" w:ascii="宋体" w:hAnsi="宋体"/>
          <w:sz w:val="24"/>
        </w:rPr>
        <w:t>响应文件的编制应按规定的有关格式及要求填报。</w:t>
      </w:r>
    </w:p>
    <w:p>
      <w:pPr>
        <w:spacing w:line="400" w:lineRule="exact"/>
        <w:rPr>
          <w:rFonts w:ascii="宋体"/>
          <w:b/>
          <w:sz w:val="24"/>
        </w:rPr>
      </w:pPr>
      <w:bookmarkStart w:id="45" w:name="_Toc17216809"/>
      <w:r>
        <w:rPr>
          <w:rFonts w:ascii="宋体" w:hAnsi="宋体"/>
          <w:b/>
          <w:sz w:val="24"/>
        </w:rPr>
        <w:t>12</w:t>
      </w:r>
      <w:r>
        <w:rPr>
          <w:rFonts w:hint="eastAsia" w:ascii="宋体" w:hAnsi="宋体"/>
          <w:b/>
          <w:sz w:val="24"/>
        </w:rPr>
        <w:t>、响应文件的提交</w:t>
      </w:r>
      <w:bookmarkEnd w:id="45"/>
    </w:p>
    <w:p>
      <w:pPr>
        <w:spacing w:line="400" w:lineRule="exact"/>
        <w:ind w:firstLine="480" w:firstLineChars="200"/>
        <w:rPr>
          <w:rFonts w:ascii="宋体"/>
          <w:sz w:val="24"/>
        </w:rPr>
      </w:pPr>
      <w:r>
        <w:rPr>
          <w:rFonts w:ascii="宋体" w:hAnsi="宋体"/>
          <w:sz w:val="24"/>
        </w:rPr>
        <w:t xml:space="preserve">12.1 </w:t>
      </w:r>
      <w:r>
        <w:rPr>
          <w:rFonts w:hint="eastAsia" w:ascii="宋体" w:hAnsi="宋体"/>
          <w:sz w:val="24"/>
        </w:rPr>
        <w:t>竞标人应按本须知前附表规定的地点，于截止时间前提交响应文件。</w:t>
      </w:r>
      <w:bookmarkStart w:id="46" w:name="_Toc17216810"/>
      <w:r>
        <w:rPr>
          <w:rFonts w:hint="eastAsia" w:ascii="宋体" w:hAnsi="宋体"/>
          <w:sz w:val="24"/>
        </w:rPr>
        <w:t>逾期送达的响应文件将不予接收。</w:t>
      </w:r>
    </w:p>
    <w:bookmarkEnd w:id="46"/>
    <w:p>
      <w:pPr>
        <w:spacing w:line="400" w:lineRule="exact"/>
        <w:ind w:firstLine="480" w:firstLineChars="200"/>
        <w:rPr>
          <w:rFonts w:ascii="宋体"/>
          <w:sz w:val="24"/>
        </w:rPr>
      </w:pPr>
      <w:r>
        <w:rPr>
          <w:rFonts w:ascii="宋体" w:hAnsi="宋体"/>
          <w:sz w:val="24"/>
        </w:rPr>
        <w:t xml:space="preserve">12.2 </w:t>
      </w:r>
      <w:r>
        <w:rPr>
          <w:rFonts w:hint="eastAsia" w:ascii="宋体" w:hAnsi="宋体"/>
          <w:sz w:val="24"/>
        </w:rPr>
        <w:t>采购人可按本须知第</w:t>
      </w:r>
      <w:r>
        <w:rPr>
          <w:rFonts w:ascii="宋体" w:hAnsi="宋体"/>
          <w:sz w:val="24"/>
        </w:rPr>
        <w:t>6</w:t>
      </w:r>
      <w:r>
        <w:rPr>
          <w:rFonts w:hint="eastAsia" w:ascii="宋体" w:hAnsi="宋体"/>
          <w:sz w:val="24"/>
        </w:rPr>
        <w:t>条规定以修改补充通知的方式，酌情延长提交响应文件的截止时间。在此情况下，竞标人的所有权利和义务以及竞标人受制约的截止时间，均以延长后新的磋商截止时间为准。</w:t>
      </w:r>
    </w:p>
    <w:p>
      <w:pPr>
        <w:spacing w:line="400" w:lineRule="exact"/>
        <w:ind w:firstLine="479"/>
        <w:rPr>
          <w:rFonts w:ascii="宋体"/>
          <w:sz w:val="24"/>
        </w:rPr>
      </w:pPr>
      <w:r>
        <w:rPr>
          <w:rFonts w:ascii="宋体" w:hAnsi="宋体"/>
          <w:sz w:val="24"/>
        </w:rPr>
        <w:t xml:space="preserve">12.3 </w:t>
      </w:r>
      <w:r>
        <w:rPr>
          <w:rFonts w:hint="eastAsia" w:ascii="宋体" w:hAnsi="宋体"/>
          <w:sz w:val="24"/>
        </w:rPr>
        <w:t>到磋商截止时间止，采购人收到的响应文件少于</w:t>
      </w:r>
      <w:r>
        <w:rPr>
          <w:rFonts w:ascii="宋体" w:hAnsi="宋体"/>
          <w:sz w:val="24"/>
        </w:rPr>
        <w:t>3</w:t>
      </w:r>
      <w:r>
        <w:rPr>
          <w:rFonts w:hint="eastAsia" w:ascii="宋体" w:hAnsi="宋体"/>
          <w:sz w:val="24"/>
        </w:rPr>
        <w:t>个的，采购人将依法重新组织采购。</w:t>
      </w:r>
    </w:p>
    <w:p>
      <w:pPr>
        <w:spacing w:line="400" w:lineRule="exact"/>
        <w:rPr>
          <w:rFonts w:ascii="宋体"/>
          <w:b/>
          <w:sz w:val="24"/>
        </w:rPr>
      </w:pPr>
      <w:bookmarkStart w:id="47" w:name="_Toc17216812"/>
      <w:r>
        <w:rPr>
          <w:rFonts w:ascii="宋体" w:hAnsi="宋体"/>
          <w:b/>
          <w:sz w:val="24"/>
        </w:rPr>
        <w:t>13</w:t>
      </w:r>
      <w:r>
        <w:rPr>
          <w:rFonts w:hint="eastAsia" w:ascii="宋体" w:hAnsi="宋体"/>
          <w:b/>
          <w:sz w:val="24"/>
        </w:rPr>
        <w:t>、响应文件的补充、修改与撤回</w:t>
      </w:r>
      <w:bookmarkEnd w:id="47"/>
    </w:p>
    <w:p>
      <w:pPr>
        <w:spacing w:line="400" w:lineRule="exact"/>
        <w:ind w:firstLine="479"/>
        <w:rPr>
          <w:rFonts w:ascii="宋体"/>
          <w:sz w:val="24"/>
        </w:rPr>
      </w:pPr>
      <w:r>
        <w:rPr>
          <w:rFonts w:ascii="宋体" w:hAnsi="宋体"/>
          <w:sz w:val="24"/>
        </w:rPr>
        <w:t xml:space="preserve">13.1 </w:t>
      </w:r>
      <w:r>
        <w:rPr>
          <w:rFonts w:hint="eastAsia" w:ascii="宋体" w:hAnsi="宋体"/>
          <w:sz w:val="24"/>
        </w:rPr>
        <w:t>竞标人在提交响应文件以后，在规定的磋商截止时间之前，可以书面形式补充修改或撤回已提交的响应文件，并以书面形式通知采购人。补充、修改的内容为响应文件的组成部分。</w:t>
      </w:r>
    </w:p>
    <w:p>
      <w:pPr>
        <w:spacing w:line="400" w:lineRule="exact"/>
        <w:ind w:firstLine="479"/>
        <w:rPr>
          <w:rFonts w:ascii="宋体"/>
          <w:sz w:val="24"/>
        </w:rPr>
      </w:pPr>
      <w:r>
        <w:rPr>
          <w:rFonts w:ascii="宋体" w:hAnsi="宋体"/>
          <w:sz w:val="24"/>
        </w:rPr>
        <w:t xml:space="preserve">13.2 </w:t>
      </w:r>
      <w:r>
        <w:rPr>
          <w:rFonts w:hint="eastAsia" w:ascii="宋体" w:hAnsi="宋体"/>
          <w:sz w:val="24"/>
        </w:rPr>
        <w:t>竞标人对响应文件的补充、修改，应按本须知第</w:t>
      </w:r>
      <w:r>
        <w:rPr>
          <w:rFonts w:ascii="宋体" w:hAnsi="宋体"/>
          <w:sz w:val="24"/>
        </w:rPr>
        <w:t>11</w:t>
      </w:r>
      <w:r>
        <w:rPr>
          <w:rFonts w:hint="eastAsia" w:ascii="宋体" w:hAnsi="宋体"/>
          <w:sz w:val="24"/>
        </w:rPr>
        <w:t>条有关规定密封、标记和提交，并在内外层响应文件密封袋上清楚标明“补充、修改”或“撤回”字样。</w:t>
      </w:r>
    </w:p>
    <w:p>
      <w:pPr>
        <w:spacing w:line="400" w:lineRule="exact"/>
        <w:ind w:firstLine="479"/>
        <w:rPr>
          <w:rFonts w:ascii="宋体"/>
          <w:sz w:val="24"/>
        </w:rPr>
      </w:pPr>
      <w:r>
        <w:rPr>
          <w:rFonts w:ascii="宋体" w:hAnsi="宋体"/>
          <w:sz w:val="24"/>
        </w:rPr>
        <w:t xml:space="preserve">13.3 </w:t>
      </w:r>
      <w:r>
        <w:rPr>
          <w:rFonts w:hint="eastAsia" w:ascii="宋体" w:hAnsi="宋体"/>
          <w:sz w:val="24"/>
        </w:rPr>
        <w:t>在磋商截止时间之后，竞标人不得补充、修改响应文件。</w:t>
      </w:r>
    </w:p>
    <w:p>
      <w:pPr>
        <w:spacing w:line="400" w:lineRule="exact"/>
        <w:ind w:firstLine="479"/>
        <w:rPr>
          <w:rFonts w:ascii="宋体"/>
          <w:sz w:val="24"/>
        </w:rPr>
      </w:pPr>
      <w:r>
        <w:rPr>
          <w:rFonts w:ascii="宋体" w:hAnsi="宋体"/>
          <w:sz w:val="24"/>
        </w:rPr>
        <w:t xml:space="preserve">13.4 </w:t>
      </w:r>
      <w:r>
        <w:rPr>
          <w:rFonts w:hint="eastAsia" w:ascii="宋体" w:hAnsi="宋体"/>
          <w:sz w:val="24"/>
        </w:rPr>
        <w:t>在磋商截止时间至磋商有效期满之前，竞标人不得撤回其响应文件。</w:t>
      </w:r>
    </w:p>
    <w:p>
      <w:pPr>
        <w:pStyle w:val="25"/>
        <w:spacing w:before="120" w:line="360" w:lineRule="auto"/>
        <w:jc w:val="center"/>
        <w:outlineLvl w:val="2"/>
        <w:rPr>
          <w:rFonts w:hAnsi="宋体"/>
          <w:b/>
          <w:bCs/>
          <w:sz w:val="24"/>
          <w:szCs w:val="24"/>
        </w:rPr>
      </w:pPr>
      <w:bookmarkStart w:id="48" w:name="_Toc501090503"/>
      <w:bookmarkStart w:id="49" w:name="_Toc501090366"/>
      <w:r>
        <w:rPr>
          <w:rFonts w:hint="eastAsia" w:hAnsi="宋体"/>
          <w:b/>
          <w:bCs/>
          <w:sz w:val="24"/>
          <w:szCs w:val="24"/>
        </w:rPr>
        <w:t>五、磋商报价要求</w:t>
      </w:r>
      <w:bookmarkEnd w:id="48"/>
      <w:bookmarkEnd w:id="49"/>
    </w:p>
    <w:p>
      <w:pPr>
        <w:spacing w:line="400" w:lineRule="exact"/>
        <w:rPr>
          <w:rFonts w:ascii="宋体"/>
          <w:sz w:val="24"/>
        </w:rPr>
      </w:pPr>
      <w:r>
        <w:rPr>
          <w:rFonts w:ascii="宋体" w:hAnsi="宋体"/>
          <w:b/>
          <w:sz w:val="24"/>
        </w:rPr>
        <w:t>1</w:t>
      </w:r>
      <w:r>
        <w:rPr>
          <w:rFonts w:hint="eastAsia" w:ascii="宋体" w:hAnsi="宋体"/>
          <w:b/>
          <w:sz w:val="24"/>
        </w:rPr>
        <w:t>4、磋商报价</w:t>
      </w:r>
    </w:p>
    <w:p>
      <w:pPr>
        <w:pStyle w:val="25"/>
        <w:spacing w:line="400" w:lineRule="exact"/>
        <w:ind w:firstLine="420"/>
        <w:rPr>
          <w:rFonts w:hAnsi="宋体"/>
          <w:sz w:val="24"/>
          <w:szCs w:val="24"/>
        </w:rPr>
      </w:pPr>
      <w:r>
        <w:rPr>
          <w:rFonts w:hAnsi="宋体"/>
          <w:sz w:val="24"/>
          <w:szCs w:val="24"/>
        </w:rPr>
        <w:t>15.1</w:t>
      </w:r>
      <w:r>
        <w:rPr>
          <w:rFonts w:hint="eastAsia" w:hAnsi="宋体"/>
          <w:sz w:val="24"/>
          <w:szCs w:val="24"/>
        </w:rPr>
        <w:t>对于本文件中未列明，而磋商供应商认为必需的费用也需列入总报价。在合同实施时，采购人将不予支付成交供应商没有列入的项目费用，并认为此项目的费用已包括在总报价中。</w:t>
      </w:r>
    </w:p>
    <w:p>
      <w:pPr>
        <w:pStyle w:val="25"/>
        <w:spacing w:line="400" w:lineRule="exact"/>
        <w:ind w:firstLine="420"/>
        <w:rPr>
          <w:rFonts w:hAnsi="宋体"/>
          <w:sz w:val="24"/>
          <w:szCs w:val="24"/>
        </w:rPr>
      </w:pPr>
      <w:r>
        <w:rPr>
          <w:rFonts w:hAnsi="宋体"/>
          <w:sz w:val="24"/>
          <w:szCs w:val="24"/>
        </w:rPr>
        <w:t>15.2</w:t>
      </w:r>
      <w:r>
        <w:rPr>
          <w:rFonts w:hint="eastAsia" w:hAnsi="宋体"/>
          <w:sz w:val="24"/>
          <w:szCs w:val="24"/>
        </w:rPr>
        <w:t>成交供应商负责本项目所要求的全部工作。</w:t>
      </w:r>
    </w:p>
    <w:p>
      <w:pPr>
        <w:pStyle w:val="25"/>
        <w:spacing w:before="120" w:line="360" w:lineRule="auto"/>
        <w:jc w:val="center"/>
        <w:outlineLvl w:val="2"/>
        <w:rPr>
          <w:rFonts w:hAnsi="宋体"/>
          <w:b/>
          <w:sz w:val="24"/>
          <w:szCs w:val="24"/>
        </w:rPr>
      </w:pPr>
      <w:bookmarkStart w:id="50" w:name="_Toc501090367"/>
      <w:bookmarkStart w:id="51" w:name="_Toc501090504"/>
    </w:p>
    <w:p>
      <w:pPr>
        <w:pStyle w:val="25"/>
        <w:spacing w:before="120" w:line="360" w:lineRule="auto"/>
        <w:jc w:val="center"/>
        <w:outlineLvl w:val="2"/>
        <w:rPr>
          <w:rFonts w:hAnsi="宋体"/>
          <w:b/>
          <w:sz w:val="24"/>
          <w:szCs w:val="24"/>
        </w:rPr>
      </w:pPr>
      <w:r>
        <w:rPr>
          <w:rFonts w:hint="eastAsia" w:hAnsi="宋体"/>
          <w:b/>
          <w:sz w:val="24"/>
          <w:szCs w:val="24"/>
        </w:rPr>
        <w:t>六、磋商的步骤</w:t>
      </w:r>
      <w:bookmarkEnd w:id="50"/>
      <w:bookmarkEnd w:id="51"/>
    </w:p>
    <w:p>
      <w:pPr>
        <w:pStyle w:val="25"/>
        <w:spacing w:line="400" w:lineRule="exact"/>
        <w:rPr>
          <w:rFonts w:hAnsi="宋体"/>
          <w:b/>
          <w:sz w:val="24"/>
          <w:szCs w:val="24"/>
        </w:rPr>
      </w:pPr>
      <w:r>
        <w:rPr>
          <w:rFonts w:hAnsi="宋体"/>
          <w:b/>
          <w:sz w:val="24"/>
          <w:szCs w:val="24"/>
        </w:rPr>
        <w:t>1</w:t>
      </w:r>
      <w:r>
        <w:rPr>
          <w:rFonts w:hint="eastAsia" w:hAnsi="宋体"/>
          <w:b/>
          <w:sz w:val="24"/>
          <w:szCs w:val="24"/>
        </w:rPr>
        <w:t>5、磋商</w:t>
      </w:r>
    </w:p>
    <w:p>
      <w:pPr>
        <w:pStyle w:val="25"/>
        <w:spacing w:line="400" w:lineRule="exact"/>
        <w:ind w:firstLine="420"/>
        <w:rPr>
          <w:rFonts w:hAnsi="宋体"/>
          <w:b/>
          <w:sz w:val="24"/>
          <w:szCs w:val="24"/>
        </w:rPr>
      </w:pPr>
      <w:r>
        <w:rPr>
          <w:rFonts w:hAnsi="宋体"/>
          <w:b/>
          <w:sz w:val="24"/>
          <w:szCs w:val="24"/>
        </w:rPr>
        <w:t>1</w:t>
      </w:r>
      <w:r>
        <w:rPr>
          <w:rFonts w:hint="eastAsia" w:hAnsi="宋体"/>
          <w:b/>
          <w:sz w:val="24"/>
          <w:szCs w:val="24"/>
        </w:rPr>
        <w:t>5</w:t>
      </w:r>
      <w:r>
        <w:rPr>
          <w:rFonts w:hAnsi="宋体"/>
          <w:b/>
          <w:sz w:val="24"/>
          <w:szCs w:val="24"/>
        </w:rPr>
        <w:t>.1</w:t>
      </w:r>
      <w:r>
        <w:rPr>
          <w:rFonts w:hint="eastAsia" w:hAnsi="宋体"/>
          <w:b/>
          <w:sz w:val="24"/>
          <w:szCs w:val="24"/>
        </w:rPr>
        <w:t>第一轮磋商</w:t>
      </w:r>
    </w:p>
    <w:p>
      <w:pPr>
        <w:pStyle w:val="25"/>
        <w:spacing w:line="400" w:lineRule="exact"/>
        <w:ind w:firstLine="480" w:firstLineChars="200"/>
        <w:rPr>
          <w:rFonts w:hAnsi="宋体"/>
          <w:sz w:val="24"/>
          <w:szCs w:val="24"/>
        </w:rPr>
      </w:pPr>
      <w:r>
        <w:rPr>
          <w:rFonts w:hint="eastAsia" w:hAnsi="宋体"/>
          <w:sz w:val="24"/>
          <w:szCs w:val="24"/>
        </w:rPr>
        <w:t>磋商小组按已确定的磋商顺序，与单一供应商分别就符合采购需求、质量和服务等进行磋商。</w:t>
      </w:r>
    </w:p>
    <w:p>
      <w:pPr>
        <w:pStyle w:val="25"/>
        <w:spacing w:line="400" w:lineRule="exact"/>
        <w:ind w:firstLine="480" w:firstLineChars="200"/>
        <w:rPr>
          <w:rFonts w:hAnsi="宋体"/>
          <w:sz w:val="24"/>
          <w:szCs w:val="24"/>
        </w:rPr>
      </w:pPr>
      <w:r>
        <w:rPr>
          <w:rFonts w:hint="eastAsia" w:hAnsi="宋体"/>
          <w:sz w:val="24"/>
          <w:szCs w:val="24"/>
        </w:rPr>
        <w:t>磋商中，参与磋商的任何一方不得透露与磋商有关的其他供应商的技术资料、价格和其他信息。</w:t>
      </w:r>
    </w:p>
    <w:p>
      <w:pPr>
        <w:pStyle w:val="25"/>
        <w:spacing w:line="400" w:lineRule="exact"/>
        <w:ind w:firstLine="480" w:firstLineChars="200"/>
        <w:rPr>
          <w:rFonts w:hAnsi="宋体"/>
          <w:sz w:val="24"/>
          <w:szCs w:val="24"/>
        </w:rPr>
      </w:pPr>
      <w:r>
        <w:rPr>
          <w:rFonts w:hint="eastAsia" w:hAnsi="宋体"/>
          <w:sz w:val="24"/>
          <w:szCs w:val="24"/>
        </w:rPr>
        <w:t>采购代理机构对磋商过程和重要磋商内容进行记录，磋商双方在记录上签字确认。</w:t>
      </w:r>
    </w:p>
    <w:p>
      <w:pPr>
        <w:pStyle w:val="25"/>
        <w:spacing w:line="400" w:lineRule="exact"/>
        <w:ind w:firstLine="480" w:firstLineChars="200"/>
        <w:rPr>
          <w:rFonts w:hAnsi="宋体"/>
          <w:sz w:val="24"/>
          <w:szCs w:val="24"/>
        </w:rPr>
      </w:pPr>
      <w:r>
        <w:rPr>
          <w:rFonts w:hint="eastAsia" w:hAnsi="宋体"/>
          <w:sz w:val="24"/>
          <w:szCs w:val="24"/>
        </w:rPr>
        <w:t>磋商小组一致确定响应供应商符合采购文件要求的，按采购文件设定的方法和标准确定成交候选人。第一轮磋商磋商小组未能确定成交候选人的，对磋商文件修正后进行第二轮磋商。</w:t>
      </w:r>
    </w:p>
    <w:p>
      <w:pPr>
        <w:pStyle w:val="25"/>
        <w:spacing w:line="400" w:lineRule="exact"/>
        <w:ind w:firstLine="480" w:firstLineChars="200"/>
        <w:rPr>
          <w:rFonts w:hAnsi="宋体"/>
          <w:b/>
          <w:sz w:val="24"/>
          <w:szCs w:val="24"/>
        </w:rPr>
      </w:pPr>
      <w:r>
        <w:rPr>
          <w:rFonts w:hAnsi="宋体"/>
          <w:b/>
          <w:sz w:val="24"/>
          <w:szCs w:val="24"/>
        </w:rPr>
        <w:t>1</w:t>
      </w:r>
      <w:r>
        <w:rPr>
          <w:rFonts w:hint="eastAsia" w:hAnsi="宋体"/>
          <w:b/>
          <w:sz w:val="24"/>
          <w:szCs w:val="24"/>
        </w:rPr>
        <w:t>5</w:t>
      </w:r>
      <w:r>
        <w:rPr>
          <w:rFonts w:hAnsi="宋体"/>
          <w:b/>
          <w:sz w:val="24"/>
          <w:szCs w:val="24"/>
        </w:rPr>
        <w:t>.2</w:t>
      </w:r>
      <w:r>
        <w:rPr>
          <w:rFonts w:hint="eastAsia" w:hAnsi="宋体"/>
          <w:b/>
          <w:sz w:val="24"/>
          <w:szCs w:val="24"/>
        </w:rPr>
        <w:t>磋商文件修正与变动</w:t>
      </w:r>
    </w:p>
    <w:p>
      <w:pPr>
        <w:pStyle w:val="25"/>
        <w:spacing w:line="400" w:lineRule="exact"/>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）根据第一轮磋商掌握的情况，磋商小组在采购人代表确认的情况下，可以根据磋商文件和磋商情况实质性变动采购需求中的技术、质量和服务等条款，对磋商文件作出的实质性变动是磋商文件的有效组成部分。</w:t>
      </w:r>
    </w:p>
    <w:p>
      <w:pPr>
        <w:pStyle w:val="25"/>
        <w:spacing w:line="400" w:lineRule="exact"/>
        <w:ind w:firstLine="480" w:firstLineChars="200"/>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）采购代理机构通知响应供应商集中，磋商小组强调调整后的采购要求，将磋商文件的修改结果以书面形式通知响应供应商，向响应供应商提供较充分的修正时间。</w:t>
      </w:r>
    </w:p>
    <w:p>
      <w:pPr>
        <w:pStyle w:val="25"/>
        <w:spacing w:line="400" w:lineRule="exact"/>
        <w:ind w:firstLine="480" w:firstLineChars="200"/>
        <w:rPr>
          <w:rFonts w:hAnsi="宋体"/>
          <w:sz w:val="24"/>
          <w:szCs w:val="24"/>
        </w:rPr>
      </w:pPr>
      <w:r>
        <w:rPr>
          <w:rFonts w:hint="eastAsia" w:hAnsi="宋体"/>
          <w:sz w:val="24"/>
          <w:szCs w:val="24"/>
        </w:rPr>
        <w:t>（</w:t>
      </w:r>
      <w:r>
        <w:rPr>
          <w:rFonts w:hAnsi="宋体"/>
          <w:sz w:val="24"/>
          <w:szCs w:val="24"/>
        </w:rPr>
        <w:t>3</w:t>
      </w:r>
      <w:r>
        <w:rPr>
          <w:rFonts w:hint="eastAsia" w:hAnsi="宋体"/>
          <w:sz w:val="24"/>
          <w:szCs w:val="24"/>
        </w:rPr>
        <w:t>）响应供应商根据磋商文件的变动情况和磋商小组的要求，对原响应文件进行修正，并将修正文件经由其法定代表人或授权代表签字或加盖公章提交磋商小组。逾时不交的，视同放弃磋商。修正文件与响应文件同具法律效力。</w:t>
      </w:r>
    </w:p>
    <w:p>
      <w:pPr>
        <w:pStyle w:val="25"/>
        <w:spacing w:line="400" w:lineRule="exact"/>
        <w:ind w:firstLine="480" w:firstLineChars="200"/>
        <w:rPr>
          <w:rFonts w:hAnsi="宋体"/>
          <w:b/>
          <w:sz w:val="24"/>
          <w:szCs w:val="24"/>
        </w:rPr>
      </w:pPr>
      <w:r>
        <w:rPr>
          <w:rFonts w:hAnsi="宋体"/>
          <w:b/>
          <w:sz w:val="24"/>
          <w:szCs w:val="24"/>
        </w:rPr>
        <w:t>1</w:t>
      </w:r>
      <w:r>
        <w:rPr>
          <w:rFonts w:hint="eastAsia" w:hAnsi="宋体"/>
          <w:b/>
          <w:sz w:val="24"/>
          <w:szCs w:val="24"/>
        </w:rPr>
        <w:t>5</w:t>
      </w:r>
      <w:r>
        <w:rPr>
          <w:rFonts w:hAnsi="宋体"/>
          <w:b/>
          <w:sz w:val="24"/>
          <w:szCs w:val="24"/>
        </w:rPr>
        <w:t>.3</w:t>
      </w:r>
      <w:r>
        <w:rPr>
          <w:rFonts w:hint="eastAsia" w:hAnsi="宋体"/>
          <w:b/>
          <w:sz w:val="24"/>
          <w:szCs w:val="24"/>
        </w:rPr>
        <w:t>第二轮磋商</w:t>
      </w:r>
    </w:p>
    <w:p>
      <w:pPr>
        <w:pStyle w:val="25"/>
        <w:spacing w:line="400" w:lineRule="exact"/>
        <w:ind w:firstLine="420"/>
        <w:rPr>
          <w:rFonts w:hAnsi="宋体"/>
          <w:sz w:val="24"/>
          <w:szCs w:val="24"/>
        </w:rPr>
      </w:pPr>
      <w:r>
        <w:rPr>
          <w:rFonts w:hint="eastAsia" w:hAnsi="宋体"/>
          <w:sz w:val="24"/>
          <w:szCs w:val="24"/>
        </w:rPr>
        <w:t>磋商小组就修正后的响应文件与响应供应商分别进行磋商。采购代理机构对磋商过程和重要磋商内容进行记录，磋商双方在记录上签字确认。第二轮磋商磋商小组未能确定成交候选人的，对磋商文件修正后进行第三轮磋商。以此类推。</w:t>
      </w:r>
    </w:p>
    <w:p>
      <w:pPr>
        <w:pStyle w:val="25"/>
        <w:spacing w:line="400" w:lineRule="exact"/>
        <w:ind w:firstLine="480" w:firstLineChars="200"/>
        <w:rPr>
          <w:rFonts w:hAnsi="宋体"/>
          <w:b/>
          <w:sz w:val="24"/>
          <w:szCs w:val="24"/>
        </w:rPr>
      </w:pPr>
      <w:r>
        <w:rPr>
          <w:rFonts w:hAnsi="宋体"/>
          <w:b/>
          <w:sz w:val="24"/>
          <w:szCs w:val="24"/>
        </w:rPr>
        <w:t>1</w:t>
      </w:r>
      <w:r>
        <w:rPr>
          <w:rFonts w:hint="eastAsia" w:hAnsi="宋体"/>
          <w:b/>
          <w:sz w:val="24"/>
          <w:szCs w:val="24"/>
        </w:rPr>
        <w:t>5</w:t>
      </w:r>
      <w:r>
        <w:rPr>
          <w:rFonts w:hAnsi="宋体"/>
          <w:b/>
          <w:sz w:val="24"/>
          <w:szCs w:val="24"/>
        </w:rPr>
        <w:t>.4</w:t>
      </w:r>
      <w:r>
        <w:rPr>
          <w:rFonts w:hint="eastAsia" w:hAnsi="宋体"/>
          <w:b/>
          <w:sz w:val="24"/>
          <w:szCs w:val="24"/>
        </w:rPr>
        <w:t>最后报价</w:t>
      </w:r>
    </w:p>
    <w:p>
      <w:pPr>
        <w:pStyle w:val="25"/>
        <w:spacing w:line="400" w:lineRule="exact"/>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）磋商小组只要求商务评审和技术（服务）评审合格的磋商供应商在规定的时间内进行最后报价，密封递交磋商小组；</w:t>
      </w:r>
    </w:p>
    <w:p>
      <w:pPr>
        <w:pStyle w:val="25"/>
        <w:spacing w:line="400" w:lineRule="exact"/>
        <w:ind w:firstLine="480" w:firstLineChars="200"/>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）磋商文件能够详细列明采购项目的技术、服务等要求的，磋商结束后，磋商小组应当要求所有实质性响应的供应商在规定时间内提交最后报价；</w:t>
      </w:r>
    </w:p>
    <w:p>
      <w:pPr>
        <w:pStyle w:val="25"/>
        <w:spacing w:line="400" w:lineRule="exact"/>
        <w:ind w:firstLine="480" w:firstLineChars="200"/>
        <w:rPr>
          <w:rFonts w:hAnsi="宋体"/>
          <w:sz w:val="24"/>
          <w:szCs w:val="24"/>
        </w:rPr>
      </w:pPr>
      <w:r>
        <w:rPr>
          <w:rFonts w:hint="eastAsia" w:hAnsi="宋体"/>
          <w:sz w:val="24"/>
          <w:szCs w:val="24"/>
        </w:rPr>
        <w:t>（</w:t>
      </w:r>
      <w:r>
        <w:rPr>
          <w:rFonts w:hAnsi="宋体"/>
          <w:sz w:val="24"/>
          <w:szCs w:val="24"/>
        </w:rPr>
        <w:t>3</w:t>
      </w:r>
      <w:r>
        <w:rPr>
          <w:rFonts w:hint="eastAsia" w:hAnsi="宋体"/>
          <w:sz w:val="24"/>
          <w:szCs w:val="24"/>
        </w:rPr>
        <w:t>）磋商文件不能详细列明采购项目的技术、服务等要求，需经磋商由供应商提供最终设计方案或解决方案的，磋商结束后，磋商小组应当按照少数服从多数的原则投票推荐</w:t>
      </w:r>
      <w:r>
        <w:rPr>
          <w:rFonts w:hAnsi="宋体"/>
          <w:sz w:val="24"/>
          <w:szCs w:val="24"/>
        </w:rPr>
        <w:t>2</w:t>
      </w:r>
      <w:r>
        <w:rPr>
          <w:rFonts w:hint="eastAsia" w:hAnsi="宋体"/>
          <w:sz w:val="24"/>
          <w:szCs w:val="24"/>
        </w:rPr>
        <w:t>家以上（含</w:t>
      </w:r>
      <w:r>
        <w:rPr>
          <w:rFonts w:hAnsi="宋体"/>
          <w:sz w:val="24"/>
          <w:szCs w:val="24"/>
        </w:rPr>
        <w:t xml:space="preserve"> 2</w:t>
      </w:r>
      <w:r>
        <w:rPr>
          <w:rFonts w:hint="eastAsia" w:hAnsi="宋体"/>
          <w:sz w:val="24"/>
          <w:szCs w:val="24"/>
        </w:rPr>
        <w:t>家）供应商的设计方案或解决方案，并要求其在规定时间内提交最后报价；</w:t>
      </w:r>
    </w:p>
    <w:p>
      <w:pPr>
        <w:pStyle w:val="25"/>
        <w:spacing w:line="400" w:lineRule="exact"/>
        <w:ind w:firstLine="420"/>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）最后报价是供应商响应文件的有效组成部分；</w:t>
      </w:r>
    </w:p>
    <w:p>
      <w:pPr>
        <w:pStyle w:val="25"/>
        <w:spacing w:line="400" w:lineRule="exact"/>
        <w:ind w:firstLine="420"/>
        <w:rPr>
          <w:rFonts w:hAnsi="宋体"/>
          <w:sz w:val="24"/>
          <w:szCs w:val="24"/>
        </w:rPr>
      </w:pPr>
      <w:r>
        <w:rPr>
          <w:rFonts w:hint="eastAsia" w:hAnsi="宋体"/>
          <w:sz w:val="24"/>
          <w:szCs w:val="24"/>
        </w:rPr>
        <w:t>（</w:t>
      </w:r>
      <w:r>
        <w:rPr>
          <w:rFonts w:hAnsi="宋体"/>
          <w:sz w:val="24"/>
          <w:szCs w:val="24"/>
        </w:rPr>
        <w:t>5</w:t>
      </w:r>
      <w:r>
        <w:rPr>
          <w:rFonts w:hint="eastAsia" w:hAnsi="宋体"/>
          <w:sz w:val="24"/>
          <w:szCs w:val="24"/>
        </w:rPr>
        <w:t>）已提交响应文件的供应商，在提交最后报价之前，可以根据磋商情况退出磋商；</w:t>
      </w:r>
    </w:p>
    <w:p>
      <w:pPr>
        <w:pStyle w:val="25"/>
        <w:spacing w:line="400" w:lineRule="exact"/>
        <w:ind w:firstLine="420"/>
        <w:rPr>
          <w:rFonts w:hAnsi="宋体"/>
          <w:sz w:val="24"/>
          <w:szCs w:val="24"/>
        </w:rPr>
      </w:pPr>
      <w:r>
        <w:rPr>
          <w:rFonts w:hint="eastAsia" w:hAnsi="宋体"/>
          <w:sz w:val="24"/>
          <w:szCs w:val="24"/>
        </w:rPr>
        <w:t>（</w:t>
      </w:r>
      <w:r>
        <w:rPr>
          <w:rFonts w:hAnsi="宋体"/>
          <w:sz w:val="24"/>
          <w:szCs w:val="24"/>
        </w:rPr>
        <w:t>6</w:t>
      </w:r>
      <w:r>
        <w:rPr>
          <w:rFonts w:hint="eastAsia" w:hAnsi="宋体"/>
          <w:sz w:val="24"/>
          <w:szCs w:val="24"/>
        </w:rPr>
        <w:t>）</w:t>
      </w:r>
      <w:r>
        <w:rPr>
          <w:rFonts w:hint="eastAsia" w:hAnsi="宋体" w:cs="宋体"/>
          <w:kern w:val="0"/>
          <w:sz w:val="24"/>
          <w:szCs w:val="24"/>
        </w:rPr>
        <w:t>磋商小组认为竞标人的报价明显低于其他通过符合性审查竞标人的报价，有可能影响产品质量或者不能诚信履约的，应当要求其在谈判现场合理的时间内提供书面说明，必要时提交相关证明材料；竞标人不能证明其报价合理性的，评标委员会应当将其作为无效竞标处理；</w:t>
      </w:r>
    </w:p>
    <w:p>
      <w:pPr>
        <w:pStyle w:val="25"/>
        <w:spacing w:line="400" w:lineRule="exact"/>
        <w:ind w:firstLine="420"/>
        <w:rPr>
          <w:rFonts w:hAnsi="宋体"/>
          <w:b/>
          <w:sz w:val="24"/>
          <w:szCs w:val="24"/>
        </w:rPr>
      </w:pPr>
      <w:r>
        <w:rPr>
          <w:rFonts w:hAnsi="宋体"/>
          <w:b/>
          <w:sz w:val="24"/>
          <w:szCs w:val="24"/>
        </w:rPr>
        <w:t>15.5</w:t>
      </w:r>
      <w:r>
        <w:rPr>
          <w:rFonts w:hint="eastAsia" w:hAnsi="宋体"/>
          <w:b/>
          <w:sz w:val="24"/>
          <w:szCs w:val="24"/>
        </w:rPr>
        <w:t>响应供应商的最后报价（含分项）均超过了采购预算或最高限价，采购人不能支付的，磋商活动终止。</w:t>
      </w:r>
    </w:p>
    <w:p>
      <w:pPr>
        <w:pStyle w:val="25"/>
        <w:spacing w:before="120" w:line="360" w:lineRule="auto"/>
        <w:jc w:val="center"/>
        <w:outlineLvl w:val="2"/>
        <w:rPr>
          <w:rFonts w:hAnsi="宋体"/>
          <w:b/>
          <w:sz w:val="24"/>
          <w:szCs w:val="24"/>
        </w:rPr>
      </w:pPr>
      <w:bookmarkStart w:id="52" w:name="_Toc501090505"/>
      <w:bookmarkStart w:id="53" w:name="_Toc501090368"/>
      <w:r>
        <w:rPr>
          <w:rFonts w:hint="eastAsia" w:hAnsi="宋体"/>
          <w:b/>
          <w:sz w:val="24"/>
          <w:szCs w:val="24"/>
        </w:rPr>
        <w:t>七、确定成交供应商办法</w:t>
      </w:r>
      <w:bookmarkEnd w:id="52"/>
      <w:bookmarkEnd w:id="53"/>
    </w:p>
    <w:p>
      <w:pPr>
        <w:pStyle w:val="25"/>
        <w:spacing w:line="400" w:lineRule="exact"/>
        <w:rPr>
          <w:rFonts w:hAnsi="宋体"/>
          <w:b/>
          <w:sz w:val="24"/>
          <w:szCs w:val="24"/>
        </w:rPr>
      </w:pPr>
      <w:r>
        <w:rPr>
          <w:rFonts w:hAnsi="宋体"/>
          <w:b/>
          <w:sz w:val="24"/>
          <w:szCs w:val="24"/>
        </w:rPr>
        <w:t>1</w:t>
      </w:r>
      <w:r>
        <w:rPr>
          <w:rFonts w:hint="eastAsia" w:hAnsi="宋体"/>
          <w:b/>
          <w:sz w:val="24"/>
          <w:szCs w:val="24"/>
        </w:rPr>
        <w:t>6、确定成交供应商</w:t>
      </w:r>
    </w:p>
    <w:p>
      <w:pPr>
        <w:pStyle w:val="25"/>
        <w:spacing w:line="400" w:lineRule="exact"/>
        <w:ind w:firstLine="420"/>
        <w:rPr>
          <w:rFonts w:hAnsi="宋体"/>
          <w:sz w:val="24"/>
          <w:szCs w:val="24"/>
        </w:rPr>
      </w:pPr>
      <w:r>
        <w:rPr>
          <w:rFonts w:hint="eastAsia" w:hAnsi="宋体"/>
          <w:sz w:val="24"/>
          <w:szCs w:val="24"/>
        </w:rPr>
        <w:t>符合采购需求、质量和服务等要求的供应商按最终综合评分最高的原则确定成交供应商。</w:t>
      </w:r>
    </w:p>
    <w:p>
      <w:pPr>
        <w:pStyle w:val="25"/>
        <w:spacing w:before="120" w:line="360" w:lineRule="auto"/>
        <w:jc w:val="center"/>
        <w:outlineLvl w:val="2"/>
        <w:rPr>
          <w:rFonts w:hAnsi="宋体"/>
          <w:b/>
          <w:sz w:val="24"/>
          <w:szCs w:val="24"/>
        </w:rPr>
      </w:pPr>
      <w:bookmarkStart w:id="54" w:name="_Toc501090369"/>
      <w:bookmarkStart w:id="55" w:name="_Toc501090506"/>
      <w:r>
        <w:rPr>
          <w:rFonts w:hint="eastAsia" w:hAnsi="宋体"/>
          <w:b/>
          <w:sz w:val="24"/>
          <w:szCs w:val="24"/>
        </w:rPr>
        <w:t>八、签定合同</w:t>
      </w:r>
      <w:bookmarkEnd w:id="54"/>
      <w:bookmarkEnd w:id="55"/>
    </w:p>
    <w:p>
      <w:pPr>
        <w:pStyle w:val="25"/>
        <w:spacing w:line="400" w:lineRule="exact"/>
        <w:rPr>
          <w:rFonts w:hAnsi="宋体"/>
          <w:sz w:val="24"/>
          <w:szCs w:val="24"/>
        </w:rPr>
      </w:pPr>
      <w:r>
        <w:rPr>
          <w:rFonts w:hAnsi="宋体"/>
          <w:sz w:val="24"/>
          <w:szCs w:val="24"/>
        </w:rPr>
        <w:t>1</w:t>
      </w:r>
      <w:r>
        <w:rPr>
          <w:rFonts w:hint="eastAsia" w:hAnsi="宋体"/>
          <w:sz w:val="24"/>
          <w:szCs w:val="24"/>
        </w:rPr>
        <w:t>7、成交供应商在收到成交通知书后，按规定与采购人签订供货服务合同。</w:t>
      </w:r>
    </w:p>
    <w:p>
      <w:pPr>
        <w:pStyle w:val="25"/>
        <w:spacing w:before="120" w:line="360" w:lineRule="auto"/>
        <w:jc w:val="center"/>
        <w:outlineLvl w:val="2"/>
        <w:rPr>
          <w:rFonts w:hAnsi="宋体"/>
          <w:b/>
          <w:sz w:val="24"/>
          <w:szCs w:val="24"/>
        </w:rPr>
      </w:pPr>
      <w:bookmarkStart w:id="56" w:name="_Toc501090507"/>
      <w:bookmarkStart w:id="57" w:name="_Toc501090370"/>
      <w:r>
        <w:rPr>
          <w:rFonts w:hint="eastAsia" w:hAnsi="宋体"/>
          <w:b/>
          <w:sz w:val="24"/>
          <w:szCs w:val="24"/>
        </w:rPr>
        <w:t>九、磋商无效的情形</w:t>
      </w:r>
      <w:bookmarkEnd w:id="56"/>
      <w:bookmarkEnd w:id="57"/>
    </w:p>
    <w:p>
      <w:pPr>
        <w:shd w:val="clear" w:color="auto" w:fill="FFFFFF"/>
        <w:spacing w:line="400" w:lineRule="exact"/>
        <w:rPr>
          <w:rFonts w:ascii="宋体"/>
          <w:b/>
          <w:sz w:val="24"/>
        </w:rPr>
      </w:pPr>
      <w:r>
        <w:rPr>
          <w:rFonts w:ascii="宋体" w:hAnsi="宋体"/>
          <w:b/>
          <w:sz w:val="24"/>
        </w:rPr>
        <w:t>1</w:t>
      </w:r>
      <w:r>
        <w:rPr>
          <w:rFonts w:hint="eastAsia" w:ascii="宋体" w:hAnsi="宋体"/>
          <w:b/>
          <w:sz w:val="24"/>
        </w:rPr>
        <w:t>8、属于下列情况之一者，磋商无效：</w:t>
      </w:r>
    </w:p>
    <w:p>
      <w:pPr>
        <w:snapToGrid w:val="0"/>
        <w:spacing w:line="400" w:lineRule="exact"/>
        <w:ind w:firstLine="470" w:firstLineChars="196"/>
        <w:outlineLvl w:val="4"/>
        <w:rPr>
          <w:rFonts w:asci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1未按磋商采购文件规定完整提交响应文件或未按规定要求密封、签字、盖章的，或未提供法人授权委托书（委托代理的）；</w:t>
      </w:r>
    </w:p>
    <w:p>
      <w:pPr>
        <w:snapToGrid w:val="0"/>
        <w:spacing w:line="400" w:lineRule="exact"/>
        <w:ind w:firstLine="480" w:firstLineChars="200"/>
        <w:outlineLvl w:val="4"/>
        <w:rPr>
          <w:rFonts w:asci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2超越了按照法律法规规定必须获得行政许可或者行政审批的经营范围的；</w:t>
      </w:r>
    </w:p>
    <w:p>
      <w:pPr>
        <w:snapToGrid w:val="0"/>
        <w:spacing w:line="400" w:lineRule="exact"/>
        <w:ind w:firstLine="470" w:firstLineChars="196"/>
        <w:outlineLvl w:val="4"/>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3竞标人须按规定提交竞标保证金</w:t>
      </w:r>
    </w:p>
    <w:p>
      <w:pPr>
        <w:snapToGrid w:val="0"/>
        <w:spacing w:line="400" w:lineRule="exact"/>
        <w:ind w:firstLine="470" w:firstLineChars="196"/>
        <w:outlineLvl w:val="4"/>
        <w:rPr>
          <w:rFonts w:ascii="宋体"/>
          <w:sz w:val="24"/>
        </w:rPr>
      </w:pPr>
      <w:r>
        <w:rPr>
          <w:rFonts w:hint="eastAsia" w:ascii="宋体" w:hAnsi="宋体"/>
          <w:sz w:val="24"/>
        </w:rPr>
        <w:t>18.4不具备磋商文件规定的资格要求的；</w:t>
      </w:r>
    </w:p>
    <w:p>
      <w:pPr>
        <w:snapToGrid w:val="0"/>
        <w:spacing w:line="400" w:lineRule="exact"/>
        <w:ind w:firstLine="470" w:firstLineChars="196"/>
        <w:outlineLvl w:val="4"/>
        <w:rPr>
          <w:rFonts w:ascii="宋体"/>
          <w:sz w:val="24"/>
        </w:rPr>
      </w:pPr>
      <w:r>
        <w:rPr>
          <w:rFonts w:ascii="宋体" w:hAnsi="宋体"/>
          <w:sz w:val="24"/>
        </w:rPr>
        <w:t>18.</w:t>
      </w:r>
      <w:r>
        <w:rPr>
          <w:rFonts w:hint="eastAsia" w:ascii="宋体" w:hAnsi="宋体"/>
          <w:sz w:val="24"/>
        </w:rPr>
        <w:t>5响应文件未按磋商文件的内容和要求编制，或提供虚假材料的；</w:t>
      </w:r>
    </w:p>
    <w:p>
      <w:pPr>
        <w:snapToGrid w:val="0"/>
        <w:spacing w:line="400" w:lineRule="exact"/>
        <w:ind w:firstLine="470" w:firstLineChars="196"/>
        <w:outlineLvl w:val="4"/>
        <w:rPr>
          <w:rFonts w:asci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6磋商有效期、交付使用时间、免费保修期、售后服务不能满足磋商文件要求的；</w:t>
      </w:r>
    </w:p>
    <w:p>
      <w:pPr>
        <w:snapToGrid w:val="0"/>
        <w:spacing w:line="400" w:lineRule="exact"/>
        <w:ind w:firstLine="470" w:firstLineChars="196"/>
        <w:outlineLvl w:val="4"/>
        <w:rPr>
          <w:rFonts w:asci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7竞标人未就“项目采购需求”中所有内容作完整唯一报价的；</w:t>
      </w:r>
    </w:p>
    <w:p>
      <w:pPr>
        <w:pStyle w:val="25"/>
        <w:spacing w:line="400" w:lineRule="exact"/>
        <w:ind w:firstLine="480" w:firstLineChars="200"/>
        <w:rPr>
          <w:rFonts w:hAnsi="宋体"/>
          <w:sz w:val="24"/>
          <w:szCs w:val="24"/>
        </w:rPr>
      </w:pPr>
      <w:r>
        <w:rPr>
          <w:rFonts w:hAnsi="宋体"/>
          <w:sz w:val="24"/>
          <w:szCs w:val="24"/>
        </w:rPr>
        <w:t>1</w:t>
      </w:r>
      <w:r>
        <w:rPr>
          <w:rFonts w:hint="eastAsia" w:hAnsi="宋体"/>
          <w:sz w:val="24"/>
          <w:szCs w:val="24"/>
        </w:rPr>
        <w:t>8</w:t>
      </w:r>
      <w:r>
        <w:rPr>
          <w:rFonts w:hAnsi="宋体"/>
          <w:sz w:val="24"/>
          <w:szCs w:val="24"/>
        </w:rPr>
        <w:t>.</w:t>
      </w:r>
      <w:r>
        <w:rPr>
          <w:rFonts w:hint="eastAsia" w:hAnsi="宋体"/>
          <w:sz w:val="24"/>
          <w:szCs w:val="24"/>
        </w:rPr>
        <w:t>8未在磋商小组规定的时间内递交响应文件的；</w:t>
      </w:r>
    </w:p>
    <w:p>
      <w:pPr>
        <w:pStyle w:val="25"/>
        <w:spacing w:line="400" w:lineRule="exact"/>
        <w:ind w:firstLine="480" w:firstLineChars="200"/>
        <w:rPr>
          <w:rFonts w:hAnsi="宋体"/>
          <w:sz w:val="24"/>
          <w:szCs w:val="24"/>
        </w:rPr>
      </w:pPr>
      <w:r>
        <w:rPr>
          <w:rFonts w:hAnsi="宋体"/>
          <w:sz w:val="24"/>
          <w:szCs w:val="24"/>
        </w:rPr>
        <w:t>1</w:t>
      </w:r>
      <w:r>
        <w:rPr>
          <w:rFonts w:hint="eastAsia" w:hAnsi="宋体"/>
          <w:sz w:val="24"/>
          <w:szCs w:val="24"/>
        </w:rPr>
        <w:t>8</w:t>
      </w:r>
      <w:r>
        <w:rPr>
          <w:rFonts w:hAnsi="宋体"/>
          <w:sz w:val="24"/>
          <w:szCs w:val="24"/>
        </w:rPr>
        <w:t>.</w:t>
      </w:r>
      <w:r>
        <w:rPr>
          <w:rFonts w:hint="eastAsia" w:hAnsi="宋体"/>
          <w:sz w:val="24"/>
          <w:szCs w:val="24"/>
        </w:rPr>
        <w:t>9未实质性响应磋商文件要求的；或者响应文件有采购人不能接受的附加条件的；</w:t>
      </w:r>
    </w:p>
    <w:p>
      <w:pPr>
        <w:pStyle w:val="25"/>
        <w:spacing w:line="400" w:lineRule="exact"/>
        <w:ind w:firstLine="480" w:firstLineChars="200"/>
        <w:rPr>
          <w:rFonts w:hAnsi="宋体"/>
          <w:sz w:val="24"/>
          <w:szCs w:val="24"/>
        </w:rPr>
      </w:pPr>
      <w:r>
        <w:rPr>
          <w:rFonts w:hAnsi="宋体"/>
          <w:sz w:val="24"/>
          <w:szCs w:val="24"/>
        </w:rPr>
        <w:t>1</w:t>
      </w:r>
      <w:r>
        <w:rPr>
          <w:rFonts w:hint="eastAsia" w:hAnsi="宋体"/>
          <w:sz w:val="24"/>
          <w:szCs w:val="24"/>
        </w:rPr>
        <w:t>8</w:t>
      </w:r>
      <w:r>
        <w:rPr>
          <w:rFonts w:hAnsi="宋体"/>
          <w:sz w:val="24"/>
          <w:szCs w:val="24"/>
        </w:rPr>
        <w:t>.</w:t>
      </w:r>
      <w:r>
        <w:rPr>
          <w:rFonts w:hint="eastAsia" w:hAnsi="宋体"/>
          <w:sz w:val="24"/>
          <w:szCs w:val="24"/>
        </w:rPr>
        <w:t>10未按规定向采购代理机构购买本项目磋商文件的（有文件规定除外）；</w:t>
      </w:r>
    </w:p>
    <w:p>
      <w:pPr>
        <w:snapToGrid w:val="0"/>
        <w:spacing w:line="400" w:lineRule="exact"/>
        <w:ind w:firstLine="470" w:firstLineChars="196"/>
        <w:outlineLvl w:val="4"/>
        <w:rPr>
          <w:rFonts w:asci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11不符合法律、法规和磋商采购文件规定的其他实质性要求和条件的。</w:t>
      </w:r>
    </w:p>
    <w:p>
      <w:pPr>
        <w:widowControl/>
        <w:shd w:val="clear" w:color="auto" w:fill="FFFFFF"/>
        <w:spacing w:line="400" w:lineRule="exact"/>
        <w:ind w:firstLine="480" w:firstLineChars="200"/>
        <w:jc w:val="left"/>
        <w:rPr>
          <w:rFonts w:hAnsi="宋体" w:cs="Tahoma"/>
          <w:kern w:val="0"/>
          <w:sz w:val="24"/>
        </w:rPr>
      </w:pPr>
      <w:r>
        <w:rPr>
          <w:rFonts w:ascii="宋体" w:hAnsi="宋体"/>
          <w:sz w:val="24"/>
        </w:rPr>
        <w:t>1</w:t>
      </w:r>
      <w:r>
        <w:rPr>
          <w:rFonts w:hint="eastAsia" w:ascii="宋体" w:hAnsi="宋体"/>
          <w:sz w:val="24"/>
        </w:rPr>
        <w:t>8</w:t>
      </w:r>
      <w:r>
        <w:rPr>
          <w:rFonts w:ascii="宋体" w:hAnsi="宋体"/>
          <w:sz w:val="24"/>
        </w:rPr>
        <w:t>.1</w:t>
      </w:r>
      <w:r>
        <w:rPr>
          <w:rFonts w:hint="eastAsia" w:ascii="宋体" w:hAnsi="宋体"/>
          <w:sz w:val="24"/>
        </w:rPr>
        <w:t>2竞标人未在响应文件中就是否被</w:t>
      </w:r>
      <w:r>
        <w:rPr>
          <w:rFonts w:hint="eastAsia" w:ascii="宋体" w:hAnsi="宋体" w:cs="Tahoma"/>
          <w:kern w:val="0"/>
          <w:sz w:val="24"/>
        </w:rPr>
        <w:t>“列入失信被执行人”、“重大税收违法案件当事人名单”、“政府采购严重违法失信行为记录名单”</w:t>
      </w:r>
      <w:r>
        <w:rPr>
          <w:rFonts w:hint="eastAsia" w:ascii="宋体" w:hAnsi="宋体"/>
          <w:sz w:val="24"/>
        </w:rPr>
        <w:t>进行如实进行声明的。如被查实未作如实声明的，将按</w:t>
      </w:r>
      <w:r>
        <w:rPr>
          <w:rFonts w:hint="eastAsia" w:ascii="宋体" w:hAnsi="宋体" w:cs="Tahoma"/>
          <w:kern w:val="0"/>
          <w:sz w:val="24"/>
        </w:rPr>
        <w:t>《中华人民共和国政府采购法》第</w:t>
      </w:r>
      <w:r>
        <w:rPr>
          <w:rFonts w:ascii="宋体" w:hAnsi="宋体" w:cs="Tahoma"/>
          <w:kern w:val="0"/>
          <w:sz w:val="24"/>
        </w:rPr>
        <w:t>77</w:t>
      </w:r>
      <w:r>
        <w:rPr>
          <w:rFonts w:hint="eastAsia" w:ascii="宋体" w:hAnsi="宋体" w:cs="Tahoma"/>
          <w:kern w:val="0"/>
          <w:sz w:val="24"/>
        </w:rPr>
        <w:t>条规定进行处理。</w:t>
      </w:r>
    </w:p>
    <w:p>
      <w:pPr>
        <w:widowControl/>
        <w:shd w:val="clear" w:color="auto" w:fill="FFFFFF"/>
        <w:spacing w:line="400" w:lineRule="exact"/>
        <w:ind w:firstLine="480" w:firstLineChars="200"/>
        <w:jc w:val="left"/>
        <w:rPr>
          <w:rFonts w:ascii="宋体"/>
          <w:b/>
          <w:sz w:val="24"/>
        </w:rPr>
      </w:pPr>
    </w:p>
    <w:p>
      <w:pPr>
        <w:pStyle w:val="25"/>
        <w:spacing w:before="120" w:line="360" w:lineRule="auto"/>
        <w:jc w:val="center"/>
        <w:outlineLvl w:val="2"/>
        <w:rPr>
          <w:rFonts w:hAnsi="宋体"/>
          <w:b/>
          <w:sz w:val="24"/>
          <w:szCs w:val="24"/>
        </w:rPr>
      </w:pPr>
      <w:bookmarkStart w:id="58" w:name="_Toc501090371"/>
      <w:bookmarkStart w:id="59" w:name="_Toc501090508"/>
      <w:r>
        <w:rPr>
          <w:rFonts w:hint="eastAsia" w:hAnsi="宋体"/>
          <w:b/>
          <w:sz w:val="24"/>
          <w:szCs w:val="24"/>
        </w:rPr>
        <w:t>十、成交服务费</w:t>
      </w:r>
      <w:bookmarkEnd w:id="58"/>
      <w:bookmarkEnd w:id="59"/>
    </w:p>
    <w:p>
      <w:pPr>
        <w:pStyle w:val="25"/>
        <w:spacing w:line="400" w:lineRule="exact"/>
        <w:ind w:left="96" w:leftChars="46" w:firstLine="369" w:firstLineChars="154"/>
        <w:rPr>
          <w:rFonts w:hAnsi="宋体"/>
          <w:sz w:val="24"/>
          <w:szCs w:val="24"/>
        </w:rPr>
      </w:pPr>
      <w:r>
        <w:rPr>
          <w:rFonts w:hint="eastAsia" w:hAnsi="宋体"/>
          <w:sz w:val="24"/>
          <w:szCs w:val="24"/>
        </w:rPr>
        <w:t>19、采购代理服务费：</w:t>
      </w:r>
      <w:r>
        <w:rPr>
          <w:rFonts w:hint="eastAsia" w:hAnsi="宋体"/>
          <w:b/>
          <w:sz w:val="24"/>
          <w:szCs w:val="24"/>
          <w:u w:val="single"/>
        </w:rPr>
        <w:t>参照国家发展计划委员会《招标代理服务费管理暂行办法》（计价格[2002]1980号）收费标准（服务类）下浮40%收取</w:t>
      </w:r>
      <w:r>
        <w:rPr>
          <w:rFonts w:hint="eastAsia" w:hAnsi="宋体"/>
          <w:sz w:val="24"/>
          <w:szCs w:val="24"/>
        </w:rPr>
        <w:t>。由采购代理机构向成交供应商收取。领取成交通知书前，成交人应当向采购代理机构一次性付清采购代理服务费。否则，采购代理机构将视之为违约。</w:t>
      </w:r>
    </w:p>
    <w:p>
      <w:pPr>
        <w:pStyle w:val="25"/>
        <w:spacing w:line="400" w:lineRule="exact"/>
        <w:ind w:left="96" w:leftChars="46" w:firstLine="369" w:firstLineChars="154"/>
        <w:rPr>
          <w:rFonts w:hAnsi="宋体"/>
          <w:sz w:val="24"/>
          <w:szCs w:val="24"/>
        </w:rPr>
      </w:pPr>
      <w:r>
        <w:rPr>
          <w:rFonts w:hint="eastAsia" w:hAnsi="宋体"/>
          <w:sz w:val="24"/>
          <w:szCs w:val="24"/>
        </w:rPr>
        <w:t>（1）采购代理机构的银行账户：</w:t>
      </w:r>
    </w:p>
    <w:p>
      <w:pPr>
        <w:widowControl/>
        <w:spacing w:before="75" w:after="75" w:line="420" w:lineRule="exact"/>
        <w:ind w:firstLine="720" w:firstLineChars="300"/>
        <w:jc w:val="left"/>
        <w:rPr>
          <w:rFonts w:ascii="宋体" w:hAnsi="宋体"/>
          <w:b/>
          <w:sz w:val="24"/>
          <w:u w:val="single"/>
        </w:rPr>
      </w:pPr>
      <w:r>
        <w:rPr>
          <w:rFonts w:hint="eastAsia" w:ascii="宋体" w:hAnsi="宋体"/>
          <w:b/>
          <w:sz w:val="24"/>
          <w:u w:val="single"/>
        </w:rPr>
        <w:t>开户名称：广西海恒项目管理有限公司</w:t>
      </w:r>
    </w:p>
    <w:p>
      <w:pPr>
        <w:widowControl/>
        <w:spacing w:before="75" w:after="75" w:line="420" w:lineRule="exact"/>
        <w:ind w:firstLine="720" w:firstLineChars="300"/>
        <w:jc w:val="left"/>
        <w:rPr>
          <w:rFonts w:ascii="宋体" w:hAnsi="宋体"/>
          <w:b/>
          <w:sz w:val="24"/>
          <w:u w:val="single"/>
        </w:rPr>
      </w:pPr>
      <w:r>
        <w:rPr>
          <w:rFonts w:hint="eastAsia" w:ascii="宋体" w:hAnsi="宋体"/>
          <w:b/>
          <w:sz w:val="24"/>
          <w:u w:val="single"/>
        </w:rPr>
        <w:t xml:space="preserve">开户银行：中国民生银行广西自贸试验区南宁片区支行 </w:t>
      </w:r>
    </w:p>
    <w:p>
      <w:pPr>
        <w:ind w:firstLine="720" w:firstLineChars="300"/>
        <w:rPr>
          <w:rFonts w:ascii="宋体" w:hAnsi="宋体"/>
          <w:b/>
          <w:sz w:val="24"/>
          <w:u w:val="single"/>
        </w:rPr>
      </w:pPr>
      <w:r>
        <w:rPr>
          <w:rFonts w:hint="eastAsia" w:ascii="宋体" w:hAnsi="宋体"/>
          <w:b/>
          <w:sz w:val="24"/>
          <w:u w:val="single"/>
        </w:rPr>
        <w:t xml:space="preserve">银行账号：171941518 </w:t>
      </w:r>
    </w:p>
    <w:p>
      <w:pPr>
        <w:adjustRightInd w:val="0"/>
        <w:snapToGrid w:val="0"/>
        <w:spacing w:line="276" w:lineRule="auto"/>
        <w:ind w:firstLine="480" w:firstLineChars="200"/>
        <w:rPr>
          <w:rFonts w:ascii="宋体" w:hAnsi="宋体" w:cs="Courier New"/>
          <w:szCs w:val="21"/>
        </w:rPr>
      </w:pPr>
      <w:r>
        <w:rPr>
          <w:rFonts w:hint="eastAsia" w:ascii="宋体" w:hAnsi="宋体" w:cs="Courier New"/>
          <w:sz w:val="24"/>
        </w:rPr>
        <w:t>（2）代理服务收费标准：</w:t>
      </w:r>
    </w:p>
    <w:tbl>
      <w:tblPr>
        <w:tblStyle w:val="4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3"/>
        <w:gridCol w:w="2042"/>
        <w:gridCol w:w="203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763"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中标金额（万元）</w:t>
            </w:r>
          </w:p>
        </w:tc>
        <w:tc>
          <w:tcPr>
            <w:tcW w:w="2042" w:type="dxa"/>
            <w:vAlign w:val="center"/>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货物招标</w:t>
            </w:r>
          </w:p>
        </w:tc>
        <w:tc>
          <w:tcPr>
            <w:tcW w:w="2031" w:type="dxa"/>
            <w:vAlign w:val="center"/>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服务招标</w:t>
            </w:r>
          </w:p>
        </w:tc>
        <w:tc>
          <w:tcPr>
            <w:tcW w:w="2334" w:type="dxa"/>
            <w:vAlign w:val="center"/>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100以下</w:t>
            </w:r>
          </w:p>
        </w:tc>
        <w:tc>
          <w:tcPr>
            <w:tcW w:w="2042"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1.5%</w:t>
            </w:r>
          </w:p>
        </w:tc>
        <w:tc>
          <w:tcPr>
            <w:tcW w:w="2031"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1.5%</w:t>
            </w:r>
          </w:p>
        </w:tc>
        <w:tc>
          <w:tcPr>
            <w:tcW w:w="2334"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100-500</w:t>
            </w:r>
          </w:p>
        </w:tc>
        <w:tc>
          <w:tcPr>
            <w:tcW w:w="2042"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1.1%</w:t>
            </w:r>
          </w:p>
        </w:tc>
        <w:tc>
          <w:tcPr>
            <w:tcW w:w="2031"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0.8%</w:t>
            </w:r>
          </w:p>
        </w:tc>
        <w:tc>
          <w:tcPr>
            <w:tcW w:w="2334"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500-1000</w:t>
            </w:r>
          </w:p>
        </w:tc>
        <w:tc>
          <w:tcPr>
            <w:tcW w:w="2042"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0.8%</w:t>
            </w:r>
          </w:p>
        </w:tc>
        <w:tc>
          <w:tcPr>
            <w:tcW w:w="2031"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0.45%</w:t>
            </w:r>
          </w:p>
        </w:tc>
        <w:tc>
          <w:tcPr>
            <w:tcW w:w="2334"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1000-5000</w:t>
            </w:r>
          </w:p>
        </w:tc>
        <w:tc>
          <w:tcPr>
            <w:tcW w:w="2042"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0.5%</w:t>
            </w:r>
          </w:p>
        </w:tc>
        <w:tc>
          <w:tcPr>
            <w:tcW w:w="2031"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0.25%</w:t>
            </w:r>
          </w:p>
        </w:tc>
        <w:tc>
          <w:tcPr>
            <w:tcW w:w="2334"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5000-10000</w:t>
            </w:r>
          </w:p>
        </w:tc>
        <w:tc>
          <w:tcPr>
            <w:tcW w:w="2042"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0.25%</w:t>
            </w:r>
          </w:p>
        </w:tc>
        <w:tc>
          <w:tcPr>
            <w:tcW w:w="2031"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0.1%</w:t>
            </w:r>
          </w:p>
        </w:tc>
        <w:tc>
          <w:tcPr>
            <w:tcW w:w="2334"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10000-100000</w:t>
            </w:r>
          </w:p>
        </w:tc>
        <w:tc>
          <w:tcPr>
            <w:tcW w:w="2042"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0.05%</w:t>
            </w:r>
          </w:p>
        </w:tc>
        <w:tc>
          <w:tcPr>
            <w:tcW w:w="2031"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0.05%</w:t>
            </w:r>
          </w:p>
        </w:tc>
        <w:tc>
          <w:tcPr>
            <w:tcW w:w="2334"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100000以上</w:t>
            </w:r>
          </w:p>
        </w:tc>
        <w:tc>
          <w:tcPr>
            <w:tcW w:w="2042"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0.01%</w:t>
            </w:r>
          </w:p>
        </w:tc>
        <w:tc>
          <w:tcPr>
            <w:tcW w:w="2031"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0.01%</w:t>
            </w:r>
          </w:p>
        </w:tc>
        <w:tc>
          <w:tcPr>
            <w:tcW w:w="2334" w:type="dxa"/>
          </w:tcPr>
          <w:p>
            <w:pPr>
              <w:autoSpaceDE w:val="0"/>
              <w:autoSpaceDN w:val="0"/>
              <w:adjustRightInd w:val="0"/>
              <w:snapToGrid w:val="0"/>
              <w:spacing w:line="360" w:lineRule="auto"/>
              <w:ind w:firstLine="417" w:firstLineChars="199"/>
              <w:jc w:val="center"/>
              <w:rPr>
                <w:rFonts w:ascii="宋体" w:hAnsi="宋体"/>
                <w:kern w:val="0"/>
                <w:szCs w:val="21"/>
              </w:rPr>
            </w:pPr>
            <w:r>
              <w:rPr>
                <w:rFonts w:hint="eastAsia" w:ascii="宋体" w:hAnsi="宋体"/>
                <w:kern w:val="0"/>
                <w:szCs w:val="21"/>
              </w:rPr>
              <w:t>0.01%</w:t>
            </w:r>
          </w:p>
        </w:tc>
      </w:tr>
    </w:tbl>
    <w:p>
      <w:pPr>
        <w:adjustRightInd w:val="0"/>
        <w:snapToGrid w:val="0"/>
        <w:spacing w:line="360" w:lineRule="auto"/>
        <w:ind w:firstLine="525" w:firstLineChars="250"/>
        <w:rPr>
          <w:rFonts w:ascii="宋体" w:hAnsi="宋体" w:cs="Courier New"/>
          <w:kern w:val="0"/>
          <w:szCs w:val="21"/>
        </w:rPr>
      </w:pPr>
      <w:r>
        <w:rPr>
          <w:rFonts w:hint="eastAsia" w:ascii="宋体" w:hAnsi="宋体" w:cs="Courier New"/>
          <w:szCs w:val="21"/>
        </w:rPr>
        <w:t>注：招标代理服务收费按差额定率累进法计算。</w:t>
      </w:r>
    </w:p>
    <w:p>
      <w:pPr>
        <w:rPr>
          <w:b/>
          <w:szCs w:val="21"/>
        </w:rPr>
      </w:pPr>
    </w:p>
    <w:p>
      <w:pPr>
        <w:pStyle w:val="25"/>
        <w:spacing w:before="120" w:line="360" w:lineRule="auto"/>
        <w:jc w:val="center"/>
        <w:outlineLvl w:val="2"/>
        <w:rPr>
          <w:rFonts w:hAnsi="宋体"/>
          <w:b/>
          <w:sz w:val="24"/>
          <w:szCs w:val="24"/>
        </w:rPr>
      </w:pPr>
      <w:bookmarkStart w:id="60" w:name="_Toc501090509"/>
      <w:bookmarkStart w:id="61" w:name="_Toc501090372"/>
      <w:r>
        <w:rPr>
          <w:rFonts w:hint="eastAsia" w:hAnsi="宋体"/>
          <w:b/>
          <w:sz w:val="24"/>
          <w:szCs w:val="24"/>
        </w:rPr>
        <w:t>十一、适用法律</w:t>
      </w:r>
      <w:bookmarkEnd w:id="60"/>
      <w:bookmarkEnd w:id="61"/>
    </w:p>
    <w:p>
      <w:pPr>
        <w:pStyle w:val="25"/>
        <w:spacing w:line="400" w:lineRule="exact"/>
        <w:rPr>
          <w:rFonts w:hAnsi="宋体"/>
          <w:sz w:val="24"/>
          <w:szCs w:val="24"/>
        </w:rPr>
      </w:pPr>
      <w:r>
        <w:rPr>
          <w:rFonts w:hAnsi="宋体"/>
          <w:sz w:val="24"/>
          <w:szCs w:val="24"/>
        </w:rPr>
        <w:t>21</w:t>
      </w:r>
      <w:r>
        <w:rPr>
          <w:rFonts w:hint="eastAsia" w:hAnsi="宋体"/>
          <w:sz w:val="24"/>
          <w:szCs w:val="24"/>
        </w:rPr>
        <w:t>、采购当事人的一切活动均适用于《中华人民共和国政府采购法》及相关规定。</w:t>
      </w:r>
    </w:p>
    <w:p>
      <w:pPr>
        <w:pStyle w:val="25"/>
        <w:spacing w:line="400" w:lineRule="exact"/>
        <w:rPr>
          <w:rFonts w:hAnsi="宋体"/>
          <w:sz w:val="24"/>
          <w:szCs w:val="24"/>
        </w:rPr>
      </w:pPr>
      <w:r>
        <w:rPr>
          <w:rFonts w:hAnsi="宋体"/>
          <w:sz w:val="24"/>
          <w:szCs w:val="24"/>
        </w:rPr>
        <w:t>22</w:t>
      </w:r>
      <w:r>
        <w:rPr>
          <w:rFonts w:hint="eastAsia" w:hAnsi="宋体"/>
          <w:sz w:val="24"/>
          <w:szCs w:val="24"/>
        </w:rPr>
        <w:t>、最终磋商结束后，磋商小组不得再与竞标人进行任何形式的商谈。</w:t>
      </w:r>
    </w:p>
    <w:p>
      <w:pPr>
        <w:pStyle w:val="25"/>
        <w:spacing w:before="120" w:line="400" w:lineRule="exact"/>
        <w:ind w:firstLine="420"/>
        <w:rPr>
          <w:rFonts w:hAnsi="宋体"/>
          <w:sz w:val="24"/>
          <w:szCs w:val="24"/>
        </w:rPr>
        <w:sectPr>
          <w:pgSz w:w="11906" w:h="16838"/>
          <w:pgMar w:top="1247" w:right="1247" w:bottom="1247" w:left="1247" w:header="907" w:footer="964" w:gutter="0"/>
          <w:pgNumType w:start="1"/>
          <w:cols w:space="720" w:num="1"/>
          <w:docGrid w:type="linesAndChars" w:linePitch="331" w:charSpace="0"/>
        </w:sectPr>
      </w:pPr>
    </w:p>
    <w:p>
      <w:pPr>
        <w:jc w:val="center"/>
        <w:outlineLvl w:val="0"/>
        <w:rPr>
          <w:b/>
          <w:sz w:val="36"/>
          <w:szCs w:val="36"/>
        </w:rPr>
      </w:pPr>
      <w:bookmarkStart w:id="62" w:name="_Toc501090510"/>
      <w:bookmarkStart w:id="63" w:name="_Toc300846371"/>
      <w:r>
        <w:rPr>
          <w:rFonts w:hint="eastAsia"/>
          <w:b/>
          <w:sz w:val="36"/>
          <w:szCs w:val="36"/>
        </w:rPr>
        <w:t>第三章  项目采购需求</w:t>
      </w:r>
      <w:bookmarkEnd w:id="62"/>
      <w:bookmarkEnd w:id="63"/>
    </w:p>
    <w:p>
      <w:pPr>
        <w:adjustRightInd w:val="0"/>
        <w:spacing w:line="340" w:lineRule="exact"/>
        <w:rPr>
          <w:rFonts w:ascii="宋体" w:hAnsi="宋体" w:cs="宋体"/>
          <w:sz w:val="24"/>
        </w:rPr>
      </w:pPr>
      <w:r>
        <w:rPr>
          <w:rFonts w:hint="eastAsia" w:ascii="宋体" w:hAnsi="宋体" w:cs="宋体"/>
          <w:sz w:val="24"/>
        </w:rPr>
        <w:t>说明：</w:t>
      </w:r>
    </w:p>
    <w:p>
      <w:pPr>
        <w:pStyle w:val="25"/>
        <w:spacing w:line="440" w:lineRule="exact"/>
        <w:ind w:firstLine="458" w:firstLineChars="191"/>
        <w:rPr>
          <w:rFonts w:hAnsi="宋体" w:cs="宋体"/>
          <w:sz w:val="24"/>
        </w:rPr>
      </w:pPr>
      <w:r>
        <w:rPr>
          <w:rFonts w:hAnsi="宋体" w:cs="宋体"/>
          <w:sz w:val="24"/>
        </w:rPr>
        <w:t>1</w:t>
      </w:r>
      <w:r>
        <w:rPr>
          <w:rFonts w:hint="eastAsia" w:hAnsi="宋体" w:cs="宋体"/>
          <w:sz w:val="24"/>
        </w:rPr>
        <w:t>.</w:t>
      </w:r>
      <w:r>
        <w:rPr>
          <w:rFonts w:hAnsi="宋体" w:cs="宋体"/>
          <w:sz w:val="24"/>
        </w:rPr>
        <w:t>供应商应对投标内容所涉及的专利承担法律责任，并负责保护甲方的利益不受任何损害。一切由于文字、商标、技术和软件专利授权引起的法律裁决、诉讼和赔偿费用均由</w:t>
      </w:r>
      <w:r>
        <w:rPr>
          <w:rFonts w:hint="eastAsia" w:hAnsi="宋体" w:cs="宋体"/>
          <w:sz w:val="24"/>
        </w:rPr>
        <w:t>成交</w:t>
      </w:r>
      <w:r>
        <w:rPr>
          <w:rFonts w:hAnsi="宋体" w:cs="宋体"/>
          <w:sz w:val="24"/>
        </w:rPr>
        <w:t>人负责。同时，具有产品专利的供应商应在其</w:t>
      </w:r>
      <w:r>
        <w:rPr>
          <w:rFonts w:hint="eastAsia" w:hAnsi="宋体" w:cs="宋体"/>
          <w:sz w:val="24"/>
        </w:rPr>
        <w:t>响应</w:t>
      </w:r>
      <w:r>
        <w:rPr>
          <w:rFonts w:hAnsi="宋体" w:cs="宋体"/>
          <w:sz w:val="24"/>
        </w:rPr>
        <w:t>文件中提供与其自有产品专利相关的有效证明材料，否则，不能就其产品的专利在本项目</w:t>
      </w:r>
      <w:r>
        <w:rPr>
          <w:rFonts w:hint="eastAsia" w:hAnsi="宋体" w:cs="宋体"/>
          <w:sz w:val="24"/>
        </w:rPr>
        <w:t>采购</w:t>
      </w:r>
      <w:r>
        <w:rPr>
          <w:rFonts w:hAnsi="宋体" w:cs="宋体"/>
          <w:sz w:val="24"/>
        </w:rPr>
        <w:t>过程中被侵权问题而提出异议。</w:t>
      </w:r>
    </w:p>
    <w:p>
      <w:pPr>
        <w:pStyle w:val="25"/>
        <w:spacing w:line="440" w:lineRule="exact"/>
        <w:ind w:firstLine="458" w:firstLineChars="191"/>
        <w:rPr>
          <w:rFonts w:hAnsi="宋体" w:cs="宋体"/>
          <w:sz w:val="24"/>
        </w:rPr>
      </w:pPr>
      <w:r>
        <w:rPr>
          <w:rFonts w:hint="eastAsia" w:hAnsi="宋体" w:cs="宋体"/>
          <w:sz w:val="24"/>
        </w:rPr>
        <w:t>2.供应商应承诺响应文件中提供的证明材料和资质文件真实，如出现虚假应标情况，供应商除了应接受有关部门的处罚外，还应依据《中华人民共和国民法典》的相关条款来确定赔偿金额。</w:t>
      </w:r>
    </w:p>
    <w:p>
      <w:pPr>
        <w:pStyle w:val="25"/>
        <w:spacing w:line="440" w:lineRule="exact"/>
        <w:ind w:firstLine="458" w:firstLineChars="191"/>
        <w:rPr>
          <w:rFonts w:hAnsi="宋体" w:cs="宋体"/>
          <w:sz w:val="24"/>
        </w:rPr>
      </w:pPr>
      <w:r>
        <w:rPr>
          <w:rFonts w:hint="eastAsia" w:hAnsi="宋体" w:cs="宋体"/>
          <w:sz w:val="24"/>
        </w:rPr>
        <w:t>3.本项目需求表中带有“★”的技术参数或要求为实质性要求，投标响应不得低于该技术指标或要求；非“★”号参数有三项以上（含三项）不能满足要求的，为不响应采购文件要求，投标无效。</w:t>
      </w:r>
    </w:p>
    <w:p>
      <w:pPr>
        <w:spacing w:line="400" w:lineRule="exact"/>
        <w:jc w:val="left"/>
        <w:rPr>
          <w:rFonts w:ascii="宋体" w:hAnsi="宋体" w:cs="宋体"/>
          <w:b/>
          <w:color w:val="000000"/>
          <w:szCs w:val="21"/>
        </w:rPr>
      </w:pPr>
    </w:p>
    <w:tbl>
      <w:tblPr>
        <w:tblStyle w:val="46"/>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493"/>
        <w:gridCol w:w="871"/>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rPr>
            </w:pPr>
            <w:r>
              <w:rPr>
                <w:rFonts w:hint="eastAsia" w:ascii="宋体" w:hAnsi="宋体" w:cs="宋体"/>
                <w:b/>
                <w:color w:val="000000"/>
                <w:szCs w:val="21"/>
              </w:rPr>
              <w:t>项号</w:t>
            </w:r>
          </w:p>
        </w:tc>
        <w:tc>
          <w:tcPr>
            <w:tcW w:w="14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rPr>
            </w:pPr>
            <w:r>
              <w:rPr>
                <w:rFonts w:hint="eastAsia" w:ascii="宋体" w:hAnsi="宋体" w:cs="宋体"/>
                <w:b/>
                <w:color w:val="000000"/>
                <w:szCs w:val="21"/>
              </w:rPr>
              <w:t>服务名称</w:t>
            </w:r>
          </w:p>
        </w:tc>
        <w:tc>
          <w:tcPr>
            <w:tcW w:w="87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000000"/>
                <w:szCs w:val="21"/>
              </w:rPr>
            </w:pPr>
            <w:r>
              <w:rPr>
                <w:rFonts w:hint="eastAsia" w:ascii="宋体" w:hAnsi="宋体" w:cs="宋体"/>
                <w:b/>
                <w:color w:val="000000"/>
                <w:szCs w:val="21"/>
              </w:rPr>
              <w:t>数量、单位</w:t>
            </w:r>
          </w:p>
        </w:tc>
        <w:tc>
          <w:tcPr>
            <w:tcW w:w="62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rPr>
            </w:pPr>
            <w:r>
              <w:rPr>
                <w:rFonts w:hint="eastAsia" w:ascii="宋体" w:hAnsi="宋体" w:cs="宋体"/>
                <w:b/>
                <w:color w:val="000000"/>
                <w:szCs w:val="21"/>
              </w:rPr>
              <w:t>内容和要求（或技术参数）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pPr>
              <w:numPr>
                <w:ilvl w:val="0"/>
                <w:numId w:val="5"/>
              </w:numPr>
              <w:jc w:val="center"/>
              <w:rPr>
                <w:rFonts w:ascii="宋体" w:hAnsi="宋体" w:cs="宋体"/>
                <w:b/>
                <w:color w:val="000000"/>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80" w:lineRule="exact"/>
              <w:jc w:val="left"/>
              <w:rPr>
                <w:rFonts w:ascii="宋体" w:hAnsi="宋体"/>
                <w:color w:val="000000"/>
              </w:rPr>
            </w:pPr>
          </w:p>
          <w:p>
            <w:pPr>
              <w:keepNext/>
              <w:keepLines/>
              <w:spacing w:before="260" w:after="260" w:line="416" w:lineRule="auto"/>
              <w:outlineLvl w:val="1"/>
              <w:rPr>
                <w:rFonts w:ascii="宋体" w:hAnsi="宋体"/>
                <w:b/>
                <w:bCs/>
                <w:color w:val="000000"/>
                <w:kern w:val="0"/>
                <w:sz w:val="32"/>
                <w:szCs w:val="32"/>
              </w:rPr>
            </w:pPr>
          </w:p>
          <w:p>
            <w:pPr>
              <w:rPr>
                <w:rFonts w:ascii="宋体" w:hAnsi="宋体"/>
                <w:color w:val="000000"/>
              </w:rPr>
            </w:pPr>
          </w:p>
          <w:p>
            <w:pPr>
              <w:keepNext/>
              <w:keepLines/>
              <w:spacing w:before="260" w:after="260" w:line="416" w:lineRule="auto"/>
              <w:outlineLvl w:val="1"/>
              <w:rPr>
                <w:rFonts w:ascii="宋体" w:hAnsi="宋体"/>
                <w:b/>
                <w:bCs/>
                <w:color w:val="000000"/>
                <w:kern w:val="0"/>
                <w:sz w:val="32"/>
                <w:szCs w:val="32"/>
              </w:rPr>
            </w:pPr>
          </w:p>
          <w:p>
            <w:pPr>
              <w:rPr>
                <w:rFonts w:ascii="宋体" w:hAnsi="宋体"/>
                <w:color w:val="000000"/>
              </w:rPr>
            </w:pPr>
          </w:p>
          <w:p>
            <w:pPr>
              <w:spacing w:line="380" w:lineRule="exact"/>
              <w:textAlignment w:val="center"/>
              <w:rPr>
                <w:rFonts w:ascii="宋体" w:hAnsi="宋体"/>
                <w:color w:val="000000"/>
              </w:rPr>
            </w:pPr>
            <w:r>
              <w:rPr>
                <w:rFonts w:hint="eastAsia" w:ascii="宋体" w:hAnsi="宋体"/>
                <w:color w:val="000000"/>
              </w:rPr>
              <w:t>交通（铁路）智能化综合服务平台建设项目</w:t>
            </w:r>
          </w:p>
          <w:p>
            <w:pPr>
              <w:keepNext/>
              <w:keepLines/>
              <w:spacing w:before="260" w:after="260" w:line="416" w:lineRule="auto"/>
              <w:outlineLvl w:val="1"/>
              <w:rPr>
                <w:rFonts w:ascii="宋体" w:hAnsi="宋体"/>
                <w:color w:val="000000"/>
              </w:rPr>
            </w:pPr>
          </w:p>
          <w:p>
            <w:pPr>
              <w:rPr>
                <w:rFonts w:ascii="宋体" w:hAnsi="宋体"/>
                <w:color w:val="000000"/>
              </w:rPr>
            </w:pPr>
          </w:p>
          <w:p>
            <w:pPr>
              <w:keepNext/>
              <w:keepLines/>
              <w:spacing w:before="260" w:after="260" w:line="416" w:lineRule="auto"/>
              <w:outlineLvl w:val="1"/>
              <w:rPr>
                <w:rFonts w:ascii="宋体" w:hAnsi="宋体"/>
                <w:color w:val="000000"/>
              </w:rPr>
            </w:pPr>
          </w:p>
          <w:p>
            <w:pPr>
              <w:rPr>
                <w:rFonts w:ascii="宋体" w:hAnsi="宋体"/>
                <w:color w:val="000000"/>
              </w:rPr>
            </w:pPr>
          </w:p>
          <w:p>
            <w:pPr>
              <w:rPr>
                <w:rFonts w:ascii="宋体" w:hAnsi="宋体"/>
                <w:color w:val="000000"/>
              </w:rPr>
            </w:pPr>
          </w:p>
          <w:p>
            <w:pPr>
              <w:keepNext/>
              <w:keepLines/>
              <w:spacing w:before="260" w:after="260" w:line="416" w:lineRule="auto"/>
              <w:outlineLvl w:val="1"/>
              <w:rPr>
                <w:rFonts w:ascii="宋体" w:hAnsi="宋体"/>
                <w:b/>
                <w:bCs/>
                <w:color w:val="000000"/>
                <w:kern w:val="0"/>
                <w:sz w:val="32"/>
                <w:szCs w:val="32"/>
              </w:rPr>
            </w:pPr>
          </w:p>
          <w:p>
            <w:pPr>
              <w:rPr>
                <w:rFonts w:ascii="宋体" w:hAnsi="宋体"/>
                <w:color w:val="000000"/>
              </w:rPr>
            </w:pPr>
          </w:p>
          <w:p>
            <w:pPr>
              <w:keepNext/>
              <w:keepLines/>
              <w:spacing w:before="260" w:after="260" w:line="416" w:lineRule="auto"/>
              <w:outlineLvl w:val="1"/>
              <w:rPr>
                <w:rFonts w:ascii="宋体" w:hAnsi="宋体"/>
                <w:b/>
                <w:bCs/>
                <w:color w:val="000000"/>
                <w:kern w:val="0"/>
                <w:sz w:val="32"/>
                <w:szCs w:val="32"/>
              </w:rPr>
            </w:pPr>
          </w:p>
          <w:p>
            <w:pPr>
              <w:rPr>
                <w:rFonts w:ascii="宋体" w:hAnsi="宋体"/>
                <w:color w:val="000000"/>
              </w:rPr>
            </w:pP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1项</w:t>
            </w:r>
          </w:p>
        </w:tc>
        <w:tc>
          <w:tcPr>
            <w:tcW w:w="6206" w:type="dxa"/>
            <w:tcBorders>
              <w:top w:val="single" w:color="auto" w:sz="4" w:space="0"/>
              <w:left w:val="single" w:color="auto" w:sz="4" w:space="0"/>
              <w:right w:val="single" w:color="auto" w:sz="4" w:space="0"/>
            </w:tcBorders>
          </w:tcPr>
          <w:p>
            <w:pPr>
              <w:rPr>
                <w:szCs w:val="21"/>
              </w:rPr>
            </w:pPr>
            <w:r>
              <w:rPr>
                <w:rFonts w:hint="eastAsia"/>
                <w:szCs w:val="21"/>
              </w:rPr>
              <w:t>一、项目概况：</w:t>
            </w:r>
          </w:p>
          <w:p>
            <w:pPr>
              <w:spacing w:line="360" w:lineRule="auto"/>
              <w:ind w:firstLine="420" w:firstLineChars="200"/>
              <w:rPr>
                <w:rFonts w:ascii="宋体" w:hAnsi="宋体" w:cs="宋体"/>
                <w:szCs w:val="21"/>
                <w:lang w:val="zh-CN"/>
              </w:rPr>
            </w:pPr>
            <w:r>
              <w:rPr>
                <w:rFonts w:hint="eastAsia" w:ascii="宋体" w:hAnsi="宋体" w:cs="宋体"/>
                <w:szCs w:val="21"/>
                <w:lang w:val="zh-CN"/>
              </w:rPr>
              <w:t>本项目以气象部门和行业部门多源数据的解释应用技术为基础，基于广西气象大数据云平台，遵循先进性、实用性、开放性，安全性、共享性等原则进行设计和开发。</w:t>
            </w:r>
          </w:p>
          <w:p>
            <w:pPr>
              <w:spacing w:line="360" w:lineRule="auto"/>
              <w:ind w:firstLine="420" w:firstLineChars="200"/>
              <w:rPr>
                <w:rFonts w:ascii="宋体" w:hAnsi="宋体" w:cs="宋体"/>
                <w:szCs w:val="21"/>
                <w:lang w:val="zh-CN"/>
              </w:rPr>
            </w:pPr>
            <w:r>
              <w:rPr>
                <w:rFonts w:hint="eastAsia" w:ascii="宋体" w:hAnsi="宋体" w:cs="宋体"/>
                <w:szCs w:val="21"/>
                <w:lang w:val="zh-CN"/>
              </w:rPr>
              <w:t>为实现数据分析、研究、转换和展示，</w:t>
            </w:r>
            <w:r>
              <w:rPr>
                <w:rFonts w:hint="eastAsia" w:ascii="宋体" w:hAnsi="宋体" w:cs="宋体"/>
                <w:szCs w:val="21"/>
              </w:rPr>
              <w:t>系统框架以B/S架构的服务框架体系为总体设计思路，服务端实现行业基础信息存储与管理、天擎数据应用、地图（影像、地图、矢量数据）服务发布与接入、气象预报与实况数据接口服务、数据分析接口服务、面向不同功能采用合适的技术架构进行开发设计，客户端应用与后台通信和数据交互严格遵守面向服务的设计标准、采用统一的数据模型作为系统数据标准。</w:t>
            </w:r>
            <w:r>
              <w:rPr>
                <w:rFonts w:hint="eastAsia" w:ascii="宋体" w:hAnsi="宋体" w:cs="宋体"/>
                <w:szCs w:val="21"/>
                <w:lang w:val="zh-CN"/>
              </w:rPr>
              <w:t>建设内容为铁路行业气象数据共享子平台、铁路专业气象服务产品应用子平台和铁路智能化综合服务子平台。</w:t>
            </w:r>
          </w:p>
          <w:p>
            <w:pPr>
              <w:spacing w:line="360" w:lineRule="auto"/>
              <w:ind w:firstLine="420" w:firstLineChars="200"/>
              <w:rPr>
                <w:rFonts w:ascii="宋体" w:hAnsi="宋体" w:cs="宋体"/>
                <w:szCs w:val="21"/>
              </w:rPr>
            </w:pPr>
            <w:r>
              <w:rPr>
                <w:rFonts w:hint="eastAsia" w:ascii="宋体" w:hAnsi="宋体" w:cs="宋体"/>
                <w:szCs w:val="21"/>
              </w:rPr>
              <w:t>根据广西气象局气象信息系统集约化建设要求，按照数据集约、硬件集约、流程集约、平台集约、监控集约对项目系统进行设计和建设。</w:t>
            </w:r>
          </w:p>
          <w:p>
            <w:pPr>
              <w:spacing w:line="360" w:lineRule="auto"/>
              <w:rPr>
                <w:rFonts w:ascii="宋体" w:hAnsi="宋体" w:cs="宋体"/>
                <w:szCs w:val="21"/>
              </w:rPr>
            </w:pPr>
            <w:r>
              <w:rPr>
                <w:rFonts w:hint="eastAsia" w:ascii="宋体" w:hAnsi="宋体" w:cs="宋体"/>
                <w:szCs w:val="21"/>
              </w:rPr>
              <w:t>二、项目建设内容</w:t>
            </w:r>
          </w:p>
          <w:p>
            <w:pPr>
              <w:spacing w:line="360" w:lineRule="auto"/>
              <w:ind w:firstLine="420" w:firstLineChars="200"/>
              <w:rPr>
                <w:rFonts w:ascii="宋体" w:hAnsi="宋体" w:cs="宋体"/>
                <w:szCs w:val="21"/>
              </w:rPr>
            </w:pPr>
            <w:bookmarkStart w:id="64" w:name="_Toc24021"/>
            <w:r>
              <w:rPr>
                <w:rFonts w:hint="eastAsia" w:ascii="宋体" w:hAnsi="宋体" w:cs="宋体"/>
                <w:szCs w:val="21"/>
              </w:rPr>
              <w:t>2.1铁路行业气象数据共享子平台建设</w:t>
            </w:r>
            <w:bookmarkEnd w:id="64"/>
          </w:p>
          <w:p>
            <w:pPr>
              <w:spacing w:line="360" w:lineRule="auto"/>
              <w:ind w:firstLine="420" w:firstLineChars="200"/>
              <w:rPr>
                <w:rFonts w:ascii="宋体" w:hAnsi="宋体" w:cs="宋体"/>
                <w:szCs w:val="21"/>
              </w:rPr>
            </w:pPr>
            <w:r>
              <w:rPr>
                <w:rFonts w:hint="eastAsia" w:ascii="宋体" w:hAnsi="宋体" w:cs="宋体"/>
                <w:szCs w:val="21"/>
              </w:rPr>
              <w:t>（1）铁路气象站数据解析模块</w:t>
            </w:r>
          </w:p>
          <w:p>
            <w:pPr>
              <w:spacing w:line="360" w:lineRule="auto"/>
              <w:ind w:firstLine="420" w:firstLineChars="200"/>
              <w:rPr>
                <w:rFonts w:ascii="宋体" w:hAnsi="宋体" w:cs="宋体"/>
                <w:szCs w:val="21"/>
              </w:rPr>
            </w:pPr>
            <w:r>
              <w:rPr>
                <w:rFonts w:hint="eastAsia" w:ascii="宋体" w:hAnsi="宋体" w:cs="宋体"/>
                <w:szCs w:val="21"/>
              </w:rPr>
              <w:t>通过在位于DMZ区的广西专业气象数据服务器上部署铁路气象观测站数据采集设备，以数据流方式接收铁路气象站实时气象数据，要素包括逐时或逐日的轨温、降雨量等。根据铁路部门提供的观测数据标准规范对铁路站数据进行解析，形成与气象部门数据标准一致的结构化数据集并入库存储。</w:t>
            </w:r>
          </w:p>
          <w:p>
            <w:pPr>
              <w:spacing w:line="360" w:lineRule="auto"/>
              <w:ind w:firstLine="420" w:firstLineChars="200"/>
              <w:rPr>
                <w:rFonts w:ascii="宋体" w:hAnsi="宋体" w:cs="宋体"/>
                <w:szCs w:val="21"/>
              </w:rPr>
            </w:pPr>
            <w:r>
              <w:rPr>
                <w:rFonts w:hint="eastAsia" w:ascii="宋体" w:hAnsi="宋体" w:cs="宋体"/>
                <w:szCs w:val="21"/>
              </w:rPr>
              <w:t>（2）气象数据处理应用模块</w:t>
            </w:r>
          </w:p>
          <w:p>
            <w:pPr>
              <w:spacing w:line="360" w:lineRule="auto"/>
              <w:ind w:firstLine="420" w:firstLineChars="200"/>
              <w:rPr>
                <w:rFonts w:ascii="宋体" w:hAnsi="宋体" w:cs="宋体"/>
                <w:szCs w:val="21"/>
              </w:rPr>
            </w:pPr>
            <w:r>
              <w:rPr>
                <w:rFonts w:hint="eastAsia" w:ascii="宋体" w:hAnsi="宋体" w:cs="宋体"/>
                <w:szCs w:val="21"/>
              </w:rPr>
              <w:t>气象数据主要来源有两类，分别为广西气象大数据云平台（天擎）和气象部门内部FTP服务器，对于不同的数据类型采用不同的应用策略，主要方式如下：</w:t>
            </w:r>
          </w:p>
          <w:p>
            <w:pPr>
              <w:spacing w:line="360" w:lineRule="auto"/>
              <w:ind w:firstLine="420" w:firstLineChars="200"/>
              <w:rPr>
                <w:rFonts w:ascii="宋体" w:hAnsi="宋体" w:cs="宋体"/>
                <w:szCs w:val="21"/>
              </w:rPr>
            </w:pPr>
            <w:r>
              <w:rPr>
                <w:rFonts w:hint="eastAsia" w:ascii="宋体" w:hAnsi="宋体" w:cs="宋体"/>
                <w:szCs w:val="21"/>
              </w:rPr>
              <w:t>遥感数据：此类数据主要有卫星和雷达资料，通过广西行业气象基础数据支撑平台将数据推送至铁路气象服务器（DMZ区），对栅格数据格式进行解析填色并应用于GIS地图。</w:t>
            </w:r>
          </w:p>
          <w:p>
            <w:pPr>
              <w:spacing w:line="360" w:lineRule="auto"/>
              <w:ind w:firstLine="420" w:firstLineChars="200"/>
              <w:rPr>
                <w:rFonts w:ascii="宋体" w:hAnsi="宋体" w:cs="宋体"/>
                <w:szCs w:val="21"/>
              </w:rPr>
            </w:pPr>
            <w:r>
              <w:rPr>
                <w:rFonts w:hint="eastAsia" w:ascii="宋体" w:hAnsi="宋体" w:cs="宋体"/>
                <w:szCs w:val="21"/>
              </w:rPr>
              <w:t>气象自动站：基于铁路路段信息，利用GIS技术对广西全区自动站进行过滤和匹配，形成铁路路段周围5～10km距离内的自动站点信息数据集，依托行业基础数据支撑平台从天擎接口获取并推送此类站点实时观测数据（降雨、气温、风向风速、能见度等）至铁路气象服务器（DMZ区），叠加至GIS地图开展应用。</w:t>
            </w:r>
          </w:p>
          <w:p>
            <w:pPr>
              <w:spacing w:line="360" w:lineRule="auto"/>
              <w:ind w:firstLine="420" w:firstLineChars="200"/>
              <w:rPr>
                <w:rFonts w:ascii="宋体" w:hAnsi="宋体" w:cs="宋体"/>
                <w:szCs w:val="21"/>
              </w:rPr>
            </w:pPr>
            <w:r>
              <w:rPr>
                <w:rFonts w:hint="eastAsia" w:ascii="宋体" w:hAnsi="宋体" w:cs="宋体"/>
                <w:szCs w:val="21"/>
              </w:rPr>
              <w:t>模式产品：依托行业基础数据支撑平台从内网FTP服务器推送各类模式产品（智能网格、ECMWF、广西对流尺度产品等）至铁路气象服务器（DMZ区），按照各模式产品的格式规范进行解析并形成统一格式分类存储，制定合理的逻辑转换规则将格点化数据反演成路段、隐患点或车站的预报预警产品。</w:t>
            </w:r>
          </w:p>
          <w:p>
            <w:pPr>
              <w:spacing w:line="360" w:lineRule="auto"/>
              <w:ind w:firstLine="420" w:firstLineChars="200"/>
              <w:rPr>
                <w:rFonts w:ascii="宋体" w:hAnsi="宋体" w:cs="宋体"/>
                <w:szCs w:val="21"/>
              </w:rPr>
            </w:pPr>
            <w:r>
              <w:rPr>
                <w:rFonts w:hint="eastAsia" w:ascii="宋体" w:hAnsi="宋体" w:cs="宋体"/>
                <w:szCs w:val="21"/>
              </w:rPr>
              <w:t>（3）铁路气象数据监控模块</w:t>
            </w:r>
          </w:p>
          <w:p>
            <w:pPr>
              <w:spacing w:line="360" w:lineRule="auto"/>
              <w:ind w:firstLine="420" w:firstLineChars="200"/>
              <w:rPr>
                <w:rFonts w:ascii="宋体" w:hAnsi="宋体" w:cs="宋体"/>
                <w:szCs w:val="21"/>
              </w:rPr>
            </w:pPr>
            <w:r>
              <w:rPr>
                <w:rFonts w:hint="eastAsia" w:ascii="宋体" w:hAnsi="宋体" w:cs="宋体"/>
                <w:szCs w:val="21"/>
              </w:rPr>
              <w:t>根据铁路气象服务业务平台的数据应用规范，开发铁路气象数据存储监控功能，对数据的采集和处理进行实时监视，若发现异常则进行及时的报警并提示操作人员进行干预；提供监控系统日志的浏览功能，方便管理员解决故障和追溯原因；并提供日志的查询和统计功能。</w:t>
            </w:r>
          </w:p>
          <w:p>
            <w:pPr>
              <w:spacing w:line="360" w:lineRule="auto"/>
              <w:ind w:firstLine="420" w:firstLineChars="200"/>
              <w:rPr>
                <w:rFonts w:ascii="宋体" w:hAnsi="宋体" w:cs="宋体"/>
                <w:szCs w:val="21"/>
              </w:rPr>
            </w:pPr>
            <w:r>
              <w:rPr>
                <w:rFonts w:hint="eastAsia" w:ascii="宋体" w:hAnsi="宋体" w:cs="宋体"/>
                <w:szCs w:val="21"/>
              </w:rPr>
              <w:t>（4）研发铁路气象数据共享应用模块</w:t>
            </w:r>
          </w:p>
          <w:p>
            <w:pPr>
              <w:spacing w:line="360" w:lineRule="auto"/>
              <w:ind w:firstLine="420" w:firstLineChars="200"/>
              <w:rPr>
                <w:rFonts w:ascii="宋体" w:hAnsi="宋体" w:cs="宋体"/>
                <w:szCs w:val="21"/>
              </w:rPr>
            </w:pPr>
            <w:r>
              <w:rPr>
                <w:rFonts w:hint="eastAsia" w:ascii="宋体" w:hAnsi="宋体" w:cs="宋体"/>
                <w:szCs w:val="21"/>
              </w:rPr>
              <w:t>根据铁路智能化综合服务平台的业务需求，设计开发铁路气象数据服务应用模块，实现行业数据和气象数据的实时同步展示和融合应用，开发专业化模型所需的上游模式产品应用接口，为模型和产品的研发提供数据支撑环境。</w:t>
            </w:r>
          </w:p>
          <w:p>
            <w:pPr>
              <w:spacing w:line="360" w:lineRule="auto"/>
              <w:ind w:firstLine="420" w:firstLineChars="200"/>
              <w:rPr>
                <w:rFonts w:ascii="宋体" w:hAnsi="宋体" w:cs="宋体"/>
                <w:szCs w:val="21"/>
              </w:rPr>
            </w:pPr>
            <w:r>
              <w:rPr>
                <w:rFonts w:hint="eastAsia" w:ascii="宋体" w:hAnsi="宋体" w:cs="宋体"/>
                <w:szCs w:val="21"/>
              </w:rPr>
              <w:t>（5）数据处理业务流程</w:t>
            </w:r>
          </w:p>
          <w:p>
            <w:pPr>
              <w:spacing w:line="360" w:lineRule="auto"/>
              <w:ind w:firstLine="420" w:firstLineChars="200"/>
              <w:rPr>
                <w:rFonts w:ascii="宋体" w:hAnsi="宋体" w:cs="宋体"/>
                <w:szCs w:val="21"/>
              </w:rPr>
            </w:pPr>
            <w:r>
              <w:rPr>
                <w:rFonts w:hint="eastAsia" w:ascii="宋体" w:hAnsi="宋体" w:cs="宋体"/>
                <w:szCs w:val="21"/>
              </w:rPr>
              <w:t>数据共享子平台根据系统所需数据，支持进行数据收集、解码，实现数据的解码入库。</w:t>
            </w:r>
          </w:p>
          <w:p>
            <w:pPr>
              <w:spacing w:line="360" w:lineRule="auto"/>
              <w:ind w:firstLine="420" w:firstLineChars="200"/>
              <w:rPr>
                <w:rFonts w:ascii="宋体" w:hAnsi="宋体" w:cs="宋体"/>
                <w:szCs w:val="21"/>
              </w:rPr>
            </w:pPr>
            <w:bookmarkStart w:id="65" w:name="_Toc4016"/>
            <w:r>
              <w:rPr>
                <w:rFonts w:hint="eastAsia" w:ascii="宋体" w:hAnsi="宋体" w:cs="宋体"/>
                <w:szCs w:val="21"/>
              </w:rPr>
              <w:t>2.2铁路专业气象服务产品应用子平台建设</w:t>
            </w:r>
            <w:bookmarkEnd w:id="65"/>
          </w:p>
          <w:p>
            <w:pPr>
              <w:spacing w:line="360" w:lineRule="auto"/>
              <w:ind w:firstLine="420" w:firstLineChars="200"/>
              <w:rPr>
                <w:rFonts w:ascii="宋体" w:hAnsi="宋体" w:cs="宋体"/>
                <w:szCs w:val="21"/>
              </w:rPr>
            </w:pPr>
            <w:r>
              <w:rPr>
                <w:rFonts w:hint="eastAsia" w:ascii="宋体" w:hAnsi="宋体" w:cs="宋体"/>
                <w:szCs w:val="21"/>
              </w:rPr>
              <w:t>（1）轨温产品应用模块</w:t>
            </w:r>
          </w:p>
          <w:p>
            <w:pPr>
              <w:spacing w:line="360" w:lineRule="auto"/>
              <w:ind w:firstLine="420" w:firstLineChars="200"/>
              <w:rPr>
                <w:rFonts w:ascii="宋体" w:hAnsi="宋体" w:cs="宋体"/>
                <w:szCs w:val="21"/>
              </w:rPr>
            </w:pPr>
            <w:r>
              <w:rPr>
                <w:rFonts w:hint="eastAsia" w:ascii="宋体" w:hAnsi="宋体" w:cs="宋体"/>
                <w:szCs w:val="21"/>
              </w:rPr>
              <w:t>开发轨温预报模型的工程化应用产品，此模型是基于广西气象观测实况和智能网格预报产品，结合铁路部门轨温观测数据，采取能量守恒方法，用地表热量平衡方程，在太阳短波辐射、大气和地面长波辐射、感热和潜热等参数化方案的基础上实现适合不同天气下的轨道温度短期预报的数值模型。</w:t>
            </w:r>
          </w:p>
          <w:p>
            <w:pPr>
              <w:spacing w:line="360" w:lineRule="auto"/>
              <w:ind w:firstLine="420" w:firstLineChars="200"/>
              <w:rPr>
                <w:rFonts w:ascii="宋体" w:hAnsi="宋体" w:cs="宋体"/>
                <w:szCs w:val="21"/>
              </w:rPr>
            </w:pPr>
            <w:r>
              <w:rPr>
                <w:rFonts w:hint="eastAsia" w:ascii="宋体" w:hAnsi="宋体" w:cs="宋体"/>
                <w:szCs w:val="21"/>
                <w:lang w:val="zh-CN"/>
              </w:rPr>
              <w:t>此功能模块开发实现面向气象与铁路实况自动站、数值模式和广西高程数据(DEM)的数据应用接口，</w:t>
            </w:r>
            <w:r>
              <w:rPr>
                <w:rFonts w:hint="eastAsia" w:ascii="宋体" w:hAnsi="宋体" w:cs="宋体"/>
                <w:szCs w:val="21"/>
              </w:rPr>
              <w:t>对轨温的高温和低温两类模型进行数值计算，</w:t>
            </w:r>
            <w:r>
              <w:rPr>
                <w:rFonts w:hint="eastAsia" w:ascii="宋体" w:hAnsi="宋体" w:cs="宋体"/>
                <w:szCs w:val="21"/>
                <w:lang w:val="zh-CN"/>
              </w:rPr>
              <w:t>实现对以建立轨温预报模型的业务化开发，</w:t>
            </w:r>
            <w:r>
              <w:rPr>
                <w:rFonts w:hint="eastAsia" w:ascii="宋体" w:hAnsi="宋体" w:cs="宋体"/>
                <w:szCs w:val="21"/>
              </w:rPr>
              <w:t>设计模型定时自动化运行方式，</w:t>
            </w:r>
            <w:r>
              <w:rPr>
                <w:rFonts w:hint="eastAsia" w:ascii="宋体" w:hAnsi="宋体" w:cs="宋体"/>
                <w:szCs w:val="21"/>
                <w:lang w:val="zh-CN"/>
              </w:rPr>
              <w:t>保证模型所需相关气象和行业数据的输入，以及相关预报结果的输出</w:t>
            </w:r>
            <w:r>
              <w:rPr>
                <w:rFonts w:hint="eastAsia" w:ascii="宋体" w:hAnsi="宋体" w:cs="宋体"/>
                <w:szCs w:val="21"/>
              </w:rPr>
              <w:t>,</w:t>
            </w:r>
            <w:r>
              <w:rPr>
                <w:rFonts w:hint="eastAsia" w:ascii="宋体" w:hAnsi="宋体" w:cs="宋体"/>
                <w:szCs w:val="21"/>
                <w:lang w:val="zh-CN"/>
              </w:rPr>
              <w:t>形成规范的轨温产品数据集。同时，具备预报结果检验评估的能力，实现对相关预报结果和轨温实测结果的同步输出和相关性分析。</w:t>
            </w:r>
            <w:r>
              <w:rPr>
                <w:rFonts w:hint="eastAsia" w:ascii="宋体" w:hAnsi="宋体" w:cs="宋体"/>
                <w:szCs w:val="21"/>
              </w:rPr>
              <w:t>设计轨温的高温阈值和低温阈值，在业务平台上及时发布告警信息。</w:t>
            </w:r>
          </w:p>
          <w:p>
            <w:pPr>
              <w:spacing w:line="360" w:lineRule="auto"/>
              <w:ind w:firstLine="420" w:firstLineChars="200"/>
              <w:rPr>
                <w:rFonts w:ascii="宋体" w:hAnsi="宋体" w:cs="宋体"/>
                <w:szCs w:val="21"/>
              </w:rPr>
            </w:pPr>
            <w:r>
              <w:rPr>
                <w:rFonts w:hint="eastAsia" w:ascii="宋体" w:hAnsi="宋体" w:cs="宋体"/>
                <w:szCs w:val="21"/>
              </w:rPr>
              <w:t>（2）铁路山洪淹没产品应用模块</w:t>
            </w:r>
          </w:p>
          <w:p>
            <w:pPr>
              <w:spacing w:line="360" w:lineRule="auto"/>
              <w:ind w:firstLine="420" w:firstLineChars="200"/>
              <w:rPr>
                <w:rFonts w:ascii="宋体" w:hAnsi="宋体" w:cs="宋体"/>
                <w:szCs w:val="21"/>
              </w:rPr>
            </w:pPr>
            <w:r>
              <w:rPr>
                <w:rFonts w:hint="eastAsia" w:ascii="宋体" w:hAnsi="宋体" w:cs="宋体"/>
                <w:szCs w:val="21"/>
              </w:rPr>
              <w:t>引进洪涝淹没模型并进行本地化应用，根据产流量、水位值与淹没水深数据进行匹配，提取合适的淹水区域和水深值。具体的匹配原则需要根据广西铁路洪涝致灾特点、广西洪涝灾害特点及资料收集的完备性的基础上制定。开发模型的前后端数据计算和应用接口，提供未来24～72h的逐日山洪淹没预报产品。</w:t>
            </w:r>
          </w:p>
          <w:p>
            <w:pPr>
              <w:spacing w:line="360" w:lineRule="auto"/>
              <w:ind w:firstLine="420" w:firstLineChars="200"/>
              <w:rPr>
                <w:rFonts w:ascii="宋体" w:hAnsi="宋体" w:cs="宋体"/>
                <w:szCs w:val="21"/>
              </w:rPr>
            </w:pPr>
            <w:r>
              <w:rPr>
                <w:rFonts w:hint="eastAsia" w:ascii="宋体" w:hAnsi="宋体" w:cs="宋体"/>
                <w:szCs w:val="21"/>
              </w:rPr>
              <w:t>（3）专业产品查询模块</w:t>
            </w:r>
          </w:p>
          <w:p>
            <w:pPr>
              <w:spacing w:line="360" w:lineRule="auto"/>
              <w:ind w:firstLine="420" w:firstLineChars="200"/>
              <w:rPr>
                <w:rFonts w:ascii="宋体" w:hAnsi="宋体" w:cs="宋体"/>
                <w:szCs w:val="21"/>
              </w:rPr>
            </w:pPr>
            <w:r>
              <w:rPr>
                <w:rFonts w:hint="eastAsia" w:ascii="宋体" w:hAnsi="宋体" w:cs="宋体"/>
                <w:szCs w:val="21"/>
              </w:rPr>
              <w:t>为了实现对专业化产品（轨温、山洪）的应用效果评估，开发历史专业产品查询模块，根据日期和预报时效实现对灾害性天气过程的个例查询，并提供对于各路段或隐患点极值的统计报表功能。</w:t>
            </w:r>
          </w:p>
          <w:p>
            <w:pPr>
              <w:spacing w:line="360" w:lineRule="auto"/>
              <w:ind w:firstLine="420" w:firstLineChars="200"/>
              <w:rPr>
                <w:rFonts w:ascii="宋体" w:hAnsi="宋体" w:cs="宋体"/>
                <w:szCs w:val="21"/>
              </w:rPr>
            </w:pPr>
            <w:r>
              <w:rPr>
                <w:rFonts w:hint="eastAsia" w:ascii="宋体" w:hAnsi="宋体" w:cs="宋体"/>
                <w:szCs w:val="21"/>
              </w:rPr>
              <w:t>（4）专业产品管理模块</w:t>
            </w:r>
          </w:p>
          <w:p>
            <w:pPr>
              <w:spacing w:line="360" w:lineRule="auto"/>
              <w:ind w:firstLine="420" w:firstLineChars="200"/>
              <w:rPr>
                <w:rFonts w:ascii="宋体" w:hAnsi="宋体" w:cs="宋体"/>
                <w:szCs w:val="21"/>
              </w:rPr>
            </w:pPr>
            <w:r>
              <w:rPr>
                <w:rFonts w:hint="eastAsia" w:ascii="宋体" w:hAnsi="宋体" w:cs="宋体"/>
                <w:szCs w:val="21"/>
              </w:rPr>
              <w:t>根据专业化产品（轨温、山洪）所需的各项参数开发参数管理功能，支持对专业化模型的相关气象要素指标阈值和因子占比权重等值进行手动修订，可根据用户经验或灾害性天气过程总结评估形成分区域、分路段的独立参数，以逐步提升预报预警服务产品效果。</w:t>
            </w:r>
          </w:p>
          <w:p>
            <w:pPr>
              <w:spacing w:line="360" w:lineRule="auto"/>
              <w:ind w:firstLine="420" w:firstLineChars="200"/>
              <w:rPr>
                <w:rFonts w:ascii="宋体" w:hAnsi="宋体" w:cs="宋体"/>
                <w:szCs w:val="21"/>
              </w:rPr>
            </w:pPr>
            <w:r>
              <w:rPr>
                <w:rFonts w:hint="eastAsia" w:ascii="宋体" w:hAnsi="宋体" w:cs="宋体"/>
                <w:szCs w:val="21"/>
              </w:rPr>
              <w:t>2.3建设铁路智能化综合服务子平台</w:t>
            </w:r>
          </w:p>
          <w:p>
            <w:pPr>
              <w:spacing w:line="360" w:lineRule="auto"/>
              <w:ind w:firstLine="420" w:firstLineChars="200"/>
              <w:rPr>
                <w:rFonts w:ascii="宋体" w:hAnsi="宋体" w:cs="宋体"/>
                <w:szCs w:val="21"/>
              </w:rPr>
            </w:pPr>
            <w:r>
              <w:rPr>
                <w:rFonts w:hint="eastAsia" w:ascii="宋体" w:hAnsi="宋体" w:cs="宋体"/>
                <w:szCs w:val="21"/>
              </w:rPr>
              <w:t>（1）GIS基础数据与地图服务模块</w:t>
            </w:r>
          </w:p>
          <w:p>
            <w:pPr>
              <w:spacing w:line="360" w:lineRule="auto"/>
              <w:ind w:firstLine="420" w:firstLineChars="200"/>
              <w:rPr>
                <w:rFonts w:ascii="宋体" w:hAnsi="宋体" w:cs="宋体"/>
                <w:szCs w:val="21"/>
              </w:rPr>
            </w:pPr>
            <w:r>
              <w:rPr>
                <w:rFonts w:hint="eastAsia" w:ascii="宋体" w:hAnsi="宋体" w:cs="宋体"/>
                <w:szCs w:val="21"/>
              </w:rPr>
              <w:t>建设GIS地图服务器，提供天地图的在线和离线地图服务，地图类型有遥感地形图、行政区图、交通图等，实现地图的导航、缩放和漫游等功能，提供经纬度定位显示，地图必须含有规范的审图号。</w:t>
            </w:r>
          </w:p>
          <w:p>
            <w:pPr>
              <w:spacing w:line="360" w:lineRule="auto"/>
              <w:ind w:firstLine="420" w:firstLineChars="200"/>
              <w:rPr>
                <w:rFonts w:ascii="宋体" w:hAnsi="宋体" w:cs="宋体"/>
                <w:szCs w:val="21"/>
              </w:rPr>
            </w:pPr>
            <w:r>
              <w:rPr>
                <w:rFonts w:hint="eastAsia" w:ascii="宋体" w:hAnsi="宋体" w:cs="宋体"/>
                <w:szCs w:val="21"/>
              </w:rPr>
              <w:t>（2）服务产品展示模块</w:t>
            </w:r>
          </w:p>
          <w:p>
            <w:pPr>
              <w:spacing w:line="360" w:lineRule="auto"/>
              <w:ind w:firstLine="420" w:firstLineChars="200"/>
              <w:rPr>
                <w:rFonts w:ascii="宋体" w:hAnsi="宋体" w:cs="宋体"/>
                <w:szCs w:val="21"/>
              </w:rPr>
            </w:pPr>
            <w:r>
              <w:rPr>
                <w:rFonts w:hint="eastAsia" w:ascii="宋体" w:hAnsi="宋体" w:cs="宋体"/>
                <w:szCs w:val="21"/>
              </w:rPr>
              <w:t>根据系统用户登录信息，判断其所属的行政区划和功能权限，基于行政区划地图，叠加铁路路网地理信息图层，同时在路网路段覆盖显示实况或预报的降水、风速、气温或轨温、能见度气象预警图，以及全区卫星、雷达回波拼图。地图同时叠加显示路网周边的组网气象站、隐患点标识，可查看某气象站的实况与预报信息。</w:t>
            </w:r>
          </w:p>
          <w:p>
            <w:pPr>
              <w:spacing w:line="360" w:lineRule="auto"/>
              <w:ind w:firstLine="420" w:firstLineChars="200"/>
              <w:rPr>
                <w:rFonts w:ascii="宋体" w:hAnsi="宋体" w:cs="宋体"/>
                <w:szCs w:val="21"/>
              </w:rPr>
            </w:pPr>
            <w:r>
              <w:rPr>
                <w:rFonts w:hint="eastAsia" w:ascii="宋体" w:hAnsi="宋体" w:cs="宋体"/>
                <w:szCs w:val="21"/>
              </w:rPr>
              <w:t>（3）预报预警产品订正模块</w:t>
            </w:r>
          </w:p>
          <w:p>
            <w:pPr>
              <w:spacing w:line="360" w:lineRule="auto"/>
              <w:ind w:firstLine="420" w:firstLineChars="200"/>
              <w:rPr>
                <w:rFonts w:ascii="宋体" w:hAnsi="宋体" w:cs="宋体"/>
                <w:szCs w:val="21"/>
              </w:rPr>
            </w:pPr>
            <w:r>
              <w:rPr>
                <w:rFonts w:hint="eastAsia" w:ascii="宋体" w:hAnsi="宋体" w:cs="宋体"/>
                <w:szCs w:val="21"/>
              </w:rPr>
              <w:t>此模块主要是面向预报服务人员提供产品编辑订正功能，平台自动提供预报预警数据在地图和铁路路段的叠加展示界面，预报人员可采用鼠标点击、划线、划区的方式，调取某个区域的路段或隐患点预报数据，进行二次编辑，提交入库存储形成最终服务产品。</w:t>
            </w:r>
          </w:p>
          <w:p>
            <w:pPr>
              <w:spacing w:line="360" w:lineRule="auto"/>
              <w:ind w:firstLine="420" w:firstLineChars="200"/>
              <w:rPr>
                <w:rFonts w:ascii="宋体" w:hAnsi="宋体" w:cs="宋体"/>
                <w:szCs w:val="21"/>
              </w:rPr>
            </w:pPr>
            <w:r>
              <w:rPr>
                <w:rFonts w:hint="eastAsia" w:ascii="宋体" w:hAnsi="宋体" w:cs="宋体"/>
                <w:szCs w:val="21"/>
              </w:rPr>
              <w:t>（4）专项服务产品制作模块</w:t>
            </w:r>
          </w:p>
          <w:p>
            <w:pPr>
              <w:spacing w:line="360" w:lineRule="auto"/>
              <w:ind w:firstLine="420" w:firstLineChars="200"/>
              <w:rPr>
                <w:rFonts w:ascii="宋体" w:hAnsi="宋体" w:cs="宋体"/>
                <w:szCs w:val="21"/>
              </w:rPr>
            </w:pPr>
            <w:r>
              <w:rPr>
                <w:rFonts w:hint="eastAsia" w:ascii="宋体" w:hAnsi="宋体" w:cs="宋体"/>
                <w:szCs w:val="21"/>
              </w:rPr>
              <w:t>采用智能化预生成技术与人工干预订正的方法，快速实现服务产品的加工制作与分发，即系统自动采集所需数据和产品，经挑选、分析、整理后，根据设定好的模板自动生成初步服务产品，预报业务人员经过分析研判对初步服务产品进行简单修订即可完成产品制作并分发至服务对象。重点是利用智能网格数据产品，经过数据解码将网格数据拟合至路段生成相应服务产品，另外，图文编辑系统可利用TinyMCE富文本编辑器控件，该控件功能强大，易于扩展，界面简洁，运行流畅，将采集的数据和图表写入控件合成专业服务产品，最终生成科技含量高、适应铁路用户需求的文字、表格、图形等综合性服务材料，</w:t>
            </w:r>
            <w:r>
              <w:rPr>
                <w:rFonts w:hint="eastAsia" w:ascii="宋体" w:hAnsi="宋体" w:cs="宋体"/>
                <w:color w:val="000000"/>
                <w:szCs w:val="21"/>
              </w:rPr>
              <w:t>开发各类铁路专项预报制作产品的发布、查询和管理功能。</w:t>
            </w:r>
          </w:p>
          <w:p>
            <w:pPr>
              <w:spacing w:line="360" w:lineRule="auto"/>
              <w:ind w:firstLine="420" w:firstLineChars="200"/>
              <w:rPr>
                <w:rFonts w:ascii="宋体" w:hAnsi="宋体" w:cs="宋体"/>
                <w:szCs w:val="21"/>
              </w:rPr>
            </w:pPr>
            <w:r>
              <w:rPr>
                <w:rFonts w:hint="eastAsia" w:ascii="宋体" w:hAnsi="宋体" w:cs="宋体"/>
                <w:szCs w:val="21"/>
              </w:rPr>
              <w:t>（5）用户管理模块</w:t>
            </w:r>
          </w:p>
          <w:p>
            <w:pPr>
              <w:spacing w:line="360" w:lineRule="auto"/>
              <w:ind w:firstLine="420" w:firstLineChars="200"/>
              <w:rPr>
                <w:rFonts w:ascii="宋体" w:hAnsi="宋体" w:cs="宋体"/>
                <w:szCs w:val="21"/>
              </w:rPr>
            </w:pPr>
            <w:r>
              <w:rPr>
                <w:rFonts w:hint="eastAsia" w:ascii="宋体" w:hAnsi="宋体" w:cs="宋体"/>
                <w:szCs w:val="21"/>
              </w:rPr>
              <w:t>（a）用户信息管理</w:t>
            </w:r>
          </w:p>
          <w:p>
            <w:pPr>
              <w:spacing w:line="360" w:lineRule="auto"/>
              <w:ind w:firstLine="420" w:firstLineChars="200"/>
              <w:rPr>
                <w:rFonts w:ascii="宋体" w:hAnsi="宋体" w:cs="宋体"/>
                <w:szCs w:val="21"/>
              </w:rPr>
            </w:pPr>
            <w:r>
              <w:rPr>
                <w:rFonts w:hint="eastAsia" w:ascii="宋体" w:hAnsi="宋体" w:cs="宋体"/>
                <w:szCs w:val="21"/>
              </w:rPr>
              <w:t>系统管理员可对系统各级用户信息进行增、删、改、查，用户信息主要包含用户名、所属单位/部门、联系方式、用户角色等；</w:t>
            </w:r>
          </w:p>
          <w:p>
            <w:pPr>
              <w:spacing w:line="360" w:lineRule="auto"/>
              <w:ind w:firstLine="420" w:firstLineChars="200"/>
              <w:rPr>
                <w:rFonts w:ascii="宋体" w:hAnsi="宋体" w:cs="宋体"/>
                <w:szCs w:val="21"/>
              </w:rPr>
            </w:pPr>
            <w:r>
              <w:rPr>
                <w:rFonts w:hint="eastAsia" w:ascii="宋体" w:hAnsi="宋体" w:cs="宋体"/>
                <w:szCs w:val="21"/>
              </w:rPr>
              <w:t>（b）用户权限管理</w:t>
            </w:r>
          </w:p>
          <w:p>
            <w:pPr>
              <w:spacing w:line="360" w:lineRule="auto"/>
              <w:ind w:firstLine="420" w:firstLineChars="200"/>
              <w:rPr>
                <w:rFonts w:ascii="宋体" w:hAnsi="宋体" w:cs="宋体"/>
                <w:szCs w:val="21"/>
              </w:rPr>
            </w:pPr>
            <w:r>
              <w:rPr>
                <w:rFonts w:hint="eastAsia" w:ascii="宋体" w:hAnsi="宋体" w:cs="宋体"/>
                <w:szCs w:val="21"/>
              </w:rPr>
              <w:t>针对不同用户角色，管理员可向其分配相应权限，例如铁路部门用户可查看气象服务综合展示中的多源气象要素融合分析展示和铁路专业产品分析展示；气象部门业务人员可在上述基础上编辑制作铁路气象产品；系统管理员则具备最高管理权限，可查看、编辑制作的同时，还可以进行系统后台管理配置。</w:t>
            </w:r>
          </w:p>
          <w:p>
            <w:pPr>
              <w:spacing w:line="360" w:lineRule="auto"/>
              <w:ind w:firstLine="420" w:firstLineChars="200"/>
              <w:rPr>
                <w:rFonts w:ascii="宋体" w:hAnsi="宋体" w:cs="宋体"/>
                <w:szCs w:val="21"/>
              </w:rPr>
            </w:pPr>
            <w:r>
              <w:rPr>
                <w:rFonts w:hint="eastAsia" w:ascii="宋体" w:hAnsi="宋体" w:cs="宋体"/>
                <w:szCs w:val="21"/>
              </w:rPr>
              <w:t>（c）用户成员管理</w:t>
            </w:r>
          </w:p>
          <w:p>
            <w:pPr>
              <w:spacing w:line="360" w:lineRule="auto"/>
              <w:ind w:firstLine="420" w:firstLineChars="200"/>
              <w:rPr>
                <w:rFonts w:ascii="宋体" w:hAnsi="宋体" w:cs="宋体"/>
                <w:szCs w:val="21"/>
              </w:rPr>
            </w:pPr>
            <w:r>
              <w:rPr>
                <w:rFonts w:hint="eastAsia" w:ascii="宋体" w:hAnsi="宋体" w:cs="宋体"/>
                <w:szCs w:val="21"/>
              </w:rPr>
              <w:t>用户通常是某个气象和铁路单位，单位下的成员是服务的具体接收和使用者。系统用户可对本单位的成员进行增删改查管理，并设置每个成员接收信息的邮件或者短信方式。</w:t>
            </w:r>
          </w:p>
          <w:p>
            <w:pPr>
              <w:spacing w:line="360" w:lineRule="auto"/>
              <w:ind w:firstLine="420" w:firstLineChars="200"/>
              <w:rPr>
                <w:rFonts w:ascii="宋体" w:hAnsi="宋体" w:cs="宋体"/>
                <w:szCs w:val="21"/>
              </w:rPr>
            </w:pPr>
            <w:r>
              <w:rPr>
                <w:rFonts w:hint="eastAsia" w:ascii="宋体" w:hAnsi="宋体" w:cs="宋体"/>
                <w:szCs w:val="21"/>
              </w:rPr>
              <w:t>（d）用户行为监控</w:t>
            </w:r>
          </w:p>
          <w:p>
            <w:pPr>
              <w:spacing w:line="360" w:lineRule="auto"/>
              <w:ind w:firstLine="420" w:firstLineChars="200"/>
              <w:rPr>
                <w:rFonts w:ascii="宋体" w:hAnsi="宋体"/>
                <w:color w:val="000000"/>
              </w:rPr>
            </w:pPr>
            <w:r>
              <w:rPr>
                <w:rFonts w:hint="eastAsia" w:ascii="宋体" w:hAnsi="宋体" w:cs="宋体"/>
                <w:szCs w:val="21"/>
              </w:rPr>
              <w:t>为保障系统使用安全，系统还对访客行为进行跟踪、留痕，记录系统用户的来访地址、登录登出时间、浏览器系统、访问的主要功能、编辑干预的数据等行为。高级别权限的用户可查询、调取低级别用户的系统访问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4" w:hRule="atLeast"/>
          <w:jc w:val="center"/>
        </w:trPr>
        <w:tc>
          <w:tcPr>
            <w:tcW w:w="9154" w:type="dxa"/>
            <w:gridSpan w:val="4"/>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400" w:lineRule="exact"/>
              <w:jc w:val="left"/>
              <w:rPr>
                <w:b/>
                <w:bCs/>
                <w:sz w:val="28"/>
                <w:szCs w:val="28"/>
              </w:rPr>
            </w:pPr>
            <w:r>
              <w:rPr>
                <w:rFonts w:hint="eastAsia"/>
                <w:b/>
                <w:bCs/>
                <w:sz w:val="28"/>
                <w:szCs w:val="28"/>
              </w:rPr>
              <w:t>商务条款：</w:t>
            </w:r>
          </w:p>
          <w:p>
            <w:pPr>
              <w:spacing w:line="380" w:lineRule="exact"/>
              <w:jc w:val="left"/>
              <w:textAlignment w:val="center"/>
            </w:pPr>
            <w:r>
              <w:rPr>
                <w:rFonts w:hint="eastAsia"/>
              </w:rPr>
              <w:t>1.提交服务成果时间：2022 年12月</w:t>
            </w:r>
            <w:r>
              <w:rPr>
                <w:rFonts w:hint="eastAsia"/>
                <w:lang w:val="en-US" w:eastAsia="zh-CN"/>
              </w:rPr>
              <w:t>3</w:t>
            </w:r>
            <w:r>
              <w:rPr>
                <w:rFonts w:hint="eastAsia"/>
              </w:rPr>
              <w:t>0日前。</w:t>
            </w:r>
          </w:p>
          <w:p>
            <w:pPr>
              <w:spacing w:line="380" w:lineRule="exact"/>
              <w:jc w:val="left"/>
              <w:textAlignment w:val="center"/>
            </w:pPr>
            <w:r>
              <w:rPr>
                <w:rFonts w:hint="eastAsia"/>
              </w:rPr>
              <w:t>2.建设周期：自签订合同之日起180个日历</w:t>
            </w:r>
            <w:r>
              <w:rPr>
                <w:rFonts w:hint="eastAsia"/>
                <w:lang w:eastAsia="zh-CN"/>
              </w:rPr>
              <w:t>日</w:t>
            </w:r>
            <w:r>
              <w:rPr>
                <w:rFonts w:hint="eastAsia"/>
              </w:rPr>
              <w:t>内完成。</w:t>
            </w:r>
          </w:p>
          <w:p>
            <w:pPr>
              <w:jc w:val="left"/>
            </w:pPr>
            <w:r>
              <w:rPr>
                <w:rFonts w:hint="eastAsia"/>
              </w:rPr>
              <w:t>3.提交服务成果地点：广西区内（采购人指定地点）。</w:t>
            </w:r>
          </w:p>
          <w:p>
            <w:pPr>
              <w:widowControl/>
              <w:spacing w:line="340" w:lineRule="exact"/>
              <w:jc w:val="left"/>
              <w:rPr>
                <w:rFonts w:ascii="宋体" w:hAnsi="宋体" w:cs="宋体"/>
                <w:kern w:val="0"/>
                <w:szCs w:val="22"/>
              </w:rPr>
            </w:pPr>
            <w:r>
              <w:rPr>
                <w:rFonts w:hint="eastAsia" w:ascii="宋体" w:hAnsi="宋体" w:cs="宋体"/>
                <w:kern w:val="0"/>
                <w:szCs w:val="22"/>
              </w:rPr>
              <w:t>4</w:t>
            </w:r>
            <w:r>
              <w:rPr>
                <w:rFonts w:ascii="宋体" w:hAnsi="宋体" w:cs="宋体"/>
                <w:kern w:val="0"/>
                <w:szCs w:val="22"/>
              </w:rPr>
              <w:t>.</w:t>
            </w:r>
            <w:r>
              <w:rPr>
                <w:rFonts w:hint="eastAsia" w:ascii="宋体" w:hAnsi="宋体" w:cs="宋体"/>
                <w:kern w:val="0"/>
                <w:szCs w:val="22"/>
              </w:rPr>
              <w:t>上线验收</w:t>
            </w:r>
          </w:p>
          <w:p>
            <w:pPr>
              <w:widowControl/>
              <w:spacing w:line="340" w:lineRule="exact"/>
              <w:jc w:val="left"/>
              <w:rPr>
                <w:rFonts w:ascii="宋体" w:hAnsi="宋体" w:cs="宋体"/>
                <w:kern w:val="0"/>
                <w:szCs w:val="22"/>
              </w:rPr>
            </w:pPr>
            <w:r>
              <w:rPr>
                <w:rFonts w:ascii="宋体" w:hAnsi="宋体" w:cs="宋体"/>
                <w:kern w:val="0"/>
                <w:szCs w:val="22"/>
              </w:rPr>
              <w:t>(1)</w:t>
            </w:r>
            <w:r>
              <w:rPr>
                <w:rFonts w:hint="eastAsia" w:ascii="宋体" w:hAnsi="宋体" w:cs="宋体"/>
                <w:kern w:val="0"/>
                <w:szCs w:val="22"/>
              </w:rPr>
              <w:t>上线试运行：成交供应商根据采购人的需求在约定的期限内完成系统开发工作，认为可以上线试运行的，以书面方式通知采购人，并提供系统相关测试报告，采购人在接到通知的5个工作日内安排接受上线试运行。</w:t>
            </w:r>
          </w:p>
          <w:p>
            <w:pPr>
              <w:widowControl/>
              <w:spacing w:line="340" w:lineRule="exact"/>
              <w:jc w:val="left"/>
              <w:rPr>
                <w:rFonts w:ascii="宋体" w:hAnsi="宋体" w:cs="宋体"/>
                <w:kern w:val="0"/>
                <w:szCs w:val="22"/>
              </w:rPr>
            </w:pPr>
            <w:r>
              <w:rPr>
                <w:rFonts w:ascii="宋体" w:hAnsi="宋体" w:cs="宋体"/>
                <w:kern w:val="0"/>
                <w:szCs w:val="22"/>
              </w:rPr>
              <w:t>(2)</w:t>
            </w:r>
            <w:r>
              <w:rPr>
                <w:rFonts w:hint="eastAsia" w:ascii="宋体" w:hAnsi="宋体" w:cs="宋体"/>
                <w:kern w:val="0"/>
                <w:szCs w:val="22"/>
              </w:rPr>
              <w:t>正式上线：系统上线试运行期为15天。在试运行期间，系统运行不能到达预期指标，成交供应商应及时解决问题，同时延长试运行期限，直至系统试运行通过。试运行结束后，中标方向采购人提交试运行转正式上线申请书面申请，采购人需在收到申请后3个工作日内给予答复。</w:t>
            </w:r>
          </w:p>
          <w:p>
            <w:pPr>
              <w:widowControl/>
              <w:spacing w:line="340" w:lineRule="exact"/>
              <w:jc w:val="left"/>
              <w:rPr>
                <w:rFonts w:ascii="宋体" w:hAnsi="宋体" w:cs="宋体"/>
                <w:kern w:val="0"/>
                <w:szCs w:val="22"/>
              </w:rPr>
            </w:pPr>
            <w:r>
              <w:rPr>
                <w:rFonts w:ascii="宋体" w:hAnsi="宋体" w:cs="宋体"/>
                <w:kern w:val="0"/>
                <w:szCs w:val="22"/>
              </w:rPr>
              <w:fldChar w:fldCharType="begin"/>
            </w:r>
            <w:r>
              <w:rPr>
                <w:rFonts w:hint="eastAsia" w:ascii="宋体" w:hAnsi="宋体" w:cs="宋体"/>
                <w:kern w:val="0"/>
                <w:szCs w:val="22"/>
              </w:rPr>
              <w:instrText xml:space="preserve">eq \o\ac(</w:instrText>
            </w:r>
            <w:r>
              <w:rPr>
                <w:rFonts w:hint="eastAsia" w:ascii="宋体" w:hAnsi="宋体" w:cs="宋体"/>
                <w:kern w:val="0"/>
                <w:position w:val="-4"/>
                <w:sz w:val="31"/>
                <w:szCs w:val="22"/>
              </w:rPr>
              <w:instrText xml:space="preserve">○</w:instrText>
            </w:r>
            <w:r>
              <w:rPr>
                <w:rFonts w:hint="eastAsia" w:ascii="宋体" w:hAnsi="宋体" w:cs="宋体"/>
                <w:kern w:val="0"/>
                <w:szCs w:val="22"/>
              </w:rPr>
              <w:instrText xml:space="preserve">,1)</w:instrText>
            </w:r>
            <w:r>
              <w:rPr>
                <w:rFonts w:ascii="宋体" w:hAnsi="宋体" w:cs="宋体"/>
                <w:kern w:val="0"/>
                <w:szCs w:val="22"/>
              </w:rPr>
              <w:fldChar w:fldCharType="end"/>
            </w:r>
            <w:r>
              <w:rPr>
                <w:rFonts w:hint="eastAsia" w:ascii="宋体" w:hAnsi="宋体" w:cs="宋体"/>
                <w:kern w:val="0"/>
                <w:szCs w:val="22"/>
              </w:rPr>
              <w:t>上线应按本项目约定的时间进行，如因采购人的原因而导致不能按时上线，成交供应商将按延期时间顺延上线时间。</w:t>
            </w:r>
          </w:p>
          <w:p>
            <w:pPr>
              <w:widowControl/>
              <w:spacing w:line="340" w:lineRule="exact"/>
              <w:jc w:val="left"/>
              <w:rPr>
                <w:rFonts w:ascii="宋体" w:hAnsi="宋体" w:cs="宋体"/>
                <w:kern w:val="0"/>
                <w:szCs w:val="22"/>
              </w:rPr>
            </w:pPr>
            <w:r>
              <w:rPr>
                <w:rFonts w:ascii="宋体" w:hAnsi="宋体" w:cs="宋体"/>
                <w:kern w:val="0"/>
                <w:szCs w:val="22"/>
              </w:rPr>
              <w:fldChar w:fldCharType="begin"/>
            </w:r>
            <w:r>
              <w:rPr>
                <w:rFonts w:hint="eastAsia" w:ascii="宋体" w:hAnsi="宋体" w:cs="宋体"/>
                <w:kern w:val="0"/>
                <w:szCs w:val="22"/>
              </w:rPr>
              <w:instrText xml:space="preserve">eq \o\ac(</w:instrText>
            </w:r>
            <w:r>
              <w:rPr>
                <w:rFonts w:hint="eastAsia" w:ascii="宋体" w:hAnsi="宋体" w:cs="宋体"/>
                <w:kern w:val="0"/>
                <w:position w:val="-4"/>
                <w:sz w:val="31"/>
                <w:szCs w:val="22"/>
              </w:rPr>
              <w:instrText xml:space="preserve">○</w:instrText>
            </w:r>
            <w:r>
              <w:rPr>
                <w:rFonts w:hint="eastAsia" w:ascii="宋体" w:hAnsi="宋体" w:cs="宋体"/>
                <w:kern w:val="0"/>
                <w:szCs w:val="22"/>
              </w:rPr>
              <w:instrText xml:space="preserve">,2)</w:instrText>
            </w:r>
            <w:r>
              <w:rPr>
                <w:rFonts w:ascii="宋体" w:hAnsi="宋体" w:cs="宋体"/>
                <w:kern w:val="0"/>
                <w:szCs w:val="22"/>
              </w:rPr>
              <w:fldChar w:fldCharType="end"/>
            </w:r>
            <w:r>
              <w:rPr>
                <w:rFonts w:hint="eastAsia" w:ascii="宋体" w:hAnsi="宋体" w:cs="宋体"/>
                <w:kern w:val="0"/>
                <w:szCs w:val="22"/>
              </w:rPr>
              <w:t>如因成交供应商的原因不能及时上线而导致采购人损失，成交供应商需赔偿采购人的实际损失。</w:t>
            </w:r>
          </w:p>
          <w:p>
            <w:pPr>
              <w:widowControl/>
              <w:spacing w:line="340" w:lineRule="exact"/>
              <w:jc w:val="left"/>
              <w:rPr>
                <w:rFonts w:ascii="宋体" w:hAnsi="宋体" w:cs="宋体"/>
                <w:kern w:val="0"/>
                <w:szCs w:val="22"/>
              </w:rPr>
            </w:pPr>
            <w:r>
              <w:rPr>
                <w:rFonts w:ascii="宋体" w:hAnsi="宋体" w:cs="宋体"/>
                <w:kern w:val="0"/>
                <w:szCs w:val="22"/>
              </w:rPr>
              <w:fldChar w:fldCharType="begin"/>
            </w:r>
            <w:r>
              <w:rPr>
                <w:rFonts w:hint="eastAsia" w:ascii="宋体" w:hAnsi="宋体" w:cs="宋体"/>
                <w:kern w:val="0"/>
                <w:szCs w:val="22"/>
              </w:rPr>
              <w:instrText xml:space="preserve">eq \o\ac(</w:instrText>
            </w:r>
            <w:r>
              <w:rPr>
                <w:rFonts w:hint="eastAsia" w:ascii="宋体" w:hAnsi="宋体" w:cs="宋体"/>
                <w:kern w:val="0"/>
                <w:position w:val="-4"/>
                <w:sz w:val="31"/>
                <w:szCs w:val="22"/>
              </w:rPr>
              <w:instrText xml:space="preserve">○</w:instrText>
            </w:r>
            <w:r>
              <w:rPr>
                <w:rFonts w:hint="eastAsia" w:ascii="宋体" w:hAnsi="宋体" w:cs="宋体"/>
                <w:kern w:val="0"/>
                <w:szCs w:val="22"/>
              </w:rPr>
              <w:instrText xml:space="preserve">,3)</w:instrText>
            </w:r>
            <w:r>
              <w:rPr>
                <w:rFonts w:ascii="宋体" w:hAnsi="宋体" w:cs="宋体"/>
                <w:kern w:val="0"/>
                <w:szCs w:val="22"/>
              </w:rPr>
              <w:fldChar w:fldCharType="end"/>
            </w:r>
            <w:r>
              <w:rPr>
                <w:rFonts w:hint="eastAsia" w:ascii="宋体" w:hAnsi="宋体" w:cs="宋体"/>
                <w:kern w:val="0"/>
                <w:szCs w:val="22"/>
              </w:rPr>
              <w:t>如采购人无故不接受上线，则视为已上线并支付款项。</w:t>
            </w:r>
          </w:p>
          <w:p>
            <w:pPr>
              <w:widowControl/>
              <w:spacing w:line="340" w:lineRule="exact"/>
              <w:jc w:val="left"/>
              <w:rPr>
                <w:rFonts w:ascii="宋体" w:hAnsi="宋体" w:cs="宋体"/>
                <w:kern w:val="0"/>
                <w:szCs w:val="22"/>
              </w:rPr>
            </w:pPr>
            <w:r>
              <w:rPr>
                <w:rFonts w:ascii="宋体" w:hAnsi="宋体" w:cs="宋体"/>
                <w:kern w:val="0"/>
                <w:szCs w:val="22"/>
              </w:rPr>
              <w:t>(3)</w:t>
            </w:r>
            <w:r>
              <w:rPr>
                <w:rFonts w:hint="eastAsia" w:ascii="宋体" w:hAnsi="宋体" w:cs="宋体"/>
                <w:kern w:val="0"/>
                <w:szCs w:val="22"/>
              </w:rPr>
              <w:t>验收要求：</w:t>
            </w:r>
          </w:p>
          <w:p>
            <w:pPr>
              <w:widowControl/>
              <w:spacing w:line="340" w:lineRule="exact"/>
              <w:jc w:val="left"/>
              <w:rPr>
                <w:rFonts w:ascii="宋体" w:hAnsi="宋体" w:cs="宋体"/>
                <w:kern w:val="0"/>
                <w:szCs w:val="22"/>
              </w:rPr>
            </w:pPr>
            <w:r>
              <w:rPr>
                <w:rFonts w:ascii="宋体" w:hAnsi="宋体" w:cs="宋体"/>
                <w:kern w:val="0"/>
                <w:szCs w:val="22"/>
              </w:rPr>
              <w:fldChar w:fldCharType="begin"/>
            </w:r>
            <w:r>
              <w:rPr>
                <w:rFonts w:hint="eastAsia" w:ascii="宋体" w:hAnsi="宋体" w:cs="宋体"/>
                <w:kern w:val="0"/>
                <w:szCs w:val="22"/>
              </w:rPr>
              <w:instrText xml:space="preserve">eq \o\ac(</w:instrText>
            </w:r>
            <w:r>
              <w:rPr>
                <w:rFonts w:hint="eastAsia" w:ascii="宋体" w:hAnsi="宋体" w:cs="宋体"/>
                <w:kern w:val="0"/>
                <w:position w:val="-4"/>
                <w:sz w:val="31"/>
                <w:szCs w:val="22"/>
              </w:rPr>
              <w:instrText xml:space="preserve">○</w:instrText>
            </w:r>
            <w:r>
              <w:rPr>
                <w:rFonts w:hint="eastAsia" w:ascii="宋体" w:hAnsi="宋体" w:cs="宋体"/>
                <w:kern w:val="0"/>
                <w:szCs w:val="22"/>
              </w:rPr>
              <w:instrText xml:space="preserve">,1)</w:instrText>
            </w:r>
            <w:r>
              <w:rPr>
                <w:rFonts w:ascii="宋体" w:hAnsi="宋体" w:cs="宋体"/>
                <w:kern w:val="0"/>
                <w:szCs w:val="22"/>
              </w:rPr>
              <w:fldChar w:fldCharType="end"/>
            </w:r>
            <w:r>
              <w:rPr>
                <w:rFonts w:hint="eastAsia" w:ascii="宋体" w:hAnsi="宋体" w:cs="宋体"/>
                <w:kern w:val="0"/>
                <w:szCs w:val="22"/>
              </w:rPr>
              <w:t>系统正式上线运行后，成交供应商以书面方式通知采购人组织验收并提供验收相关材料，采购人在收到通知书的10天内完成合同验收工作。</w:t>
            </w:r>
          </w:p>
          <w:p>
            <w:pPr>
              <w:widowControl/>
              <w:spacing w:line="340" w:lineRule="exact"/>
              <w:jc w:val="left"/>
              <w:rPr>
                <w:rFonts w:ascii="宋体" w:hAnsi="宋体" w:cs="宋体"/>
                <w:kern w:val="0"/>
                <w:szCs w:val="22"/>
              </w:rPr>
            </w:pPr>
            <w:r>
              <w:rPr>
                <w:rFonts w:ascii="宋体" w:hAnsi="宋体" w:cs="宋体"/>
                <w:kern w:val="0"/>
                <w:szCs w:val="22"/>
              </w:rPr>
              <w:fldChar w:fldCharType="begin"/>
            </w:r>
            <w:r>
              <w:rPr>
                <w:rFonts w:hint="eastAsia" w:ascii="宋体" w:hAnsi="宋体" w:cs="宋体"/>
                <w:kern w:val="0"/>
                <w:szCs w:val="22"/>
              </w:rPr>
              <w:instrText xml:space="preserve">eq \o\ac(</w:instrText>
            </w:r>
            <w:r>
              <w:rPr>
                <w:rFonts w:hint="eastAsia" w:ascii="宋体" w:hAnsi="宋体" w:cs="宋体"/>
                <w:kern w:val="0"/>
                <w:position w:val="-4"/>
                <w:sz w:val="31"/>
                <w:szCs w:val="22"/>
              </w:rPr>
              <w:instrText xml:space="preserve">○</w:instrText>
            </w:r>
            <w:r>
              <w:rPr>
                <w:rFonts w:hint="eastAsia" w:ascii="宋体" w:hAnsi="宋体" w:cs="宋体"/>
                <w:kern w:val="0"/>
                <w:szCs w:val="22"/>
              </w:rPr>
              <w:instrText xml:space="preserve">,2)</w:instrText>
            </w:r>
            <w:r>
              <w:rPr>
                <w:rFonts w:ascii="宋体" w:hAnsi="宋体" w:cs="宋体"/>
                <w:kern w:val="0"/>
                <w:szCs w:val="22"/>
              </w:rPr>
              <w:fldChar w:fldCharType="end"/>
            </w:r>
            <w:r>
              <w:rPr>
                <w:rFonts w:hint="eastAsia" w:ascii="宋体" w:hAnsi="宋体" w:cs="宋体"/>
                <w:kern w:val="0"/>
                <w:szCs w:val="22"/>
              </w:rPr>
              <w:t>项目合同验收完成后，成交供应商应根据采购人的业务运行要求进行系统调整和完善，成交供应商以书面方式通知采购人组织业务验收并提供验收相关材料，采购人在收到通知书的10天内完成业务验收工作。</w:t>
            </w:r>
          </w:p>
          <w:p>
            <w:pPr>
              <w:widowControl/>
              <w:spacing w:line="340" w:lineRule="exact"/>
              <w:jc w:val="left"/>
              <w:rPr>
                <w:rFonts w:ascii="宋体" w:hAnsi="宋体" w:cs="宋体"/>
                <w:kern w:val="0"/>
                <w:szCs w:val="22"/>
              </w:rPr>
            </w:pPr>
            <w:r>
              <w:rPr>
                <w:rFonts w:ascii="宋体" w:hAnsi="宋体" w:cs="宋体"/>
                <w:kern w:val="0"/>
                <w:szCs w:val="22"/>
              </w:rPr>
              <w:fldChar w:fldCharType="begin"/>
            </w:r>
            <w:r>
              <w:rPr>
                <w:rFonts w:hint="eastAsia" w:ascii="宋体" w:hAnsi="宋体" w:cs="宋体"/>
                <w:kern w:val="0"/>
                <w:szCs w:val="22"/>
              </w:rPr>
              <w:instrText xml:space="preserve">eq \o\ac(</w:instrText>
            </w:r>
            <w:r>
              <w:rPr>
                <w:rFonts w:hint="eastAsia" w:ascii="宋体" w:hAnsi="宋体" w:cs="宋体"/>
                <w:kern w:val="0"/>
                <w:position w:val="-4"/>
                <w:sz w:val="31"/>
                <w:szCs w:val="22"/>
              </w:rPr>
              <w:instrText xml:space="preserve">○</w:instrText>
            </w:r>
            <w:r>
              <w:rPr>
                <w:rFonts w:hint="eastAsia" w:ascii="宋体" w:hAnsi="宋体" w:cs="宋体"/>
                <w:kern w:val="0"/>
                <w:szCs w:val="22"/>
              </w:rPr>
              <w:instrText xml:space="preserve">,3)</w:instrText>
            </w:r>
            <w:r>
              <w:rPr>
                <w:rFonts w:ascii="宋体" w:hAnsi="宋体" w:cs="宋体"/>
                <w:kern w:val="0"/>
                <w:szCs w:val="22"/>
              </w:rPr>
              <w:fldChar w:fldCharType="end"/>
            </w:r>
            <w:r>
              <w:rPr>
                <w:rFonts w:hint="eastAsia" w:ascii="宋体" w:hAnsi="宋体" w:cs="宋体"/>
                <w:kern w:val="0"/>
                <w:szCs w:val="22"/>
              </w:rPr>
              <w:t>成交供应商提供的验收材料包括：源代码和技术文档资料（系统需求分析说明书、系统总体设计说明书、系统详细设计说明书、数据库设计说明书、安装和操作手册、软件测试报告、系统试运行报告）。所交付的技术文档包括电子版（word格式）和纸质版。</w:t>
            </w:r>
          </w:p>
          <w:p>
            <w:pPr>
              <w:widowControl/>
              <w:spacing w:line="340" w:lineRule="exact"/>
              <w:jc w:val="left"/>
              <w:rPr>
                <w:rFonts w:ascii="宋体" w:hAnsi="宋体" w:cs="宋体"/>
                <w:kern w:val="0"/>
                <w:szCs w:val="22"/>
              </w:rPr>
            </w:pPr>
            <w:r>
              <w:rPr>
                <w:rFonts w:hint="eastAsia" w:ascii="宋体" w:hAnsi="宋体" w:cs="宋体"/>
                <w:kern w:val="0"/>
                <w:szCs w:val="22"/>
              </w:rPr>
              <w:t>5.售后服务要求：</w:t>
            </w:r>
          </w:p>
          <w:p>
            <w:pPr>
              <w:widowControl/>
              <w:spacing w:line="340" w:lineRule="exact"/>
              <w:jc w:val="left"/>
              <w:rPr>
                <w:rFonts w:ascii="宋体" w:hAnsi="宋体" w:cs="宋体"/>
                <w:kern w:val="0"/>
                <w:szCs w:val="22"/>
              </w:rPr>
            </w:pPr>
            <w:r>
              <w:rPr>
                <w:rFonts w:ascii="宋体" w:hAnsi="宋体" w:cs="宋体"/>
                <w:kern w:val="0"/>
                <w:szCs w:val="22"/>
              </w:rPr>
              <w:t>(1)</w:t>
            </w:r>
            <w:r>
              <w:rPr>
                <w:rFonts w:hint="eastAsia" w:ascii="宋体" w:hAnsi="宋体" w:cs="宋体"/>
                <w:kern w:val="0"/>
                <w:szCs w:val="22"/>
              </w:rPr>
              <w:t>本项目总体质保期2年，自项目业务验收合格之日算起。</w:t>
            </w:r>
          </w:p>
          <w:p>
            <w:pPr>
              <w:widowControl/>
              <w:spacing w:line="340" w:lineRule="exact"/>
              <w:jc w:val="left"/>
              <w:rPr>
                <w:rFonts w:ascii="宋体" w:hAnsi="宋体" w:cs="宋体"/>
                <w:kern w:val="0"/>
                <w:szCs w:val="22"/>
              </w:rPr>
            </w:pPr>
            <w:r>
              <w:rPr>
                <w:rFonts w:ascii="宋体" w:hAnsi="宋体" w:cs="宋体"/>
                <w:kern w:val="0"/>
                <w:szCs w:val="22"/>
              </w:rPr>
              <w:t>(2)</w:t>
            </w:r>
            <w:r>
              <w:rPr>
                <w:rFonts w:hint="eastAsia" w:ascii="宋体" w:hAnsi="宋体" w:cs="宋体"/>
                <w:kern w:val="0"/>
                <w:szCs w:val="22"/>
              </w:rPr>
              <w:t>服务质量保证期内，成交供应商应提供7*24小时技术支持服务。</w:t>
            </w:r>
          </w:p>
          <w:p>
            <w:pPr>
              <w:widowControl/>
              <w:spacing w:line="340" w:lineRule="exact"/>
              <w:jc w:val="left"/>
              <w:rPr>
                <w:rFonts w:ascii="宋体" w:hAnsi="宋体" w:cs="宋体"/>
                <w:kern w:val="0"/>
                <w:szCs w:val="22"/>
              </w:rPr>
            </w:pPr>
            <w:r>
              <w:rPr>
                <w:rFonts w:ascii="宋体" w:hAnsi="宋体" w:cs="宋体"/>
                <w:kern w:val="0"/>
                <w:szCs w:val="22"/>
              </w:rPr>
              <w:t>(3)</w:t>
            </w:r>
            <w:r>
              <w:rPr>
                <w:rFonts w:hint="eastAsia" w:ascii="宋体" w:hAnsi="宋体" w:cs="宋体"/>
                <w:kern w:val="0"/>
                <w:szCs w:val="22"/>
              </w:rPr>
              <w:t>处理问题响应时间：接到采购人处理问题通知后半小时内响应，1小时内需定位问题并给出合理的解决方案，承诺做到对于重大问题（如系统瘫痪、流程中断、数据错误等）2小时内解决，普通问题（不影响系统正常运行的客户体验类问题）解决实现不超过48小时。</w:t>
            </w:r>
          </w:p>
          <w:p>
            <w:pPr>
              <w:widowControl/>
              <w:spacing w:line="340" w:lineRule="exact"/>
              <w:jc w:val="left"/>
              <w:rPr>
                <w:rFonts w:ascii="宋体" w:hAnsi="宋体" w:cs="宋体"/>
                <w:kern w:val="0"/>
                <w:szCs w:val="22"/>
              </w:rPr>
            </w:pPr>
            <w:r>
              <w:rPr>
                <w:rFonts w:ascii="宋体" w:hAnsi="宋体" w:cs="宋体"/>
                <w:kern w:val="0"/>
                <w:szCs w:val="22"/>
              </w:rPr>
              <w:t>(4)</w:t>
            </w:r>
            <w:r>
              <w:rPr>
                <w:rFonts w:hint="eastAsia" w:ascii="宋体" w:hAnsi="宋体" w:cs="宋体"/>
                <w:kern w:val="0"/>
                <w:szCs w:val="22"/>
              </w:rPr>
              <w:t>在服务质量保证期内提供免费的维保服务，至少须包括：</w:t>
            </w:r>
          </w:p>
          <w:p>
            <w:pPr>
              <w:widowControl/>
              <w:spacing w:line="340" w:lineRule="exact"/>
              <w:jc w:val="left"/>
              <w:rPr>
                <w:rFonts w:ascii="宋体" w:hAnsi="宋体" w:cs="宋体"/>
                <w:kern w:val="0"/>
                <w:szCs w:val="22"/>
              </w:rPr>
            </w:pPr>
            <w:r>
              <w:rPr>
                <w:rFonts w:ascii="宋体" w:hAnsi="宋体" w:cs="宋体"/>
                <w:kern w:val="0"/>
                <w:szCs w:val="22"/>
              </w:rPr>
              <w:fldChar w:fldCharType="begin"/>
            </w:r>
            <w:r>
              <w:rPr>
                <w:rFonts w:hint="eastAsia" w:ascii="宋体" w:hAnsi="宋体" w:cs="宋体"/>
                <w:kern w:val="0"/>
                <w:szCs w:val="22"/>
              </w:rPr>
              <w:instrText xml:space="preserve">eq \o\ac(</w:instrText>
            </w:r>
            <w:r>
              <w:rPr>
                <w:rFonts w:hint="eastAsia" w:ascii="宋体" w:hAnsi="宋体" w:cs="宋体"/>
                <w:kern w:val="0"/>
                <w:position w:val="-4"/>
                <w:sz w:val="31"/>
                <w:szCs w:val="22"/>
              </w:rPr>
              <w:instrText xml:space="preserve">○</w:instrText>
            </w:r>
            <w:r>
              <w:rPr>
                <w:rFonts w:hint="eastAsia" w:ascii="宋体" w:hAnsi="宋体" w:cs="宋体"/>
                <w:kern w:val="0"/>
                <w:szCs w:val="22"/>
              </w:rPr>
              <w:instrText xml:space="preserve">,1)</w:instrText>
            </w:r>
            <w:r>
              <w:rPr>
                <w:rFonts w:ascii="宋体" w:hAnsi="宋体" w:cs="宋体"/>
                <w:kern w:val="0"/>
                <w:szCs w:val="22"/>
              </w:rPr>
              <w:fldChar w:fldCharType="end"/>
            </w:r>
            <w:r>
              <w:rPr>
                <w:rFonts w:hint="eastAsia" w:ascii="宋体" w:hAnsi="宋体" w:cs="宋体"/>
                <w:kern w:val="0"/>
                <w:szCs w:val="22"/>
              </w:rPr>
              <w:t>由于误操作等意外情况造成的数据库混乱，需对数据库或程序进行修复、整理、更换；由于系统环境造成的数据破坏，需对数据库进行修复、整理、更换；</w:t>
            </w:r>
          </w:p>
          <w:p>
            <w:pPr>
              <w:widowControl/>
              <w:spacing w:line="340" w:lineRule="exact"/>
              <w:jc w:val="left"/>
              <w:rPr>
                <w:rFonts w:ascii="宋体" w:hAnsi="宋体" w:cs="宋体"/>
                <w:kern w:val="0"/>
                <w:szCs w:val="22"/>
              </w:rPr>
            </w:pPr>
            <w:r>
              <w:rPr>
                <w:rFonts w:ascii="宋体" w:hAnsi="宋体" w:cs="宋体"/>
                <w:kern w:val="0"/>
                <w:szCs w:val="22"/>
              </w:rPr>
              <w:fldChar w:fldCharType="begin"/>
            </w:r>
            <w:r>
              <w:rPr>
                <w:rFonts w:hint="eastAsia" w:ascii="宋体" w:hAnsi="宋体" w:cs="宋体"/>
                <w:kern w:val="0"/>
                <w:szCs w:val="22"/>
              </w:rPr>
              <w:instrText xml:space="preserve">eq \o\ac(</w:instrText>
            </w:r>
            <w:r>
              <w:rPr>
                <w:rFonts w:hint="eastAsia" w:ascii="宋体" w:hAnsi="宋体" w:cs="宋体"/>
                <w:kern w:val="0"/>
                <w:position w:val="-4"/>
                <w:sz w:val="31"/>
                <w:szCs w:val="22"/>
              </w:rPr>
              <w:instrText xml:space="preserve">○</w:instrText>
            </w:r>
            <w:r>
              <w:rPr>
                <w:rFonts w:hint="eastAsia" w:ascii="宋体" w:hAnsi="宋体" w:cs="宋体"/>
                <w:kern w:val="0"/>
                <w:szCs w:val="22"/>
              </w:rPr>
              <w:instrText xml:space="preserve">,2)</w:instrText>
            </w:r>
            <w:r>
              <w:rPr>
                <w:rFonts w:ascii="宋体" w:hAnsi="宋体" w:cs="宋体"/>
                <w:kern w:val="0"/>
                <w:szCs w:val="22"/>
              </w:rPr>
              <w:fldChar w:fldCharType="end"/>
            </w:r>
            <w:r>
              <w:rPr>
                <w:rFonts w:hint="eastAsia" w:ascii="宋体" w:hAnsi="宋体" w:cs="宋体"/>
                <w:kern w:val="0"/>
                <w:szCs w:val="22"/>
              </w:rPr>
              <w:t xml:space="preserve">由于病毒和计算机系统软件的故障问题，需重新安装、调试软件和数据库的； </w:t>
            </w:r>
          </w:p>
          <w:p>
            <w:pPr>
              <w:widowControl/>
              <w:spacing w:line="340" w:lineRule="exact"/>
              <w:jc w:val="left"/>
              <w:rPr>
                <w:rFonts w:ascii="宋体" w:hAnsi="宋体" w:cs="宋体"/>
                <w:kern w:val="0"/>
                <w:szCs w:val="22"/>
              </w:rPr>
            </w:pPr>
            <w:r>
              <w:rPr>
                <w:rFonts w:ascii="宋体" w:hAnsi="宋体" w:cs="宋体"/>
                <w:kern w:val="0"/>
                <w:szCs w:val="22"/>
              </w:rPr>
              <w:fldChar w:fldCharType="begin"/>
            </w:r>
            <w:r>
              <w:rPr>
                <w:rFonts w:hint="eastAsia" w:ascii="宋体" w:hAnsi="宋体" w:cs="宋体"/>
                <w:kern w:val="0"/>
                <w:szCs w:val="22"/>
              </w:rPr>
              <w:instrText xml:space="preserve">eq \o\ac(</w:instrText>
            </w:r>
            <w:r>
              <w:rPr>
                <w:rFonts w:hint="eastAsia" w:ascii="宋体" w:hAnsi="宋体" w:cs="宋体"/>
                <w:kern w:val="0"/>
                <w:position w:val="-4"/>
                <w:sz w:val="31"/>
                <w:szCs w:val="22"/>
              </w:rPr>
              <w:instrText xml:space="preserve">○</w:instrText>
            </w:r>
            <w:r>
              <w:rPr>
                <w:rFonts w:hint="eastAsia" w:ascii="宋体" w:hAnsi="宋体" w:cs="宋体"/>
                <w:kern w:val="0"/>
                <w:szCs w:val="22"/>
              </w:rPr>
              <w:instrText xml:space="preserve">,3)</w:instrText>
            </w:r>
            <w:r>
              <w:rPr>
                <w:rFonts w:ascii="宋体" w:hAnsi="宋体" w:cs="宋体"/>
                <w:kern w:val="0"/>
                <w:szCs w:val="22"/>
              </w:rPr>
              <w:fldChar w:fldCharType="end"/>
            </w:r>
            <w:r>
              <w:rPr>
                <w:rFonts w:hint="eastAsia" w:ascii="宋体" w:hAnsi="宋体" w:cs="宋体"/>
                <w:kern w:val="0"/>
                <w:szCs w:val="22"/>
              </w:rPr>
              <w:t>针对突发事件，如病毒入侵，使用时断电、误操作等，引发的数据危机，需提供数据紧急修复备份服务；</w:t>
            </w:r>
          </w:p>
          <w:p>
            <w:pPr>
              <w:widowControl/>
              <w:spacing w:line="340" w:lineRule="exact"/>
              <w:jc w:val="left"/>
              <w:rPr>
                <w:rFonts w:ascii="宋体" w:hAnsi="宋体" w:cs="宋体"/>
                <w:kern w:val="0"/>
                <w:szCs w:val="22"/>
              </w:rPr>
            </w:pPr>
            <w:r>
              <w:rPr>
                <w:rFonts w:ascii="宋体" w:hAnsi="宋体" w:cs="宋体"/>
                <w:kern w:val="0"/>
                <w:szCs w:val="22"/>
              </w:rPr>
              <w:fldChar w:fldCharType="begin"/>
            </w:r>
            <w:r>
              <w:rPr>
                <w:rFonts w:hint="eastAsia" w:ascii="宋体" w:hAnsi="宋体" w:cs="宋体"/>
                <w:kern w:val="0"/>
                <w:szCs w:val="22"/>
              </w:rPr>
              <w:instrText xml:space="preserve">eq \o\ac(</w:instrText>
            </w:r>
            <w:r>
              <w:rPr>
                <w:rFonts w:hint="eastAsia" w:ascii="宋体" w:hAnsi="宋体" w:cs="宋体"/>
                <w:kern w:val="0"/>
                <w:position w:val="-4"/>
                <w:sz w:val="31"/>
                <w:szCs w:val="22"/>
              </w:rPr>
              <w:instrText xml:space="preserve">○</w:instrText>
            </w:r>
            <w:r>
              <w:rPr>
                <w:rFonts w:hint="eastAsia" w:ascii="宋体" w:hAnsi="宋体" w:cs="宋体"/>
                <w:kern w:val="0"/>
                <w:szCs w:val="22"/>
              </w:rPr>
              <w:instrText xml:space="preserve">,4)</w:instrText>
            </w:r>
            <w:r>
              <w:rPr>
                <w:rFonts w:ascii="宋体" w:hAnsi="宋体" w:cs="宋体"/>
                <w:kern w:val="0"/>
                <w:szCs w:val="22"/>
              </w:rPr>
              <w:fldChar w:fldCharType="end"/>
            </w:r>
            <w:r>
              <w:rPr>
                <w:rFonts w:hint="eastAsia" w:ascii="宋体" w:hAnsi="宋体" w:cs="宋体"/>
                <w:kern w:val="0"/>
                <w:szCs w:val="22"/>
              </w:rPr>
              <w:t>因系统设计存在重大缺陷导致无法运行或效率低下，需重新调整结构以满足系统运行的需要；</w:t>
            </w:r>
          </w:p>
          <w:p>
            <w:pPr>
              <w:widowControl/>
              <w:spacing w:line="340" w:lineRule="exact"/>
              <w:jc w:val="left"/>
              <w:rPr>
                <w:rFonts w:ascii="宋体" w:hAnsi="宋体" w:cs="宋体"/>
                <w:kern w:val="0"/>
                <w:szCs w:val="22"/>
              </w:rPr>
            </w:pPr>
            <w:r>
              <w:rPr>
                <w:rFonts w:ascii="宋体" w:hAnsi="宋体" w:cs="宋体"/>
                <w:kern w:val="0"/>
                <w:szCs w:val="22"/>
              </w:rPr>
              <w:fldChar w:fldCharType="begin"/>
            </w:r>
            <w:r>
              <w:rPr>
                <w:rFonts w:hint="eastAsia" w:ascii="宋体" w:hAnsi="宋体" w:cs="宋体"/>
                <w:kern w:val="0"/>
                <w:szCs w:val="22"/>
              </w:rPr>
              <w:instrText xml:space="preserve">eq \o\ac(</w:instrText>
            </w:r>
            <w:r>
              <w:rPr>
                <w:rFonts w:hint="eastAsia" w:ascii="宋体" w:hAnsi="宋体" w:cs="宋体"/>
                <w:kern w:val="0"/>
                <w:position w:val="-4"/>
                <w:sz w:val="31"/>
                <w:szCs w:val="22"/>
              </w:rPr>
              <w:instrText xml:space="preserve">○</w:instrText>
            </w:r>
            <w:r>
              <w:rPr>
                <w:rFonts w:hint="eastAsia" w:ascii="宋体" w:hAnsi="宋体" w:cs="宋体"/>
                <w:kern w:val="0"/>
                <w:szCs w:val="22"/>
              </w:rPr>
              <w:instrText xml:space="preserve">,5)</w:instrText>
            </w:r>
            <w:r>
              <w:rPr>
                <w:rFonts w:ascii="宋体" w:hAnsi="宋体" w:cs="宋体"/>
                <w:kern w:val="0"/>
                <w:szCs w:val="22"/>
              </w:rPr>
              <w:fldChar w:fldCharType="end"/>
            </w:r>
            <w:r>
              <w:rPr>
                <w:rFonts w:hint="eastAsia" w:ascii="宋体" w:hAnsi="宋体" w:cs="宋体"/>
                <w:kern w:val="0"/>
                <w:szCs w:val="22"/>
              </w:rPr>
              <w:t>因运行环境需要调整，如主机迁移，数据库迁移等，需要负责完整应用系统的整体迁移工作，并保证迁移后应用运行的平稳性；</w:t>
            </w:r>
          </w:p>
          <w:p>
            <w:pPr>
              <w:widowControl/>
              <w:spacing w:line="340" w:lineRule="exact"/>
              <w:jc w:val="left"/>
              <w:rPr>
                <w:rFonts w:ascii="宋体" w:hAnsi="宋体" w:cs="宋体"/>
                <w:kern w:val="0"/>
                <w:szCs w:val="22"/>
              </w:rPr>
            </w:pPr>
            <w:r>
              <w:rPr>
                <w:rFonts w:ascii="宋体" w:hAnsi="宋体" w:cs="宋体"/>
                <w:kern w:val="0"/>
                <w:szCs w:val="22"/>
              </w:rPr>
              <w:fldChar w:fldCharType="begin"/>
            </w:r>
            <w:r>
              <w:rPr>
                <w:rFonts w:hint="eastAsia" w:ascii="宋体" w:hAnsi="宋体" w:cs="宋体"/>
                <w:kern w:val="0"/>
                <w:szCs w:val="22"/>
              </w:rPr>
              <w:instrText xml:space="preserve">eq \o\ac(</w:instrText>
            </w:r>
            <w:r>
              <w:rPr>
                <w:rFonts w:hint="eastAsia" w:ascii="宋体" w:hAnsi="宋体" w:cs="宋体"/>
                <w:kern w:val="0"/>
                <w:position w:val="-4"/>
                <w:sz w:val="31"/>
                <w:szCs w:val="22"/>
              </w:rPr>
              <w:instrText xml:space="preserve">○</w:instrText>
            </w:r>
            <w:r>
              <w:rPr>
                <w:rFonts w:hint="eastAsia" w:ascii="宋体" w:hAnsi="宋体" w:cs="宋体"/>
                <w:kern w:val="0"/>
                <w:szCs w:val="22"/>
              </w:rPr>
              <w:instrText xml:space="preserve">,6)</w:instrText>
            </w:r>
            <w:r>
              <w:rPr>
                <w:rFonts w:ascii="宋体" w:hAnsi="宋体" w:cs="宋体"/>
                <w:kern w:val="0"/>
                <w:szCs w:val="22"/>
              </w:rPr>
              <w:fldChar w:fldCharType="end"/>
            </w:r>
            <w:r>
              <w:rPr>
                <w:rFonts w:hint="eastAsia" w:ascii="宋体" w:hAnsi="宋体" w:cs="宋体"/>
                <w:kern w:val="0"/>
                <w:szCs w:val="22"/>
              </w:rPr>
              <w:t>由于政策调整引起的功能模块增加、修改、升级服务；</w:t>
            </w:r>
          </w:p>
          <w:p>
            <w:pPr>
              <w:widowControl/>
              <w:spacing w:line="340" w:lineRule="exact"/>
              <w:jc w:val="left"/>
              <w:rPr>
                <w:rFonts w:ascii="宋体" w:hAnsi="宋体" w:cs="宋体"/>
                <w:kern w:val="0"/>
                <w:szCs w:val="22"/>
              </w:rPr>
            </w:pPr>
            <w:r>
              <w:rPr>
                <w:rFonts w:ascii="宋体" w:hAnsi="宋体" w:cs="宋体"/>
                <w:kern w:val="0"/>
                <w:szCs w:val="22"/>
              </w:rPr>
              <w:fldChar w:fldCharType="begin"/>
            </w:r>
            <w:r>
              <w:rPr>
                <w:rFonts w:hint="eastAsia" w:ascii="宋体" w:hAnsi="宋体" w:cs="宋体"/>
                <w:kern w:val="0"/>
                <w:szCs w:val="22"/>
              </w:rPr>
              <w:instrText xml:space="preserve">eq \o\ac(</w:instrText>
            </w:r>
            <w:r>
              <w:rPr>
                <w:rFonts w:hint="eastAsia" w:ascii="宋体" w:hAnsi="宋体" w:cs="宋体"/>
                <w:kern w:val="0"/>
                <w:position w:val="-4"/>
                <w:sz w:val="31"/>
                <w:szCs w:val="22"/>
              </w:rPr>
              <w:instrText xml:space="preserve">○</w:instrText>
            </w:r>
            <w:r>
              <w:rPr>
                <w:rFonts w:hint="eastAsia" w:ascii="宋体" w:hAnsi="宋体" w:cs="宋体"/>
                <w:kern w:val="0"/>
                <w:szCs w:val="22"/>
              </w:rPr>
              <w:instrText xml:space="preserve">,7)</w:instrText>
            </w:r>
            <w:r>
              <w:rPr>
                <w:rFonts w:ascii="宋体" w:hAnsi="宋体" w:cs="宋体"/>
                <w:kern w:val="0"/>
                <w:szCs w:val="22"/>
              </w:rPr>
              <w:fldChar w:fldCharType="end"/>
            </w:r>
            <w:r>
              <w:rPr>
                <w:rFonts w:hint="eastAsia" w:ascii="宋体" w:hAnsi="宋体" w:cs="宋体"/>
                <w:kern w:val="0"/>
                <w:szCs w:val="22"/>
              </w:rPr>
              <w:t>软件系统漏洞修改维护；</w:t>
            </w:r>
          </w:p>
          <w:p>
            <w:pPr>
              <w:widowControl/>
              <w:spacing w:line="340" w:lineRule="exact"/>
              <w:jc w:val="left"/>
              <w:rPr>
                <w:rFonts w:ascii="宋体" w:hAnsi="宋体" w:cs="宋体"/>
                <w:kern w:val="0"/>
                <w:szCs w:val="22"/>
              </w:rPr>
            </w:pPr>
            <w:r>
              <w:rPr>
                <w:rFonts w:ascii="宋体" w:hAnsi="宋体" w:cs="宋体"/>
                <w:kern w:val="0"/>
                <w:szCs w:val="22"/>
              </w:rPr>
              <w:t>(5)</w:t>
            </w:r>
            <w:r>
              <w:rPr>
                <w:rFonts w:hint="eastAsia" w:ascii="宋体" w:hAnsi="宋体" w:cs="宋体"/>
                <w:kern w:val="0"/>
                <w:szCs w:val="22"/>
              </w:rPr>
              <w:t>服务质量保证期后，成交供应商应明确承诺继续优惠提供维护服务，至少须包括：承诺提供系统</w:t>
            </w:r>
            <w:r>
              <w:rPr>
                <w:rFonts w:hint="eastAsia" w:ascii="宋体" w:hAnsi="宋体" w:cs="宋体"/>
                <w:color w:val="000000" w:themeColor="text1"/>
                <w:kern w:val="0"/>
                <w:szCs w:val="22"/>
                <w14:textFill>
                  <w14:solidFill>
                    <w14:schemeClr w14:val="tx1"/>
                  </w14:solidFill>
                </w14:textFill>
              </w:rPr>
              <w:t>安全升级、故障排除、性能调优、技术咨询等售后技术支持服务，每年维护费用不超过合同价的10%；</w:t>
            </w:r>
            <w:r>
              <w:rPr>
                <w:rFonts w:hint="eastAsia" w:ascii="宋体" w:hAnsi="宋体" w:cs="宋体"/>
                <w:kern w:val="0"/>
                <w:szCs w:val="22"/>
              </w:rPr>
              <w:t>对于因软件设计等技术原因而引起的故障，成交供应商应免费提供解决方案；免费服务质量保证期满前1个月内成交供应商应负责对系统进行一次免费全面检查、维护，如发现潜在问题，应写出正式报告，并负责排除，保证系统正常运行。</w:t>
            </w:r>
          </w:p>
          <w:p>
            <w:pPr>
              <w:widowControl/>
              <w:spacing w:line="340" w:lineRule="exact"/>
              <w:jc w:val="left"/>
              <w:rPr>
                <w:rFonts w:ascii="宋体" w:hAnsi="宋体" w:cs="宋体"/>
                <w:kern w:val="0"/>
                <w:szCs w:val="22"/>
              </w:rPr>
            </w:pPr>
            <w:r>
              <w:rPr>
                <w:rFonts w:hint="eastAsia" w:ascii="宋体" w:hAnsi="宋体" w:cs="宋体"/>
                <w:kern w:val="0"/>
                <w:szCs w:val="22"/>
              </w:rPr>
              <w:t>6.培训要求：</w:t>
            </w:r>
          </w:p>
          <w:p>
            <w:pPr>
              <w:widowControl/>
              <w:spacing w:line="340" w:lineRule="exact"/>
              <w:jc w:val="left"/>
              <w:rPr>
                <w:rFonts w:ascii="宋体" w:hAnsi="宋体" w:cs="宋体"/>
                <w:kern w:val="0"/>
                <w:szCs w:val="22"/>
              </w:rPr>
            </w:pPr>
            <w:r>
              <w:rPr>
                <w:rFonts w:ascii="宋体" w:hAnsi="宋体" w:cs="宋体"/>
                <w:kern w:val="0"/>
                <w:szCs w:val="22"/>
              </w:rPr>
              <w:t>(1)</w:t>
            </w:r>
            <w:r>
              <w:rPr>
                <w:rFonts w:hint="eastAsia" w:ascii="宋体" w:hAnsi="宋体" w:cs="宋体"/>
                <w:kern w:val="0"/>
                <w:szCs w:val="22"/>
              </w:rPr>
              <w:t>在应用软件开发与实施完成后，根据采购人要求，成交供应商免费提供各个应用系统相关的业务培训。</w:t>
            </w:r>
          </w:p>
          <w:p>
            <w:pPr>
              <w:widowControl/>
              <w:spacing w:line="340" w:lineRule="exact"/>
              <w:jc w:val="left"/>
              <w:rPr>
                <w:rFonts w:ascii="宋体" w:hAnsi="宋体" w:cs="宋体"/>
                <w:kern w:val="0"/>
                <w:szCs w:val="22"/>
              </w:rPr>
            </w:pPr>
            <w:r>
              <w:rPr>
                <w:rFonts w:ascii="宋体" w:hAnsi="宋体" w:cs="宋体"/>
                <w:kern w:val="0"/>
                <w:szCs w:val="22"/>
              </w:rPr>
              <w:t>(2)</w:t>
            </w:r>
            <w:r>
              <w:rPr>
                <w:rFonts w:hint="eastAsia" w:ascii="宋体" w:hAnsi="宋体" w:cs="宋体"/>
                <w:kern w:val="0"/>
                <w:szCs w:val="22"/>
              </w:rPr>
              <w:t>免费对采购方的管理人员、应用使用人员等各个岗位人员进行集中培训，确保各个岗位相关人员能够根据岗位职责掌握系统的使用。管理员能够理解系统原理和操作维护方法、常见故障解决和升级；应用使用人员熟练掌握系统操作流程和常用功能。</w:t>
            </w:r>
          </w:p>
          <w:p>
            <w:pPr>
              <w:widowControl/>
              <w:spacing w:line="340" w:lineRule="exact"/>
              <w:jc w:val="left"/>
              <w:rPr>
                <w:rFonts w:ascii="宋体" w:hAnsi="宋体" w:cs="宋体"/>
                <w:kern w:val="0"/>
                <w:szCs w:val="22"/>
              </w:rPr>
            </w:pPr>
            <w:r>
              <w:rPr>
                <w:rFonts w:ascii="宋体" w:hAnsi="宋体" w:cs="宋体"/>
                <w:kern w:val="0"/>
                <w:szCs w:val="22"/>
              </w:rPr>
              <w:t>(3)</w:t>
            </w:r>
            <w:r>
              <w:rPr>
                <w:rFonts w:hint="eastAsia" w:ascii="宋体" w:hAnsi="宋体" w:cs="宋体"/>
                <w:kern w:val="0"/>
                <w:szCs w:val="22"/>
              </w:rPr>
              <w:t>现场安装培训：工程师须在安装现场对采购方软件安装和基本操作培训。软件安装培训内容包括：软件安装的硬件基本配置、软件基本配置、具体的安装配置和操作过程，基本软件操作以及其他相关技术培训。</w:t>
            </w:r>
          </w:p>
          <w:p>
            <w:pPr>
              <w:widowControl/>
              <w:spacing w:line="340" w:lineRule="exact"/>
              <w:jc w:val="left"/>
              <w:rPr>
                <w:rFonts w:ascii="宋体" w:hAnsi="宋体" w:cs="宋体"/>
                <w:kern w:val="0"/>
                <w:szCs w:val="22"/>
              </w:rPr>
            </w:pPr>
            <w:r>
              <w:rPr>
                <w:rFonts w:ascii="宋体" w:hAnsi="宋体" w:cs="宋体"/>
                <w:kern w:val="0"/>
                <w:szCs w:val="22"/>
              </w:rPr>
              <w:t>(4)</w:t>
            </w:r>
            <w:r>
              <w:rPr>
                <w:rFonts w:hint="eastAsia" w:ascii="宋体" w:hAnsi="宋体" w:cs="宋体"/>
                <w:kern w:val="0"/>
                <w:szCs w:val="22"/>
              </w:rPr>
              <w:t>技术培训：内容应包括：体系结构介绍、功能介绍、安装培训、操作与使用培训、系统开发以及其他相关技术培训。</w:t>
            </w:r>
          </w:p>
          <w:p>
            <w:pPr>
              <w:widowControl/>
              <w:spacing w:line="340" w:lineRule="exact"/>
              <w:jc w:val="left"/>
              <w:rPr>
                <w:rFonts w:ascii="宋体" w:hAnsi="宋体" w:cs="宋体"/>
                <w:kern w:val="0"/>
                <w:szCs w:val="22"/>
              </w:rPr>
            </w:pPr>
            <w:r>
              <w:rPr>
                <w:rFonts w:hint="eastAsia" w:ascii="宋体" w:hAnsi="宋体" w:cs="宋体"/>
                <w:kern w:val="0"/>
                <w:szCs w:val="22"/>
              </w:rPr>
              <w:t>7</w:t>
            </w:r>
            <w:r>
              <w:rPr>
                <w:rFonts w:ascii="宋体" w:hAnsi="宋体" w:cs="宋体"/>
                <w:kern w:val="0"/>
                <w:szCs w:val="22"/>
              </w:rPr>
              <w:t>.</w:t>
            </w:r>
            <w:r>
              <w:rPr>
                <w:rFonts w:hint="eastAsia" w:ascii="宋体" w:hAnsi="宋体" w:cs="宋体"/>
                <w:kern w:val="0"/>
                <w:szCs w:val="22"/>
              </w:rPr>
              <w:t>付款方式</w:t>
            </w:r>
          </w:p>
          <w:p>
            <w:pPr>
              <w:widowControl/>
              <w:spacing w:line="340" w:lineRule="exact"/>
              <w:jc w:val="left"/>
              <w:rPr>
                <w:rFonts w:ascii="宋体" w:hAnsi="宋体" w:cs="Arial"/>
                <w:szCs w:val="21"/>
              </w:rPr>
            </w:pPr>
            <w:r>
              <w:rPr>
                <w:rFonts w:hint="eastAsia" w:ascii="宋体" w:hAnsi="宋体" w:cs="Arial"/>
                <w:szCs w:val="21"/>
              </w:rPr>
              <w:t xml:space="preserve">    签订合同后15个工作日内，甲方向乙方首次支付合同金额的50%；项目合同验收合格后15个工作日内支付合同金额的</w:t>
            </w:r>
            <w:r>
              <w:rPr>
                <w:rFonts w:ascii="宋体" w:hAnsi="宋体" w:cs="Arial"/>
                <w:szCs w:val="21"/>
              </w:rPr>
              <w:t>40</w:t>
            </w:r>
            <w:r>
              <w:rPr>
                <w:rFonts w:hint="eastAsia" w:ascii="宋体" w:hAnsi="宋体" w:cs="Arial"/>
                <w:szCs w:val="21"/>
              </w:rPr>
              <w:t>%；通过项目业务验收合格后15个工作日内</w:t>
            </w:r>
            <w:r>
              <w:rPr>
                <w:rFonts w:ascii="宋体" w:hAnsi="宋体" w:cs="Arial"/>
                <w:szCs w:val="21"/>
              </w:rPr>
              <w:t>，</w:t>
            </w:r>
            <w:r>
              <w:rPr>
                <w:rFonts w:hint="eastAsia" w:ascii="宋体" w:hAnsi="宋体" w:cs="Arial"/>
                <w:szCs w:val="21"/>
              </w:rPr>
              <w:t>乙方按合同金额的5%向甲方提交项目质保金后，甲方15个工作日内支付合同金额的10%；自业务验收合格之日起至项目整体质保期满后，无质量问题，在15个工作日内，甲方向乙方一次退还质保金，不计利息。采购人每次付款前，成交供应商应将同等金额的合法、有效增值税专用发票开具给采购人，否则，采购人可以顺延付款。</w:t>
            </w:r>
          </w:p>
          <w:p>
            <w:pPr>
              <w:widowControl/>
              <w:spacing w:line="340" w:lineRule="exact"/>
              <w:jc w:val="left"/>
              <w:rPr>
                <w:rFonts w:ascii="宋体" w:hAnsi="宋体" w:cs="Arial"/>
                <w:szCs w:val="21"/>
              </w:rPr>
            </w:pPr>
            <w:r>
              <w:rPr>
                <w:rFonts w:hint="eastAsia" w:ascii="宋体" w:hAnsi="宋体" w:cs="Arial"/>
                <w:szCs w:val="21"/>
              </w:rPr>
              <w:t>8</w:t>
            </w:r>
            <w:r>
              <w:rPr>
                <w:rFonts w:ascii="宋体" w:hAnsi="宋体" w:cs="Arial"/>
                <w:szCs w:val="21"/>
              </w:rPr>
              <w:t>.</w:t>
            </w:r>
            <w:r>
              <w:rPr>
                <w:rFonts w:hint="eastAsia" w:ascii="宋体" w:hAnsi="宋体" w:cs="Arial"/>
                <w:szCs w:val="21"/>
              </w:rPr>
              <w:t>关于知识产权</w:t>
            </w:r>
          </w:p>
          <w:p>
            <w:pPr>
              <w:widowControl/>
              <w:spacing w:line="340" w:lineRule="exact"/>
              <w:jc w:val="left"/>
              <w:rPr>
                <w:rFonts w:ascii="宋体" w:hAnsi="宋体" w:cs="宋体"/>
                <w:kern w:val="0"/>
                <w:szCs w:val="22"/>
              </w:rPr>
            </w:pPr>
            <w:r>
              <w:rPr>
                <w:rFonts w:ascii="宋体" w:hAnsi="宋体" w:cs="宋体"/>
                <w:kern w:val="0"/>
                <w:szCs w:val="22"/>
              </w:rPr>
              <w:t>(1)</w:t>
            </w:r>
            <w:r>
              <w:rPr>
                <w:rFonts w:hint="eastAsia" w:ascii="宋体" w:hAnsi="宋体" w:cs="宋体"/>
                <w:kern w:val="0"/>
                <w:szCs w:val="22"/>
              </w:rPr>
              <w:t xml:space="preserve">成交供应商根据采购人的业务要求提供系统开发服务，开发的应用系统成果的知识产权属于采购方自有。 </w:t>
            </w:r>
          </w:p>
          <w:p>
            <w:pPr>
              <w:widowControl/>
              <w:spacing w:line="340" w:lineRule="exact"/>
              <w:jc w:val="left"/>
            </w:pPr>
            <w:r>
              <w:rPr>
                <w:rFonts w:ascii="宋体" w:hAnsi="宋体" w:cs="宋体"/>
                <w:kern w:val="0"/>
                <w:szCs w:val="22"/>
              </w:rPr>
              <w:t>(2)</w:t>
            </w:r>
            <w:r>
              <w:rPr>
                <w:rFonts w:hint="eastAsia" w:ascii="宋体" w:hAnsi="宋体" w:cs="宋体"/>
                <w:kern w:val="0"/>
                <w:szCs w:val="22"/>
              </w:rPr>
              <w:t>成交供应商在为采购人提供开发服务期间，出于项目的需要使用任何第三方的软件知识产权的产品，成交供应商需具有对该产品合法所有权或使用权或分许可权，在不侵犯第三方合法权益的情况下使用，使用第三方产品产生的费用纳入本项目的开发成本。成交供应商违反本条规定而产生侵权纠纷，导致采购人不能正常运行本项目开发的系统，则成交供应商负责赔偿采购人由此造成的全部损失。</w:t>
            </w:r>
          </w:p>
        </w:tc>
      </w:tr>
    </w:tbl>
    <w:p>
      <w:pPr>
        <w:spacing w:line="320" w:lineRule="exact"/>
        <w:rPr>
          <w:rFonts w:ascii="宋体" w:hAnsi="宋体"/>
          <w:color w:val="000000"/>
        </w:rPr>
      </w:pPr>
    </w:p>
    <w:p>
      <w:pPr>
        <w:pStyle w:val="25"/>
        <w:jc w:val="left"/>
        <w:rPr>
          <w:rFonts w:hAnsi="宋体" w:cs="Arial Unicode MS"/>
          <w:color w:val="000000"/>
          <w:sz w:val="32"/>
          <w:szCs w:val="32"/>
        </w:rPr>
      </w:pPr>
    </w:p>
    <w:p>
      <w:pPr>
        <w:pStyle w:val="25"/>
        <w:jc w:val="left"/>
        <w:rPr>
          <w:rFonts w:hAnsi="宋体" w:cs="Arial Unicode MS"/>
          <w:color w:val="000000"/>
          <w:sz w:val="32"/>
          <w:szCs w:val="32"/>
        </w:rPr>
      </w:pPr>
    </w:p>
    <w:p>
      <w:pPr>
        <w:rPr>
          <w:rFonts w:hAnsi="宋体" w:cs="Arial Unicode MS"/>
          <w:color w:val="000000"/>
          <w:sz w:val="32"/>
          <w:szCs w:val="32"/>
        </w:rPr>
      </w:pPr>
    </w:p>
    <w:p>
      <w:pPr>
        <w:pStyle w:val="2"/>
        <w:rPr>
          <w:rFonts w:hAnsi="宋体" w:cs="Arial Unicode MS"/>
          <w:color w:val="000000"/>
          <w:sz w:val="32"/>
          <w:szCs w:val="32"/>
        </w:rPr>
      </w:pPr>
    </w:p>
    <w:p/>
    <w:p>
      <w:pPr>
        <w:pStyle w:val="25"/>
        <w:jc w:val="left"/>
        <w:rPr>
          <w:rFonts w:hAnsi="宋体" w:cs="Arial Unicode MS"/>
          <w:color w:val="000000"/>
          <w:sz w:val="32"/>
          <w:szCs w:val="32"/>
        </w:rPr>
      </w:pPr>
    </w:p>
    <w:p>
      <w:pPr>
        <w:pStyle w:val="25"/>
        <w:jc w:val="left"/>
        <w:rPr>
          <w:rFonts w:hAnsi="宋体" w:cs="Arial Unicode MS"/>
          <w:color w:val="000000"/>
          <w:sz w:val="32"/>
          <w:szCs w:val="32"/>
        </w:rPr>
      </w:pPr>
      <w:r>
        <w:rPr>
          <w:rFonts w:hint="eastAsia" w:hAnsi="宋体" w:cs="Arial Unicode MS"/>
          <w:color w:val="000000"/>
          <w:sz w:val="32"/>
          <w:szCs w:val="32"/>
        </w:rPr>
        <w:t>附件1：</w:t>
      </w:r>
    </w:p>
    <w:p>
      <w:pPr>
        <w:spacing w:line="528" w:lineRule="exact"/>
        <w:ind w:left="1871" w:firstLine="1200" w:firstLineChars="300"/>
        <w:rPr>
          <w:rFonts w:ascii="宋体" w:hAnsi="宋体" w:cs="Arial Unicode MS"/>
          <w:color w:val="000000"/>
          <w:sz w:val="40"/>
          <w:szCs w:val="40"/>
        </w:rPr>
      </w:pPr>
      <w:r>
        <w:rPr>
          <w:rFonts w:hint="eastAsia" w:ascii="宋体" w:hAnsi="宋体" w:cs="Arial Unicode MS"/>
          <w:color w:val="000000"/>
          <w:sz w:val="40"/>
          <w:szCs w:val="40"/>
        </w:rPr>
        <w:t>中小微企业划型标准</w:t>
      </w:r>
    </w:p>
    <w:tbl>
      <w:tblPr>
        <w:tblStyle w:val="46"/>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4"/>
              </w:rPr>
            </w:pPr>
            <w:r>
              <w:rPr>
                <w:rFonts w:hint="eastAsia" w:ascii="宋体" w:hAnsi="宋体" w:cs="宋体"/>
                <w:b/>
                <w:color w:val="000000"/>
                <w:kern w:val="0"/>
                <w:sz w:val="24"/>
              </w:rPr>
              <w:t>行业名称</w:t>
            </w: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000000"/>
                <w:kern w:val="0"/>
                <w:sz w:val="24"/>
              </w:rPr>
            </w:pPr>
            <w:r>
              <w:rPr>
                <w:rFonts w:hint="eastAsia" w:ascii="宋体" w:hAnsi="宋体" w:cs="宋体"/>
                <w:b/>
                <w:color w:val="000000"/>
                <w:kern w:val="0"/>
                <w:sz w:val="24"/>
              </w:rPr>
              <w:t>指标名称</w:t>
            </w:r>
          </w:p>
        </w:tc>
        <w:tc>
          <w:tcPr>
            <w:tcW w:w="85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000000"/>
                <w:kern w:val="0"/>
                <w:sz w:val="24"/>
              </w:rPr>
            </w:pPr>
            <w:r>
              <w:rPr>
                <w:rFonts w:hint="eastAsia" w:ascii="宋体" w:hAnsi="宋体" w:cs="宋体"/>
                <w:b/>
                <w:color w:val="000000"/>
                <w:kern w:val="0"/>
                <w:sz w:val="24"/>
              </w:rPr>
              <w:t>计量单位</w:t>
            </w:r>
          </w:p>
        </w:tc>
        <w:tc>
          <w:tcPr>
            <w:tcW w:w="184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000000"/>
                <w:kern w:val="0"/>
                <w:sz w:val="24"/>
              </w:rPr>
            </w:pPr>
            <w:r>
              <w:rPr>
                <w:rFonts w:hint="eastAsia" w:ascii="宋体" w:hAnsi="宋体" w:cs="宋体"/>
                <w:b/>
                <w:color w:val="000000"/>
                <w:kern w:val="0"/>
                <w:sz w:val="24"/>
              </w:rPr>
              <w:t>中型</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000000"/>
                <w:kern w:val="0"/>
                <w:sz w:val="24"/>
              </w:rPr>
            </w:pPr>
            <w:r>
              <w:rPr>
                <w:rFonts w:hint="eastAsia" w:ascii="宋体" w:hAnsi="宋体" w:cs="宋体"/>
                <w:b/>
                <w:color w:val="000000"/>
                <w:kern w:val="0"/>
                <w:sz w:val="24"/>
              </w:rPr>
              <w:t>小型</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000000"/>
                <w:kern w:val="0"/>
                <w:sz w:val="24"/>
              </w:rPr>
            </w:pPr>
            <w:r>
              <w:rPr>
                <w:rFonts w:hint="eastAsia" w:ascii="宋体" w:hAnsi="宋体" w:cs="宋体"/>
                <w:b/>
                <w:color w:val="000000"/>
                <w:kern w:val="0"/>
                <w:sz w:val="24"/>
              </w:rPr>
              <w:t>微型</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农、林、牧、渔</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500≤Y＜20000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50≤Y＜500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建筑业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300≤Y＜6000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300≤Z＜5000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批发业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20≤X＜200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5≤X＜20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零售业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50≤X＜300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10≤X＜50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500≤Y＜20000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100≤Y＜500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交通运输业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200≤Y＜3000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仓储业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100≤X＜200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邮政业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住宿业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100≤X＜300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餐饮业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100≤X＜300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信息传输业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1000≤Y＜100000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软件和信息技术服务业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100≤X＜300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房地产开发经营</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1000≤Y＜200000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100≤X＜1000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2000≤Y＜5000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Y＜2000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物业管理</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500≤Y＜1000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租赁和商务服务业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100≤X＜300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8000≤Z＜120000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100≤Z＜8000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其他未列明行业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100≤X＜300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X＜10</w:t>
            </w:r>
          </w:p>
        </w:tc>
      </w:tr>
    </w:tbl>
    <w:p>
      <w:pPr>
        <w:spacing w:line="560" w:lineRule="exact"/>
        <w:ind w:firstLine="525" w:firstLineChars="250"/>
        <w:rPr>
          <w:rFonts w:ascii="宋体" w:hAnsi="宋体"/>
          <w:color w:val="000000"/>
          <w:szCs w:val="21"/>
        </w:rPr>
      </w:pPr>
      <w:r>
        <w:rPr>
          <w:rFonts w:hint="eastAsia" w:ascii="宋体" w:hAnsi="宋体"/>
          <w:color w:val="000000"/>
          <w:szCs w:val="21"/>
        </w:rPr>
        <w:t>说明：上述标准参照《关于印发中小企业划型标准规定的通知》（工信部联企业[2011]300号），大型、中型和小型企业须同时满足所列指标的下限，否则下划一档；微型企业只须满足所列指标中的一项即可。</w:t>
      </w:r>
    </w:p>
    <w:p>
      <w:pPr>
        <w:pStyle w:val="25"/>
        <w:jc w:val="center"/>
        <w:outlineLvl w:val="0"/>
        <w:rPr>
          <w:rFonts w:hAnsi="宋体"/>
          <w:color w:val="000000"/>
        </w:rPr>
        <w:sectPr>
          <w:pgSz w:w="11906" w:h="16838"/>
          <w:pgMar w:top="1134" w:right="1134" w:bottom="1134" w:left="1134" w:header="720" w:footer="720" w:gutter="0"/>
          <w:cols w:space="720" w:num="1"/>
          <w:docGrid w:type="lines" w:linePitch="331" w:charSpace="0"/>
        </w:sectPr>
      </w:pPr>
    </w:p>
    <w:p>
      <w:pPr>
        <w:spacing w:line="320" w:lineRule="exact"/>
        <w:outlineLvl w:val="0"/>
        <w:rPr>
          <w:b/>
          <w:sz w:val="28"/>
          <w:szCs w:val="28"/>
        </w:rPr>
      </w:pPr>
      <w:bookmarkStart w:id="66" w:name="_Toc300846372"/>
      <w:bookmarkStart w:id="67" w:name="_Toc501090511"/>
    </w:p>
    <w:p>
      <w:pPr>
        <w:spacing w:line="320" w:lineRule="exact"/>
        <w:outlineLvl w:val="0"/>
        <w:rPr>
          <w:b/>
          <w:sz w:val="28"/>
          <w:szCs w:val="28"/>
        </w:rPr>
      </w:pPr>
    </w:p>
    <w:p>
      <w:pPr>
        <w:spacing w:line="320" w:lineRule="exact"/>
        <w:outlineLvl w:val="0"/>
        <w:rPr>
          <w:b/>
          <w:sz w:val="28"/>
          <w:szCs w:val="28"/>
        </w:rPr>
      </w:pPr>
    </w:p>
    <w:p>
      <w:pPr>
        <w:spacing w:line="320" w:lineRule="exact"/>
        <w:outlineLvl w:val="0"/>
        <w:rPr>
          <w:b/>
          <w:sz w:val="28"/>
          <w:szCs w:val="28"/>
        </w:rPr>
      </w:pPr>
    </w:p>
    <w:p>
      <w:pPr>
        <w:spacing w:line="320" w:lineRule="exact"/>
        <w:outlineLvl w:val="0"/>
        <w:rPr>
          <w:b/>
          <w:sz w:val="28"/>
          <w:szCs w:val="28"/>
        </w:rPr>
      </w:pPr>
    </w:p>
    <w:p>
      <w:pPr>
        <w:jc w:val="center"/>
        <w:outlineLvl w:val="0"/>
        <w:rPr>
          <w:b/>
          <w:sz w:val="36"/>
          <w:szCs w:val="36"/>
        </w:rPr>
      </w:pPr>
      <w:r>
        <w:rPr>
          <w:rFonts w:hint="eastAsia"/>
          <w:b/>
          <w:sz w:val="36"/>
          <w:szCs w:val="36"/>
        </w:rPr>
        <w:t>第四章  响应文件（格式）</w:t>
      </w:r>
      <w:bookmarkEnd w:id="66"/>
      <w:bookmarkEnd w:id="67"/>
    </w:p>
    <w:p>
      <w:pPr>
        <w:pStyle w:val="25"/>
        <w:spacing w:before="120" w:line="360" w:lineRule="auto"/>
        <w:jc w:val="center"/>
        <w:rPr>
          <w:rFonts w:ascii="仿宋_GB2312" w:hAnsi="宋体" w:eastAsia="仿宋_GB2312"/>
          <w:b/>
          <w:sz w:val="36"/>
          <w:szCs w:val="36"/>
        </w:rPr>
      </w:pPr>
    </w:p>
    <w:p>
      <w:pPr>
        <w:pStyle w:val="25"/>
        <w:spacing w:before="120" w:line="360" w:lineRule="auto"/>
        <w:jc w:val="center"/>
        <w:rPr>
          <w:rFonts w:ascii="仿宋_GB2312" w:hAnsi="宋体" w:eastAsia="仿宋_GB2312"/>
          <w:b/>
          <w:sz w:val="36"/>
          <w:szCs w:val="36"/>
        </w:rPr>
      </w:pPr>
    </w:p>
    <w:p>
      <w:pPr>
        <w:pStyle w:val="25"/>
        <w:spacing w:before="120" w:line="360" w:lineRule="auto"/>
        <w:jc w:val="center"/>
        <w:rPr>
          <w:rFonts w:hAnsi="宋体"/>
          <w:b/>
          <w:sz w:val="36"/>
          <w:szCs w:val="36"/>
        </w:rPr>
      </w:pPr>
      <w:r>
        <w:rPr>
          <w:rFonts w:hint="eastAsia" w:hAnsi="宋体"/>
          <w:b/>
          <w:sz w:val="36"/>
          <w:szCs w:val="36"/>
        </w:rPr>
        <w:t>竞争性磋商响应文件（封面）</w:t>
      </w:r>
    </w:p>
    <w:p>
      <w:pPr>
        <w:pStyle w:val="25"/>
        <w:spacing w:before="120" w:line="360" w:lineRule="auto"/>
        <w:rPr>
          <w:rFonts w:hAnsi="宋体"/>
          <w:b/>
          <w:szCs w:val="21"/>
        </w:rPr>
      </w:pPr>
    </w:p>
    <w:p>
      <w:pPr>
        <w:pStyle w:val="25"/>
        <w:spacing w:before="120" w:line="360" w:lineRule="auto"/>
        <w:ind w:firstLine="1820" w:firstLineChars="650"/>
        <w:rPr>
          <w:rFonts w:hAnsi="宋体"/>
          <w:sz w:val="28"/>
          <w:szCs w:val="28"/>
          <w:u w:val="single"/>
        </w:rPr>
      </w:pPr>
      <w:r>
        <w:rPr>
          <w:rFonts w:hint="eastAsia" w:hAnsi="宋体"/>
          <w:b/>
          <w:sz w:val="28"/>
          <w:szCs w:val="28"/>
        </w:rPr>
        <w:t>项目名称：</w:t>
      </w:r>
    </w:p>
    <w:p>
      <w:pPr>
        <w:pStyle w:val="25"/>
        <w:spacing w:before="120" w:line="360" w:lineRule="auto"/>
        <w:ind w:firstLine="1820" w:firstLineChars="650"/>
        <w:rPr>
          <w:rFonts w:hAnsi="宋体"/>
          <w:b/>
          <w:sz w:val="28"/>
          <w:szCs w:val="28"/>
        </w:rPr>
      </w:pPr>
      <w:r>
        <w:rPr>
          <w:rFonts w:hint="eastAsia" w:hAnsi="宋体"/>
          <w:b/>
          <w:sz w:val="28"/>
          <w:szCs w:val="28"/>
        </w:rPr>
        <w:t>项目编号：</w:t>
      </w:r>
    </w:p>
    <w:p>
      <w:pPr>
        <w:pStyle w:val="25"/>
        <w:spacing w:before="120" w:line="360" w:lineRule="auto"/>
        <w:ind w:firstLine="1820" w:firstLineChars="650"/>
        <w:rPr>
          <w:rFonts w:hAnsi="宋体"/>
          <w:b/>
          <w:sz w:val="28"/>
          <w:szCs w:val="28"/>
          <w:u w:val="single"/>
        </w:rPr>
      </w:pPr>
      <w:r>
        <w:rPr>
          <w:rFonts w:hint="eastAsia" w:hAnsi="宋体"/>
          <w:b/>
          <w:sz w:val="28"/>
          <w:szCs w:val="28"/>
        </w:rPr>
        <w:t>标段：</w:t>
      </w:r>
    </w:p>
    <w:p>
      <w:pPr>
        <w:pStyle w:val="25"/>
        <w:spacing w:before="120" w:line="360" w:lineRule="auto"/>
        <w:rPr>
          <w:rFonts w:hAnsi="宋体"/>
          <w:b/>
          <w:sz w:val="28"/>
          <w:szCs w:val="28"/>
        </w:rPr>
      </w:pPr>
    </w:p>
    <w:p>
      <w:pPr>
        <w:pStyle w:val="25"/>
        <w:spacing w:before="120" w:line="360" w:lineRule="auto"/>
        <w:rPr>
          <w:rFonts w:hAnsi="宋体"/>
          <w:b/>
          <w:sz w:val="30"/>
          <w:szCs w:val="30"/>
        </w:rPr>
      </w:pPr>
    </w:p>
    <w:p>
      <w:pPr>
        <w:pStyle w:val="25"/>
        <w:spacing w:before="120" w:line="360" w:lineRule="auto"/>
        <w:rPr>
          <w:rFonts w:hAnsi="宋体"/>
          <w:b/>
          <w:sz w:val="30"/>
          <w:szCs w:val="30"/>
        </w:rPr>
      </w:pPr>
    </w:p>
    <w:p>
      <w:pPr>
        <w:pStyle w:val="25"/>
        <w:spacing w:before="120" w:line="360" w:lineRule="auto"/>
        <w:rPr>
          <w:rFonts w:hAnsi="宋体"/>
          <w:sz w:val="28"/>
          <w:szCs w:val="28"/>
        </w:rPr>
      </w:pPr>
      <w:r>
        <w:rPr>
          <w:rFonts w:hint="eastAsia" w:hAnsi="宋体"/>
          <w:sz w:val="28"/>
          <w:szCs w:val="28"/>
        </w:rPr>
        <w:t xml:space="preserve">            采购代理机构：</w:t>
      </w:r>
    </w:p>
    <w:p>
      <w:pPr>
        <w:pStyle w:val="25"/>
        <w:spacing w:before="120" w:line="360" w:lineRule="auto"/>
        <w:ind w:right="420" w:firstLine="1680" w:firstLineChars="600"/>
        <w:rPr>
          <w:rFonts w:hAnsi="宋体"/>
          <w:sz w:val="28"/>
          <w:szCs w:val="28"/>
        </w:rPr>
      </w:pPr>
      <w:r>
        <w:rPr>
          <w:rFonts w:hint="eastAsia" w:hAnsi="宋体"/>
          <w:sz w:val="28"/>
          <w:szCs w:val="28"/>
        </w:rPr>
        <w:t>磋商供应商名称：</w:t>
      </w:r>
    </w:p>
    <w:p>
      <w:pPr>
        <w:pStyle w:val="25"/>
        <w:spacing w:before="120" w:line="360" w:lineRule="auto"/>
        <w:ind w:right="420" w:firstLine="1680" w:firstLineChars="600"/>
        <w:rPr>
          <w:rFonts w:hAnsi="宋体"/>
          <w:sz w:val="28"/>
          <w:szCs w:val="28"/>
          <w:u w:val="single"/>
        </w:rPr>
      </w:pPr>
    </w:p>
    <w:p>
      <w:pPr>
        <w:spacing w:line="440" w:lineRule="exact"/>
        <w:ind w:left="1077" w:hanging="598"/>
        <w:jc w:val="center"/>
        <w:rPr>
          <w:rFonts w:hAnsi="宋体"/>
          <w:szCs w:val="21"/>
        </w:rPr>
      </w:pPr>
      <w:r>
        <w:rPr>
          <w:rFonts w:hint="eastAsia" w:ascii="宋体" w:hAnsi="宋体"/>
          <w:sz w:val="28"/>
          <w:szCs w:val="28"/>
        </w:rPr>
        <w:t>在年月日时分前不得开启</w:t>
      </w:r>
    </w:p>
    <w:p>
      <w:pPr>
        <w:spacing w:line="440" w:lineRule="exact"/>
        <w:ind w:left="1077" w:hanging="598"/>
        <w:rPr>
          <w:rFonts w:hAnsi="宋体"/>
          <w:szCs w:val="21"/>
        </w:rPr>
      </w:pPr>
    </w:p>
    <w:p>
      <w:pPr>
        <w:spacing w:line="440" w:lineRule="exact"/>
        <w:ind w:left="1077" w:hanging="598"/>
        <w:rPr>
          <w:rFonts w:hAnsi="宋体"/>
          <w:szCs w:val="21"/>
        </w:rPr>
      </w:pPr>
    </w:p>
    <w:p>
      <w:pPr>
        <w:spacing w:line="440" w:lineRule="exact"/>
        <w:ind w:left="1077" w:hanging="598"/>
        <w:rPr>
          <w:rFonts w:hAnsi="宋体"/>
          <w:szCs w:val="21"/>
        </w:rPr>
      </w:pPr>
    </w:p>
    <w:p>
      <w:pPr>
        <w:spacing w:line="440" w:lineRule="exact"/>
        <w:ind w:left="1077" w:hanging="598"/>
        <w:rPr>
          <w:rFonts w:hAnsi="宋体"/>
          <w:szCs w:val="21"/>
        </w:rPr>
      </w:pPr>
    </w:p>
    <w:p>
      <w:pPr>
        <w:spacing w:line="400" w:lineRule="exact"/>
        <w:ind w:firstLine="420" w:firstLineChars="200"/>
        <w:rPr>
          <w:rFonts w:hAnsi="宋体"/>
          <w:szCs w:val="21"/>
        </w:rPr>
      </w:pPr>
    </w:p>
    <w:p>
      <w:pPr>
        <w:spacing w:line="400" w:lineRule="exact"/>
        <w:ind w:firstLine="420" w:firstLineChars="200"/>
        <w:rPr>
          <w:rFonts w:hAnsi="宋体"/>
          <w:szCs w:val="21"/>
        </w:rPr>
      </w:pPr>
    </w:p>
    <w:p>
      <w:pPr>
        <w:spacing w:line="400" w:lineRule="exact"/>
        <w:ind w:firstLine="480" w:firstLineChars="200"/>
        <w:rPr>
          <w:rFonts w:ascii="宋体" w:hAnsi="宋体"/>
          <w:sz w:val="24"/>
        </w:rPr>
      </w:pPr>
    </w:p>
    <w:p>
      <w:pPr>
        <w:spacing w:line="400" w:lineRule="exact"/>
        <w:ind w:firstLine="480" w:firstLineChars="200"/>
        <w:rPr>
          <w:rFonts w:ascii="宋体" w:hAnsi="宋体"/>
          <w:b/>
          <w:sz w:val="24"/>
        </w:rPr>
      </w:pPr>
      <w:r>
        <w:rPr>
          <w:rFonts w:hint="eastAsia" w:ascii="宋体" w:hAnsi="宋体"/>
          <w:b/>
          <w:sz w:val="24"/>
        </w:rPr>
        <w:t>竞标文件目录：</w:t>
      </w:r>
    </w:p>
    <w:p>
      <w:pPr>
        <w:spacing w:line="400" w:lineRule="exact"/>
        <w:ind w:firstLine="420" w:firstLineChars="200"/>
        <w:rPr>
          <w:rFonts w:ascii="宋体"/>
          <w:szCs w:val="21"/>
        </w:rPr>
      </w:pPr>
      <w:r>
        <w:rPr>
          <w:rFonts w:hint="eastAsia" w:ascii="宋体" w:hAnsi="宋体"/>
          <w:szCs w:val="21"/>
        </w:rPr>
        <w:t>1.磋商函（格式见第四章）</w:t>
      </w:r>
      <w:r>
        <w:rPr>
          <w:rFonts w:hint="eastAsia" w:ascii="宋体" w:hAnsi="宋体"/>
          <w:b/>
          <w:szCs w:val="21"/>
        </w:rPr>
        <w:t>（必须提供）；</w:t>
      </w:r>
    </w:p>
    <w:p>
      <w:pPr>
        <w:spacing w:line="400" w:lineRule="exact"/>
        <w:ind w:firstLine="420" w:firstLineChars="200"/>
        <w:rPr>
          <w:rFonts w:ascii="宋体"/>
          <w:szCs w:val="21"/>
        </w:rPr>
      </w:pPr>
      <w:r>
        <w:rPr>
          <w:rFonts w:hint="eastAsia" w:ascii="宋体" w:hAnsi="宋体"/>
          <w:szCs w:val="21"/>
        </w:rPr>
        <w:t>2.报价表（格式见第四章）</w:t>
      </w:r>
      <w:r>
        <w:rPr>
          <w:rFonts w:hint="eastAsia" w:ascii="宋体" w:hAnsi="宋体"/>
          <w:b/>
          <w:szCs w:val="21"/>
        </w:rPr>
        <w:t>（必须提供）</w:t>
      </w:r>
      <w:r>
        <w:rPr>
          <w:rFonts w:hint="eastAsia" w:ascii="宋体" w:hAnsi="宋体"/>
          <w:szCs w:val="21"/>
        </w:rPr>
        <w:t>；</w:t>
      </w:r>
    </w:p>
    <w:p>
      <w:pPr>
        <w:spacing w:line="400" w:lineRule="exact"/>
        <w:ind w:firstLine="420" w:firstLineChars="200"/>
        <w:rPr>
          <w:rFonts w:ascii="宋体"/>
          <w:szCs w:val="21"/>
        </w:rPr>
      </w:pPr>
      <w:r>
        <w:rPr>
          <w:rFonts w:hint="eastAsia" w:ascii="宋体" w:hAnsi="宋体"/>
          <w:szCs w:val="21"/>
        </w:rPr>
        <w:t>3.法定代表人授权委托书原件（格式见第四章）和委托代理人身份证正反两面复印件</w:t>
      </w:r>
      <w:r>
        <w:rPr>
          <w:rFonts w:hint="eastAsia" w:ascii="宋体" w:hAnsi="宋体"/>
          <w:b/>
          <w:szCs w:val="21"/>
        </w:rPr>
        <w:t>（委托时必须提供）</w:t>
      </w:r>
      <w:r>
        <w:rPr>
          <w:rFonts w:hint="eastAsia" w:ascii="宋体" w:hAnsi="宋体"/>
          <w:szCs w:val="21"/>
        </w:rPr>
        <w:t>；</w:t>
      </w:r>
    </w:p>
    <w:p>
      <w:pPr>
        <w:spacing w:line="400" w:lineRule="exact"/>
        <w:ind w:firstLine="420" w:firstLineChars="200"/>
        <w:rPr>
          <w:rFonts w:ascii="宋体"/>
          <w:szCs w:val="21"/>
        </w:rPr>
      </w:pPr>
      <w:r>
        <w:rPr>
          <w:rFonts w:hint="eastAsia" w:ascii="宋体" w:hAnsi="宋体"/>
          <w:szCs w:val="21"/>
        </w:rPr>
        <w:t>4.法定代表人身份证正反两面复印件</w:t>
      </w:r>
      <w:r>
        <w:rPr>
          <w:rFonts w:hint="eastAsia" w:ascii="宋体" w:hAnsi="宋体"/>
          <w:b/>
          <w:szCs w:val="21"/>
        </w:rPr>
        <w:t>（必须提供）</w:t>
      </w:r>
      <w:r>
        <w:rPr>
          <w:rFonts w:hint="eastAsia" w:ascii="宋体" w:hAnsi="宋体"/>
          <w:szCs w:val="21"/>
        </w:rPr>
        <w:t>；</w:t>
      </w:r>
    </w:p>
    <w:p>
      <w:pPr>
        <w:spacing w:line="400" w:lineRule="exact"/>
        <w:ind w:firstLine="420" w:firstLineChars="200"/>
        <w:rPr>
          <w:rFonts w:ascii="宋体"/>
          <w:szCs w:val="21"/>
        </w:rPr>
      </w:pPr>
      <w:r>
        <w:rPr>
          <w:rFonts w:hint="eastAsia" w:ascii="宋体" w:hAnsi="宋体"/>
          <w:szCs w:val="21"/>
        </w:rPr>
        <w:t>5.营业执照副本（或事业单位法人证副本）复印件</w:t>
      </w:r>
      <w:r>
        <w:rPr>
          <w:rFonts w:hint="eastAsia" w:ascii="宋体" w:hAnsi="宋体"/>
          <w:b/>
          <w:szCs w:val="21"/>
        </w:rPr>
        <w:t>（必须提供）</w:t>
      </w:r>
      <w:r>
        <w:rPr>
          <w:rFonts w:hint="eastAsia" w:ascii="宋体" w:hAnsi="宋体"/>
          <w:szCs w:val="21"/>
        </w:rPr>
        <w:t>；</w:t>
      </w:r>
    </w:p>
    <w:p>
      <w:pPr>
        <w:spacing w:line="400" w:lineRule="exact"/>
        <w:ind w:firstLine="420" w:firstLineChars="200"/>
        <w:rPr>
          <w:rFonts w:ascii="宋体"/>
          <w:szCs w:val="21"/>
        </w:rPr>
      </w:pPr>
      <w:r>
        <w:rPr>
          <w:rFonts w:hint="eastAsia" w:ascii="宋体" w:hAnsi="宋体"/>
          <w:b/>
          <w:szCs w:val="21"/>
        </w:rPr>
        <w:t>6.</w:t>
      </w:r>
      <w:r>
        <w:rPr>
          <w:rFonts w:hint="eastAsia" w:ascii="宋体" w:hAnsi="宋体"/>
          <w:szCs w:val="21"/>
        </w:rPr>
        <w:t>竞标保证金交纳证明</w:t>
      </w:r>
      <w:r>
        <w:rPr>
          <w:rFonts w:hint="eastAsia" w:ascii="宋体" w:hAnsi="宋体"/>
          <w:b/>
          <w:szCs w:val="21"/>
        </w:rPr>
        <w:t>（必须提供）；</w:t>
      </w:r>
    </w:p>
    <w:p>
      <w:pPr>
        <w:spacing w:line="400" w:lineRule="exact"/>
        <w:ind w:firstLine="420" w:firstLineChars="200"/>
        <w:rPr>
          <w:rFonts w:ascii="宋体" w:hAnsi="宋体"/>
          <w:szCs w:val="21"/>
        </w:rPr>
      </w:pPr>
      <w:r>
        <w:rPr>
          <w:rFonts w:hint="eastAsia" w:ascii="宋体" w:hAnsi="宋体"/>
          <w:szCs w:val="21"/>
        </w:rPr>
        <w:t>7.竞标声明书</w:t>
      </w:r>
      <w:r>
        <w:rPr>
          <w:rFonts w:hint="eastAsia" w:ascii="宋体" w:hAnsi="宋体"/>
          <w:b/>
          <w:szCs w:val="21"/>
        </w:rPr>
        <w:t>（必须提供）</w:t>
      </w:r>
      <w:r>
        <w:rPr>
          <w:rFonts w:hint="eastAsia" w:ascii="宋体" w:hAnsi="宋体"/>
          <w:szCs w:val="21"/>
        </w:rPr>
        <w:t>；</w:t>
      </w:r>
    </w:p>
    <w:p>
      <w:pPr>
        <w:spacing w:line="400" w:lineRule="exact"/>
        <w:ind w:firstLine="420" w:firstLineChars="200"/>
        <w:rPr>
          <w:rFonts w:ascii="宋体"/>
          <w:szCs w:val="21"/>
        </w:rPr>
      </w:pPr>
      <w:r>
        <w:rPr>
          <w:rFonts w:hint="eastAsia" w:ascii="宋体" w:hAnsi="宋体"/>
          <w:szCs w:val="21"/>
        </w:rPr>
        <w:t>8.截标时间前半年内任意连续三个月竞标人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竞标人所在地的税务部门出具的《依法纳税或依法免税证明》复印件；成立不足</w:t>
      </w:r>
      <w:r>
        <w:rPr>
          <w:rFonts w:ascii="宋体" w:hAnsi="宋体"/>
          <w:szCs w:val="21"/>
        </w:rPr>
        <w:t>3</w:t>
      </w:r>
      <w:r>
        <w:rPr>
          <w:rFonts w:hint="eastAsia" w:ascii="宋体" w:hAnsi="宋体"/>
          <w:szCs w:val="21"/>
        </w:rPr>
        <w:t>个月的供应商按实际情况提供；</w:t>
      </w:r>
      <w:r>
        <w:rPr>
          <w:rFonts w:hint="eastAsia" w:ascii="宋体" w:hAnsi="宋体"/>
          <w:b/>
          <w:szCs w:val="21"/>
        </w:rPr>
        <w:t>（必须提供）</w:t>
      </w:r>
      <w:r>
        <w:rPr>
          <w:rFonts w:ascii="宋体" w:hAnsi="宋体"/>
          <w:b/>
          <w:szCs w:val="21"/>
        </w:rPr>
        <w:t xml:space="preserve"> </w:t>
      </w:r>
    </w:p>
    <w:p>
      <w:pPr>
        <w:spacing w:line="400" w:lineRule="exact"/>
        <w:ind w:firstLine="420" w:firstLineChars="200"/>
        <w:rPr>
          <w:rFonts w:ascii="宋体"/>
          <w:szCs w:val="21"/>
        </w:rPr>
      </w:pPr>
      <w:r>
        <w:rPr>
          <w:rFonts w:hint="eastAsia" w:ascii="宋体" w:hAnsi="宋体"/>
          <w:szCs w:val="21"/>
        </w:rPr>
        <w:t>9.截标时间前半年内，任意连续三个月竞标人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竞标人所在地社保部门出具的《依法缴纳或依法免缴社保费证明》复印件；成立不足</w:t>
      </w:r>
      <w:r>
        <w:rPr>
          <w:rFonts w:ascii="宋体" w:hAnsi="宋体"/>
          <w:szCs w:val="21"/>
        </w:rPr>
        <w:t>3</w:t>
      </w:r>
      <w:r>
        <w:rPr>
          <w:rFonts w:hint="eastAsia" w:ascii="宋体" w:hAnsi="宋体"/>
          <w:szCs w:val="21"/>
        </w:rPr>
        <w:t>个月的供应商按实际情况提供；</w:t>
      </w:r>
      <w:r>
        <w:rPr>
          <w:rFonts w:hint="eastAsia" w:ascii="宋体" w:hAnsi="宋体"/>
          <w:b/>
          <w:szCs w:val="21"/>
        </w:rPr>
        <w:t>（必须提供）</w:t>
      </w:r>
      <w:r>
        <w:rPr>
          <w:rFonts w:ascii="宋体" w:hAnsi="宋体"/>
          <w:szCs w:val="21"/>
        </w:rPr>
        <w:t xml:space="preserve"> </w:t>
      </w:r>
    </w:p>
    <w:p>
      <w:pPr>
        <w:spacing w:line="400" w:lineRule="exact"/>
        <w:ind w:firstLine="420" w:firstLineChars="200"/>
        <w:rPr>
          <w:rFonts w:ascii="宋体"/>
          <w:szCs w:val="21"/>
        </w:rPr>
      </w:pPr>
      <w:r>
        <w:rPr>
          <w:rFonts w:hint="eastAsia" w:ascii="宋体" w:hAnsi="宋体"/>
          <w:szCs w:val="21"/>
        </w:rPr>
        <w:t>10.商务、技术偏离表（格式见第四章）</w:t>
      </w:r>
      <w:r>
        <w:rPr>
          <w:rFonts w:hint="eastAsia" w:ascii="宋体" w:hAnsi="宋体"/>
          <w:b/>
          <w:szCs w:val="21"/>
        </w:rPr>
        <w:t>（必须提供）</w:t>
      </w:r>
      <w:r>
        <w:rPr>
          <w:rFonts w:hint="eastAsia" w:ascii="宋体" w:hAnsi="宋体"/>
          <w:szCs w:val="21"/>
        </w:rPr>
        <w:t>；</w:t>
      </w:r>
    </w:p>
    <w:p>
      <w:pPr>
        <w:spacing w:line="400" w:lineRule="exact"/>
        <w:ind w:firstLine="420" w:firstLineChars="200"/>
        <w:rPr>
          <w:rFonts w:ascii="宋体"/>
          <w:szCs w:val="21"/>
        </w:rPr>
      </w:pPr>
      <w:r>
        <w:rPr>
          <w:rFonts w:hint="eastAsia" w:ascii="宋体" w:hAnsi="宋体"/>
          <w:szCs w:val="21"/>
        </w:rPr>
        <w:t>11.</w:t>
      </w:r>
      <w:r>
        <w:rPr>
          <w:rFonts w:hint="eastAsia"/>
        </w:rPr>
        <w:t xml:space="preserve"> </w:t>
      </w:r>
      <w:r>
        <w:rPr>
          <w:rFonts w:hint="eastAsia" w:ascii="宋体" w:hAnsi="宋体"/>
          <w:szCs w:val="21"/>
        </w:rPr>
        <w:t>技术方案(包含但不限于项目总体方案、项目实施方案、售后服务方案、培训服务方案等，具体内容按评分办法内容进行编制)；</w:t>
      </w:r>
    </w:p>
    <w:p>
      <w:pPr>
        <w:spacing w:line="400" w:lineRule="exact"/>
        <w:ind w:firstLine="420" w:firstLineChars="200"/>
        <w:rPr>
          <w:rFonts w:ascii="宋体"/>
          <w:szCs w:val="21"/>
        </w:rPr>
      </w:pPr>
      <w:r>
        <w:rPr>
          <w:rFonts w:hint="eastAsia" w:ascii="宋体" w:hAnsi="宋体"/>
          <w:szCs w:val="21"/>
        </w:rPr>
        <w:t>12.竞标人认为有必要提供的其他资料。</w:t>
      </w:r>
    </w:p>
    <w:p>
      <w:pPr>
        <w:spacing w:line="440" w:lineRule="exact"/>
        <w:ind w:left="1077" w:hanging="598"/>
        <w:rPr>
          <w:rFonts w:hAnsi="宋体"/>
          <w:szCs w:val="21"/>
        </w:rPr>
      </w:pPr>
    </w:p>
    <w:p>
      <w:pPr>
        <w:spacing w:line="440" w:lineRule="exact"/>
        <w:ind w:left="1077" w:hanging="598"/>
        <w:rPr>
          <w:rFonts w:hAnsi="宋体"/>
          <w:szCs w:val="21"/>
        </w:rPr>
      </w:pPr>
    </w:p>
    <w:p>
      <w:pPr>
        <w:spacing w:line="440" w:lineRule="exact"/>
        <w:ind w:left="1077" w:hanging="598"/>
        <w:rPr>
          <w:rFonts w:hAnsi="宋体"/>
          <w:szCs w:val="21"/>
        </w:rPr>
      </w:pPr>
    </w:p>
    <w:p>
      <w:pPr>
        <w:spacing w:line="440" w:lineRule="exact"/>
        <w:ind w:left="1077" w:hanging="598"/>
        <w:rPr>
          <w:rFonts w:hAnsi="宋体"/>
          <w:szCs w:val="21"/>
        </w:rPr>
      </w:pPr>
    </w:p>
    <w:p>
      <w:pPr>
        <w:spacing w:line="440" w:lineRule="exact"/>
        <w:ind w:left="1077" w:hanging="598"/>
        <w:rPr>
          <w:rFonts w:hAnsi="宋体"/>
          <w:szCs w:val="21"/>
        </w:rPr>
      </w:pPr>
    </w:p>
    <w:p>
      <w:pPr>
        <w:spacing w:line="440" w:lineRule="exact"/>
        <w:ind w:left="1077" w:hanging="598"/>
        <w:rPr>
          <w:rFonts w:hAnsi="宋体"/>
          <w:szCs w:val="21"/>
        </w:rPr>
      </w:pPr>
    </w:p>
    <w:p>
      <w:pPr>
        <w:spacing w:line="440" w:lineRule="exact"/>
        <w:ind w:left="1077" w:hanging="598"/>
        <w:rPr>
          <w:rFonts w:hAnsi="宋体"/>
          <w:szCs w:val="21"/>
        </w:rPr>
      </w:pPr>
    </w:p>
    <w:p>
      <w:pPr>
        <w:spacing w:line="440" w:lineRule="exact"/>
        <w:ind w:left="1071" w:hanging="595"/>
        <w:outlineLvl w:val="1"/>
        <w:rPr>
          <w:rFonts w:hAnsi="宋体"/>
          <w:b/>
          <w:szCs w:val="21"/>
        </w:rPr>
      </w:pPr>
      <w:bookmarkStart w:id="68" w:name="_Toc501090375"/>
      <w:bookmarkStart w:id="69" w:name="_Toc501090512"/>
      <w:r>
        <w:rPr>
          <w:rFonts w:hint="eastAsia" w:hAnsi="宋体"/>
          <w:b/>
          <w:szCs w:val="21"/>
        </w:rPr>
        <w:t>一、磋商函（格式）</w:t>
      </w:r>
      <w:bookmarkEnd w:id="68"/>
      <w:bookmarkEnd w:id="69"/>
    </w:p>
    <w:p>
      <w:pPr>
        <w:pStyle w:val="25"/>
        <w:spacing w:before="120" w:line="360" w:lineRule="auto"/>
        <w:jc w:val="center"/>
        <w:rPr>
          <w:rFonts w:hAnsi="宋体"/>
          <w:b/>
          <w:sz w:val="28"/>
          <w:szCs w:val="28"/>
        </w:rPr>
      </w:pPr>
      <w:r>
        <w:rPr>
          <w:rFonts w:hint="eastAsia" w:hAnsi="宋体"/>
          <w:b/>
          <w:sz w:val="28"/>
          <w:szCs w:val="28"/>
        </w:rPr>
        <w:t>磋商函</w:t>
      </w:r>
    </w:p>
    <w:p>
      <w:pPr>
        <w:pStyle w:val="25"/>
        <w:spacing w:before="120" w:line="360" w:lineRule="auto"/>
        <w:jc w:val="center"/>
        <w:rPr>
          <w:rFonts w:hAnsi="宋体"/>
          <w:b/>
          <w:sz w:val="28"/>
          <w:szCs w:val="28"/>
        </w:rPr>
      </w:pPr>
    </w:p>
    <w:p>
      <w:pPr>
        <w:pStyle w:val="25"/>
        <w:spacing w:before="120" w:line="360" w:lineRule="auto"/>
        <w:rPr>
          <w:rFonts w:hAnsi="宋体"/>
          <w:b/>
          <w:szCs w:val="21"/>
          <w:u w:val="single"/>
        </w:rPr>
      </w:pPr>
      <w:r>
        <w:rPr>
          <w:rFonts w:hint="eastAsia" w:hAnsi="宋体"/>
          <w:b/>
          <w:szCs w:val="21"/>
        </w:rPr>
        <w:t>致：</w:t>
      </w:r>
      <w:r>
        <w:rPr>
          <w:rFonts w:hint="eastAsia" w:hAnsi="宋体"/>
          <w:b/>
          <w:szCs w:val="21"/>
          <w:u w:val="single"/>
        </w:rPr>
        <w:t>广西海恒项目管理有限公司</w:t>
      </w:r>
    </w:p>
    <w:p>
      <w:pPr>
        <w:pStyle w:val="25"/>
        <w:spacing w:before="120" w:line="360" w:lineRule="auto"/>
        <w:ind w:firstLine="420"/>
        <w:rPr>
          <w:rFonts w:hAnsi="宋体"/>
          <w:szCs w:val="21"/>
        </w:rPr>
      </w:pPr>
      <w:r>
        <w:rPr>
          <w:rFonts w:hint="eastAsia" w:hAnsi="宋体"/>
          <w:szCs w:val="21"/>
        </w:rPr>
        <w:t>依据贵方</w:t>
      </w:r>
      <w:r>
        <w:rPr>
          <w:rFonts w:hint="eastAsia" w:hAnsi="宋体"/>
          <w:b/>
          <w:szCs w:val="21"/>
          <w:u w:val="single"/>
        </w:rPr>
        <w:t>（项目名称</w:t>
      </w:r>
      <w:r>
        <w:rPr>
          <w:rFonts w:hAnsi="宋体"/>
          <w:b/>
          <w:szCs w:val="21"/>
          <w:u w:val="single"/>
        </w:rPr>
        <w:t>/</w:t>
      </w:r>
      <w:r>
        <w:rPr>
          <w:rFonts w:hint="eastAsia" w:hAnsi="宋体"/>
          <w:b/>
          <w:szCs w:val="21"/>
          <w:u w:val="single"/>
        </w:rPr>
        <w:t>项目编号）</w:t>
      </w:r>
      <w:r>
        <w:rPr>
          <w:rFonts w:hint="eastAsia" w:hAnsi="宋体"/>
          <w:szCs w:val="21"/>
        </w:rPr>
        <w:t>项目采购的磋商邀请，我方</w:t>
      </w:r>
      <w:r>
        <w:rPr>
          <w:rFonts w:hint="eastAsia" w:hAnsi="宋体"/>
          <w:b/>
          <w:szCs w:val="21"/>
          <w:u w:val="single"/>
        </w:rPr>
        <w:t>（姓名和职务）</w:t>
      </w:r>
      <w:r>
        <w:rPr>
          <w:rFonts w:hint="eastAsia" w:hAnsi="宋体"/>
          <w:szCs w:val="21"/>
        </w:rPr>
        <w:t>经正式授权并代表磋商供应商</w:t>
      </w:r>
      <w:r>
        <w:rPr>
          <w:rFonts w:hint="eastAsia" w:hAnsi="宋体"/>
          <w:b/>
          <w:szCs w:val="21"/>
          <w:u w:val="single"/>
        </w:rPr>
        <w:t>（磋商供应商名称、地址）</w:t>
      </w:r>
      <w:r>
        <w:rPr>
          <w:rFonts w:hint="eastAsia" w:hAnsi="宋体"/>
          <w:szCs w:val="21"/>
        </w:rPr>
        <w:t>提交下述竞争性磋商响应文件正本壹份、副本四份以及电子版响应文件一份。</w:t>
      </w:r>
    </w:p>
    <w:p>
      <w:pPr>
        <w:pStyle w:val="25"/>
        <w:spacing w:before="120" w:line="360" w:lineRule="auto"/>
        <w:ind w:firstLine="420"/>
        <w:rPr>
          <w:rFonts w:hAnsi="宋体"/>
          <w:szCs w:val="21"/>
        </w:rPr>
      </w:pPr>
      <w:r>
        <w:rPr>
          <w:rFonts w:hint="eastAsia" w:hAnsi="宋体"/>
          <w:szCs w:val="21"/>
        </w:rPr>
        <w:t>在此，</w:t>
      </w:r>
      <w:r>
        <w:rPr>
          <w:rFonts w:hint="eastAsia"/>
        </w:rPr>
        <w:t>签字代表</w:t>
      </w:r>
      <w:r>
        <w:rPr>
          <w:rFonts w:hint="eastAsia" w:hAnsi="宋体"/>
          <w:szCs w:val="21"/>
        </w:rPr>
        <w:t>代表宣布同意如下：</w:t>
      </w:r>
    </w:p>
    <w:p>
      <w:pPr>
        <w:pStyle w:val="25"/>
        <w:spacing w:before="120" w:line="360" w:lineRule="auto"/>
        <w:ind w:firstLine="420"/>
        <w:rPr>
          <w:rFonts w:hAnsi="宋体"/>
          <w:szCs w:val="21"/>
        </w:rPr>
      </w:pPr>
      <w:r>
        <w:rPr>
          <w:rFonts w:hAnsi="宋体"/>
          <w:szCs w:val="21"/>
        </w:rPr>
        <w:t>1.</w:t>
      </w:r>
      <w:r>
        <w:rPr>
          <w:rFonts w:hint="eastAsia"/>
        </w:rPr>
        <w:t>我方承诺已具备</w:t>
      </w:r>
      <w:r>
        <w:rPr>
          <w:rFonts w:hint="eastAsia" w:hAnsi="宋体"/>
          <w:szCs w:val="21"/>
        </w:rPr>
        <w:t>磋商采购</w:t>
      </w:r>
      <w:r>
        <w:rPr>
          <w:rFonts w:hint="eastAsia"/>
        </w:rPr>
        <w:t>文件规定的</w:t>
      </w:r>
      <w:r>
        <w:rPr>
          <w:rFonts w:hint="eastAsia" w:hAnsi="宋体"/>
          <w:szCs w:val="21"/>
        </w:rPr>
        <w:t>竞标人</w:t>
      </w:r>
      <w:r>
        <w:rPr>
          <w:rFonts w:hint="eastAsia"/>
        </w:rPr>
        <w:t>资格条件。并</w:t>
      </w:r>
      <w:r>
        <w:rPr>
          <w:rFonts w:hint="eastAsia" w:hAnsi="宋体"/>
          <w:szCs w:val="21"/>
        </w:rPr>
        <w:t>将按竞争性磋商文件的约定履行合同责任和义务。</w:t>
      </w:r>
    </w:p>
    <w:p>
      <w:pPr>
        <w:pStyle w:val="25"/>
        <w:spacing w:before="120" w:line="360" w:lineRule="auto"/>
        <w:ind w:firstLine="420"/>
        <w:rPr>
          <w:rFonts w:hAnsi="宋体"/>
          <w:szCs w:val="21"/>
        </w:rPr>
      </w:pPr>
      <w:r>
        <w:rPr>
          <w:rFonts w:hAnsi="宋体"/>
          <w:szCs w:val="21"/>
        </w:rPr>
        <w:t>2.</w:t>
      </w:r>
      <w:r>
        <w:rPr>
          <w:rFonts w:hint="eastAsia" w:hAnsi="宋体"/>
          <w:szCs w:val="21"/>
        </w:rPr>
        <w:t>已详细审查全部竞争性磋商采购文件，包括</w:t>
      </w:r>
      <w:r>
        <w:rPr>
          <w:rFonts w:hint="eastAsia" w:hAnsi="宋体"/>
          <w:szCs w:val="21"/>
          <w:u w:val="single"/>
        </w:rPr>
        <w:t>（补遗文件）（如果有的话）</w:t>
      </w:r>
      <w:r>
        <w:rPr>
          <w:rFonts w:hint="eastAsia" w:hAnsi="宋体"/>
          <w:szCs w:val="21"/>
        </w:rPr>
        <w:t>；我们完全理解并同意放弃对这方面不明及误解的权利。</w:t>
      </w:r>
    </w:p>
    <w:p>
      <w:pPr>
        <w:pStyle w:val="25"/>
        <w:spacing w:before="120" w:line="360" w:lineRule="auto"/>
        <w:ind w:firstLine="420"/>
        <w:rPr>
          <w:rFonts w:hAnsi="宋体"/>
          <w:szCs w:val="21"/>
        </w:rPr>
      </w:pPr>
      <w:r>
        <w:rPr>
          <w:rFonts w:hAnsi="宋体"/>
          <w:szCs w:val="21"/>
        </w:rPr>
        <w:t>3.</w:t>
      </w:r>
      <w:r>
        <w:rPr>
          <w:rFonts w:hint="eastAsia" w:hAnsi="宋体"/>
          <w:szCs w:val="21"/>
        </w:rPr>
        <w:t>同意提供按照贵方可能要求的与其磋商有关的一切数据或资料。</w:t>
      </w:r>
    </w:p>
    <w:p>
      <w:pPr>
        <w:pStyle w:val="25"/>
        <w:spacing w:before="120" w:line="360" w:lineRule="auto"/>
        <w:ind w:firstLine="420"/>
        <w:rPr>
          <w:rFonts w:hAnsi="宋体"/>
          <w:szCs w:val="21"/>
          <w:u w:val="single"/>
        </w:rPr>
      </w:pPr>
      <w:r>
        <w:rPr>
          <w:rFonts w:hAnsi="宋体"/>
          <w:szCs w:val="21"/>
        </w:rPr>
        <w:t>4.</w:t>
      </w:r>
      <w:r>
        <w:rPr>
          <w:rFonts w:hint="eastAsia" w:hAnsi="宋体"/>
          <w:szCs w:val="21"/>
        </w:rPr>
        <w:t>与本磋商有关的一切正式往来信函请寄：</w:t>
      </w:r>
    </w:p>
    <w:p>
      <w:pPr>
        <w:pStyle w:val="25"/>
        <w:spacing w:before="120" w:line="360" w:lineRule="auto"/>
        <w:ind w:firstLine="420"/>
        <w:rPr>
          <w:rFonts w:hAnsi="宋体"/>
          <w:szCs w:val="21"/>
        </w:rPr>
      </w:pPr>
      <w:r>
        <w:rPr>
          <w:rFonts w:hint="eastAsia" w:hAnsi="宋体"/>
          <w:b/>
          <w:szCs w:val="21"/>
        </w:rPr>
        <w:t>电话</w:t>
      </w:r>
      <w:r>
        <w:rPr>
          <w:rFonts w:hAnsi="宋体"/>
          <w:b/>
          <w:szCs w:val="21"/>
        </w:rPr>
        <w:t>/</w:t>
      </w:r>
      <w:r>
        <w:rPr>
          <w:rFonts w:hint="eastAsia" w:hAnsi="宋体"/>
          <w:b/>
          <w:szCs w:val="21"/>
        </w:rPr>
        <w:t>传真</w:t>
      </w:r>
      <w:r>
        <w:rPr>
          <w:rFonts w:hAnsi="宋体"/>
          <w:b/>
          <w:szCs w:val="21"/>
        </w:rPr>
        <w:t>:</w:t>
      </w:r>
      <w:r>
        <w:rPr>
          <w:rFonts w:hint="eastAsia" w:hAnsi="宋体"/>
          <w:szCs w:val="21"/>
        </w:rPr>
        <w:t xml:space="preserve">               电子函件：</w:t>
      </w:r>
    </w:p>
    <w:p>
      <w:pPr>
        <w:pStyle w:val="25"/>
        <w:spacing w:before="120" w:line="360" w:lineRule="auto"/>
        <w:ind w:firstLine="420"/>
        <w:rPr>
          <w:rFonts w:hAnsi="宋体"/>
          <w:szCs w:val="21"/>
        </w:rPr>
      </w:pPr>
      <w:r>
        <w:rPr>
          <w:rFonts w:hint="eastAsia" w:hAnsi="宋体"/>
          <w:szCs w:val="21"/>
        </w:rPr>
        <w:t>日期： 年 月 日</w:t>
      </w:r>
    </w:p>
    <w:p>
      <w:pPr>
        <w:pStyle w:val="25"/>
        <w:spacing w:before="120" w:line="360" w:lineRule="auto"/>
        <w:ind w:firstLine="420"/>
        <w:rPr>
          <w:rFonts w:hAnsi="宋体"/>
          <w:szCs w:val="21"/>
          <w:u w:val="single"/>
        </w:rPr>
      </w:pPr>
      <w:r>
        <w:rPr>
          <w:rFonts w:hint="eastAsia" w:hAnsi="宋体"/>
          <w:szCs w:val="21"/>
        </w:rPr>
        <w:t>法定代表人或授权代表签字：</w:t>
      </w:r>
    </w:p>
    <w:p>
      <w:pPr>
        <w:pStyle w:val="25"/>
        <w:spacing w:before="120" w:line="360" w:lineRule="auto"/>
        <w:ind w:firstLine="420"/>
        <w:rPr>
          <w:rFonts w:hAnsi="宋体"/>
          <w:szCs w:val="21"/>
          <w:u w:val="single"/>
        </w:rPr>
      </w:pPr>
      <w:r>
        <w:rPr>
          <w:rFonts w:hint="eastAsia" w:hAnsi="宋体"/>
          <w:szCs w:val="21"/>
        </w:rPr>
        <w:t>磋商供应商名称（签章）：</w:t>
      </w:r>
    </w:p>
    <w:p>
      <w:pPr>
        <w:pStyle w:val="25"/>
        <w:spacing w:before="120" w:line="360" w:lineRule="auto"/>
        <w:ind w:firstLine="420"/>
        <w:rPr>
          <w:rFonts w:hAnsi="宋体"/>
          <w:szCs w:val="21"/>
        </w:rPr>
      </w:pPr>
      <w:r>
        <w:rPr>
          <w:rFonts w:hint="eastAsia" w:hAnsi="宋体"/>
          <w:szCs w:val="21"/>
        </w:rPr>
        <w:t>开户银行：账号</w:t>
      </w:r>
      <w:r>
        <w:rPr>
          <w:rFonts w:hAnsi="宋体"/>
          <w:szCs w:val="21"/>
        </w:rPr>
        <w:t>/</w:t>
      </w:r>
      <w:r>
        <w:rPr>
          <w:rFonts w:hint="eastAsia" w:hAnsi="宋体"/>
          <w:szCs w:val="21"/>
        </w:rPr>
        <w:t>行号：</w:t>
      </w:r>
    </w:p>
    <w:p>
      <w:pPr>
        <w:pStyle w:val="25"/>
        <w:spacing w:before="120" w:line="360" w:lineRule="auto"/>
        <w:ind w:firstLine="420"/>
        <w:rPr>
          <w:rFonts w:hAnsi="宋体"/>
          <w:szCs w:val="21"/>
        </w:rPr>
      </w:pPr>
    </w:p>
    <w:p>
      <w:pPr>
        <w:pStyle w:val="25"/>
        <w:spacing w:before="120" w:line="360" w:lineRule="auto"/>
        <w:ind w:firstLine="420"/>
        <w:rPr>
          <w:rFonts w:hAnsi="宋体"/>
          <w:szCs w:val="21"/>
        </w:rPr>
      </w:pPr>
    </w:p>
    <w:p>
      <w:pPr>
        <w:pStyle w:val="25"/>
        <w:spacing w:before="120" w:line="360" w:lineRule="auto"/>
        <w:ind w:firstLine="420"/>
        <w:rPr>
          <w:rFonts w:hAnsi="宋体"/>
          <w:szCs w:val="21"/>
        </w:rPr>
      </w:pPr>
    </w:p>
    <w:p>
      <w:pPr>
        <w:pStyle w:val="25"/>
        <w:spacing w:before="120" w:line="360" w:lineRule="auto"/>
        <w:ind w:firstLine="420"/>
        <w:rPr>
          <w:rFonts w:hAnsi="宋体"/>
          <w:szCs w:val="21"/>
        </w:rPr>
      </w:pPr>
    </w:p>
    <w:p>
      <w:pPr>
        <w:pStyle w:val="25"/>
        <w:spacing w:line="440" w:lineRule="exact"/>
        <w:ind w:left="1071" w:hanging="595"/>
        <w:outlineLvl w:val="1"/>
        <w:rPr>
          <w:rFonts w:hAnsi="宋体"/>
          <w:b/>
          <w:szCs w:val="21"/>
        </w:rPr>
      </w:pPr>
      <w:bookmarkStart w:id="70" w:name="_Toc501090513"/>
      <w:bookmarkStart w:id="71" w:name="_Toc501090376"/>
    </w:p>
    <w:p>
      <w:pPr>
        <w:pStyle w:val="25"/>
        <w:spacing w:line="440" w:lineRule="exact"/>
        <w:ind w:left="1071" w:hanging="595"/>
        <w:outlineLvl w:val="1"/>
        <w:rPr>
          <w:rFonts w:hAnsi="宋体"/>
          <w:b/>
          <w:szCs w:val="21"/>
        </w:rPr>
      </w:pPr>
      <w:r>
        <w:rPr>
          <w:rFonts w:hint="eastAsia" w:hAnsi="宋体"/>
          <w:b/>
          <w:szCs w:val="21"/>
        </w:rPr>
        <w:t>二、报价表</w:t>
      </w:r>
      <w:bookmarkEnd w:id="70"/>
      <w:bookmarkEnd w:id="71"/>
    </w:p>
    <w:p>
      <w:pPr>
        <w:snapToGrid w:val="0"/>
        <w:spacing w:before="295" w:after="295" w:line="480" w:lineRule="exact"/>
        <w:jc w:val="center"/>
        <w:rPr>
          <w:rFonts w:ascii="宋体" w:hAnsi="宋体" w:cs="Courier New"/>
          <w:b/>
          <w:sz w:val="28"/>
          <w:szCs w:val="28"/>
        </w:rPr>
      </w:pPr>
      <w:bookmarkStart w:id="72" w:name="_Toc501090377"/>
      <w:bookmarkStart w:id="73" w:name="_Toc501090514"/>
      <w:r>
        <w:rPr>
          <w:rFonts w:hint="eastAsia" w:ascii="宋体" w:hAnsi="宋体" w:cs="Courier New"/>
          <w:b/>
          <w:sz w:val="28"/>
          <w:szCs w:val="28"/>
        </w:rPr>
        <w:t>服务类投标报价表（格式）</w:t>
      </w:r>
    </w:p>
    <w:tbl>
      <w:tblPr>
        <w:tblStyle w:val="46"/>
        <w:tblW w:w="971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7"/>
        <w:gridCol w:w="1134"/>
        <w:gridCol w:w="1276"/>
        <w:gridCol w:w="1481"/>
        <w:gridCol w:w="2063"/>
        <w:gridCol w:w="1559"/>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22"/>
              </w:rPr>
            </w:pPr>
            <w:r>
              <w:rPr>
                <w:rFonts w:hint="eastAsia" w:ascii="宋体" w:hAnsi="宋体"/>
                <w:sz w:val="22"/>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22"/>
              </w:rPr>
            </w:pPr>
            <w:r>
              <w:rPr>
                <w:rFonts w:hint="eastAsia" w:ascii="宋体" w:hAnsi="宋体"/>
                <w:sz w:val="22"/>
              </w:rPr>
              <w:t>服务名称</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2"/>
              </w:rPr>
            </w:pPr>
            <w:r>
              <w:rPr>
                <w:rFonts w:hint="eastAsia" w:ascii="宋体" w:hAnsi="宋体"/>
                <w:sz w:val="22"/>
              </w:rPr>
              <w:t>服务内容</w:t>
            </w:r>
          </w:p>
        </w:tc>
        <w:tc>
          <w:tcPr>
            <w:tcW w:w="148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22"/>
              </w:rPr>
            </w:pPr>
            <w:r>
              <w:rPr>
                <w:rFonts w:hint="eastAsia" w:ascii="宋体" w:hAnsi="宋体"/>
                <w:sz w:val="22"/>
              </w:rPr>
              <w:t>数量</w:t>
            </w:r>
            <w:r>
              <w:rPr>
                <w:rFonts w:hint="eastAsia" w:ascii="宋体" w:hAnsi="宋体"/>
                <w:b/>
                <w:sz w:val="22"/>
                <w:szCs w:val="30"/>
              </w:rPr>
              <w:t>①</w:t>
            </w:r>
          </w:p>
        </w:tc>
        <w:tc>
          <w:tcPr>
            <w:tcW w:w="20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22"/>
              </w:rPr>
            </w:pPr>
            <w:r>
              <w:rPr>
                <w:rFonts w:hint="eastAsia" w:ascii="宋体" w:hAnsi="宋体"/>
                <w:sz w:val="22"/>
              </w:rPr>
              <w:t>单价</w:t>
            </w:r>
            <w:r>
              <w:rPr>
                <w:rFonts w:hint="eastAsia" w:ascii="宋体" w:hAnsi="宋体"/>
                <w:b/>
                <w:sz w:val="22"/>
                <w:szCs w:val="30"/>
              </w:rPr>
              <w:t>②</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22"/>
              </w:rPr>
            </w:pPr>
            <w:r>
              <w:rPr>
                <w:rFonts w:hint="eastAsia" w:ascii="宋体" w:hAnsi="宋体"/>
                <w:sz w:val="22"/>
              </w:rPr>
              <w:t>单项合价（元）</w:t>
            </w:r>
          </w:p>
          <w:p>
            <w:pPr>
              <w:tabs>
                <w:tab w:val="left" w:pos="1418"/>
              </w:tabs>
              <w:snapToGrid w:val="0"/>
              <w:spacing w:before="50" w:after="50"/>
              <w:jc w:val="center"/>
              <w:rPr>
                <w:rFonts w:ascii="宋体" w:hAnsi="宋体"/>
                <w:sz w:val="22"/>
              </w:rPr>
            </w:pPr>
            <w:r>
              <w:rPr>
                <w:rFonts w:hint="eastAsia" w:ascii="宋体" w:hAnsi="宋体"/>
                <w:b/>
                <w:sz w:val="22"/>
                <w:szCs w:val="30"/>
              </w:rPr>
              <w:t>③=①×②</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22"/>
              </w:rPr>
            </w:pPr>
            <w:r>
              <w:rPr>
                <w:rFonts w:hint="eastAsia" w:ascii="宋体" w:hAnsi="宋体"/>
                <w:sz w:val="22"/>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r>
              <w:rPr>
                <w:rFonts w:hint="eastAsia" w:ascii="宋体" w:hAnsi="宋体"/>
                <w:spacing w:val="20"/>
                <w:sz w:val="24"/>
                <w:szCs w:val="20"/>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kern w:val="0"/>
                <w:szCs w:val="21"/>
              </w:rPr>
            </w:pPr>
          </w:p>
        </w:tc>
        <w:tc>
          <w:tcPr>
            <w:tcW w:w="148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p>
        </w:tc>
        <w:tc>
          <w:tcPr>
            <w:tcW w:w="20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2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r>
              <w:rPr>
                <w:rFonts w:hint="eastAsia" w:ascii="宋体" w:hAnsi="宋体"/>
                <w:spacing w:val="20"/>
                <w:sz w:val="24"/>
                <w:szCs w:val="20"/>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kern w:val="0"/>
                <w:szCs w:val="21"/>
              </w:rPr>
            </w:pPr>
          </w:p>
        </w:tc>
        <w:tc>
          <w:tcPr>
            <w:tcW w:w="148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p>
        </w:tc>
        <w:tc>
          <w:tcPr>
            <w:tcW w:w="20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2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r>
              <w:rPr>
                <w:rFonts w:hint="eastAsia" w:ascii="宋体" w:hAnsi="宋体"/>
                <w:spacing w:val="20"/>
                <w:sz w:val="24"/>
                <w:szCs w:val="20"/>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48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p>
        </w:tc>
        <w:tc>
          <w:tcPr>
            <w:tcW w:w="20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92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r>
              <w:rPr>
                <w:rFonts w:hint="eastAsia" w:ascii="宋体" w:hAnsi="宋体"/>
                <w:spacing w:val="20"/>
                <w:sz w:val="24"/>
                <w:szCs w:val="20"/>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48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p>
        </w:tc>
        <w:tc>
          <w:tcPr>
            <w:tcW w:w="20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716" w:type="dxa"/>
            <w:gridSpan w:val="7"/>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left"/>
              <w:rPr>
                <w:rFonts w:ascii="宋体" w:hAnsi="宋体"/>
                <w:szCs w:val="21"/>
              </w:rPr>
            </w:pPr>
            <w:r>
              <w:rPr>
                <w:rFonts w:hint="eastAsia" w:ascii="宋体" w:hAnsi="宋体"/>
                <w:szCs w:val="21"/>
              </w:rPr>
              <w:t>报价合计（包含税费等所有费用）：（大写）人民币（￥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9716" w:type="dxa"/>
            <w:gridSpan w:val="7"/>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left"/>
              <w:rPr>
                <w:rFonts w:ascii="宋体" w:hAnsi="宋体"/>
                <w:spacing w:val="20"/>
                <w:szCs w:val="21"/>
              </w:rPr>
            </w:pPr>
            <w:r>
              <w:rPr>
                <w:rFonts w:hint="eastAsia" w:ascii="宋体" w:hAnsi="宋体"/>
                <w:spacing w:val="20"/>
                <w:szCs w:val="21"/>
              </w:rPr>
              <w:t>__分标（此处有分标时填写具体分标号，无分标时填写“无”）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9716" w:type="dxa"/>
            <w:gridSpan w:val="7"/>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left"/>
              <w:rPr>
                <w:rFonts w:ascii="宋体" w:hAnsi="宋体"/>
                <w:spacing w:val="20"/>
                <w:szCs w:val="21"/>
              </w:rPr>
            </w:pPr>
            <w:r>
              <w:rPr>
                <w:rFonts w:hint="eastAsia" w:ascii="宋体" w:hAnsi="宋体"/>
                <w:spacing w:val="20"/>
                <w:szCs w:val="21"/>
              </w:rPr>
              <w:t>竞标人（盖单位公章）：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9716" w:type="dxa"/>
            <w:gridSpan w:val="7"/>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left"/>
            </w:pPr>
            <w:r>
              <w:rPr>
                <w:rFonts w:hint="eastAsia"/>
              </w:rPr>
              <w:t>法定代表人或其委托代理人（签字或盖章）：</w:t>
            </w:r>
          </w:p>
        </w:tc>
      </w:tr>
    </w:tbl>
    <w:p>
      <w:pPr>
        <w:snapToGrid w:val="0"/>
        <w:spacing w:before="295" w:after="295" w:line="480" w:lineRule="exact"/>
        <w:rPr>
          <w:rFonts w:ascii="宋体" w:hAnsi="宋体" w:cs="Courier New"/>
          <w:spacing w:val="20"/>
          <w:szCs w:val="21"/>
        </w:rPr>
      </w:pPr>
      <w:r>
        <w:rPr>
          <w:rFonts w:hint="eastAsia" w:ascii="宋体" w:hAnsi="宋体" w:cs="Courier New"/>
          <w:spacing w:val="20"/>
          <w:szCs w:val="21"/>
        </w:rPr>
        <w:t>注：表格内容均需按要求填写并盖章，不得留空，否则按磋商无效处理。</w:t>
      </w:r>
    </w:p>
    <w:p/>
    <w:p/>
    <w:p/>
    <w:p/>
    <w:p/>
    <w:p/>
    <w:p/>
    <w:p/>
    <w:p/>
    <w:p/>
    <w:p/>
    <w:p/>
    <w:p/>
    <w:p/>
    <w:p/>
    <w:p/>
    <w:p>
      <w:pPr>
        <w:pStyle w:val="25"/>
        <w:spacing w:line="440" w:lineRule="exact"/>
        <w:ind w:left="1071" w:hanging="595"/>
        <w:outlineLvl w:val="1"/>
        <w:rPr>
          <w:rFonts w:hAnsi="宋体"/>
          <w:b/>
          <w:szCs w:val="21"/>
        </w:rPr>
      </w:pPr>
      <w:r>
        <w:rPr>
          <w:rFonts w:hint="eastAsia" w:hAnsi="宋体"/>
          <w:b/>
          <w:szCs w:val="21"/>
        </w:rPr>
        <w:t>三、法定代表人授权书（格式）</w:t>
      </w:r>
      <w:bookmarkEnd w:id="72"/>
      <w:bookmarkEnd w:id="73"/>
    </w:p>
    <w:p>
      <w:pPr>
        <w:pStyle w:val="25"/>
        <w:spacing w:before="120" w:line="360" w:lineRule="auto"/>
        <w:rPr>
          <w:rFonts w:hAnsi="宋体"/>
          <w:szCs w:val="21"/>
        </w:rPr>
      </w:pPr>
    </w:p>
    <w:p>
      <w:pPr>
        <w:pStyle w:val="25"/>
        <w:spacing w:before="120" w:line="360" w:lineRule="auto"/>
        <w:jc w:val="center"/>
        <w:rPr>
          <w:rFonts w:hAnsi="宋体"/>
          <w:b/>
          <w:sz w:val="28"/>
          <w:szCs w:val="28"/>
        </w:rPr>
      </w:pPr>
      <w:r>
        <w:rPr>
          <w:rFonts w:hint="eastAsia" w:hAnsi="宋体"/>
          <w:b/>
          <w:sz w:val="28"/>
          <w:szCs w:val="28"/>
        </w:rPr>
        <w:t>法定代表人授权书</w:t>
      </w:r>
    </w:p>
    <w:p>
      <w:pPr>
        <w:pStyle w:val="25"/>
        <w:spacing w:before="120" w:line="360" w:lineRule="auto"/>
        <w:rPr>
          <w:rFonts w:hAnsi="宋体"/>
          <w:b/>
          <w:sz w:val="22"/>
          <w:szCs w:val="22"/>
        </w:rPr>
      </w:pPr>
    </w:p>
    <w:p>
      <w:pPr>
        <w:pStyle w:val="25"/>
        <w:spacing w:before="120" w:line="360" w:lineRule="auto"/>
        <w:rPr>
          <w:rFonts w:hAnsi="宋体"/>
          <w:b/>
          <w:sz w:val="24"/>
          <w:szCs w:val="21"/>
          <w:u w:val="single"/>
        </w:rPr>
      </w:pPr>
      <w:r>
        <w:rPr>
          <w:rFonts w:hint="eastAsia" w:hAnsi="宋体"/>
          <w:b/>
          <w:sz w:val="24"/>
          <w:szCs w:val="21"/>
        </w:rPr>
        <w:t>致：</w:t>
      </w:r>
      <w:r>
        <w:rPr>
          <w:rFonts w:hint="eastAsia" w:hAnsi="宋体"/>
          <w:b/>
          <w:sz w:val="24"/>
          <w:szCs w:val="21"/>
          <w:u w:val="single"/>
        </w:rPr>
        <w:t>广西海恒项目管理有限公司</w:t>
      </w:r>
    </w:p>
    <w:p>
      <w:pPr>
        <w:pStyle w:val="25"/>
        <w:spacing w:before="120" w:line="360" w:lineRule="auto"/>
        <w:ind w:firstLine="480" w:firstLineChars="200"/>
        <w:rPr>
          <w:rFonts w:hAnsi="宋体"/>
          <w:sz w:val="24"/>
          <w:szCs w:val="21"/>
          <w:u w:val="single"/>
        </w:rPr>
      </w:pPr>
      <w:r>
        <w:rPr>
          <w:rFonts w:hint="eastAsia" w:hAnsi="宋体"/>
          <w:sz w:val="24"/>
          <w:szCs w:val="21"/>
        </w:rPr>
        <w:t>兹授权</w:t>
      </w:r>
      <w:r>
        <w:rPr>
          <w:rFonts w:hint="eastAsia" w:hAnsi="宋体"/>
          <w:sz w:val="24"/>
          <w:szCs w:val="21"/>
          <w:u w:val="single"/>
        </w:rPr>
        <w:t xml:space="preserve">    </w:t>
      </w:r>
      <w:r>
        <w:rPr>
          <w:rFonts w:hint="eastAsia" w:hAnsi="宋体"/>
          <w:sz w:val="24"/>
          <w:szCs w:val="21"/>
        </w:rPr>
        <w:t>同志为我公司参加贵单位组织的</w:t>
      </w:r>
      <w:r>
        <w:rPr>
          <w:rFonts w:hAnsi="宋体"/>
          <w:b/>
          <w:sz w:val="24"/>
          <w:szCs w:val="21"/>
          <w:u w:val="single"/>
        </w:rPr>
        <w:t>(</w:t>
      </w:r>
      <w:r>
        <w:rPr>
          <w:rFonts w:hint="eastAsia" w:hAnsi="宋体"/>
          <w:b/>
          <w:sz w:val="24"/>
          <w:szCs w:val="21"/>
          <w:u w:val="single"/>
        </w:rPr>
        <w:t>项目名称</w:t>
      </w:r>
      <w:r>
        <w:rPr>
          <w:rFonts w:hAnsi="宋体"/>
          <w:b/>
          <w:sz w:val="24"/>
          <w:szCs w:val="21"/>
          <w:u w:val="single"/>
        </w:rPr>
        <w:t>/</w:t>
      </w:r>
      <w:r>
        <w:rPr>
          <w:rFonts w:hint="eastAsia" w:hAnsi="宋体"/>
          <w:b/>
          <w:sz w:val="24"/>
          <w:szCs w:val="21"/>
          <w:u w:val="single"/>
        </w:rPr>
        <w:t>项目编号</w:t>
      </w:r>
      <w:r>
        <w:rPr>
          <w:rFonts w:hAnsi="宋体"/>
          <w:b/>
          <w:sz w:val="24"/>
          <w:szCs w:val="21"/>
        </w:rPr>
        <w:t>)</w:t>
      </w:r>
      <w:r>
        <w:rPr>
          <w:rFonts w:hint="eastAsia" w:hAnsi="宋体"/>
          <w:sz w:val="24"/>
          <w:szCs w:val="21"/>
        </w:rPr>
        <w:t>采购活动的磋商代表人，全权代表我公司处理在该项目活动中的一切事宜。代理期限从</w:t>
      </w:r>
      <w:r>
        <w:rPr>
          <w:rFonts w:hint="eastAsia" w:hAnsi="宋体"/>
          <w:sz w:val="24"/>
          <w:szCs w:val="21"/>
          <w:u w:val="single"/>
        </w:rPr>
        <w:t xml:space="preserve">    </w:t>
      </w:r>
      <w:r>
        <w:rPr>
          <w:rFonts w:hint="eastAsia" w:hAnsi="宋体"/>
          <w:sz w:val="24"/>
          <w:szCs w:val="21"/>
        </w:rPr>
        <w:t>年</w:t>
      </w:r>
      <w:r>
        <w:rPr>
          <w:rFonts w:hint="eastAsia" w:hAnsi="宋体"/>
          <w:sz w:val="24"/>
          <w:szCs w:val="21"/>
          <w:u w:val="single"/>
        </w:rPr>
        <w:t xml:space="preserve">    </w:t>
      </w:r>
      <w:r>
        <w:rPr>
          <w:rFonts w:hint="eastAsia" w:hAnsi="宋体"/>
          <w:sz w:val="24"/>
          <w:szCs w:val="21"/>
        </w:rPr>
        <w:t>月</w:t>
      </w:r>
      <w:r>
        <w:rPr>
          <w:rFonts w:hint="eastAsia" w:hAnsi="宋体"/>
          <w:sz w:val="24"/>
          <w:szCs w:val="21"/>
          <w:u w:val="single"/>
        </w:rPr>
        <w:t xml:space="preserve">    </w:t>
      </w:r>
      <w:r>
        <w:rPr>
          <w:rFonts w:hint="eastAsia" w:hAnsi="宋体"/>
          <w:sz w:val="24"/>
          <w:szCs w:val="21"/>
        </w:rPr>
        <w:t>日起至</w:t>
      </w:r>
      <w:r>
        <w:rPr>
          <w:rFonts w:hint="eastAsia" w:hAnsi="宋体"/>
          <w:sz w:val="24"/>
          <w:szCs w:val="21"/>
          <w:u w:val="single"/>
        </w:rPr>
        <w:t xml:space="preserve">   </w:t>
      </w:r>
      <w:r>
        <w:rPr>
          <w:rFonts w:hint="eastAsia" w:hAnsi="宋体"/>
          <w:sz w:val="24"/>
          <w:szCs w:val="21"/>
        </w:rPr>
        <w:t>年</w:t>
      </w:r>
      <w:r>
        <w:rPr>
          <w:rFonts w:hint="eastAsia" w:hAnsi="宋体"/>
          <w:sz w:val="24"/>
          <w:szCs w:val="21"/>
          <w:u w:val="single"/>
        </w:rPr>
        <w:t xml:space="preserve">   </w:t>
      </w:r>
      <w:r>
        <w:rPr>
          <w:rFonts w:hint="eastAsia" w:hAnsi="宋体"/>
          <w:sz w:val="24"/>
          <w:szCs w:val="21"/>
        </w:rPr>
        <w:t>月</w:t>
      </w:r>
      <w:r>
        <w:rPr>
          <w:rFonts w:hint="eastAsia" w:hAnsi="宋体"/>
          <w:sz w:val="24"/>
          <w:szCs w:val="21"/>
          <w:u w:val="single"/>
        </w:rPr>
        <w:t xml:space="preserve">   </w:t>
      </w:r>
      <w:r>
        <w:rPr>
          <w:rFonts w:hint="eastAsia" w:hAnsi="宋体"/>
          <w:sz w:val="24"/>
          <w:szCs w:val="21"/>
        </w:rPr>
        <w:t>日止。</w:t>
      </w:r>
    </w:p>
    <w:p>
      <w:pPr>
        <w:pStyle w:val="25"/>
        <w:spacing w:before="120" w:line="360" w:lineRule="auto"/>
        <w:ind w:firstLine="420"/>
        <w:rPr>
          <w:rFonts w:hAnsi="宋体"/>
          <w:sz w:val="24"/>
          <w:szCs w:val="21"/>
        </w:rPr>
      </w:pPr>
      <w:r>
        <w:rPr>
          <w:rFonts w:hint="eastAsia" w:hAnsi="宋体"/>
          <w:sz w:val="24"/>
          <w:szCs w:val="21"/>
        </w:rPr>
        <w:t>授权单位（盖章）：</w:t>
      </w:r>
    </w:p>
    <w:p>
      <w:pPr>
        <w:pStyle w:val="25"/>
        <w:spacing w:before="120" w:line="360" w:lineRule="auto"/>
        <w:ind w:firstLine="420"/>
        <w:rPr>
          <w:rFonts w:hAnsi="宋体"/>
          <w:sz w:val="24"/>
          <w:szCs w:val="21"/>
          <w:u w:val="single"/>
        </w:rPr>
      </w:pPr>
      <w:r>
        <w:rPr>
          <w:rFonts w:hint="eastAsia" w:hAnsi="宋体"/>
          <w:sz w:val="24"/>
          <w:szCs w:val="21"/>
        </w:rPr>
        <w:t>法定代表人（签字）：</w:t>
      </w:r>
    </w:p>
    <w:p>
      <w:pPr>
        <w:pStyle w:val="25"/>
        <w:spacing w:before="120" w:line="360" w:lineRule="auto"/>
        <w:ind w:firstLine="420"/>
        <w:rPr>
          <w:rFonts w:hAnsi="宋体"/>
          <w:sz w:val="24"/>
          <w:szCs w:val="21"/>
        </w:rPr>
      </w:pPr>
      <w:r>
        <w:rPr>
          <w:rFonts w:hint="eastAsia" w:hAnsi="宋体"/>
          <w:sz w:val="24"/>
          <w:szCs w:val="21"/>
        </w:rPr>
        <w:t>签发日期：年月日</w:t>
      </w:r>
    </w:p>
    <w:p>
      <w:pPr>
        <w:pStyle w:val="25"/>
        <w:spacing w:before="120" w:line="360" w:lineRule="auto"/>
        <w:ind w:firstLine="420"/>
        <w:rPr>
          <w:rFonts w:hAnsi="宋体"/>
          <w:sz w:val="24"/>
          <w:szCs w:val="21"/>
        </w:rPr>
      </w:pPr>
    </w:p>
    <w:p>
      <w:pPr>
        <w:pStyle w:val="25"/>
        <w:spacing w:before="120" w:line="360" w:lineRule="auto"/>
        <w:ind w:firstLine="420"/>
        <w:rPr>
          <w:rFonts w:hAnsi="宋体"/>
          <w:sz w:val="24"/>
          <w:szCs w:val="21"/>
          <w:u w:val="single"/>
        </w:rPr>
      </w:pPr>
      <w:r>
        <w:rPr>
          <w:rFonts w:hint="eastAsia" w:hAnsi="宋体"/>
          <w:sz w:val="24"/>
          <w:szCs w:val="21"/>
        </w:rPr>
        <w:t>附：代理人工作单位：</w:t>
      </w:r>
    </w:p>
    <w:p>
      <w:pPr>
        <w:pStyle w:val="25"/>
        <w:spacing w:before="120" w:line="360" w:lineRule="auto"/>
        <w:ind w:firstLine="420"/>
        <w:rPr>
          <w:rFonts w:hAnsi="宋体"/>
          <w:sz w:val="24"/>
          <w:szCs w:val="21"/>
          <w:u w:val="single"/>
        </w:rPr>
      </w:pPr>
      <w:r>
        <w:rPr>
          <w:rFonts w:hint="eastAsia" w:hAnsi="宋体"/>
          <w:sz w:val="24"/>
          <w:szCs w:val="21"/>
        </w:rPr>
        <w:t>职务：性别：</w:t>
      </w:r>
    </w:p>
    <w:p>
      <w:pPr>
        <w:pStyle w:val="25"/>
        <w:spacing w:before="120" w:line="360" w:lineRule="auto"/>
        <w:ind w:firstLine="420"/>
        <w:rPr>
          <w:rFonts w:hAnsi="宋体"/>
          <w:sz w:val="24"/>
          <w:szCs w:val="21"/>
        </w:rPr>
      </w:pPr>
      <w:r>
        <w:rPr>
          <w:rFonts w:hint="eastAsia" w:hAnsi="宋体"/>
          <w:sz w:val="24"/>
          <w:szCs w:val="21"/>
        </w:rPr>
        <w:t>身份证号码：</w:t>
      </w:r>
    </w:p>
    <w:p>
      <w:pPr>
        <w:pStyle w:val="25"/>
        <w:spacing w:before="120" w:line="360" w:lineRule="auto"/>
        <w:ind w:firstLine="420"/>
        <w:rPr>
          <w:rFonts w:hAnsi="宋体"/>
          <w:sz w:val="24"/>
          <w:szCs w:val="21"/>
        </w:rPr>
      </w:pPr>
    </w:p>
    <w:tbl>
      <w:tblPr>
        <w:tblStyle w:val="46"/>
        <w:tblW w:w="8760"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8760" w:type="dxa"/>
          </w:tcPr>
          <w:p>
            <w:pPr>
              <w:pStyle w:val="25"/>
              <w:spacing w:before="120" w:line="360" w:lineRule="auto"/>
              <w:rPr>
                <w:rFonts w:hAnsi="宋体"/>
                <w:b/>
                <w:sz w:val="24"/>
                <w:szCs w:val="21"/>
              </w:rPr>
            </w:pPr>
            <w:r>
              <w:rPr>
                <w:rFonts w:hint="eastAsia" w:hAnsi="宋体"/>
                <w:b/>
                <w:sz w:val="24"/>
                <w:szCs w:val="21"/>
              </w:rPr>
              <w:t>附法定代表人以及被授权人身份证（正，反复印件）</w:t>
            </w:r>
          </w:p>
          <w:p>
            <w:pPr>
              <w:pStyle w:val="25"/>
              <w:spacing w:before="120" w:line="360" w:lineRule="auto"/>
              <w:ind w:firstLine="420"/>
              <w:rPr>
                <w:rFonts w:hAnsi="宋体"/>
                <w:sz w:val="24"/>
                <w:szCs w:val="21"/>
              </w:rPr>
            </w:pPr>
          </w:p>
          <w:p>
            <w:pPr>
              <w:pStyle w:val="25"/>
              <w:spacing w:before="120" w:line="360" w:lineRule="auto"/>
              <w:ind w:firstLine="420"/>
              <w:rPr>
                <w:rFonts w:hAnsi="宋体"/>
                <w:sz w:val="24"/>
                <w:szCs w:val="21"/>
              </w:rPr>
            </w:pPr>
          </w:p>
          <w:p>
            <w:pPr>
              <w:pStyle w:val="25"/>
              <w:spacing w:before="120" w:line="360" w:lineRule="auto"/>
              <w:ind w:firstLine="420"/>
              <w:rPr>
                <w:rFonts w:hAnsi="宋体"/>
                <w:sz w:val="24"/>
                <w:szCs w:val="21"/>
              </w:rPr>
            </w:pPr>
          </w:p>
          <w:p>
            <w:pPr>
              <w:pStyle w:val="25"/>
              <w:spacing w:before="120" w:line="360" w:lineRule="auto"/>
              <w:ind w:firstLine="420"/>
              <w:rPr>
                <w:rFonts w:hAnsi="宋体"/>
                <w:sz w:val="24"/>
                <w:szCs w:val="21"/>
              </w:rPr>
            </w:pPr>
          </w:p>
        </w:tc>
      </w:tr>
    </w:tbl>
    <w:p>
      <w:pPr>
        <w:pStyle w:val="25"/>
        <w:spacing w:before="120" w:line="360" w:lineRule="auto"/>
        <w:ind w:firstLine="420"/>
        <w:rPr>
          <w:rFonts w:hAnsi="宋体"/>
          <w:szCs w:val="21"/>
        </w:rPr>
        <w:sectPr>
          <w:headerReference r:id="rId6" w:type="default"/>
          <w:pgSz w:w="11906" w:h="16838"/>
          <w:pgMar w:top="1247" w:right="1247" w:bottom="1247" w:left="1247" w:header="907" w:footer="964" w:gutter="0"/>
          <w:cols w:space="720" w:num="1"/>
          <w:docGrid w:type="linesAndChars" w:linePitch="331" w:charSpace="0"/>
        </w:sectPr>
      </w:pPr>
    </w:p>
    <w:p>
      <w:pPr>
        <w:pStyle w:val="25"/>
        <w:spacing w:line="440" w:lineRule="exact"/>
        <w:ind w:left="1071" w:hanging="595"/>
        <w:outlineLvl w:val="1"/>
        <w:rPr>
          <w:rFonts w:hAnsi="宋体"/>
          <w:b/>
        </w:rPr>
      </w:pPr>
      <w:bookmarkStart w:id="74" w:name="_Toc501090378"/>
      <w:bookmarkStart w:id="75" w:name="_Toc501090515"/>
      <w:r>
        <w:rPr>
          <w:rFonts w:hint="eastAsia" w:hAnsi="宋体"/>
          <w:b/>
        </w:rPr>
        <w:t>四、竞标声明书（格式）</w:t>
      </w:r>
    </w:p>
    <w:p>
      <w:pPr>
        <w:spacing w:before="156" w:beforeLines="50" w:after="156" w:afterLines="50"/>
        <w:jc w:val="center"/>
        <w:outlineLvl w:val="1"/>
        <w:rPr>
          <w:rFonts w:ascii="宋体" w:hAnsi="宋体"/>
          <w:b/>
          <w:sz w:val="32"/>
          <w:szCs w:val="32"/>
        </w:rPr>
      </w:pPr>
      <w:r>
        <w:rPr>
          <w:rFonts w:hint="eastAsia" w:ascii="宋体" w:hAnsi="宋体"/>
          <w:b/>
          <w:sz w:val="32"/>
          <w:szCs w:val="32"/>
        </w:rPr>
        <w:t>竞标声明书</w:t>
      </w:r>
    </w:p>
    <w:p>
      <w:pPr>
        <w:spacing w:line="360" w:lineRule="auto"/>
      </w:pPr>
    </w:p>
    <w:p>
      <w:pPr>
        <w:spacing w:line="360" w:lineRule="auto"/>
        <w:rPr>
          <w:sz w:val="24"/>
        </w:rPr>
      </w:pPr>
      <w:r>
        <w:rPr>
          <w:rFonts w:hint="eastAsia"/>
          <w:sz w:val="24"/>
        </w:rPr>
        <w:t>致：</w:t>
      </w:r>
      <w:r>
        <w:rPr>
          <w:rFonts w:hint="eastAsia"/>
          <w:sz w:val="24"/>
          <w:szCs w:val="21"/>
          <w:u w:val="single"/>
        </w:rPr>
        <w:t>采购单位</w:t>
      </w:r>
    </w:p>
    <w:p>
      <w:pPr>
        <w:spacing w:line="360" w:lineRule="auto"/>
        <w:rPr>
          <w:sz w:val="24"/>
        </w:rPr>
      </w:pPr>
    </w:p>
    <w:p>
      <w:pPr>
        <w:spacing w:line="360" w:lineRule="auto"/>
        <w:ind w:firstLine="480" w:firstLineChars="200"/>
        <w:rPr>
          <w:sz w:val="24"/>
          <w:u w:val="single"/>
        </w:rPr>
      </w:pPr>
      <w:r>
        <w:rPr>
          <w:sz w:val="24"/>
        </w:rPr>
        <w:t>___</w:t>
      </w:r>
      <w:r>
        <w:rPr>
          <w:sz w:val="24"/>
          <w:u w:val="single"/>
        </w:rPr>
        <w:t xml:space="preserve">__  </w:t>
      </w:r>
      <w:r>
        <w:rPr>
          <w:sz w:val="24"/>
        </w:rPr>
        <w:t>_</w:t>
      </w:r>
      <w:r>
        <w:rPr>
          <w:rFonts w:hint="eastAsia"/>
          <w:sz w:val="24"/>
        </w:rPr>
        <w:t>（竞标人名称）系中华人民共和国合法企业，经营地址</w:t>
      </w:r>
      <w:r>
        <w:rPr>
          <w:rFonts w:hint="eastAsia"/>
          <w:sz w:val="24"/>
          <w:u w:val="single"/>
        </w:rPr>
        <w:t xml:space="preserve"> </w:t>
      </w:r>
      <w:r>
        <w:rPr>
          <w:sz w:val="24"/>
          <w:u w:val="single"/>
        </w:rPr>
        <w:t xml:space="preserve">              </w:t>
      </w:r>
      <w:r>
        <w:rPr>
          <w:rFonts w:hint="eastAsia"/>
          <w:sz w:val="24"/>
          <w:u w:val="single"/>
        </w:rPr>
        <w:t>。</w:t>
      </w:r>
    </w:p>
    <w:p>
      <w:pPr>
        <w:spacing w:line="360" w:lineRule="auto"/>
        <w:ind w:firstLine="480" w:firstLineChars="200"/>
        <w:rPr>
          <w:sz w:val="24"/>
        </w:rPr>
      </w:pPr>
      <w:r>
        <w:rPr>
          <w:rFonts w:hint="eastAsia"/>
          <w:sz w:val="24"/>
        </w:rPr>
        <w:t>我</w:t>
      </w:r>
      <w:r>
        <w:rPr>
          <w:sz w:val="24"/>
        </w:rPr>
        <w:t>__</w:t>
      </w:r>
      <w:r>
        <w:rPr>
          <w:rFonts w:hint="eastAsia"/>
          <w:sz w:val="24"/>
          <w:u w:val="single"/>
        </w:rPr>
        <w:t xml:space="preserve"> </w:t>
      </w:r>
      <w:r>
        <w:rPr>
          <w:sz w:val="24"/>
        </w:rPr>
        <w:t>_</w:t>
      </w:r>
      <w:r>
        <w:rPr>
          <w:rFonts w:hint="eastAsia"/>
          <w:sz w:val="24"/>
        </w:rPr>
        <w:t>（姓名）系</w:t>
      </w:r>
      <w:r>
        <w:rPr>
          <w:sz w:val="24"/>
        </w:rPr>
        <w:t>______</w:t>
      </w:r>
      <w:r>
        <w:rPr>
          <w:rFonts w:hint="eastAsia"/>
          <w:sz w:val="24"/>
        </w:rPr>
        <w:t>（竞标人名称）的法定代表人，我方愿意参加贵方组织的</w:t>
      </w:r>
      <w:r>
        <w:rPr>
          <w:sz w:val="24"/>
        </w:rPr>
        <w:t xml:space="preserve">______            </w:t>
      </w:r>
      <w:r>
        <w:rPr>
          <w:sz w:val="24"/>
          <w:u w:val="single"/>
        </w:rPr>
        <w:t>_     __</w:t>
      </w:r>
      <w:r>
        <w:rPr>
          <w:rFonts w:hint="eastAsia"/>
          <w:sz w:val="24"/>
        </w:rPr>
        <w:t>项目的竞标，为便于贵方公正、择优地确定成交人及其竞标产品和服务，我方就本次竞标有关事项郑重声明如下：</w:t>
      </w:r>
    </w:p>
    <w:p>
      <w:pPr>
        <w:spacing w:line="360" w:lineRule="auto"/>
        <w:ind w:firstLine="480" w:firstLineChars="200"/>
        <w:rPr>
          <w:sz w:val="24"/>
        </w:rPr>
      </w:pPr>
      <w:r>
        <w:rPr>
          <w:sz w:val="24"/>
        </w:rPr>
        <w:t>1.</w:t>
      </w:r>
      <w:r>
        <w:rPr>
          <w:rFonts w:hint="eastAsia"/>
          <w:sz w:val="24"/>
        </w:rPr>
        <w:t>我方向贵方提交的所有响应文件、资料都是准确的和真实的。</w:t>
      </w:r>
    </w:p>
    <w:p>
      <w:pPr>
        <w:spacing w:line="360" w:lineRule="auto"/>
        <w:ind w:firstLine="480" w:firstLineChars="200"/>
        <w:rPr>
          <w:sz w:val="24"/>
        </w:rPr>
      </w:pPr>
      <w:r>
        <w:rPr>
          <w:sz w:val="24"/>
        </w:rPr>
        <w:t>2.</w:t>
      </w:r>
      <w:r>
        <w:rPr>
          <w:rFonts w:hint="eastAsia"/>
          <w:sz w:val="24"/>
        </w:rPr>
        <w:t>我方不是采购人的附属机构；在获知本项目采购信息后，与采购人聘请的为此项目提供咨询服务的公司及其附属机构没有任何联系。</w:t>
      </w:r>
    </w:p>
    <w:p>
      <w:pPr>
        <w:spacing w:line="360" w:lineRule="auto"/>
        <w:ind w:firstLine="480" w:firstLineChars="200"/>
        <w:rPr>
          <w:sz w:val="24"/>
        </w:rPr>
      </w:pPr>
      <w:r>
        <w:rPr>
          <w:sz w:val="24"/>
        </w:rPr>
        <w:t>3</w:t>
      </w:r>
      <w:r>
        <w:rPr>
          <w:rFonts w:hint="eastAsia"/>
          <w:sz w:val="24"/>
        </w:rPr>
        <w:t>、我方在“信用中国”和“中国政府采购网”的被列为失信被执行人、重大税收违法案件当事人名单、政府采购严重违法失信行为记录名单情况</w:t>
      </w:r>
      <w:r>
        <w:rPr>
          <w:rFonts w:hint="eastAsia"/>
          <w:sz w:val="24"/>
          <w:u w:val="single"/>
        </w:rPr>
        <w:t xml:space="preserve">：  </w:t>
      </w:r>
      <w:r>
        <w:rPr>
          <w:rFonts w:hint="eastAsia"/>
          <w:sz w:val="24"/>
        </w:rPr>
        <w:t>。</w:t>
      </w:r>
    </w:p>
    <w:p>
      <w:pPr>
        <w:spacing w:line="360" w:lineRule="auto"/>
        <w:ind w:firstLine="480" w:firstLineChars="200"/>
        <w:rPr>
          <w:sz w:val="24"/>
        </w:rPr>
      </w:pPr>
      <w:r>
        <w:rPr>
          <w:rFonts w:hint="eastAsia"/>
          <w:sz w:val="24"/>
        </w:rPr>
        <w:t>4</w:t>
      </w:r>
      <w:r>
        <w:rPr>
          <w:sz w:val="24"/>
        </w:rPr>
        <w:t>.</w:t>
      </w:r>
      <w:r>
        <w:rPr>
          <w:rFonts w:hint="eastAsia"/>
          <w:sz w:val="24"/>
        </w:rPr>
        <w:t>以上事项如有虚假或隐瞒，我方愿意承担一切后果，并不再寻求任何旨在减轻或免除法律责任的辩解。</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法定代表人或授权代表签字</w:t>
      </w:r>
      <w:r>
        <w:rPr>
          <w:sz w:val="24"/>
          <w:u w:val="single"/>
        </w:rPr>
        <w:t>:_____ _____</w:t>
      </w:r>
    </w:p>
    <w:p>
      <w:pPr>
        <w:spacing w:line="360" w:lineRule="auto"/>
        <w:rPr>
          <w:sz w:val="24"/>
        </w:rPr>
      </w:pPr>
    </w:p>
    <w:p>
      <w:pPr>
        <w:spacing w:line="360" w:lineRule="auto"/>
        <w:rPr>
          <w:sz w:val="24"/>
        </w:rPr>
      </w:pPr>
      <w:r>
        <w:rPr>
          <w:rFonts w:hint="eastAsia"/>
          <w:sz w:val="24"/>
        </w:rPr>
        <w:t>竞标人盖章：</w:t>
      </w:r>
    </w:p>
    <w:p>
      <w:pPr>
        <w:spacing w:line="360" w:lineRule="auto"/>
        <w:rPr>
          <w:sz w:val="24"/>
        </w:rPr>
      </w:pPr>
    </w:p>
    <w:p>
      <w:pPr>
        <w:spacing w:line="360" w:lineRule="auto"/>
        <w:rPr>
          <w:sz w:val="24"/>
        </w:rPr>
      </w:pPr>
      <w:r>
        <w:rPr>
          <w:rFonts w:hint="eastAsia"/>
          <w:sz w:val="24"/>
        </w:rPr>
        <w:t>日期</w:t>
      </w:r>
      <w:r>
        <w:rPr>
          <w:sz w:val="24"/>
        </w:rPr>
        <w:t>:_____</w:t>
      </w:r>
      <w:r>
        <w:rPr>
          <w:rFonts w:hint="eastAsia"/>
          <w:sz w:val="24"/>
        </w:rPr>
        <w:t>年</w:t>
      </w:r>
      <w:r>
        <w:rPr>
          <w:sz w:val="24"/>
        </w:rPr>
        <w:t>___</w:t>
      </w:r>
      <w:r>
        <w:rPr>
          <w:rFonts w:hint="eastAsia"/>
          <w:sz w:val="24"/>
        </w:rPr>
        <w:t>月</w:t>
      </w:r>
      <w:r>
        <w:rPr>
          <w:sz w:val="24"/>
        </w:rPr>
        <w:t>___</w:t>
      </w:r>
      <w:r>
        <w:rPr>
          <w:rFonts w:hint="eastAsia"/>
          <w:sz w:val="24"/>
        </w:rPr>
        <w:t>日</w:t>
      </w:r>
    </w:p>
    <w:p/>
    <w:p/>
    <w:p/>
    <w:p>
      <w:pPr>
        <w:pStyle w:val="25"/>
        <w:spacing w:line="440" w:lineRule="exact"/>
        <w:ind w:left="1071" w:hanging="595"/>
        <w:outlineLvl w:val="1"/>
        <w:rPr>
          <w:rFonts w:hAnsi="宋体"/>
          <w:b/>
        </w:rPr>
      </w:pPr>
      <w:r>
        <w:rPr>
          <w:rFonts w:hint="eastAsia" w:hAnsi="宋体"/>
          <w:b/>
        </w:rPr>
        <w:t>五、商务、技术偏离表</w:t>
      </w:r>
      <w:bookmarkEnd w:id="74"/>
      <w:bookmarkEnd w:id="75"/>
    </w:p>
    <w:p>
      <w:pPr>
        <w:spacing w:before="156" w:beforeLines="50" w:after="156" w:afterLines="50"/>
        <w:jc w:val="center"/>
        <w:outlineLvl w:val="1"/>
        <w:rPr>
          <w:rFonts w:ascii="宋体" w:hAnsi="宋体"/>
          <w:b/>
          <w:sz w:val="32"/>
          <w:szCs w:val="32"/>
        </w:rPr>
      </w:pPr>
      <w:bookmarkStart w:id="76" w:name="_Toc501090518"/>
      <w:r>
        <w:rPr>
          <w:rFonts w:hint="eastAsia" w:ascii="宋体" w:hAnsi="宋体"/>
          <w:b/>
          <w:sz w:val="32"/>
          <w:szCs w:val="32"/>
        </w:rPr>
        <w:t>技术偏离表（格式）</w:t>
      </w:r>
    </w:p>
    <w:p>
      <w:pPr>
        <w:snapToGrid w:val="0"/>
        <w:spacing w:before="295" w:after="295" w:line="480" w:lineRule="exact"/>
        <w:jc w:val="left"/>
        <w:rPr>
          <w:rFonts w:ascii="宋体" w:hAnsi="宋体" w:cs="Courier New"/>
          <w:sz w:val="24"/>
          <w:szCs w:val="28"/>
        </w:rPr>
      </w:pPr>
      <w:r>
        <w:rPr>
          <w:rFonts w:hint="eastAsia" w:ascii="宋体" w:hAnsi="宋体" w:cs="Courier New"/>
          <w:sz w:val="24"/>
          <w:szCs w:val="28"/>
        </w:rPr>
        <w:t>请根据所投服务的实际技术参数，逐条对应本项目采购文件第三章“项目采购需求”中的服务内容及要求详细填写相应的具体内容。“偏离说明”一栏应当选择“正偏离”、“负偏离”或“无偏离”进行填写。</w:t>
      </w:r>
    </w:p>
    <w:tbl>
      <w:tblPr>
        <w:tblStyle w:val="46"/>
        <w:tblW w:w="971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275"/>
        <w:gridCol w:w="1985"/>
        <w:gridCol w:w="1417"/>
        <w:gridCol w:w="2977"/>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6" w:type="dxa"/>
            <w:vMerge w:val="restart"/>
            <w:tcBorders>
              <w:top w:val="single" w:color="auto" w:sz="4" w:space="0"/>
              <w:left w:val="single" w:color="auto" w:sz="4" w:space="0"/>
              <w:right w:val="single" w:color="auto" w:sz="4" w:space="0"/>
            </w:tcBorders>
            <w:vAlign w:val="center"/>
          </w:tcPr>
          <w:p>
            <w:pPr>
              <w:tabs>
                <w:tab w:val="left" w:pos="1418"/>
              </w:tabs>
              <w:snapToGrid w:val="0"/>
              <w:spacing w:before="50" w:after="50"/>
              <w:jc w:val="center"/>
              <w:rPr>
                <w:rFonts w:ascii="宋体" w:hAnsi="宋体"/>
                <w:sz w:val="22"/>
              </w:rPr>
            </w:pPr>
            <w:r>
              <w:rPr>
                <w:rFonts w:hint="eastAsia" w:hAnsi="宋体"/>
                <w:b/>
                <w:sz w:val="22"/>
              </w:rPr>
              <w:t>项号</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22"/>
              </w:rPr>
            </w:pPr>
            <w:r>
              <w:rPr>
                <w:rFonts w:hint="eastAsia" w:ascii="宋体" w:hAnsi="宋体"/>
                <w:sz w:val="22"/>
              </w:rPr>
              <w:t>采购文件需求</w:t>
            </w:r>
          </w:p>
        </w:tc>
        <w:tc>
          <w:tcPr>
            <w:tcW w:w="4394"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22"/>
              </w:rPr>
            </w:pPr>
            <w:r>
              <w:rPr>
                <w:rFonts w:hint="eastAsia" w:ascii="宋体" w:hAnsi="宋体"/>
                <w:sz w:val="22"/>
              </w:rPr>
              <w:t>响应文件承诺</w:t>
            </w:r>
          </w:p>
        </w:tc>
        <w:tc>
          <w:tcPr>
            <w:tcW w:w="1276" w:type="dxa"/>
            <w:vMerge w:val="restart"/>
            <w:tcBorders>
              <w:top w:val="single" w:color="auto" w:sz="4" w:space="0"/>
              <w:left w:val="single" w:color="auto" w:sz="4" w:space="0"/>
              <w:right w:val="single" w:color="auto" w:sz="4" w:space="0"/>
            </w:tcBorders>
            <w:vAlign w:val="center"/>
          </w:tcPr>
          <w:p>
            <w:pPr>
              <w:tabs>
                <w:tab w:val="left" w:pos="1418"/>
              </w:tabs>
              <w:snapToGrid w:val="0"/>
              <w:spacing w:before="50" w:after="50"/>
              <w:jc w:val="center"/>
              <w:rPr>
                <w:rFonts w:ascii="宋体" w:hAnsi="宋体"/>
                <w:sz w:val="22"/>
              </w:rPr>
            </w:pPr>
            <w:r>
              <w:rPr>
                <w:rFonts w:hint="eastAsia" w:ascii="宋体" w:hAnsi="宋体"/>
                <w:sz w:val="22"/>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86" w:type="dxa"/>
            <w:vMerge w:val="continue"/>
            <w:tcBorders>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Ansi="宋体"/>
                <w:b/>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22"/>
              </w:rPr>
            </w:pPr>
            <w:r>
              <w:rPr>
                <w:rFonts w:hint="eastAsia" w:ascii="宋体" w:hAnsi="宋体"/>
                <w:sz w:val="22"/>
              </w:rPr>
              <w:t>服务名称</w:t>
            </w: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22"/>
              </w:rPr>
            </w:pPr>
            <w:r>
              <w:rPr>
                <w:rFonts w:hint="eastAsia" w:ascii="宋体" w:hAnsi="宋体"/>
                <w:sz w:val="22"/>
              </w:rPr>
              <w:t>服务内容及要求</w:t>
            </w: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22"/>
              </w:rPr>
            </w:pPr>
            <w:r>
              <w:rPr>
                <w:rFonts w:hint="eastAsia" w:ascii="宋体" w:hAnsi="宋体"/>
                <w:sz w:val="22"/>
              </w:rPr>
              <w:t>服务名称</w:t>
            </w: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22"/>
              </w:rPr>
            </w:pPr>
            <w:r>
              <w:rPr>
                <w:rFonts w:hint="eastAsia" w:ascii="宋体" w:hAnsi="宋体"/>
                <w:sz w:val="22"/>
              </w:rPr>
              <w:t>所提供服务的内容</w:t>
            </w:r>
          </w:p>
        </w:tc>
        <w:tc>
          <w:tcPr>
            <w:tcW w:w="1276" w:type="dxa"/>
            <w:vMerge w:val="continue"/>
            <w:tcBorders>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r>
              <w:rPr>
                <w:rFonts w:hint="eastAsia" w:ascii="宋体" w:hAnsi="宋体"/>
                <w:spacing w:val="20"/>
                <w:sz w:val="24"/>
                <w:szCs w:val="20"/>
              </w:rPr>
              <w:t>1</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pacing w:val="20"/>
                <w:sz w:val="22"/>
                <w:szCs w:val="20"/>
              </w:rPr>
              <w:t>……</w:t>
            </w: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1……</w:t>
            </w:r>
          </w:p>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2……</w:t>
            </w:r>
          </w:p>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3……</w:t>
            </w:r>
          </w:p>
          <w:p>
            <w:pPr>
              <w:tabs>
                <w:tab w:val="left" w:pos="1418"/>
              </w:tabs>
              <w:snapToGrid w:val="0"/>
              <w:spacing w:before="50" w:after="50"/>
              <w:jc w:val="left"/>
              <w:rPr>
                <w:rFonts w:ascii="宋体" w:hAnsi="宋体"/>
                <w:spacing w:val="20"/>
                <w:sz w:val="24"/>
                <w:szCs w:val="20"/>
              </w:rPr>
            </w:pPr>
            <w:r>
              <w:rPr>
                <w:rFonts w:hint="eastAsia" w:ascii="宋体" w:hAnsi="宋体"/>
                <w:spacing w:val="20"/>
                <w:sz w:val="22"/>
                <w:szCs w:val="20"/>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pacing w:val="20"/>
                <w:sz w:val="22"/>
                <w:szCs w:val="20"/>
              </w:rPr>
              <w:t>……</w:t>
            </w: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1……</w:t>
            </w:r>
          </w:p>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2……</w:t>
            </w:r>
          </w:p>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3……</w:t>
            </w:r>
          </w:p>
          <w:p>
            <w:pPr>
              <w:tabs>
                <w:tab w:val="left" w:pos="1418"/>
              </w:tabs>
              <w:snapToGrid w:val="0"/>
              <w:spacing w:before="50" w:after="50"/>
              <w:jc w:val="left"/>
              <w:rPr>
                <w:rFonts w:ascii="宋体" w:hAnsi="宋体"/>
                <w:spacing w:val="20"/>
                <w:sz w:val="24"/>
                <w:szCs w:val="20"/>
              </w:rPr>
            </w:pPr>
            <w:r>
              <w:rPr>
                <w:rFonts w:hint="eastAsia" w:ascii="宋体" w:hAnsi="宋体"/>
                <w:spacing w:val="20"/>
                <w:sz w:val="22"/>
                <w:szCs w:val="20"/>
              </w:rPr>
              <w:t>……</w:t>
            </w:r>
          </w:p>
        </w:tc>
        <w:tc>
          <w:tcPr>
            <w:tcW w:w="12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r>
              <w:rPr>
                <w:rFonts w:hint="eastAsia" w:ascii="宋体" w:hAnsi="宋体"/>
                <w:spacing w:val="20"/>
                <w:sz w:val="24"/>
                <w:szCs w:val="20"/>
              </w:rPr>
              <w:t>正偏离（负偏离或无偏离）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8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r>
              <w:rPr>
                <w:rFonts w:hint="eastAsia" w:ascii="宋体" w:hAnsi="宋体"/>
                <w:spacing w:val="20"/>
                <w:sz w:val="24"/>
                <w:szCs w:val="20"/>
              </w:rPr>
              <w:t>2</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pacing w:val="20"/>
                <w:sz w:val="22"/>
                <w:szCs w:val="20"/>
              </w:rPr>
              <w:t>……</w:t>
            </w: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1……</w:t>
            </w:r>
          </w:p>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2……</w:t>
            </w:r>
          </w:p>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3……</w:t>
            </w:r>
          </w:p>
          <w:p>
            <w:pPr>
              <w:tabs>
                <w:tab w:val="left" w:pos="1418"/>
              </w:tabs>
              <w:snapToGrid w:val="0"/>
              <w:spacing w:before="50" w:after="50"/>
              <w:rPr>
                <w:rFonts w:ascii="宋体" w:hAnsi="宋体"/>
                <w:spacing w:val="20"/>
                <w:sz w:val="24"/>
                <w:szCs w:val="20"/>
              </w:rPr>
            </w:pPr>
            <w:r>
              <w:rPr>
                <w:rFonts w:hint="eastAsia" w:ascii="宋体" w:hAnsi="宋体"/>
                <w:spacing w:val="20"/>
                <w:sz w:val="22"/>
                <w:szCs w:val="20"/>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pacing w:val="20"/>
                <w:sz w:val="22"/>
                <w:szCs w:val="20"/>
              </w:rPr>
              <w:t>……</w:t>
            </w: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1……</w:t>
            </w:r>
          </w:p>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2……</w:t>
            </w:r>
          </w:p>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3……</w:t>
            </w:r>
          </w:p>
          <w:p>
            <w:pPr>
              <w:tabs>
                <w:tab w:val="left" w:pos="1418"/>
              </w:tabs>
              <w:snapToGrid w:val="0"/>
              <w:spacing w:before="50" w:after="50"/>
              <w:rPr>
                <w:rFonts w:ascii="宋体" w:hAnsi="宋体"/>
                <w:spacing w:val="20"/>
                <w:sz w:val="24"/>
                <w:szCs w:val="20"/>
              </w:rPr>
            </w:pPr>
            <w:r>
              <w:rPr>
                <w:rFonts w:hint="eastAsia" w:ascii="宋体" w:hAnsi="宋体"/>
                <w:spacing w:val="20"/>
                <w:sz w:val="22"/>
                <w:szCs w:val="20"/>
              </w:rPr>
              <w:t>……</w:t>
            </w:r>
          </w:p>
        </w:tc>
        <w:tc>
          <w:tcPr>
            <w:tcW w:w="12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r>
              <w:rPr>
                <w:rFonts w:hint="eastAsia" w:ascii="宋体" w:hAnsi="宋体"/>
                <w:spacing w:val="20"/>
                <w:sz w:val="24"/>
                <w:szCs w:val="20"/>
              </w:rPr>
              <w:t>正偏离（负偏离或无偏离）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78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r>
              <w:rPr>
                <w:rFonts w:hint="eastAsia" w:ascii="宋体" w:hAnsi="宋体"/>
                <w:spacing w:val="20"/>
                <w:sz w:val="24"/>
                <w:szCs w:val="20"/>
              </w:rPr>
              <w:t>…</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pacing w:val="20"/>
                <w:sz w:val="22"/>
                <w:szCs w:val="20"/>
              </w:rPr>
              <w:t>……</w:t>
            </w: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rPr>
                <w:rFonts w:ascii="宋体" w:hAnsi="宋体"/>
                <w:spacing w:val="20"/>
                <w:sz w:val="24"/>
                <w:szCs w:val="20"/>
              </w:rPr>
            </w:pPr>
            <w:r>
              <w:rPr>
                <w:rFonts w:hint="eastAsia" w:ascii="宋体" w:hAnsi="宋体"/>
                <w:spacing w:val="20"/>
                <w:sz w:val="22"/>
                <w:szCs w:val="20"/>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pacing w:val="20"/>
                <w:sz w:val="22"/>
                <w:szCs w:val="20"/>
              </w:rPr>
              <w:t>……</w:t>
            </w: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r>
              <w:rPr>
                <w:rFonts w:hint="eastAsia" w:ascii="宋体" w:hAnsi="宋体"/>
                <w:spacing w:val="20"/>
                <w:sz w:val="22"/>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r>
              <w:rPr>
                <w:rFonts w:hint="eastAsia" w:ascii="宋体" w:hAnsi="宋体"/>
                <w:spacing w:val="20"/>
                <w:sz w:val="22"/>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9716"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left"/>
              <w:rPr>
                <w:rFonts w:ascii="宋体" w:hAnsi="宋体"/>
                <w:spacing w:val="20"/>
                <w:szCs w:val="21"/>
              </w:rPr>
            </w:pPr>
            <w:r>
              <w:rPr>
                <w:rFonts w:hint="eastAsia" w:ascii="宋体" w:hAnsi="宋体"/>
                <w:spacing w:val="20"/>
                <w:szCs w:val="21"/>
              </w:rPr>
              <w:t>__分标（此处有分标时填写具体分标号，无分标时填写“无”）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9716"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left"/>
              <w:rPr>
                <w:rFonts w:ascii="宋体" w:hAnsi="宋体"/>
                <w:spacing w:val="20"/>
                <w:szCs w:val="21"/>
              </w:rPr>
            </w:pPr>
            <w:r>
              <w:rPr>
                <w:rFonts w:hint="eastAsia" w:ascii="宋体" w:hAnsi="宋体"/>
                <w:spacing w:val="20"/>
                <w:szCs w:val="21"/>
              </w:rPr>
              <w:t>竞标人（盖单位公章）：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9716"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left"/>
            </w:pPr>
            <w:r>
              <w:rPr>
                <w:rFonts w:hint="eastAsia"/>
              </w:rPr>
              <w:t>法定代表人或其委托代理人（签字或盖章）：</w:t>
            </w:r>
          </w:p>
        </w:tc>
      </w:tr>
    </w:tbl>
    <w:p>
      <w:pPr>
        <w:snapToGrid w:val="0"/>
        <w:spacing w:before="295" w:after="295" w:line="480" w:lineRule="exact"/>
        <w:rPr>
          <w:rFonts w:ascii="宋体" w:hAnsi="宋体" w:cs="Courier New"/>
          <w:spacing w:val="20"/>
          <w:szCs w:val="21"/>
        </w:rPr>
      </w:pPr>
      <w:r>
        <w:rPr>
          <w:rFonts w:hint="eastAsia" w:ascii="宋体" w:hAnsi="宋体" w:cs="Courier New"/>
          <w:spacing w:val="20"/>
          <w:szCs w:val="21"/>
        </w:rPr>
        <w:t>注：（1）表格内容均需按要求填写并盖章，不得留空，否则按</w:t>
      </w:r>
      <w:r>
        <w:rPr>
          <w:rFonts w:hint="eastAsia" w:ascii="宋体" w:hAnsi="宋体"/>
          <w:spacing w:val="20"/>
          <w:szCs w:val="21"/>
        </w:rPr>
        <w:t>磋商</w:t>
      </w:r>
      <w:r>
        <w:rPr>
          <w:rFonts w:hint="eastAsia" w:ascii="宋体" w:hAnsi="宋体" w:cs="Courier New"/>
          <w:spacing w:val="20"/>
          <w:szCs w:val="21"/>
        </w:rPr>
        <w:t>无效处理。</w:t>
      </w:r>
    </w:p>
    <w:p>
      <w:pPr>
        <w:snapToGrid w:val="0"/>
        <w:spacing w:before="295" w:after="295" w:line="480" w:lineRule="exact"/>
        <w:rPr>
          <w:rFonts w:ascii="宋体" w:hAnsi="宋体" w:cs="Courier New"/>
          <w:spacing w:val="20"/>
          <w:szCs w:val="21"/>
        </w:rPr>
      </w:pPr>
      <w:r>
        <w:rPr>
          <w:rFonts w:hint="eastAsia" w:ascii="宋体" w:hAnsi="宋体" w:cs="Courier New"/>
          <w:spacing w:val="20"/>
          <w:szCs w:val="21"/>
        </w:rPr>
        <w:t xml:space="preserve">  （2）当</w:t>
      </w:r>
      <w:r>
        <w:rPr>
          <w:rFonts w:hint="eastAsia" w:ascii="宋体" w:hAnsi="宋体"/>
          <w:sz w:val="22"/>
        </w:rPr>
        <w:t>响应</w:t>
      </w:r>
      <w:r>
        <w:rPr>
          <w:rFonts w:hint="eastAsia" w:ascii="宋体" w:hAnsi="宋体" w:cs="Courier New"/>
          <w:spacing w:val="20"/>
          <w:szCs w:val="21"/>
        </w:rPr>
        <w:t>文件的服务内容低于采购文件要求时，</w:t>
      </w:r>
      <w:r>
        <w:rPr>
          <w:rFonts w:hint="eastAsia" w:ascii="宋体" w:hAnsi="宋体"/>
          <w:spacing w:val="20"/>
          <w:szCs w:val="21"/>
        </w:rPr>
        <w:t>竞</w:t>
      </w:r>
      <w:r>
        <w:rPr>
          <w:rFonts w:hint="eastAsia" w:ascii="宋体" w:hAnsi="宋体" w:cs="Courier New"/>
          <w:spacing w:val="20"/>
          <w:szCs w:val="21"/>
        </w:rPr>
        <w:t>标人应当如实写明“负偏离”，否则视为虚假应标。</w:t>
      </w:r>
    </w:p>
    <w:p>
      <w:pPr>
        <w:snapToGrid w:val="0"/>
        <w:spacing w:before="295" w:after="295" w:line="480" w:lineRule="exact"/>
        <w:jc w:val="center"/>
        <w:rPr>
          <w:rFonts w:ascii="宋体" w:hAnsi="宋体" w:cs="Courier New"/>
          <w:b/>
          <w:sz w:val="28"/>
          <w:szCs w:val="28"/>
        </w:rPr>
      </w:pPr>
    </w:p>
    <w:p>
      <w:pPr>
        <w:spacing w:before="156" w:beforeLines="50" w:after="156" w:afterLines="50"/>
        <w:jc w:val="center"/>
        <w:outlineLvl w:val="1"/>
        <w:rPr>
          <w:rFonts w:ascii="宋体" w:hAnsi="宋体"/>
          <w:b/>
          <w:sz w:val="32"/>
          <w:szCs w:val="32"/>
        </w:rPr>
      </w:pPr>
      <w:r>
        <w:rPr>
          <w:rFonts w:hint="eastAsia" w:ascii="宋体" w:hAnsi="宋体"/>
          <w:b/>
          <w:sz w:val="32"/>
          <w:szCs w:val="32"/>
        </w:rPr>
        <w:t>商务偏离表（格式）</w:t>
      </w:r>
    </w:p>
    <w:p>
      <w:pPr>
        <w:snapToGrid w:val="0"/>
        <w:spacing w:before="295" w:after="295" w:line="480" w:lineRule="exact"/>
        <w:jc w:val="left"/>
        <w:rPr>
          <w:rFonts w:ascii="宋体" w:hAnsi="宋体" w:cs="Courier New"/>
          <w:sz w:val="24"/>
          <w:szCs w:val="28"/>
        </w:rPr>
      </w:pPr>
      <w:r>
        <w:rPr>
          <w:rFonts w:hint="eastAsia" w:ascii="宋体" w:hAnsi="宋体" w:cs="Courier New"/>
          <w:sz w:val="24"/>
          <w:szCs w:val="28"/>
        </w:rPr>
        <w:t>请逐条对应本项目采购文件第三章“项目采购需求”中的“商务条款”的要求，详细填写相应的具体内容。“偏离说明”一栏应当选择“正偏离”、“负偏离”或“无偏离”进行填写。</w:t>
      </w:r>
    </w:p>
    <w:tbl>
      <w:tblPr>
        <w:tblStyle w:val="46"/>
        <w:tblW w:w="971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3118"/>
        <w:gridCol w:w="3119"/>
        <w:gridCol w:w="26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6" w:type="dxa"/>
            <w:tcBorders>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Ansi="宋体"/>
                <w:b/>
                <w:sz w:val="22"/>
              </w:rPr>
            </w:pPr>
            <w:r>
              <w:rPr>
                <w:rFonts w:hint="eastAsia" w:hAnsi="宋体"/>
                <w:b/>
                <w:sz w:val="22"/>
              </w:rPr>
              <w:t>项号</w:t>
            </w:r>
          </w:p>
        </w:tc>
        <w:tc>
          <w:tcPr>
            <w:tcW w:w="311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22"/>
              </w:rPr>
            </w:pPr>
            <w:r>
              <w:rPr>
                <w:rFonts w:hint="eastAsia" w:ascii="宋体" w:hAnsi="宋体"/>
                <w:sz w:val="22"/>
              </w:rPr>
              <w:t>采购文件的商务要求</w:t>
            </w:r>
          </w:p>
        </w:tc>
        <w:tc>
          <w:tcPr>
            <w:tcW w:w="311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22"/>
              </w:rPr>
            </w:pPr>
            <w:r>
              <w:rPr>
                <w:rFonts w:hint="eastAsia" w:ascii="宋体" w:hAnsi="宋体"/>
                <w:sz w:val="22"/>
              </w:rPr>
              <w:t>响应文件承诺的商务条款</w:t>
            </w:r>
          </w:p>
        </w:tc>
        <w:tc>
          <w:tcPr>
            <w:tcW w:w="2693" w:type="dxa"/>
            <w:tcBorders>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z w:val="22"/>
              </w:rPr>
            </w:pPr>
            <w:r>
              <w:rPr>
                <w:rFonts w:hint="eastAsia" w:ascii="宋体" w:hAnsi="宋体"/>
                <w:sz w:val="22"/>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r>
              <w:rPr>
                <w:rFonts w:hint="eastAsia" w:ascii="宋体" w:hAnsi="宋体"/>
                <w:spacing w:val="20"/>
                <w:sz w:val="24"/>
                <w:szCs w:val="20"/>
              </w:rPr>
              <w:t>一</w:t>
            </w:r>
          </w:p>
        </w:tc>
        <w:tc>
          <w:tcPr>
            <w:tcW w:w="311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1……</w:t>
            </w:r>
          </w:p>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2……</w:t>
            </w:r>
          </w:p>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3……</w:t>
            </w:r>
          </w:p>
          <w:p>
            <w:pPr>
              <w:tabs>
                <w:tab w:val="left" w:pos="1418"/>
              </w:tabs>
              <w:snapToGrid w:val="0"/>
              <w:spacing w:before="50" w:after="50"/>
              <w:jc w:val="left"/>
              <w:rPr>
                <w:rFonts w:ascii="宋体" w:hAnsi="宋体"/>
                <w:spacing w:val="20"/>
                <w:sz w:val="24"/>
                <w:szCs w:val="20"/>
              </w:rPr>
            </w:pPr>
            <w:r>
              <w:rPr>
                <w:rFonts w:hint="eastAsia" w:ascii="宋体" w:hAnsi="宋体"/>
                <w:spacing w:val="20"/>
                <w:sz w:val="22"/>
                <w:szCs w:val="20"/>
              </w:rPr>
              <w:t>……</w:t>
            </w:r>
          </w:p>
        </w:tc>
        <w:tc>
          <w:tcPr>
            <w:tcW w:w="311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1……</w:t>
            </w:r>
          </w:p>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2……</w:t>
            </w:r>
          </w:p>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3……</w:t>
            </w:r>
          </w:p>
          <w:p>
            <w:pPr>
              <w:tabs>
                <w:tab w:val="left" w:pos="1418"/>
              </w:tabs>
              <w:snapToGrid w:val="0"/>
              <w:spacing w:before="50" w:after="50"/>
              <w:jc w:val="left"/>
              <w:rPr>
                <w:rFonts w:ascii="宋体" w:hAnsi="宋体"/>
                <w:spacing w:val="20"/>
                <w:sz w:val="24"/>
                <w:szCs w:val="20"/>
              </w:rPr>
            </w:pPr>
            <w:r>
              <w:rPr>
                <w:rFonts w:hint="eastAsia" w:ascii="宋体" w:hAnsi="宋体"/>
                <w:spacing w:val="20"/>
                <w:sz w:val="22"/>
                <w:szCs w:val="20"/>
              </w:rPr>
              <w:t>……</w:t>
            </w:r>
          </w:p>
        </w:tc>
        <w:tc>
          <w:tcPr>
            <w:tcW w:w="269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r>
              <w:rPr>
                <w:rFonts w:hint="eastAsia" w:ascii="宋体" w:hAnsi="宋体"/>
                <w:spacing w:val="20"/>
                <w:sz w:val="24"/>
                <w:szCs w:val="20"/>
              </w:rPr>
              <w:t>正偏离（负偏离或无偏离）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8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r>
              <w:rPr>
                <w:rFonts w:hint="eastAsia" w:ascii="宋体" w:hAnsi="宋体"/>
                <w:spacing w:val="20"/>
                <w:sz w:val="24"/>
                <w:szCs w:val="20"/>
              </w:rPr>
              <w:t>二</w:t>
            </w:r>
          </w:p>
        </w:tc>
        <w:tc>
          <w:tcPr>
            <w:tcW w:w="311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1……</w:t>
            </w:r>
          </w:p>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2……</w:t>
            </w:r>
          </w:p>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3……</w:t>
            </w:r>
          </w:p>
          <w:p>
            <w:pPr>
              <w:tabs>
                <w:tab w:val="left" w:pos="1418"/>
              </w:tabs>
              <w:snapToGrid w:val="0"/>
              <w:spacing w:before="50" w:after="50"/>
              <w:rPr>
                <w:rFonts w:ascii="宋体" w:hAnsi="宋体"/>
                <w:spacing w:val="20"/>
                <w:sz w:val="24"/>
                <w:szCs w:val="20"/>
              </w:rPr>
            </w:pPr>
            <w:r>
              <w:rPr>
                <w:rFonts w:hint="eastAsia" w:ascii="宋体" w:hAnsi="宋体"/>
                <w:spacing w:val="20"/>
                <w:sz w:val="22"/>
                <w:szCs w:val="20"/>
              </w:rPr>
              <w:t>……</w:t>
            </w:r>
          </w:p>
        </w:tc>
        <w:tc>
          <w:tcPr>
            <w:tcW w:w="311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1……</w:t>
            </w:r>
          </w:p>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2……</w:t>
            </w:r>
          </w:p>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3……</w:t>
            </w:r>
          </w:p>
          <w:p>
            <w:pPr>
              <w:tabs>
                <w:tab w:val="left" w:pos="1418"/>
              </w:tabs>
              <w:snapToGrid w:val="0"/>
              <w:spacing w:before="50" w:after="50"/>
              <w:rPr>
                <w:rFonts w:ascii="宋体" w:hAnsi="宋体"/>
                <w:spacing w:val="20"/>
                <w:sz w:val="24"/>
                <w:szCs w:val="20"/>
              </w:rPr>
            </w:pPr>
            <w:r>
              <w:rPr>
                <w:rFonts w:hint="eastAsia" w:ascii="宋体" w:hAnsi="宋体"/>
                <w:spacing w:val="20"/>
                <w:sz w:val="22"/>
                <w:szCs w:val="20"/>
              </w:rPr>
              <w:t>……</w:t>
            </w:r>
          </w:p>
        </w:tc>
        <w:tc>
          <w:tcPr>
            <w:tcW w:w="269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 w:val="24"/>
                <w:szCs w:val="20"/>
              </w:rPr>
            </w:pPr>
            <w:r>
              <w:rPr>
                <w:rFonts w:hint="eastAsia" w:ascii="宋体" w:hAnsi="宋体"/>
                <w:spacing w:val="20"/>
                <w:sz w:val="24"/>
                <w:szCs w:val="20"/>
              </w:rPr>
              <w:t>正偏离（负偏离或无偏离）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78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r>
              <w:rPr>
                <w:rFonts w:hint="eastAsia" w:ascii="宋体" w:hAnsi="宋体"/>
                <w:spacing w:val="20"/>
                <w:sz w:val="24"/>
                <w:szCs w:val="20"/>
              </w:rPr>
              <w:t>…</w:t>
            </w:r>
          </w:p>
        </w:tc>
        <w:tc>
          <w:tcPr>
            <w:tcW w:w="311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1……</w:t>
            </w:r>
          </w:p>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2……</w:t>
            </w:r>
          </w:p>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3……</w:t>
            </w:r>
          </w:p>
          <w:p>
            <w:pPr>
              <w:tabs>
                <w:tab w:val="left" w:pos="1418"/>
              </w:tabs>
              <w:snapToGrid w:val="0"/>
              <w:spacing w:before="50" w:after="50"/>
              <w:rPr>
                <w:rFonts w:ascii="宋体" w:hAnsi="宋体"/>
                <w:spacing w:val="20"/>
                <w:sz w:val="24"/>
                <w:szCs w:val="20"/>
              </w:rPr>
            </w:pPr>
            <w:r>
              <w:rPr>
                <w:rFonts w:hint="eastAsia" w:ascii="宋体" w:hAnsi="宋体"/>
                <w:spacing w:val="20"/>
                <w:sz w:val="22"/>
                <w:szCs w:val="20"/>
              </w:rPr>
              <w:t>……</w:t>
            </w:r>
          </w:p>
        </w:tc>
        <w:tc>
          <w:tcPr>
            <w:tcW w:w="311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1……</w:t>
            </w:r>
          </w:p>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2……</w:t>
            </w:r>
          </w:p>
          <w:p>
            <w:pPr>
              <w:tabs>
                <w:tab w:val="left" w:pos="1418"/>
              </w:tabs>
              <w:snapToGrid w:val="0"/>
              <w:spacing w:before="50" w:after="50"/>
              <w:jc w:val="left"/>
              <w:rPr>
                <w:rFonts w:ascii="宋体" w:hAnsi="宋体"/>
                <w:spacing w:val="20"/>
                <w:sz w:val="22"/>
                <w:szCs w:val="20"/>
              </w:rPr>
            </w:pPr>
            <w:r>
              <w:rPr>
                <w:rFonts w:hint="eastAsia" w:ascii="宋体" w:hAnsi="宋体"/>
                <w:spacing w:val="20"/>
                <w:sz w:val="22"/>
                <w:szCs w:val="20"/>
              </w:rPr>
              <w:t>3……</w:t>
            </w:r>
          </w:p>
          <w:p>
            <w:pPr>
              <w:tabs>
                <w:tab w:val="left" w:pos="1418"/>
              </w:tabs>
              <w:snapToGrid w:val="0"/>
              <w:spacing w:before="50" w:after="50"/>
              <w:jc w:val="left"/>
              <w:rPr>
                <w:rFonts w:ascii="宋体" w:hAnsi="宋体"/>
                <w:spacing w:val="20"/>
                <w:sz w:val="24"/>
                <w:szCs w:val="20"/>
              </w:rPr>
            </w:pPr>
            <w:r>
              <w:rPr>
                <w:rFonts w:hint="eastAsia" w:ascii="宋体" w:hAnsi="宋体"/>
                <w:spacing w:val="20"/>
                <w:sz w:val="22"/>
                <w:szCs w:val="20"/>
              </w:rPr>
              <w:t>……</w:t>
            </w:r>
          </w:p>
        </w:tc>
        <w:tc>
          <w:tcPr>
            <w:tcW w:w="269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 w:val="24"/>
                <w:szCs w:val="20"/>
              </w:rPr>
            </w:pPr>
            <w:r>
              <w:rPr>
                <w:rFonts w:hint="eastAsia" w:ascii="宋体" w:hAnsi="宋体"/>
                <w:spacing w:val="20"/>
                <w:sz w:val="22"/>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9716" w:type="dxa"/>
            <w:gridSpan w:val="4"/>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left"/>
              <w:rPr>
                <w:rFonts w:ascii="宋体" w:hAnsi="宋体"/>
                <w:spacing w:val="20"/>
                <w:szCs w:val="21"/>
              </w:rPr>
            </w:pPr>
            <w:r>
              <w:rPr>
                <w:rFonts w:hint="eastAsia" w:ascii="宋体" w:hAnsi="宋体"/>
                <w:spacing w:val="20"/>
                <w:szCs w:val="21"/>
              </w:rPr>
              <w:t>__分标（此处有分标时填写具体分标号，无分标时填写“无”）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9716" w:type="dxa"/>
            <w:gridSpan w:val="4"/>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left"/>
              <w:rPr>
                <w:rFonts w:ascii="宋体" w:hAnsi="宋体"/>
                <w:spacing w:val="20"/>
                <w:szCs w:val="21"/>
              </w:rPr>
            </w:pPr>
            <w:r>
              <w:rPr>
                <w:rFonts w:hint="eastAsia" w:ascii="宋体" w:hAnsi="宋体"/>
                <w:spacing w:val="20"/>
                <w:szCs w:val="21"/>
              </w:rPr>
              <w:t>竞标人（盖单位公章）：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9716" w:type="dxa"/>
            <w:gridSpan w:val="4"/>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left"/>
            </w:pPr>
            <w:r>
              <w:rPr>
                <w:rFonts w:hint="eastAsia"/>
              </w:rPr>
              <w:t>法定代表人或其委托代理人（签字或盖章）：</w:t>
            </w:r>
          </w:p>
        </w:tc>
      </w:tr>
    </w:tbl>
    <w:p>
      <w:pPr>
        <w:snapToGrid w:val="0"/>
        <w:spacing w:before="295" w:after="295" w:line="480" w:lineRule="exact"/>
        <w:rPr>
          <w:rFonts w:ascii="宋体" w:hAnsi="宋体" w:cs="Courier New"/>
          <w:spacing w:val="20"/>
          <w:szCs w:val="21"/>
        </w:rPr>
      </w:pPr>
      <w:r>
        <w:rPr>
          <w:rFonts w:hint="eastAsia" w:ascii="宋体" w:hAnsi="宋体" w:cs="Courier New"/>
          <w:spacing w:val="20"/>
          <w:szCs w:val="21"/>
        </w:rPr>
        <w:t>注：（1）表格内容均需按要求填写并盖章，不得留空，否则按</w:t>
      </w:r>
      <w:r>
        <w:rPr>
          <w:rFonts w:hint="eastAsia" w:ascii="宋体" w:hAnsi="宋体"/>
          <w:spacing w:val="20"/>
          <w:szCs w:val="21"/>
        </w:rPr>
        <w:t>磋商</w:t>
      </w:r>
      <w:r>
        <w:rPr>
          <w:rFonts w:hint="eastAsia" w:ascii="宋体" w:hAnsi="宋体" w:cs="Courier New"/>
          <w:spacing w:val="20"/>
          <w:szCs w:val="21"/>
        </w:rPr>
        <w:t>无效处理。</w:t>
      </w:r>
    </w:p>
    <w:p>
      <w:pPr>
        <w:snapToGrid w:val="0"/>
        <w:spacing w:before="295" w:after="295" w:line="480" w:lineRule="exact"/>
        <w:rPr>
          <w:rFonts w:ascii="宋体" w:hAnsi="宋体" w:cs="Courier New"/>
          <w:spacing w:val="20"/>
          <w:szCs w:val="21"/>
        </w:rPr>
      </w:pPr>
      <w:r>
        <w:rPr>
          <w:rFonts w:hint="eastAsia" w:ascii="宋体" w:hAnsi="宋体" w:cs="Courier New"/>
          <w:spacing w:val="20"/>
          <w:szCs w:val="21"/>
        </w:rPr>
        <w:t xml:space="preserve">  （2）当</w:t>
      </w:r>
      <w:r>
        <w:rPr>
          <w:rFonts w:hint="eastAsia" w:ascii="宋体" w:hAnsi="宋体"/>
          <w:sz w:val="22"/>
        </w:rPr>
        <w:t>响应</w:t>
      </w:r>
      <w:r>
        <w:rPr>
          <w:rFonts w:hint="eastAsia" w:ascii="宋体" w:hAnsi="宋体" w:cs="Courier New"/>
          <w:spacing w:val="20"/>
          <w:szCs w:val="21"/>
        </w:rPr>
        <w:t>文件的技术参数或商务内容低于采购文件要求时，竞标人应当如实写明“负偏离”，否则视为虚假应标。</w:t>
      </w:r>
    </w:p>
    <w:p>
      <w:pPr>
        <w:pStyle w:val="25"/>
        <w:spacing w:line="440" w:lineRule="exact"/>
        <w:ind w:left="1071" w:hanging="595"/>
        <w:outlineLvl w:val="1"/>
        <w:rPr>
          <w:rFonts w:hAnsi="宋体"/>
          <w:b/>
        </w:rPr>
      </w:pPr>
    </w:p>
    <w:p>
      <w:pPr>
        <w:pStyle w:val="25"/>
        <w:spacing w:line="440" w:lineRule="exact"/>
        <w:ind w:left="1071" w:hanging="595"/>
        <w:outlineLvl w:val="1"/>
        <w:rPr>
          <w:rFonts w:hAnsi="宋体"/>
          <w:b/>
        </w:rPr>
      </w:pPr>
    </w:p>
    <w:p>
      <w:pPr>
        <w:pStyle w:val="25"/>
        <w:spacing w:line="440" w:lineRule="exact"/>
        <w:ind w:left="1071" w:hanging="595"/>
        <w:outlineLvl w:val="1"/>
        <w:rPr>
          <w:rFonts w:hAnsi="宋体"/>
          <w:b/>
        </w:rPr>
      </w:pPr>
    </w:p>
    <w:p>
      <w:pPr>
        <w:pStyle w:val="25"/>
        <w:spacing w:line="440" w:lineRule="exact"/>
        <w:ind w:left="1071" w:hanging="595"/>
        <w:outlineLvl w:val="1"/>
        <w:rPr>
          <w:rFonts w:hAnsi="宋体"/>
          <w:b/>
        </w:rPr>
      </w:pPr>
      <w:r>
        <w:rPr>
          <w:rFonts w:hint="eastAsia" w:hAnsi="宋体"/>
          <w:b/>
        </w:rPr>
        <w:t>六、中小企业声明函、残疾人福利性单位声明函</w:t>
      </w:r>
    </w:p>
    <w:p>
      <w:pPr>
        <w:snapToGrid w:val="0"/>
        <w:spacing w:before="295" w:after="295" w:line="480" w:lineRule="exact"/>
        <w:rPr>
          <w:rFonts w:ascii="宋体" w:hAnsi="宋体" w:cs="Courier New"/>
          <w:spacing w:val="20"/>
          <w:szCs w:val="21"/>
        </w:rPr>
      </w:pPr>
    </w:p>
    <w:bookmarkEnd w:id="76"/>
    <w:p>
      <w:pPr>
        <w:spacing w:before="156" w:beforeLines="50" w:after="156" w:afterLines="50"/>
        <w:jc w:val="center"/>
        <w:outlineLvl w:val="1"/>
        <w:rPr>
          <w:rFonts w:ascii="宋体" w:hAnsi="宋体"/>
          <w:b/>
          <w:sz w:val="32"/>
          <w:szCs w:val="32"/>
        </w:rPr>
      </w:pPr>
      <w:bookmarkStart w:id="77" w:name="_Toc501090519"/>
      <w:r>
        <w:rPr>
          <w:rFonts w:hint="eastAsia" w:ascii="宋体" w:hAnsi="宋体"/>
          <w:b/>
          <w:sz w:val="32"/>
          <w:szCs w:val="32"/>
        </w:rPr>
        <w:t>中小企业声明函</w:t>
      </w:r>
      <w:bookmarkEnd w:id="77"/>
      <w:r>
        <w:rPr>
          <w:rFonts w:hint="eastAsia" w:ascii="宋体" w:hAnsi="宋体"/>
          <w:b/>
          <w:bCs/>
          <w:sz w:val="32"/>
          <w:szCs w:val="32"/>
        </w:rPr>
        <w:t>（工程、服务）</w:t>
      </w:r>
    </w:p>
    <w:p>
      <w:pPr>
        <w:spacing w:line="360" w:lineRule="auto"/>
        <w:ind w:firstLine="480" w:firstLineChars="200"/>
        <w:rPr>
          <w:rFonts w:cs="仿宋_GB2312" w:asciiTheme="majorEastAsia" w:hAnsiTheme="majorEastAsia" w:eastAsiaTheme="majorEastAsia"/>
          <w:sz w:val="24"/>
        </w:rPr>
      </w:pPr>
      <w:r>
        <w:rPr>
          <w:rFonts w:hint="eastAsia" w:cs="仿宋_GB2312" w:asciiTheme="majorEastAsia" w:hAnsiTheme="majorEastAsia" w:eastAsiaTheme="majorEastAsia"/>
          <w:sz w:val="24"/>
        </w:rPr>
        <w:t>本公司（联合体）郑重声明，根据《政府采购促进中小企业发展管理办法》（财库﹝2020﹞46 号）的规定，本公司（联合体）参加</w:t>
      </w:r>
      <w:r>
        <w:rPr>
          <w:rFonts w:hint="eastAsia" w:cs="仿宋_GB2312" w:asciiTheme="majorEastAsia" w:hAnsiTheme="majorEastAsia" w:eastAsiaTheme="majorEastAsia"/>
          <w:sz w:val="24"/>
          <w:u w:val="single"/>
        </w:rPr>
        <w:t>（单位名称）</w:t>
      </w:r>
      <w:r>
        <w:rPr>
          <w:rFonts w:hint="eastAsia" w:cs="仿宋_GB2312" w:asciiTheme="majorEastAsia" w:hAnsiTheme="majorEastAsia" w:eastAsiaTheme="majorEastAsia"/>
          <w:sz w:val="24"/>
        </w:rPr>
        <w:t>的</w:t>
      </w:r>
      <w:r>
        <w:rPr>
          <w:rFonts w:hint="eastAsia" w:cs="仿宋_GB2312" w:asciiTheme="majorEastAsia" w:hAnsiTheme="majorEastAsia" w:eastAsiaTheme="majorEastAsia"/>
          <w:sz w:val="24"/>
          <w:u w:val="single"/>
        </w:rPr>
        <w:t>（项目名称）</w:t>
      </w:r>
      <w:r>
        <w:rPr>
          <w:rFonts w:hint="eastAsia" w:cs="仿宋_GB2312" w:asciiTheme="majorEastAsia" w:hAnsiTheme="majorEastAsia" w:eastAsiaTheme="majorEastAsia"/>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cs="仿宋_GB2312" w:asciiTheme="majorEastAsia" w:hAnsiTheme="majorEastAsia" w:eastAsiaTheme="majorEastAsia"/>
          <w:sz w:val="24"/>
        </w:rPr>
      </w:pPr>
      <w:r>
        <w:rPr>
          <w:rFonts w:hint="eastAsia" w:cs="仿宋_GB2312" w:asciiTheme="majorEastAsia" w:hAnsiTheme="majorEastAsia" w:eastAsiaTheme="majorEastAsia"/>
          <w:sz w:val="24"/>
        </w:rPr>
        <w:t xml:space="preserve">1. </w:t>
      </w:r>
      <w:r>
        <w:rPr>
          <w:rFonts w:hint="eastAsia" w:cs="仿宋_GB2312" w:asciiTheme="majorEastAsia" w:hAnsiTheme="majorEastAsia" w:eastAsiaTheme="majorEastAsia"/>
          <w:sz w:val="24"/>
          <w:u w:val="single"/>
        </w:rPr>
        <w:t xml:space="preserve">（标的名称） </w:t>
      </w:r>
      <w:r>
        <w:rPr>
          <w:rFonts w:hint="eastAsia" w:cs="仿宋_GB2312" w:asciiTheme="majorEastAsia" w:hAnsiTheme="majorEastAsia" w:eastAsiaTheme="majorEastAsia"/>
          <w:sz w:val="24"/>
        </w:rPr>
        <w:t>，属于</w:t>
      </w:r>
      <w:r>
        <w:rPr>
          <w:rFonts w:hint="eastAsia" w:cs="仿宋_GB2312" w:asciiTheme="majorEastAsia" w:hAnsiTheme="majorEastAsia" w:eastAsiaTheme="majorEastAsia"/>
          <w:sz w:val="24"/>
          <w:u w:val="single"/>
        </w:rPr>
        <w:t>（采购文件中明确的所属行业）</w:t>
      </w:r>
      <w:r>
        <w:rPr>
          <w:rFonts w:hint="eastAsia" w:cs="仿宋_GB2312" w:asciiTheme="majorEastAsia" w:hAnsiTheme="majorEastAsia" w:eastAsiaTheme="majorEastAsia"/>
          <w:sz w:val="24"/>
        </w:rPr>
        <w:t>；承建（承接）企业为</w:t>
      </w:r>
      <w:r>
        <w:rPr>
          <w:rFonts w:hint="eastAsia" w:cs="仿宋_GB2312" w:asciiTheme="majorEastAsia" w:hAnsiTheme="majorEastAsia" w:eastAsiaTheme="majorEastAsia"/>
          <w:sz w:val="24"/>
          <w:u w:val="single"/>
        </w:rPr>
        <w:t>（企业名称）</w:t>
      </w:r>
      <w:r>
        <w:rPr>
          <w:rFonts w:hint="eastAsia" w:cs="仿宋_GB2312" w:asciiTheme="majorEastAsia" w:hAnsiTheme="majorEastAsia" w:eastAsiaTheme="majorEastAsia"/>
          <w:sz w:val="24"/>
        </w:rPr>
        <w:t>，从业人员</w:t>
      </w:r>
      <w:r>
        <w:rPr>
          <w:rFonts w:hint="eastAsia" w:cs="仿宋_GB2312" w:asciiTheme="majorEastAsia" w:hAnsiTheme="majorEastAsia" w:eastAsiaTheme="majorEastAsia"/>
          <w:sz w:val="24"/>
          <w:u w:val="single"/>
        </w:rPr>
        <w:t xml:space="preserve">   </w:t>
      </w:r>
      <w:r>
        <w:rPr>
          <w:rFonts w:hint="eastAsia" w:cs="仿宋_GB2312" w:asciiTheme="majorEastAsia" w:hAnsiTheme="majorEastAsia" w:eastAsiaTheme="majorEastAsia"/>
          <w:sz w:val="24"/>
        </w:rPr>
        <w:t>人，营业收入为</w:t>
      </w:r>
      <w:r>
        <w:rPr>
          <w:rFonts w:hint="eastAsia" w:cs="仿宋_GB2312" w:asciiTheme="majorEastAsia" w:hAnsiTheme="majorEastAsia" w:eastAsiaTheme="majorEastAsia"/>
          <w:sz w:val="24"/>
          <w:u w:val="single"/>
        </w:rPr>
        <w:t xml:space="preserve">   </w:t>
      </w:r>
      <w:r>
        <w:rPr>
          <w:rFonts w:hint="eastAsia" w:cs="仿宋_GB2312" w:asciiTheme="majorEastAsia" w:hAnsiTheme="majorEastAsia" w:eastAsiaTheme="majorEastAsia"/>
          <w:sz w:val="24"/>
        </w:rPr>
        <w:t>万元，资产总额为</w:t>
      </w:r>
      <w:r>
        <w:rPr>
          <w:rFonts w:hint="eastAsia" w:cs="仿宋_GB2312" w:asciiTheme="majorEastAsia" w:hAnsiTheme="majorEastAsia" w:eastAsiaTheme="majorEastAsia"/>
          <w:sz w:val="24"/>
          <w:u w:val="single"/>
        </w:rPr>
        <w:t xml:space="preserve">   </w:t>
      </w:r>
      <w:r>
        <w:rPr>
          <w:rFonts w:hint="eastAsia" w:cs="仿宋_GB2312" w:asciiTheme="majorEastAsia" w:hAnsiTheme="majorEastAsia" w:eastAsiaTheme="majorEastAsia"/>
          <w:sz w:val="24"/>
        </w:rPr>
        <w:t>万元</w:t>
      </w:r>
      <w:r>
        <w:rPr>
          <w:rFonts w:hint="eastAsia" w:cs="仿宋_GB2312" w:asciiTheme="majorEastAsia" w:hAnsiTheme="majorEastAsia" w:eastAsiaTheme="majorEastAsia"/>
          <w:sz w:val="24"/>
          <w:vertAlign w:val="superscript"/>
        </w:rPr>
        <w:t>1</w:t>
      </w:r>
      <w:r>
        <w:rPr>
          <w:rFonts w:hint="eastAsia" w:cs="仿宋_GB2312" w:asciiTheme="majorEastAsia" w:hAnsiTheme="majorEastAsia" w:eastAsiaTheme="majorEastAsia"/>
          <w:sz w:val="24"/>
        </w:rPr>
        <w:t>，属于</w:t>
      </w:r>
      <w:r>
        <w:rPr>
          <w:rFonts w:hint="eastAsia" w:cs="仿宋_GB2312" w:asciiTheme="majorEastAsia" w:hAnsiTheme="majorEastAsia" w:eastAsiaTheme="majorEastAsia"/>
          <w:sz w:val="24"/>
          <w:u w:val="single"/>
        </w:rPr>
        <w:t>（中型企业、小型企业、微型企业）</w:t>
      </w:r>
      <w:r>
        <w:rPr>
          <w:rFonts w:hint="eastAsia" w:cs="仿宋_GB2312" w:asciiTheme="majorEastAsia" w:hAnsiTheme="majorEastAsia" w:eastAsiaTheme="majorEastAsia"/>
          <w:sz w:val="24"/>
        </w:rPr>
        <w:t>；</w:t>
      </w:r>
    </w:p>
    <w:p>
      <w:pPr>
        <w:spacing w:line="360" w:lineRule="auto"/>
        <w:ind w:firstLine="480" w:firstLineChars="200"/>
        <w:rPr>
          <w:rFonts w:cs="仿宋_GB2312" w:asciiTheme="majorEastAsia" w:hAnsiTheme="majorEastAsia" w:eastAsiaTheme="majorEastAsia"/>
          <w:sz w:val="24"/>
        </w:rPr>
      </w:pPr>
      <w:r>
        <w:rPr>
          <w:rFonts w:hint="eastAsia" w:cs="仿宋_GB2312" w:asciiTheme="majorEastAsia" w:hAnsiTheme="majorEastAsia" w:eastAsiaTheme="majorEastAsia"/>
          <w:sz w:val="24"/>
        </w:rPr>
        <w:t>2.</w:t>
      </w:r>
      <w:r>
        <w:rPr>
          <w:rFonts w:hint="eastAsia" w:cs="仿宋_GB2312" w:asciiTheme="majorEastAsia" w:hAnsiTheme="majorEastAsia" w:eastAsiaTheme="majorEastAsia"/>
          <w:sz w:val="24"/>
          <w:u w:val="single"/>
        </w:rPr>
        <w:t xml:space="preserve"> （标的名称）</w:t>
      </w:r>
      <w:r>
        <w:rPr>
          <w:rFonts w:hint="eastAsia" w:cs="仿宋_GB2312" w:asciiTheme="majorEastAsia" w:hAnsiTheme="majorEastAsia" w:eastAsiaTheme="majorEastAsia"/>
          <w:sz w:val="24"/>
        </w:rPr>
        <w:t xml:space="preserve"> ，属于</w:t>
      </w:r>
      <w:r>
        <w:rPr>
          <w:rFonts w:hint="eastAsia" w:cs="仿宋_GB2312" w:asciiTheme="majorEastAsia" w:hAnsiTheme="majorEastAsia" w:eastAsiaTheme="majorEastAsia"/>
          <w:sz w:val="24"/>
          <w:u w:val="single"/>
        </w:rPr>
        <w:t>（采购文件中明确的所属行业）</w:t>
      </w:r>
      <w:r>
        <w:rPr>
          <w:rFonts w:hint="eastAsia" w:cs="仿宋_GB2312" w:asciiTheme="majorEastAsia" w:hAnsiTheme="majorEastAsia" w:eastAsiaTheme="majorEastAsia"/>
          <w:sz w:val="24"/>
        </w:rPr>
        <w:t>；承建（承接）企业为</w:t>
      </w:r>
      <w:r>
        <w:rPr>
          <w:rFonts w:hint="eastAsia" w:cs="仿宋_GB2312" w:asciiTheme="majorEastAsia" w:hAnsiTheme="majorEastAsia" w:eastAsiaTheme="majorEastAsia"/>
          <w:sz w:val="24"/>
          <w:u w:val="single"/>
        </w:rPr>
        <w:t>（企业名称）</w:t>
      </w:r>
      <w:r>
        <w:rPr>
          <w:rFonts w:hint="eastAsia" w:cs="仿宋_GB2312" w:asciiTheme="majorEastAsia" w:hAnsiTheme="majorEastAsia" w:eastAsiaTheme="majorEastAsia"/>
          <w:sz w:val="24"/>
        </w:rPr>
        <w:t>，从业人员</w:t>
      </w:r>
      <w:r>
        <w:rPr>
          <w:rFonts w:hint="eastAsia" w:cs="仿宋_GB2312" w:asciiTheme="majorEastAsia" w:hAnsiTheme="majorEastAsia" w:eastAsiaTheme="majorEastAsia"/>
          <w:sz w:val="24"/>
          <w:u w:val="single"/>
        </w:rPr>
        <w:t xml:space="preserve">   </w:t>
      </w:r>
      <w:r>
        <w:rPr>
          <w:rFonts w:hint="eastAsia" w:cs="仿宋_GB2312" w:asciiTheme="majorEastAsia" w:hAnsiTheme="majorEastAsia" w:eastAsiaTheme="majorEastAsia"/>
          <w:sz w:val="24"/>
        </w:rPr>
        <w:t>人，营业收入为</w:t>
      </w:r>
      <w:r>
        <w:rPr>
          <w:rFonts w:hint="eastAsia" w:cs="仿宋_GB2312" w:asciiTheme="majorEastAsia" w:hAnsiTheme="majorEastAsia" w:eastAsiaTheme="majorEastAsia"/>
          <w:sz w:val="24"/>
          <w:u w:val="single"/>
        </w:rPr>
        <w:t xml:space="preserve">   </w:t>
      </w:r>
      <w:r>
        <w:rPr>
          <w:rFonts w:hint="eastAsia" w:cs="仿宋_GB2312" w:asciiTheme="majorEastAsia" w:hAnsiTheme="majorEastAsia" w:eastAsiaTheme="majorEastAsia"/>
          <w:sz w:val="24"/>
        </w:rPr>
        <w:t>万元，资产总额为</w:t>
      </w:r>
      <w:r>
        <w:rPr>
          <w:rFonts w:hint="eastAsia" w:cs="仿宋_GB2312" w:asciiTheme="majorEastAsia" w:hAnsiTheme="majorEastAsia" w:eastAsiaTheme="majorEastAsia"/>
          <w:sz w:val="24"/>
          <w:u w:val="single"/>
        </w:rPr>
        <w:t xml:space="preserve">   </w:t>
      </w:r>
      <w:r>
        <w:rPr>
          <w:rFonts w:hint="eastAsia" w:cs="仿宋_GB2312" w:asciiTheme="majorEastAsia" w:hAnsiTheme="majorEastAsia" w:eastAsiaTheme="majorEastAsia"/>
          <w:sz w:val="24"/>
        </w:rPr>
        <w:t>万元，属于</w:t>
      </w:r>
      <w:r>
        <w:rPr>
          <w:rFonts w:hint="eastAsia" w:cs="仿宋_GB2312" w:asciiTheme="majorEastAsia" w:hAnsiTheme="majorEastAsia" w:eastAsiaTheme="majorEastAsia"/>
          <w:sz w:val="24"/>
          <w:u w:val="single"/>
        </w:rPr>
        <w:t>（中型企业、小型企业、微型企业）</w:t>
      </w:r>
      <w:r>
        <w:rPr>
          <w:rFonts w:hint="eastAsia" w:cs="仿宋_GB2312" w:asciiTheme="majorEastAsia" w:hAnsiTheme="majorEastAsia" w:eastAsiaTheme="majorEastAsia"/>
          <w:sz w:val="24"/>
        </w:rPr>
        <w:t>；</w:t>
      </w:r>
    </w:p>
    <w:p>
      <w:pPr>
        <w:spacing w:line="360" w:lineRule="auto"/>
        <w:ind w:firstLine="480" w:firstLineChars="200"/>
        <w:rPr>
          <w:rFonts w:cs="仿宋_GB2312" w:asciiTheme="majorEastAsia" w:hAnsiTheme="majorEastAsia" w:eastAsiaTheme="majorEastAsia"/>
          <w:sz w:val="24"/>
        </w:rPr>
      </w:pPr>
      <w:r>
        <w:rPr>
          <w:rFonts w:hint="eastAsia" w:cs="仿宋_GB2312" w:asciiTheme="majorEastAsia" w:hAnsiTheme="majorEastAsia" w:eastAsiaTheme="majorEastAsia"/>
          <w:sz w:val="24"/>
        </w:rPr>
        <w:t>……</w:t>
      </w:r>
    </w:p>
    <w:p>
      <w:pPr>
        <w:spacing w:line="360" w:lineRule="auto"/>
        <w:ind w:firstLine="480" w:firstLineChars="200"/>
        <w:rPr>
          <w:rFonts w:cs="仿宋_GB2312" w:asciiTheme="majorEastAsia" w:hAnsiTheme="majorEastAsia" w:eastAsiaTheme="majorEastAsia"/>
          <w:sz w:val="24"/>
        </w:rPr>
      </w:pPr>
      <w:r>
        <w:rPr>
          <w:rFonts w:hint="eastAsia" w:cs="仿宋_GB2312" w:asciiTheme="majorEastAsia" w:hAnsiTheme="majorEastAsia" w:eastAsiaTheme="majorEastAsia"/>
          <w:sz w:val="24"/>
        </w:rPr>
        <w:t>以上企业，不属于大企业的分支机构，不存在控股股东为大企业的情形，也不存在与大企业的负责人为同一人的情形。</w:t>
      </w:r>
    </w:p>
    <w:p>
      <w:pPr>
        <w:spacing w:line="360" w:lineRule="auto"/>
        <w:ind w:firstLine="480" w:firstLineChars="200"/>
        <w:rPr>
          <w:rFonts w:cs="仿宋_GB2312" w:asciiTheme="majorEastAsia" w:hAnsiTheme="majorEastAsia" w:eastAsiaTheme="majorEastAsia"/>
          <w:sz w:val="24"/>
        </w:rPr>
      </w:pPr>
      <w:r>
        <w:rPr>
          <w:rFonts w:hint="eastAsia" w:cs="仿宋_GB2312" w:asciiTheme="majorEastAsia" w:hAnsiTheme="majorEastAsia" w:eastAsiaTheme="majorEastAsia"/>
          <w:sz w:val="24"/>
        </w:rPr>
        <w:t>本企业对上述声明内容的真实性负责。如有虚假，将依法承担相应责任。</w:t>
      </w:r>
    </w:p>
    <w:p>
      <w:pPr>
        <w:spacing w:line="360" w:lineRule="auto"/>
        <w:ind w:firstLine="3840" w:firstLineChars="1600"/>
        <w:rPr>
          <w:rFonts w:cs="仿宋_GB2312" w:asciiTheme="majorEastAsia" w:hAnsiTheme="majorEastAsia" w:eastAsiaTheme="majorEastAsia"/>
          <w:sz w:val="24"/>
        </w:rPr>
      </w:pPr>
      <w:r>
        <w:rPr>
          <w:rFonts w:hint="eastAsia" w:cs="仿宋_GB2312" w:asciiTheme="majorEastAsia" w:hAnsiTheme="majorEastAsia" w:eastAsiaTheme="majorEastAsia"/>
          <w:sz w:val="24"/>
        </w:rPr>
        <w:t>企业名称（盖章）：</w:t>
      </w:r>
    </w:p>
    <w:p>
      <w:pPr>
        <w:spacing w:line="360" w:lineRule="auto"/>
        <w:ind w:firstLine="3840" w:firstLineChars="1600"/>
        <w:rPr>
          <w:rFonts w:cs="仿宋_GB2312" w:asciiTheme="majorEastAsia" w:hAnsiTheme="majorEastAsia" w:eastAsiaTheme="majorEastAsia"/>
          <w:sz w:val="24"/>
        </w:rPr>
      </w:pPr>
      <w:r>
        <w:rPr>
          <w:rFonts w:hint="eastAsia" w:cs="仿宋_GB2312" w:asciiTheme="majorEastAsia" w:hAnsiTheme="majorEastAsia" w:eastAsiaTheme="majorEastAsia"/>
          <w:sz w:val="24"/>
        </w:rPr>
        <w:t>日 期：</w:t>
      </w:r>
    </w:p>
    <w:p>
      <w:pPr>
        <w:spacing w:line="360" w:lineRule="auto"/>
        <w:ind w:firstLine="3840" w:firstLineChars="1600"/>
        <w:rPr>
          <w:rFonts w:cs="仿宋_GB2312" w:asciiTheme="majorEastAsia" w:hAnsiTheme="majorEastAsia" w:eastAsiaTheme="majorEastAsia"/>
          <w:sz w:val="24"/>
        </w:rPr>
      </w:pPr>
    </w:p>
    <w:p>
      <w:pPr>
        <w:spacing w:line="360" w:lineRule="auto"/>
        <w:rPr>
          <w:rFonts w:ascii="宋体" w:hAnsi="宋体" w:cs="宋体"/>
          <w:i/>
          <w:sz w:val="24"/>
        </w:rPr>
      </w:pPr>
      <w:r>
        <w:rPr>
          <w:rFonts w:hint="eastAsia" w:ascii="宋体" w:hAnsi="宋体" w:cs="宋体"/>
          <w:i/>
          <w:sz w:val="24"/>
          <w:vertAlign w:val="superscript"/>
        </w:rPr>
        <w:t>1</w:t>
      </w:r>
      <w:r>
        <w:rPr>
          <w:rFonts w:hint="eastAsia" w:ascii="宋体" w:hAnsi="宋体" w:cs="宋体"/>
          <w:i/>
          <w:sz w:val="24"/>
        </w:rPr>
        <w:t xml:space="preserve"> 从业人员、营业收入、资产总额填报上一年度数据，无上一年度数据的新成立企业可不填报。</w:t>
      </w:r>
    </w:p>
    <w:p>
      <w:pPr>
        <w:snapToGrid w:val="0"/>
        <w:jc w:val="center"/>
        <w:rPr>
          <w:rFonts w:ascii="宋体"/>
          <w:sz w:val="24"/>
        </w:rPr>
      </w:pPr>
    </w:p>
    <w:p>
      <w:pPr>
        <w:widowControl/>
        <w:shd w:val="clear" w:color="auto" w:fill="FFFFFF"/>
        <w:spacing w:line="360" w:lineRule="auto"/>
        <w:ind w:firstLine="480"/>
        <w:jc w:val="left"/>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before="156" w:beforeLines="50" w:after="156" w:afterLines="50"/>
        <w:jc w:val="center"/>
        <w:outlineLvl w:val="1"/>
        <w:rPr>
          <w:rFonts w:ascii="宋体" w:hAnsi="宋体"/>
          <w:b/>
          <w:sz w:val="32"/>
          <w:szCs w:val="32"/>
        </w:rPr>
      </w:pPr>
      <w:bookmarkStart w:id="78" w:name="_Toc501090520"/>
      <w:bookmarkStart w:id="79" w:name="OLE_LINK13"/>
      <w:bookmarkStart w:id="80" w:name="OLE_LINK14"/>
      <w:r>
        <w:rPr>
          <w:rFonts w:hint="eastAsia" w:ascii="宋体" w:hAnsi="宋体"/>
          <w:b/>
          <w:sz w:val="32"/>
          <w:szCs w:val="32"/>
        </w:rPr>
        <w:t>残疾人福利性单位声明函</w:t>
      </w:r>
      <w:bookmarkEnd w:id="78"/>
    </w:p>
    <w:bookmarkEnd w:id="79"/>
    <w:bookmarkEnd w:id="80"/>
    <w:p>
      <w:pPr>
        <w:spacing w:line="588" w:lineRule="exact"/>
        <w:rPr>
          <w:rFonts w:ascii="宋体"/>
          <w:b/>
          <w:spacing w:val="6"/>
          <w:sz w:val="24"/>
        </w:rPr>
      </w:pPr>
    </w:p>
    <w:p>
      <w:pPr>
        <w:spacing w:line="588" w:lineRule="exact"/>
        <w:ind w:firstLine="504" w:firstLineChars="200"/>
        <w:rPr>
          <w:rFonts w:ascii="宋体"/>
          <w:spacing w:val="6"/>
          <w:sz w:val="24"/>
        </w:rPr>
      </w:pPr>
      <w:r>
        <w:rPr>
          <w:rFonts w:hint="eastAsia" w:ascii="宋体" w:hAnsi="宋体"/>
          <w:spacing w:val="6"/>
          <w:sz w:val="24"/>
        </w:rPr>
        <w:t>本单位郑重声明，根据《财政部民政部中国残疾人联合会关于促进残疾人就业政府采购政策的通知》（财库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588" w:lineRule="exact"/>
        <w:ind w:firstLine="504" w:firstLineChars="200"/>
        <w:rPr>
          <w:rFonts w:asci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spacing w:val="6"/>
          <w:sz w:val="24"/>
        </w:rPr>
      </w:pPr>
    </w:p>
    <w:p>
      <w:pPr>
        <w:spacing w:line="588" w:lineRule="exact"/>
        <w:ind w:firstLine="504" w:firstLineChars="200"/>
        <w:rPr>
          <w:rFonts w:ascii="宋体"/>
          <w:spacing w:val="6"/>
          <w:sz w:val="24"/>
        </w:rPr>
      </w:pPr>
    </w:p>
    <w:p>
      <w:pPr>
        <w:snapToGrid w:val="0"/>
        <w:ind w:firstLine="3840" w:firstLineChars="1600"/>
        <w:rPr>
          <w:rFonts w:ascii="宋体"/>
          <w:sz w:val="24"/>
        </w:rPr>
      </w:pPr>
      <w:r>
        <w:rPr>
          <w:rFonts w:hint="eastAsia" w:ascii="宋体" w:hAnsi="宋体"/>
          <w:sz w:val="24"/>
        </w:rPr>
        <w:t>法定代表人或授权代表签字</w:t>
      </w:r>
      <w:r>
        <w:rPr>
          <w:rFonts w:ascii="宋体" w:hAnsi="宋体"/>
          <w:sz w:val="24"/>
        </w:rPr>
        <w:t>:_____</w:t>
      </w:r>
    </w:p>
    <w:p>
      <w:pPr>
        <w:snapToGrid w:val="0"/>
        <w:rPr>
          <w:rFonts w:ascii="宋体"/>
          <w:sz w:val="24"/>
        </w:rPr>
      </w:pPr>
    </w:p>
    <w:p>
      <w:pPr>
        <w:snapToGrid w:val="0"/>
        <w:ind w:firstLine="3840" w:firstLineChars="1600"/>
        <w:rPr>
          <w:rFonts w:ascii="宋体"/>
          <w:sz w:val="24"/>
          <w:u w:val="single"/>
        </w:rPr>
      </w:pPr>
      <w:r>
        <w:rPr>
          <w:rFonts w:hint="eastAsia" w:ascii="宋体" w:hAnsi="宋体"/>
          <w:sz w:val="24"/>
        </w:rPr>
        <w:t>竞标人盖章：</w:t>
      </w:r>
    </w:p>
    <w:p>
      <w:pPr>
        <w:snapToGrid w:val="0"/>
        <w:jc w:val="center"/>
        <w:rPr>
          <w:rFonts w:ascii="宋体"/>
          <w:sz w:val="24"/>
        </w:rPr>
      </w:pPr>
    </w:p>
    <w:p>
      <w:pPr>
        <w:snapToGrid w:val="0"/>
        <w:jc w:val="center"/>
        <w:rPr>
          <w:rFonts w:ascii="宋体"/>
          <w:sz w:val="24"/>
        </w:rPr>
      </w:pPr>
      <w:r>
        <w:rPr>
          <w:rFonts w:hint="eastAsia" w:ascii="宋体" w:hAnsi="宋体"/>
          <w:sz w:val="24"/>
        </w:rPr>
        <w:t xml:space="preserve">         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spacing w:before="120" w:line="360" w:lineRule="auto"/>
        <w:ind w:firstLine="525" w:firstLineChars="250"/>
        <w:rPr>
          <w:rFonts w:ascii="宋体"/>
          <w:szCs w:val="21"/>
        </w:rPr>
      </w:pPr>
    </w:p>
    <w:p>
      <w:pPr>
        <w:pStyle w:val="25"/>
        <w:spacing w:before="120" w:line="360" w:lineRule="auto"/>
        <w:rPr>
          <w:rFonts w:hAnsi="宋体"/>
          <w:b/>
        </w:rPr>
      </w:pPr>
      <w:r>
        <w:rPr>
          <w:rFonts w:hAnsi="宋体"/>
          <w:sz w:val="36"/>
          <w:szCs w:val="36"/>
        </w:rPr>
        <w:br w:type="page"/>
      </w:r>
      <w:bookmarkStart w:id="81" w:name="_Toc501090521"/>
    </w:p>
    <w:p>
      <w:pPr>
        <w:pStyle w:val="25"/>
        <w:jc w:val="left"/>
        <w:outlineLvl w:val="1"/>
        <w:rPr>
          <w:rFonts w:hAnsi="宋体"/>
          <w:b/>
        </w:rPr>
      </w:pPr>
      <w:r>
        <w:rPr>
          <w:rFonts w:hint="eastAsia" w:hAnsi="宋体"/>
          <w:b/>
        </w:rPr>
        <w:t>七、其他文件（格式自拟）</w:t>
      </w:r>
      <w:bookmarkEnd w:id="81"/>
    </w:p>
    <w:p>
      <w:pPr>
        <w:widowControl/>
        <w:jc w:val="left"/>
        <w:rPr>
          <w:rFonts w:ascii="宋体"/>
          <w:szCs w:val="21"/>
        </w:rPr>
      </w:pPr>
      <w:bookmarkStart w:id="82" w:name="_Toc300846373"/>
      <w:r>
        <w:rPr>
          <w:rFonts w:ascii="宋体"/>
          <w:szCs w:val="21"/>
        </w:rPr>
        <w:br w:type="page"/>
      </w:r>
    </w:p>
    <w:p>
      <w:pPr>
        <w:spacing w:before="936" w:beforeLines="300" w:line="360" w:lineRule="auto"/>
        <w:jc w:val="center"/>
        <w:outlineLvl w:val="0"/>
        <w:rPr>
          <w:b/>
          <w:sz w:val="36"/>
          <w:szCs w:val="36"/>
        </w:rPr>
      </w:pPr>
      <w:bookmarkStart w:id="83" w:name="_Toc501090522"/>
      <w:r>
        <w:rPr>
          <w:rFonts w:hint="eastAsia"/>
          <w:b/>
          <w:sz w:val="36"/>
          <w:szCs w:val="36"/>
        </w:rPr>
        <w:t>第五章</w:t>
      </w:r>
      <w:bookmarkEnd w:id="82"/>
      <w:bookmarkStart w:id="84" w:name="_Toc300846374"/>
      <w:r>
        <w:rPr>
          <w:rFonts w:hint="eastAsia"/>
          <w:b/>
          <w:sz w:val="36"/>
          <w:szCs w:val="36"/>
        </w:rPr>
        <w:t>合同主要条款及格式</w:t>
      </w:r>
      <w:bookmarkEnd w:id="83"/>
    </w:p>
    <w:p>
      <w:pPr>
        <w:keepNext/>
        <w:keepLines/>
        <w:spacing w:before="340" w:after="330" w:line="578" w:lineRule="auto"/>
        <w:jc w:val="center"/>
        <w:outlineLvl w:val="0"/>
        <w:rPr>
          <w:rFonts w:ascii="宋体" w:hAnsi="宋体"/>
          <w:b/>
          <w:color w:val="000000"/>
          <w:kern w:val="0"/>
          <w:sz w:val="30"/>
          <w:szCs w:val="30"/>
        </w:rPr>
      </w:pPr>
      <w:bookmarkStart w:id="85" w:name="_Toc501090523"/>
      <w:r>
        <w:rPr>
          <w:rFonts w:hint="eastAsia" w:ascii="宋体" w:hAnsi="宋体"/>
          <w:b/>
          <w:color w:val="000000"/>
          <w:kern w:val="0"/>
          <w:sz w:val="30"/>
          <w:szCs w:val="30"/>
        </w:rPr>
        <w:t>政府采购合同</w:t>
      </w:r>
    </w:p>
    <w:p>
      <w:pPr>
        <w:snapToGrid w:val="0"/>
        <w:spacing w:line="340" w:lineRule="exact"/>
        <w:rPr>
          <w:rFonts w:ascii="宋体" w:hAnsi="宋体"/>
          <w:color w:val="000000"/>
          <w:szCs w:val="21"/>
          <w:u w:val="single"/>
        </w:rPr>
      </w:pPr>
      <w:r>
        <w:rPr>
          <w:rFonts w:hint="eastAsia" w:ascii="宋体" w:hAnsi="宋体"/>
          <w:color w:val="000000"/>
          <w:szCs w:val="21"/>
        </w:rPr>
        <w:t>采购单位（甲方）</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pacing w:val="-20"/>
          <w:szCs w:val="21"/>
        </w:rPr>
        <w:t>采</w:t>
      </w:r>
      <w:r>
        <w:rPr>
          <w:rFonts w:ascii="宋体" w:hAnsi="宋体"/>
          <w:color w:val="000000"/>
          <w:spacing w:val="-20"/>
          <w:szCs w:val="21"/>
        </w:rPr>
        <w:t xml:space="preserve"> </w:t>
      </w:r>
      <w:r>
        <w:rPr>
          <w:rFonts w:hint="eastAsia" w:ascii="宋体" w:hAnsi="宋体"/>
          <w:color w:val="000000"/>
          <w:spacing w:val="-20"/>
          <w:szCs w:val="21"/>
        </w:rPr>
        <w:t>购</w:t>
      </w:r>
      <w:r>
        <w:rPr>
          <w:rFonts w:ascii="宋体" w:hAnsi="宋体"/>
          <w:color w:val="000000"/>
          <w:spacing w:val="-20"/>
          <w:szCs w:val="21"/>
        </w:rPr>
        <w:t xml:space="preserve"> </w:t>
      </w:r>
      <w:r>
        <w:rPr>
          <w:rFonts w:hint="eastAsia" w:ascii="宋体" w:hAnsi="宋体"/>
          <w:color w:val="000000"/>
          <w:spacing w:val="-20"/>
          <w:szCs w:val="21"/>
        </w:rPr>
        <w:t>计</w:t>
      </w:r>
      <w:r>
        <w:rPr>
          <w:rFonts w:ascii="宋体" w:hAnsi="宋体"/>
          <w:color w:val="000000"/>
          <w:spacing w:val="-20"/>
          <w:szCs w:val="21"/>
        </w:rPr>
        <w:t xml:space="preserve"> </w:t>
      </w:r>
      <w:r>
        <w:rPr>
          <w:rFonts w:hint="eastAsia" w:ascii="宋体" w:hAnsi="宋体"/>
          <w:color w:val="000000"/>
          <w:spacing w:val="-20"/>
          <w:szCs w:val="21"/>
        </w:rPr>
        <w:t>划</w:t>
      </w:r>
      <w:r>
        <w:rPr>
          <w:rFonts w:ascii="宋体" w:hAnsi="宋体"/>
          <w:color w:val="000000"/>
          <w:spacing w:val="-20"/>
          <w:szCs w:val="21"/>
        </w:rPr>
        <w:t xml:space="preserve"> </w:t>
      </w:r>
      <w:r>
        <w:rPr>
          <w:rFonts w:hint="eastAsia" w:ascii="宋体" w:hAnsi="宋体"/>
          <w:color w:val="000000"/>
          <w:spacing w:val="-20"/>
          <w:szCs w:val="21"/>
        </w:rPr>
        <w:t>号</w:t>
      </w:r>
      <w:r>
        <w:rPr>
          <w:rFonts w:ascii="宋体" w:hAnsi="宋体"/>
          <w:color w:val="000000"/>
          <w:szCs w:val="21"/>
          <w:u w:val="single"/>
        </w:rPr>
        <w:t xml:space="preserve">             </w:t>
      </w:r>
    </w:p>
    <w:p>
      <w:pPr>
        <w:snapToGrid w:val="0"/>
        <w:spacing w:line="340" w:lineRule="exact"/>
        <w:rPr>
          <w:rFonts w:ascii="宋体" w:hAnsi="宋体"/>
          <w:color w:val="000000"/>
          <w:szCs w:val="21"/>
          <w:u w:val="single"/>
        </w:rPr>
      </w:pPr>
      <w:r>
        <w:rPr>
          <w:rFonts w:hint="eastAsia" w:ascii="宋体" w:hAnsi="宋体"/>
          <w:color w:val="000000"/>
          <w:szCs w:val="21"/>
        </w:rPr>
        <w:t>供</w:t>
      </w:r>
      <w:r>
        <w:rPr>
          <w:rFonts w:ascii="宋体" w:hAnsi="宋体"/>
          <w:color w:val="000000"/>
          <w:szCs w:val="21"/>
        </w:rPr>
        <w:t xml:space="preserve"> </w:t>
      </w:r>
      <w:r>
        <w:rPr>
          <w:rFonts w:hint="eastAsia" w:ascii="宋体" w:hAnsi="宋体"/>
          <w:color w:val="000000"/>
          <w:szCs w:val="21"/>
        </w:rPr>
        <w:t>应</w:t>
      </w:r>
      <w:r>
        <w:rPr>
          <w:rFonts w:ascii="宋体" w:hAnsi="宋体"/>
          <w:color w:val="000000"/>
          <w:szCs w:val="21"/>
        </w:rPr>
        <w:t xml:space="preserve"> </w:t>
      </w:r>
      <w:r>
        <w:rPr>
          <w:rFonts w:hint="eastAsia" w:ascii="宋体" w:hAnsi="宋体"/>
          <w:color w:val="000000"/>
          <w:szCs w:val="21"/>
        </w:rPr>
        <w:t>商（乙方）</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pacing w:val="-20"/>
          <w:szCs w:val="21"/>
        </w:rPr>
        <w:t>招</w:t>
      </w:r>
      <w:r>
        <w:rPr>
          <w:rFonts w:ascii="宋体" w:hAnsi="宋体"/>
          <w:color w:val="000000"/>
          <w:spacing w:val="-20"/>
          <w:szCs w:val="21"/>
        </w:rPr>
        <w:t xml:space="preserve">  </w:t>
      </w:r>
      <w:r>
        <w:rPr>
          <w:rFonts w:hint="eastAsia" w:ascii="宋体" w:hAnsi="宋体"/>
          <w:color w:val="000000"/>
          <w:spacing w:val="-20"/>
          <w:szCs w:val="21"/>
        </w:rPr>
        <w:t>标</w:t>
      </w:r>
      <w:r>
        <w:rPr>
          <w:rFonts w:ascii="宋体" w:hAnsi="宋体"/>
          <w:color w:val="000000"/>
          <w:spacing w:val="-20"/>
          <w:szCs w:val="21"/>
        </w:rPr>
        <w:t xml:space="preserve">  </w:t>
      </w:r>
      <w:r>
        <w:rPr>
          <w:rFonts w:hint="eastAsia" w:ascii="宋体" w:hAnsi="宋体"/>
          <w:color w:val="000000"/>
          <w:spacing w:val="-20"/>
          <w:szCs w:val="21"/>
        </w:rPr>
        <w:t>编</w:t>
      </w:r>
      <w:r>
        <w:rPr>
          <w:rFonts w:ascii="宋体" w:hAnsi="宋体"/>
          <w:color w:val="000000"/>
          <w:spacing w:val="-20"/>
          <w:szCs w:val="21"/>
        </w:rPr>
        <w:t xml:space="preserve">  </w:t>
      </w:r>
      <w:r>
        <w:rPr>
          <w:rFonts w:hint="eastAsia" w:ascii="宋体" w:hAnsi="宋体"/>
          <w:color w:val="000000"/>
          <w:spacing w:val="-20"/>
          <w:szCs w:val="21"/>
        </w:rPr>
        <w:t>号</w:t>
      </w:r>
      <w:r>
        <w:rPr>
          <w:rFonts w:ascii="宋体" w:hAnsi="宋体"/>
          <w:color w:val="000000"/>
          <w:szCs w:val="21"/>
          <w:u w:val="single"/>
        </w:rPr>
        <w:t xml:space="preserve">             </w:t>
      </w:r>
    </w:p>
    <w:p>
      <w:pPr>
        <w:snapToGrid w:val="0"/>
        <w:spacing w:line="340" w:lineRule="exact"/>
        <w:rPr>
          <w:rFonts w:ascii="宋体" w:hAnsi="宋体"/>
          <w:color w:val="000000"/>
          <w:szCs w:val="21"/>
          <w:u w:val="single"/>
        </w:rPr>
      </w:pPr>
      <w:r>
        <w:rPr>
          <w:rFonts w:hint="eastAsia" w:ascii="宋体" w:hAnsi="宋体"/>
          <w:color w:val="000000"/>
          <w:szCs w:val="21"/>
        </w:rPr>
        <w:t>签</w:t>
      </w:r>
      <w:r>
        <w:rPr>
          <w:rFonts w:ascii="宋体" w:hAnsi="宋体"/>
          <w:color w:val="000000"/>
          <w:szCs w:val="21"/>
        </w:rPr>
        <w:t xml:space="preserve">  </w:t>
      </w:r>
      <w:r>
        <w:rPr>
          <w:rFonts w:hint="eastAsia" w:ascii="宋体" w:hAnsi="宋体"/>
          <w:color w:val="000000"/>
          <w:szCs w:val="21"/>
        </w:rPr>
        <w:t>订</w:t>
      </w:r>
      <w:r>
        <w:rPr>
          <w:rFonts w:ascii="宋体" w:hAnsi="宋体"/>
          <w:color w:val="000000"/>
          <w:szCs w:val="21"/>
        </w:rPr>
        <w:t xml:space="preserve">  </w:t>
      </w:r>
      <w:r>
        <w:rPr>
          <w:rFonts w:hint="eastAsia" w:ascii="宋体" w:hAnsi="宋体"/>
          <w:color w:val="000000"/>
          <w:szCs w:val="21"/>
        </w:rPr>
        <w:t>地</w:t>
      </w:r>
      <w:r>
        <w:rPr>
          <w:rFonts w:ascii="宋体" w:hAnsi="宋体"/>
          <w:color w:val="000000"/>
          <w:szCs w:val="21"/>
        </w:rPr>
        <w:t xml:space="preserve">  </w:t>
      </w:r>
      <w:r>
        <w:rPr>
          <w:rFonts w:hint="eastAsia" w:ascii="宋体" w:hAnsi="宋体"/>
          <w:color w:val="000000"/>
          <w:szCs w:val="21"/>
        </w:rPr>
        <w:t>点</w:t>
      </w: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签</w:t>
      </w:r>
      <w:r>
        <w:rPr>
          <w:rFonts w:ascii="宋体" w:hAnsi="宋体"/>
          <w:color w:val="000000"/>
          <w:szCs w:val="21"/>
        </w:rPr>
        <w:t xml:space="preserve"> </w:t>
      </w:r>
      <w:r>
        <w:rPr>
          <w:rFonts w:hint="eastAsia" w:ascii="宋体" w:hAnsi="宋体"/>
          <w:color w:val="000000"/>
          <w:szCs w:val="21"/>
        </w:rPr>
        <w:t>订</w:t>
      </w:r>
      <w:r>
        <w:rPr>
          <w:rFonts w:ascii="宋体" w:hAnsi="宋体"/>
          <w:color w:val="000000"/>
          <w:szCs w:val="21"/>
        </w:rPr>
        <w:t xml:space="preserve"> </w:t>
      </w:r>
      <w:r>
        <w:rPr>
          <w:rFonts w:hint="eastAsia" w:ascii="宋体" w:hAnsi="宋体"/>
          <w:color w:val="000000"/>
          <w:szCs w:val="21"/>
        </w:rPr>
        <w:t>时</w:t>
      </w:r>
      <w:r>
        <w:rPr>
          <w:rFonts w:ascii="宋体" w:hAnsi="宋体"/>
          <w:color w:val="000000"/>
          <w:szCs w:val="21"/>
        </w:rPr>
        <w:t xml:space="preserve"> </w:t>
      </w:r>
      <w:r>
        <w:rPr>
          <w:rFonts w:hint="eastAsia" w:ascii="宋体" w:hAnsi="宋体"/>
          <w:color w:val="000000"/>
          <w:szCs w:val="21"/>
        </w:rPr>
        <w:t>间</w:t>
      </w:r>
      <w:r>
        <w:rPr>
          <w:rFonts w:ascii="宋体" w:hAnsi="宋体"/>
          <w:color w:val="000000"/>
          <w:szCs w:val="21"/>
          <w:u w:val="single"/>
        </w:rPr>
        <w:t xml:space="preserve">             </w:t>
      </w:r>
    </w:p>
    <w:p>
      <w:pPr>
        <w:spacing w:line="340" w:lineRule="exact"/>
        <w:ind w:firstLine="420" w:firstLineChars="200"/>
        <w:rPr>
          <w:rFonts w:ascii="宋体" w:hAnsi="宋体" w:cs="Courier New"/>
          <w:color w:val="000000"/>
          <w:szCs w:val="21"/>
        </w:rPr>
      </w:pPr>
      <w:r>
        <w:rPr>
          <w:rFonts w:hint="eastAsia" w:ascii="宋体" w:hAnsi="宋体" w:cs="Courier New"/>
          <w:color w:val="000000"/>
          <w:szCs w:val="21"/>
        </w:rPr>
        <w:t>根据《中华人民共和国政府采购法》、《中华人民共和国民法典》等法律、法规规定，按照采购文件规定条款和成交供应商响应文件及其承诺，甲乙双方签订本合同。</w:t>
      </w:r>
    </w:p>
    <w:p>
      <w:pPr>
        <w:snapToGrid w:val="0"/>
        <w:spacing w:line="340" w:lineRule="exact"/>
        <w:ind w:firstLine="422" w:firstLineChars="200"/>
        <w:rPr>
          <w:rFonts w:ascii="宋体" w:hAnsi="宋体"/>
          <w:b/>
          <w:color w:val="000000"/>
          <w:szCs w:val="21"/>
        </w:rPr>
      </w:pPr>
      <w:r>
        <w:rPr>
          <w:rFonts w:hint="eastAsia" w:ascii="宋体" w:hAnsi="宋体"/>
          <w:b/>
          <w:color w:val="000000"/>
          <w:szCs w:val="21"/>
        </w:rPr>
        <w:t>第一条　合同标的</w:t>
      </w:r>
    </w:p>
    <w:p>
      <w:pPr>
        <w:snapToGrid w:val="0"/>
        <w:spacing w:line="34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、服务一览表</w:t>
      </w:r>
    </w:p>
    <w:tbl>
      <w:tblPr>
        <w:tblStyle w:val="4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2520"/>
        <w:gridCol w:w="1260"/>
        <w:gridCol w:w="108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vAlign w:val="center"/>
          </w:tcPr>
          <w:p>
            <w:pPr>
              <w:snapToGrid w:val="0"/>
              <w:spacing w:line="340" w:lineRule="exact"/>
              <w:jc w:val="center"/>
              <w:rPr>
                <w:rFonts w:ascii="宋体" w:hAnsi="宋体"/>
                <w:color w:val="000000"/>
                <w:szCs w:val="21"/>
              </w:rPr>
            </w:pPr>
            <w:r>
              <w:rPr>
                <w:rFonts w:hint="eastAsia" w:ascii="宋体" w:hAnsi="宋体"/>
                <w:color w:val="000000"/>
                <w:szCs w:val="21"/>
              </w:rPr>
              <w:t>序号</w:t>
            </w:r>
          </w:p>
        </w:tc>
        <w:tc>
          <w:tcPr>
            <w:tcW w:w="1080" w:type="dxa"/>
            <w:vAlign w:val="center"/>
          </w:tcPr>
          <w:p>
            <w:pPr>
              <w:snapToGrid w:val="0"/>
              <w:spacing w:line="340" w:lineRule="exact"/>
              <w:jc w:val="center"/>
              <w:rPr>
                <w:rFonts w:ascii="宋体" w:hAnsi="宋体"/>
                <w:color w:val="000000"/>
                <w:szCs w:val="21"/>
              </w:rPr>
            </w:pPr>
            <w:r>
              <w:rPr>
                <w:rFonts w:hint="eastAsia" w:ascii="宋体" w:hAnsi="宋体"/>
                <w:color w:val="000000"/>
                <w:szCs w:val="21"/>
              </w:rPr>
              <w:t>服务</w:t>
            </w:r>
          </w:p>
          <w:p>
            <w:pPr>
              <w:snapToGrid w:val="0"/>
              <w:spacing w:line="340" w:lineRule="exact"/>
              <w:jc w:val="center"/>
              <w:rPr>
                <w:rFonts w:ascii="宋体" w:hAnsi="宋体"/>
                <w:color w:val="000000"/>
                <w:szCs w:val="21"/>
              </w:rPr>
            </w:pPr>
            <w:r>
              <w:rPr>
                <w:rFonts w:hint="eastAsia" w:ascii="宋体" w:hAnsi="宋体"/>
                <w:color w:val="000000"/>
                <w:szCs w:val="21"/>
              </w:rPr>
              <w:t>名称</w:t>
            </w:r>
          </w:p>
        </w:tc>
        <w:tc>
          <w:tcPr>
            <w:tcW w:w="2520" w:type="dxa"/>
            <w:vAlign w:val="center"/>
          </w:tcPr>
          <w:p>
            <w:pPr>
              <w:snapToGrid w:val="0"/>
              <w:spacing w:line="340" w:lineRule="exact"/>
              <w:jc w:val="center"/>
              <w:rPr>
                <w:rFonts w:ascii="宋体" w:hAnsi="宋体"/>
                <w:color w:val="000000"/>
                <w:szCs w:val="21"/>
              </w:rPr>
            </w:pPr>
            <w:r>
              <w:rPr>
                <w:rFonts w:hint="eastAsia" w:ascii="宋体" w:hAnsi="宋体"/>
                <w:color w:val="000000"/>
                <w:szCs w:val="21"/>
              </w:rPr>
              <w:t>服务内容及要求</w:t>
            </w:r>
            <w:r>
              <w:rPr>
                <w:rFonts w:ascii="宋体" w:hAnsi="宋体"/>
                <w:color w:val="000000"/>
                <w:szCs w:val="21"/>
              </w:rPr>
              <w:t>(</w:t>
            </w:r>
            <w:r>
              <w:rPr>
                <w:rFonts w:hint="eastAsia" w:ascii="宋体" w:hAnsi="宋体"/>
                <w:color w:val="000000"/>
                <w:szCs w:val="21"/>
              </w:rPr>
              <w:t>或技术参数需求</w:t>
            </w:r>
            <w:r>
              <w:rPr>
                <w:rFonts w:ascii="宋体" w:hAnsi="宋体"/>
                <w:color w:val="000000"/>
                <w:szCs w:val="21"/>
              </w:rPr>
              <w:t>)</w:t>
            </w:r>
          </w:p>
        </w:tc>
        <w:tc>
          <w:tcPr>
            <w:tcW w:w="1260" w:type="dxa"/>
            <w:vAlign w:val="center"/>
          </w:tcPr>
          <w:p>
            <w:pPr>
              <w:snapToGrid w:val="0"/>
              <w:spacing w:line="340" w:lineRule="exact"/>
              <w:jc w:val="center"/>
              <w:rPr>
                <w:rFonts w:ascii="宋体" w:hAnsi="宋体"/>
                <w:color w:val="000000"/>
                <w:szCs w:val="21"/>
              </w:rPr>
            </w:pPr>
            <w:r>
              <w:rPr>
                <w:rFonts w:hint="eastAsia" w:ascii="宋体" w:hAnsi="宋体"/>
                <w:color w:val="000000"/>
                <w:szCs w:val="21"/>
              </w:rPr>
              <w:t>数</w:t>
            </w:r>
            <w:r>
              <w:rPr>
                <w:rFonts w:ascii="宋体" w:hAnsi="宋体"/>
                <w:color w:val="000000"/>
                <w:szCs w:val="21"/>
              </w:rPr>
              <w:t xml:space="preserve">  </w:t>
            </w:r>
            <w:r>
              <w:rPr>
                <w:rFonts w:hint="eastAsia" w:ascii="宋体" w:hAnsi="宋体"/>
                <w:color w:val="000000"/>
                <w:szCs w:val="21"/>
              </w:rPr>
              <w:t>量</w:t>
            </w:r>
          </w:p>
        </w:tc>
        <w:tc>
          <w:tcPr>
            <w:tcW w:w="1080" w:type="dxa"/>
            <w:vAlign w:val="center"/>
          </w:tcPr>
          <w:p>
            <w:pPr>
              <w:snapToGrid w:val="0"/>
              <w:spacing w:line="340" w:lineRule="exact"/>
              <w:jc w:val="center"/>
              <w:rPr>
                <w:rFonts w:ascii="宋体" w:hAnsi="宋体"/>
                <w:color w:val="000000"/>
                <w:szCs w:val="21"/>
              </w:rPr>
            </w:pPr>
            <w:r>
              <w:rPr>
                <w:rFonts w:hint="eastAsia" w:ascii="宋体" w:hAnsi="宋体"/>
                <w:color w:val="000000"/>
                <w:szCs w:val="21"/>
              </w:rPr>
              <w:t>单位</w:t>
            </w:r>
          </w:p>
        </w:tc>
        <w:tc>
          <w:tcPr>
            <w:tcW w:w="1440" w:type="dxa"/>
            <w:vAlign w:val="center"/>
          </w:tcPr>
          <w:p>
            <w:pPr>
              <w:snapToGrid w:val="0"/>
              <w:spacing w:line="340" w:lineRule="exact"/>
              <w:jc w:val="center"/>
              <w:rPr>
                <w:rFonts w:ascii="宋体" w:hAnsi="宋体"/>
                <w:color w:val="000000"/>
                <w:szCs w:val="21"/>
              </w:rPr>
            </w:pPr>
            <w:r>
              <w:rPr>
                <w:rFonts w:hint="eastAsia" w:ascii="宋体" w:hAnsi="宋体"/>
                <w:color w:val="000000"/>
                <w:szCs w:val="21"/>
              </w:rPr>
              <w:t>单</w:t>
            </w:r>
            <w:r>
              <w:rPr>
                <w:rFonts w:ascii="宋体" w:hAnsi="宋体"/>
                <w:color w:val="000000"/>
                <w:szCs w:val="21"/>
              </w:rPr>
              <w:t xml:space="preserve">  </w:t>
            </w:r>
            <w:r>
              <w:rPr>
                <w:rFonts w:hint="eastAsia" w:ascii="宋体" w:hAnsi="宋体"/>
                <w:color w:val="000000"/>
                <w:szCs w:val="21"/>
              </w:rPr>
              <w:t>价</w:t>
            </w:r>
          </w:p>
          <w:p>
            <w:pPr>
              <w:snapToGrid w:val="0"/>
              <w:spacing w:line="340" w:lineRule="exact"/>
              <w:jc w:val="center"/>
              <w:rPr>
                <w:rFonts w:ascii="宋体" w:hAnsi="宋体"/>
                <w:color w:val="000000"/>
                <w:szCs w:val="21"/>
              </w:rPr>
            </w:pPr>
            <w:r>
              <w:rPr>
                <w:rFonts w:hint="eastAsia" w:ascii="宋体" w:hAnsi="宋体"/>
                <w:color w:val="000000"/>
                <w:szCs w:val="21"/>
              </w:rPr>
              <w:t>（元）</w:t>
            </w:r>
          </w:p>
        </w:tc>
        <w:tc>
          <w:tcPr>
            <w:tcW w:w="1260" w:type="dxa"/>
            <w:vAlign w:val="center"/>
          </w:tcPr>
          <w:p>
            <w:pPr>
              <w:snapToGrid w:val="0"/>
              <w:spacing w:line="340" w:lineRule="exact"/>
              <w:jc w:val="center"/>
              <w:rPr>
                <w:rFonts w:ascii="宋体" w:hAnsi="宋体"/>
                <w:color w:val="000000"/>
                <w:szCs w:val="21"/>
              </w:rPr>
            </w:pPr>
            <w:r>
              <w:rPr>
                <w:rFonts w:hint="eastAsia" w:ascii="宋体" w:hAnsi="宋体"/>
                <w:color w:val="000000"/>
                <w:szCs w:val="21"/>
              </w:rPr>
              <w:t>金</w:t>
            </w:r>
            <w:r>
              <w:rPr>
                <w:rFonts w:ascii="宋体" w:hAnsi="宋体"/>
                <w:color w:val="000000"/>
                <w:szCs w:val="21"/>
              </w:rPr>
              <w:t xml:space="preserve">  </w:t>
            </w:r>
            <w:r>
              <w:rPr>
                <w:rFonts w:hint="eastAsia" w:ascii="宋体" w:hAnsi="宋体"/>
                <w:color w:val="000000"/>
                <w:szCs w:val="21"/>
              </w:rPr>
              <w:t>额</w:t>
            </w:r>
          </w:p>
          <w:p>
            <w:pPr>
              <w:snapToGrid w:val="0"/>
              <w:spacing w:line="340" w:lineRule="exact"/>
              <w:jc w:val="center"/>
              <w:rPr>
                <w:rFonts w:ascii="宋体" w:hAnsi="宋体"/>
                <w:color w:val="000000"/>
                <w:szCs w:val="21"/>
              </w:rPr>
            </w:pP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vAlign w:val="center"/>
          </w:tcPr>
          <w:p>
            <w:pPr>
              <w:snapToGrid w:val="0"/>
              <w:spacing w:line="340" w:lineRule="exact"/>
              <w:jc w:val="center"/>
              <w:rPr>
                <w:rFonts w:ascii="宋体" w:hAnsi="宋体"/>
                <w:color w:val="000000"/>
                <w:szCs w:val="21"/>
              </w:rPr>
            </w:pPr>
            <w:r>
              <w:rPr>
                <w:rFonts w:ascii="宋体" w:hAnsi="宋体"/>
                <w:color w:val="000000"/>
                <w:szCs w:val="21"/>
              </w:rPr>
              <w:t>1</w:t>
            </w:r>
          </w:p>
        </w:tc>
        <w:tc>
          <w:tcPr>
            <w:tcW w:w="1080" w:type="dxa"/>
            <w:vAlign w:val="center"/>
          </w:tcPr>
          <w:p>
            <w:pPr>
              <w:snapToGrid w:val="0"/>
              <w:spacing w:line="340" w:lineRule="exact"/>
              <w:jc w:val="center"/>
              <w:rPr>
                <w:rFonts w:ascii="宋体" w:hAnsi="宋体"/>
                <w:color w:val="000000"/>
                <w:szCs w:val="21"/>
              </w:rPr>
            </w:pPr>
          </w:p>
        </w:tc>
        <w:tc>
          <w:tcPr>
            <w:tcW w:w="2520" w:type="dxa"/>
            <w:vAlign w:val="center"/>
          </w:tcPr>
          <w:p>
            <w:pPr>
              <w:snapToGrid w:val="0"/>
              <w:spacing w:line="340" w:lineRule="exact"/>
              <w:jc w:val="center"/>
              <w:rPr>
                <w:rFonts w:ascii="宋体" w:hAnsi="宋体"/>
                <w:color w:val="000000"/>
                <w:szCs w:val="21"/>
              </w:rPr>
            </w:pPr>
          </w:p>
        </w:tc>
        <w:tc>
          <w:tcPr>
            <w:tcW w:w="1260" w:type="dxa"/>
          </w:tcPr>
          <w:p>
            <w:pPr>
              <w:snapToGrid w:val="0"/>
              <w:spacing w:line="340" w:lineRule="exact"/>
              <w:jc w:val="center"/>
              <w:rPr>
                <w:rFonts w:ascii="宋体" w:hAnsi="宋体"/>
                <w:color w:val="000000"/>
                <w:szCs w:val="21"/>
              </w:rPr>
            </w:pPr>
          </w:p>
        </w:tc>
        <w:tc>
          <w:tcPr>
            <w:tcW w:w="1080" w:type="dxa"/>
          </w:tcPr>
          <w:p>
            <w:pPr>
              <w:snapToGrid w:val="0"/>
              <w:spacing w:line="340" w:lineRule="exact"/>
              <w:jc w:val="center"/>
              <w:rPr>
                <w:rFonts w:ascii="宋体" w:hAnsi="宋体"/>
                <w:color w:val="000000"/>
                <w:szCs w:val="21"/>
              </w:rPr>
            </w:pPr>
          </w:p>
        </w:tc>
        <w:tc>
          <w:tcPr>
            <w:tcW w:w="1440" w:type="dxa"/>
            <w:vAlign w:val="center"/>
          </w:tcPr>
          <w:p>
            <w:pPr>
              <w:snapToGrid w:val="0"/>
              <w:spacing w:line="340" w:lineRule="exact"/>
              <w:jc w:val="center"/>
              <w:rPr>
                <w:rFonts w:ascii="宋体" w:hAnsi="宋体"/>
                <w:color w:val="000000"/>
                <w:szCs w:val="21"/>
              </w:rPr>
            </w:pPr>
          </w:p>
        </w:tc>
        <w:tc>
          <w:tcPr>
            <w:tcW w:w="1260" w:type="dxa"/>
            <w:vAlign w:val="center"/>
          </w:tcPr>
          <w:p>
            <w:pPr>
              <w:snapToGrid w:val="0"/>
              <w:spacing w:line="3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vAlign w:val="center"/>
          </w:tcPr>
          <w:p>
            <w:pPr>
              <w:snapToGrid w:val="0"/>
              <w:spacing w:line="340" w:lineRule="exact"/>
              <w:jc w:val="center"/>
              <w:rPr>
                <w:rFonts w:ascii="宋体" w:hAnsi="宋体"/>
                <w:color w:val="000000"/>
                <w:szCs w:val="21"/>
              </w:rPr>
            </w:pPr>
            <w:r>
              <w:rPr>
                <w:rFonts w:ascii="宋体" w:hAnsi="宋体"/>
                <w:color w:val="000000"/>
                <w:szCs w:val="21"/>
              </w:rPr>
              <w:t>2</w:t>
            </w:r>
          </w:p>
        </w:tc>
        <w:tc>
          <w:tcPr>
            <w:tcW w:w="1080" w:type="dxa"/>
            <w:vAlign w:val="center"/>
          </w:tcPr>
          <w:p>
            <w:pPr>
              <w:snapToGrid w:val="0"/>
              <w:spacing w:line="340" w:lineRule="exact"/>
              <w:jc w:val="center"/>
              <w:rPr>
                <w:rFonts w:ascii="宋体" w:hAnsi="宋体"/>
                <w:color w:val="000000"/>
                <w:szCs w:val="21"/>
              </w:rPr>
            </w:pPr>
          </w:p>
        </w:tc>
        <w:tc>
          <w:tcPr>
            <w:tcW w:w="2520" w:type="dxa"/>
            <w:vAlign w:val="center"/>
          </w:tcPr>
          <w:p>
            <w:pPr>
              <w:snapToGrid w:val="0"/>
              <w:spacing w:line="340" w:lineRule="exact"/>
              <w:jc w:val="center"/>
              <w:rPr>
                <w:rFonts w:ascii="宋体" w:hAnsi="宋体"/>
                <w:color w:val="000000"/>
                <w:szCs w:val="21"/>
              </w:rPr>
            </w:pPr>
          </w:p>
        </w:tc>
        <w:tc>
          <w:tcPr>
            <w:tcW w:w="1260" w:type="dxa"/>
          </w:tcPr>
          <w:p>
            <w:pPr>
              <w:snapToGrid w:val="0"/>
              <w:spacing w:line="340" w:lineRule="exact"/>
              <w:jc w:val="center"/>
              <w:rPr>
                <w:rFonts w:ascii="宋体" w:hAnsi="宋体"/>
                <w:color w:val="000000"/>
                <w:szCs w:val="21"/>
              </w:rPr>
            </w:pPr>
          </w:p>
        </w:tc>
        <w:tc>
          <w:tcPr>
            <w:tcW w:w="1080" w:type="dxa"/>
          </w:tcPr>
          <w:p>
            <w:pPr>
              <w:snapToGrid w:val="0"/>
              <w:spacing w:line="340" w:lineRule="exact"/>
              <w:jc w:val="center"/>
              <w:rPr>
                <w:rFonts w:ascii="宋体" w:hAnsi="宋体"/>
                <w:color w:val="000000"/>
                <w:szCs w:val="21"/>
              </w:rPr>
            </w:pPr>
          </w:p>
        </w:tc>
        <w:tc>
          <w:tcPr>
            <w:tcW w:w="1440" w:type="dxa"/>
            <w:vAlign w:val="center"/>
          </w:tcPr>
          <w:p>
            <w:pPr>
              <w:snapToGrid w:val="0"/>
              <w:spacing w:line="340" w:lineRule="exact"/>
              <w:jc w:val="center"/>
              <w:rPr>
                <w:rFonts w:ascii="宋体" w:hAnsi="宋体"/>
                <w:color w:val="000000"/>
                <w:szCs w:val="21"/>
              </w:rPr>
            </w:pPr>
          </w:p>
        </w:tc>
        <w:tc>
          <w:tcPr>
            <w:tcW w:w="1260" w:type="dxa"/>
            <w:vAlign w:val="center"/>
          </w:tcPr>
          <w:p>
            <w:pPr>
              <w:snapToGrid w:val="0"/>
              <w:spacing w:line="3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vAlign w:val="center"/>
          </w:tcPr>
          <w:p>
            <w:pPr>
              <w:snapToGrid w:val="0"/>
              <w:spacing w:line="340" w:lineRule="exact"/>
              <w:jc w:val="center"/>
              <w:rPr>
                <w:rFonts w:ascii="宋体" w:hAnsi="宋体"/>
                <w:color w:val="000000"/>
                <w:szCs w:val="21"/>
              </w:rPr>
            </w:pPr>
            <w:r>
              <w:rPr>
                <w:rFonts w:ascii="宋体" w:hAnsi="宋体"/>
                <w:color w:val="000000"/>
                <w:szCs w:val="21"/>
              </w:rPr>
              <w:t>3</w:t>
            </w:r>
          </w:p>
        </w:tc>
        <w:tc>
          <w:tcPr>
            <w:tcW w:w="1080" w:type="dxa"/>
            <w:vAlign w:val="center"/>
          </w:tcPr>
          <w:p>
            <w:pPr>
              <w:snapToGrid w:val="0"/>
              <w:spacing w:line="340" w:lineRule="exact"/>
              <w:jc w:val="center"/>
              <w:rPr>
                <w:rFonts w:ascii="宋体" w:hAnsi="宋体"/>
                <w:color w:val="000000"/>
                <w:szCs w:val="21"/>
              </w:rPr>
            </w:pPr>
          </w:p>
        </w:tc>
        <w:tc>
          <w:tcPr>
            <w:tcW w:w="2520" w:type="dxa"/>
            <w:vAlign w:val="center"/>
          </w:tcPr>
          <w:p>
            <w:pPr>
              <w:snapToGrid w:val="0"/>
              <w:spacing w:line="340" w:lineRule="exact"/>
              <w:jc w:val="center"/>
              <w:rPr>
                <w:rFonts w:ascii="宋体" w:hAnsi="宋体"/>
                <w:color w:val="000000"/>
                <w:szCs w:val="21"/>
              </w:rPr>
            </w:pPr>
          </w:p>
        </w:tc>
        <w:tc>
          <w:tcPr>
            <w:tcW w:w="1260" w:type="dxa"/>
          </w:tcPr>
          <w:p>
            <w:pPr>
              <w:snapToGrid w:val="0"/>
              <w:spacing w:line="340" w:lineRule="exact"/>
              <w:jc w:val="center"/>
              <w:rPr>
                <w:rFonts w:ascii="宋体" w:hAnsi="宋体"/>
                <w:color w:val="000000"/>
                <w:szCs w:val="21"/>
              </w:rPr>
            </w:pPr>
          </w:p>
        </w:tc>
        <w:tc>
          <w:tcPr>
            <w:tcW w:w="1080" w:type="dxa"/>
          </w:tcPr>
          <w:p>
            <w:pPr>
              <w:snapToGrid w:val="0"/>
              <w:spacing w:line="340" w:lineRule="exact"/>
              <w:jc w:val="center"/>
              <w:rPr>
                <w:rFonts w:ascii="宋体" w:hAnsi="宋体"/>
                <w:color w:val="000000"/>
                <w:szCs w:val="21"/>
              </w:rPr>
            </w:pPr>
          </w:p>
        </w:tc>
        <w:tc>
          <w:tcPr>
            <w:tcW w:w="1440" w:type="dxa"/>
            <w:vAlign w:val="center"/>
          </w:tcPr>
          <w:p>
            <w:pPr>
              <w:snapToGrid w:val="0"/>
              <w:spacing w:line="340" w:lineRule="exact"/>
              <w:jc w:val="center"/>
              <w:rPr>
                <w:rFonts w:ascii="宋体" w:hAnsi="宋体"/>
                <w:color w:val="000000"/>
                <w:szCs w:val="21"/>
              </w:rPr>
            </w:pPr>
          </w:p>
        </w:tc>
        <w:tc>
          <w:tcPr>
            <w:tcW w:w="1260" w:type="dxa"/>
            <w:vAlign w:val="center"/>
          </w:tcPr>
          <w:p>
            <w:pPr>
              <w:snapToGrid w:val="0"/>
              <w:spacing w:line="340" w:lineRule="exact"/>
              <w:jc w:val="center"/>
              <w:rPr>
                <w:rFonts w:ascii="宋体" w:hAnsi="宋体"/>
                <w:color w:val="000000"/>
                <w:szCs w:val="21"/>
              </w:rPr>
            </w:pPr>
          </w:p>
        </w:tc>
      </w:tr>
    </w:tbl>
    <w:p>
      <w:pPr>
        <w:snapToGrid w:val="0"/>
        <w:spacing w:line="340" w:lineRule="exact"/>
        <w:ind w:firstLine="422" w:firstLineChars="200"/>
        <w:rPr>
          <w:rFonts w:ascii="宋体" w:hAnsi="宋体"/>
          <w:b/>
          <w:color w:val="000000"/>
          <w:szCs w:val="21"/>
        </w:rPr>
      </w:pPr>
      <w:r>
        <w:rPr>
          <w:rFonts w:hint="eastAsia" w:ascii="宋体" w:hAnsi="宋体"/>
          <w:b/>
          <w:color w:val="000000"/>
          <w:szCs w:val="21"/>
        </w:rPr>
        <w:t>本合同金额（大、小写）：</w:t>
      </w:r>
      <w:r>
        <w:rPr>
          <w:rFonts w:ascii="宋体" w:hAnsi="宋体"/>
          <w:b/>
          <w:color w:val="000000"/>
          <w:szCs w:val="21"/>
          <w:u w:val="single"/>
        </w:rPr>
        <w:t xml:space="preserve">                           </w:t>
      </w:r>
    </w:p>
    <w:p>
      <w:pPr>
        <w:snapToGrid w:val="0"/>
        <w:spacing w:line="340" w:lineRule="exact"/>
        <w:ind w:firstLine="422" w:firstLineChars="200"/>
        <w:rPr>
          <w:rFonts w:ascii="宋体" w:hAnsi="宋体"/>
          <w:color w:val="000000"/>
          <w:szCs w:val="21"/>
        </w:rPr>
      </w:pPr>
      <w:r>
        <w:rPr>
          <w:rFonts w:hint="eastAsia" w:ascii="宋体" w:hAnsi="宋体"/>
          <w:b/>
          <w:color w:val="000000"/>
          <w:szCs w:val="21"/>
        </w:rPr>
        <w:t>第二条　质量保证</w:t>
      </w:r>
    </w:p>
    <w:p>
      <w:pPr>
        <w:snapToGrid w:val="0"/>
        <w:spacing w:line="34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、乙方所提供的服务成果、数量、项目技术参数等质量必须与招投标文件和承诺相一致。乙方所提供的服务成果能够达到质量要求。</w:t>
      </w:r>
    </w:p>
    <w:p>
      <w:pPr>
        <w:snapToGrid w:val="0"/>
        <w:spacing w:line="340" w:lineRule="exact"/>
        <w:ind w:firstLine="422" w:firstLineChars="200"/>
        <w:rPr>
          <w:rFonts w:ascii="宋体" w:hAnsi="宋体"/>
          <w:color w:val="000000"/>
          <w:szCs w:val="21"/>
        </w:rPr>
      </w:pPr>
      <w:r>
        <w:rPr>
          <w:rFonts w:hint="eastAsia" w:ascii="宋体" w:hAnsi="宋体"/>
          <w:b/>
          <w:color w:val="000000"/>
          <w:szCs w:val="21"/>
        </w:rPr>
        <w:t>第三条　权力保证</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乙方应保证所提供服务成果（或其任何一部分）在使用时不会侵犯任何第三方的权利。</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乙方应按招标文件规定的时间向甲方提供使用服务成果的有关技术资料。</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乙方保证所交付的服务成果的所有权完全属于乙方且无任何抵押、质押、查封等产权瑕疵。如乙方所交付服务成果有产权瑕疵的，视为乙方违约，按照本合同第十二条约定处理。</w:t>
      </w:r>
    </w:p>
    <w:p>
      <w:pPr>
        <w:snapToGrid w:val="0"/>
        <w:spacing w:line="340" w:lineRule="exact"/>
        <w:ind w:firstLine="422" w:firstLineChars="200"/>
        <w:rPr>
          <w:rFonts w:ascii="宋体" w:hAnsi="宋体"/>
          <w:b/>
          <w:color w:val="000000"/>
          <w:szCs w:val="21"/>
        </w:rPr>
      </w:pPr>
      <w:r>
        <w:rPr>
          <w:rFonts w:hint="eastAsia" w:ascii="宋体" w:hAnsi="宋体"/>
          <w:b/>
          <w:color w:val="000000"/>
          <w:szCs w:val="21"/>
        </w:rPr>
        <w:t>第四条</w:t>
      </w:r>
      <w:r>
        <w:rPr>
          <w:rFonts w:ascii="宋体" w:hAnsi="宋体"/>
          <w:b/>
          <w:color w:val="000000"/>
          <w:szCs w:val="21"/>
        </w:rPr>
        <w:t xml:space="preserve"> </w:t>
      </w:r>
      <w:r>
        <w:rPr>
          <w:rFonts w:hint="eastAsia" w:ascii="宋体" w:hAnsi="宋体"/>
          <w:b/>
          <w:color w:val="000000"/>
          <w:szCs w:val="21"/>
        </w:rPr>
        <w:t>甲方向乙方提交的有关资料和文件以及提交时间</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甲方向乙方提供相关基础资料，资料应在合同签订后</w:t>
      </w:r>
      <w:r>
        <w:rPr>
          <w:rFonts w:ascii="宋体" w:hAnsi="宋体"/>
          <w:color w:val="000000"/>
          <w:szCs w:val="21"/>
        </w:rPr>
        <w:t>5</w:t>
      </w:r>
      <w:r>
        <w:rPr>
          <w:rFonts w:hint="eastAsia" w:ascii="宋体" w:hAnsi="宋体"/>
          <w:color w:val="000000"/>
          <w:szCs w:val="21"/>
        </w:rPr>
        <w:t>个工作日内提供。</w:t>
      </w:r>
    </w:p>
    <w:p>
      <w:pPr>
        <w:snapToGrid w:val="0"/>
        <w:spacing w:line="340" w:lineRule="exact"/>
        <w:ind w:firstLine="422" w:firstLineChars="200"/>
        <w:rPr>
          <w:rFonts w:ascii="宋体" w:hAnsi="宋体"/>
          <w:color w:val="000000"/>
          <w:szCs w:val="21"/>
        </w:rPr>
      </w:pPr>
      <w:r>
        <w:rPr>
          <w:rFonts w:hint="eastAsia" w:ascii="宋体" w:hAnsi="宋体"/>
          <w:b/>
          <w:color w:val="000000"/>
          <w:szCs w:val="21"/>
        </w:rPr>
        <w:t>第五条　乙方向甲方提供服务的时间和地点</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1.提交服务成果时间：     年  月   日前。</w:t>
      </w:r>
    </w:p>
    <w:p>
      <w:pPr>
        <w:pStyle w:val="2"/>
        <w:ind w:left="840" w:hanging="420"/>
      </w:pPr>
      <w:r>
        <w:rPr>
          <w:rFonts w:hint="eastAsia" w:ascii="宋体" w:hAnsi="宋体"/>
          <w:color w:val="000000"/>
          <w:szCs w:val="21"/>
        </w:rPr>
        <w:t>2.建设周期：</w:t>
      </w:r>
    </w:p>
    <w:p>
      <w:pPr>
        <w:snapToGrid w:val="0"/>
        <w:spacing w:line="340" w:lineRule="exact"/>
        <w:ind w:left="420"/>
        <w:rPr>
          <w:rFonts w:ascii="宋体" w:hAnsi="宋体"/>
          <w:color w:val="000000"/>
          <w:szCs w:val="21"/>
        </w:rPr>
      </w:pPr>
      <w:r>
        <w:rPr>
          <w:rFonts w:hint="eastAsia" w:ascii="宋体" w:hAnsi="宋体"/>
          <w:color w:val="000000"/>
          <w:szCs w:val="21"/>
        </w:rPr>
        <w:t>3.服务地点：</w:t>
      </w:r>
      <w:r>
        <w:rPr>
          <w:rFonts w:ascii="宋体" w:hAnsi="宋体"/>
          <w:color w:val="000000"/>
          <w:szCs w:val="21"/>
          <w:u w:val="single"/>
        </w:rPr>
        <w:t xml:space="preserve"> </w:t>
      </w:r>
      <w:r>
        <w:rPr>
          <w:rFonts w:hint="eastAsia" w:ascii="宋体" w:hAnsi="宋体"/>
          <w:color w:val="000000"/>
          <w:szCs w:val="21"/>
          <w:u w:val="single"/>
        </w:rPr>
        <w:t>采购人指定地点</w:t>
      </w:r>
      <w:r>
        <w:rPr>
          <w:rFonts w:ascii="宋体" w:hAnsi="宋体"/>
          <w:color w:val="000000"/>
          <w:szCs w:val="21"/>
          <w:u w:val="single"/>
        </w:rPr>
        <w:t xml:space="preserve"> </w:t>
      </w:r>
      <w:r>
        <w:rPr>
          <w:rFonts w:hint="eastAsia" w:ascii="宋体" w:hAnsi="宋体"/>
          <w:color w:val="000000"/>
          <w:szCs w:val="21"/>
        </w:rPr>
        <w:t>。</w:t>
      </w:r>
    </w:p>
    <w:p>
      <w:pPr>
        <w:snapToGrid w:val="0"/>
        <w:spacing w:line="340" w:lineRule="exact"/>
        <w:ind w:firstLine="422" w:firstLineChars="200"/>
        <w:rPr>
          <w:rFonts w:ascii="宋体" w:hAnsi="宋体"/>
          <w:b/>
          <w:color w:val="000000"/>
          <w:szCs w:val="21"/>
        </w:rPr>
      </w:pPr>
      <w:r>
        <w:rPr>
          <w:rFonts w:hint="eastAsia" w:ascii="宋体" w:hAnsi="宋体"/>
          <w:b/>
          <w:color w:val="000000"/>
          <w:szCs w:val="21"/>
        </w:rPr>
        <w:t>第六条　指导</w:t>
      </w:r>
    </w:p>
    <w:p>
      <w:pPr>
        <w:snapToGrid w:val="0"/>
        <w:spacing w:line="34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、甲方应提供必要的指导条件（如场地、电源、水源等）。</w:t>
      </w:r>
    </w:p>
    <w:p>
      <w:pPr>
        <w:snapToGrid w:val="0"/>
        <w:spacing w:line="340" w:lineRule="exact"/>
        <w:ind w:firstLine="420" w:firstLineChars="200"/>
        <w:rPr>
          <w:rFonts w:ascii="宋体" w:hAnsi="宋体"/>
          <w:color w:val="000000"/>
          <w:szCs w:val="21"/>
          <w:u w:val="single"/>
        </w:rPr>
      </w:pPr>
      <w:r>
        <w:rPr>
          <w:rFonts w:ascii="宋体" w:hAnsi="宋体"/>
          <w:color w:val="000000"/>
          <w:szCs w:val="21"/>
        </w:rPr>
        <w:t>2</w:t>
      </w:r>
      <w:r>
        <w:rPr>
          <w:rFonts w:hint="eastAsia" w:ascii="宋体" w:hAnsi="宋体"/>
          <w:color w:val="000000"/>
          <w:szCs w:val="21"/>
        </w:rPr>
        <w:t>、乙方负责开展咨询指导工作。指导时间、地点：</w:t>
      </w:r>
      <w:r>
        <w:rPr>
          <w:rFonts w:hint="eastAsia" w:ascii="宋体" w:hAnsi="宋体"/>
          <w:color w:val="000000"/>
          <w:szCs w:val="21"/>
          <w:u w:val="single"/>
        </w:rPr>
        <w:t>按承诺时间、地点培训</w:t>
      </w:r>
      <w:r>
        <w:rPr>
          <w:rFonts w:hint="eastAsia" w:ascii="宋体" w:hAnsi="宋体"/>
          <w:color w:val="000000"/>
          <w:szCs w:val="21"/>
        </w:rPr>
        <w:t>。</w:t>
      </w:r>
    </w:p>
    <w:p>
      <w:pPr>
        <w:snapToGrid w:val="0"/>
        <w:spacing w:line="330" w:lineRule="exact"/>
        <w:ind w:firstLine="422" w:firstLineChars="200"/>
        <w:rPr>
          <w:rFonts w:ascii="宋体" w:hAnsi="宋体"/>
          <w:b/>
          <w:color w:val="000000"/>
          <w:szCs w:val="21"/>
        </w:rPr>
      </w:pPr>
      <w:r>
        <w:rPr>
          <w:rFonts w:hint="eastAsia" w:ascii="宋体" w:hAnsi="宋体"/>
          <w:b/>
          <w:color w:val="000000"/>
          <w:szCs w:val="21"/>
        </w:rPr>
        <w:t>第七条</w:t>
      </w:r>
      <w:r>
        <w:rPr>
          <w:rFonts w:ascii="宋体" w:hAnsi="宋体"/>
          <w:b/>
          <w:color w:val="000000"/>
          <w:szCs w:val="21"/>
        </w:rPr>
        <w:t xml:space="preserve">  </w:t>
      </w:r>
      <w:r>
        <w:rPr>
          <w:rFonts w:hint="eastAsia" w:ascii="宋体" w:hAnsi="宋体"/>
          <w:b/>
          <w:color w:val="000000"/>
          <w:szCs w:val="21"/>
        </w:rPr>
        <w:t>售后服务</w:t>
      </w:r>
    </w:p>
    <w:p>
      <w:pPr>
        <w:snapToGrid w:val="0"/>
        <w:spacing w:line="330" w:lineRule="exact"/>
        <w:ind w:firstLine="420" w:firstLineChars="200"/>
        <w:rPr>
          <w:rFonts w:ascii="宋体" w:hAnsi="宋体"/>
          <w:color w:val="000000"/>
          <w:szCs w:val="21"/>
        </w:rPr>
      </w:pPr>
      <w:r>
        <w:rPr>
          <w:rFonts w:hint="eastAsia" w:ascii="宋体" w:hAnsi="宋体"/>
          <w:color w:val="000000"/>
          <w:szCs w:val="21"/>
        </w:rPr>
        <w:t>乙方提供服务的售后服务为：按照招投标文件和本合同所附的《技术服务、培训、售后服务承诺书》，为甲方提供售后服务。</w:t>
      </w:r>
    </w:p>
    <w:p>
      <w:pPr>
        <w:snapToGrid w:val="0"/>
        <w:spacing w:line="330" w:lineRule="exact"/>
        <w:ind w:firstLine="422" w:firstLineChars="200"/>
        <w:rPr>
          <w:rFonts w:ascii="宋体" w:hAnsi="宋体"/>
          <w:color w:val="000000"/>
          <w:szCs w:val="21"/>
        </w:rPr>
      </w:pPr>
      <w:r>
        <w:rPr>
          <w:rFonts w:hint="eastAsia" w:ascii="宋体" w:hAnsi="宋体"/>
          <w:b/>
          <w:color w:val="000000"/>
          <w:szCs w:val="21"/>
        </w:rPr>
        <w:t>第八条　付款方式</w:t>
      </w:r>
    </w:p>
    <w:p>
      <w:pPr>
        <w:snapToGrid w:val="0"/>
        <w:spacing w:before="120" w:after="120" w:line="330" w:lineRule="exact"/>
        <w:ind w:firstLine="359" w:firstLineChars="171"/>
        <w:rPr>
          <w:rFonts w:ascii="宋体" w:hAnsi="宋体" w:cs="Courier New"/>
          <w:color w:val="000000"/>
          <w:szCs w:val="21"/>
        </w:rPr>
      </w:pPr>
      <w:r>
        <w:rPr>
          <w:rFonts w:ascii="宋体" w:hAnsi="宋体" w:cs="Courier New"/>
          <w:bCs/>
          <w:color w:val="000000"/>
          <w:szCs w:val="21"/>
        </w:rPr>
        <w:t>1</w:t>
      </w:r>
      <w:r>
        <w:rPr>
          <w:rFonts w:hint="eastAsia" w:ascii="宋体" w:hAnsi="宋体" w:cs="Courier New"/>
          <w:bCs/>
          <w:color w:val="000000"/>
          <w:szCs w:val="21"/>
        </w:rPr>
        <w:t>、</w:t>
      </w:r>
      <w:r>
        <w:rPr>
          <w:rFonts w:hint="eastAsia" w:ascii="宋体" w:hAnsi="宋体" w:cs="Courier New"/>
          <w:color w:val="000000"/>
          <w:szCs w:val="21"/>
        </w:rPr>
        <w:t>当采购的服务成果数量与实际使用数量不一致时，乙方应根据实际使用量提供服务成果，合同的最终结算金额按实际使用量乘以成交单价进行计算。</w:t>
      </w:r>
    </w:p>
    <w:p>
      <w:pPr>
        <w:snapToGrid w:val="0"/>
        <w:spacing w:line="330" w:lineRule="exact"/>
        <w:ind w:firstLine="420" w:firstLineChars="200"/>
        <w:rPr>
          <w:rFonts w:ascii="宋体" w:hAnsi="宋体" w:cs="Courier New"/>
          <w:color w:val="000000"/>
          <w:szCs w:val="21"/>
        </w:rPr>
      </w:pPr>
      <w:r>
        <w:rPr>
          <w:rFonts w:ascii="宋体" w:hAnsi="宋体"/>
          <w:color w:val="000000"/>
          <w:szCs w:val="21"/>
        </w:rPr>
        <w:t>2</w:t>
      </w:r>
      <w:r>
        <w:rPr>
          <w:rFonts w:hint="eastAsia" w:ascii="宋体" w:hAnsi="宋体"/>
          <w:color w:val="000000"/>
          <w:szCs w:val="21"/>
        </w:rPr>
        <w:t>、资金性质：</w:t>
      </w:r>
      <w:r>
        <w:rPr>
          <w:rFonts w:hint="eastAsia" w:ascii="宋体" w:hAnsi="宋体"/>
          <w:color w:val="000000"/>
          <w:szCs w:val="21"/>
          <w:u w:val="single"/>
        </w:rPr>
        <w:t>财政资金</w:t>
      </w:r>
      <w:r>
        <w:rPr>
          <w:rFonts w:hint="eastAsia" w:ascii="宋体" w:hAnsi="宋体" w:cs="Courier New"/>
          <w:color w:val="000000"/>
          <w:szCs w:val="21"/>
        </w:rPr>
        <w:t>。</w:t>
      </w:r>
    </w:p>
    <w:p>
      <w:pPr>
        <w:spacing w:line="330" w:lineRule="exact"/>
        <w:ind w:firstLine="424" w:firstLineChars="202"/>
        <w:rPr>
          <w:rFonts w:ascii="宋体" w:hAnsi="宋体"/>
          <w:color w:val="000000"/>
          <w:szCs w:val="21"/>
        </w:rPr>
      </w:pPr>
      <w:bookmarkStart w:id="86" w:name="_Toc498484550"/>
      <w:bookmarkStart w:id="87" w:name="_Toc498501487"/>
      <w:r>
        <w:rPr>
          <w:rFonts w:ascii="宋体" w:hAnsi="宋体"/>
          <w:color w:val="000000"/>
          <w:szCs w:val="21"/>
        </w:rPr>
        <w:t>3</w:t>
      </w:r>
      <w:r>
        <w:rPr>
          <w:rFonts w:hint="eastAsia" w:ascii="宋体" w:hAnsi="宋体"/>
          <w:color w:val="000000"/>
          <w:szCs w:val="21"/>
        </w:rPr>
        <w:t>、</w:t>
      </w:r>
      <w:bookmarkEnd w:id="86"/>
      <w:bookmarkEnd w:id="87"/>
      <w:r>
        <w:rPr>
          <w:rFonts w:hint="eastAsia" w:ascii="宋体" w:hAnsi="宋体"/>
          <w:color w:val="000000"/>
          <w:szCs w:val="21"/>
        </w:rPr>
        <w:t>付款方式：</w:t>
      </w:r>
      <w:r>
        <w:rPr>
          <w:rFonts w:hint="eastAsia" w:ascii="宋体" w:hAnsi="宋体" w:cs="宋体"/>
          <w:color w:val="000000"/>
          <w:szCs w:val="21"/>
        </w:rPr>
        <w:t>签订合同后15个工作日内，甲方向乙方首次支付合同金额的50%；项目合同验收合格后15个工作日内支付合同金额的40%；通过项目业务验收合格后15个工作日内，乙方按合同金额的5%向甲方提交项目质保金后，甲方15个工作日内支付合同金额的10%；自业务验收合格之日起至项目整体质保期满后，无质量问题，在15个工作日内，甲方向乙方一次退还质保金，不计利息。采购人每次付款前，成交供应商应将同等金额的合法、有效增值税专用发票开具给采购人，否则，采购人可以顺延付款。</w:t>
      </w:r>
      <w:r>
        <w:rPr>
          <w:rFonts w:ascii="宋体" w:hAnsi="宋体"/>
          <w:color w:val="000000"/>
          <w:szCs w:val="21"/>
        </w:rPr>
        <w:t xml:space="preserve"> </w:t>
      </w:r>
    </w:p>
    <w:p>
      <w:pPr>
        <w:snapToGrid w:val="0"/>
        <w:spacing w:line="330" w:lineRule="exact"/>
        <w:ind w:firstLine="420" w:firstLineChars="200"/>
        <w:rPr>
          <w:rFonts w:ascii="宋体" w:hAnsi="宋体" w:cs="Courier New"/>
          <w:color w:val="000000"/>
          <w:szCs w:val="21"/>
        </w:rPr>
      </w:pPr>
      <w:r>
        <w:rPr>
          <w:rFonts w:hint="eastAsia" w:ascii="宋体" w:hAnsi="宋体" w:cs="Courier New"/>
          <w:color w:val="000000"/>
          <w:szCs w:val="21"/>
        </w:rPr>
        <w:t>第八条</w:t>
      </w:r>
      <w:r>
        <w:rPr>
          <w:rFonts w:ascii="宋体" w:hAnsi="宋体" w:cs="Courier New"/>
          <w:color w:val="000000"/>
          <w:szCs w:val="21"/>
        </w:rPr>
        <w:t xml:space="preserve">  </w:t>
      </w:r>
      <w:r>
        <w:rPr>
          <w:rFonts w:hint="eastAsia" w:ascii="宋体" w:hAnsi="宋体" w:cs="Courier New"/>
          <w:color w:val="000000"/>
          <w:szCs w:val="21"/>
        </w:rPr>
        <w:t>税费</w:t>
      </w:r>
    </w:p>
    <w:p>
      <w:pPr>
        <w:snapToGrid w:val="0"/>
        <w:spacing w:line="330" w:lineRule="exact"/>
        <w:ind w:firstLine="420" w:firstLineChars="200"/>
        <w:rPr>
          <w:rFonts w:ascii="宋体" w:hAnsi="宋体" w:cs="Courier New"/>
          <w:color w:val="000000"/>
          <w:szCs w:val="21"/>
        </w:rPr>
      </w:pPr>
      <w:r>
        <w:rPr>
          <w:rFonts w:hint="eastAsia" w:ascii="宋体" w:hAnsi="宋体" w:cs="Courier New"/>
          <w:color w:val="000000"/>
          <w:szCs w:val="21"/>
        </w:rPr>
        <w:t>本合同执行中相关的一切税费均由乙方负担。</w:t>
      </w:r>
    </w:p>
    <w:p>
      <w:pPr>
        <w:snapToGrid w:val="0"/>
        <w:spacing w:line="330" w:lineRule="exact"/>
        <w:ind w:firstLine="422" w:firstLineChars="200"/>
        <w:rPr>
          <w:rFonts w:ascii="宋体" w:hAnsi="宋体"/>
          <w:b/>
          <w:color w:val="000000"/>
          <w:szCs w:val="21"/>
        </w:rPr>
      </w:pPr>
      <w:r>
        <w:rPr>
          <w:rFonts w:hint="eastAsia" w:ascii="宋体" w:hAnsi="宋体"/>
          <w:b/>
          <w:color w:val="000000"/>
          <w:szCs w:val="21"/>
        </w:rPr>
        <w:t>第九条　双方责任</w:t>
      </w:r>
    </w:p>
    <w:p>
      <w:pPr>
        <w:snapToGrid w:val="0"/>
        <w:spacing w:before="120" w:after="120" w:line="330" w:lineRule="exact"/>
        <w:ind w:firstLine="411" w:firstLineChars="196"/>
        <w:rPr>
          <w:rFonts w:ascii="宋体" w:hAnsi="宋体"/>
          <w:color w:val="000000"/>
          <w:szCs w:val="21"/>
        </w:rPr>
      </w:pPr>
      <w:r>
        <w:rPr>
          <w:rFonts w:ascii="宋体" w:hAnsi="宋体"/>
          <w:color w:val="000000"/>
          <w:szCs w:val="21"/>
        </w:rPr>
        <w:t>9.1.1</w:t>
      </w:r>
      <w:r>
        <w:rPr>
          <w:rFonts w:hint="eastAsia" w:ascii="宋体" w:hAnsi="宋体"/>
          <w:color w:val="000000"/>
          <w:szCs w:val="21"/>
        </w:rPr>
        <w:t>甲方按本合同第四条规定的内容，在规定的时间内向乙方提交资料及文件。</w:t>
      </w:r>
    </w:p>
    <w:p>
      <w:pPr>
        <w:snapToGrid w:val="0"/>
        <w:spacing w:before="120" w:after="120" w:line="330" w:lineRule="exact"/>
        <w:ind w:firstLine="411" w:firstLineChars="196"/>
        <w:rPr>
          <w:rFonts w:ascii="宋体" w:hAnsi="宋体"/>
          <w:color w:val="000000"/>
          <w:szCs w:val="21"/>
        </w:rPr>
      </w:pPr>
      <w:r>
        <w:rPr>
          <w:rFonts w:ascii="宋体" w:hAnsi="宋体"/>
          <w:color w:val="000000"/>
          <w:szCs w:val="21"/>
        </w:rPr>
        <w:t xml:space="preserve">9.1.2 </w:t>
      </w:r>
      <w:r>
        <w:rPr>
          <w:rFonts w:hint="eastAsia" w:ascii="宋体" w:hAnsi="宋体"/>
          <w:color w:val="000000"/>
          <w:szCs w:val="21"/>
        </w:rPr>
        <w:t>在合同履行期间，甲方单方面要求终止或解除合同，乙方除不退还甲方已支付的项目费用外，甲方需按合同总金额的</w:t>
      </w:r>
      <w:r>
        <w:rPr>
          <w:rFonts w:ascii="宋体" w:hAnsi="宋体"/>
          <w:color w:val="000000"/>
          <w:szCs w:val="21"/>
        </w:rPr>
        <w:t>50%</w:t>
      </w:r>
      <w:r>
        <w:rPr>
          <w:rFonts w:hint="eastAsia" w:ascii="宋体" w:hAnsi="宋体"/>
          <w:color w:val="000000"/>
          <w:szCs w:val="21"/>
        </w:rPr>
        <w:t>向乙方支付违约金。</w:t>
      </w:r>
    </w:p>
    <w:p>
      <w:pPr>
        <w:snapToGrid w:val="0"/>
        <w:spacing w:before="120" w:after="120" w:line="330" w:lineRule="exact"/>
        <w:ind w:firstLine="411" w:firstLineChars="196"/>
        <w:rPr>
          <w:rFonts w:ascii="宋体" w:hAnsi="宋体"/>
          <w:color w:val="000000"/>
          <w:szCs w:val="21"/>
        </w:rPr>
      </w:pPr>
      <w:r>
        <w:rPr>
          <w:rFonts w:ascii="宋体" w:hAnsi="宋体"/>
          <w:color w:val="000000"/>
          <w:szCs w:val="21"/>
        </w:rPr>
        <w:t>9.1.3</w:t>
      </w:r>
      <w:r>
        <w:rPr>
          <w:rFonts w:hint="eastAsia" w:ascii="宋体" w:hAnsi="宋体"/>
          <w:color w:val="000000"/>
          <w:szCs w:val="21"/>
        </w:rPr>
        <w:t>甲方应按本合同第八条规定的金额和时间向乙方支付项目费用，每逾期支付一天，应承担应支付金额日千分之二的逾期违约金；逾期超过</w:t>
      </w:r>
      <w:r>
        <w:rPr>
          <w:rFonts w:ascii="宋体" w:hAnsi="宋体"/>
          <w:color w:val="000000"/>
          <w:szCs w:val="21"/>
        </w:rPr>
        <w:t>10</w:t>
      </w:r>
      <w:r>
        <w:rPr>
          <w:rFonts w:hint="eastAsia" w:ascii="宋体" w:hAnsi="宋体"/>
          <w:color w:val="000000"/>
          <w:szCs w:val="21"/>
        </w:rPr>
        <w:t>天以上时，乙方有权暂停履行下阶段工作，并书面通知甲方。</w:t>
      </w:r>
    </w:p>
    <w:p>
      <w:pPr>
        <w:snapToGrid w:val="0"/>
        <w:spacing w:before="120" w:after="120" w:line="330" w:lineRule="exact"/>
        <w:ind w:firstLine="411" w:firstLineChars="196"/>
        <w:rPr>
          <w:rFonts w:ascii="宋体" w:hAnsi="宋体"/>
          <w:color w:val="000000"/>
          <w:szCs w:val="21"/>
        </w:rPr>
      </w:pPr>
      <w:r>
        <w:rPr>
          <w:rFonts w:ascii="宋体" w:hAnsi="宋体"/>
          <w:color w:val="000000"/>
          <w:szCs w:val="21"/>
        </w:rPr>
        <w:t xml:space="preserve">9.2 </w:t>
      </w:r>
      <w:r>
        <w:rPr>
          <w:rFonts w:hint="eastAsia" w:ascii="宋体" w:hAnsi="宋体"/>
          <w:color w:val="000000"/>
          <w:szCs w:val="21"/>
        </w:rPr>
        <w:t>乙方责任</w:t>
      </w:r>
    </w:p>
    <w:p>
      <w:pPr>
        <w:snapToGrid w:val="0"/>
        <w:spacing w:before="120" w:after="120" w:line="330" w:lineRule="exact"/>
        <w:ind w:firstLine="411" w:firstLineChars="196"/>
        <w:rPr>
          <w:rFonts w:ascii="宋体" w:hAnsi="宋体"/>
          <w:color w:val="000000"/>
          <w:szCs w:val="21"/>
        </w:rPr>
      </w:pPr>
      <w:r>
        <w:rPr>
          <w:rFonts w:ascii="宋体" w:hAnsi="宋体"/>
          <w:color w:val="000000"/>
          <w:szCs w:val="21"/>
        </w:rPr>
        <w:t>9.2.1</w:t>
      </w:r>
      <w:r>
        <w:rPr>
          <w:rFonts w:hint="eastAsia" w:ascii="宋体" w:hAnsi="宋体"/>
          <w:color w:val="000000"/>
          <w:szCs w:val="21"/>
        </w:rPr>
        <w:t>乙方按本合同第一条和第五条规定的内容、时间向甲方提供技术服务。</w:t>
      </w:r>
    </w:p>
    <w:p>
      <w:pPr>
        <w:snapToGrid w:val="0"/>
        <w:spacing w:before="120" w:after="120" w:line="330" w:lineRule="exact"/>
        <w:ind w:firstLine="411" w:firstLineChars="196"/>
        <w:rPr>
          <w:rFonts w:ascii="宋体" w:hAnsi="宋体"/>
          <w:color w:val="000000"/>
          <w:szCs w:val="21"/>
        </w:rPr>
      </w:pPr>
      <w:r>
        <w:rPr>
          <w:rFonts w:ascii="宋体" w:hAnsi="宋体"/>
          <w:color w:val="000000"/>
          <w:szCs w:val="21"/>
        </w:rPr>
        <w:t>9.2.2</w:t>
      </w:r>
      <w:r>
        <w:rPr>
          <w:rFonts w:hint="eastAsia" w:ascii="宋体" w:hAnsi="宋体"/>
          <w:color w:val="000000"/>
          <w:szCs w:val="21"/>
        </w:rPr>
        <w:t>由于乙方自身原因，延误了双方约定的技术指导，每延误一天，应承担该项目应付余额日千分之二的违约金。</w:t>
      </w:r>
    </w:p>
    <w:p>
      <w:pPr>
        <w:snapToGrid w:val="0"/>
        <w:spacing w:before="120" w:after="120" w:line="330" w:lineRule="exact"/>
        <w:ind w:firstLine="411" w:firstLineChars="196"/>
        <w:rPr>
          <w:rFonts w:ascii="宋体" w:hAnsi="宋体"/>
          <w:color w:val="000000"/>
          <w:szCs w:val="21"/>
        </w:rPr>
      </w:pPr>
      <w:r>
        <w:rPr>
          <w:rFonts w:ascii="宋体" w:hAnsi="宋体"/>
          <w:color w:val="000000"/>
          <w:szCs w:val="21"/>
        </w:rPr>
        <w:t>9.2.3</w:t>
      </w:r>
      <w:r>
        <w:rPr>
          <w:rFonts w:hint="eastAsia" w:ascii="宋体" w:hAnsi="宋体"/>
          <w:color w:val="000000"/>
          <w:szCs w:val="21"/>
        </w:rPr>
        <w:t>合同生效后，乙方单方面要求终止合同，乙方除应全额返还甲方所支付的费用外，乙方需按合同总金额的</w:t>
      </w:r>
      <w:r>
        <w:rPr>
          <w:rFonts w:ascii="宋体" w:hAnsi="宋体"/>
          <w:color w:val="000000"/>
          <w:szCs w:val="21"/>
        </w:rPr>
        <w:t>50%</w:t>
      </w:r>
      <w:r>
        <w:rPr>
          <w:rFonts w:hint="eastAsia" w:ascii="宋体" w:hAnsi="宋体"/>
          <w:color w:val="000000"/>
          <w:szCs w:val="21"/>
        </w:rPr>
        <w:t>向甲方支付违约金。</w:t>
      </w:r>
    </w:p>
    <w:p>
      <w:pPr>
        <w:snapToGrid w:val="0"/>
        <w:spacing w:before="120" w:after="120" w:line="330" w:lineRule="exact"/>
        <w:ind w:firstLine="413" w:firstLineChars="196"/>
        <w:rPr>
          <w:rFonts w:ascii="宋体" w:hAnsi="宋体" w:cs="Courier New"/>
          <w:b/>
          <w:color w:val="000000"/>
          <w:szCs w:val="21"/>
        </w:rPr>
      </w:pPr>
      <w:r>
        <w:rPr>
          <w:rFonts w:hint="eastAsia" w:ascii="宋体" w:hAnsi="宋体" w:cs="Courier New"/>
          <w:b/>
          <w:color w:val="000000"/>
          <w:szCs w:val="21"/>
        </w:rPr>
        <w:t>第十条</w:t>
      </w:r>
      <w:r>
        <w:rPr>
          <w:rFonts w:ascii="宋体" w:hAnsi="宋体" w:cs="Courier New"/>
          <w:b/>
          <w:color w:val="000000"/>
          <w:szCs w:val="21"/>
        </w:rPr>
        <w:t xml:space="preserve"> </w:t>
      </w:r>
      <w:r>
        <w:rPr>
          <w:rFonts w:hint="eastAsia" w:ascii="宋体" w:hAnsi="宋体" w:cs="Courier New"/>
          <w:b/>
          <w:color w:val="000000"/>
          <w:szCs w:val="21"/>
        </w:rPr>
        <w:t>不可抗力事件处理</w:t>
      </w:r>
    </w:p>
    <w:p>
      <w:pPr>
        <w:snapToGrid w:val="0"/>
        <w:spacing w:before="120" w:after="120" w:line="330" w:lineRule="exact"/>
        <w:ind w:firstLine="420" w:firstLineChars="200"/>
        <w:rPr>
          <w:rFonts w:ascii="宋体" w:hAnsi="宋体" w:cs="Courier New"/>
          <w:color w:val="000000"/>
          <w:szCs w:val="21"/>
        </w:rPr>
      </w:pPr>
      <w:r>
        <w:rPr>
          <w:rFonts w:ascii="宋体" w:hAnsi="宋体" w:cs="Courier New"/>
          <w:color w:val="000000"/>
          <w:szCs w:val="21"/>
        </w:rPr>
        <w:t xml:space="preserve">1. </w:t>
      </w:r>
      <w:r>
        <w:rPr>
          <w:rFonts w:hint="eastAsia" w:ascii="宋体" w:hAnsi="宋体" w:cs="Courier New"/>
          <w:color w:val="000000"/>
          <w:szCs w:val="21"/>
        </w:rPr>
        <w:t>在合同有效期内，任何一方因不可抗力事件导致不能履行合同，则合同履行期可延长，其延长期与不可抗力影响期相同。</w:t>
      </w:r>
    </w:p>
    <w:p>
      <w:pPr>
        <w:snapToGrid w:val="0"/>
        <w:spacing w:before="120" w:after="120" w:line="330" w:lineRule="exact"/>
        <w:ind w:firstLine="420" w:firstLineChars="200"/>
        <w:rPr>
          <w:rFonts w:ascii="宋体" w:hAnsi="宋体" w:cs="Courier New"/>
          <w:color w:val="000000"/>
          <w:szCs w:val="21"/>
        </w:rPr>
      </w:pPr>
      <w:r>
        <w:rPr>
          <w:rFonts w:ascii="宋体" w:hAnsi="宋体" w:cs="Courier New"/>
          <w:color w:val="000000"/>
          <w:szCs w:val="21"/>
        </w:rPr>
        <w:t xml:space="preserve">2. </w:t>
      </w:r>
      <w:r>
        <w:rPr>
          <w:rFonts w:hint="eastAsia" w:ascii="宋体" w:hAnsi="宋体" w:cs="Courier New"/>
          <w:color w:val="000000"/>
          <w:szCs w:val="21"/>
        </w:rPr>
        <w:t>不可抗力事件发生后，应立即通知对方，并寄送有关权威机构出具的证明。</w:t>
      </w:r>
    </w:p>
    <w:p>
      <w:pPr>
        <w:snapToGrid w:val="0"/>
        <w:spacing w:before="120" w:after="120" w:line="330" w:lineRule="exact"/>
        <w:ind w:firstLine="420" w:firstLineChars="200"/>
        <w:rPr>
          <w:rFonts w:ascii="宋体" w:hAnsi="宋体" w:cs="Courier New"/>
          <w:color w:val="000000"/>
          <w:szCs w:val="21"/>
        </w:rPr>
      </w:pPr>
      <w:r>
        <w:rPr>
          <w:rFonts w:ascii="宋体" w:hAnsi="宋体" w:cs="Courier New"/>
          <w:color w:val="000000"/>
          <w:szCs w:val="21"/>
        </w:rPr>
        <w:t xml:space="preserve">3. </w:t>
      </w:r>
      <w:r>
        <w:rPr>
          <w:rFonts w:hint="eastAsia" w:ascii="宋体" w:hAnsi="宋体" w:cs="Courier New"/>
          <w:color w:val="000000"/>
          <w:szCs w:val="21"/>
        </w:rPr>
        <w:t>不可抗力事件延续一百二十天以上，双方应通过友好协商，确定是否继续履行合同。</w:t>
      </w:r>
    </w:p>
    <w:p>
      <w:pPr>
        <w:snapToGrid w:val="0"/>
        <w:spacing w:line="330" w:lineRule="exact"/>
        <w:ind w:firstLine="422" w:firstLineChars="200"/>
        <w:rPr>
          <w:rFonts w:ascii="宋体" w:hAnsi="宋体"/>
          <w:color w:val="000000"/>
          <w:szCs w:val="21"/>
        </w:rPr>
      </w:pPr>
      <w:r>
        <w:rPr>
          <w:rFonts w:hint="eastAsia" w:ascii="宋体" w:hAnsi="宋体"/>
          <w:b/>
          <w:color w:val="000000"/>
          <w:szCs w:val="21"/>
        </w:rPr>
        <w:t>第十一条</w:t>
      </w:r>
      <w:r>
        <w:rPr>
          <w:rFonts w:ascii="宋体" w:hAnsi="宋体"/>
          <w:b/>
          <w:color w:val="000000"/>
          <w:szCs w:val="21"/>
        </w:rPr>
        <w:t xml:space="preserve">  </w:t>
      </w:r>
      <w:r>
        <w:rPr>
          <w:rFonts w:hint="eastAsia" w:ascii="宋体" w:hAnsi="宋体"/>
          <w:b/>
          <w:color w:val="000000"/>
          <w:szCs w:val="21"/>
        </w:rPr>
        <w:t>合同争议解决</w:t>
      </w:r>
    </w:p>
    <w:p>
      <w:pPr>
        <w:snapToGrid w:val="0"/>
        <w:spacing w:line="33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、因履行本合同引起的或与本合同有关的争议，甲乙双方应首先通过友好协商解决，如果协商不能解决，可向仲裁委员会申请仲裁或向人民法院提起诉讼。</w:t>
      </w:r>
    </w:p>
    <w:p>
      <w:pPr>
        <w:snapToGrid w:val="0"/>
        <w:spacing w:line="330" w:lineRule="exac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、诉讼期间，本合同继续履行。</w:t>
      </w:r>
    </w:p>
    <w:p>
      <w:pPr>
        <w:snapToGrid w:val="0"/>
        <w:spacing w:before="120" w:after="120" w:line="330" w:lineRule="exact"/>
        <w:ind w:firstLine="413" w:firstLineChars="196"/>
        <w:rPr>
          <w:rFonts w:ascii="宋体" w:hAnsi="宋体" w:cs="Courier New"/>
          <w:b/>
          <w:color w:val="000000"/>
          <w:szCs w:val="21"/>
        </w:rPr>
      </w:pPr>
      <w:r>
        <w:rPr>
          <w:rFonts w:hint="eastAsia" w:ascii="宋体" w:hAnsi="宋体" w:cs="Courier New"/>
          <w:b/>
          <w:color w:val="000000"/>
          <w:szCs w:val="21"/>
        </w:rPr>
        <w:t>第十二条</w:t>
      </w:r>
      <w:r>
        <w:rPr>
          <w:rFonts w:ascii="宋体" w:hAnsi="宋体" w:cs="Courier New"/>
          <w:b/>
          <w:color w:val="000000"/>
          <w:szCs w:val="21"/>
        </w:rPr>
        <w:t xml:space="preserve"> </w:t>
      </w:r>
      <w:r>
        <w:rPr>
          <w:rFonts w:hint="eastAsia" w:ascii="宋体" w:hAnsi="宋体" w:cs="Courier New"/>
          <w:b/>
          <w:color w:val="000000"/>
          <w:szCs w:val="21"/>
        </w:rPr>
        <w:t>诉讼</w:t>
      </w:r>
    </w:p>
    <w:p>
      <w:pPr>
        <w:snapToGrid w:val="0"/>
        <w:spacing w:before="120" w:after="120" w:line="330" w:lineRule="exact"/>
        <w:ind w:firstLine="462" w:firstLineChars="220"/>
        <w:rPr>
          <w:rFonts w:ascii="宋体" w:hAnsi="宋体" w:cs="Courier New"/>
          <w:color w:val="000000"/>
          <w:szCs w:val="21"/>
        </w:rPr>
      </w:pPr>
      <w:r>
        <w:rPr>
          <w:rFonts w:hint="eastAsia" w:ascii="宋体" w:hAnsi="宋体" w:cs="Courier New"/>
          <w:color w:val="000000"/>
          <w:szCs w:val="21"/>
        </w:rPr>
        <w:t>双方在执行合同中所发生的一切争议，应通过协商解决。如果协商不能解决，可向仲裁委员会申请仲裁或向人民法院提起诉讼。</w:t>
      </w:r>
    </w:p>
    <w:p>
      <w:pPr>
        <w:snapToGrid w:val="0"/>
        <w:spacing w:before="120" w:after="120" w:line="330" w:lineRule="exact"/>
        <w:ind w:left="561" w:leftChars="267"/>
        <w:rPr>
          <w:rFonts w:ascii="宋体" w:hAnsi="宋体" w:cs="Courier New"/>
          <w:b/>
          <w:color w:val="000000"/>
          <w:szCs w:val="21"/>
        </w:rPr>
      </w:pPr>
      <w:r>
        <w:rPr>
          <w:rFonts w:hint="eastAsia" w:ascii="宋体" w:hAnsi="宋体" w:cs="Courier New"/>
          <w:b/>
          <w:color w:val="000000"/>
          <w:szCs w:val="21"/>
        </w:rPr>
        <w:t>第十三条</w:t>
      </w:r>
      <w:r>
        <w:rPr>
          <w:rFonts w:ascii="宋体" w:hAnsi="宋体" w:cs="Courier New"/>
          <w:b/>
          <w:color w:val="000000"/>
          <w:szCs w:val="21"/>
        </w:rPr>
        <w:t xml:space="preserve"> </w:t>
      </w:r>
      <w:r>
        <w:rPr>
          <w:rFonts w:hint="eastAsia" w:ascii="宋体" w:hAnsi="宋体" w:cs="Courier New"/>
          <w:b/>
          <w:color w:val="000000"/>
          <w:szCs w:val="21"/>
        </w:rPr>
        <w:t>合同生效及其它</w:t>
      </w:r>
    </w:p>
    <w:p>
      <w:pPr>
        <w:snapToGrid w:val="0"/>
        <w:spacing w:before="120" w:after="120" w:line="330" w:lineRule="exact"/>
        <w:ind w:left="561" w:leftChars="267"/>
        <w:rPr>
          <w:rFonts w:ascii="宋体" w:hAnsi="宋体" w:cs="Courier New"/>
          <w:color w:val="000000"/>
          <w:szCs w:val="21"/>
        </w:rPr>
      </w:pPr>
      <w:r>
        <w:rPr>
          <w:rFonts w:ascii="宋体" w:hAnsi="宋体" w:cs="Courier New"/>
          <w:color w:val="000000"/>
          <w:szCs w:val="21"/>
        </w:rPr>
        <w:t>1</w:t>
      </w:r>
      <w:r>
        <w:rPr>
          <w:rFonts w:hint="eastAsia" w:ascii="宋体" w:hAnsi="宋体" w:cs="Courier New"/>
          <w:color w:val="000000"/>
          <w:szCs w:val="21"/>
        </w:rPr>
        <w:t>．合同经双方法定代表人或授权代表签字并加盖单位公章后生效。</w:t>
      </w:r>
    </w:p>
    <w:p>
      <w:pPr>
        <w:snapToGrid w:val="0"/>
        <w:spacing w:before="120" w:after="120" w:line="330" w:lineRule="exact"/>
        <w:ind w:firstLine="560" w:firstLineChars="267"/>
        <w:rPr>
          <w:rFonts w:ascii="宋体" w:hAnsi="宋体" w:cs="Courier New"/>
          <w:color w:val="000000"/>
          <w:szCs w:val="21"/>
        </w:rPr>
      </w:pPr>
      <w:r>
        <w:rPr>
          <w:rFonts w:ascii="宋体" w:hAnsi="宋体" w:cs="Courier New"/>
          <w:color w:val="000000"/>
          <w:szCs w:val="21"/>
        </w:rPr>
        <w:t>2</w:t>
      </w:r>
      <w:r>
        <w:rPr>
          <w:rFonts w:hint="eastAsia" w:ascii="宋体" w:hAnsi="宋体" w:cs="Courier New"/>
          <w:color w:val="000000"/>
          <w:szCs w:val="21"/>
        </w:rPr>
        <w:t>．合同执行中涉及采购资金和采购内容修改或补充的，须经政府采购监督管理部门审批，并签书面补充协议报政府采购监督管理部门备案，方可作为主合同不可分割的一部分。</w:t>
      </w:r>
    </w:p>
    <w:p>
      <w:pPr>
        <w:snapToGrid w:val="0"/>
        <w:spacing w:before="120" w:after="120" w:line="330" w:lineRule="exact"/>
        <w:ind w:left="561" w:leftChars="267"/>
        <w:rPr>
          <w:rFonts w:ascii="宋体" w:hAnsi="宋体" w:cs="Courier New"/>
          <w:color w:val="000000"/>
          <w:szCs w:val="21"/>
        </w:rPr>
      </w:pPr>
      <w:r>
        <w:rPr>
          <w:rFonts w:ascii="宋体" w:hAnsi="宋体" w:cs="Courier New"/>
          <w:color w:val="000000"/>
          <w:szCs w:val="21"/>
        </w:rPr>
        <w:t>3</w:t>
      </w:r>
      <w:r>
        <w:rPr>
          <w:rFonts w:hint="eastAsia" w:ascii="宋体" w:hAnsi="宋体" w:cs="Courier New"/>
          <w:color w:val="000000"/>
          <w:szCs w:val="21"/>
        </w:rPr>
        <w:t>．本合同未尽事宜，遵照《中华人民共和国民法典》有关条文执行。</w:t>
      </w:r>
    </w:p>
    <w:p>
      <w:pPr>
        <w:snapToGrid w:val="0"/>
        <w:spacing w:line="330" w:lineRule="exact"/>
        <w:ind w:firstLine="422" w:firstLineChars="200"/>
        <w:rPr>
          <w:rFonts w:ascii="宋体" w:hAnsi="宋体"/>
          <w:b/>
          <w:color w:val="000000"/>
          <w:szCs w:val="21"/>
        </w:rPr>
      </w:pPr>
      <w:r>
        <w:rPr>
          <w:rFonts w:hint="eastAsia" w:ascii="宋体" w:hAnsi="宋体"/>
          <w:b/>
          <w:color w:val="000000"/>
          <w:szCs w:val="21"/>
        </w:rPr>
        <w:t>第十四条　合同的变更、终止与转让</w:t>
      </w:r>
    </w:p>
    <w:p>
      <w:pPr>
        <w:snapToGrid w:val="0"/>
        <w:spacing w:line="330" w:lineRule="exact"/>
        <w:ind w:firstLine="525" w:firstLineChars="250"/>
        <w:rPr>
          <w:rFonts w:ascii="宋体" w:hAnsi="宋体"/>
          <w:color w:val="000000"/>
          <w:szCs w:val="21"/>
        </w:rPr>
      </w:pPr>
      <w:r>
        <w:rPr>
          <w:rFonts w:ascii="宋体" w:hAnsi="宋体"/>
          <w:color w:val="000000"/>
          <w:szCs w:val="21"/>
        </w:rPr>
        <w:t>1</w:t>
      </w:r>
      <w:r>
        <w:rPr>
          <w:rFonts w:hint="eastAsia" w:ascii="宋体" w:hAnsi="宋体"/>
          <w:color w:val="000000"/>
          <w:szCs w:val="21"/>
        </w:rPr>
        <w:t>、除《中华人民共和国政府采购法》第五十条规定的情形外，本合同一经签订，甲乙双方不得擅自变更、中止或终止。</w:t>
      </w:r>
    </w:p>
    <w:p>
      <w:pPr>
        <w:snapToGrid w:val="0"/>
        <w:spacing w:before="120" w:after="120" w:line="330" w:lineRule="exact"/>
        <w:ind w:firstLine="516" w:firstLineChars="246"/>
        <w:rPr>
          <w:rFonts w:ascii="宋体" w:hAnsi="宋体" w:cs="Courier New"/>
          <w:b/>
          <w:color w:val="000000"/>
          <w:szCs w:val="21"/>
        </w:rPr>
      </w:pPr>
      <w:r>
        <w:rPr>
          <w:rFonts w:ascii="宋体" w:hAnsi="宋体" w:cs="Courier New"/>
          <w:color w:val="000000"/>
          <w:szCs w:val="21"/>
        </w:rPr>
        <w:t>2</w:t>
      </w:r>
      <w:r>
        <w:rPr>
          <w:rFonts w:hint="eastAsia" w:ascii="宋体" w:hAnsi="宋体" w:cs="Courier New"/>
          <w:color w:val="000000"/>
          <w:szCs w:val="21"/>
        </w:rPr>
        <w:t>、乙方不得擅自转让其应履行的合同义务。</w:t>
      </w:r>
    </w:p>
    <w:p>
      <w:pPr>
        <w:snapToGrid w:val="0"/>
        <w:spacing w:line="330" w:lineRule="exact"/>
        <w:ind w:firstLine="422" w:firstLineChars="200"/>
        <w:rPr>
          <w:rFonts w:ascii="宋体" w:hAnsi="宋体"/>
          <w:b/>
          <w:color w:val="000000"/>
          <w:szCs w:val="21"/>
        </w:rPr>
      </w:pPr>
      <w:r>
        <w:rPr>
          <w:rFonts w:hint="eastAsia" w:ascii="宋体" w:hAnsi="宋体"/>
          <w:b/>
          <w:color w:val="000000"/>
          <w:szCs w:val="21"/>
        </w:rPr>
        <w:t>第十五条　签订本合同依据</w:t>
      </w:r>
    </w:p>
    <w:p>
      <w:pPr>
        <w:spacing w:line="330" w:lineRule="exact"/>
        <w:ind w:firstLine="360"/>
        <w:rPr>
          <w:rFonts w:ascii="宋体" w:hAnsi="宋体" w:cs="Courier New"/>
          <w:color w:val="000000"/>
          <w:szCs w:val="21"/>
        </w:rPr>
      </w:pPr>
      <w:r>
        <w:rPr>
          <w:rFonts w:hint="eastAsia" w:ascii="宋体" w:hAnsi="宋体" w:cs="Courier New"/>
          <w:color w:val="000000"/>
          <w:szCs w:val="21"/>
        </w:rPr>
        <w:t>（</w:t>
      </w:r>
      <w:r>
        <w:rPr>
          <w:rFonts w:ascii="宋体" w:hAnsi="宋体" w:cs="Courier New"/>
          <w:color w:val="000000"/>
          <w:szCs w:val="21"/>
        </w:rPr>
        <w:t>1</w:t>
      </w:r>
      <w:r>
        <w:rPr>
          <w:rFonts w:hint="eastAsia" w:ascii="宋体" w:hAnsi="宋体" w:cs="Courier New"/>
          <w:color w:val="000000"/>
          <w:szCs w:val="21"/>
        </w:rPr>
        <w:t>）中标通知书；</w:t>
      </w:r>
    </w:p>
    <w:p>
      <w:pPr>
        <w:spacing w:line="330" w:lineRule="exact"/>
        <w:ind w:firstLine="360"/>
        <w:rPr>
          <w:rFonts w:ascii="宋体" w:hAnsi="宋体" w:cs="Courier New"/>
          <w:color w:val="000000"/>
          <w:szCs w:val="21"/>
        </w:rPr>
      </w:pPr>
      <w:r>
        <w:rPr>
          <w:rFonts w:hint="eastAsia" w:ascii="宋体" w:hAnsi="宋体" w:cs="Courier New"/>
          <w:color w:val="000000"/>
          <w:szCs w:val="21"/>
        </w:rPr>
        <w:t>（</w:t>
      </w:r>
      <w:r>
        <w:rPr>
          <w:rFonts w:ascii="宋体" w:hAnsi="宋体" w:cs="Courier New"/>
          <w:color w:val="000000"/>
          <w:szCs w:val="21"/>
        </w:rPr>
        <w:t>2</w:t>
      </w:r>
      <w:r>
        <w:rPr>
          <w:rFonts w:hint="eastAsia" w:ascii="宋体" w:hAnsi="宋体" w:cs="Courier New"/>
          <w:color w:val="000000"/>
          <w:szCs w:val="21"/>
        </w:rPr>
        <w:t>）项目采购需求；</w:t>
      </w:r>
    </w:p>
    <w:p>
      <w:pPr>
        <w:spacing w:line="330" w:lineRule="exact"/>
        <w:ind w:firstLine="360"/>
        <w:rPr>
          <w:rFonts w:ascii="宋体" w:hAnsi="宋体" w:cs="Courier New"/>
          <w:color w:val="000000"/>
          <w:szCs w:val="21"/>
        </w:rPr>
      </w:pPr>
      <w:r>
        <w:rPr>
          <w:rFonts w:hint="eastAsia" w:ascii="宋体" w:hAnsi="宋体" w:cs="Courier New"/>
          <w:color w:val="000000"/>
          <w:szCs w:val="21"/>
        </w:rPr>
        <w:t>（</w:t>
      </w:r>
      <w:r>
        <w:rPr>
          <w:rFonts w:ascii="宋体" w:hAnsi="宋体" w:cs="Courier New"/>
          <w:color w:val="000000"/>
          <w:szCs w:val="21"/>
        </w:rPr>
        <w:t>3</w:t>
      </w:r>
      <w:r>
        <w:rPr>
          <w:rFonts w:hint="eastAsia" w:ascii="宋体" w:hAnsi="宋体" w:cs="Courier New"/>
          <w:color w:val="000000"/>
          <w:szCs w:val="21"/>
        </w:rPr>
        <w:t>）采购文件的澄清和修改（如有）；</w:t>
      </w:r>
    </w:p>
    <w:p>
      <w:pPr>
        <w:spacing w:line="330" w:lineRule="exact"/>
        <w:ind w:firstLine="360"/>
        <w:rPr>
          <w:rFonts w:ascii="宋体" w:hAnsi="宋体" w:cs="Courier New"/>
          <w:color w:val="000000"/>
          <w:szCs w:val="21"/>
        </w:rPr>
      </w:pPr>
      <w:r>
        <w:rPr>
          <w:rFonts w:hint="eastAsia" w:ascii="宋体" w:hAnsi="宋体" w:cs="Courier New"/>
          <w:color w:val="000000"/>
          <w:szCs w:val="21"/>
        </w:rPr>
        <w:t>（</w:t>
      </w:r>
      <w:r>
        <w:rPr>
          <w:rFonts w:ascii="宋体" w:hAnsi="宋体" w:cs="Courier New"/>
          <w:color w:val="000000"/>
          <w:szCs w:val="21"/>
        </w:rPr>
        <w:t>4</w:t>
      </w:r>
      <w:r>
        <w:rPr>
          <w:rFonts w:hint="eastAsia" w:ascii="宋体" w:hAnsi="宋体" w:cs="Courier New"/>
          <w:color w:val="000000"/>
          <w:szCs w:val="21"/>
        </w:rPr>
        <w:t>）投标报价表；</w:t>
      </w:r>
    </w:p>
    <w:p>
      <w:pPr>
        <w:spacing w:line="330" w:lineRule="exact"/>
        <w:ind w:firstLine="360"/>
        <w:rPr>
          <w:rFonts w:ascii="宋体" w:hAnsi="宋体" w:cs="Courier New"/>
          <w:color w:val="000000"/>
          <w:szCs w:val="21"/>
        </w:rPr>
      </w:pPr>
      <w:r>
        <w:rPr>
          <w:rFonts w:hint="eastAsia" w:ascii="宋体" w:hAnsi="宋体" w:cs="Courier New"/>
          <w:color w:val="000000"/>
          <w:szCs w:val="21"/>
        </w:rPr>
        <w:t>（</w:t>
      </w:r>
      <w:r>
        <w:rPr>
          <w:rFonts w:ascii="宋体" w:hAnsi="宋体" w:cs="Courier New"/>
          <w:color w:val="000000"/>
          <w:szCs w:val="21"/>
        </w:rPr>
        <w:t>2</w:t>
      </w:r>
      <w:r>
        <w:rPr>
          <w:rFonts w:hint="eastAsia" w:ascii="宋体" w:hAnsi="宋体" w:cs="Courier New"/>
          <w:color w:val="000000"/>
          <w:szCs w:val="21"/>
        </w:rPr>
        <w:t>）商务、技术偏离表；</w:t>
      </w:r>
    </w:p>
    <w:p>
      <w:pPr>
        <w:spacing w:line="330" w:lineRule="exact"/>
        <w:ind w:firstLine="360"/>
        <w:rPr>
          <w:rFonts w:ascii="宋体" w:hAnsi="宋体" w:cs="Courier New"/>
          <w:color w:val="000000"/>
          <w:szCs w:val="21"/>
        </w:rPr>
      </w:pPr>
      <w:r>
        <w:rPr>
          <w:rFonts w:hint="eastAsia" w:ascii="宋体" w:hAnsi="宋体" w:cs="Courier New"/>
          <w:color w:val="000000"/>
          <w:szCs w:val="21"/>
        </w:rPr>
        <w:t>（</w:t>
      </w:r>
      <w:r>
        <w:rPr>
          <w:rFonts w:ascii="宋体" w:hAnsi="宋体" w:cs="Courier New"/>
          <w:color w:val="000000"/>
          <w:szCs w:val="21"/>
        </w:rPr>
        <w:t>6</w:t>
      </w:r>
      <w:r>
        <w:rPr>
          <w:rFonts w:hint="eastAsia" w:ascii="宋体" w:hAnsi="宋体" w:cs="Courier New"/>
          <w:color w:val="000000"/>
          <w:szCs w:val="21"/>
        </w:rPr>
        <w:t>）中标供应商澄清函（如有）；</w:t>
      </w:r>
    </w:p>
    <w:p>
      <w:pPr>
        <w:spacing w:line="330" w:lineRule="exact"/>
        <w:ind w:firstLine="360"/>
        <w:rPr>
          <w:rFonts w:ascii="宋体" w:hAnsi="宋体" w:cs="Courier New"/>
          <w:color w:val="000000"/>
          <w:szCs w:val="21"/>
        </w:rPr>
      </w:pPr>
      <w:r>
        <w:rPr>
          <w:rFonts w:hint="eastAsia" w:ascii="宋体" w:hAnsi="宋体" w:cs="Courier New"/>
          <w:color w:val="000000"/>
          <w:szCs w:val="21"/>
        </w:rPr>
        <w:t>（</w:t>
      </w:r>
      <w:r>
        <w:rPr>
          <w:rFonts w:ascii="宋体" w:hAnsi="宋体" w:cs="Courier New"/>
          <w:color w:val="000000"/>
          <w:szCs w:val="21"/>
        </w:rPr>
        <w:t>7</w:t>
      </w:r>
      <w:r>
        <w:rPr>
          <w:rFonts w:hint="eastAsia" w:ascii="宋体" w:hAnsi="宋体" w:cs="Courier New"/>
          <w:color w:val="000000"/>
          <w:szCs w:val="21"/>
        </w:rPr>
        <w:t>）其他与本合同相关的资料。</w:t>
      </w:r>
    </w:p>
    <w:p>
      <w:pPr>
        <w:snapToGrid w:val="0"/>
        <w:spacing w:line="330" w:lineRule="exact"/>
        <w:ind w:firstLine="422" w:firstLineChars="200"/>
        <w:rPr>
          <w:rFonts w:ascii="宋体" w:hAnsi="宋体"/>
          <w:color w:val="000000"/>
          <w:szCs w:val="21"/>
        </w:rPr>
      </w:pPr>
      <w:r>
        <w:rPr>
          <w:rFonts w:hint="eastAsia" w:ascii="宋体" w:hAnsi="宋体"/>
          <w:b/>
          <w:color w:val="000000"/>
          <w:szCs w:val="21"/>
        </w:rPr>
        <w:t>第十六条　</w:t>
      </w:r>
      <w:r>
        <w:rPr>
          <w:rFonts w:hint="eastAsia" w:ascii="宋体" w:hAnsi="宋体"/>
          <w:color w:val="000000"/>
          <w:szCs w:val="21"/>
        </w:rPr>
        <w:t>本合同一式伍份，具有同等法律效力，采购代理备案</w:t>
      </w:r>
      <w:r>
        <w:rPr>
          <w:rFonts w:hint="eastAsia" w:ascii="宋体" w:hAnsi="宋体"/>
          <w:color w:val="000000"/>
        </w:rPr>
        <w:t>一份</w:t>
      </w:r>
      <w:r>
        <w:rPr>
          <w:rFonts w:hint="eastAsia" w:ascii="宋体" w:hAnsi="宋体"/>
          <w:color w:val="000000"/>
          <w:szCs w:val="21"/>
        </w:rPr>
        <w:t>、甲乙双方各两份（可根据需要另增加）。</w:t>
      </w:r>
    </w:p>
    <w:p>
      <w:pPr>
        <w:snapToGrid w:val="0"/>
        <w:spacing w:line="330" w:lineRule="exact"/>
        <w:ind w:firstLine="420" w:firstLineChars="200"/>
        <w:rPr>
          <w:rFonts w:ascii="宋体" w:hAnsi="宋体"/>
          <w:color w:val="000000"/>
          <w:szCs w:val="21"/>
        </w:rPr>
      </w:pPr>
      <w:r>
        <w:rPr>
          <w:rFonts w:hint="eastAsia" w:ascii="宋体" w:hAnsi="宋体"/>
          <w:color w:val="000000"/>
          <w:szCs w:val="21"/>
        </w:rPr>
        <w:t>本合同甲乙双方签字盖章后生效，自签订之日起七个工作日内，采购人或采购代理机构应当将合同副本报同级财政部门备案。</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4516" w:type="dxa"/>
            <w:vAlign w:val="center"/>
          </w:tcPr>
          <w:p>
            <w:pPr>
              <w:adjustRightInd w:val="0"/>
              <w:snapToGrid w:val="0"/>
              <w:spacing w:line="330" w:lineRule="exact"/>
              <w:rPr>
                <w:rFonts w:ascii="宋体" w:hAnsi="宋体"/>
                <w:color w:val="000000"/>
                <w:szCs w:val="21"/>
              </w:rPr>
            </w:pPr>
            <w:r>
              <w:rPr>
                <w:rFonts w:hint="eastAsia" w:ascii="宋体" w:hAnsi="宋体"/>
                <w:color w:val="000000"/>
                <w:szCs w:val="21"/>
              </w:rPr>
              <w:t>甲方（采购单位）（章）</w:t>
            </w:r>
            <w:r>
              <w:rPr>
                <w:rFonts w:ascii="宋体" w:hAnsi="宋体"/>
                <w:color w:val="000000"/>
                <w:szCs w:val="21"/>
              </w:rPr>
              <w:t xml:space="preserve">           </w:t>
            </w:r>
          </w:p>
          <w:p>
            <w:pPr>
              <w:adjustRightInd w:val="0"/>
              <w:snapToGrid w:val="0"/>
              <w:spacing w:line="330" w:lineRule="exact"/>
              <w:ind w:firstLine="945" w:firstLineChars="450"/>
              <w:jc w:val="right"/>
              <w:rPr>
                <w:rFonts w:ascii="宋体" w:hAnsi="宋体"/>
                <w:color w:val="000000"/>
                <w:szCs w:val="21"/>
              </w:rPr>
            </w:pP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p>
        </w:tc>
        <w:tc>
          <w:tcPr>
            <w:tcW w:w="4952" w:type="dxa"/>
            <w:vAlign w:val="center"/>
          </w:tcPr>
          <w:p>
            <w:pPr>
              <w:adjustRightInd w:val="0"/>
              <w:snapToGrid w:val="0"/>
              <w:spacing w:line="330" w:lineRule="exact"/>
              <w:rPr>
                <w:rFonts w:ascii="宋体" w:hAnsi="宋体"/>
                <w:color w:val="000000"/>
                <w:szCs w:val="21"/>
              </w:rPr>
            </w:pPr>
            <w:r>
              <w:rPr>
                <w:rFonts w:hint="eastAsia" w:ascii="宋体" w:hAnsi="宋体"/>
                <w:color w:val="000000"/>
                <w:szCs w:val="21"/>
              </w:rPr>
              <w:t>乙方（供应商）（章）</w:t>
            </w:r>
            <w:r>
              <w:rPr>
                <w:rFonts w:ascii="宋体" w:hAnsi="宋体"/>
                <w:color w:val="000000"/>
                <w:szCs w:val="21"/>
              </w:rPr>
              <w:t xml:space="preserve">              </w:t>
            </w:r>
          </w:p>
          <w:p>
            <w:pPr>
              <w:adjustRightInd w:val="0"/>
              <w:snapToGrid w:val="0"/>
              <w:spacing w:line="330" w:lineRule="exact"/>
              <w:jc w:val="right"/>
              <w:rPr>
                <w:rFonts w:ascii="宋体" w:hAnsi="宋体"/>
                <w:color w:val="000000"/>
                <w:szCs w:val="21"/>
              </w:rPr>
            </w:pPr>
            <w:r>
              <w:rPr>
                <w:rFonts w:ascii="宋体" w:hAnsi="宋体"/>
                <w:color w:val="000000"/>
                <w:szCs w:val="21"/>
              </w:rPr>
              <w:t xml:space="preserve"> </w:t>
            </w: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pPr>
              <w:adjustRightInd w:val="0"/>
              <w:snapToGrid w:val="0"/>
              <w:spacing w:line="330" w:lineRule="exact"/>
              <w:rPr>
                <w:rFonts w:ascii="宋体" w:hAnsi="宋体"/>
                <w:color w:val="000000"/>
                <w:szCs w:val="21"/>
              </w:rPr>
            </w:pPr>
            <w:r>
              <w:rPr>
                <w:rFonts w:hint="eastAsia" w:ascii="宋体" w:hAnsi="宋体"/>
                <w:color w:val="000000"/>
                <w:szCs w:val="21"/>
              </w:rPr>
              <w:t>单位地址：</w:t>
            </w:r>
          </w:p>
        </w:tc>
        <w:tc>
          <w:tcPr>
            <w:tcW w:w="4952" w:type="dxa"/>
            <w:vAlign w:val="center"/>
          </w:tcPr>
          <w:p>
            <w:pPr>
              <w:adjustRightInd w:val="0"/>
              <w:snapToGrid w:val="0"/>
              <w:spacing w:line="330" w:lineRule="exact"/>
              <w:rPr>
                <w:rFonts w:ascii="宋体" w:hAnsi="宋体"/>
                <w:color w:val="000000"/>
                <w:szCs w:val="21"/>
              </w:rPr>
            </w:pPr>
            <w:r>
              <w:rPr>
                <w:rFonts w:hint="eastAsia" w:ascii="宋体" w:hAnsi="宋体"/>
                <w:color w:val="000000"/>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vAlign w:val="center"/>
          </w:tcPr>
          <w:p>
            <w:pPr>
              <w:adjustRightInd w:val="0"/>
              <w:snapToGrid w:val="0"/>
              <w:spacing w:line="330" w:lineRule="exact"/>
              <w:rPr>
                <w:rFonts w:ascii="宋体" w:hAnsi="宋体"/>
                <w:color w:val="000000"/>
                <w:szCs w:val="21"/>
              </w:rPr>
            </w:pPr>
            <w:r>
              <w:rPr>
                <w:rFonts w:hint="eastAsia" w:ascii="宋体" w:hAnsi="宋体"/>
                <w:color w:val="000000"/>
                <w:szCs w:val="21"/>
              </w:rPr>
              <w:t>法定代表人：</w:t>
            </w:r>
          </w:p>
        </w:tc>
        <w:tc>
          <w:tcPr>
            <w:tcW w:w="4952" w:type="dxa"/>
            <w:vAlign w:val="center"/>
          </w:tcPr>
          <w:p>
            <w:pPr>
              <w:adjustRightInd w:val="0"/>
              <w:snapToGrid w:val="0"/>
              <w:spacing w:line="330" w:lineRule="exact"/>
              <w:rPr>
                <w:rFonts w:ascii="宋体" w:hAnsi="宋体"/>
                <w:color w:val="000000"/>
                <w:szCs w:val="21"/>
              </w:rPr>
            </w:pPr>
            <w:r>
              <w:rPr>
                <w:rFonts w:hint="eastAsia" w:ascii="宋体" w:hAnsi="宋体"/>
                <w:color w:val="000000"/>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vAlign w:val="center"/>
          </w:tcPr>
          <w:p>
            <w:pPr>
              <w:adjustRightInd w:val="0"/>
              <w:snapToGrid w:val="0"/>
              <w:spacing w:line="330" w:lineRule="exact"/>
              <w:rPr>
                <w:rFonts w:ascii="宋体" w:hAnsi="宋体"/>
                <w:color w:val="000000"/>
                <w:szCs w:val="21"/>
              </w:rPr>
            </w:pPr>
            <w:r>
              <w:rPr>
                <w:rFonts w:hint="eastAsia" w:ascii="宋体" w:hAnsi="宋体"/>
                <w:color w:val="000000"/>
                <w:szCs w:val="21"/>
              </w:rPr>
              <w:t>委托代理人：</w:t>
            </w:r>
          </w:p>
        </w:tc>
        <w:tc>
          <w:tcPr>
            <w:tcW w:w="4952" w:type="dxa"/>
            <w:vAlign w:val="center"/>
          </w:tcPr>
          <w:p>
            <w:pPr>
              <w:adjustRightInd w:val="0"/>
              <w:snapToGrid w:val="0"/>
              <w:spacing w:line="330" w:lineRule="exact"/>
              <w:rPr>
                <w:rFonts w:ascii="宋体" w:hAnsi="宋体"/>
                <w:color w:val="000000"/>
                <w:szCs w:val="21"/>
              </w:rPr>
            </w:pPr>
            <w:r>
              <w:rPr>
                <w:rFonts w:hint="eastAsia" w:ascii="宋体" w:hAnsi="宋体"/>
                <w:color w:val="000000"/>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pPr>
              <w:adjustRightInd w:val="0"/>
              <w:snapToGrid w:val="0"/>
              <w:spacing w:line="330" w:lineRule="exact"/>
              <w:rPr>
                <w:rFonts w:ascii="宋体" w:hAnsi="宋体"/>
                <w:color w:val="000000"/>
                <w:szCs w:val="21"/>
              </w:rPr>
            </w:pPr>
            <w:r>
              <w:rPr>
                <w:rFonts w:hint="eastAsia" w:ascii="宋体" w:hAnsi="宋体"/>
                <w:color w:val="000000"/>
                <w:szCs w:val="21"/>
              </w:rPr>
              <w:t>电话：</w:t>
            </w:r>
          </w:p>
        </w:tc>
        <w:tc>
          <w:tcPr>
            <w:tcW w:w="4952" w:type="dxa"/>
            <w:vAlign w:val="center"/>
          </w:tcPr>
          <w:p>
            <w:pPr>
              <w:adjustRightInd w:val="0"/>
              <w:snapToGrid w:val="0"/>
              <w:spacing w:line="330" w:lineRule="exact"/>
              <w:rPr>
                <w:rFonts w:ascii="宋体" w:hAnsi="宋体"/>
                <w:color w:val="000000"/>
                <w:szCs w:val="21"/>
              </w:rPr>
            </w:pPr>
            <w:r>
              <w:rPr>
                <w:rFonts w:hint="eastAsia" w:ascii="宋体" w:hAnsi="宋体"/>
                <w:color w:val="00000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pPr>
              <w:adjustRightInd w:val="0"/>
              <w:snapToGrid w:val="0"/>
              <w:spacing w:line="330" w:lineRule="exact"/>
              <w:rPr>
                <w:rFonts w:ascii="宋体" w:hAnsi="宋体"/>
                <w:color w:val="000000"/>
                <w:szCs w:val="21"/>
              </w:rPr>
            </w:pPr>
            <w:r>
              <w:rPr>
                <w:rFonts w:hint="eastAsia" w:ascii="宋体" w:hAnsi="宋体"/>
                <w:color w:val="000000"/>
                <w:szCs w:val="21"/>
              </w:rPr>
              <w:t>电子邮箱：</w:t>
            </w:r>
          </w:p>
        </w:tc>
        <w:tc>
          <w:tcPr>
            <w:tcW w:w="4952" w:type="dxa"/>
            <w:vAlign w:val="center"/>
          </w:tcPr>
          <w:p>
            <w:pPr>
              <w:adjustRightInd w:val="0"/>
              <w:snapToGrid w:val="0"/>
              <w:spacing w:line="330" w:lineRule="exact"/>
              <w:rPr>
                <w:rFonts w:ascii="宋体" w:hAnsi="宋体"/>
                <w:color w:val="000000"/>
                <w:szCs w:val="21"/>
              </w:rPr>
            </w:pPr>
            <w:r>
              <w:rPr>
                <w:rFonts w:hint="eastAsia" w:ascii="宋体" w:hAnsi="宋体"/>
                <w:color w:val="000000"/>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adjustRightInd w:val="0"/>
              <w:snapToGrid w:val="0"/>
              <w:spacing w:line="330" w:lineRule="exact"/>
              <w:rPr>
                <w:rFonts w:ascii="宋体" w:hAnsi="宋体"/>
                <w:color w:val="000000"/>
                <w:szCs w:val="21"/>
              </w:rPr>
            </w:pPr>
            <w:r>
              <w:rPr>
                <w:rFonts w:hint="eastAsia" w:ascii="宋体" w:hAnsi="宋体"/>
                <w:color w:val="000000"/>
                <w:szCs w:val="21"/>
              </w:rPr>
              <w:t>开户银行：</w:t>
            </w:r>
          </w:p>
        </w:tc>
        <w:tc>
          <w:tcPr>
            <w:tcW w:w="4952" w:type="dxa"/>
            <w:vAlign w:val="center"/>
          </w:tcPr>
          <w:p>
            <w:pPr>
              <w:adjustRightInd w:val="0"/>
              <w:snapToGrid w:val="0"/>
              <w:spacing w:line="330" w:lineRule="exact"/>
              <w:rPr>
                <w:rFonts w:ascii="宋体" w:hAnsi="宋体"/>
                <w:color w:val="000000"/>
                <w:szCs w:val="21"/>
              </w:rPr>
            </w:pPr>
            <w:r>
              <w:rPr>
                <w:rFonts w:hint="eastAsia" w:ascii="宋体" w:hAnsi="宋体"/>
                <w:color w:val="000000"/>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pPr>
              <w:adjustRightInd w:val="0"/>
              <w:snapToGrid w:val="0"/>
              <w:spacing w:line="330" w:lineRule="exact"/>
              <w:rPr>
                <w:rFonts w:ascii="宋体" w:hAnsi="宋体"/>
                <w:color w:val="000000"/>
                <w:szCs w:val="21"/>
              </w:rPr>
            </w:pPr>
            <w:r>
              <w:rPr>
                <w:rFonts w:hint="eastAsia" w:ascii="宋体" w:hAnsi="宋体"/>
                <w:color w:val="000000"/>
                <w:szCs w:val="21"/>
              </w:rPr>
              <w:t>账号：</w:t>
            </w:r>
          </w:p>
        </w:tc>
        <w:tc>
          <w:tcPr>
            <w:tcW w:w="4952" w:type="dxa"/>
            <w:vAlign w:val="center"/>
          </w:tcPr>
          <w:p>
            <w:pPr>
              <w:adjustRightInd w:val="0"/>
              <w:snapToGrid w:val="0"/>
              <w:spacing w:line="330" w:lineRule="exact"/>
              <w:rPr>
                <w:rFonts w:ascii="宋体" w:hAnsi="宋体"/>
                <w:color w:val="000000"/>
                <w:szCs w:val="21"/>
              </w:rPr>
            </w:pPr>
            <w:r>
              <w:rPr>
                <w:rFonts w:hint="eastAsia" w:ascii="宋体" w:hAnsi="宋体"/>
                <w:color w:val="000000"/>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pPr>
              <w:adjustRightInd w:val="0"/>
              <w:snapToGrid w:val="0"/>
              <w:spacing w:line="330" w:lineRule="exact"/>
              <w:rPr>
                <w:rFonts w:ascii="宋体" w:hAnsi="宋体"/>
                <w:color w:val="000000"/>
                <w:szCs w:val="21"/>
              </w:rPr>
            </w:pPr>
            <w:r>
              <w:rPr>
                <w:rFonts w:hint="eastAsia" w:ascii="宋体" w:hAnsi="宋体"/>
                <w:color w:val="000000"/>
                <w:szCs w:val="21"/>
              </w:rPr>
              <w:t>邮政编码：</w:t>
            </w:r>
          </w:p>
        </w:tc>
        <w:tc>
          <w:tcPr>
            <w:tcW w:w="4952" w:type="dxa"/>
            <w:vAlign w:val="center"/>
          </w:tcPr>
          <w:p>
            <w:pPr>
              <w:adjustRightInd w:val="0"/>
              <w:snapToGrid w:val="0"/>
              <w:spacing w:line="330" w:lineRule="exact"/>
              <w:rPr>
                <w:rFonts w:ascii="宋体" w:hAnsi="宋体"/>
                <w:b/>
                <w:color w:val="000000"/>
                <w:szCs w:val="21"/>
              </w:rPr>
            </w:pPr>
            <w:r>
              <w:rPr>
                <w:rFonts w:hint="eastAsia" w:ascii="宋体" w:hAnsi="宋体"/>
                <w:color w:val="000000"/>
                <w:szCs w:val="21"/>
              </w:rPr>
              <w:t>邮政编码：</w:t>
            </w:r>
          </w:p>
        </w:tc>
      </w:tr>
    </w:tbl>
    <w:p>
      <w:pPr>
        <w:spacing w:line="320" w:lineRule="exact"/>
        <w:rPr>
          <w:rFonts w:ascii="宋体" w:cs="Courier New"/>
          <w:szCs w:val="21"/>
        </w:rPr>
      </w:pPr>
    </w:p>
    <w:bookmarkEnd w:id="84"/>
    <w:bookmarkEnd w:id="85"/>
    <w:p>
      <w:pPr>
        <w:widowControl/>
        <w:spacing w:line="360" w:lineRule="auto"/>
        <w:jc w:val="center"/>
        <w:rPr>
          <w:b/>
          <w:sz w:val="36"/>
          <w:szCs w:val="36"/>
        </w:rPr>
      </w:pPr>
      <w:r>
        <w:rPr>
          <w:rFonts w:hint="eastAsia"/>
          <w:b/>
          <w:sz w:val="36"/>
          <w:szCs w:val="36"/>
        </w:rPr>
        <w:t>第六章评分标准</w:t>
      </w:r>
    </w:p>
    <w:p>
      <w:pPr>
        <w:spacing w:line="400" w:lineRule="exact"/>
        <w:ind w:firstLine="211" w:firstLineChars="100"/>
        <w:outlineLvl w:val="0"/>
        <w:rPr>
          <w:rFonts w:ascii="宋体" w:hAnsi="宋体" w:cs="宋体"/>
          <w:b/>
          <w:bCs/>
          <w:szCs w:val="21"/>
          <w:shd w:val="clear" w:color="auto" w:fill="FFFFFF"/>
        </w:rPr>
      </w:pPr>
      <w:r>
        <w:rPr>
          <w:rFonts w:hint="eastAsia" w:ascii="宋体" w:hAnsi="宋体" w:cs="宋体"/>
          <w:b/>
          <w:bCs/>
          <w:szCs w:val="21"/>
          <w:shd w:val="clear" w:color="auto" w:fill="FFFFFF"/>
        </w:rPr>
        <w:t>一、评审原则</w:t>
      </w:r>
    </w:p>
    <w:p>
      <w:pPr>
        <w:spacing w:line="360" w:lineRule="auto"/>
        <w:ind w:firstLine="420"/>
        <w:outlineLvl w:val="0"/>
        <w:rPr>
          <w:rFonts w:ascii="宋体" w:hAnsi="宋体" w:cs="Courier New"/>
          <w:szCs w:val="21"/>
        </w:rPr>
      </w:pPr>
      <w:bookmarkStart w:id="88" w:name="_Toc514916277"/>
      <w:r>
        <w:rPr>
          <w:rFonts w:hint="eastAsia" w:ascii="宋体" w:hAnsi="宋体" w:cs="Courier New"/>
          <w:szCs w:val="21"/>
        </w:rPr>
        <w:t>㈠磋商小组构成：本竞争性磋商采购项目由采购人代表和评审专家共3人以上（含3人）的单数组成，其中评审专家的人数不少于磋商小组成员总数的三分之二。</w:t>
      </w:r>
    </w:p>
    <w:p>
      <w:pPr>
        <w:spacing w:line="360" w:lineRule="auto"/>
        <w:ind w:firstLine="420"/>
        <w:outlineLvl w:val="0"/>
        <w:rPr>
          <w:rFonts w:ascii="宋体" w:hAnsi="宋体" w:cs="Courier New"/>
          <w:szCs w:val="21"/>
        </w:rPr>
      </w:pPr>
      <w:r>
        <w:rPr>
          <w:rFonts w:hint="eastAsia" w:ascii="宋体" w:hAnsi="宋体" w:cs="Courier New"/>
          <w:szCs w:val="21"/>
        </w:rPr>
        <w:t>㈡评标依据：评委将以竞争性磋商文件为评标依据，对响应供应商的竞标报价、方案、信誉业绩、售后服务等方面内容按百分制打分。</w:t>
      </w:r>
    </w:p>
    <w:p>
      <w:pPr>
        <w:spacing w:line="360" w:lineRule="auto"/>
        <w:ind w:firstLine="420"/>
        <w:outlineLvl w:val="0"/>
        <w:rPr>
          <w:rFonts w:ascii="宋体" w:hAnsi="宋体" w:cs="Courier New"/>
          <w:b/>
          <w:bCs/>
          <w:szCs w:val="21"/>
          <w:shd w:val="clear" w:color="auto" w:fill="FFFFFF"/>
        </w:rPr>
      </w:pPr>
      <w:r>
        <w:rPr>
          <w:rFonts w:hint="eastAsia" w:ascii="宋体" w:hAnsi="宋体" w:cs="Courier New"/>
          <w:b/>
          <w:bCs/>
          <w:szCs w:val="21"/>
          <w:shd w:val="clear" w:color="auto" w:fill="FFFFFF"/>
        </w:rPr>
        <w:t>二、评定方法</w:t>
      </w:r>
      <w:bookmarkEnd w:id="88"/>
    </w:p>
    <w:p>
      <w:pPr>
        <w:spacing w:line="360" w:lineRule="auto"/>
        <w:ind w:firstLine="420"/>
        <w:outlineLvl w:val="0"/>
        <w:rPr>
          <w:rFonts w:ascii="宋体" w:hAnsi="宋体" w:cs="Courier New"/>
          <w:b/>
          <w:bCs/>
          <w:szCs w:val="21"/>
          <w:shd w:val="clear" w:color="auto" w:fill="FFFFFF"/>
        </w:rPr>
      </w:pPr>
      <w:bookmarkStart w:id="89" w:name="_Toc514916278"/>
      <w:r>
        <w:rPr>
          <w:rFonts w:hint="eastAsia" w:ascii="宋体" w:hAnsi="宋体" w:cs="Courier New"/>
          <w:b/>
          <w:bCs/>
          <w:szCs w:val="21"/>
          <w:shd w:val="clear" w:color="auto" w:fill="FFFFFF"/>
        </w:rPr>
        <w:t>㈠对进入详评的，采用百分制综合评分法。</w:t>
      </w:r>
      <w:bookmarkEnd w:id="89"/>
    </w:p>
    <w:p>
      <w:pPr>
        <w:spacing w:line="360" w:lineRule="auto"/>
        <w:ind w:firstLine="420"/>
        <w:outlineLvl w:val="0"/>
        <w:rPr>
          <w:rFonts w:ascii="宋体" w:hAnsi="宋体" w:cs="Courier New"/>
          <w:b/>
          <w:szCs w:val="21"/>
          <w:shd w:val="clear" w:color="auto" w:fill="FFFFFF"/>
        </w:rPr>
      </w:pPr>
      <w:bookmarkStart w:id="90" w:name="_Toc514916279"/>
      <w:r>
        <w:rPr>
          <w:rFonts w:hint="eastAsia" w:ascii="宋体" w:hAnsi="宋体" w:cs="Courier New"/>
          <w:b/>
          <w:szCs w:val="21"/>
          <w:shd w:val="clear" w:color="auto" w:fill="FFFFFF"/>
        </w:rPr>
        <w:t>㈡计分办法：按四舍五入取至百分位。</w:t>
      </w:r>
      <w:bookmarkEnd w:id="90"/>
    </w:p>
    <w:p>
      <w:pPr>
        <w:spacing w:line="440" w:lineRule="exact"/>
        <w:ind w:left="20" w:firstLine="405" w:firstLineChars="192"/>
        <w:outlineLvl w:val="0"/>
        <w:rPr>
          <w:rFonts w:ascii="宋体" w:hAnsi="宋体" w:cs="Courier New"/>
          <w:b/>
          <w:szCs w:val="21"/>
          <w:shd w:val="clear" w:color="auto" w:fill="FFFFFF"/>
        </w:rPr>
      </w:pPr>
      <w:r>
        <w:rPr>
          <w:rFonts w:hint="eastAsia" w:ascii="宋体" w:hAnsi="宋体" w:cs="Courier New"/>
          <w:b/>
          <w:szCs w:val="21"/>
          <w:shd w:val="clear" w:color="auto" w:fill="FFFFFF"/>
        </w:rPr>
        <w:t>1、价格分……………………………………………………………………………………………20分</w:t>
      </w:r>
    </w:p>
    <w:p>
      <w:pPr>
        <w:spacing w:line="400" w:lineRule="exact"/>
        <w:ind w:firstLine="420" w:firstLineChars="200"/>
        <w:rPr>
          <w:rFonts w:ascii="宋体" w:hAnsi="宋体" w:cs="Courier New"/>
          <w:szCs w:val="21"/>
        </w:rPr>
      </w:pPr>
      <w:r>
        <w:rPr>
          <w:rFonts w:hint="eastAsia" w:ascii="宋体" w:hAnsi="宋体" w:cs="Courier New"/>
          <w:szCs w:val="21"/>
        </w:rPr>
        <w:t>（1）</w:t>
      </w:r>
      <w:r>
        <w:rPr>
          <w:rFonts w:ascii="宋体" w:hAnsi="宋体" w:cs="Courier New"/>
          <w:szCs w:val="21"/>
        </w:rPr>
        <w:t>以进入评标的最低</w:t>
      </w:r>
      <w:r>
        <w:rPr>
          <w:rFonts w:hint="eastAsia" w:ascii="宋体" w:hAnsi="宋体" w:cs="Courier New"/>
          <w:szCs w:val="21"/>
        </w:rPr>
        <w:t>评标价</w:t>
      </w:r>
      <w:r>
        <w:rPr>
          <w:rFonts w:ascii="宋体" w:hAnsi="宋体" w:cs="Courier New"/>
          <w:szCs w:val="21"/>
        </w:rPr>
        <w:t>为</w:t>
      </w:r>
      <w:r>
        <w:rPr>
          <w:rFonts w:hint="eastAsia" w:ascii="宋体" w:hAnsi="宋体" w:cs="Courier New"/>
          <w:szCs w:val="21"/>
        </w:rPr>
        <w:t>2</w:t>
      </w:r>
      <w:r>
        <w:rPr>
          <w:rFonts w:ascii="宋体" w:hAnsi="宋体" w:cs="Courier New"/>
          <w:szCs w:val="21"/>
        </w:rPr>
        <w:t>0分。</w:t>
      </w:r>
    </w:p>
    <w:p>
      <w:pPr>
        <w:spacing w:line="400" w:lineRule="exact"/>
        <w:ind w:firstLine="420" w:firstLineChars="200"/>
        <w:rPr>
          <w:rFonts w:ascii="宋体" w:hAnsi="宋体" w:cs="Courier New"/>
          <w:szCs w:val="21"/>
        </w:rPr>
      </w:pPr>
      <w:r>
        <w:rPr>
          <w:rFonts w:hint="eastAsia" w:ascii="宋体" w:hAnsi="宋体" w:cs="Courier New"/>
          <w:szCs w:val="21"/>
        </w:rPr>
        <w:t>（2）</w:t>
      </w:r>
      <w:r>
        <w:rPr>
          <w:rFonts w:ascii="宋体" w:hAnsi="宋体" w:cs="Courier New"/>
          <w:szCs w:val="21"/>
        </w:rPr>
        <w:t>按照</w:t>
      </w:r>
      <w:r>
        <w:rPr>
          <w:rFonts w:hint="eastAsia" w:ascii="宋体" w:hAnsi="宋体" w:cs="Courier New"/>
          <w:szCs w:val="21"/>
        </w:rPr>
        <w:t>财政部财库〔2020〕46号关于印发《政府采购促进中小企业发展管理办法》</w:t>
      </w:r>
      <w:r>
        <w:rPr>
          <w:rFonts w:ascii="宋体" w:hAnsi="宋体" w:cs="Courier New"/>
          <w:szCs w:val="21"/>
        </w:rPr>
        <w:t>，投标单位认定为小型和微型企业的（以投标文件提供的符合规定的有关证明材料为准），并提供本企业制造的货物，由本企业承担工程、提供服务，或者提供其他小型、微型企业制造的货物的（不包括使用大型企业注册商标的货物），对投标价给予</w:t>
      </w:r>
      <w:r>
        <w:rPr>
          <w:rFonts w:hint="eastAsia" w:ascii="宋体" w:hAnsi="宋体" w:cs="Courier New"/>
          <w:szCs w:val="21"/>
        </w:rPr>
        <w:t>10</w:t>
      </w:r>
      <w:r>
        <w:rPr>
          <w:rFonts w:ascii="宋体" w:hAnsi="宋体" w:cs="Courier New"/>
          <w:szCs w:val="21"/>
        </w:rPr>
        <w:t>%的扣除，扣除后的价格为评标报价，即评标报价=投标价×（1-</w:t>
      </w:r>
      <w:r>
        <w:rPr>
          <w:rFonts w:hint="eastAsia" w:ascii="宋体" w:hAnsi="宋体" w:cs="Courier New"/>
          <w:szCs w:val="21"/>
        </w:rPr>
        <w:t>10</w:t>
      </w:r>
      <w:r>
        <w:rPr>
          <w:rFonts w:ascii="宋体" w:hAnsi="宋体" w:cs="Courier New"/>
          <w:szCs w:val="21"/>
        </w:rPr>
        <w:t>%）；大中型企业与小型、微型企业组成联合体投标，其中小型、微型企业的协议合同金额占到联合体协议合同总金额30%以上的，联合体投标价给予2%的扣除，扣除后的价格为评标价，即评标报价=投标价×（1-2%）；除上述情况外，</w:t>
      </w:r>
      <w:r>
        <w:rPr>
          <w:rFonts w:ascii="宋体" w:hAnsi="宋体" w:cs="Courier New"/>
          <w:b/>
          <w:szCs w:val="21"/>
        </w:rPr>
        <w:t>评标报价=投标价</w:t>
      </w:r>
      <w:r>
        <w:rPr>
          <w:rFonts w:ascii="宋体" w:hAnsi="宋体" w:cs="Courier New"/>
          <w:szCs w:val="21"/>
        </w:rPr>
        <w:t>。</w:t>
      </w:r>
    </w:p>
    <w:p>
      <w:pPr>
        <w:spacing w:line="400" w:lineRule="exact"/>
        <w:ind w:firstLine="420" w:firstLineChars="200"/>
        <w:rPr>
          <w:rFonts w:ascii="宋体" w:hAnsi="宋体"/>
          <w:szCs w:val="21"/>
        </w:rPr>
      </w:pPr>
      <w:r>
        <w:rPr>
          <w:rFonts w:ascii="宋体" w:hAnsi="宋体"/>
          <w:szCs w:val="21"/>
        </w:rPr>
        <w:t>竞标人所提供的产品为监狱企业生产的，产品的生产厂家或竞标人需符合《关于政府采购支持监狱企业发展有关问题的通知》（财库〔2014〕68号）方可认定为监狱企业，在政府采购活动中，监狱企业视同小型、微型企业。监狱企业参加政府采购活动时，应当提供由省级以上监狱管理局、戒毒管理局（含新疆生产建设兵团）出具的属于监狱企业的证明文件；</w:t>
      </w:r>
    </w:p>
    <w:p>
      <w:pPr>
        <w:spacing w:line="390" w:lineRule="exact"/>
        <w:ind w:firstLine="420" w:firstLineChars="200"/>
        <w:rPr>
          <w:rFonts w:ascii="宋体" w:hAnsi="宋体" w:cs="Courier New"/>
          <w:szCs w:val="21"/>
        </w:rPr>
      </w:pPr>
      <w:r>
        <w:rPr>
          <w:rFonts w:ascii="宋体" w:hAnsi="宋体" w:cs="Courier New"/>
          <w:szCs w:val="21"/>
        </w:rPr>
        <w:t>竞标人所提供的产品为残疾人福利性单位生产的，竞标人所提供的产品生产厂家需符合《三部门联合发布关于促进残疾人就业政府采购政策的通知》（财库〔2017〕141号）方可认定为监残疾人福利性单位，在政府采购活动中，残疾人福利性单位视同小型、微型企业。残疾人福利性单位参加政府采购活动时，应当提供《残疾人福利性单位声明函》</w:t>
      </w:r>
      <w:r>
        <w:rPr>
          <w:rFonts w:hint="eastAsia" w:ascii="宋体" w:hAnsi="宋体" w:cs="Courier New"/>
          <w:szCs w:val="21"/>
        </w:rPr>
        <w:t>。</w:t>
      </w:r>
    </w:p>
    <w:p>
      <w:pPr>
        <w:spacing w:line="400" w:lineRule="exact"/>
        <w:ind w:left="422"/>
        <w:rPr>
          <w:rFonts w:ascii="宋体" w:hAnsi="宋体" w:cs="宋体"/>
          <w:szCs w:val="20"/>
        </w:rPr>
      </w:pPr>
      <w:r>
        <w:rPr>
          <w:rFonts w:hint="eastAsia" w:ascii="宋体" w:hAnsi="宋体"/>
          <w:b/>
          <w:szCs w:val="20"/>
        </w:rPr>
        <w:t>（3）</w:t>
      </w:r>
      <w:r>
        <w:rPr>
          <w:rFonts w:ascii="宋体" w:hAnsi="宋体"/>
          <w:b/>
          <w:szCs w:val="20"/>
        </w:rPr>
        <w:t>评标委员会认为竞标人的报价明显低于其他通过符合性审查竞标人的报价，有可能影响产品质量或者不能诚信履约的，应当要求其在评标现场合理的时间内提供书面说明，必要时提交相关证明材料；竞标人不能证明其报价合理性的，评标委员会应当将其作为无效投标处理。</w:t>
      </w:r>
    </w:p>
    <w:p>
      <w:pPr>
        <w:suppressAutoHyphens/>
        <w:spacing w:line="390" w:lineRule="exact"/>
        <w:ind w:firstLine="2951" w:firstLineChars="1400"/>
        <w:rPr>
          <w:rFonts w:ascii="宋体" w:hAnsi="宋体"/>
          <w:b/>
          <w:kern w:val="1"/>
          <w:szCs w:val="21"/>
          <w:lang w:eastAsia="ar-SA"/>
        </w:rPr>
      </w:pPr>
      <w:r>
        <w:rPr>
          <w:rFonts w:hint="eastAsia" w:ascii="宋体" w:hAnsi="宋体"/>
          <w:b/>
          <w:kern w:val="1"/>
          <w:szCs w:val="21"/>
          <w:lang w:eastAsia="ar-SA"/>
        </w:rPr>
        <w:t>竞标人最低评标报价金额（元）</w:t>
      </w:r>
    </w:p>
    <w:p>
      <w:pPr>
        <w:suppressAutoHyphens/>
        <w:spacing w:line="390" w:lineRule="exact"/>
        <w:ind w:firstLine="315"/>
        <w:rPr>
          <w:rFonts w:ascii="宋体" w:hAnsi="宋体"/>
          <w:b/>
          <w:kern w:val="1"/>
          <w:szCs w:val="21"/>
          <w:shd w:val="clear" w:color="auto" w:fill="FFFF00"/>
          <w:lang w:eastAsia="ar-SA"/>
        </w:rPr>
      </w:pPr>
      <w:r>
        <mc:AlternateContent>
          <mc:Choice Requires="wps">
            <w:drawing>
              <wp:anchor distT="0" distB="0" distL="114300" distR="114300" simplePos="0" relativeHeight="251659264" behindDoc="0" locked="0" layoutInCell="1" allowOverlap="1">
                <wp:simplePos x="0" y="0"/>
                <wp:positionH relativeFrom="column">
                  <wp:posOffset>1728470</wp:posOffset>
                </wp:positionH>
                <wp:positionV relativeFrom="paragraph">
                  <wp:posOffset>156845</wp:posOffset>
                </wp:positionV>
                <wp:extent cx="1896110" cy="0"/>
                <wp:effectExtent l="0" t="0" r="2794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896110" cy="0"/>
                        </a:xfrm>
                        <a:prstGeom prst="line">
                          <a:avLst/>
                        </a:prstGeom>
                        <a:noFill/>
                        <a:ln w="9360">
                          <a:solidFill>
                            <a:srgbClr val="000000"/>
                          </a:solidFill>
                          <a:round/>
                        </a:ln>
                      </wps:spPr>
                      <wps:bodyPr/>
                    </wps:wsp>
                  </a:graphicData>
                </a:graphic>
              </wp:anchor>
            </w:drawing>
          </mc:Choice>
          <mc:Fallback>
            <w:pict>
              <v:line id="_x0000_s1026" o:spid="_x0000_s1026" o:spt="20" style="position:absolute;left:0pt;margin-left:136.1pt;margin-top:12.35pt;height:0pt;width:149.3pt;z-index:251659264;mso-width-relative:page;mso-height-relative:page;" filled="f" stroked="t" coordsize="21600,21600" o:gfxdata="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Go9VT1wAAAAkB&#10;AAAPAAAAAAAAAAEAIAAAACIAAABkcnMvZG93bnJldi54bWxQSwECFAAUAAAACACHTuJAdL6QFuMB&#10;AACqAwAADgAAAAAAAAABACAAAAAmAQAAZHJzL2Uyb0RvYy54bWxQSwUGAAAAAAYABgBZAQAAewUA&#10;AAAA&#10;">
                <v:fill on="f" focussize="0,0"/>
                <v:stroke weight="0.737007874015748pt" color="#000000" joinstyle="round"/>
                <v:imagedata o:title=""/>
                <o:lock v:ext="edit" aspectratio="f"/>
              </v:line>
            </w:pict>
          </mc:Fallback>
        </mc:AlternateContent>
      </w:r>
      <w:r>
        <w:rPr>
          <w:rFonts w:hint="eastAsia" w:ascii="宋体" w:hAnsi="宋体"/>
          <w:b/>
          <w:kern w:val="1"/>
          <w:szCs w:val="21"/>
        </w:rPr>
        <w:t>（4）</w:t>
      </w:r>
      <w:r>
        <w:rPr>
          <w:rFonts w:hint="eastAsia" w:ascii="宋体" w:hAnsi="宋体"/>
          <w:b/>
          <w:kern w:val="1"/>
          <w:szCs w:val="21"/>
          <w:lang w:eastAsia="ar-SA"/>
        </w:rPr>
        <w:t>某竞标人价格分 =                              ×</w:t>
      </w:r>
      <w:r>
        <w:rPr>
          <w:rFonts w:hint="eastAsia" w:ascii="宋体" w:hAnsi="宋体"/>
          <w:b/>
          <w:bCs/>
          <w:kern w:val="1"/>
          <w:szCs w:val="21"/>
        </w:rPr>
        <w:t>2</w:t>
      </w:r>
      <w:r>
        <w:rPr>
          <w:rFonts w:ascii="宋体" w:hAnsi="宋体"/>
          <w:b/>
          <w:bCs/>
          <w:kern w:val="1"/>
          <w:szCs w:val="21"/>
        </w:rPr>
        <w:t>0</w:t>
      </w:r>
      <w:r>
        <w:rPr>
          <w:rFonts w:hint="eastAsia" w:ascii="宋体" w:hAnsi="宋体"/>
          <w:b/>
          <w:bCs/>
          <w:kern w:val="1"/>
          <w:szCs w:val="21"/>
          <w:lang w:eastAsia="ar-SA"/>
        </w:rPr>
        <w:t>分</w:t>
      </w:r>
    </w:p>
    <w:p>
      <w:pPr>
        <w:tabs>
          <w:tab w:val="left" w:pos="6172"/>
        </w:tabs>
        <w:spacing w:line="390" w:lineRule="exact"/>
        <w:ind w:left="412" w:hanging="206"/>
        <w:rPr>
          <w:rFonts w:ascii="宋体" w:hAnsi="宋体"/>
          <w:b/>
          <w:szCs w:val="21"/>
        </w:rPr>
      </w:pPr>
      <w:r>
        <w:rPr>
          <w:rFonts w:hint="eastAsia" w:ascii="宋体" w:hAnsi="宋体"/>
          <w:b/>
          <w:szCs w:val="21"/>
        </w:rPr>
        <w:t xml:space="preserve">                           某竞标人评标报价金额（元）</w:t>
      </w:r>
    </w:p>
    <w:p>
      <w:pPr>
        <w:spacing w:after="120" w:line="390" w:lineRule="exact"/>
        <w:ind w:firstLine="480"/>
        <w:rPr>
          <w:rFonts w:ascii="宋体" w:hAnsi="宋体"/>
          <w:b/>
          <w:szCs w:val="21"/>
        </w:rPr>
      </w:pPr>
      <w:r>
        <w:rPr>
          <w:rFonts w:hint="eastAsia" w:ascii="宋体" w:hAnsi="宋体"/>
          <w:b/>
          <w:szCs w:val="21"/>
        </w:rPr>
        <w:t>2、技术分………………………………………………………………</w:t>
      </w:r>
      <w:r>
        <w:rPr>
          <w:rFonts w:hint="eastAsia" w:ascii="宋体" w:hAnsi="宋体" w:cs="Courier New"/>
          <w:b/>
          <w:szCs w:val="21"/>
          <w:shd w:val="clear" w:color="auto" w:fill="FFFFFF"/>
        </w:rPr>
        <w:t>…………………………</w:t>
      </w:r>
      <w:r>
        <w:rPr>
          <w:rFonts w:hint="eastAsia" w:ascii="宋体" w:hAnsi="宋体"/>
          <w:b/>
          <w:szCs w:val="21"/>
        </w:rPr>
        <w:t>60分</w:t>
      </w:r>
    </w:p>
    <w:p>
      <w:pPr>
        <w:spacing w:after="120" w:line="390" w:lineRule="exact"/>
        <w:ind w:firstLine="480"/>
        <w:rPr>
          <w:rFonts w:ascii="宋体" w:hAnsi="宋体"/>
          <w:b/>
          <w:szCs w:val="21"/>
        </w:rPr>
      </w:pPr>
      <w:r>
        <w:rPr>
          <w:rFonts w:hint="eastAsia" w:ascii="宋体" w:hAnsi="宋体"/>
          <w:b/>
          <w:szCs w:val="21"/>
        </w:rPr>
        <w:t>（1）项目设计方案分（满分30分）</w:t>
      </w:r>
    </w:p>
    <w:p>
      <w:pPr>
        <w:spacing w:after="120" w:line="390" w:lineRule="exact"/>
        <w:ind w:firstLine="480"/>
        <w:rPr>
          <w:rFonts w:ascii="宋体" w:hAnsi="宋体"/>
          <w:szCs w:val="21"/>
        </w:rPr>
      </w:pPr>
      <w:r>
        <w:rPr>
          <w:rFonts w:hint="eastAsia" w:ascii="宋体" w:hAnsi="宋体"/>
          <w:szCs w:val="21"/>
        </w:rPr>
        <w:t>一档（10分）：基本理解项目现状及采购需求，但对项目建设的基本流程、数据接入方式和展示形式不熟悉，对整个项目的定位和用户群体理解不深入，设计方案仅满足招标文件基本要求。无方案不得分。</w:t>
      </w:r>
    </w:p>
    <w:p>
      <w:pPr>
        <w:spacing w:after="120" w:line="390" w:lineRule="exact"/>
        <w:ind w:firstLine="480"/>
        <w:rPr>
          <w:rFonts w:ascii="宋体" w:hAnsi="宋体"/>
          <w:szCs w:val="21"/>
        </w:rPr>
      </w:pPr>
      <w:r>
        <w:rPr>
          <w:rFonts w:hint="eastAsia" w:ascii="宋体" w:hAnsi="宋体"/>
          <w:szCs w:val="21"/>
        </w:rPr>
        <w:t>二档（20分）：与所有方案对比，充分理解项目的现状及采购需求，方案具备可行性，较为熟悉项目建设的基本流程及规范、数据接入方式和展现形式，充分理解整个项目的定位和用户群体的需求，设计方案较好地响应招标文件的要求，对各个系统及子系统功能描述较为完善。</w:t>
      </w:r>
    </w:p>
    <w:p>
      <w:pPr>
        <w:spacing w:after="120" w:line="390" w:lineRule="exact"/>
        <w:ind w:firstLine="480"/>
        <w:rPr>
          <w:rFonts w:ascii="宋体" w:hAnsi="宋体"/>
          <w:szCs w:val="21"/>
        </w:rPr>
      </w:pPr>
      <w:r>
        <w:rPr>
          <w:rFonts w:hint="eastAsia" w:ascii="宋体" w:hAnsi="宋体"/>
          <w:szCs w:val="21"/>
        </w:rPr>
        <w:t>三档（30分）：与所有方案对比，完全理解项目现状及采购需求，方案可行性强，熟悉项目建设的基本流程及规范、数据接入方式和展现形式，针对项目建设所需的技术、算法、模式、数据等有深入的剖析应用，方案内容详细、图文针对性强并且完全体现了本行业（领域）项目建设要求，总体架构和数据流程设计合理，思路清晰，图表规范，对整个项目的定位和用户群体的需求较为明确，设计方案完全响应招标文件的要求，对各个系统及子系统功能描述清晰、详尽。</w:t>
      </w:r>
    </w:p>
    <w:p>
      <w:pPr>
        <w:spacing w:after="120" w:line="390" w:lineRule="exact"/>
        <w:ind w:firstLine="480"/>
        <w:rPr>
          <w:rFonts w:ascii="宋体" w:hAnsi="宋体"/>
          <w:b/>
          <w:szCs w:val="21"/>
        </w:rPr>
      </w:pPr>
      <w:r>
        <w:rPr>
          <w:rFonts w:hint="eastAsia" w:ascii="宋体" w:hAnsi="宋体"/>
          <w:szCs w:val="21"/>
        </w:rPr>
        <w:t>由评委在相应的档次内独立打分。</w:t>
      </w:r>
    </w:p>
    <w:p>
      <w:pPr>
        <w:spacing w:after="120" w:line="390" w:lineRule="exact"/>
        <w:ind w:firstLine="480"/>
        <w:rPr>
          <w:rFonts w:ascii="宋体" w:hAnsi="宋体"/>
          <w:b/>
          <w:szCs w:val="21"/>
        </w:rPr>
      </w:pPr>
      <w:r>
        <w:rPr>
          <w:rFonts w:hint="eastAsia" w:ascii="宋体" w:hAnsi="宋体"/>
          <w:b/>
          <w:szCs w:val="21"/>
        </w:rPr>
        <w:t>（2）项目实施方案分（满分</w:t>
      </w:r>
      <w:r>
        <w:rPr>
          <w:rFonts w:ascii="宋体" w:hAnsi="宋体"/>
          <w:b/>
          <w:szCs w:val="21"/>
        </w:rPr>
        <w:t>30</w:t>
      </w:r>
      <w:r>
        <w:rPr>
          <w:rFonts w:hint="eastAsia" w:ascii="宋体" w:hAnsi="宋体"/>
          <w:b/>
          <w:szCs w:val="21"/>
        </w:rPr>
        <w:t>分）</w:t>
      </w:r>
    </w:p>
    <w:p>
      <w:pPr>
        <w:spacing w:after="120" w:line="390" w:lineRule="exact"/>
        <w:ind w:firstLine="480"/>
        <w:rPr>
          <w:rFonts w:ascii="宋体" w:hAnsi="宋体"/>
          <w:szCs w:val="21"/>
        </w:rPr>
      </w:pPr>
      <w:r>
        <w:rPr>
          <w:rFonts w:hint="eastAsia" w:ascii="宋体" w:hAnsi="宋体"/>
          <w:szCs w:val="21"/>
        </w:rPr>
        <w:t>一档（ 6分）：只提供基本软件实施方案，但没有体现本行业（领域）软件项目实施方案的特点，方案中对系统建设软件部署、项目计划、功能方面测试方案、试运行方案、培训方案及验收方案等有基本描述。提供的进度计划和工期保证措施一般，有基本的质量控制保证方案；基本满足采购文件项目实施方案要求。无方案不得分。</w:t>
      </w:r>
    </w:p>
    <w:p>
      <w:pPr>
        <w:spacing w:after="120" w:line="390" w:lineRule="exact"/>
        <w:ind w:firstLine="480"/>
        <w:rPr>
          <w:rFonts w:ascii="宋体" w:hAnsi="宋体"/>
          <w:szCs w:val="21"/>
        </w:rPr>
      </w:pPr>
      <w:r>
        <w:rPr>
          <w:rFonts w:hint="eastAsia" w:ascii="宋体" w:hAnsi="宋体"/>
          <w:szCs w:val="21"/>
        </w:rPr>
        <w:t>二档（</w:t>
      </w:r>
      <w:r>
        <w:rPr>
          <w:rFonts w:ascii="宋体" w:hAnsi="宋体"/>
          <w:szCs w:val="21"/>
        </w:rPr>
        <w:t>18</w:t>
      </w:r>
      <w:r>
        <w:rPr>
          <w:rFonts w:hint="eastAsia" w:ascii="宋体" w:hAnsi="宋体"/>
          <w:szCs w:val="21"/>
        </w:rPr>
        <w:t>分）：与所有方案对比，提供的项目实施方案中包含较好的软件实施方案、项目管理方案及培训服务方案，并且满足:(</w:t>
      </w:r>
      <w:r>
        <w:rPr>
          <w:rFonts w:ascii="宋体" w:hAnsi="宋体"/>
          <w:szCs w:val="21"/>
        </w:rPr>
        <w:t>1)</w:t>
      </w:r>
      <w:r>
        <w:rPr>
          <w:rFonts w:hint="eastAsia" w:ascii="宋体" w:hAnsi="宋体"/>
          <w:szCs w:val="21"/>
        </w:rPr>
        <w:t>软件实施方案体现了本行业（领域）软件项目实施方案的特点，方案中具有明确的项目组织实施管理机构和实施人员安排计划，项目管理制度和保障措施完备，同时具有详细的项目组织及软件部署计划，详细的进度安排、功能测试方案、试运行及验收方案等。(</w:t>
      </w:r>
      <w:r>
        <w:rPr>
          <w:rFonts w:ascii="宋体" w:hAnsi="宋体"/>
          <w:szCs w:val="21"/>
        </w:rPr>
        <w:t>2)</w:t>
      </w:r>
      <w:r>
        <w:rPr>
          <w:rFonts w:hint="eastAsia" w:ascii="宋体" w:hAnsi="宋体"/>
          <w:szCs w:val="21"/>
        </w:rPr>
        <w:t>项目管理方案包含项目管理策略、实施步骤、定义各阶段项目成果，并提供项目实施管理组织架构、团队管理方案、满足项目建设周期要求的项目进度计划。(</w:t>
      </w:r>
      <w:r>
        <w:rPr>
          <w:rFonts w:ascii="宋体" w:hAnsi="宋体"/>
          <w:szCs w:val="21"/>
        </w:rPr>
        <w:t>3)</w:t>
      </w:r>
      <w:r>
        <w:rPr>
          <w:rFonts w:hint="eastAsia" w:ascii="宋体" w:hAnsi="宋体"/>
          <w:szCs w:val="21"/>
        </w:rPr>
        <w:t>培训服务方案能提供培训计划表及培训承诺书。</w:t>
      </w:r>
    </w:p>
    <w:p>
      <w:pPr>
        <w:spacing w:after="120" w:line="400" w:lineRule="exact"/>
        <w:ind w:firstLine="480"/>
        <w:rPr>
          <w:rFonts w:ascii="宋体" w:hAnsi="宋体"/>
          <w:szCs w:val="21"/>
        </w:rPr>
      </w:pPr>
      <w:r>
        <w:rPr>
          <w:rFonts w:hint="eastAsia" w:ascii="宋体" w:hAnsi="宋体"/>
          <w:szCs w:val="21"/>
        </w:rPr>
        <w:t>三档（</w:t>
      </w:r>
      <w:r>
        <w:rPr>
          <w:rFonts w:ascii="宋体" w:hAnsi="宋体"/>
          <w:szCs w:val="21"/>
        </w:rPr>
        <w:t>30</w:t>
      </w:r>
      <w:r>
        <w:rPr>
          <w:rFonts w:hint="eastAsia" w:ascii="宋体" w:hAnsi="宋体"/>
          <w:szCs w:val="21"/>
        </w:rPr>
        <w:t>分）：与所有方案对比，提供的项目实施方案中包含良好的软件实施方案、项目管理方案及培训服务方案，并且满足: (</w:t>
      </w:r>
      <w:r>
        <w:rPr>
          <w:rFonts w:ascii="宋体" w:hAnsi="宋体"/>
          <w:szCs w:val="21"/>
        </w:rPr>
        <w:t>1)</w:t>
      </w:r>
      <w:r>
        <w:rPr>
          <w:rFonts w:hint="eastAsia" w:ascii="宋体" w:hAnsi="宋体"/>
          <w:szCs w:val="21"/>
        </w:rPr>
        <w:t>软件实施方案中充分体现了对本行业（领域）软件项目建设经验以及本行业（领域）软件项目实施方案的特点，方案中系统建设的软件部署、项目计划、功能方面测试方案、试运行方案及验收方案详细、可行性强；提供驻场开发保证，驻场开发团队</w:t>
      </w:r>
      <w:r>
        <w:rPr>
          <w:rFonts w:ascii="宋体" w:hAnsi="宋体"/>
          <w:szCs w:val="21"/>
        </w:rPr>
        <w:t>4</w:t>
      </w:r>
      <w:r>
        <w:rPr>
          <w:rFonts w:hint="eastAsia" w:ascii="宋体" w:hAnsi="宋体"/>
          <w:szCs w:val="21"/>
        </w:rPr>
        <w:t>人以上；方案合理、科学，有进度计划和工期保证措施及赶工措施、实施安全保障措施、质量保证措施、风险管理体系。(</w:t>
      </w:r>
      <w:r>
        <w:rPr>
          <w:rFonts w:ascii="宋体" w:hAnsi="宋体"/>
          <w:szCs w:val="21"/>
        </w:rPr>
        <w:t>2)</w:t>
      </w:r>
      <w:r>
        <w:rPr>
          <w:rFonts w:hint="eastAsia" w:ascii="宋体" w:hAnsi="宋体"/>
          <w:szCs w:val="21"/>
        </w:rPr>
        <w:t>项目管理方案提供科学、合理的项目管理策略、实施步骤、定义各阶段项目成果，并提供项目实施管理组织架构、团队管理方案、满足项目建设周期要求的项目进度计划。(</w:t>
      </w:r>
      <w:r>
        <w:rPr>
          <w:rFonts w:ascii="宋体" w:hAnsi="宋体"/>
          <w:szCs w:val="21"/>
        </w:rPr>
        <w:t>3)</w:t>
      </w:r>
      <w:r>
        <w:rPr>
          <w:rFonts w:hint="eastAsia" w:ascii="宋体" w:hAnsi="宋体"/>
          <w:szCs w:val="21"/>
        </w:rPr>
        <w:t>培训服务方案中有明确的培训计划表，对培训对象、培训内容、培训课时、培训地点等做出明确安排的细化说明。</w:t>
      </w:r>
    </w:p>
    <w:p>
      <w:pPr>
        <w:spacing w:after="120" w:line="390" w:lineRule="exact"/>
        <w:ind w:firstLine="480"/>
        <w:rPr>
          <w:rFonts w:ascii="宋体" w:hAnsi="宋体"/>
          <w:szCs w:val="21"/>
        </w:rPr>
      </w:pPr>
      <w:r>
        <w:rPr>
          <w:rFonts w:hint="eastAsia" w:ascii="宋体" w:hAnsi="宋体"/>
          <w:szCs w:val="21"/>
        </w:rPr>
        <w:t>由评委在相应的档次内独立打分。</w:t>
      </w:r>
    </w:p>
    <w:p>
      <w:pPr>
        <w:spacing w:after="156" w:line="390" w:lineRule="exact"/>
        <w:ind w:firstLine="480"/>
        <w:rPr>
          <w:rFonts w:ascii="宋体" w:hAnsi="宋体"/>
          <w:b/>
          <w:szCs w:val="21"/>
        </w:rPr>
      </w:pPr>
      <w:r>
        <w:rPr>
          <w:rFonts w:hint="eastAsia" w:ascii="宋体" w:hAnsi="宋体"/>
          <w:b/>
          <w:szCs w:val="21"/>
        </w:rPr>
        <w:t>3、售后服务方案分……………………………………………</w:t>
      </w:r>
      <w:r>
        <w:rPr>
          <w:rFonts w:hint="eastAsia" w:ascii="宋体" w:hAnsi="宋体" w:cs="Courier New"/>
          <w:b/>
          <w:szCs w:val="21"/>
          <w:shd w:val="clear" w:color="auto" w:fill="FFFFFF"/>
        </w:rPr>
        <w:t>…………………………………</w:t>
      </w:r>
      <w:r>
        <w:rPr>
          <w:rFonts w:hint="eastAsia" w:ascii="宋体" w:hAnsi="宋体"/>
          <w:b/>
          <w:szCs w:val="21"/>
        </w:rPr>
        <w:t>9分</w:t>
      </w:r>
    </w:p>
    <w:p>
      <w:pPr>
        <w:spacing w:after="156" w:line="390" w:lineRule="exact"/>
        <w:ind w:firstLine="480"/>
        <w:rPr>
          <w:rFonts w:ascii="宋体" w:hAnsi="宋体"/>
          <w:szCs w:val="21"/>
        </w:rPr>
      </w:pPr>
      <w:r>
        <w:rPr>
          <w:rFonts w:hint="eastAsia" w:ascii="宋体" w:hAnsi="宋体"/>
          <w:szCs w:val="21"/>
        </w:rPr>
        <w:t>一档（3分）：基本满足采购文件的售后服务要求，能够响应所有实质性要求，一般参数存在负偏离。无方案不得分。</w:t>
      </w:r>
    </w:p>
    <w:p>
      <w:pPr>
        <w:spacing w:after="156" w:line="390" w:lineRule="exact"/>
        <w:ind w:firstLine="480"/>
        <w:rPr>
          <w:rFonts w:ascii="宋体" w:hAnsi="宋体"/>
          <w:szCs w:val="21"/>
        </w:rPr>
      </w:pPr>
      <w:r>
        <w:rPr>
          <w:rFonts w:hint="eastAsia" w:ascii="宋体" w:hAnsi="宋体"/>
          <w:szCs w:val="21"/>
        </w:rPr>
        <w:t>二档（6分）：在满足一档的基础上，提供比较具体的售后服务方案的，满足采购文件要求，对服务方式和方法有具体描述的，拟投入本项目的运维人员不少于1人，能提供专门用于本项目的售后服务，并提供售后服务人员的联系姓名、电话、2021年以来任意连续3个月竞标人为上述人员交纳的社保证明、详细地址等信息。</w:t>
      </w:r>
    </w:p>
    <w:p>
      <w:pPr>
        <w:spacing w:after="156" w:line="390" w:lineRule="exact"/>
        <w:ind w:firstLine="480"/>
        <w:rPr>
          <w:rFonts w:ascii="宋体" w:hAnsi="宋体"/>
          <w:szCs w:val="21"/>
        </w:rPr>
      </w:pPr>
      <w:r>
        <w:rPr>
          <w:rFonts w:hint="eastAsia" w:ascii="宋体" w:hAnsi="宋体"/>
          <w:szCs w:val="21"/>
        </w:rPr>
        <w:t>三档（9分）：在满足二档的基础上，提供详细的售后服务方案、详细说明售后服务内容、阐述清楚售后服务办法及保障体系，说明售后服务工作计划，具有较完备售后服务规范和管理制度，可操作性强的，拟投入本项目的运维人员不少于2人，驻场不少于1人，能提供专门用于本项目的售后服务，并提供售后服务人员的联系姓名、电话、2021年以来任意连续3个月竞标人为上述人员交纳的社保证明、详细地址等信息。</w:t>
      </w:r>
    </w:p>
    <w:p>
      <w:pPr>
        <w:spacing w:after="120" w:line="390" w:lineRule="exact"/>
        <w:ind w:firstLine="480"/>
        <w:rPr>
          <w:rFonts w:ascii="宋体" w:hAnsi="宋体"/>
          <w:szCs w:val="21"/>
        </w:rPr>
      </w:pPr>
      <w:r>
        <w:rPr>
          <w:rFonts w:hint="eastAsia" w:ascii="宋体" w:hAnsi="宋体"/>
          <w:szCs w:val="21"/>
        </w:rPr>
        <w:t>由评委在相应的档次内独立打分。</w:t>
      </w:r>
    </w:p>
    <w:p>
      <w:pPr>
        <w:spacing w:after="120" w:line="400" w:lineRule="exact"/>
        <w:ind w:firstLine="480"/>
        <w:rPr>
          <w:rFonts w:ascii="宋体" w:hAnsi="宋体"/>
          <w:b/>
          <w:szCs w:val="21"/>
        </w:rPr>
      </w:pPr>
      <w:r>
        <w:rPr>
          <w:rFonts w:hint="eastAsia" w:ascii="宋体" w:hAnsi="宋体"/>
          <w:b/>
          <w:szCs w:val="21"/>
        </w:rPr>
        <w:t>4、商务分…………………………………………</w:t>
      </w:r>
      <w:r>
        <w:rPr>
          <w:rFonts w:hint="eastAsia" w:ascii="宋体" w:hAnsi="宋体" w:cs="Courier New"/>
          <w:b/>
          <w:szCs w:val="21"/>
          <w:shd w:val="clear" w:color="auto" w:fill="FFFFFF"/>
        </w:rPr>
        <w:t>…………………………………………</w:t>
      </w:r>
      <w:r>
        <w:rPr>
          <w:rFonts w:hint="eastAsia" w:ascii="宋体" w:hAnsi="宋体"/>
          <w:b/>
          <w:szCs w:val="21"/>
        </w:rPr>
        <w:t>…11分</w:t>
      </w:r>
    </w:p>
    <w:p>
      <w:pPr>
        <w:spacing w:after="120" w:line="400" w:lineRule="exact"/>
        <w:ind w:firstLine="241"/>
        <w:rPr>
          <w:rFonts w:ascii="宋体" w:hAnsi="宋体"/>
          <w:b/>
          <w:szCs w:val="21"/>
        </w:rPr>
      </w:pPr>
      <w:r>
        <w:rPr>
          <w:rFonts w:hint="eastAsia" w:ascii="宋体" w:hAnsi="宋体"/>
          <w:b/>
          <w:szCs w:val="21"/>
        </w:rPr>
        <w:t>（1）</w:t>
      </w:r>
      <w:r>
        <w:rPr>
          <w:rFonts w:hint="eastAsia" w:hAnsi="宋体"/>
          <w:b/>
          <w:szCs w:val="21"/>
        </w:rPr>
        <w:t>信誉分</w:t>
      </w:r>
      <w:r>
        <w:rPr>
          <w:rFonts w:hint="eastAsia" w:ascii="宋体" w:hAnsi="宋体"/>
          <w:b/>
          <w:szCs w:val="21"/>
        </w:rPr>
        <w:t>（5分）</w:t>
      </w:r>
    </w:p>
    <w:p>
      <w:pPr>
        <w:spacing w:after="120" w:line="400" w:lineRule="exact"/>
        <w:ind w:firstLine="480"/>
        <w:rPr>
          <w:rFonts w:ascii="宋体" w:hAnsi="宋体"/>
          <w:szCs w:val="21"/>
        </w:rPr>
      </w:pPr>
      <w:r>
        <w:rPr>
          <w:rFonts w:hint="eastAsia" w:hAnsi="宋体"/>
          <w:szCs w:val="21"/>
        </w:rPr>
        <w:t>供应商具有“气象服务”“铁路”“预报”“监控”</w:t>
      </w:r>
      <w:r>
        <w:rPr>
          <w:rFonts w:hint="eastAsia" w:hAnsi="宋体"/>
          <w:szCs w:val="21"/>
          <w:highlight w:val="none"/>
          <w:lang w:eastAsia="zh-CN"/>
        </w:rPr>
        <w:t>等类似的</w:t>
      </w:r>
      <w:r>
        <w:rPr>
          <w:rFonts w:hint="eastAsia" w:hAnsi="宋体"/>
          <w:szCs w:val="21"/>
        </w:rPr>
        <w:t>技术元素的软件著作权、软件产品登记测试报告，每套得1分，最多5分。</w:t>
      </w:r>
    </w:p>
    <w:p>
      <w:pPr>
        <w:spacing w:after="120" w:line="400" w:lineRule="exact"/>
        <w:ind w:firstLine="480"/>
        <w:rPr>
          <w:rFonts w:ascii="宋体" w:hAnsi="宋体"/>
          <w:szCs w:val="21"/>
        </w:rPr>
      </w:pPr>
      <w:r>
        <w:rPr>
          <w:rFonts w:hint="eastAsia" w:ascii="宋体" w:hAnsi="宋体"/>
          <w:szCs w:val="21"/>
        </w:rPr>
        <w:t>注：要求提供以上证书</w:t>
      </w:r>
      <w:r>
        <w:rPr>
          <w:rFonts w:ascii="宋体" w:hAnsi="宋体"/>
          <w:szCs w:val="21"/>
        </w:rPr>
        <w:t>(</w:t>
      </w:r>
      <w:r>
        <w:rPr>
          <w:rFonts w:hint="eastAsia" w:ascii="宋体" w:hAnsi="宋体"/>
          <w:szCs w:val="21"/>
        </w:rPr>
        <w:t>件</w:t>
      </w:r>
      <w:r>
        <w:rPr>
          <w:rFonts w:ascii="宋体" w:hAnsi="宋体"/>
          <w:szCs w:val="21"/>
        </w:rPr>
        <w:t>)</w:t>
      </w:r>
      <w:r>
        <w:rPr>
          <w:rFonts w:hint="eastAsia" w:ascii="宋体" w:hAnsi="宋体"/>
          <w:szCs w:val="21"/>
        </w:rPr>
        <w:t>复印件并加盖单位公章，原件备查。</w:t>
      </w:r>
    </w:p>
    <w:p>
      <w:pPr>
        <w:spacing w:after="120" w:line="380" w:lineRule="exact"/>
        <w:ind w:firstLine="241"/>
        <w:rPr>
          <w:rFonts w:ascii="宋体" w:hAnsi="宋体"/>
          <w:b/>
          <w:szCs w:val="21"/>
        </w:rPr>
      </w:pPr>
      <w:r>
        <w:rPr>
          <w:rFonts w:hint="eastAsia" w:ascii="宋体" w:hAnsi="宋体" w:cs="宋体"/>
          <w:b/>
          <w:kern w:val="0"/>
        </w:rPr>
        <w:t>（2）</w:t>
      </w:r>
      <w:r>
        <w:rPr>
          <w:rFonts w:hint="eastAsia" w:ascii="宋体" w:hAnsi="宋体"/>
          <w:b/>
          <w:szCs w:val="21"/>
        </w:rPr>
        <w:t>近三年同类业绩分（6分）</w:t>
      </w:r>
    </w:p>
    <w:p>
      <w:pPr>
        <w:spacing w:after="120" w:line="380" w:lineRule="exact"/>
        <w:ind w:firstLine="480"/>
        <w:rPr>
          <w:rFonts w:ascii="宋体" w:hAnsi="宋体"/>
          <w:szCs w:val="21"/>
        </w:rPr>
      </w:pPr>
      <w:r>
        <w:rPr>
          <w:rFonts w:ascii="宋体" w:hAnsi="宋体"/>
          <w:szCs w:val="21"/>
        </w:rPr>
        <w:t>自</w:t>
      </w:r>
      <w:r>
        <w:rPr>
          <w:rFonts w:hint="eastAsia" w:ascii="宋体" w:hAnsi="宋体"/>
          <w:szCs w:val="21"/>
        </w:rPr>
        <w:t>2020年1月1日至今，</w:t>
      </w:r>
      <w:r>
        <w:rPr>
          <w:rFonts w:ascii="宋体" w:hAnsi="宋体"/>
          <w:szCs w:val="21"/>
        </w:rPr>
        <w:t>投标人承担过</w:t>
      </w:r>
      <w:r>
        <w:rPr>
          <w:rFonts w:hint="eastAsia" w:ascii="宋体" w:hAnsi="宋体"/>
          <w:szCs w:val="21"/>
        </w:rPr>
        <w:t>类似行业业务软件</w:t>
      </w:r>
      <w:r>
        <w:rPr>
          <w:rFonts w:ascii="宋体" w:hAnsi="宋体"/>
          <w:szCs w:val="21"/>
        </w:rPr>
        <w:t>项目</w:t>
      </w:r>
      <w:r>
        <w:rPr>
          <w:rFonts w:hint="eastAsia" w:ascii="宋体" w:hAnsi="宋体"/>
          <w:szCs w:val="21"/>
        </w:rPr>
        <w:t>开发经验，每提供1个合同得2分，最高得6分。（要求</w:t>
      </w:r>
      <w:r>
        <w:rPr>
          <w:rFonts w:hAnsi="宋体"/>
          <w:szCs w:val="21"/>
        </w:rPr>
        <w:t>提供合同和项目验收证书复印件加盖供应商公章</w:t>
      </w:r>
      <w:r>
        <w:rPr>
          <w:rFonts w:hint="eastAsia" w:ascii="宋体" w:hAnsi="宋体"/>
          <w:szCs w:val="21"/>
        </w:rPr>
        <w:t>，未提供不予计分，原件备查。）</w:t>
      </w:r>
    </w:p>
    <w:p>
      <w:pPr>
        <w:spacing w:after="120" w:line="380" w:lineRule="exact"/>
        <w:ind w:firstLine="480"/>
        <w:rPr>
          <w:rFonts w:ascii="宋体" w:hAnsi="宋体"/>
          <w:b/>
          <w:szCs w:val="21"/>
        </w:rPr>
      </w:pPr>
      <w:r>
        <w:rPr>
          <w:rFonts w:hint="eastAsia" w:ascii="宋体" w:hAnsi="宋体"/>
          <w:b/>
          <w:szCs w:val="21"/>
        </w:rPr>
        <w:t>注：招标文件中要求提供原件核查的资料，必须在（开标当天）截标时间前与投标文件一并提交，逾期不予接收。</w:t>
      </w:r>
    </w:p>
    <w:p>
      <w:pPr>
        <w:spacing w:line="400" w:lineRule="exact"/>
        <w:ind w:firstLine="422" w:firstLineChars="200"/>
        <w:outlineLvl w:val="0"/>
        <w:rPr>
          <w:rFonts w:ascii="宋体" w:hAnsi="宋体"/>
          <w:b/>
          <w:szCs w:val="21"/>
        </w:rPr>
      </w:pPr>
      <w:r>
        <w:rPr>
          <w:rFonts w:hint="eastAsia" w:ascii="宋体" w:hAnsi="宋体"/>
          <w:b/>
          <w:szCs w:val="21"/>
        </w:rPr>
        <w:t>总得分 =1 + 2 + 3 + 4</w:t>
      </w:r>
    </w:p>
    <w:p>
      <w:pPr>
        <w:spacing w:line="400" w:lineRule="exact"/>
        <w:ind w:firstLine="422" w:firstLineChars="200"/>
        <w:outlineLvl w:val="0"/>
        <w:rPr>
          <w:rFonts w:ascii="宋体" w:hAnsi="宋体"/>
          <w:b/>
          <w:szCs w:val="21"/>
        </w:rPr>
      </w:pPr>
    </w:p>
    <w:p>
      <w:pPr>
        <w:spacing w:line="400" w:lineRule="exact"/>
        <w:ind w:firstLine="422" w:firstLineChars="200"/>
        <w:outlineLvl w:val="0"/>
        <w:rPr>
          <w:rFonts w:ascii="宋体" w:hAnsi="宋体" w:cs="宋体"/>
          <w:b/>
          <w:bCs/>
          <w:szCs w:val="21"/>
          <w:shd w:val="clear" w:color="auto" w:fill="FFFFFF"/>
        </w:rPr>
      </w:pPr>
      <w:r>
        <w:rPr>
          <w:rFonts w:hint="eastAsia" w:ascii="宋体" w:hAnsi="宋体" w:cs="宋体"/>
          <w:b/>
          <w:bCs/>
          <w:szCs w:val="21"/>
          <w:shd w:val="clear" w:color="auto" w:fill="FFFFFF"/>
        </w:rPr>
        <w:t>三、成交候选人推荐原则</w:t>
      </w:r>
    </w:p>
    <w:p>
      <w:pPr>
        <w:spacing w:line="400" w:lineRule="exact"/>
        <w:ind w:firstLine="420" w:firstLineChars="200"/>
        <w:rPr>
          <w:rFonts w:ascii="宋体" w:hAnsi="宋体"/>
          <w:szCs w:val="21"/>
        </w:rPr>
      </w:pPr>
      <w:r>
        <w:rPr>
          <w:rFonts w:hint="eastAsia" w:ascii="宋体" w:hAnsi="宋体"/>
          <w:szCs w:val="21"/>
        </w:rPr>
        <w:t>磋商小组将根据综合得分由高到低排列次序（得分相同时，以报价由低到高顺序排列；得分相同且报价相同的，按技术指标优劣顺序排列）并推荐不超过3名成交候选供应商。采购单位应当确定磋商小组推荐排名第一的成交候选人为成交人。根据桂财采〔2016〕37号《关于做好政府采购有关信用主体标识码登记及在政府采购活动中查询使用信用记录有关问题的通知》相关规定，招标采购单位将对排名第一的中标候选人进行信用查询，如排名第一的中标候选人在中国政府采购网处于被暂停参加政府采购活动期间的，或排名第一的成交候选人放弃成交、因不可抗力提出不能履行合同的，采购单位可以确定排定第二的成交候选人为成交人，或采购人可重新组织采购，以此类推。</w:t>
      </w:r>
    </w:p>
    <w:p>
      <w:pPr>
        <w:spacing w:line="400" w:lineRule="exact"/>
        <w:ind w:firstLine="480"/>
        <w:rPr>
          <w:rFonts w:ascii="宋体" w:hAnsi="宋体"/>
          <w:szCs w:val="21"/>
        </w:rPr>
      </w:pPr>
    </w:p>
    <w:p>
      <w:pPr>
        <w:spacing w:line="400" w:lineRule="exact"/>
        <w:ind w:firstLine="480"/>
        <w:rPr>
          <w:rFonts w:ascii="宋体" w:hAnsi="宋体"/>
          <w:szCs w:val="21"/>
        </w:rPr>
      </w:pPr>
    </w:p>
    <w:p>
      <w:pPr>
        <w:spacing w:line="400" w:lineRule="exact"/>
        <w:ind w:firstLine="480"/>
        <w:rPr>
          <w:rFonts w:ascii="宋体" w:hAnsi="宋体"/>
          <w:szCs w:val="21"/>
        </w:rPr>
      </w:pPr>
    </w:p>
    <w:sectPr>
      <w:pgSz w:w="11906" w:h="16838"/>
      <w:pgMar w:top="1440"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 New Roman”“">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rPr>
        <w:rStyle w:val="50"/>
      </w:rPr>
      <w:fldChar w:fldCharType="begin"/>
    </w:r>
    <w:r>
      <w:rPr>
        <w:rStyle w:val="50"/>
      </w:rPr>
      <w:instrText xml:space="preserve">PAGE  </w:instrText>
    </w:r>
    <w:r>
      <w:rPr>
        <w:rStyle w:val="50"/>
      </w:rPr>
      <w:fldChar w:fldCharType="separate"/>
    </w:r>
    <w:r>
      <w:rPr>
        <w:rStyle w:val="50"/>
      </w:rPr>
      <w:t>39</w:t>
    </w:r>
    <w:r>
      <w:rPr>
        <w:rStyle w:val="50"/>
      </w:rPr>
      <w:fldChar w:fldCharType="end"/>
    </w:r>
  </w:p>
  <w:p>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rPr>
        <w:rStyle w:val="50"/>
      </w:rPr>
      <w:fldChar w:fldCharType="begin"/>
    </w:r>
    <w:r>
      <w:rPr>
        <w:rStyle w:val="50"/>
      </w:rPr>
      <w:instrText xml:space="preserve">PAGE  </w:instrText>
    </w:r>
    <w:r>
      <w:rPr>
        <w:rStyle w:val="50"/>
      </w:rP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I</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845185</wp:posOffset>
              </wp:positionH>
              <wp:positionV relativeFrom="page">
                <wp:posOffset>680720</wp:posOffset>
              </wp:positionV>
              <wp:extent cx="6084570" cy="0"/>
              <wp:effectExtent l="0" t="0" r="0" b="0"/>
              <wp:wrapNone/>
              <wp:docPr id="1" name="直线 8"/>
              <wp:cNvGraphicFramePr/>
              <a:graphic xmlns:a="http://schemas.openxmlformats.org/drawingml/2006/main">
                <a:graphicData uri="http://schemas.microsoft.com/office/word/2010/wordprocessingShape">
                  <wps:wsp>
                    <wps:cNvCnPr>
                      <a:cxnSpLocks noChangeShapeType="1"/>
                    </wps:cNvCnPr>
                    <wps:spPr bwMode="auto">
                      <a:xfrm>
                        <a:off x="0" y="0"/>
                        <a:ext cx="6084570" cy="0"/>
                      </a:xfrm>
                      <a:prstGeom prst="line">
                        <a:avLst/>
                      </a:prstGeom>
                      <a:noFill/>
                      <a:ln w="9144">
                        <a:solidFill>
                          <a:srgbClr val="000000"/>
                        </a:solidFill>
                        <a:round/>
                      </a:ln>
                      <a:effectLst/>
                    </wps:spPr>
                    <wps:bodyPr/>
                  </wps:wsp>
                </a:graphicData>
              </a:graphic>
            </wp:anchor>
          </w:drawing>
        </mc:Choice>
        <mc:Fallback>
          <w:pict>
            <v:line id="直线 8" o:spid="_x0000_s1026" o:spt="20" style="position:absolute;left:0pt;margin-left:66.55pt;margin-top:53.6pt;height:0pt;width:479.1pt;mso-position-horizontal-relative:page;mso-position-vertical-relative:page;z-index:-251656192;mso-width-relative:page;mso-height-relative:page;" filled="f" stroked="t" coordsize="21600,21600" o:gfxdata="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9hUK/XAAAADAEAAA8AAAAA&#10;AAAAAQAgAAAAIgAAAGRycy9kb3ducmV2LnhtbFBLAQIUABQAAAAIAIdO4kAAvI+m3AEAAK8DAAAO&#10;AAAAAAAAAAEAIAAAACYBAABkcnMvZTJvRG9jLnhtbFBLBQYAAAAABgAGAFkBAAB0BQ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567D4"/>
    <w:multiLevelType w:val="singleLevel"/>
    <w:tmpl w:val="07E567D4"/>
    <w:lvl w:ilvl="0" w:tentative="0">
      <w:start w:val="1"/>
      <w:numFmt w:val="decimal"/>
      <w:lvlText w:val="%1."/>
      <w:lvlJc w:val="left"/>
      <w:pPr>
        <w:tabs>
          <w:tab w:val="left" w:pos="312"/>
        </w:tabs>
      </w:pPr>
    </w:lvl>
  </w:abstractNum>
  <w:abstractNum w:abstractNumId="1">
    <w:nsid w:val="0A4E0DB8"/>
    <w:multiLevelType w:val="multilevel"/>
    <w:tmpl w:val="0A4E0DB8"/>
    <w:lvl w:ilvl="0" w:tentative="0">
      <w:start w:val="1"/>
      <w:numFmt w:val="japaneseCounting"/>
      <w:pStyle w:val="21"/>
      <w:lvlText w:val="第%1章"/>
      <w:lvlJc w:val="left"/>
      <w:pPr>
        <w:tabs>
          <w:tab w:val="left" w:pos="1260"/>
        </w:tabs>
        <w:ind w:left="1260" w:hanging="84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pStyle w:val="151"/>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
    <w:nsid w:val="34DF1A3A"/>
    <w:multiLevelType w:val="singleLevel"/>
    <w:tmpl w:val="34DF1A3A"/>
    <w:lvl w:ilvl="0" w:tentative="0">
      <w:start w:val="1"/>
      <w:numFmt w:val="chineseCounting"/>
      <w:suff w:val="nothing"/>
      <w:lvlText w:val="%1、"/>
      <w:lvlJc w:val="left"/>
      <w:rPr>
        <w:rFonts w:hint="eastAsia"/>
      </w:rPr>
    </w:lvl>
  </w:abstractNum>
  <w:abstractNum w:abstractNumId="3">
    <w:nsid w:val="4FD31870"/>
    <w:multiLevelType w:val="multilevel"/>
    <w:tmpl w:val="4FD31870"/>
    <w:lvl w:ilvl="0" w:tentative="0">
      <w:start w:val="1"/>
      <w:numFmt w:val="decimal"/>
      <w:lvlText w:val="%1"/>
      <w:lvlJc w:val="right"/>
      <w:pPr>
        <w:ind w:left="416" w:hanging="132"/>
      </w:pPr>
      <w:rPr>
        <w:rFonts w:hint="eastAsia" w:ascii="宋体" w:hAnsi="宋体" w:eastAsia="宋体"/>
        <w:b w:val="0"/>
        <w:i w:val="0"/>
        <w:sz w:val="21"/>
      </w:rPr>
    </w:lvl>
    <w:lvl w:ilvl="1" w:tentative="0">
      <w:start w:val="1"/>
      <w:numFmt w:val="lowerLetter"/>
      <w:lvlText w:val="%2)"/>
      <w:lvlJc w:val="left"/>
      <w:pPr>
        <w:ind w:left="836" w:hanging="420"/>
      </w:pPr>
    </w:lvl>
    <w:lvl w:ilvl="2" w:tentative="0">
      <w:start w:val="1"/>
      <w:numFmt w:val="lowerRoman"/>
      <w:lvlText w:val="%3."/>
      <w:lvlJc w:val="right"/>
      <w:pPr>
        <w:ind w:left="1256" w:hanging="420"/>
      </w:pPr>
    </w:lvl>
    <w:lvl w:ilvl="3" w:tentative="0">
      <w:start w:val="1"/>
      <w:numFmt w:val="decimal"/>
      <w:lvlText w:val="%4."/>
      <w:lvlJc w:val="left"/>
      <w:pPr>
        <w:ind w:left="1676" w:hanging="420"/>
      </w:pPr>
    </w:lvl>
    <w:lvl w:ilvl="4" w:tentative="0">
      <w:start w:val="1"/>
      <w:numFmt w:val="lowerLetter"/>
      <w:lvlText w:val="%5)"/>
      <w:lvlJc w:val="left"/>
      <w:pPr>
        <w:ind w:left="2096" w:hanging="420"/>
      </w:pPr>
    </w:lvl>
    <w:lvl w:ilvl="5" w:tentative="0">
      <w:start w:val="1"/>
      <w:numFmt w:val="lowerRoman"/>
      <w:lvlText w:val="%6."/>
      <w:lvlJc w:val="right"/>
      <w:pPr>
        <w:ind w:left="2516" w:hanging="420"/>
      </w:pPr>
    </w:lvl>
    <w:lvl w:ilvl="6" w:tentative="0">
      <w:start w:val="1"/>
      <w:numFmt w:val="decimal"/>
      <w:lvlText w:val="%7."/>
      <w:lvlJc w:val="left"/>
      <w:pPr>
        <w:ind w:left="2936" w:hanging="420"/>
      </w:pPr>
    </w:lvl>
    <w:lvl w:ilvl="7" w:tentative="0">
      <w:start w:val="1"/>
      <w:numFmt w:val="lowerLetter"/>
      <w:lvlText w:val="%8)"/>
      <w:lvlJc w:val="left"/>
      <w:pPr>
        <w:ind w:left="3356" w:hanging="420"/>
      </w:pPr>
    </w:lvl>
    <w:lvl w:ilvl="8" w:tentative="0">
      <w:start w:val="1"/>
      <w:numFmt w:val="lowerRoman"/>
      <w:lvlText w:val="%9."/>
      <w:lvlJc w:val="right"/>
      <w:pPr>
        <w:ind w:left="3776" w:hanging="420"/>
      </w:pPr>
    </w:lvl>
  </w:abstractNum>
  <w:abstractNum w:abstractNumId="4">
    <w:nsid w:val="584D3E6B"/>
    <w:multiLevelType w:val="singleLevel"/>
    <w:tmpl w:val="584D3E6B"/>
    <w:lvl w:ilvl="0" w:tentative="0">
      <w:start w:val="1"/>
      <w:numFmt w:val="chineseCounting"/>
      <w:pStyle w:val="13"/>
      <w:suff w:val="nothing"/>
      <w:lvlText w:val="%1、"/>
      <w:lvlJc w:val="left"/>
      <w:rPr>
        <w:rFonts w:cs="Times New Roman"/>
        <w:lang w:val="en-US"/>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NmRhOGM5NzFhNThjMmRhZGU1Y2M1NGJmZWNhZjQifQ=="/>
  </w:docVars>
  <w:rsids>
    <w:rsidRoot w:val="008F0339"/>
    <w:rsid w:val="00001A3A"/>
    <w:rsid w:val="0000367B"/>
    <w:rsid w:val="000038BC"/>
    <w:rsid w:val="00003B68"/>
    <w:rsid w:val="0000520D"/>
    <w:rsid w:val="00006D48"/>
    <w:rsid w:val="0000777D"/>
    <w:rsid w:val="00010AF2"/>
    <w:rsid w:val="00011647"/>
    <w:rsid w:val="0001263D"/>
    <w:rsid w:val="000150A9"/>
    <w:rsid w:val="0001596E"/>
    <w:rsid w:val="00021213"/>
    <w:rsid w:val="00023104"/>
    <w:rsid w:val="000240A7"/>
    <w:rsid w:val="00024E15"/>
    <w:rsid w:val="00024F80"/>
    <w:rsid w:val="0002675B"/>
    <w:rsid w:val="00026BB7"/>
    <w:rsid w:val="00026C53"/>
    <w:rsid w:val="000300B9"/>
    <w:rsid w:val="00030F1E"/>
    <w:rsid w:val="000335A1"/>
    <w:rsid w:val="00034F5E"/>
    <w:rsid w:val="00035C91"/>
    <w:rsid w:val="00036CF8"/>
    <w:rsid w:val="00040B09"/>
    <w:rsid w:val="0004518A"/>
    <w:rsid w:val="0004762E"/>
    <w:rsid w:val="000504DC"/>
    <w:rsid w:val="00050BE0"/>
    <w:rsid w:val="00050D41"/>
    <w:rsid w:val="00051CF7"/>
    <w:rsid w:val="000529F8"/>
    <w:rsid w:val="00052CF4"/>
    <w:rsid w:val="00053B9E"/>
    <w:rsid w:val="000540B0"/>
    <w:rsid w:val="00054858"/>
    <w:rsid w:val="00054D86"/>
    <w:rsid w:val="00055D16"/>
    <w:rsid w:val="00057DD2"/>
    <w:rsid w:val="00057F52"/>
    <w:rsid w:val="000602F1"/>
    <w:rsid w:val="00061015"/>
    <w:rsid w:val="00065217"/>
    <w:rsid w:val="000704E6"/>
    <w:rsid w:val="00071412"/>
    <w:rsid w:val="000759AB"/>
    <w:rsid w:val="00080E67"/>
    <w:rsid w:val="00080E96"/>
    <w:rsid w:val="00081430"/>
    <w:rsid w:val="000816D7"/>
    <w:rsid w:val="00082A96"/>
    <w:rsid w:val="00083267"/>
    <w:rsid w:val="00084C82"/>
    <w:rsid w:val="000851B8"/>
    <w:rsid w:val="00086492"/>
    <w:rsid w:val="00087E52"/>
    <w:rsid w:val="00090FFF"/>
    <w:rsid w:val="0009126F"/>
    <w:rsid w:val="000922F9"/>
    <w:rsid w:val="0009380F"/>
    <w:rsid w:val="00093D44"/>
    <w:rsid w:val="000947A5"/>
    <w:rsid w:val="00094BAE"/>
    <w:rsid w:val="000956C2"/>
    <w:rsid w:val="000A22BB"/>
    <w:rsid w:val="000A389A"/>
    <w:rsid w:val="000A50AD"/>
    <w:rsid w:val="000A54F5"/>
    <w:rsid w:val="000A7773"/>
    <w:rsid w:val="000B1C87"/>
    <w:rsid w:val="000B1E9B"/>
    <w:rsid w:val="000B2D35"/>
    <w:rsid w:val="000B2EBC"/>
    <w:rsid w:val="000B42C1"/>
    <w:rsid w:val="000B4629"/>
    <w:rsid w:val="000B5F19"/>
    <w:rsid w:val="000B609F"/>
    <w:rsid w:val="000B60D6"/>
    <w:rsid w:val="000B757D"/>
    <w:rsid w:val="000B7C26"/>
    <w:rsid w:val="000C1460"/>
    <w:rsid w:val="000C1F16"/>
    <w:rsid w:val="000C306B"/>
    <w:rsid w:val="000C62C3"/>
    <w:rsid w:val="000D1A1F"/>
    <w:rsid w:val="000D1DEC"/>
    <w:rsid w:val="000D2EEE"/>
    <w:rsid w:val="000D4C93"/>
    <w:rsid w:val="000D5FD0"/>
    <w:rsid w:val="000D67BF"/>
    <w:rsid w:val="000D7CBA"/>
    <w:rsid w:val="000E1DCA"/>
    <w:rsid w:val="000E305A"/>
    <w:rsid w:val="000E5066"/>
    <w:rsid w:val="000E507D"/>
    <w:rsid w:val="000E7065"/>
    <w:rsid w:val="000E79CE"/>
    <w:rsid w:val="000E7C11"/>
    <w:rsid w:val="000F0591"/>
    <w:rsid w:val="000F258B"/>
    <w:rsid w:val="000F2B59"/>
    <w:rsid w:val="000F3E35"/>
    <w:rsid w:val="000F4B61"/>
    <w:rsid w:val="000F5232"/>
    <w:rsid w:val="000F54ED"/>
    <w:rsid w:val="000F7938"/>
    <w:rsid w:val="000F7DB8"/>
    <w:rsid w:val="0010033A"/>
    <w:rsid w:val="001009D7"/>
    <w:rsid w:val="001013C3"/>
    <w:rsid w:val="00101D7A"/>
    <w:rsid w:val="00103535"/>
    <w:rsid w:val="00105A55"/>
    <w:rsid w:val="001069DC"/>
    <w:rsid w:val="00106E62"/>
    <w:rsid w:val="00107D45"/>
    <w:rsid w:val="00110B3A"/>
    <w:rsid w:val="00110FF7"/>
    <w:rsid w:val="001121A1"/>
    <w:rsid w:val="00112DCE"/>
    <w:rsid w:val="00113398"/>
    <w:rsid w:val="0011373C"/>
    <w:rsid w:val="00114772"/>
    <w:rsid w:val="00115C89"/>
    <w:rsid w:val="00120A7A"/>
    <w:rsid w:val="0012126B"/>
    <w:rsid w:val="0012246F"/>
    <w:rsid w:val="00123418"/>
    <w:rsid w:val="00125075"/>
    <w:rsid w:val="0012540B"/>
    <w:rsid w:val="001264F7"/>
    <w:rsid w:val="00127950"/>
    <w:rsid w:val="00132C66"/>
    <w:rsid w:val="00132FA0"/>
    <w:rsid w:val="00133D00"/>
    <w:rsid w:val="00135BBE"/>
    <w:rsid w:val="00135DF3"/>
    <w:rsid w:val="00137F38"/>
    <w:rsid w:val="00140871"/>
    <w:rsid w:val="001413A0"/>
    <w:rsid w:val="00141DA3"/>
    <w:rsid w:val="00142E02"/>
    <w:rsid w:val="001447E0"/>
    <w:rsid w:val="0014545B"/>
    <w:rsid w:val="0014593D"/>
    <w:rsid w:val="00145F16"/>
    <w:rsid w:val="001460D5"/>
    <w:rsid w:val="001475D7"/>
    <w:rsid w:val="00151CDC"/>
    <w:rsid w:val="00151EFE"/>
    <w:rsid w:val="001521D9"/>
    <w:rsid w:val="0015294F"/>
    <w:rsid w:val="00153208"/>
    <w:rsid w:val="00153617"/>
    <w:rsid w:val="001539E7"/>
    <w:rsid w:val="00154371"/>
    <w:rsid w:val="00155A3D"/>
    <w:rsid w:val="00155CC8"/>
    <w:rsid w:val="0015626C"/>
    <w:rsid w:val="00156AD1"/>
    <w:rsid w:val="00160610"/>
    <w:rsid w:val="001615DB"/>
    <w:rsid w:val="00162985"/>
    <w:rsid w:val="00162C0E"/>
    <w:rsid w:val="00164385"/>
    <w:rsid w:val="00164597"/>
    <w:rsid w:val="001652AE"/>
    <w:rsid w:val="00166378"/>
    <w:rsid w:val="00167105"/>
    <w:rsid w:val="00170E3B"/>
    <w:rsid w:val="001712C1"/>
    <w:rsid w:val="001725CB"/>
    <w:rsid w:val="00173E49"/>
    <w:rsid w:val="00175DCF"/>
    <w:rsid w:val="00176516"/>
    <w:rsid w:val="001778F8"/>
    <w:rsid w:val="001812A8"/>
    <w:rsid w:val="00185579"/>
    <w:rsid w:val="00185BB3"/>
    <w:rsid w:val="00186CF6"/>
    <w:rsid w:val="00186F45"/>
    <w:rsid w:val="00187E7E"/>
    <w:rsid w:val="001921E1"/>
    <w:rsid w:val="001927AA"/>
    <w:rsid w:val="001937DD"/>
    <w:rsid w:val="00193FB2"/>
    <w:rsid w:val="00195774"/>
    <w:rsid w:val="00196479"/>
    <w:rsid w:val="00196ACA"/>
    <w:rsid w:val="001A07AB"/>
    <w:rsid w:val="001A28AE"/>
    <w:rsid w:val="001A2E6E"/>
    <w:rsid w:val="001A4605"/>
    <w:rsid w:val="001A4B08"/>
    <w:rsid w:val="001A7326"/>
    <w:rsid w:val="001B2D80"/>
    <w:rsid w:val="001B5869"/>
    <w:rsid w:val="001B6FD7"/>
    <w:rsid w:val="001B7C1E"/>
    <w:rsid w:val="001C044F"/>
    <w:rsid w:val="001C15DC"/>
    <w:rsid w:val="001C3485"/>
    <w:rsid w:val="001C4E33"/>
    <w:rsid w:val="001C5AFE"/>
    <w:rsid w:val="001D09F5"/>
    <w:rsid w:val="001D1C16"/>
    <w:rsid w:val="001D2C0A"/>
    <w:rsid w:val="001D325E"/>
    <w:rsid w:val="001D3578"/>
    <w:rsid w:val="001D452F"/>
    <w:rsid w:val="001D62E8"/>
    <w:rsid w:val="001D7253"/>
    <w:rsid w:val="001D74D7"/>
    <w:rsid w:val="001E0083"/>
    <w:rsid w:val="001E14D2"/>
    <w:rsid w:val="001E1625"/>
    <w:rsid w:val="001E1D5E"/>
    <w:rsid w:val="001E2534"/>
    <w:rsid w:val="001E43A9"/>
    <w:rsid w:val="001E4BB0"/>
    <w:rsid w:val="001E6ADB"/>
    <w:rsid w:val="001F1543"/>
    <w:rsid w:val="001F1776"/>
    <w:rsid w:val="001F203B"/>
    <w:rsid w:val="001F2226"/>
    <w:rsid w:val="001F236E"/>
    <w:rsid w:val="001F3352"/>
    <w:rsid w:val="001F4013"/>
    <w:rsid w:val="001F501B"/>
    <w:rsid w:val="001F5A22"/>
    <w:rsid w:val="001F5B4E"/>
    <w:rsid w:val="001F70CE"/>
    <w:rsid w:val="001F7589"/>
    <w:rsid w:val="002009CE"/>
    <w:rsid w:val="00203FE6"/>
    <w:rsid w:val="00206A12"/>
    <w:rsid w:val="00206AFA"/>
    <w:rsid w:val="00207510"/>
    <w:rsid w:val="0020756E"/>
    <w:rsid w:val="002111ED"/>
    <w:rsid w:val="00211501"/>
    <w:rsid w:val="002131A8"/>
    <w:rsid w:val="00213F2F"/>
    <w:rsid w:val="00214F8B"/>
    <w:rsid w:val="0021548B"/>
    <w:rsid w:val="00220009"/>
    <w:rsid w:val="00221306"/>
    <w:rsid w:val="002220AD"/>
    <w:rsid w:val="0022271C"/>
    <w:rsid w:val="00222F5D"/>
    <w:rsid w:val="00223CCD"/>
    <w:rsid w:val="00223EBB"/>
    <w:rsid w:val="002253A5"/>
    <w:rsid w:val="0023170A"/>
    <w:rsid w:val="00231AF9"/>
    <w:rsid w:val="00232DC2"/>
    <w:rsid w:val="00235394"/>
    <w:rsid w:val="00237064"/>
    <w:rsid w:val="002373AD"/>
    <w:rsid w:val="002403B9"/>
    <w:rsid w:val="00240D66"/>
    <w:rsid w:val="002413CB"/>
    <w:rsid w:val="00244734"/>
    <w:rsid w:val="002470F3"/>
    <w:rsid w:val="002535BF"/>
    <w:rsid w:val="00253753"/>
    <w:rsid w:val="002539FF"/>
    <w:rsid w:val="00261B89"/>
    <w:rsid w:val="0026220D"/>
    <w:rsid w:val="00263064"/>
    <w:rsid w:val="00263E15"/>
    <w:rsid w:val="00264E69"/>
    <w:rsid w:val="002652AD"/>
    <w:rsid w:val="00266827"/>
    <w:rsid w:val="00266BE5"/>
    <w:rsid w:val="00270EED"/>
    <w:rsid w:val="00272ADE"/>
    <w:rsid w:val="00277468"/>
    <w:rsid w:val="00277EDC"/>
    <w:rsid w:val="0028019B"/>
    <w:rsid w:val="00280373"/>
    <w:rsid w:val="002805FF"/>
    <w:rsid w:val="002820C7"/>
    <w:rsid w:val="002821D5"/>
    <w:rsid w:val="002837B4"/>
    <w:rsid w:val="002838E6"/>
    <w:rsid w:val="002839E7"/>
    <w:rsid w:val="00286403"/>
    <w:rsid w:val="0028721C"/>
    <w:rsid w:val="00290801"/>
    <w:rsid w:val="0029124C"/>
    <w:rsid w:val="00292B4B"/>
    <w:rsid w:val="00292D3E"/>
    <w:rsid w:val="00292EAC"/>
    <w:rsid w:val="002930D5"/>
    <w:rsid w:val="002943EE"/>
    <w:rsid w:val="00294DAD"/>
    <w:rsid w:val="00295B15"/>
    <w:rsid w:val="0029637E"/>
    <w:rsid w:val="002A22DA"/>
    <w:rsid w:val="002A2B92"/>
    <w:rsid w:val="002A4200"/>
    <w:rsid w:val="002A505C"/>
    <w:rsid w:val="002A7962"/>
    <w:rsid w:val="002B00CA"/>
    <w:rsid w:val="002B45B6"/>
    <w:rsid w:val="002B4AC3"/>
    <w:rsid w:val="002B607A"/>
    <w:rsid w:val="002B759E"/>
    <w:rsid w:val="002B7BAE"/>
    <w:rsid w:val="002C1C6D"/>
    <w:rsid w:val="002C22A3"/>
    <w:rsid w:val="002C2B51"/>
    <w:rsid w:val="002C2D0B"/>
    <w:rsid w:val="002C3332"/>
    <w:rsid w:val="002C3803"/>
    <w:rsid w:val="002C5587"/>
    <w:rsid w:val="002C76EB"/>
    <w:rsid w:val="002D0B94"/>
    <w:rsid w:val="002D2CCE"/>
    <w:rsid w:val="002D3B05"/>
    <w:rsid w:val="002D3EF1"/>
    <w:rsid w:val="002D47EA"/>
    <w:rsid w:val="002D530F"/>
    <w:rsid w:val="002D60E1"/>
    <w:rsid w:val="002D6803"/>
    <w:rsid w:val="002D696D"/>
    <w:rsid w:val="002D72C3"/>
    <w:rsid w:val="002D73E2"/>
    <w:rsid w:val="002D77BE"/>
    <w:rsid w:val="002D78DA"/>
    <w:rsid w:val="002E0C4C"/>
    <w:rsid w:val="002E21E0"/>
    <w:rsid w:val="002E321F"/>
    <w:rsid w:val="002E36DD"/>
    <w:rsid w:val="002E49D3"/>
    <w:rsid w:val="002E5937"/>
    <w:rsid w:val="002E6931"/>
    <w:rsid w:val="002E7591"/>
    <w:rsid w:val="002F14F9"/>
    <w:rsid w:val="002F1C4F"/>
    <w:rsid w:val="002F25D4"/>
    <w:rsid w:val="002F3081"/>
    <w:rsid w:val="002F4CC2"/>
    <w:rsid w:val="002F721A"/>
    <w:rsid w:val="002F7AFB"/>
    <w:rsid w:val="00302DF0"/>
    <w:rsid w:val="00303DA5"/>
    <w:rsid w:val="00304360"/>
    <w:rsid w:val="0030531D"/>
    <w:rsid w:val="00305B52"/>
    <w:rsid w:val="00307FFE"/>
    <w:rsid w:val="003111BA"/>
    <w:rsid w:val="003132B5"/>
    <w:rsid w:val="003136A8"/>
    <w:rsid w:val="003164D8"/>
    <w:rsid w:val="00316C16"/>
    <w:rsid w:val="003174C0"/>
    <w:rsid w:val="00317C5F"/>
    <w:rsid w:val="00317E94"/>
    <w:rsid w:val="003215E8"/>
    <w:rsid w:val="00321AC0"/>
    <w:rsid w:val="003225B3"/>
    <w:rsid w:val="00324295"/>
    <w:rsid w:val="0032684A"/>
    <w:rsid w:val="003271D0"/>
    <w:rsid w:val="003277F7"/>
    <w:rsid w:val="0033033F"/>
    <w:rsid w:val="003308AA"/>
    <w:rsid w:val="00335DCC"/>
    <w:rsid w:val="003374CE"/>
    <w:rsid w:val="00337700"/>
    <w:rsid w:val="00344D8E"/>
    <w:rsid w:val="00345136"/>
    <w:rsid w:val="003466D2"/>
    <w:rsid w:val="0035075E"/>
    <w:rsid w:val="0035179B"/>
    <w:rsid w:val="00351B96"/>
    <w:rsid w:val="003531DD"/>
    <w:rsid w:val="003547C9"/>
    <w:rsid w:val="0035526A"/>
    <w:rsid w:val="0035611A"/>
    <w:rsid w:val="00356675"/>
    <w:rsid w:val="00356DBA"/>
    <w:rsid w:val="00357CBD"/>
    <w:rsid w:val="003602F6"/>
    <w:rsid w:val="00360A4C"/>
    <w:rsid w:val="00361A32"/>
    <w:rsid w:val="00362BFD"/>
    <w:rsid w:val="0036329B"/>
    <w:rsid w:val="003637CC"/>
    <w:rsid w:val="003639E1"/>
    <w:rsid w:val="00363A22"/>
    <w:rsid w:val="00365323"/>
    <w:rsid w:val="003654BD"/>
    <w:rsid w:val="00365EA6"/>
    <w:rsid w:val="0036647A"/>
    <w:rsid w:val="00366E5E"/>
    <w:rsid w:val="003670C3"/>
    <w:rsid w:val="0036765F"/>
    <w:rsid w:val="00370296"/>
    <w:rsid w:val="0037179D"/>
    <w:rsid w:val="00372670"/>
    <w:rsid w:val="003760CB"/>
    <w:rsid w:val="00377AB8"/>
    <w:rsid w:val="00380A3A"/>
    <w:rsid w:val="00381E89"/>
    <w:rsid w:val="0038289C"/>
    <w:rsid w:val="00383CFF"/>
    <w:rsid w:val="0038787A"/>
    <w:rsid w:val="00391824"/>
    <w:rsid w:val="00391A8C"/>
    <w:rsid w:val="00391CDF"/>
    <w:rsid w:val="00393938"/>
    <w:rsid w:val="0039444B"/>
    <w:rsid w:val="0039658E"/>
    <w:rsid w:val="003969A9"/>
    <w:rsid w:val="003A0A88"/>
    <w:rsid w:val="003A0E89"/>
    <w:rsid w:val="003A16CA"/>
    <w:rsid w:val="003A1964"/>
    <w:rsid w:val="003A3876"/>
    <w:rsid w:val="003A418E"/>
    <w:rsid w:val="003B0151"/>
    <w:rsid w:val="003B0368"/>
    <w:rsid w:val="003B365B"/>
    <w:rsid w:val="003B430C"/>
    <w:rsid w:val="003B45DD"/>
    <w:rsid w:val="003B4A6F"/>
    <w:rsid w:val="003B7B5B"/>
    <w:rsid w:val="003C0A66"/>
    <w:rsid w:val="003C4029"/>
    <w:rsid w:val="003C5065"/>
    <w:rsid w:val="003C5635"/>
    <w:rsid w:val="003C5D7F"/>
    <w:rsid w:val="003C5FCB"/>
    <w:rsid w:val="003C60A0"/>
    <w:rsid w:val="003C6FD4"/>
    <w:rsid w:val="003C7433"/>
    <w:rsid w:val="003D0A5C"/>
    <w:rsid w:val="003D0CF4"/>
    <w:rsid w:val="003D1C98"/>
    <w:rsid w:val="003D2738"/>
    <w:rsid w:val="003D422F"/>
    <w:rsid w:val="003D4649"/>
    <w:rsid w:val="003D4A57"/>
    <w:rsid w:val="003D4E8C"/>
    <w:rsid w:val="003D63D9"/>
    <w:rsid w:val="003E0DF4"/>
    <w:rsid w:val="003E13F3"/>
    <w:rsid w:val="003E1F37"/>
    <w:rsid w:val="003E2686"/>
    <w:rsid w:val="003E2DE3"/>
    <w:rsid w:val="003E456B"/>
    <w:rsid w:val="003E4AB0"/>
    <w:rsid w:val="003E4EB9"/>
    <w:rsid w:val="003E6964"/>
    <w:rsid w:val="003E7261"/>
    <w:rsid w:val="003F0870"/>
    <w:rsid w:val="003F1DA9"/>
    <w:rsid w:val="003F3462"/>
    <w:rsid w:val="003F52B2"/>
    <w:rsid w:val="003F5DC0"/>
    <w:rsid w:val="003F5E87"/>
    <w:rsid w:val="003F64DE"/>
    <w:rsid w:val="003F658C"/>
    <w:rsid w:val="003F681A"/>
    <w:rsid w:val="003F694D"/>
    <w:rsid w:val="003F6FF6"/>
    <w:rsid w:val="003F7C1F"/>
    <w:rsid w:val="003F7CD4"/>
    <w:rsid w:val="00402701"/>
    <w:rsid w:val="00402B3B"/>
    <w:rsid w:val="00402E28"/>
    <w:rsid w:val="00405636"/>
    <w:rsid w:val="00410DAB"/>
    <w:rsid w:val="004117F8"/>
    <w:rsid w:val="0041191C"/>
    <w:rsid w:val="00412C0A"/>
    <w:rsid w:val="00412DFD"/>
    <w:rsid w:val="00413F93"/>
    <w:rsid w:val="0041673E"/>
    <w:rsid w:val="0041736F"/>
    <w:rsid w:val="00420E76"/>
    <w:rsid w:val="00422111"/>
    <w:rsid w:val="004273D5"/>
    <w:rsid w:val="00427ED5"/>
    <w:rsid w:val="00430E72"/>
    <w:rsid w:val="0043106B"/>
    <w:rsid w:val="00431946"/>
    <w:rsid w:val="00431C59"/>
    <w:rsid w:val="00432957"/>
    <w:rsid w:val="00433C80"/>
    <w:rsid w:val="00434768"/>
    <w:rsid w:val="00435BFC"/>
    <w:rsid w:val="00436F1C"/>
    <w:rsid w:val="0044022B"/>
    <w:rsid w:val="00444227"/>
    <w:rsid w:val="00444825"/>
    <w:rsid w:val="004469B7"/>
    <w:rsid w:val="00446C0B"/>
    <w:rsid w:val="00447699"/>
    <w:rsid w:val="004500C8"/>
    <w:rsid w:val="00450969"/>
    <w:rsid w:val="0045122F"/>
    <w:rsid w:val="004549DD"/>
    <w:rsid w:val="00454BF1"/>
    <w:rsid w:val="00454C42"/>
    <w:rsid w:val="00454C60"/>
    <w:rsid w:val="0045615F"/>
    <w:rsid w:val="004572CF"/>
    <w:rsid w:val="00460036"/>
    <w:rsid w:val="00460A4B"/>
    <w:rsid w:val="00460E9F"/>
    <w:rsid w:val="00461FFF"/>
    <w:rsid w:val="00462575"/>
    <w:rsid w:val="00462816"/>
    <w:rsid w:val="00463637"/>
    <w:rsid w:val="00464F32"/>
    <w:rsid w:val="00465C9A"/>
    <w:rsid w:val="0046699F"/>
    <w:rsid w:val="00470222"/>
    <w:rsid w:val="00470DC2"/>
    <w:rsid w:val="00472081"/>
    <w:rsid w:val="004744E7"/>
    <w:rsid w:val="0047683F"/>
    <w:rsid w:val="00476F1D"/>
    <w:rsid w:val="00477450"/>
    <w:rsid w:val="00480AD8"/>
    <w:rsid w:val="00480C53"/>
    <w:rsid w:val="00481DAD"/>
    <w:rsid w:val="00482435"/>
    <w:rsid w:val="00482500"/>
    <w:rsid w:val="004836E2"/>
    <w:rsid w:val="00486609"/>
    <w:rsid w:val="0048688F"/>
    <w:rsid w:val="00491CAD"/>
    <w:rsid w:val="0049446C"/>
    <w:rsid w:val="00494E08"/>
    <w:rsid w:val="004955C1"/>
    <w:rsid w:val="00496B98"/>
    <w:rsid w:val="00497525"/>
    <w:rsid w:val="004A0B5A"/>
    <w:rsid w:val="004A1165"/>
    <w:rsid w:val="004A1876"/>
    <w:rsid w:val="004A3606"/>
    <w:rsid w:val="004A539D"/>
    <w:rsid w:val="004A64FA"/>
    <w:rsid w:val="004A6D32"/>
    <w:rsid w:val="004A6FE8"/>
    <w:rsid w:val="004B0722"/>
    <w:rsid w:val="004B128B"/>
    <w:rsid w:val="004B1D22"/>
    <w:rsid w:val="004B437B"/>
    <w:rsid w:val="004C0CA7"/>
    <w:rsid w:val="004C0E7A"/>
    <w:rsid w:val="004C1A58"/>
    <w:rsid w:val="004C4587"/>
    <w:rsid w:val="004C5988"/>
    <w:rsid w:val="004C6FEC"/>
    <w:rsid w:val="004C72E7"/>
    <w:rsid w:val="004D05A5"/>
    <w:rsid w:val="004D103F"/>
    <w:rsid w:val="004D1724"/>
    <w:rsid w:val="004D2277"/>
    <w:rsid w:val="004D386A"/>
    <w:rsid w:val="004D3925"/>
    <w:rsid w:val="004D3B0C"/>
    <w:rsid w:val="004D3FB2"/>
    <w:rsid w:val="004D519D"/>
    <w:rsid w:val="004D627A"/>
    <w:rsid w:val="004D6930"/>
    <w:rsid w:val="004E282F"/>
    <w:rsid w:val="004E3CC8"/>
    <w:rsid w:val="004E4FB9"/>
    <w:rsid w:val="004E5297"/>
    <w:rsid w:val="004E547F"/>
    <w:rsid w:val="004E5CD3"/>
    <w:rsid w:val="004E6571"/>
    <w:rsid w:val="004E6584"/>
    <w:rsid w:val="004E6971"/>
    <w:rsid w:val="004E7DA5"/>
    <w:rsid w:val="004F38B7"/>
    <w:rsid w:val="00500066"/>
    <w:rsid w:val="005026B0"/>
    <w:rsid w:val="00502BA4"/>
    <w:rsid w:val="00502CC3"/>
    <w:rsid w:val="00504644"/>
    <w:rsid w:val="00506BAD"/>
    <w:rsid w:val="00507D7F"/>
    <w:rsid w:val="0051141A"/>
    <w:rsid w:val="005125A9"/>
    <w:rsid w:val="00512B06"/>
    <w:rsid w:val="00512E44"/>
    <w:rsid w:val="005136B2"/>
    <w:rsid w:val="00513A8F"/>
    <w:rsid w:val="00513BEE"/>
    <w:rsid w:val="005146D2"/>
    <w:rsid w:val="00520706"/>
    <w:rsid w:val="005218E4"/>
    <w:rsid w:val="00521E9D"/>
    <w:rsid w:val="00521FDB"/>
    <w:rsid w:val="00523461"/>
    <w:rsid w:val="00523AE3"/>
    <w:rsid w:val="00524CCB"/>
    <w:rsid w:val="00527C7E"/>
    <w:rsid w:val="00531BF2"/>
    <w:rsid w:val="00532640"/>
    <w:rsid w:val="00532A7D"/>
    <w:rsid w:val="00532E22"/>
    <w:rsid w:val="0053326D"/>
    <w:rsid w:val="005341CF"/>
    <w:rsid w:val="00536340"/>
    <w:rsid w:val="005402FD"/>
    <w:rsid w:val="005403F2"/>
    <w:rsid w:val="00543442"/>
    <w:rsid w:val="005437EF"/>
    <w:rsid w:val="00543B6F"/>
    <w:rsid w:val="00544F87"/>
    <w:rsid w:val="00550A14"/>
    <w:rsid w:val="005534CF"/>
    <w:rsid w:val="00554315"/>
    <w:rsid w:val="00554828"/>
    <w:rsid w:val="00554A21"/>
    <w:rsid w:val="00554A4A"/>
    <w:rsid w:val="00554E95"/>
    <w:rsid w:val="0055537A"/>
    <w:rsid w:val="005570A8"/>
    <w:rsid w:val="00557813"/>
    <w:rsid w:val="00560678"/>
    <w:rsid w:val="0056089A"/>
    <w:rsid w:val="00561C6A"/>
    <w:rsid w:val="00563353"/>
    <w:rsid w:val="00564494"/>
    <w:rsid w:val="005648B2"/>
    <w:rsid w:val="00564F90"/>
    <w:rsid w:val="00567530"/>
    <w:rsid w:val="005679CA"/>
    <w:rsid w:val="005707A1"/>
    <w:rsid w:val="005709C6"/>
    <w:rsid w:val="00571674"/>
    <w:rsid w:val="0057202E"/>
    <w:rsid w:val="0057263A"/>
    <w:rsid w:val="005739D5"/>
    <w:rsid w:val="00574CA1"/>
    <w:rsid w:val="005753CB"/>
    <w:rsid w:val="00576300"/>
    <w:rsid w:val="005802D5"/>
    <w:rsid w:val="005805DA"/>
    <w:rsid w:val="00581078"/>
    <w:rsid w:val="005815C9"/>
    <w:rsid w:val="00582012"/>
    <w:rsid w:val="00583F94"/>
    <w:rsid w:val="00585A8C"/>
    <w:rsid w:val="005876E2"/>
    <w:rsid w:val="00591887"/>
    <w:rsid w:val="005921D5"/>
    <w:rsid w:val="00592571"/>
    <w:rsid w:val="005939BB"/>
    <w:rsid w:val="00595A38"/>
    <w:rsid w:val="00597204"/>
    <w:rsid w:val="00597354"/>
    <w:rsid w:val="005A2A1A"/>
    <w:rsid w:val="005A2B7A"/>
    <w:rsid w:val="005A3538"/>
    <w:rsid w:val="005A4812"/>
    <w:rsid w:val="005A4D2A"/>
    <w:rsid w:val="005A7514"/>
    <w:rsid w:val="005A7706"/>
    <w:rsid w:val="005A7797"/>
    <w:rsid w:val="005A7DEB"/>
    <w:rsid w:val="005B0494"/>
    <w:rsid w:val="005B0B51"/>
    <w:rsid w:val="005B0BA2"/>
    <w:rsid w:val="005B13CA"/>
    <w:rsid w:val="005B164B"/>
    <w:rsid w:val="005B1A7F"/>
    <w:rsid w:val="005B2ABC"/>
    <w:rsid w:val="005B2BCA"/>
    <w:rsid w:val="005B2D60"/>
    <w:rsid w:val="005B3B2C"/>
    <w:rsid w:val="005B6380"/>
    <w:rsid w:val="005B647A"/>
    <w:rsid w:val="005C177D"/>
    <w:rsid w:val="005C2684"/>
    <w:rsid w:val="005C3A18"/>
    <w:rsid w:val="005C579C"/>
    <w:rsid w:val="005C590F"/>
    <w:rsid w:val="005C59B2"/>
    <w:rsid w:val="005C5E64"/>
    <w:rsid w:val="005D0C1F"/>
    <w:rsid w:val="005D58B9"/>
    <w:rsid w:val="005D5BA5"/>
    <w:rsid w:val="005E135E"/>
    <w:rsid w:val="005E28E0"/>
    <w:rsid w:val="005E31CB"/>
    <w:rsid w:val="005E470B"/>
    <w:rsid w:val="005E6A8A"/>
    <w:rsid w:val="005E6B27"/>
    <w:rsid w:val="005E7051"/>
    <w:rsid w:val="005E763C"/>
    <w:rsid w:val="005F09FD"/>
    <w:rsid w:val="005F3C2B"/>
    <w:rsid w:val="005F5786"/>
    <w:rsid w:val="005F624C"/>
    <w:rsid w:val="005F65DE"/>
    <w:rsid w:val="005F6669"/>
    <w:rsid w:val="005F728C"/>
    <w:rsid w:val="006006B8"/>
    <w:rsid w:val="006008DD"/>
    <w:rsid w:val="00600E1D"/>
    <w:rsid w:val="00600E53"/>
    <w:rsid w:val="00602762"/>
    <w:rsid w:val="006027CD"/>
    <w:rsid w:val="00602F64"/>
    <w:rsid w:val="006042E6"/>
    <w:rsid w:val="00604FE5"/>
    <w:rsid w:val="00605D3C"/>
    <w:rsid w:val="0060692E"/>
    <w:rsid w:val="00610766"/>
    <w:rsid w:val="0061111C"/>
    <w:rsid w:val="00611284"/>
    <w:rsid w:val="0061311C"/>
    <w:rsid w:val="0061455B"/>
    <w:rsid w:val="006147EF"/>
    <w:rsid w:val="00616352"/>
    <w:rsid w:val="00617767"/>
    <w:rsid w:val="0062004F"/>
    <w:rsid w:val="00621783"/>
    <w:rsid w:val="00621A67"/>
    <w:rsid w:val="00625F76"/>
    <w:rsid w:val="0062714C"/>
    <w:rsid w:val="00627412"/>
    <w:rsid w:val="00627FFB"/>
    <w:rsid w:val="00630388"/>
    <w:rsid w:val="006307AD"/>
    <w:rsid w:val="00632ED7"/>
    <w:rsid w:val="006333B0"/>
    <w:rsid w:val="00633792"/>
    <w:rsid w:val="00634F2B"/>
    <w:rsid w:val="00636189"/>
    <w:rsid w:val="00636611"/>
    <w:rsid w:val="00636E2D"/>
    <w:rsid w:val="0063705C"/>
    <w:rsid w:val="00641270"/>
    <w:rsid w:val="0064303C"/>
    <w:rsid w:val="00645E9C"/>
    <w:rsid w:val="00646F38"/>
    <w:rsid w:val="00646FAF"/>
    <w:rsid w:val="00647B6A"/>
    <w:rsid w:val="00647D79"/>
    <w:rsid w:val="006511E7"/>
    <w:rsid w:val="00652150"/>
    <w:rsid w:val="00653B0D"/>
    <w:rsid w:val="00653F06"/>
    <w:rsid w:val="006548D4"/>
    <w:rsid w:val="0065672B"/>
    <w:rsid w:val="006567A8"/>
    <w:rsid w:val="00663C74"/>
    <w:rsid w:val="00667EB7"/>
    <w:rsid w:val="00670F78"/>
    <w:rsid w:val="00671F2E"/>
    <w:rsid w:val="0067265F"/>
    <w:rsid w:val="00672A9A"/>
    <w:rsid w:val="0067449F"/>
    <w:rsid w:val="0067486C"/>
    <w:rsid w:val="00680036"/>
    <w:rsid w:val="00680ABE"/>
    <w:rsid w:val="00682532"/>
    <w:rsid w:val="00684C80"/>
    <w:rsid w:val="00687289"/>
    <w:rsid w:val="006929AB"/>
    <w:rsid w:val="00692E99"/>
    <w:rsid w:val="006943D2"/>
    <w:rsid w:val="006948F4"/>
    <w:rsid w:val="00694946"/>
    <w:rsid w:val="006949E1"/>
    <w:rsid w:val="00695253"/>
    <w:rsid w:val="006952A4"/>
    <w:rsid w:val="0069596E"/>
    <w:rsid w:val="0069597D"/>
    <w:rsid w:val="00696045"/>
    <w:rsid w:val="00696D36"/>
    <w:rsid w:val="00697C05"/>
    <w:rsid w:val="006A1F99"/>
    <w:rsid w:val="006A2192"/>
    <w:rsid w:val="006A3503"/>
    <w:rsid w:val="006A5DDB"/>
    <w:rsid w:val="006A6134"/>
    <w:rsid w:val="006A6BB0"/>
    <w:rsid w:val="006A6FF2"/>
    <w:rsid w:val="006A70B1"/>
    <w:rsid w:val="006A72AD"/>
    <w:rsid w:val="006B0ADF"/>
    <w:rsid w:val="006B0AE6"/>
    <w:rsid w:val="006B0C27"/>
    <w:rsid w:val="006B1B44"/>
    <w:rsid w:val="006B2F6D"/>
    <w:rsid w:val="006B3016"/>
    <w:rsid w:val="006B4A99"/>
    <w:rsid w:val="006B5045"/>
    <w:rsid w:val="006B5A68"/>
    <w:rsid w:val="006B755E"/>
    <w:rsid w:val="006B7ECB"/>
    <w:rsid w:val="006C08B1"/>
    <w:rsid w:val="006C0A4A"/>
    <w:rsid w:val="006C1AD3"/>
    <w:rsid w:val="006C2A05"/>
    <w:rsid w:val="006C2F4C"/>
    <w:rsid w:val="006C50A5"/>
    <w:rsid w:val="006C584A"/>
    <w:rsid w:val="006C72CF"/>
    <w:rsid w:val="006D01AE"/>
    <w:rsid w:val="006D1099"/>
    <w:rsid w:val="006D1104"/>
    <w:rsid w:val="006D1EF2"/>
    <w:rsid w:val="006D2021"/>
    <w:rsid w:val="006D2A40"/>
    <w:rsid w:val="006D5549"/>
    <w:rsid w:val="006D7ED2"/>
    <w:rsid w:val="006E0036"/>
    <w:rsid w:val="006E0091"/>
    <w:rsid w:val="006E0E3C"/>
    <w:rsid w:val="006E12B9"/>
    <w:rsid w:val="006E1CF4"/>
    <w:rsid w:val="006E1FDB"/>
    <w:rsid w:val="006E2075"/>
    <w:rsid w:val="006E34F6"/>
    <w:rsid w:val="006E361B"/>
    <w:rsid w:val="006E64BE"/>
    <w:rsid w:val="006F0652"/>
    <w:rsid w:val="006F0A86"/>
    <w:rsid w:val="006F2A24"/>
    <w:rsid w:val="006F2DF7"/>
    <w:rsid w:val="006F6B17"/>
    <w:rsid w:val="00700C86"/>
    <w:rsid w:val="00701A67"/>
    <w:rsid w:val="00701E5F"/>
    <w:rsid w:val="00702CA8"/>
    <w:rsid w:val="007034F2"/>
    <w:rsid w:val="00703C5C"/>
    <w:rsid w:val="00703E3F"/>
    <w:rsid w:val="00704970"/>
    <w:rsid w:val="00704EED"/>
    <w:rsid w:val="00705384"/>
    <w:rsid w:val="0071070F"/>
    <w:rsid w:val="00710977"/>
    <w:rsid w:val="00710B40"/>
    <w:rsid w:val="00711788"/>
    <w:rsid w:val="00712C2F"/>
    <w:rsid w:val="00713729"/>
    <w:rsid w:val="00714626"/>
    <w:rsid w:val="00717013"/>
    <w:rsid w:val="00717A4C"/>
    <w:rsid w:val="00722285"/>
    <w:rsid w:val="00722EDE"/>
    <w:rsid w:val="00723FED"/>
    <w:rsid w:val="00730369"/>
    <w:rsid w:val="0073171D"/>
    <w:rsid w:val="00731C73"/>
    <w:rsid w:val="00731D06"/>
    <w:rsid w:val="00734025"/>
    <w:rsid w:val="00734301"/>
    <w:rsid w:val="007345F6"/>
    <w:rsid w:val="007362AE"/>
    <w:rsid w:val="0073796B"/>
    <w:rsid w:val="0074206A"/>
    <w:rsid w:val="00744005"/>
    <w:rsid w:val="007455CC"/>
    <w:rsid w:val="007457BA"/>
    <w:rsid w:val="00750EE7"/>
    <w:rsid w:val="007512A3"/>
    <w:rsid w:val="00751674"/>
    <w:rsid w:val="00753677"/>
    <w:rsid w:val="00753809"/>
    <w:rsid w:val="00754166"/>
    <w:rsid w:val="00762225"/>
    <w:rsid w:val="00762D46"/>
    <w:rsid w:val="00763A86"/>
    <w:rsid w:val="00764156"/>
    <w:rsid w:val="007647D2"/>
    <w:rsid w:val="007660EC"/>
    <w:rsid w:val="007669F6"/>
    <w:rsid w:val="00767143"/>
    <w:rsid w:val="00771E69"/>
    <w:rsid w:val="00772AAC"/>
    <w:rsid w:val="00772ED4"/>
    <w:rsid w:val="007731EF"/>
    <w:rsid w:val="00774265"/>
    <w:rsid w:val="00774AA6"/>
    <w:rsid w:val="007818B8"/>
    <w:rsid w:val="0078275F"/>
    <w:rsid w:val="00783038"/>
    <w:rsid w:val="007872C2"/>
    <w:rsid w:val="00790643"/>
    <w:rsid w:val="00790B05"/>
    <w:rsid w:val="00791D30"/>
    <w:rsid w:val="00793EFC"/>
    <w:rsid w:val="007943C7"/>
    <w:rsid w:val="007953EC"/>
    <w:rsid w:val="00796D64"/>
    <w:rsid w:val="00797487"/>
    <w:rsid w:val="007A00D8"/>
    <w:rsid w:val="007A12AA"/>
    <w:rsid w:val="007A26A8"/>
    <w:rsid w:val="007A2EE0"/>
    <w:rsid w:val="007A5493"/>
    <w:rsid w:val="007A5949"/>
    <w:rsid w:val="007A7869"/>
    <w:rsid w:val="007B101F"/>
    <w:rsid w:val="007B2112"/>
    <w:rsid w:val="007B4027"/>
    <w:rsid w:val="007B4BD1"/>
    <w:rsid w:val="007B4BD4"/>
    <w:rsid w:val="007B581D"/>
    <w:rsid w:val="007B592E"/>
    <w:rsid w:val="007B63F1"/>
    <w:rsid w:val="007B7098"/>
    <w:rsid w:val="007B729E"/>
    <w:rsid w:val="007C226D"/>
    <w:rsid w:val="007C45E1"/>
    <w:rsid w:val="007C5253"/>
    <w:rsid w:val="007C65B6"/>
    <w:rsid w:val="007D0A35"/>
    <w:rsid w:val="007D206A"/>
    <w:rsid w:val="007D2EFA"/>
    <w:rsid w:val="007D48B2"/>
    <w:rsid w:val="007D7EED"/>
    <w:rsid w:val="007E08DB"/>
    <w:rsid w:val="007E13E7"/>
    <w:rsid w:val="007E1770"/>
    <w:rsid w:val="007E1D6F"/>
    <w:rsid w:val="007E2503"/>
    <w:rsid w:val="007E2EB4"/>
    <w:rsid w:val="007E3669"/>
    <w:rsid w:val="007E5449"/>
    <w:rsid w:val="007E5F6E"/>
    <w:rsid w:val="007E66EE"/>
    <w:rsid w:val="007E699F"/>
    <w:rsid w:val="007F0C08"/>
    <w:rsid w:val="007F106B"/>
    <w:rsid w:val="007F12AD"/>
    <w:rsid w:val="007F1843"/>
    <w:rsid w:val="007F32EB"/>
    <w:rsid w:val="007F3474"/>
    <w:rsid w:val="007F3A65"/>
    <w:rsid w:val="007F4A37"/>
    <w:rsid w:val="007F5238"/>
    <w:rsid w:val="007F5475"/>
    <w:rsid w:val="007F5DEB"/>
    <w:rsid w:val="007F6C5F"/>
    <w:rsid w:val="00803756"/>
    <w:rsid w:val="00804B93"/>
    <w:rsid w:val="0080516F"/>
    <w:rsid w:val="008051E7"/>
    <w:rsid w:val="008057B3"/>
    <w:rsid w:val="00805BFC"/>
    <w:rsid w:val="008061C7"/>
    <w:rsid w:val="00806ED2"/>
    <w:rsid w:val="00807288"/>
    <w:rsid w:val="00813346"/>
    <w:rsid w:val="0081562D"/>
    <w:rsid w:val="00817CAB"/>
    <w:rsid w:val="0082288C"/>
    <w:rsid w:val="00822CC5"/>
    <w:rsid w:val="00823193"/>
    <w:rsid w:val="00823220"/>
    <w:rsid w:val="00823EFC"/>
    <w:rsid w:val="00825F87"/>
    <w:rsid w:val="008275AF"/>
    <w:rsid w:val="00827A09"/>
    <w:rsid w:val="00830306"/>
    <w:rsid w:val="00831CE8"/>
    <w:rsid w:val="008330B3"/>
    <w:rsid w:val="0083527D"/>
    <w:rsid w:val="008363CA"/>
    <w:rsid w:val="0083759B"/>
    <w:rsid w:val="008408E2"/>
    <w:rsid w:val="00841165"/>
    <w:rsid w:val="0084272E"/>
    <w:rsid w:val="008432FE"/>
    <w:rsid w:val="0084401B"/>
    <w:rsid w:val="0084498B"/>
    <w:rsid w:val="00844F83"/>
    <w:rsid w:val="008506D7"/>
    <w:rsid w:val="008517FC"/>
    <w:rsid w:val="00851FC8"/>
    <w:rsid w:val="008522CE"/>
    <w:rsid w:val="00852581"/>
    <w:rsid w:val="00852815"/>
    <w:rsid w:val="00853AA5"/>
    <w:rsid w:val="00853D65"/>
    <w:rsid w:val="0085715F"/>
    <w:rsid w:val="00857A2B"/>
    <w:rsid w:val="0086268D"/>
    <w:rsid w:val="00865476"/>
    <w:rsid w:val="008679BF"/>
    <w:rsid w:val="00870B10"/>
    <w:rsid w:val="0087116F"/>
    <w:rsid w:val="00871591"/>
    <w:rsid w:val="00871FB6"/>
    <w:rsid w:val="0087358E"/>
    <w:rsid w:val="00873EBB"/>
    <w:rsid w:val="00874219"/>
    <w:rsid w:val="00874505"/>
    <w:rsid w:val="00875C2D"/>
    <w:rsid w:val="00875FFB"/>
    <w:rsid w:val="008768EA"/>
    <w:rsid w:val="008771C5"/>
    <w:rsid w:val="00880877"/>
    <w:rsid w:val="00882141"/>
    <w:rsid w:val="00883A5D"/>
    <w:rsid w:val="00884181"/>
    <w:rsid w:val="00886162"/>
    <w:rsid w:val="0088690B"/>
    <w:rsid w:val="008961DC"/>
    <w:rsid w:val="00896362"/>
    <w:rsid w:val="008A068B"/>
    <w:rsid w:val="008A2389"/>
    <w:rsid w:val="008A2415"/>
    <w:rsid w:val="008A2DCD"/>
    <w:rsid w:val="008A3E12"/>
    <w:rsid w:val="008A5498"/>
    <w:rsid w:val="008A7E8E"/>
    <w:rsid w:val="008B0BE2"/>
    <w:rsid w:val="008B16BD"/>
    <w:rsid w:val="008B1952"/>
    <w:rsid w:val="008B33B1"/>
    <w:rsid w:val="008B39B9"/>
    <w:rsid w:val="008B5E25"/>
    <w:rsid w:val="008B73C2"/>
    <w:rsid w:val="008C0449"/>
    <w:rsid w:val="008C163F"/>
    <w:rsid w:val="008C1EBD"/>
    <w:rsid w:val="008C3E29"/>
    <w:rsid w:val="008C5790"/>
    <w:rsid w:val="008C5BC3"/>
    <w:rsid w:val="008C67C3"/>
    <w:rsid w:val="008C6899"/>
    <w:rsid w:val="008C6F70"/>
    <w:rsid w:val="008D0624"/>
    <w:rsid w:val="008D1594"/>
    <w:rsid w:val="008D1728"/>
    <w:rsid w:val="008D2555"/>
    <w:rsid w:val="008D2EA5"/>
    <w:rsid w:val="008D2EEB"/>
    <w:rsid w:val="008D56AA"/>
    <w:rsid w:val="008D5912"/>
    <w:rsid w:val="008D6345"/>
    <w:rsid w:val="008D6534"/>
    <w:rsid w:val="008D6A8C"/>
    <w:rsid w:val="008D7688"/>
    <w:rsid w:val="008E0DD6"/>
    <w:rsid w:val="008E3B2C"/>
    <w:rsid w:val="008E4058"/>
    <w:rsid w:val="008E4349"/>
    <w:rsid w:val="008E5CFD"/>
    <w:rsid w:val="008E6F48"/>
    <w:rsid w:val="008F0339"/>
    <w:rsid w:val="008F173F"/>
    <w:rsid w:val="008F3715"/>
    <w:rsid w:val="008F61A1"/>
    <w:rsid w:val="009037F7"/>
    <w:rsid w:val="00906446"/>
    <w:rsid w:val="00906BC6"/>
    <w:rsid w:val="009076FB"/>
    <w:rsid w:val="00910600"/>
    <w:rsid w:val="00911217"/>
    <w:rsid w:val="00914942"/>
    <w:rsid w:val="009163C5"/>
    <w:rsid w:val="0091724E"/>
    <w:rsid w:val="009208D3"/>
    <w:rsid w:val="0092149E"/>
    <w:rsid w:val="00921793"/>
    <w:rsid w:val="00921DB8"/>
    <w:rsid w:val="00921E70"/>
    <w:rsid w:val="00922665"/>
    <w:rsid w:val="00922BCA"/>
    <w:rsid w:val="00924744"/>
    <w:rsid w:val="00925180"/>
    <w:rsid w:val="0092530C"/>
    <w:rsid w:val="0092596A"/>
    <w:rsid w:val="009266BB"/>
    <w:rsid w:val="00927445"/>
    <w:rsid w:val="00927AAC"/>
    <w:rsid w:val="00927CC4"/>
    <w:rsid w:val="009319EC"/>
    <w:rsid w:val="009321F4"/>
    <w:rsid w:val="009335D5"/>
    <w:rsid w:val="009341A3"/>
    <w:rsid w:val="009342AF"/>
    <w:rsid w:val="00934ADF"/>
    <w:rsid w:val="00937C45"/>
    <w:rsid w:val="00937D1A"/>
    <w:rsid w:val="0094022D"/>
    <w:rsid w:val="009451BF"/>
    <w:rsid w:val="00945A27"/>
    <w:rsid w:val="00947312"/>
    <w:rsid w:val="00947791"/>
    <w:rsid w:val="0095065B"/>
    <w:rsid w:val="0095117F"/>
    <w:rsid w:val="009522CA"/>
    <w:rsid w:val="00956112"/>
    <w:rsid w:val="00957E1B"/>
    <w:rsid w:val="00957FE1"/>
    <w:rsid w:val="00960C74"/>
    <w:rsid w:val="00962181"/>
    <w:rsid w:val="0096239B"/>
    <w:rsid w:val="00964F06"/>
    <w:rsid w:val="00965882"/>
    <w:rsid w:val="00966432"/>
    <w:rsid w:val="00966CBC"/>
    <w:rsid w:val="00970780"/>
    <w:rsid w:val="00971632"/>
    <w:rsid w:val="00971E2A"/>
    <w:rsid w:val="009722DE"/>
    <w:rsid w:val="00972342"/>
    <w:rsid w:val="00974E99"/>
    <w:rsid w:val="00974FE6"/>
    <w:rsid w:val="00975A94"/>
    <w:rsid w:val="00975F86"/>
    <w:rsid w:val="00977863"/>
    <w:rsid w:val="00980634"/>
    <w:rsid w:val="00981111"/>
    <w:rsid w:val="00982C9F"/>
    <w:rsid w:val="00983F88"/>
    <w:rsid w:val="009849F7"/>
    <w:rsid w:val="00986614"/>
    <w:rsid w:val="00986A9C"/>
    <w:rsid w:val="00987C7E"/>
    <w:rsid w:val="009930C1"/>
    <w:rsid w:val="009933D5"/>
    <w:rsid w:val="00995358"/>
    <w:rsid w:val="00995595"/>
    <w:rsid w:val="00995EC3"/>
    <w:rsid w:val="0099697A"/>
    <w:rsid w:val="009979B1"/>
    <w:rsid w:val="00997EDC"/>
    <w:rsid w:val="009A0F93"/>
    <w:rsid w:val="009A1950"/>
    <w:rsid w:val="009A29F9"/>
    <w:rsid w:val="009A4623"/>
    <w:rsid w:val="009A53D3"/>
    <w:rsid w:val="009A54F6"/>
    <w:rsid w:val="009A6231"/>
    <w:rsid w:val="009B0431"/>
    <w:rsid w:val="009B0A95"/>
    <w:rsid w:val="009B33D4"/>
    <w:rsid w:val="009B62F7"/>
    <w:rsid w:val="009B648A"/>
    <w:rsid w:val="009B76B9"/>
    <w:rsid w:val="009B789F"/>
    <w:rsid w:val="009C4A06"/>
    <w:rsid w:val="009C54D3"/>
    <w:rsid w:val="009C6F32"/>
    <w:rsid w:val="009D0142"/>
    <w:rsid w:val="009D1392"/>
    <w:rsid w:val="009D199F"/>
    <w:rsid w:val="009D303E"/>
    <w:rsid w:val="009D3E80"/>
    <w:rsid w:val="009E0227"/>
    <w:rsid w:val="009E10C5"/>
    <w:rsid w:val="009E40CF"/>
    <w:rsid w:val="009E57D3"/>
    <w:rsid w:val="009E6117"/>
    <w:rsid w:val="009F2300"/>
    <w:rsid w:val="009F3CEB"/>
    <w:rsid w:val="009F6E0D"/>
    <w:rsid w:val="00A012EB"/>
    <w:rsid w:val="00A058E9"/>
    <w:rsid w:val="00A06230"/>
    <w:rsid w:val="00A108B6"/>
    <w:rsid w:val="00A10E41"/>
    <w:rsid w:val="00A11690"/>
    <w:rsid w:val="00A118EC"/>
    <w:rsid w:val="00A153C8"/>
    <w:rsid w:val="00A21D35"/>
    <w:rsid w:val="00A24068"/>
    <w:rsid w:val="00A24109"/>
    <w:rsid w:val="00A25D1A"/>
    <w:rsid w:val="00A314D4"/>
    <w:rsid w:val="00A33AC0"/>
    <w:rsid w:val="00A35103"/>
    <w:rsid w:val="00A36119"/>
    <w:rsid w:val="00A41033"/>
    <w:rsid w:val="00A434B1"/>
    <w:rsid w:val="00A43EDC"/>
    <w:rsid w:val="00A4764C"/>
    <w:rsid w:val="00A47B4C"/>
    <w:rsid w:val="00A51500"/>
    <w:rsid w:val="00A51F4C"/>
    <w:rsid w:val="00A52532"/>
    <w:rsid w:val="00A54A1E"/>
    <w:rsid w:val="00A558E6"/>
    <w:rsid w:val="00A55B6C"/>
    <w:rsid w:val="00A61AFF"/>
    <w:rsid w:val="00A63361"/>
    <w:rsid w:val="00A63383"/>
    <w:rsid w:val="00A6363E"/>
    <w:rsid w:val="00A65672"/>
    <w:rsid w:val="00A65B94"/>
    <w:rsid w:val="00A664CA"/>
    <w:rsid w:val="00A66EAC"/>
    <w:rsid w:val="00A67303"/>
    <w:rsid w:val="00A67660"/>
    <w:rsid w:val="00A71B5E"/>
    <w:rsid w:val="00A71DFC"/>
    <w:rsid w:val="00A74B65"/>
    <w:rsid w:val="00A81160"/>
    <w:rsid w:val="00A83A86"/>
    <w:rsid w:val="00A83E3E"/>
    <w:rsid w:val="00A84069"/>
    <w:rsid w:val="00A840F6"/>
    <w:rsid w:val="00A8544F"/>
    <w:rsid w:val="00A85C42"/>
    <w:rsid w:val="00A90C09"/>
    <w:rsid w:val="00A91140"/>
    <w:rsid w:val="00A92622"/>
    <w:rsid w:val="00A9292C"/>
    <w:rsid w:val="00A93885"/>
    <w:rsid w:val="00A943F9"/>
    <w:rsid w:val="00A94E74"/>
    <w:rsid w:val="00A95573"/>
    <w:rsid w:val="00A97F47"/>
    <w:rsid w:val="00AA0115"/>
    <w:rsid w:val="00AA16C8"/>
    <w:rsid w:val="00AA4759"/>
    <w:rsid w:val="00AA4A68"/>
    <w:rsid w:val="00AA4C98"/>
    <w:rsid w:val="00AA66AF"/>
    <w:rsid w:val="00AA6A3F"/>
    <w:rsid w:val="00AA7DF5"/>
    <w:rsid w:val="00AA7E54"/>
    <w:rsid w:val="00AB1272"/>
    <w:rsid w:val="00AB1EFB"/>
    <w:rsid w:val="00AB2C2C"/>
    <w:rsid w:val="00AB4AD4"/>
    <w:rsid w:val="00AB5A48"/>
    <w:rsid w:val="00AB7655"/>
    <w:rsid w:val="00AC099B"/>
    <w:rsid w:val="00AC4A3B"/>
    <w:rsid w:val="00AC50D4"/>
    <w:rsid w:val="00AC58EE"/>
    <w:rsid w:val="00AC5AE4"/>
    <w:rsid w:val="00AC608D"/>
    <w:rsid w:val="00AC6E0F"/>
    <w:rsid w:val="00AD0DE3"/>
    <w:rsid w:val="00AD135F"/>
    <w:rsid w:val="00AD1774"/>
    <w:rsid w:val="00AD17F6"/>
    <w:rsid w:val="00AD1CFB"/>
    <w:rsid w:val="00AD1F75"/>
    <w:rsid w:val="00AD27B5"/>
    <w:rsid w:val="00AD6035"/>
    <w:rsid w:val="00AD617A"/>
    <w:rsid w:val="00AE1A4C"/>
    <w:rsid w:val="00AE317C"/>
    <w:rsid w:val="00AE4091"/>
    <w:rsid w:val="00AE621D"/>
    <w:rsid w:val="00AF2035"/>
    <w:rsid w:val="00AF33F6"/>
    <w:rsid w:val="00AF3631"/>
    <w:rsid w:val="00AF6E31"/>
    <w:rsid w:val="00B025A3"/>
    <w:rsid w:val="00B02EBD"/>
    <w:rsid w:val="00B044E8"/>
    <w:rsid w:val="00B05357"/>
    <w:rsid w:val="00B05C6F"/>
    <w:rsid w:val="00B062AD"/>
    <w:rsid w:val="00B077C5"/>
    <w:rsid w:val="00B1044D"/>
    <w:rsid w:val="00B11A34"/>
    <w:rsid w:val="00B11A5B"/>
    <w:rsid w:val="00B12163"/>
    <w:rsid w:val="00B125CC"/>
    <w:rsid w:val="00B14D17"/>
    <w:rsid w:val="00B150BF"/>
    <w:rsid w:val="00B151D3"/>
    <w:rsid w:val="00B158E9"/>
    <w:rsid w:val="00B16C35"/>
    <w:rsid w:val="00B17195"/>
    <w:rsid w:val="00B17498"/>
    <w:rsid w:val="00B21ABF"/>
    <w:rsid w:val="00B21C7A"/>
    <w:rsid w:val="00B22F2E"/>
    <w:rsid w:val="00B23C1E"/>
    <w:rsid w:val="00B257D3"/>
    <w:rsid w:val="00B2624E"/>
    <w:rsid w:val="00B27496"/>
    <w:rsid w:val="00B279D5"/>
    <w:rsid w:val="00B27CA5"/>
    <w:rsid w:val="00B309D0"/>
    <w:rsid w:val="00B310D5"/>
    <w:rsid w:val="00B32F04"/>
    <w:rsid w:val="00B331C3"/>
    <w:rsid w:val="00B3413A"/>
    <w:rsid w:val="00B352EB"/>
    <w:rsid w:val="00B373F1"/>
    <w:rsid w:val="00B3764E"/>
    <w:rsid w:val="00B407B5"/>
    <w:rsid w:val="00B40932"/>
    <w:rsid w:val="00B41C2E"/>
    <w:rsid w:val="00B42E38"/>
    <w:rsid w:val="00B43C94"/>
    <w:rsid w:val="00B440A2"/>
    <w:rsid w:val="00B50331"/>
    <w:rsid w:val="00B509F5"/>
    <w:rsid w:val="00B51540"/>
    <w:rsid w:val="00B52A43"/>
    <w:rsid w:val="00B53B92"/>
    <w:rsid w:val="00B53DE4"/>
    <w:rsid w:val="00B552C9"/>
    <w:rsid w:val="00B55D5F"/>
    <w:rsid w:val="00B57F8A"/>
    <w:rsid w:val="00B60A0C"/>
    <w:rsid w:val="00B62014"/>
    <w:rsid w:val="00B62F23"/>
    <w:rsid w:val="00B634CA"/>
    <w:rsid w:val="00B65F3D"/>
    <w:rsid w:val="00B6616A"/>
    <w:rsid w:val="00B66EE6"/>
    <w:rsid w:val="00B67A71"/>
    <w:rsid w:val="00B703E2"/>
    <w:rsid w:val="00B70BD3"/>
    <w:rsid w:val="00B713D4"/>
    <w:rsid w:val="00B808D8"/>
    <w:rsid w:val="00B832FB"/>
    <w:rsid w:val="00B86178"/>
    <w:rsid w:val="00B87567"/>
    <w:rsid w:val="00B87F66"/>
    <w:rsid w:val="00B90017"/>
    <w:rsid w:val="00B93103"/>
    <w:rsid w:val="00B9577E"/>
    <w:rsid w:val="00B95D6B"/>
    <w:rsid w:val="00B96255"/>
    <w:rsid w:val="00BA048D"/>
    <w:rsid w:val="00BA0CA7"/>
    <w:rsid w:val="00BA2313"/>
    <w:rsid w:val="00BA45DC"/>
    <w:rsid w:val="00BA4953"/>
    <w:rsid w:val="00BA4FAE"/>
    <w:rsid w:val="00BA6340"/>
    <w:rsid w:val="00BA7240"/>
    <w:rsid w:val="00BA74A4"/>
    <w:rsid w:val="00BA7F65"/>
    <w:rsid w:val="00BB060C"/>
    <w:rsid w:val="00BB063B"/>
    <w:rsid w:val="00BB1AD5"/>
    <w:rsid w:val="00BB1ADC"/>
    <w:rsid w:val="00BB1BEE"/>
    <w:rsid w:val="00BB1FD6"/>
    <w:rsid w:val="00BB25B8"/>
    <w:rsid w:val="00BB2D12"/>
    <w:rsid w:val="00BB2EF5"/>
    <w:rsid w:val="00BB3F1D"/>
    <w:rsid w:val="00BB568D"/>
    <w:rsid w:val="00BB647A"/>
    <w:rsid w:val="00BB74A1"/>
    <w:rsid w:val="00BB7521"/>
    <w:rsid w:val="00BC49F7"/>
    <w:rsid w:val="00BC4C33"/>
    <w:rsid w:val="00BD0AD6"/>
    <w:rsid w:val="00BD2836"/>
    <w:rsid w:val="00BD4067"/>
    <w:rsid w:val="00BD41EB"/>
    <w:rsid w:val="00BD4C2A"/>
    <w:rsid w:val="00BD789E"/>
    <w:rsid w:val="00BE0983"/>
    <w:rsid w:val="00BE19F7"/>
    <w:rsid w:val="00BE1A0F"/>
    <w:rsid w:val="00BE2CF7"/>
    <w:rsid w:val="00BE34D8"/>
    <w:rsid w:val="00BF0155"/>
    <w:rsid w:val="00BF071F"/>
    <w:rsid w:val="00BF0971"/>
    <w:rsid w:val="00BF09F1"/>
    <w:rsid w:val="00BF0F8B"/>
    <w:rsid w:val="00BF3944"/>
    <w:rsid w:val="00BF3BEA"/>
    <w:rsid w:val="00BF5489"/>
    <w:rsid w:val="00BF55A8"/>
    <w:rsid w:val="00BF5D6C"/>
    <w:rsid w:val="00BF6D1A"/>
    <w:rsid w:val="00C03753"/>
    <w:rsid w:val="00C03828"/>
    <w:rsid w:val="00C0601F"/>
    <w:rsid w:val="00C061F8"/>
    <w:rsid w:val="00C06523"/>
    <w:rsid w:val="00C06F0A"/>
    <w:rsid w:val="00C11A6C"/>
    <w:rsid w:val="00C12D42"/>
    <w:rsid w:val="00C130C0"/>
    <w:rsid w:val="00C14CFA"/>
    <w:rsid w:val="00C14E79"/>
    <w:rsid w:val="00C15A89"/>
    <w:rsid w:val="00C16548"/>
    <w:rsid w:val="00C17929"/>
    <w:rsid w:val="00C2011C"/>
    <w:rsid w:val="00C22966"/>
    <w:rsid w:val="00C233C3"/>
    <w:rsid w:val="00C24ACC"/>
    <w:rsid w:val="00C25766"/>
    <w:rsid w:val="00C27168"/>
    <w:rsid w:val="00C3213D"/>
    <w:rsid w:val="00C32FC0"/>
    <w:rsid w:val="00C332D2"/>
    <w:rsid w:val="00C3509C"/>
    <w:rsid w:val="00C3528C"/>
    <w:rsid w:val="00C3587C"/>
    <w:rsid w:val="00C3605E"/>
    <w:rsid w:val="00C36118"/>
    <w:rsid w:val="00C41984"/>
    <w:rsid w:val="00C41ED0"/>
    <w:rsid w:val="00C43A5D"/>
    <w:rsid w:val="00C44E9F"/>
    <w:rsid w:val="00C463D6"/>
    <w:rsid w:val="00C46D88"/>
    <w:rsid w:val="00C50594"/>
    <w:rsid w:val="00C511FB"/>
    <w:rsid w:val="00C527FE"/>
    <w:rsid w:val="00C53202"/>
    <w:rsid w:val="00C54678"/>
    <w:rsid w:val="00C55391"/>
    <w:rsid w:val="00C55670"/>
    <w:rsid w:val="00C559BC"/>
    <w:rsid w:val="00C55A20"/>
    <w:rsid w:val="00C57120"/>
    <w:rsid w:val="00C5779D"/>
    <w:rsid w:val="00C610CC"/>
    <w:rsid w:val="00C62FED"/>
    <w:rsid w:val="00C6376F"/>
    <w:rsid w:val="00C65E82"/>
    <w:rsid w:val="00C67ECD"/>
    <w:rsid w:val="00C71CD0"/>
    <w:rsid w:val="00C71DD1"/>
    <w:rsid w:val="00C722FA"/>
    <w:rsid w:val="00C72798"/>
    <w:rsid w:val="00C7290C"/>
    <w:rsid w:val="00C72C72"/>
    <w:rsid w:val="00C7515C"/>
    <w:rsid w:val="00C76E12"/>
    <w:rsid w:val="00C8003E"/>
    <w:rsid w:val="00C802B3"/>
    <w:rsid w:val="00C802EF"/>
    <w:rsid w:val="00C8304A"/>
    <w:rsid w:val="00C85C29"/>
    <w:rsid w:val="00C915CD"/>
    <w:rsid w:val="00C9232D"/>
    <w:rsid w:val="00C9273D"/>
    <w:rsid w:val="00C927E4"/>
    <w:rsid w:val="00C92C96"/>
    <w:rsid w:val="00C9304B"/>
    <w:rsid w:val="00C930DB"/>
    <w:rsid w:val="00C93CD4"/>
    <w:rsid w:val="00C95E40"/>
    <w:rsid w:val="00C95EAB"/>
    <w:rsid w:val="00CA34E8"/>
    <w:rsid w:val="00CA440C"/>
    <w:rsid w:val="00CA6E77"/>
    <w:rsid w:val="00CA7957"/>
    <w:rsid w:val="00CB1965"/>
    <w:rsid w:val="00CB3468"/>
    <w:rsid w:val="00CB39D8"/>
    <w:rsid w:val="00CB3D40"/>
    <w:rsid w:val="00CB5339"/>
    <w:rsid w:val="00CC01BA"/>
    <w:rsid w:val="00CC0510"/>
    <w:rsid w:val="00CC26EF"/>
    <w:rsid w:val="00CC2D7C"/>
    <w:rsid w:val="00CC661F"/>
    <w:rsid w:val="00CC6F89"/>
    <w:rsid w:val="00CC7FA6"/>
    <w:rsid w:val="00CD0A73"/>
    <w:rsid w:val="00CD11E1"/>
    <w:rsid w:val="00CD1A12"/>
    <w:rsid w:val="00CD1F42"/>
    <w:rsid w:val="00CD1F6F"/>
    <w:rsid w:val="00CD29A8"/>
    <w:rsid w:val="00CD3177"/>
    <w:rsid w:val="00CD3351"/>
    <w:rsid w:val="00CD3766"/>
    <w:rsid w:val="00CD4DAF"/>
    <w:rsid w:val="00CD5B44"/>
    <w:rsid w:val="00CD62AA"/>
    <w:rsid w:val="00CD7644"/>
    <w:rsid w:val="00CE052D"/>
    <w:rsid w:val="00CE07B4"/>
    <w:rsid w:val="00CE0F53"/>
    <w:rsid w:val="00CE2E45"/>
    <w:rsid w:val="00CE3D0F"/>
    <w:rsid w:val="00CE3EB6"/>
    <w:rsid w:val="00CE5FA7"/>
    <w:rsid w:val="00CE6EE9"/>
    <w:rsid w:val="00CE6F25"/>
    <w:rsid w:val="00CF0723"/>
    <w:rsid w:val="00CF31C8"/>
    <w:rsid w:val="00CF5F4D"/>
    <w:rsid w:val="00CF6706"/>
    <w:rsid w:val="00CF7ACB"/>
    <w:rsid w:val="00D00284"/>
    <w:rsid w:val="00D00519"/>
    <w:rsid w:val="00D020F1"/>
    <w:rsid w:val="00D05537"/>
    <w:rsid w:val="00D06C74"/>
    <w:rsid w:val="00D10758"/>
    <w:rsid w:val="00D10856"/>
    <w:rsid w:val="00D116BB"/>
    <w:rsid w:val="00D12D53"/>
    <w:rsid w:val="00D1393E"/>
    <w:rsid w:val="00D17373"/>
    <w:rsid w:val="00D21C26"/>
    <w:rsid w:val="00D238AA"/>
    <w:rsid w:val="00D23A58"/>
    <w:rsid w:val="00D24406"/>
    <w:rsid w:val="00D265F6"/>
    <w:rsid w:val="00D27BDC"/>
    <w:rsid w:val="00D31836"/>
    <w:rsid w:val="00D34496"/>
    <w:rsid w:val="00D36814"/>
    <w:rsid w:val="00D44BB8"/>
    <w:rsid w:val="00D46537"/>
    <w:rsid w:val="00D46D14"/>
    <w:rsid w:val="00D47112"/>
    <w:rsid w:val="00D4753F"/>
    <w:rsid w:val="00D51F0F"/>
    <w:rsid w:val="00D53545"/>
    <w:rsid w:val="00D538AB"/>
    <w:rsid w:val="00D54095"/>
    <w:rsid w:val="00D542FB"/>
    <w:rsid w:val="00D56616"/>
    <w:rsid w:val="00D5687A"/>
    <w:rsid w:val="00D57C2F"/>
    <w:rsid w:val="00D60BB8"/>
    <w:rsid w:val="00D61917"/>
    <w:rsid w:val="00D61FEC"/>
    <w:rsid w:val="00D6405D"/>
    <w:rsid w:val="00D656B3"/>
    <w:rsid w:val="00D673E9"/>
    <w:rsid w:val="00D67782"/>
    <w:rsid w:val="00D710C7"/>
    <w:rsid w:val="00D71518"/>
    <w:rsid w:val="00D72742"/>
    <w:rsid w:val="00D736AF"/>
    <w:rsid w:val="00D74FFE"/>
    <w:rsid w:val="00D76747"/>
    <w:rsid w:val="00D772C9"/>
    <w:rsid w:val="00D80567"/>
    <w:rsid w:val="00D82B3B"/>
    <w:rsid w:val="00D833F3"/>
    <w:rsid w:val="00D83B6A"/>
    <w:rsid w:val="00D83E42"/>
    <w:rsid w:val="00D85AFA"/>
    <w:rsid w:val="00D876C8"/>
    <w:rsid w:val="00D90786"/>
    <w:rsid w:val="00D90EBE"/>
    <w:rsid w:val="00D91E16"/>
    <w:rsid w:val="00D930B2"/>
    <w:rsid w:val="00D93C7C"/>
    <w:rsid w:val="00D976F1"/>
    <w:rsid w:val="00DA12DD"/>
    <w:rsid w:val="00DA2B9F"/>
    <w:rsid w:val="00DA571A"/>
    <w:rsid w:val="00DA5CCE"/>
    <w:rsid w:val="00DA7C35"/>
    <w:rsid w:val="00DB079F"/>
    <w:rsid w:val="00DB0B74"/>
    <w:rsid w:val="00DB19EE"/>
    <w:rsid w:val="00DB24A6"/>
    <w:rsid w:val="00DB25D1"/>
    <w:rsid w:val="00DB27DE"/>
    <w:rsid w:val="00DB32B2"/>
    <w:rsid w:val="00DB3DC1"/>
    <w:rsid w:val="00DB54A3"/>
    <w:rsid w:val="00DB5C85"/>
    <w:rsid w:val="00DB62C2"/>
    <w:rsid w:val="00DB6CEE"/>
    <w:rsid w:val="00DC06EA"/>
    <w:rsid w:val="00DC26C9"/>
    <w:rsid w:val="00DC31BD"/>
    <w:rsid w:val="00DC3406"/>
    <w:rsid w:val="00DC3CF1"/>
    <w:rsid w:val="00DC423D"/>
    <w:rsid w:val="00DC52C9"/>
    <w:rsid w:val="00DC59D9"/>
    <w:rsid w:val="00DC5D71"/>
    <w:rsid w:val="00DC5E31"/>
    <w:rsid w:val="00DC60EF"/>
    <w:rsid w:val="00DC6F6A"/>
    <w:rsid w:val="00DC75D3"/>
    <w:rsid w:val="00DC7A30"/>
    <w:rsid w:val="00DD2D37"/>
    <w:rsid w:val="00DD3276"/>
    <w:rsid w:val="00DD6361"/>
    <w:rsid w:val="00DD6E79"/>
    <w:rsid w:val="00DE0351"/>
    <w:rsid w:val="00DE18B2"/>
    <w:rsid w:val="00DE2267"/>
    <w:rsid w:val="00DE4BCE"/>
    <w:rsid w:val="00DE57AF"/>
    <w:rsid w:val="00DE6153"/>
    <w:rsid w:val="00DE62F6"/>
    <w:rsid w:val="00DE7725"/>
    <w:rsid w:val="00DF6FCD"/>
    <w:rsid w:val="00DF7CC5"/>
    <w:rsid w:val="00E02AE3"/>
    <w:rsid w:val="00E02C40"/>
    <w:rsid w:val="00E04233"/>
    <w:rsid w:val="00E046FA"/>
    <w:rsid w:val="00E061AB"/>
    <w:rsid w:val="00E069AF"/>
    <w:rsid w:val="00E079F2"/>
    <w:rsid w:val="00E07B11"/>
    <w:rsid w:val="00E1030F"/>
    <w:rsid w:val="00E10F0E"/>
    <w:rsid w:val="00E11783"/>
    <w:rsid w:val="00E11B06"/>
    <w:rsid w:val="00E1238D"/>
    <w:rsid w:val="00E12955"/>
    <w:rsid w:val="00E13A49"/>
    <w:rsid w:val="00E15930"/>
    <w:rsid w:val="00E15F04"/>
    <w:rsid w:val="00E165FA"/>
    <w:rsid w:val="00E218E5"/>
    <w:rsid w:val="00E21B21"/>
    <w:rsid w:val="00E21F61"/>
    <w:rsid w:val="00E3004A"/>
    <w:rsid w:val="00E31BB7"/>
    <w:rsid w:val="00E3293F"/>
    <w:rsid w:val="00E32B11"/>
    <w:rsid w:val="00E33358"/>
    <w:rsid w:val="00E33537"/>
    <w:rsid w:val="00E35F16"/>
    <w:rsid w:val="00E41BE5"/>
    <w:rsid w:val="00E42425"/>
    <w:rsid w:val="00E43CC4"/>
    <w:rsid w:val="00E5057B"/>
    <w:rsid w:val="00E5273F"/>
    <w:rsid w:val="00E52E3D"/>
    <w:rsid w:val="00E52F61"/>
    <w:rsid w:val="00E546A6"/>
    <w:rsid w:val="00E55BFD"/>
    <w:rsid w:val="00E57326"/>
    <w:rsid w:val="00E57FB5"/>
    <w:rsid w:val="00E603D1"/>
    <w:rsid w:val="00E65099"/>
    <w:rsid w:val="00E65AA9"/>
    <w:rsid w:val="00E65E06"/>
    <w:rsid w:val="00E663BB"/>
    <w:rsid w:val="00E66BB7"/>
    <w:rsid w:val="00E670F8"/>
    <w:rsid w:val="00E70000"/>
    <w:rsid w:val="00E70080"/>
    <w:rsid w:val="00E70195"/>
    <w:rsid w:val="00E7020C"/>
    <w:rsid w:val="00E710F9"/>
    <w:rsid w:val="00E716EE"/>
    <w:rsid w:val="00E721A9"/>
    <w:rsid w:val="00E72205"/>
    <w:rsid w:val="00E72228"/>
    <w:rsid w:val="00E72643"/>
    <w:rsid w:val="00E72B5D"/>
    <w:rsid w:val="00E72B6C"/>
    <w:rsid w:val="00E7309F"/>
    <w:rsid w:val="00E73A07"/>
    <w:rsid w:val="00E73E13"/>
    <w:rsid w:val="00E74842"/>
    <w:rsid w:val="00E764B3"/>
    <w:rsid w:val="00E76904"/>
    <w:rsid w:val="00E77D71"/>
    <w:rsid w:val="00E809C3"/>
    <w:rsid w:val="00E80D35"/>
    <w:rsid w:val="00E8278F"/>
    <w:rsid w:val="00E83E8F"/>
    <w:rsid w:val="00E841B1"/>
    <w:rsid w:val="00E84413"/>
    <w:rsid w:val="00E876F9"/>
    <w:rsid w:val="00E906FF"/>
    <w:rsid w:val="00E915A9"/>
    <w:rsid w:val="00E93DCE"/>
    <w:rsid w:val="00E94FB9"/>
    <w:rsid w:val="00E95FB2"/>
    <w:rsid w:val="00E960F0"/>
    <w:rsid w:val="00E97D63"/>
    <w:rsid w:val="00EA05D2"/>
    <w:rsid w:val="00EB0E55"/>
    <w:rsid w:val="00EB100A"/>
    <w:rsid w:val="00EB27CD"/>
    <w:rsid w:val="00EB3640"/>
    <w:rsid w:val="00EB527B"/>
    <w:rsid w:val="00EB663C"/>
    <w:rsid w:val="00EB66DB"/>
    <w:rsid w:val="00EB78B3"/>
    <w:rsid w:val="00EB7E74"/>
    <w:rsid w:val="00EC0CD4"/>
    <w:rsid w:val="00EC0F07"/>
    <w:rsid w:val="00EC192B"/>
    <w:rsid w:val="00EC1D3D"/>
    <w:rsid w:val="00EC20A9"/>
    <w:rsid w:val="00EC242C"/>
    <w:rsid w:val="00EC2541"/>
    <w:rsid w:val="00EC39AC"/>
    <w:rsid w:val="00EC73C3"/>
    <w:rsid w:val="00EC7CE5"/>
    <w:rsid w:val="00EC7D23"/>
    <w:rsid w:val="00ED10FA"/>
    <w:rsid w:val="00ED1201"/>
    <w:rsid w:val="00ED16FD"/>
    <w:rsid w:val="00ED1846"/>
    <w:rsid w:val="00ED2999"/>
    <w:rsid w:val="00ED3311"/>
    <w:rsid w:val="00ED3EE4"/>
    <w:rsid w:val="00ED628A"/>
    <w:rsid w:val="00EE048F"/>
    <w:rsid w:val="00EE107C"/>
    <w:rsid w:val="00EE2AAC"/>
    <w:rsid w:val="00EE2BC1"/>
    <w:rsid w:val="00EE3F73"/>
    <w:rsid w:val="00EE4A9E"/>
    <w:rsid w:val="00EE5D6A"/>
    <w:rsid w:val="00EE7F70"/>
    <w:rsid w:val="00EF265A"/>
    <w:rsid w:val="00EF2D7A"/>
    <w:rsid w:val="00EF3EBC"/>
    <w:rsid w:val="00EF415E"/>
    <w:rsid w:val="00EF543B"/>
    <w:rsid w:val="00EF6567"/>
    <w:rsid w:val="00EF6DB9"/>
    <w:rsid w:val="00F00052"/>
    <w:rsid w:val="00F0171A"/>
    <w:rsid w:val="00F01DBD"/>
    <w:rsid w:val="00F048C0"/>
    <w:rsid w:val="00F04F81"/>
    <w:rsid w:val="00F05455"/>
    <w:rsid w:val="00F07EC9"/>
    <w:rsid w:val="00F115D0"/>
    <w:rsid w:val="00F12C5D"/>
    <w:rsid w:val="00F144E8"/>
    <w:rsid w:val="00F148A5"/>
    <w:rsid w:val="00F14CB5"/>
    <w:rsid w:val="00F17D8D"/>
    <w:rsid w:val="00F2211A"/>
    <w:rsid w:val="00F22455"/>
    <w:rsid w:val="00F247E3"/>
    <w:rsid w:val="00F254FD"/>
    <w:rsid w:val="00F258DC"/>
    <w:rsid w:val="00F26CC1"/>
    <w:rsid w:val="00F303BF"/>
    <w:rsid w:val="00F30DC2"/>
    <w:rsid w:val="00F31934"/>
    <w:rsid w:val="00F346E7"/>
    <w:rsid w:val="00F3561B"/>
    <w:rsid w:val="00F35CD6"/>
    <w:rsid w:val="00F35D17"/>
    <w:rsid w:val="00F37865"/>
    <w:rsid w:val="00F4282D"/>
    <w:rsid w:val="00F428FD"/>
    <w:rsid w:val="00F431F1"/>
    <w:rsid w:val="00F43850"/>
    <w:rsid w:val="00F43DE1"/>
    <w:rsid w:val="00F4449E"/>
    <w:rsid w:val="00F46676"/>
    <w:rsid w:val="00F472E6"/>
    <w:rsid w:val="00F47408"/>
    <w:rsid w:val="00F50545"/>
    <w:rsid w:val="00F50701"/>
    <w:rsid w:val="00F52753"/>
    <w:rsid w:val="00F540CE"/>
    <w:rsid w:val="00F5532F"/>
    <w:rsid w:val="00F55FA1"/>
    <w:rsid w:val="00F57768"/>
    <w:rsid w:val="00F6025A"/>
    <w:rsid w:val="00F612CB"/>
    <w:rsid w:val="00F61B6C"/>
    <w:rsid w:val="00F624CF"/>
    <w:rsid w:val="00F62B26"/>
    <w:rsid w:val="00F64654"/>
    <w:rsid w:val="00F65159"/>
    <w:rsid w:val="00F660C4"/>
    <w:rsid w:val="00F6625E"/>
    <w:rsid w:val="00F70FF9"/>
    <w:rsid w:val="00F714CF"/>
    <w:rsid w:val="00F71F22"/>
    <w:rsid w:val="00F722DD"/>
    <w:rsid w:val="00F72C99"/>
    <w:rsid w:val="00F73123"/>
    <w:rsid w:val="00F73C63"/>
    <w:rsid w:val="00F73D01"/>
    <w:rsid w:val="00F760F7"/>
    <w:rsid w:val="00F76E02"/>
    <w:rsid w:val="00F80662"/>
    <w:rsid w:val="00F8450C"/>
    <w:rsid w:val="00F84CB2"/>
    <w:rsid w:val="00F86E58"/>
    <w:rsid w:val="00F91048"/>
    <w:rsid w:val="00F92D09"/>
    <w:rsid w:val="00FA0156"/>
    <w:rsid w:val="00FA2531"/>
    <w:rsid w:val="00FA571B"/>
    <w:rsid w:val="00FA58F9"/>
    <w:rsid w:val="00FA6432"/>
    <w:rsid w:val="00FA772E"/>
    <w:rsid w:val="00FB01EF"/>
    <w:rsid w:val="00FB5162"/>
    <w:rsid w:val="00FB535F"/>
    <w:rsid w:val="00FB7F0E"/>
    <w:rsid w:val="00FC077A"/>
    <w:rsid w:val="00FC14D9"/>
    <w:rsid w:val="00FC1F4C"/>
    <w:rsid w:val="00FC2064"/>
    <w:rsid w:val="00FC27E3"/>
    <w:rsid w:val="00FC305D"/>
    <w:rsid w:val="00FC31F1"/>
    <w:rsid w:val="00FC6251"/>
    <w:rsid w:val="00FC7210"/>
    <w:rsid w:val="00FC72E1"/>
    <w:rsid w:val="00FD097F"/>
    <w:rsid w:val="00FD183A"/>
    <w:rsid w:val="00FD1B68"/>
    <w:rsid w:val="00FD287C"/>
    <w:rsid w:val="00FD2C2D"/>
    <w:rsid w:val="00FD2E46"/>
    <w:rsid w:val="00FD3525"/>
    <w:rsid w:val="00FD3AD9"/>
    <w:rsid w:val="00FD43A6"/>
    <w:rsid w:val="00FD74EF"/>
    <w:rsid w:val="00FE07AA"/>
    <w:rsid w:val="00FE1062"/>
    <w:rsid w:val="00FE315D"/>
    <w:rsid w:val="00FE4AAF"/>
    <w:rsid w:val="00FE510B"/>
    <w:rsid w:val="00FE516A"/>
    <w:rsid w:val="00FE632E"/>
    <w:rsid w:val="00FF10C0"/>
    <w:rsid w:val="00FF14D2"/>
    <w:rsid w:val="00FF3E9F"/>
    <w:rsid w:val="00FF6AB0"/>
    <w:rsid w:val="00FF6BF3"/>
    <w:rsid w:val="00FF6C2F"/>
    <w:rsid w:val="00FF7BFC"/>
    <w:rsid w:val="00FF7D20"/>
    <w:rsid w:val="038D37DE"/>
    <w:rsid w:val="05B079B3"/>
    <w:rsid w:val="05FB199E"/>
    <w:rsid w:val="0A0759E6"/>
    <w:rsid w:val="0C2B6032"/>
    <w:rsid w:val="0C4B1BEC"/>
    <w:rsid w:val="0C88323F"/>
    <w:rsid w:val="0E1E425A"/>
    <w:rsid w:val="0F1102FC"/>
    <w:rsid w:val="10441AA6"/>
    <w:rsid w:val="10FC71A3"/>
    <w:rsid w:val="121D66C1"/>
    <w:rsid w:val="12860F9D"/>
    <w:rsid w:val="138B26D4"/>
    <w:rsid w:val="13C25993"/>
    <w:rsid w:val="16F25092"/>
    <w:rsid w:val="175D22FD"/>
    <w:rsid w:val="19364FE2"/>
    <w:rsid w:val="1CEB6CF5"/>
    <w:rsid w:val="1D253EEF"/>
    <w:rsid w:val="1EC36BBC"/>
    <w:rsid w:val="1F033988"/>
    <w:rsid w:val="20182B29"/>
    <w:rsid w:val="20B03DB2"/>
    <w:rsid w:val="219D04FC"/>
    <w:rsid w:val="27AA22EA"/>
    <w:rsid w:val="280C1050"/>
    <w:rsid w:val="2850317A"/>
    <w:rsid w:val="297859E0"/>
    <w:rsid w:val="2A252CE2"/>
    <w:rsid w:val="2BC360DF"/>
    <w:rsid w:val="2EEB4864"/>
    <w:rsid w:val="36F1612E"/>
    <w:rsid w:val="3A0F1DCA"/>
    <w:rsid w:val="3AF76C9C"/>
    <w:rsid w:val="3CC414E4"/>
    <w:rsid w:val="3F5A0EA7"/>
    <w:rsid w:val="40C4418D"/>
    <w:rsid w:val="414B7F2A"/>
    <w:rsid w:val="47E35653"/>
    <w:rsid w:val="49441489"/>
    <w:rsid w:val="4A273C07"/>
    <w:rsid w:val="4ADD7F93"/>
    <w:rsid w:val="4BC94D4F"/>
    <w:rsid w:val="4DAB0005"/>
    <w:rsid w:val="4DDA26AB"/>
    <w:rsid w:val="4F5114C8"/>
    <w:rsid w:val="50940D50"/>
    <w:rsid w:val="52493B36"/>
    <w:rsid w:val="53AA5D58"/>
    <w:rsid w:val="53D15B93"/>
    <w:rsid w:val="540361B4"/>
    <w:rsid w:val="540A4ADE"/>
    <w:rsid w:val="5454322B"/>
    <w:rsid w:val="581060EF"/>
    <w:rsid w:val="581F0557"/>
    <w:rsid w:val="598C5E14"/>
    <w:rsid w:val="59F265C3"/>
    <w:rsid w:val="609E1194"/>
    <w:rsid w:val="60BA3D25"/>
    <w:rsid w:val="60FC5223"/>
    <w:rsid w:val="610D2911"/>
    <w:rsid w:val="62EA5B73"/>
    <w:rsid w:val="630B77AE"/>
    <w:rsid w:val="634764AA"/>
    <w:rsid w:val="68C84DC5"/>
    <w:rsid w:val="6A950417"/>
    <w:rsid w:val="6C1D1807"/>
    <w:rsid w:val="70645215"/>
    <w:rsid w:val="735F2152"/>
    <w:rsid w:val="7428185D"/>
    <w:rsid w:val="75BE5F9B"/>
    <w:rsid w:val="78682B9F"/>
    <w:rsid w:val="791007E5"/>
    <w:rsid w:val="7B9879CC"/>
    <w:rsid w:val="7DE24D09"/>
    <w:rsid w:val="7E6F3AFB"/>
    <w:rsid w:val="7FA56F5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qFormat="1" w:unhideWhenUsed="0" w:uiPriority="99" w:semiHidden="0" w:name="HTML Preformatted"/>
    <w:lsdException w:uiPriority="99" w:name="HTML Sample"/>
    <w:lsdException w:uiPriority="99"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qFormat="1" w:unhideWhenUsed="0" w:uiPriority="99" w:semiHidden="0" w:name="Balloon Text"/>
    <w:lsdException w:qFormat="1" w:unhideWhenUsed="0" w:uiPriority="99" w:semiHidden="0" w:name="Table Grid"/>
    <w:lsdException w:uiPriority="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61"/>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2"/>
    <w:qFormat/>
    <w:uiPriority w:val="99"/>
    <w:pPr>
      <w:keepNext/>
      <w:keepLines/>
      <w:spacing w:before="260" w:after="260" w:line="416" w:lineRule="auto"/>
      <w:outlineLvl w:val="2"/>
    </w:pPr>
    <w:rPr>
      <w:b/>
      <w:bCs/>
      <w:sz w:val="32"/>
      <w:szCs w:val="32"/>
    </w:rPr>
  </w:style>
  <w:style w:type="paragraph" w:styleId="6">
    <w:name w:val="heading 4"/>
    <w:basedOn w:val="1"/>
    <w:next w:val="1"/>
    <w:link w:val="63"/>
    <w:qFormat/>
    <w:uiPriority w:val="99"/>
    <w:pPr>
      <w:widowControl/>
      <w:pBdr>
        <w:top w:val="dotted" w:color="4F81BD" w:sz="6" w:space="2"/>
        <w:left w:val="dotted" w:color="4F81BD" w:sz="6" w:space="2"/>
      </w:pBdr>
      <w:spacing w:before="300"/>
      <w:jc w:val="left"/>
      <w:outlineLvl w:val="3"/>
    </w:pPr>
    <w:rPr>
      <w:rFonts w:ascii="Calibri" w:hAnsi="Calibri"/>
      <w:caps/>
      <w:color w:val="365F91"/>
      <w:spacing w:val="10"/>
      <w:kern w:val="0"/>
      <w:sz w:val="22"/>
      <w:szCs w:val="22"/>
      <w:lang w:eastAsia="en-US"/>
    </w:rPr>
  </w:style>
  <w:style w:type="paragraph" w:styleId="7">
    <w:name w:val="heading 5"/>
    <w:basedOn w:val="1"/>
    <w:next w:val="1"/>
    <w:link w:val="64"/>
    <w:qFormat/>
    <w:uiPriority w:val="99"/>
    <w:pPr>
      <w:widowControl/>
      <w:pBdr>
        <w:bottom w:val="single" w:color="4F81BD" w:sz="6" w:space="1"/>
      </w:pBdr>
      <w:spacing w:before="300"/>
      <w:jc w:val="left"/>
      <w:outlineLvl w:val="4"/>
    </w:pPr>
    <w:rPr>
      <w:rFonts w:ascii="Calibri" w:hAnsi="Calibri"/>
      <w:caps/>
      <w:color w:val="365F91"/>
      <w:spacing w:val="10"/>
      <w:kern w:val="0"/>
      <w:sz w:val="22"/>
      <w:szCs w:val="22"/>
      <w:lang w:eastAsia="en-US"/>
    </w:rPr>
  </w:style>
  <w:style w:type="paragraph" w:styleId="8">
    <w:name w:val="heading 6"/>
    <w:basedOn w:val="1"/>
    <w:next w:val="1"/>
    <w:link w:val="65"/>
    <w:qFormat/>
    <w:uiPriority w:val="99"/>
    <w:pPr>
      <w:keepNext/>
      <w:keepLines/>
      <w:spacing w:before="240" w:after="64" w:line="320" w:lineRule="auto"/>
      <w:outlineLvl w:val="5"/>
    </w:pPr>
    <w:rPr>
      <w:rFonts w:ascii="Arial" w:hAnsi="Arial" w:eastAsia="黑体"/>
      <w:b/>
      <w:bCs/>
      <w:sz w:val="24"/>
    </w:rPr>
  </w:style>
  <w:style w:type="paragraph" w:styleId="9">
    <w:name w:val="heading 7"/>
    <w:basedOn w:val="1"/>
    <w:next w:val="1"/>
    <w:link w:val="66"/>
    <w:qFormat/>
    <w:uiPriority w:val="99"/>
    <w:pPr>
      <w:widowControl/>
      <w:spacing w:before="300"/>
      <w:jc w:val="left"/>
      <w:outlineLvl w:val="6"/>
    </w:pPr>
    <w:rPr>
      <w:rFonts w:ascii="Calibri" w:hAnsi="Calibri"/>
      <w:caps/>
      <w:color w:val="365F91"/>
      <w:spacing w:val="10"/>
      <w:kern w:val="0"/>
      <w:sz w:val="22"/>
      <w:szCs w:val="22"/>
      <w:lang w:eastAsia="en-US"/>
    </w:rPr>
  </w:style>
  <w:style w:type="paragraph" w:styleId="10">
    <w:name w:val="heading 8"/>
    <w:basedOn w:val="1"/>
    <w:next w:val="1"/>
    <w:link w:val="67"/>
    <w:qFormat/>
    <w:uiPriority w:val="99"/>
    <w:pPr>
      <w:widowControl/>
      <w:spacing w:before="300"/>
      <w:jc w:val="left"/>
      <w:outlineLvl w:val="7"/>
    </w:pPr>
    <w:rPr>
      <w:rFonts w:ascii="Calibri" w:hAnsi="Calibri"/>
      <w:caps/>
      <w:spacing w:val="10"/>
      <w:kern w:val="0"/>
      <w:sz w:val="18"/>
      <w:szCs w:val="18"/>
      <w:lang w:eastAsia="en-US"/>
    </w:rPr>
  </w:style>
  <w:style w:type="paragraph" w:styleId="11">
    <w:name w:val="heading 9"/>
    <w:basedOn w:val="1"/>
    <w:next w:val="1"/>
    <w:link w:val="68"/>
    <w:qFormat/>
    <w:uiPriority w:val="99"/>
    <w:pPr>
      <w:widowControl/>
      <w:spacing w:before="300"/>
      <w:jc w:val="left"/>
      <w:outlineLvl w:val="8"/>
    </w:pPr>
    <w:rPr>
      <w:rFonts w:ascii="Calibri" w:hAnsi="Calibri"/>
      <w:i/>
      <w:caps/>
      <w:spacing w:val="10"/>
      <w:kern w:val="0"/>
      <w:sz w:val="18"/>
      <w:szCs w:val="18"/>
      <w:lang w:eastAsia="en-US"/>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12">
    <w:name w:val="toc 7"/>
    <w:basedOn w:val="1"/>
    <w:next w:val="1"/>
    <w:qFormat/>
    <w:uiPriority w:val="99"/>
    <w:pPr>
      <w:ind w:left="1260"/>
      <w:jc w:val="left"/>
    </w:pPr>
    <w:rPr>
      <w:rFonts w:ascii="Calibri" w:hAnsi="Calibri"/>
      <w:sz w:val="18"/>
      <w:szCs w:val="18"/>
    </w:rPr>
  </w:style>
  <w:style w:type="paragraph" w:styleId="13">
    <w:name w:val="List Number"/>
    <w:basedOn w:val="1"/>
    <w:qFormat/>
    <w:uiPriority w:val="99"/>
    <w:pPr>
      <w:widowControl/>
      <w:numPr>
        <w:ilvl w:val="0"/>
        <w:numId w:val="1"/>
      </w:numPr>
      <w:tabs>
        <w:tab w:val="left" w:pos="454"/>
        <w:tab w:val="left" w:pos="720"/>
        <w:tab w:val="left" w:pos="840"/>
      </w:tabs>
      <w:spacing w:afterLines="50"/>
      <w:ind w:left="454" w:hanging="284"/>
      <w:jc w:val="left"/>
    </w:pPr>
    <w:rPr>
      <w:kern w:val="0"/>
      <w:sz w:val="24"/>
      <w:szCs w:val="20"/>
    </w:rPr>
  </w:style>
  <w:style w:type="paragraph" w:styleId="14">
    <w:name w:val="Normal Indent"/>
    <w:basedOn w:val="1"/>
    <w:qFormat/>
    <w:uiPriority w:val="99"/>
    <w:pPr>
      <w:ind w:firstLine="420"/>
    </w:pPr>
    <w:rPr>
      <w:szCs w:val="20"/>
    </w:rPr>
  </w:style>
  <w:style w:type="paragraph" w:styleId="15">
    <w:name w:val="caption"/>
    <w:basedOn w:val="1"/>
    <w:next w:val="1"/>
    <w:qFormat/>
    <w:uiPriority w:val="99"/>
    <w:rPr>
      <w:rFonts w:ascii="Arial" w:hAnsi="Arial" w:eastAsia="黑体" w:cs="Arial"/>
      <w:sz w:val="20"/>
      <w:szCs w:val="20"/>
    </w:rPr>
  </w:style>
  <w:style w:type="paragraph" w:styleId="16">
    <w:name w:val="Document Map"/>
    <w:basedOn w:val="1"/>
    <w:link w:val="71"/>
    <w:qFormat/>
    <w:uiPriority w:val="99"/>
    <w:pPr>
      <w:shd w:val="clear" w:color="auto" w:fill="000080"/>
    </w:pPr>
  </w:style>
  <w:style w:type="paragraph" w:styleId="17">
    <w:name w:val="annotation text"/>
    <w:basedOn w:val="1"/>
    <w:link w:val="69"/>
    <w:qFormat/>
    <w:uiPriority w:val="99"/>
    <w:pPr>
      <w:jc w:val="left"/>
    </w:pPr>
  </w:style>
  <w:style w:type="paragraph" w:styleId="18">
    <w:name w:val="Body Text 3"/>
    <w:basedOn w:val="1"/>
    <w:link w:val="72"/>
    <w:qFormat/>
    <w:uiPriority w:val="99"/>
    <w:pPr>
      <w:spacing w:line="500" w:lineRule="exact"/>
    </w:pPr>
    <w:rPr>
      <w:b/>
      <w:bCs/>
      <w:sz w:val="24"/>
    </w:rPr>
  </w:style>
  <w:style w:type="paragraph" w:styleId="19">
    <w:name w:val="Body Text"/>
    <w:basedOn w:val="1"/>
    <w:link w:val="73"/>
    <w:qFormat/>
    <w:uiPriority w:val="99"/>
    <w:rPr>
      <w:rFonts w:ascii="金山简黑体" w:hAnsi="Courier New" w:eastAsia="金山简黑体"/>
      <w:b/>
      <w:spacing w:val="-8"/>
      <w:sz w:val="44"/>
      <w:szCs w:val="20"/>
    </w:rPr>
  </w:style>
  <w:style w:type="paragraph" w:styleId="20">
    <w:name w:val="Body Text Indent"/>
    <w:basedOn w:val="1"/>
    <w:link w:val="74"/>
    <w:qFormat/>
    <w:uiPriority w:val="99"/>
    <w:pPr>
      <w:spacing w:line="200" w:lineRule="exact"/>
      <w:ind w:firstLine="301"/>
    </w:pPr>
    <w:rPr>
      <w:rFonts w:ascii="宋体" w:hAnsi="Courier New"/>
      <w:spacing w:val="-4"/>
      <w:sz w:val="18"/>
      <w:szCs w:val="20"/>
    </w:rPr>
  </w:style>
  <w:style w:type="paragraph" w:styleId="21">
    <w:name w:val="List Number 3"/>
    <w:basedOn w:val="1"/>
    <w:qFormat/>
    <w:uiPriority w:val="99"/>
    <w:pPr>
      <w:numPr>
        <w:ilvl w:val="0"/>
        <w:numId w:val="2"/>
      </w:numPr>
      <w:tabs>
        <w:tab w:val="left" w:pos="1275"/>
        <w:tab w:val="left" w:pos="1455"/>
        <w:tab w:val="clear" w:pos="1260"/>
      </w:tabs>
    </w:pPr>
  </w:style>
  <w:style w:type="paragraph" w:styleId="22">
    <w:name w:val="List 2"/>
    <w:basedOn w:val="1"/>
    <w:qFormat/>
    <w:uiPriority w:val="99"/>
    <w:pPr>
      <w:ind w:left="100" w:leftChars="200" w:hanging="200" w:hangingChars="200"/>
    </w:pPr>
    <w:rPr>
      <w:sz w:val="28"/>
    </w:rPr>
  </w:style>
  <w:style w:type="paragraph" w:styleId="23">
    <w:name w:val="toc 5"/>
    <w:basedOn w:val="1"/>
    <w:next w:val="1"/>
    <w:qFormat/>
    <w:uiPriority w:val="99"/>
    <w:pPr>
      <w:ind w:left="840"/>
      <w:jc w:val="left"/>
    </w:pPr>
    <w:rPr>
      <w:rFonts w:ascii="Calibri" w:hAnsi="Calibri"/>
      <w:sz w:val="18"/>
      <w:szCs w:val="18"/>
    </w:rPr>
  </w:style>
  <w:style w:type="paragraph" w:styleId="24">
    <w:name w:val="toc 3"/>
    <w:basedOn w:val="1"/>
    <w:next w:val="1"/>
    <w:qFormat/>
    <w:uiPriority w:val="39"/>
    <w:pPr>
      <w:ind w:left="420"/>
      <w:jc w:val="left"/>
    </w:pPr>
    <w:rPr>
      <w:rFonts w:ascii="Calibri" w:hAnsi="Calibri"/>
      <w:i/>
      <w:iCs/>
      <w:sz w:val="20"/>
      <w:szCs w:val="20"/>
    </w:rPr>
  </w:style>
  <w:style w:type="paragraph" w:styleId="25">
    <w:name w:val="Plain Text"/>
    <w:basedOn w:val="1"/>
    <w:next w:val="1"/>
    <w:link w:val="99"/>
    <w:qFormat/>
    <w:uiPriority w:val="0"/>
    <w:rPr>
      <w:rFonts w:ascii="宋体" w:hAnsi="Courier New"/>
      <w:szCs w:val="20"/>
    </w:rPr>
  </w:style>
  <w:style w:type="paragraph" w:styleId="26">
    <w:name w:val="toc 8"/>
    <w:basedOn w:val="1"/>
    <w:next w:val="1"/>
    <w:qFormat/>
    <w:uiPriority w:val="99"/>
    <w:pPr>
      <w:ind w:left="1470"/>
      <w:jc w:val="left"/>
    </w:pPr>
    <w:rPr>
      <w:rFonts w:ascii="Calibri" w:hAnsi="Calibri"/>
      <w:sz w:val="18"/>
      <w:szCs w:val="18"/>
    </w:rPr>
  </w:style>
  <w:style w:type="paragraph" w:styleId="27">
    <w:name w:val="Date"/>
    <w:basedOn w:val="1"/>
    <w:next w:val="1"/>
    <w:link w:val="76"/>
    <w:qFormat/>
    <w:uiPriority w:val="99"/>
    <w:pPr>
      <w:ind w:left="100" w:leftChars="2500"/>
    </w:pPr>
    <w:rPr>
      <w:rFonts w:ascii="宋体" w:hAnsi="Courier New"/>
      <w:bCs/>
      <w:sz w:val="24"/>
      <w:szCs w:val="20"/>
    </w:rPr>
  </w:style>
  <w:style w:type="paragraph" w:styleId="28">
    <w:name w:val="Body Text Indent 2"/>
    <w:basedOn w:val="1"/>
    <w:link w:val="77"/>
    <w:qFormat/>
    <w:uiPriority w:val="99"/>
    <w:pPr>
      <w:spacing w:after="120" w:line="480" w:lineRule="auto"/>
      <w:ind w:left="420" w:leftChars="200"/>
    </w:pPr>
  </w:style>
  <w:style w:type="paragraph" w:styleId="29">
    <w:name w:val="Balloon Text"/>
    <w:basedOn w:val="1"/>
    <w:link w:val="78"/>
    <w:qFormat/>
    <w:uiPriority w:val="99"/>
    <w:rPr>
      <w:sz w:val="18"/>
      <w:szCs w:val="18"/>
    </w:rPr>
  </w:style>
  <w:style w:type="paragraph" w:styleId="30">
    <w:name w:val="footer"/>
    <w:basedOn w:val="1"/>
    <w:link w:val="79"/>
    <w:qFormat/>
    <w:uiPriority w:val="99"/>
    <w:pPr>
      <w:tabs>
        <w:tab w:val="center" w:pos="4153"/>
        <w:tab w:val="right" w:pos="8306"/>
      </w:tabs>
      <w:snapToGrid w:val="0"/>
      <w:jc w:val="left"/>
    </w:pPr>
    <w:rPr>
      <w:sz w:val="18"/>
      <w:szCs w:val="18"/>
    </w:rPr>
  </w:style>
  <w:style w:type="paragraph" w:styleId="31">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style>
  <w:style w:type="paragraph" w:styleId="33">
    <w:name w:val="toc 4"/>
    <w:basedOn w:val="1"/>
    <w:next w:val="1"/>
    <w:qFormat/>
    <w:uiPriority w:val="99"/>
    <w:pPr>
      <w:ind w:left="630"/>
      <w:jc w:val="left"/>
    </w:pPr>
    <w:rPr>
      <w:rFonts w:ascii="Calibri" w:hAnsi="Calibri"/>
      <w:sz w:val="18"/>
      <w:szCs w:val="18"/>
    </w:rPr>
  </w:style>
  <w:style w:type="paragraph" w:styleId="34">
    <w:name w:val="Subtitle"/>
    <w:basedOn w:val="1"/>
    <w:next w:val="1"/>
    <w:link w:val="81"/>
    <w:qFormat/>
    <w:uiPriority w:val="99"/>
    <w:pPr>
      <w:widowControl/>
      <w:spacing w:after="1000"/>
      <w:jc w:val="left"/>
    </w:pPr>
    <w:rPr>
      <w:rFonts w:ascii="Calibri" w:hAnsi="Calibri"/>
      <w:caps/>
      <w:color w:val="595959"/>
      <w:spacing w:val="10"/>
      <w:kern w:val="0"/>
      <w:sz w:val="24"/>
      <w:lang w:eastAsia="en-US"/>
    </w:rPr>
  </w:style>
  <w:style w:type="paragraph" w:styleId="35">
    <w:name w:val="List"/>
    <w:basedOn w:val="1"/>
    <w:qFormat/>
    <w:uiPriority w:val="99"/>
    <w:pPr>
      <w:ind w:left="200" w:hanging="200" w:hangingChars="200"/>
    </w:pPr>
    <w:rPr>
      <w:sz w:val="28"/>
    </w:rPr>
  </w:style>
  <w:style w:type="paragraph" w:styleId="36">
    <w:name w:val="toc 6"/>
    <w:basedOn w:val="1"/>
    <w:next w:val="1"/>
    <w:qFormat/>
    <w:uiPriority w:val="99"/>
    <w:pPr>
      <w:ind w:left="1050"/>
      <w:jc w:val="left"/>
    </w:pPr>
    <w:rPr>
      <w:rFonts w:ascii="Calibri" w:hAnsi="Calibri"/>
      <w:sz w:val="18"/>
      <w:szCs w:val="18"/>
    </w:rPr>
  </w:style>
  <w:style w:type="paragraph" w:styleId="37">
    <w:name w:val="Body Text Indent 3"/>
    <w:basedOn w:val="1"/>
    <w:link w:val="82"/>
    <w:qFormat/>
    <w:uiPriority w:val="99"/>
    <w:pPr>
      <w:ind w:firstLine="420"/>
    </w:pPr>
    <w:rPr>
      <w:color w:val="000000"/>
    </w:rPr>
  </w:style>
  <w:style w:type="paragraph" w:styleId="38">
    <w:name w:val="toc 2"/>
    <w:basedOn w:val="1"/>
    <w:next w:val="1"/>
    <w:qFormat/>
    <w:uiPriority w:val="39"/>
    <w:pPr>
      <w:ind w:left="210"/>
      <w:jc w:val="left"/>
    </w:pPr>
    <w:rPr>
      <w:rFonts w:ascii="Calibri" w:hAnsi="Calibri"/>
      <w:smallCaps/>
      <w:sz w:val="20"/>
      <w:szCs w:val="20"/>
    </w:rPr>
  </w:style>
  <w:style w:type="paragraph" w:styleId="39">
    <w:name w:val="toc 9"/>
    <w:basedOn w:val="1"/>
    <w:next w:val="1"/>
    <w:qFormat/>
    <w:uiPriority w:val="99"/>
    <w:pPr>
      <w:ind w:left="1680"/>
      <w:jc w:val="left"/>
    </w:pPr>
    <w:rPr>
      <w:rFonts w:ascii="Calibri" w:hAnsi="Calibri"/>
      <w:sz w:val="18"/>
      <w:szCs w:val="18"/>
    </w:rPr>
  </w:style>
  <w:style w:type="paragraph" w:styleId="40">
    <w:name w:val="Body Text 2"/>
    <w:basedOn w:val="1"/>
    <w:link w:val="83"/>
    <w:qFormat/>
    <w:uiPriority w:val="99"/>
    <w:pPr>
      <w:spacing w:line="360" w:lineRule="auto"/>
    </w:pPr>
    <w:rPr>
      <w:rFonts w:eastAsia="楷体_GB2312"/>
      <w:b/>
      <w:bCs/>
      <w:color w:val="000000"/>
      <w:sz w:val="28"/>
      <w:szCs w:val="22"/>
      <w:lang w:eastAsia="en-US"/>
    </w:rPr>
  </w:style>
  <w:style w:type="paragraph" w:styleId="41">
    <w:name w:val="HTML Preformatted"/>
    <w:basedOn w:val="1"/>
    <w:link w:val="8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lang w:eastAsia="en-US"/>
    </w:rPr>
  </w:style>
  <w:style w:type="paragraph" w:styleId="42">
    <w:name w:val="Normal (Web)"/>
    <w:basedOn w:val="1"/>
    <w:link w:val="165"/>
    <w:qFormat/>
    <w:uiPriority w:val="99"/>
    <w:pPr>
      <w:widowControl/>
      <w:spacing w:before="100" w:beforeAutospacing="1" w:after="100" w:afterAutospacing="1"/>
      <w:jc w:val="left"/>
    </w:pPr>
    <w:rPr>
      <w:rFonts w:ascii="宋体"/>
      <w:kern w:val="0"/>
      <w:sz w:val="24"/>
      <w:szCs w:val="20"/>
    </w:rPr>
  </w:style>
  <w:style w:type="paragraph" w:styleId="43">
    <w:name w:val="index 1"/>
    <w:basedOn w:val="1"/>
    <w:next w:val="1"/>
    <w:qFormat/>
    <w:uiPriority w:val="99"/>
    <w:pPr>
      <w:spacing w:line="400" w:lineRule="exact"/>
      <w:ind w:firstLine="420" w:firstLineChars="200"/>
    </w:pPr>
    <w:rPr>
      <w:rFonts w:ascii="宋体" w:hAnsi="Courier New"/>
      <w:b/>
      <w:szCs w:val="20"/>
    </w:rPr>
  </w:style>
  <w:style w:type="paragraph" w:styleId="44">
    <w:name w:val="Title"/>
    <w:basedOn w:val="1"/>
    <w:next w:val="1"/>
    <w:link w:val="85"/>
    <w:qFormat/>
    <w:uiPriority w:val="99"/>
    <w:pPr>
      <w:widowControl/>
      <w:spacing w:before="720"/>
      <w:jc w:val="left"/>
    </w:pPr>
    <w:rPr>
      <w:rFonts w:ascii="Calibri" w:hAnsi="Calibri"/>
      <w:caps/>
      <w:color w:val="4F81BD"/>
      <w:spacing w:val="10"/>
      <w:kern w:val="28"/>
      <w:sz w:val="52"/>
      <w:szCs w:val="52"/>
      <w:lang w:eastAsia="en-US"/>
    </w:rPr>
  </w:style>
  <w:style w:type="paragraph" w:styleId="45">
    <w:name w:val="annotation subject"/>
    <w:basedOn w:val="17"/>
    <w:next w:val="17"/>
    <w:link w:val="70"/>
    <w:qFormat/>
    <w:uiPriority w:val="99"/>
    <w:rPr>
      <w:b/>
      <w:bCs/>
    </w:rPr>
  </w:style>
  <w:style w:type="table" w:styleId="47">
    <w:name w:val="Table Grid"/>
    <w:basedOn w:val="4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99"/>
    <w:rPr>
      <w:rFonts w:cs="Times New Roman"/>
      <w:b/>
    </w:rPr>
  </w:style>
  <w:style w:type="character" w:styleId="50">
    <w:name w:val="page number"/>
    <w:qFormat/>
    <w:uiPriority w:val="99"/>
    <w:rPr>
      <w:rFonts w:cs="Times New Roman"/>
    </w:rPr>
  </w:style>
  <w:style w:type="character" w:styleId="51">
    <w:name w:val="FollowedHyperlink"/>
    <w:qFormat/>
    <w:uiPriority w:val="99"/>
    <w:rPr>
      <w:rFonts w:cs="Times New Roman"/>
      <w:color w:val="800080"/>
      <w:u w:val="single"/>
    </w:rPr>
  </w:style>
  <w:style w:type="character" w:styleId="52">
    <w:name w:val="Emphasis"/>
    <w:qFormat/>
    <w:uiPriority w:val="99"/>
    <w:rPr>
      <w:rFonts w:cs="Times New Roman"/>
      <w:caps/>
      <w:color w:val="243F60"/>
      <w:spacing w:val="5"/>
    </w:rPr>
  </w:style>
  <w:style w:type="character" w:styleId="53">
    <w:name w:val="HTML Definition"/>
    <w:qFormat/>
    <w:uiPriority w:val="99"/>
    <w:rPr>
      <w:rFonts w:cs="Times New Roman"/>
    </w:rPr>
  </w:style>
  <w:style w:type="character" w:styleId="54">
    <w:name w:val="HTML Acronym"/>
    <w:qFormat/>
    <w:uiPriority w:val="99"/>
    <w:rPr>
      <w:rFonts w:cs="Times New Roman"/>
    </w:rPr>
  </w:style>
  <w:style w:type="character" w:styleId="55">
    <w:name w:val="HTML Variable"/>
    <w:qFormat/>
    <w:uiPriority w:val="99"/>
    <w:rPr>
      <w:rFonts w:cs="Times New Roman"/>
    </w:rPr>
  </w:style>
  <w:style w:type="character" w:styleId="56">
    <w:name w:val="Hyperlink"/>
    <w:qFormat/>
    <w:uiPriority w:val="99"/>
    <w:rPr>
      <w:rFonts w:cs="Times New Roman"/>
      <w:color w:val="0000FF"/>
      <w:u w:val="single"/>
    </w:rPr>
  </w:style>
  <w:style w:type="character" w:styleId="57">
    <w:name w:val="HTML Code"/>
    <w:qFormat/>
    <w:uiPriority w:val="99"/>
    <w:rPr>
      <w:rFonts w:ascii="Courier New" w:hAnsi="Courier New" w:cs="Times New Roman"/>
      <w:color w:val="505050"/>
      <w:sz w:val="24"/>
    </w:rPr>
  </w:style>
  <w:style w:type="character" w:styleId="58">
    <w:name w:val="annotation reference"/>
    <w:qFormat/>
    <w:uiPriority w:val="99"/>
    <w:rPr>
      <w:rFonts w:cs="Times New Roman"/>
      <w:sz w:val="21"/>
    </w:rPr>
  </w:style>
  <w:style w:type="character" w:styleId="59">
    <w:name w:val="HTML Cite"/>
    <w:qFormat/>
    <w:uiPriority w:val="99"/>
    <w:rPr>
      <w:rFonts w:cs="Times New Roman"/>
    </w:rPr>
  </w:style>
  <w:style w:type="character" w:customStyle="1" w:styleId="60">
    <w:name w:val="标题 1 字符"/>
    <w:link w:val="3"/>
    <w:qFormat/>
    <w:locked/>
    <w:uiPriority w:val="99"/>
    <w:rPr>
      <w:rFonts w:cs="Times New Roman"/>
      <w:b/>
      <w:kern w:val="44"/>
      <w:sz w:val="44"/>
    </w:rPr>
  </w:style>
  <w:style w:type="character" w:customStyle="1" w:styleId="61">
    <w:name w:val="标题 2 字符"/>
    <w:link w:val="4"/>
    <w:qFormat/>
    <w:locked/>
    <w:uiPriority w:val="99"/>
    <w:rPr>
      <w:rFonts w:ascii="Arial" w:hAnsi="Arial" w:eastAsia="黑体" w:cs="Times New Roman"/>
      <w:b/>
      <w:kern w:val="2"/>
      <w:sz w:val="32"/>
    </w:rPr>
  </w:style>
  <w:style w:type="character" w:customStyle="1" w:styleId="62">
    <w:name w:val="标题 3 字符"/>
    <w:link w:val="5"/>
    <w:qFormat/>
    <w:locked/>
    <w:uiPriority w:val="99"/>
    <w:rPr>
      <w:rFonts w:cs="Times New Roman"/>
      <w:b/>
      <w:kern w:val="2"/>
      <w:sz w:val="32"/>
    </w:rPr>
  </w:style>
  <w:style w:type="character" w:customStyle="1" w:styleId="63">
    <w:name w:val="标题 4 字符"/>
    <w:link w:val="6"/>
    <w:qFormat/>
    <w:locked/>
    <w:uiPriority w:val="99"/>
    <w:rPr>
      <w:rFonts w:ascii="Calibri" w:hAnsi="Calibri" w:cs="Times New Roman"/>
      <w:caps/>
      <w:color w:val="365F91"/>
      <w:spacing w:val="10"/>
      <w:sz w:val="22"/>
      <w:lang w:eastAsia="en-US"/>
    </w:rPr>
  </w:style>
  <w:style w:type="character" w:customStyle="1" w:styleId="64">
    <w:name w:val="标题 5 字符"/>
    <w:link w:val="7"/>
    <w:qFormat/>
    <w:locked/>
    <w:uiPriority w:val="99"/>
    <w:rPr>
      <w:rFonts w:ascii="Calibri" w:hAnsi="Calibri" w:cs="Times New Roman"/>
      <w:caps/>
      <w:color w:val="365F91"/>
      <w:spacing w:val="10"/>
      <w:sz w:val="22"/>
      <w:lang w:eastAsia="en-US"/>
    </w:rPr>
  </w:style>
  <w:style w:type="character" w:customStyle="1" w:styleId="65">
    <w:name w:val="标题 6 字符"/>
    <w:link w:val="8"/>
    <w:qFormat/>
    <w:locked/>
    <w:uiPriority w:val="99"/>
    <w:rPr>
      <w:rFonts w:ascii="Arial" w:hAnsi="Arial" w:eastAsia="黑体" w:cs="Times New Roman"/>
      <w:b/>
      <w:kern w:val="2"/>
      <w:sz w:val="24"/>
    </w:rPr>
  </w:style>
  <w:style w:type="character" w:customStyle="1" w:styleId="66">
    <w:name w:val="标题 7 字符"/>
    <w:link w:val="9"/>
    <w:qFormat/>
    <w:locked/>
    <w:uiPriority w:val="99"/>
    <w:rPr>
      <w:rFonts w:ascii="Calibri" w:hAnsi="Calibri" w:cs="Times New Roman"/>
      <w:caps/>
      <w:color w:val="365F91"/>
      <w:spacing w:val="10"/>
      <w:sz w:val="22"/>
      <w:lang w:eastAsia="en-US"/>
    </w:rPr>
  </w:style>
  <w:style w:type="character" w:customStyle="1" w:styleId="67">
    <w:name w:val="标题 8 字符"/>
    <w:link w:val="10"/>
    <w:qFormat/>
    <w:locked/>
    <w:uiPriority w:val="99"/>
    <w:rPr>
      <w:rFonts w:ascii="Calibri" w:hAnsi="Calibri" w:cs="Times New Roman"/>
      <w:caps/>
      <w:spacing w:val="10"/>
      <w:sz w:val="18"/>
      <w:lang w:eastAsia="en-US"/>
    </w:rPr>
  </w:style>
  <w:style w:type="character" w:customStyle="1" w:styleId="68">
    <w:name w:val="标题 9 字符"/>
    <w:link w:val="11"/>
    <w:qFormat/>
    <w:locked/>
    <w:uiPriority w:val="99"/>
    <w:rPr>
      <w:rFonts w:ascii="Calibri" w:hAnsi="Calibri" w:cs="Times New Roman"/>
      <w:i/>
      <w:caps/>
      <w:spacing w:val="10"/>
      <w:sz w:val="18"/>
      <w:lang w:eastAsia="en-US"/>
    </w:rPr>
  </w:style>
  <w:style w:type="character" w:customStyle="1" w:styleId="69">
    <w:name w:val="批注文字 字符"/>
    <w:link w:val="17"/>
    <w:qFormat/>
    <w:locked/>
    <w:uiPriority w:val="99"/>
    <w:rPr>
      <w:rFonts w:cs="Times New Roman"/>
      <w:kern w:val="2"/>
      <w:sz w:val="24"/>
    </w:rPr>
  </w:style>
  <w:style w:type="character" w:customStyle="1" w:styleId="70">
    <w:name w:val="批注主题 字符"/>
    <w:link w:val="45"/>
    <w:qFormat/>
    <w:locked/>
    <w:uiPriority w:val="99"/>
    <w:rPr>
      <w:rFonts w:cs="Times New Roman"/>
      <w:b/>
      <w:kern w:val="2"/>
      <w:sz w:val="24"/>
    </w:rPr>
  </w:style>
  <w:style w:type="character" w:customStyle="1" w:styleId="71">
    <w:name w:val="文档结构图 字符"/>
    <w:link w:val="16"/>
    <w:semiHidden/>
    <w:qFormat/>
    <w:locked/>
    <w:uiPriority w:val="99"/>
    <w:rPr>
      <w:rFonts w:cs="Times New Roman"/>
      <w:kern w:val="2"/>
      <w:sz w:val="24"/>
      <w:shd w:val="clear" w:color="auto" w:fill="000080"/>
    </w:rPr>
  </w:style>
  <w:style w:type="character" w:customStyle="1" w:styleId="72">
    <w:name w:val="正文文本 3 字符"/>
    <w:link w:val="18"/>
    <w:qFormat/>
    <w:locked/>
    <w:uiPriority w:val="99"/>
    <w:rPr>
      <w:rFonts w:cs="Times New Roman"/>
      <w:b/>
      <w:bCs/>
      <w:kern w:val="2"/>
      <w:sz w:val="24"/>
      <w:szCs w:val="24"/>
    </w:rPr>
  </w:style>
  <w:style w:type="character" w:customStyle="1" w:styleId="73">
    <w:name w:val="正文文本 字符"/>
    <w:link w:val="19"/>
    <w:qFormat/>
    <w:locked/>
    <w:uiPriority w:val="99"/>
    <w:rPr>
      <w:rFonts w:ascii="金山简黑体" w:hAnsi="Courier New" w:eastAsia="金山简黑体" w:cs="Times New Roman"/>
      <w:b/>
      <w:spacing w:val="-8"/>
      <w:kern w:val="2"/>
      <w:sz w:val="44"/>
    </w:rPr>
  </w:style>
  <w:style w:type="character" w:customStyle="1" w:styleId="74">
    <w:name w:val="正文文本缩进 字符"/>
    <w:link w:val="20"/>
    <w:qFormat/>
    <w:locked/>
    <w:uiPriority w:val="99"/>
    <w:rPr>
      <w:rFonts w:ascii="宋体" w:hAnsi="Courier New" w:cs="Times New Roman"/>
      <w:spacing w:val="-4"/>
      <w:kern w:val="2"/>
      <w:sz w:val="18"/>
    </w:rPr>
  </w:style>
  <w:style w:type="character" w:customStyle="1" w:styleId="75">
    <w:name w:val="Plain Text Char"/>
    <w:qFormat/>
    <w:locked/>
    <w:uiPriority w:val="99"/>
    <w:rPr>
      <w:rFonts w:ascii="宋体" w:hAnsi="Courier New" w:eastAsia="宋体" w:cs="Times New Roman"/>
      <w:kern w:val="2"/>
      <w:sz w:val="21"/>
      <w:lang w:val="en-US" w:eastAsia="zh-CN"/>
    </w:rPr>
  </w:style>
  <w:style w:type="character" w:customStyle="1" w:styleId="76">
    <w:name w:val="日期 字符"/>
    <w:link w:val="27"/>
    <w:qFormat/>
    <w:locked/>
    <w:uiPriority w:val="99"/>
    <w:rPr>
      <w:rFonts w:ascii="宋体" w:hAnsi="Courier New" w:cs="Times New Roman"/>
      <w:kern w:val="2"/>
      <w:sz w:val="24"/>
    </w:rPr>
  </w:style>
  <w:style w:type="character" w:customStyle="1" w:styleId="77">
    <w:name w:val="正文文本缩进 2 字符"/>
    <w:link w:val="28"/>
    <w:qFormat/>
    <w:locked/>
    <w:uiPriority w:val="99"/>
    <w:rPr>
      <w:rFonts w:cs="Times New Roman"/>
      <w:kern w:val="2"/>
      <w:sz w:val="24"/>
    </w:rPr>
  </w:style>
  <w:style w:type="character" w:customStyle="1" w:styleId="78">
    <w:name w:val="批注框文本 字符"/>
    <w:link w:val="29"/>
    <w:qFormat/>
    <w:locked/>
    <w:uiPriority w:val="99"/>
    <w:rPr>
      <w:rFonts w:cs="Times New Roman"/>
      <w:kern w:val="2"/>
      <w:sz w:val="18"/>
    </w:rPr>
  </w:style>
  <w:style w:type="character" w:customStyle="1" w:styleId="79">
    <w:name w:val="页脚 字符"/>
    <w:link w:val="30"/>
    <w:qFormat/>
    <w:locked/>
    <w:uiPriority w:val="99"/>
    <w:rPr>
      <w:rFonts w:cs="Times New Roman"/>
      <w:kern w:val="2"/>
      <w:sz w:val="18"/>
    </w:rPr>
  </w:style>
  <w:style w:type="character" w:customStyle="1" w:styleId="80">
    <w:name w:val="页眉 字符"/>
    <w:link w:val="31"/>
    <w:qFormat/>
    <w:locked/>
    <w:uiPriority w:val="99"/>
    <w:rPr>
      <w:rFonts w:cs="Times New Roman"/>
      <w:kern w:val="2"/>
      <w:sz w:val="18"/>
    </w:rPr>
  </w:style>
  <w:style w:type="character" w:customStyle="1" w:styleId="81">
    <w:name w:val="副标题 字符"/>
    <w:link w:val="34"/>
    <w:qFormat/>
    <w:locked/>
    <w:uiPriority w:val="99"/>
    <w:rPr>
      <w:rFonts w:ascii="Calibri" w:hAnsi="Calibri" w:cs="Times New Roman"/>
      <w:caps/>
      <w:color w:val="595959"/>
      <w:spacing w:val="10"/>
      <w:sz w:val="24"/>
      <w:lang w:eastAsia="en-US"/>
    </w:rPr>
  </w:style>
  <w:style w:type="character" w:customStyle="1" w:styleId="82">
    <w:name w:val="正文文本缩进 3 字符"/>
    <w:link w:val="37"/>
    <w:qFormat/>
    <w:locked/>
    <w:uiPriority w:val="99"/>
    <w:rPr>
      <w:rFonts w:cs="Times New Roman"/>
      <w:color w:val="000000"/>
      <w:kern w:val="2"/>
      <w:sz w:val="24"/>
    </w:rPr>
  </w:style>
  <w:style w:type="character" w:customStyle="1" w:styleId="83">
    <w:name w:val="正文文本 2 字符"/>
    <w:link w:val="40"/>
    <w:qFormat/>
    <w:locked/>
    <w:uiPriority w:val="99"/>
    <w:rPr>
      <w:rFonts w:eastAsia="楷体_GB2312" w:cs="Times New Roman"/>
      <w:b/>
      <w:color w:val="000000"/>
      <w:kern w:val="2"/>
      <w:sz w:val="22"/>
      <w:lang w:eastAsia="en-US"/>
    </w:rPr>
  </w:style>
  <w:style w:type="character" w:customStyle="1" w:styleId="84">
    <w:name w:val="HTML 预设格式 字符"/>
    <w:link w:val="41"/>
    <w:qFormat/>
    <w:locked/>
    <w:uiPriority w:val="99"/>
    <w:rPr>
      <w:rFonts w:ascii="Arial" w:hAnsi="Arial" w:cs="Times New Roman"/>
      <w:sz w:val="21"/>
      <w:lang w:eastAsia="en-US"/>
    </w:rPr>
  </w:style>
  <w:style w:type="character" w:customStyle="1" w:styleId="85">
    <w:name w:val="标题 字符"/>
    <w:link w:val="44"/>
    <w:qFormat/>
    <w:locked/>
    <w:uiPriority w:val="99"/>
    <w:rPr>
      <w:rFonts w:ascii="Calibri" w:hAnsi="Calibri" w:cs="Times New Roman"/>
      <w:caps/>
      <w:color w:val="4F81BD"/>
      <w:spacing w:val="10"/>
      <w:kern w:val="28"/>
      <w:sz w:val="52"/>
      <w:lang w:eastAsia="en-US"/>
    </w:rPr>
  </w:style>
  <w:style w:type="character" w:customStyle="1" w:styleId="86">
    <w:name w:val="mark"/>
    <w:qFormat/>
    <w:uiPriority w:val="99"/>
    <w:rPr>
      <w:rFonts w:cs="Times New Roman"/>
    </w:rPr>
  </w:style>
  <w:style w:type="character" w:customStyle="1" w:styleId="87">
    <w:name w:val="style141"/>
    <w:qFormat/>
    <w:uiPriority w:val="99"/>
    <w:rPr>
      <w:color w:val="76738E"/>
      <w:sz w:val="18"/>
    </w:rPr>
  </w:style>
  <w:style w:type="character" w:customStyle="1" w:styleId="88">
    <w:name w:val="unnamed11"/>
    <w:qFormat/>
    <w:uiPriority w:val="99"/>
    <w:rPr>
      <w:sz w:val="20"/>
    </w:rPr>
  </w:style>
  <w:style w:type="character" w:customStyle="1" w:styleId="89">
    <w:name w:val="3zw"/>
    <w:qFormat/>
    <w:uiPriority w:val="99"/>
    <w:rPr>
      <w:rFonts w:cs="Times New Roman"/>
    </w:rPr>
  </w:style>
  <w:style w:type="character" w:customStyle="1" w:styleId="90">
    <w:name w:val="ca-4"/>
    <w:qFormat/>
    <w:uiPriority w:val="99"/>
    <w:rPr>
      <w:rFonts w:cs="Times New Roman"/>
    </w:rPr>
  </w:style>
  <w:style w:type="character" w:customStyle="1" w:styleId="91">
    <w:name w:val="l61"/>
    <w:qFormat/>
    <w:uiPriority w:val="99"/>
    <w:rPr>
      <w:color w:val="5C5C5C"/>
      <w:sz w:val="18"/>
    </w:rPr>
  </w:style>
  <w:style w:type="character" w:customStyle="1" w:styleId="92">
    <w:name w:val="ca-1"/>
    <w:qFormat/>
    <w:uiPriority w:val="99"/>
    <w:rPr>
      <w:rFonts w:cs="Times New Roman"/>
    </w:rPr>
  </w:style>
  <w:style w:type="character" w:customStyle="1" w:styleId="93">
    <w:name w:val="wj1"/>
    <w:qFormat/>
    <w:uiPriority w:val="99"/>
    <w:rPr>
      <w:color w:val="000000"/>
      <w:sz w:val="18"/>
      <w:u w:val="none"/>
    </w:rPr>
  </w:style>
  <w:style w:type="character" w:customStyle="1" w:styleId="94">
    <w:name w:val="font21"/>
    <w:qFormat/>
    <w:uiPriority w:val="99"/>
    <w:rPr>
      <w:rFonts w:ascii="宋体" w:hAnsi="宋体" w:eastAsia="宋体"/>
      <w:b/>
      <w:color w:val="000000"/>
      <w:sz w:val="24"/>
      <w:u w:val="none"/>
    </w:rPr>
  </w:style>
  <w:style w:type="character" w:customStyle="1" w:styleId="95">
    <w:name w:val="p101"/>
    <w:qFormat/>
    <w:uiPriority w:val="99"/>
    <w:rPr>
      <w:sz w:val="22"/>
    </w:rPr>
  </w:style>
  <w:style w:type="character" w:customStyle="1" w:styleId="96">
    <w:name w:val="不明显参考1"/>
    <w:qFormat/>
    <w:uiPriority w:val="99"/>
    <w:rPr>
      <w:b/>
      <w:color w:val="4F81BD"/>
    </w:rPr>
  </w:style>
  <w:style w:type="character" w:customStyle="1" w:styleId="97">
    <w:name w:val="font71"/>
    <w:qFormat/>
    <w:uiPriority w:val="99"/>
    <w:rPr>
      <w:rFonts w:ascii="宋体" w:hAnsi="宋体" w:eastAsia="宋体"/>
      <w:color w:val="000000"/>
      <w:sz w:val="20"/>
      <w:u w:val="none"/>
    </w:rPr>
  </w:style>
  <w:style w:type="character" w:customStyle="1" w:styleId="98">
    <w:name w:val="明显参考1"/>
    <w:qFormat/>
    <w:uiPriority w:val="99"/>
    <w:rPr>
      <w:b/>
      <w:i/>
      <w:caps/>
      <w:color w:val="4F81BD"/>
    </w:rPr>
  </w:style>
  <w:style w:type="character" w:customStyle="1" w:styleId="99">
    <w:name w:val="纯文本 字符"/>
    <w:link w:val="25"/>
    <w:qFormat/>
    <w:locked/>
    <w:uiPriority w:val="0"/>
    <w:rPr>
      <w:rFonts w:ascii="宋体" w:hAnsi="Courier New" w:eastAsia="宋体"/>
      <w:kern w:val="2"/>
      <w:sz w:val="21"/>
      <w:lang w:val="en-US" w:eastAsia="zh-CN"/>
    </w:rPr>
  </w:style>
  <w:style w:type="character" w:customStyle="1" w:styleId="100">
    <w:name w:val="f141"/>
    <w:qFormat/>
    <w:uiPriority w:val="99"/>
    <w:rPr>
      <w:sz w:val="21"/>
    </w:rPr>
  </w:style>
  <w:style w:type="character" w:customStyle="1" w:styleId="101">
    <w:name w:val="newsfont1"/>
    <w:qFormat/>
    <w:uiPriority w:val="99"/>
    <w:rPr>
      <w:sz w:val="23"/>
    </w:rPr>
  </w:style>
  <w:style w:type="character" w:customStyle="1" w:styleId="102">
    <w:name w:val="zi21"/>
    <w:qFormat/>
    <w:uiPriority w:val="99"/>
    <w:rPr>
      <w:b/>
      <w:color w:val="0099DD"/>
      <w:sz w:val="18"/>
      <w:u w:val="none"/>
    </w:rPr>
  </w:style>
  <w:style w:type="character" w:customStyle="1" w:styleId="103">
    <w:name w:val="ca-3"/>
    <w:qFormat/>
    <w:uiPriority w:val="99"/>
    <w:rPr>
      <w:rFonts w:cs="Times New Roman"/>
    </w:rPr>
  </w:style>
  <w:style w:type="character" w:customStyle="1" w:styleId="104">
    <w:name w:val="e47a01"/>
    <w:qFormat/>
    <w:uiPriority w:val="99"/>
    <w:rPr>
      <w:rFonts w:ascii="Arial" w:hAnsi="Arial"/>
      <w:sz w:val="18"/>
    </w:rPr>
  </w:style>
  <w:style w:type="character" w:customStyle="1" w:styleId="105">
    <w:name w:val="apple-style-span"/>
    <w:qFormat/>
    <w:uiPriority w:val="99"/>
    <w:rPr>
      <w:rFonts w:cs="Times New Roman"/>
    </w:rPr>
  </w:style>
  <w:style w:type="character" w:customStyle="1" w:styleId="106">
    <w:name w:val="apple-converted-space"/>
    <w:qFormat/>
    <w:uiPriority w:val="99"/>
    <w:rPr>
      <w:rFonts w:cs="Times New Roman"/>
    </w:rPr>
  </w:style>
  <w:style w:type="character" w:customStyle="1" w:styleId="107">
    <w:name w:val="普通文字 Char Char3"/>
    <w:qFormat/>
    <w:uiPriority w:val="99"/>
    <w:rPr>
      <w:rFonts w:ascii="宋体" w:hAnsi="Courier New" w:eastAsia="宋体"/>
      <w:kern w:val="2"/>
      <w:sz w:val="21"/>
      <w:lang w:val="en-US" w:eastAsia="zh-CN"/>
    </w:rPr>
  </w:style>
  <w:style w:type="character" w:customStyle="1" w:styleId="108">
    <w:name w:val="批注框文本 Char"/>
    <w:qFormat/>
    <w:uiPriority w:val="99"/>
    <w:rPr>
      <w:rFonts w:ascii="Calibri" w:hAnsi="Calibri"/>
      <w:sz w:val="18"/>
      <w:lang w:eastAsia="en-US"/>
    </w:rPr>
  </w:style>
  <w:style w:type="character" w:customStyle="1" w:styleId="109">
    <w:name w:val="正文文本 2 Char"/>
    <w:qFormat/>
    <w:uiPriority w:val="99"/>
    <w:rPr>
      <w:kern w:val="2"/>
      <w:sz w:val="24"/>
    </w:rPr>
  </w:style>
  <w:style w:type="character" w:customStyle="1" w:styleId="110">
    <w:name w:val="HTML 预设格式 Char"/>
    <w:qFormat/>
    <w:uiPriority w:val="99"/>
    <w:rPr>
      <w:rFonts w:ascii="Courier New" w:hAnsi="Courier New"/>
      <w:kern w:val="2"/>
    </w:rPr>
  </w:style>
  <w:style w:type="character" w:customStyle="1" w:styleId="111">
    <w:name w:val="无间隔 Char"/>
    <w:link w:val="112"/>
    <w:qFormat/>
    <w:locked/>
    <w:uiPriority w:val="99"/>
    <w:rPr>
      <w:rFonts w:ascii="Calibri" w:hAnsi="Calibri"/>
      <w:sz w:val="24"/>
      <w:lang w:eastAsia="en-US"/>
    </w:rPr>
  </w:style>
  <w:style w:type="paragraph" w:customStyle="1" w:styleId="112">
    <w:name w:val="无间隔1"/>
    <w:basedOn w:val="1"/>
    <w:link w:val="111"/>
    <w:qFormat/>
    <w:uiPriority w:val="99"/>
    <w:pPr>
      <w:widowControl/>
      <w:jc w:val="left"/>
    </w:pPr>
    <w:rPr>
      <w:rFonts w:ascii="Calibri" w:hAnsi="Calibri"/>
      <w:kern w:val="0"/>
      <w:sz w:val="24"/>
      <w:szCs w:val="20"/>
      <w:lang w:eastAsia="en-US"/>
    </w:rPr>
  </w:style>
  <w:style w:type="character" w:customStyle="1" w:styleId="113">
    <w:name w:val="引用 Char"/>
    <w:link w:val="114"/>
    <w:qFormat/>
    <w:locked/>
    <w:uiPriority w:val="99"/>
    <w:rPr>
      <w:rFonts w:ascii="Calibri" w:hAnsi="Calibri"/>
      <w:i/>
      <w:sz w:val="24"/>
      <w:lang w:eastAsia="en-US"/>
    </w:rPr>
  </w:style>
  <w:style w:type="paragraph" w:customStyle="1" w:styleId="114">
    <w:name w:val="引用1"/>
    <w:basedOn w:val="1"/>
    <w:next w:val="1"/>
    <w:link w:val="113"/>
    <w:qFormat/>
    <w:uiPriority w:val="99"/>
    <w:pPr>
      <w:widowControl/>
      <w:jc w:val="left"/>
    </w:pPr>
    <w:rPr>
      <w:rFonts w:ascii="Calibri" w:hAnsi="Calibri"/>
      <w:i/>
      <w:kern w:val="0"/>
      <w:sz w:val="24"/>
      <w:szCs w:val="20"/>
      <w:lang w:eastAsia="en-US"/>
    </w:rPr>
  </w:style>
  <w:style w:type="character" w:customStyle="1" w:styleId="115">
    <w:name w:val="明显引用 Char"/>
    <w:link w:val="116"/>
    <w:qFormat/>
    <w:locked/>
    <w:uiPriority w:val="99"/>
    <w:rPr>
      <w:rFonts w:ascii="Calibri" w:hAnsi="Calibri"/>
      <w:i/>
      <w:color w:val="4F81BD"/>
      <w:sz w:val="24"/>
      <w:lang w:eastAsia="en-US"/>
    </w:rPr>
  </w:style>
  <w:style w:type="paragraph" w:customStyle="1" w:styleId="116">
    <w:name w:val="明显引用1"/>
    <w:basedOn w:val="1"/>
    <w:next w:val="1"/>
    <w:link w:val="115"/>
    <w:qFormat/>
    <w:uiPriority w:val="99"/>
    <w:pPr>
      <w:widowControl/>
      <w:pBdr>
        <w:top w:val="single" w:color="4F81BD" w:sz="4" w:space="10"/>
        <w:left w:val="single" w:color="4F81BD" w:sz="4" w:space="10"/>
      </w:pBdr>
      <w:ind w:left="1296" w:right="1152"/>
    </w:pPr>
    <w:rPr>
      <w:rFonts w:ascii="Calibri" w:hAnsi="Calibri"/>
      <w:i/>
      <w:color w:val="4F81BD"/>
      <w:kern w:val="0"/>
      <w:sz w:val="24"/>
      <w:szCs w:val="20"/>
      <w:lang w:eastAsia="en-US"/>
    </w:rPr>
  </w:style>
  <w:style w:type="character" w:customStyle="1" w:styleId="117">
    <w:name w:val="不明显强调1"/>
    <w:qFormat/>
    <w:uiPriority w:val="99"/>
    <w:rPr>
      <w:i/>
      <w:color w:val="243F60"/>
    </w:rPr>
  </w:style>
  <w:style w:type="character" w:customStyle="1" w:styleId="118">
    <w:name w:val="明显强调1"/>
    <w:qFormat/>
    <w:uiPriority w:val="99"/>
    <w:rPr>
      <w:b/>
      <w:caps/>
      <w:color w:val="243F60"/>
      <w:spacing w:val="10"/>
    </w:rPr>
  </w:style>
  <w:style w:type="character" w:customStyle="1" w:styleId="119">
    <w:name w:val="样式 (符号) 宋体 Char"/>
    <w:link w:val="120"/>
    <w:qFormat/>
    <w:locked/>
    <w:uiPriority w:val="99"/>
    <w:rPr>
      <w:kern w:val="10"/>
      <w:sz w:val="24"/>
    </w:rPr>
  </w:style>
  <w:style w:type="paragraph" w:customStyle="1" w:styleId="120">
    <w:name w:val="样式 (符号) 宋体"/>
    <w:basedOn w:val="1"/>
    <w:link w:val="119"/>
    <w:qFormat/>
    <w:uiPriority w:val="99"/>
    <w:pPr>
      <w:spacing w:line="360" w:lineRule="auto"/>
    </w:pPr>
    <w:rPr>
      <w:kern w:val="10"/>
      <w:sz w:val="24"/>
      <w:szCs w:val="20"/>
    </w:rPr>
  </w:style>
  <w:style w:type="character" w:customStyle="1" w:styleId="121">
    <w:name w:val="样式 字距调整八号 Char"/>
    <w:link w:val="122"/>
    <w:qFormat/>
    <w:locked/>
    <w:uiPriority w:val="99"/>
    <w:rPr>
      <w:kern w:val="10"/>
      <w:sz w:val="28"/>
    </w:rPr>
  </w:style>
  <w:style w:type="paragraph" w:customStyle="1" w:styleId="122">
    <w:name w:val="样式 字距调整八号"/>
    <w:basedOn w:val="1"/>
    <w:link w:val="121"/>
    <w:qFormat/>
    <w:uiPriority w:val="99"/>
    <w:pPr>
      <w:tabs>
        <w:tab w:val="left" w:pos="855"/>
      </w:tabs>
      <w:spacing w:line="360" w:lineRule="auto"/>
      <w:ind w:left="855" w:hanging="435"/>
    </w:pPr>
    <w:rPr>
      <w:kern w:val="10"/>
      <w:sz w:val="28"/>
      <w:szCs w:val="20"/>
    </w:rPr>
  </w:style>
  <w:style w:type="character" w:customStyle="1" w:styleId="123">
    <w:name w:val="样式1 Char"/>
    <w:link w:val="124"/>
    <w:qFormat/>
    <w:locked/>
    <w:uiPriority w:val="99"/>
    <w:rPr>
      <w:b/>
      <w:w w:val="80"/>
      <w:kern w:val="2"/>
      <w:sz w:val="24"/>
    </w:rPr>
  </w:style>
  <w:style w:type="paragraph" w:customStyle="1" w:styleId="124">
    <w:name w:val="样式1"/>
    <w:basedOn w:val="5"/>
    <w:link w:val="123"/>
    <w:qFormat/>
    <w:uiPriority w:val="99"/>
    <w:pPr>
      <w:spacing w:before="100" w:beforeAutospacing="1" w:after="100" w:afterAutospacing="1" w:line="440" w:lineRule="exact"/>
      <w:ind w:firstLine="388" w:firstLineChars="200"/>
    </w:pPr>
    <w:rPr>
      <w:bCs w:val="0"/>
      <w:w w:val="80"/>
      <w:sz w:val="24"/>
      <w:szCs w:val="20"/>
    </w:rPr>
  </w:style>
  <w:style w:type="character" w:customStyle="1" w:styleId="125">
    <w:name w:val="样式 标题 2 + (西文) Times New Roman (中文) 宋体 Char"/>
    <w:link w:val="126"/>
    <w:qFormat/>
    <w:locked/>
    <w:uiPriority w:val="99"/>
    <w:rPr>
      <w:b/>
      <w:i/>
      <w:kern w:val="2"/>
      <w:sz w:val="28"/>
    </w:rPr>
  </w:style>
  <w:style w:type="paragraph" w:customStyle="1" w:styleId="126">
    <w:name w:val="样式 标题 2 + (西文) Times New Roman (中文) 宋体"/>
    <w:basedOn w:val="4"/>
    <w:link w:val="125"/>
    <w:qFormat/>
    <w:uiPriority w:val="99"/>
    <w:pPr>
      <w:tabs>
        <w:tab w:val="left" w:pos="960"/>
      </w:tabs>
      <w:ind w:left="960" w:hanging="420"/>
    </w:pPr>
    <w:rPr>
      <w:rFonts w:ascii="Times New Roman" w:hAnsi="Times New Roman" w:eastAsia="宋体"/>
      <w:bCs w:val="0"/>
      <w:i/>
      <w:sz w:val="28"/>
      <w:szCs w:val="20"/>
    </w:rPr>
  </w:style>
  <w:style w:type="character" w:customStyle="1" w:styleId="127">
    <w:name w:val="font11"/>
    <w:qFormat/>
    <w:uiPriority w:val="99"/>
    <w:rPr>
      <w:rFonts w:ascii="宋体" w:hAnsi="宋体" w:eastAsia="宋体"/>
      <w:color w:val="000000"/>
      <w:sz w:val="20"/>
      <w:u w:val="none"/>
      <w:vertAlign w:val="superscript"/>
    </w:rPr>
  </w:style>
  <w:style w:type="character" w:customStyle="1" w:styleId="128">
    <w:name w:val="font51"/>
    <w:qFormat/>
    <w:uiPriority w:val="99"/>
    <w:rPr>
      <w:rFonts w:ascii="宋体" w:hAnsi="宋体" w:eastAsia="宋体"/>
      <w:color w:val="000000"/>
      <w:sz w:val="18"/>
      <w:u w:val="none"/>
    </w:rPr>
  </w:style>
  <w:style w:type="character" w:customStyle="1" w:styleId="129">
    <w:name w:val="font01"/>
    <w:qFormat/>
    <w:uiPriority w:val="99"/>
    <w:rPr>
      <w:rFonts w:ascii="宋体" w:hAnsi="宋体" w:eastAsia="宋体"/>
      <w:b/>
      <w:color w:val="000000"/>
      <w:sz w:val="20"/>
      <w:u w:val="none"/>
    </w:rPr>
  </w:style>
  <w:style w:type="character" w:customStyle="1" w:styleId="130">
    <w:name w:val="font81"/>
    <w:qFormat/>
    <w:uiPriority w:val="99"/>
    <w:rPr>
      <w:rFonts w:ascii="Times New Roman" w:hAnsi="Times New Roman"/>
      <w:color w:val="000000"/>
      <w:sz w:val="22"/>
      <w:u w:val="none"/>
    </w:rPr>
  </w:style>
  <w:style w:type="character" w:customStyle="1" w:styleId="131">
    <w:name w:val="font101"/>
    <w:qFormat/>
    <w:uiPriority w:val="99"/>
    <w:rPr>
      <w:rFonts w:ascii="宋体" w:hAnsi="宋体" w:eastAsia="宋体"/>
      <w:color w:val="000000"/>
      <w:sz w:val="22"/>
      <w:u w:val="none"/>
    </w:rPr>
  </w:style>
  <w:style w:type="paragraph" w:customStyle="1" w:styleId="132">
    <w:name w:val="默认段落字体 Char Char Char"/>
    <w:basedOn w:val="1"/>
    <w:semiHidden/>
    <w:qFormat/>
    <w:uiPriority w:val="99"/>
    <w:pPr>
      <w:widowControl/>
    </w:pPr>
    <w:rPr>
      <w:rFonts w:ascii="Arial" w:hAnsi="Arial" w:cs="Arial"/>
      <w:sz w:val="22"/>
      <w:szCs w:val="22"/>
      <w:lang w:eastAsia="en-US"/>
    </w:rPr>
  </w:style>
  <w:style w:type="paragraph" w:customStyle="1" w:styleId="133">
    <w:name w:val="Char Char Char Char"/>
    <w:basedOn w:val="1"/>
    <w:qFormat/>
    <w:uiPriority w:val="99"/>
  </w:style>
  <w:style w:type="paragraph" w:customStyle="1" w:styleId="134">
    <w:name w:val="Char"/>
    <w:basedOn w:val="1"/>
    <w:qFormat/>
    <w:uiPriority w:val="99"/>
    <w:pPr>
      <w:tabs>
        <w:tab w:val="left" w:pos="360"/>
      </w:tabs>
    </w:pPr>
    <w:rPr>
      <w:sz w:val="24"/>
    </w:rPr>
  </w:style>
  <w:style w:type="paragraph" w:customStyle="1" w:styleId="135">
    <w:name w:val="Char Char Char Char Char Char1 Char"/>
    <w:basedOn w:val="1"/>
    <w:qFormat/>
    <w:uiPriority w:val="99"/>
    <w:pPr>
      <w:widowControl/>
      <w:spacing w:after="160" w:line="240" w:lineRule="exact"/>
      <w:jc w:val="left"/>
    </w:pPr>
  </w:style>
  <w:style w:type="paragraph" w:customStyle="1" w:styleId="136">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7">
    <w:name w:val="Char1"/>
    <w:basedOn w:val="1"/>
    <w:qFormat/>
    <w:uiPriority w:val="99"/>
    <w:pPr>
      <w:ind w:firstLine="597"/>
    </w:pPr>
    <w:rPr>
      <w:rFonts w:ascii="仿宋_GB2312" w:hAnsi="宋体" w:eastAsia="仿宋_GB2312"/>
      <w:sz w:val="28"/>
      <w:szCs w:val="28"/>
    </w:rPr>
  </w:style>
  <w:style w:type="paragraph" w:customStyle="1" w:styleId="138">
    <w:name w:val="我的正文"/>
    <w:basedOn w:val="1"/>
    <w:qFormat/>
    <w:uiPriority w:val="99"/>
    <w:pPr>
      <w:spacing w:line="520" w:lineRule="exact"/>
      <w:ind w:firstLine="192" w:firstLineChars="192"/>
    </w:pPr>
    <w:rPr>
      <w:sz w:val="28"/>
      <w:szCs w:val="28"/>
    </w:rPr>
  </w:style>
  <w:style w:type="paragraph" w:customStyle="1" w:styleId="139">
    <w:name w:val="Char Char Char"/>
    <w:basedOn w:val="1"/>
    <w:qFormat/>
    <w:uiPriority w:val="99"/>
    <w:rPr>
      <w:rFonts w:ascii="Tahoma" w:hAnsi="Tahoma"/>
      <w:sz w:val="24"/>
      <w:szCs w:val="20"/>
    </w:rPr>
  </w:style>
  <w:style w:type="paragraph" w:customStyle="1" w:styleId="140">
    <w:name w:val="1"/>
    <w:basedOn w:val="1"/>
    <w:next w:val="25"/>
    <w:qFormat/>
    <w:uiPriority w:val="99"/>
    <w:rPr>
      <w:rFonts w:ascii="宋体" w:hAnsi="Courier New"/>
      <w:szCs w:val="20"/>
    </w:rPr>
  </w:style>
  <w:style w:type="paragraph" w:customStyle="1" w:styleId="141">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42">
    <w:name w:val="_Style 18"/>
    <w:basedOn w:val="16"/>
    <w:qFormat/>
    <w:uiPriority w:val="99"/>
    <w:pPr>
      <w:widowControl/>
      <w:ind w:firstLine="454"/>
      <w:jc w:val="left"/>
    </w:pPr>
    <w:rPr>
      <w:rFonts w:ascii="Tahoma" w:hAnsi="Tahoma" w:cs="宋体"/>
      <w:kern w:val="0"/>
      <w:sz w:val="24"/>
      <w:szCs w:val="20"/>
    </w:rPr>
  </w:style>
  <w:style w:type="paragraph" w:customStyle="1" w:styleId="143">
    <w:name w:val="Char Char Char1"/>
    <w:basedOn w:val="1"/>
    <w:qFormat/>
    <w:uiPriority w:val="99"/>
    <w:rPr>
      <w:rFonts w:ascii="Tahoma" w:hAnsi="Tahoma"/>
      <w:sz w:val="24"/>
      <w:szCs w:val="20"/>
    </w:rPr>
  </w:style>
  <w:style w:type="paragraph" w:customStyle="1" w:styleId="144">
    <w:name w:val="Char Char Char Char Char Char Char Char Char Char Char Char Char Char Char Char"/>
    <w:basedOn w:val="1"/>
    <w:qFormat/>
    <w:uiPriority w:val="99"/>
    <w:pPr>
      <w:tabs>
        <w:tab w:val="left" w:pos="360"/>
      </w:tabs>
      <w:spacing w:line="360" w:lineRule="auto"/>
      <w:ind w:left="482" w:firstLine="200" w:firstLineChars="200"/>
    </w:pPr>
    <w:rPr>
      <w:rFonts w:ascii="宋体"/>
      <w:sz w:val="24"/>
    </w:rPr>
  </w:style>
  <w:style w:type="paragraph" w:customStyle="1" w:styleId="145">
    <w:name w:val="Char Char"/>
    <w:basedOn w:val="1"/>
    <w:qFormat/>
    <w:uiPriority w:val="99"/>
    <w:rPr>
      <w:rFonts w:ascii="仿宋_GB2312" w:eastAsia="仿宋_GB2312"/>
      <w:b/>
      <w:sz w:val="32"/>
      <w:szCs w:val="32"/>
    </w:rPr>
  </w:style>
  <w:style w:type="paragraph" w:customStyle="1" w:styleId="146">
    <w:name w:val="Char Char Char Char1"/>
    <w:basedOn w:val="1"/>
    <w:qFormat/>
    <w:uiPriority w:val="99"/>
    <w:pPr>
      <w:widowControl/>
      <w:spacing w:after="160" w:line="240" w:lineRule="exact"/>
      <w:jc w:val="left"/>
    </w:pPr>
    <w:rPr>
      <w:rFonts w:ascii="Verdana" w:hAnsi="Verdana"/>
      <w:kern w:val="0"/>
      <w:sz w:val="20"/>
      <w:szCs w:val="20"/>
      <w:lang w:eastAsia="en-US"/>
    </w:rPr>
  </w:style>
  <w:style w:type="paragraph" w:styleId="147">
    <w:name w:val="List Paragraph"/>
    <w:basedOn w:val="1"/>
    <w:qFormat/>
    <w:uiPriority w:val="99"/>
    <w:pPr>
      <w:ind w:firstLine="420" w:firstLineChars="200"/>
    </w:pPr>
    <w:rPr>
      <w:rFonts w:ascii="Calibri" w:hAnsi="Calibri"/>
      <w:szCs w:val="22"/>
    </w:rPr>
  </w:style>
  <w:style w:type="paragraph" w:customStyle="1" w:styleId="148">
    <w:name w:val="Char Char Char Char Char Char Char"/>
    <w:basedOn w:val="1"/>
    <w:qFormat/>
    <w:uiPriority w:val="99"/>
    <w:rPr>
      <w:szCs w:val="20"/>
    </w:rPr>
  </w:style>
  <w:style w:type="paragraph" w:customStyle="1" w:styleId="149">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50">
    <w:name w:val="Char2"/>
    <w:basedOn w:val="16"/>
    <w:qFormat/>
    <w:uiPriority w:val="99"/>
    <w:pPr>
      <w:widowControl/>
      <w:ind w:firstLine="454"/>
      <w:jc w:val="left"/>
    </w:pPr>
    <w:rPr>
      <w:rFonts w:ascii="Tahoma" w:hAnsi="Tahoma" w:cs="宋体"/>
      <w:kern w:val="0"/>
      <w:sz w:val="24"/>
      <w:szCs w:val="20"/>
    </w:rPr>
  </w:style>
  <w:style w:type="paragraph" w:customStyle="1" w:styleId="151">
    <w:name w:val="6 Char Char Char1 Char Char Char Char"/>
    <w:basedOn w:val="8"/>
    <w:qFormat/>
    <w:uiPriority w:val="99"/>
    <w:pPr>
      <w:widowControl/>
      <w:numPr>
        <w:ilvl w:val="5"/>
        <w:numId w:val="2"/>
      </w:numPr>
      <w:tabs>
        <w:tab w:val="left" w:pos="1152"/>
      </w:tabs>
      <w:spacing w:beforeLines="100" w:after="160" w:line="240" w:lineRule="exact"/>
      <w:jc w:val="left"/>
    </w:pPr>
    <w:rPr>
      <w:rFonts w:ascii="Verdana" w:hAnsi="Verdana"/>
      <w:kern w:val="0"/>
      <w:sz w:val="20"/>
      <w:szCs w:val="20"/>
      <w:lang w:eastAsia="en-US"/>
    </w:rPr>
  </w:style>
  <w:style w:type="paragraph" w:customStyle="1" w:styleId="152">
    <w:name w:val="TOC 标题1"/>
    <w:basedOn w:val="3"/>
    <w:next w:val="1"/>
    <w:qFormat/>
    <w:uiPriority w:val="99"/>
    <w:pPr>
      <w:keepNext w:val="0"/>
      <w:keepLines w:val="0"/>
      <w:widowControl/>
      <w:pBdr>
        <w:top w:val="single" w:color="4F81BD" w:sz="24" w:space="0"/>
        <w:left w:val="single" w:color="4F81BD" w:sz="24" w:space="0"/>
        <w:bottom w:val="single" w:color="4F81BD" w:sz="24" w:space="0"/>
        <w:right w:val="single" w:color="4F81BD" w:sz="24" w:space="0"/>
      </w:pBdr>
      <w:shd w:val="clear" w:color="auto" w:fill="4F81BD"/>
      <w:spacing w:before="0" w:after="0" w:line="240" w:lineRule="auto"/>
      <w:jc w:val="left"/>
      <w:outlineLvl w:val="9"/>
    </w:pPr>
    <w:rPr>
      <w:rFonts w:ascii="Calibri" w:hAnsi="Calibri"/>
      <w:caps/>
      <w:color w:val="FFFFFF"/>
      <w:spacing w:val="15"/>
      <w:kern w:val="0"/>
      <w:sz w:val="32"/>
      <w:szCs w:val="22"/>
      <w:lang w:eastAsia="en-US"/>
    </w:rPr>
  </w:style>
  <w:style w:type="paragraph" w:customStyle="1" w:styleId="153">
    <w:name w:val="列出段落1"/>
    <w:basedOn w:val="1"/>
    <w:qFormat/>
    <w:uiPriority w:val="99"/>
    <w:pPr>
      <w:ind w:firstLine="420" w:firstLineChars="200"/>
    </w:pPr>
    <w:rPr>
      <w:rFonts w:ascii="Calibri" w:hAnsi="Calibri"/>
      <w:szCs w:val="22"/>
    </w:rPr>
  </w:style>
  <w:style w:type="paragraph" w:customStyle="1" w:styleId="154">
    <w:name w:val="默认段落字体 Para Char Char Char Char Char Char Char Char Char1 Char Char Char Char"/>
    <w:basedOn w:val="1"/>
    <w:qFormat/>
    <w:uiPriority w:val="99"/>
    <w:rPr>
      <w:rFonts w:ascii="Tahoma" w:hAnsi="Tahoma"/>
      <w:sz w:val="24"/>
    </w:rPr>
  </w:style>
  <w:style w:type="paragraph" w:customStyle="1" w:styleId="155">
    <w:name w:val="2"/>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textcontents"/>
    <w:qFormat/>
    <w:uiPriority w:val="99"/>
    <w:rPr>
      <w:rFonts w:cs="Times New Roman"/>
    </w:rPr>
  </w:style>
  <w:style w:type="character" w:customStyle="1" w:styleId="157">
    <w:name w:val="Char Char2"/>
    <w:qFormat/>
    <w:uiPriority w:val="99"/>
    <w:rPr>
      <w:kern w:val="2"/>
      <w:sz w:val="24"/>
    </w:rPr>
  </w:style>
  <w:style w:type="character" w:customStyle="1" w:styleId="158">
    <w:name w:val="case31"/>
    <w:qFormat/>
    <w:uiPriority w:val="99"/>
    <w:rPr>
      <w:sz w:val="21"/>
    </w:rPr>
  </w:style>
  <w:style w:type="character" w:customStyle="1" w:styleId="159">
    <w:name w:val="Char Char5"/>
    <w:qFormat/>
    <w:uiPriority w:val="99"/>
    <w:rPr>
      <w:rFonts w:eastAsia="宋体"/>
      <w:kern w:val="2"/>
      <w:sz w:val="24"/>
      <w:lang w:val="en-US" w:eastAsia="zh-CN"/>
    </w:rPr>
  </w:style>
  <w:style w:type="paragraph" w:styleId="160">
    <w:name w:val="No Spacing"/>
    <w:qFormat/>
    <w:uiPriority w:val="99"/>
    <w:rPr>
      <w:rFonts w:ascii="Calibri" w:hAnsi="Calibri" w:eastAsia="宋体" w:cs="Times New Roman"/>
      <w:sz w:val="22"/>
      <w:szCs w:val="22"/>
      <w:lang w:val="en-US" w:eastAsia="zh-CN" w:bidi="ar-SA"/>
    </w:rPr>
  </w:style>
  <w:style w:type="character" w:customStyle="1" w:styleId="161">
    <w:name w:val="lb1"/>
    <w:qFormat/>
    <w:uiPriority w:val="99"/>
    <w:rPr>
      <w:b/>
      <w:color w:val="0851A5"/>
      <w:sz w:val="27"/>
    </w:rPr>
  </w:style>
  <w:style w:type="character" w:customStyle="1" w:styleId="162">
    <w:name w:val="search_content1"/>
    <w:qFormat/>
    <w:uiPriority w:val="99"/>
    <w:rPr>
      <w:sz w:val="20"/>
    </w:rPr>
  </w:style>
  <w:style w:type="character" w:customStyle="1" w:styleId="163">
    <w:name w:val="Char Char21"/>
    <w:qFormat/>
    <w:uiPriority w:val="99"/>
    <w:rPr>
      <w:rFonts w:ascii="宋体" w:hAnsi="宋体" w:eastAsia="宋体"/>
      <w:kern w:val="2"/>
      <w:sz w:val="24"/>
      <w:lang w:val="en-US" w:eastAsia="zh-CN"/>
    </w:rPr>
  </w:style>
  <w:style w:type="character" w:customStyle="1" w:styleId="164">
    <w:name w:val="font31"/>
    <w:uiPriority w:val="99"/>
    <w:rPr>
      <w:rFonts w:ascii="宋体" w:hAnsi="宋体" w:eastAsia="宋体"/>
      <w:color w:val="000000"/>
      <w:sz w:val="20"/>
      <w:u w:val="none"/>
    </w:rPr>
  </w:style>
  <w:style w:type="character" w:customStyle="1" w:styleId="165">
    <w:name w:val="普通(网站) 字符"/>
    <w:link w:val="42"/>
    <w:qFormat/>
    <w:locked/>
    <w:uiPriority w:val="99"/>
    <w:rPr>
      <w:rFonts w:ascii="宋体" w:eastAsia="宋体"/>
      <w:sz w:val="24"/>
    </w:rPr>
  </w:style>
  <w:style w:type="paragraph" w:customStyle="1" w:styleId="166">
    <w:name w:val="表格"/>
    <w:basedOn w:val="1"/>
    <w:qFormat/>
    <w:uiPriority w:val="99"/>
    <w:pPr>
      <w:spacing w:line="400" w:lineRule="exact"/>
    </w:pPr>
    <w:rPr>
      <w:sz w:val="24"/>
    </w:rPr>
  </w:style>
  <w:style w:type="paragraph" w:customStyle="1" w:styleId="167">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68">
    <w:name w:val="正文段"/>
    <w:basedOn w:val="1"/>
    <w:qFormat/>
    <w:uiPriority w:val="99"/>
    <w:pPr>
      <w:widowControl/>
      <w:snapToGrid w:val="0"/>
      <w:spacing w:afterLines="50"/>
      <w:ind w:firstLine="200" w:firstLineChars="200"/>
    </w:pPr>
    <w:rPr>
      <w:kern w:val="0"/>
      <w:sz w:val="24"/>
      <w:szCs w:val="20"/>
    </w:rPr>
  </w:style>
  <w:style w:type="paragraph" w:customStyle="1" w:styleId="169">
    <w:name w:val="xl7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71">
    <w:name w:val="xl71"/>
    <w:basedOn w:val="1"/>
    <w:qFormat/>
    <w:uiPriority w:val="99"/>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kern w:val="0"/>
      <w:szCs w:val="21"/>
    </w:rPr>
  </w:style>
  <w:style w:type="paragraph" w:customStyle="1" w:styleId="172">
    <w:name w:val="14 Char Char Char Char Char Char Char Char Char Char Char Char"/>
    <w:basedOn w:val="1"/>
    <w:qFormat/>
    <w:uiPriority w:val="99"/>
    <w:pPr>
      <w:widowControl/>
      <w:spacing w:after="160" w:line="240" w:lineRule="exact"/>
      <w:jc w:val="left"/>
    </w:pPr>
  </w:style>
  <w:style w:type="paragraph" w:customStyle="1" w:styleId="173">
    <w:name w:val="正文首行缩进两字符"/>
    <w:basedOn w:val="1"/>
    <w:uiPriority w:val="99"/>
    <w:pPr>
      <w:spacing w:line="360" w:lineRule="auto"/>
      <w:ind w:firstLine="200" w:firstLineChars="200"/>
    </w:pPr>
  </w:style>
  <w:style w:type="paragraph" w:customStyle="1" w:styleId="174">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75">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76">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77">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9">
    <w:name w:val="font8"/>
    <w:basedOn w:val="1"/>
    <w:uiPriority w:val="99"/>
    <w:pPr>
      <w:widowControl/>
      <w:spacing w:before="100" w:beforeAutospacing="1" w:after="100" w:afterAutospacing="1"/>
      <w:jc w:val="left"/>
    </w:pPr>
    <w:rPr>
      <w:rFonts w:ascii="宋体" w:hAnsi="宋体" w:cs="宋体"/>
      <w:color w:val="FF0000"/>
      <w:kern w:val="0"/>
      <w:sz w:val="16"/>
      <w:szCs w:val="16"/>
    </w:rPr>
  </w:style>
  <w:style w:type="paragraph" w:customStyle="1" w:styleId="180">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181">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82">
    <w:name w:val="xl86"/>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183">
    <w:name w:val="xl5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84">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185">
    <w:name w:val="xl4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86">
    <w:name w:val="xl33"/>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kern w:val="0"/>
      <w:sz w:val="16"/>
      <w:szCs w:val="16"/>
    </w:rPr>
  </w:style>
  <w:style w:type="paragraph" w:customStyle="1" w:styleId="187">
    <w:name w:val="样式 首行缩进:  2 字符"/>
    <w:basedOn w:val="1"/>
    <w:qFormat/>
    <w:uiPriority w:val="99"/>
    <w:pPr>
      <w:spacing w:line="400" w:lineRule="exact"/>
      <w:ind w:firstLine="200" w:firstLineChars="200"/>
    </w:pPr>
    <w:rPr>
      <w:rFonts w:cs="宋体"/>
      <w:sz w:val="24"/>
    </w:rPr>
  </w:style>
  <w:style w:type="paragraph" w:customStyle="1" w:styleId="188">
    <w:name w:val="无间隔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89">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90">
    <w:name w:val="默认段落字体 Para Char"/>
    <w:basedOn w:val="1"/>
    <w:uiPriority w:val="99"/>
    <w:pPr>
      <w:adjustRightInd w:val="0"/>
      <w:spacing w:line="360" w:lineRule="auto"/>
    </w:pPr>
    <w:rPr>
      <w:kern w:val="0"/>
      <w:sz w:val="24"/>
      <w:szCs w:val="20"/>
    </w:rPr>
  </w:style>
  <w:style w:type="paragraph" w:customStyle="1" w:styleId="191">
    <w:name w:val="Char Char Char Char Char Char"/>
    <w:basedOn w:val="1"/>
    <w:qFormat/>
    <w:uiPriority w:val="99"/>
  </w:style>
  <w:style w:type="paragraph" w:customStyle="1" w:styleId="192">
    <w:name w:val="font6"/>
    <w:basedOn w:val="1"/>
    <w:qFormat/>
    <w:uiPriority w:val="99"/>
    <w:pPr>
      <w:widowControl/>
      <w:spacing w:before="100" w:beforeAutospacing="1" w:after="100" w:afterAutospacing="1"/>
      <w:jc w:val="left"/>
    </w:pPr>
    <w:rPr>
      <w:color w:val="000000"/>
      <w:kern w:val="0"/>
      <w:sz w:val="20"/>
      <w:szCs w:val="20"/>
    </w:rPr>
  </w:style>
  <w:style w:type="paragraph" w:customStyle="1" w:styleId="193">
    <w:name w:val="xl7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kern w:val="0"/>
      <w:sz w:val="18"/>
      <w:szCs w:val="18"/>
    </w:rPr>
  </w:style>
  <w:style w:type="paragraph" w:customStyle="1" w:styleId="194">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96">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97">
    <w:name w:val="样式"/>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98">
    <w:name w:val="xl3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99">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Cs w:val="21"/>
    </w:rPr>
  </w:style>
  <w:style w:type="paragraph" w:customStyle="1" w:styleId="200">
    <w:name w:val="xl56"/>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1">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02">
    <w:name w:val="xl31"/>
    <w:basedOn w:val="1"/>
    <w:qFormat/>
    <w:uiPriority w:val="99"/>
    <w:pPr>
      <w:widowControl/>
      <w:spacing w:before="100" w:beforeAutospacing="1" w:after="100" w:afterAutospacing="1"/>
      <w:jc w:val="center"/>
    </w:pPr>
    <w:rPr>
      <w:rFonts w:ascii="Arial Unicode MS" w:hAnsi="Arial Unicode MS"/>
      <w:kern w:val="0"/>
      <w:sz w:val="24"/>
    </w:rPr>
  </w:style>
  <w:style w:type="paragraph" w:customStyle="1" w:styleId="203">
    <w:name w:val="Revision1"/>
    <w:qFormat/>
    <w:uiPriority w:val="99"/>
    <w:rPr>
      <w:rFonts w:ascii="Times New Roman" w:hAnsi="Times New Roman" w:eastAsia="宋体" w:cs="Times New Roman"/>
      <w:kern w:val="2"/>
      <w:sz w:val="21"/>
      <w:szCs w:val="24"/>
      <w:lang w:val="en-US" w:eastAsia="zh-CN" w:bidi="ar-SA"/>
    </w:rPr>
  </w:style>
  <w:style w:type="paragraph" w:customStyle="1" w:styleId="204">
    <w:name w:val="xl3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05">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206">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FF"/>
      <w:kern w:val="0"/>
      <w:sz w:val="18"/>
      <w:szCs w:val="18"/>
    </w:rPr>
  </w:style>
  <w:style w:type="paragraph" w:customStyle="1" w:styleId="207">
    <w:name w:val="font10"/>
    <w:basedOn w:val="1"/>
    <w:qFormat/>
    <w:uiPriority w:val="99"/>
    <w:pPr>
      <w:widowControl/>
      <w:spacing w:before="100" w:beforeAutospacing="1" w:after="100" w:afterAutospacing="1"/>
      <w:jc w:val="left"/>
    </w:pPr>
    <w:rPr>
      <w:kern w:val="0"/>
      <w:sz w:val="20"/>
      <w:szCs w:val="20"/>
    </w:rPr>
  </w:style>
  <w:style w:type="paragraph" w:customStyle="1" w:styleId="208">
    <w:name w:val="font9"/>
    <w:basedOn w:val="1"/>
    <w:qFormat/>
    <w:uiPriority w:val="99"/>
    <w:pPr>
      <w:widowControl/>
      <w:spacing w:before="100" w:beforeAutospacing="1" w:after="100" w:afterAutospacing="1"/>
      <w:jc w:val="left"/>
    </w:pPr>
    <w:rPr>
      <w:color w:val="FF0000"/>
      <w:kern w:val="0"/>
      <w:sz w:val="16"/>
      <w:szCs w:val="16"/>
    </w:rPr>
  </w:style>
  <w:style w:type="paragraph" w:customStyle="1" w:styleId="209">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0">
    <w:name w:val="xl54"/>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1">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12">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3">
    <w:name w:val="样式 标题 2 + Times New Roman 四号 非加粗 段前: 5 磅 段后: 0 磅 行距: 固定值 20..."/>
    <w:basedOn w:val="4"/>
    <w:qFormat/>
    <w:uiPriority w:val="99"/>
    <w:pPr>
      <w:spacing w:before="100" w:after="0" w:line="400" w:lineRule="exact"/>
    </w:pPr>
    <w:rPr>
      <w:rFonts w:ascii="Times New Roman" w:hAnsi="Times New Roman" w:eastAsia="宋体" w:cs="宋体"/>
      <w:b w:val="0"/>
      <w:bCs w:val="0"/>
      <w:sz w:val="28"/>
      <w:szCs w:val="20"/>
    </w:rPr>
  </w:style>
  <w:style w:type="paragraph" w:customStyle="1" w:styleId="214">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215">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216">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17">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18">
    <w:name w:val="样式 标题 3 + (中文) 黑体 小四 非加粗 段前: 7.8 磅 段后: 0 磅 行距: 固定值 20 磅"/>
    <w:basedOn w:val="5"/>
    <w:qFormat/>
    <w:uiPriority w:val="99"/>
    <w:pPr>
      <w:spacing w:before="0" w:after="0" w:line="400" w:lineRule="exact"/>
    </w:pPr>
    <w:rPr>
      <w:rFonts w:eastAsia="黑体" w:cs="宋体"/>
      <w:b w:val="0"/>
      <w:bCs w:val="0"/>
      <w:sz w:val="24"/>
      <w:szCs w:val="20"/>
    </w:rPr>
  </w:style>
  <w:style w:type="paragraph" w:customStyle="1" w:styleId="219">
    <w:name w:val="xl3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20">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221">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22">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23">
    <w:name w:val="font5"/>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224">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5">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227">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228">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color w:val="0000FF"/>
      <w:kern w:val="0"/>
      <w:szCs w:val="21"/>
    </w:rPr>
  </w:style>
  <w:style w:type="paragraph" w:customStyle="1" w:styleId="229">
    <w:name w:val="font7"/>
    <w:basedOn w:val="1"/>
    <w:qFormat/>
    <w:uiPriority w:val="99"/>
    <w:pPr>
      <w:widowControl/>
      <w:spacing w:before="100" w:beforeAutospacing="1" w:after="100" w:afterAutospacing="1"/>
      <w:jc w:val="left"/>
    </w:pPr>
    <w:rPr>
      <w:kern w:val="0"/>
      <w:sz w:val="16"/>
      <w:szCs w:val="16"/>
    </w:rPr>
  </w:style>
  <w:style w:type="paragraph" w:customStyle="1" w:styleId="230">
    <w:name w:val="xl5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1">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2">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Cs w:val="21"/>
    </w:rPr>
  </w:style>
  <w:style w:type="paragraph" w:customStyle="1" w:styleId="233">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234">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35">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7">
    <w:name w:val="char"/>
    <w:basedOn w:val="1"/>
    <w:qFormat/>
    <w:uiPriority w:val="99"/>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paragraph" w:customStyle="1" w:styleId="238">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239">
    <w:name w:val="Char Char6"/>
    <w:basedOn w:val="16"/>
    <w:qFormat/>
    <w:uiPriority w:val="99"/>
    <w:pPr>
      <w:widowControl/>
      <w:ind w:firstLine="454"/>
      <w:jc w:val="left"/>
    </w:pPr>
  </w:style>
  <w:style w:type="paragraph" w:customStyle="1" w:styleId="24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241">
    <w:name w:val="tdmpwh"/>
    <w:qFormat/>
    <w:uiPriority w:val="99"/>
  </w:style>
  <w:style w:type="character" w:customStyle="1" w:styleId="242">
    <w:name w:val="普通文字 Char Char2"/>
    <w:qFormat/>
    <w:uiPriority w:val="99"/>
    <w:rPr>
      <w:rFonts w:ascii="宋体" w:hAnsi="Courier New" w:eastAsia="宋体"/>
      <w:b/>
      <w:i/>
      <w:color w:val="000000"/>
      <w:kern w:val="2"/>
      <w:sz w:val="21"/>
      <w:lang w:val="en-US" w:eastAsia="zh-CN"/>
    </w:rPr>
  </w:style>
  <w:style w:type="character" w:customStyle="1" w:styleId="243">
    <w:name w:val="Char Char4"/>
    <w:qFormat/>
    <w:uiPriority w:val="99"/>
    <w:rPr>
      <w:rFonts w:ascii="宋体" w:hAnsi="Courier New" w:eastAsia="宋体"/>
      <w:kern w:val="2"/>
      <w:sz w:val="21"/>
      <w:lang w:val="en-US" w:eastAsia="zh-CN"/>
    </w:rPr>
  </w:style>
  <w:style w:type="character" w:customStyle="1" w:styleId="244">
    <w:name w:val="样式 body + 仿宋_GB2312 三号"/>
    <w:qFormat/>
    <w:uiPriority w:val="99"/>
    <w:rPr>
      <w:rFonts w:ascii="宋体" w:eastAsia="宋体"/>
      <w:kern w:val="0"/>
      <w:sz w:val="24"/>
      <w:lang w:val="en-US" w:eastAsia="zh-CN"/>
    </w:rPr>
  </w:style>
  <w:style w:type="character" w:customStyle="1" w:styleId="245">
    <w:name w:val="14"/>
    <w:qFormat/>
    <w:uiPriority w:val="99"/>
    <w:rPr>
      <w:rFonts w:cs="Times New Roman"/>
    </w:rPr>
  </w:style>
  <w:style w:type="paragraph" w:customStyle="1" w:styleId="246">
    <w:name w:val="样式 标题 1第A章标题 1 Char Char CharH1h1Level 1 Topic HeadingH11..."/>
    <w:basedOn w:val="3"/>
    <w:qFormat/>
    <w:uiPriority w:val="99"/>
    <w:pPr>
      <w:spacing w:before="0" w:after="0" w:line="460" w:lineRule="exact"/>
      <w:ind w:left="-4"/>
      <w:jc w:val="left"/>
    </w:pPr>
    <w:rPr>
      <w:rFonts w:ascii="仿宋_GB2312" w:hAnsi="宋体" w:eastAsia="仿宋_GB2312" w:cs="宋体"/>
      <w:sz w:val="32"/>
      <w:szCs w:val="32"/>
    </w:rPr>
  </w:style>
  <w:style w:type="paragraph" w:customStyle="1" w:styleId="247">
    <w:name w:val="_Style 81"/>
    <w:basedOn w:val="16"/>
    <w:uiPriority w:val="99"/>
    <w:pPr>
      <w:widowControl/>
      <w:ind w:firstLine="454"/>
      <w:jc w:val="left"/>
    </w:pPr>
  </w:style>
  <w:style w:type="paragraph" w:customStyle="1" w:styleId="248">
    <w:name w:val="列出段落2"/>
    <w:basedOn w:val="1"/>
    <w:qFormat/>
    <w:uiPriority w:val="99"/>
    <w:pPr>
      <w:widowControl/>
      <w:spacing w:after="200" w:line="276" w:lineRule="auto"/>
      <w:ind w:left="720"/>
      <w:contextualSpacing/>
      <w:jc w:val="left"/>
    </w:pPr>
    <w:rPr>
      <w:rFonts w:ascii="Calibri" w:hAnsi="Calibri"/>
      <w:kern w:val="0"/>
      <w:sz w:val="22"/>
      <w:szCs w:val="22"/>
    </w:rPr>
  </w:style>
  <w:style w:type="character" w:customStyle="1" w:styleId="249">
    <w:name w:val="纯文本 Char2"/>
    <w:qFormat/>
    <w:uiPriority w:val="99"/>
    <w:rPr>
      <w:rFonts w:ascii="宋体" w:hAnsi="Courier New" w:eastAsia="宋体"/>
    </w:rPr>
  </w:style>
  <w:style w:type="paragraph" w:customStyle="1" w:styleId="250">
    <w:name w:val="TOC 标题2"/>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51">
    <w:name w:val="表格正文"/>
    <w:basedOn w:val="1"/>
    <w:qFormat/>
    <w:uiPriority w:val="0"/>
    <w:pPr>
      <w:adjustRightInd w:val="0"/>
      <w:spacing w:line="300" w:lineRule="exact"/>
      <w:jc w:val="left"/>
    </w:pPr>
    <w:rPr>
      <w:rFonts w:ascii="Calibri" w:hAnsi="Calibri"/>
      <w:szCs w:val="20"/>
      <w:lang w:val="zh-CN"/>
    </w:rPr>
  </w:style>
  <w:style w:type="paragraph" w:customStyle="1" w:styleId="252">
    <w:name w:val="_Style 2"/>
    <w:basedOn w:val="1"/>
    <w:qFormat/>
    <w:uiPriority w:val="34"/>
    <w:pPr>
      <w:ind w:firstLine="420" w:firstLineChars="200"/>
    </w:pPr>
    <w:rPr>
      <w:rFonts w:ascii="Calibri" w:hAnsi="Calibri"/>
      <w:szCs w:val="22"/>
    </w:rPr>
  </w:style>
  <w:style w:type="paragraph" w:customStyle="1" w:styleId="253">
    <w:name w:val="_Style 3"/>
    <w:basedOn w:val="1"/>
    <w:qFormat/>
    <w:uiPriority w:val="34"/>
    <w:pPr>
      <w:ind w:firstLine="420" w:firstLineChars="200"/>
    </w:pPr>
    <w:rPr>
      <w:rFonts w:ascii="Calibri" w:hAnsi="Calibri"/>
      <w:szCs w:val="22"/>
    </w:rPr>
  </w:style>
  <w:style w:type="paragraph" w:customStyle="1" w:styleId="25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55">
    <w:name w:val="项目-正文"/>
    <w:basedOn w:val="19"/>
    <w:qFormat/>
    <w:uiPriority w:val="0"/>
    <w:pPr>
      <w:ind w:firstLine="560"/>
      <w:contextualSpacing/>
      <w:jc w:val="left"/>
    </w:pPr>
    <w:rPr>
      <w:rFonts w:ascii="宋体" w:hAnsi="宋体" w:eastAsia="宋体"/>
      <w:color w:val="000000"/>
      <w:sz w:val="28"/>
      <w:szCs w:val="28"/>
    </w:rPr>
  </w:style>
  <w:style w:type="character" w:customStyle="1" w:styleId="256">
    <w:name w:val="纯文本 字符1"/>
    <w:qFormat/>
    <w:locked/>
    <w:uiPriority w:val="0"/>
    <w:rPr>
      <w:rFonts w:ascii="宋体" w:hAnsi="Courier New" w:eastAsia="宋体"/>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7C671F-FAFE-4000-8C0A-E0BD4F01D339}">
  <ds:schemaRefs/>
</ds:datastoreItem>
</file>

<file path=docProps/app.xml><?xml version="1.0" encoding="utf-8"?>
<Properties xmlns="http://schemas.openxmlformats.org/officeDocument/2006/extended-properties" xmlns:vt="http://schemas.openxmlformats.org/officeDocument/2006/docPropsVTypes">
  <Template>Normal.dotm</Template>
  <Company>cgzx</Company>
  <Pages>42</Pages>
  <Words>25444</Words>
  <Characters>26881</Characters>
  <Lines>207</Lines>
  <Paragraphs>58</Paragraphs>
  <TotalTime>35</TotalTime>
  <ScaleCrop>false</ScaleCrop>
  <LinksUpToDate>false</LinksUpToDate>
  <CharactersWithSpaces>27438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2022-06-13T00:26:00Z</dcterms:created>
  <dc:creator>admin</dc:creator>
  <cp:lastModifiedBy>WPS_1586311527</cp:lastModifiedBy>
  <cp:lastPrinted>2018-07-11T01:57:00Z</cp:lastPrinted>
  <dcterms:modified xsi:type="dcterms:W3CDTF">2022-06-28T09:36:33Z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4A774C9096014B60A92CD9E74DB7744D</vt:lpwstr>
  </property>
</Properties>
</file>