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hAnsi="宋体"/>
          <w:bCs/>
          <w:szCs w:val="32"/>
        </w:rPr>
      </w:pPr>
      <w:r>
        <w:rPr>
          <w:rFonts w:hint="eastAsia"/>
          <w:b/>
          <w:sz w:val="44"/>
        </w:rPr>
        <w:drawing>
          <wp:anchor distT="0" distB="0" distL="114300" distR="114300" simplePos="0" relativeHeight="251659264" behindDoc="1" locked="0" layoutInCell="1" allowOverlap="1">
            <wp:simplePos x="0" y="0"/>
            <wp:positionH relativeFrom="column">
              <wp:posOffset>4242435</wp:posOffset>
            </wp:positionH>
            <wp:positionV relativeFrom="paragraph">
              <wp:posOffset>31115</wp:posOffset>
            </wp:positionV>
            <wp:extent cx="1628775" cy="600075"/>
            <wp:effectExtent l="0" t="0" r="9525" b="9525"/>
            <wp:wrapTight wrapText="bothSides">
              <wp:wrapPolygon>
                <wp:start x="-126" y="0"/>
                <wp:lineTo x="-126" y="21257"/>
                <wp:lineTo x="21600" y="21257"/>
                <wp:lineTo x="21600" y="0"/>
                <wp:lineTo x="-126" y="0"/>
              </wp:wrapPolygon>
            </wp:wrapTight>
            <wp:docPr id="1" name="图片 8"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无标题"/>
                    <pic:cNvPicPr>
                      <a:picLocks noChangeAspect="1"/>
                    </pic:cNvPicPr>
                  </pic:nvPicPr>
                  <pic:blipFill>
                    <a:blip r:embed="rId7"/>
                    <a:stretch>
                      <a:fillRect/>
                    </a:stretch>
                  </pic:blipFill>
                  <pic:spPr>
                    <a:xfrm>
                      <a:off x="0" y="0"/>
                      <a:ext cx="1628775" cy="600075"/>
                    </a:xfrm>
                    <a:prstGeom prst="rect">
                      <a:avLst/>
                    </a:prstGeom>
                    <a:noFill/>
                    <a:ln>
                      <a:noFill/>
                    </a:ln>
                  </pic:spPr>
                </pic:pic>
              </a:graphicData>
            </a:graphic>
          </wp:anchor>
        </w:drawing>
      </w:r>
      <w:r>
        <w:rPr>
          <w:rFonts w:hint="eastAsia" w:ascii="宋体" w:hAnsi="宋体"/>
          <w:b/>
          <w:sz w:val="32"/>
          <w:szCs w:val="32"/>
        </w:rPr>
        <w:t xml:space="preserve">                                           </w:t>
      </w:r>
    </w:p>
    <w:p>
      <w:pPr>
        <w:ind w:right="-281"/>
        <w:jc w:val="right"/>
        <w:rPr>
          <w:rFonts w:ascii="Bookman Old Style" w:hAnsi="Bookman Old Style"/>
          <w:b/>
          <w:sz w:val="28"/>
        </w:rPr>
      </w:pPr>
    </w:p>
    <w:p>
      <w:pPr>
        <w:spacing w:after="312" w:afterLines="100" w:line="500" w:lineRule="exact"/>
        <w:jc w:val="center"/>
        <w:rPr>
          <w:b/>
          <w:sz w:val="44"/>
          <w:szCs w:val="44"/>
        </w:rPr>
      </w:pPr>
    </w:p>
    <w:p>
      <w:pPr>
        <w:spacing w:after="312" w:afterLines="100" w:line="500" w:lineRule="exact"/>
        <w:jc w:val="center"/>
        <w:rPr>
          <w:b/>
          <w:sz w:val="52"/>
          <w:szCs w:val="52"/>
        </w:rPr>
      </w:pPr>
    </w:p>
    <w:p>
      <w:pPr>
        <w:spacing w:after="312" w:afterLines="100" w:line="500" w:lineRule="exact"/>
        <w:jc w:val="center"/>
        <w:rPr>
          <w:b/>
          <w:sz w:val="52"/>
          <w:szCs w:val="52"/>
        </w:rPr>
      </w:pPr>
      <w:r>
        <w:rPr>
          <w:rFonts w:hint="eastAsia"/>
          <w:b/>
          <w:sz w:val="52"/>
          <w:szCs w:val="52"/>
        </w:rPr>
        <w:t>中国科学院上海有机化学研究所</w:t>
      </w:r>
    </w:p>
    <w:p>
      <w:pPr>
        <w:spacing w:after="312" w:afterLines="100"/>
        <w:jc w:val="center"/>
        <w:rPr>
          <w:b/>
          <w:sz w:val="44"/>
        </w:rPr>
      </w:pPr>
      <w:r>
        <w:rPr>
          <w:rFonts w:hint="eastAsia"/>
          <w:b/>
          <w:sz w:val="52"/>
          <w:szCs w:val="52"/>
          <w:u w:val="single"/>
        </w:rPr>
        <w:t>非标记生物分子相互作用分析系统</w:t>
      </w:r>
      <w:r>
        <w:rPr>
          <w:rFonts w:hint="eastAsia"/>
          <w:b/>
          <w:sz w:val="52"/>
          <w:szCs w:val="52"/>
        </w:rPr>
        <w:t>采购项目</w:t>
      </w:r>
    </w:p>
    <w:p>
      <w:pPr>
        <w:spacing w:line="360" w:lineRule="auto"/>
        <w:rPr>
          <w:b/>
          <w:sz w:val="44"/>
        </w:rPr>
      </w:pPr>
    </w:p>
    <w:p>
      <w:pPr>
        <w:spacing w:line="360" w:lineRule="auto"/>
        <w:jc w:val="center"/>
        <w:rPr>
          <w:rFonts w:ascii="宋体" w:hAnsi="宋体"/>
          <w:b/>
          <w:szCs w:val="21"/>
        </w:rPr>
      </w:pPr>
      <w:r>
        <w:rPr>
          <w:rFonts w:hint="eastAsia" w:ascii="宋体" w:hAnsi="宋体"/>
          <w:b/>
          <w:sz w:val="72"/>
          <w:szCs w:val="52"/>
        </w:rPr>
        <w:t>招</w:t>
      </w:r>
      <w:r>
        <w:rPr>
          <w:rFonts w:ascii="宋体" w:hAnsi="宋体"/>
          <w:b/>
          <w:sz w:val="72"/>
          <w:szCs w:val="52"/>
        </w:rPr>
        <w:t xml:space="preserve">  </w:t>
      </w:r>
      <w:r>
        <w:rPr>
          <w:rFonts w:hint="eastAsia" w:ascii="宋体" w:hAnsi="宋体"/>
          <w:b/>
          <w:sz w:val="72"/>
          <w:szCs w:val="52"/>
        </w:rPr>
        <w:t>标</w:t>
      </w:r>
      <w:r>
        <w:rPr>
          <w:rFonts w:ascii="宋体" w:hAnsi="宋体"/>
          <w:b/>
          <w:sz w:val="72"/>
          <w:szCs w:val="52"/>
        </w:rPr>
        <w:t xml:space="preserve">  </w:t>
      </w:r>
      <w:r>
        <w:rPr>
          <w:rFonts w:hint="eastAsia" w:ascii="宋体" w:hAnsi="宋体"/>
          <w:b/>
          <w:sz w:val="72"/>
          <w:szCs w:val="52"/>
        </w:rPr>
        <w:t>文</w:t>
      </w:r>
      <w:r>
        <w:rPr>
          <w:rFonts w:ascii="宋体" w:hAnsi="宋体"/>
          <w:b/>
          <w:sz w:val="72"/>
          <w:szCs w:val="52"/>
        </w:rPr>
        <w:t xml:space="preserve">  </w:t>
      </w:r>
      <w:r>
        <w:rPr>
          <w:rFonts w:hint="eastAsia" w:ascii="宋体" w:hAnsi="宋体"/>
          <w:b/>
          <w:sz w:val="72"/>
          <w:szCs w:val="52"/>
        </w:rPr>
        <w:t>件</w:t>
      </w:r>
    </w:p>
    <w:p>
      <w:pPr>
        <w:spacing w:line="360" w:lineRule="auto"/>
        <w:jc w:val="center"/>
        <w:rPr>
          <w:rFonts w:ascii="宋体" w:hAnsi="宋体"/>
          <w:b/>
          <w:sz w:val="32"/>
          <w:szCs w:val="32"/>
        </w:rPr>
      </w:pPr>
    </w:p>
    <w:p>
      <w:pPr>
        <w:spacing w:line="360" w:lineRule="auto"/>
        <w:jc w:val="center"/>
        <w:rPr>
          <w:rFonts w:ascii="宋体" w:hAnsi="宋体"/>
          <w:b/>
          <w:sz w:val="44"/>
          <w:szCs w:val="44"/>
        </w:rPr>
      </w:pPr>
      <w:r>
        <w:rPr>
          <w:rFonts w:hint="eastAsia" w:ascii="宋体" w:hAnsi="宋体"/>
          <w:b/>
          <w:sz w:val="44"/>
          <w:szCs w:val="44"/>
        </w:rPr>
        <w:t>第二册</w:t>
      </w:r>
    </w:p>
    <w:p>
      <w:pPr>
        <w:spacing w:line="360" w:lineRule="auto"/>
        <w:jc w:val="center"/>
        <w:rPr>
          <w:rFonts w:ascii="宋体" w:hAnsi="宋体"/>
          <w:b/>
          <w:sz w:val="44"/>
          <w:szCs w:val="44"/>
        </w:rPr>
      </w:pPr>
      <w:r>
        <w:rPr>
          <w:rFonts w:hint="eastAsia" w:ascii="宋体" w:hAnsi="宋体"/>
          <w:b/>
          <w:sz w:val="44"/>
          <w:szCs w:val="44"/>
        </w:rPr>
        <w:t>（专用册）</w:t>
      </w:r>
    </w:p>
    <w:p>
      <w:pPr>
        <w:spacing w:line="360" w:lineRule="auto"/>
        <w:jc w:val="center"/>
        <w:rPr>
          <w:rFonts w:ascii="宋体" w:hAnsi="宋体"/>
          <w:b/>
          <w:sz w:val="30"/>
          <w:szCs w:val="30"/>
        </w:rPr>
      </w:pPr>
    </w:p>
    <w:p>
      <w:pPr>
        <w:spacing w:line="360" w:lineRule="auto"/>
        <w:ind w:firstLine="2168" w:firstLineChars="600"/>
        <w:rPr>
          <w:b/>
          <w:sz w:val="32"/>
          <w:u w:val="single"/>
        </w:rPr>
      </w:pPr>
      <w:r>
        <w:rPr>
          <w:rFonts w:hint="eastAsia" w:ascii="宋体" w:hAnsi="宋体"/>
          <w:b/>
          <w:sz w:val="36"/>
          <w:szCs w:val="36"/>
        </w:rPr>
        <w:t>招标编号：</w:t>
      </w:r>
      <w:r>
        <w:rPr>
          <w:rFonts w:hint="eastAsia" w:ascii="宋体" w:hAnsi="宋体"/>
          <w:b/>
          <w:sz w:val="36"/>
          <w:szCs w:val="36"/>
          <w:u w:val="single"/>
        </w:rPr>
        <w:t>OITC-G220300348</w:t>
      </w:r>
    </w:p>
    <w:p>
      <w:pPr>
        <w:spacing w:line="360" w:lineRule="auto"/>
        <w:jc w:val="center"/>
        <w:rPr>
          <w:b/>
          <w:sz w:val="32"/>
        </w:rPr>
      </w:pPr>
    </w:p>
    <w:p>
      <w:pPr>
        <w:spacing w:line="360" w:lineRule="auto"/>
        <w:jc w:val="center"/>
        <w:rPr>
          <w:b/>
          <w:sz w:val="32"/>
        </w:rPr>
      </w:pPr>
    </w:p>
    <w:p>
      <w:pPr>
        <w:adjustRightInd w:val="0"/>
        <w:snapToGrid w:val="0"/>
        <w:spacing w:before="120"/>
        <w:jc w:val="center"/>
        <w:rPr>
          <w:rFonts w:ascii="宋体" w:hAnsi="宋体"/>
          <w:b/>
          <w:bCs/>
          <w:snapToGrid w:val="0"/>
          <w:spacing w:val="20"/>
          <w:sz w:val="36"/>
          <w:szCs w:val="36"/>
        </w:rPr>
      </w:pPr>
      <w:r>
        <w:rPr>
          <w:rFonts w:hint="eastAsia" w:ascii="宋体" w:hAnsi="宋体"/>
          <w:b/>
          <w:bCs/>
          <w:snapToGrid w:val="0"/>
          <w:spacing w:val="20"/>
          <w:sz w:val="36"/>
          <w:szCs w:val="36"/>
        </w:rPr>
        <w:t>东方国际招标有限责任公司</w:t>
      </w:r>
    </w:p>
    <w:p>
      <w:pPr>
        <w:adjustRightInd w:val="0"/>
        <w:snapToGrid w:val="0"/>
        <w:jc w:val="center"/>
        <w:rPr>
          <w:rFonts w:ascii="宋体" w:hAnsi="宋体"/>
          <w:b/>
          <w:snapToGrid w:val="0"/>
          <w:sz w:val="36"/>
          <w:szCs w:val="36"/>
        </w:rPr>
      </w:pPr>
    </w:p>
    <w:p>
      <w:pPr>
        <w:adjustRightInd w:val="0"/>
        <w:snapToGrid w:val="0"/>
        <w:jc w:val="center"/>
        <w:rPr>
          <w:rFonts w:ascii="宋体" w:hAnsi="宋体"/>
          <w:b/>
          <w:snapToGrid w:val="0"/>
          <w:sz w:val="36"/>
          <w:szCs w:val="36"/>
        </w:rPr>
      </w:pPr>
      <w:r>
        <w:rPr>
          <w:rFonts w:hint="eastAsia" w:ascii="宋体" w:hAnsi="宋体"/>
          <w:b/>
          <w:snapToGrid w:val="0"/>
          <w:sz w:val="36"/>
          <w:szCs w:val="36"/>
        </w:rPr>
        <w:t>中国 · 北京</w:t>
      </w:r>
    </w:p>
    <w:p>
      <w:pPr>
        <w:adjustRightInd w:val="0"/>
        <w:snapToGrid w:val="0"/>
        <w:jc w:val="center"/>
        <w:rPr>
          <w:rFonts w:ascii="宋体" w:hAnsi="宋体"/>
          <w:b/>
          <w:snapToGrid w:val="0"/>
          <w:sz w:val="36"/>
          <w:szCs w:val="36"/>
        </w:rPr>
      </w:pPr>
    </w:p>
    <w:p>
      <w:pPr>
        <w:adjustRightInd w:val="0"/>
        <w:snapToGrid w:val="0"/>
        <w:jc w:val="center"/>
        <w:rPr>
          <w:rFonts w:ascii="宋体" w:hAnsi="宋体"/>
          <w:b/>
          <w:sz w:val="32"/>
          <w:szCs w:val="32"/>
        </w:rPr>
      </w:pPr>
      <w:r>
        <w:rPr>
          <w:rFonts w:hint="eastAsia" w:ascii="宋体" w:hAnsi="宋体"/>
          <w:b/>
          <w:snapToGrid w:val="0"/>
          <w:sz w:val="36"/>
          <w:szCs w:val="36"/>
        </w:rPr>
        <w:t>2022年6月</w:t>
      </w:r>
    </w:p>
    <w:p>
      <w:pPr>
        <w:adjustRightInd w:val="0"/>
        <w:snapToGrid w:val="0"/>
        <w:jc w:val="center"/>
        <w:rPr>
          <w:rFonts w:ascii="宋体" w:hAnsi="宋体"/>
          <w:b/>
          <w:sz w:val="24"/>
        </w:rPr>
      </w:pPr>
      <w:bookmarkStart w:id="1" w:name="_GoBack"/>
      <w:bookmarkEnd w:id="1"/>
      <w:bookmarkStart w:id="0" w:name="_Toc512937852"/>
    </w:p>
    <w:p>
      <w:pPr>
        <w:adjustRightInd w:val="0"/>
        <w:snapToGrid w:val="0"/>
        <w:jc w:val="center"/>
        <w:rPr>
          <w:rFonts w:ascii="宋体" w:hAnsi="宋体"/>
          <w:b/>
          <w:sz w:val="24"/>
        </w:rPr>
      </w:pPr>
    </w:p>
    <w:p>
      <w:pPr>
        <w:adjustRightInd w:val="0"/>
        <w:snapToGrid w:val="0"/>
        <w:jc w:val="center"/>
        <w:rPr>
          <w:rFonts w:ascii="宋体" w:hAnsi="宋体"/>
          <w:b/>
          <w:sz w:val="24"/>
        </w:rPr>
      </w:pPr>
    </w:p>
    <w:p>
      <w:pPr>
        <w:adjustRightInd w:val="0"/>
        <w:snapToGrid w:val="0"/>
        <w:jc w:val="center"/>
        <w:rPr>
          <w:rFonts w:ascii="宋体" w:hAnsi="宋体"/>
          <w:b/>
          <w:sz w:val="24"/>
        </w:rPr>
      </w:pPr>
    </w:p>
    <w:p>
      <w:pPr>
        <w:adjustRightInd w:val="0"/>
        <w:snapToGrid w:val="0"/>
        <w:jc w:val="center"/>
        <w:rPr>
          <w:rFonts w:ascii="宋体" w:hAnsi="宋体"/>
          <w:b/>
          <w:sz w:val="24"/>
        </w:rPr>
      </w:pPr>
    </w:p>
    <w:p>
      <w:pPr>
        <w:adjustRightInd w:val="0"/>
        <w:snapToGrid w:val="0"/>
        <w:jc w:val="center"/>
        <w:rPr>
          <w:rFonts w:ascii="宋体" w:hAnsi="宋体"/>
          <w:b/>
          <w:sz w:val="24"/>
        </w:rPr>
      </w:pPr>
    </w:p>
    <w:p>
      <w:pPr>
        <w:adjustRightInd w:val="0"/>
        <w:snapToGrid w:val="0"/>
        <w:jc w:val="center"/>
        <w:rPr>
          <w:rFonts w:ascii="宋体" w:hAnsi="宋体"/>
          <w:b/>
          <w:sz w:val="24"/>
        </w:rPr>
      </w:pPr>
    </w:p>
    <w:p>
      <w:pPr>
        <w:adjustRightInd w:val="0"/>
        <w:snapToGrid w:val="0"/>
        <w:jc w:val="center"/>
        <w:rPr>
          <w:rFonts w:ascii="宋体" w:hAnsi="宋体"/>
          <w:b/>
          <w:sz w:val="24"/>
        </w:rPr>
      </w:pPr>
    </w:p>
    <w:p>
      <w:pPr>
        <w:adjustRightInd w:val="0"/>
        <w:snapToGrid w:val="0"/>
        <w:jc w:val="center"/>
        <w:rPr>
          <w:rFonts w:ascii="宋体" w:hAnsi="宋体"/>
          <w:b/>
          <w:sz w:val="24"/>
        </w:rPr>
      </w:pPr>
    </w:p>
    <w:p>
      <w:pPr>
        <w:adjustRightInd w:val="0"/>
        <w:snapToGrid w:val="0"/>
        <w:jc w:val="center"/>
        <w:rPr>
          <w:rFonts w:ascii="宋体" w:hAnsi="宋体"/>
          <w:b/>
          <w:sz w:val="24"/>
        </w:rPr>
      </w:pPr>
    </w:p>
    <w:p>
      <w:pPr>
        <w:adjustRightInd w:val="0"/>
        <w:snapToGrid w:val="0"/>
        <w:jc w:val="center"/>
        <w:rPr>
          <w:rFonts w:ascii="宋体" w:hAnsi="宋体"/>
          <w:b/>
          <w:sz w:val="24"/>
        </w:rPr>
      </w:pPr>
    </w:p>
    <w:p>
      <w:pPr>
        <w:adjustRightInd w:val="0"/>
        <w:snapToGrid w:val="0"/>
        <w:spacing w:before="936" w:beforeLines="300"/>
        <w:jc w:val="center"/>
        <w:rPr>
          <w:rFonts w:ascii="黑体" w:eastAsia="黑体"/>
          <w:b/>
          <w:kern w:val="44"/>
          <w:sz w:val="48"/>
          <w:szCs w:val="20"/>
        </w:rPr>
      </w:pPr>
      <w:r>
        <w:rPr>
          <w:rFonts w:hint="eastAsia" w:ascii="黑体" w:eastAsia="黑体"/>
          <w:b/>
          <w:kern w:val="44"/>
          <w:sz w:val="48"/>
          <w:szCs w:val="20"/>
        </w:rPr>
        <w:t>第八部分  采购需求</w:t>
      </w:r>
      <w:r>
        <w:rPr>
          <w:rFonts w:ascii="黑体" w:eastAsia="黑体"/>
          <w:b/>
          <w:kern w:val="44"/>
          <w:sz w:val="48"/>
          <w:szCs w:val="20"/>
        </w:rPr>
        <w:br w:type="page"/>
      </w:r>
    </w:p>
    <w:bookmarkEnd w:id="0"/>
    <w:p>
      <w:pPr>
        <w:numPr>
          <w:ilvl w:val="2"/>
          <w:numId w:val="1"/>
        </w:numPr>
        <w:adjustRightInd w:val="0"/>
        <w:snapToGrid w:val="0"/>
        <w:jc w:val="center"/>
        <w:rPr>
          <w:rFonts w:ascii="宋体" w:hAnsi="宋体"/>
          <w:b/>
          <w:sz w:val="30"/>
          <w:szCs w:val="30"/>
        </w:rPr>
      </w:pPr>
      <w:r>
        <w:rPr>
          <w:rFonts w:hint="eastAsia" w:ascii="宋体" w:hAnsi="宋体"/>
          <w:b/>
          <w:sz w:val="30"/>
          <w:szCs w:val="30"/>
        </w:rPr>
        <w:t>货物需求一览表</w:t>
      </w:r>
    </w:p>
    <w:p>
      <w:pPr>
        <w:adjustRightInd w:val="0"/>
        <w:snapToGrid w:val="0"/>
        <w:jc w:val="center"/>
        <w:rPr>
          <w:rFonts w:ascii="宋体" w:hAnsi="宋体"/>
          <w:b/>
          <w:sz w:val="30"/>
          <w:szCs w:val="30"/>
        </w:rPr>
      </w:pPr>
    </w:p>
    <w:tbl>
      <w:tblPr>
        <w:tblStyle w:val="28"/>
        <w:tblW w:w="96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62"/>
        <w:gridCol w:w="2640"/>
        <w:gridCol w:w="635"/>
        <w:gridCol w:w="1320"/>
        <w:gridCol w:w="1765"/>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2" w:hRule="atLeast"/>
          <w:jc w:val="center"/>
        </w:trPr>
        <w:tc>
          <w:tcPr>
            <w:tcW w:w="762" w:type="dxa"/>
            <w:vAlign w:val="center"/>
          </w:tcPr>
          <w:p>
            <w:pPr>
              <w:jc w:val="center"/>
              <w:rPr>
                <w:rFonts w:ascii="宋体" w:hAnsi="Bookman Old Style"/>
                <w:sz w:val="24"/>
              </w:rPr>
            </w:pPr>
            <w:r>
              <w:rPr>
                <w:rFonts w:hint="eastAsia" w:ascii="宋体" w:hAnsi="Bookman Old Style"/>
                <w:sz w:val="24"/>
              </w:rPr>
              <w:t>包号</w:t>
            </w:r>
          </w:p>
        </w:tc>
        <w:tc>
          <w:tcPr>
            <w:tcW w:w="2640" w:type="dxa"/>
            <w:vAlign w:val="center"/>
          </w:tcPr>
          <w:p>
            <w:pPr>
              <w:jc w:val="center"/>
              <w:rPr>
                <w:rFonts w:ascii="宋体" w:hAnsi="Bookman Old Style"/>
                <w:sz w:val="24"/>
              </w:rPr>
            </w:pPr>
            <w:r>
              <w:rPr>
                <w:rFonts w:hint="eastAsia" w:ascii="宋体" w:hAnsi="Bookman Old Style"/>
                <w:sz w:val="24"/>
              </w:rPr>
              <w:t>货物名称</w:t>
            </w:r>
          </w:p>
        </w:tc>
        <w:tc>
          <w:tcPr>
            <w:tcW w:w="635" w:type="dxa"/>
            <w:vAlign w:val="center"/>
          </w:tcPr>
          <w:p>
            <w:pPr>
              <w:jc w:val="center"/>
              <w:rPr>
                <w:rFonts w:ascii="宋体" w:hAnsi="Bookman Old Style"/>
                <w:sz w:val="24"/>
              </w:rPr>
            </w:pPr>
            <w:r>
              <w:rPr>
                <w:rFonts w:hint="eastAsia" w:ascii="宋体" w:hAnsi="Bookman Old Style"/>
                <w:sz w:val="24"/>
              </w:rPr>
              <w:t>数量</w:t>
            </w:r>
          </w:p>
        </w:tc>
        <w:tc>
          <w:tcPr>
            <w:tcW w:w="1320" w:type="dxa"/>
            <w:vAlign w:val="center"/>
          </w:tcPr>
          <w:p>
            <w:pPr>
              <w:jc w:val="center"/>
              <w:rPr>
                <w:rFonts w:ascii="宋体" w:hAnsi="Bookman Old Style"/>
                <w:sz w:val="24"/>
              </w:rPr>
            </w:pPr>
            <w:r>
              <w:rPr>
                <w:rFonts w:hint="eastAsia" w:ascii="宋体" w:hAnsi="Bookman Old Style"/>
                <w:sz w:val="24"/>
              </w:rPr>
              <w:t>交货期</w:t>
            </w:r>
          </w:p>
        </w:tc>
        <w:tc>
          <w:tcPr>
            <w:tcW w:w="1765" w:type="dxa"/>
            <w:vAlign w:val="center"/>
          </w:tcPr>
          <w:p>
            <w:pPr>
              <w:jc w:val="center"/>
              <w:rPr>
                <w:rFonts w:ascii="宋体" w:hAnsi="Bookman Old Style"/>
                <w:sz w:val="24"/>
              </w:rPr>
            </w:pPr>
            <w:r>
              <w:rPr>
                <w:rFonts w:hint="eastAsia" w:ascii="宋体" w:hAnsi="Bookman Old Style"/>
                <w:sz w:val="24"/>
              </w:rPr>
              <w:t>指定到货港</w:t>
            </w:r>
          </w:p>
        </w:tc>
        <w:tc>
          <w:tcPr>
            <w:tcW w:w="2520" w:type="dxa"/>
            <w:vAlign w:val="center"/>
          </w:tcPr>
          <w:p>
            <w:pPr>
              <w:jc w:val="center"/>
              <w:rPr>
                <w:rFonts w:ascii="宋体" w:hAnsi="Bookman Old Style"/>
                <w:sz w:val="24"/>
                <w:shd w:val="pct10" w:color="auto" w:fill="FFFFFF"/>
              </w:rPr>
            </w:pPr>
            <w:r>
              <w:rPr>
                <w:rFonts w:hint="eastAsia" w:ascii="宋体" w:hAnsi="Bookman Old Style"/>
                <w:sz w:val="24"/>
              </w:rPr>
              <w:t>项目现场（交货地点）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63" w:hRule="atLeast"/>
          <w:jc w:val="center"/>
        </w:trPr>
        <w:tc>
          <w:tcPr>
            <w:tcW w:w="762" w:type="dxa"/>
            <w:vAlign w:val="center"/>
          </w:tcPr>
          <w:p>
            <w:pPr>
              <w:jc w:val="center"/>
              <w:rPr>
                <w:rFonts w:ascii="宋体"/>
                <w:sz w:val="24"/>
              </w:rPr>
            </w:pPr>
            <w:r>
              <w:rPr>
                <w:rFonts w:hint="eastAsia" w:ascii="宋体"/>
                <w:sz w:val="24"/>
              </w:rPr>
              <w:t>1</w:t>
            </w:r>
          </w:p>
        </w:tc>
        <w:tc>
          <w:tcPr>
            <w:tcW w:w="2640" w:type="dxa"/>
            <w:vAlign w:val="center"/>
          </w:tcPr>
          <w:p>
            <w:pPr>
              <w:jc w:val="center"/>
              <w:rPr>
                <w:rFonts w:ascii="Bookman Old Style" w:hAnsi="Bookman Old Style"/>
                <w:sz w:val="24"/>
              </w:rPr>
            </w:pPr>
            <w:r>
              <w:rPr>
                <w:rFonts w:hint="eastAsia" w:ascii="宋体" w:hAnsi="宋体" w:cs="宋体"/>
                <w:kern w:val="0"/>
                <w:sz w:val="24"/>
              </w:rPr>
              <w:t>非标记生物分子相互作用分析系统</w:t>
            </w:r>
          </w:p>
        </w:tc>
        <w:tc>
          <w:tcPr>
            <w:tcW w:w="635" w:type="dxa"/>
            <w:vAlign w:val="center"/>
          </w:tcPr>
          <w:p>
            <w:pPr>
              <w:jc w:val="center"/>
              <w:rPr>
                <w:rFonts w:ascii="宋体" w:hAnsi="Bookman Old Style"/>
                <w:sz w:val="24"/>
              </w:rPr>
            </w:pPr>
            <w:r>
              <w:rPr>
                <w:rFonts w:hint="eastAsia" w:ascii="宋体" w:hAnsi="Bookman Old Style"/>
                <w:sz w:val="24"/>
              </w:rPr>
              <w:t>1</w:t>
            </w:r>
          </w:p>
        </w:tc>
        <w:tc>
          <w:tcPr>
            <w:tcW w:w="1320" w:type="dxa"/>
            <w:vAlign w:val="center"/>
          </w:tcPr>
          <w:p>
            <w:pPr>
              <w:jc w:val="center"/>
              <w:rPr>
                <w:rFonts w:ascii="宋体" w:hAnsi="Bookman Old Style"/>
                <w:sz w:val="24"/>
              </w:rPr>
            </w:pPr>
            <w:r>
              <w:rPr>
                <w:bCs/>
                <w:sz w:val="24"/>
              </w:rPr>
              <w:t>合同签订后6个月内或者收到免表后3个月内</w:t>
            </w:r>
          </w:p>
        </w:tc>
        <w:tc>
          <w:tcPr>
            <w:tcW w:w="1765" w:type="dxa"/>
            <w:vAlign w:val="center"/>
          </w:tcPr>
          <w:p>
            <w:pPr>
              <w:spacing w:line="360" w:lineRule="auto"/>
              <w:jc w:val="center"/>
              <w:rPr>
                <w:sz w:val="24"/>
              </w:rPr>
            </w:pPr>
            <w:r>
              <w:rPr>
                <w:sz w:val="24"/>
              </w:rPr>
              <w:t>CIP 上海机场</w:t>
            </w:r>
          </w:p>
        </w:tc>
        <w:tc>
          <w:tcPr>
            <w:tcW w:w="2520" w:type="dxa"/>
            <w:vAlign w:val="center"/>
          </w:tcPr>
          <w:p>
            <w:pPr>
              <w:jc w:val="center"/>
              <w:rPr>
                <w:rFonts w:ascii="宋体" w:hAnsi="Bookman Old Style"/>
                <w:sz w:val="24"/>
              </w:rPr>
            </w:pPr>
            <w:r>
              <w:rPr>
                <w:bCs/>
                <w:sz w:val="24"/>
              </w:rPr>
              <w:t>上海市海科路100号用户实验室</w:t>
            </w:r>
          </w:p>
        </w:tc>
      </w:tr>
    </w:tbl>
    <w:p>
      <w:pPr>
        <w:adjustRightInd w:val="0"/>
        <w:snapToGrid w:val="0"/>
        <w:jc w:val="center"/>
        <w:rPr>
          <w:rFonts w:ascii="宋体" w:hAnsi="宋体"/>
          <w:b/>
          <w:sz w:val="30"/>
          <w:szCs w:val="30"/>
        </w:rPr>
      </w:pPr>
    </w:p>
    <w:p>
      <w:pPr>
        <w:adjustRightInd w:val="0"/>
        <w:snapToGrid w:val="0"/>
        <w:jc w:val="center"/>
        <w:rPr>
          <w:rFonts w:ascii="宋体" w:hAnsi="宋体"/>
          <w:b/>
          <w:sz w:val="30"/>
          <w:szCs w:val="30"/>
        </w:rPr>
      </w:pPr>
    </w:p>
    <w:p>
      <w:pPr>
        <w:adjustRightInd w:val="0"/>
        <w:snapToGrid w:val="0"/>
        <w:jc w:val="center"/>
        <w:rPr>
          <w:rFonts w:ascii="宋体" w:hAnsi="宋体"/>
          <w:b/>
          <w:sz w:val="30"/>
          <w:szCs w:val="30"/>
        </w:rPr>
      </w:pPr>
    </w:p>
    <w:p>
      <w:pPr>
        <w:rPr>
          <w:rFonts w:ascii="Bookman Old Style" w:hAnsi="Bookman Old Style"/>
          <w:sz w:val="24"/>
        </w:rPr>
      </w:pPr>
      <w:r>
        <w:rPr>
          <w:rFonts w:hint="eastAsia"/>
          <w:sz w:val="24"/>
        </w:rPr>
        <w:t>注：投标人须对上述投标内容中完整的一包或几包进行投标，</w:t>
      </w:r>
      <w:r>
        <w:rPr>
          <w:rFonts w:hint="eastAsia" w:ascii="Bookman Old Style" w:hAnsi="Bookman Old Style"/>
          <w:sz w:val="24"/>
        </w:rPr>
        <w:t>不完整的投标将视为非响应性投标予以拒绝。</w:t>
      </w: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b/>
          <w:sz w:val="30"/>
          <w:szCs w:val="30"/>
        </w:rPr>
      </w:pPr>
      <w:r>
        <w:rPr>
          <w:rFonts w:ascii="宋体" w:hAnsi="宋体"/>
          <w:b/>
          <w:sz w:val="30"/>
          <w:szCs w:val="30"/>
        </w:rPr>
        <w:br w:type="page"/>
      </w:r>
    </w:p>
    <w:p>
      <w:pPr>
        <w:numPr>
          <w:ilvl w:val="2"/>
          <w:numId w:val="1"/>
        </w:numPr>
        <w:tabs>
          <w:tab w:val="left" w:pos="720"/>
          <w:tab w:val="clear" w:pos="1560"/>
        </w:tabs>
        <w:adjustRightInd w:val="0"/>
        <w:snapToGrid w:val="0"/>
        <w:ind w:hanging="1560"/>
        <w:jc w:val="center"/>
        <w:rPr>
          <w:rFonts w:ascii="宋体" w:hAnsi="宋体"/>
          <w:b/>
          <w:sz w:val="30"/>
          <w:szCs w:val="30"/>
        </w:rPr>
      </w:pPr>
      <w:r>
        <w:rPr>
          <w:rFonts w:hint="eastAsia" w:ascii="宋体" w:hAnsi="宋体"/>
          <w:b/>
          <w:sz w:val="30"/>
          <w:szCs w:val="30"/>
        </w:rPr>
        <w:t>总则</w:t>
      </w:r>
    </w:p>
    <w:p>
      <w:pPr>
        <w:spacing w:before="156" w:beforeLines="50" w:after="156" w:afterLines="50" w:line="360" w:lineRule="auto"/>
        <w:ind w:left="601" w:hanging="601"/>
        <w:rPr>
          <w:rFonts w:ascii="宋体" w:hAnsi="宋体"/>
          <w:b/>
          <w:sz w:val="28"/>
        </w:rPr>
      </w:pPr>
      <w:r>
        <w:rPr>
          <w:rFonts w:ascii="宋体" w:hAnsi="宋体"/>
          <w:b/>
          <w:sz w:val="28"/>
        </w:rPr>
        <w:t>1</w:t>
      </w:r>
      <w:r>
        <w:rPr>
          <w:rFonts w:hint="eastAsia" w:ascii="宋体" w:hAnsi="宋体"/>
          <w:b/>
          <w:sz w:val="28"/>
        </w:rPr>
        <w:t>、投标要求</w:t>
      </w:r>
    </w:p>
    <w:p>
      <w:pPr>
        <w:spacing w:line="360" w:lineRule="auto"/>
        <w:ind w:left="554" w:hanging="554" w:hangingChars="231"/>
        <w:rPr>
          <w:rFonts w:ascii="宋体" w:hAnsi="宋体"/>
          <w:sz w:val="24"/>
        </w:rPr>
      </w:pPr>
      <w:r>
        <w:rPr>
          <w:rFonts w:ascii="宋体" w:hAnsi="宋体"/>
          <w:sz w:val="24"/>
        </w:rPr>
        <w:t xml:space="preserve">1.1 </w:t>
      </w:r>
      <w:r>
        <w:rPr>
          <w:rFonts w:hint="eastAsia" w:ascii="宋体" w:hAnsi="宋体"/>
          <w:sz w:val="24"/>
        </w:rPr>
        <w:t xml:space="preserve"> 投标人在准备投标书时，务必在所提供的商品的技术规格文件中，标明型号、商标名称、目录号。</w:t>
      </w:r>
    </w:p>
    <w:p>
      <w:pPr>
        <w:spacing w:line="360" w:lineRule="auto"/>
        <w:ind w:left="554" w:hanging="554" w:hangingChars="231"/>
        <w:rPr>
          <w:rFonts w:ascii="宋体" w:hAnsi="宋体"/>
          <w:sz w:val="24"/>
        </w:rPr>
      </w:pPr>
      <w:r>
        <w:rPr>
          <w:rFonts w:hint="eastAsia" w:ascii="宋体" w:hAnsi="宋体"/>
          <w:sz w:val="24"/>
        </w:rPr>
        <w:t>1.2  投标人提供的货物须是成熟的全新的产品，其技术规格应符合招标文件的要求。如与招标文件的技术规格有偏差，应提供技术规格偏差的量值或说明（偏离表）。如投标人有意隐瞒对规格要求的偏差或在开标后提出新的偏差，买方有权扣留其投标保证金或/并拒绝其投标。</w:t>
      </w:r>
    </w:p>
    <w:p>
      <w:pPr>
        <w:spacing w:line="360" w:lineRule="auto"/>
        <w:ind w:left="554" w:hanging="554" w:hangingChars="231"/>
        <w:rPr>
          <w:rFonts w:ascii="宋体"/>
          <w:sz w:val="24"/>
        </w:rPr>
      </w:pPr>
      <w:r>
        <w:rPr>
          <w:rFonts w:hint="eastAsia" w:ascii="宋体" w:hAnsi="宋体"/>
          <w:sz w:val="24"/>
        </w:rPr>
        <w:t xml:space="preserve">1.3  </w:t>
      </w:r>
      <w:r>
        <w:rPr>
          <w:rFonts w:hint="eastAsia"/>
          <w:sz w:val="24"/>
        </w:rPr>
        <w:t>投标人提供的</w:t>
      </w:r>
      <w:r>
        <w:rPr>
          <w:rFonts w:hint="eastAsia" w:ascii="宋体"/>
          <w:sz w:val="24"/>
        </w:rPr>
        <w:t>产品</w:t>
      </w:r>
      <w:r>
        <w:rPr>
          <w:rFonts w:hint="eastAsia"/>
          <w:sz w:val="24"/>
        </w:rPr>
        <w:t>样本，必须是“原件”而非复印件，</w:t>
      </w:r>
      <w:r>
        <w:rPr>
          <w:rFonts w:hint="eastAsia" w:ascii="宋体"/>
          <w:sz w:val="24"/>
        </w:rPr>
        <w:t>图表、简图、电路图以及印刷电路板图等都应</w:t>
      </w:r>
      <w:r>
        <w:rPr>
          <w:rFonts w:hint="eastAsia"/>
          <w:sz w:val="24"/>
        </w:rPr>
        <w:t>清晰易读。买方有权</w:t>
      </w:r>
      <w:r>
        <w:rPr>
          <w:rFonts w:hint="eastAsia" w:ascii="宋体"/>
          <w:sz w:val="24"/>
        </w:rPr>
        <w:t>不付任何附加费用</w:t>
      </w:r>
      <w:r>
        <w:rPr>
          <w:rFonts w:hint="eastAsia"/>
          <w:sz w:val="24"/>
        </w:rPr>
        <w:t>复制这些资料</w:t>
      </w:r>
      <w:r>
        <w:rPr>
          <w:rFonts w:hint="eastAsia" w:ascii="宋体"/>
          <w:sz w:val="24"/>
        </w:rPr>
        <w:t>以供参考。</w:t>
      </w:r>
    </w:p>
    <w:p>
      <w:pPr>
        <w:spacing w:line="360" w:lineRule="auto"/>
        <w:ind w:left="554" w:hanging="554" w:hangingChars="231"/>
        <w:rPr>
          <w:rFonts w:ascii="宋体"/>
          <w:sz w:val="24"/>
        </w:rPr>
      </w:pPr>
      <w:r>
        <w:rPr>
          <w:rFonts w:hint="eastAsia" w:ascii="宋体"/>
          <w:sz w:val="24"/>
        </w:rPr>
        <w:t>1.4  投标人的投标产品应符合国家有关部门规定的相应技术、节能、安全和环保标准；如国家有关部门对投标人的投标产品有强制性规定或要求的，则投标人的投标产品必须符合相应规定或要求。</w:t>
      </w:r>
    </w:p>
    <w:p>
      <w:pPr>
        <w:spacing w:before="156" w:beforeLines="50" w:after="156" w:afterLines="50" w:line="360" w:lineRule="auto"/>
        <w:ind w:left="601" w:hanging="601"/>
        <w:rPr>
          <w:rFonts w:ascii="宋体" w:hAnsi="宋体"/>
          <w:b/>
          <w:sz w:val="28"/>
        </w:rPr>
      </w:pPr>
      <w:r>
        <w:rPr>
          <w:rFonts w:hint="eastAsia" w:ascii="宋体" w:hAnsi="宋体"/>
          <w:b/>
          <w:sz w:val="28"/>
        </w:rPr>
        <w:t>2、评标标准</w:t>
      </w:r>
    </w:p>
    <w:p>
      <w:pPr>
        <w:spacing w:line="360" w:lineRule="auto"/>
        <w:ind w:left="554" w:hanging="554" w:hangingChars="231"/>
        <w:rPr>
          <w:rFonts w:ascii="宋体"/>
          <w:sz w:val="24"/>
        </w:rPr>
      </w:pPr>
      <w:r>
        <w:rPr>
          <w:rFonts w:ascii="宋体" w:hAnsi="宋体"/>
          <w:sz w:val="24"/>
        </w:rPr>
        <w:t>2.</w:t>
      </w:r>
      <w:r>
        <w:rPr>
          <w:rFonts w:hint="eastAsia" w:ascii="宋体" w:hAnsi="宋体"/>
          <w:sz w:val="24"/>
        </w:rPr>
        <w:t xml:space="preserve">1  </w:t>
      </w:r>
      <w:r>
        <w:rPr>
          <w:rFonts w:hint="eastAsia"/>
          <w:sz w:val="24"/>
        </w:rPr>
        <w:t>除招标文件中指定的附件和专用工具外，</w:t>
      </w:r>
      <w:r>
        <w:rPr>
          <w:rFonts w:hint="eastAsia" w:ascii="宋体"/>
          <w:sz w:val="24"/>
        </w:rPr>
        <w:t>投标人应提供仪器设备的正常运行和常规保养所需的全套标准附件、专用工具</w:t>
      </w:r>
      <w:r>
        <w:rPr>
          <w:rFonts w:hint="eastAsia"/>
          <w:sz w:val="24"/>
        </w:rPr>
        <w:t>和消耗品</w:t>
      </w:r>
      <w:r>
        <w:rPr>
          <w:rFonts w:hint="eastAsia" w:ascii="宋体"/>
          <w:sz w:val="24"/>
        </w:rPr>
        <w:t>。投标人在投标书中需列出这些附件和工具的数量和单价的清单，这些附件和工具的报价的总值需计入投标价中。</w:t>
      </w:r>
    </w:p>
    <w:p>
      <w:pPr>
        <w:spacing w:line="360" w:lineRule="auto"/>
        <w:ind w:left="554" w:hanging="554" w:hangingChars="231"/>
        <w:rPr>
          <w:sz w:val="24"/>
        </w:rPr>
      </w:pPr>
      <w:r>
        <w:rPr>
          <w:rFonts w:hint="eastAsia" w:ascii="宋体" w:hAnsi="宋体"/>
          <w:sz w:val="24"/>
        </w:rPr>
        <w:t xml:space="preserve">2.2  </w:t>
      </w:r>
      <w:r>
        <w:rPr>
          <w:rFonts w:hint="eastAsia"/>
          <w:sz w:val="24"/>
        </w:rPr>
        <w:t>对于标书</w:t>
      </w:r>
      <w:r>
        <w:rPr>
          <w:rFonts w:hint="eastAsia" w:ascii="宋体"/>
          <w:sz w:val="24"/>
        </w:rPr>
        <w:t>技术规范中已列</w:t>
      </w:r>
      <w:r>
        <w:rPr>
          <w:rFonts w:hint="eastAsia"/>
          <w:sz w:val="24"/>
        </w:rPr>
        <w:t>出的作为查询选件的附件、零配件、专用工具和消耗品，投标书中</w:t>
      </w:r>
      <w:r>
        <w:rPr>
          <w:rFonts w:hint="eastAsia" w:ascii="宋体"/>
          <w:sz w:val="24"/>
        </w:rPr>
        <w:t>应列明其数量、单价、总价供买方参考。投标人也可推荐买方没有要求的附件或专用工具作为选件，并列明其数量、单价、总价供买方参考。选件价格不计入评标价中。</w:t>
      </w:r>
      <w:r>
        <w:rPr>
          <w:rFonts w:hint="eastAsia"/>
          <w:sz w:val="24"/>
        </w:rPr>
        <w:t>选件一旦为用户接受，其费用将加入合同价中。</w:t>
      </w:r>
    </w:p>
    <w:p>
      <w:pPr>
        <w:spacing w:line="360" w:lineRule="auto"/>
        <w:ind w:left="554" w:hanging="554" w:hangingChars="231"/>
        <w:rPr>
          <w:rFonts w:ascii="宋体" w:hAnsi="宋体"/>
          <w:sz w:val="24"/>
        </w:rPr>
      </w:pPr>
      <w:r>
        <w:rPr>
          <w:rFonts w:hint="eastAsia" w:ascii="宋体" w:hAnsi="宋体"/>
          <w:sz w:val="24"/>
        </w:rPr>
        <w:t>2.3  为便于用户进行接收仪器的准备工作，卖方应在合同生效后</w:t>
      </w:r>
      <w:r>
        <w:rPr>
          <w:rFonts w:hint="eastAsia" w:ascii="宋体" w:hAnsi="宋体"/>
          <w:b/>
          <w:sz w:val="24"/>
        </w:rPr>
        <w:t>60</w:t>
      </w:r>
      <w:r>
        <w:rPr>
          <w:rFonts w:hint="eastAsia" w:ascii="宋体" w:hAnsi="宋体"/>
          <w:sz w:val="24"/>
        </w:rPr>
        <w:t>天内向用户提供一套完整的使用说明书、操作手册、维修及安装说明等文件。另一套完整上述资料应在交货时随货包装提供给用户，这些费用应计入投标价中。</w:t>
      </w:r>
    </w:p>
    <w:p>
      <w:pPr>
        <w:spacing w:line="360" w:lineRule="auto"/>
        <w:ind w:left="554" w:hanging="554" w:hangingChars="231"/>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4</w:t>
      </w:r>
      <w:r>
        <w:rPr>
          <w:rFonts w:ascii="宋体" w:hAnsi="宋体"/>
          <w:sz w:val="24"/>
        </w:rPr>
        <w:t xml:space="preserve"> </w:t>
      </w:r>
      <w:r>
        <w:rPr>
          <w:rFonts w:hint="eastAsia" w:ascii="宋体" w:hAnsi="宋体"/>
          <w:sz w:val="24"/>
        </w:rPr>
        <w:t xml:space="preserve"> 关于设备的安装调试，如果有必要的安装准备条件，卖方应在合同生效后一个月内向买方提出详细的要求或计划。安装调试的费用应计入投标价中，并应单独列出，供评标使用。</w:t>
      </w:r>
    </w:p>
    <w:p>
      <w:pPr>
        <w:spacing w:line="360" w:lineRule="auto"/>
        <w:ind w:left="554" w:hanging="554" w:hangingChars="231"/>
        <w:rPr>
          <w:rFonts w:ascii="宋体" w:hAnsi="宋体"/>
          <w:color w:val="FF0000"/>
          <w:sz w:val="24"/>
        </w:rPr>
      </w:pPr>
      <w:r>
        <w:rPr>
          <w:rFonts w:ascii="宋体" w:hAnsi="宋体"/>
          <w:sz w:val="24"/>
        </w:rPr>
        <w:t>2.</w:t>
      </w:r>
      <w:r>
        <w:rPr>
          <w:rFonts w:hint="eastAsia" w:ascii="宋体" w:hAnsi="宋体"/>
          <w:sz w:val="24"/>
        </w:rPr>
        <w:t>5  制造厂家提供的培训指的是涉及货物的基本原理、操作使用和保养维修等有关内容的培训。培训教员的培训费、旅费、食宿费等费用和培训场地费及培训资料费均应由卖方支付。</w:t>
      </w:r>
    </w:p>
    <w:p>
      <w:pPr>
        <w:spacing w:line="360" w:lineRule="auto"/>
        <w:ind w:left="554" w:hanging="554" w:hangingChars="231"/>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 xml:space="preserve">6  </w:t>
      </w:r>
      <w:r>
        <w:rPr>
          <w:rFonts w:hint="eastAsia"/>
          <w:sz w:val="24"/>
        </w:rPr>
        <w:t>在评标过程中，买方有权向投标人索取任何与评标有关的资料，投标人务必在接到此类要求后，在规定时间内予以答复。对于无答复的投标人，买方有权拒绝其投标。</w:t>
      </w:r>
    </w:p>
    <w:p>
      <w:pPr>
        <w:spacing w:before="156" w:beforeLines="50" w:after="156" w:afterLines="50" w:line="360" w:lineRule="auto"/>
        <w:ind w:left="601" w:hanging="601"/>
        <w:rPr>
          <w:rFonts w:ascii="宋体" w:hAnsi="宋体"/>
          <w:b/>
          <w:sz w:val="28"/>
        </w:rPr>
      </w:pPr>
      <w:r>
        <w:rPr>
          <w:rFonts w:hint="eastAsia" w:ascii="宋体" w:hAnsi="宋体"/>
          <w:b/>
          <w:sz w:val="28"/>
        </w:rPr>
        <w:t>3、工作条件</w:t>
      </w:r>
    </w:p>
    <w:p>
      <w:pPr>
        <w:spacing w:after="312" w:afterLines="100" w:line="360" w:lineRule="auto"/>
        <w:rPr>
          <w:rFonts w:ascii="宋体" w:hAnsi="宋体"/>
          <w:sz w:val="24"/>
        </w:rPr>
      </w:pPr>
      <w:r>
        <w:rPr>
          <w:rFonts w:hint="eastAsia" w:ascii="宋体" w:hAnsi="宋体"/>
          <w:sz w:val="24"/>
        </w:rPr>
        <w:t>除非在技术规格中另有说明，所有仪器、设备和系统都应符合下列要求：</w:t>
      </w:r>
      <w:r>
        <w:rPr>
          <w:rFonts w:ascii="宋体" w:hAnsi="宋体"/>
          <w:sz w:val="24"/>
        </w:rPr>
        <w:t xml:space="preserve"> </w:t>
      </w:r>
    </w:p>
    <w:p>
      <w:pPr>
        <w:spacing w:line="360" w:lineRule="auto"/>
        <w:ind w:left="554" w:hanging="554" w:hangingChars="231"/>
        <w:rPr>
          <w:rFonts w:ascii="宋体" w:hAnsi="宋体"/>
          <w:sz w:val="24"/>
        </w:rPr>
      </w:pPr>
      <w:r>
        <w:rPr>
          <w:rFonts w:hint="eastAsia" w:ascii="宋体" w:hAnsi="宋体"/>
          <w:sz w:val="24"/>
        </w:rPr>
        <w:t>3.1  适于在气温为摄氏</w:t>
      </w:r>
      <w:r>
        <w:rPr>
          <w:rFonts w:ascii="宋体" w:hAnsi="宋体"/>
          <w:b/>
          <w:sz w:val="24"/>
        </w:rPr>
        <w:t>-40</w:t>
      </w:r>
      <w:r>
        <w:rPr>
          <w:rFonts w:hint="eastAsia" w:ascii="宋体" w:hAnsi="宋体"/>
          <w:b/>
          <w:sz w:val="24"/>
        </w:rPr>
        <w:t>℃～＋</w:t>
      </w:r>
      <w:r>
        <w:rPr>
          <w:rFonts w:ascii="宋体" w:hAnsi="宋体"/>
          <w:b/>
          <w:sz w:val="24"/>
        </w:rPr>
        <w:t>50</w:t>
      </w:r>
      <w:r>
        <w:rPr>
          <w:rFonts w:hint="eastAsia" w:ascii="宋体" w:hAnsi="宋体"/>
          <w:b/>
          <w:sz w:val="24"/>
        </w:rPr>
        <w:t>℃</w:t>
      </w:r>
      <w:r>
        <w:rPr>
          <w:rFonts w:hint="eastAsia" w:ascii="宋体" w:hAnsi="宋体"/>
          <w:sz w:val="24"/>
        </w:rPr>
        <w:t>和相对湿度为</w:t>
      </w:r>
      <w:r>
        <w:rPr>
          <w:rFonts w:ascii="宋体" w:hAnsi="宋体"/>
          <w:b/>
          <w:sz w:val="24"/>
        </w:rPr>
        <w:t>90</w:t>
      </w:r>
      <w:r>
        <w:rPr>
          <w:rFonts w:hint="eastAsia" w:ascii="宋体" w:hAnsi="宋体"/>
          <w:b/>
          <w:sz w:val="24"/>
        </w:rPr>
        <w:t>％</w:t>
      </w:r>
      <w:r>
        <w:rPr>
          <w:rFonts w:hint="eastAsia" w:ascii="宋体" w:hAnsi="宋体"/>
          <w:sz w:val="24"/>
        </w:rPr>
        <w:t>的环境条件下运输和贮存。</w:t>
      </w:r>
    </w:p>
    <w:p>
      <w:pPr>
        <w:spacing w:line="360" w:lineRule="auto"/>
        <w:ind w:left="554" w:hanging="554" w:hangingChars="231"/>
        <w:rPr>
          <w:rFonts w:ascii="宋体" w:hAnsi="宋体"/>
          <w:sz w:val="24"/>
        </w:rPr>
      </w:pPr>
      <w:r>
        <w:rPr>
          <w:rFonts w:hint="eastAsia" w:ascii="宋体" w:hAnsi="宋体"/>
          <w:sz w:val="24"/>
        </w:rPr>
        <w:t>3.2  适于在电源</w:t>
      </w:r>
      <w:r>
        <w:rPr>
          <w:rFonts w:ascii="宋体" w:hAnsi="宋体"/>
          <w:b/>
          <w:sz w:val="24"/>
        </w:rPr>
        <w:t>220V</w:t>
      </w:r>
      <w:r>
        <w:rPr>
          <w:rFonts w:hint="eastAsia" w:ascii="宋体" w:hAnsi="宋体"/>
          <w:b/>
          <w:sz w:val="24"/>
        </w:rPr>
        <w:t>（</w:t>
      </w:r>
      <w:r>
        <w:rPr>
          <w:rFonts w:ascii="宋体" w:hAnsi="宋体"/>
          <w:b/>
          <w:sz w:val="24"/>
        </w:rPr>
        <w:sym w:font="Symbol" w:char="F0B1"/>
      </w:r>
      <w:r>
        <w:rPr>
          <w:rFonts w:ascii="宋体" w:hAnsi="宋体"/>
          <w:b/>
          <w:sz w:val="24"/>
        </w:rPr>
        <w:t>10</w:t>
      </w:r>
      <w:r>
        <w:rPr>
          <w:rFonts w:hint="eastAsia" w:ascii="宋体" w:hAnsi="宋体"/>
          <w:b/>
          <w:sz w:val="24"/>
        </w:rPr>
        <w:t>％）</w:t>
      </w:r>
      <w:r>
        <w:rPr>
          <w:rFonts w:ascii="宋体" w:hAnsi="宋体"/>
          <w:b/>
          <w:sz w:val="24"/>
        </w:rPr>
        <w:t>/50Hz</w:t>
      </w:r>
      <w:r>
        <w:rPr>
          <w:rFonts w:hint="eastAsia" w:ascii="宋体" w:hAnsi="宋体"/>
          <w:sz w:val="24"/>
        </w:rPr>
        <w:t>、气温摄氏</w:t>
      </w:r>
      <w:r>
        <w:rPr>
          <w:rFonts w:hint="eastAsia" w:ascii="宋体" w:hAnsi="宋体"/>
          <w:b/>
          <w:sz w:val="24"/>
        </w:rPr>
        <w:t>+1</w:t>
      </w:r>
      <w:r>
        <w:rPr>
          <w:rFonts w:ascii="宋体" w:hAnsi="宋体"/>
          <w:b/>
          <w:sz w:val="24"/>
        </w:rPr>
        <w:t>5</w:t>
      </w:r>
      <w:r>
        <w:rPr>
          <w:rFonts w:hint="eastAsia" w:ascii="宋体" w:hAnsi="宋体"/>
          <w:b/>
          <w:sz w:val="24"/>
        </w:rPr>
        <w:t>℃～＋3</w:t>
      </w:r>
      <w:r>
        <w:rPr>
          <w:rFonts w:ascii="宋体" w:hAnsi="宋体"/>
          <w:b/>
          <w:sz w:val="24"/>
        </w:rPr>
        <w:t>0</w:t>
      </w:r>
      <w:r>
        <w:rPr>
          <w:rFonts w:hint="eastAsia" w:ascii="宋体" w:hAnsi="宋体"/>
          <w:b/>
          <w:sz w:val="24"/>
        </w:rPr>
        <w:t>℃</w:t>
      </w:r>
      <w:r>
        <w:rPr>
          <w:rFonts w:hint="eastAsia" w:ascii="宋体" w:hAnsi="宋体"/>
          <w:sz w:val="24"/>
        </w:rPr>
        <w:t>和相对湿度小于</w:t>
      </w:r>
      <w:r>
        <w:rPr>
          <w:rFonts w:ascii="宋体" w:hAnsi="宋体"/>
          <w:b/>
          <w:sz w:val="24"/>
        </w:rPr>
        <w:t>8</w:t>
      </w:r>
      <w:r>
        <w:rPr>
          <w:rFonts w:hint="eastAsia" w:ascii="宋体" w:hAnsi="宋体"/>
          <w:b/>
          <w:sz w:val="24"/>
        </w:rPr>
        <w:t>0％</w:t>
      </w:r>
      <w:r>
        <w:rPr>
          <w:rFonts w:hint="eastAsia" w:ascii="宋体" w:hAnsi="宋体"/>
          <w:sz w:val="24"/>
        </w:rPr>
        <w:t>的环境条件下运行。</w:t>
      </w:r>
      <w:r>
        <w:rPr>
          <w:rFonts w:hint="eastAsia" w:ascii="宋体" w:hAnsi="宋体"/>
          <w:b/>
          <w:sz w:val="24"/>
        </w:rPr>
        <w:t>能够连续正常工作。</w:t>
      </w:r>
    </w:p>
    <w:p>
      <w:pPr>
        <w:spacing w:line="360" w:lineRule="auto"/>
        <w:ind w:left="554" w:hanging="554" w:hangingChars="231"/>
        <w:rPr>
          <w:rFonts w:ascii="宋体" w:hAnsi="宋体"/>
          <w:sz w:val="24"/>
        </w:rPr>
      </w:pPr>
      <w:r>
        <w:rPr>
          <w:rFonts w:hint="eastAsia" w:ascii="宋体" w:hAnsi="宋体"/>
          <w:sz w:val="24"/>
        </w:rPr>
        <w:t>3.3  配置符合中国有关标准要求的插头，如果没有这样的插头，则需</w:t>
      </w:r>
      <w:r>
        <w:rPr>
          <w:rFonts w:hint="eastAsia" w:ascii="宋体"/>
          <w:sz w:val="24"/>
        </w:rPr>
        <w:t>提供适当的转</w:t>
      </w:r>
      <w:r>
        <w:rPr>
          <w:rFonts w:hint="eastAsia" w:ascii="宋体" w:hAnsi="宋体"/>
          <w:sz w:val="24"/>
        </w:rPr>
        <w:t>换插座。</w:t>
      </w:r>
    </w:p>
    <w:p>
      <w:pPr>
        <w:spacing w:line="360" w:lineRule="auto"/>
        <w:ind w:left="554" w:hanging="554" w:hangingChars="231"/>
        <w:rPr>
          <w:rFonts w:ascii="宋体" w:hAnsi="宋体"/>
          <w:sz w:val="24"/>
        </w:rPr>
      </w:pPr>
      <w:r>
        <w:rPr>
          <w:rFonts w:hint="eastAsia" w:ascii="宋体" w:hAnsi="宋体"/>
          <w:sz w:val="24"/>
        </w:rPr>
        <w:t>3.4  如产品达不到上述要求，投标人应注明其偏差。如仪器设备需要特殊工作条件（如水、电源、磁场强度、温度、湿度、动强度等）投标人应在投标书中加以说明。</w:t>
      </w:r>
    </w:p>
    <w:p>
      <w:pPr>
        <w:rPr>
          <w:rFonts w:eastAsia="黑体"/>
          <w:b/>
          <w:bCs/>
          <w:kern w:val="44"/>
          <w:sz w:val="24"/>
        </w:rPr>
      </w:pPr>
    </w:p>
    <w:p>
      <w:pPr>
        <w:spacing w:before="156" w:beforeLines="50" w:after="156" w:afterLines="50" w:line="360" w:lineRule="auto"/>
        <w:ind w:left="601" w:hanging="601"/>
        <w:rPr>
          <w:rFonts w:ascii="宋体" w:hAnsi="宋体"/>
          <w:b/>
          <w:sz w:val="28"/>
        </w:rPr>
      </w:pPr>
      <w:r>
        <w:rPr>
          <w:rFonts w:hint="eastAsia" w:ascii="宋体" w:hAnsi="宋体"/>
          <w:b/>
          <w:sz w:val="28"/>
        </w:rPr>
        <w:t>4、验收标准</w:t>
      </w:r>
    </w:p>
    <w:p>
      <w:pPr>
        <w:spacing w:after="312" w:afterLines="100" w:line="360" w:lineRule="auto"/>
        <w:rPr>
          <w:rFonts w:ascii="宋体" w:hAnsi="宋体"/>
          <w:sz w:val="24"/>
        </w:rPr>
      </w:pPr>
      <w:r>
        <w:rPr>
          <w:rFonts w:hint="eastAsia" w:ascii="宋体" w:hAnsi="宋体"/>
          <w:sz w:val="24"/>
        </w:rPr>
        <w:t>除非在技术规格中另有说明，所有仪器、设备和系统按下列要求进行验收：</w:t>
      </w:r>
      <w:r>
        <w:rPr>
          <w:rFonts w:ascii="宋体" w:hAnsi="宋体"/>
          <w:sz w:val="24"/>
        </w:rPr>
        <w:t xml:space="preserve"> </w:t>
      </w:r>
    </w:p>
    <w:p>
      <w:pPr>
        <w:spacing w:line="360" w:lineRule="auto"/>
        <w:ind w:left="554" w:hanging="554" w:hangingChars="231"/>
        <w:rPr>
          <w:rFonts w:ascii="宋体" w:hAnsi="宋体"/>
          <w:sz w:val="24"/>
        </w:rPr>
      </w:pPr>
      <w:r>
        <w:rPr>
          <w:rFonts w:hint="eastAsia" w:ascii="宋体" w:hAnsi="宋体"/>
          <w:sz w:val="24"/>
        </w:rPr>
        <w:t>4.1  仪器设备运抵安装现场后，买方将与卖方共同开箱验收</w:t>
      </w:r>
      <w:r>
        <w:rPr>
          <w:rFonts w:ascii="宋体" w:hAnsi="宋体"/>
          <w:sz w:val="24"/>
        </w:rPr>
        <w:t xml:space="preserve">, </w:t>
      </w:r>
      <w:r>
        <w:rPr>
          <w:rFonts w:hint="eastAsia" w:ascii="宋体" w:hAnsi="宋体"/>
          <w:sz w:val="24"/>
        </w:rPr>
        <w:t>如卖方届时不派人来</w:t>
      </w:r>
      <w:r>
        <w:rPr>
          <w:rFonts w:ascii="宋体" w:hAnsi="宋体"/>
          <w:sz w:val="24"/>
        </w:rPr>
        <w:t xml:space="preserve">, </w:t>
      </w:r>
      <w:r>
        <w:rPr>
          <w:rFonts w:hint="eastAsia" w:ascii="宋体" w:hAnsi="宋体"/>
          <w:sz w:val="24"/>
        </w:rPr>
        <w:t>则验收结果应以买方的验收报告为最终验收结果。验收时发现短缺、破损</w:t>
      </w:r>
      <w:r>
        <w:rPr>
          <w:rFonts w:ascii="宋体" w:hAnsi="宋体"/>
          <w:sz w:val="24"/>
        </w:rPr>
        <w:t xml:space="preserve">, </w:t>
      </w:r>
      <w:r>
        <w:rPr>
          <w:rFonts w:hint="eastAsia" w:ascii="宋体" w:hAnsi="宋体"/>
          <w:sz w:val="24"/>
        </w:rPr>
        <w:t>买方有权要求卖方负责更换。</w:t>
      </w:r>
    </w:p>
    <w:p>
      <w:pPr>
        <w:spacing w:line="360" w:lineRule="auto"/>
        <w:ind w:left="554" w:hanging="554" w:hangingChars="231"/>
        <w:rPr>
          <w:rFonts w:ascii="宋体" w:hAnsi="宋体"/>
          <w:sz w:val="24"/>
        </w:rPr>
      </w:pPr>
      <w:r>
        <w:rPr>
          <w:rFonts w:hint="eastAsia" w:ascii="宋体" w:hAnsi="宋体"/>
          <w:sz w:val="24"/>
        </w:rPr>
        <w:t xml:space="preserve">4.2  </w:t>
      </w:r>
      <w:r>
        <w:rPr>
          <w:rFonts w:hint="eastAsia"/>
          <w:sz w:val="24"/>
        </w:rPr>
        <w:t>验收标准以中标人提供的投标文件中所列的指标为准（该指标应不低于招标文件所要求的指标）。任何虚假指标响应一经发现即作废标，卖方必须承担由此给买方带来的一切经济损失和其它相关责任。</w:t>
      </w:r>
    </w:p>
    <w:p>
      <w:pPr>
        <w:spacing w:line="360" w:lineRule="auto"/>
        <w:ind w:left="554" w:hanging="554" w:hangingChars="231"/>
        <w:rPr>
          <w:rFonts w:ascii="宋体" w:hAnsi="宋体"/>
          <w:sz w:val="24"/>
        </w:rPr>
      </w:pPr>
      <w:r>
        <w:rPr>
          <w:rFonts w:hint="eastAsia" w:ascii="宋体" w:hAnsi="宋体"/>
          <w:sz w:val="24"/>
        </w:rPr>
        <w:t xml:space="preserve">4.3  </w:t>
      </w:r>
      <w:r>
        <w:rPr>
          <w:rFonts w:ascii="宋体" w:hAnsi="宋体"/>
          <w:sz w:val="24"/>
        </w:rPr>
        <w:t>验收由采购人、中标人及相关人员依国家有关标准、合同及有关附件要求进行，验收完毕由采购人及中标人在验收报告上签名。</w:t>
      </w:r>
    </w:p>
    <w:p>
      <w:pPr>
        <w:pStyle w:val="18"/>
        <w:spacing w:line="360" w:lineRule="auto"/>
        <w:ind w:left="410" w:hanging="410" w:hangingChars="170"/>
        <w:rPr>
          <w:rFonts w:hAnsi="宋体"/>
          <w:b/>
          <w:sz w:val="24"/>
          <w:szCs w:val="24"/>
        </w:rPr>
      </w:pPr>
    </w:p>
    <w:p>
      <w:pPr>
        <w:pStyle w:val="18"/>
        <w:spacing w:line="360" w:lineRule="auto"/>
        <w:ind w:left="410" w:hanging="410" w:hangingChars="170"/>
        <w:rPr>
          <w:rFonts w:hAnsi="宋体"/>
          <w:b/>
          <w:sz w:val="24"/>
          <w:szCs w:val="24"/>
        </w:rPr>
      </w:pPr>
      <w:r>
        <w:rPr>
          <w:rFonts w:hint="eastAsia" w:hAnsi="宋体"/>
          <w:b/>
          <w:sz w:val="24"/>
          <w:szCs w:val="24"/>
        </w:rPr>
        <w:t>5、本技术规格书中标注“*”号的为实质性要求，不满足其投标将被拒绝。</w:t>
      </w:r>
    </w:p>
    <w:p>
      <w:pPr>
        <w:pStyle w:val="18"/>
        <w:spacing w:line="360" w:lineRule="auto"/>
        <w:rPr>
          <w:rFonts w:hAnsi="宋体"/>
          <w:b/>
          <w:sz w:val="24"/>
          <w:szCs w:val="24"/>
        </w:rPr>
      </w:pPr>
    </w:p>
    <w:p>
      <w:pPr>
        <w:pStyle w:val="18"/>
        <w:spacing w:line="360" w:lineRule="auto"/>
        <w:rPr>
          <w:rFonts w:hAnsi="宋体"/>
          <w:b/>
          <w:sz w:val="24"/>
          <w:szCs w:val="24"/>
        </w:rPr>
      </w:pPr>
      <w:r>
        <w:rPr>
          <w:rFonts w:hint="eastAsia" w:hAnsi="宋体"/>
          <w:b/>
          <w:sz w:val="24"/>
          <w:szCs w:val="24"/>
        </w:rPr>
        <w:t>6、如在具体技术规格中有本总则不一致之处，以具体技术规格中的要求为准。</w:t>
      </w:r>
    </w:p>
    <w:p>
      <w:pPr>
        <w:spacing w:after="156" w:afterLines="50"/>
        <w:ind w:left="601" w:hanging="601"/>
        <w:rPr>
          <w:rFonts w:ascii="宋体" w:hAnsi="宋体"/>
          <w:b/>
          <w:sz w:val="28"/>
        </w:rPr>
      </w:pPr>
      <w:r>
        <w:rPr>
          <w:rFonts w:ascii="宋体" w:hAnsi="宋体"/>
          <w:b/>
          <w:sz w:val="28"/>
        </w:rPr>
        <w:br w:type="page"/>
      </w:r>
      <w:r>
        <w:rPr>
          <w:rFonts w:hint="eastAsia" w:ascii="宋体" w:hAnsi="宋体"/>
          <w:b/>
          <w:sz w:val="28"/>
        </w:rPr>
        <w:t>三、具体技术规格</w:t>
      </w:r>
    </w:p>
    <w:p>
      <w:pPr>
        <w:rPr>
          <w:sz w:val="24"/>
        </w:rPr>
      </w:pPr>
    </w:p>
    <w:p>
      <w:pPr>
        <w:jc w:val="center"/>
        <w:rPr>
          <w:b/>
          <w:sz w:val="24"/>
        </w:rPr>
      </w:pPr>
      <w:r>
        <w:rPr>
          <w:rFonts w:hint="eastAsia"/>
          <w:b/>
          <w:sz w:val="24"/>
        </w:rPr>
        <w:t xml:space="preserve">第1包 </w:t>
      </w:r>
      <w:r>
        <w:rPr>
          <w:rFonts w:hint="eastAsia" w:ascii="宋体" w:hAnsi="宋体" w:cs="宋体"/>
          <w:kern w:val="0"/>
          <w:sz w:val="24"/>
        </w:rPr>
        <w:t>非标记生物分子相互作用分析系统</w:t>
      </w:r>
    </w:p>
    <w:p>
      <w:pPr>
        <w:rPr>
          <w:b/>
          <w:sz w:val="24"/>
        </w:rPr>
      </w:pPr>
    </w:p>
    <w:p>
      <w:pPr>
        <w:rPr>
          <w:b/>
          <w:sz w:val="24"/>
        </w:rPr>
      </w:pPr>
    </w:p>
    <w:p>
      <w:pPr>
        <w:numPr>
          <w:ilvl w:val="0"/>
          <w:numId w:val="2"/>
        </w:numPr>
        <w:rPr>
          <w:rFonts w:ascii="宋体" w:hAnsi="宋体" w:cs="宋体"/>
          <w:b/>
          <w:sz w:val="24"/>
        </w:rPr>
      </w:pPr>
      <w:r>
        <w:rPr>
          <w:rFonts w:hint="eastAsia" w:ascii="宋体" w:hAnsi="宋体" w:cs="宋体"/>
          <w:b/>
          <w:sz w:val="24"/>
        </w:rPr>
        <w:t>技术要求：</w:t>
      </w:r>
    </w:p>
    <w:p>
      <w:pPr>
        <w:rPr>
          <w:rFonts w:ascii="宋体" w:hAnsi="宋体" w:cs="宋体"/>
          <w:b/>
          <w:sz w:val="24"/>
        </w:rPr>
      </w:pPr>
    </w:p>
    <w:p>
      <w:pPr>
        <w:numPr>
          <w:ilvl w:val="0"/>
          <w:numId w:val="3"/>
        </w:numPr>
        <w:spacing w:line="360" w:lineRule="auto"/>
        <w:rPr>
          <w:rFonts w:ascii="宋体" w:hAnsi="宋体" w:cs="宋体"/>
          <w:b/>
          <w:sz w:val="24"/>
        </w:rPr>
      </w:pPr>
      <w:r>
        <w:rPr>
          <w:rFonts w:hint="eastAsia" w:ascii="宋体" w:hAnsi="宋体" w:cs="宋体"/>
          <w:b/>
          <w:sz w:val="24"/>
        </w:rPr>
        <w:t>工作条件：</w:t>
      </w:r>
    </w:p>
    <w:p>
      <w:pPr>
        <w:spacing w:line="360" w:lineRule="auto"/>
        <w:rPr>
          <w:sz w:val="24"/>
        </w:rPr>
      </w:pPr>
      <w:r>
        <w:rPr>
          <w:sz w:val="24"/>
        </w:rPr>
        <w:t>1.1 环境温度：16 - 28℃；</w:t>
      </w:r>
    </w:p>
    <w:p>
      <w:pPr>
        <w:pStyle w:val="17"/>
        <w:spacing w:line="360" w:lineRule="auto"/>
        <w:ind w:left="0" w:firstLine="0"/>
        <w:rPr>
          <w:sz w:val="24"/>
          <w:szCs w:val="24"/>
        </w:rPr>
      </w:pPr>
      <w:r>
        <w:rPr>
          <w:sz w:val="24"/>
        </w:rPr>
        <w:t>1.</w:t>
      </w:r>
      <w:r>
        <w:rPr>
          <w:sz w:val="24"/>
          <w:szCs w:val="24"/>
        </w:rPr>
        <w:t>2 环境湿度：45% - 65%</w:t>
      </w:r>
    </w:p>
    <w:p>
      <w:pPr>
        <w:spacing w:line="360" w:lineRule="auto"/>
        <w:rPr>
          <w:sz w:val="24"/>
        </w:rPr>
      </w:pPr>
      <w:r>
        <w:rPr>
          <w:sz w:val="24"/>
        </w:rPr>
        <w:t>1.3 工作电压：交流电220 V - 240 V。</w:t>
      </w:r>
    </w:p>
    <w:p>
      <w:pPr>
        <w:spacing w:line="360" w:lineRule="auto"/>
        <w:ind w:left="435" w:firstLine="240"/>
        <w:rPr>
          <w:rFonts w:ascii="宋体" w:hAnsi="宋体" w:cs="宋体"/>
          <w:sz w:val="24"/>
        </w:rPr>
      </w:pPr>
    </w:p>
    <w:p>
      <w:pPr>
        <w:numPr>
          <w:ilvl w:val="0"/>
          <w:numId w:val="3"/>
        </w:numPr>
        <w:spacing w:line="360" w:lineRule="auto"/>
        <w:rPr>
          <w:rFonts w:ascii="宋体" w:hAnsi="宋体" w:cs="宋体"/>
          <w:b/>
          <w:sz w:val="24"/>
        </w:rPr>
      </w:pPr>
      <w:r>
        <w:rPr>
          <w:rFonts w:hint="eastAsia" w:ascii="宋体" w:hAnsi="宋体" w:cs="宋体"/>
          <w:b/>
          <w:sz w:val="24"/>
        </w:rPr>
        <w:t>设备用途：</w:t>
      </w:r>
    </w:p>
    <w:p>
      <w:pPr>
        <w:pStyle w:val="24"/>
        <w:spacing w:before="100" w:beforeAutospacing="1" w:after="100" w:afterAutospacing="1" w:line="360" w:lineRule="auto"/>
        <w:ind w:left="0" w:firstLine="0" w:firstLineChars="0"/>
        <w:jc w:val="left"/>
        <w:rPr>
          <w:sz w:val="24"/>
        </w:rPr>
      </w:pPr>
      <w:r>
        <w:rPr>
          <w:sz w:val="24"/>
        </w:rPr>
        <w:t>2.1功能： 实时、直接、动态的观测分子间相互作用的全过程，并给出其结合的特异性，结合强弱（即亲和力）以及分子识别的快慢与结合复合体的稳定性（动力学），阐述多个分子（或亚基）之间的组装过程以及顺序，作用机制（Mechanism of Action, MOA）以及构效关系（Structure-Activity Relationship, SAR）。</w:t>
      </w:r>
    </w:p>
    <w:p>
      <w:pPr>
        <w:pStyle w:val="24"/>
        <w:spacing w:before="100" w:beforeAutospacing="1" w:after="100" w:afterAutospacing="1" w:line="360" w:lineRule="auto"/>
        <w:ind w:left="0" w:firstLine="0" w:firstLineChars="0"/>
        <w:jc w:val="left"/>
        <w:rPr>
          <w:rFonts w:ascii="宋体" w:hAnsi="宋体" w:cs="宋体"/>
          <w:sz w:val="24"/>
        </w:rPr>
      </w:pPr>
      <w:r>
        <w:rPr>
          <w:sz w:val="24"/>
        </w:rPr>
        <w:t>2.2用途：能够用于基础科研的多个环节，包括但不限于：互作因子筛选与发现，亲和力与动力学等互作信息的综合性表征，结合关键结构域、关键氨基酸、关键核酸位点、关键碱基的发现与鉴定，蛋白翻译后修饰研究，小分子化合物或抗原/抗体互作的筛选、鉴定、分级、分型、结构优化以及表位作图等，以及药物分子活性浓度、有效成分测定等。</w:t>
      </w:r>
      <w:r>
        <w:rPr>
          <w:rFonts w:hint="eastAsia" w:ascii="宋体" w:hAnsi="宋体" w:cs="宋体"/>
          <w:sz w:val="24"/>
        </w:rPr>
        <w:t xml:space="preserve">  </w:t>
      </w:r>
    </w:p>
    <w:p>
      <w:pPr>
        <w:pStyle w:val="24"/>
        <w:spacing w:before="100" w:beforeAutospacing="1" w:after="100" w:afterAutospacing="1" w:line="360" w:lineRule="auto"/>
        <w:ind w:left="0" w:firstLine="0" w:firstLineChars="0"/>
        <w:jc w:val="left"/>
        <w:rPr>
          <w:rFonts w:ascii="宋体" w:hAnsi="宋体" w:cs="宋体"/>
          <w:sz w:val="24"/>
        </w:rPr>
      </w:pPr>
    </w:p>
    <w:p>
      <w:pPr>
        <w:numPr>
          <w:ilvl w:val="0"/>
          <w:numId w:val="3"/>
        </w:numPr>
        <w:spacing w:line="360" w:lineRule="auto"/>
        <w:rPr>
          <w:rFonts w:ascii="宋体" w:hAnsi="宋体" w:cs="宋体"/>
          <w:b/>
          <w:sz w:val="24"/>
        </w:rPr>
      </w:pPr>
      <w:r>
        <w:rPr>
          <w:rFonts w:hint="eastAsia" w:ascii="宋体" w:hAnsi="宋体" w:cs="宋体"/>
          <w:b/>
          <w:sz w:val="24"/>
        </w:rPr>
        <w:t>技术规格：</w:t>
      </w:r>
    </w:p>
    <w:p>
      <w:pPr>
        <w:pStyle w:val="24"/>
        <w:spacing w:line="360" w:lineRule="auto"/>
        <w:ind w:firstLineChars="0"/>
        <w:jc w:val="left"/>
        <w:rPr>
          <w:rFonts w:ascii="宋体" w:hAnsi="宋体" w:cs="宋体"/>
          <w:sz w:val="24"/>
        </w:rPr>
      </w:pPr>
      <w:r>
        <w:rPr>
          <w:rFonts w:hint="eastAsia" w:ascii="宋体" w:hAnsi="宋体" w:cs="宋体"/>
          <w:sz w:val="24"/>
        </w:rPr>
        <w:t>*3.1 检测原理：检测技术基于表面等离子共振SPR，可对标记及无标记样品进行实时检测，检测分辨率、灵敏度高，检测结果真实可靠。</w:t>
      </w:r>
    </w:p>
    <w:p>
      <w:pPr>
        <w:pStyle w:val="35"/>
        <w:tabs>
          <w:tab w:val="center" w:pos="567"/>
          <w:tab w:val="right" w:pos="5387"/>
          <w:tab w:val="clear" w:pos="4820"/>
          <w:tab w:val="clear" w:pos="9639"/>
        </w:tabs>
        <w:spacing w:before="0" w:after="0" w:line="360" w:lineRule="auto"/>
        <w:rPr>
          <w:rFonts w:ascii="宋体" w:hAnsi="宋体" w:cs="宋体"/>
          <w:b w:val="0"/>
          <w:caps w:val="0"/>
          <w:kern w:val="2"/>
          <w:szCs w:val="24"/>
          <w:lang w:val="en-US" w:eastAsia="zh-CN"/>
        </w:rPr>
      </w:pPr>
      <w:r>
        <w:rPr>
          <w:rFonts w:hint="eastAsia" w:ascii="宋体" w:hAnsi="宋体" w:cs="宋体"/>
          <w:b w:val="0"/>
          <w:caps w:val="0"/>
          <w:kern w:val="2"/>
          <w:szCs w:val="24"/>
          <w:lang w:val="en-US" w:eastAsia="zh-CN"/>
        </w:rPr>
        <w:t>3.2 检测范围：既要能够检测蛋白、多肽、抗原/抗体、核酸（含DNA、RNA）脂类、多糖等生物大分子，又要能够对小分子化合物、有机小分子等进行检测，同时能够检测细胞、细菌、病毒、脂质体等。</w:t>
      </w:r>
    </w:p>
    <w:p>
      <w:pPr>
        <w:pStyle w:val="35"/>
        <w:tabs>
          <w:tab w:val="center" w:pos="567"/>
          <w:tab w:val="right" w:pos="5387"/>
          <w:tab w:val="clear" w:pos="4820"/>
          <w:tab w:val="clear" w:pos="9639"/>
        </w:tabs>
        <w:spacing w:before="0" w:after="0" w:line="360" w:lineRule="auto"/>
        <w:rPr>
          <w:rFonts w:ascii="宋体" w:hAnsi="宋体" w:cs="宋体"/>
          <w:b w:val="0"/>
          <w:caps w:val="0"/>
          <w:kern w:val="2"/>
          <w:szCs w:val="24"/>
          <w:lang w:val="en-US" w:eastAsia="zh-CN"/>
        </w:rPr>
      </w:pPr>
      <w:r>
        <w:rPr>
          <w:rFonts w:hint="eastAsia" w:ascii="宋体" w:hAnsi="宋体" w:cs="宋体"/>
          <w:b w:val="0"/>
          <w:caps w:val="0"/>
          <w:kern w:val="2"/>
          <w:szCs w:val="24"/>
          <w:lang w:val="en-US" w:eastAsia="zh-CN"/>
        </w:rPr>
        <w:t>3.3 应用范围：</w:t>
      </w:r>
    </w:p>
    <w:p>
      <w:pPr>
        <w:pStyle w:val="35"/>
        <w:tabs>
          <w:tab w:val="center" w:pos="567"/>
          <w:tab w:val="right" w:pos="5387"/>
          <w:tab w:val="clear" w:pos="4820"/>
          <w:tab w:val="clear" w:pos="9639"/>
        </w:tabs>
        <w:spacing w:before="0" w:after="0" w:line="360" w:lineRule="auto"/>
        <w:rPr>
          <w:rFonts w:ascii="宋体" w:hAnsi="宋体" w:cs="宋体"/>
          <w:b w:val="0"/>
          <w:caps w:val="0"/>
          <w:kern w:val="2"/>
          <w:szCs w:val="24"/>
          <w:lang w:val="en-US" w:eastAsia="zh-CN"/>
        </w:rPr>
      </w:pPr>
      <w:r>
        <w:rPr>
          <w:rFonts w:hint="eastAsia" w:ascii="宋体" w:hAnsi="宋体" w:cs="宋体"/>
          <w:b w:val="0"/>
          <w:caps w:val="0"/>
          <w:kern w:val="2"/>
          <w:szCs w:val="24"/>
          <w:lang w:val="en-US" w:eastAsia="zh-CN"/>
        </w:rPr>
        <w:tab/>
      </w:r>
      <w:r>
        <w:rPr>
          <w:rFonts w:hint="eastAsia" w:ascii="宋体" w:hAnsi="宋体" w:cs="宋体"/>
          <w:b w:val="0"/>
          <w:caps w:val="0"/>
          <w:kern w:val="2"/>
          <w:szCs w:val="24"/>
          <w:lang w:val="en-US" w:eastAsia="zh-CN"/>
        </w:rPr>
        <w:t xml:space="preserve">   3.3.1 互作靶标分子的筛选。</w:t>
      </w:r>
    </w:p>
    <w:p>
      <w:pPr>
        <w:pStyle w:val="35"/>
        <w:tabs>
          <w:tab w:val="center" w:pos="567"/>
          <w:tab w:val="right" w:pos="5387"/>
          <w:tab w:val="clear" w:pos="4820"/>
          <w:tab w:val="clear" w:pos="9639"/>
        </w:tabs>
        <w:spacing w:before="0" w:after="0" w:line="360" w:lineRule="auto"/>
        <w:ind w:firstLine="360" w:firstLineChars="150"/>
        <w:rPr>
          <w:rFonts w:ascii="宋体" w:hAnsi="宋体" w:cs="宋体"/>
          <w:b w:val="0"/>
          <w:caps w:val="0"/>
          <w:kern w:val="2"/>
          <w:szCs w:val="24"/>
          <w:lang w:val="en-US" w:eastAsia="zh-CN"/>
        </w:rPr>
      </w:pPr>
      <w:r>
        <w:rPr>
          <w:rFonts w:hint="eastAsia" w:ascii="宋体" w:hAnsi="宋体" w:cs="宋体"/>
          <w:b w:val="0"/>
          <w:caps w:val="0"/>
          <w:kern w:val="2"/>
          <w:szCs w:val="24"/>
          <w:lang w:val="en-US" w:eastAsia="zh-CN"/>
        </w:rPr>
        <w:t>3.3.2 检测样品间有无结合。</w:t>
      </w:r>
    </w:p>
    <w:p>
      <w:pPr>
        <w:pStyle w:val="35"/>
        <w:tabs>
          <w:tab w:val="center" w:pos="567"/>
          <w:tab w:val="right" w:pos="5387"/>
          <w:tab w:val="clear" w:pos="4820"/>
          <w:tab w:val="clear" w:pos="9639"/>
        </w:tabs>
        <w:spacing w:before="0" w:after="0" w:line="360" w:lineRule="auto"/>
        <w:ind w:firstLine="360" w:firstLineChars="150"/>
        <w:rPr>
          <w:rFonts w:ascii="宋体" w:hAnsi="宋体" w:cs="宋体"/>
          <w:b w:val="0"/>
          <w:caps w:val="0"/>
          <w:kern w:val="2"/>
          <w:szCs w:val="24"/>
          <w:lang w:val="en-US" w:eastAsia="zh-CN"/>
        </w:rPr>
      </w:pPr>
      <w:r>
        <w:rPr>
          <w:rFonts w:hint="eastAsia" w:ascii="宋体" w:hAnsi="宋体" w:cs="宋体"/>
          <w:b w:val="0"/>
          <w:caps w:val="0"/>
          <w:kern w:val="2"/>
          <w:szCs w:val="24"/>
          <w:lang w:val="en-US" w:eastAsia="zh-CN"/>
        </w:rPr>
        <w:t>3.3.3 结合的特异性。</w:t>
      </w:r>
    </w:p>
    <w:p>
      <w:pPr>
        <w:pStyle w:val="35"/>
        <w:tabs>
          <w:tab w:val="center" w:pos="567"/>
          <w:tab w:val="right" w:pos="5387"/>
          <w:tab w:val="clear" w:pos="4820"/>
          <w:tab w:val="clear" w:pos="9639"/>
        </w:tabs>
        <w:spacing w:before="0" w:after="0" w:line="360" w:lineRule="auto"/>
        <w:ind w:firstLine="360" w:firstLineChars="150"/>
        <w:rPr>
          <w:rFonts w:ascii="宋体" w:hAnsi="宋体" w:cs="宋体"/>
          <w:b w:val="0"/>
          <w:caps w:val="0"/>
          <w:kern w:val="2"/>
          <w:szCs w:val="24"/>
          <w:lang w:val="en-US" w:eastAsia="zh-CN"/>
        </w:rPr>
      </w:pPr>
      <w:r>
        <w:rPr>
          <w:rFonts w:hint="eastAsia" w:ascii="宋体" w:hAnsi="宋体" w:cs="宋体"/>
          <w:b w:val="0"/>
          <w:caps w:val="0"/>
          <w:kern w:val="2"/>
          <w:szCs w:val="24"/>
          <w:lang w:val="en-US" w:eastAsia="zh-CN"/>
        </w:rPr>
        <w:t>3.3.4 亲和力测定（KD）。</w:t>
      </w:r>
    </w:p>
    <w:p>
      <w:pPr>
        <w:pStyle w:val="35"/>
        <w:tabs>
          <w:tab w:val="center" w:pos="567"/>
          <w:tab w:val="right" w:pos="5387"/>
          <w:tab w:val="clear" w:pos="4820"/>
          <w:tab w:val="clear" w:pos="9639"/>
        </w:tabs>
        <w:spacing w:before="0" w:after="0" w:line="360" w:lineRule="auto"/>
        <w:ind w:firstLine="360" w:firstLineChars="150"/>
        <w:rPr>
          <w:rFonts w:ascii="宋体" w:hAnsi="宋体" w:cs="宋体"/>
          <w:b w:val="0"/>
          <w:caps w:val="0"/>
          <w:kern w:val="2"/>
          <w:szCs w:val="24"/>
          <w:lang w:val="en-US" w:eastAsia="zh-CN"/>
        </w:rPr>
      </w:pPr>
      <w:r>
        <w:rPr>
          <w:rFonts w:hint="eastAsia" w:ascii="宋体" w:hAnsi="宋体" w:cs="宋体"/>
          <w:b w:val="0"/>
          <w:caps w:val="0"/>
          <w:kern w:val="2"/>
          <w:szCs w:val="24"/>
          <w:lang w:val="en-US" w:eastAsia="zh-CN"/>
        </w:rPr>
        <w:t>3.3.5 动力学测定（Ka、Kd）。</w:t>
      </w:r>
    </w:p>
    <w:p>
      <w:pPr>
        <w:pStyle w:val="35"/>
        <w:tabs>
          <w:tab w:val="center" w:pos="567"/>
          <w:tab w:val="right" w:pos="5387"/>
          <w:tab w:val="clear" w:pos="4820"/>
          <w:tab w:val="clear" w:pos="9639"/>
        </w:tabs>
        <w:spacing w:before="0" w:after="0" w:line="360" w:lineRule="auto"/>
        <w:ind w:firstLine="360" w:firstLineChars="150"/>
        <w:rPr>
          <w:rFonts w:ascii="宋体" w:hAnsi="宋体" w:cs="宋体"/>
          <w:b w:val="0"/>
          <w:caps w:val="0"/>
          <w:kern w:val="2"/>
          <w:szCs w:val="24"/>
          <w:lang w:val="en-US" w:eastAsia="zh-CN"/>
        </w:rPr>
      </w:pPr>
      <w:r>
        <w:rPr>
          <w:rFonts w:hint="eastAsia" w:ascii="宋体" w:hAnsi="宋体" w:cs="宋体"/>
          <w:b w:val="0"/>
          <w:caps w:val="0"/>
          <w:kern w:val="2"/>
          <w:szCs w:val="24"/>
          <w:lang w:val="en-US" w:eastAsia="zh-CN"/>
        </w:rPr>
        <w:t>3.3.6多重结合模式分析。</w:t>
      </w:r>
    </w:p>
    <w:p>
      <w:pPr>
        <w:spacing w:line="360" w:lineRule="auto"/>
        <w:ind w:left="567" w:hanging="567"/>
        <w:jc w:val="left"/>
        <w:rPr>
          <w:rFonts w:ascii="宋体" w:hAnsi="宋体" w:cs="宋体"/>
          <w:sz w:val="24"/>
          <w:lang w:val="en-GB"/>
        </w:rPr>
      </w:pPr>
      <w:r>
        <w:rPr>
          <w:rFonts w:hint="eastAsia" w:ascii="宋体" w:hAnsi="宋体" w:cs="宋体"/>
          <w:bCs/>
          <w:sz w:val="24"/>
        </w:rPr>
        <w:t xml:space="preserve">#3.4 </w:t>
      </w:r>
      <w:r>
        <w:rPr>
          <w:rFonts w:hint="eastAsia" w:ascii="宋体" w:hAnsi="宋体" w:cs="宋体"/>
          <w:sz w:val="24"/>
          <w:lang w:val="en-GB"/>
        </w:rPr>
        <w:t>结合速率常数(ka)：10</w:t>
      </w:r>
      <w:r>
        <w:rPr>
          <w:rFonts w:hint="eastAsia" w:ascii="宋体" w:hAnsi="宋体" w:cs="宋体"/>
          <w:sz w:val="24"/>
          <w:vertAlign w:val="superscript"/>
          <w:lang w:val="en-GB"/>
        </w:rPr>
        <w:t xml:space="preserve">3 </w:t>
      </w:r>
      <w:r>
        <w:rPr>
          <w:rFonts w:hint="eastAsia" w:ascii="宋体" w:hAnsi="宋体" w:cs="宋体"/>
          <w:sz w:val="24"/>
          <w:lang w:val="en-GB"/>
        </w:rPr>
        <w:t>~ 10</w:t>
      </w:r>
      <w:r>
        <w:rPr>
          <w:rFonts w:hint="eastAsia" w:ascii="宋体" w:hAnsi="宋体" w:cs="宋体"/>
          <w:sz w:val="24"/>
          <w:vertAlign w:val="superscript"/>
          <w:lang w:val="en-GB"/>
        </w:rPr>
        <w:t>9</w:t>
      </w:r>
      <w:r>
        <w:rPr>
          <w:rFonts w:hint="eastAsia" w:ascii="宋体" w:hAnsi="宋体" w:cs="宋体"/>
          <w:sz w:val="24"/>
          <w:lang w:val="en-GB"/>
        </w:rPr>
        <w:t xml:space="preserve"> M</w:t>
      </w:r>
      <w:r>
        <w:rPr>
          <w:rFonts w:hint="eastAsia" w:ascii="宋体" w:hAnsi="宋体" w:cs="宋体"/>
          <w:sz w:val="24"/>
          <w:vertAlign w:val="superscript"/>
          <w:lang w:val="en-GB"/>
        </w:rPr>
        <w:t>-1</w:t>
      </w:r>
      <w:r>
        <w:rPr>
          <w:rFonts w:hint="eastAsia" w:ascii="宋体" w:hAnsi="宋体" w:cs="宋体"/>
          <w:sz w:val="24"/>
          <w:lang w:val="en-GB"/>
        </w:rPr>
        <w:t>s</w:t>
      </w:r>
      <w:r>
        <w:rPr>
          <w:rFonts w:hint="eastAsia" w:ascii="宋体" w:hAnsi="宋体" w:cs="宋体"/>
          <w:sz w:val="24"/>
          <w:vertAlign w:val="superscript"/>
          <w:lang w:val="en-GB"/>
        </w:rPr>
        <w:t>-1</w:t>
      </w:r>
      <w:r>
        <w:rPr>
          <w:rFonts w:hint="eastAsia" w:ascii="宋体" w:hAnsi="宋体" w:cs="宋体"/>
          <w:sz w:val="24"/>
          <w:lang w:val="en-GB"/>
        </w:rPr>
        <w:t>，</w:t>
      </w:r>
      <w:r>
        <w:rPr>
          <w:rFonts w:hint="eastAsia" w:ascii="宋体" w:hAnsi="宋体" w:cs="宋体"/>
          <w:sz w:val="24"/>
        </w:rPr>
        <w:t>范围越宽越好。</w:t>
      </w:r>
    </w:p>
    <w:p>
      <w:pPr>
        <w:widowControl/>
        <w:spacing w:line="360" w:lineRule="auto"/>
        <w:rPr>
          <w:rFonts w:ascii="宋体" w:hAnsi="宋体" w:cs="宋体"/>
          <w:bCs/>
          <w:sz w:val="24"/>
        </w:rPr>
      </w:pPr>
      <w:r>
        <w:rPr>
          <w:rFonts w:hint="eastAsia" w:ascii="宋体" w:hAnsi="宋体" w:cs="宋体"/>
          <w:bCs/>
          <w:sz w:val="24"/>
        </w:rPr>
        <w:t>#3.5</w:t>
      </w:r>
      <w:r>
        <w:rPr>
          <w:rFonts w:hint="eastAsia" w:ascii="宋体" w:hAnsi="宋体" w:cs="宋体"/>
          <w:sz w:val="24"/>
        </w:rPr>
        <w:t xml:space="preserve"> </w:t>
      </w:r>
      <w:r>
        <w:rPr>
          <w:rFonts w:hint="eastAsia" w:ascii="宋体" w:hAnsi="宋体" w:cs="宋体"/>
          <w:sz w:val="24"/>
          <w:lang w:val="en-GB"/>
        </w:rPr>
        <w:t>解离速率常数(kd)：</w:t>
      </w:r>
      <w:r>
        <w:rPr>
          <w:rFonts w:hint="eastAsia" w:ascii="宋体" w:hAnsi="宋体" w:cs="宋体"/>
          <w:sz w:val="24"/>
        </w:rPr>
        <w:t>10</w:t>
      </w:r>
      <w:r>
        <w:rPr>
          <w:rFonts w:hint="eastAsia" w:ascii="宋体" w:hAnsi="宋体" w:cs="宋体"/>
          <w:sz w:val="24"/>
          <w:vertAlign w:val="superscript"/>
        </w:rPr>
        <w:t>-6</w:t>
      </w:r>
      <w:r>
        <w:rPr>
          <w:rFonts w:hint="eastAsia" w:ascii="宋体" w:hAnsi="宋体" w:cs="宋体"/>
          <w:sz w:val="24"/>
        </w:rPr>
        <w:t>–0.5 s</w:t>
      </w:r>
      <w:r>
        <w:rPr>
          <w:rFonts w:hint="eastAsia" w:ascii="宋体" w:hAnsi="宋体" w:cs="宋体"/>
          <w:sz w:val="24"/>
          <w:vertAlign w:val="superscript"/>
        </w:rPr>
        <w:t>-1</w:t>
      </w:r>
      <w:r>
        <w:rPr>
          <w:rFonts w:hint="eastAsia" w:ascii="宋体" w:hAnsi="宋体" w:cs="宋体"/>
          <w:sz w:val="24"/>
        </w:rPr>
        <w:t>，范围越宽越好。</w:t>
      </w:r>
    </w:p>
    <w:p>
      <w:pPr>
        <w:spacing w:line="360" w:lineRule="auto"/>
        <w:jc w:val="left"/>
        <w:rPr>
          <w:rFonts w:ascii="宋体" w:hAnsi="宋体" w:cs="宋体"/>
          <w:sz w:val="24"/>
          <w:lang w:val="en-GB"/>
        </w:rPr>
      </w:pPr>
      <w:r>
        <w:rPr>
          <w:rFonts w:hint="eastAsia" w:ascii="宋体" w:hAnsi="宋体" w:cs="宋体"/>
          <w:bCs/>
          <w:sz w:val="24"/>
        </w:rPr>
        <w:t>#3.6</w:t>
      </w:r>
      <w:r>
        <w:rPr>
          <w:rFonts w:hint="eastAsia" w:ascii="宋体" w:hAnsi="宋体" w:cs="宋体"/>
          <w:sz w:val="24"/>
          <w:lang w:val="en-GB"/>
        </w:rPr>
        <w:t>亲和力（KD）：10</w:t>
      </w:r>
      <w:r>
        <w:rPr>
          <w:rFonts w:hint="eastAsia" w:ascii="宋体" w:hAnsi="宋体" w:cs="宋体"/>
          <w:sz w:val="24"/>
          <w:vertAlign w:val="superscript"/>
          <w:lang w:val="en-GB"/>
        </w:rPr>
        <w:t>-3</w:t>
      </w:r>
      <w:r>
        <w:rPr>
          <w:rFonts w:hint="eastAsia" w:ascii="宋体" w:hAnsi="宋体" w:cs="宋体"/>
          <w:sz w:val="24"/>
          <w:lang w:val="en-GB"/>
        </w:rPr>
        <w:t xml:space="preserve"> ~ 10</w:t>
      </w:r>
      <w:r>
        <w:rPr>
          <w:rFonts w:hint="eastAsia" w:ascii="宋体" w:hAnsi="宋体" w:cs="宋体"/>
          <w:sz w:val="24"/>
          <w:vertAlign w:val="superscript"/>
          <w:lang w:val="en-GB"/>
        </w:rPr>
        <w:t>-14</w:t>
      </w:r>
      <w:r>
        <w:rPr>
          <w:rFonts w:hint="eastAsia" w:ascii="宋体" w:hAnsi="宋体" w:cs="宋体"/>
          <w:sz w:val="24"/>
          <w:lang w:val="en-GB"/>
        </w:rPr>
        <w:t xml:space="preserve"> M，</w:t>
      </w:r>
      <w:r>
        <w:rPr>
          <w:rFonts w:hint="eastAsia" w:ascii="宋体" w:hAnsi="宋体" w:cs="宋体"/>
          <w:bCs/>
          <w:sz w:val="24"/>
        </w:rPr>
        <w:t>，</w:t>
      </w:r>
      <w:r>
        <w:rPr>
          <w:rFonts w:hint="eastAsia" w:ascii="宋体" w:hAnsi="宋体" w:cs="宋体"/>
          <w:sz w:val="24"/>
          <w:lang w:val="en-GB"/>
        </w:rPr>
        <w:t>范围越宽越好。。</w:t>
      </w:r>
    </w:p>
    <w:p>
      <w:pPr>
        <w:spacing w:line="360" w:lineRule="auto"/>
        <w:jc w:val="left"/>
        <w:rPr>
          <w:rFonts w:ascii="宋体" w:hAnsi="宋体" w:cs="宋体"/>
          <w:sz w:val="24"/>
          <w:lang w:val="en-GB"/>
        </w:rPr>
      </w:pPr>
      <w:r>
        <w:rPr>
          <w:rFonts w:hint="eastAsia" w:ascii="宋体" w:hAnsi="宋体" w:cs="宋体"/>
          <w:sz w:val="24"/>
          <w:lang w:val="en-GB"/>
        </w:rPr>
        <w:t>3.7 设备检测分辨率和灵敏度：</w:t>
      </w:r>
    </w:p>
    <w:p>
      <w:pPr>
        <w:spacing w:line="360" w:lineRule="auto"/>
        <w:ind w:left="567"/>
        <w:jc w:val="left"/>
        <w:rPr>
          <w:rFonts w:ascii="宋体" w:hAnsi="宋体" w:cs="宋体"/>
          <w:sz w:val="24"/>
          <w:lang w:val="en-GB"/>
        </w:rPr>
      </w:pPr>
      <w:r>
        <w:rPr>
          <w:rFonts w:hint="eastAsia" w:ascii="宋体" w:hAnsi="宋体" w:cs="宋体"/>
          <w:sz w:val="24"/>
          <w:lang w:val="en-GB"/>
        </w:rPr>
        <w:t>响应信号动态范围：1-70000 RU或同等范围，且范围越宽越佳。</w:t>
      </w:r>
    </w:p>
    <w:p>
      <w:pPr>
        <w:spacing w:line="360" w:lineRule="auto"/>
        <w:ind w:left="567"/>
        <w:jc w:val="left"/>
        <w:rPr>
          <w:rFonts w:ascii="宋体" w:hAnsi="宋体" w:cs="宋体"/>
          <w:sz w:val="24"/>
          <w:lang w:val="en-GB"/>
        </w:rPr>
      </w:pPr>
      <w:r>
        <w:rPr>
          <w:rFonts w:hint="eastAsia" w:ascii="宋体" w:hAnsi="宋体" w:cs="宋体"/>
          <w:sz w:val="24"/>
          <w:lang w:val="en-GB"/>
        </w:rPr>
        <w:t>检测折射率范围：1.33-1.39</w:t>
      </w:r>
    </w:p>
    <w:p>
      <w:pPr>
        <w:widowControl/>
        <w:spacing w:line="360" w:lineRule="auto"/>
        <w:jc w:val="left"/>
        <w:rPr>
          <w:rFonts w:ascii="宋体" w:hAnsi="宋体" w:cs="宋体"/>
          <w:sz w:val="24"/>
          <w:lang w:val="en-GB"/>
        </w:rPr>
      </w:pPr>
      <w:r>
        <w:rPr>
          <w:rFonts w:hint="eastAsia" w:ascii="宋体" w:hAnsi="宋体" w:cs="宋体"/>
          <w:sz w:val="24"/>
          <w:lang w:val="en-GB"/>
        </w:rPr>
        <w:t>#3.8 灵敏度或基线噪声：&lt;0.02 RU (RMS)</w:t>
      </w:r>
      <w:r>
        <w:rPr>
          <w:rFonts w:hint="eastAsia" w:ascii="宋体" w:hAnsi="宋体" w:cs="宋体"/>
          <w:sz w:val="24"/>
        </w:rPr>
        <w:t xml:space="preserve"> </w:t>
      </w:r>
      <w:r>
        <w:rPr>
          <w:rFonts w:hint="eastAsia" w:ascii="宋体" w:hAnsi="宋体" w:cs="宋体"/>
          <w:sz w:val="24"/>
          <w:lang w:val="en-GB"/>
        </w:rPr>
        <w:t>且噪音越低越佳。</w:t>
      </w:r>
    </w:p>
    <w:p>
      <w:pPr>
        <w:widowControl/>
        <w:spacing w:line="360" w:lineRule="auto"/>
        <w:jc w:val="left"/>
        <w:rPr>
          <w:rFonts w:ascii="宋体" w:hAnsi="宋体" w:cs="宋体"/>
          <w:sz w:val="24"/>
          <w:lang w:val="en-GB"/>
        </w:rPr>
      </w:pPr>
      <w:r>
        <w:rPr>
          <w:rFonts w:hint="eastAsia" w:ascii="宋体" w:hAnsi="宋体" w:cs="宋体"/>
          <w:sz w:val="24"/>
          <w:lang w:val="en-GB"/>
        </w:rPr>
        <w:t>3.9 基线漂移：&lt;0.03 RU/min</w:t>
      </w:r>
    </w:p>
    <w:p>
      <w:pPr>
        <w:widowControl/>
        <w:spacing w:line="360" w:lineRule="auto"/>
        <w:jc w:val="left"/>
        <w:rPr>
          <w:rFonts w:ascii="宋体" w:hAnsi="宋体" w:cs="宋体"/>
          <w:sz w:val="24"/>
          <w:lang w:val="en-GB"/>
        </w:rPr>
      </w:pPr>
      <w:r>
        <w:rPr>
          <w:rFonts w:hint="eastAsia" w:ascii="宋体" w:hAnsi="宋体" w:cs="宋体"/>
          <w:sz w:val="24"/>
          <w:lang w:val="en-GB"/>
        </w:rPr>
        <w:t>3.10 样品浓度检测下限≤ 1 pM.</w:t>
      </w:r>
    </w:p>
    <w:p>
      <w:pPr>
        <w:widowControl/>
        <w:spacing w:line="360" w:lineRule="auto"/>
        <w:jc w:val="left"/>
        <w:rPr>
          <w:rFonts w:ascii="宋体" w:hAnsi="宋体" w:cs="宋体"/>
          <w:sz w:val="24"/>
          <w:lang w:val="en-GB"/>
        </w:rPr>
      </w:pPr>
      <w:r>
        <w:rPr>
          <w:rFonts w:hint="eastAsia" w:ascii="宋体" w:hAnsi="宋体" w:cs="宋体"/>
          <w:sz w:val="24"/>
          <w:lang w:val="en-GB"/>
        </w:rPr>
        <w:t>3.11 样品最小检测体积≤1ul.</w:t>
      </w:r>
    </w:p>
    <w:p>
      <w:pPr>
        <w:pStyle w:val="24"/>
        <w:spacing w:line="360" w:lineRule="auto"/>
        <w:ind w:firstLineChars="0"/>
        <w:jc w:val="left"/>
        <w:rPr>
          <w:rFonts w:ascii="宋体" w:hAnsi="宋体" w:cs="宋体"/>
          <w:sz w:val="24"/>
        </w:rPr>
      </w:pPr>
      <w:r>
        <w:rPr>
          <w:rFonts w:hint="eastAsia" w:ascii="宋体" w:hAnsi="宋体" w:cs="宋体"/>
          <w:sz w:val="24"/>
          <w:lang w:val="en-GB"/>
        </w:rPr>
        <w:t xml:space="preserve">3.12 </w:t>
      </w:r>
      <w:r>
        <w:rPr>
          <w:rFonts w:hint="eastAsia" w:ascii="宋体" w:hAnsi="宋体" w:cs="宋体"/>
          <w:sz w:val="24"/>
        </w:rPr>
        <w:t>设备硬件指标：</w:t>
      </w:r>
    </w:p>
    <w:p>
      <w:pPr>
        <w:pStyle w:val="24"/>
        <w:spacing w:line="360" w:lineRule="auto"/>
        <w:ind w:left="0" w:firstLine="420" w:firstLineChars="0"/>
        <w:jc w:val="left"/>
        <w:rPr>
          <w:rFonts w:ascii="宋体" w:hAnsi="宋体" w:cs="宋体"/>
          <w:sz w:val="24"/>
        </w:rPr>
      </w:pPr>
      <w:r>
        <w:rPr>
          <w:rFonts w:hint="eastAsia" w:ascii="宋体" w:hAnsi="宋体" w:cs="宋体"/>
          <w:sz w:val="24"/>
        </w:rPr>
        <w:t>内置自动进样器，全自动样品装载和注射；</w:t>
      </w:r>
    </w:p>
    <w:p>
      <w:pPr>
        <w:pStyle w:val="24"/>
        <w:spacing w:line="360" w:lineRule="auto"/>
        <w:ind w:left="0" w:firstLine="420" w:firstLineChars="0"/>
        <w:jc w:val="left"/>
        <w:rPr>
          <w:rFonts w:ascii="宋体" w:hAnsi="宋体" w:cs="宋体"/>
          <w:sz w:val="24"/>
        </w:rPr>
      </w:pPr>
      <w:r>
        <w:rPr>
          <w:rFonts w:hint="eastAsia" w:ascii="宋体" w:hAnsi="宋体" w:cs="宋体"/>
          <w:bCs/>
          <w:sz w:val="24"/>
        </w:rPr>
        <w:t>自动控温，温控范围在</w:t>
      </w:r>
      <w:r>
        <w:rPr>
          <w:rFonts w:hint="eastAsia" w:ascii="宋体" w:hAnsi="宋体" w:cs="宋体"/>
          <w:sz w:val="24"/>
        </w:rPr>
        <w:t>4-40℃，优选温控精度最佳者；</w:t>
      </w:r>
    </w:p>
    <w:p>
      <w:pPr>
        <w:pStyle w:val="24"/>
        <w:spacing w:line="360" w:lineRule="auto"/>
        <w:ind w:left="0" w:firstLine="420" w:firstLineChars="0"/>
        <w:jc w:val="left"/>
        <w:rPr>
          <w:rFonts w:ascii="宋体" w:hAnsi="宋体" w:cs="宋体"/>
          <w:sz w:val="24"/>
        </w:rPr>
      </w:pPr>
      <w:r>
        <w:rPr>
          <w:rFonts w:hint="eastAsia" w:ascii="宋体" w:hAnsi="宋体" w:cs="宋体"/>
          <w:sz w:val="24"/>
        </w:rPr>
        <w:t>可实现自动在线溶液脱气；</w:t>
      </w:r>
    </w:p>
    <w:p>
      <w:pPr>
        <w:pStyle w:val="24"/>
        <w:spacing w:line="360" w:lineRule="auto"/>
        <w:ind w:left="0" w:firstLine="420" w:firstLineChars="0"/>
        <w:jc w:val="left"/>
        <w:rPr>
          <w:rFonts w:ascii="宋体" w:hAnsi="宋体" w:cs="宋体"/>
          <w:sz w:val="24"/>
        </w:rPr>
      </w:pPr>
      <w:r>
        <w:rPr>
          <w:rFonts w:hint="eastAsia" w:ascii="宋体" w:hAnsi="宋体" w:cs="宋体"/>
          <w:sz w:val="24"/>
        </w:rPr>
        <w:t>可实现自动在线背景扣除；</w:t>
      </w:r>
    </w:p>
    <w:p>
      <w:pPr>
        <w:pStyle w:val="24"/>
        <w:spacing w:line="360" w:lineRule="auto"/>
        <w:ind w:left="0" w:firstLine="420" w:firstLineChars="0"/>
        <w:jc w:val="left"/>
        <w:rPr>
          <w:rFonts w:ascii="宋体" w:hAnsi="宋体" w:cs="宋体"/>
          <w:sz w:val="24"/>
        </w:rPr>
      </w:pPr>
      <w:r>
        <w:rPr>
          <w:rFonts w:hint="eastAsia" w:ascii="宋体" w:hAnsi="宋体" w:cs="宋体"/>
          <w:sz w:val="24"/>
        </w:rPr>
        <w:t>可实现&gt;60小时无人监管自动作业。</w:t>
      </w:r>
    </w:p>
    <w:p>
      <w:pPr>
        <w:pStyle w:val="24"/>
        <w:spacing w:line="360" w:lineRule="auto"/>
        <w:ind w:firstLineChars="0"/>
        <w:jc w:val="left"/>
        <w:rPr>
          <w:rFonts w:ascii="宋体" w:hAnsi="宋体" w:cs="宋体"/>
          <w:sz w:val="24"/>
        </w:rPr>
      </w:pPr>
      <w:r>
        <w:rPr>
          <w:rFonts w:hint="eastAsia" w:ascii="宋体" w:hAnsi="宋体" w:cs="宋体"/>
          <w:sz w:val="24"/>
        </w:rPr>
        <w:t>#3.13 检测最小分子量：无分子量限制,优选最佳者</w:t>
      </w:r>
    </w:p>
    <w:p>
      <w:pPr>
        <w:pStyle w:val="24"/>
        <w:spacing w:line="360" w:lineRule="auto"/>
        <w:ind w:firstLineChars="0"/>
        <w:jc w:val="left"/>
        <w:rPr>
          <w:rFonts w:ascii="宋体" w:hAnsi="宋体" w:cs="宋体"/>
          <w:sz w:val="24"/>
          <w:lang w:val="en-GB"/>
        </w:rPr>
      </w:pPr>
      <w:r>
        <w:rPr>
          <w:rFonts w:hint="eastAsia" w:ascii="宋体" w:hAnsi="宋体" w:cs="宋体"/>
          <w:sz w:val="24"/>
        </w:rPr>
        <w:t>#3.14 进样针数：</w:t>
      </w:r>
      <w:r>
        <w:rPr>
          <w:rFonts w:hint="eastAsia" w:ascii="宋体" w:hAnsi="宋体" w:cs="宋体"/>
          <w:color w:val="000000"/>
          <w:sz w:val="24"/>
        </w:rPr>
        <w:t>≥</w:t>
      </w:r>
      <w:r>
        <w:rPr>
          <w:rFonts w:hint="eastAsia" w:ascii="宋体" w:hAnsi="宋体" w:cs="宋体"/>
          <w:sz w:val="24"/>
        </w:rPr>
        <w:t>8</w:t>
      </w:r>
      <w:r>
        <w:rPr>
          <w:rFonts w:hint="eastAsia" w:ascii="宋体" w:hAnsi="宋体" w:cs="宋体"/>
          <w:sz w:val="24"/>
          <w:lang w:val="en-GB"/>
        </w:rPr>
        <w:t>根进样针，</w:t>
      </w:r>
      <w:r>
        <w:rPr>
          <w:rFonts w:hint="eastAsia" w:ascii="宋体" w:hAnsi="宋体" w:cs="宋体"/>
          <w:sz w:val="24"/>
        </w:rPr>
        <w:t>检测通道数：≥16组</w:t>
      </w:r>
      <w:r>
        <w:rPr>
          <w:rFonts w:hint="eastAsia" w:ascii="宋体" w:hAnsi="宋体" w:cs="宋体"/>
          <w:sz w:val="24"/>
          <w:lang w:val="en-GB"/>
        </w:rPr>
        <w:t>，可同时检测至少8组不同互作</w:t>
      </w:r>
    </w:p>
    <w:p>
      <w:pPr>
        <w:pStyle w:val="24"/>
        <w:spacing w:line="360" w:lineRule="auto"/>
        <w:ind w:firstLineChars="0"/>
        <w:jc w:val="left"/>
        <w:rPr>
          <w:rFonts w:ascii="宋体" w:hAnsi="宋体" w:cs="宋体"/>
          <w:sz w:val="24"/>
          <w:lang w:val="en-GB"/>
        </w:rPr>
      </w:pPr>
      <w:r>
        <w:rPr>
          <w:rFonts w:hint="eastAsia" w:ascii="宋体" w:hAnsi="宋体" w:cs="宋体"/>
          <w:sz w:val="24"/>
          <w:lang w:val="en-GB"/>
        </w:rPr>
        <w:t>#3.15 样品舱可容纳4块96或384孔板，可同时放置高达1536个样品。</w:t>
      </w:r>
    </w:p>
    <w:p>
      <w:pPr>
        <w:pStyle w:val="24"/>
        <w:spacing w:line="360" w:lineRule="auto"/>
        <w:ind w:firstLineChars="0"/>
        <w:jc w:val="left"/>
        <w:rPr>
          <w:rFonts w:ascii="宋体" w:hAnsi="宋体" w:cs="宋体"/>
          <w:sz w:val="24"/>
        </w:rPr>
      </w:pPr>
      <w:r>
        <w:rPr>
          <w:rFonts w:hint="eastAsia" w:ascii="宋体" w:hAnsi="宋体" w:cs="宋体"/>
          <w:sz w:val="24"/>
          <w:lang w:val="en-GB"/>
        </w:rPr>
        <w:t>#3.16具有多种传感器芯片可选，种类≥ 15种。有与仪器配套的检测试剂和耗材。有能</w:t>
      </w:r>
      <w:r>
        <w:rPr>
          <w:rFonts w:hint="eastAsia" w:ascii="宋体" w:hAnsi="宋体" w:cs="宋体"/>
          <w:sz w:val="24"/>
        </w:rPr>
        <w:t>够用于捕获人源/鼠源抗体、His标签、GST标签、生物素标签等样品的芯片和配套试剂盒。</w:t>
      </w:r>
    </w:p>
    <w:p>
      <w:pPr>
        <w:pStyle w:val="24"/>
        <w:spacing w:line="360" w:lineRule="auto"/>
        <w:ind w:firstLineChars="0"/>
        <w:jc w:val="left"/>
        <w:rPr>
          <w:rFonts w:ascii="宋体" w:hAnsi="宋体" w:cs="宋体"/>
          <w:sz w:val="24"/>
          <w:lang w:val="en-GB"/>
        </w:rPr>
      </w:pPr>
      <w:r>
        <w:rPr>
          <w:rFonts w:hint="eastAsia" w:ascii="宋体" w:hAnsi="宋体" w:cs="宋体"/>
          <w:sz w:val="24"/>
          <w:lang w:val="en-GB"/>
        </w:rPr>
        <w:t>#3.17芯片表面反应可控温，温控精度：≤ 3×10</w:t>
      </w:r>
      <w:r>
        <w:rPr>
          <w:rFonts w:hint="eastAsia" w:ascii="宋体" w:hAnsi="宋体" w:cs="宋体"/>
          <w:sz w:val="24"/>
          <w:vertAlign w:val="superscript"/>
          <w:lang w:val="en-GB"/>
        </w:rPr>
        <w:t>-3</w:t>
      </w:r>
      <w:r>
        <w:rPr>
          <w:rFonts w:hint="eastAsia" w:ascii="宋体" w:hAnsi="宋体" w:cs="宋体"/>
          <w:sz w:val="24"/>
          <w:lang w:val="en-GB"/>
        </w:rPr>
        <w:t xml:space="preserve"> ℃。</w:t>
      </w:r>
    </w:p>
    <w:p>
      <w:pPr>
        <w:pStyle w:val="24"/>
        <w:spacing w:line="360" w:lineRule="auto"/>
        <w:ind w:left="199" w:hanging="199" w:hangingChars="83"/>
        <w:jc w:val="left"/>
        <w:rPr>
          <w:rFonts w:ascii="宋体" w:hAnsi="宋体" w:cs="宋体"/>
          <w:sz w:val="24"/>
          <w:lang w:val="en-GB"/>
        </w:rPr>
      </w:pPr>
      <w:r>
        <w:rPr>
          <w:rFonts w:hint="eastAsia" w:ascii="宋体" w:hAnsi="宋体" w:cs="宋体"/>
          <w:sz w:val="24"/>
          <w:lang w:val="en-GB"/>
        </w:rPr>
        <w:t>3.18 传感器芯片可多次再生，</w:t>
      </w:r>
      <w:r>
        <w:rPr>
          <w:rFonts w:hint="eastAsia" w:ascii="宋体" w:hAnsi="宋体" w:cs="宋体"/>
          <w:sz w:val="24"/>
        </w:rPr>
        <w:t>重复次数至少100次以上。</w:t>
      </w:r>
      <w:r>
        <w:rPr>
          <w:rFonts w:hint="eastAsia" w:ascii="宋体" w:hAnsi="宋体" w:cs="宋体"/>
          <w:sz w:val="24"/>
          <w:lang w:val="en-GB"/>
        </w:rPr>
        <w:t>。</w:t>
      </w:r>
    </w:p>
    <w:p>
      <w:pPr>
        <w:pStyle w:val="24"/>
        <w:spacing w:line="360" w:lineRule="auto"/>
        <w:ind w:firstLineChars="0"/>
        <w:jc w:val="left"/>
        <w:rPr>
          <w:rFonts w:ascii="宋体" w:hAnsi="宋体" w:cs="宋体"/>
          <w:sz w:val="24"/>
        </w:rPr>
      </w:pPr>
      <w:r>
        <w:rPr>
          <w:rFonts w:hint="eastAsia" w:ascii="宋体" w:hAnsi="宋体" w:cs="宋体"/>
          <w:sz w:val="24"/>
          <w:lang w:val="en-GB"/>
        </w:rPr>
        <w:t xml:space="preserve">3.19 </w:t>
      </w:r>
      <w:r>
        <w:rPr>
          <w:rFonts w:hint="eastAsia" w:ascii="宋体" w:hAnsi="宋体" w:cs="宋体"/>
          <w:sz w:val="24"/>
        </w:rPr>
        <w:t>软件技术指标：</w:t>
      </w:r>
    </w:p>
    <w:p>
      <w:pPr>
        <w:pStyle w:val="24"/>
        <w:spacing w:line="360" w:lineRule="auto"/>
        <w:ind w:left="720" w:hanging="720" w:hangingChars="300"/>
        <w:jc w:val="left"/>
        <w:rPr>
          <w:rFonts w:ascii="宋体" w:hAnsi="宋体" w:cs="宋体"/>
          <w:sz w:val="24"/>
        </w:rPr>
      </w:pPr>
      <w:r>
        <w:rPr>
          <w:rFonts w:hint="eastAsia" w:ascii="宋体" w:hAnsi="宋体" w:cs="宋体"/>
          <w:sz w:val="24"/>
        </w:rPr>
        <w:t>3.19.1 能够实时检测和采集数据，并且进样时间、进样位置、流速、流路等反应参数能够自由设置，能够实时显示样品名称、种类、体积，能够进行连续流控制，并自动扣减背景。</w:t>
      </w:r>
    </w:p>
    <w:p>
      <w:pPr>
        <w:pStyle w:val="24"/>
        <w:spacing w:line="360" w:lineRule="auto"/>
        <w:ind w:left="720" w:hanging="720" w:hangingChars="300"/>
        <w:jc w:val="left"/>
        <w:rPr>
          <w:rFonts w:ascii="宋体" w:hAnsi="宋体" w:cs="宋体"/>
          <w:sz w:val="24"/>
        </w:rPr>
      </w:pPr>
      <w:r>
        <w:rPr>
          <w:rFonts w:hint="eastAsia" w:ascii="宋体" w:hAnsi="宋体" w:cs="宋体"/>
          <w:sz w:val="24"/>
        </w:rPr>
        <w:t>3.19.2 可以模块化、批量分析动力学、筛选等结果，能够自由选择分析、拟合模式，并自动拟合分析。数据分析结果支持多种输出格式，包括Excel和JEPG等，可直接导入其他专业数据分析软件。</w:t>
      </w:r>
    </w:p>
    <w:p>
      <w:pPr>
        <w:pStyle w:val="24"/>
        <w:spacing w:line="360" w:lineRule="auto"/>
        <w:ind w:left="720" w:hanging="720" w:hangingChars="300"/>
        <w:jc w:val="left"/>
        <w:rPr>
          <w:rFonts w:ascii="宋体" w:hAnsi="宋体" w:cs="宋体"/>
          <w:sz w:val="24"/>
        </w:rPr>
      </w:pPr>
      <w:r>
        <w:rPr>
          <w:rFonts w:hint="eastAsia" w:ascii="宋体" w:hAnsi="宋体" w:cs="宋体"/>
          <w:sz w:val="24"/>
        </w:rPr>
        <w:t>3.19.3 能够进行动力学、亲和力筛选数据分析，拟合分析，并且具有多种拟合模型可供选择，包括但不限于：1:1模型，Bivalent模型（抗体专用），Heterogeneous ligand（多聚体分析），Heterogeneous Analyte（多聚体分析），Two-state（协同效应）。</w:t>
      </w:r>
    </w:p>
    <w:p>
      <w:pPr>
        <w:pStyle w:val="24"/>
        <w:spacing w:line="360" w:lineRule="auto"/>
        <w:ind w:left="480" w:hanging="480"/>
        <w:jc w:val="left"/>
        <w:rPr>
          <w:rFonts w:ascii="宋体" w:hAnsi="宋体" w:cs="宋体"/>
          <w:sz w:val="24"/>
        </w:rPr>
      </w:pPr>
      <w:r>
        <w:rPr>
          <w:rFonts w:hint="eastAsia" w:ascii="宋体" w:hAnsi="宋体" w:cs="宋体"/>
          <w:sz w:val="24"/>
        </w:rPr>
        <w:t># 3.19.4 能够进行溶剂矫正分析，能够设置参比或对照通道，并且自动扣减背景或/和矫正系数。</w:t>
      </w:r>
    </w:p>
    <w:p>
      <w:pPr>
        <w:spacing w:line="360" w:lineRule="auto"/>
        <w:rPr>
          <w:rFonts w:ascii="宋体" w:hAnsi="宋体" w:cs="宋体"/>
          <w:sz w:val="24"/>
        </w:rPr>
      </w:pPr>
      <w:r>
        <w:rPr>
          <w:rFonts w:hint="eastAsia" w:ascii="宋体" w:hAnsi="宋体" w:cs="宋体"/>
          <w:sz w:val="24"/>
        </w:rPr>
        <w:t>3.19.5 具有智能数据质量评估系统，能够显示评估结果。能够对结果自动进行统计学分析，并给出相应参数。</w:t>
      </w:r>
    </w:p>
    <w:p>
      <w:pPr>
        <w:spacing w:line="360" w:lineRule="auto"/>
        <w:ind w:firstLine="480"/>
        <w:rPr>
          <w:rFonts w:ascii="宋体" w:hAnsi="宋体" w:cs="宋体"/>
          <w:sz w:val="24"/>
        </w:rPr>
      </w:pPr>
    </w:p>
    <w:p>
      <w:pPr>
        <w:numPr>
          <w:ilvl w:val="0"/>
          <w:numId w:val="3"/>
        </w:numPr>
        <w:spacing w:line="360" w:lineRule="auto"/>
        <w:rPr>
          <w:rFonts w:ascii="宋体" w:hAnsi="宋体" w:cs="宋体"/>
          <w:b/>
          <w:sz w:val="24"/>
        </w:rPr>
      </w:pPr>
      <w:r>
        <w:rPr>
          <w:rFonts w:hint="eastAsia" w:ascii="宋体" w:hAnsi="宋体" w:cs="宋体"/>
          <w:b/>
          <w:sz w:val="24"/>
        </w:rPr>
        <w:t>产品配置要求</w:t>
      </w:r>
    </w:p>
    <w:p>
      <w:pPr>
        <w:widowControl/>
        <w:rPr>
          <w:rFonts w:ascii="宋体" w:hAnsi="宋体" w:cs="宋体"/>
          <w:kern w:val="0"/>
          <w:sz w:val="24"/>
          <w:lang w:val="zh-CN"/>
        </w:rPr>
      </w:pPr>
      <w:r>
        <w:rPr>
          <w:rFonts w:hint="eastAsia" w:ascii="宋体" w:hAnsi="宋体" w:cs="宋体"/>
          <w:sz w:val="24"/>
        </w:rPr>
        <w:t xml:space="preserve">4.1 </w:t>
      </w:r>
      <w:r>
        <w:rPr>
          <w:rFonts w:hint="eastAsia" w:ascii="宋体" w:hAnsi="宋体" w:cs="宋体"/>
          <w:kern w:val="0"/>
          <w:sz w:val="24"/>
          <w:lang w:val="zh-CN"/>
        </w:rPr>
        <w:t>非标记生物分子相互作用分析系统</w:t>
      </w:r>
      <w:r>
        <w:rPr>
          <w:rFonts w:hint="eastAsia" w:ascii="宋体" w:hAnsi="宋体" w:cs="宋体"/>
          <w:sz w:val="24"/>
        </w:rPr>
        <w:t>主机，1套,包括芯片表面温控、在线脱气、浓度分析</w:t>
      </w:r>
    </w:p>
    <w:p>
      <w:pPr>
        <w:pStyle w:val="24"/>
        <w:spacing w:line="360" w:lineRule="auto"/>
        <w:ind w:left="0" w:firstLine="0" w:firstLineChars="0"/>
        <w:rPr>
          <w:rFonts w:ascii="宋体" w:hAnsi="宋体" w:cs="宋体"/>
          <w:sz w:val="24"/>
        </w:rPr>
      </w:pPr>
      <w:r>
        <w:rPr>
          <w:rFonts w:hint="eastAsia" w:ascii="宋体" w:hAnsi="宋体" w:cs="宋体"/>
          <w:sz w:val="24"/>
        </w:rPr>
        <w:t>4.2 标准附件：1套</w:t>
      </w:r>
    </w:p>
    <w:p>
      <w:pPr>
        <w:pStyle w:val="24"/>
        <w:spacing w:line="360" w:lineRule="auto"/>
        <w:ind w:left="0" w:firstLine="0" w:firstLineChars="0"/>
        <w:rPr>
          <w:rFonts w:ascii="宋体" w:hAnsi="宋体" w:cs="宋体"/>
          <w:sz w:val="24"/>
        </w:rPr>
      </w:pPr>
      <w:r>
        <w:rPr>
          <w:rFonts w:hint="eastAsia" w:ascii="宋体" w:hAnsi="宋体" w:cs="宋体"/>
          <w:sz w:val="24"/>
        </w:rPr>
        <w:t>4.3 开机试剂：1套</w:t>
      </w:r>
    </w:p>
    <w:p>
      <w:pPr>
        <w:pStyle w:val="24"/>
        <w:spacing w:line="360" w:lineRule="auto"/>
        <w:ind w:left="0" w:firstLine="0" w:firstLineChars="0"/>
        <w:rPr>
          <w:rFonts w:ascii="宋体" w:hAnsi="宋体" w:cs="宋体"/>
          <w:sz w:val="24"/>
        </w:rPr>
      </w:pPr>
      <w:r>
        <w:rPr>
          <w:rFonts w:hint="eastAsia" w:ascii="宋体" w:hAnsi="宋体" w:cs="宋体"/>
          <w:sz w:val="24"/>
        </w:rPr>
        <w:t>4.4 系统操作工具包：1套</w:t>
      </w:r>
    </w:p>
    <w:p>
      <w:pPr>
        <w:pStyle w:val="24"/>
        <w:spacing w:line="360" w:lineRule="auto"/>
        <w:ind w:left="0" w:firstLine="0" w:firstLineChars="0"/>
        <w:rPr>
          <w:rFonts w:ascii="宋体" w:hAnsi="宋体" w:cs="宋体"/>
          <w:sz w:val="24"/>
        </w:rPr>
      </w:pPr>
      <w:r>
        <w:rPr>
          <w:rFonts w:hint="eastAsia" w:ascii="宋体" w:hAnsi="宋体" w:cs="宋体"/>
          <w:sz w:val="24"/>
        </w:rPr>
        <w:t>4.5 计算机工作站：1套</w:t>
      </w:r>
    </w:p>
    <w:p>
      <w:pPr>
        <w:pStyle w:val="24"/>
        <w:spacing w:line="360" w:lineRule="auto"/>
        <w:ind w:left="0" w:firstLine="0" w:firstLineChars="0"/>
        <w:rPr>
          <w:rFonts w:ascii="宋体" w:hAnsi="宋体" w:cs="宋体"/>
          <w:sz w:val="24"/>
        </w:rPr>
      </w:pPr>
      <w:r>
        <w:rPr>
          <w:rFonts w:hint="eastAsia" w:ascii="宋体" w:hAnsi="宋体" w:cs="宋体"/>
          <w:sz w:val="24"/>
        </w:rPr>
        <w:t>4.6 配套不间断稳压电源（UPS），1台。</w:t>
      </w:r>
    </w:p>
    <w:p>
      <w:pPr>
        <w:pStyle w:val="24"/>
        <w:spacing w:line="360" w:lineRule="auto"/>
        <w:ind w:left="0" w:firstLine="0" w:firstLineChars="0"/>
        <w:rPr>
          <w:rFonts w:ascii="宋体" w:hAnsi="宋体" w:cs="宋体"/>
          <w:sz w:val="24"/>
        </w:rPr>
      </w:pPr>
      <w:r>
        <w:rPr>
          <w:rFonts w:hint="eastAsia" w:ascii="宋体" w:hAnsi="宋体" w:cs="宋体"/>
          <w:sz w:val="24"/>
        </w:rPr>
        <w:t>4.7研究用CM5传感器芯片 ：1套10片，研究用CM7传感器芯片：1套3片，初学试剂 ：1套，再生试剂盒：1套，HBS 缓冲液：1套，氨基偶联试剂盒：1套，维护工具盒：1套，启动试剂盒：1套</w:t>
      </w:r>
    </w:p>
    <w:p>
      <w:pPr>
        <w:spacing w:line="360" w:lineRule="auto"/>
        <w:ind w:left="420" w:firstLine="240"/>
        <w:rPr>
          <w:rFonts w:ascii="宋体" w:hAnsi="宋体" w:cs="宋体"/>
          <w:sz w:val="24"/>
        </w:rPr>
      </w:pPr>
    </w:p>
    <w:p>
      <w:pPr>
        <w:spacing w:line="360" w:lineRule="auto"/>
        <w:rPr>
          <w:rFonts w:ascii="宋体" w:hAnsi="宋体" w:cs="宋体"/>
          <w:b/>
          <w:sz w:val="24"/>
        </w:rPr>
      </w:pPr>
      <w:r>
        <w:rPr>
          <w:rFonts w:hint="eastAsia" w:ascii="宋体" w:hAnsi="宋体" w:cs="宋体"/>
          <w:b/>
          <w:sz w:val="24"/>
        </w:rPr>
        <w:t>5. 选购附件、备件及消耗品（请参考总则第2.2条）</w:t>
      </w:r>
    </w:p>
    <w:p>
      <w:pPr>
        <w:spacing w:line="360" w:lineRule="auto"/>
        <w:rPr>
          <w:rFonts w:ascii="宋体" w:hAnsi="宋体" w:cs="宋体"/>
          <w:sz w:val="24"/>
        </w:rPr>
      </w:pPr>
      <w:r>
        <w:rPr>
          <w:rFonts w:hint="eastAsia" w:ascii="宋体" w:hAnsi="宋体" w:cs="宋体"/>
          <w:sz w:val="24"/>
        </w:rPr>
        <w:t xml:space="preserve">无          </w:t>
      </w:r>
    </w:p>
    <w:p>
      <w:pPr>
        <w:tabs>
          <w:tab w:val="left" w:pos="540"/>
        </w:tabs>
        <w:spacing w:line="360" w:lineRule="auto"/>
        <w:rPr>
          <w:rFonts w:ascii="宋体" w:hAnsi="宋体" w:cs="宋体"/>
          <w:sz w:val="24"/>
        </w:rPr>
      </w:pPr>
      <w:r>
        <w:rPr>
          <w:rFonts w:hint="eastAsia" w:ascii="宋体" w:hAnsi="宋体" w:cs="宋体"/>
          <w:sz w:val="24"/>
        </w:rPr>
        <w:t xml:space="preserve">   </w:t>
      </w:r>
    </w:p>
    <w:p>
      <w:pPr>
        <w:tabs>
          <w:tab w:val="left" w:pos="540"/>
        </w:tabs>
        <w:spacing w:line="360" w:lineRule="auto"/>
        <w:rPr>
          <w:rFonts w:ascii="宋体" w:hAnsi="宋体" w:cs="宋体"/>
          <w:b/>
          <w:sz w:val="24"/>
        </w:rPr>
      </w:pPr>
      <w:r>
        <w:rPr>
          <w:rFonts w:hint="eastAsia" w:ascii="宋体" w:hAnsi="宋体" w:cs="宋体"/>
          <w:b/>
          <w:sz w:val="24"/>
        </w:rPr>
        <w:t>6.  技术文件：</w:t>
      </w:r>
    </w:p>
    <w:p>
      <w:pPr>
        <w:spacing w:line="360" w:lineRule="auto"/>
        <w:rPr>
          <w:rFonts w:ascii="宋体" w:hAnsi="宋体" w:cs="宋体"/>
          <w:sz w:val="24"/>
        </w:rPr>
      </w:pPr>
      <w:r>
        <w:rPr>
          <w:rFonts w:hint="eastAsia" w:ascii="宋体" w:hAnsi="宋体" w:cs="宋体"/>
          <w:sz w:val="24"/>
        </w:rPr>
        <w:t>6.1 请参考总则第1.2条。</w:t>
      </w:r>
    </w:p>
    <w:p>
      <w:pPr>
        <w:spacing w:line="360" w:lineRule="auto"/>
        <w:rPr>
          <w:rFonts w:ascii="宋体" w:hAnsi="宋体" w:cs="宋体"/>
          <w:sz w:val="24"/>
        </w:rPr>
      </w:pPr>
      <w:r>
        <w:rPr>
          <w:rFonts w:hint="eastAsia" w:ascii="宋体" w:hAnsi="宋体" w:cs="宋体"/>
          <w:sz w:val="24"/>
        </w:rPr>
        <w:t>6.2 请参考总则第2.3条。</w:t>
      </w:r>
    </w:p>
    <w:p>
      <w:pPr>
        <w:spacing w:line="360" w:lineRule="auto"/>
        <w:rPr>
          <w:rFonts w:ascii="宋体" w:hAnsi="宋体" w:cs="宋体"/>
          <w:sz w:val="24"/>
        </w:rPr>
      </w:pPr>
    </w:p>
    <w:p>
      <w:pPr>
        <w:spacing w:line="360" w:lineRule="auto"/>
        <w:rPr>
          <w:rFonts w:ascii="宋体" w:hAnsi="宋体" w:cs="宋体"/>
          <w:b/>
          <w:sz w:val="24"/>
        </w:rPr>
      </w:pPr>
      <w:r>
        <w:rPr>
          <w:rFonts w:hint="eastAsia" w:ascii="宋体" w:hAnsi="宋体" w:cs="宋体"/>
          <w:b/>
          <w:sz w:val="24"/>
        </w:rPr>
        <w:t>（二）质保及售后服务：</w:t>
      </w:r>
    </w:p>
    <w:p>
      <w:pPr>
        <w:pStyle w:val="17"/>
        <w:spacing w:line="360" w:lineRule="auto"/>
        <w:ind w:left="432" w:hanging="432"/>
        <w:rPr>
          <w:rFonts w:ascii="宋体" w:hAnsi="宋体" w:cs="宋体"/>
          <w:sz w:val="24"/>
          <w:szCs w:val="24"/>
        </w:rPr>
      </w:pPr>
      <w:r>
        <w:rPr>
          <w:rFonts w:hint="eastAsia" w:ascii="宋体" w:hAnsi="宋体" w:cs="宋体"/>
          <w:sz w:val="24"/>
          <w:szCs w:val="24"/>
        </w:rPr>
        <w:t>1.1 设备安装调试：</w:t>
      </w:r>
    </w:p>
    <w:p>
      <w:pPr>
        <w:pStyle w:val="17"/>
        <w:spacing w:line="360" w:lineRule="auto"/>
        <w:ind w:left="432" w:hanging="12"/>
        <w:rPr>
          <w:rFonts w:ascii="宋体" w:hAnsi="宋体" w:cs="宋体"/>
          <w:sz w:val="24"/>
          <w:szCs w:val="24"/>
        </w:rPr>
      </w:pPr>
      <w:r>
        <w:rPr>
          <w:rFonts w:hint="eastAsia" w:ascii="宋体" w:hAnsi="宋体" w:cs="宋体"/>
          <w:sz w:val="24"/>
          <w:szCs w:val="24"/>
        </w:rPr>
        <w:t>仪器到达用户所在地后，在接到用户通知后1周内执行安装调试直至达到验收指标。</w:t>
      </w:r>
    </w:p>
    <w:p>
      <w:pPr>
        <w:pStyle w:val="17"/>
        <w:spacing w:line="360" w:lineRule="auto"/>
        <w:ind w:left="432" w:hanging="432"/>
        <w:rPr>
          <w:rFonts w:ascii="宋体" w:hAnsi="宋体" w:cs="宋体"/>
          <w:sz w:val="24"/>
          <w:szCs w:val="24"/>
        </w:rPr>
      </w:pPr>
      <w:r>
        <w:rPr>
          <w:rFonts w:hint="eastAsia" w:ascii="宋体" w:hAnsi="宋体" w:cs="宋体"/>
          <w:sz w:val="24"/>
          <w:szCs w:val="24"/>
        </w:rPr>
        <w:t>1.2 技术培训：</w:t>
      </w:r>
    </w:p>
    <w:p>
      <w:pPr>
        <w:pStyle w:val="17"/>
        <w:spacing w:line="360" w:lineRule="auto"/>
        <w:ind w:left="480" w:hanging="480" w:hangingChars="200"/>
        <w:rPr>
          <w:rFonts w:ascii="宋体" w:hAnsi="宋体" w:cs="宋体"/>
          <w:sz w:val="24"/>
          <w:szCs w:val="24"/>
        </w:rPr>
      </w:pPr>
      <w:r>
        <w:rPr>
          <w:rFonts w:hint="eastAsia" w:ascii="宋体" w:hAnsi="宋体" w:cs="宋体"/>
          <w:sz w:val="24"/>
          <w:szCs w:val="24"/>
        </w:rPr>
        <w:t>1.2.1 在用户所在地对用户进行2人、为期3天的免费培训。培训内容包括仪器的技术原理、操作、数据处理、基本维护等。</w:t>
      </w:r>
    </w:p>
    <w:p>
      <w:pPr>
        <w:pStyle w:val="17"/>
        <w:spacing w:line="360" w:lineRule="auto"/>
        <w:ind w:left="0" w:firstLine="0"/>
        <w:rPr>
          <w:rFonts w:ascii="宋体" w:hAnsi="宋体" w:cs="宋体"/>
          <w:sz w:val="24"/>
          <w:szCs w:val="24"/>
        </w:rPr>
      </w:pPr>
      <w:r>
        <w:rPr>
          <w:rFonts w:hint="eastAsia" w:ascii="宋体" w:hAnsi="宋体" w:cs="宋体"/>
          <w:sz w:val="24"/>
          <w:szCs w:val="24"/>
        </w:rPr>
        <w:t>1.2.2 每年免费培训两人直至能独立操作。</w:t>
      </w:r>
    </w:p>
    <w:p>
      <w:pPr>
        <w:pStyle w:val="17"/>
        <w:spacing w:line="360" w:lineRule="auto"/>
        <w:ind w:left="432" w:hanging="432"/>
        <w:rPr>
          <w:rFonts w:ascii="宋体" w:hAnsi="宋体" w:cs="宋体"/>
          <w:sz w:val="24"/>
          <w:szCs w:val="24"/>
        </w:rPr>
      </w:pPr>
      <w:r>
        <w:rPr>
          <w:rFonts w:hint="eastAsia" w:ascii="宋体" w:hAnsi="宋体" w:cs="宋体"/>
          <w:sz w:val="24"/>
          <w:szCs w:val="24"/>
        </w:rPr>
        <w:t>1.3 保修期：提供≥5年免费保修，保修期自验收签字之日起计算。保修期满前1个月内卖方应负责一次免费全面检查，并写出正式报告，如发现潜在问题，应负责排除。质量保证期后1年内维修只收材料费。</w:t>
      </w:r>
    </w:p>
    <w:p>
      <w:pPr>
        <w:pStyle w:val="17"/>
        <w:spacing w:line="360" w:lineRule="auto"/>
        <w:ind w:left="432" w:hanging="432"/>
        <w:rPr>
          <w:rFonts w:ascii="宋体" w:hAnsi="宋体" w:cs="宋体"/>
          <w:sz w:val="24"/>
          <w:szCs w:val="24"/>
        </w:rPr>
      </w:pPr>
      <w:r>
        <w:rPr>
          <w:rFonts w:hint="eastAsia" w:ascii="宋体" w:hAnsi="宋体" w:cs="宋体"/>
          <w:sz w:val="24"/>
          <w:szCs w:val="24"/>
        </w:rPr>
        <w:t>1.4 维修响应时间：卖方应在24小时内对用户的服务要求作出响应，一般问题应在48小时内解决，重大问题或其它无法迅速解决的问题应在一周内解决或提出明确解决方案，否则卖方应赔偿相应损失。</w:t>
      </w:r>
    </w:p>
    <w:p>
      <w:pPr>
        <w:pStyle w:val="17"/>
        <w:spacing w:line="360" w:lineRule="auto"/>
        <w:ind w:left="432" w:hanging="432"/>
        <w:rPr>
          <w:rFonts w:ascii="宋体" w:hAnsi="宋体" w:cs="宋体"/>
          <w:sz w:val="24"/>
          <w:szCs w:val="24"/>
        </w:rPr>
      </w:pPr>
      <w:r>
        <w:rPr>
          <w:rFonts w:hint="eastAsia" w:ascii="宋体" w:hAnsi="宋体" w:cs="宋体"/>
          <w:sz w:val="24"/>
          <w:szCs w:val="24"/>
        </w:rPr>
        <w:t>1.5 软、硬件升级：卖方应免费向用户提供自验收之后未来5年的仪器软件升级和优惠提供与之相关的硬件升级</w:t>
      </w:r>
    </w:p>
    <w:p>
      <w:pPr>
        <w:spacing w:line="360" w:lineRule="auto"/>
        <w:rPr>
          <w:rFonts w:ascii="宋体" w:hAnsi="宋体" w:cs="宋体"/>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（三） 订货数量：</w:t>
      </w:r>
    </w:p>
    <w:p>
      <w:pPr>
        <w:spacing w:line="360" w:lineRule="auto"/>
        <w:ind w:firstLine="240" w:firstLineChars="100"/>
        <w:rPr>
          <w:rFonts w:ascii="宋体" w:hAnsi="宋体" w:cs="宋体"/>
          <w:sz w:val="24"/>
        </w:rPr>
      </w:pPr>
      <w:r>
        <w:rPr>
          <w:rFonts w:hint="eastAsia" w:ascii="宋体" w:hAnsi="宋体" w:cs="宋体"/>
          <w:sz w:val="24"/>
        </w:rPr>
        <w:t xml:space="preserve"> </w:t>
      </w:r>
      <w:r>
        <w:rPr>
          <w:sz w:val="24"/>
        </w:rPr>
        <w:t>订货量：1台</w:t>
      </w:r>
      <w:r>
        <w:rPr>
          <w:rFonts w:hint="eastAsia"/>
          <w:sz w:val="24"/>
        </w:rPr>
        <w:t>。</w:t>
      </w:r>
    </w:p>
    <w:p>
      <w:pPr>
        <w:spacing w:line="360" w:lineRule="auto"/>
        <w:rPr>
          <w:rFonts w:ascii="宋体" w:hAnsi="宋体" w:cs="宋体"/>
          <w:sz w:val="24"/>
        </w:rPr>
      </w:pPr>
    </w:p>
    <w:p>
      <w:pPr>
        <w:numPr>
          <w:ilvl w:val="0"/>
          <w:numId w:val="4"/>
        </w:numPr>
        <w:spacing w:line="360" w:lineRule="auto"/>
        <w:rPr>
          <w:rFonts w:ascii="宋体" w:hAnsi="宋体" w:cs="宋体"/>
          <w:b/>
          <w:sz w:val="24"/>
        </w:rPr>
      </w:pPr>
      <w:r>
        <w:rPr>
          <w:rFonts w:hint="eastAsia" w:ascii="宋体" w:hAnsi="宋体" w:cs="宋体"/>
          <w:b/>
          <w:sz w:val="24"/>
        </w:rPr>
        <w:t>目的港/交货地：</w:t>
      </w:r>
    </w:p>
    <w:p>
      <w:pPr>
        <w:spacing w:line="360" w:lineRule="auto"/>
        <w:rPr>
          <w:rFonts w:ascii="宋体" w:hAnsi="宋体" w:cs="宋体"/>
          <w:bCs/>
          <w:sz w:val="24"/>
        </w:rPr>
      </w:pPr>
      <w:r>
        <w:rPr>
          <w:rFonts w:hint="eastAsia" w:ascii="宋体" w:hAnsi="宋体" w:cs="宋体"/>
          <w:b/>
          <w:sz w:val="24"/>
        </w:rPr>
        <w:t xml:space="preserve">  </w:t>
      </w:r>
      <w:r>
        <w:rPr>
          <w:sz w:val="24"/>
        </w:rPr>
        <w:t>CIP 上海机场</w:t>
      </w:r>
      <w:r>
        <w:rPr>
          <w:rFonts w:hint="eastAsia"/>
          <w:sz w:val="24"/>
        </w:rPr>
        <w:t>/</w:t>
      </w:r>
      <w:r>
        <w:rPr>
          <w:bCs/>
          <w:sz w:val="24"/>
        </w:rPr>
        <w:t>上海市海科路100号用户实验室</w:t>
      </w:r>
    </w:p>
    <w:p>
      <w:pPr>
        <w:spacing w:line="360" w:lineRule="auto"/>
        <w:rPr>
          <w:rFonts w:ascii="宋体" w:hAnsi="宋体" w:cs="宋体"/>
          <w:sz w:val="24"/>
        </w:rPr>
      </w:pPr>
    </w:p>
    <w:p>
      <w:pPr>
        <w:spacing w:line="360" w:lineRule="auto"/>
        <w:rPr>
          <w:rFonts w:ascii="宋体" w:hAnsi="宋体" w:cs="宋体"/>
          <w:b/>
          <w:sz w:val="24"/>
        </w:rPr>
      </w:pPr>
      <w:r>
        <w:rPr>
          <w:rFonts w:hint="eastAsia" w:ascii="宋体" w:hAnsi="宋体" w:cs="宋体"/>
          <w:b/>
          <w:sz w:val="24"/>
        </w:rPr>
        <w:t>（五）交货日期：</w:t>
      </w:r>
    </w:p>
    <w:p>
      <w:pPr>
        <w:spacing w:line="360" w:lineRule="auto"/>
        <w:rPr>
          <w:rFonts w:ascii="宋体" w:hAnsi="宋体"/>
          <w:b/>
          <w:sz w:val="30"/>
          <w:szCs w:val="30"/>
        </w:rPr>
      </w:pPr>
      <w:r>
        <w:rPr>
          <w:rFonts w:hint="eastAsia" w:ascii="宋体" w:hAnsi="宋体" w:cs="宋体"/>
          <w:sz w:val="24"/>
        </w:rPr>
        <w:t xml:space="preserve">   </w:t>
      </w:r>
      <w:r>
        <w:rPr>
          <w:bCs/>
          <w:sz w:val="24"/>
        </w:rPr>
        <w:t>合同签订后6个月内或者收到免表后3个月内。</w:t>
      </w:r>
      <w:r>
        <w:rPr>
          <w:rFonts w:hint="eastAsia" w:ascii="宋体" w:hAnsi="宋体" w:cs="宋体"/>
          <w:sz w:val="24"/>
        </w:rPr>
        <w:t xml:space="preserve"> </w:t>
      </w:r>
      <w:r>
        <w:rPr>
          <w:rFonts w:hint="eastAsia"/>
          <w:sz w:val="24"/>
        </w:rPr>
        <w:t xml:space="preserve">                                           </w:t>
      </w:r>
    </w:p>
    <w:sectPr>
      <w:footerReference r:id="rId5" w:type="first"/>
      <w:headerReference r:id="rId3" w:type="default"/>
      <w:footerReference r:id="rId4" w:type="default"/>
      <w:pgSz w:w="11906" w:h="16838"/>
      <w:pgMar w:top="1418" w:right="1418" w:bottom="1418" w:left="1418"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长城仿宋">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Bookman Old Style">
    <w:panose1 w:val="02050604050505020204"/>
    <w:charset w:val="00"/>
    <w:family w:val="roman"/>
    <w:pitch w:val="default"/>
    <w:sig w:usb0="00000287" w:usb1="00000000" w:usb2="00000000" w:usb3="00000000" w:csb0="2000009F" w:csb1="DFD70000"/>
  </w:font>
  <w:font w:name="inherit">
    <w:altName w:val="Times New Roman"/>
    <w:panose1 w:val="00000000000000000000"/>
    <w:charset w:val="00"/>
    <w:family w:val="roman"/>
    <w:pitch w:val="default"/>
    <w:sig w:usb0="00000000" w:usb1="00000000" w:usb2="00000000" w:usb3="00000000" w:csb0="00040001" w:csb1="00000000"/>
  </w:font>
  <w:font w:name="time of new roman">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PAGE   \* MERGEFORMAT</w:instrText>
    </w:r>
    <w:r>
      <w:fldChar w:fldCharType="separate"/>
    </w:r>
    <w:r>
      <w:rPr>
        <w:lang w:val="zh-CN"/>
      </w:rPr>
      <w:t>22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both"/>
    </w:pPr>
    <w:r>
      <w:rPr>
        <w:rFonts w:hint="eastAsia"/>
        <w:i/>
      </w:rPr>
      <w:t>东方国际招标有限责任公司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85B104"/>
    <w:multiLevelType w:val="singleLevel"/>
    <w:tmpl w:val="D785B104"/>
    <w:lvl w:ilvl="0" w:tentative="0">
      <w:start w:val="1"/>
      <w:numFmt w:val="chineseCounting"/>
      <w:suff w:val="nothing"/>
      <w:lvlText w:val="（%1）"/>
      <w:lvlJc w:val="left"/>
      <w:rPr>
        <w:rFonts w:hint="eastAsia"/>
      </w:rPr>
    </w:lvl>
  </w:abstractNum>
  <w:abstractNum w:abstractNumId="1">
    <w:nsid w:val="4E5B42B3"/>
    <w:multiLevelType w:val="multilevel"/>
    <w:tmpl w:val="4E5B42B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8F84946"/>
    <w:multiLevelType w:val="multilevel"/>
    <w:tmpl w:val="68F84946"/>
    <w:lvl w:ilvl="0" w:tentative="0">
      <w:start w:val="1"/>
      <w:numFmt w:val="decimal"/>
      <w:lvlText w:val="%1）"/>
      <w:lvlJc w:val="left"/>
      <w:pPr>
        <w:tabs>
          <w:tab w:val="left" w:pos="1896"/>
        </w:tabs>
        <w:ind w:left="1896" w:hanging="396"/>
      </w:pPr>
      <w:rPr>
        <w:rFonts w:hint="eastAsia" w:eastAsia="仿宋_GB2312"/>
        <w:b w:val="0"/>
        <w:i w:val="0"/>
        <w:color w:val="auto"/>
      </w:rPr>
    </w:lvl>
    <w:lvl w:ilvl="1" w:tentative="0">
      <w:start w:val="8"/>
      <w:numFmt w:val="japaneseCounting"/>
      <w:lvlText w:val="第%2章"/>
      <w:lvlJc w:val="left"/>
      <w:pPr>
        <w:tabs>
          <w:tab w:val="left" w:pos="1935"/>
        </w:tabs>
        <w:ind w:left="1935" w:hanging="1515"/>
      </w:pPr>
      <w:rPr>
        <w:rFonts w:hint="default"/>
      </w:rPr>
    </w:lvl>
    <w:lvl w:ilvl="2" w:tentative="0">
      <w:start w:val="1"/>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D79592F"/>
    <w:multiLevelType w:val="singleLevel"/>
    <w:tmpl w:val="7D79592F"/>
    <w:lvl w:ilvl="0" w:tentative="0">
      <w:start w:val="4"/>
      <w:numFmt w:val="chineseCounting"/>
      <w:suff w:val="space"/>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zMjI3OWE5MGUyZmIyM2EyMWRkOTY2YmVjNDAzNTEifQ=="/>
  </w:docVars>
  <w:rsids>
    <w:rsidRoot w:val="00FA3835"/>
    <w:rsid w:val="000050A2"/>
    <w:rsid w:val="00027C8D"/>
    <w:rsid w:val="00040005"/>
    <w:rsid w:val="000543E7"/>
    <w:rsid w:val="0006010D"/>
    <w:rsid w:val="000668DC"/>
    <w:rsid w:val="00081ADD"/>
    <w:rsid w:val="000969BB"/>
    <w:rsid w:val="000973D2"/>
    <w:rsid w:val="000B12EC"/>
    <w:rsid w:val="000B636A"/>
    <w:rsid w:val="000C1F98"/>
    <w:rsid w:val="000C325D"/>
    <w:rsid w:val="000C505C"/>
    <w:rsid w:val="000D1A3C"/>
    <w:rsid w:val="000E0B0C"/>
    <w:rsid w:val="000E17D4"/>
    <w:rsid w:val="000E4DA9"/>
    <w:rsid w:val="000F0512"/>
    <w:rsid w:val="000F4571"/>
    <w:rsid w:val="00103352"/>
    <w:rsid w:val="00107AF4"/>
    <w:rsid w:val="001140D0"/>
    <w:rsid w:val="001235CA"/>
    <w:rsid w:val="00137D93"/>
    <w:rsid w:val="001437EA"/>
    <w:rsid w:val="00144505"/>
    <w:rsid w:val="00144DDA"/>
    <w:rsid w:val="0014761F"/>
    <w:rsid w:val="00153F11"/>
    <w:rsid w:val="00154F47"/>
    <w:rsid w:val="00155A34"/>
    <w:rsid w:val="00155DB1"/>
    <w:rsid w:val="00164E27"/>
    <w:rsid w:val="001921CA"/>
    <w:rsid w:val="00194900"/>
    <w:rsid w:val="001A0E56"/>
    <w:rsid w:val="001A6E63"/>
    <w:rsid w:val="001B195C"/>
    <w:rsid w:val="001B62CC"/>
    <w:rsid w:val="001B66E1"/>
    <w:rsid w:val="001B6E57"/>
    <w:rsid w:val="001C24BF"/>
    <w:rsid w:val="001D7301"/>
    <w:rsid w:val="001E1467"/>
    <w:rsid w:val="001E152C"/>
    <w:rsid w:val="001E3480"/>
    <w:rsid w:val="001F18B7"/>
    <w:rsid w:val="001F1D2B"/>
    <w:rsid w:val="001F5FAD"/>
    <w:rsid w:val="001F79B6"/>
    <w:rsid w:val="002024C7"/>
    <w:rsid w:val="00205D68"/>
    <w:rsid w:val="00206639"/>
    <w:rsid w:val="0021259E"/>
    <w:rsid w:val="00213C28"/>
    <w:rsid w:val="00224FE7"/>
    <w:rsid w:val="00233C8A"/>
    <w:rsid w:val="00240E7B"/>
    <w:rsid w:val="00247ED0"/>
    <w:rsid w:val="00251DB7"/>
    <w:rsid w:val="00275598"/>
    <w:rsid w:val="002761A3"/>
    <w:rsid w:val="0028124D"/>
    <w:rsid w:val="00282A80"/>
    <w:rsid w:val="00282F14"/>
    <w:rsid w:val="00292E0B"/>
    <w:rsid w:val="002B44BD"/>
    <w:rsid w:val="002B6E7A"/>
    <w:rsid w:val="002B7380"/>
    <w:rsid w:val="002D5C47"/>
    <w:rsid w:val="002E03AA"/>
    <w:rsid w:val="002E6A76"/>
    <w:rsid w:val="002F1704"/>
    <w:rsid w:val="002F6FCA"/>
    <w:rsid w:val="002F7EF8"/>
    <w:rsid w:val="00301191"/>
    <w:rsid w:val="00322611"/>
    <w:rsid w:val="003248D5"/>
    <w:rsid w:val="00326D72"/>
    <w:rsid w:val="0033189B"/>
    <w:rsid w:val="003442AE"/>
    <w:rsid w:val="0034443A"/>
    <w:rsid w:val="003474B8"/>
    <w:rsid w:val="00353E66"/>
    <w:rsid w:val="00357C16"/>
    <w:rsid w:val="003637C6"/>
    <w:rsid w:val="003732CC"/>
    <w:rsid w:val="00373B63"/>
    <w:rsid w:val="00374F9A"/>
    <w:rsid w:val="00382C0C"/>
    <w:rsid w:val="00397F24"/>
    <w:rsid w:val="003A298A"/>
    <w:rsid w:val="003B4890"/>
    <w:rsid w:val="003B4F45"/>
    <w:rsid w:val="003B6193"/>
    <w:rsid w:val="003C172D"/>
    <w:rsid w:val="003C7092"/>
    <w:rsid w:val="003C785A"/>
    <w:rsid w:val="003D2B81"/>
    <w:rsid w:val="003F5F7A"/>
    <w:rsid w:val="004043A2"/>
    <w:rsid w:val="00404EA5"/>
    <w:rsid w:val="00415144"/>
    <w:rsid w:val="00420D92"/>
    <w:rsid w:val="0042297A"/>
    <w:rsid w:val="004362C7"/>
    <w:rsid w:val="0044106E"/>
    <w:rsid w:val="00446E68"/>
    <w:rsid w:val="00447503"/>
    <w:rsid w:val="0046038A"/>
    <w:rsid w:val="00471176"/>
    <w:rsid w:val="00484FF8"/>
    <w:rsid w:val="004A0EB1"/>
    <w:rsid w:val="004A3B49"/>
    <w:rsid w:val="004A5C14"/>
    <w:rsid w:val="004B36B8"/>
    <w:rsid w:val="004C387C"/>
    <w:rsid w:val="004D0AB9"/>
    <w:rsid w:val="004E042A"/>
    <w:rsid w:val="004F0FDE"/>
    <w:rsid w:val="004F3E07"/>
    <w:rsid w:val="00504FD3"/>
    <w:rsid w:val="00512882"/>
    <w:rsid w:val="005143FF"/>
    <w:rsid w:val="00516FEB"/>
    <w:rsid w:val="005244F5"/>
    <w:rsid w:val="00524665"/>
    <w:rsid w:val="00543C0A"/>
    <w:rsid w:val="0054699B"/>
    <w:rsid w:val="005515EB"/>
    <w:rsid w:val="0055226E"/>
    <w:rsid w:val="00552E7C"/>
    <w:rsid w:val="005601D0"/>
    <w:rsid w:val="005613B2"/>
    <w:rsid w:val="0056304A"/>
    <w:rsid w:val="0057066D"/>
    <w:rsid w:val="00572671"/>
    <w:rsid w:val="00591688"/>
    <w:rsid w:val="005916DF"/>
    <w:rsid w:val="00595627"/>
    <w:rsid w:val="00595D3F"/>
    <w:rsid w:val="00595EAC"/>
    <w:rsid w:val="005A2F5B"/>
    <w:rsid w:val="005A52D6"/>
    <w:rsid w:val="005C574A"/>
    <w:rsid w:val="005D09A0"/>
    <w:rsid w:val="005D479D"/>
    <w:rsid w:val="005E416B"/>
    <w:rsid w:val="005E7A21"/>
    <w:rsid w:val="005F24B2"/>
    <w:rsid w:val="0060103A"/>
    <w:rsid w:val="00602911"/>
    <w:rsid w:val="00602A7A"/>
    <w:rsid w:val="0060509A"/>
    <w:rsid w:val="006125F5"/>
    <w:rsid w:val="00612A9B"/>
    <w:rsid w:val="00614D00"/>
    <w:rsid w:val="006225E2"/>
    <w:rsid w:val="0062676A"/>
    <w:rsid w:val="00640DB1"/>
    <w:rsid w:val="006416E9"/>
    <w:rsid w:val="0064545D"/>
    <w:rsid w:val="00646C82"/>
    <w:rsid w:val="00647CD5"/>
    <w:rsid w:val="006548A6"/>
    <w:rsid w:val="00655478"/>
    <w:rsid w:val="00664D7F"/>
    <w:rsid w:val="006A377B"/>
    <w:rsid w:val="006B0930"/>
    <w:rsid w:val="006C4384"/>
    <w:rsid w:val="006C5135"/>
    <w:rsid w:val="006C546E"/>
    <w:rsid w:val="006E2DE0"/>
    <w:rsid w:val="006E5A8E"/>
    <w:rsid w:val="0070081C"/>
    <w:rsid w:val="0071653B"/>
    <w:rsid w:val="00721985"/>
    <w:rsid w:val="00724C84"/>
    <w:rsid w:val="007252A8"/>
    <w:rsid w:val="00725C0A"/>
    <w:rsid w:val="0073119D"/>
    <w:rsid w:val="0073199C"/>
    <w:rsid w:val="007376B0"/>
    <w:rsid w:val="00740508"/>
    <w:rsid w:val="00743776"/>
    <w:rsid w:val="00751428"/>
    <w:rsid w:val="0075674B"/>
    <w:rsid w:val="00761F2B"/>
    <w:rsid w:val="00763B74"/>
    <w:rsid w:val="007731D0"/>
    <w:rsid w:val="00775B16"/>
    <w:rsid w:val="00785A0A"/>
    <w:rsid w:val="007967F8"/>
    <w:rsid w:val="007A3772"/>
    <w:rsid w:val="007C2696"/>
    <w:rsid w:val="007C4C31"/>
    <w:rsid w:val="007C5EA5"/>
    <w:rsid w:val="007D381E"/>
    <w:rsid w:val="007D3EE2"/>
    <w:rsid w:val="007E03CA"/>
    <w:rsid w:val="007E6193"/>
    <w:rsid w:val="007F2F97"/>
    <w:rsid w:val="007F387D"/>
    <w:rsid w:val="007F7152"/>
    <w:rsid w:val="008203E6"/>
    <w:rsid w:val="00822633"/>
    <w:rsid w:val="00830107"/>
    <w:rsid w:val="00831B02"/>
    <w:rsid w:val="00833174"/>
    <w:rsid w:val="00846609"/>
    <w:rsid w:val="00852958"/>
    <w:rsid w:val="00864F77"/>
    <w:rsid w:val="008661F8"/>
    <w:rsid w:val="008712FA"/>
    <w:rsid w:val="00876AA9"/>
    <w:rsid w:val="00876EFF"/>
    <w:rsid w:val="00883AB2"/>
    <w:rsid w:val="008861B2"/>
    <w:rsid w:val="00892EC7"/>
    <w:rsid w:val="00896377"/>
    <w:rsid w:val="008A09F5"/>
    <w:rsid w:val="008A4B18"/>
    <w:rsid w:val="008A738C"/>
    <w:rsid w:val="008B2645"/>
    <w:rsid w:val="008C36D3"/>
    <w:rsid w:val="008D0675"/>
    <w:rsid w:val="008D1425"/>
    <w:rsid w:val="008D3BC8"/>
    <w:rsid w:val="008D6F23"/>
    <w:rsid w:val="008E5EB5"/>
    <w:rsid w:val="008F04C7"/>
    <w:rsid w:val="008F21A5"/>
    <w:rsid w:val="008F2440"/>
    <w:rsid w:val="00914619"/>
    <w:rsid w:val="009202C8"/>
    <w:rsid w:val="009246BA"/>
    <w:rsid w:val="00930CDE"/>
    <w:rsid w:val="00935AA1"/>
    <w:rsid w:val="009451DC"/>
    <w:rsid w:val="009467F2"/>
    <w:rsid w:val="0095655E"/>
    <w:rsid w:val="009718ED"/>
    <w:rsid w:val="0097297B"/>
    <w:rsid w:val="0098154C"/>
    <w:rsid w:val="0098549E"/>
    <w:rsid w:val="009857EF"/>
    <w:rsid w:val="009941D8"/>
    <w:rsid w:val="009A2C18"/>
    <w:rsid w:val="009C0A0B"/>
    <w:rsid w:val="009C14BD"/>
    <w:rsid w:val="009D1AF8"/>
    <w:rsid w:val="009E1C84"/>
    <w:rsid w:val="009E32D4"/>
    <w:rsid w:val="009E4080"/>
    <w:rsid w:val="009E4DCB"/>
    <w:rsid w:val="009E580F"/>
    <w:rsid w:val="009F5A6A"/>
    <w:rsid w:val="00A0205F"/>
    <w:rsid w:val="00A04E9D"/>
    <w:rsid w:val="00A06893"/>
    <w:rsid w:val="00A21886"/>
    <w:rsid w:val="00A25682"/>
    <w:rsid w:val="00A2638C"/>
    <w:rsid w:val="00A27417"/>
    <w:rsid w:val="00A27AFD"/>
    <w:rsid w:val="00A354A8"/>
    <w:rsid w:val="00A4031E"/>
    <w:rsid w:val="00A44A2B"/>
    <w:rsid w:val="00A46F60"/>
    <w:rsid w:val="00A53234"/>
    <w:rsid w:val="00A57F47"/>
    <w:rsid w:val="00AA7A0D"/>
    <w:rsid w:val="00AB113B"/>
    <w:rsid w:val="00AD2FD2"/>
    <w:rsid w:val="00AD41E6"/>
    <w:rsid w:val="00AD4ECF"/>
    <w:rsid w:val="00AD70C8"/>
    <w:rsid w:val="00AF6067"/>
    <w:rsid w:val="00B07AAD"/>
    <w:rsid w:val="00B15273"/>
    <w:rsid w:val="00B16887"/>
    <w:rsid w:val="00B1746F"/>
    <w:rsid w:val="00B27A2B"/>
    <w:rsid w:val="00B31F00"/>
    <w:rsid w:val="00B351A2"/>
    <w:rsid w:val="00B41959"/>
    <w:rsid w:val="00B42C18"/>
    <w:rsid w:val="00B43CF7"/>
    <w:rsid w:val="00B44327"/>
    <w:rsid w:val="00B53944"/>
    <w:rsid w:val="00B61FDD"/>
    <w:rsid w:val="00B75B80"/>
    <w:rsid w:val="00B81149"/>
    <w:rsid w:val="00B8672D"/>
    <w:rsid w:val="00B94FB1"/>
    <w:rsid w:val="00BC7FBC"/>
    <w:rsid w:val="00BD11D6"/>
    <w:rsid w:val="00BD2A3B"/>
    <w:rsid w:val="00BD646D"/>
    <w:rsid w:val="00BD6A33"/>
    <w:rsid w:val="00BD7ED0"/>
    <w:rsid w:val="00BE5E06"/>
    <w:rsid w:val="00BE643E"/>
    <w:rsid w:val="00BE7CED"/>
    <w:rsid w:val="00BF59BF"/>
    <w:rsid w:val="00C056B5"/>
    <w:rsid w:val="00C10630"/>
    <w:rsid w:val="00C12939"/>
    <w:rsid w:val="00C14E3B"/>
    <w:rsid w:val="00C23BA4"/>
    <w:rsid w:val="00C241B2"/>
    <w:rsid w:val="00C34485"/>
    <w:rsid w:val="00C40AB3"/>
    <w:rsid w:val="00C43805"/>
    <w:rsid w:val="00C43E24"/>
    <w:rsid w:val="00C45235"/>
    <w:rsid w:val="00C60EF2"/>
    <w:rsid w:val="00C615B2"/>
    <w:rsid w:val="00C702F0"/>
    <w:rsid w:val="00C74553"/>
    <w:rsid w:val="00C8112C"/>
    <w:rsid w:val="00C87EF4"/>
    <w:rsid w:val="00CA623E"/>
    <w:rsid w:val="00CA630F"/>
    <w:rsid w:val="00CB4EB2"/>
    <w:rsid w:val="00CB7A41"/>
    <w:rsid w:val="00CC7A0B"/>
    <w:rsid w:val="00CD64CD"/>
    <w:rsid w:val="00CE2041"/>
    <w:rsid w:val="00CE3059"/>
    <w:rsid w:val="00CE4960"/>
    <w:rsid w:val="00CE56FA"/>
    <w:rsid w:val="00CF0912"/>
    <w:rsid w:val="00D0060C"/>
    <w:rsid w:val="00D027B8"/>
    <w:rsid w:val="00D04134"/>
    <w:rsid w:val="00D0571C"/>
    <w:rsid w:val="00D0679B"/>
    <w:rsid w:val="00D11879"/>
    <w:rsid w:val="00D12547"/>
    <w:rsid w:val="00D22D44"/>
    <w:rsid w:val="00D378BA"/>
    <w:rsid w:val="00D40668"/>
    <w:rsid w:val="00D6263A"/>
    <w:rsid w:val="00D778D7"/>
    <w:rsid w:val="00D83934"/>
    <w:rsid w:val="00D861C3"/>
    <w:rsid w:val="00D91A0C"/>
    <w:rsid w:val="00D9239C"/>
    <w:rsid w:val="00D95955"/>
    <w:rsid w:val="00D979AB"/>
    <w:rsid w:val="00DA590C"/>
    <w:rsid w:val="00DA703D"/>
    <w:rsid w:val="00DB54CF"/>
    <w:rsid w:val="00DC1546"/>
    <w:rsid w:val="00DD2172"/>
    <w:rsid w:val="00DD4A09"/>
    <w:rsid w:val="00DD4C25"/>
    <w:rsid w:val="00DD6A1F"/>
    <w:rsid w:val="00DE4C00"/>
    <w:rsid w:val="00DE5C67"/>
    <w:rsid w:val="00DF2449"/>
    <w:rsid w:val="00DF7ACF"/>
    <w:rsid w:val="00E004CA"/>
    <w:rsid w:val="00E03391"/>
    <w:rsid w:val="00E0373B"/>
    <w:rsid w:val="00E07308"/>
    <w:rsid w:val="00E179B5"/>
    <w:rsid w:val="00E26286"/>
    <w:rsid w:val="00E30AC2"/>
    <w:rsid w:val="00E33D84"/>
    <w:rsid w:val="00E34813"/>
    <w:rsid w:val="00E356D2"/>
    <w:rsid w:val="00E401B3"/>
    <w:rsid w:val="00E458DA"/>
    <w:rsid w:val="00E5687E"/>
    <w:rsid w:val="00E639CC"/>
    <w:rsid w:val="00E63D5B"/>
    <w:rsid w:val="00E671AD"/>
    <w:rsid w:val="00E83E40"/>
    <w:rsid w:val="00E857B8"/>
    <w:rsid w:val="00E907E5"/>
    <w:rsid w:val="00E943B8"/>
    <w:rsid w:val="00EA11F7"/>
    <w:rsid w:val="00EA20B9"/>
    <w:rsid w:val="00EA4549"/>
    <w:rsid w:val="00ED0B37"/>
    <w:rsid w:val="00ED22DF"/>
    <w:rsid w:val="00ED4C66"/>
    <w:rsid w:val="00ED6781"/>
    <w:rsid w:val="00EF5BA0"/>
    <w:rsid w:val="00F13600"/>
    <w:rsid w:val="00F15FC0"/>
    <w:rsid w:val="00F17042"/>
    <w:rsid w:val="00F175D1"/>
    <w:rsid w:val="00F21DA9"/>
    <w:rsid w:val="00F22A75"/>
    <w:rsid w:val="00F30C1E"/>
    <w:rsid w:val="00F3185D"/>
    <w:rsid w:val="00F35217"/>
    <w:rsid w:val="00F35C50"/>
    <w:rsid w:val="00F42D68"/>
    <w:rsid w:val="00F436FE"/>
    <w:rsid w:val="00F500D2"/>
    <w:rsid w:val="00F51A9D"/>
    <w:rsid w:val="00F57792"/>
    <w:rsid w:val="00F60048"/>
    <w:rsid w:val="00F6185A"/>
    <w:rsid w:val="00F73FE2"/>
    <w:rsid w:val="00F74944"/>
    <w:rsid w:val="00F8497C"/>
    <w:rsid w:val="00F91E41"/>
    <w:rsid w:val="00F9559F"/>
    <w:rsid w:val="00FA238D"/>
    <w:rsid w:val="00FA3835"/>
    <w:rsid w:val="00FA4C29"/>
    <w:rsid w:val="00FA6816"/>
    <w:rsid w:val="00FB5D79"/>
    <w:rsid w:val="00FE3D91"/>
    <w:rsid w:val="00FE55D2"/>
    <w:rsid w:val="00FF728E"/>
    <w:rsid w:val="056C5A50"/>
    <w:rsid w:val="08F16CB0"/>
    <w:rsid w:val="09A45050"/>
    <w:rsid w:val="0A5B05D9"/>
    <w:rsid w:val="0D701E19"/>
    <w:rsid w:val="0DE23463"/>
    <w:rsid w:val="1B9E3D36"/>
    <w:rsid w:val="1BE77605"/>
    <w:rsid w:val="1BFC2ACA"/>
    <w:rsid w:val="1C8F2A04"/>
    <w:rsid w:val="243F7370"/>
    <w:rsid w:val="24CD71A7"/>
    <w:rsid w:val="2D273FF1"/>
    <w:rsid w:val="2F71765D"/>
    <w:rsid w:val="31166E3A"/>
    <w:rsid w:val="32730DA8"/>
    <w:rsid w:val="35C22B70"/>
    <w:rsid w:val="3AFF33E8"/>
    <w:rsid w:val="3D476359"/>
    <w:rsid w:val="3DE10046"/>
    <w:rsid w:val="3F2343C3"/>
    <w:rsid w:val="46DB7A17"/>
    <w:rsid w:val="4765560E"/>
    <w:rsid w:val="48333FF5"/>
    <w:rsid w:val="51CD3614"/>
    <w:rsid w:val="53FC6986"/>
    <w:rsid w:val="542C0A29"/>
    <w:rsid w:val="585F0652"/>
    <w:rsid w:val="59411541"/>
    <w:rsid w:val="5B2615DD"/>
    <w:rsid w:val="5C6A0DAE"/>
    <w:rsid w:val="64A33FAD"/>
    <w:rsid w:val="66872F1A"/>
    <w:rsid w:val="67D85B6C"/>
    <w:rsid w:val="6C67192F"/>
    <w:rsid w:val="6F135C55"/>
    <w:rsid w:val="6FE756FD"/>
    <w:rsid w:val="711451BF"/>
    <w:rsid w:val="72C52C39"/>
    <w:rsid w:val="7719283E"/>
    <w:rsid w:val="78C830A0"/>
    <w:rsid w:val="7A996FD7"/>
    <w:rsid w:val="7D9D4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4"/>
    <w:qFormat/>
    <w:uiPriority w:val="0"/>
    <w:pPr>
      <w:keepNext/>
      <w:keepLines/>
      <w:spacing w:before="280" w:after="290" w:line="376" w:lineRule="auto"/>
      <w:outlineLvl w:val="4"/>
    </w:pPr>
    <w:rPr>
      <w:b/>
      <w:sz w:val="28"/>
      <w:szCs w:val="20"/>
    </w:rPr>
  </w:style>
  <w:style w:type="paragraph" w:styleId="8">
    <w:name w:val="heading 6"/>
    <w:basedOn w:val="1"/>
    <w:next w:val="4"/>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4"/>
    <w:qFormat/>
    <w:uiPriority w:val="0"/>
    <w:pPr>
      <w:keepNext/>
      <w:keepLines/>
      <w:spacing w:before="240" w:after="64" w:line="320" w:lineRule="auto"/>
      <w:outlineLvl w:val="6"/>
    </w:pPr>
    <w:rPr>
      <w:b/>
      <w:sz w:val="24"/>
      <w:szCs w:val="20"/>
    </w:rPr>
  </w:style>
  <w:style w:type="paragraph" w:styleId="10">
    <w:name w:val="heading 8"/>
    <w:basedOn w:val="1"/>
    <w:next w:val="4"/>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4"/>
    <w:qFormat/>
    <w:uiPriority w:val="0"/>
    <w:pPr>
      <w:keepNext/>
      <w:keepLines/>
      <w:spacing w:before="240" w:after="64" w:line="320" w:lineRule="auto"/>
      <w:outlineLvl w:val="8"/>
    </w:pPr>
    <w:rPr>
      <w:rFonts w:ascii="Arial" w:hAnsi="Arial" w:eastAsia="黑体"/>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iPriority w:val="0"/>
    <w:pPr>
      <w:autoSpaceDE w:val="0"/>
      <w:autoSpaceDN w:val="0"/>
      <w:adjustRightInd w:val="0"/>
      <w:ind w:firstLine="420"/>
      <w:jc w:val="left"/>
    </w:pPr>
    <w:rPr>
      <w:rFonts w:ascii="宋体"/>
      <w:kern w:val="0"/>
      <w:sz w:val="24"/>
      <w:szCs w:val="20"/>
    </w:rPr>
  </w:style>
  <w:style w:type="paragraph" w:styleId="12">
    <w:name w:val="Document Map"/>
    <w:basedOn w:val="1"/>
    <w:semiHidden/>
    <w:uiPriority w:val="0"/>
    <w:pPr>
      <w:shd w:val="clear" w:color="auto" w:fill="000080"/>
    </w:pPr>
  </w:style>
  <w:style w:type="paragraph" w:styleId="13">
    <w:name w:val="annotation text"/>
    <w:basedOn w:val="1"/>
    <w:qFormat/>
    <w:uiPriority w:val="0"/>
    <w:pPr>
      <w:jc w:val="left"/>
    </w:pPr>
  </w:style>
  <w:style w:type="paragraph" w:styleId="14">
    <w:name w:val="Body Text 3"/>
    <w:basedOn w:val="1"/>
    <w:qFormat/>
    <w:uiPriority w:val="0"/>
    <w:pPr>
      <w:widowControl/>
      <w:ind w:right="720"/>
      <w:jc w:val="left"/>
    </w:pPr>
    <w:rPr>
      <w:kern w:val="0"/>
      <w:sz w:val="20"/>
      <w:szCs w:val="20"/>
      <w:lang w:eastAsia="en-US"/>
    </w:rPr>
  </w:style>
  <w:style w:type="paragraph" w:styleId="15">
    <w:name w:val="Body Text"/>
    <w:basedOn w:val="1"/>
    <w:uiPriority w:val="0"/>
    <w:pPr>
      <w:tabs>
        <w:tab w:val="left" w:pos="567"/>
      </w:tabs>
      <w:spacing w:before="120" w:line="22" w:lineRule="atLeast"/>
    </w:pPr>
    <w:rPr>
      <w:rFonts w:ascii="宋体" w:hAnsi="宋体"/>
      <w:sz w:val="24"/>
    </w:rPr>
  </w:style>
  <w:style w:type="paragraph" w:styleId="16">
    <w:name w:val="Body Text Indent"/>
    <w:basedOn w:val="1"/>
    <w:uiPriority w:val="0"/>
    <w:pPr>
      <w:spacing w:after="120"/>
      <w:ind w:left="420" w:leftChars="200"/>
    </w:pPr>
  </w:style>
  <w:style w:type="paragraph" w:styleId="17">
    <w:name w:val="List 2"/>
    <w:basedOn w:val="1"/>
    <w:qFormat/>
    <w:uiPriority w:val="0"/>
    <w:pPr>
      <w:ind w:left="840" w:hanging="420"/>
    </w:pPr>
    <w:rPr>
      <w:szCs w:val="20"/>
    </w:rPr>
  </w:style>
  <w:style w:type="paragraph" w:styleId="18">
    <w:name w:val="Plain Text"/>
    <w:basedOn w:val="1"/>
    <w:link w:val="43"/>
    <w:uiPriority w:val="0"/>
    <w:rPr>
      <w:rFonts w:ascii="宋体" w:hAnsi="Courier New"/>
      <w:szCs w:val="20"/>
    </w:rPr>
  </w:style>
  <w:style w:type="paragraph" w:styleId="19">
    <w:name w:val="Date"/>
    <w:basedOn w:val="1"/>
    <w:next w:val="1"/>
    <w:link w:val="42"/>
    <w:uiPriority w:val="0"/>
    <w:rPr>
      <w:szCs w:val="20"/>
    </w:rPr>
  </w:style>
  <w:style w:type="paragraph" w:styleId="20">
    <w:name w:val="Body Text Indent 2"/>
    <w:basedOn w:val="1"/>
    <w:uiPriority w:val="0"/>
    <w:pPr>
      <w:ind w:firstLine="480" w:firstLineChars="200"/>
    </w:pPr>
    <w:rPr>
      <w:rFonts w:ascii="仿宋_GB2312" w:eastAsia="仿宋_GB2312"/>
      <w:sz w:val="24"/>
    </w:rPr>
  </w:style>
  <w:style w:type="paragraph" w:styleId="21">
    <w:name w:val="Balloon Text"/>
    <w:basedOn w:val="1"/>
    <w:semiHidden/>
    <w:qFormat/>
    <w:uiPriority w:val="0"/>
    <w:rPr>
      <w:sz w:val="18"/>
      <w:szCs w:val="18"/>
    </w:rPr>
  </w:style>
  <w:style w:type="paragraph" w:styleId="22">
    <w:name w:val="footer"/>
    <w:basedOn w:val="1"/>
    <w:qFormat/>
    <w:uiPriority w:val="0"/>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List"/>
    <w:basedOn w:val="1"/>
    <w:qFormat/>
    <w:uiPriority w:val="0"/>
    <w:pPr>
      <w:ind w:left="200" w:hanging="200" w:hangingChars="200"/>
      <w:contextualSpacing/>
    </w:pPr>
  </w:style>
  <w:style w:type="paragraph" w:styleId="25">
    <w:name w:val="Body Text 2"/>
    <w:basedOn w:val="1"/>
    <w:qFormat/>
    <w:uiPriority w:val="0"/>
    <w:pPr>
      <w:widowControl/>
    </w:pPr>
    <w:rPr>
      <w:kern w:val="0"/>
      <w:sz w:val="20"/>
      <w:szCs w:val="20"/>
      <w:lang w:eastAsia="en-US"/>
    </w:rPr>
  </w:style>
  <w:style w:type="paragraph" w:styleId="26">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paragraph" w:styleId="27">
    <w:name w:val="Title"/>
    <w:basedOn w:val="1"/>
    <w:qFormat/>
    <w:uiPriority w:val="0"/>
    <w:pPr>
      <w:jc w:val="center"/>
    </w:pPr>
    <w:rPr>
      <w:sz w:val="30"/>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style>
  <w:style w:type="character" w:styleId="33">
    <w:name w:val="Emphasis"/>
    <w:qFormat/>
    <w:uiPriority w:val="20"/>
    <w:rPr>
      <w:i/>
      <w:iCs/>
    </w:rPr>
  </w:style>
  <w:style w:type="character" w:styleId="34">
    <w:name w:val="Hyperlink"/>
    <w:qFormat/>
    <w:uiPriority w:val="0"/>
    <w:rPr>
      <w:color w:val="0000FF"/>
      <w:u w:val="single"/>
    </w:rPr>
  </w:style>
  <w:style w:type="paragraph" w:customStyle="1" w:styleId="35">
    <w:name w:val="Heading Left"/>
    <w:basedOn w:val="1"/>
    <w:qFormat/>
    <w:uiPriority w:val="0"/>
    <w:pPr>
      <w:widowControl/>
      <w:tabs>
        <w:tab w:val="center" w:pos="4820"/>
        <w:tab w:val="right" w:pos="9639"/>
      </w:tabs>
      <w:spacing w:before="120" w:after="120"/>
      <w:jc w:val="left"/>
    </w:pPr>
    <w:rPr>
      <w:rFonts w:ascii="Arial" w:hAnsi="Arial"/>
      <w:b/>
      <w:caps/>
      <w:kern w:val="0"/>
      <w:sz w:val="24"/>
      <w:szCs w:val="20"/>
      <w:lang w:val="en-GB" w:eastAsia="en-US"/>
    </w:rPr>
  </w:style>
  <w:style w:type="paragraph" w:customStyle="1" w:styleId="36">
    <w:name w:val="正文文本缩进 21"/>
    <w:basedOn w:val="1"/>
    <w:qFormat/>
    <w:uiPriority w:val="0"/>
    <w:pPr>
      <w:adjustRightInd w:val="0"/>
      <w:spacing w:before="120"/>
      <w:ind w:firstLine="420"/>
      <w:textAlignment w:val="baseline"/>
    </w:pPr>
    <w:rPr>
      <w:sz w:val="24"/>
      <w:szCs w:val="20"/>
    </w:rPr>
  </w:style>
  <w:style w:type="paragraph" w:customStyle="1" w:styleId="37">
    <w:name w:val="正文文本 21"/>
    <w:basedOn w:val="1"/>
    <w:qFormat/>
    <w:uiPriority w:val="0"/>
    <w:pPr>
      <w:adjustRightInd w:val="0"/>
      <w:spacing w:before="120" w:line="360" w:lineRule="auto"/>
      <w:ind w:firstLine="480"/>
      <w:textAlignment w:val="baseline"/>
    </w:pPr>
    <w:rPr>
      <w:sz w:val="24"/>
      <w:szCs w:val="20"/>
    </w:rPr>
  </w:style>
  <w:style w:type="paragraph" w:customStyle="1" w:styleId="38">
    <w:name w:val="彩色列表 - 强调文字颜色 11"/>
    <w:basedOn w:val="1"/>
    <w:qFormat/>
    <w:uiPriority w:val="34"/>
    <w:pPr>
      <w:ind w:firstLine="420" w:firstLineChars="200"/>
    </w:pPr>
    <w:rPr>
      <w:rFonts w:ascii="Calibri" w:hAnsi="Calibri"/>
      <w:szCs w:val="22"/>
    </w:rPr>
  </w:style>
  <w:style w:type="paragraph" w:customStyle="1" w:styleId="39">
    <w:name w:val="文档正文"/>
    <w:basedOn w:val="1"/>
    <w:qFormat/>
    <w:uiPriority w:val="0"/>
    <w:pPr>
      <w:adjustRightInd w:val="0"/>
      <w:spacing w:line="480" w:lineRule="atLeast"/>
      <w:ind w:firstLine="567"/>
      <w:textAlignment w:val="baseline"/>
    </w:pPr>
    <w:rPr>
      <w:rFonts w:ascii="长城仿宋"/>
      <w:kern w:val="0"/>
      <w:sz w:val="24"/>
      <w:szCs w:val="20"/>
    </w:rPr>
  </w:style>
  <w:style w:type="paragraph" w:customStyle="1" w:styleId="40">
    <w:name w:val="Char1"/>
    <w:basedOn w:val="1"/>
    <w:qFormat/>
    <w:uiPriority w:val="0"/>
    <w:rPr>
      <w:rFonts w:ascii="Tahoma" w:hAnsi="Tahoma"/>
      <w:sz w:val="24"/>
      <w:szCs w:val="20"/>
    </w:rPr>
  </w:style>
  <w:style w:type="character" w:customStyle="1" w:styleId="41">
    <w:name w:val="Char"/>
    <w:qFormat/>
    <w:uiPriority w:val="0"/>
    <w:rPr>
      <w:rFonts w:ascii="宋体" w:hAnsi="Courier New" w:eastAsia="宋体"/>
      <w:kern w:val="2"/>
      <w:sz w:val="21"/>
      <w:lang w:val="en-US" w:eastAsia="zh-CN" w:bidi="ar-SA"/>
    </w:rPr>
  </w:style>
  <w:style w:type="character" w:customStyle="1" w:styleId="42">
    <w:name w:val="日期 字符"/>
    <w:link w:val="19"/>
    <w:qFormat/>
    <w:uiPriority w:val="0"/>
    <w:rPr>
      <w:rFonts w:eastAsia="宋体"/>
      <w:kern w:val="2"/>
      <w:sz w:val="21"/>
      <w:lang w:val="en-US" w:eastAsia="zh-CN" w:bidi="ar-SA"/>
    </w:rPr>
  </w:style>
  <w:style w:type="character" w:customStyle="1" w:styleId="43">
    <w:name w:val="纯文本 字符"/>
    <w:link w:val="18"/>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28</Pages>
  <Words>11978</Words>
  <Characters>13189</Characters>
  <Lines>101</Lines>
  <Paragraphs>28</Paragraphs>
  <TotalTime>43</TotalTime>
  <ScaleCrop>false</ScaleCrop>
  <LinksUpToDate>false</LinksUpToDate>
  <CharactersWithSpaces>13615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2022-06-01T03:50:00Z</dcterms:created>
  <dc:creator>caowuning</dc:creator>
  <cp:lastModifiedBy>godjiao</cp:lastModifiedBy>
  <cp:lastPrinted>2009-04-21T09:03:00Z</cp:lastPrinted>
  <dcterms:modified xsi:type="dcterms:W3CDTF">2022-06-28T08:15:47Z</dcterms:modified>
  <dc:title>北 京 市 政 府 采 购</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2E6FD5049AD04EA7B1ED39D970F82326</vt:lpwstr>
  </property>
</Properties>
</file>