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ind w:firstLine="360"/>
        <w:rPr>
          <w:rFonts w:hint="eastAsia" w:hAnsi="宋体" w:eastAsia="宋体"/>
          <w:color w:val="auto"/>
          <w:sz w:val="36"/>
          <w:szCs w:val="36"/>
          <w:highlight w:val="none"/>
          <w:lang w:eastAsia="zh-CN"/>
        </w:rPr>
      </w:pPr>
      <w:r>
        <w:rPr>
          <w:rFonts w:hint="eastAsia" w:hAnsi="宋体" w:eastAsia="宋体"/>
          <w:color w:val="auto"/>
          <w:sz w:val="36"/>
          <w:szCs w:val="36"/>
          <w:highlight w:val="none"/>
          <w:lang w:eastAsia="zh-CN"/>
        </w:rPr>
        <w:drawing>
          <wp:inline distT="0" distB="0" distL="114300" distR="114300">
            <wp:extent cx="6117590" cy="8650605"/>
            <wp:effectExtent l="0" t="0" r="16510" b="17145"/>
            <wp:docPr id="4" name="图片 4" descr="SKM_28722060615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KM_28722060615541(1)"/>
                    <pic:cNvPicPr>
                      <a:picLocks noChangeAspect="1"/>
                    </pic:cNvPicPr>
                  </pic:nvPicPr>
                  <pic:blipFill>
                    <a:blip r:embed="rId11"/>
                    <a:stretch>
                      <a:fillRect/>
                    </a:stretch>
                  </pic:blipFill>
                  <pic:spPr>
                    <a:xfrm>
                      <a:off x="0" y="0"/>
                      <a:ext cx="6117590" cy="8650605"/>
                    </a:xfrm>
                    <a:prstGeom prst="rect">
                      <a:avLst/>
                    </a:prstGeom>
                  </pic:spPr>
                </pic:pic>
              </a:graphicData>
            </a:graphic>
          </wp:inline>
        </w:drawing>
      </w:r>
    </w:p>
    <w:p>
      <w:pPr>
        <w:pStyle w:val="31"/>
        <w:ind w:firstLine="360"/>
        <w:rPr>
          <w:rFonts w:hAnsi="宋体"/>
          <w:color w:val="auto"/>
          <w:sz w:val="36"/>
          <w:szCs w:val="36"/>
          <w:highlight w:val="none"/>
        </w:rPr>
      </w:pPr>
    </w:p>
    <w:p>
      <w:pPr>
        <w:pStyle w:val="31"/>
        <w:ind w:firstLine="360"/>
        <w:rPr>
          <w:rFonts w:hAnsi="宋体"/>
          <w:color w:val="auto"/>
          <w:sz w:val="36"/>
          <w:szCs w:val="36"/>
          <w:highlight w:val="none"/>
        </w:rPr>
      </w:pPr>
    </w:p>
    <w:p>
      <w:pPr>
        <w:pStyle w:val="31"/>
        <w:ind w:firstLine="360"/>
        <w:rPr>
          <w:rFonts w:hAnsi="宋体"/>
          <w:color w:val="auto"/>
          <w:sz w:val="36"/>
          <w:szCs w:val="36"/>
          <w:highlight w:val="none"/>
        </w:rPr>
      </w:pPr>
    </w:p>
    <w:p>
      <w:pPr>
        <w:pStyle w:val="31"/>
        <w:ind w:firstLine="360"/>
        <w:rPr>
          <w:rFonts w:hAnsi="宋体"/>
          <w:color w:val="auto"/>
          <w:sz w:val="36"/>
          <w:szCs w:val="36"/>
          <w:highlight w:val="none"/>
        </w:rPr>
      </w:pPr>
    </w:p>
    <w:p>
      <w:pPr>
        <w:snapToGrid w:val="0"/>
        <w:spacing w:before="165" w:beforeLines="50" w:line="360" w:lineRule="auto"/>
        <w:jc w:val="center"/>
        <w:rPr>
          <w:rFonts w:ascii="华文新魏" w:hAnsi="宋体" w:eastAsia="华文新魏"/>
          <w:color w:val="auto"/>
          <w:sz w:val="72"/>
          <w:szCs w:val="72"/>
          <w:highlight w:val="none"/>
        </w:rPr>
      </w:pPr>
      <w:r>
        <w:rPr>
          <w:rFonts w:hint="eastAsia" w:ascii="华文新魏" w:hAnsi="宋体" w:eastAsia="华文新魏"/>
          <w:color w:val="auto"/>
          <w:sz w:val="72"/>
          <w:szCs w:val="72"/>
          <w:highlight w:val="none"/>
        </w:rPr>
        <w:t>竞争性磋商文件</w:t>
      </w:r>
    </w:p>
    <w:p>
      <w:pPr>
        <w:pStyle w:val="31"/>
        <w:ind w:firstLine="220"/>
        <w:rPr>
          <w:color w:val="auto"/>
          <w:highlight w:val="none"/>
        </w:rPr>
      </w:pPr>
    </w:p>
    <w:p>
      <w:pPr>
        <w:pStyle w:val="31"/>
        <w:ind w:firstLine="220"/>
        <w:rPr>
          <w:color w:val="auto"/>
          <w:highlight w:val="none"/>
        </w:rPr>
      </w:pPr>
    </w:p>
    <w:p>
      <w:pPr>
        <w:pStyle w:val="31"/>
        <w:ind w:firstLine="220"/>
        <w:rPr>
          <w:color w:val="auto"/>
          <w:highlight w:val="none"/>
        </w:rPr>
      </w:pPr>
    </w:p>
    <w:p>
      <w:pPr>
        <w:spacing w:before="331" w:beforeLines="100" w:after="165" w:afterLines="50" w:line="360" w:lineRule="auto"/>
        <w:jc w:val="center"/>
        <w:rPr>
          <w:rFonts w:ascii="宋体" w:hAnsi="宋体"/>
          <w:color w:val="auto"/>
          <w:szCs w:val="21"/>
          <w:highlight w:val="none"/>
        </w:rPr>
      </w:pPr>
      <w:r>
        <w:rPr>
          <w:rFonts w:hint="eastAsia" w:ascii="宋体" w:hAnsi="宋体"/>
          <w:color w:val="auto"/>
          <w:szCs w:val="21"/>
          <w:highlight w:val="none"/>
        </w:rPr>
        <w:t>（全流程电子化评标）</w:t>
      </w:r>
    </w:p>
    <w:p>
      <w:pPr>
        <w:spacing w:line="360" w:lineRule="auto"/>
        <w:rPr>
          <w:rFonts w:ascii="宋体" w:hAnsi="宋体"/>
          <w:b/>
          <w:color w:val="auto"/>
          <w:sz w:val="32"/>
          <w:szCs w:val="32"/>
          <w:highlight w:val="none"/>
        </w:rPr>
      </w:pPr>
    </w:p>
    <w:p>
      <w:pPr>
        <w:spacing w:line="360" w:lineRule="auto"/>
        <w:jc w:val="center"/>
        <w:rPr>
          <w:rFonts w:ascii="宋体" w:hAnsi="宋体"/>
          <w:b/>
          <w:color w:val="auto"/>
          <w:sz w:val="32"/>
          <w:szCs w:val="32"/>
          <w:highlight w:val="none"/>
        </w:rPr>
      </w:pPr>
    </w:p>
    <w:p>
      <w:pPr>
        <w:pStyle w:val="31"/>
        <w:ind w:firstLine="321"/>
        <w:rPr>
          <w:rFonts w:hAnsi="宋体"/>
          <w:b/>
          <w:color w:val="auto"/>
          <w:sz w:val="32"/>
          <w:szCs w:val="32"/>
          <w:highlight w:val="none"/>
        </w:rPr>
      </w:pPr>
    </w:p>
    <w:p>
      <w:pPr>
        <w:pStyle w:val="31"/>
        <w:ind w:firstLine="321"/>
        <w:rPr>
          <w:rFonts w:hAnsi="宋体"/>
          <w:b/>
          <w:color w:val="auto"/>
          <w:sz w:val="32"/>
          <w:szCs w:val="32"/>
          <w:highlight w:val="none"/>
        </w:rPr>
      </w:pPr>
    </w:p>
    <w:p>
      <w:pPr>
        <w:pStyle w:val="31"/>
        <w:ind w:firstLine="321"/>
        <w:rPr>
          <w:rFonts w:hAnsi="宋体"/>
          <w:b/>
          <w:color w:val="auto"/>
          <w:sz w:val="32"/>
          <w:szCs w:val="32"/>
          <w:highlight w:val="none"/>
        </w:rPr>
      </w:pPr>
    </w:p>
    <w:p>
      <w:pPr>
        <w:pStyle w:val="21"/>
        <w:snapToGrid w:val="0"/>
        <w:spacing w:before="50" w:after="120" w:line="360" w:lineRule="auto"/>
        <w:ind w:firstLine="1193" w:firstLineChars="396"/>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铁山港LNG船及危险品锚地工程前期工作</w:t>
      </w:r>
    </w:p>
    <w:p>
      <w:pPr>
        <w:snapToGrid w:val="0"/>
        <w:spacing w:before="165" w:beforeLines="50" w:line="360" w:lineRule="auto"/>
        <w:ind w:firstLine="1145" w:firstLineChars="400"/>
        <w:rPr>
          <w:rFonts w:hint="eastAsia" w:ascii="仿宋_GB2312" w:hAnsi="宋体" w:eastAsia="仿宋_GB2312"/>
          <w:b/>
          <w:color w:val="auto"/>
          <w:sz w:val="30"/>
          <w:szCs w:val="48"/>
          <w:highlight w:val="none"/>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b/>
          <w:color w:val="auto"/>
          <w:sz w:val="30"/>
          <w:szCs w:val="48"/>
          <w:highlight w:val="none"/>
        </w:rPr>
        <w:t>GXZC2022-C3-001503-HXXM</w:t>
      </w:r>
    </w:p>
    <w:p>
      <w:pPr>
        <w:snapToGrid w:val="0"/>
        <w:spacing w:before="165" w:beforeLines="50" w:line="360" w:lineRule="auto"/>
        <w:ind w:firstLine="1205" w:firstLineChars="400"/>
        <w:rPr>
          <w:rFonts w:ascii="仿宋_GB2312" w:hAnsi="宋体" w:eastAsia="仿宋_GB2312"/>
          <w:b/>
          <w:color w:val="auto"/>
          <w:sz w:val="30"/>
          <w:szCs w:val="48"/>
          <w:highlight w:val="none"/>
        </w:rPr>
      </w:pPr>
      <w:r>
        <w:rPr>
          <w:rFonts w:hint="eastAsia" w:ascii="仿宋_GB2312" w:hAnsi="宋体" w:eastAsia="仿宋_GB2312"/>
          <w:b/>
          <w:color w:val="auto"/>
          <w:sz w:val="30"/>
          <w:szCs w:val="48"/>
          <w:highlight w:val="none"/>
        </w:rPr>
        <w:t>项目所属区划：</w:t>
      </w:r>
      <w:r>
        <w:rPr>
          <w:rFonts w:hint="eastAsia" w:ascii="仿宋_GB2312" w:hAnsi="宋体" w:eastAsia="仿宋_GB2312"/>
          <w:b/>
          <w:color w:val="auto"/>
          <w:sz w:val="30"/>
          <w:szCs w:val="48"/>
          <w:highlight w:val="none"/>
          <w:u w:val="single"/>
        </w:rPr>
        <w:t xml:space="preserve"> 广西壮族自治区区本级 </w:t>
      </w:r>
    </w:p>
    <w:p>
      <w:pPr>
        <w:pStyle w:val="21"/>
        <w:snapToGrid w:val="0"/>
        <w:spacing w:before="50" w:after="120"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 广西壮族自治区港航发展中心</w:t>
      </w:r>
    </w:p>
    <w:p>
      <w:pPr>
        <w:pStyle w:val="21"/>
        <w:snapToGrid w:val="0"/>
        <w:spacing w:before="50" w:after="120"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w:t>
      </w:r>
      <w:bookmarkStart w:id="0" w:name="PO_3000001866_PM031"/>
      <w:r>
        <w:rPr>
          <w:rFonts w:hint="eastAsia" w:ascii="仿宋_GB2312" w:hAnsi="宋体" w:eastAsia="仿宋_GB2312"/>
          <w:b/>
          <w:bCs/>
          <w:color w:val="auto"/>
          <w:w w:val="95"/>
          <w:sz w:val="30"/>
          <w:szCs w:val="30"/>
          <w:highlight w:val="none"/>
        </w:rPr>
        <w:t>华新项目管理集团有限公司</w:t>
      </w:r>
      <w:bookmarkEnd w:id="0"/>
    </w:p>
    <w:p>
      <w:pPr>
        <w:pStyle w:val="21"/>
        <w:snapToGrid w:val="0"/>
        <w:spacing w:before="50" w:after="120" w:line="360" w:lineRule="auto"/>
        <w:ind w:firstLine="841" w:firstLineChars="294"/>
        <w:rPr>
          <w:rFonts w:ascii="仿宋_GB2312" w:hAnsi="宋体" w:eastAsia="仿宋_GB2312"/>
          <w:b/>
          <w:bCs/>
          <w:color w:val="auto"/>
          <w:w w:val="95"/>
          <w:sz w:val="30"/>
          <w:szCs w:val="30"/>
          <w:highlight w:val="none"/>
        </w:rPr>
        <w:sectPr>
          <w:footerReference r:id="rId3" w:type="default"/>
          <w:footerReference r:id="rId4" w:type="even"/>
          <w:pgSz w:w="11906" w:h="16838"/>
          <w:pgMar w:top="1134" w:right="1134" w:bottom="1134" w:left="1134" w:header="720" w:footer="720" w:gutter="0"/>
          <w:pgNumType w:start="1"/>
          <w:cols w:space="720" w:num="1"/>
          <w:docGrid w:type="lines" w:linePitch="331" w:charSpace="0"/>
        </w:sectPr>
      </w:pPr>
      <w:r>
        <w:rPr>
          <w:rFonts w:hint="eastAsia" w:ascii="仿宋_GB2312" w:hAnsi="宋体" w:eastAsia="仿宋_GB2312"/>
          <w:b/>
          <w:bCs/>
          <w:color w:val="auto"/>
          <w:w w:val="95"/>
          <w:sz w:val="30"/>
          <w:szCs w:val="30"/>
          <w:highlight w:val="none"/>
        </w:rPr>
        <w:t xml:space="preserve">                 2022年6月</w:t>
      </w:r>
    </w:p>
    <w:p>
      <w:pPr>
        <w:pStyle w:val="11"/>
        <w:ind w:left="0"/>
        <w:jc w:val="center"/>
        <w:rPr>
          <w:rFonts w:asciiTheme="minorEastAsia" w:hAnsiTheme="minorEastAsia" w:eastAsiaTheme="minorEastAsia"/>
          <w:b/>
          <w:color w:val="auto"/>
          <w:sz w:val="48"/>
          <w:szCs w:val="48"/>
          <w:highlight w:val="none"/>
        </w:rPr>
      </w:pPr>
      <w:r>
        <w:rPr>
          <w:rFonts w:hint="eastAsia" w:asciiTheme="minorEastAsia" w:hAnsiTheme="minorEastAsia" w:eastAsiaTheme="minorEastAsia"/>
          <w:b/>
          <w:color w:val="auto"/>
          <w:sz w:val="48"/>
          <w:szCs w:val="48"/>
          <w:highlight w:val="none"/>
        </w:rPr>
        <w:t>目   录</w:t>
      </w:r>
    </w:p>
    <w:p>
      <w:pPr>
        <w:rPr>
          <w:rFonts w:asciiTheme="minorEastAsia" w:hAnsiTheme="minorEastAsia" w:eastAsiaTheme="minorEastAsia"/>
          <w:b/>
          <w:color w:val="auto"/>
          <w:sz w:val="32"/>
          <w:szCs w:val="32"/>
          <w:highlight w:val="none"/>
        </w:rPr>
      </w:pPr>
    </w:p>
    <w:p>
      <w:pPr>
        <w:pStyle w:val="27"/>
        <w:tabs>
          <w:tab w:val="right" w:leader="dot" w:pos="9638"/>
          <w:tab w:val="clear" w:pos="8296"/>
        </w:tabs>
        <w:spacing w:line="480" w:lineRule="auto"/>
        <w:rPr>
          <w:color w:val="auto"/>
          <w:sz w:val="24"/>
          <w:szCs w:val="32"/>
          <w:highlight w:val="none"/>
        </w:rPr>
      </w:pPr>
      <w:r>
        <w:rPr>
          <w:rFonts w:hint="eastAsia" w:ascii="宋体" w:hAnsi="宋体" w:cs="宋体"/>
          <w:b/>
          <w:color w:val="auto"/>
          <w:sz w:val="36"/>
          <w:szCs w:val="36"/>
          <w:highlight w:val="none"/>
        </w:rPr>
        <w:fldChar w:fldCharType="begin"/>
      </w:r>
      <w:r>
        <w:rPr>
          <w:rFonts w:hint="eastAsia" w:ascii="宋体" w:hAnsi="宋体" w:cs="宋体"/>
          <w:b/>
          <w:color w:val="auto"/>
          <w:sz w:val="36"/>
          <w:szCs w:val="36"/>
          <w:highlight w:val="none"/>
        </w:rPr>
        <w:instrText xml:space="preserve"> TOC \o "1-3" \h \z \u </w:instrText>
      </w:r>
      <w:r>
        <w:rPr>
          <w:rFonts w:hint="eastAsia" w:ascii="宋体" w:hAnsi="宋体" w:cs="宋体"/>
          <w:b/>
          <w:color w:val="auto"/>
          <w:sz w:val="36"/>
          <w:szCs w:val="36"/>
          <w:highlight w:val="none"/>
        </w:rPr>
        <w:fldChar w:fldCharType="separate"/>
      </w:r>
      <w:r>
        <w:rPr>
          <w:color w:val="auto"/>
          <w:highlight w:val="none"/>
        </w:rPr>
        <w:fldChar w:fldCharType="begin"/>
      </w:r>
      <w:r>
        <w:rPr>
          <w:color w:val="auto"/>
          <w:highlight w:val="none"/>
        </w:rPr>
        <w:instrText xml:space="preserve"> HYPERLINK \l "_Toc12067" </w:instrText>
      </w:r>
      <w:r>
        <w:rPr>
          <w:color w:val="auto"/>
          <w:highlight w:val="none"/>
        </w:rPr>
        <w:fldChar w:fldCharType="separate"/>
      </w:r>
      <w:r>
        <w:rPr>
          <w:rFonts w:hint="eastAsia"/>
          <w:color w:val="auto"/>
          <w:sz w:val="24"/>
          <w:szCs w:val="32"/>
          <w:highlight w:val="none"/>
        </w:rPr>
        <w:t>第一章 竞争性磋商公告</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_Toc12067 \h </w:instrText>
      </w:r>
      <w:r>
        <w:rPr>
          <w:color w:val="auto"/>
          <w:sz w:val="24"/>
          <w:szCs w:val="32"/>
          <w:highlight w:val="none"/>
        </w:rPr>
        <w:fldChar w:fldCharType="separate"/>
      </w:r>
      <w:r>
        <w:rPr>
          <w:color w:val="auto"/>
          <w:sz w:val="24"/>
          <w:szCs w:val="32"/>
          <w:highlight w:val="none"/>
        </w:rPr>
        <w:t>2</w:t>
      </w:r>
      <w:r>
        <w:rPr>
          <w:color w:val="auto"/>
          <w:sz w:val="24"/>
          <w:szCs w:val="32"/>
          <w:highlight w:val="none"/>
        </w:rPr>
        <w:fldChar w:fldCharType="end"/>
      </w:r>
      <w:r>
        <w:rPr>
          <w:color w:val="auto"/>
          <w:sz w:val="24"/>
          <w:szCs w:val="32"/>
          <w:highlight w:val="none"/>
        </w:rPr>
        <w:fldChar w:fldCharType="end"/>
      </w:r>
    </w:p>
    <w:p>
      <w:pPr>
        <w:pStyle w:val="27"/>
        <w:tabs>
          <w:tab w:val="right" w:leader="dot" w:pos="9638"/>
          <w:tab w:val="clear" w:pos="8296"/>
        </w:tabs>
        <w:spacing w:line="480" w:lineRule="auto"/>
        <w:rPr>
          <w:color w:val="auto"/>
          <w:sz w:val="24"/>
          <w:szCs w:val="32"/>
          <w:highlight w:val="none"/>
        </w:rPr>
      </w:pPr>
      <w:r>
        <w:rPr>
          <w:color w:val="auto"/>
          <w:highlight w:val="none"/>
        </w:rPr>
        <w:fldChar w:fldCharType="begin"/>
      </w:r>
      <w:r>
        <w:rPr>
          <w:color w:val="auto"/>
          <w:highlight w:val="none"/>
        </w:rPr>
        <w:instrText xml:space="preserve"> HYPERLINK \l "_Toc4400" </w:instrText>
      </w:r>
      <w:r>
        <w:rPr>
          <w:color w:val="auto"/>
          <w:highlight w:val="none"/>
        </w:rPr>
        <w:fldChar w:fldCharType="separate"/>
      </w:r>
      <w:r>
        <w:rPr>
          <w:rFonts w:hint="eastAsia"/>
          <w:color w:val="auto"/>
          <w:sz w:val="24"/>
          <w:szCs w:val="32"/>
          <w:highlight w:val="none"/>
        </w:rPr>
        <w:t>第二章 供应商须知</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_Toc4400 \h </w:instrText>
      </w:r>
      <w:r>
        <w:rPr>
          <w:color w:val="auto"/>
          <w:sz w:val="24"/>
          <w:szCs w:val="32"/>
          <w:highlight w:val="none"/>
        </w:rPr>
        <w:fldChar w:fldCharType="separate"/>
      </w:r>
      <w:r>
        <w:rPr>
          <w:color w:val="auto"/>
          <w:sz w:val="24"/>
          <w:szCs w:val="32"/>
          <w:highlight w:val="none"/>
        </w:rPr>
        <w:t>6</w:t>
      </w:r>
      <w:r>
        <w:rPr>
          <w:color w:val="auto"/>
          <w:sz w:val="24"/>
          <w:szCs w:val="32"/>
          <w:highlight w:val="none"/>
        </w:rPr>
        <w:fldChar w:fldCharType="end"/>
      </w:r>
      <w:r>
        <w:rPr>
          <w:color w:val="auto"/>
          <w:sz w:val="24"/>
          <w:szCs w:val="32"/>
          <w:highlight w:val="none"/>
        </w:rPr>
        <w:fldChar w:fldCharType="end"/>
      </w:r>
    </w:p>
    <w:p>
      <w:pPr>
        <w:pStyle w:val="27"/>
        <w:tabs>
          <w:tab w:val="right" w:leader="dot" w:pos="9638"/>
          <w:tab w:val="clear" w:pos="8296"/>
        </w:tabs>
        <w:spacing w:line="480" w:lineRule="auto"/>
        <w:rPr>
          <w:color w:val="auto"/>
          <w:sz w:val="24"/>
          <w:szCs w:val="32"/>
          <w:highlight w:val="none"/>
        </w:rPr>
      </w:pPr>
      <w:r>
        <w:rPr>
          <w:color w:val="auto"/>
          <w:highlight w:val="none"/>
        </w:rPr>
        <w:fldChar w:fldCharType="begin"/>
      </w:r>
      <w:r>
        <w:rPr>
          <w:color w:val="auto"/>
          <w:highlight w:val="none"/>
        </w:rPr>
        <w:instrText xml:space="preserve"> HYPERLINK \l "_Toc15222" </w:instrText>
      </w:r>
      <w:r>
        <w:rPr>
          <w:color w:val="auto"/>
          <w:highlight w:val="none"/>
        </w:rPr>
        <w:fldChar w:fldCharType="separate"/>
      </w:r>
      <w:r>
        <w:rPr>
          <w:rFonts w:hint="eastAsia"/>
          <w:color w:val="auto"/>
          <w:sz w:val="24"/>
          <w:szCs w:val="32"/>
          <w:highlight w:val="none"/>
        </w:rPr>
        <w:t>第三章 采购需求</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_Toc15222 \h </w:instrText>
      </w:r>
      <w:r>
        <w:rPr>
          <w:color w:val="auto"/>
          <w:sz w:val="24"/>
          <w:szCs w:val="32"/>
          <w:highlight w:val="none"/>
        </w:rPr>
        <w:fldChar w:fldCharType="separate"/>
      </w:r>
      <w:r>
        <w:rPr>
          <w:color w:val="auto"/>
          <w:sz w:val="24"/>
          <w:szCs w:val="32"/>
          <w:highlight w:val="none"/>
        </w:rPr>
        <w:t>21</w:t>
      </w:r>
      <w:r>
        <w:rPr>
          <w:color w:val="auto"/>
          <w:sz w:val="24"/>
          <w:szCs w:val="32"/>
          <w:highlight w:val="none"/>
        </w:rPr>
        <w:fldChar w:fldCharType="end"/>
      </w:r>
      <w:r>
        <w:rPr>
          <w:color w:val="auto"/>
          <w:sz w:val="24"/>
          <w:szCs w:val="32"/>
          <w:highlight w:val="none"/>
        </w:rPr>
        <w:fldChar w:fldCharType="end"/>
      </w:r>
    </w:p>
    <w:p>
      <w:pPr>
        <w:pStyle w:val="27"/>
        <w:tabs>
          <w:tab w:val="right" w:leader="dot" w:pos="9638"/>
          <w:tab w:val="clear" w:pos="8296"/>
        </w:tabs>
        <w:spacing w:line="480" w:lineRule="auto"/>
        <w:rPr>
          <w:color w:val="auto"/>
          <w:sz w:val="24"/>
          <w:szCs w:val="32"/>
          <w:highlight w:val="none"/>
        </w:rPr>
      </w:pPr>
      <w:r>
        <w:rPr>
          <w:color w:val="auto"/>
          <w:highlight w:val="none"/>
        </w:rPr>
        <w:fldChar w:fldCharType="begin"/>
      </w:r>
      <w:r>
        <w:rPr>
          <w:color w:val="auto"/>
          <w:highlight w:val="none"/>
        </w:rPr>
        <w:instrText xml:space="preserve"> HYPERLINK \l "_Toc6758" </w:instrText>
      </w:r>
      <w:r>
        <w:rPr>
          <w:color w:val="auto"/>
          <w:highlight w:val="none"/>
        </w:rPr>
        <w:fldChar w:fldCharType="separate"/>
      </w:r>
      <w:r>
        <w:rPr>
          <w:rFonts w:hint="eastAsia"/>
          <w:color w:val="auto"/>
          <w:sz w:val="24"/>
          <w:szCs w:val="32"/>
          <w:highlight w:val="none"/>
        </w:rPr>
        <w:t>第四章 评审程序、评审方法和评审标准</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_Toc6758 \h </w:instrText>
      </w:r>
      <w:r>
        <w:rPr>
          <w:color w:val="auto"/>
          <w:sz w:val="24"/>
          <w:szCs w:val="32"/>
          <w:highlight w:val="none"/>
        </w:rPr>
        <w:fldChar w:fldCharType="separate"/>
      </w:r>
      <w:r>
        <w:rPr>
          <w:color w:val="auto"/>
          <w:sz w:val="24"/>
          <w:szCs w:val="32"/>
          <w:highlight w:val="none"/>
        </w:rPr>
        <w:t>35</w:t>
      </w:r>
      <w:r>
        <w:rPr>
          <w:color w:val="auto"/>
          <w:sz w:val="24"/>
          <w:szCs w:val="32"/>
          <w:highlight w:val="none"/>
        </w:rPr>
        <w:fldChar w:fldCharType="end"/>
      </w:r>
      <w:r>
        <w:rPr>
          <w:color w:val="auto"/>
          <w:sz w:val="24"/>
          <w:szCs w:val="32"/>
          <w:highlight w:val="none"/>
        </w:rPr>
        <w:fldChar w:fldCharType="end"/>
      </w:r>
    </w:p>
    <w:p>
      <w:pPr>
        <w:pStyle w:val="27"/>
        <w:tabs>
          <w:tab w:val="right" w:leader="dot" w:pos="9638"/>
          <w:tab w:val="clear" w:pos="8296"/>
        </w:tabs>
        <w:spacing w:line="480" w:lineRule="auto"/>
        <w:rPr>
          <w:color w:val="auto"/>
          <w:sz w:val="24"/>
          <w:szCs w:val="32"/>
          <w:highlight w:val="none"/>
        </w:rPr>
      </w:pPr>
      <w:r>
        <w:rPr>
          <w:color w:val="auto"/>
          <w:highlight w:val="none"/>
        </w:rPr>
        <w:fldChar w:fldCharType="begin"/>
      </w:r>
      <w:r>
        <w:rPr>
          <w:color w:val="auto"/>
          <w:highlight w:val="none"/>
        </w:rPr>
        <w:instrText xml:space="preserve"> HYPERLINK \l "_Toc9020" </w:instrText>
      </w:r>
      <w:r>
        <w:rPr>
          <w:color w:val="auto"/>
          <w:highlight w:val="none"/>
        </w:rPr>
        <w:fldChar w:fldCharType="separate"/>
      </w:r>
      <w:r>
        <w:rPr>
          <w:rFonts w:hint="eastAsia" w:ascii="Cambria" w:hAnsi="Cambria"/>
          <w:bCs/>
          <w:color w:val="auto"/>
          <w:sz w:val="24"/>
          <w:szCs w:val="40"/>
          <w:highlight w:val="none"/>
        </w:rPr>
        <w:t>第五章 响应文件格式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_Toc9020 \h </w:instrText>
      </w:r>
      <w:r>
        <w:rPr>
          <w:color w:val="auto"/>
          <w:sz w:val="24"/>
          <w:szCs w:val="32"/>
          <w:highlight w:val="none"/>
        </w:rPr>
        <w:fldChar w:fldCharType="separate"/>
      </w:r>
      <w:r>
        <w:rPr>
          <w:color w:val="auto"/>
          <w:sz w:val="24"/>
          <w:szCs w:val="32"/>
          <w:highlight w:val="none"/>
        </w:rPr>
        <w:t>46</w:t>
      </w:r>
      <w:r>
        <w:rPr>
          <w:color w:val="auto"/>
          <w:sz w:val="24"/>
          <w:szCs w:val="32"/>
          <w:highlight w:val="none"/>
        </w:rPr>
        <w:fldChar w:fldCharType="end"/>
      </w:r>
      <w:r>
        <w:rPr>
          <w:color w:val="auto"/>
          <w:sz w:val="24"/>
          <w:szCs w:val="32"/>
          <w:highlight w:val="none"/>
        </w:rPr>
        <w:fldChar w:fldCharType="end"/>
      </w:r>
    </w:p>
    <w:p>
      <w:pPr>
        <w:pStyle w:val="27"/>
        <w:tabs>
          <w:tab w:val="right" w:leader="dot" w:pos="9638"/>
          <w:tab w:val="clear" w:pos="8296"/>
        </w:tabs>
        <w:spacing w:line="480" w:lineRule="auto"/>
        <w:rPr>
          <w:color w:val="auto"/>
          <w:sz w:val="24"/>
          <w:szCs w:val="32"/>
          <w:highlight w:val="none"/>
        </w:rPr>
      </w:pPr>
      <w:r>
        <w:rPr>
          <w:color w:val="auto"/>
          <w:highlight w:val="none"/>
        </w:rPr>
        <w:fldChar w:fldCharType="begin"/>
      </w:r>
      <w:r>
        <w:rPr>
          <w:color w:val="auto"/>
          <w:highlight w:val="none"/>
        </w:rPr>
        <w:instrText xml:space="preserve"> HYPERLINK \l "_Toc6901" </w:instrText>
      </w:r>
      <w:r>
        <w:rPr>
          <w:color w:val="auto"/>
          <w:highlight w:val="none"/>
        </w:rPr>
        <w:fldChar w:fldCharType="separate"/>
      </w:r>
      <w:r>
        <w:rPr>
          <w:rFonts w:hint="eastAsia"/>
          <w:color w:val="auto"/>
          <w:sz w:val="24"/>
          <w:szCs w:val="32"/>
          <w:highlight w:val="none"/>
        </w:rPr>
        <w:t>第六章 拟定的合同文本</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_Toc6901 \h </w:instrText>
      </w:r>
      <w:r>
        <w:rPr>
          <w:color w:val="auto"/>
          <w:sz w:val="24"/>
          <w:szCs w:val="32"/>
          <w:highlight w:val="none"/>
        </w:rPr>
        <w:fldChar w:fldCharType="separate"/>
      </w:r>
      <w:r>
        <w:rPr>
          <w:color w:val="auto"/>
          <w:sz w:val="24"/>
          <w:szCs w:val="32"/>
          <w:highlight w:val="none"/>
        </w:rPr>
        <w:t>74</w:t>
      </w:r>
      <w:r>
        <w:rPr>
          <w:color w:val="auto"/>
          <w:sz w:val="24"/>
          <w:szCs w:val="32"/>
          <w:highlight w:val="none"/>
        </w:rPr>
        <w:fldChar w:fldCharType="end"/>
      </w:r>
      <w:r>
        <w:rPr>
          <w:color w:val="auto"/>
          <w:sz w:val="24"/>
          <w:szCs w:val="32"/>
          <w:highlight w:val="none"/>
        </w:rPr>
        <w:fldChar w:fldCharType="end"/>
      </w:r>
    </w:p>
    <w:p>
      <w:pPr>
        <w:pStyle w:val="27"/>
        <w:spacing w:line="480" w:lineRule="auto"/>
        <w:rPr>
          <w:rFonts w:ascii="宋体" w:hAnsi="宋体"/>
          <w:b/>
          <w:color w:val="auto"/>
          <w:sz w:val="36"/>
          <w:szCs w:val="36"/>
          <w:highlight w:val="none"/>
        </w:rPr>
      </w:pPr>
      <w:r>
        <w:rPr>
          <w:rFonts w:hint="eastAsia" w:ascii="宋体" w:hAnsi="宋体" w:cs="宋体"/>
          <w:color w:val="auto"/>
          <w:sz w:val="24"/>
          <w:szCs w:val="36"/>
          <w:highlight w:val="none"/>
        </w:rPr>
        <w:fldChar w:fldCharType="end"/>
      </w:r>
    </w:p>
    <w:p>
      <w:pPr>
        <w:spacing w:line="400" w:lineRule="exact"/>
        <w:rPr>
          <w:rFonts w:ascii="宋体" w:hAnsi="宋体"/>
          <w:b/>
          <w:color w:val="auto"/>
          <w:sz w:val="32"/>
          <w:szCs w:val="32"/>
          <w:highlight w:val="none"/>
        </w:rPr>
        <w:sectPr>
          <w:headerReference r:id="rId5" w:type="default"/>
          <w:footerReference r:id="rId6" w:type="default"/>
          <w:pgSz w:w="11906" w:h="16838"/>
          <w:pgMar w:top="1134" w:right="1134" w:bottom="1134" w:left="1134" w:header="851" w:footer="992" w:gutter="0"/>
          <w:pgNumType w:start="1"/>
          <w:cols w:space="720" w:num="1"/>
          <w:docGrid w:type="lines" w:linePitch="312" w:charSpace="0"/>
        </w:sectPr>
      </w:pPr>
    </w:p>
    <w:p>
      <w:pPr>
        <w:pStyle w:val="4"/>
        <w:jc w:val="center"/>
        <w:rPr>
          <w:color w:val="auto"/>
          <w:highlight w:val="none"/>
        </w:rPr>
      </w:pPr>
      <w:bookmarkStart w:id="1" w:name="_Toc12067"/>
      <w:bookmarkStart w:id="2" w:name="_Toc73549978"/>
      <w:bookmarkStart w:id="3" w:name="_Toc44229877"/>
      <w:r>
        <w:rPr>
          <w:rFonts w:hint="eastAsia"/>
          <w:color w:val="auto"/>
          <w:highlight w:val="none"/>
        </w:rPr>
        <w:t>第一章 竞争性磋商公告</w:t>
      </w:r>
      <w:bookmarkEnd w:id="1"/>
      <w:bookmarkEnd w:id="2"/>
      <w:bookmarkEnd w:id="3"/>
    </w:p>
    <w:p>
      <w:pPr>
        <w:pBdr>
          <w:top w:val="single" w:color="auto" w:sz="4" w:space="1"/>
          <w:left w:val="single" w:color="auto" w:sz="4" w:space="4"/>
          <w:bottom w:val="single" w:color="auto" w:sz="4" w:space="1"/>
          <w:right w:val="single" w:color="auto" w:sz="4" w:space="4"/>
        </w:pBdr>
        <w:spacing w:line="360" w:lineRule="auto"/>
        <w:rPr>
          <w:rFonts w:ascii="宋体" w:hAnsi="宋体"/>
          <w:color w:val="auto"/>
          <w:szCs w:val="21"/>
          <w:highlight w:val="none"/>
        </w:rPr>
      </w:pPr>
      <w:bookmarkStart w:id="4" w:name="_Hlk37430271"/>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12" w:firstLineChars="200"/>
        <w:rPr>
          <w:rFonts w:ascii="宋体" w:hAnsi="宋体"/>
          <w:color w:val="auto"/>
          <w:szCs w:val="21"/>
          <w:highlight w:val="none"/>
        </w:rPr>
      </w:pPr>
      <w:r>
        <w:rPr>
          <w:rFonts w:hint="eastAsia" w:ascii="宋体" w:hAnsi="宋体"/>
          <w:color w:val="auto"/>
          <w:spacing w:val="-2"/>
          <w:szCs w:val="21"/>
          <w:highlight w:val="none"/>
          <w:u w:val="single"/>
          <w:lang w:eastAsia="zh-CN"/>
        </w:rPr>
        <w:t>铁山港LNG船及危险品锚地工程前期工作</w:t>
      </w:r>
      <w:r>
        <w:rPr>
          <w:rFonts w:hint="eastAsia" w:ascii="宋体" w:hAnsi="宋体"/>
          <w:color w:val="auto"/>
          <w:spacing w:val="-2"/>
          <w:szCs w:val="21"/>
          <w:highlight w:val="none"/>
        </w:rPr>
        <w:t>的潜在供应商应</w:t>
      </w:r>
      <w:r>
        <w:rPr>
          <w:rFonts w:hint="eastAsia" w:ascii="宋体" w:hAnsi="宋体" w:cs="宋体"/>
          <w:color w:val="auto"/>
          <w:szCs w:val="21"/>
          <w:highlight w:val="none"/>
        </w:rPr>
        <w:t>在</w:t>
      </w:r>
      <w:r>
        <w:rPr>
          <w:rFonts w:hint="eastAsia" w:ascii="宋体" w:hAnsi="宋体" w:cs="宋体"/>
          <w:color w:val="auto"/>
          <w:szCs w:val="21"/>
          <w:highlight w:val="none"/>
          <w:u w:val="single"/>
        </w:rPr>
        <w:t>“政采云”平台（https://www.zcygov.cn/）</w:t>
      </w:r>
      <w:r>
        <w:rPr>
          <w:rFonts w:hint="eastAsia" w:ascii="宋体" w:hAnsi="宋体" w:cs="宋体"/>
          <w:color w:val="auto"/>
          <w:szCs w:val="21"/>
          <w:highlight w:val="none"/>
        </w:rPr>
        <w:t>获取（下载）</w:t>
      </w:r>
      <w:r>
        <w:rPr>
          <w:rFonts w:hint="eastAsia" w:ascii="宋体" w:hAnsi="宋体"/>
          <w:color w:val="auto"/>
          <w:spacing w:val="-2"/>
          <w:szCs w:val="21"/>
          <w:highlight w:val="none"/>
        </w:rPr>
        <w:t>采购文件，并于</w:t>
      </w:r>
      <w:r>
        <w:rPr>
          <w:rFonts w:hint="eastAsia" w:ascii="宋体" w:hAnsi="宋体"/>
          <w:color w:val="auto"/>
          <w:spacing w:val="-2"/>
          <w:szCs w:val="21"/>
          <w:highlight w:val="none"/>
          <w:u w:val="single"/>
        </w:rPr>
        <w:t>2022年</w:t>
      </w:r>
      <w:r>
        <w:rPr>
          <w:rFonts w:hint="eastAsia" w:ascii="宋体" w:hAnsi="宋体"/>
          <w:color w:val="auto"/>
          <w:spacing w:val="-2"/>
          <w:szCs w:val="21"/>
          <w:highlight w:val="none"/>
          <w:u w:val="single"/>
          <w:lang w:val="en-US" w:eastAsia="zh-CN"/>
        </w:rPr>
        <w:t>6</w:t>
      </w:r>
      <w:r>
        <w:rPr>
          <w:rFonts w:hint="eastAsia" w:ascii="宋体" w:hAnsi="宋体"/>
          <w:color w:val="auto"/>
          <w:spacing w:val="-2"/>
          <w:szCs w:val="21"/>
          <w:highlight w:val="none"/>
          <w:u w:val="single"/>
        </w:rPr>
        <w:t>月</w:t>
      </w:r>
      <w:r>
        <w:rPr>
          <w:rFonts w:hint="eastAsia" w:ascii="宋体" w:hAnsi="宋体"/>
          <w:color w:val="auto"/>
          <w:spacing w:val="-2"/>
          <w:szCs w:val="21"/>
          <w:highlight w:val="none"/>
          <w:u w:val="single"/>
          <w:lang w:val="en-US" w:eastAsia="zh-CN"/>
        </w:rPr>
        <w:t>20</w:t>
      </w:r>
      <w:r>
        <w:rPr>
          <w:rFonts w:hint="eastAsia" w:ascii="宋体" w:hAnsi="宋体"/>
          <w:color w:val="auto"/>
          <w:spacing w:val="-2"/>
          <w:szCs w:val="21"/>
          <w:highlight w:val="none"/>
          <w:u w:val="single"/>
        </w:rPr>
        <w:t>日</w:t>
      </w:r>
      <w:r>
        <w:rPr>
          <w:rFonts w:hint="eastAsia" w:ascii="宋体" w:hAnsi="宋体"/>
          <w:bCs/>
          <w:color w:val="auto"/>
          <w:spacing w:val="-2"/>
          <w:szCs w:val="21"/>
          <w:highlight w:val="none"/>
          <w:u w:val="single"/>
        </w:rPr>
        <w:t>09时30分</w:t>
      </w:r>
      <w:r>
        <w:rPr>
          <w:rFonts w:hint="eastAsia" w:ascii="宋体" w:hAnsi="宋体"/>
          <w:bCs/>
          <w:color w:val="auto"/>
          <w:spacing w:val="-2"/>
          <w:szCs w:val="21"/>
          <w:highlight w:val="none"/>
        </w:rPr>
        <w:t>（北京时间）前提交响应</w:t>
      </w:r>
      <w:r>
        <w:rPr>
          <w:rFonts w:ascii="宋体" w:hAnsi="宋体"/>
          <w:bCs/>
          <w:color w:val="auto"/>
          <w:spacing w:val="-2"/>
          <w:szCs w:val="21"/>
          <w:highlight w:val="none"/>
        </w:rPr>
        <w:t>文件</w:t>
      </w:r>
      <w:r>
        <w:rPr>
          <w:rFonts w:hint="eastAsia" w:ascii="宋体" w:hAnsi="宋体"/>
          <w:color w:val="auto"/>
          <w:szCs w:val="21"/>
          <w:highlight w:val="none"/>
        </w:rPr>
        <w:t>。</w:t>
      </w:r>
    </w:p>
    <w:p>
      <w:pPr>
        <w:pStyle w:val="4"/>
        <w:spacing w:before="0" w:after="0" w:line="440" w:lineRule="exact"/>
        <w:ind w:firstLine="482" w:firstLineChars="200"/>
        <w:rPr>
          <w:rFonts w:ascii="黑体" w:hAnsi="黑体" w:eastAsia="黑体" w:cs="宋体"/>
          <w:bCs w:val="0"/>
          <w:color w:val="auto"/>
          <w:sz w:val="24"/>
          <w:szCs w:val="24"/>
          <w:highlight w:val="none"/>
        </w:rPr>
      </w:pPr>
      <w:bookmarkStart w:id="5" w:name="_Toc17644"/>
      <w:bookmarkStart w:id="6" w:name="_Toc35393629"/>
      <w:bookmarkStart w:id="7" w:name="_Toc35393798"/>
      <w:bookmarkStart w:id="8" w:name="_Toc717"/>
      <w:bookmarkStart w:id="9" w:name="_Toc44229878"/>
      <w:bookmarkStart w:id="10" w:name="_Toc73549979"/>
      <w:bookmarkStart w:id="11" w:name="_Toc28359089"/>
      <w:bookmarkStart w:id="12" w:name="_Toc28359012"/>
      <w:r>
        <w:rPr>
          <w:rFonts w:hint="eastAsia" w:ascii="黑体" w:hAnsi="黑体" w:eastAsia="黑体" w:cs="宋体"/>
          <w:bCs w:val="0"/>
          <w:color w:val="auto"/>
          <w:sz w:val="24"/>
          <w:szCs w:val="24"/>
          <w:highlight w:val="none"/>
        </w:rPr>
        <w:t>一、项目基本情况</w:t>
      </w:r>
      <w:bookmarkEnd w:id="5"/>
      <w:bookmarkEnd w:id="6"/>
      <w:bookmarkEnd w:id="7"/>
      <w:bookmarkEnd w:id="8"/>
      <w:bookmarkEnd w:id="9"/>
      <w:bookmarkEnd w:id="10"/>
      <w:bookmarkEnd w:id="11"/>
      <w:bookmarkEnd w:id="12"/>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项目编号：GXZC2022-C3-001503-HXXM</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2.采购计划文号：</w:t>
      </w:r>
      <w:r>
        <w:rPr>
          <w:rFonts w:ascii="宋体" w:hAnsi="宋体"/>
          <w:color w:val="auto"/>
          <w:szCs w:val="21"/>
          <w:highlight w:val="none"/>
        </w:rPr>
        <w:fldChar w:fldCharType="begin"/>
      </w:r>
      <w:r>
        <w:rPr>
          <w:rFonts w:ascii="宋体" w:hAnsi="宋体"/>
          <w:color w:val="auto"/>
          <w:szCs w:val="21"/>
          <w:highlight w:val="none"/>
        </w:rPr>
        <w:instrText xml:space="preserve"> HYPERLINK "https://pay.zcygov.cn/purchaseplan_front/" \l "/plan/list/detail?id=1000000000007801719&amp;encrypt=ddbd701c71c31732bae8919b1527f4db" \t "https://www.zcygov.cn/delegation-order/order/_blank" </w:instrText>
      </w:r>
      <w:r>
        <w:rPr>
          <w:rFonts w:ascii="宋体" w:hAnsi="宋体"/>
          <w:color w:val="auto"/>
          <w:szCs w:val="21"/>
          <w:highlight w:val="none"/>
        </w:rPr>
        <w:fldChar w:fldCharType="separate"/>
      </w:r>
      <w:r>
        <w:rPr>
          <w:rFonts w:hint="eastAsia" w:ascii="宋体" w:hAnsi="宋体"/>
          <w:color w:val="auto"/>
          <w:szCs w:val="21"/>
          <w:highlight w:val="none"/>
        </w:rPr>
        <w:t>广西政采[2022]6113号</w:t>
      </w:r>
      <w:r>
        <w:rPr>
          <w:rFonts w:hint="eastAsia" w:ascii="宋体" w:hAnsi="宋体"/>
          <w:color w:val="auto"/>
          <w:szCs w:val="21"/>
          <w:highlight w:val="none"/>
        </w:rPr>
        <w:fldChar w:fldCharType="end"/>
      </w:r>
    </w:p>
    <w:p>
      <w:pPr>
        <w:spacing w:line="440" w:lineRule="exact"/>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项目名称：</w:t>
      </w:r>
      <w:r>
        <w:rPr>
          <w:rFonts w:hint="eastAsia" w:ascii="宋体" w:hAnsi="宋体"/>
          <w:color w:val="auto"/>
          <w:szCs w:val="21"/>
          <w:highlight w:val="none"/>
          <w:lang w:eastAsia="zh-CN"/>
        </w:rPr>
        <w:t>铁山港LNG船及危险品锚地工程前期工作</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采购方式：□ 竞争性谈判  ☑竞争性磋商  □询价</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预算金额：人民币贰佰万元整（￥2000000.00元）</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最高限价：按预算金额。</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采购需求：</w:t>
      </w:r>
    </w:p>
    <w:tbl>
      <w:tblPr>
        <w:tblStyle w:val="32"/>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859"/>
        <w:gridCol w:w="915"/>
        <w:gridCol w:w="6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0" w:type="dxa"/>
            <w:vAlign w:val="center"/>
          </w:tcPr>
          <w:p>
            <w:pPr>
              <w:snapToGrid w:val="0"/>
              <w:spacing w:line="336" w:lineRule="exact"/>
              <w:jc w:val="center"/>
              <w:rPr>
                <w:rFonts w:ascii="宋体" w:hAnsi="宋体" w:cs="宋体"/>
                <w:color w:val="auto"/>
                <w:szCs w:val="21"/>
                <w:highlight w:val="none"/>
              </w:rPr>
            </w:pPr>
            <w:r>
              <w:rPr>
                <w:rFonts w:hint="eastAsia" w:ascii="宋体" w:hAnsi="宋体" w:cs="宋体"/>
                <w:color w:val="auto"/>
                <w:szCs w:val="21"/>
                <w:highlight w:val="none"/>
              </w:rPr>
              <w:t>标项</w:t>
            </w:r>
          </w:p>
        </w:tc>
        <w:tc>
          <w:tcPr>
            <w:tcW w:w="1859" w:type="dxa"/>
            <w:vAlign w:val="center"/>
          </w:tcPr>
          <w:p>
            <w:pPr>
              <w:snapToGrid w:val="0"/>
              <w:spacing w:line="336"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915" w:type="dxa"/>
            <w:vAlign w:val="center"/>
          </w:tcPr>
          <w:p>
            <w:pPr>
              <w:snapToGrid w:val="0"/>
              <w:spacing w:line="336" w:lineRule="exact"/>
              <w:ind w:left="-107" w:leftChars="-51" w:right="-107" w:rightChars="-51"/>
              <w:jc w:val="center"/>
              <w:rPr>
                <w:rFonts w:ascii="宋体" w:hAnsi="宋体" w:cs="宋体"/>
                <w:color w:val="auto"/>
                <w:szCs w:val="21"/>
                <w:highlight w:val="none"/>
              </w:rPr>
            </w:pPr>
            <w:r>
              <w:rPr>
                <w:rFonts w:hint="eastAsia" w:ascii="宋体" w:hAnsi="宋体" w:cs="宋体"/>
                <w:color w:val="auto"/>
                <w:szCs w:val="21"/>
                <w:highlight w:val="none"/>
              </w:rPr>
              <w:t>数量及</w:t>
            </w:r>
          </w:p>
          <w:p>
            <w:pPr>
              <w:snapToGrid w:val="0"/>
              <w:spacing w:line="336" w:lineRule="exact"/>
              <w:ind w:left="-107" w:leftChars="-51" w:right="-107" w:rightChars="-51"/>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055" w:type="dxa"/>
            <w:vAlign w:val="center"/>
          </w:tcPr>
          <w:p>
            <w:pPr>
              <w:snapToGrid w:val="0"/>
              <w:spacing w:line="336" w:lineRule="exact"/>
              <w:jc w:val="center"/>
              <w:rPr>
                <w:rFonts w:ascii="宋体" w:hAnsi="宋体" w:cs="宋体"/>
                <w:color w:val="auto"/>
                <w:szCs w:val="21"/>
                <w:highlight w:val="none"/>
              </w:rPr>
            </w:pPr>
            <w:r>
              <w:rPr>
                <w:rFonts w:hint="eastAsia" w:ascii="宋体" w:hAnsi="宋体" w:cs="宋体"/>
                <w:color w:val="auto"/>
                <w:szCs w:val="21"/>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10" w:type="dxa"/>
            <w:vAlign w:val="center"/>
          </w:tcPr>
          <w:p>
            <w:pPr>
              <w:snapToGrid w:val="0"/>
              <w:spacing w:line="336"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859" w:type="dxa"/>
            <w:vAlign w:val="center"/>
          </w:tcPr>
          <w:p>
            <w:pPr>
              <w:snapToGrid w:val="0"/>
              <w:spacing w:line="336" w:lineRule="exact"/>
              <w:jc w:val="center"/>
              <w:rPr>
                <w:rFonts w:hint="eastAsia" w:ascii="宋体" w:hAnsi="宋体" w:eastAsia="宋体" w:cs="宋体"/>
                <w:color w:val="auto"/>
                <w:szCs w:val="21"/>
                <w:highlight w:val="none"/>
                <w:lang w:eastAsia="zh-CN"/>
              </w:rPr>
            </w:pPr>
            <w:r>
              <w:rPr>
                <w:rFonts w:hint="eastAsia" w:ascii="宋体" w:hAnsi="宋体" w:cs="宋体"/>
                <w:bCs/>
                <w:color w:val="auto"/>
                <w:kern w:val="0"/>
                <w:szCs w:val="21"/>
                <w:highlight w:val="none"/>
                <w:lang w:eastAsia="zh-CN" w:bidi="ar"/>
              </w:rPr>
              <w:t>铁山港LNG船及危险品锚地工程前期工作</w:t>
            </w:r>
          </w:p>
        </w:tc>
        <w:tc>
          <w:tcPr>
            <w:tcW w:w="915" w:type="dxa"/>
            <w:vAlign w:val="center"/>
          </w:tcPr>
          <w:p>
            <w:pPr>
              <w:spacing w:line="45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6055" w:type="dxa"/>
            <w:vAlign w:val="center"/>
          </w:tcPr>
          <w:p>
            <w:pPr>
              <w:widowControl/>
              <w:spacing w:line="360" w:lineRule="exact"/>
              <w:jc w:val="left"/>
              <w:textAlignment w:val="center"/>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zh-CN"/>
              </w:rPr>
              <w:t>北海港铁山港LNG船及危险品船锚地工程可行性研究，包括工程可行性报告编制、专题论证报告编制（包括用地预审及规划选址、社会稳定风险评估报告、环境影响评价报告、海域使用论证报告）、必要的地形测量、水文测验和地质勘察（水下地形测量面积约16km</w:t>
            </w:r>
            <w:r>
              <w:rPr>
                <w:rFonts w:hint="eastAsia" w:ascii="宋体" w:hAnsi="宋体" w:cs="宋体"/>
                <w:bCs/>
                <w:color w:val="auto"/>
                <w:szCs w:val="21"/>
                <w:highlight w:val="none"/>
                <w:vertAlign w:val="superscript"/>
                <w:lang w:val="zh-CN"/>
              </w:rPr>
              <w:t>2</w:t>
            </w:r>
            <w:r>
              <w:rPr>
                <w:rFonts w:hint="eastAsia" w:ascii="宋体" w:hAnsi="宋体" w:cs="宋体"/>
                <w:bCs/>
                <w:color w:val="auto"/>
                <w:szCs w:val="21"/>
                <w:highlight w:val="none"/>
                <w:lang w:val="zh-CN"/>
              </w:rPr>
              <w:t>，成图比例1:2000；地质钻孔按满足工可要求布设，不少于36个）。</w:t>
            </w:r>
          </w:p>
          <w:p>
            <w:pPr>
              <w:widowControl/>
              <w:spacing w:line="360" w:lineRule="exact"/>
              <w:jc w:val="left"/>
              <w:textAlignment w:val="center"/>
              <w:rPr>
                <w:rFonts w:ascii="宋体" w:hAnsi="宋体" w:cs="宋体"/>
                <w:color w:val="auto"/>
                <w:szCs w:val="21"/>
                <w:highlight w:val="none"/>
              </w:rPr>
            </w:pPr>
            <w:r>
              <w:rPr>
                <w:rFonts w:hint="eastAsia" w:ascii="宋体" w:hAnsi="宋体" w:cs="宋体"/>
                <w:bCs/>
                <w:color w:val="auto"/>
                <w:szCs w:val="21"/>
                <w:highlight w:val="none"/>
              </w:rPr>
              <w:t>（2）如需进一步了解详细内容，详见采购文件。</w:t>
            </w:r>
          </w:p>
        </w:tc>
      </w:tr>
    </w:tbl>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合同履行期限：4个月。各阶段成果交付时间如下：</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（1）要求根据项目时间要求和工作阶段深度要求安排勘察测量工作，提供满足工程可行性研究阶段要求的勘察成果，合同签订后1个月内提交全部勘察测量报告。</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（2）专题论证报告编制（包括选址报告、社会稳定风险评估报告、环境影响评价报告、海域使用论证报告等），合同签订后2个月内完成全部送审稿，报批稿在评审会后15个工作日内完成。</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（3）合同签订后3个月内提交可行性研究报告送审稿，并在工程可行性研究报告评审会后15个工作日内完成报批稿。</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（4）合同签订后4个月内完成可行性研究报告用及各专题论证报告的报批稿。</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w:t>
      </w:r>
      <w:r>
        <w:rPr>
          <w:rFonts w:hint="eastAsia" w:ascii="宋体" w:hAnsi="宋体"/>
          <w:color w:val="auto"/>
          <w:szCs w:val="21"/>
          <w:highlight w:val="none"/>
        </w:rPr>
        <w:t xml:space="preserve"> 本项目不接受联合体投标。</w:t>
      </w:r>
    </w:p>
    <w:p>
      <w:pPr>
        <w:pStyle w:val="4"/>
        <w:spacing w:before="0" w:after="0" w:line="440" w:lineRule="exact"/>
        <w:ind w:firstLine="482" w:firstLineChars="200"/>
        <w:rPr>
          <w:rFonts w:ascii="黑体" w:hAnsi="黑体" w:eastAsia="黑体" w:cs="宋体"/>
          <w:bCs w:val="0"/>
          <w:color w:val="auto"/>
          <w:sz w:val="24"/>
          <w:szCs w:val="24"/>
          <w:highlight w:val="none"/>
        </w:rPr>
      </w:pPr>
      <w:bookmarkStart w:id="13" w:name="_Toc3336"/>
      <w:bookmarkStart w:id="14" w:name="_Toc44229879"/>
      <w:bookmarkStart w:id="15" w:name="_Toc35393630"/>
      <w:bookmarkStart w:id="16" w:name="_Toc19104"/>
      <w:bookmarkStart w:id="17" w:name="_Toc28359090"/>
      <w:bookmarkStart w:id="18" w:name="_Toc73549980"/>
      <w:bookmarkStart w:id="19" w:name="_Toc28359013"/>
      <w:bookmarkStart w:id="20" w:name="_Toc35393799"/>
      <w:r>
        <w:rPr>
          <w:rFonts w:hint="eastAsia" w:ascii="黑体" w:hAnsi="黑体" w:eastAsia="黑体" w:cs="宋体"/>
          <w:bCs w:val="0"/>
          <w:color w:val="auto"/>
          <w:sz w:val="24"/>
          <w:szCs w:val="24"/>
          <w:highlight w:val="none"/>
        </w:rPr>
        <w:t>二、申请人的资格要求：</w:t>
      </w:r>
      <w:bookmarkEnd w:id="13"/>
      <w:bookmarkEnd w:id="14"/>
      <w:bookmarkEnd w:id="15"/>
      <w:bookmarkEnd w:id="16"/>
      <w:bookmarkEnd w:id="17"/>
      <w:bookmarkEnd w:id="18"/>
      <w:bookmarkEnd w:id="19"/>
      <w:bookmarkEnd w:id="20"/>
    </w:p>
    <w:p>
      <w:pPr>
        <w:spacing w:line="440" w:lineRule="exact"/>
        <w:ind w:firstLine="420" w:firstLineChars="200"/>
        <w:rPr>
          <w:rFonts w:ascii="宋体" w:hAnsi="宋体"/>
          <w:color w:val="auto"/>
          <w:szCs w:val="21"/>
          <w:highlight w:val="none"/>
        </w:rPr>
      </w:pPr>
      <w:bookmarkStart w:id="21" w:name="_Toc28359091"/>
      <w:bookmarkStart w:id="22" w:name="_Toc35393800"/>
      <w:bookmarkStart w:id="23" w:name="_Toc35393631"/>
      <w:bookmarkStart w:id="24" w:name="_Toc28359014"/>
      <w:bookmarkStart w:id="25" w:name="_Toc44229880"/>
      <w:r>
        <w:rPr>
          <w:rFonts w:hint="eastAsia" w:ascii="宋体" w:hAnsi="宋体"/>
          <w:color w:val="auto"/>
          <w:szCs w:val="21"/>
          <w:highlight w:val="none"/>
        </w:rPr>
        <w:t>1.满足《中华人民共和国政府采购法》第二十二条规定；</w:t>
      </w:r>
    </w:p>
    <w:p>
      <w:pPr>
        <w:spacing w:line="440" w:lineRule="exact"/>
        <w:ind w:firstLine="420" w:firstLineChars="200"/>
        <w:rPr>
          <w:rFonts w:ascii="宋体" w:hAnsi="宋体"/>
          <w:color w:val="auto"/>
          <w:szCs w:val="21"/>
          <w:highlight w:val="none"/>
          <w:u w:val="single"/>
        </w:rPr>
      </w:pPr>
      <w:r>
        <w:rPr>
          <w:rFonts w:ascii="宋体" w:hAnsi="宋体"/>
          <w:color w:val="auto"/>
          <w:szCs w:val="21"/>
          <w:highlight w:val="none"/>
        </w:rPr>
        <w:t>2</w:t>
      </w:r>
      <w:r>
        <w:rPr>
          <w:rFonts w:hint="eastAsia" w:ascii="宋体" w:hAnsi="宋体"/>
          <w:color w:val="auto"/>
          <w:szCs w:val="21"/>
          <w:highlight w:val="none"/>
        </w:rPr>
        <w:t>.落实政府采购政策需满足的资格要求：无；</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3.本项目的特定资格要求：具备工程勘察专业类（专业包含岩土工程勘察和工程测量）甲级或工程勘察综合类甲级资质。</w:t>
      </w:r>
    </w:p>
    <w:p>
      <w:pPr>
        <w:pStyle w:val="4"/>
        <w:spacing w:before="0" w:after="0" w:line="440" w:lineRule="exact"/>
        <w:ind w:firstLine="482" w:firstLineChars="200"/>
        <w:rPr>
          <w:rFonts w:ascii="黑体" w:hAnsi="黑体" w:eastAsia="黑体" w:cs="宋体"/>
          <w:bCs w:val="0"/>
          <w:color w:val="auto"/>
          <w:sz w:val="24"/>
          <w:szCs w:val="24"/>
          <w:highlight w:val="none"/>
        </w:rPr>
      </w:pPr>
      <w:bookmarkStart w:id="26" w:name="_Toc19855"/>
      <w:bookmarkStart w:id="27" w:name="_Toc608"/>
      <w:bookmarkStart w:id="28" w:name="_Toc73549981"/>
      <w:r>
        <w:rPr>
          <w:rFonts w:hint="eastAsia" w:ascii="黑体" w:hAnsi="黑体" w:eastAsia="黑体" w:cs="宋体"/>
          <w:bCs w:val="0"/>
          <w:color w:val="auto"/>
          <w:sz w:val="24"/>
          <w:szCs w:val="24"/>
          <w:highlight w:val="none"/>
        </w:rPr>
        <w:t>三、获取采购文件</w:t>
      </w:r>
      <w:bookmarkEnd w:id="21"/>
      <w:bookmarkEnd w:id="22"/>
      <w:bookmarkEnd w:id="23"/>
      <w:bookmarkEnd w:id="24"/>
      <w:bookmarkEnd w:id="25"/>
      <w:bookmarkEnd w:id="26"/>
      <w:bookmarkEnd w:id="27"/>
      <w:bookmarkEnd w:id="28"/>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时间：2022年06月06日至2022年06月13日，每天上午08:00至12:00，下午15:00至18:00（北京时间，法定节假日除外）。</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地点（网址）：“政采云”平台（https://www.zcygov.cn）</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获取方式:网上下载。本项目不提供纸质文件，潜在磋商供应商需使用账号登录或者使用CA登录“政采云”平台（https：//www.zcygov.cn）-进入“项目采购”应用，在获取采购文件菜单中选择项目，获取采购文件（或在“政采云电子投标客户端-获取采购文件”跳转到政采云系统获取）。电子响应文件制作需要基于“政采云”平台获取的采购文件编制，通过其他方式获取采购文件的，将有可能导致供应商无法在“政采云”平台编制及上传响应文件。</w:t>
      </w:r>
    </w:p>
    <w:p>
      <w:pPr>
        <w:spacing w:line="440" w:lineRule="exact"/>
        <w:ind w:firstLine="540"/>
        <w:rPr>
          <w:rFonts w:ascii="宋体" w:hAnsi="宋体"/>
          <w:color w:val="auto"/>
          <w:szCs w:val="21"/>
          <w:highlight w:val="none"/>
        </w:rPr>
      </w:pPr>
      <w:r>
        <w:rPr>
          <w:rFonts w:hint="eastAsia" w:ascii="宋体" w:hAnsi="宋体"/>
          <w:color w:val="auto"/>
          <w:szCs w:val="21"/>
          <w:highlight w:val="none"/>
        </w:rPr>
        <w:t>售价：0元。 </w:t>
      </w:r>
    </w:p>
    <w:p>
      <w:pPr>
        <w:pStyle w:val="4"/>
        <w:spacing w:before="0" w:after="0" w:line="440" w:lineRule="exact"/>
        <w:ind w:firstLine="482" w:firstLineChars="200"/>
        <w:rPr>
          <w:rFonts w:ascii="黑体" w:hAnsi="黑体" w:eastAsia="黑体" w:cs="宋体"/>
          <w:bCs w:val="0"/>
          <w:color w:val="auto"/>
          <w:sz w:val="24"/>
          <w:szCs w:val="24"/>
          <w:highlight w:val="none"/>
        </w:rPr>
      </w:pPr>
      <w:bookmarkStart w:id="29" w:name="_Toc1941"/>
      <w:bookmarkStart w:id="30" w:name="_Toc44229881"/>
      <w:bookmarkStart w:id="31" w:name="_Toc26212"/>
      <w:bookmarkStart w:id="32" w:name="_Toc35393632"/>
      <w:bookmarkStart w:id="33" w:name="_Toc28359015"/>
      <w:bookmarkStart w:id="34" w:name="_Toc35393801"/>
      <w:bookmarkStart w:id="35" w:name="_Toc28359092"/>
      <w:bookmarkStart w:id="36" w:name="_Toc73549982"/>
      <w:r>
        <w:rPr>
          <w:rFonts w:hint="eastAsia" w:ascii="黑体" w:hAnsi="黑体" w:eastAsia="黑体" w:cs="宋体"/>
          <w:bCs w:val="0"/>
          <w:color w:val="auto"/>
          <w:sz w:val="24"/>
          <w:szCs w:val="24"/>
          <w:highlight w:val="none"/>
        </w:rPr>
        <w:t>四、响应文件提交</w:t>
      </w:r>
      <w:bookmarkEnd w:id="29"/>
      <w:bookmarkEnd w:id="30"/>
      <w:bookmarkEnd w:id="31"/>
      <w:bookmarkEnd w:id="32"/>
      <w:bookmarkEnd w:id="33"/>
      <w:bookmarkEnd w:id="34"/>
      <w:bookmarkEnd w:id="35"/>
      <w:bookmarkEnd w:id="36"/>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首次响应文件提交截止时间：2022年6月</w:t>
      </w:r>
      <w:r>
        <w:rPr>
          <w:rFonts w:hint="eastAsia" w:ascii="宋体" w:hAnsi="宋体"/>
          <w:color w:val="auto"/>
          <w:szCs w:val="21"/>
          <w:highlight w:val="none"/>
          <w:lang w:val="en-US" w:eastAsia="zh-CN"/>
        </w:rPr>
        <w:t>20</w:t>
      </w:r>
      <w:r>
        <w:rPr>
          <w:rFonts w:hint="eastAsia" w:ascii="宋体" w:hAnsi="宋体"/>
          <w:color w:val="auto"/>
          <w:szCs w:val="21"/>
          <w:highlight w:val="none"/>
        </w:rPr>
        <w:t>日09时30分（北京时间）</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首次响应文件提交地点：</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（1）响应文件提交方式：本项目为全流程电子化项目，通过“政采云”平台（http：/</w:t>
      </w:r>
      <w:r>
        <w:rPr>
          <w:rFonts w:ascii="宋体" w:hAnsi="宋体"/>
          <w:color w:val="auto"/>
          <w:szCs w:val="21"/>
          <w:highlight w:val="none"/>
        </w:rPr>
        <w:t>/www.zcygov.cn</w:t>
      </w:r>
      <w:r>
        <w:rPr>
          <w:rFonts w:hint="eastAsia" w:ascii="宋体" w:hAnsi="宋体"/>
          <w:color w:val="auto"/>
          <w:szCs w:val="21"/>
          <w:highlight w:val="none"/>
        </w:rPr>
        <w:t>）实行在线电子响应，供应商应先安装“政采云电子交易客户端”（请自行前往“政采云”平台进行下载），并按照本项目采购文件和“政采云”平台的要求编制、加密后在磋商截止时间前通过网络上传至“政采云”平台，</w:t>
      </w:r>
      <w:r>
        <w:rPr>
          <w:rFonts w:hint="eastAsia" w:ascii="宋体" w:hAnsi="宋体"/>
          <w:b/>
          <w:color w:val="auto"/>
          <w:szCs w:val="21"/>
          <w:highlight w:val="none"/>
        </w:rPr>
        <w:t>供应商在“政采云”平台提交电子版响应文件时，请填写参加远程采购活动经办人联系方式，</w:t>
      </w:r>
      <w:r>
        <w:rPr>
          <w:rFonts w:hint="eastAsia" w:ascii="宋体" w:hAnsi="宋体"/>
          <w:color w:val="auto"/>
          <w:szCs w:val="21"/>
          <w:highlight w:val="none"/>
        </w:rPr>
        <w:t>电子响应文件具体操作流程详见本公告</w:t>
      </w:r>
      <w:r>
        <w:rPr>
          <w:rFonts w:hint="eastAsia" w:ascii="宋体" w:hAnsi="宋体"/>
          <w:b/>
          <w:bCs/>
          <w:color w:val="auto"/>
          <w:szCs w:val="21"/>
          <w:highlight w:val="none"/>
        </w:rPr>
        <w:t>附件2</w:t>
      </w:r>
      <w:r>
        <w:rPr>
          <w:rFonts w:hint="eastAsia" w:ascii="宋体" w:hAnsi="宋体"/>
          <w:color w:val="auto"/>
          <w:szCs w:val="21"/>
          <w:highlight w:val="none"/>
        </w:rPr>
        <w:t>。</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（2）未进行网上注册并办理数字证书（CA认证）的供应商将无法参与本项目政府采购活动，潜在供应商应当在磋商截止时间前，完成电子交易平台上的CA数字证书办理（申领流程见本公告</w:t>
      </w:r>
      <w:r>
        <w:rPr>
          <w:rFonts w:hint="eastAsia" w:ascii="宋体" w:hAnsi="宋体"/>
          <w:b/>
          <w:bCs/>
          <w:color w:val="auto"/>
          <w:szCs w:val="21"/>
          <w:highlight w:val="none"/>
        </w:rPr>
        <w:t>附件1</w:t>
      </w:r>
      <w:r>
        <w:rPr>
          <w:rFonts w:hint="eastAsia" w:ascii="宋体" w:hAnsi="宋体"/>
          <w:color w:val="auto"/>
          <w:szCs w:val="21"/>
          <w:highlight w:val="none"/>
        </w:rPr>
        <w:t>）及响应文件的提交。完成CA数字证书办理预计7日左右，</w:t>
      </w:r>
      <w:r>
        <w:rPr>
          <w:rFonts w:hint="eastAsia" w:ascii="宋体" w:hAnsi="宋体" w:cs="宋体"/>
          <w:color w:val="auto"/>
          <w:szCs w:val="21"/>
          <w:highlight w:val="none"/>
        </w:rPr>
        <w:t>供应商只需办理其中一家</w:t>
      </w:r>
      <w:r>
        <w:rPr>
          <w:rFonts w:ascii="宋体" w:hAnsi="宋体" w:cs="宋体"/>
          <w:color w:val="auto"/>
          <w:szCs w:val="21"/>
          <w:highlight w:val="none"/>
        </w:rPr>
        <w:t>CA数字证书及签章</w:t>
      </w:r>
      <w:r>
        <w:rPr>
          <w:rFonts w:hint="eastAsia" w:ascii="宋体" w:hAnsi="宋体"/>
          <w:color w:val="auto"/>
          <w:szCs w:val="21"/>
          <w:highlight w:val="none"/>
        </w:rPr>
        <w:t>。</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（3）为确保网上操作合法、有效和安全，请供应商确保在电子响应过程中能够对相关数据电文进行加密和使用电子签章，妥善保管C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数字证书并使用有效的CA数字证书参与整个采购活动。</w:t>
      </w:r>
    </w:p>
    <w:p>
      <w:pPr>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3、CA证书在线解密：首次响应文件开启时，须要供应商携带制作响应文件时用来加密的有效数字证书（CA认证）登录“政采云”平台电子开标大厅现场按规定时间对加密的响应文件进行解密，否则后果自负。</w:t>
      </w:r>
    </w:p>
    <w:p>
      <w:pPr>
        <w:spacing w:line="440" w:lineRule="exact"/>
        <w:ind w:firstLine="420" w:firstLineChars="200"/>
        <w:rPr>
          <w:rFonts w:ascii="宋体" w:hAnsi="宋体"/>
          <w:bCs/>
          <w:color w:val="auto"/>
          <w:szCs w:val="21"/>
          <w:highlight w:val="none"/>
        </w:rPr>
      </w:pPr>
      <w:r>
        <w:rPr>
          <w:rFonts w:hint="eastAsia" w:ascii="宋体" w:hAnsi="宋体" w:cs="宋体"/>
          <w:color w:val="auto"/>
          <w:kern w:val="0"/>
          <w:szCs w:val="21"/>
          <w:highlight w:val="none"/>
        </w:rPr>
        <w:t>4、供应商需要在具备有摄像头及语音功能且互联网网络状况良好的电脑登录“政采云”平台远程开标大厅参与本次磋商，否则后果自负。</w:t>
      </w:r>
    </w:p>
    <w:p>
      <w:pPr>
        <w:pStyle w:val="4"/>
        <w:spacing w:before="0" w:after="0" w:line="440" w:lineRule="exact"/>
        <w:ind w:firstLine="482" w:firstLineChars="200"/>
        <w:rPr>
          <w:rFonts w:ascii="黑体" w:hAnsi="黑体" w:eastAsia="黑体" w:cs="宋体"/>
          <w:bCs w:val="0"/>
          <w:color w:val="auto"/>
          <w:sz w:val="24"/>
          <w:szCs w:val="24"/>
          <w:highlight w:val="none"/>
        </w:rPr>
      </w:pPr>
      <w:bookmarkStart w:id="37" w:name="_Toc44229882"/>
      <w:bookmarkStart w:id="38" w:name="_Toc73549983"/>
      <w:bookmarkStart w:id="39" w:name="_Toc35393802"/>
      <w:bookmarkStart w:id="40" w:name="_Toc28359093"/>
      <w:bookmarkStart w:id="41" w:name="_Toc28359016"/>
      <w:bookmarkStart w:id="42" w:name="_Toc35393633"/>
      <w:bookmarkStart w:id="43" w:name="_Toc21534"/>
      <w:bookmarkStart w:id="44" w:name="_Toc11711"/>
      <w:r>
        <w:rPr>
          <w:rFonts w:hint="eastAsia" w:ascii="黑体" w:hAnsi="黑体" w:eastAsia="黑体" w:cs="宋体"/>
          <w:bCs w:val="0"/>
          <w:color w:val="auto"/>
          <w:sz w:val="24"/>
          <w:szCs w:val="24"/>
          <w:highlight w:val="none"/>
        </w:rPr>
        <w:t>五、开启</w:t>
      </w:r>
      <w:bookmarkEnd w:id="37"/>
      <w:bookmarkEnd w:id="38"/>
      <w:bookmarkEnd w:id="39"/>
      <w:bookmarkEnd w:id="40"/>
      <w:bookmarkEnd w:id="41"/>
      <w:bookmarkEnd w:id="42"/>
      <w:r>
        <w:rPr>
          <w:rFonts w:hint="eastAsia" w:ascii="黑体" w:hAnsi="黑体" w:eastAsia="黑体"/>
          <w:bCs w:val="0"/>
          <w:color w:val="auto"/>
          <w:sz w:val="24"/>
          <w:highlight w:val="none"/>
        </w:rPr>
        <w:t>（首次响应文件开启时间）</w:t>
      </w:r>
      <w:bookmarkEnd w:id="43"/>
      <w:bookmarkEnd w:id="44"/>
    </w:p>
    <w:p>
      <w:pPr>
        <w:spacing w:line="44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color w:val="auto"/>
          <w:szCs w:val="21"/>
          <w:highlight w:val="none"/>
          <w:u w:val="single"/>
        </w:rPr>
        <w:t>2022年</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20</w:t>
      </w:r>
      <w:r>
        <w:rPr>
          <w:rFonts w:hint="eastAsia" w:ascii="宋体" w:hAnsi="宋体"/>
          <w:color w:val="auto"/>
          <w:szCs w:val="21"/>
          <w:highlight w:val="none"/>
          <w:u w:val="single"/>
        </w:rPr>
        <w:t>日</w:t>
      </w:r>
      <w:r>
        <w:rPr>
          <w:rFonts w:hint="eastAsia" w:ascii="宋体" w:hAnsi="宋体"/>
          <w:bCs/>
          <w:color w:val="auto"/>
          <w:szCs w:val="21"/>
          <w:highlight w:val="none"/>
          <w:u w:val="single"/>
        </w:rPr>
        <w:t>09时30分（北京时间）</w:t>
      </w:r>
      <w:r>
        <w:rPr>
          <w:rFonts w:hint="eastAsia" w:ascii="宋体" w:hAnsi="宋体"/>
          <w:color w:val="auto"/>
          <w:szCs w:val="21"/>
          <w:highlight w:val="none"/>
          <w:u w:val="single"/>
        </w:rPr>
        <w:t>后</w:t>
      </w:r>
    </w:p>
    <w:p>
      <w:pPr>
        <w:spacing w:line="44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地点：本项目将在“政采云”平台电子开标大厅解密、开启。 </w:t>
      </w:r>
    </w:p>
    <w:p>
      <w:pPr>
        <w:pStyle w:val="4"/>
        <w:spacing w:before="0" w:after="0" w:line="440" w:lineRule="exact"/>
        <w:ind w:firstLine="482" w:firstLineChars="200"/>
        <w:rPr>
          <w:rFonts w:ascii="黑体" w:hAnsi="黑体" w:eastAsia="黑体" w:cs="宋体"/>
          <w:bCs w:val="0"/>
          <w:color w:val="auto"/>
          <w:sz w:val="24"/>
          <w:szCs w:val="24"/>
          <w:highlight w:val="none"/>
        </w:rPr>
      </w:pPr>
      <w:bookmarkStart w:id="45" w:name="_Toc35393803"/>
      <w:bookmarkStart w:id="46" w:name="_Toc44229883"/>
      <w:bookmarkStart w:id="47" w:name="_Toc28359017"/>
      <w:bookmarkStart w:id="48" w:name="_Toc32238"/>
      <w:bookmarkStart w:id="49" w:name="_Toc73549984"/>
      <w:bookmarkStart w:id="50" w:name="_Toc28359094"/>
      <w:bookmarkStart w:id="51" w:name="_Toc30308"/>
      <w:bookmarkStart w:id="52" w:name="_Toc35393634"/>
      <w:r>
        <w:rPr>
          <w:rFonts w:hint="eastAsia" w:ascii="黑体" w:hAnsi="黑体" w:eastAsia="黑体" w:cs="宋体"/>
          <w:bCs w:val="0"/>
          <w:color w:val="auto"/>
          <w:sz w:val="24"/>
          <w:szCs w:val="24"/>
          <w:highlight w:val="none"/>
        </w:rPr>
        <w:t>六、公告期限</w:t>
      </w:r>
      <w:bookmarkEnd w:id="45"/>
      <w:bookmarkEnd w:id="46"/>
      <w:bookmarkEnd w:id="47"/>
      <w:bookmarkEnd w:id="48"/>
      <w:bookmarkEnd w:id="49"/>
      <w:bookmarkEnd w:id="50"/>
      <w:bookmarkEnd w:id="51"/>
      <w:bookmarkEnd w:id="52"/>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pPr>
        <w:pStyle w:val="4"/>
        <w:spacing w:before="0" w:after="0" w:line="440" w:lineRule="exact"/>
        <w:ind w:firstLine="482" w:firstLineChars="200"/>
        <w:rPr>
          <w:rFonts w:ascii="黑体" w:hAnsi="黑体" w:eastAsia="黑体" w:cs="宋体"/>
          <w:bCs w:val="0"/>
          <w:color w:val="auto"/>
          <w:sz w:val="24"/>
          <w:szCs w:val="24"/>
          <w:highlight w:val="none"/>
        </w:rPr>
      </w:pPr>
      <w:bookmarkStart w:id="53" w:name="_Toc35393635"/>
      <w:bookmarkStart w:id="54" w:name="_Toc73549985"/>
      <w:bookmarkStart w:id="55" w:name="_Toc35393804"/>
      <w:bookmarkStart w:id="56" w:name="_Toc22864"/>
      <w:bookmarkStart w:id="57" w:name="_Toc44229884"/>
      <w:bookmarkStart w:id="58" w:name="_Toc20702"/>
      <w:r>
        <w:rPr>
          <w:rFonts w:hint="eastAsia" w:ascii="黑体" w:hAnsi="黑体" w:eastAsia="黑体" w:cs="宋体"/>
          <w:bCs w:val="0"/>
          <w:color w:val="auto"/>
          <w:sz w:val="24"/>
          <w:szCs w:val="24"/>
          <w:highlight w:val="none"/>
        </w:rPr>
        <w:t>七、其他补充事宜</w:t>
      </w:r>
      <w:bookmarkEnd w:id="53"/>
      <w:bookmarkEnd w:id="54"/>
      <w:bookmarkEnd w:id="55"/>
      <w:bookmarkEnd w:id="56"/>
      <w:bookmarkEnd w:id="57"/>
      <w:bookmarkEnd w:id="58"/>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1.采购意向公开链接：</w:t>
      </w:r>
    </w:p>
    <w:p>
      <w:pPr>
        <w:pStyle w:val="2"/>
        <w:ind w:firstLine="480" w:firstLineChars="200"/>
        <w:rPr>
          <w:color w:val="auto"/>
          <w:highlight w:val="none"/>
        </w:rPr>
      </w:pPr>
      <w:r>
        <w:rPr>
          <w:color w:val="auto"/>
          <w:highlight w:val="none"/>
        </w:rPr>
        <w:fldChar w:fldCharType="begin"/>
      </w:r>
      <w:r>
        <w:rPr>
          <w:color w:val="auto"/>
          <w:highlight w:val="none"/>
        </w:rPr>
        <w:instrText xml:space="preserve"> HYPERLINK "http://www.ccgp-guangxi.gov.cn/reformColumn/ZcyAnnouncement10016/jkHav5bmiLtL/iUBjdXN4A==.html" </w:instrText>
      </w:r>
      <w:r>
        <w:rPr>
          <w:color w:val="auto"/>
          <w:highlight w:val="none"/>
        </w:rPr>
        <w:fldChar w:fldCharType="separate"/>
      </w:r>
      <w:r>
        <w:rPr>
          <w:rStyle w:val="38"/>
          <w:rFonts w:hAnsi="宋体"/>
          <w:color w:val="auto"/>
          <w:highlight w:val="none"/>
        </w:rPr>
        <w:t>http://www.ccgp-guangxi.gov.cn/reformColumn/ZcyAnnouncement10016/jkHav5bmiLtL/iUBjdXN4A==.html</w:t>
      </w:r>
      <w:r>
        <w:rPr>
          <w:rStyle w:val="38"/>
          <w:rFonts w:hAnsi="宋体"/>
          <w:color w:val="auto"/>
          <w:highlight w:val="none"/>
        </w:rPr>
        <w:fldChar w:fldCharType="end"/>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www.ccgp.gov.cn（中国政府采购网）、www.ccgp-guangxi.gov.cn/home.html（广西壮族自治区政府采购网）</w:t>
      </w:r>
    </w:p>
    <w:p>
      <w:pPr>
        <w:spacing w:line="440" w:lineRule="exact"/>
        <w:ind w:firstLine="420" w:firstLineChars="200"/>
        <w:rPr>
          <w:rFonts w:ascii="宋体" w:hAnsi="宋体" w:cs="宋体"/>
          <w:color w:val="auto"/>
          <w:kern w:val="0"/>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pPr>
        <w:spacing w:line="440" w:lineRule="exact"/>
        <w:ind w:firstLine="315" w:firstLineChars="150"/>
        <w:rPr>
          <w:rFonts w:ascii="宋体" w:hAnsi="宋体" w:cs="宋体"/>
          <w:color w:val="auto"/>
          <w:kern w:val="0"/>
          <w:szCs w:val="21"/>
          <w:highlight w:val="none"/>
        </w:rPr>
      </w:pPr>
      <w:bookmarkStart w:id="451" w:name="_GoBack"/>
      <w:r>
        <w:rPr>
          <w:rFonts w:hint="eastAsia" w:ascii="宋体" w:hAnsi="宋体" w:cs="宋体"/>
          <w:color w:val="auto"/>
          <w:kern w:val="0"/>
          <w:szCs w:val="21"/>
          <w:highlight w:val="none"/>
        </w:rPr>
        <w:t>（1）政府采购促进中小企业发展。</w:t>
      </w:r>
    </w:p>
    <w:p>
      <w:pPr>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bookmarkEnd w:id="451"/>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w:t>
      </w:r>
      <w:r>
        <w:rPr>
          <w:rFonts w:hint="eastAsia" w:ascii="宋体" w:hAnsi="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w:t>
      </w:r>
      <w:r>
        <w:rPr>
          <w:rFonts w:hint="eastAsia" w:ascii="宋体" w:hAnsi="宋体" w:cs="宋体"/>
          <w:color w:val="auto"/>
          <w:kern w:val="0"/>
          <w:szCs w:val="21"/>
          <w:highlight w:val="none"/>
        </w:rPr>
        <w:t xml:space="preserve"> 若对项目采购电子交易系统操作有疑问，可登录“政采云”平台（https://www.zcygov.cn/），点击右侧咨询小采，获取采小蜜智能服务管家帮助，或拨打政采云服务热线400-881-7190获取热线服务帮助。</w:t>
      </w:r>
    </w:p>
    <w:p>
      <w:pPr>
        <w:snapToGrid w:val="0"/>
        <w:spacing w:line="440" w:lineRule="exact"/>
        <w:ind w:firstLine="420"/>
        <w:jc w:val="left"/>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 xml:space="preserve">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40" w:lineRule="exact"/>
        <w:ind w:firstLine="420" w:firstLineChars="200"/>
        <w:rPr>
          <w:color w:val="auto"/>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 xml:space="preserve"> 对在“信用中国”网站(www.creditchina.gov.cn) 、中国政府采购网(www.ccgp.gov.cn)被列入失信被执行人、税收违法黑名单、政府采购严重违法失信行为记录名单及其他不符合《中华人民共和国政府采购法》第二十二条规定条件的供应商，不得参与政府采购活动。</w:t>
      </w:r>
    </w:p>
    <w:p>
      <w:pPr>
        <w:pStyle w:val="4"/>
        <w:spacing w:before="0" w:after="0" w:line="440" w:lineRule="exact"/>
        <w:ind w:firstLine="482" w:firstLineChars="200"/>
        <w:rPr>
          <w:rFonts w:ascii="黑体" w:hAnsi="黑体" w:eastAsia="黑体" w:cs="宋体"/>
          <w:bCs w:val="0"/>
          <w:color w:val="auto"/>
          <w:sz w:val="24"/>
          <w:szCs w:val="24"/>
          <w:highlight w:val="none"/>
        </w:rPr>
      </w:pPr>
      <w:bookmarkStart w:id="59" w:name="_Toc12990"/>
      <w:bookmarkStart w:id="60" w:name="_Toc26441"/>
      <w:bookmarkStart w:id="61" w:name="_Toc28359018"/>
      <w:bookmarkStart w:id="62" w:name="_Toc73549986"/>
      <w:bookmarkStart w:id="63" w:name="_Toc35393636"/>
      <w:bookmarkStart w:id="64" w:name="_Toc44229885"/>
      <w:bookmarkStart w:id="65" w:name="_Toc35393805"/>
      <w:bookmarkStart w:id="66" w:name="_Toc28359095"/>
      <w:r>
        <w:rPr>
          <w:rFonts w:hint="eastAsia" w:ascii="黑体" w:hAnsi="黑体" w:eastAsia="黑体" w:cs="宋体"/>
          <w:bCs w:val="0"/>
          <w:color w:val="auto"/>
          <w:sz w:val="24"/>
          <w:szCs w:val="24"/>
          <w:highlight w:val="none"/>
        </w:rPr>
        <w:t>八、凡对本次采购提出询问，请按</w:t>
      </w:r>
      <w:r>
        <w:rPr>
          <w:rFonts w:ascii="黑体" w:hAnsi="黑体" w:eastAsia="黑体" w:cs="宋体"/>
          <w:bCs w:val="0"/>
          <w:color w:val="auto"/>
          <w:sz w:val="24"/>
          <w:szCs w:val="24"/>
          <w:highlight w:val="none"/>
        </w:rPr>
        <w:t>以下方式</w:t>
      </w:r>
      <w:r>
        <w:rPr>
          <w:rFonts w:hint="eastAsia" w:ascii="黑体" w:hAnsi="黑体" w:eastAsia="黑体" w:cs="宋体"/>
          <w:bCs w:val="0"/>
          <w:color w:val="auto"/>
          <w:sz w:val="24"/>
          <w:szCs w:val="24"/>
          <w:highlight w:val="none"/>
        </w:rPr>
        <w:t>联系。</w:t>
      </w:r>
      <w:bookmarkEnd w:id="59"/>
      <w:bookmarkEnd w:id="60"/>
      <w:bookmarkEnd w:id="61"/>
      <w:bookmarkEnd w:id="62"/>
      <w:bookmarkEnd w:id="63"/>
      <w:bookmarkEnd w:id="64"/>
      <w:bookmarkEnd w:id="65"/>
      <w:bookmarkEnd w:id="66"/>
    </w:p>
    <w:p>
      <w:pPr>
        <w:spacing w:line="440" w:lineRule="exact"/>
        <w:ind w:firstLine="420" w:firstLineChars="200"/>
        <w:rPr>
          <w:rFonts w:ascii="宋体" w:hAnsi="宋体" w:cs="宋体"/>
          <w:color w:val="auto"/>
          <w:kern w:val="0"/>
          <w:szCs w:val="21"/>
          <w:highlight w:val="none"/>
        </w:rPr>
      </w:pPr>
      <w:bookmarkStart w:id="67" w:name="_Toc35393637"/>
      <w:bookmarkStart w:id="68" w:name="_Toc28359019"/>
      <w:bookmarkStart w:id="69" w:name="_Toc35393806"/>
      <w:bookmarkStart w:id="70" w:name="_Toc28359096"/>
      <w:r>
        <w:rPr>
          <w:rFonts w:hint="eastAsia" w:ascii="宋体" w:hAnsi="宋体" w:cs="宋体"/>
          <w:color w:val="auto"/>
          <w:kern w:val="0"/>
          <w:szCs w:val="21"/>
          <w:highlight w:val="none"/>
        </w:rPr>
        <w:t>1.采购人信息</w:t>
      </w:r>
      <w:bookmarkEnd w:id="67"/>
      <w:bookmarkEnd w:id="68"/>
      <w:bookmarkEnd w:id="69"/>
      <w:bookmarkEnd w:id="70"/>
    </w:p>
    <w:p>
      <w:pPr>
        <w:spacing w:line="440" w:lineRule="exact"/>
        <w:ind w:firstLine="638" w:firstLineChars="304"/>
        <w:jc w:val="left"/>
        <w:rPr>
          <w:rFonts w:ascii="宋体" w:hAnsi="宋体"/>
          <w:color w:val="auto"/>
          <w:szCs w:val="21"/>
          <w:highlight w:val="none"/>
        </w:rPr>
      </w:pPr>
      <w:r>
        <w:rPr>
          <w:rFonts w:hint="eastAsia" w:ascii="宋体" w:hAnsi="宋体"/>
          <w:color w:val="auto"/>
          <w:szCs w:val="21"/>
          <w:highlight w:val="none"/>
        </w:rPr>
        <w:t>名    称：广西壮族自治区港航发展中心</w:t>
      </w:r>
    </w:p>
    <w:p>
      <w:pPr>
        <w:widowControl/>
        <w:spacing w:line="404" w:lineRule="exact"/>
        <w:ind w:firstLine="638" w:firstLineChars="304"/>
        <w:jc w:val="left"/>
        <w:rPr>
          <w:rFonts w:ascii="宋体" w:hAnsi="宋体"/>
          <w:color w:val="auto"/>
          <w:highlight w:val="none"/>
        </w:rPr>
      </w:pPr>
      <w:r>
        <w:rPr>
          <w:rFonts w:hint="eastAsia" w:ascii="宋体" w:hAnsi="宋体" w:cs="宋体"/>
          <w:color w:val="auto"/>
          <w:szCs w:val="21"/>
          <w:highlight w:val="none"/>
        </w:rPr>
        <w:t>地    址：南宁市百花岭路6号</w:t>
      </w:r>
    </w:p>
    <w:p>
      <w:pPr>
        <w:spacing w:line="440" w:lineRule="exact"/>
        <w:ind w:firstLine="638" w:firstLineChars="304"/>
        <w:jc w:val="left"/>
        <w:rPr>
          <w:color w:val="auto"/>
          <w:highlight w:val="none"/>
        </w:rPr>
      </w:pPr>
      <w:r>
        <w:rPr>
          <w:rFonts w:hint="eastAsia" w:ascii="宋体" w:hAnsi="宋体" w:cs="宋体"/>
          <w:color w:val="auto"/>
          <w:szCs w:val="21"/>
          <w:highlight w:val="none"/>
        </w:rPr>
        <w:t>联系人：李芸锋</w:t>
      </w:r>
      <w:r>
        <w:rPr>
          <w:rFonts w:hint="eastAsia" w:ascii="Verdana" w:hAnsi="宋体"/>
          <w:color w:val="auto"/>
          <w:szCs w:val="21"/>
          <w:highlight w:val="none"/>
        </w:rPr>
        <w:t>，</w:t>
      </w:r>
      <w:r>
        <w:rPr>
          <w:rFonts w:hint="eastAsia" w:ascii="宋体" w:hAnsi="宋体"/>
          <w:color w:val="auto"/>
          <w:szCs w:val="21"/>
          <w:highlight w:val="none"/>
        </w:rPr>
        <w:t>联系电话：</w:t>
      </w:r>
      <w:r>
        <w:rPr>
          <w:rFonts w:hint="eastAsia" w:ascii="宋体" w:hAnsi="宋体"/>
          <w:color w:val="auto"/>
          <w:highlight w:val="none"/>
        </w:rPr>
        <w:t>0771-2115240</w:t>
      </w:r>
    </w:p>
    <w:p>
      <w:pPr>
        <w:spacing w:line="440" w:lineRule="exact"/>
        <w:ind w:firstLine="420" w:firstLineChars="200"/>
        <w:rPr>
          <w:rFonts w:ascii="宋体" w:hAnsi="宋体" w:cs="宋体"/>
          <w:color w:val="auto"/>
          <w:kern w:val="0"/>
          <w:szCs w:val="21"/>
          <w:highlight w:val="none"/>
        </w:rPr>
      </w:pPr>
      <w:bookmarkStart w:id="71" w:name="_Toc28359097"/>
      <w:bookmarkStart w:id="72" w:name="_Toc28359020"/>
      <w:bookmarkStart w:id="73" w:name="_Toc35393638"/>
      <w:bookmarkStart w:id="74" w:name="_Toc35393807"/>
      <w:r>
        <w:rPr>
          <w:rFonts w:hint="eastAsia" w:ascii="宋体" w:hAnsi="宋体" w:cs="宋体"/>
          <w:color w:val="auto"/>
          <w:kern w:val="0"/>
          <w:szCs w:val="21"/>
          <w:highlight w:val="none"/>
        </w:rPr>
        <w:t>2.采购代理机构信息</w:t>
      </w:r>
      <w:bookmarkEnd w:id="71"/>
      <w:bookmarkEnd w:id="72"/>
      <w:bookmarkEnd w:id="73"/>
      <w:bookmarkEnd w:id="74"/>
    </w:p>
    <w:p>
      <w:pPr>
        <w:spacing w:line="440" w:lineRule="exact"/>
        <w:ind w:firstLine="630" w:firstLineChars="300"/>
        <w:rPr>
          <w:rFonts w:ascii="宋体" w:hAnsi="宋体"/>
          <w:color w:val="auto"/>
          <w:szCs w:val="21"/>
          <w:highlight w:val="none"/>
        </w:rPr>
      </w:pPr>
      <w:r>
        <w:rPr>
          <w:rFonts w:hint="eastAsia" w:ascii="宋体" w:hAnsi="宋体"/>
          <w:color w:val="auto"/>
          <w:szCs w:val="21"/>
          <w:highlight w:val="none"/>
        </w:rPr>
        <w:t>名    称：华新项目管理集团有限公司</w:t>
      </w:r>
    </w:p>
    <w:p>
      <w:pPr>
        <w:spacing w:line="440" w:lineRule="exact"/>
        <w:ind w:firstLine="630" w:firstLineChars="300"/>
        <w:rPr>
          <w:rFonts w:ascii="宋体" w:hAnsi="宋体"/>
          <w:color w:val="auto"/>
          <w:szCs w:val="21"/>
          <w:highlight w:val="none"/>
        </w:rPr>
      </w:pPr>
      <w:r>
        <w:rPr>
          <w:rFonts w:hint="eastAsia" w:ascii="宋体" w:hAnsi="宋体"/>
          <w:color w:val="auto"/>
          <w:szCs w:val="21"/>
          <w:highlight w:val="none"/>
        </w:rPr>
        <w:t>地　　址：南宁市中柬路9号利海亚洲国际领峰A座916室</w:t>
      </w:r>
    </w:p>
    <w:p>
      <w:pPr>
        <w:spacing w:line="440" w:lineRule="exact"/>
        <w:ind w:firstLine="630" w:firstLineChars="300"/>
        <w:rPr>
          <w:rFonts w:ascii="宋体" w:hAnsi="宋体"/>
          <w:color w:val="auto"/>
          <w:szCs w:val="21"/>
          <w:highlight w:val="none"/>
          <w:u w:val="single"/>
        </w:rPr>
      </w:pPr>
      <w:r>
        <w:rPr>
          <w:rFonts w:hint="eastAsia" w:ascii="宋体" w:hAnsi="宋体"/>
          <w:color w:val="auto"/>
          <w:szCs w:val="21"/>
          <w:highlight w:val="none"/>
        </w:rPr>
        <w:t>联系方式： 邹建，联系电话：0771-5502082</w:t>
      </w:r>
    </w:p>
    <w:p>
      <w:pPr>
        <w:spacing w:line="440" w:lineRule="exact"/>
        <w:ind w:firstLine="420" w:firstLineChars="200"/>
        <w:rPr>
          <w:rFonts w:ascii="宋体" w:hAnsi="宋体" w:cs="宋体"/>
          <w:color w:val="auto"/>
          <w:kern w:val="0"/>
          <w:szCs w:val="21"/>
          <w:highlight w:val="none"/>
        </w:rPr>
      </w:pPr>
      <w:bookmarkStart w:id="75" w:name="_Toc28359098"/>
      <w:bookmarkStart w:id="76" w:name="_Toc28359021"/>
      <w:bookmarkStart w:id="77" w:name="_Toc35393808"/>
      <w:bookmarkStart w:id="78" w:name="_Toc35393639"/>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75"/>
      <w:bookmarkEnd w:id="76"/>
      <w:bookmarkEnd w:id="77"/>
      <w:bookmarkEnd w:id="78"/>
    </w:p>
    <w:p>
      <w:pPr>
        <w:pStyle w:val="21"/>
        <w:spacing w:line="440" w:lineRule="exact"/>
        <w:ind w:firstLine="630" w:firstLineChars="300"/>
        <w:rPr>
          <w:rFonts w:hAnsi="宋体"/>
          <w:color w:val="auto"/>
          <w:sz w:val="21"/>
          <w:highlight w:val="none"/>
        </w:rPr>
      </w:pPr>
      <w:r>
        <w:rPr>
          <w:rFonts w:hint="eastAsia" w:hAnsi="宋体"/>
          <w:color w:val="auto"/>
          <w:sz w:val="21"/>
          <w:highlight w:val="none"/>
        </w:rPr>
        <w:t>项目联系人：邹建</w:t>
      </w:r>
    </w:p>
    <w:p>
      <w:pPr>
        <w:spacing w:line="440" w:lineRule="exact"/>
        <w:ind w:firstLine="630" w:firstLineChars="300"/>
        <w:rPr>
          <w:rFonts w:ascii="宋体" w:hAnsi="宋体"/>
          <w:color w:val="auto"/>
          <w:szCs w:val="21"/>
          <w:highlight w:val="none"/>
        </w:rPr>
      </w:pPr>
      <w:r>
        <w:rPr>
          <w:rFonts w:hint="eastAsia" w:ascii="宋体" w:hAnsi="宋体"/>
          <w:color w:val="auto"/>
          <w:szCs w:val="21"/>
          <w:highlight w:val="none"/>
        </w:rPr>
        <w:t>电　　话：0771-5502082</w:t>
      </w:r>
    </w:p>
    <w:p>
      <w:pPr>
        <w:spacing w:line="440" w:lineRule="exact"/>
        <w:ind w:firstLine="630" w:firstLineChars="300"/>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附件： </w:t>
      </w:r>
    </w:p>
    <w:p>
      <w:pPr>
        <w:spacing w:line="360" w:lineRule="auto"/>
        <w:ind w:firstLine="420" w:firstLineChars="200"/>
        <w:jc w:val="left"/>
        <w:rPr>
          <w:color w:val="auto"/>
          <w:highlight w:val="none"/>
        </w:rPr>
      </w:pPr>
      <w:r>
        <w:rPr>
          <w:rFonts w:hint="eastAsia" w:ascii="宋体" w:hAnsi="宋体"/>
          <w:color w:val="auto"/>
          <w:szCs w:val="21"/>
          <w:highlight w:val="none"/>
        </w:rPr>
        <w:t>1.CA证书申请方式及操作指南下载地址（现场申请方式见网址：</w:t>
      </w:r>
      <w:r>
        <w:rPr>
          <w:rFonts w:hint="eastAsia"/>
          <w:color w:val="auto"/>
          <w:highlight w:val="none"/>
        </w:rPr>
        <w:fldChar w:fldCharType="begin"/>
      </w:r>
      <w:r>
        <w:rPr>
          <w:color w:val="auto"/>
          <w:highlight w:val="none"/>
        </w:rPr>
        <w:instrText xml:space="preserve"> HYPERLINK "http://www.ccgp-guangxi.gov.cn/OfficeService/DownloadArea/8354055.html?utm=a0003.39a112b4.cmp001.d0002.f0464b20ff2a11eb873141bf9e381949" </w:instrText>
      </w:r>
      <w:r>
        <w:rPr>
          <w:rFonts w:hint="eastAsia"/>
          <w:color w:val="auto"/>
          <w:highlight w:val="none"/>
        </w:rPr>
        <w:fldChar w:fldCharType="separate"/>
      </w:r>
      <w:r>
        <w:rPr>
          <w:rFonts w:hint="eastAsia"/>
          <w:color w:val="auto"/>
          <w:highlight w:val="none"/>
          <w:u w:val="single"/>
        </w:rPr>
        <w:t>http://www.ccgp-guangxi.gov.cn/OfficeService/DownloadArea/8354055.html?utm=a0003.39a112b4.cmp001.d0002.f0464b20ff2a11eb873141bf9e381949</w:t>
      </w:r>
      <w:r>
        <w:rPr>
          <w:rFonts w:hint="eastAsia"/>
          <w:color w:val="auto"/>
          <w:highlight w:val="none"/>
          <w:u w:val="single"/>
        </w:rPr>
        <w:fldChar w:fldCharType="end"/>
      </w:r>
      <w:r>
        <w:rPr>
          <w:rFonts w:hint="eastAsia"/>
          <w:color w:val="auto"/>
          <w:highlight w:val="none"/>
        </w:rPr>
        <w:t>（广西政府采购网）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2.操作流程可参考《政府采购项目电子交易管理操作指南-供应商》，指南可在“http://www.ccgp-guangxi.gov.cn/PurchaseAdvisory/ImportantNotice/2866753.html”下载。</w:t>
      </w:r>
    </w:p>
    <w:p>
      <w:pPr>
        <w:spacing w:line="360" w:lineRule="auto"/>
        <w:ind w:firstLine="420" w:firstLineChars="200"/>
        <w:jc w:val="left"/>
        <w:rPr>
          <w:rFonts w:ascii="宋体" w:hAnsi="宋体"/>
          <w:color w:val="auto"/>
          <w:szCs w:val="21"/>
          <w:highlight w:val="none"/>
        </w:rPr>
      </w:pPr>
    </w:p>
    <w:p>
      <w:pPr>
        <w:spacing w:line="440" w:lineRule="exact"/>
        <w:jc w:val="right"/>
        <w:rPr>
          <w:rFonts w:ascii="宋体" w:hAnsi="宋体"/>
          <w:color w:val="auto"/>
          <w:szCs w:val="21"/>
          <w:highlight w:val="none"/>
        </w:rPr>
      </w:pPr>
      <w:r>
        <w:rPr>
          <w:rFonts w:hint="eastAsia" w:ascii="宋体" w:hAnsi="宋体"/>
          <w:color w:val="auto"/>
          <w:szCs w:val="21"/>
          <w:highlight w:val="none"/>
        </w:rPr>
        <w:t>釆购代理机构：华新项目管理集团有限公司</w:t>
      </w:r>
    </w:p>
    <w:p>
      <w:pPr>
        <w:spacing w:line="440" w:lineRule="exact"/>
        <w:jc w:val="right"/>
        <w:rPr>
          <w:rFonts w:ascii="宋体" w:hAnsi="宋体"/>
          <w:b/>
          <w:color w:val="auto"/>
          <w:sz w:val="32"/>
          <w:szCs w:val="32"/>
          <w:highlight w:val="none"/>
        </w:rPr>
      </w:pPr>
      <w:r>
        <w:rPr>
          <w:rFonts w:hint="eastAsia" w:ascii="宋体" w:hAnsi="宋体"/>
          <w:color w:val="auto"/>
          <w:szCs w:val="21"/>
          <w:highlight w:val="none"/>
        </w:rPr>
        <w:t xml:space="preserve">                             2022年6月</w:t>
      </w:r>
      <w:r>
        <w:rPr>
          <w:rFonts w:hint="eastAsia" w:ascii="宋体" w:hAnsi="宋体"/>
          <w:color w:val="auto"/>
          <w:szCs w:val="21"/>
          <w:highlight w:val="none"/>
          <w:lang w:val="en-US" w:eastAsia="zh-CN"/>
        </w:rPr>
        <w:t>6</w:t>
      </w:r>
      <w:r>
        <w:rPr>
          <w:rFonts w:hint="eastAsia" w:ascii="宋体" w:hAnsi="宋体"/>
          <w:color w:val="auto"/>
          <w:szCs w:val="21"/>
          <w:highlight w:val="none"/>
        </w:rPr>
        <w:t>日</w:t>
      </w:r>
      <w:bookmarkEnd w:id="4"/>
    </w:p>
    <w:p>
      <w:pPr>
        <w:pStyle w:val="4"/>
        <w:spacing w:before="0" w:after="120" w:line="415" w:lineRule="auto"/>
        <w:jc w:val="center"/>
        <w:rPr>
          <w:color w:val="auto"/>
          <w:highlight w:val="none"/>
        </w:rPr>
      </w:pPr>
      <w:r>
        <w:rPr>
          <w:color w:val="auto"/>
          <w:highlight w:val="none"/>
        </w:rPr>
        <w:br w:type="page"/>
      </w:r>
      <w:bookmarkStart w:id="79" w:name="_Toc44229894"/>
      <w:bookmarkStart w:id="80" w:name="_Toc73549987"/>
      <w:bookmarkStart w:id="81" w:name="_Toc4400"/>
      <w:r>
        <w:rPr>
          <w:rFonts w:hint="eastAsia"/>
          <w:color w:val="auto"/>
          <w:highlight w:val="none"/>
        </w:rPr>
        <w:t>第二章 供应商须知</w:t>
      </w:r>
      <w:bookmarkEnd w:id="79"/>
      <w:bookmarkEnd w:id="80"/>
      <w:bookmarkEnd w:id="81"/>
    </w:p>
    <w:p>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pPr>
        <w:spacing w:line="240" w:lineRule="exact"/>
        <w:jc w:val="center"/>
        <w:rPr>
          <w:rFonts w:ascii="宋体" w:hAnsi="宋体"/>
          <w:b/>
          <w:color w:val="auto"/>
          <w:sz w:val="32"/>
          <w:szCs w:val="32"/>
          <w:highlight w:val="none"/>
        </w:rPr>
      </w:pPr>
    </w:p>
    <w:tbl>
      <w:tblPr>
        <w:tblStyle w:val="32"/>
        <w:tblW w:w="92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422"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8231" w:type="dxa"/>
          </w:tcPr>
          <w:p>
            <w:pPr>
              <w:spacing w:line="422" w:lineRule="exact"/>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22"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231" w:type="dxa"/>
            <w:vAlign w:val="center"/>
          </w:tcPr>
          <w:p>
            <w:pPr>
              <w:spacing w:line="422" w:lineRule="exact"/>
              <w:rPr>
                <w:rFonts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22"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8231" w:type="dxa"/>
            <w:vAlign w:val="center"/>
          </w:tcPr>
          <w:p>
            <w:pPr>
              <w:spacing w:line="422" w:lineRule="exact"/>
              <w:rPr>
                <w:rFonts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22" w:lineRule="exact"/>
              <w:jc w:val="center"/>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8231" w:type="dxa"/>
            <w:vAlign w:val="center"/>
          </w:tcPr>
          <w:p>
            <w:pPr>
              <w:spacing w:line="422" w:lineRule="exact"/>
              <w:rPr>
                <w:rFonts w:ascii="宋体" w:hAnsi="宋体" w:cs="宋体"/>
                <w:color w:val="auto"/>
                <w:szCs w:val="21"/>
                <w:highlight w:val="none"/>
              </w:rPr>
            </w:pPr>
            <w:r>
              <w:rPr>
                <w:rFonts w:hint="eastAsia" w:ascii="宋体" w:hAnsi="宋体"/>
                <w:color w:val="auto"/>
                <w:szCs w:val="21"/>
                <w:highlight w:val="none"/>
              </w:rPr>
              <w:t>本项目不接受联合体竞标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22" w:lineRule="exact"/>
              <w:jc w:val="center"/>
              <w:rPr>
                <w:rFonts w:ascii="宋体" w:hAnsi="宋体" w:cs="宋体"/>
                <w:color w:val="auto"/>
                <w:szCs w:val="21"/>
                <w:highlight w:val="none"/>
              </w:rPr>
            </w:pPr>
            <w:r>
              <w:rPr>
                <w:rFonts w:hint="eastAsia" w:ascii="宋体" w:hAnsi="宋体" w:cs="宋体"/>
                <w:color w:val="auto"/>
                <w:szCs w:val="21"/>
                <w:highlight w:val="none"/>
              </w:rPr>
              <w:t>6.2</w:t>
            </w:r>
          </w:p>
        </w:tc>
        <w:tc>
          <w:tcPr>
            <w:tcW w:w="8231" w:type="dxa"/>
            <w:vAlign w:val="center"/>
          </w:tcPr>
          <w:p>
            <w:pPr>
              <w:pStyle w:val="14"/>
              <w:spacing w:line="422" w:lineRule="exact"/>
              <w:rPr>
                <w:rFonts w:ascii="宋体" w:hAnsi="宋体"/>
                <w:color w:val="auto"/>
                <w:szCs w:val="21"/>
                <w:highlight w:val="none"/>
              </w:rPr>
            </w:pPr>
            <w:r>
              <w:rPr>
                <w:rFonts w:hint="eastAsia" w:ascii="宋体" w:hAnsi="宋体"/>
                <w:color w:val="auto"/>
                <w:szCs w:val="21"/>
                <w:highlight w:val="none"/>
              </w:rPr>
              <w:t>☑不允许分包</w:t>
            </w:r>
          </w:p>
          <w:p>
            <w:pPr>
              <w:pStyle w:val="14"/>
              <w:spacing w:line="422" w:lineRule="exact"/>
              <w:rPr>
                <w:rFonts w:ascii="宋体" w:hAnsi="宋体"/>
                <w:color w:val="auto"/>
                <w:szCs w:val="21"/>
                <w:highlight w:val="none"/>
              </w:rPr>
            </w:pPr>
            <w:r>
              <w:rPr>
                <w:rFonts w:hint="eastAsia" w:ascii="宋体" w:hAnsi="宋体"/>
                <w:color w:val="auto"/>
                <w:szCs w:val="21"/>
                <w:highlight w:val="none"/>
              </w:rPr>
              <w:t>□允许分包</w:t>
            </w:r>
          </w:p>
          <w:p>
            <w:pPr>
              <w:pStyle w:val="14"/>
              <w:spacing w:line="422" w:lineRule="exact"/>
              <w:rPr>
                <w:rFonts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rPr>
              <w:t>/</w:t>
            </w:r>
          </w:p>
          <w:p>
            <w:pPr>
              <w:pStyle w:val="14"/>
              <w:spacing w:line="422" w:lineRule="exact"/>
              <w:rPr>
                <w:rFonts w:ascii="宋体" w:hAnsi="宋体" w:cs="宋体"/>
                <w:color w:val="auto"/>
                <w:szCs w:val="21"/>
                <w:highlight w:val="none"/>
              </w:rPr>
            </w:pPr>
            <w:r>
              <w:rPr>
                <w:rFonts w:hint="eastAsia" w:ascii="宋体" w:hAnsi="宋体"/>
                <w:color w:val="auto"/>
                <w:szCs w:val="21"/>
                <w:highlight w:val="none"/>
              </w:rPr>
              <w:t>分包金额或者比例：</w:t>
            </w:r>
            <w:r>
              <w:rPr>
                <w:rFonts w:hint="eastAsia" w:ascii="宋体" w:hAnsi="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22" w:lineRule="exact"/>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8231" w:type="dxa"/>
            <w:vAlign w:val="center"/>
          </w:tcPr>
          <w:p>
            <w:pPr>
              <w:snapToGrid w:val="0"/>
              <w:spacing w:line="422" w:lineRule="exact"/>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pPr>
              <w:pStyle w:val="14"/>
              <w:spacing w:line="422" w:lineRule="exact"/>
              <w:rPr>
                <w:rFonts w:ascii="宋体" w:hAnsi="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422" w:lineRule="exact"/>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2021年11月至2022年4月</w:t>
            </w:r>
            <w:r>
              <w:rPr>
                <w:rFonts w:hint="eastAsia" w:ascii="宋体" w:hAnsi="宋体" w:cs="宋体"/>
                <w:color w:val="auto"/>
                <w:szCs w:val="21"/>
                <w:highlight w:val="none"/>
              </w:rPr>
              <w:t>内连续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个月的依法缴纳税收的凭据复印件；</w:t>
            </w:r>
            <w:r>
              <w:rPr>
                <w:rFonts w:hint="eastAsia" w:ascii="宋体" w:hAnsi="宋体"/>
                <w:color w:val="auto"/>
                <w:szCs w:val="21"/>
                <w:highlight w:val="none"/>
              </w:rPr>
              <w:t>依法免税的供应商，必须提供相应文件证明其依法免税。</w:t>
            </w:r>
            <w:r>
              <w:rPr>
                <w:rFonts w:hint="eastAsia" w:ascii="宋体" w:hAnsi="宋体" w:cs="宋体"/>
                <w:color w:val="auto"/>
                <w:szCs w:val="21"/>
                <w:highlight w:val="none"/>
              </w:rPr>
              <w:t>从取得营业执照时间起到首次响应文件提交截止时间为止不足要求月数的，只需提供从取得营业执照起的依法缴纳税收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无营业收入的行政事业单位</w:t>
            </w:r>
            <w:r>
              <w:rPr>
                <w:rFonts w:hint="eastAsia" w:ascii="宋体" w:hAnsi="宋体"/>
                <w:b/>
                <w:color w:val="auto"/>
                <w:szCs w:val="21"/>
                <w:highlight w:val="none"/>
              </w:rPr>
              <w:t>且符合国家有关免税政策的，可只提供加盖单位公章的依法免税声明，并对声明的真实性负责</w:t>
            </w:r>
            <w:r>
              <w:rPr>
                <w:rFonts w:hint="eastAsia" w:ascii="宋体" w:hAnsi="宋体" w:cs="宋体"/>
                <w:b/>
                <w:color w:val="auto"/>
                <w:szCs w:val="21"/>
                <w:highlight w:val="none"/>
              </w:rPr>
              <w:t>（必须提供，否则响应文件按无效响应处理）；</w:t>
            </w:r>
          </w:p>
          <w:p>
            <w:pPr>
              <w:snapToGrid w:val="0"/>
              <w:spacing w:line="422" w:lineRule="exact"/>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color w:val="auto"/>
                <w:highlight w:val="none"/>
              </w:rPr>
              <w:t xml:space="preserve"> </w:t>
            </w:r>
            <w:r>
              <w:rPr>
                <w:rFonts w:hint="eastAsia" w:ascii="宋体" w:hAnsi="宋体" w:cs="宋体"/>
                <w:color w:val="auto"/>
                <w:szCs w:val="21"/>
                <w:highlight w:val="none"/>
              </w:rPr>
              <w:t>供应商依法缴纳社会保障资金的相关材料[2021年11月至2022年 4 月内任意连续三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422" w:lineRule="exact"/>
              <w:jc w:val="left"/>
              <w:rPr>
                <w:rFonts w:ascii="宋体" w:hAnsi="宋体" w:cs="宋体"/>
                <w:bCs/>
                <w:color w:val="auto"/>
                <w:szCs w:val="21"/>
                <w:highlight w:val="none"/>
              </w:rPr>
            </w:pPr>
            <w:r>
              <w:rPr>
                <w:rFonts w:hint="eastAsia" w:ascii="宋体" w:hAnsi="宋体" w:cs="宋体"/>
                <w:color w:val="auto"/>
                <w:szCs w:val="21"/>
                <w:highlight w:val="none"/>
              </w:rPr>
              <w:t>4.供应商财务状况报告（提供</w:t>
            </w:r>
            <w:r>
              <w:rPr>
                <w:rFonts w:hint="eastAsia" w:ascii="宋体" w:hAnsi="宋体" w:cs="宋体"/>
                <w:color w:val="auto"/>
                <w:szCs w:val="21"/>
                <w:highlight w:val="none"/>
                <w:u w:val="single"/>
              </w:rPr>
              <w:t>2021</w:t>
            </w:r>
            <w:r>
              <w:rPr>
                <w:rFonts w:hint="eastAsia" w:ascii="宋体" w:hAnsi="宋体" w:cs="宋体"/>
                <w:color w:val="auto"/>
                <w:szCs w:val="21"/>
                <w:highlight w:val="none"/>
              </w:rPr>
              <w:t>年度经审计的财务报告复印件或者其基本开户银行出具的资信证明或者截标时间前半年内至少一个月能反映财务状况的报表或者供应商自拟的截标时间前半年内至少一个月的财务情况说明）；</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bCs/>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422" w:lineRule="exact"/>
              <w:jc w:val="left"/>
              <w:rPr>
                <w:rFonts w:ascii="宋体" w:hAnsi="宋体"/>
                <w:b/>
                <w:color w:val="auto"/>
                <w:szCs w:val="21"/>
                <w:highlight w:val="none"/>
              </w:rPr>
            </w:pPr>
            <w:r>
              <w:rPr>
                <w:rFonts w:hint="eastAsia" w:ascii="宋体" w:hAnsi="宋体" w:cs="宋体"/>
                <w:color w:val="auto"/>
                <w:szCs w:val="21"/>
                <w:highlight w:val="none"/>
              </w:rPr>
              <w:t>6.本项目的特定资格要求：供应商资质证书复印件（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422" w:lineRule="exact"/>
              <w:jc w:val="left"/>
              <w:rPr>
                <w:rFonts w:ascii="宋体" w:hAnsi="宋体" w:cs="宋体"/>
                <w:color w:val="auto"/>
                <w:szCs w:val="21"/>
                <w:highlight w:val="none"/>
              </w:rPr>
            </w:pPr>
            <w:r>
              <w:rPr>
                <w:rFonts w:hint="eastAsia" w:ascii="宋体" w:hAnsi="宋体" w:cs="宋体"/>
                <w:color w:val="auto"/>
                <w:szCs w:val="21"/>
                <w:highlight w:val="none"/>
              </w:rPr>
              <w:t>7.竞标声明（格式后附）；（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422" w:lineRule="exact"/>
              <w:jc w:val="left"/>
              <w:rPr>
                <w:rFonts w:ascii="宋体" w:hAnsi="宋体" w:cs="宋体"/>
                <w:color w:val="auto"/>
                <w:szCs w:val="21"/>
                <w:highlight w:val="none"/>
              </w:rPr>
            </w:pPr>
            <w:r>
              <w:rPr>
                <w:rFonts w:hint="eastAsia" w:ascii="宋体" w:hAnsi="宋体" w:cs="宋体"/>
                <w:color w:val="auto"/>
                <w:szCs w:val="21"/>
                <w:highlight w:val="none"/>
              </w:rPr>
              <w:t>8.中小企业声明函或者残疾人福利性单位声明函或者供应商属于监狱企业的证明材料（格式后附）；【</w:t>
            </w:r>
            <w:r>
              <w:rPr>
                <w:rFonts w:hint="eastAsia" w:ascii="宋体" w:hAnsi="宋体" w:cs="宋体"/>
                <w:b/>
                <w:color w:val="auto"/>
                <w:szCs w:val="21"/>
                <w:highlight w:val="none"/>
              </w:rPr>
              <w:t>本项目如为专门面向中小企业采购时必须提供，否则响应文件作无效处理</w:t>
            </w:r>
            <w:r>
              <w:rPr>
                <w:rFonts w:hint="eastAsia" w:ascii="宋体" w:hAnsi="宋体" w:cs="宋体"/>
                <w:color w:val="auto"/>
                <w:szCs w:val="21"/>
                <w:highlight w:val="none"/>
              </w:rPr>
              <w:t>】</w:t>
            </w:r>
          </w:p>
          <w:p>
            <w:pPr>
              <w:snapToGrid w:val="0"/>
              <w:spacing w:line="422" w:lineRule="exact"/>
              <w:jc w:val="left"/>
              <w:rPr>
                <w:rFonts w:ascii="宋体" w:hAnsi="宋体" w:cs="宋体"/>
                <w:color w:val="auto"/>
                <w:szCs w:val="21"/>
                <w:highlight w:val="none"/>
              </w:rPr>
            </w:pPr>
            <w:r>
              <w:rPr>
                <w:rFonts w:hint="eastAsia" w:ascii="宋体" w:hAnsi="宋体" w:cs="宋体"/>
                <w:color w:val="auto"/>
                <w:szCs w:val="21"/>
                <w:highlight w:val="none"/>
              </w:rPr>
              <w:t>9.除磋商文件规定必须提供以外，供应商认为需要提供的其他证明材料；</w:t>
            </w:r>
          </w:p>
          <w:p>
            <w:pPr>
              <w:snapToGrid w:val="0"/>
              <w:spacing w:line="422" w:lineRule="exact"/>
              <w:jc w:val="left"/>
              <w:rPr>
                <w:rFonts w:ascii="宋体" w:hAnsi="宋体" w:cs="宋体"/>
                <w:b/>
                <w:color w:val="auto"/>
                <w:szCs w:val="21"/>
                <w:highlight w:val="none"/>
              </w:rPr>
            </w:pPr>
            <w:r>
              <w:rPr>
                <w:rFonts w:hint="eastAsia" w:ascii="宋体" w:hAnsi="宋体" w:cs="宋体"/>
                <w:b/>
                <w:color w:val="auto"/>
                <w:szCs w:val="21"/>
                <w:highlight w:val="none"/>
              </w:rPr>
              <w:t>注：</w:t>
            </w:r>
          </w:p>
          <w:p>
            <w:pPr>
              <w:snapToGrid w:val="0"/>
              <w:spacing w:line="422"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1.以上标明“必须提供”的材料属于复印件的，必须加盖供应商公章，否则响应文件按无效响应处理。</w:t>
            </w:r>
          </w:p>
          <w:p>
            <w:pPr>
              <w:snapToGrid w:val="0"/>
              <w:spacing w:line="422"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2.竞标声明必须由法定代表人在规定签章处签字并加盖供应商公章，否则响应文件按无效响应处理。</w:t>
            </w:r>
          </w:p>
          <w:p>
            <w:pPr>
              <w:pStyle w:val="14"/>
              <w:spacing w:line="422"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3.联合体竞标时，第1-7项资格证明文件联合体各方均必须分别提供，联合体各方分别盖章和签字，否则响应文件按无效响应处理。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22" w:lineRule="exact"/>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2</w:t>
            </w:r>
          </w:p>
        </w:tc>
        <w:tc>
          <w:tcPr>
            <w:tcW w:w="8231" w:type="dxa"/>
            <w:vAlign w:val="center"/>
          </w:tcPr>
          <w:p>
            <w:pPr>
              <w:spacing w:line="422" w:lineRule="exact"/>
              <w:rPr>
                <w:rFonts w:ascii="宋体" w:hAnsi="宋体" w:cs="宋体"/>
                <w:b/>
                <w:bCs/>
                <w:color w:val="auto"/>
                <w:szCs w:val="21"/>
                <w:highlight w:val="none"/>
              </w:rPr>
            </w:pPr>
            <w:r>
              <w:rPr>
                <w:rFonts w:hint="eastAsia" w:ascii="宋体" w:hAnsi="宋体" w:cs="宋体"/>
                <w:b/>
                <w:bCs/>
                <w:color w:val="auto"/>
                <w:szCs w:val="21"/>
                <w:highlight w:val="none"/>
              </w:rPr>
              <w:t>报价商务技术文件</w:t>
            </w:r>
          </w:p>
          <w:p>
            <w:pPr>
              <w:spacing w:line="422" w:lineRule="exact"/>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422" w:lineRule="exact"/>
              <w:rPr>
                <w:rFonts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422" w:lineRule="exact"/>
              <w:jc w:val="left"/>
              <w:rPr>
                <w:rFonts w:ascii="宋体" w:hAnsi="宋体" w:cs="宋体"/>
                <w:color w:val="auto"/>
                <w:szCs w:val="21"/>
                <w:highlight w:val="none"/>
              </w:rPr>
            </w:pPr>
            <w:r>
              <w:rPr>
                <w:rFonts w:hint="eastAsia" w:ascii="宋体" w:hAnsi="宋体" w:cs="宋体"/>
                <w:color w:val="auto"/>
                <w:szCs w:val="21"/>
                <w:highlight w:val="none"/>
              </w:rPr>
              <w:t>3.法定代表人身份证明及法定代表人有效身份证正反面复印件（格式后附）；（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422" w:lineRule="exact"/>
              <w:rPr>
                <w:rFonts w:ascii="宋体" w:hAnsi="宋体" w:cs="宋体"/>
                <w:b/>
                <w:color w:val="auto"/>
                <w:szCs w:val="21"/>
                <w:highlight w:val="none"/>
              </w:rPr>
            </w:pPr>
            <w:r>
              <w:rPr>
                <w:rFonts w:hint="eastAsia" w:ascii="宋体" w:hAnsi="宋体" w:cs="宋体"/>
                <w:color w:val="auto"/>
                <w:szCs w:val="21"/>
                <w:highlight w:val="none"/>
              </w:rPr>
              <w:t>4.法定代表人授权委托书及其委托代理人有效身份证正反面复印件（格式后附）；（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pPr>
              <w:spacing w:line="422" w:lineRule="exact"/>
              <w:rPr>
                <w:rFonts w:ascii="宋体" w:hAnsi="宋体" w:cs="宋体"/>
                <w:color w:val="auto"/>
                <w:szCs w:val="21"/>
                <w:highlight w:val="none"/>
              </w:rPr>
            </w:pPr>
            <w:r>
              <w:rPr>
                <w:rFonts w:hint="eastAsia" w:ascii="宋体" w:hAnsi="宋体" w:cs="宋体"/>
                <w:color w:val="auto"/>
                <w:szCs w:val="21"/>
                <w:highlight w:val="none"/>
              </w:rPr>
              <w:t>5.磋商保证金提交凭证复印件（格式自拟）；</w:t>
            </w:r>
            <w:r>
              <w:rPr>
                <w:rFonts w:hint="eastAsia" w:ascii="宋体" w:hAnsi="宋体" w:cs="宋体"/>
                <w:b/>
                <w:bCs/>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b/>
                <w:bCs/>
                <w:color w:val="auto"/>
                <w:szCs w:val="21"/>
                <w:highlight w:val="none"/>
              </w:rPr>
              <w:t>）</w:t>
            </w:r>
          </w:p>
          <w:p>
            <w:pPr>
              <w:spacing w:line="422" w:lineRule="exact"/>
              <w:rPr>
                <w:rFonts w:ascii="宋体" w:hAnsi="宋体" w:cs="宋体"/>
                <w:color w:val="auto"/>
                <w:szCs w:val="21"/>
                <w:highlight w:val="none"/>
              </w:rPr>
            </w:pPr>
            <w:r>
              <w:rPr>
                <w:rFonts w:hint="eastAsia" w:ascii="宋体" w:hAnsi="宋体" w:cs="宋体"/>
                <w:color w:val="auto"/>
                <w:szCs w:val="21"/>
                <w:highlight w:val="none"/>
              </w:rPr>
              <w:t>6.商务条款偏离表（格式后附）；（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422" w:lineRule="exact"/>
              <w:rPr>
                <w:rFonts w:ascii="宋体" w:hAnsi="宋体" w:cs="宋体"/>
                <w:color w:val="auto"/>
                <w:szCs w:val="21"/>
                <w:highlight w:val="none"/>
              </w:rPr>
            </w:pPr>
            <w:r>
              <w:rPr>
                <w:rFonts w:hint="eastAsia" w:ascii="宋体" w:hAnsi="宋体" w:cs="宋体"/>
                <w:color w:val="auto"/>
                <w:szCs w:val="21"/>
                <w:highlight w:val="none"/>
              </w:rPr>
              <w:t>7.服务方案；（</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422" w:lineRule="exact"/>
              <w:rPr>
                <w:rFonts w:ascii="宋体" w:hAnsi="宋体" w:cs="宋体"/>
                <w:color w:val="auto"/>
                <w:szCs w:val="21"/>
                <w:highlight w:val="none"/>
              </w:rPr>
            </w:pPr>
            <w:r>
              <w:rPr>
                <w:rFonts w:hint="eastAsia" w:ascii="宋体" w:hAnsi="宋体" w:cs="宋体"/>
                <w:color w:val="auto"/>
                <w:szCs w:val="21"/>
                <w:highlight w:val="none"/>
              </w:rPr>
              <w:t>8.技术需求偏离表（格式后附）；（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422" w:lineRule="exact"/>
              <w:rPr>
                <w:rFonts w:ascii="宋体" w:hAnsi="宋体" w:cs="宋体"/>
                <w:color w:val="auto"/>
                <w:szCs w:val="21"/>
                <w:highlight w:val="none"/>
              </w:rPr>
            </w:pPr>
            <w:r>
              <w:rPr>
                <w:rFonts w:hint="eastAsia" w:ascii="宋体" w:hAnsi="宋体" w:cs="宋体"/>
                <w:color w:val="auto"/>
                <w:szCs w:val="21"/>
                <w:highlight w:val="none"/>
              </w:rPr>
              <w:t>9.响应函（格式后附）；（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422" w:lineRule="exact"/>
              <w:rPr>
                <w:rFonts w:ascii="宋体" w:hAnsi="宋体" w:cs="宋体"/>
                <w:color w:val="auto"/>
                <w:szCs w:val="21"/>
                <w:highlight w:val="none"/>
              </w:rPr>
            </w:pPr>
            <w:r>
              <w:rPr>
                <w:rFonts w:hint="eastAsia" w:ascii="宋体" w:hAnsi="宋体" w:cs="宋体"/>
                <w:color w:val="auto"/>
                <w:szCs w:val="21"/>
                <w:highlight w:val="none"/>
              </w:rPr>
              <w:t xml:space="preserve">10.项目实施人员一览表（格式自拟）； </w:t>
            </w:r>
          </w:p>
          <w:p>
            <w:pPr>
              <w:spacing w:line="422" w:lineRule="exact"/>
              <w:rPr>
                <w:rFonts w:ascii="宋体" w:hAnsi="宋体" w:cs="宋体"/>
                <w:color w:val="auto"/>
                <w:szCs w:val="21"/>
                <w:highlight w:val="none"/>
              </w:rPr>
            </w:pPr>
            <w:r>
              <w:rPr>
                <w:rFonts w:hint="eastAsia" w:ascii="宋体" w:hAnsi="宋体" w:cs="宋体"/>
                <w:color w:val="auto"/>
                <w:szCs w:val="21"/>
                <w:highlight w:val="none"/>
              </w:rPr>
              <w:t>11.对应采购需求的技术需求、商务条款提供的其他文件资料；</w:t>
            </w:r>
          </w:p>
          <w:p>
            <w:pPr>
              <w:spacing w:line="422" w:lineRule="exac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2.供应商认为需要提供的其他有关资料。</w:t>
            </w:r>
          </w:p>
          <w:p>
            <w:pPr>
              <w:snapToGrid w:val="0"/>
              <w:spacing w:line="422" w:lineRule="exact"/>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pPr>
              <w:snapToGrid w:val="0"/>
              <w:spacing w:line="422"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1.法定代表人授权委托书必须由法定代表人及其委托代理人签字，并加盖供应商公章，否则响应文件按无效响应处理。</w:t>
            </w:r>
          </w:p>
          <w:p>
            <w:pPr>
              <w:spacing w:line="422" w:lineRule="exact"/>
              <w:ind w:firstLine="413" w:firstLineChars="196"/>
              <w:rPr>
                <w:rFonts w:ascii="宋体" w:hAns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.以上标明“必须提供”的材料属于复印件的，必须加盖供应商公章，否则响应文件按无效响应处理。</w:t>
            </w:r>
          </w:p>
          <w:p>
            <w:pPr>
              <w:spacing w:line="422" w:lineRule="exact"/>
              <w:ind w:firstLine="413" w:firstLineChars="196"/>
              <w:rPr>
                <w:rFonts w:ascii="宋体" w:hAnsi="宋体" w:cs="宋体"/>
                <w:color w:val="auto"/>
                <w:szCs w:val="21"/>
                <w:highlight w:val="none"/>
              </w:rPr>
            </w:pPr>
            <w:r>
              <w:rPr>
                <w:rFonts w:hint="eastAsia" w:ascii="宋体" w:hAnsi="宋体" w:cs="宋体"/>
                <w:b/>
                <w:color w:val="auto"/>
                <w:szCs w:val="21"/>
                <w:highlight w:val="none"/>
              </w:rPr>
              <w:t>3.以上材料未附格式的，由供应商自行拟定。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22" w:lineRule="exact"/>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2</w:t>
            </w:r>
          </w:p>
        </w:tc>
        <w:tc>
          <w:tcPr>
            <w:tcW w:w="8231" w:type="dxa"/>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pPr>
              <w:snapToGrid w:val="0"/>
              <w:spacing w:line="422" w:lineRule="exact"/>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.响应文件电子版密封方式：电子响应文件通过平台有效CA加密后在“政采云”平台投送。（操作方式见公告附件“</w:t>
            </w:r>
            <w:r>
              <w:rPr>
                <w:rFonts w:hint="eastAsia" w:ascii="宋体" w:hAnsi="宋体"/>
                <w:color w:val="auto"/>
                <w:szCs w:val="21"/>
                <w:highlight w:val="none"/>
              </w:rPr>
              <w:t>电子响应文件制作与投送教程</w:t>
            </w:r>
            <w:r>
              <w:rPr>
                <w:rFonts w:hint="eastAsia" w:ascii="宋体" w:hAnsi="宋体" w:cs="Courier New"/>
                <w:color w:val="auto"/>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22" w:lineRule="exact"/>
              <w:jc w:val="center"/>
              <w:rPr>
                <w:rFonts w:ascii="宋体" w:hAnsi="宋体" w:cs="宋体"/>
                <w:color w:val="auto"/>
                <w:szCs w:val="21"/>
                <w:highlight w:val="none"/>
              </w:rPr>
            </w:pPr>
            <w:r>
              <w:rPr>
                <w:rFonts w:hint="eastAsia" w:ascii="宋体" w:hAnsi="宋体" w:cs="宋体"/>
                <w:color w:val="auto"/>
                <w:szCs w:val="21"/>
                <w:highlight w:val="none"/>
              </w:rPr>
              <w:t>15.2</w:t>
            </w:r>
          </w:p>
        </w:tc>
        <w:tc>
          <w:tcPr>
            <w:tcW w:w="8231" w:type="dxa"/>
            <w:vAlign w:val="center"/>
          </w:tcPr>
          <w:p>
            <w:pPr>
              <w:snapToGrid w:val="0"/>
              <w:spacing w:line="422" w:lineRule="exact"/>
              <w:jc w:val="left"/>
              <w:rPr>
                <w:rFonts w:ascii="宋体" w:hAnsi="宋体" w:cs="宋体"/>
                <w:color w:val="auto"/>
                <w:szCs w:val="21"/>
                <w:highlight w:val="none"/>
              </w:rPr>
            </w:pPr>
            <w:r>
              <w:rPr>
                <w:rFonts w:hint="eastAsia" w:ascii="宋体" w:hAnsi="宋体" w:cs="宋体"/>
                <w:color w:val="auto"/>
                <w:szCs w:val="21"/>
                <w:highlight w:val="none"/>
              </w:rPr>
              <w:t>竞标报价必须包含满足本次竞标全部采购需求所应提供的服务，以及所有工作任务(出具成果文件)所需的一切费用（含但不限于完成项目过程中所需的劳务、材料、设备、仪器、运输、检测与试验、安全警戒、评审、咨询、会务、管理、保险、税费、利润等费用，以及合同明示或暗示的所有责任、义务和一般风险等各种费用在内）。</w:t>
            </w:r>
          </w:p>
          <w:p>
            <w:pPr>
              <w:snapToGrid w:val="0"/>
              <w:spacing w:line="422" w:lineRule="exact"/>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竞标报价包含验收费用</w:t>
            </w:r>
          </w:p>
          <w:p>
            <w:pPr>
              <w:snapToGrid w:val="0"/>
              <w:spacing w:line="422" w:lineRule="exact"/>
              <w:jc w:val="left"/>
              <w:rPr>
                <w:rFonts w:ascii="宋体" w:hAnsi="宋体" w:cs="宋体"/>
                <w:color w:val="auto"/>
                <w:szCs w:val="21"/>
                <w:highlight w:val="none"/>
              </w:rPr>
            </w:pPr>
            <w:r>
              <w:rPr>
                <w:rFonts w:hint="eastAsia" w:ascii="宋体" w:hAnsi="宋体"/>
                <w:b/>
                <w:color w:val="auto"/>
                <w:szCs w:val="21"/>
                <w:highlight w:val="none"/>
              </w:rPr>
              <w:t>□竞标报价不包含验收费用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22" w:lineRule="exact"/>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8231" w:type="dxa"/>
            <w:vAlign w:val="center"/>
          </w:tcPr>
          <w:p>
            <w:pPr>
              <w:pStyle w:val="12"/>
              <w:widowControl w:val="0"/>
              <w:tabs>
                <w:tab w:val="clear" w:pos="454"/>
              </w:tabs>
              <w:snapToGrid w:val="0"/>
              <w:spacing w:afterLines="0" w:line="422" w:lineRule="exact"/>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90</w:t>
            </w:r>
            <w:r>
              <w:rPr>
                <w:rFonts w:hint="eastAsia" w:ascii="宋体" w:hAnsi="宋体" w:cs="宋体"/>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22" w:lineRule="exact"/>
              <w:jc w:val="center"/>
              <w:rPr>
                <w:rFonts w:ascii="宋体" w:hAnsi="宋体" w:cs="宋体"/>
                <w:color w:val="auto"/>
                <w:szCs w:val="21"/>
                <w:highlight w:val="none"/>
              </w:rPr>
            </w:pPr>
            <w:r>
              <w:rPr>
                <w:rFonts w:hint="eastAsia" w:ascii="宋体" w:hAnsi="宋体" w:cs="宋体"/>
                <w:color w:val="auto"/>
                <w:szCs w:val="21"/>
                <w:highlight w:val="none"/>
              </w:rPr>
              <w:t>17.1</w:t>
            </w:r>
          </w:p>
        </w:tc>
        <w:tc>
          <w:tcPr>
            <w:tcW w:w="8231" w:type="dxa"/>
            <w:vAlign w:val="center"/>
          </w:tcPr>
          <w:p>
            <w:pPr>
              <w:snapToGrid w:val="0"/>
              <w:spacing w:line="422" w:lineRule="exact"/>
              <w:jc w:val="left"/>
              <w:rPr>
                <w:color w:val="auto"/>
                <w:highlight w:val="none"/>
              </w:rPr>
            </w:pPr>
            <w:r>
              <w:rPr>
                <w:rFonts w:hint="eastAsia" w:ascii="宋体" w:hAnsi="宋体" w:cs="宋体"/>
                <w:color w:val="auto"/>
                <w:szCs w:val="21"/>
                <w:highlight w:val="none"/>
              </w:rPr>
              <w:t>本项目收取磋商保证金。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22" w:lineRule="exact"/>
              <w:jc w:val="center"/>
              <w:rPr>
                <w:rFonts w:ascii="宋体" w:hAnsi="宋体" w:cs="宋体"/>
                <w:color w:val="auto"/>
                <w:szCs w:val="21"/>
                <w:highlight w:val="none"/>
              </w:rPr>
            </w:pPr>
            <w:r>
              <w:rPr>
                <w:rFonts w:hint="eastAsia" w:ascii="宋体" w:hAnsi="宋体" w:cs="宋体"/>
                <w:color w:val="auto"/>
                <w:szCs w:val="21"/>
                <w:highlight w:val="none"/>
              </w:rPr>
              <w:t>20.1</w:t>
            </w:r>
          </w:p>
        </w:tc>
        <w:tc>
          <w:tcPr>
            <w:tcW w:w="8231" w:type="dxa"/>
            <w:vAlign w:val="center"/>
          </w:tcPr>
          <w:p>
            <w:pPr>
              <w:snapToGrid w:val="0"/>
              <w:spacing w:line="422" w:lineRule="exact"/>
              <w:jc w:val="left"/>
              <w:rPr>
                <w:rFonts w:ascii="宋体" w:hAnsi="宋体" w:cs="宋体"/>
                <w:color w:val="auto"/>
                <w:szCs w:val="21"/>
                <w:highlight w:val="none"/>
                <w:u w:val="single"/>
              </w:rPr>
            </w:pPr>
            <w:r>
              <w:rPr>
                <w:rFonts w:hint="eastAsia" w:ascii="宋体" w:hAnsi="宋体" w:cs="宋体"/>
                <w:color w:val="auto"/>
                <w:szCs w:val="21"/>
                <w:highlight w:val="none"/>
              </w:rPr>
              <w:t>首次响应文件提交截止时间：详见竞争性磋商公告</w:t>
            </w:r>
          </w:p>
          <w:p>
            <w:pPr>
              <w:snapToGrid w:val="0"/>
              <w:spacing w:line="422" w:lineRule="exact"/>
              <w:jc w:val="left"/>
              <w:rPr>
                <w:rFonts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p>
            <w:pPr>
              <w:spacing w:line="422" w:lineRule="exact"/>
              <w:rPr>
                <w:rFonts w:ascii="宋体" w:hAnsi="宋体" w:cs="宋体"/>
                <w:color w:val="auto"/>
                <w:szCs w:val="21"/>
                <w:highlight w:val="none"/>
              </w:rPr>
            </w:pPr>
            <w:r>
              <w:rPr>
                <w:rFonts w:hint="eastAsia" w:ascii="宋体" w:hAnsi="宋体"/>
                <w:color w:val="auto"/>
                <w:szCs w:val="21"/>
                <w:highlight w:val="none"/>
              </w:rPr>
              <w:t>其他文书、文件递交：详见供应商须知正文“三、响应文件的编制20.4款”。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22" w:lineRule="exact"/>
              <w:jc w:val="center"/>
              <w:rPr>
                <w:rFonts w:ascii="宋体" w:hAnsi="宋体" w:cs="宋体"/>
                <w:color w:val="auto"/>
                <w:szCs w:val="21"/>
                <w:highlight w:val="none"/>
              </w:rPr>
            </w:pPr>
            <w:r>
              <w:rPr>
                <w:rFonts w:hint="eastAsia" w:ascii="宋体" w:hAnsi="宋体" w:cs="宋体"/>
                <w:color w:val="auto"/>
                <w:szCs w:val="21"/>
                <w:highlight w:val="none"/>
              </w:rPr>
              <w:t>24.1</w:t>
            </w:r>
          </w:p>
        </w:tc>
        <w:tc>
          <w:tcPr>
            <w:tcW w:w="8231" w:type="dxa"/>
            <w:vAlign w:val="center"/>
          </w:tcPr>
          <w:p>
            <w:pPr>
              <w:snapToGrid w:val="0"/>
              <w:spacing w:line="422" w:lineRule="exact"/>
              <w:jc w:val="left"/>
              <w:rPr>
                <w:rFonts w:ascii="宋体" w:hAnsi="宋体" w:cs="宋体"/>
                <w:color w:val="auto"/>
                <w:szCs w:val="21"/>
                <w:highlight w:val="none"/>
                <w:u w:val="single"/>
              </w:rPr>
            </w:pPr>
            <w:r>
              <w:rPr>
                <w:rFonts w:hint="eastAsia" w:ascii="宋体" w:hAnsi="宋体" w:cs="宋体"/>
                <w:color w:val="auto"/>
                <w:szCs w:val="21"/>
                <w:highlight w:val="none"/>
              </w:rPr>
              <w:t>磋商小组的人数：5人，其中采购人代表1人，评审专家4人；评审专家从政府采购评审专家库内水运工程相关专业的专家名单中随机抽取。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92" w:type="dxa"/>
            <w:vMerge w:val="restart"/>
            <w:vAlign w:val="center"/>
          </w:tcPr>
          <w:p>
            <w:pPr>
              <w:spacing w:line="422" w:lineRule="exact"/>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6.2</w:t>
            </w:r>
          </w:p>
        </w:tc>
        <w:tc>
          <w:tcPr>
            <w:tcW w:w="8231" w:type="dxa"/>
            <w:vAlign w:val="center"/>
          </w:tcPr>
          <w:p>
            <w:pPr>
              <w:snapToGrid w:val="0"/>
              <w:spacing w:line="422"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pPr>
              <w:snapToGrid w:val="0"/>
              <w:spacing w:line="422" w:lineRule="exact"/>
              <w:rPr>
                <w:rFonts w:ascii="宋体" w:hAnsi="宋体" w:cs="宋体"/>
                <w:color w:val="auto"/>
                <w:szCs w:val="21"/>
                <w:highlight w:val="none"/>
              </w:rPr>
            </w:pPr>
            <w:r>
              <w:rPr>
                <w:rFonts w:hint="eastAsia" w:ascii="宋体" w:hAnsi="宋体" w:cs="宋体"/>
                <w:b/>
                <w:color w:val="auto"/>
                <w:szCs w:val="21"/>
                <w:highlight w:val="none"/>
              </w:rPr>
              <w:t>技术需求评审中允许负偏离的条款数为</w:t>
            </w:r>
            <w:r>
              <w:rPr>
                <w:rFonts w:hint="eastAsia" w:ascii="宋体" w:hAnsi="宋体" w:cs="宋体"/>
                <w:b/>
                <w:color w:val="auto"/>
                <w:szCs w:val="21"/>
                <w:highlight w:val="none"/>
                <w:u w:val="single"/>
              </w:rPr>
              <w:t>0</w:t>
            </w:r>
            <w:r>
              <w:rPr>
                <w:rFonts w:hint="eastAsia" w:ascii="宋体" w:hAnsi="宋体" w:cs="宋体"/>
                <w:b/>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jc w:val="center"/>
        </w:trPr>
        <w:tc>
          <w:tcPr>
            <w:tcW w:w="992" w:type="dxa"/>
            <w:vMerge w:val="continue"/>
            <w:vAlign w:val="center"/>
          </w:tcPr>
          <w:p>
            <w:pPr>
              <w:spacing w:line="422" w:lineRule="exact"/>
              <w:jc w:val="center"/>
              <w:rPr>
                <w:rFonts w:ascii="宋体" w:hAnsi="宋体" w:cs="宋体"/>
                <w:color w:val="auto"/>
                <w:szCs w:val="21"/>
                <w:highlight w:val="none"/>
              </w:rPr>
            </w:pPr>
          </w:p>
        </w:tc>
        <w:tc>
          <w:tcPr>
            <w:tcW w:w="8231" w:type="dxa"/>
            <w:vAlign w:val="center"/>
          </w:tcPr>
          <w:p>
            <w:pPr>
              <w:snapToGrid w:val="0"/>
              <w:spacing w:line="422" w:lineRule="exact"/>
              <w:rPr>
                <w:rFonts w:ascii="宋体" w:hAnsi="宋体" w:cs="宋体"/>
                <w:color w:val="auto"/>
                <w:szCs w:val="21"/>
                <w:highlight w:val="none"/>
              </w:rPr>
            </w:pPr>
            <w:r>
              <w:rPr>
                <w:rFonts w:hint="eastAsia" w:ascii="宋体" w:hAnsi="宋体" w:cs="宋体"/>
                <w:color w:val="auto"/>
                <w:szCs w:val="21"/>
                <w:highlight w:val="none"/>
              </w:rPr>
              <w:t>磋商的顺序：</w:t>
            </w:r>
          </w:p>
          <w:p>
            <w:pPr>
              <w:pStyle w:val="14"/>
              <w:spacing w:line="422" w:lineRule="exact"/>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按照</w:t>
            </w:r>
            <w:r>
              <w:rPr>
                <w:rFonts w:hint="eastAsia" w:ascii="宋体" w:hAnsi="宋体" w:cs="宋体"/>
                <w:color w:val="auto"/>
                <w:szCs w:val="21"/>
                <w:highlight w:val="none"/>
              </w:rPr>
              <w:t>提交首次响应文件的顺序，通知磋商时，若某供应商不在通知现场时（该供应商排序到最后磋商），按照签到的顺序由其下一位供应商先参与磋商。</w:t>
            </w:r>
          </w:p>
          <w:p>
            <w:pPr>
              <w:snapToGrid w:val="0"/>
              <w:spacing w:line="422" w:lineRule="exact"/>
              <w:rPr>
                <w:rFonts w:ascii="宋体" w:hAnsi="宋体" w:cs="宋体"/>
                <w:b/>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随机排序，通过政采云平台参与磋商。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22" w:lineRule="exact"/>
              <w:jc w:val="center"/>
              <w:rPr>
                <w:rFonts w:ascii="宋体" w:hAnsi="宋体" w:cs="宋体"/>
                <w:color w:val="auto"/>
                <w:szCs w:val="21"/>
                <w:highlight w:val="none"/>
              </w:rPr>
            </w:pPr>
            <w:r>
              <w:rPr>
                <w:rFonts w:ascii="宋体" w:hAnsi="宋体" w:cs="宋体"/>
                <w:color w:val="auto"/>
                <w:szCs w:val="21"/>
                <w:highlight w:val="none"/>
              </w:rPr>
              <w:t>28.1</w:t>
            </w:r>
          </w:p>
        </w:tc>
        <w:tc>
          <w:tcPr>
            <w:tcW w:w="8231" w:type="dxa"/>
            <w:vAlign w:val="center"/>
          </w:tcPr>
          <w:p>
            <w:pPr>
              <w:snapToGrid w:val="0"/>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履约保证金金额：合同金额的5</w:t>
            </w:r>
            <w:r>
              <w:rPr>
                <w:rFonts w:ascii="宋体" w:hAnsi="宋体"/>
                <w:color w:val="auto"/>
                <w:szCs w:val="21"/>
                <w:highlight w:val="none"/>
              </w:rPr>
              <w:t>%</w:t>
            </w:r>
            <w:r>
              <w:rPr>
                <w:rFonts w:hint="eastAsia" w:ascii="宋体" w:hAnsi="宋体"/>
                <w:color w:val="auto"/>
                <w:szCs w:val="21"/>
                <w:highlight w:val="none"/>
              </w:rPr>
              <w:t>收取，</w:t>
            </w:r>
            <w:r>
              <w:rPr>
                <w:rFonts w:ascii="宋体" w:hAnsi="宋体"/>
                <w:color w:val="auto"/>
                <w:szCs w:val="21"/>
                <w:highlight w:val="none"/>
              </w:rPr>
              <w:t>由成交人在签订合同前按规定的金额直接缴入采购人账户。否则，不予</w:t>
            </w:r>
            <w:r>
              <w:rPr>
                <w:rFonts w:hint="eastAsia" w:ascii="宋体" w:hAnsi="宋体"/>
                <w:color w:val="auto"/>
                <w:szCs w:val="21"/>
                <w:highlight w:val="none"/>
              </w:rPr>
              <w:t>办理</w:t>
            </w:r>
            <w:r>
              <w:rPr>
                <w:rFonts w:ascii="宋体" w:hAnsi="宋体"/>
                <w:color w:val="auto"/>
                <w:szCs w:val="21"/>
                <w:highlight w:val="none"/>
              </w:rPr>
              <w:t>签订合同</w:t>
            </w:r>
            <w:r>
              <w:rPr>
                <w:rFonts w:hint="eastAsia" w:ascii="宋体" w:hAnsi="宋体"/>
                <w:color w:val="auto"/>
                <w:szCs w:val="21"/>
                <w:highlight w:val="none"/>
              </w:rPr>
              <w:t>。</w:t>
            </w:r>
          </w:p>
          <w:p>
            <w:pPr>
              <w:snapToGrid w:val="0"/>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履约保证金递交方式：银行转账、电汇或网上支付、支票、汇票、本票或者金融机构、担保机构出具的保函等非现金方式。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履约保证金退付方式、时间及条件：</w:t>
            </w:r>
            <w:r>
              <w:rPr>
                <w:rFonts w:ascii="宋体" w:hAnsi="宋体"/>
                <w:color w:val="auto"/>
                <w:szCs w:val="21"/>
                <w:highlight w:val="none"/>
              </w:rPr>
              <w:t>由成交人</w:t>
            </w:r>
            <w:r>
              <w:rPr>
                <w:rFonts w:hint="eastAsia" w:ascii="宋体" w:hAnsi="宋体" w:cs="宋体"/>
                <w:color w:val="auto"/>
                <w:szCs w:val="21"/>
                <w:highlight w:val="none"/>
              </w:rPr>
              <w:t>在设计服务工作完成7日后</w:t>
            </w:r>
            <w:r>
              <w:rPr>
                <w:rFonts w:ascii="宋体" w:hAnsi="宋体"/>
                <w:color w:val="auto"/>
                <w:szCs w:val="21"/>
                <w:highlight w:val="none"/>
              </w:rPr>
              <w:t>向</w:t>
            </w:r>
            <w:r>
              <w:rPr>
                <w:rFonts w:hint="eastAsia" w:ascii="宋体" w:hAnsi="宋体"/>
                <w:color w:val="auto"/>
                <w:szCs w:val="21"/>
                <w:highlight w:val="none"/>
              </w:rPr>
              <w:t>采购人</w:t>
            </w:r>
            <w:r>
              <w:rPr>
                <w:rFonts w:ascii="宋体" w:hAnsi="宋体"/>
                <w:color w:val="auto"/>
                <w:szCs w:val="21"/>
                <w:highlight w:val="none"/>
              </w:rPr>
              <w:t>提供</w:t>
            </w:r>
            <w:r>
              <w:rPr>
                <w:rFonts w:hint="eastAsia" w:ascii="宋体" w:hAnsi="宋体" w:cs="宋体"/>
                <w:color w:val="auto"/>
                <w:szCs w:val="21"/>
                <w:highlight w:val="none"/>
              </w:rPr>
              <w:t>《政府采购项目履约保证金退付意见书》（详见附件1）</w:t>
            </w:r>
            <w:r>
              <w:rPr>
                <w:rFonts w:ascii="宋体" w:hAnsi="宋体"/>
                <w:color w:val="auto"/>
                <w:szCs w:val="21"/>
                <w:highlight w:val="none"/>
              </w:rPr>
              <w:t>，保证金收取单位在收到合格材料后，根据成交人相关违约处罚扣款后的实际数额在</w:t>
            </w:r>
            <w:r>
              <w:rPr>
                <w:rFonts w:hint="eastAsia" w:ascii="宋体" w:hAnsi="宋体"/>
                <w:color w:val="auto"/>
                <w:szCs w:val="21"/>
                <w:highlight w:val="none"/>
              </w:rPr>
              <w:t>10</w:t>
            </w:r>
            <w:r>
              <w:rPr>
                <w:rFonts w:ascii="宋体" w:hAnsi="宋体"/>
                <w:color w:val="auto"/>
                <w:szCs w:val="21"/>
                <w:highlight w:val="none"/>
              </w:rPr>
              <w:t>个工作日内办理退还手续（不计利息）。</w:t>
            </w:r>
          </w:p>
          <w:p>
            <w:pPr>
              <w:snapToGrid w:val="0"/>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履约保证金指定缴纳账户：</w:t>
            </w:r>
          </w:p>
          <w:p>
            <w:pPr>
              <w:snapToGrid w:val="0"/>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 xml:space="preserve">户名：广西壮族自治区港航发展中心 </w:t>
            </w:r>
          </w:p>
          <w:p>
            <w:pPr>
              <w:snapToGrid w:val="0"/>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开户银行：工行南宁市枫林路支行</w:t>
            </w:r>
          </w:p>
          <w:p>
            <w:pPr>
              <w:snapToGrid w:val="0"/>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 xml:space="preserve">账号：2102101109221001515  </w:t>
            </w:r>
          </w:p>
          <w:p>
            <w:pPr>
              <w:snapToGrid w:val="0"/>
              <w:spacing w:line="360" w:lineRule="auto"/>
              <w:ind w:firstLine="205" w:firstLineChars="98"/>
              <w:rPr>
                <w:rFonts w:ascii="宋体" w:hAnsi="宋体"/>
                <w:color w:val="auto"/>
                <w:szCs w:val="21"/>
                <w:highlight w:val="none"/>
              </w:rPr>
            </w:pPr>
            <w:r>
              <w:rPr>
                <w:rFonts w:ascii="宋体" w:hAnsi="宋体"/>
                <w:color w:val="auto"/>
                <w:szCs w:val="21"/>
                <w:highlight w:val="none"/>
              </w:rPr>
              <w:t>转账时注明：XXXX项目，采购编号 XXXX履约保证金。</w:t>
            </w:r>
          </w:p>
          <w:p>
            <w:pPr>
              <w:snapToGrid w:val="0"/>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备注：</w:t>
            </w:r>
          </w:p>
          <w:p>
            <w:pPr>
              <w:snapToGrid w:val="0"/>
              <w:spacing w:line="360" w:lineRule="auto"/>
              <w:ind w:firstLine="207" w:firstLineChars="98"/>
              <w:rPr>
                <w:rFonts w:ascii="宋体" w:hAnsi="宋体"/>
                <w:b/>
                <w:color w:val="auto"/>
                <w:szCs w:val="21"/>
                <w:highlight w:val="none"/>
              </w:rPr>
            </w:pPr>
            <w:r>
              <w:rPr>
                <w:rFonts w:hint="eastAsia" w:ascii="宋体" w:hAnsi="宋体"/>
                <w:b/>
                <w:color w:val="auto"/>
                <w:szCs w:val="21"/>
                <w:highlight w:val="none"/>
              </w:rPr>
              <w:t>1</w:t>
            </w:r>
            <w:r>
              <w:rPr>
                <w:rFonts w:ascii="宋体" w:hAnsi="宋体"/>
                <w:b/>
                <w:color w:val="auto"/>
                <w:szCs w:val="21"/>
                <w:highlight w:val="none"/>
              </w:rPr>
              <w:t>.</w:t>
            </w:r>
            <w:r>
              <w:rPr>
                <w:rFonts w:hint="eastAsia" w:ascii="宋体" w:hAnsi="宋体"/>
                <w:b/>
                <w:color w:val="auto"/>
                <w:szCs w:val="21"/>
                <w:highlight w:val="none"/>
              </w:rPr>
              <w:t xml:space="preserve"> </w:t>
            </w:r>
            <w:bookmarkStart w:id="82" w:name="_Hlk54170335"/>
            <w:r>
              <w:rPr>
                <w:rFonts w:hint="eastAsia" w:ascii="宋体" w:hAnsi="宋体"/>
                <w:b/>
                <w:color w:val="auto"/>
                <w:szCs w:val="21"/>
                <w:highlight w:val="none"/>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82"/>
          </w:p>
          <w:p>
            <w:pPr>
              <w:snapToGrid w:val="0"/>
              <w:spacing w:line="360" w:lineRule="auto"/>
              <w:ind w:firstLine="207" w:firstLineChars="98"/>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w:t>
            </w:r>
            <w:r>
              <w:rPr>
                <w:rFonts w:hint="eastAsia" w:ascii="宋体" w:hAnsi="宋体"/>
                <w:b/>
                <w:color w:val="auto"/>
                <w:szCs w:val="21"/>
                <w:highlight w:val="none"/>
              </w:rPr>
              <w:t>履约保证金不足额缴纳的，或者金融、担保机构出具的保函额度不足的或者保函有效期低于合同履行期限（即签订采购合同之日起至履行完合同约定的权利及义务之日止）的，不予签订合同。</w:t>
            </w:r>
          </w:p>
          <w:p>
            <w:pPr>
              <w:snapToGrid w:val="0"/>
              <w:spacing w:line="360" w:lineRule="auto"/>
              <w:ind w:firstLine="207" w:firstLineChars="98"/>
              <w:rPr>
                <w:rFonts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采用金融、担保机构出具的保函的，必须为无条件保函，否则不予签订合同。</w:t>
            </w:r>
          </w:p>
          <w:p>
            <w:pPr>
              <w:autoSpaceDE w:val="0"/>
              <w:autoSpaceDN w:val="0"/>
              <w:snapToGrid w:val="0"/>
              <w:spacing w:line="360" w:lineRule="auto"/>
              <w:ind w:firstLine="207" w:firstLineChars="98"/>
              <w:textAlignment w:val="bottom"/>
              <w:rPr>
                <w:rFonts w:ascii="宋体" w:hAnsi="宋体"/>
                <w:b/>
                <w:color w:val="auto"/>
                <w:szCs w:val="21"/>
                <w:highlight w:val="none"/>
              </w:rPr>
            </w:pPr>
            <w:r>
              <w:rPr>
                <w:rFonts w:ascii="宋体" w:hAnsi="宋体"/>
                <w:b/>
                <w:color w:val="auto"/>
                <w:szCs w:val="21"/>
                <w:highlight w:val="none"/>
              </w:rPr>
              <w:t>4.</w:t>
            </w:r>
            <w:r>
              <w:rPr>
                <w:rFonts w:hint="eastAsia" w:ascii="宋体" w:hAnsi="宋体"/>
                <w:b/>
                <w:color w:val="auto"/>
                <w:szCs w:val="21"/>
                <w:highlight w:val="none"/>
              </w:rPr>
              <w:t>供应商为联合体的，由联合体任意一方按规定提交的履约保证金，视为有效履约保证金。</w:t>
            </w:r>
          </w:p>
          <w:p>
            <w:pPr>
              <w:autoSpaceDE w:val="0"/>
              <w:autoSpaceDN w:val="0"/>
              <w:snapToGrid w:val="0"/>
              <w:spacing w:line="390" w:lineRule="exact"/>
              <w:ind w:firstLine="207" w:firstLineChars="98"/>
              <w:textAlignment w:val="bottom"/>
              <w:rPr>
                <w:rFonts w:ascii="宋体" w:hAnsi="宋体"/>
                <w:color w:val="auto"/>
                <w:szCs w:val="21"/>
                <w:highlight w:val="none"/>
              </w:rPr>
            </w:pPr>
            <w:r>
              <w:rPr>
                <w:rFonts w:hint="eastAsia" w:ascii="宋体" w:hAnsi="宋体"/>
                <w:b/>
                <w:color w:val="auto"/>
                <w:szCs w:val="21"/>
                <w:highlight w:val="none"/>
              </w:rPr>
              <w:t>5.签订合同后，如成交供应商不按双方签订的合同规定履约，则不退还其全部履约保证金，履约保证金不足以赔偿损失的，按实际损失赔偿。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22" w:lineRule="exact"/>
              <w:jc w:val="center"/>
              <w:rPr>
                <w:rFonts w:ascii="宋体" w:hAnsi="宋体" w:cs="宋体"/>
                <w:color w:val="auto"/>
                <w:szCs w:val="21"/>
                <w:highlight w:val="none"/>
              </w:rPr>
            </w:pPr>
            <w:r>
              <w:rPr>
                <w:rFonts w:ascii="宋体" w:hAnsi="宋体" w:cs="宋体"/>
                <w:color w:val="auto"/>
                <w:szCs w:val="21"/>
                <w:highlight w:val="none"/>
              </w:rPr>
              <w:t>29.1</w:t>
            </w:r>
          </w:p>
        </w:tc>
        <w:tc>
          <w:tcPr>
            <w:tcW w:w="8231" w:type="dxa"/>
            <w:vAlign w:val="center"/>
          </w:tcPr>
          <w:p>
            <w:pPr>
              <w:autoSpaceDE w:val="0"/>
              <w:autoSpaceDN w:val="0"/>
              <w:snapToGrid w:val="0"/>
              <w:spacing w:line="422" w:lineRule="exact"/>
              <w:textAlignment w:val="bottom"/>
              <w:rPr>
                <w:rFonts w:ascii="宋体" w:hAnsi="宋体"/>
                <w:color w:val="auto"/>
                <w:szCs w:val="21"/>
                <w:highlight w:val="none"/>
              </w:rPr>
            </w:pPr>
            <w:r>
              <w:rPr>
                <w:rFonts w:hint="eastAsia" w:ascii="宋体" w:hAnsi="宋体"/>
                <w:color w:val="auto"/>
                <w:szCs w:val="21"/>
                <w:highlight w:val="none"/>
              </w:rPr>
              <w:t>签订合同携带的证明材料：</w:t>
            </w:r>
          </w:p>
          <w:p>
            <w:pPr>
              <w:autoSpaceDE w:val="0"/>
              <w:autoSpaceDN w:val="0"/>
              <w:snapToGrid w:val="0"/>
              <w:spacing w:line="422" w:lineRule="exact"/>
              <w:textAlignment w:val="bottom"/>
              <w:rPr>
                <w:rFonts w:ascii="宋体" w:hAnsi="宋体" w:cs="宋体"/>
                <w:color w:val="auto"/>
                <w:szCs w:val="21"/>
                <w:highlight w:val="none"/>
              </w:rPr>
            </w:pPr>
            <w:r>
              <w:rPr>
                <w:rFonts w:hint="eastAsia" w:ascii="宋体" w:hAnsi="宋体"/>
                <w:color w:val="auto"/>
                <w:szCs w:val="21"/>
                <w:highlight w:val="none"/>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22" w:lineRule="exact"/>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8231" w:type="dxa"/>
            <w:vAlign w:val="center"/>
          </w:tcPr>
          <w:p>
            <w:pPr>
              <w:snapToGrid w:val="0"/>
              <w:spacing w:line="422" w:lineRule="exact"/>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pPr>
              <w:pStyle w:val="21"/>
              <w:snapToGrid w:val="0"/>
              <w:spacing w:line="422" w:lineRule="exact"/>
              <w:rPr>
                <w:rFonts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rPr>
              <w:t>华新项目管理集团有限公司</w:t>
            </w:r>
            <w:r>
              <w:rPr>
                <w:rFonts w:hint="eastAsia" w:hAnsi="宋体" w:cs="宋体"/>
                <w:color w:val="auto"/>
                <w:kern w:val="2"/>
                <w:sz w:val="21"/>
                <w:highlight w:val="none"/>
              </w:rPr>
              <w:t>，联系电话：0771-5502082，通讯地址：南宁市中柬路9号利海亚洲国际领峰A座916室</w:t>
            </w:r>
          </w:p>
          <w:p>
            <w:pPr>
              <w:autoSpaceDE w:val="0"/>
              <w:autoSpaceDN w:val="0"/>
              <w:snapToGrid w:val="0"/>
              <w:spacing w:line="422" w:lineRule="exact"/>
              <w:textAlignment w:val="bottom"/>
              <w:rPr>
                <w:rFonts w:ascii="宋体" w:hAnsi="宋体"/>
                <w:color w:val="auto"/>
                <w:szCs w:val="21"/>
                <w:highlight w:val="none"/>
              </w:rPr>
            </w:pPr>
            <w:r>
              <w:rPr>
                <w:rFonts w:hint="eastAsia" w:hAnsi="宋体" w:cs="宋体"/>
                <w:color w:val="auto"/>
                <w:highlight w:val="none"/>
              </w:rPr>
              <w:t>现场提交质疑办理业务时间（北京时间）：</w:t>
            </w:r>
            <w:r>
              <w:rPr>
                <w:rFonts w:hint="eastAsia" w:ascii="宋体" w:hAnsi="宋体" w:cs="宋体"/>
                <w:color w:val="auto"/>
                <w:highlight w:val="none"/>
              </w:rPr>
              <w:t>上午8点00分到12点00分，下午15点00分到18点00分，业务时间以外、双休</w:t>
            </w:r>
            <w:r>
              <w:rPr>
                <w:rFonts w:hint="eastAsia" w:hAnsi="宋体"/>
                <w:color w:val="auto"/>
                <w:highlight w:val="none"/>
              </w:rPr>
              <w:t>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22" w:lineRule="exact"/>
              <w:jc w:val="center"/>
              <w:rPr>
                <w:rFonts w:ascii="宋体" w:hAnsi="宋体" w:cs="宋体"/>
                <w:color w:val="auto"/>
                <w:szCs w:val="21"/>
                <w:highlight w:val="none"/>
              </w:rPr>
            </w:pPr>
            <w:r>
              <w:rPr>
                <w:rFonts w:ascii="宋体" w:hAnsi="宋体" w:cs="宋体"/>
                <w:color w:val="auto"/>
                <w:szCs w:val="21"/>
                <w:highlight w:val="none"/>
              </w:rPr>
              <w:t>32.1</w:t>
            </w:r>
          </w:p>
        </w:tc>
        <w:tc>
          <w:tcPr>
            <w:tcW w:w="8231" w:type="dxa"/>
            <w:vAlign w:val="center"/>
          </w:tcPr>
          <w:p>
            <w:pPr>
              <w:pStyle w:val="21"/>
              <w:snapToGrid w:val="0"/>
              <w:spacing w:line="422" w:lineRule="exact"/>
              <w:rPr>
                <w:rFonts w:hAnsi="宋体" w:cs="宋体"/>
                <w:color w:val="auto"/>
                <w:sz w:val="21"/>
                <w:highlight w:val="none"/>
              </w:rPr>
            </w:pPr>
            <w:r>
              <w:rPr>
                <w:rFonts w:hint="eastAsia" w:hAnsi="宋体" w:cs="宋体"/>
                <w:color w:val="auto"/>
                <w:sz w:val="21"/>
                <w:highlight w:val="none"/>
              </w:rPr>
              <w:t>1.采购代理服务费支付方式：</w:t>
            </w:r>
          </w:p>
          <w:p>
            <w:pPr>
              <w:pStyle w:val="21"/>
              <w:snapToGrid w:val="0"/>
              <w:spacing w:line="422" w:lineRule="exact"/>
              <w:rPr>
                <w:rFonts w:hAnsi="宋体" w:cs="宋体"/>
                <w:color w:val="auto"/>
                <w:sz w:val="21"/>
                <w:highlight w:val="none"/>
              </w:rPr>
            </w:pPr>
            <w:r>
              <w:rPr>
                <w:rFonts w:hint="eastAsia" w:hAnsi="宋体" w:cs="宋体"/>
                <w:color w:val="auto"/>
                <w:sz w:val="21"/>
                <w:highlight w:val="none"/>
              </w:rPr>
              <w:t>☑本项目采购代理服务费由成交供应商在签订合同前，以银行转账、电汇等方式一次性向采购代理机构支付。</w:t>
            </w:r>
          </w:p>
          <w:p>
            <w:pPr>
              <w:pStyle w:val="21"/>
              <w:snapToGrid w:val="0"/>
              <w:spacing w:line="422" w:lineRule="exact"/>
              <w:rPr>
                <w:rFonts w:hAnsi="宋体" w:cs="宋体"/>
                <w:color w:val="auto"/>
                <w:sz w:val="21"/>
                <w:highlight w:val="none"/>
              </w:rPr>
            </w:pPr>
            <w:r>
              <w:rPr>
                <w:rFonts w:hint="eastAsia" w:hAnsi="宋体" w:cs="宋体"/>
                <w:color w:val="auto"/>
                <w:sz w:val="21"/>
                <w:highlight w:val="none"/>
              </w:rPr>
              <w:t>□采购人支付。（支付方式可另行约定）</w:t>
            </w:r>
          </w:p>
          <w:p>
            <w:pPr>
              <w:pStyle w:val="21"/>
              <w:snapToGrid w:val="0"/>
              <w:spacing w:line="422" w:lineRule="exact"/>
              <w:rPr>
                <w:rFonts w:hAnsi="宋体" w:cs="宋体"/>
                <w:color w:val="auto"/>
                <w:sz w:val="21"/>
                <w:highlight w:val="none"/>
              </w:rPr>
            </w:pPr>
            <w:r>
              <w:rPr>
                <w:rFonts w:hint="eastAsia" w:hAnsi="宋体" w:cs="宋体"/>
                <w:color w:val="auto"/>
                <w:sz w:val="21"/>
                <w:highlight w:val="none"/>
              </w:rPr>
              <w:t>2.采购代理服务费收取标准：</w:t>
            </w:r>
          </w:p>
          <w:p>
            <w:pPr>
              <w:pStyle w:val="21"/>
              <w:snapToGrid w:val="0"/>
              <w:spacing w:line="422" w:lineRule="exact"/>
              <w:rPr>
                <w:rFonts w:hAnsi="宋体" w:cs="宋体"/>
                <w:color w:val="auto"/>
                <w:sz w:val="21"/>
                <w:highlight w:val="none"/>
              </w:rPr>
            </w:pPr>
            <w:r>
              <w:rPr>
                <w:rFonts w:hint="eastAsia" w:hAnsi="宋体" w:cs="宋体"/>
                <w:color w:val="auto"/>
                <w:sz w:val="21"/>
                <w:highlight w:val="none"/>
              </w:rPr>
              <w:t>以（☑成交金额/□采购预算/□暂定成交金额/□其他 ）为计费额，按本须知正文第</w:t>
            </w:r>
            <w:r>
              <w:rPr>
                <w:rFonts w:hAnsi="宋体" w:cs="宋体"/>
                <w:color w:val="auto"/>
                <w:sz w:val="21"/>
                <w:highlight w:val="none"/>
              </w:rPr>
              <w:t>3</w:t>
            </w:r>
            <w:r>
              <w:rPr>
                <w:rFonts w:hint="eastAsia" w:hAnsi="宋体" w:cs="宋体"/>
                <w:color w:val="auto"/>
                <w:sz w:val="21"/>
                <w:highlight w:val="none"/>
              </w:rPr>
              <w:t>2.</w:t>
            </w:r>
            <w:r>
              <w:rPr>
                <w:rFonts w:hAnsi="宋体" w:cs="宋体"/>
                <w:color w:val="auto"/>
                <w:sz w:val="21"/>
                <w:highlight w:val="none"/>
              </w:rPr>
              <w:t>2</w:t>
            </w:r>
            <w:r>
              <w:rPr>
                <w:rFonts w:hint="eastAsia" w:hAnsi="宋体" w:cs="宋体"/>
                <w:color w:val="auto"/>
                <w:sz w:val="21"/>
                <w:highlight w:val="none"/>
              </w:rPr>
              <w:t>条规定的收费计算标准（□货物类/☑服务类/□工程类）采用差额定率累进法计算出收费基准价格，采购代理收费以（☑收费基准价格/□收费基准价格下浮20</w:t>
            </w:r>
            <w:r>
              <w:rPr>
                <w:rFonts w:hint="eastAsia" w:hAnsi="宋体" w:cs="宋体"/>
                <w:color w:val="auto"/>
                <w:sz w:val="21"/>
                <w:highlight w:val="none"/>
                <w:u w:val="single"/>
              </w:rPr>
              <w:t>%</w:t>
            </w:r>
            <w:r>
              <w:rPr>
                <w:rFonts w:hAnsi="宋体" w:cs="宋体"/>
                <w:color w:val="auto"/>
                <w:sz w:val="21"/>
                <w:highlight w:val="none"/>
              </w:rPr>
              <w:t>/</w:t>
            </w:r>
            <w:r>
              <w:rPr>
                <w:rFonts w:hint="eastAsia" w:hAnsi="宋体" w:cs="宋体"/>
                <w:color w:val="auto"/>
                <w:sz w:val="21"/>
                <w:highlight w:val="none"/>
              </w:rPr>
              <w:t>□收费基准价格上浮</w:t>
            </w:r>
            <w:r>
              <w:rPr>
                <w:rFonts w:hint="eastAsia" w:hAnsi="宋体" w:cs="宋体"/>
                <w:color w:val="auto"/>
                <w:sz w:val="21"/>
                <w:highlight w:val="none"/>
                <w:u w:val="single"/>
              </w:rPr>
              <w:t>%</w:t>
            </w:r>
            <w:r>
              <w:rPr>
                <w:rFonts w:hint="eastAsia" w:hAnsi="宋体" w:cs="宋体"/>
                <w:color w:val="auto"/>
                <w:sz w:val="21"/>
                <w:highlight w:val="none"/>
              </w:rPr>
              <w:t>）收取。</w:t>
            </w:r>
          </w:p>
          <w:p>
            <w:pPr>
              <w:pStyle w:val="21"/>
              <w:snapToGrid w:val="0"/>
              <w:spacing w:line="422" w:lineRule="exact"/>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p>
            <w:pPr>
              <w:pStyle w:val="21"/>
              <w:snapToGrid w:val="0"/>
              <w:spacing w:line="422" w:lineRule="exact"/>
              <w:rPr>
                <w:rFonts w:hAnsi="宋体" w:cs="宋体"/>
                <w:color w:val="auto"/>
                <w:sz w:val="21"/>
                <w:highlight w:val="none"/>
              </w:rPr>
            </w:pPr>
            <w:r>
              <w:rPr>
                <w:rFonts w:hint="eastAsia" w:hAnsi="宋体" w:cs="宋体"/>
                <w:color w:val="auto"/>
                <w:sz w:val="21"/>
                <w:highlight w:val="none"/>
              </w:rPr>
              <w:t>3. 缴纳采购代理服务费账户的信息：</w:t>
            </w:r>
          </w:p>
          <w:p>
            <w:pPr>
              <w:pStyle w:val="21"/>
              <w:snapToGrid w:val="0"/>
              <w:spacing w:line="422" w:lineRule="exact"/>
              <w:rPr>
                <w:rFonts w:hAnsi="宋体" w:cs="宋体"/>
                <w:color w:val="auto"/>
                <w:sz w:val="21"/>
                <w:highlight w:val="none"/>
              </w:rPr>
            </w:pPr>
            <w:r>
              <w:rPr>
                <w:rFonts w:hint="eastAsia" w:hAnsi="宋体" w:cs="宋体"/>
                <w:color w:val="auto"/>
                <w:sz w:val="21"/>
                <w:highlight w:val="none"/>
              </w:rPr>
              <w:t>开户名称：华新项目管理集团有限公司广西分公司</w:t>
            </w:r>
          </w:p>
          <w:p>
            <w:pPr>
              <w:pStyle w:val="21"/>
              <w:snapToGrid w:val="0"/>
              <w:spacing w:line="422" w:lineRule="exact"/>
              <w:rPr>
                <w:rFonts w:hAnsi="宋体" w:cs="宋体"/>
                <w:color w:val="auto"/>
                <w:sz w:val="21"/>
                <w:highlight w:val="none"/>
              </w:rPr>
            </w:pPr>
            <w:r>
              <w:rPr>
                <w:rFonts w:hint="eastAsia" w:hAnsi="宋体" w:cs="宋体"/>
                <w:color w:val="auto"/>
                <w:sz w:val="21"/>
                <w:highlight w:val="none"/>
              </w:rPr>
              <w:t>开户银行：桂林银行股份有限公司南宁中泰路支行</w:t>
            </w:r>
          </w:p>
          <w:p>
            <w:pPr>
              <w:pStyle w:val="21"/>
              <w:snapToGrid w:val="0"/>
              <w:spacing w:line="422" w:lineRule="exact"/>
              <w:rPr>
                <w:color w:val="auto"/>
                <w:highlight w:val="none"/>
              </w:rPr>
            </w:pPr>
            <w:r>
              <w:rPr>
                <w:rFonts w:hint="eastAsia" w:hAnsi="宋体" w:cs="宋体"/>
                <w:color w:val="auto"/>
                <w:sz w:val="21"/>
                <w:highlight w:val="none"/>
              </w:rPr>
              <w:t>银行账号：6600 0001 2372 6000 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22" w:lineRule="exact"/>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8231" w:type="dxa"/>
            <w:vAlign w:val="center"/>
          </w:tcPr>
          <w:p>
            <w:pPr>
              <w:pStyle w:val="21"/>
              <w:snapToGrid w:val="0"/>
              <w:spacing w:line="422" w:lineRule="exact"/>
              <w:rPr>
                <w:rFonts w:hAnsi="宋体" w:cs="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竞争性磋商文件</w:t>
            </w:r>
            <w:r>
              <w:rPr>
                <w:rFonts w:hAnsi="宋体"/>
                <w:color w:val="auto"/>
                <w:sz w:val="21"/>
                <w:highlight w:val="none"/>
              </w:rPr>
              <w:t>的各个组成文件应互为解释，互为说明；除</w:t>
            </w:r>
            <w:r>
              <w:rPr>
                <w:rFonts w:hint="eastAsia" w:hAnsi="宋体"/>
                <w:color w:val="auto"/>
                <w:sz w:val="21"/>
                <w:highlight w:val="none"/>
              </w:rPr>
              <w:t>竞争性磋商文件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、拟定的合同文本</w:t>
            </w:r>
            <w:r>
              <w:rPr>
                <w:rFonts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竞争性磋商文件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w:t>
            </w:r>
            <w:r>
              <w:rPr>
                <w:rFonts w:hint="eastAsia" w:hAnsi="宋体"/>
                <w:color w:val="auto"/>
                <w:sz w:val="21"/>
                <w:highlight w:val="none"/>
              </w:rPr>
              <w:t>或者采购代理机构</w:t>
            </w:r>
            <w:r>
              <w:rPr>
                <w:rFonts w:hAnsi="宋体"/>
                <w:color w:val="auto"/>
                <w:sz w:val="21"/>
                <w:highlight w:val="none"/>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22" w:lineRule="exact"/>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8231" w:type="dxa"/>
            <w:vAlign w:val="center"/>
          </w:tcPr>
          <w:p>
            <w:pPr>
              <w:pStyle w:val="21"/>
              <w:snapToGrid w:val="0"/>
              <w:spacing w:line="422" w:lineRule="exact"/>
              <w:rPr>
                <w:rFonts w:hAnsi="宋体" w:cs="宋体"/>
                <w:color w:val="auto"/>
                <w:sz w:val="21"/>
                <w:highlight w:val="none"/>
              </w:rPr>
            </w:pPr>
            <w:r>
              <w:rPr>
                <w:rFonts w:hint="eastAsia" w:hAnsi="宋体" w:cs="宋体"/>
                <w:color w:val="auto"/>
                <w:sz w:val="21"/>
                <w:highlight w:val="none"/>
              </w:rPr>
              <w:t>1.本</w:t>
            </w:r>
            <w:r>
              <w:rPr>
                <w:rFonts w:hint="eastAsia" w:hAnsi="宋体"/>
                <w:color w:val="auto"/>
                <w:sz w:val="21"/>
                <w:highlight w:val="none"/>
              </w:rPr>
              <w:t>竞争性</w:t>
            </w:r>
            <w:r>
              <w:rPr>
                <w:rFonts w:hint="eastAsia" w:hAnsi="宋体" w:cs="宋体"/>
                <w:color w:val="auto"/>
                <w:sz w:val="21"/>
                <w:highlight w:val="none"/>
              </w:rPr>
              <w:t>磋商文件中描述供应商的“公章”是指根据我国对公章的管理规定，用供应商法定主体行为名称制作的印章，除本</w:t>
            </w:r>
            <w:r>
              <w:rPr>
                <w:rFonts w:hint="eastAsia" w:hAnsi="宋体"/>
                <w:color w:val="auto"/>
                <w:sz w:val="21"/>
                <w:highlight w:val="none"/>
              </w:rPr>
              <w:t>竞争性</w:t>
            </w:r>
            <w:r>
              <w:rPr>
                <w:rFonts w:hint="eastAsia" w:hAnsi="宋体" w:cs="宋体"/>
                <w:color w:val="auto"/>
                <w:sz w:val="21"/>
                <w:highlight w:val="none"/>
              </w:rPr>
              <w:t>磋商文件有特殊规定外，供应商的财务章、部门章、分公司章、工会章、合同章、竞标/投标专用章、业务专用章及银行的转账章、现金收讫章、现金付讫章等其他形式印章均不能代替公章。</w:t>
            </w:r>
          </w:p>
          <w:p>
            <w:pPr>
              <w:pStyle w:val="21"/>
              <w:snapToGrid w:val="0"/>
              <w:spacing w:line="422" w:lineRule="exact"/>
              <w:rPr>
                <w:rFonts w:hAnsi="宋体" w:cs="宋体"/>
                <w:color w:val="auto"/>
                <w:sz w:val="21"/>
                <w:highlight w:val="none"/>
              </w:rPr>
            </w:pPr>
            <w:r>
              <w:rPr>
                <w:rFonts w:hint="eastAsia" w:hAnsi="宋体" w:cs="宋体"/>
                <w:color w:val="auto"/>
                <w:sz w:val="21"/>
                <w:highlight w:val="none"/>
              </w:rPr>
              <w:t>2.供应商为其他组织或者自然人时，本</w:t>
            </w:r>
            <w:r>
              <w:rPr>
                <w:rFonts w:hint="eastAsia" w:hAnsi="宋体"/>
                <w:color w:val="auto"/>
                <w:sz w:val="21"/>
                <w:highlight w:val="none"/>
              </w:rPr>
              <w:t>竞争性</w:t>
            </w:r>
            <w:r>
              <w:rPr>
                <w:rFonts w:hint="eastAsia" w:hAnsi="宋体" w:cs="宋体"/>
                <w:color w:val="auto"/>
                <w:sz w:val="21"/>
                <w:highlight w:val="none"/>
              </w:rPr>
              <w:t>磋商文件规定的法定代表人指负责人或者自然人。本</w:t>
            </w:r>
            <w:r>
              <w:rPr>
                <w:rFonts w:hint="eastAsia" w:hAnsi="宋体"/>
                <w:color w:val="auto"/>
                <w:sz w:val="21"/>
                <w:highlight w:val="none"/>
              </w:rPr>
              <w:t>竞争性</w:t>
            </w:r>
            <w:r>
              <w:rPr>
                <w:rFonts w:hint="eastAsia" w:hAnsi="宋体" w:cs="宋体"/>
                <w:color w:val="auto"/>
                <w:sz w:val="21"/>
                <w:highlight w:val="none"/>
              </w:rPr>
              <w:t>磋商文件所称负责人是指参加竞标的其他组织营业执照上的负责人，本</w:t>
            </w:r>
            <w:r>
              <w:rPr>
                <w:rFonts w:hint="eastAsia" w:hAnsi="宋体"/>
                <w:color w:val="auto"/>
                <w:sz w:val="21"/>
                <w:highlight w:val="none"/>
              </w:rPr>
              <w:t>竞争性</w:t>
            </w:r>
            <w:r>
              <w:rPr>
                <w:rFonts w:hint="eastAsia" w:hAnsi="宋体" w:cs="宋体"/>
                <w:color w:val="auto"/>
                <w:sz w:val="21"/>
                <w:highlight w:val="none"/>
              </w:rPr>
              <w:t>磋商文件所称自然人指参与竞标的自然人本人。</w:t>
            </w:r>
          </w:p>
          <w:p>
            <w:pPr>
              <w:pStyle w:val="21"/>
              <w:snapToGrid w:val="0"/>
              <w:spacing w:line="422" w:lineRule="exact"/>
              <w:rPr>
                <w:rFonts w:hAnsi="宋体" w:cs="宋体"/>
                <w:color w:val="auto"/>
                <w:sz w:val="21"/>
                <w:highlight w:val="none"/>
              </w:rPr>
            </w:pPr>
            <w:r>
              <w:rPr>
                <w:rFonts w:hAnsi="宋体" w:cs="宋体"/>
                <w:color w:val="auto"/>
                <w:sz w:val="21"/>
                <w:highlight w:val="none"/>
              </w:rPr>
              <w:t>3.</w:t>
            </w:r>
            <w:r>
              <w:rPr>
                <w:rFonts w:hint="eastAsia" w:hAnsi="宋体" w:cs="宋体"/>
                <w:color w:val="auto"/>
                <w:sz w:val="21"/>
                <w:highlight w:val="none"/>
              </w:rPr>
              <w:t>本</w:t>
            </w:r>
            <w:r>
              <w:rPr>
                <w:rFonts w:hint="eastAsia" w:hAnsi="宋体"/>
                <w:color w:val="auto"/>
                <w:sz w:val="21"/>
                <w:highlight w:val="none"/>
              </w:rPr>
              <w:t>竞争性</w:t>
            </w:r>
            <w:r>
              <w:rPr>
                <w:rFonts w:hint="eastAsia" w:hAnsi="宋体" w:cs="宋体"/>
                <w:color w:val="auto"/>
                <w:sz w:val="21"/>
                <w:highlight w:val="none"/>
              </w:rPr>
              <w:t>磋商文件中描述供应商的“签字”是指供应商的法定代表人或者其委托代理人亲自在文件规定签署处亲笔写上个人的名字的行为，私章、签字章、印鉴、影印等其他形式均不能代替亲笔签字。</w:t>
            </w:r>
          </w:p>
          <w:p>
            <w:pPr>
              <w:pStyle w:val="21"/>
              <w:snapToGrid w:val="0"/>
              <w:spacing w:line="422" w:lineRule="exact"/>
              <w:rPr>
                <w:rFonts w:hAnsi="宋体" w:cs="宋体"/>
                <w:color w:val="auto"/>
                <w:sz w:val="21"/>
                <w:highlight w:val="none"/>
              </w:rPr>
            </w:pPr>
            <w:r>
              <w:rPr>
                <w:rFonts w:hAnsi="宋体" w:cs="宋体"/>
                <w:color w:val="auto"/>
                <w:sz w:val="21"/>
                <w:highlight w:val="none"/>
              </w:rPr>
              <w:t>4.</w:t>
            </w:r>
            <w:r>
              <w:rPr>
                <w:rFonts w:hint="eastAsia" w:hAnsi="宋体" w:cs="宋体"/>
                <w:color w:val="auto"/>
                <w:sz w:val="21"/>
                <w:highlight w:val="none"/>
              </w:rPr>
              <w:t>自然人竞标的，</w:t>
            </w:r>
            <w:r>
              <w:rPr>
                <w:rFonts w:hint="eastAsia" w:hAnsi="宋体"/>
                <w:color w:val="auto"/>
                <w:sz w:val="21"/>
                <w:highlight w:val="none"/>
              </w:rPr>
              <w:t>竞争性</w:t>
            </w:r>
            <w:r>
              <w:rPr>
                <w:rFonts w:hint="eastAsia" w:hAnsi="宋体" w:cs="宋体"/>
                <w:color w:val="auto"/>
                <w:sz w:val="21"/>
                <w:highlight w:val="none"/>
              </w:rPr>
              <w:t>磋商文件规定盖公章处由自然人摁手指指印。</w:t>
            </w:r>
          </w:p>
          <w:p>
            <w:pPr>
              <w:pStyle w:val="21"/>
              <w:snapToGrid w:val="0"/>
              <w:spacing w:line="422" w:lineRule="exact"/>
              <w:rPr>
                <w:rFonts w:hAnsi="宋体" w:cs="宋体"/>
                <w:color w:val="auto"/>
                <w:sz w:val="21"/>
                <w:highlight w:val="none"/>
              </w:rPr>
            </w:pPr>
            <w:r>
              <w:rPr>
                <w:rFonts w:hint="eastAsia" w:hAnsi="宋体" w:cs="宋体"/>
                <w:color w:val="auto"/>
                <w:sz w:val="21"/>
                <w:highlight w:val="none"/>
              </w:rPr>
              <w:t>5</w:t>
            </w:r>
            <w:r>
              <w:rPr>
                <w:rFonts w:hAnsi="宋体" w:cs="宋体"/>
                <w:color w:val="auto"/>
                <w:sz w:val="21"/>
                <w:highlight w:val="none"/>
              </w:rPr>
              <w:t>.</w:t>
            </w:r>
            <w:r>
              <w:rPr>
                <w:rFonts w:hint="eastAsia" w:hAnsi="宋体" w:cs="宋体"/>
                <w:color w:val="auto"/>
                <w:sz w:val="21"/>
                <w:highlight w:val="none"/>
              </w:rPr>
              <w:t>本</w:t>
            </w:r>
            <w:r>
              <w:rPr>
                <w:rFonts w:hint="eastAsia" w:hAnsi="宋体"/>
                <w:color w:val="auto"/>
                <w:sz w:val="21"/>
                <w:highlight w:val="none"/>
              </w:rPr>
              <w:t>竞争性</w:t>
            </w:r>
            <w:r>
              <w:rPr>
                <w:rFonts w:hint="eastAsia" w:hAnsi="宋体" w:cs="宋体"/>
                <w:color w:val="auto"/>
                <w:sz w:val="21"/>
                <w:highlight w:val="none"/>
              </w:rPr>
              <w:t>磋商文件所称的“以上”“以下”“以内”“届满”，包括本数；所称的“不满”“超过”“以外”，不包括本数。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22" w:lineRule="exact"/>
              <w:jc w:val="center"/>
              <w:rPr>
                <w:rFonts w:ascii="宋体" w:hAnsi="宋体" w:cs="宋体"/>
                <w:color w:val="auto"/>
                <w:szCs w:val="21"/>
                <w:highlight w:val="none"/>
              </w:rPr>
            </w:pPr>
            <w:r>
              <w:rPr>
                <w:rFonts w:hint="eastAsia" w:ascii="宋体" w:hAnsi="宋体" w:cs="宋体"/>
                <w:color w:val="auto"/>
                <w:szCs w:val="21"/>
                <w:highlight w:val="none"/>
              </w:rPr>
              <w:t>33.3</w:t>
            </w:r>
          </w:p>
        </w:tc>
        <w:tc>
          <w:tcPr>
            <w:tcW w:w="8231" w:type="dxa"/>
            <w:vAlign w:val="center"/>
          </w:tcPr>
          <w:p>
            <w:pPr>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▲特别说明：</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（1）</w:t>
            </w:r>
            <w:r>
              <w:rPr>
                <w:rFonts w:ascii="宋体" w:hAnsi="宋体" w:cs="宋体"/>
                <w:b/>
                <w:color w:val="auto"/>
                <w:szCs w:val="21"/>
                <w:highlight w:val="none"/>
              </w:rPr>
              <w:t>响应文件中所须加盖公章部分均采用CA签章。若</w:t>
            </w:r>
            <w:r>
              <w:rPr>
                <w:rFonts w:hint="eastAsia" w:ascii="宋体" w:hAnsi="宋体" w:cs="宋体"/>
                <w:b/>
                <w:color w:val="auto"/>
                <w:szCs w:val="21"/>
                <w:highlight w:val="none"/>
              </w:rPr>
              <w:t>竞争性磋商文件</w:t>
            </w:r>
            <w:r>
              <w:rPr>
                <w:rFonts w:ascii="宋体" w:hAnsi="宋体" w:cs="宋体"/>
                <w:b/>
                <w:color w:val="auto"/>
                <w:szCs w:val="21"/>
                <w:highlight w:val="none"/>
              </w:rPr>
              <w:t>中有专门标注的某关联点</w:t>
            </w:r>
            <w:r>
              <w:rPr>
                <w:rFonts w:hint="eastAsia" w:ascii="宋体" w:hAnsi="宋体" w:cs="宋体"/>
                <w:b/>
                <w:color w:val="auto"/>
                <w:szCs w:val="21"/>
                <w:highlight w:val="none"/>
              </w:rPr>
              <w:t>，</w:t>
            </w:r>
            <w:r>
              <w:rPr>
                <w:rFonts w:ascii="宋体" w:hAnsi="宋体" w:cs="宋体"/>
                <w:b/>
                <w:color w:val="auto"/>
                <w:szCs w:val="21"/>
                <w:highlight w:val="none"/>
              </w:rPr>
              <w:t>并要求供应商在电子投标系统中作出响应的，如供应商未对关联点进行响应或者在响应文件其它内容进行描述，造成电子评审不能查询的责任由供应商自行承担。</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2</w:t>
            </w:r>
            <w:r>
              <w:rPr>
                <w:rFonts w:hint="eastAsia" w:ascii="宋体" w:hAnsi="宋体" w:cs="宋体"/>
                <w:b/>
                <w:color w:val="auto"/>
                <w:szCs w:val="21"/>
                <w:highlight w:val="none"/>
              </w:rPr>
              <w:t>）竞争性磋商文件要求提供的的各种复印件，必须加盖供应商CA签章，否则其竞标无效。</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3</w:t>
            </w:r>
            <w:r>
              <w:rPr>
                <w:rFonts w:hint="eastAsia" w:ascii="宋体" w:hAnsi="宋体" w:cs="宋体"/>
                <w:b/>
                <w:color w:val="auto"/>
                <w:szCs w:val="21"/>
                <w:highlight w:val="none"/>
              </w:rPr>
              <w:t>）竞争性磋商文件标注“</w:t>
            </w:r>
            <w:r>
              <w:rPr>
                <w:rFonts w:hint="eastAsia" w:ascii="宋体" w:hAnsi="宋体" w:cs="宋体"/>
                <w:b/>
                <w:bCs/>
                <w:color w:val="auto"/>
                <w:szCs w:val="21"/>
                <w:highlight w:val="none"/>
              </w:rPr>
              <w:t>▲</w:t>
            </w:r>
            <w:r>
              <w:rPr>
                <w:rFonts w:hint="eastAsia" w:ascii="宋体" w:hAnsi="宋体" w:cs="宋体"/>
                <w:b/>
                <w:color w:val="auto"/>
                <w:szCs w:val="21"/>
                <w:highlight w:val="none"/>
              </w:rPr>
              <w:t>”或要求“必须提供”的证明等材料，供应商必须全部提供，缺一不可，否则竞标无效。</w:t>
            </w:r>
          </w:p>
          <w:p>
            <w:pPr>
              <w:snapToGrid w:val="0"/>
              <w:spacing w:line="360" w:lineRule="auto"/>
              <w:jc w:val="left"/>
              <w:rPr>
                <w:rFonts w:hAnsi="宋体" w:cs="宋体"/>
                <w:color w:val="auto"/>
                <w:highlight w:val="none"/>
              </w:rPr>
            </w:pPr>
            <w:r>
              <w:rPr>
                <w:rFonts w:hint="eastAsia" w:ascii="宋体" w:hAnsi="宋体" w:cs="宋体"/>
                <w:b/>
                <w:color w:val="auto"/>
                <w:szCs w:val="21"/>
                <w:highlight w:val="none"/>
              </w:rPr>
              <w:t>（4）竞争性磋商文件要求法定代表人（负责人）或委托代理人签字的部分必须签字然后扫描或者拍照做成</w:t>
            </w:r>
            <w:r>
              <w:rPr>
                <w:rFonts w:ascii="宋体" w:hAnsi="宋体" w:cs="宋体"/>
                <w:b/>
                <w:color w:val="auto"/>
                <w:szCs w:val="21"/>
                <w:highlight w:val="none"/>
              </w:rPr>
              <w:t>PDF</w:t>
            </w:r>
            <w:r>
              <w:rPr>
                <w:rFonts w:hint="eastAsia" w:ascii="宋体" w:hAnsi="宋体" w:cs="宋体"/>
                <w:b/>
                <w:color w:val="auto"/>
                <w:szCs w:val="21"/>
                <w:highlight w:val="none"/>
              </w:rPr>
              <w:t>格式上传，无签字的视为竞标无效。</w:t>
            </w:r>
          </w:p>
        </w:tc>
      </w:tr>
    </w:tbl>
    <w:p>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pPr>
        <w:spacing w:line="400" w:lineRule="exact"/>
        <w:rPr>
          <w:rFonts w:ascii="宋体" w:hAnsi="宋体"/>
          <w:color w:val="auto"/>
          <w:szCs w:val="21"/>
          <w:highlight w:val="none"/>
        </w:rPr>
      </w:pP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2.2“采购代理机构”是指政府采购代理机构（以下简称采购代理机构）是指集中采购机构以外、受采购人委托从事政府采购代理业务的社会中介机构。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“响应文件”</w:t>
      </w:r>
      <w:r>
        <w:rPr>
          <w:rFonts w:hint="eastAsia" w:ascii="宋体" w:hAnsi="宋体" w:cs="宋体"/>
          <w:color w:val="auto"/>
          <w:spacing w:val="-6"/>
          <w:szCs w:val="21"/>
          <w:highlight w:val="none"/>
        </w:rPr>
        <w:t>是指：供应商根据本磋商文件要求，编制包含资格证明、报价商务技术等所有内容的文件。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7</w:t>
      </w:r>
      <w:r>
        <w:rPr>
          <w:rFonts w:hint="eastAsia" w:ascii="宋体" w:hAnsi="宋体" w:cs="宋体"/>
          <w:color w:val="auto"/>
          <w:szCs w:val="21"/>
          <w:highlight w:val="none"/>
        </w:rPr>
        <w:t>“实质性要求”是指磋商文件中已经指明不满足则响应文件按无效响应处理的条款，或者不能负偏离的条款，或者采购需求中带“▲”的条款。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8</w:t>
      </w:r>
      <w:r>
        <w:rPr>
          <w:rFonts w:hint="eastAsia" w:ascii="宋体" w:hAnsi="宋体" w:cs="宋体"/>
          <w:color w:val="auto"/>
          <w:szCs w:val="21"/>
          <w:highlight w:val="none"/>
        </w:rPr>
        <w:t>“正偏离”，是指响应文件对磋商文件“采购需求”中有关条款作出的响应优于条款要求并有利于采购人的情形。</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“负偏离”，是指响应文件对磋商文件“采购需求”中有关条款作出的响应不满足条款要求，导致采购人要求不能得到满足的情形。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12</w:t>
      </w:r>
      <w:r>
        <w:rPr>
          <w:rFonts w:hint="eastAsia" w:ascii="宋体" w:hAnsi="宋体" w:cs="宋体"/>
          <w:color w:val="auto"/>
          <w:szCs w:val="21"/>
          <w:highlight w:val="none"/>
        </w:rPr>
        <w:t>“首次报价”是指供应商提交的首次响应文件中的报价。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w:t>
      </w:r>
      <w:r>
        <w:rPr>
          <w:rFonts w:ascii="宋体" w:hAnsi="宋体" w:cs="宋体"/>
          <w:color w:val="auto"/>
          <w:szCs w:val="21"/>
          <w:highlight w:val="none"/>
        </w:rPr>
        <w:t>3</w:t>
      </w:r>
      <w:r>
        <w:rPr>
          <w:rFonts w:hint="eastAsia" w:ascii="宋体" w:hAnsi="宋体" w:cs="宋体"/>
          <w:color w:val="auto"/>
          <w:szCs w:val="21"/>
          <w:highlight w:val="none"/>
        </w:rPr>
        <w:t>“评审价”是指供应商提交的最后报价并经修正（如有）和政策功能价格扣除（如有）后的价格。</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r>
        <w:rPr>
          <w:rFonts w:hint="eastAsia" w:ascii="宋体" w:hAnsi="宋体"/>
          <w:bCs/>
          <w:color w:val="auto"/>
          <w:szCs w:val="21"/>
          <w:highlight w:val="none"/>
        </w:rPr>
        <w:t>根据《</w:t>
      </w:r>
      <w:r>
        <w:rPr>
          <w:rFonts w:hint="eastAsia" w:ascii="宋体" w:hAnsi="宋体"/>
          <w:color w:val="auto"/>
          <w:szCs w:val="21"/>
          <w:highlight w:val="none"/>
        </w:rPr>
        <w:t>政府采购促进中小企业发展管理办法</w:t>
      </w:r>
      <w:r>
        <w:rPr>
          <w:rFonts w:hint="eastAsia" w:ascii="宋体" w:hAnsi="宋体"/>
          <w:bCs/>
          <w:color w:val="auto"/>
          <w:szCs w:val="21"/>
          <w:highlight w:val="none"/>
        </w:rPr>
        <w:t>》第九条规定</w:t>
      </w:r>
      <w:r>
        <w:rPr>
          <w:rFonts w:hint="eastAsia" w:ascii="宋体" w:hAnsi="宋体" w:cs="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2%-3%的扣 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6.1本项目不允许转包。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pPr>
        <w:spacing w:line="360" w:lineRule="auto"/>
        <w:ind w:firstLine="482" w:firstLineChars="200"/>
        <w:rPr>
          <w:rFonts w:ascii="黑体" w:hAnsi="黑体" w:eastAsia="黑体" w:cs="宋体"/>
          <w:b/>
          <w:bCs/>
          <w:color w:val="auto"/>
          <w:sz w:val="24"/>
          <w:highlight w:val="none"/>
        </w:rPr>
      </w:pPr>
      <w:bookmarkStart w:id="83" w:name="_Toc254970532"/>
      <w:bookmarkStart w:id="84" w:name="_Toc254970673"/>
      <w:r>
        <w:rPr>
          <w:rFonts w:hint="eastAsia" w:ascii="黑体" w:hAnsi="黑体" w:eastAsia="黑体" w:cs="宋体"/>
          <w:b/>
          <w:bCs/>
          <w:color w:val="auto"/>
          <w:sz w:val="24"/>
          <w:highlight w:val="none"/>
        </w:rPr>
        <w:t>7.特别说明</w:t>
      </w:r>
      <w:bookmarkEnd w:id="83"/>
      <w:bookmarkEnd w:id="84"/>
    </w:p>
    <w:p>
      <w:pPr>
        <w:spacing w:line="360" w:lineRule="auto"/>
        <w:ind w:firstLine="420" w:firstLineChars="200"/>
        <w:rPr>
          <w:rFonts w:ascii="宋体" w:hAnsi="宋体" w:cs="宋体"/>
          <w:color w:val="auto"/>
          <w:szCs w:val="21"/>
          <w:highlight w:val="none"/>
        </w:rPr>
      </w:pPr>
      <w:bookmarkStart w:id="85" w:name="_8.1提供相同品牌产品且通过资格审查、符合性审查的不同投标人参加同一合"/>
      <w:bookmarkEnd w:id="85"/>
      <w:r>
        <w:rPr>
          <w:rFonts w:hint="eastAsia" w:ascii="宋体" w:hAnsi="宋体" w:cs="宋体"/>
          <w:color w:val="auto"/>
          <w:szCs w:val="21"/>
          <w:highlight w:val="none"/>
        </w:rPr>
        <w:t>7.</w:t>
      </w:r>
      <w:r>
        <w:rPr>
          <w:rFonts w:ascii="宋体" w:hAnsi="宋体" w:cs="宋体"/>
          <w:color w:val="auto"/>
          <w:szCs w:val="21"/>
          <w:highlight w:val="none"/>
        </w:rPr>
        <w:t>1</w:t>
      </w:r>
      <w:r>
        <w:rPr>
          <w:rFonts w:hint="eastAsia" w:ascii="宋体" w:hAnsi="宋体"/>
          <w:color w:val="auto"/>
          <w:szCs w:val="21"/>
          <w:highlight w:val="none"/>
        </w:rPr>
        <w:t>如果本磋商文件要求供应商提供资格、信誉、荣誉、业绩与企业认证等材料的，则供应商所提供的以上材料必须为本供应商所拥有</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（3）不同的供应商的响应文件载明的项目管理员或者联系人员为同一个人；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pPr>
        <w:spacing w:line="360" w:lineRule="auto"/>
        <w:ind w:firstLine="420" w:firstLineChars="200"/>
        <w:rPr>
          <w:rFonts w:ascii="宋体" w:hAnsi="宋体" w:cs="宋体"/>
          <w:color w:val="auto"/>
          <w:szCs w:val="21"/>
          <w:highlight w:val="none"/>
        </w:rPr>
      </w:pPr>
    </w:p>
    <w:p>
      <w:pPr>
        <w:spacing w:line="360" w:lineRule="auto"/>
        <w:jc w:val="center"/>
        <w:rPr>
          <w:rFonts w:ascii="宋体" w:hAnsi="宋体"/>
          <w:b/>
          <w:bCs/>
          <w:color w:val="auto"/>
          <w:sz w:val="32"/>
          <w:szCs w:val="32"/>
          <w:highlight w:val="none"/>
        </w:rPr>
      </w:pPr>
      <w:bookmarkStart w:id="86" w:name="_Toc254970534"/>
      <w:bookmarkStart w:id="87" w:name="_Toc254970675"/>
      <w:r>
        <w:rPr>
          <w:rFonts w:hint="eastAsia" w:ascii="宋体" w:hAnsi="宋体"/>
          <w:b/>
          <w:bCs/>
          <w:color w:val="auto"/>
          <w:sz w:val="32"/>
          <w:szCs w:val="32"/>
          <w:highlight w:val="none"/>
        </w:rPr>
        <w:t>二、磋商文件</w:t>
      </w:r>
      <w:bookmarkEnd w:id="86"/>
      <w:bookmarkEnd w:id="87"/>
    </w:p>
    <w:p>
      <w:pPr>
        <w:spacing w:line="360" w:lineRule="auto"/>
        <w:jc w:val="center"/>
        <w:rPr>
          <w:rFonts w:ascii="宋体" w:hAnsi="宋体"/>
          <w:color w:val="auto"/>
          <w:szCs w:val="21"/>
          <w:highlight w:val="none"/>
        </w:rPr>
      </w:pP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（1）竞争性磋商公告或者邀请函；</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（6）拟定的合同文本。</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可以对已发出的磋商文件进行必要的澄清或者修改，澄清或者修改的内容作为磋商文件的组成部分。澄清或者修改的内容可能影响响应文件编制的，采购人、采购代理机构</w:t>
      </w:r>
      <w:r>
        <w:rPr>
          <w:rFonts w:hint="eastAsia" w:ascii="宋体" w:hAnsi="宋体"/>
          <w:color w:val="auto"/>
          <w:szCs w:val="21"/>
          <w:highlight w:val="none"/>
        </w:rPr>
        <w:t>应当</w:t>
      </w:r>
      <w:r>
        <w:rPr>
          <w:rFonts w:ascii="宋体" w:hAnsi="宋体"/>
          <w:color w:val="auto"/>
          <w:szCs w:val="21"/>
          <w:highlight w:val="none"/>
        </w:rPr>
        <w:t>在提交首次响应文件截止</w:t>
      </w:r>
      <w:r>
        <w:rPr>
          <w:rFonts w:hint="eastAsia" w:ascii="宋体" w:hAnsi="宋体"/>
          <w:color w:val="auto"/>
          <w:szCs w:val="21"/>
          <w:highlight w:val="none"/>
        </w:rPr>
        <w:t>时间至少5</w:t>
      </w:r>
      <w:r>
        <w:rPr>
          <w:rFonts w:ascii="宋体" w:hAnsi="宋体"/>
          <w:color w:val="auto"/>
          <w:szCs w:val="21"/>
          <w:highlight w:val="none"/>
        </w:rPr>
        <w:t>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w:t>
      </w:r>
      <w:r>
        <w:rPr>
          <w:rFonts w:hint="eastAsia" w:ascii="宋体" w:hAnsi="宋体"/>
          <w:color w:val="auto"/>
          <w:szCs w:val="21"/>
          <w:highlight w:val="none"/>
        </w:rPr>
        <w:t>5</w:t>
      </w:r>
      <w:r>
        <w:rPr>
          <w:rFonts w:ascii="宋体" w:hAnsi="宋体"/>
          <w:color w:val="auto"/>
          <w:szCs w:val="21"/>
          <w:highlight w:val="none"/>
        </w:rPr>
        <w:t>日的，应当顺延提交首次响应文件截止</w:t>
      </w:r>
      <w:r>
        <w:rPr>
          <w:rFonts w:hint="eastAsia" w:ascii="宋体" w:hAnsi="宋体"/>
          <w:color w:val="auto"/>
          <w:szCs w:val="21"/>
          <w:highlight w:val="none"/>
        </w:rPr>
        <w:t>时间</w:t>
      </w:r>
      <w:r>
        <w:rPr>
          <w:rFonts w:ascii="宋体" w:hAnsi="宋体"/>
          <w:color w:val="auto"/>
          <w:szCs w:val="21"/>
          <w:highlight w:val="none"/>
        </w:rPr>
        <w:t>。</w:t>
      </w:r>
      <w:r>
        <w:rPr>
          <w:rFonts w:hint="eastAsia" w:ascii="宋体" w:hAnsi="宋体"/>
          <w:color w:val="auto"/>
          <w:szCs w:val="21"/>
          <w:highlight w:val="none"/>
        </w:rPr>
        <w:t>澄清或者更正公告在原公告发布媒体上发布</w:t>
      </w:r>
      <w:r>
        <w:rPr>
          <w:rFonts w:hint="eastAsia" w:hAnsi="宋体" w:cs="Adobe 黑体 Std R"/>
          <w:color w:val="auto"/>
          <w:highlight w:val="none"/>
        </w:rPr>
        <w:t>，</w:t>
      </w:r>
      <w:r>
        <w:rPr>
          <w:rFonts w:hint="eastAsia" w:hAnsi="宋体"/>
          <w:color w:val="auto"/>
          <w:highlight w:val="none"/>
        </w:rPr>
        <w:t>一经发布，视作已以书面形式送达给所有潜在供应商、所有获取竞争性磋商文件的潜在供应商，不再另行通知，所有潜在供应商应密切关注原竞争性磋商公告发布媒体，因未能及时获知，由此产生的后果均应自行承担。</w:t>
      </w:r>
    </w:p>
    <w:p>
      <w:pPr>
        <w:spacing w:line="360" w:lineRule="auto"/>
        <w:rPr>
          <w:rFonts w:ascii="宋体" w:hAnsi="宋体"/>
          <w:color w:val="auto"/>
          <w:szCs w:val="21"/>
          <w:highlight w:val="none"/>
        </w:rPr>
      </w:pPr>
    </w:p>
    <w:p>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pPr>
        <w:spacing w:line="360" w:lineRule="auto"/>
        <w:rPr>
          <w:rFonts w:ascii="宋体" w:hAnsi="宋体"/>
          <w:color w:val="auto"/>
          <w:szCs w:val="21"/>
          <w:highlight w:val="none"/>
        </w:rPr>
      </w:pP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注：本项目实行电子响应，供应商应准备电子响应文件电子响应文件按政采云平台要求及本磋商文件要求制作、加密并递交。具体操作流程可参考《政府采购项目电子交易管理操作指南-供应商》，指南可在“http://www.ccgp-guangxi.gov.cn/PurchaseAdvisory/ImportantNotice/2866753.html”下载。</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2.1.1</w:t>
      </w:r>
      <w:r>
        <w:rPr>
          <w:rFonts w:hint="eastAsia" w:ascii="宋体" w:hAnsi="宋体" w:cs="宋体"/>
          <w:color w:val="auto"/>
          <w:szCs w:val="21"/>
          <w:highlight w:val="none"/>
        </w:rPr>
        <w:t>资格证明文件：详见须知前附表</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2.1.2</w:t>
      </w:r>
      <w:r>
        <w:rPr>
          <w:rFonts w:hint="eastAsia" w:ascii="宋体" w:hAnsi="宋体" w:cs="宋体"/>
          <w:color w:val="auto"/>
          <w:szCs w:val="21"/>
          <w:highlight w:val="none"/>
        </w:rPr>
        <w:t>报价商务技术文件：详见须知前附表</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15.竞标报价要求和构成</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15.2竞标报价的价格构成见“供应商须知前附表”。</w:t>
      </w:r>
    </w:p>
    <w:p>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竞标报价（包含首次报价、最后报价）超过所竞标分标规定的采购预算金额或者最高限价的（如本项目公布了最高限价），其响应文件将作无效处理。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88" w:name="_Hlk42592874"/>
      <w:r>
        <w:rPr>
          <w:rFonts w:hint="eastAsia" w:ascii="宋体" w:hAnsi="宋体" w:cs="宋体"/>
          <w:color w:val="auto"/>
          <w:szCs w:val="21"/>
          <w:highlight w:val="none"/>
        </w:rPr>
        <w:t>竞标报价（包含首次报价、最后报价）超过分项采购预算金额或者最高限价的（如本项目公布了最高限价），其响应文件将作无效处理。</w:t>
      </w:r>
    </w:p>
    <w:bookmarkEnd w:id="88"/>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18.1供应商应按本竞争性磋商文件规定的格式和顺序编制响应文件并标注页码，响应文件内容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olor w:val="auto"/>
          <w:highlight w:val="none"/>
        </w:rPr>
        <w:t>由此引发的</w:t>
      </w:r>
      <w:r>
        <w:rPr>
          <w:rFonts w:hint="eastAsia" w:ascii="宋体" w:hAnsi="宋体" w:cs="宋体"/>
          <w:color w:val="auto"/>
          <w:spacing w:val="-6"/>
          <w:szCs w:val="21"/>
          <w:highlight w:val="none"/>
        </w:rPr>
        <w:t>后果由供应商承担。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18.2响应文件应按资格证明文件、报价商务技术文件分别编制。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w:t>
      </w:r>
      <w:r>
        <w:rPr>
          <w:rFonts w:hint="eastAsia" w:ascii="Calibri" w:hAnsi="Calibri"/>
          <w:color w:val="auto"/>
          <w:szCs w:val="21"/>
          <w:highlight w:val="none"/>
        </w:rPr>
        <w:t>电子响应文件中须加盖供应商公章部分均采用 CA 签章，并根据“政府采购项目电子交易管理操作指南-供应商” 及本磋商文件规定的格式和顺序编制电子响应文件并进行关联定位，以便谈判小组在评审时，点击即可直接定位到该内容。如对磋商文件的某项要求，供应商的电子响应文件未能关联定位提供相应的内容与其对应，则谈判小组在评审时如做出对供应商不利的评审由供应商自行承担。电子响应文件如内容不完整、编排混乱导致响应文件被误读、 漏读，或者在按磋商文件规定的部位查找不到相关内容的，由供应商自行承担</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w:t>
      </w:r>
      <w:r>
        <w:rPr>
          <w:rFonts w:hint="eastAsia" w:ascii="Calibri" w:hAnsi="Calibri"/>
          <w:color w:val="auto"/>
          <w:szCs w:val="21"/>
          <w:highlight w:val="none"/>
        </w:rPr>
        <w:t>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18.5响应文件中标注的供应商名称应与营业执照（事业单位法人证书、执业许可证、自然人身份证）及公章一致，否则其响应文件按无效响应处理。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18.6响应文件应尽量避免涂改、行间插字或者删除。如果出现上述情况，改动之处应由供应商的法定代表人或者其委托代理人签字</w:t>
      </w:r>
      <w:r>
        <w:rPr>
          <w:rFonts w:hint="eastAsia" w:ascii="Calibri" w:hAnsi="Calibri"/>
          <w:color w:val="auto"/>
          <w:szCs w:val="21"/>
          <w:highlight w:val="none"/>
        </w:rPr>
        <w:t>（或个人CA签章）</w:t>
      </w:r>
      <w:r>
        <w:rPr>
          <w:rFonts w:hint="eastAsia" w:ascii="宋体" w:hAnsi="宋体" w:cs="宋体"/>
          <w:color w:val="auto"/>
          <w:szCs w:val="21"/>
          <w:highlight w:val="none"/>
        </w:rPr>
        <w:t>或者加盖公章</w:t>
      </w:r>
      <w:r>
        <w:rPr>
          <w:rFonts w:hint="eastAsia" w:ascii="Calibri" w:hAnsi="Calibri"/>
          <w:color w:val="auto"/>
          <w:szCs w:val="21"/>
          <w:highlight w:val="none"/>
        </w:rPr>
        <w:t xml:space="preserve"> （或CA 签章）</w:t>
      </w:r>
      <w:r>
        <w:rPr>
          <w:rFonts w:hint="eastAsia" w:ascii="宋体" w:hAnsi="宋体" w:cs="宋体"/>
          <w:color w:val="auto"/>
          <w:szCs w:val="21"/>
          <w:highlight w:val="none"/>
        </w:rPr>
        <w:t>。响应文件因涂改、行间插字或者删除导致字迹潦草或者表达不清所引起的后果由供应商承担。</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19. 响应文件的密封和标记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19.1本项目</w:t>
      </w:r>
      <w:r>
        <w:rPr>
          <w:rFonts w:hint="eastAsia" w:ascii="Calibri" w:hAnsi="Calibri"/>
          <w:color w:val="auto"/>
          <w:szCs w:val="21"/>
          <w:highlight w:val="none"/>
        </w:rPr>
        <w:t>采用电子响应文件，无需另外密封和标</w:t>
      </w:r>
      <w:r>
        <w:rPr>
          <w:rFonts w:hint="eastAsia" w:ascii="宋体" w:hAnsi="宋体" w:cs="宋体"/>
          <w:color w:val="auto"/>
          <w:szCs w:val="21"/>
          <w:highlight w:val="none"/>
        </w:rPr>
        <w:t>记。</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w:t>
      </w:r>
      <w:r>
        <w:rPr>
          <w:rFonts w:hint="eastAsia" w:ascii="Calibri" w:hAnsi="Calibri"/>
          <w:color w:val="auto"/>
          <w:szCs w:val="21"/>
          <w:highlight w:val="none"/>
        </w:rPr>
        <w:t>本项目</w:t>
      </w:r>
      <w:r>
        <w:rPr>
          <w:rFonts w:hint="eastAsia" w:ascii="宋体" w:hAnsi="宋体" w:cs="宋体"/>
          <w:color w:val="auto"/>
          <w:szCs w:val="21"/>
          <w:highlight w:val="none"/>
        </w:rPr>
        <w:t>实行全流程电子化</w:t>
      </w:r>
      <w:r>
        <w:rPr>
          <w:rFonts w:hint="eastAsia" w:ascii="Calibri" w:hAnsi="Calibri"/>
          <w:color w:val="auto"/>
          <w:szCs w:val="21"/>
          <w:highlight w:val="none"/>
        </w:rPr>
        <w:t>；若供应商参与磋商，自行承担磋商的一切费用</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w:t>
      </w:r>
      <w:r>
        <w:rPr>
          <w:rFonts w:hint="eastAsia" w:ascii="Calibri" w:hAnsi="Calibri"/>
          <w:color w:val="auto"/>
          <w:szCs w:val="21"/>
          <w:highlight w:val="none"/>
        </w:rPr>
        <w:t>供应商在截标前应确保成为政采云平台正式注册入库供应商，并完成 CA 数字证书申领。因未注册入库、未办理 CA 数字证书等原因造成无法响应或响应失败等后果由供应商自行承担</w:t>
      </w:r>
      <w:r>
        <w:rPr>
          <w:rFonts w:hint="eastAsia" w:ascii="宋体" w:hAnsi="宋体" w:cs="宋体"/>
          <w:color w:val="auto"/>
          <w:szCs w:val="21"/>
          <w:highlight w:val="none"/>
        </w:rPr>
        <w:t>。</w:t>
      </w:r>
    </w:p>
    <w:p>
      <w:pPr>
        <w:pStyle w:val="8"/>
        <w:spacing w:line="360" w:lineRule="auto"/>
        <w:rPr>
          <w:rFonts w:ascii="宋体" w:hAnsi="宋体" w:cs="宋体"/>
          <w:bCs/>
          <w:color w:val="auto"/>
          <w:highlight w:val="none"/>
        </w:rPr>
      </w:pPr>
      <w:r>
        <w:rPr>
          <w:rFonts w:hint="eastAsia" w:ascii="宋体" w:hAnsi="宋体" w:cs="宋体"/>
          <w:color w:val="auto"/>
          <w:szCs w:val="21"/>
          <w:highlight w:val="none"/>
        </w:rPr>
        <w:t>20.3</w:t>
      </w:r>
      <w:r>
        <w:rPr>
          <w:rFonts w:hint="eastAsia" w:ascii="Calibri" w:hAnsi="Calibri"/>
          <w:color w:val="auto"/>
          <w:szCs w:val="21"/>
          <w:highlight w:val="none"/>
        </w:rPr>
        <w:t>供应商将政采云电子交易客户端下载、安装完成后，可通过账号密码或 CA 登录客户端进行响应文件制作。客户端请至网站下载专区查看，如有问题可拨打政采云客户服务热线 400-881-7190 进行咨询</w:t>
      </w:r>
      <w:r>
        <w:rPr>
          <w:rFonts w:hint="eastAsia" w:ascii="宋体" w:hAnsi="宋体" w:cs="宋体"/>
          <w:color w:val="auto"/>
          <w:szCs w:val="21"/>
          <w:highlight w:val="none"/>
        </w:rPr>
        <w:t>。</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pPr>
        <w:spacing w:line="360" w:lineRule="auto"/>
        <w:ind w:firstLine="422" w:firstLineChars="200"/>
        <w:rPr>
          <w:rFonts w:ascii="宋体" w:hAnsi="宋体" w:cs="宋体"/>
          <w:color w:val="auto"/>
          <w:szCs w:val="21"/>
          <w:highlight w:val="none"/>
        </w:rPr>
      </w:pPr>
      <w:r>
        <w:rPr>
          <w:rFonts w:hint="eastAsia" w:ascii="宋体"/>
          <w:b/>
          <w:bCs/>
          <w:color w:val="auto"/>
          <w:szCs w:val="21"/>
          <w:highlight w:val="none"/>
        </w:rPr>
        <w:t>供应商进行电子竞标前应安装客户端软件，并按照竞争性磋商文件和电子交易平台的要求编制并加密响应文件。供应商未按规定加密的响应文件，电子交易平台将拒收。供应商应当在</w:t>
      </w:r>
      <w:r>
        <w:rPr>
          <w:rFonts w:hint="eastAsia"/>
          <w:color w:val="auto"/>
          <w:highlight w:val="none"/>
        </w:rPr>
        <w:t>首次响应文件提交截止时间</w:t>
      </w:r>
      <w:r>
        <w:rPr>
          <w:rFonts w:hint="eastAsia" w:ascii="宋体"/>
          <w:b/>
          <w:bCs/>
          <w:color w:val="auto"/>
          <w:szCs w:val="21"/>
          <w:highlight w:val="none"/>
        </w:rPr>
        <w:t>前完成响应文件的传输递交，并可以补充、修改或者撤回磋商响应文件。补充或者修改响应文件的，应当先行撤回原文件，补充、修改后重新传输递交。</w:t>
      </w:r>
      <w:r>
        <w:rPr>
          <w:rFonts w:hint="eastAsia"/>
          <w:color w:val="auto"/>
          <w:highlight w:val="none"/>
        </w:rPr>
        <w:t>首次响应文件提交截止时间</w:t>
      </w:r>
      <w:r>
        <w:rPr>
          <w:rFonts w:hint="eastAsia" w:ascii="宋体"/>
          <w:b/>
          <w:bCs/>
          <w:color w:val="auto"/>
          <w:szCs w:val="21"/>
          <w:highlight w:val="none"/>
        </w:rPr>
        <w:t>前未完成传输的，视为撤回响应文件。</w:t>
      </w:r>
      <w:r>
        <w:rPr>
          <w:rFonts w:hint="eastAsia"/>
          <w:color w:val="auto"/>
          <w:highlight w:val="none"/>
        </w:rPr>
        <w:t>首次响应文件提交截止时间</w:t>
      </w:r>
      <w:r>
        <w:rPr>
          <w:rFonts w:hint="eastAsia" w:ascii="宋体"/>
          <w:b/>
          <w:bCs/>
          <w:color w:val="auto"/>
          <w:szCs w:val="21"/>
          <w:highlight w:val="none"/>
        </w:rPr>
        <w:t>后递交的响应文件，电子交易平台将拒收</w:t>
      </w:r>
      <w:r>
        <w:rPr>
          <w:rFonts w:hint="eastAsia" w:ascii="宋体" w:hAnsi="宋体" w:cs="宋体"/>
          <w:color w:val="auto"/>
          <w:szCs w:val="21"/>
          <w:highlight w:val="none"/>
        </w:rPr>
        <w:t>。</w:t>
      </w:r>
    </w:p>
    <w:p>
      <w:pPr>
        <w:spacing w:line="360" w:lineRule="auto"/>
        <w:ind w:firstLine="482" w:firstLineChars="200"/>
        <w:rPr>
          <w:rFonts w:ascii="黑体" w:hAnsi="黑体" w:eastAsia="黑体" w:cs="宋体"/>
          <w:b/>
          <w:bCs/>
          <w:color w:val="auto"/>
          <w:sz w:val="24"/>
          <w:highlight w:val="none"/>
        </w:rPr>
      </w:pPr>
      <w:bookmarkStart w:id="89" w:name="_Hlk45702405"/>
      <w:r>
        <w:rPr>
          <w:rFonts w:hint="eastAsia" w:ascii="黑体" w:hAnsi="黑体" w:eastAsia="黑体" w:cs="宋体"/>
          <w:b/>
          <w:bCs/>
          <w:color w:val="auto"/>
          <w:sz w:val="24"/>
          <w:highlight w:val="none"/>
        </w:rPr>
        <w:t>22.</w:t>
      </w:r>
      <w:r>
        <w:rPr>
          <w:rFonts w:ascii="黑体" w:hAnsi="黑体" w:eastAsia="黑体" w:cs="宋体"/>
          <w:b/>
          <w:bCs/>
          <w:color w:val="auto"/>
          <w:sz w:val="24"/>
          <w:highlight w:val="none"/>
        </w:rPr>
        <w:t>响应文件的</w:t>
      </w:r>
      <w:r>
        <w:rPr>
          <w:rFonts w:hint="eastAsia" w:ascii="黑体" w:hAnsi="黑体" w:eastAsia="黑体" w:cs="宋体"/>
          <w:b/>
          <w:bCs/>
          <w:color w:val="auto"/>
          <w:sz w:val="24"/>
          <w:highlight w:val="none"/>
        </w:rPr>
        <w:t>递交和解密</w:t>
      </w:r>
    </w:p>
    <w:p>
      <w:pPr>
        <w:tabs>
          <w:tab w:val="left" w:pos="1305"/>
        </w:tabs>
        <w:spacing w:line="380" w:lineRule="exact"/>
        <w:ind w:firstLine="420" w:firstLineChars="200"/>
        <w:rPr>
          <w:rFonts w:ascii="Calibri" w:hAnsi="Calibri"/>
          <w:color w:val="auto"/>
          <w:szCs w:val="21"/>
          <w:highlight w:val="none"/>
        </w:rPr>
      </w:pPr>
      <w:r>
        <w:rPr>
          <w:rFonts w:hint="eastAsia" w:ascii="Calibri" w:hAnsi="Calibri"/>
          <w:color w:val="auto"/>
          <w:szCs w:val="21"/>
          <w:highlight w:val="none"/>
        </w:rPr>
        <w:t>22</w:t>
      </w:r>
      <w:r>
        <w:rPr>
          <w:rFonts w:ascii="Calibri" w:hAnsi="Calibri"/>
          <w:color w:val="auto"/>
          <w:szCs w:val="21"/>
          <w:highlight w:val="none"/>
        </w:rPr>
        <w:t>.1</w:t>
      </w:r>
      <w:r>
        <w:rPr>
          <w:rFonts w:hint="eastAsia" w:ascii="Calibri" w:hAnsi="Calibri"/>
          <w:color w:val="auto"/>
          <w:szCs w:val="21"/>
          <w:highlight w:val="none"/>
        </w:rPr>
        <w:t xml:space="preserve"> </w:t>
      </w:r>
      <w:r>
        <w:rPr>
          <w:rFonts w:hint="eastAsia" w:ascii="宋体" w:hAnsi="宋体"/>
          <w:color w:val="auto"/>
          <w:szCs w:val="21"/>
          <w:highlight w:val="none"/>
        </w:rPr>
        <w:t>响应文件递交截止时间：</w:t>
      </w:r>
      <w:r>
        <w:rPr>
          <w:rFonts w:ascii="Calibri" w:hAnsi="宋体"/>
          <w:color w:val="auto"/>
          <w:szCs w:val="21"/>
          <w:highlight w:val="none"/>
        </w:rPr>
        <w:t>详见</w:t>
      </w:r>
      <w:r>
        <w:rPr>
          <w:rFonts w:hint="eastAsia" w:ascii="Calibri" w:hAnsi="宋体"/>
          <w:color w:val="auto"/>
          <w:szCs w:val="21"/>
          <w:highlight w:val="none"/>
        </w:rPr>
        <w:t>竞争性磋商公告</w:t>
      </w:r>
      <w:r>
        <w:rPr>
          <w:rFonts w:ascii="Calibri" w:hAnsi="宋体"/>
          <w:color w:val="auto"/>
          <w:szCs w:val="21"/>
          <w:highlight w:val="none"/>
        </w:rPr>
        <w:t>。</w:t>
      </w:r>
    </w:p>
    <w:p>
      <w:pPr>
        <w:tabs>
          <w:tab w:val="left" w:pos="1305"/>
        </w:tabs>
        <w:spacing w:line="380" w:lineRule="exact"/>
        <w:ind w:firstLine="420" w:firstLineChars="200"/>
        <w:rPr>
          <w:rFonts w:ascii="Calibri" w:hAnsi="Calibri"/>
          <w:color w:val="auto"/>
          <w:szCs w:val="21"/>
          <w:highlight w:val="none"/>
        </w:rPr>
      </w:pPr>
      <w:r>
        <w:rPr>
          <w:rFonts w:hint="eastAsia" w:ascii="Calibri" w:hAnsi="Calibri"/>
          <w:color w:val="auto"/>
          <w:szCs w:val="21"/>
          <w:highlight w:val="none"/>
        </w:rPr>
        <w:t>22</w:t>
      </w:r>
      <w:r>
        <w:rPr>
          <w:rFonts w:ascii="Calibri" w:hAnsi="Calibri"/>
          <w:color w:val="auto"/>
          <w:szCs w:val="21"/>
          <w:highlight w:val="none"/>
        </w:rPr>
        <w:t xml:space="preserve">.2 </w:t>
      </w:r>
      <w:r>
        <w:rPr>
          <w:rFonts w:hint="eastAsia" w:ascii="宋体" w:hAnsi="宋体" w:cs="宋体"/>
          <w:color w:val="auto"/>
          <w:szCs w:val="21"/>
          <w:highlight w:val="none"/>
        </w:rPr>
        <w:t>响应文件解密时间</w:t>
      </w:r>
      <w:r>
        <w:rPr>
          <w:rFonts w:ascii="Calibri" w:hAnsi="宋体"/>
          <w:color w:val="auto"/>
          <w:szCs w:val="21"/>
          <w:highlight w:val="none"/>
        </w:rPr>
        <w:t>：详见</w:t>
      </w:r>
      <w:r>
        <w:rPr>
          <w:rFonts w:hint="eastAsia" w:ascii="Calibri" w:hAnsi="宋体"/>
          <w:color w:val="auto"/>
          <w:szCs w:val="21"/>
          <w:highlight w:val="none"/>
        </w:rPr>
        <w:t>竞争性磋商公告</w:t>
      </w:r>
      <w:r>
        <w:rPr>
          <w:rFonts w:ascii="Calibri" w:hAnsi="宋体"/>
          <w:color w:val="auto"/>
          <w:szCs w:val="21"/>
          <w:highlight w:val="none"/>
        </w:rPr>
        <w:t>。</w:t>
      </w:r>
      <w:r>
        <w:rPr>
          <w:rFonts w:ascii="Calibri" w:hAnsi="Calibri"/>
          <w:color w:val="auto"/>
          <w:highlight w:val="none"/>
        </w:rPr>
        <w:t xml:space="preserve">  </w:t>
      </w:r>
    </w:p>
    <w:p>
      <w:pPr>
        <w:tabs>
          <w:tab w:val="left" w:pos="1305"/>
        </w:tabs>
        <w:spacing w:line="380" w:lineRule="exact"/>
        <w:ind w:firstLine="420" w:firstLineChars="200"/>
        <w:rPr>
          <w:rFonts w:ascii="Calibri" w:hAnsi="Calibri"/>
          <w:color w:val="auto"/>
          <w:szCs w:val="21"/>
          <w:highlight w:val="none"/>
        </w:rPr>
      </w:pPr>
      <w:r>
        <w:rPr>
          <w:rFonts w:hint="eastAsia" w:ascii="Calibri" w:hAnsi="Calibri"/>
          <w:color w:val="auto"/>
          <w:szCs w:val="21"/>
          <w:highlight w:val="none"/>
        </w:rPr>
        <w:t>22</w:t>
      </w:r>
      <w:r>
        <w:rPr>
          <w:rFonts w:ascii="Calibri" w:hAnsi="Calibri"/>
          <w:color w:val="auto"/>
          <w:szCs w:val="21"/>
          <w:highlight w:val="none"/>
        </w:rPr>
        <w:t>.3 除竞争性磋商文件另有规定外，供应商所递交的响应文件不予退还。</w:t>
      </w:r>
    </w:p>
    <w:p>
      <w:pPr>
        <w:tabs>
          <w:tab w:val="left" w:pos="1305"/>
        </w:tabs>
        <w:spacing w:line="380" w:lineRule="exact"/>
        <w:ind w:firstLine="420" w:firstLineChars="200"/>
        <w:rPr>
          <w:rFonts w:ascii="Calibri" w:hAnsi="Calibri"/>
          <w:color w:val="auto"/>
          <w:szCs w:val="21"/>
          <w:highlight w:val="none"/>
        </w:rPr>
      </w:pPr>
      <w:r>
        <w:rPr>
          <w:rFonts w:hint="eastAsia" w:ascii="Calibri" w:hAnsi="Calibri"/>
          <w:color w:val="auto"/>
          <w:szCs w:val="21"/>
          <w:highlight w:val="none"/>
        </w:rPr>
        <w:t>22</w:t>
      </w:r>
      <w:r>
        <w:rPr>
          <w:rFonts w:ascii="Calibri" w:hAnsi="Calibri"/>
          <w:color w:val="auto"/>
          <w:szCs w:val="21"/>
          <w:highlight w:val="none"/>
        </w:rPr>
        <w:t xml:space="preserve">.4 </w:t>
      </w:r>
      <w:r>
        <w:rPr>
          <w:rFonts w:hint="eastAsia" w:ascii="Calibri" w:hAnsi="Calibri"/>
          <w:color w:val="auto"/>
          <w:szCs w:val="21"/>
          <w:highlight w:val="none"/>
        </w:rPr>
        <w:t>电子响应文件的相关说明</w:t>
      </w:r>
    </w:p>
    <w:p>
      <w:pPr>
        <w:tabs>
          <w:tab w:val="left" w:pos="1305"/>
        </w:tabs>
        <w:spacing w:line="380" w:lineRule="exact"/>
        <w:ind w:firstLine="420" w:firstLineChars="200"/>
        <w:rPr>
          <w:rFonts w:ascii="Calibri" w:hAnsi="Calibri"/>
          <w:color w:val="auto"/>
          <w:szCs w:val="21"/>
          <w:highlight w:val="none"/>
        </w:rPr>
      </w:pPr>
      <w:r>
        <w:rPr>
          <w:rFonts w:hint="eastAsia" w:ascii="Calibri" w:hAnsi="Calibri"/>
          <w:color w:val="auto"/>
          <w:szCs w:val="21"/>
          <w:highlight w:val="none"/>
        </w:rPr>
        <w:t>（1）供应商进行电子响应应安装客户端软件，并按照磋商文件和电子交易平台的要求编制并加密响应文件。供应商未按规定加密的响应文件，电子交易平台将拒收。供应商应当在</w:t>
      </w:r>
      <w:r>
        <w:rPr>
          <w:rFonts w:hint="eastAsia" w:ascii="Calibri" w:hAnsi="Calibri"/>
          <w:color w:val="auto"/>
          <w:highlight w:val="none"/>
        </w:rPr>
        <w:t>首次</w:t>
      </w:r>
      <w:r>
        <w:rPr>
          <w:rFonts w:hint="eastAsia" w:ascii="Calibri" w:hAnsi="Calibri"/>
          <w:color w:val="auto"/>
          <w:szCs w:val="21"/>
          <w:highlight w:val="none"/>
        </w:rPr>
        <w:t>响应文件递交截止时间前完成响应文件的传输递交，并可以补充、修改或者撤回响应文件。补充或者修改响应文件的，应当先行撤回原文件，补充、修改后重新传输递交。首次响应文件递交截止时间前未完成传输的，视为撤回响应文件。</w:t>
      </w:r>
      <w:r>
        <w:rPr>
          <w:rFonts w:hint="eastAsia" w:ascii="Calibri" w:hAnsi="Calibri"/>
          <w:color w:val="auto"/>
          <w:highlight w:val="none"/>
        </w:rPr>
        <w:t>首次</w:t>
      </w:r>
      <w:r>
        <w:rPr>
          <w:rFonts w:hint="eastAsia" w:ascii="Calibri" w:hAnsi="Calibri"/>
          <w:color w:val="auto"/>
          <w:szCs w:val="21"/>
          <w:highlight w:val="none"/>
        </w:rPr>
        <w:t xml:space="preserve">响应文件递交截止时间后递交的响应文件，电子交易平台将拒收。 </w:t>
      </w:r>
    </w:p>
    <w:p>
      <w:pPr>
        <w:spacing w:line="400" w:lineRule="exact"/>
        <w:ind w:firstLine="420" w:firstLineChars="200"/>
        <w:rPr>
          <w:color w:val="auto"/>
          <w:szCs w:val="21"/>
          <w:highlight w:val="none"/>
        </w:rPr>
      </w:pPr>
      <w:r>
        <w:rPr>
          <w:rFonts w:hint="eastAsia"/>
          <w:color w:val="auto"/>
          <w:szCs w:val="21"/>
          <w:highlight w:val="none"/>
        </w:rPr>
        <w:t>（2）如有特殊情况，采购代理机构延长截止时间和开标时间，采购代理机构和供应商的权利和义务将受到新的截止时间和开标时间的约束。</w:t>
      </w:r>
    </w:p>
    <w:p>
      <w:pPr>
        <w:spacing w:line="400" w:lineRule="exact"/>
        <w:ind w:firstLine="422" w:firstLineChars="200"/>
        <w:rPr>
          <w:rFonts w:ascii="宋体" w:hAnsi="宋体" w:cs="宋体"/>
          <w:bCs/>
          <w:color w:val="auto"/>
          <w:kern w:val="0"/>
          <w:szCs w:val="21"/>
          <w:highlight w:val="none"/>
        </w:rPr>
      </w:pPr>
      <w:r>
        <w:rPr>
          <w:rFonts w:hint="eastAsia" w:ascii="宋体" w:hAnsi="宋体" w:cs="宋体"/>
          <w:b/>
          <w:bCs/>
          <w:color w:val="auto"/>
          <w:kern w:val="0"/>
          <w:szCs w:val="21"/>
          <w:highlight w:val="none"/>
        </w:rPr>
        <w:t xml:space="preserve">23. </w:t>
      </w:r>
      <w:r>
        <w:rPr>
          <w:rFonts w:hint="eastAsia" w:ascii="宋体" w:hAnsi="宋体" w:cs="宋体"/>
          <w:b/>
          <w:color w:val="auto"/>
          <w:kern w:val="0"/>
          <w:szCs w:val="21"/>
          <w:highlight w:val="none"/>
        </w:rPr>
        <w:t>特别说明：政采云平台如对电子化竞标及评审程序有调整的，按调整后的程序操作。</w:t>
      </w:r>
    </w:p>
    <w:p>
      <w:pPr>
        <w:spacing w:line="40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 采购过程中出现以下情形，导致电子交易平台无法正常运行，或者无法保证电子交易的公平、公正和安全时，采购组织机构可中止电子交易活动：</w:t>
      </w:r>
    </w:p>
    <w:p>
      <w:pPr>
        <w:spacing w:line="40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电子交易平台发生故障而无法登录访问的； </w:t>
      </w:r>
    </w:p>
    <w:p>
      <w:pPr>
        <w:spacing w:line="40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电子交易平台应用或数据库出现错误，不能进行正常操作的；</w:t>
      </w:r>
    </w:p>
    <w:p>
      <w:pPr>
        <w:spacing w:line="40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电子交易平台发现严重安全漏洞，有潜在泄密危险的；</w:t>
      </w:r>
    </w:p>
    <w:p>
      <w:pPr>
        <w:spacing w:line="40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病毒发作导致不能进行正常操作的； </w:t>
      </w:r>
    </w:p>
    <w:p>
      <w:pPr>
        <w:spacing w:line="40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其他无法保证电子交易的公平、公正和安全的情况。</w:t>
      </w:r>
    </w:p>
    <w:p>
      <w:pPr>
        <w:spacing w:line="40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出现前款规定情形，不影响采购公平、公正性的，采购组织机构可以待上述情形消除后继续组织电子交易活动；影响或可能影响采购公平、公正性的，应当重新采购。</w:t>
      </w:r>
    </w:p>
    <w:bookmarkEnd w:id="89"/>
    <w:p>
      <w:pPr>
        <w:spacing w:line="360" w:lineRule="auto"/>
        <w:rPr>
          <w:rFonts w:ascii="宋体" w:hAnsi="宋体"/>
          <w:color w:val="auto"/>
          <w:szCs w:val="21"/>
          <w:highlight w:val="none"/>
        </w:rPr>
      </w:pPr>
    </w:p>
    <w:p>
      <w:pPr>
        <w:spacing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pPr>
        <w:spacing w:line="360" w:lineRule="auto"/>
        <w:ind w:left="420" w:firstLine="420"/>
        <w:rPr>
          <w:rFonts w:ascii="宋体" w:hAnsi="宋体"/>
          <w:color w:val="auto"/>
          <w:szCs w:val="21"/>
          <w:highlight w:val="none"/>
        </w:rPr>
      </w:pP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首次响应文件由磋商小组或者采购代理机构在“供应商须知前附表”规定的时间开启。</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 xml:space="preserve">6.2 </w:t>
      </w:r>
      <w:r>
        <w:rPr>
          <w:rFonts w:hint="eastAsia" w:ascii="宋体" w:hAnsi="宋体" w:cs="宋体"/>
          <w:color w:val="auto"/>
          <w:szCs w:val="21"/>
          <w:highlight w:val="none"/>
        </w:rPr>
        <w:t>磋商文件内容违反国家有关强制性规定的，磋商小组应当停止评审并向采购人或者采购代理机构说明情况，并在评审报告中书面体现。</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税收违法黑名单、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7.3</w:t>
      </w:r>
      <w:r>
        <w:rPr>
          <w:rFonts w:hint="eastAsia" w:ascii="宋体" w:hAnsi="宋体" w:cs="宋体"/>
          <w:color w:val="auto"/>
          <w:szCs w:val="21"/>
          <w:highlight w:val="none"/>
        </w:rPr>
        <w:t xml:space="preserve">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szCs w:val="21"/>
          <w:highlight w:val="none"/>
        </w:rPr>
      </w:pPr>
      <w:r>
        <w:rPr>
          <w:rFonts w:ascii="宋体" w:hAnsi="宋体"/>
          <w:bCs/>
          <w:color w:val="auto"/>
          <w:szCs w:val="21"/>
          <w:highlight w:val="none"/>
        </w:rPr>
        <w:t>27.4</w:t>
      </w:r>
      <w:r>
        <w:rPr>
          <w:rFonts w:hint="eastAsia" w:ascii="宋体" w:hAnsi="宋体"/>
          <w:bCs/>
          <w:color w:val="auto"/>
          <w:szCs w:val="21"/>
          <w:highlight w:val="none"/>
        </w:rPr>
        <w:t>排名第一的成交候选人放弃成交、因不可抗力提出不能履行合同，采购人可以按照评审报告推荐的成交候选人名单排序，依法确定下一候选人为成交</w:t>
      </w:r>
      <w:r>
        <w:rPr>
          <w:rFonts w:hint="eastAsia" w:ascii="宋体" w:hAnsi="宋体" w:cs="宋体"/>
          <w:color w:val="auto"/>
          <w:szCs w:val="21"/>
          <w:highlight w:val="none"/>
        </w:rPr>
        <w:t>供应商</w:t>
      </w:r>
      <w:r>
        <w:rPr>
          <w:rFonts w:hint="eastAsia" w:ascii="宋体" w:hAnsi="宋体"/>
          <w:bCs/>
          <w:color w:val="auto"/>
          <w:szCs w:val="21"/>
          <w:highlight w:val="none"/>
        </w:rPr>
        <w:t>，也可以重新开展政府采购活动。</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签订合同，采购人可以按照评审报告推荐的成交候选人名单排序，依法确定下一候选人为成交供应商，也可以重新开展政府采购活动。</w:t>
      </w:r>
    </w:p>
    <w:p>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.2签订合同后，如成交供应商不按双方签订的合同规定履约，则没收其全部履约保证金，履约保证金不足以赔偿损失的，按实际损失赔偿。</w:t>
      </w:r>
    </w:p>
    <w:p>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在履约保证金退还日期前，若成交供应商的开户名称、开户银行、账号有变动的，请以书面形式通知履约保证金收取单位，否则由此产生的后果由成交供应商自行承担。</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29.1</w:t>
      </w:r>
      <w:r>
        <w:rPr>
          <w:rFonts w:hint="eastAsia" w:ascii="宋体" w:hAnsi="宋体" w:cs="宋体"/>
          <w:color w:val="auto"/>
          <w:szCs w:val="21"/>
          <w:highlight w:val="none"/>
        </w:rPr>
        <w:t>成交供应商在收到成交通知书后，应当在签订合同时向采购人出示相关证明材料，具体内容详见 “供应商须知前附表”，经采购人核验合格后方可签订合同。</w:t>
      </w:r>
    </w:p>
    <w:p>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.2 签订合同时间：按成交通知书规定的时间与采购人签订政府采购合同。</w:t>
      </w:r>
    </w:p>
    <w:p>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3成交供应商拒绝与采购人签订合同的，采购人可以按照评审报告推荐的成交候选人名单排序，依法确定下一候选人为成交供应商，也可以重新开展政府采购活动。拒绝签订政府采购合同的成交供应商不得参加对该合同项重新开展的采购活动。</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.1采购代理服务费收费标准及缴纳账户详见“供应商须知前附表”，供应商为联合体的，可以由联合体中的一方或者多方共同缴纳采购代理服务费。</w:t>
      </w:r>
    </w:p>
    <w:p>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采购代理服务费收费计算标准：</w:t>
      </w:r>
    </w:p>
    <w:tbl>
      <w:tblPr>
        <w:tblStyle w:val="32"/>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pPr>
        <w:spacing w:line="360" w:lineRule="auto"/>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w:t>
      </w:r>
      <w:r>
        <w:rPr>
          <w:rFonts w:hint="eastAsia" w:ascii="宋体" w:hAnsi="宋体" w:cs="宋体"/>
          <w:color w:val="auto"/>
          <w:highlight w:val="none"/>
        </w:rPr>
        <w:t>200</w:t>
      </w:r>
      <w:r>
        <w:rPr>
          <w:rFonts w:ascii="宋体" w:hAnsi="宋体" w:cs="宋体"/>
          <w:color w:val="auto"/>
          <w:highlight w:val="none"/>
        </w:rPr>
        <w:t>万元，计算</w:t>
      </w:r>
      <w:r>
        <w:rPr>
          <w:rFonts w:hint="eastAsia" w:ascii="宋体" w:hAnsi="宋体" w:cs="宋体"/>
          <w:color w:val="auto"/>
          <w:highlight w:val="none"/>
        </w:rPr>
        <w:t>采购</w:t>
      </w:r>
      <w:r>
        <w:rPr>
          <w:rFonts w:ascii="宋体" w:hAnsi="宋体" w:cs="宋体"/>
          <w:color w:val="auto"/>
          <w:highlight w:val="none"/>
        </w:rPr>
        <w:t>代理收费额如下：</w:t>
      </w:r>
    </w:p>
    <w:p>
      <w:pPr>
        <w:spacing w:line="360" w:lineRule="auto"/>
        <w:ind w:firstLine="420" w:firstLineChars="200"/>
        <w:rPr>
          <w:rFonts w:ascii="宋体" w:hAnsi="宋体" w:cs="宋体"/>
          <w:color w:val="auto"/>
          <w:highlight w:val="none"/>
        </w:rPr>
      </w:pPr>
      <w:r>
        <w:rPr>
          <w:rFonts w:ascii="宋体" w:hAnsi="宋体" w:cs="宋体"/>
          <w:color w:val="auto"/>
          <w:highlight w:val="none"/>
        </w:rPr>
        <w:t>100 万元 ×l.5 ％＝ 1.5 万元</w:t>
      </w:r>
    </w:p>
    <w:p>
      <w:pPr>
        <w:spacing w:line="360" w:lineRule="auto"/>
        <w:ind w:firstLine="420" w:firstLineChars="200"/>
        <w:rPr>
          <w:rFonts w:ascii="宋体" w:hAnsi="宋体" w:cs="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200</w:t>
      </w:r>
      <w:r>
        <w:rPr>
          <w:rFonts w:ascii="宋体" w:hAnsi="宋体" w:cs="宋体"/>
          <w:color w:val="auto"/>
          <w:highlight w:val="none"/>
        </w:rPr>
        <w:t xml:space="preserve"> － 100 ）万元 ×0.8％＝ 0.</w:t>
      </w:r>
      <w:r>
        <w:rPr>
          <w:rFonts w:hint="eastAsia" w:ascii="宋体" w:hAnsi="宋体" w:cs="宋体"/>
          <w:color w:val="auto"/>
          <w:highlight w:val="none"/>
        </w:rPr>
        <w:t>8</w:t>
      </w:r>
      <w:r>
        <w:rPr>
          <w:rFonts w:ascii="宋体" w:hAnsi="宋体" w:cs="宋体"/>
          <w:color w:val="auto"/>
          <w:highlight w:val="none"/>
        </w:rPr>
        <w:t>万元</w:t>
      </w:r>
    </w:p>
    <w:p>
      <w:pPr>
        <w:spacing w:line="360" w:lineRule="auto"/>
        <w:ind w:firstLine="420" w:firstLineChars="200"/>
        <w:rPr>
          <w:rFonts w:ascii="宋体" w:hAnsi="宋体" w:cs="宋体"/>
          <w:color w:val="auto"/>
          <w:highlight w:val="none"/>
        </w:rPr>
      </w:pPr>
      <w:r>
        <w:rPr>
          <w:rFonts w:ascii="宋体" w:hAnsi="宋体" w:cs="宋体"/>
          <w:color w:val="auto"/>
          <w:highlight w:val="none"/>
        </w:rPr>
        <w:t>合计收费＝ 1.5 ＋ 0.</w:t>
      </w:r>
      <w:r>
        <w:rPr>
          <w:rFonts w:hint="eastAsia" w:ascii="宋体" w:hAnsi="宋体" w:cs="宋体"/>
          <w:color w:val="auto"/>
          <w:highlight w:val="none"/>
        </w:rPr>
        <w:t>8</w:t>
      </w:r>
      <w:r>
        <w:rPr>
          <w:rFonts w:ascii="宋体" w:hAnsi="宋体" w:cs="宋体"/>
          <w:color w:val="auto"/>
          <w:highlight w:val="none"/>
        </w:rPr>
        <w:t xml:space="preserve">＝ </w:t>
      </w:r>
      <w:r>
        <w:rPr>
          <w:rFonts w:hint="eastAsia" w:ascii="宋体" w:hAnsi="宋体" w:cs="宋体"/>
          <w:color w:val="auto"/>
          <w:highlight w:val="none"/>
        </w:rPr>
        <w:t>2.3</w:t>
      </w:r>
      <w:r>
        <w:rPr>
          <w:rFonts w:ascii="宋体" w:hAnsi="宋体" w:cs="宋体"/>
          <w:color w:val="auto"/>
          <w:highlight w:val="none"/>
        </w:rPr>
        <w:t xml:space="preserve"> 万元</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w:t>
      </w:r>
      <w:r>
        <w:rPr>
          <w:rFonts w:hint="eastAsia" w:ascii="黑体" w:hAnsi="黑体" w:eastAsia="黑体" w:cs="宋体"/>
          <w:b/>
          <w:bCs/>
          <w:color w:val="auto"/>
          <w:sz w:val="24"/>
          <w:highlight w:val="none"/>
        </w:rPr>
        <w:t>其他</w:t>
      </w:r>
      <w:r>
        <w:rPr>
          <w:rFonts w:ascii="黑体" w:hAnsi="黑体" w:eastAsia="黑体" w:cs="宋体"/>
          <w:b/>
          <w:bCs/>
          <w:color w:val="auto"/>
          <w:sz w:val="24"/>
          <w:highlight w:val="none"/>
        </w:rPr>
        <w:t>内容</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3.1</w:t>
      </w:r>
      <w:r>
        <w:rPr>
          <w:rFonts w:hint="eastAsia" w:ascii="宋体" w:hAnsi="宋体" w:cs="宋体"/>
          <w:color w:val="auto"/>
          <w:highlight w:val="none"/>
        </w:rPr>
        <w:t>本磋商文件解释规则详见“供应商须知前附表”。</w:t>
      </w:r>
    </w:p>
    <w:p>
      <w:pPr>
        <w:spacing w:line="360" w:lineRule="auto"/>
        <w:ind w:firstLine="420" w:firstLineChars="200"/>
        <w:rPr>
          <w:rFonts w:hAnsi="宋体"/>
          <w:color w:val="auto"/>
          <w:highlight w:val="none"/>
        </w:rPr>
      </w:pPr>
      <w:r>
        <w:rPr>
          <w:rFonts w:ascii="宋体" w:hAnsi="宋体" w:cs="宋体"/>
          <w:color w:val="auto"/>
          <w:highlight w:val="none"/>
        </w:rPr>
        <w:t>33.2</w:t>
      </w:r>
      <w:r>
        <w:rPr>
          <w:rFonts w:hint="eastAsia" w:ascii="宋体" w:hAnsi="宋体" w:cs="宋体"/>
          <w:color w:val="auto"/>
          <w:highlight w:val="none"/>
        </w:rPr>
        <w:t xml:space="preserve"> 其他事项详见“供应商须知前附表”。</w:t>
      </w:r>
      <w:r>
        <w:rPr>
          <w:rFonts w:hAnsi="宋体"/>
          <w:b/>
          <w:color w:val="auto"/>
          <w:highlight w:val="none"/>
        </w:rPr>
        <w:br w:type="page"/>
      </w:r>
      <w:r>
        <w:rPr>
          <w:rFonts w:hint="eastAsia" w:ascii="黑体" w:hAnsi="黑体" w:eastAsia="黑体" w:cs="黑体"/>
          <w:bCs/>
          <w:color w:val="auto"/>
          <w:sz w:val="32"/>
          <w:szCs w:val="32"/>
          <w:highlight w:val="none"/>
        </w:rPr>
        <w:t>附件1：</w:t>
      </w:r>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w:t>
      </w:r>
    </w:p>
    <w:p>
      <w:pPr>
        <w:jc w:val="center"/>
        <w:rPr>
          <w:rFonts w:ascii="黑体" w:hAnsi="黑体" w:eastAsia="黑体"/>
          <w:color w:val="auto"/>
          <w:sz w:val="36"/>
          <w:szCs w:val="36"/>
          <w:highlight w:val="none"/>
        </w:rPr>
      </w:pPr>
    </w:p>
    <w:tbl>
      <w:tblPr>
        <w:tblStyle w:val="32"/>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供</w:t>
            </w:r>
          </w:p>
          <w:p>
            <w:pPr>
              <w:jc w:val="center"/>
              <w:rPr>
                <w:rFonts w:ascii="宋体" w:hAnsi="宋体" w:cs="宋体"/>
                <w:color w:val="auto"/>
                <w:szCs w:val="21"/>
                <w:highlight w:val="none"/>
              </w:rPr>
            </w:pPr>
            <w:r>
              <w:rPr>
                <w:rFonts w:hint="eastAsia" w:ascii="宋体" w:hAnsi="宋体" w:cs="宋体"/>
                <w:color w:val="auto"/>
                <w:szCs w:val="21"/>
                <w:highlight w:val="none"/>
              </w:rPr>
              <w:t>应</w:t>
            </w:r>
          </w:p>
          <w:p>
            <w:pPr>
              <w:jc w:val="center"/>
              <w:rPr>
                <w:rFonts w:ascii="宋体" w:hAnsi="宋体" w:cs="宋体"/>
                <w:color w:val="auto"/>
                <w:szCs w:val="21"/>
                <w:highlight w:val="none"/>
              </w:rPr>
            </w:pPr>
            <w:r>
              <w:rPr>
                <w:rFonts w:hint="eastAsia" w:ascii="宋体" w:hAnsi="宋体" w:cs="宋体"/>
                <w:color w:val="auto"/>
                <w:szCs w:val="21"/>
                <w:highlight w:val="none"/>
              </w:rPr>
              <w:t>商</w:t>
            </w:r>
          </w:p>
          <w:p>
            <w:pPr>
              <w:jc w:val="center"/>
              <w:rPr>
                <w:rFonts w:ascii="宋体" w:hAnsi="宋体" w:cs="宋体"/>
                <w:color w:val="auto"/>
                <w:szCs w:val="21"/>
                <w:highlight w:val="none"/>
              </w:rPr>
            </w:pPr>
            <w:r>
              <w:rPr>
                <w:rFonts w:hint="eastAsia" w:ascii="宋体" w:hAnsi="宋体" w:cs="宋体"/>
                <w:color w:val="auto"/>
                <w:szCs w:val="21"/>
                <w:highlight w:val="none"/>
              </w:rPr>
              <w:t>申</w:t>
            </w:r>
          </w:p>
          <w:p>
            <w:pPr>
              <w:jc w:val="center"/>
              <w:rPr>
                <w:rFonts w:ascii="宋体" w:hAnsi="宋体" w:cs="宋体"/>
                <w:color w:val="auto"/>
                <w:szCs w:val="21"/>
                <w:highlight w:val="none"/>
              </w:rPr>
            </w:pPr>
            <w:r>
              <w:rPr>
                <w:rFonts w:hint="eastAsia" w:ascii="宋体" w:hAnsi="宋体" w:cs="宋体"/>
                <w:color w:val="auto"/>
                <w:szCs w:val="21"/>
                <w:highlight w:val="none"/>
              </w:rPr>
              <w:t>请</w:t>
            </w:r>
          </w:p>
        </w:tc>
        <w:tc>
          <w:tcPr>
            <w:tcW w:w="8009" w:type="dxa"/>
            <w:vAlign w:val="center"/>
          </w:tcPr>
          <w:p>
            <w:pPr>
              <w:rPr>
                <w:rFonts w:ascii="宋体" w:hAnsi="宋体" w:cs="宋体"/>
                <w:color w:val="auto"/>
                <w:szCs w:val="21"/>
                <w:highlight w:val="none"/>
              </w:rPr>
            </w:pPr>
            <w:r>
              <w:rPr>
                <w:rFonts w:hint="eastAsia" w:ascii="宋体" w:hAnsi="宋体" w:cs="宋体"/>
                <w:color w:val="auto"/>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rFonts w:ascii="宋体" w:hAnsi="宋体" w:cs="宋体"/>
                <w:color w:val="auto"/>
                <w:szCs w:val="21"/>
                <w:highlight w:val="none"/>
              </w:rPr>
            </w:pPr>
          </w:p>
        </w:tc>
        <w:tc>
          <w:tcPr>
            <w:tcW w:w="8009" w:type="dxa"/>
            <w:vAlign w:val="center"/>
          </w:tcPr>
          <w:p>
            <w:pPr>
              <w:rPr>
                <w:rFonts w:ascii="宋体" w:hAnsi="宋体" w:cs="宋体"/>
                <w:color w:val="auto"/>
                <w:szCs w:val="21"/>
                <w:highlight w:val="none"/>
              </w:rPr>
            </w:pPr>
            <w:r>
              <w:rPr>
                <w:rFonts w:hint="eastAsia" w:ascii="宋体" w:hAnsi="宋体" w:cs="宋体"/>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rFonts w:ascii="宋体" w:hAnsi="宋体" w:cs="宋体"/>
                <w:color w:val="auto"/>
                <w:szCs w:val="21"/>
                <w:highlight w:val="none"/>
              </w:rPr>
            </w:pPr>
          </w:p>
        </w:tc>
        <w:tc>
          <w:tcPr>
            <w:tcW w:w="8009" w:type="dxa"/>
          </w:tcPr>
          <w:p>
            <w:pPr>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该项目已于年月日验收并交付使用。根据合同规定，该项目的履约保证金期限于年月日已满，请将履约保证金（大写）人民币（小写）¥退付到达以下账户。</w:t>
            </w:r>
          </w:p>
          <w:p>
            <w:pPr>
              <w:rPr>
                <w:rFonts w:ascii="宋体" w:hAnsi="宋体" w:cs="宋体"/>
                <w:color w:val="auto"/>
                <w:szCs w:val="21"/>
                <w:highlight w:val="none"/>
              </w:rPr>
            </w:pPr>
            <w:r>
              <w:rPr>
                <w:rFonts w:hint="eastAsia" w:ascii="宋体" w:hAnsi="宋体" w:cs="宋体"/>
                <w:color w:val="auto"/>
                <w:szCs w:val="21"/>
                <w:highlight w:val="none"/>
              </w:rPr>
              <w:t>单位名称：</w:t>
            </w:r>
          </w:p>
          <w:p>
            <w:pPr>
              <w:rPr>
                <w:rFonts w:ascii="宋体" w:hAnsi="宋体" w:cs="宋体"/>
                <w:color w:val="auto"/>
                <w:szCs w:val="21"/>
                <w:highlight w:val="none"/>
              </w:rPr>
            </w:pPr>
            <w:r>
              <w:rPr>
                <w:rFonts w:hint="eastAsia" w:ascii="宋体" w:hAnsi="宋体" w:cs="宋体"/>
                <w:color w:val="auto"/>
                <w:szCs w:val="21"/>
                <w:highlight w:val="none"/>
              </w:rPr>
              <w:t>开户银行：</w:t>
            </w:r>
          </w:p>
          <w:p>
            <w:pPr>
              <w:rPr>
                <w:rFonts w:ascii="宋体" w:hAnsi="宋体" w:cs="宋体"/>
                <w:color w:val="auto"/>
                <w:szCs w:val="21"/>
                <w:highlight w:val="none"/>
              </w:rPr>
            </w:pPr>
            <w:r>
              <w:rPr>
                <w:rFonts w:hint="eastAsia" w:ascii="宋体" w:hAnsi="宋体" w:cs="宋体"/>
                <w:color w:val="auto"/>
                <w:szCs w:val="21"/>
                <w:highlight w:val="none"/>
              </w:rPr>
              <w:t>账    号：</w:t>
            </w:r>
          </w:p>
          <w:p>
            <w:pPr>
              <w:rPr>
                <w:rFonts w:ascii="宋体" w:hAnsi="宋体" w:cs="宋体"/>
                <w:color w:val="auto"/>
                <w:szCs w:val="21"/>
                <w:highlight w:val="none"/>
              </w:rPr>
            </w:pPr>
            <w:r>
              <w:rPr>
                <w:rFonts w:hint="eastAsia" w:ascii="宋体" w:hAnsi="宋体" w:cs="宋体"/>
                <w:color w:val="auto"/>
                <w:szCs w:val="21"/>
                <w:highlight w:val="none"/>
              </w:rPr>
              <w:t>联系人及电话：</w:t>
            </w:r>
          </w:p>
          <w:p>
            <w:pPr>
              <w:rPr>
                <w:rFonts w:ascii="宋体" w:hAnsi="宋体" w:cs="宋体"/>
                <w:color w:val="auto"/>
                <w:szCs w:val="21"/>
                <w:highlight w:val="none"/>
              </w:rPr>
            </w:pPr>
          </w:p>
          <w:p>
            <w:pPr>
              <w:jc w:val="center"/>
              <w:rPr>
                <w:rFonts w:ascii="宋体" w:hAnsi="宋体" w:cs="宋体"/>
                <w:color w:val="auto"/>
                <w:szCs w:val="21"/>
                <w:highlight w:val="none"/>
              </w:rPr>
            </w:pPr>
            <w:r>
              <w:rPr>
                <w:rFonts w:hint="eastAsia" w:ascii="宋体" w:hAnsi="宋体" w:cs="宋体"/>
                <w:color w:val="auto"/>
                <w:szCs w:val="21"/>
                <w:highlight w:val="none"/>
              </w:rPr>
              <w:t xml:space="preserve">                           供应商签章：</w:t>
            </w:r>
          </w:p>
          <w:p>
            <w:pPr>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采</w:t>
            </w:r>
          </w:p>
          <w:p>
            <w:pPr>
              <w:jc w:val="center"/>
              <w:rPr>
                <w:rFonts w:ascii="宋体" w:hAnsi="宋体" w:cs="宋体"/>
                <w:color w:val="auto"/>
                <w:szCs w:val="21"/>
                <w:highlight w:val="none"/>
              </w:rPr>
            </w:pPr>
            <w:r>
              <w:rPr>
                <w:rFonts w:hint="eastAsia" w:ascii="宋体" w:hAnsi="宋体" w:cs="宋体"/>
                <w:color w:val="auto"/>
                <w:szCs w:val="21"/>
                <w:highlight w:val="none"/>
              </w:rPr>
              <w:t>购</w:t>
            </w:r>
          </w:p>
          <w:p>
            <w:pPr>
              <w:jc w:val="center"/>
              <w:rPr>
                <w:rFonts w:ascii="宋体" w:hAnsi="宋体" w:cs="宋体"/>
                <w:color w:val="auto"/>
                <w:szCs w:val="21"/>
                <w:highlight w:val="none"/>
              </w:rPr>
            </w:pPr>
            <w:r>
              <w:rPr>
                <w:rFonts w:hint="eastAsia" w:ascii="宋体" w:hAnsi="宋体" w:cs="宋体"/>
                <w:color w:val="auto"/>
                <w:szCs w:val="21"/>
                <w:highlight w:val="none"/>
              </w:rPr>
              <w:t>单</w:t>
            </w:r>
          </w:p>
          <w:p>
            <w:pPr>
              <w:jc w:val="center"/>
              <w:rPr>
                <w:rFonts w:ascii="宋体" w:hAnsi="宋体" w:cs="宋体"/>
                <w:color w:val="auto"/>
                <w:szCs w:val="21"/>
                <w:highlight w:val="none"/>
              </w:rPr>
            </w:pPr>
            <w:r>
              <w:rPr>
                <w:rFonts w:hint="eastAsia" w:ascii="宋体" w:hAnsi="宋体" w:cs="宋体"/>
                <w:color w:val="auto"/>
                <w:szCs w:val="21"/>
                <w:highlight w:val="none"/>
              </w:rPr>
              <w:t>位</w:t>
            </w:r>
          </w:p>
          <w:p>
            <w:pPr>
              <w:jc w:val="center"/>
              <w:rPr>
                <w:rFonts w:ascii="宋体" w:hAnsi="宋体" w:cs="宋体"/>
                <w:color w:val="auto"/>
                <w:szCs w:val="21"/>
                <w:highlight w:val="none"/>
              </w:rPr>
            </w:pPr>
            <w:r>
              <w:rPr>
                <w:rFonts w:hint="eastAsia" w:ascii="宋体" w:hAnsi="宋体" w:cs="宋体"/>
                <w:color w:val="auto"/>
                <w:szCs w:val="21"/>
                <w:highlight w:val="none"/>
              </w:rPr>
              <w:t>意</w:t>
            </w:r>
          </w:p>
          <w:p>
            <w:pPr>
              <w:jc w:val="center"/>
              <w:rPr>
                <w:rFonts w:ascii="宋体" w:hAnsi="宋体" w:cs="宋体"/>
                <w:color w:val="auto"/>
                <w:szCs w:val="21"/>
                <w:highlight w:val="none"/>
              </w:rPr>
            </w:pPr>
            <w:r>
              <w:rPr>
                <w:rFonts w:hint="eastAsia" w:ascii="宋体" w:hAnsi="宋体" w:cs="宋体"/>
                <w:color w:val="auto"/>
                <w:szCs w:val="21"/>
                <w:highlight w:val="none"/>
              </w:rPr>
              <w:t>见</w:t>
            </w:r>
          </w:p>
        </w:tc>
        <w:tc>
          <w:tcPr>
            <w:tcW w:w="8009" w:type="dxa"/>
          </w:tcPr>
          <w:p>
            <w:pPr>
              <w:rPr>
                <w:rFonts w:ascii="宋体" w:hAnsi="宋体"/>
                <w:color w:val="auto"/>
                <w:highlight w:val="none"/>
              </w:rPr>
            </w:pPr>
            <w:r>
              <w:rPr>
                <w:rFonts w:hint="eastAsia" w:ascii="宋体" w:hAnsi="宋体"/>
                <w:color w:val="auto"/>
                <w:highlight w:val="none"/>
              </w:rPr>
              <w:t>是否质保期或服务期满：</w:t>
            </w:r>
            <w:r>
              <w:rPr>
                <w:rFonts w:hint="eastAsia" w:ascii="宋体" w:hAnsi="宋体"/>
                <w:color w:val="auto"/>
                <w:highlight w:val="none"/>
              </w:rPr>
              <w:sym w:font="Wingdings 2" w:char="00A3"/>
            </w:r>
            <w:r>
              <w:rPr>
                <w:rFonts w:hint="eastAsia" w:ascii="宋体" w:hAnsi="宋体"/>
                <w:color w:val="auto"/>
                <w:highlight w:val="none"/>
              </w:rPr>
              <w:t xml:space="preserve">质保期满   </w:t>
            </w:r>
            <w:r>
              <w:rPr>
                <w:rFonts w:hint="eastAsia" w:ascii="宋体" w:hAnsi="宋体"/>
                <w:color w:val="auto"/>
                <w:highlight w:val="none"/>
              </w:rPr>
              <w:sym w:font="Wingdings 2" w:char="00A3"/>
            </w:r>
            <w:r>
              <w:rPr>
                <w:rFonts w:hint="eastAsia" w:ascii="宋体" w:hAnsi="宋体"/>
                <w:color w:val="auto"/>
                <w:highlight w:val="none"/>
              </w:rPr>
              <w:t>服务期满</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退付意见：是否同意退付履约保证金及退付金额：</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 xml:space="preserve">联系人及电话：                                </w:t>
            </w:r>
          </w:p>
          <w:p>
            <w:pPr>
              <w:rPr>
                <w:rFonts w:ascii="宋体" w:hAnsi="宋体" w:cs="宋体"/>
                <w:color w:val="auto"/>
                <w:szCs w:val="21"/>
                <w:highlight w:val="none"/>
              </w:rPr>
            </w:pPr>
          </w:p>
          <w:p>
            <w:pPr>
              <w:ind w:firstLine="3990" w:firstLineChars="1900"/>
              <w:rPr>
                <w:rFonts w:ascii="宋体" w:hAnsi="宋体" w:cs="宋体"/>
                <w:color w:val="auto"/>
                <w:szCs w:val="21"/>
                <w:highlight w:val="none"/>
              </w:rPr>
            </w:pPr>
            <w:r>
              <w:rPr>
                <w:rFonts w:hint="eastAsia" w:ascii="宋体" w:hAnsi="宋体" w:cs="宋体"/>
                <w:color w:val="auto"/>
                <w:szCs w:val="21"/>
                <w:highlight w:val="none"/>
              </w:rPr>
              <w:t xml:space="preserve"> 采购人签章：</w:t>
            </w:r>
          </w:p>
          <w:p>
            <w:pPr>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8009" w:type="dxa"/>
          </w:tcPr>
          <w:p>
            <w:pPr>
              <w:rPr>
                <w:rFonts w:ascii="宋体" w:hAnsi="宋体" w:cs="宋体"/>
                <w:color w:val="auto"/>
                <w:szCs w:val="21"/>
                <w:highlight w:val="none"/>
              </w:rPr>
            </w:pPr>
          </w:p>
        </w:tc>
      </w:tr>
    </w:tbl>
    <w:p>
      <w:pPr>
        <w:pStyle w:val="16"/>
        <w:ind w:left="1" w:firstLine="271" w:firstLineChars="151"/>
        <w:rPr>
          <w:rFonts w:ascii="宋体" w:hAnsi="宋体" w:cs="宋体"/>
          <w:bCs/>
          <w:color w:val="auto"/>
          <w:sz w:val="18"/>
          <w:szCs w:val="18"/>
          <w:highlight w:val="none"/>
        </w:rPr>
      </w:pPr>
      <w:r>
        <w:rPr>
          <w:rFonts w:hint="eastAsia" w:ascii="宋体" w:hAnsi="宋体" w:cs="宋体"/>
          <w:bCs/>
          <w:color w:val="auto"/>
          <w:sz w:val="18"/>
          <w:szCs w:val="18"/>
          <w:highlight w:val="none"/>
        </w:rPr>
        <w:t>注：供应商凭经采购人审批的退付意见书到履约保证金收取单位财务部门办理履约保证金退付事宜。</w:t>
      </w:r>
    </w:p>
    <w:p>
      <w:pPr>
        <w:pStyle w:val="21"/>
        <w:snapToGrid w:val="0"/>
        <w:spacing w:before="120" w:after="120"/>
        <w:rPr>
          <w:rFonts w:hAnsi="宋体"/>
          <w:color w:val="auto"/>
          <w:highlight w:val="none"/>
        </w:rPr>
      </w:pPr>
    </w:p>
    <w:p>
      <w:pPr>
        <w:pStyle w:val="11"/>
        <w:rPr>
          <w:rFonts w:ascii="宋体"/>
          <w:color w:val="auto"/>
          <w:kern w:val="0"/>
          <w:sz w:val="20"/>
          <w:szCs w:val="21"/>
          <w:highlight w:val="none"/>
        </w:rPr>
      </w:pPr>
      <w:r>
        <w:rPr>
          <w:color w:val="auto"/>
          <w:highlight w:val="none"/>
        </w:rPr>
        <w:br w:type="page"/>
      </w:r>
    </w:p>
    <w:p>
      <w:pPr>
        <w:pStyle w:val="4"/>
        <w:numPr>
          <w:ilvl w:val="0"/>
          <w:numId w:val="1"/>
        </w:numPr>
        <w:jc w:val="center"/>
        <w:rPr>
          <w:color w:val="auto"/>
          <w:highlight w:val="none"/>
        </w:rPr>
      </w:pPr>
      <w:bookmarkStart w:id="90" w:name="_Toc15222"/>
      <w:bookmarkStart w:id="91" w:name="_Toc44229895"/>
      <w:bookmarkStart w:id="92" w:name="_Toc73549988"/>
      <w:r>
        <w:rPr>
          <w:rFonts w:hint="eastAsia"/>
          <w:color w:val="auto"/>
          <w:highlight w:val="none"/>
        </w:rPr>
        <w:t>采购需求</w:t>
      </w:r>
      <w:bookmarkEnd w:id="90"/>
      <w:bookmarkEnd w:id="91"/>
      <w:bookmarkEnd w:id="92"/>
    </w:p>
    <w:p>
      <w:pPr>
        <w:spacing w:line="440" w:lineRule="exact"/>
        <w:jc w:val="left"/>
        <w:rPr>
          <w:rFonts w:ascii="宋体" w:hAnsi="宋体" w:cs="宋体"/>
          <w:color w:val="auto"/>
          <w:szCs w:val="21"/>
          <w:highlight w:val="none"/>
        </w:rPr>
      </w:pPr>
    </w:p>
    <w:p>
      <w:pPr>
        <w:spacing w:line="480" w:lineRule="auto"/>
        <w:jc w:val="left"/>
        <w:rPr>
          <w:rFonts w:ascii="宋体" w:hAnsi="宋体" w:cs="宋体"/>
          <w:color w:val="auto"/>
          <w:szCs w:val="21"/>
          <w:highlight w:val="none"/>
        </w:rPr>
      </w:pPr>
      <w:r>
        <w:rPr>
          <w:rFonts w:hint="eastAsia" w:ascii="宋体" w:hAnsi="宋体" w:cs="宋体"/>
          <w:color w:val="auto"/>
          <w:szCs w:val="21"/>
          <w:highlight w:val="none"/>
        </w:rPr>
        <w:t>说明：</w:t>
      </w:r>
    </w:p>
    <w:p>
      <w:pPr>
        <w:spacing w:line="480" w:lineRule="auto"/>
        <w:ind w:firstLine="424" w:firstLineChars="202"/>
        <w:jc w:val="left"/>
        <w:rPr>
          <w:rFonts w:ascii="宋体" w:hAnsi="宋体"/>
          <w:b/>
          <w:bCs/>
          <w:color w:val="auto"/>
          <w:highlight w:val="none"/>
        </w:rPr>
      </w:pPr>
      <w:r>
        <w:rPr>
          <w:rFonts w:hint="eastAsia" w:ascii="宋体" w:hAnsi="宋体" w:cs="宋体"/>
          <w:color w:val="auto"/>
          <w:szCs w:val="21"/>
          <w:highlight w:val="none"/>
        </w:rPr>
        <w:t>1.“实质性要求”是指磋商文件中已经指明不满足则响应文件按无效响应处理的条款，或者不能负偏离的条款，或者采购需求中带“▲”的条款。</w:t>
      </w:r>
    </w:p>
    <w:p>
      <w:pPr>
        <w:spacing w:line="48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 服务项目中伴随货物的，采购需求中出现的品牌、型号或者生产供应商仅起参考作用，不属于指定品牌、型号或者生产供应商的情形。供应商可参照或者选用其他相当的品牌、型号或者生产供应商替代。</w:t>
      </w:r>
    </w:p>
    <w:p>
      <w:pPr>
        <w:spacing w:line="480" w:lineRule="auto"/>
        <w:ind w:firstLine="424" w:firstLineChars="202"/>
        <w:jc w:val="left"/>
        <w:rPr>
          <w:rFonts w:ascii="宋体" w:hAnsi="宋体" w:cs="宋体"/>
          <w:b/>
          <w:bCs/>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color w:val="auto"/>
          <w:highlight w:val="none"/>
        </w:rPr>
        <w:t>供应商必须自行为其磋商产品侵犯</w:t>
      </w:r>
      <w:r>
        <w:rPr>
          <w:rFonts w:hint="eastAsia"/>
          <w:color w:val="auto"/>
          <w:highlight w:val="none"/>
        </w:rPr>
        <w:t>他人的知识产权或者专利成果的行为</w:t>
      </w:r>
      <w:r>
        <w:rPr>
          <w:color w:val="auto"/>
          <w:highlight w:val="none"/>
        </w:rPr>
        <w:t>承担相应法律责任</w:t>
      </w:r>
      <w:r>
        <w:rPr>
          <w:rFonts w:hint="eastAsia"/>
          <w:color w:val="auto"/>
          <w:highlight w:val="none"/>
        </w:rPr>
        <w:t>。</w:t>
      </w:r>
    </w:p>
    <w:p>
      <w:pPr>
        <w:tabs>
          <w:tab w:val="left" w:pos="180"/>
          <w:tab w:val="left" w:pos="1620"/>
        </w:tabs>
        <w:spacing w:line="480" w:lineRule="auto"/>
        <w:ind w:firstLine="420" w:firstLineChars="200"/>
        <w:rPr>
          <w:rFonts w:ascii="宋体" w:hAnsi="宋体" w:cs="宋体"/>
          <w:b/>
          <w:color w:val="auto"/>
          <w:kern w:val="0"/>
          <w:szCs w:val="21"/>
          <w:highlight w:val="none"/>
          <w:u w:val="single"/>
        </w:rPr>
      </w:pPr>
      <w:r>
        <w:rPr>
          <w:rFonts w:hint="eastAsia" w:ascii="宋体" w:hAnsi="宋体" w:cs="宋体"/>
          <w:color w:val="auto"/>
          <w:highlight w:val="none"/>
        </w:rPr>
        <w:t>4.采购内容所属行业：</w:t>
      </w:r>
      <w:r>
        <w:rPr>
          <w:rFonts w:hint="eastAsia" w:ascii="宋体" w:hAnsi="宋体" w:cs="宋体"/>
          <w:bCs/>
          <w:color w:val="auto"/>
          <w:kern w:val="0"/>
          <w:szCs w:val="21"/>
          <w:highlight w:val="none"/>
        </w:rPr>
        <w:t>根据</w:t>
      </w:r>
      <w:r>
        <w:rPr>
          <w:rFonts w:ascii="宋体" w:hAnsi="宋体" w:cs="宋体"/>
          <w:bCs/>
          <w:color w:val="auto"/>
          <w:kern w:val="0"/>
          <w:szCs w:val="21"/>
          <w:highlight w:val="none"/>
        </w:rPr>
        <w:t>关于印发《统计上大中小微型企业划分办法(2017)》的通知</w:t>
      </w:r>
      <w:r>
        <w:rPr>
          <w:rFonts w:hint="eastAsia" w:ascii="宋体" w:hAnsi="宋体" w:cs="宋体"/>
          <w:bCs/>
          <w:color w:val="auto"/>
          <w:kern w:val="0"/>
          <w:szCs w:val="21"/>
          <w:highlight w:val="none"/>
        </w:rPr>
        <w:t>，本项目</w:t>
      </w:r>
      <w:r>
        <w:rPr>
          <w:rFonts w:ascii="宋体" w:hAnsi="宋体" w:cs="宋体"/>
          <w:bCs/>
          <w:color w:val="auto"/>
          <w:kern w:val="0"/>
          <w:szCs w:val="21"/>
          <w:highlight w:val="none"/>
        </w:rPr>
        <w:t>对应的中小企业划分标准所属行业</w:t>
      </w:r>
      <w:r>
        <w:rPr>
          <w:rFonts w:hint="eastAsia" w:ascii="宋体" w:hAnsi="宋体" w:cs="宋体"/>
          <w:bCs/>
          <w:color w:val="auto"/>
          <w:kern w:val="0"/>
          <w:szCs w:val="21"/>
          <w:highlight w:val="none"/>
        </w:rPr>
        <w:t>为:</w:t>
      </w:r>
      <w:r>
        <w:rPr>
          <w:rFonts w:ascii="Arial" w:hAnsi="Arial" w:cs="Arial"/>
          <w:b/>
          <w:bCs/>
          <w:color w:val="auto"/>
          <w:szCs w:val="21"/>
          <w:highlight w:val="none"/>
          <w:u w:val="single"/>
        </w:rPr>
        <w:t>其他未列明行业</w:t>
      </w:r>
      <w:r>
        <w:rPr>
          <w:rFonts w:hint="eastAsia" w:ascii="宋体" w:hAnsi="宋体" w:cs="宋体"/>
          <w:b/>
          <w:color w:val="auto"/>
          <w:kern w:val="0"/>
          <w:szCs w:val="21"/>
          <w:highlight w:val="none"/>
        </w:rPr>
        <w:t>。</w:t>
      </w:r>
    </w:p>
    <w:p>
      <w:pPr>
        <w:tabs>
          <w:tab w:val="left" w:pos="180"/>
          <w:tab w:val="left" w:pos="1620"/>
        </w:tabs>
        <w:spacing w:line="480" w:lineRule="auto"/>
        <w:ind w:firstLine="422" w:firstLineChars="200"/>
        <w:rPr>
          <w:rFonts w:ascii="宋体" w:hAnsi="宋体" w:cs="宋体"/>
          <w:b/>
          <w:bCs/>
          <w:color w:val="auto"/>
          <w:sz w:val="28"/>
          <w:szCs w:val="28"/>
          <w:highlight w:val="none"/>
        </w:rPr>
      </w:pPr>
      <w:r>
        <w:rPr>
          <w:rFonts w:hint="eastAsia" w:ascii="宋体" w:hAnsi="宋体" w:cs="宋体"/>
          <w:b/>
          <w:bCs/>
          <w:color w:val="auto"/>
          <w:szCs w:val="21"/>
          <w:highlight w:val="none"/>
        </w:rPr>
        <w:t>5.采购预算：详见竞争性磋商公告。</w:t>
      </w:r>
    </w:p>
    <w:tbl>
      <w:tblPr>
        <w:tblStyle w:val="32"/>
        <w:tblW w:w="89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497"/>
        <w:gridCol w:w="897"/>
        <w:gridCol w:w="882"/>
        <w:gridCol w:w="4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jc w:val="center"/>
        </w:trPr>
        <w:tc>
          <w:tcPr>
            <w:tcW w:w="675" w:type="dxa"/>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97" w:type="dxa"/>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897" w:type="dxa"/>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882" w:type="dxa"/>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所属</w:t>
            </w:r>
          </w:p>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4995" w:type="dxa"/>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75" w:type="dxa"/>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497" w:type="dxa"/>
            <w:vAlign w:val="center"/>
          </w:tcPr>
          <w:p>
            <w:pPr>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北海港铁山港LNG船及危险品锚地工程</w:t>
            </w:r>
          </w:p>
          <w:p>
            <w:pPr>
              <w:spacing w:line="300" w:lineRule="exact"/>
              <w:jc w:val="center"/>
              <w:rPr>
                <w:rFonts w:ascii="宋体" w:hAnsi="宋体" w:cs="宋体"/>
                <w:color w:val="auto"/>
                <w:szCs w:val="21"/>
                <w:highlight w:val="none"/>
              </w:rPr>
            </w:pPr>
            <w:r>
              <w:rPr>
                <w:rFonts w:hint="eastAsia" w:ascii="宋体" w:hAnsi="宋体" w:cs="宋体"/>
                <w:bCs/>
                <w:color w:val="auto"/>
                <w:szCs w:val="21"/>
                <w:highlight w:val="none"/>
              </w:rPr>
              <w:t>前期工作</w:t>
            </w:r>
          </w:p>
        </w:tc>
        <w:tc>
          <w:tcPr>
            <w:tcW w:w="897" w:type="dxa"/>
            <w:vAlign w:val="center"/>
          </w:tcPr>
          <w:p>
            <w:pPr>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882" w:type="dxa"/>
            <w:vAlign w:val="center"/>
          </w:tcPr>
          <w:p>
            <w:pPr>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科学研究和技术服务</w:t>
            </w:r>
          </w:p>
        </w:tc>
        <w:tc>
          <w:tcPr>
            <w:tcW w:w="4995" w:type="dxa"/>
            <w:vAlign w:val="center"/>
          </w:tcPr>
          <w:p>
            <w:pPr>
              <w:spacing w:line="360" w:lineRule="auto"/>
              <w:rPr>
                <w:b/>
                <w:color w:val="auto"/>
                <w:highlight w:val="none"/>
              </w:rPr>
            </w:pPr>
            <w:r>
              <w:rPr>
                <w:rFonts w:hint="eastAsia"/>
                <w:b/>
                <w:color w:val="auto"/>
                <w:highlight w:val="none"/>
              </w:rPr>
              <w:t>（一）技术标准与规范</w:t>
            </w:r>
          </w:p>
          <w:p>
            <w:pPr>
              <w:spacing w:line="360" w:lineRule="auto"/>
              <w:rPr>
                <w:color w:val="auto"/>
                <w:highlight w:val="none"/>
              </w:rPr>
            </w:pPr>
            <w:r>
              <w:rPr>
                <w:rFonts w:hint="eastAsia"/>
                <w:color w:val="auto"/>
                <w:highlight w:val="none"/>
              </w:rPr>
              <w:t>本工程的可行性研究过程和成果必须符合国家有关工程建设标准强制性条文和交通运输部关于水运工程勘察设计方面现行标准及招标项目所在地关于水运工程勘察、工程可行性研究编制方面的文件、规定。</w:t>
            </w:r>
          </w:p>
          <w:p>
            <w:pPr>
              <w:spacing w:line="360" w:lineRule="auto"/>
              <w:rPr>
                <w:color w:val="auto"/>
                <w:highlight w:val="none"/>
              </w:rPr>
            </w:pPr>
            <w:r>
              <w:rPr>
                <w:rFonts w:hint="eastAsia"/>
                <w:color w:val="auto"/>
                <w:highlight w:val="none"/>
              </w:rPr>
              <w:t>研究单位在勘察、研究工作中使用或参考上述标准以外的技术标准时，应征得发包人（发包人或发包人的指定代表人）的同意。</w:t>
            </w:r>
          </w:p>
          <w:p>
            <w:pPr>
              <w:spacing w:line="360" w:lineRule="auto"/>
              <w:rPr>
                <w:color w:val="auto"/>
                <w:highlight w:val="none"/>
              </w:rPr>
            </w:pPr>
            <w:r>
              <w:rPr>
                <w:rFonts w:hint="eastAsia"/>
                <w:color w:val="auto"/>
                <w:highlight w:val="none"/>
              </w:rPr>
              <w:t>研究单位在勘察、研究工作中必须使用中华人民共和国《工程建设标准强制性条文》。</w:t>
            </w:r>
          </w:p>
          <w:p>
            <w:pPr>
              <w:spacing w:line="360" w:lineRule="auto"/>
              <w:rPr>
                <w:color w:val="auto"/>
                <w:highlight w:val="none"/>
              </w:rPr>
            </w:pPr>
            <w:r>
              <w:rPr>
                <w:rFonts w:hint="eastAsia"/>
                <w:color w:val="auto"/>
                <w:highlight w:val="none"/>
              </w:rPr>
              <w:t>在勘察、研究过程中，如果国家或有关部门颁布了新的技术标准，则研究单位应采用新的标准。</w:t>
            </w:r>
          </w:p>
          <w:p>
            <w:pPr>
              <w:spacing w:line="360" w:lineRule="auto"/>
              <w:rPr>
                <w:color w:val="auto"/>
                <w:highlight w:val="none"/>
              </w:rPr>
            </w:pPr>
            <w:r>
              <w:rPr>
                <w:rFonts w:hint="eastAsia"/>
                <w:color w:val="auto"/>
                <w:highlight w:val="none"/>
              </w:rPr>
              <w:t>水运工程部分标准书目索引（包括但不限于）：</w:t>
            </w:r>
          </w:p>
          <w:p>
            <w:pPr>
              <w:spacing w:line="360" w:lineRule="auto"/>
              <w:rPr>
                <w:color w:val="auto"/>
                <w:highlight w:val="none"/>
              </w:rPr>
            </w:pPr>
            <w:r>
              <w:rPr>
                <w:rFonts w:hint="eastAsia"/>
                <w:color w:val="auto"/>
                <w:highlight w:val="none"/>
              </w:rPr>
              <w:t>1．航道工程基本术语标准  JTS-T 103-2-202</w:t>
            </w:r>
          </w:p>
          <w:p>
            <w:pPr>
              <w:spacing w:line="360" w:lineRule="auto"/>
              <w:rPr>
                <w:color w:val="auto"/>
                <w:highlight w:val="none"/>
              </w:rPr>
            </w:pPr>
            <w:r>
              <w:rPr>
                <w:rFonts w:hint="eastAsia"/>
                <w:color w:val="auto"/>
                <w:highlight w:val="none"/>
              </w:rPr>
              <w:t>2．航道建设项目预可行性研究报告和工程可行性研究报告编制办法(2009) 712号</w:t>
            </w:r>
          </w:p>
          <w:p>
            <w:pPr>
              <w:spacing w:line="360" w:lineRule="auto"/>
              <w:rPr>
                <w:color w:val="auto"/>
                <w:highlight w:val="none"/>
              </w:rPr>
            </w:pPr>
            <w:r>
              <w:rPr>
                <w:rFonts w:hint="eastAsia"/>
                <w:color w:val="auto"/>
                <w:highlight w:val="none"/>
              </w:rPr>
              <w:t>3．工程测量规范  GB50026-2007</w:t>
            </w:r>
          </w:p>
          <w:p>
            <w:pPr>
              <w:spacing w:line="360" w:lineRule="auto"/>
              <w:rPr>
                <w:color w:val="auto"/>
                <w:highlight w:val="none"/>
              </w:rPr>
            </w:pPr>
            <w:r>
              <w:rPr>
                <w:rFonts w:hint="eastAsia"/>
                <w:color w:val="auto"/>
                <w:highlight w:val="none"/>
              </w:rPr>
              <w:t>4．《水运工程测量规范》(JTS131-2012)；</w:t>
            </w:r>
          </w:p>
          <w:p>
            <w:pPr>
              <w:spacing w:line="360" w:lineRule="auto"/>
              <w:rPr>
                <w:color w:val="auto"/>
                <w:highlight w:val="none"/>
              </w:rPr>
            </w:pPr>
            <w:r>
              <w:rPr>
                <w:rFonts w:hint="eastAsia"/>
                <w:color w:val="auto"/>
                <w:highlight w:val="none"/>
              </w:rPr>
              <w:t>5．水运工程岩土勘察规范JTS133-2013</w:t>
            </w:r>
          </w:p>
          <w:p>
            <w:pPr>
              <w:spacing w:line="360" w:lineRule="auto"/>
              <w:rPr>
                <w:color w:val="auto"/>
                <w:highlight w:val="none"/>
              </w:rPr>
            </w:pPr>
            <w:r>
              <w:rPr>
                <w:rFonts w:hint="eastAsia"/>
                <w:color w:val="auto"/>
                <w:highlight w:val="none"/>
              </w:rPr>
              <w:t>6.水运工程建设项目投资估算编制规定 JTS115-2014</w:t>
            </w:r>
          </w:p>
          <w:p>
            <w:pPr>
              <w:spacing w:line="360" w:lineRule="auto"/>
              <w:rPr>
                <w:color w:val="auto"/>
                <w:highlight w:val="none"/>
              </w:rPr>
            </w:pPr>
            <w:r>
              <w:rPr>
                <w:rFonts w:hint="eastAsia"/>
                <w:color w:val="auto"/>
                <w:highlight w:val="none"/>
              </w:rPr>
              <w:t xml:space="preserve">7．水运工程工程量清单计价规范  JTS-T 271-2020 </w:t>
            </w:r>
          </w:p>
          <w:p>
            <w:pPr>
              <w:spacing w:line="360" w:lineRule="auto"/>
              <w:rPr>
                <w:b/>
                <w:color w:val="auto"/>
                <w:highlight w:val="none"/>
              </w:rPr>
            </w:pPr>
            <w:r>
              <w:rPr>
                <w:rFonts w:hint="eastAsia"/>
                <w:b/>
                <w:color w:val="auto"/>
                <w:highlight w:val="none"/>
              </w:rPr>
              <w:t>（二）勘察测量技术要求</w:t>
            </w:r>
          </w:p>
          <w:p>
            <w:pPr>
              <w:spacing w:line="360" w:lineRule="auto"/>
              <w:rPr>
                <w:color w:val="auto"/>
                <w:highlight w:val="none"/>
              </w:rPr>
            </w:pPr>
            <w:r>
              <w:rPr>
                <w:rFonts w:hint="eastAsia"/>
                <w:color w:val="auto"/>
                <w:highlight w:val="none"/>
              </w:rPr>
              <w:t>1.1 测绘</w:t>
            </w:r>
          </w:p>
          <w:p>
            <w:pPr>
              <w:spacing w:line="360" w:lineRule="auto"/>
              <w:rPr>
                <w:color w:val="auto"/>
                <w:highlight w:val="none"/>
              </w:rPr>
            </w:pPr>
            <w:r>
              <w:rPr>
                <w:rFonts w:hint="eastAsia"/>
                <w:color w:val="auto"/>
                <w:highlight w:val="none"/>
              </w:rPr>
              <w:t>（1）承包人应在开始勘察前收集测量基准点、水准点等书面资料，根据国家测绘基准、测绘系统和工程测量技术规范，按合同约定，进行测绘。</w:t>
            </w:r>
          </w:p>
          <w:p>
            <w:pPr>
              <w:spacing w:line="360" w:lineRule="auto"/>
              <w:rPr>
                <w:color w:val="auto"/>
                <w:highlight w:val="none"/>
              </w:rPr>
            </w:pPr>
            <w:r>
              <w:rPr>
                <w:rFonts w:hint="eastAsia"/>
                <w:color w:val="auto"/>
                <w:highlight w:val="none"/>
              </w:rPr>
              <w:t>（2）承包人测绘之前，应当认真核对测绘数据，保证引用数据和原始数据准确无误。测绘工作应由测量人员如实记录，不得补记、涂改或者损坏。</w:t>
            </w:r>
          </w:p>
          <w:p>
            <w:pPr>
              <w:spacing w:line="360" w:lineRule="auto"/>
              <w:rPr>
                <w:color w:val="auto"/>
                <w:highlight w:val="none"/>
              </w:rPr>
            </w:pPr>
            <w:r>
              <w:rPr>
                <w:rFonts w:hint="eastAsia"/>
                <w:color w:val="auto"/>
                <w:highlight w:val="none"/>
              </w:rPr>
              <w:t>（3）工程勘探之前，承包人应当严格按照勘察方案的孔位坐标，进行测量放线并在实地位置定位。</w:t>
            </w:r>
          </w:p>
          <w:p>
            <w:pPr>
              <w:spacing w:line="360" w:lineRule="auto"/>
              <w:rPr>
                <w:color w:val="auto"/>
                <w:highlight w:val="none"/>
              </w:rPr>
            </w:pPr>
            <w:r>
              <w:rPr>
                <w:rFonts w:hint="eastAsia"/>
                <w:color w:val="auto"/>
                <w:highlight w:val="none"/>
              </w:rPr>
              <w:t>1.2 勘探</w:t>
            </w:r>
          </w:p>
          <w:p>
            <w:pPr>
              <w:spacing w:line="360" w:lineRule="auto"/>
              <w:rPr>
                <w:color w:val="auto"/>
                <w:highlight w:val="none"/>
              </w:rPr>
            </w:pPr>
            <w:r>
              <w:rPr>
                <w:rFonts w:hint="eastAsia"/>
                <w:color w:val="auto"/>
                <w:highlight w:val="none"/>
              </w:rPr>
              <w:t>（1）承包人应当根据勘察目的和岩土特性，合理选择钻探、井探、槽探、洞探和地球物理勘探等勘探方法，为完成合同约定的勘察任务创造条件。承包人对于勘察方法的正确性、适用性和可靠性完全负责。</w:t>
            </w:r>
          </w:p>
          <w:p>
            <w:pPr>
              <w:spacing w:line="360" w:lineRule="auto"/>
              <w:rPr>
                <w:color w:val="auto"/>
                <w:highlight w:val="none"/>
              </w:rPr>
            </w:pPr>
            <w:r>
              <w:rPr>
                <w:rFonts w:hint="eastAsia"/>
                <w:color w:val="auto"/>
                <w:highlight w:val="none"/>
              </w:rPr>
              <w:t>（2）承包人布置勘探工作时，应当充分考虑勘探方法对于自然环境、周边设施、建构筑物、地下管线、架空线和其他物体的影响，采用切实有效的措施进行防范控制，不得造成损坏或中断运行，否则由此导致的费用增加和（或）周期延误由承包人自行承担。</w:t>
            </w:r>
          </w:p>
          <w:p>
            <w:pPr>
              <w:spacing w:line="360" w:lineRule="auto"/>
              <w:rPr>
                <w:color w:val="auto"/>
                <w:highlight w:val="none"/>
              </w:rPr>
            </w:pPr>
            <w:r>
              <w:rPr>
                <w:rFonts w:hint="eastAsia"/>
                <w:color w:val="auto"/>
                <w:highlight w:val="none"/>
              </w:rPr>
              <w:t>（3）承包人应在标定的孔位处进行勘探，不得随意改动位置。勘探方法、勘探机具、勘探记录、取样编录与描述，孔位标记、孔位封闭等事项，应当严格执行规范标准，按实填写勘探报表和勘探日志。</w:t>
            </w:r>
          </w:p>
          <w:p>
            <w:pPr>
              <w:spacing w:line="360" w:lineRule="auto"/>
              <w:rPr>
                <w:color w:val="auto"/>
                <w:highlight w:val="none"/>
              </w:rPr>
            </w:pPr>
            <w:r>
              <w:rPr>
                <w:rFonts w:hint="eastAsia"/>
                <w:color w:val="auto"/>
                <w:highlight w:val="none"/>
              </w:rPr>
              <w:t>（4）勘探工作完成后，承包人应当按照规范要求及时封孔，并将封孔记录整理存档，勘探场地应当地面平整、清洁卫生，并通知发包人、行政主管部门及使用维护单位进行现场验收。验收通过之后如果发生沉陷，承包人应当及时进行二次封孔和现场验收。</w:t>
            </w:r>
          </w:p>
          <w:p>
            <w:pPr>
              <w:spacing w:line="360" w:lineRule="auto"/>
              <w:rPr>
                <w:color w:val="auto"/>
                <w:highlight w:val="none"/>
              </w:rPr>
            </w:pPr>
            <w:r>
              <w:rPr>
                <w:rFonts w:hint="eastAsia"/>
                <w:color w:val="auto"/>
                <w:highlight w:val="none"/>
              </w:rPr>
              <w:t>1.3 取样</w:t>
            </w:r>
          </w:p>
          <w:p>
            <w:pPr>
              <w:spacing w:line="360" w:lineRule="auto"/>
              <w:rPr>
                <w:color w:val="auto"/>
                <w:highlight w:val="none"/>
              </w:rPr>
            </w:pPr>
            <w:r>
              <w:rPr>
                <w:rFonts w:hint="eastAsia"/>
                <w:color w:val="auto"/>
                <w:highlight w:val="none"/>
              </w:rPr>
              <w:t>（1）承包人应当针对不同的岩土地质，按照勘探取样规范规程中的相关规定，根据地层特征、取样深度、设备条件和试验项目的不同，合理选用取样方法和取样工具进行取样，包括并不限于土样、水样、岩芯等。</w:t>
            </w:r>
          </w:p>
          <w:p>
            <w:pPr>
              <w:spacing w:line="360" w:lineRule="auto"/>
              <w:rPr>
                <w:color w:val="auto"/>
                <w:highlight w:val="none"/>
              </w:rPr>
            </w:pPr>
            <w:r>
              <w:rPr>
                <w:rFonts w:hint="eastAsia"/>
                <w:color w:val="auto"/>
                <w:highlight w:val="none"/>
              </w:rPr>
              <w:t>（2）取样后的样品应当根据其类别、性质和特点等进行封装、贮存和运输。样品搬运之前，宜用数码相机进行现场拍照；运输途中应当采用柔软材料充填、尽量避免震动和阳光曝晒；装卸之时尽量轻拿轻放，以免样品损坏。</w:t>
            </w:r>
          </w:p>
          <w:p>
            <w:pPr>
              <w:spacing w:line="360" w:lineRule="auto"/>
              <w:rPr>
                <w:color w:val="auto"/>
                <w:highlight w:val="none"/>
              </w:rPr>
            </w:pPr>
            <w:r>
              <w:rPr>
                <w:rFonts w:hint="eastAsia"/>
                <w:color w:val="auto"/>
                <w:highlight w:val="none"/>
              </w:rPr>
              <w:t>（3）取样后的样品应当填写和粘贴标签，标签内容包括并不限于工程名称、孔号、样品编号、取样深度、样品名称、取样日期、取样人姓名、施工机组等。</w:t>
            </w:r>
          </w:p>
          <w:p>
            <w:pPr>
              <w:spacing w:line="360" w:lineRule="auto"/>
              <w:rPr>
                <w:color w:val="auto"/>
                <w:highlight w:val="none"/>
              </w:rPr>
            </w:pPr>
            <w:r>
              <w:rPr>
                <w:rFonts w:hint="eastAsia"/>
                <w:color w:val="auto"/>
                <w:highlight w:val="none"/>
              </w:rPr>
              <w:t>1.4 试验</w:t>
            </w:r>
          </w:p>
          <w:p>
            <w:pPr>
              <w:spacing w:line="360" w:lineRule="auto"/>
              <w:rPr>
                <w:color w:val="auto"/>
                <w:highlight w:val="none"/>
              </w:rPr>
            </w:pPr>
            <w:r>
              <w:rPr>
                <w:rFonts w:hint="eastAsia"/>
                <w:color w:val="auto"/>
                <w:highlight w:val="none"/>
              </w:rPr>
              <w:t>（1）承包人应当根据岩土条件、设计要求、勘察经验和测试方法特点，选用合适的原位测试方法和勘察设备进行原位测试。原位测试成果应与室内试验数据进行对比分析，检验其可靠性。</w:t>
            </w:r>
          </w:p>
          <w:p>
            <w:pPr>
              <w:spacing w:line="360" w:lineRule="auto"/>
              <w:rPr>
                <w:color w:val="auto"/>
                <w:highlight w:val="none"/>
              </w:rPr>
            </w:pPr>
            <w:r>
              <w:rPr>
                <w:rFonts w:hint="eastAsia"/>
                <w:color w:val="auto"/>
                <w:highlight w:val="none"/>
              </w:rPr>
              <w:t>（2）承包人的试验室应当通过行业管理部门认可的 CMA 计量认证，具有相应的资格证书、试验人员和试验条件，否则应当委托第三方试验室进行室内试验。</w:t>
            </w:r>
          </w:p>
          <w:p>
            <w:pPr>
              <w:spacing w:line="360" w:lineRule="auto"/>
              <w:rPr>
                <w:color w:val="auto"/>
                <w:highlight w:val="none"/>
              </w:rPr>
            </w:pPr>
            <w:r>
              <w:rPr>
                <w:rFonts w:hint="eastAsia"/>
                <w:color w:val="auto"/>
                <w:highlight w:val="none"/>
              </w:rPr>
              <w:t>（3）承包人应在试验之前按照要求清点样品数目，认定取样质量及数量是否满足试验需要；勘察设备应当检定合格，性能参数满足试验要求，严格按照规范标准的相应规定进行试验操作；试验之后应在有效期内保留备样，以备复核试验成果之用，并按规范标准规定处理余土和废液，符合环境保护、健康卫生等要求。</w:t>
            </w:r>
          </w:p>
          <w:p>
            <w:pPr>
              <w:spacing w:line="360" w:lineRule="auto"/>
              <w:rPr>
                <w:color w:val="auto"/>
                <w:highlight w:val="none"/>
              </w:rPr>
            </w:pPr>
            <w:r>
              <w:rPr>
                <w:rFonts w:hint="eastAsia"/>
                <w:color w:val="auto"/>
                <w:highlight w:val="none"/>
              </w:rPr>
              <w:t>（4）试验报告的格式应当符合 CMA 计量认证体系要求，加盖 CMA 章并由试验负责人签字确认；试验负责人应当通过计量认证考核，并由项目负责人授权许可。</w:t>
            </w:r>
          </w:p>
          <w:p>
            <w:pPr>
              <w:spacing w:line="360" w:lineRule="auto"/>
              <w:rPr>
                <w:color w:val="auto"/>
                <w:highlight w:val="none"/>
              </w:rPr>
            </w:pPr>
            <w:r>
              <w:rPr>
                <w:rFonts w:hint="eastAsia"/>
                <w:color w:val="auto"/>
                <w:highlight w:val="none"/>
              </w:rPr>
              <w:t>2.测量工作内容和要求</w:t>
            </w:r>
          </w:p>
          <w:p>
            <w:pPr>
              <w:spacing w:line="360" w:lineRule="auto"/>
              <w:rPr>
                <w:color w:val="auto"/>
                <w:highlight w:val="none"/>
              </w:rPr>
            </w:pPr>
            <w:r>
              <w:rPr>
                <w:rFonts w:hint="eastAsia"/>
                <w:color w:val="auto"/>
                <w:highlight w:val="none"/>
              </w:rPr>
              <w:t>2.1 测量目的、阶段范围</w:t>
            </w:r>
          </w:p>
          <w:p>
            <w:pPr>
              <w:spacing w:line="360" w:lineRule="auto"/>
              <w:rPr>
                <w:color w:val="auto"/>
                <w:highlight w:val="none"/>
              </w:rPr>
            </w:pPr>
            <w:r>
              <w:rPr>
                <w:rFonts w:hint="eastAsia"/>
                <w:color w:val="auto"/>
                <w:highlight w:val="none"/>
              </w:rPr>
              <w:t>对拟建设的</w:t>
            </w:r>
            <w:r>
              <w:rPr>
                <w:rFonts w:hint="eastAsia" w:ascii="宋体" w:hAnsi="宋体" w:cs="宋体"/>
                <w:color w:val="auto"/>
                <w:kern w:val="0"/>
                <w:szCs w:val="21"/>
                <w:highlight w:val="none"/>
                <w:lang w:val="zh-CN"/>
              </w:rPr>
              <w:t>北海港铁山港LNG船及危险品船锚地工程</w:t>
            </w:r>
            <w:r>
              <w:rPr>
                <w:rFonts w:hint="eastAsia"/>
                <w:color w:val="auto"/>
                <w:highlight w:val="none"/>
              </w:rPr>
              <w:t>进行测量，为项目开展可行性研究提供基础资料。</w:t>
            </w:r>
          </w:p>
          <w:p>
            <w:pPr>
              <w:spacing w:line="360" w:lineRule="auto"/>
              <w:rPr>
                <w:color w:val="auto"/>
                <w:highlight w:val="none"/>
              </w:rPr>
            </w:pPr>
            <w:r>
              <w:rPr>
                <w:rFonts w:hint="eastAsia"/>
                <w:color w:val="auto"/>
                <w:highlight w:val="none"/>
              </w:rPr>
              <w:t>2.2 工作内容</w:t>
            </w:r>
          </w:p>
          <w:p>
            <w:pPr>
              <w:spacing w:line="360" w:lineRule="auto"/>
              <w:rPr>
                <w:color w:val="auto"/>
                <w:highlight w:val="none"/>
              </w:rPr>
            </w:pPr>
            <w:r>
              <w:rPr>
                <w:rFonts w:hint="eastAsia"/>
                <w:color w:val="auto"/>
                <w:highlight w:val="none"/>
              </w:rPr>
              <w:t>（1）控制测量。</w:t>
            </w:r>
          </w:p>
          <w:p>
            <w:pPr>
              <w:spacing w:line="360" w:lineRule="auto"/>
              <w:rPr>
                <w:color w:val="auto"/>
                <w:highlight w:val="none"/>
              </w:rPr>
            </w:pPr>
            <w:r>
              <w:rPr>
                <w:rFonts w:hint="eastAsia"/>
                <w:color w:val="auto"/>
                <w:highlight w:val="none"/>
              </w:rPr>
              <w:t>（2）水下地形测量。</w:t>
            </w:r>
          </w:p>
          <w:p>
            <w:pPr>
              <w:spacing w:line="360" w:lineRule="auto"/>
              <w:rPr>
                <w:color w:val="auto"/>
                <w:highlight w:val="none"/>
              </w:rPr>
            </w:pPr>
            <w:r>
              <w:rPr>
                <w:rFonts w:hint="eastAsia"/>
                <w:color w:val="auto"/>
                <w:highlight w:val="none"/>
              </w:rPr>
              <w:t xml:space="preserve">（3）验潮，确定项目区域深度基准面。 </w:t>
            </w:r>
          </w:p>
          <w:p>
            <w:pPr>
              <w:spacing w:line="360" w:lineRule="auto"/>
              <w:rPr>
                <w:color w:val="auto"/>
                <w:highlight w:val="none"/>
              </w:rPr>
            </w:pPr>
            <w:r>
              <w:rPr>
                <w:rFonts w:hint="eastAsia"/>
                <w:color w:val="auto"/>
                <w:highlight w:val="none"/>
              </w:rPr>
              <w:t xml:space="preserve">（4）水文要素观测。主要工作含项目范围的最大涨、落潮时的流速、流向等。 </w:t>
            </w:r>
          </w:p>
          <w:p>
            <w:pPr>
              <w:spacing w:line="360" w:lineRule="auto"/>
              <w:rPr>
                <w:color w:val="auto"/>
                <w:highlight w:val="none"/>
              </w:rPr>
            </w:pPr>
            <w:r>
              <w:rPr>
                <w:rFonts w:hint="eastAsia"/>
                <w:color w:val="auto"/>
                <w:highlight w:val="none"/>
              </w:rPr>
              <w:t xml:space="preserve">2.3 平面高程系统 </w:t>
            </w:r>
          </w:p>
          <w:p>
            <w:pPr>
              <w:spacing w:line="360" w:lineRule="auto"/>
              <w:rPr>
                <w:color w:val="auto"/>
                <w:highlight w:val="none"/>
              </w:rPr>
            </w:pPr>
            <w:r>
              <w:rPr>
                <w:rFonts w:hint="eastAsia"/>
                <w:color w:val="auto"/>
                <w:highlight w:val="none"/>
              </w:rPr>
              <w:t>平面坐标系统：采用2000国家大地坐标系。</w:t>
            </w:r>
          </w:p>
          <w:p>
            <w:pPr>
              <w:spacing w:line="360" w:lineRule="auto"/>
              <w:rPr>
                <w:color w:val="auto"/>
                <w:highlight w:val="none"/>
              </w:rPr>
            </w:pPr>
            <w:r>
              <w:rPr>
                <w:rFonts w:hint="eastAsia"/>
                <w:color w:val="auto"/>
                <w:highlight w:val="none"/>
              </w:rPr>
              <w:t xml:space="preserve">高程系统：当地理论最低潮面；提供与1985年国家高程基准的转换关系。 </w:t>
            </w:r>
          </w:p>
          <w:p>
            <w:pPr>
              <w:spacing w:line="360" w:lineRule="auto"/>
              <w:rPr>
                <w:color w:val="auto"/>
                <w:highlight w:val="none"/>
              </w:rPr>
            </w:pPr>
            <w:r>
              <w:rPr>
                <w:rFonts w:hint="eastAsia"/>
                <w:color w:val="auto"/>
                <w:highlight w:val="none"/>
              </w:rPr>
              <w:t xml:space="preserve">2.4水下地形测量 </w:t>
            </w:r>
          </w:p>
          <w:p>
            <w:pPr>
              <w:spacing w:line="360" w:lineRule="auto"/>
              <w:rPr>
                <w:color w:val="auto"/>
                <w:highlight w:val="none"/>
              </w:rPr>
            </w:pPr>
            <w:r>
              <w:rPr>
                <w:rFonts w:hint="eastAsia"/>
                <w:color w:val="auto"/>
                <w:highlight w:val="none"/>
              </w:rPr>
              <w:t>（1）测量范围：以规划建设的</w:t>
            </w:r>
            <w:r>
              <w:rPr>
                <w:rFonts w:hint="eastAsia" w:ascii="宋体" w:hAnsi="宋体" w:cs="宋体"/>
                <w:color w:val="auto"/>
                <w:kern w:val="0"/>
                <w:szCs w:val="21"/>
                <w:highlight w:val="none"/>
                <w:lang w:val="zh-CN"/>
              </w:rPr>
              <w:t>北海港铁山港LNG船及危险品船锚地工程</w:t>
            </w:r>
            <w:r>
              <w:rPr>
                <w:rFonts w:hint="eastAsia"/>
                <w:color w:val="auto"/>
                <w:highlight w:val="none"/>
              </w:rPr>
              <w:t>为基础，长约4公里，宽约4公里米，测量面积估算16平方公里。</w:t>
            </w:r>
          </w:p>
          <w:p>
            <w:pPr>
              <w:spacing w:line="360" w:lineRule="auto"/>
              <w:rPr>
                <w:color w:val="auto"/>
                <w:highlight w:val="none"/>
              </w:rPr>
            </w:pPr>
            <w:r>
              <w:rPr>
                <w:rFonts w:hint="eastAsia"/>
                <w:color w:val="auto"/>
                <w:highlight w:val="none"/>
              </w:rPr>
              <w:t xml:space="preserve">（2）测图比例：1:2000； </w:t>
            </w:r>
          </w:p>
          <w:p>
            <w:pPr>
              <w:spacing w:line="360" w:lineRule="auto"/>
              <w:rPr>
                <w:color w:val="auto"/>
                <w:highlight w:val="none"/>
              </w:rPr>
            </w:pPr>
            <w:r>
              <w:rPr>
                <w:rFonts w:hint="eastAsia"/>
                <w:color w:val="auto"/>
                <w:highlight w:val="none"/>
              </w:rPr>
              <w:t>（3）采用多波速测深系统全覆盖扫测。检查线垂直于主测线，总长度不应少于主测深线总长度的5%，检查线应在低平潮时段施测。</w:t>
            </w:r>
          </w:p>
          <w:p>
            <w:pPr>
              <w:spacing w:line="360" w:lineRule="auto"/>
              <w:rPr>
                <w:color w:val="auto"/>
                <w:highlight w:val="none"/>
              </w:rPr>
            </w:pPr>
            <w:r>
              <w:rPr>
                <w:rFonts w:hint="eastAsia"/>
                <w:color w:val="auto"/>
                <w:highlight w:val="none"/>
              </w:rPr>
              <w:t>2.5 验潮</w:t>
            </w:r>
          </w:p>
          <w:p>
            <w:pPr>
              <w:spacing w:line="360" w:lineRule="auto"/>
              <w:rPr>
                <w:color w:val="auto"/>
                <w:highlight w:val="none"/>
              </w:rPr>
            </w:pPr>
            <w:r>
              <w:rPr>
                <w:rFonts w:hint="eastAsia"/>
                <w:color w:val="auto"/>
                <w:highlight w:val="none"/>
              </w:rPr>
              <w:t>通过验潮，确定工程区域的深度基准面，分析该海域的潮汐变化规律，其成果应用于测区水深改正，确保水深测量的精度。</w:t>
            </w:r>
          </w:p>
          <w:p>
            <w:pPr>
              <w:spacing w:line="360" w:lineRule="auto"/>
              <w:rPr>
                <w:color w:val="auto"/>
                <w:highlight w:val="none"/>
              </w:rPr>
            </w:pPr>
            <w:r>
              <w:rPr>
                <w:rFonts w:hint="eastAsia"/>
                <w:color w:val="auto"/>
                <w:highlight w:val="none"/>
              </w:rPr>
              <w:t>2.6 最大潮流速、流向测定</w:t>
            </w:r>
          </w:p>
          <w:p>
            <w:pPr>
              <w:spacing w:line="360" w:lineRule="auto"/>
              <w:rPr>
                <w:color w:val="auto"/>
                <w:highlight w:val="none"/>
              </w:rPr>
            </w:pPr>
            <w:r>
              <w:rPr>
                <w:rFonts w:hint="eastAsia"/>
                <w:color w:val="auto"/>
                <w:highlight w:val="none"/>
              </w:rPr>
              <w:t>按有关规范要求，测定工程区最大涨、落潮时的流速、流向。</w:t>
            </w:r>
          </w:p>
          <w:p>
            <w:pPr>
              <w:spacing w:line="360" w:lineRule="auto"/>
              <w:rPr>
                <w:color w:val="auto"/>
                <w:highlight w:val="none"/>
              </w:rPr>
            </w:pPr>
            <w:r>
              <w:rPr>
                <w:rFonts w:hint="eastAsia"/>
                <w:color w:val="auto"/>
                <w:highlight w:val="none"/>
              </w:rPr>
              <w:t>2.7 成果整理</w:t>
            </w:r>
          </w:p>
          <w:p>
            <w:pPr>
              <w:spacing w:line="360" w:lineRule="auto"/>
              <w:rPr>
                <w:color w:val="auto"/>
                <w:highlight w:val="none"/>
              </w:rPr>
            </w:pPr>
            <w:r>
              <w:rPr>
                <w:rFonts w:hint="eastAsia"/>
                <w:color w:val="auto"/>
                <w:highlight w:val="none"/>
              </w:rPr>
              <w:t xml:space="preserve">利用水深自动成图软件及CAD 软件进行编辑成图，计算机出图。地形图各项要素的整饰均按相应图式执行，图面清晰美观易读，图廓内外整饰注记齐全。 </w:t>
            </w:r>
          </w:p>
          <w:p>
            <w:pPr>
              <w:spacing w:line="360" w:lineRule="auto"/>
              <w:rPr>
                <w:color w:val="auto"/>
                <w:highlight w:val="none"/>
              </w:rPr>
            </w:pPr>
            <w:r>
              <w:rPr>
                <w:rFonts w:hint="eastAsia"/>
                <w:color w:val="auto"/>
                <w:highlight w:val="none"/>
              </w:rPr>
              <w:t>2.8 提交资料的内容</w:t>
            </w:r>
          </w:p>
          <w:p>
            <w:pPr>
              <w:spacing w:line="360" w:lineRule="auto"/>
              <w:rPr>
                <w:color w:val="auto"/>
                <w:highlight w:val="none"/>
              </w:rPr>
            </w:pPr>
            <w:r>
              <w:rPr>
                <w:rFonts w:hint="eastAsia"/>
                <w:color w:val="auto"/>
                <w:highlight w:val="none"/>
              </w:rPr>
              <w:t xml:space="preserve">（1）提交所有最终测量成果纸质文件一式10份。 </w:t>
            </w:r>
          </w:p>
          <w:p>
            <w:pPr>
              <w:spacing w:line="360" w:lineRule="auto"/>
              <w:rPr>
                <w:color w:val="auto"/>
                <w:highlight w:val="none"/>
              </w:rPr>
            </w:pPr>
            <w:r>
              <w:rPr>
                <w:rFonts w:hint="eastAsia"/>
                <w:color w:val="auto"/>
                <w:highlight w:val="none"/>
              </w:rPr>
              <w:t>（2）所有测量成果电子文件一式2份，文字为 WORD 格式、图纸为可编辑的 CAD 格式，并应使用光盘和 U 盘分别贮存。</w:t>
            </w:r>
          </w:p>
          <w:p>
            <w:pPr>
              <w:spacing w:line="360" w:lineRule="auto"/>
              <w:rPr>
                <w:color w:val="auto"/>
                <w:highlight w:val="none"/>
              </w:rPr>
            </w:pPr>
            <w:r>
              <w:rPr>
                <w:rFonts w:hint="eastAsia"/>
                <w:color w:val="auto"/>
                <w:highlight w:val="none"/>
              </w:rPr>
              <w:t>3.岩土勘察工作内容和要求</w:t>
            </w:r>
          </w:p>
          <w:p>
            <w:pPr>
              <w:spacing w:line="360" w:lineRule="auto"/>
              <w:rPr>
                <w:color w:val="auto"/>
                <w:highlight w:val="none"/>
              </w:rPr>
            </w:pPr>
            <w:r>
              <w:rPr>
                <w:rFonts w:hint="eastAsia"/>
                <w:color w:val="auto"/>
                <w:highlight w:val="none"/>
              </w:rPr>
              <w:t>3.1 勘察目的、阶段范围</w:t>
            </w:r>
          </w:p>
          <w:p>
            <w:pPr>
              <w:spacing w:line="360" w:lineRule="auto"/>
              <w:rPr>
                <w:color w:val="auto"/>
                <w:highlight w:val="none"/>
              </w:rPr>
            </w:pPr>
            <w:r>
              <w:rPr>
                <w:rFonts w:hint="eastAsia"/>
                <w:color w:val="auto"/>
                <w:highlight w:val="none"/>
              </w:rPr>
              <w:t>对规划的</w:t>
            </w:r>
            <w:r>
              <w:rPr>
                <w:rFonts w:hint="eastAsia" w:ascii="宋体" w:hAnsi="宋体" w:cs="宋体"/>
                <w:color w:val="auto"/>
                <w:kern w:val="0"/>
                <w:szCs w:val="21"/>
                <w:highlight w:val="none"/>
                <w:lang w:val="zh-CN"/>
              </w:rPr>
              <w:t>北海港铁山港LNG船及危险品船锚地工程</w:t>
            </w:r>
            <w:r>
              <w:rPr>
                <w:rFonts w:hint="eastAsia"/>
                <w:color w:val="auto"/>
                <w:highlight w:val="none"/>
              </w:rPr>
              <w:t>进行岩土工程勘察，查明工程区域岩土类型、分布及其物理力学性质、评价岩土工程特性和分级、评价岩土疏浚的难易程度、评价疏浚岩土管道输送和作为填土的适宜性等，正确反映工程地质条件，提出资料完整、评价正确的勘察报告，为北北海港铁山港LNG船及危险品船锚地工程开展可行性研究提供基础资料、可靠依据。</w:t>
            </w:r>
          </w:p>
          <w:p>
            <w:pPr>
              <w:spacing w:line="360" w:lineRule="auto"/>
              <w:rPr>
                <w:color w:val="auto"/>
                <w:highlight w:val="none"/>
              </w:rPr>
            </w:pPr>
            <w:r>
              <w:rPr>
                <w:rFonts w:hint="eastAsia"/>
                <w:color w:val="auto"/>
                <w:highlight w:val="none"/>
              </w:rPr>
              <w:t>岩土勘察工作应根据工程性质、特点和设计要求，按规范要求经济合理地应用勘察方法。</w:t>
            </w:r>
          </w:p>
          <w:p>
            <w:pPr>
              <w:spacing w:line="360" w:lineRule="auto"/>
              <w:rPr>
                <w:color w:val="auto"/>
                <w:highlight w:val="none"/>
              </w:rPr>
            </w:pPr>
            <w:r>
              <w:rPr>
                <w:rFonts w:hint="eastAsia"/>
                <w:color w:val="auto"/>
                <w:highlight w:val="none"/>
              </w:rPr>
              <w:t>勘察范围与测量范围一致。</w:t>
            </w:r>
          </w:p>
          <w:p>
            <w:pPr>
              <w:spacing w:line="360" w:lineRule="auto"/>
              <w:rPr>
                <w:color w:val="auto"/>
                <w:highlight w:val="none"/>
              </w:rPr>
            </w:pPr>
            <w:r>
              <w:rPr>
                <w:rFonts w:hint="eastAsia"/>
                <w:color w:val="auto"/>
                <w:highlight w:val="none"/>
              </w:rPr>
              <w:t>3.2 勘察技术要求</w:t>
            </w:r>
          </w:p>
          <w:p>
            <w:pPr>
              <w:spacing w:line="360" w:lineRule="auto"/>
              <w:rPr>
                <w:color w:val="auto"/>
                <w:highlight w:val="none"/>
              </w:rPr>
            </w:pPr>
            <w:r>
              <w:rPr>
                <w:rFonts w:hint="eastAsia"/>
                <w:color w:val="auto"/>
                <w:highlight w:val="none"/>
              </w:rPr>
              <w:t>根据项目地质条件可采用地震映像探测、水底地层剖面仪探测或其他适宜的物探方法，结合钻探进行勘察。</w:t>
            </w:r>
          </w:p>
          <w:p>
            <w:pPr>
              <w:spacing w:line="360" w:lineRule="auto"/>
              <w:rPr>
                <w:color w:val="auto"/>
                <w:highlight w:val="none"/>
              </w:rPr>
            </w:pPr>
            <w:r>
              <w:rPr>
                <w:rFonts w:hint="eastAsia"/>
                <w:color w:val="auto"/>
                <w:highlight w:val="none"/>
              </w:rPr>
              <w:t>（1）平面位置采用2000国家大地坐标系，高程以当地理论深度基准面为基准。</w:t>
            </w:r>
          </w:p>
          <w:p>
            <w:pPr>
              <w:spacing w:line="360" w:lineRule="auto"/>
              <w:rPr>
                <w:color w:val="auto"/>
                <w:highlight w:val="none"/>
              </w:rPr>
            </w:pPr>
            <w:r>
              <w:rPr>
                <w:rFonts w:hint="eastAsia"/>
                <w:color w:val="auto"/>
                <w:highlight w:val="none"/>
              </w:rPr>
              <w:t>（2）钻探线、钻探点按800m×800m 呈网格状布置。</w:t>
            </w:r>
          </w:p>
          <w:p>
            <w:pPr>
              <w:spacing w:line="360" w:lineRule="auto"/>
              <w:rPr>
                <w:color w:val="auto"/>
                <w:highlight w:val="none"/>
              </w:rPr>
            </w:pPr>
            <w:r>
              <w:rPr>
                <w:rFonts w:hint="eastAsia"/>
                <w:color w:val="auto"/>
                <w:highlight w:val="none"/>
              </w:rPr>
              <w:t>（3）钻孔深度：钻至设计底标高以下3m为止；预估钻孔深度6m。</w:t>
            </w:r>
          </w:p>
          <w:p>
            <w:pPr>
              <w:spacing w:line="360" w:lineRule="auto"/>
              <w:rPr>
                <w:color w:val="auto"/>
                <w:highlight w:val="none"/>
              </w:rPr>
            </w:pPr>
            <w:r>
              <w:rPr>
                <w:rFonts w:hint="eastAsia"/>
                <w:color w:val="auto"/>
                <w:highlight w:val="none"/>
              </w:rPr>
              <w:t>（4）取样、原位测试、室内试验等根据工程实际情况、设计要求和按规范要求，合理进行。</w:t>
            </w:r>
          </w:p>
          <w:p>
            <w:pPr>
              <w:spacing w:line="360" w:lineRule="auto"/>
              <w:rPr>
                <w:color w:val="auto"/>
                <w:highlight w:val="none"/>
              </w:rPr>
            </w:pPr>
            <w:r>
              <w:rPr>
                <w:rFonts w:hint="eastAsia"/>
                <w:color w:val="auto"/>
                <w:highlight w:val="none"/>
              </w:rPr>
              <w:t>（5）初步估算主要工作量为地质钻孔36个，钻探进尺约216m.。承包人应根据项目实际情况，按有关标准规范的规定和设计的要求完成必须进行的所有勘察工作内容。</w:t>
            </w:r>
          </w:p>
          <w:p>
            <w:pPr>
              <w:spacing w:line="360" w:lineRule="auto"/>
              <w:rPr>
                <w:color w:val="auto"/>
                <w:highlight w:val="none"/>
              </w:rPr>
            </w:pPr>
            <w:r>
              <w:rPr>
                <w:rFonts w:hint="eastAsia"/>
                <w:color w:val="auto"/>
                <w:highlight w:val="none"/>
              </w:rPr>
              <w:t>注：钻孔深度以钻至设计开挖底标高以下3米止为准进行计量和验收，孔底标高允许超深为20cm，超出部分不予计量；以符合要求的实际进尺进行计量。</w:t>
            </w:r>
          </w:p>
          <w:p>
            <w:pPr>
              <w:spacing w:line="360" w:lineRule="auto"/>
              <w:rPr>
                <w:color w:val="auto"/>
                <w:highlight w:val="none"/>
              </w:rPr>
            </w:pPr>
            <w:r>
              <w:rPr>
                <w:rFonts w:hint="eastAsia"/>
                <w:color w:val="auto"/>
                <w:highlight w:val="none"/>
              </w:rPr>
              <w:t xml:space="preserve">3.3 提交资料的内容 </w:t>
            </w:r>
          </w:p>
          <w:p>
            <w:pPr>
              <w:spacing w:line="360" w:lineRule="auto"/>
              <w:rPr>
                <w:color w:val="auto"/>
                <w:highlight w:val="none"/>
              </w:rPr>
            </w:pPr>
            <w:r>
              <w:rPr>
                <w:rFonts w:hint="eastAsia"/>
                <w:color w:val="auto"/>
                <w:highlight w:val="none"/>
              </w:rPr>
              <w:t>（1）提供工程地质勘察报告及附件纸质文件终稿一式10份。</w:t>
            </w:r>
          </w:p>
          <w:p>
            <w:pPr>
              <w:spacing w:line="360" w:lineRule="auto"/>
              <w:rPr>
                <w:color w:val="auto"/>
                <w:highlight w:val="none"/>
              </w:rPr>
            </w:pPr>
            <w:r>
              <w:rPr>
                <w:rFonts w:hint="eastAsia"/>
                <w:color w:val="auto"/>
                <w:highlight w:val="none"/>
              </w:rPr>
              <w:t>（2）所有勘察成果提供电子文件一式2份，文字为 WORD 格式、图纸为可编辑的 CAD 格式，并应使用光盘和 U 盘分别贮存。</w:t>
            </w:r>
          </w:p>
          <w:p>
            <w:pPr>
              <w:spacing w:line="360" w:lineRule="auto"/>
              <w:rPr>
                <w:color w:val="auto"/>
                <w:highlight w:val="none"/>
              </w:rPr>
            </w:pPr>
            <w:r>
              <w:rPr>
                <w:rFonts w:hint="eastAsia"/>
                <w:color w:val="auto"/>
                <w:highlight w:val="none"/>
              </w:rPr>
              <w:t>3.4 勘察设计周期及提交成果的提交按合同条款约定执行。</w:t>
            </w:r>
          </w:p>
          <w:p>
            <w:pPr>
              <w:spacing w:line="360" w:lineRule="auto"/>
              <w:rPr>
                <w:color w:val="auto"/>
                <w:highlight w:val="none"/>
              </w:rPr>
            </w:pPr>
            <w:r>
              <w:rPr>
                <w:rFonts w:hint="eastAsia"/>
                <w:color w:val="auto"/>
                <w:highlight w:val="none"/>
              </w:rPr>
              <w:t>3.5 勘察工作量结算时，以提交的符合规范及招标文件要求的经验收合格的成果为准。</w:t>
            </w:r>
          </w:p>
          <w:p>
            <w:pPr>
              <w:spacing w:line="360" w:lineRule="auto"/>
              <w:rPr>
                <w:color w:val="auto"/>
                <w:highlight w:val="none"/>
              </w:rPr>
            </w:pPr>
            <w:r>
              <w:rPr>
                <w:rFonts w:hint="eastAsia"/>
                <w:color w:val="auto"/>
                <w:highlight w:val="none"/>
              </w:rPr>
              <w:t>3.6勘察过程的质量管理要求：</w:t>
            </w:r>
          </w:p>
          <w:p>
            <w:pPr>
              <w:spacing w:line="360" w:lineRule="auto"/>
              <w:rPr>
                <w:color w:val="auto"/>
                <w:highlight w:val="none"/>
              </w:rPr>
            </w:pPr>
            <w:r>
              <w:rPr>
                <w:rFonts w:hint="eastAsia"/>
                <w:color w:val="auto"/>
                <w:highlight w:val="none"/>
              </w:rPr>
              <w:t>本项目勘察质量实行信息化实时监管，现场钻探描述与记录须全过程信息化，通过影像留存、人员设备定位和数据实时上传等信息化监管方式，推动勘察现场、试验室行为和成果的质量管理标准化，确保工程勘察质量。供应商应通过有关部门或自身研发的工程勘察质量监管信息系统完成工程勘察现场作业记录，按要求采集及上传有关数据。</w:t>
            </w:r>
          </w:p>
          <w:p>
            <w:pPr>
              <w:spacing w:line="360" w:lineRule="auto"/>
              <w:rPr>
                <w:color w:val="auto"/>
                <w:highlight w:val="none"/>
              </w:rPr>
            </w:pPr>
            <w:r>
              <w:rPr>
                <w:rFonts w:hint="eastAsia"/>
                <w:color w:val="auto"/>
                <w:highlight w:val="none"/>
              </w:rPr>
              <w:t>采集及上传的数据按类别分包括：项目信息、单位信息、人员信息、勘探设备信息、勘探信息、取样信息、原位测试信息和室内试验信息。各类信息内容的详细要求参照住建部《房屋建筑和市政基础设施工程勘察质量信息化监管平台数据标准（试行）》执行。</w:t>
            </w:r>
          </w:p>
          <w:p>
            <w:pPr>
              <w:spacing w:line="360" w:lineRule="auto"/>
              <w:rPr>
                <w:b/>
                <w:color w:val="auto"/>
                <w:highlight w:val="none"/>
              </w:rPr>
            </w:pPr>
            <w:r>
              <w:rPr>
                <w:rFonts w:hint="eastAsia"/>
                <w:b/>
                <w:color w:val="auto"/>
                <w:highlight w:val="none"/>
              </w:rPr>
              <w:t>（三）工程可行性研究要求</w:t>
            </w:r>
          </w:p>
          <w:p>
            <w:pPr>
              <w:spacing w:line="360" w:lineRule="auto"/>
              <w:rPr>
                <w:color w:val="auto"/>
                <w:highlight w:val="none"/>
              </w:rPr>
            </w:pPr>
            <w:r>
              <w:rPr>
                <w:rFonts w:hint="eastAsia"/>
                <w:color w:val="auto"/>
                <w:highlight w:val="none"/>
              </w:rPr>
              <w:t>1. 研究范围</w:t>
            </w:r>
          </w:p>
          <w:p>
            <w:pPr>
              <w:spacing w:line="360" w:lineRule="auto"/>
              <w:rPr>
                <w:color w:val="auto"/>
                <w:highlight w:val="none"/>
              </w:rPr>
            </w:pPr>
            <w:r>
              <w:rPr>
                <w:rFonts w:hint="eastAsia" w:ascii="宋体" w:hAnsi="宋体" w:cs="宋体"/>
                <w:color w:val="auto"/>
                <w:kern w:val="0"/>
                <w:szCs w:val="21"/>
                <w:highlight w:val="none"/>
                <w:lang w:val="zh-CN"/>
              </w:rPr>
              <w:t>北海港铁山港LNG船及危险品船锚地工程</w:t>
            </w:r>
            <w:r>
              <w:rPr>
                <w:rFonts w:hint="eastAsia"/>
                <w:color w:val="auto"/>
                <w:highlight w:val="none"/>
              </w:rPr>
              <w:t>，根据《北海港总体规划（2035年）》，在铁山湾海域规划1个外5#锚地，供LNG船及危险品船舶避风和待泊，面积4×4km2，设计水深约18～21m。具体分析论证项目的必要性、航道建设标准和建设规模、建设方案的技术可行性、工程的经济合理性，为项目立项提供依据。</w:t>
            </w:r>
          </w:p>
          <w:p>
            <w:pPr>
              <w:numPr>
                <w:ilvl w:val="0"/>
                <w:numId w:val="2"/>
              </w:numPr>
              <w:spacing w:line="360" w:lineRule="auto"/>
              <w:rPr>
                <w:color w:val="auto"/>
                <w:highlight w:val="none"/>
              </w:rPr>
            </w:pPr>
            <w:r>
              <w:rPr>
                <w:rFonts w:hint="eastAsia"/>
                <w:color w:val="auto"/>
                <w:highlight w:val="none"/>
              </w:rPr>
              <w:t>研究内容</w:t>
            </w:r>
          </w:p>
          <w:p>
            <w:pPr>
              <w:spacing w:line="360" w:lineRule="auto"/>
              <w:rPr>
                <w:color w:val="auto"/>
                <w:highlight w:val="none"/>
              </w:rPr>
            </w:pPr>
            <w:r>
              <w:rPr>
                <w:rFonts w:hint="eastAsia"/>
                <w:color w:val="auto"/>
                <w:highlight w:val="none"/>
              </w:rPr>
              <w:t>通过深入调查，评价该港口航道航运现状，分析社会经济发展对航运的需求并进行客货运量的预测，分析与工程项目相关的自然条件，论证适航船型和营运组织，论定通航标准和建设规模；论证项目工程措施；分析水文、气象、地质等自然条件，分析水流地貌或冲演变规律，了解外部配套条件；提出配套设施、协作条件、实施步骤及工程投资估算、资金筹措方案、经济评价、环境保护、社会稳定风险分析等，反映工程实施中可能出现的问题和建议意见。</w:t>
            </w:r>
          </w:p>
          <w:p>
            <w:pPr>
              <w:numPr>
                <w:ilvl w:val="0"/>
                <w:numId w:val="2"/>
              </w:numPr>
              <w:spacing w:line="360" w:lineRule="auto"/>
              <w:rPr>
                <w:color w:val="auto"/>
                <w:highlight w:val="none"/>
              </w:rPr>
            </w:pPr>
            <w:r>
              <w:rPr>
                <w:rFonts w:hint="eastAsia"/>
                <w:color w:val="auto"/>
                <w:highlight w:val="none"/>
              </w:rPr>
              <w:t>技术要求</w:t>
            </w:r>
          </w:p>
          <w:p>
            <w:pPr>
              <w:spacing w:line="360" w:lineRule="auto"/>
              <w:rPr>
                <w:color w:val="auto"/>
                <w:highlight w:val="none"/>
              </w:rPr>
            </w:pPr>
            <w:r>
              <w:rPr>
                <w:rFonts w:hint="eastAsia"/>
                <w:color w:val="auto"/>
                <w:highlight w:val="none"/>
              </w:rPr>
              <w:t>（1）本项目工程可行性研究总的要求是按照交通运输部2009年颁发的《航道建设项目预可行性研究报告和工程可行性研究报告编制办法》进行研究与报告文件的编制，报告应符合业内相关法律法规、技术规范要求。</w:t>
            </w:r>
          </w:p>
          <w:p>
            <w:pPr>
              <w:spacing w:line="360" w:lineRule="auto"/>
              <w:rPr>
                <w:color w:val="auto"/>
                <w:highlight w:val="none"/>
              </w:rPr>
            </w:pPr>
            <w:r>
              <w:rPr>
                <w:rFonts w:hint="eastAsia"/>
                <w:color w:val="auto"/>
                <w:highlight w:val="none"/>
              </w:rPr>
              <w:t>（2）本项目工程可行性研究的主要任务是具体分析论证项目对腹地经济发展的必要性、航道建设标准和建设规模、建设方案的技术可行性、工程的经济合理性，为项目立项提供充分依据。</w:t>
            </w:r>
          </w:p>
          <w:p>
            <w:pPr>
              <w:spacing w:line="360" w:lineRule="auto"/>
              <w:rPr>
                <w:color w:val="auto"/>
                <w:highlight w:val="none"/>
              </w:rPr>
            </w:pPr>
            <w:r>
              <w:rPr>
                <w:rFonts w:hint="eastAsia"/>
                <w:color w:val="auto"/>
                <w:highlight w:val="none"/>
              </w:rPr>
              <w:t>（3）本项目工程可行性研究报告的主要内容应包括：评价项目附近港口航道航运现状，分析腹地经济发展对航运的需要并进行客货运量的预测，分析与工程项目相关的自然条件，论证适航船型和营运组织，论定通航标准和建设规模；选定工程方案和工程措施；提出配套设施、协作条件、实施步骤及工程投资估算、资金筹措方案、经济评价、环境保护、社会稳定风险分析、节能评估等，反映工程实施中可能出现的问题和建议意见。</w:t>
            </w:r>
          </w:p>
          <w:p>
            <w:pPr>
              <w:spacing w:line="360" w:lineRule="auto"/>
              <w:rPr>
                <w:color w:val="auto"/>
                <w:highlight w:val="none"/>
              </w:rPr>
            </w:pPr>
            <w:r>
              <w:rPr>
                <w:rFonts w:hint="eastAsia"/>
                <w:color w:val="auto"/>
                <w:highlight w:val="none"/>
              </w:rPr>
              <w:t>（4）本项目工程可行性研究必须执行现行国家有关标准。主体工程应达到方案设计的深度。方案设计应有两个以上的方案进行比选，并提出推荐方案。</w:t>
            </w:r>
          </w:p>
          <w:p>
            <w:pPr>
              <w:spacing w:line="360" w:lineRule="auto"/>
              <w:rPr>
                <w:color w:val="auto"/>
                <w:highlight w:val="none"/>
              </w:rPr>
            </w:pPr>
            <w:r>
              <w:rPr>
                <w:rFonts w:hint="eastAsia"/>
                <w:color w:val="auto"/>
                <w:highlight w:val="none"/>
              </w:rPr>
              <w:t>（5）投资估算：按照现行的交通运输部概算预算编制规定执行（包括定额、人工工资标准、材料价格和各项计费）。</w:t>
            </w:r>
          </w:p>
          <w:p>
            <w:pPr>
              <w:spacing w:line="360" w:lineRule="auto"/>
              <w:rPr>
                <w:color w:val="auto"/>
                <w:highlight w:val="none"/>
              </w:rPr>
            </w:pPr>
            <w:r>
              <w:rPr>
                <w:rFonts w:hint="eastAsia"/>
                <w:color w:val="auto"/>
                <w:highlight w:val="none"/>
              </w:rPr>
              <w:t>（6）经济评价：按照交通运输部颁发的《水运建设项目经济评价方法与参数》及国家有关规定进行编制。</w:t>
            </w:r>
          </w:p>
          <w:p>
            <w:pPr>
              <w:spacing w:line="360" w:lineRule="auto"/>
              <w:rPr>
                <w:color w:val="auto"/>
                <w:highlight w:val="none"/>
              </w:rPr>
            </w:pPr>
            <w:r>
              <w:rPr>
                <w:rFonts w:hint="eastAsia"/>
                <w:color w:val="auto"/>
                <w:highlight w:val="none"/>
              </w:rPr>
              <w:t>（7）节能评估：按照《中华人民共和国节约能源法》、《固定资产投资项目节能评估和审查暂行办法》等要求，开展该项目节能评估。</w:t>
            </w:r>
          </w:p>
          <w:p>
            <w:pPr>
              <w:spacing w:line="360" w:lineRule="auto"/>
              <w:rPr>
                <w:color w:val="auto"/>
                <w:highlight w:val="none"/>
              </w:rPr>
            </w:pPr>
            <w:r>
              <w:rPr>
                <w:rFonts w:hint="eastAsia"/>
                <w:color w:val="auto"/>
                <w:highlight w:val="none"/>
              </w:rPr>
              <w:t>（8）其他执行国家及行业有关法律、法规、规范、标准。</w:t>
            </w:r>
          </w:p>
          <w:p>
            <w:pPr>
              <w:spacing w:line="360" w:lineRule="auto"/>
              <w:rPr>
                <w:color w:val="auto"/>
                <w:highlight w:val="none"/>
              </w:rPr>
            </w:pPr>
            <w:r>
              <w:rPr>
                <w:rFonts w:hint="eastAsia"/>
                <w:color w:val="auto"/>
                <w:highlight w:val="none"/>
              </w:rPr>
              <w:t>4. 成果报送</w:t>
            </w:r>
          </w:p>
          <w:p>
            <w:pPr>
              <w:spacing w:line="360" w:lineRule="auto"/>
              <w:rPr>
                <w:color w:val="auto"/>
                <w:highlight w:val="none"/>
              </w:rPr>
            </w:pPr>
            <w:r>
              <w:rPr>
                <w:rFonts w:hint="eastAsia"/>
                <w:color w:val="auto"/>
                <w:highlight w:val="none"/>
              </w:rPr>
              <w:t>成果包括《北海港铁山港LNG船及危险品船锚地工程可行性研究报告》。</w:t>
            </w:r>
          </w:p>
          <w:p>
            <w:pPr>
              <w:spacing w:line="360" w:lineRule="auto"/>
              <w:rPr>
                <w:color w:val="auto"/>
                <w:highlight w:val="none"/>
              </w:rPr>
            </w:pPr>
            <w:r>
              <w:rPr>
                <w:rFonts w:hint="eastAsia"/>
                <w:color w:val="auto"/>
                <w:highlight w:val="none"/>
              </w:rPr>
              <w:t>（1）提交一式30份项目研究报告初稿及30份附件和图纸用于组织初审。</w:t>
            </w:r>
          </w:p>
          <w:p>
            <w:pPr>
              <w:spacing w:line="360" w:lineRule="auto"/>
              <w:rPr>
                <w:color w:val="auto"/>
                <w:highlight w:val="none"/>
              </w:rPr>
            </w:pPr>
            <w:r>
              <w:rPr>
                <w:rFonts w:hint="eastAsia"/>
                <w:color w:val="auto"/>
                <w:highlight w:val="none"/>
              </w:rPr>
              <w:t>（2）提交一式30份符合要求的项目研究报告及30份附件和图纸，供行业主管部门审查。</w:t>
            </w:r>
          </w:p>
          <w:p>
            <w:pPr>
              <w:spacing w:line="360" w:lineRule="auto"/>
              <w:rPr>
                <w:b/>
                <w:color w:val="auto"/>
                <w:highlight w:val="none"/>
              </w:rPr>
            </w:pPr>
            <w:r>
              <w:rPr>
                <w:rFonts w:hint="eastAsia"/>
                <w:color w:val="auto"/>
                <w:highlight w:val="none"/>
              </w:rPr>
              <w:t>（3）提交一式10份修改完善后的研究报告及10份附件和图纸，上报上级部门审批。</w:t>
            </w:r>
          </w:p>
          <w:p>
            <w:pPr>
              <w:spacing w:line="360" w:lineRule="auto"/>
              <w:rPr>
                <w:b/>
                <w:color w:val="auto"/>
                <w:highlight w:val="none"/>
              </w:rPr>
            </w:pPr>
            <w:r>
              <w:rPr>
                <w:rFonts w:hint="eastAsia"/>
                <w:b/>
                <w:color w:val="auto"/>
                <w:highlight w:val="none"/>
              </w:rPr>
              <w:t>（四）专题研究要求</w:t>
            </w:r>
          </w:p>
          <w:p>
            <w:pPr>
              <w:spacing w:line="360" w:lineRule="auto"/>
              <w:rPr>
                <w:color w:val="auto"/>
                <w:highlight w:val="none"/>
              </w:rPr>
            </w:pPr>
            <w:r>
              <w:rPr>
                <w:rFonts w:hint="eastAsia"/>
                <w:color w:val="auto"/>
                <w:highlight w:val="none"/>
              </w:rPr>
              <w:t>1. 社会稳定性风险评估</w:t>
            </w:r>
          </w:p>
          <w:p>
            <w:pPr>
              <w:spacing w:line="360" w:lineRule="auto"/>
              <w:rPr>
                <w:color w:val="auto"/>
                <w:highlight w:val="none"/>
              </w:rPr>
            </w:pPr>
            <w:r>
              <w:rPr>
                <w:rFonts w:hint="eastAsia"/>
                <w:color w:val="auto"/>
                <w:highlight w:val="none"/>
              </w:rPr>
              <w:t>1.1. 基本要求</w:t>
            </w:r>
          </w:p>
          <w:p>
            <w:pPr>
              <w:spacing w:line="360" w:lineRule="auto"/>
              <w:rPr>
                <w:color w:val="auto"/>
                <w:highlight w:val="none"/>
              </w:rPr>
            </w:pPr>
            <w:r>
              <w:rPr>
                <w:rFonts w:hint="eastAsia"/>
                <w:color w:val="auto"/>
                <w:highlight w:val="none"/>
              </w:rPr>
              <w:t>（1）针对工程可行性研究方案，分析潜在的风险源及事件为完善工程可行性研究和初步设计方案提供技术资料；</w:t>
            </w:r>
          </w:p>
          <w:p>
            <w:pPr>
              <w:spacing w:line="360" w:lineRule="auto"/>
              <w:rPr>
                <w:color w:val="auto"/>
                <w:highlight w:val="none"/>
              </w:rPr>
            </w:pPr>
            <w:r>
              <w:rPr>
                <w:rFonts w:hint="eastAsia"/>
                <w:color w:val="auto"/>
                <w:highlight w:val="none"/>
              </w:rPr>
              <w:t>（2）针对辨识的重点风险进行定量化计算分析与评估，综合评价本工程建设风险等级；</w:t>
            </w:r>
          </w:p>
          <w:p>
            <w:pPr>
              <w:spacing w:line="360" w:lineRule="auto"/>
              <w:rPr>
                <w:color w:val="auto"/>
                <w:highlight w:val="none"/>
              </w:rPr>
            </w:pPr>
            <w:r>
              <w:rPr>
                <w:rFonts w:hint="eastAsia"/>
                <w:color w:val="auto"/>
                <w:highlight w:val="none"/>
              </w:rPr>
              <w:t>（3）结合工程可行性方案，对其中重大风险进点分析，评估初步设计方案建设安全风险性，比较不同可行性研究方案风险；</w:t>
            </w:r>
          </w:p>
          <w:p>
            <w:pPr>
              <w:spacing w:line="360" w:lineRule="auto"/>
              <w:rPr>
                <w:color w:val="auto"/>
                <w:highlight w:val="none"/>
              </w:rPr>
            </w:pPr>
            <w:r>
              <w:rPr>
                <w:rFonts w:hint="eastAsia"/>
                <w:color w:val="auto"/>
                <w:highlight w:val="none"/>
              </w:rPr>
              <w:t>（4）根据风险评估等级与结果，对各项重大提出建议控制措施，并指导初步设计图纸设计。</w:t>
            </w:r>
          </w:p>
          <w:p>
            <w:pPr>
              <w:spacing w:line="360" w:lineRule="auto"/>
              <w:rPr>
                <w:color w:val="auto"/>
                <w:highlight w:val="none"/>
              </w:rPr>
            </w:pPr>
            <w:r>
              <w:rPr>
                <w:rFonts w:hint="eastAsia"/>
                <w:color w:val="auto"/>
                <w:highlight w:val="none"/>
              </w:rPr>
              <w:t>1.2 风险评估的过程</w:t>
            </w:r>
          </w:p>
          <w:p>
            <w:pPr>
              <w:spacing w:line="360" w:lineRule="auto"/>
              <w:rPr>
                <w:color w:val="auto"/>
                <w:highlight w:val="none"/>
              </w:rPr>
            </w:pPr>
            <w:r>
              <w:rPr>
                <w:rFonts w:hint="eastAsia"/>
                <w:color w:val="auto"/>
                <w:highlight w:val="none"/>
              </w:rPr>
              <w:t>社会稳定性风险评估时首先通过因素识别找出工程所有可能面临的源和风险事件，然后采用定性和量两大类方法对辨识出的工程作进一步分析，确定工程各种风险事件发生的可能性或其频率，估算风险发生的损失或不利后果，计算区分出不同风险的相对和绝区分出不同风险的相对和绝对损失（严重程度）；将单个风险与风险评价准则、项目整体水平与对比，查看是否在可接受的范围之内，从而制定相应风险控制应对策略对项目做出相应的调整。</w:t>
            </w:r>
          </w:p>
          <w:p>
            <w:pPr>
              <w:spacing w:line="360" w:lineRule="auto"/>
              <w:rPr>
                <w:color w:val="auto"/>
                <w:highlight w:val="none"/>
              </w:rPr>
            </w:pPr>
            <w:r>
              <w:rPr>
                <w:rFonts w:hint="eastAsia"/>
                <w:color w:val="auto"/>
                <w:highlight w:val="none"/>
              </w:rPr>
              <w:t>1.3 风险评估的主要内容</w:t>
            </w:r>
          </w:p>
          <w:p>
            <w:pPr>
              <w:spacing w:line="360" w:lineRule="auto"/>
              <w:rPr>
                <w:color w:val="auto"/>
                <w:highlight w:val="none"/>
              </w:rPr>
            </w:pPr>
            <w:r>
              <w:rPr>
                <w:rFonts w:hint="eastAsia"/>
                <w:color w:val="auto"/>
                <w:highlight w:val="none"/>
              </w:rPr>
              <w:t>（1）制定评估工作方案</w:t>
            </w:r>
          </w:p>
          <w:p>
            <w:pPr>
              <w:spacing w:line="360" w:lineRule="auto"/>
              <w:rPr>
                <w:color w:val="auto"/>
                <w:highlight w:val="none"/>
              </w:rPr>
            </w:pPr>
            <w:r>
              <w:rPr>
                <w:rFonts w:hint="eastAsia"/>
                <w:color w:val="auto"/>
                <w:highlight w:val="none"/>
              </w:rPr>
              <w:t>首先确定工程内容，并和与之相关的政府部门进行沟通了解，发函至相关部门征求意见、请地方部门协助开展调查公示工作、向工程影响地区的民众派发调查表征求意见并收集、对调查意见进行分析整理，并最终形成评估报告。</w:t>
            </w:r>
          </w:p>
          <w:p>
            <w:pPr>
              <w:spacing w:line="360" w:lineRule="auto"/>
              <w:rPr>
                <w:color w:val="auto"/>
                <w:highlight w:val="none"/>
              </w:rPr>
            </w:pPr>
            <w:r>
              <w:rPr>
                <w:rFonts w:hint="eastAsia"/>
                <w:color w:val="auto"/>
                <w:highlight w:val="none"/>
              </w:rPr>
              <w:t>（2）收集和审阅相关资料</w:t>
            </w:r>
          </w:p>
          <w:p>
            <w:pPr>
              <w:spacing w:line="360" w:lineRule="auto"/>
              <w:rPr>
                <w:color w:val="auto"/>
                <w:highlight w:val="none"/>
              </w:rPr>
            </w:pPr>
            <w:r>
              <w:rPr>
                <w:rFonts w:hint="eastAsia"/>
                <w:color w:val="auto"/>
                <w:highlight w:val="none"/>
              </w:rPr>
              <w:t>全面收集并认真审阅社会稳定风险评估相关资料，主要包括以下文件：项目可行性研究报告；国家和地方相关法律、法规和政策；拟建项目前期审批相关文件；相关规划与标准规范；同类或类似项目决策风险评估资料等。</w:t>
            </w:r>
          </w:p>
          <w:p>
            <w:pPr>
              <w:spacing w:line="360" w:lineRule="auto"/>
              <w:rPr>
                <w:color w:val="auto"/>
                <w:highlight w:val="none"/>
              </w:rPr>
            </w:pPr>
            <w:r>
              <w:rPr>
                <w:rFonts w:hint="eastAsia"/>
                <w:color w:val="auto"/>
                <w:highlight w:val="none"/>
              </w:rPr>
              <w:t>（3）全面评估论证</w:t>
            </w:r>
          </w:p>
          <w:p>
            <w:pPr>
              <w:spacing w:line="360" w:lineRule="auto"/>
              <w:rPr>
                <w:color w:val="auto"/>
                <w:highlight w:val="none"/>
              </w:rPr>
            </w:pPr>
            <w:r>
              <w:rPr>
                <w:rFonts w:hint="eastAsia"/>
                <w:color w:val="auto"/>
                <w:highlight w:val="none"/>
              </w:rPr>
              <w:t>分门别类梳理各方意见，参考相同或类似项目引发社会稳定风险的情况，重点围绕拟建项目建设实施的合法性、合理性、可行性、可控性进行客观、全面地评估论证；对拟建项目所涉及的风险调查、风险识别、风险估计、风险防范和化解措施、风险等级评判等内容逐项进行评估论证，特别是对风险因素、风险发生概率、可能引发矛盾纠纷的激烈程度和持续时间、涉及人员数量、可能产生的各种负面影响以及相关风险的可控程度进行评估论证。</w:t>
            </w:r>
          </w:p>
          <w:p>
            <w:pPr>
              <w:spacing w:line="360" w:lineRule="auto"/>
              <w:rPr>
                <w:color w:val="auto"/>
                <w:highlight w:val="none"/>
              </w:rPr>
            </w:pPr>
            <w:r>
              <w:rPr>
                <w:rFonts w:hint="eastAsia"/>
                <w:color w:val="auto"/>
                <w:highlight w:val="none"/>
              </w:rPr>
              <w:t>（4）确定风险等级</w:t>
            </w:r>
          </w:p>
          <w:p>
            <w:pPr>
              <w:spacing w:line="360" w:lineRule="auto"/>
              <w:rPr>
                <w:color w:val="auto"/>
                <w:highlight w:val="none"/>
              </w:rPr>
            </w:pPr>
            <w:r>
              <w:rPr>
                <w:rFonts w:hint="eastAsia"/>
                <w:color w:val="auto"/>
                <w:highlight w:val="none"/>
              </w:rPr>
              <w:t>根据社会稳定风险评估指标或评判标准，在综合考虑各方意见和全面分析论证的基础上，按照《国家发展改革委重大固定资产投资项目社会稳定风险评估暂行办法》的风险等级划分标准，对拟建项目的社会稳定风险等级作出客观、公正的判断，确定项目社会稳定风险的高、中、低等级。</w:t>
            </w:r>
          </w:p>
          <w:p>
            <w:pPr>
              <w:spacing w:line="360" w:lineRule="auto"/>
              <w:rPr>
                <w:color w:val="auto"/>
                <w:highlight w:val="none"/>
              </w:rPr>
            </w:pPr>
            <w:r>
              <w:rPr>
                <w:rFonts w:hint="eastAsia"/>
                <w:color w:val="auto"/>
                <w:highlight w:val="none"/>
              </w:rPr>
              <w:t>（5）编制评估报告</w:t>
            </w:r>
          </w:p>
          <w:p>
            <w:pPr>
              <w:spacing w:line="360" w:lineRule="auto"/>
              <w:rPr>
                <w:color w:val="auto"/>
                <w:highlight w:val="none"/>
              </w:rPr>
            </w:pPr>
            <w:r>
              <w:rPr>
                <w:rFonts w:hint="eastAsia"/>
                <w:color w:val="auto"/>
                <w:highlight w:val="none"/>
              </w:rPr>
              <w:t>编制评估报告，评估报告主要包括以下内容：①基本情况；②评估内容；③评估结论。</w:t>
            </w:r>
          </w:p>
          <w:p>
            <w:pPr>
              <w:spacing w:line="360" w:lineRule="auto"/>
              <w:rPr>
                <w:color w:val="auto"/>
                <w:highlight w:val="none"/>
              </w:rPr>
            </w:pPr>
            <w:r>
              <w:rPr>
                <w:rFonts w:hint="eastAsia"/>
                <w:color w:val="auto"/>
                <w:highlight w:val="none"/>
              </w:rPr>
              <w:t>编制评估报告应符合规范、标准要求，满足审查、审批需要。</w:t>
            </w:r>
          </w:p>
          <w:p>
            <w:pPr>
              <w:numPr>
                <w:ilvl w:val="0"/>
                <w:numId w:val="3"/>
              </w:numPr>
              <w:spacing w:line="360" w:lineRule="auto"/>
              <w:rPr>
                <w:color w:val="auto"/>
                <w:highlight w:val="none"/>
              </w:rPr>
            </w:pPr>
            <w:r>
              <w:rPr>
                <w:rFonts w:hint="eastAsia"/>
                <w:color w:val="auto"/>
                <w:highlight w:val="none"/>
              </w:rPr>
              <w:t>环境影响评价</w:t>
            </w:r>
          </w:p>
          <w:p>
            <w:pPr>
              <w:spacing w:line="360" w:lineRule="auto"/>
              <w:rPr>
                <w:color w:val="auto"/>
                <w:highlight w:val="none"/>
              </w:rPr>
            </w:pPr>
            <w:r>
              <w:rPr>
                <w:rFonts w:hint="eastAsia"/>
                <w:color w:val="auto"/>
                <w:highlight w:val="none"/>
              </w:rPr>
              <w:t>1.1 研究内容</w:t>
            </w:r>
          </w:p>
          <w:p>
            <w:pPr>
              <w:spacing w:line="360" w:lineRule="auto"/>
              <w:rPr>
                <w:color w:val="auto"/>
                <w:highlight w:val="none"/>
              </w:rPr>
            </w:pPr>
            <w:r>
              <w:rPr>
                <w:rFonts w:hint="eastAsia"/>
                <w:color w:val="auto"/>
                <w:highlight w:val="none"/>
              </w:rPr>
              <w:t>根据《中华人民共和国环境保护法》、《中华人民共和国环境影响评价法》、《建设项目环境保护条例》等有关规定，通过对项目所在区域进行环境现状调查的基础上，采用工程影响分析，数值模拟等方法预测评估工程对环境的影响，提出防治污染和减缓影响的可行措施，为工程决策提供依据，指导工程环境保护设计和工程施工及运营期环境管理，使工程建设达到经济效益、社会效益和环境效益的统一。</w:t>
            </w:r>
          </w:p>
          <w:p>
            <w:pPr>
              <w:spacing w:line="360" w:lineRule="auto"/>
              <w:rPr>
                <w:color w:val="auto"/>
                <w:highlight w:val="none"/>
              </w:rPr>
            </w:pPr>
            <w:r>
              <w:rPr>
                <w:rFonts w:hint="eastAsia"/>
                <w:color w:val="auto"/>
                <w:highlight w:val="none"/>
              </w:rPr>
              <w:t>根据《中华人民共和国自然保护区条例》等有关保护区管理规定，通过对项目所在区域进行现状调查的基础上，确定受影响的各类保护区、生态保护红线等范围和内容，采用工程影响分析，数值模拟等方法预测评估工程对各类保护区、生态保护红线的影响，提出减缓或避让影响的可行措施，进行保护区生态影响评价、工程涉保护区选址唯一性论证（涉生态保护红线不可避让论证），为工程决策提供依据，指导工程环境保护设计和工程施工及运营期环境管理，使工程建设达到经济效益、社会效益和环境效益的统一。</w:t>
            </w:r>
          </w:p>
          <w:p>
            <w:pPr>
              <w:spacing w:line="360" w:lineRule="auto"/>
              <w:rPr>
                <w:color w:val="auto"/>
                <w:highlight w:val="none"/>
              </w:rPr>
            </w:pPr>
            <w:r>
              <w:rPr>
                <w:rFonts w:hint="eastAsia"/>
                <w:color w:val="auto"/>
                <w:highlight w:val="none"/>
              </w:rPr>
              <w:t>1.2 深度要求</w:t>
            </w:r>
          </w:p>
          <w:p>
            <w:pPr>
              <w:spacing w:line="360" w:lineRule="auto"/>
              <w:ind w:firstLine="315" w:firstLineChars="150"/>
              <w:rPr>
                <w:color w:val="auto"/>
                <w:highlight w:val="none"/>
              </w:rPr>
            </w:pPr>
            <w:r>
              <w:rPr>
                <w:rFonts w:hint="eastAsia"/>
                <w:color w:val="auto"/>
                <w:highlight w:val="none"/>
              </w:rPr>
              <w:t>根据《中华人民共和国环境保护法》、《中华人民共和国环境影响评价法》、《建设项目环境保护条例》等有关规定，编制环境影响评价文件，并向环境保护行政主管部门办理环境影响报告书行政审批手续。根据环境影响评价结论编制的环境影响评价报告，应确保可以通过技术评估机构组织的专家技术评审，满足环境保护行政主管部门对项目的行政审批要求，并办理完成环境影响报告书行政审批手续。</w:t>
            </w:r>
          </w:p>
          <w:p>
            <w:pPr>
              <w:spacing w:line="360" w:lineRule="auto"/>
              <w:ind w:firstLine="420" w:firstLineChars="200"/>
              <w:rPr>
                <w:color w:val="auto"/>
                <w:highlight w:val="none"/>
              </w:rPr>
            </w:pPr>
            <w:r>
              <w:rPr>
                <w:rFonts w:hint="eastAsia"/>
                <w:color w:val="auto"/>
                <w:highlight w:val="none"/>
              </w:rPr>
              <w:t>根据《中华人民共和国自然保护区条例》等有关规定，编制保护区生态影响评价报告、工程涉保护区选址唯一性论证（涉生态保护红线不可避让论证）报告，确保可以通过有关主管部门审批或获得相关意见或发包人组织的评审。</w:t>
            </w:r>
          </w:p>
          <w:p>
            <w:pPr>
              <w:numPr>
                <w:ilvl w:val="0"/>
                <w:numId w:val="3"/>
              </w:numPr>
              <w:spacing w:line="360" w:lineRule="auto"/>
              <w:rPr>
                <w:color w:val="auto"/>
                <w:highlight w:val="none"/>
              </w:rPr>
            </w:pPr>
            <w:r>
              <w:rPr>
                <w:rFonts w:hint="eastAsia"/>
                <w:color w:val="auto"/>
                <w:highlight w:val="none"/>
              </w:rPr>
              <w:t>用地预审及规划选址</w:t>
            </w:r>
          </w:p>
          <w:p>
            <w:pPr>
              <w:spacing w:line="360" w:lineRule="auto"/>
              <w:ind w:firstLine="420" w:firstLineChars="200"/>
              <w:rPr>
                <w:color w:val="auto"/>
                <w:highlight w:val="none"/>
              </w:rPr>
            </w:pPr>
            <w:r>
              <w:rPr>
                <w:rFonts w:hint="eastAsia"/>
                <w:color w:val="auto"/>
                <w:highlight w:val="none"/>
              </w:rPr>
              <w:t>按照《建设项目用地预审管理办法》、《贯彻落实建设项目用地预审管理办法的通知等相关规定及其他相关政策，开展用地预审与选址意见所需的所有报批材料编制及其他相关材料的编制和报批服务。负责组织用地预审与选址意见所有所需资料的整理和上报，取得相应批文所需要的图纸、申请书或报告等，并获得《建设项目用地预审与选址意见书》及相应批文。</w:t>
            </w:r>
          </w:p>
          <w:p>
            <w:pPr>
              <w:spacing w:line="360" w:lineRule="auto"/>
              <w:rPr>
                <w:color w:val="auto"/>
                <w:highlight w:val="none"/>
              </w:rPr>
            </w:pPr>
            <w:r>
              <w:rPr>
                <w:rFonts w:hint="eastAsia"/>
                <w:color w:val="auto"/>
                <w:highlight w:val="none"/>
              </w:rPr>
              <w:t>报告必须符合国家有关标准、规范，满足自然资源部门的要求并获得相关的批复（证书）。</w:t>
            </w:r>
          </w:p>
          <w:p>
            <w:pPr>
              <w:spacing w:line="360" w:lineRule="auto"/>
              <w:rPr>
                <w:color w:val="auto"/>
                <w:highlight w:val="none"/>
              </w:rPr>
            </w:pPr>
            <w:r>
              <w:rPr>
                <w:rFonts w:hint="eastAsia"/>
                <w:color w:val="auto"/>
                <w:highlight w:val="none"/>
              </w:rPr>
              <w:t>根据《中华人民共和国城乡规划法》和《建设项目选址规划管理办法》及国家、地方有关规定，开展用地预审与选址意见所需的所有报批材料编制及其他相关材料的编制和报批服务。负责组织用地预审与选址意见所有所需资料的整理和上报，取得相应批文所需要的图纸、申请书或报告等，并获得《建设项目用地预审与选址意见书》及相应批文。</w:t>
            </w:r>
          </w:p>
          <w:p>
            <w:pPr>
              <w:numPr>
                <w:ilvl w:val="0"/>
                <w:numId w:val="3"/>
              </w:numPr>
              <w:spacing w:line="360" w:lineRule="auto"/>
              <w:rPr>
                <w:color w:val="auto"/>
                <w:highlight w:val="none"/>
              </w:rPr>
            </w:pPr>
            <w:r>
              <w:rPr>
                <w:rFonts w:hint="eastAsia"/>
                <w:color w:val="auto"/>
                <w:highlight w:val="none"/>
              </w:rPr>
              <w:t>海</w:t>
            </w:r>
            <w:r>
              <w:rPr>
                <w:rFonts w:hint="eastAsia"/>
                <w:color w:val="auto"/>
                <w:highlight w:val="none"/>
                <w:lang w:val="zh-CN"/>
              </w:rPr>
              <w:t>域使用论证报告</w:t>
            </w:r>
          </w:p>
          <w:p>
            <w:pPr>
              <w:spacing w:line="360" w:lineRule="auto"/>
              <w:rPr>
                <w:color w:val="auto"/>
                <w:highlight w:val="none"/>
              </w:rPr>
            </w:pPr>
            <w:r>
              <w:rPr>
                <w:rFonts w:hint="eastAsia"/>
                <w:color w:val="auto"/>
                <w:highlight w:val="none"/>
              </w:rPr>
              <w:t>4.1 按照《海域使用管理法》的规定，详细了解和勘查项目所在区域海洋资源生态、开发利用现状和权属状况的基础上，依据生态优先、节约集约原则，科学客观地分析论证项目用海的必要性、选址与规模的合理性、对海洋资源和生态的影响范围与程度、规划符合性和利益相关者的协调性等，提出项目生态用海对策，并给出明确的用海论证结论。</w:t>
            </w:r>
          </w:p>
          <w:p>
            <w:pPr>
              <w:spacing w:line="360" w:lineRule="auto"/>
              <w:rPr>
                <w:color w:val="auto"/>
                <w:highlight w:val="none"/>
              </w:rPr>
            </w:pPr>
            <w:r>
              <w:rPr>
                <w:rFonts w:hint="eastAsia"/>
                <w:color w:val="auto"/>
                <w:highlight w:val="none"/>
              </w:rPr>
              <w:t>4.2 海域使用论证报告编制遵照《中华人民共和国海域使用管理法》 、《自然资源部关于规范海域使用论证材料编制的通知》（自然资规〔2021〕1号）、《海域使用论证技术导则》等现行行业管理规定、标准、规范。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946" w:type="dxa"/>
            <w:gridSpan w:val="5"/>
            <w:vAlign w:val="center"/>
          </w:tcPr>
          <w:p>
            <w:pPr>
              <w:widowControl/>
              <w:wordWrap w:val="0"/>
              <w:spacing w:line="360" w:lineRule="atLeast"/>
              <w:rPr>
                <w:rFonts w:ascii="宋体" w:hAnsi="宋体" w:cs="宋体"/>
                <w:color w:val="auto"/>
                <w:szCs w:val="21"/>
                <w:highlight w:val="none"/>
              </w:rPr>
            </w:pPr>
            <w:r>
              <w:rPr>
                <w:rFonts w:hint="eastAsia" w:ascii="宋体" w:hAnsi="宋体"/>
                <w:b/>
                <w:bCs/>
                <w:color w:val="auto"/>
                <w:szCs w:val="21"/>
                <w:highlight w:val="none"/>
              </w:rPr>
              <w:t>二、商务要求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8946" w:type="dxa"/>
            <w:gridSpan w:val="5"/>
            <w:vAlign w:val="center"/>
          </w:tcPr>
          <w:p>
            <w:pPr>
              <w:spacing w:line="440" w:lineRule="exact"/>
              <w:rPr>
                <w:color w:val="auto"/>
                <w:highlight w:val="none"/>
              </w:rPr>
            </w:pPr>
            <w:r>
              <w:rPr>
                <w:rFonts w:hint="eastAsia"/>
                <w:color w:val="auto"/>
                <w:highlight w:val="none"/>
              </w:rPr>
              <w:t>（一）合同履行期限：4个月。各阶段成果交付时间如下：</w:t>
            </w:r>
          </w:p>
          <w:p>
            <w:pPr>
              <w:spacing w:line="440" w:lineRule="exact"/>
              <w:ind w:firstLine="210" w:firstLineChars="100"/>
              <w:rPr>
                <w:color w:val="auto"/>
                <w:highlight w:val="none"/>
              </w:rPr>
            </w:pPr>
            <w:r>
              <w:rPr>
                <w:rFonts w:hint="eastAsia"/>
                <w:color w:val="auto"/>
                <w:highlight w:val="none"/>
              </w:rPr>
              <w:t>（1）要求根据项目时间要求和工作阶段深度要求安排勘察测量工作，提供满足工程可行性研究阶段要求的勘察成果，合同签订后1个月内提交全部勘察测量报告。</w:t>
            </w:r>
          </w:p>
          <w:p>
            <w:pPr>
              <w:spacing w:line="440" w:lineRule="exact"/>
              <w:ind w:firstLine="210" w:firstLineChars="100"/>
              <w:rPr>
                <w:color w:val="auto"/>
                <w:highlight w:val="none"/>
              </w:rPr>
            </w:pPr>
            <w:r>
              <w:rPr>
                <w:rFonts w:hint="eastAsia"/>
                <w:color w:val="auto"/>
                <w:highlight w:val="none"/>
              </w:rPr>
              <w:t>（2）专题论证报告编制（包括选址报告、社会稳定风险评估报告、环境影响评价报告、海域使用论证报告等），合同签订后2个月内完成全部送审稿，报批稿在评审会后15个工作日内完成。</w:t>
            </w:r>
          </w:p>
          <w:p>
            <w:pPr>
              <w:spacing w:line="440" w:lineRule="exact"/>
              <w:ind w:firstLine="210" w:firstLineChars="100"/>
              <w:rPr>
                <w:color w:val="auto"/>
                <w:highlight w:val="none"/>
              </w:rPr>
            </w:pPr>
            <w:r>
              <w:rPr>
                <w:rFonts w:hint="eastAsia"/>
                <w:color w:val="auto"/>
                <w:highlight w:val="none"/>
              </w:rPr>
              <w:t>（3）合同签订后3个月内提交可行性研究报告送审稿，并在工程可行性研究报告评审会后15个工作日内完成报批稿。</w:t>
            </w:r>
          </w:p>
          <w:p>
            <w:pPr>
              <w:spacing w:line="440" w:lineRule="exact"/>
              <w:ind w:firstLine="210" w:firstLineChars="100"/>
              <w:rPr>
                <w:color w:val="auto"/>
                <w:highlight w:val="none"/>
              </w:rPr>
            </w:pPr>
            <w:r>
              <w:rPr>
                <w:rFonts w:hint="eastAsia"/>
                <w:color w:val="auto"/>
                <w:highlight w:val="none"/>
              </w:rPr>
              <w:t>（4）合同签订后4个月内完成可行性研究报告用及各专题论证报告的报批稿。</w:t>
            </w:r>
          </w:p>
          <w:p>
            <w:pPr>
              <w:spacing w:line="440" w:lineRule="exact"/>
              <w:rPr>
                <w:color w:val="auto"/>
                <w:highlight w:val="none"/>
              </w:rPr>
            </w:pPr>
            <w:r>
              <w:rPr>
                <w:rFonts w:hint="eastAsia"/>
                <w:color w:val="auto"/>
                <w:highlight w:val="none"/>
              </w:rPr>
              <w:t>（二）提交服务成果地点：采购人指定地点。</w:t>
            </w:r>
          </w:p>
          <w:p>
            <w:pPr>
              <w:widowControl/>
              <w:numPr>
                <w:ilvl w:val="0"/>
                <w:numId w:val="4"/>
              </w:numPr>
              <w:spacing w:line="440" w:lineRule="exact"/>
              <w:jc w:val="left"/>
              <w:rPr>
                <w:color w:val="auto"/>
                <w:highlight w:val="none"/>
              </w:rPr>
            </w:pPr>
            <w:r>
              <w:rPr>
                <w:rFonts w:hint="eastAsia"/>
                <w:color w:val="auto"/>
                <w:highlight w:val="none"/>
              </w:rPr>
              <w:t>报价要求：本项目服务费采用总价包干制，包含完成本项目所有工作任务(出具成果文件)所需的一切费用（含但不限于完成项目过程中所需的劳务、材料、设备、仪器、运输、检测与试验、安全警戒、评审、咨询、会务、管理、保险、税费、利润等费用，以及合同明示或暗示的所有责任、义务和一般风险等各种费用在内）。</w:t>
            </w:r>
          </w:p>
          <w:p>
            <w:pPr>
              <w:numPr>
                <w:ilvl w:val="0"/>
                <w:numId w:val="4"/>
              </w:numPr>
              <w:spacing w:line="360" w:lineRule="auto"/>
              <w:rPr>
                <w:color w:val="auto"/>
                <w:highlight w:val="none"/>
              </w:rPr>
            </w:pPr>
            <w:r>
              <w:rPr>
                <w:rFonts w:hint="eastAsia"/>
                <w:color w:val="auto"/>
                <w:highlight w:val="none"/>
              </w:rPr>
              <w:t>付款方式：承包人根据工作进度，向发包人提交支付申请（一式两份），并附相应的支持性证明文件。发包人根据承包人的工作进度，分期支付合同价款。</w:t>
            </w:r>
          </w:p>
          <w:p>
            <w:pPr>
              <w:pStyle w:val="2"/>
              <w:spacing w:line="360" w:lineRule="auto"/>
              <w:rPr>
                <w:rFonts w:ascii="Times New Roman" w:cs="Times New Roman"/>
                <w:color w:val="auto"/>
                <w:kern w:val="2"/>
                <w:sz w:val="21"/>
                <w:highlight w:val="none"/>
              </w:rPr>
            </w:pPr>
            <w:r>
              <w:rPr>
                <w:rFonts w:hint="eastAsia" w:ascii="Times New Roman" w:cs="Times New Roman"/>
                <w:color w:val="auto"/>
                <w:kern w:val="2"/>
                <w:sz w:val="21"/>
                <w:highlight w:val="none"/>
              </w:rPr>
              <w:t>因本项目经费为部门预算安排，由于财政资金未按时到位或财政资金管理原因暂时不能支付的，合同价款的支付时间相应顺延，并且发包人不因此承担逾期付款的违约责任。</w:t>
            </w:r>
          </w:p>
          <w:p>
            <w:pPr>
              <w:pStyle w:val="2"/>
              <w:spacing w:line="360" w:lineRule="auto"/>
              <w:rPr>
                <w:rFonts w:ascii="Times New Roman" w:cs="Times New Roman"/>
                <w:color w:val="auto"/>
                <w:kern w:val="2"/>
                <w:sz w:val="21"/>
                <w:highlight w:val="none"/>
              </w:rPr>
            </w:pPr>
            <w:r>
              <w:rPr>
                <w:rFonts w:hint="eastAsia" w:ascii="Times New Roman" w:cs="Times New Roman"/>
                <w:color w:val="auto"/>
                <w:kern w:val="2"/>
                <w:sz w:val="21"/>
                <w:highlight w:val="none"/>
              </w:rPr>
              <w:t>1.勘察费</w:t>
            </w:r>
          </w:p>
          <w:p>
            <w:pPr>
              <w:pStyle w:val="2"/>
              <w:spacing w:line="360" w:lineRule="auto"/>
              <w:rPr>
                <w:rFonts w:ascii="Times New Roman" w:cs="Times New Roman"/>
                <w:color w:val="auto"/>
                <w:kern w:val="2"/>
                <w:sz w:val="21"/>
                <w:highlight w:val="none"/>
              </w:rPr>
            </w:pPr>
            <w:r>
              <w:rPr>
                <w:rFonts w:hint="eastAsia" w:ascii="Times New Roman" w:cs="Times New Roman"/>
                <w:color w:val="auto"/>
                <w:kern w:val="2"/>
                <w:sz w:val="21"/>
                <w:highlight w:val="none"/>
              </w:rPr>
              <w:t>（1）预付款</w:t>
            </w:r>
          </w:p>
          <w:p>
            <w:pPr>
              <w:pStyle w:val="2"/>
              <w:spacing w:line="360" w:lineRule="auto"/>
              <w:rPr>
                <w:rFonts w:ascii="Times New Roman" w:cs="Times New Roman"/>
                <w:color w:val="auto"/>
                <w:kern w:val="2"/>
                <w:sz w:val="21"/>
                <w:highlight w:val="none"/>
              </w:rPr>
            </w:pPr>
            <w:r>
              <w:rPr>
                <w:rFonts w:hint="eastAsia" w:ascii="Times New Roman" w:cs="Times New Roman"/>
                <w:color w:val="auto"/>
                <w:kern w:val="2"/>
                <w:sz w:val="21"/>
                <w:highlight w:val="none"/>
              </w:rPr>
              <w:t>合同签署后，由承包人提交预付款支付申请，发包人收到预付款支付申请后的14天内，向承包人支付勘察费合同价的30%作为预付款；承包人应当提供等额的增值税发票；本合同履行后，预付款抵作勘察费，不再扣回。</w:t>
            </w:r>
          </w:p>
          <w:p>
            <w:pPr>
              <w:pStyle w:val="2"/>
              <w:spacing w:line="360" w:lineRule="auto"/>
              <w:rPr>
                <w:rFonts w:ascii="Times New Roman" w:cs="Times New Roman"/>
                <w:color w:val="auto"/>
                <w:kern w:val="2"/>
                <w:sz w:val="21"/>
                <w:highlight w:val="none"/>
              </w:rPr>
            </w:pPr>
            <w:r>
              <w:rPr>
                <w:rFonts w:hint="eastAsia" w:ascii="Times New Roman" w:cs="Times New Roman"/>
                <w:color w:val="auto"/>
                <w:kern w:val="2"/>
                <w:sz w:val="21"/>
                <w:highlight w:val="none"/>
              </w:rPr>
              <w:t>（2）进度款支付</w:t>
            </w:r>
          </w:p>
          <w:p>
            <w:pPr>
              <w:pStyle w:val="2"/>
              <w:spacing w:line="360" w:lineRule="auto"/>
              <w:rPr>
                <w:rFonts w:ascii="Times New Roman" w:cs="Times New Roman"/>
                <w:color w:val="auto"/>
                <w:kern w:val="2"/>
                <w:sz w:val="21"/>
                <w:highlight w:val="none"/>
              </w:rPr>
            </w:pPr>
            <w:r>
              <w:rPr>
                <w:rFonts w:hint="eastAsia" w:ascii="Times New Roman" w:cs="Times New Roman"/>
                <w:color w:val="auto"/>
                <w:kern w:val="2"/>
                <w:sz w:val="21"/>
                <w:highlight w:val="none"/>
              </w:rPr>
              <w:t>①勘察外业结束并经发包人认可后，由承包人提交进度款支付申请，发包人收到进度款支付申请后的14天内，向承包人支付费用至勘察费合同价的80%（含相应的预付款）；承包人应当提供等额的增值税发票。</w:t>
            </w:r>
          </w:p>
          <w:p>
            <w:pPr>
              <w:pStyle w:val="2"/>
              <w:spacing w:line="360" w:lineRule="auto"/>
              <w:rPr>
                <w:rFonts w:ascii="Times New Roman" w:cs="Times New Roman"/>
                <w:color w:val="auto"/>
                <w:kern w:val="2"/>
                <w:sz w:val="21"/>
                <w:highlight w:val="none"/>
              </w:rPr>
            </w:pPr>
            <w:r>
              <w:rPr>
                <w:rFonts w:hint="eastAsia" w:ascii="Times New Roman" w:cs="Times New Roman"/>
                <w:color w:val="auto"/>
                <w:kern w:val="2"/>
                <w:sz w:val="21"/>
                <w:highlight w:val="none"/>
              </w:rPr>
              <w:t>②提交经验收合格的勘察报告后，由承包人提交进度款支付申请，发包人收到进度款支付申请后的28天内，根据承包人实际完成的勘察工作量对应的合同款，支付承包人该项费用的剩余款项；承包人应当提供等额的增值税发票。</w:t>
            </w:r>
          </w:p>
          <w:p>
            <w:pPr>
              <w:pStyle w:val="2"/>
              <w:spacing w:line="360" w:lineRule="auto"/>
              <w:rPr>
                <w:rFonts w:ascii="Times New Roman" w:cs="Times New Roman"/>
                <w:color w:val="auto"/>
                <w:kern w:val="2"/>
                <w:sz w:val="21"/>
                <w:highlight w:val="none"/>
              </w:rPr>
            </w:pPr>
            <w:r>
              <w:rPr>
                <w:rFonts w:hint="eastAsia" w:ascii="Times New Roman" w:cs="Times New Roman"/>
                <w:color w:val="auto"/>
                <w:kern w:val="2"/>
                <w:sz w:val="21"/>
                <w:highlight w:val="none"/>
              </w:rPr>
              <w:t>2.咨询费（工程可行性研究报告及专题报告编制费）</w:t>
            </w:r>
          </w:p>
          <w:p>
            <w:pPr>
              <w:pStyle w:val="2"/>
              <w:spacing w:line="360" w:lineRule="auto"/>
              <w:rPr>
                <w:rFonts w:ascii="Times New Roman" w:cs="Times New Roman"/>
                <w:color w:val="auto"/>
                <w:kern w:val="2"/>
                <w:sz w:val="21"/>
                <w:highlight w:val="none"/>
              </w:rPr>
            </w:pPr>
            <w:r>
              <w:rPr>
                <w:rFonts w:hint="eastAsia" w:ascii="Times New Roman" w:cs="Times New Roman"/>
                <w:color w:val="auto"/>
                <w:kern w:val="2"/>
                <w:sz w:val="21"/>
                <w:highlight w:val="none"/>
              </w:rPr>
              <w:t>（1）预付款</w:t>
            </w:r>
          </w:p>
          <w:p>
            <w:pPr>
              <w:pStyle w:val="2"/>
              <w:spacing w:line="360" w:lineRule="auto"/>
              <w:rPr>
                <w:rFonts w:ascii="Times New Roman" w:cs="Times New Roman"/>
                <w:color w:val="auto"/>
                <w:kern w:val="2"/>
                <w:sz w:val="21"/>
                <w:highlight w:val="none"/>
              </w:rPr>
            </w:pPr>
            <w:r>
              <w:rPr>
                <w:rFonts w:hint="eastAsia" w:ascii="Times New Roman" w:cs="Times New Roman"/>
                <w:color w:val="auto"/>
                <w:kern w:val="2"/>
                <w:sz w:val="21"/>
                <w:highlight w:val="none"/>
              </w:rPr>
              <w:t>合同签署后，由承包人提交预付款支付申请，发包人收到预付款支付申请后的14天内，向承包人支付工程可行性研究报告及专题报告编制费用合同价的30%作为预付款；承包人应当提供等额的增值税发票；本合同履行后，预付款抵作咨询费，不再扣回。</w:t>
            </w:r>
          </w:p>
          <w:p>
            <w:pPr>
              <w:pStyle w:val="2"/>
              <w:spacing w:line="360" w:lineRule="auto"/>
              <w:rPr>
                <w:rFonts w:ascii="Times New Roman" w:cs="Times New Roman"/>
                <w:color w:val="auto"/>
                <w:kern w:val="2"/>
                <w:sz w:val="21"/>
                <w:highlight w:val="none"/>
              </w:rPr>
            </w:pPr>
            <w:r>
              <w:rPr>
                <w:rFonts w:hint="eastAsia" w:ascii="Times New Roman" w:cs="Times New Roman"/>
                <w:color w:val="auto"/>
                <w:kern w:val="2"/>
                <w:sz w:val="21"/>
                <w:highlight w:val="none"/>
              </w:rPr>
              <w:t>（2）进度款支付</w:t>
            </w:r>
          </w:p>
          <w:p>
            <w:pPr>
              <w:pStyle w:val="2"/>
              <w:spacing w:line="360" w:lineRule="auto"/>
              <w:rPr>
                <w:rFonts w:ascii="Times New Roman" w:cs="Times New Roman"/>
                <w:color w:val="auto"/>
                <w:kern w:val="2"/>
                <w:sz w:val="21"/>
                <w:highlight w:val="none"/>
              </w:rPr>
            </w:pPr>
            <w:r>
              <w:rPr>
                <w:rFonts w:hint="eastAsia" w:ascii="Times New Roman" w:cs="Times New Roman"/>
                <w:color w:val="auto"/>
                <w:kern w:val="2"/>
                <w:sz w:val="21"/>
                <w:highlight w:val="none"/>
              </w:rPr>
              <w:t>①在提交专题报告送审稿后，由承包人提交进度款支付申请，发包人收到进度款支付申请后的14天内，向承包人支付费用至相应专题研究费合同价的80%（含相应的预付款）；承包人应当提供等额的增值税发票。</w:t>
            </w:r>
          </w:p>
          <w:p>
            <w:pPr>
              <w:pStyle w:val="2"/>
              <w:spacing w:line="360" w:lineRule="auto"/>
              <w:rPr>
                <w:rFonts w:ascii="Times New Roman" w:cs="Times New Roman"/>
                <w:color w:val="auto"/>
                <w:kern w:val="2"/>
                <w:sz w:val="21"/>
                <w:highlight w:val="none"/>
              </w:rPr>
            </w:pPr>
            <w:r>
              <w:rPr>
                <w:rFonts w:hint="eastAsia" w:ascii="Times New Roman" w:cs="Times New Roman"/>
                <w:color w:val="auto"/>
                <w:kern w:val="2"/>
                <w:sz w:val="21"/>
                <w:highlight w:val="none"/>
              </w:rPr>
              <w:t>②在专题报告通过评审或取得批复后，由承包人提交进度款支付申请，发包人收到进度款支付申请后的14天内，支付承包人该项费用的剩余款项；承包人应当提供等额的增值税发票。</w:t>
            </w:r>
          </w:p>
          <w:p>
            <w:pPr>
              <w:pStyle w:val="2"/>
              <w:spacing w:line="360" w:lineRule="auto"/>
              <w:rPr>
                <w:rFonts w:ascii="Times New Roman" w:cs="Times New Roman"/>
                <w:color w:val="auto"/>
                <w:kern w:val="2"/>
                <w:sz w:val="21"/>
                <w:highlight w:val="none"/>
              </w:rPr>
            </w:pPr>
            <w:r>
              <w:rPr>
                <w:rFonts w:hint="eastAsia" w:ascii="Times New Roman" w:cs="Times New Roman"/>
                <w:color w:val="auto"/>
                <w:kern w:val="2"/>
                <w:sz w:val="21"/>
                <w:highlight w:val="none"/>
              </w:rPr>
              <w:t>③在提交工程可行性研究报告送审稿后，由承包人提交进度款支付申请，发包人收到进度款支付申请后的14天内，向承包人支付费用至相应工程可行性研究报告编制费合同价的80%（含相应的预付款）；承包人应当提供等额的增值税发票。</w:t>
            </w:r>
          </w:p>
          <w:p>
            <w:pPr>
              <w:pStyle w:val="2"/>
              <w:spacing w:line="360" w:lineRule="auto"/>
              <w:rPr>
                <w:rFonts w:ascii="Times New Roman" w:cs="Times New Roman"/>
                <w:color w:val="auto"/>
                <w:kern w:val="2"/>
                <w:sz w:val="21"/>
                <w:highlight w:val="none"/>
              </w:rPr>
            </w:pPr>
            <w:r>
              <w:rPr>
                <w:rFonts w:hint="eastAsia" w:ascii="Times New Roman" w:cs="Times New Roman"/>
                <w:color w:val="auto"/>
                <w:kern w:val="2"/>
                <w:sz w:val="21"/>
                <w:highlight w:val="none"/>
              </w:rPr>
              <w:t>④在工程可行性研究报告通过评审或获得批复后，由承包人提交进度款支付申请，发包人收到进度款支付申请后的14天内，支付承包人该项费用的剩余款项；承包人应当提供等额的增值税发票。</w:t>
            </w:r>
          </w:p>
          <w:p>
            <w:pPr>
              <w:pStyle w:val="2"/>
              <w:spacing w:line="360" w:lineRule="auto"/>
              <w:rPr>
                <w:rFonts w:ascii="Times New Roman" w:cs="Times New Roman"/>
                <w:color w:val="auto"/>
                <w:kern w:val="2"/>
                <w:sz w:val="21"/>
                <w:highlight w:val="none"/>
              </w:rPr>
            </w:pPr>
            <w:r>
              <w:rPr>
                <w:rFonts w:hint="eastAsia" w:ascii="Times New Roman" w:cs="Times New Roman"/>
                <w:color w:val="auto"/>
                <w:kern w:val="2"/>
                <w:sz w:val="21"/>
                <w:highlight w:val="none"/>
              </w:rPr>
              <w:t>⑤各专题研究报告编制根据项目的实际情况和有关法律法规定要求有可能需要开展，也有可能不需要开展。如果不开展某项专题报告编制的，则不支付该专项论证报告编制费用。</w:t>
            </w:r>
          </w:p>
          <w:p>
            <w:pPr>
              <w:pStyle w:val="8"/>
              <w:spacing w:line="440" w:lineRule="exact"/>
              <w:ind w:firstLine="0"/>
              <w:rPr>
                <w:color w:val="auto"/>
                <w:highlight w:val="none"/>
              </w:rPr>
            </w:pPr>
            <w:r>
              <w:rPr>
                <w:rFonts w:hint="eastAsia"/>
                <w:color w:val="auto"/>
                <w:highlight w:val="none"/>
              </w:rPr>
              <w:t>（五）履约保证金：</w:t>
            </w:r>
          </w:p>
          <w:p>
            <w:pPr>
              <w:pStyle w:val="8"/>
              <w:spacing w:line="440" w:lineRule="exact"/>
              <w:ind w:firstLine="0"/>
              <w:rPr>
                <w:color w:val="auto"/>
                <w:highlight w:val="none"/>
              </w:rPr>
            </w:pPr>
            <w:r>
              <w:rPr>
                <w:rFonts w:hint="eastAsia"/>
                <w:color w:val="auto"/>
                <w:highlight w:val="none"/>
              </w:rPr>
              <w:t>履约保证金金额：按中标金额的 5%，成交供应商须于成交通知书发出之日起 5 个工作日内向采购人缴纳。</w:t>
            </w:r>
          </w:p>
          <w:p>
            <w:pPr>
              <w:pStyle w:val="8"/>
              <w:spacing w:line="440" w:lineRule="exact"/>
              <w:ind w:firstLine="0"/>
              <w:rPr>
                <w:color w:val="auto"/>
                <w:highlight w:val="none"/>
              </w:rPr>
            </w:pPr>
            <w:r>
              <w:rPr>
                <w:rFonts w:hint="eastAsia"/>
                <w:color w:val="auto"/>
                <w:highlight w:val="none"/>
              </w:rPr>
              <w:t>履约保证金递交方式：支票、汇票、本票或者金融、担保机构出具的保函等非现金方式（参照投标保证金）。</w:t>
            </w:r>
          </w:p>
          <w:p>
            <w:pPr>
              <w:pStyle w:val="8"/>
              <w:spacing w:line="440" w:lineRule="exact"/>
              <w:ind w:firstLine="0"/>
              <w:rPr>
                <w:color w:val="auto"/>
                <w:highlight w:val="none"/>
              </w:rPr>
            </w:pPr>
            <w:r>
              <w:rPr>
                <w:rFonts w:hint="eastAsia"/>
                <w:color w:val="auto"/>
                <w:highlight w:val="none"/>
              </w:rPr>
              <w:t>履约保证金退付方式、时间及条件：由成交供应商向履约保证金收取单位提供《广西壮族自治区政府采购项目合同验收书》及《政府采购项目履约保证金退付意见书》，保证金收取单位在收到合格材料后5个工作日内办理退还手续（不计利息）。</w:t>
            </w:r>
          </w:p>
          <w:p>
            <w:pPr>
              <w:pStyle w:val="8"/>
              <w:spacing w:line="440" w:lineRule="exact"/>
              <w:ind w:firstLine="0"/>
              <w:rPr>
                <w:color w:val="auto"/>
                <w:highlight w:val="none"/>
              </w:rPr>
            </w:pPr>
            <w:r>
              <w:rPr>
                <w:rFonts w:hint="eastAsia"/>
                <w:color w:val="auto"/>
                <w:highlight w:val="none"/>
              </w:rPr>
              <w:t>保证金缴款账户信息：</w:t>
            </w:r>
          </w:p>
          <w:p>
            <w:pPr>
              <w:pStyle w:val="8"/>
              <w:spacing w:line="440" w:lineRule="exact"/>
              <w:ind w:firstLine="0"/>
              <w:rPr>
                <w:color w:val="auto"/>
                <w:highlight w:val="none"/>
              </w:rPr>
            </w:pPr>
            <w:r>
              <w:rPr>
                <w:rFonts w:hint="eastAsia"/>
                <w:color w:val="auto"/>
                <w:highlight w:val="none"/>
              </w:rPr>
              <w:t xml:space="preserve">户名：广西壮族自治区港航发展中心 </w:t>
            </w:r>
          </w:p>
          <w:p>
            <w:pPr>
              <w:pStyle w:val="8"/>
              <w:spacing w:line="440" w:lineRule="exact"/>
              <w:ind w:firstLine="0"/>
              <w:rPr>
                <w:color w:val="auto"/>
                <w:highlight w:val="none"/>
              </w:rPr>
            </w:pPr>
            <w:r>
              <w:rPr>
                <w:rFonts w:hint="eastAsia"/>
                <w:color w:val="auto"/>
                <w:highlight w:val="none"/>
              </w:rPr>
              <w:t>开户银行：工行南宁市枫林路支行</w:t>
            </w:r>
          </w:p>
          <w:p>
            <w:pPr>
              <w:pStyle w:val="8"/>
              <w:spacing w:line="440" w:lineRule="exact"/>
              <w:ind w:firstLine="0"/>
              <w:rPr>
                <w:color w:val="auto"/>
                <w:highlight w:val="none"/>
              </w:rPr>
            </w:pPr>
            <w:r>
              <w:rPr>
                <w:rFonts w:hint="eastAsia"/>
                <w:color w:val="auto"/>
                <w:highlight w:val="none"/>
              </w:rPr>
              <w:t xml:space="preserve">账号：2102101109221001515  </w:t>
            </w:r>
          </w:p>
          <w:p>
            <w:pPr>
              <w:spacing w:line="440" w:lineRule="exact"/>
              <w:rPr>
                <w:color w:val="auto"/>
                <w:highlight w:val="none"/>
              </w:rPr>
            </w:pPr>
            <w:r>
              <w:rPr>
                <w:rFonts w:hint="eastAsia"/>
                <w:color w:val="auto"/>
                <w:highlight w:val="none"/>
              </w:rPr>
              <w:t>（六）服务响应时间要求：</w:t>
            </w:r>
          </w:p>
          <w:p>
            <w:pPr>
              <w:spacing w:line="440" w:lineRule="exact"/>
              <w:rPr>
                <w:color w:val="auto"/>
                <w:highlight w:val="none"/>
              </w:rPr>
            </w:pPr>
            <w:r>
              <w:rPr>
                <w:rFonts w:hint="eastAsia"/>
                <w:color w:val="auto"/>
                <w:highlight w:val="none"/>
              </w:rPr>
              <w:t>处理问题响应时间：服务期内，由成交供应商接到采购人处理问题通知后4 小时内到达采购人指定现场。</w:t>
            </w:r>
          </w:p>
          <w:p>
            <w:pPr>
              <w:tabs>
                <w:tab w:val="left" w:pos="180"/>
                <w:tab w:val="left" w:pos="1620"/>
              </w:tabs>
              <w:spacing w:line="400" w:lineRule="exact"/>
              <w:rPr>
                <w:color w:val="auto"/>
                <w:highlight w:val="none"/>
              </w:rPr>
            </w:pPr>
            <w:r>
              <w:rPr>
                <w:rFonts w:hint="eastAsia"/>
                <w:color w:val="auto"/>
                <w:highlight w:val="none"/>
              </w:rPr>
              <w:t>（七）验收标准：</w:t>
            </w:r>
          </w:p>
          <w:p>
            <w:pPr>
              <w:tabs>
                <w:tab w:val="left" w:pos="180"/>
                <w:tab w:val="left" w:pos="1620"/>
              </w:tabs>
              <w:spacing w:line="400" w:lineRule="exact"/>
              <w:ind w:firstLine="420" w:firstLineChars="200"/>
              <w:rPr>
                <w:color w:val="auto"/>
                <w:highlight w:val="none"/>
              </w:rPr>
            </w:pPr>
            <w:r>
              <w:rPr>
                <w:color w:val="auto"/>
                <w:highlight w:val="none"/>
              </w:rPr>
              <w:t>1.符合国家及行业的标准和技术规范、规程要求。</w:t>
            </w:r>
          </w:p>
          <w:p>
            <w:pPr>
              <w:pStyle w:val="8"/>
              <w:spacing w:line="440" w:lineRule="exact"/>
              <w:ind w:firstLineChars="200"/>
              <w:rPr>
                <w:color w:val="auto"/>
                <w:highlight w:val="none"/>
              </w:rPr>
            </w:pPr>
            <w:r>
              <w:rPr>
                <w:color w:val="auto"/>
                <w:highlight w:val="none"/>
              </w:rPr>
              <w:t>2.验收方式：</w:t>
            </w:r>
            <w:r>
              <w:rPr>
                <w:rFonts w:hint="eastAsia"/>
                <w:color w:val="auto"/>
                <w:highlight w:val="none"/>
              </w:rPr>
              <w:t>成交供应商</w:t>
            </w:r>
            <w:r>
              <w:rPr>
                <w:color w:val="auto"/>
                <w:highlight w:val="none"/>
              </w:rPr>
              <w:t>须按照“</w:t>
            </w:r>
            <w:r>
              <w:rPr>
                <w:rFonts w:hint="eastAsia"/>
                <w:color w:val="auto"/>
                <w:highlight w:val="none"/>
              </w:rPr>
              <w:t>技术要求</w:t>
            </w:r>
            <w:r>
              <w:rPr>
                <w:color w:val="auto"/>
                <w:highlight w:val="none"/>
              </w:rPr>
              <w:t>”提供成果</w:t>
            </w:r>
            <w:r>
              <w:rPr>
                <w:rFonts w:hint="eastAsia"/>
                <w:color w:val="auto"/>
                <w:highlight w:val="none"/>
              </w:rPr>
              <w:t>文件</w:t>
            </w:r>
            <w:r>
              <w:rPr>
                <w:color w:val="auto"/>
                <w:highlight w:val="none"/>
              </w:rPr>
              <w:t>，由采购方组织专家验收。验收过程所产生的费用由</w:t>
            </w:r>
            <w:r>
              <w:rPr>
                <w:rFonts w:hint="eastAsia"/>
                <w:color w:val="auto"/>
                <w:highlight w:val="none"/>
              </w:rPr>
              <w:t>中标人</w:t>
            </w:r>
            <w:r>
              <w:rPr>
                <w:color w:val="auto"/>
                <w:highlight w:val="none"/>
              </w:rPr>
              <w:t>承担。验收时间在</w:t>
            </w:r>
            <w:r>
              <w:rPr>
                <w:rFonts w:hint="eastAsia"/>
                <w:color w:val="auto"/>
                <w:highlight w:val="none"/>
              </w:rPr>
              <w:t>中标人</w:t>
            </w:r>
            <w:r>
              <w:rPr>
                <w:color w:val="auto"/>
                <w:highlight w:val="none"/>
              </w:rPr>
              <w:t>提交全部成果后即可申请。</w:t>
            </w:r>
          </w:p>
          <w:p>
            <w:pPr>
              <w:spacing w:line="440" w:lineRule="exact"/>
              <w:rPr>
                <w:color w:val="auto"/>
                <w:highlight w:val="none"/>
              </w:rPr>
            </w:pPr>
            <w:r>
              <w:rPr>
                <w:rFonts w:hint="eastAsia"/>
                <w:color w:val="auto"/>
                <w:highlight w:val="none"/>
              </w:rPr>
              <w:t>（八）其他要求</w:t>
            </w:r>
          </w:p>
          <w:p>
            <w:pPr>
              <w:spacing w:line="440" w:lineRule="exact"/>
              <w:ind w:firstLine="420" w:firstLineChars="200"/>
              <w:rPr>
                <w:color w:val="auto"/>
                <w:highlight w:val="none"/>
              </w:rPr>
            </w:pPr>
            <w:r>
              <w:rPr>
                <w:rFonts w:hint="eastAsia"/>
                <w:color w:val="auto"/>
                <w:highlight w:val="none"/>
              </w:rPr>
              <w:t>1.供应商在人员组成结构等方面应能满足本项目服务的要求。</w:t>
            </w:r>
          </w:p>
          <w:p>
            <w:pPr>
              <w:spacing w:line="440" w:lineRule="exact"/>
              <w:ind w:firstLine="420" w:firstLineChars="200"/>
              <w:rPr>
                <w:color w:val="auto"/>
                <w:highlight w:val="none"/>
              </w:rPr>
            </w:pPr>
            <w:r>
              <w:rPr>
                <w:rFonts w:hint="eastAsia"/>
                <w:color w:val="auto"/>
                <w:highlight w:val="none"/>
              </w:rPr>
              <w:t>2.如供应商处于被责令停业，财产被接管、冻结、破产状态；或在以往的招投标活动中有不良行为和记录，在最近三年内有骗取中标和严重违约及重大质量、安全问题，一经发现则其竞标无效。</w:t>
            </w:r>
          </w:p>
          <w:p>
            <w:pPr>
              <w:spacing w:line="440" w:lineRule="exact"/>
              <w:ind w:firstLine="420" w:firstLineChars="200"/>
              <w:rPr>
                <w:color w:val="auto"/>
                <w:highlight w:val="none"/>
              </w:rPr>
            </w:pPr>
            <w:r>
              <w:rPr>
                <w:rFonts w:hint="eastAsia"/>
                <w:color w:val="auto"/>
                <w:highlight w:val="none"/>
              </w:rPr>
              <w:t>3.供应商应保证针对本项目的服务（或货物）所涉及到的知识产权和所提供的相关技术资料是合法取得，并享有完整的知识产权，不会因为采购人的使用而被责令停止使用、追偿或要求赔偿损失，如出现此情况，一切经济和法律责任均由供应商承担。</w:t>
            </w:r>
          </w:p>
          <w:p>
            <w:pPr>
              <w:widowControl/>
              <w:wordWrap w:val="0"/>
              <w:spacing w:line="360" w:lineRule="atLeast"/>
              <w:ind w:firstLine="420" w:firstLineChars="200"/>
              <w:rPr>
                <w:color w:val="auto"/>
                <w:highlight w:val="none"/>
              </w:rPr>
            </w:pPr>
            <w:r>
              <w:rPr>
                <w:rFonts w:hint="eastAsia"/>
                <w:color w:val="auto"/>
                <w:highlight w:val="none"/>
              </w:rPr>
              <w:t>4.成交供应商有义务随时向采购人解释所有成果内容。</w:t>
            </w:r>
          </w:p>
          <w:p>
            <w:pPr>
              <w:spacing w:line="440" w:lineRule="exact"/>
              <w:ind w:firstLine="420" w:firstLineChars="200"/>
              <w:rPr>
                <w:color w:val="auto"/>
                <w:highlight w:val="none"/>
              </w:rPr>
            </w:pPr>
            <w:r>
              <w:rPr>
                <w:rFonts w:hint="eastAsia"/>
                <w:color w:val="auto"/>
                <w:highlight w:val="none"/>
              </w:rPr>
              <w:t>5.版权说明及要求：供应商应保证针对本项目的货物或服务所涉及到的知识产权和所提供的相关技术资料是合法取得，并享有完整的知识产权，不会因为采购人的使用而被责令停止使用、追偿或要求赔偿损失，如出现此情况，一切经济和法律责任均由供应商承担。系统所有使用的数据版权归采购单位所有。</w:t>
            </w:r>
          </w:p>
          <w:p>
            <w:pPr>
              <w:spacing w:line="440" w:lineRule="exact"/>
              <w:ind w:firstLine="420" w:firstLineChars="200"/>
              <w:rPr>
                <w:color w:val="auto"/>
                <w:highlight w:val="none"/>
              </w:rPr>
            </w:pPr>
            <w:r>
              <w:rPr>
                <w:rFonts w:hint="eastAsia"/>
                <w:color w:val="auto"/>
                <w:highlight w:val="none"/>
              </w:rPr>
              <w:t>6.供应商必须自行为其竞标内容侵犯其他供应商或专利人的专利成果承担相应法律责任；同时，具有专利的供应商应在其响应文件中提供与其自有专利相关的有效证明材料，否则，不能就其投标内容的专利在本项目竞标过程中被侵权问题提出异议。</w:t>
            </w:r>
          </w:p>
          <w:p>
            <w:pPr>
              <w:spacing w:line="440" w:lineRule="exact"/>
              <w:ind w:firstLine="420" w:firstLineChars="200"/>
              <w:rPr>
                <w:color w:val="auto"/>
                <w:highlight w:val="none"/>
              </w:rPr>
            </w:pPr>
            <w:r>
              <w:rPr>
                <w:rFonts w:hint="eastAsia"/>
                <w:color w:val="auto"/>
                <w:highlight w:val="none"/>
              </w:rPr>
              <w:t>7.供应商所拟投入的项目机构人员必须符合和满足该项目要求且具有相关专业的技术人员，应与竞标时拟投入人员一致。</w:t>
            </w:r>
          </w:p>
          <w:p>
            <w:pPr>
              <w:spacing w:line="440" w:lineRule="exact"/>
              <w:ind w:firstLine="420" w:firstLineChars="200"/>
              <w:rPr>
                <w:color w:val="auto"/>
                <w:highlight w:val="none"/>
              </w:rPr>
            </w:pPr>
            <w:r>
              <w:rPr>
                <w:rFonts w:hint="eastAsia"/>
                <w:color w:val="auto"/>
                <w:highlight w:val="none"/>
              </w:rPr>
              <w:t>8.供应商可根据自身情况在响应文件中提供服务方案及服务承诺，内容不限于对本项目的理解和总体思路；对项目的特点、关键技术问题的认识及其对策措施；总体布置方案研究说明和必要的图纸；项目研究工作内容及计划安排、质量保证措施等。</w:t>
            </w:r>
          </w:p>
        </w:tc>
      </w:tr>
    </w:tbl>
    <w:p>
      <w:pPr>
        <w:rPr>
          <w:color w:val="auto"/>
          <w:highlight w:val="none"/>
        </w:rPr>
      </w:pPr>
    </w:p>
    <w:p>
      <w:pPr>
        <w:keepNext/>
        <w:keepLines/>
        <w:spacing w:line="416" w:lineRule="auto"/>
        <w:rPr>
          <w:color w:val="auto"/>
          <w:highlight w:val="none"/>
        </w:rPr>
      </w:pPr>
      <w:bookmarkStart w:id="93" w:name="_Toc73550041"/>
      <w:bookmarkStart w:id="94" w:name="_Toc44229896"/>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4"/>
        <w:numPr>
          <w:ilvl w:val="0"/>
          <w:numId w:val="1"/>
        </w:numPr>
        <w:jc w:val="center"/>
        <w:rPr>
          <w:b w:val="0"/>
          <w:color w:val="auto"/>
          <w:highlight w:val="none"/>
        </w:rPr>
      </w:pPr>
      <w:bookmarkStart w:id="95" w:name="_Toc6758"/>
      <w:r>
        <w:rPr>
          <w:rFonts w:hint="eastAsia"/>
          <w:color w:val="auto"/>
          <w:highlight w:val="none"/>
        </w:rPr>
        <w:t>评审程序、评审方法和评审标准</w:t>
      </w:r>
      <w:bookmarkEnd w:id="93"/>
      <w:bookmarkEnd w:id="94"/>
      <w:bookmarkEnd w:id="95"/>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.响应文件解密</w:t>
      </w:r>
    </w:p>
    <w:p>
      <w:pPr>
        <w:spacing w:line="360" w:lineRule="auto"/>
        <w:ind w:firstLine="420" w:firstLineChars="200"/>
        <w:rPr>
          <w:rFonts w:ascii="黑体" w:hAnsi="黑体" w:eastAsia="黑体" w:cs="宋体"/>
          <w:b/>
          <w:bCs/>
          <w:color w:val="auto"/>
          <w:sz w:val="24"/>
          <w:highlight w:val="none"/>
        </w:rPr>
      </w:pPr>
      <w:r>
        <w:rPr>
          <w:rFonts w:hint="eastAsia" w:ascii="宋体" w:hAnsi="宋体" w:cs="宋体"/>
          <w:color w:val="auto"/>
          <w:highlight w:val="none"/>
        </w:rPr>
        <w:t>供应商登录政采云平台，用“项目采购-开标评标”功能对电子响应文件进行在线解密。在线解密电子响应文件时间为开标时间起半小时内</w:t>
      </w:r>
      <w:r>
        <w:rPr>
          <w:rFonts w:hint="eastAsia" w:ascii="宋体" w:hAnsi="宋体" w:cs="宋体"/>
          <w:color w:val="auto"/>
          <w:szCs w:val="21"/>
          <w:highlight w:val="none"/>
        </w:rPr>
        <w:t>。磋商小组对</w:t>
      </w:r>
      <w:r>
        <w:rPr>
          <w:rFonts w:hint="eastAsia" w:ascii="宋体" w:hAnsi="宋体" w:cs="宋体"/>
          <w:color w:val="auto"/>
          <w:highlight w:val="none"/>
        </w:rPr>
        <w:t>解密成功的</w:t>
      </w:r>
      <w:r>
        <w:rPr>
          <w:rFonts w:hint="eastAsia" w:ascii="宋体" w:hAnsi="宋体" w:cs="宋体"/>
          <w:color w:val="auto"/>
          <w:szCs w:val="21"/>
          <w:highlight w:val="none"/>
        </w:rPr>
        <w:t>响应文件进行评估和比较。</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pPr>
        <w:snapToGrid w:val="0"/>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2.1</w:t>
      </w:r>
      <w:r>
        <w:rPr>
          <w:rFonts w:hint="eastAsia" w:ascii="宋体" w:hAnsi="宋体"/>
          <w:color w:val="auto"/>
          <w:szCs w:val="21"/>
          <w:highlight w:val="none"/>
        </w:rPr>
        <w:t>响应文件开启后，磋商小组依法对供应商的资格证明文件进行审查。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（1）查询渠道：“政采云”平台“信用中国”网站(</w:t>
      </w:r>
      <w:r>
        <w:rPr>
          <w:rFonts w:hint="eastAsia"/>
          <w:color w:val="auto"/>
          <w:highlight w:val="none"/>
        </w:rPr>
        <w:fldChar w:fldCharType="begin"/>
      </w:r>
      <w:r>
        <w:rPr>
          <w:color w:val="auto"/>
          <w:highlight w:val="none"/>
        </w:rPr>
        <w:instrText xml:space="preserve"> HYPERLINK "http://www.creditchina.gov.cn" </w:instrText>
      </w:r>
      <w:r>
        <w:rPr>
          <w:rFonts w:hint="eastAsia"/>
          <w:color w:val="auto"/>
          <w:highlight w:val="none"/>
        </w:rPr>
        <w:fldChar w:fldCharType="separate"/>
      </w:r>
      <w:r>
        <w:rPr>
          <w:rStyle w:val="38"/>
          <w:rFonts w:hint="eastAsia" w:hAnsi="宋体" w:cs="宋体"/>
          <w:color w:val="auto"/>
          <w:highlight w:val="none"/>
        </w:rPr>
        <w:t>www.creditchina.gov.cn</w:t>
      </w:r>
      <w:r>
        <w:rPr>
          <w:rStyle w:val="38"/>
          <w:rFonts w:hint="eastAsia" w:hAnsi="宋体" w:cs="宋体"/>
          <w:color w:val="auto"/>
          <w:highlight w:val="none"/>
        </w:rPr>
        <w:fldChar w:fldCharType="end"/>
      </w:r>
      <w:r>
        <w:rPr>
          <w:rFonts w:hint="eastAsia" w:ascii="宋体" w:hAnsi="宋体" w:cs="宋体"/>
          <w:color w:val="auto"/>
          <w:szCs w:val="21"/>
          <w:highlight w:val="none"/>
        </w:rPr>
        <w:t>)、中国政府采购网(</w:t>
      </w:r>
      <w:r>
        <w:rPr>
          <w:rFonts w:hint="eastAsia"/>
          <w:color w:val="auto"/>
          <w:highlight w:val="none"/>
        </w:rPr>
        <w:fldChar w:fldCharType="begin"/>
      </w:r>
      <w:r>
        <w:rPr>
          <w:color w:val="auto"/>
          <w:highlight w:val="none"/>
        </w:rPr>
        <w:instrText xml:space="preserve"> HYPERLINK "http://www.ccgp.gov.cn" </w:instrText>
      </w:r>
      <w:r>
        <w:rPr>
          <w:rFonts w:hint="eastAsia"/>
          <w:color w:val="auto"/>
          <w:highlight w:val="none"/>
        </w:rPr>
        <w:fldChar w:fldCharType="separate"/>
      </w:r>
      <w:r>
        <w:rPr>
          <w:rStyle w:val="38"/>
          <w:rFonts w:hint="eastAsia" w:hAnsi="宋体" w:cs="宋体"/>
          <w:color w:val="auto"/>
          <w:highlight w:val="none"/>
        </w:rPr>
        <w:t>www.ccgp.gov.cn</w:t>
      </w:r>
      <w:r>
        <w:rPr>
          <w:rStyle w:val="38"/>
          <w:rFonts w:hint="eastAsia" w:hAnsi="宋体" w:cs="宋体"/>
          <w:color w:val="auto"/>
          <w:highlight w:val="none"/>
        </w:rPr>
        <w:fldChar w:fldCharType="end"/>
      </w:r>
      <w:r>
        <w:rPr>
          <w:rFonts w:hint="eastAsia" w:ascii="宋体" w:hAnsi="宋体" w:cs="宋体"/>
          <w:color w:val="auto"/>
          <w:szCs w:val="21"/>
          <w:highlight w:val="none"/>
        </w:rPr>
        <w:t>)链接入口。</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税收违法黑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）响应文件未提供任一项“供应商须知前附表”资格证明文件规定的“必须提供”的文件资料的；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highlight w:val="none"/>
        </w:rPr>
      </w:pPr>
      <w:bookmarkStart w:id="96"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96"/>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采购人或者采购代理机构应当重新开展采购活动。</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pPr>
        <w:spacing w:line="360" w:lineRule="auto"/>
        <w:ind w:firstLine="420" w:firstLineChars="200"/>
        <w:rPr>
          <w:rFonts w:ascii="宋体" w:hAnsi="宋体" w:cs="宋体"/>
          <w:color w:val="auto"/>
          <w:szCs w:val="21"/>
          <w:highlight w:val="none"/>
        </w:rPr>
      </w:pPr>
      <w:bookmarkStart w:id="97" w:name="_Hlk42528882"/>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的响应文件的响应报价、商务、技术等实质性要求进行符合性审查，以确定其是否满足磋商文件的实质性要求。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w:t>
      </w:r>
      <w:r>
        <w:rPr>
          <w:rFonts w:ascii="宋体" w:hAnsi="宋体" w:cs="宋体"/>
          <w:color w:val="auto"/>
          <w:spacing w:val="-6"/>
          <w:szCs w:val="21"/>
          <w:highlight w:val="none"/>
        </w:rPr>
        <w:t>.4</w:t>
      </w:r>
      <w:r>
        <w:rPr>
          <w:rFonts w:hint="eastAsia" w:ascii="宋体" w:hAnsi="宋体" w:cs="宋体"/>
          <w:color w:val="auto"/>
          <w:szCs w:val="21"/>
          <w:highlight w:val="none"/>
        </w:rPr>
        <w:t xml:space="preserve">首次响应文件报价出现前后不一致的，按照下列规定修正：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报价文件中规定的“</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rFonts w:hint="eastAsia" w:ascii="宋体" w:hAnsi="宋体" w:cs="宋体"/>
          <w:color w:val="auto"/>
          <w:szCs w:val="21"/>
          <w:highlight w:val="none"/>
        </w:rPr>
        <w:t>非</w:t>
      </w:r>
      <w:r>
        <w:rPr>
          <w:rFonts w:hint="eastAsia" w:ascii="宋体" w:hAnsi="宋体"/>
          <w:color w:val="auto"/>
          <w:szCs w:val="21"/>
          <w:highlight w:val="none"/>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bookmarkEnd w:id="97"/>
    <w:p>
      <w:pPr>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4.磋商程序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.4</w:t>
      </w:r>
      <w:r>
        <w:rPr>
          <w:rFonts w:hint="eastAsia" w:ascii="宋体" w:hAnsi="宋体" w:cs="宋体"/>
          <w:color w:val="auto"/>
          <w:szCs w:val="21"/>
          <w:highlight w:val="none"/>
        </w:rPr>
        <w:t>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ascii="仿宋" w:hAnsi="仿宋" w:eastAsia="仿宋" w:cs="仿宋_GB2312"/>
          <w:b/>
          <w:color w:val="auto"/>
          <w:highlight w:val="none"/>
        </w:rPr>
      </w:pPr>
      <w:r>
        <w:rPr>
          <w:rFonts w:hint="eastAsia" w:ascii="宋体" w:hAnsi="宋体" w:cs="宋体"/>
          <w:color w:val="auto"/>
          <w:szCs w:val="21"/>
          <w:highlight w:val="none"/>
        </w:rPr>
        <w:t>4</w:t>
      </w:r>
      <w:r>
        <w:rPr>
          <w:rFonts w:ascii="宋体" w:hAnsi="宋体" w:cs="宋体"/>
          <w:color w:val="auto"/>
          <w:szCs w:val="21"/>
          <w:highlight w:val="none"/>
        </w:rPr>
        <w:t>.6</w:t>
      </w:r>
      <w:r>
        <w:rPr>
          <w:rFonts w:hint="eastAsia" w:ascii="宋体" w:hAnsi="宋体" w:cs="宋体"/>
          <w:color w:val="auto"/>
          <w:szCs w:val="21"/>
          <w:highlight w:val="none"/>
        </w:rPr>
        <w:t>磋商小组应对磋商过程和重要磋商内容进行记录，作为评标报告一部分，磋商小组在记录上签字确认。</w:t>
      </w:r>
      <w:r>
        <w:rPr>
          <w:rFonts w:hint="eastAsia" w:ascii="仿宋" w:hAnsi="仿宋" w:eastAsia="仿宋" w:cs="仿宋_GB2312"/>
          <w:b/>
          <w:color w:val="auto"/>
          <w:highlight w:val="none"/>
        </w:rPr>
        <w:t>主要内容包括：</w:t>
      </w:r>
    </w:p>
    <w:p>
      <w:pPr>
        <w:pStyle w:val="113"/>
        <w:spacing w:before="0"/>
        <w:ind w:firstLine="396"/>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（1）按照相关规定进行公示的，公示情况说明；</w:t>
      </w:r>
    </w:p>
    <w:p>
      <w:pPr>
        <w:pStyle w:val="113"/>
        <w:spacing w:before="0"/>
        <w:ind w:firstLine="396"/>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（2）磋商日期和地点，磋商人员名单；</w:t>
      </w:r>
    </w:p>
    <w:p>
      <w:pPr>
        <w:pStyle w:val="113"/>
        <w:spacing w:before="0"/>
        <w:ind w:firstLine="396"/>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（3）合同主要条款及价格商定情况。</w:t>
      </w:r>
    </w:p>
    <w:p>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7</w:t>
      </w:r>
      <w:r>
        <w:rPr>
          <w:rFonts w:hint="eastAsia" w:ascii="宋体" w:hAnsi="宋体" w:cs="宋体"/>
          <w:color w:val="auto"/>
          <w:szCs w:val="21"/>
          <w:highlight w:val="none"/>
        </w:rPr>
        <w:t>磋商过程中重新提交的响应文件，供应商可以在开启前补充、修改。</w:t>
      </w:r>
    </w:p>
    <w:p>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pPr>
        <w:ind w:firstLine="200"/>
        <w:rPr>
          <w:rFonts w:ascii="宋体" w:hAnsi="宋体" w:cs="宋体"/>
          <w:color w:val="auto"/>
          <w:szCs w:val="21"/>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 xml:space="preserve"> 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磋商文件能够详细列明采购标的的技术、服务要求的，磋商结束后，由磋商小组要求所有继续参加磋商的供应商在规定时间内密封提交最后报价，除本章第5</w:t>
      </w:r>
      <w:r>
        <w:rPr>
          <w:rFonts w:ascii="宋体" w:hAnsi="宋体" w:cs="宋体"/>
          <w:color w:val="auto"/>
          <w:szCs w:val="21"/>
          <w:highlight w:val="none"/>
        </w:rPr>
        <w:t>.3</w:t>
      </w:r>
      <w:r>
        <w:rPr>
          <w:rFonts w:hint="eastAsia" w:ascii="宋体" w:hAnsi="宋体" w:cs="宋体"/>
          <w:color w:val="auto"/>
          <w:szCs w:val="21"/>
          <w:highlight w:val="none"/>
        </w:rPr>
        <w:t>条外，提交最后报价的供应商不得少于3家，否则必须重新采购。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.5</w:t>
      </w:r>
      <w:r>
        <w:rPr>
          <w:rFonts w:hint="eastAsia" w:ascii="宋体" w:hAnsi="宋体" w:cs="宋体"/>
          <w:color w:val="auto"/>
          <w:szCs w:val="21"/>
          <w:highlight w:val="none"/>
        </w:rPr>
        <w:t>供应商未在规定时间内提交最后报价的，视同退出磋商。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.6</w:t>
      </w:r>
      <w:r>
        <w:rPr>
          <w:rFonts w:hint="eastAsia" w:ascii="宋体" w:hAnsi="宋体" w:cs="宋体"/>
          <w:color w:val="auto"/>
          <w:szCs w:val="21"/>
          <w:highlight w:val="none"/>
        </w:rPr>
        <w:t>磋商小组收齐某一分标最后报价后统一开启，磋商小组对最后报价进行有效性、完整性和响应程度的审查。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.7</w:t>
      </w:r>
      <w:r>
        <w:rPr>
          <w:rFonts w:hint="eastAsia" w:ascii="宋体" w:hAnsi="宋体" w:cs="宋体"/>
          <w:color w:val="auto"/>
          <w:szCs w:val="21"/>
          <w:highlight w:val="none"/>
        </w:rPr>
        <w:t>最终响应文件的报价出现前后不一致的，按照本章第3</w:t>
      </w:r>
      <w:r>
        <w:rPr>
          <w:rFonts w:ascii="宋体" w:hAnsi="宋体" w:cs="宋体"/>
          <w:color w:val="auto"/>
          <w:szCs w:val="21"/>
          <w:highlight w:val="none"/>
        </w:rPr>
        <w:t>.4</w:t>
      </w:r>
      <w:r>
        <w:rPr>
          <w:rFonts w:hint="eastAsia" w:ascii="宋体" w:hAnsi="宋体" w:cs="宋体"/>
          <w:color w:val="auto"/>
          <w:szCs w:val="21"/>
          <w:highlight w:val="none"/>
        </w:rPr>
        <w:t xml:space="preserve">条的规定修正。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.8</w:t>
      </w:r>
      <w:r>
        <w:rPr>
          <w:rFonts w:hint="eastAsia" w:ascii="宋体" w:hAnsi="宋体" w:cs="宋体"/>
          <w:color w:val="auto"/>
          <w:szCs w:val="21"/>
          <w:highlight w:val="none"/>
        </w:rPr>
        <w:t>修正后的最终报价出现下列情形的，按无效响应处理：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.9</w:t>
      </w:r>
      <w:r>
        <w:rPr>
          <w:rFonts w:hint="eastAsia" w:ascii="宋体" w:hAnsi="宋体" w:cs="宋体"/>
          <w:color w:val="auto"/>
          <w:szCs w:val="21"/>
          <w:highlight w:val="none"/>
        </w:rPr>
        <w:t>经供应商确认修正后的最后报价作为评审及签订合同的依据。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1最后报价结束后，磋商小组不得再与供应商进行任何形式的商谈。</w:t>
      </w:r>
    </w:p>
    <w:p>
      <w:pPr>
        <w:ind w:firstLine="200"/>
        <w:rPr>
          <w:rFonts w:ascii="黑体" w:hAnsi="黑体" w:eastAsia="黑体" w:cs="宋体"/>
          <w:b/>
          <w:bCs/>
          <w:color w:val="auto"/>
          <w:sz w:val="24"/>
          <w:highlight w:val="none"/>
        </w:rPr>
      </w:pPr>
      <w:r>
        <w:rPr>
          <w:rFonts w:hint="eastAsia" w:ascii="黑体" w:hAnsi="黑体" w:eastAsia="黑体" w:cs="宋体"/>
          <w:b/>
          <w:bCs/>
          <w:color w:val="auto"/>
          <w:sz w:val="24"/>
          <w:highlight w:val="none"/>
        </w:rPr>
        <w:t>6</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.1</w:t>
      </w:r>
      <w:r>
        <w:rPr>
          <w:rFonts w:hint="eastAsia" w:ascii="宋体" w:hAnsi="宋体" w:cs="宋体"/>
          <w:color w:val="auto"/>
          <w:szCs w:val="21"/>
          <w:highlight w:val="none"/>
        </w:rPr>
        <w:t>评审方法：综合评分法。</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6.5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审报告。符合本章第5</w:t>
      </w:r>
      <w:r>
        <w:rPr>
          <w:rFonts w:ascii="宋体" w:hAnsi="宋体"/>
          <w:color w:val="auto"/>
          <w:kern w:val="0"/>
          <w:szCs w:val="21"/>
          <w:highlight w:val="none"/>
        </w:rPr>
        <w:t>.3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6.6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200"/>
        <w:rPr>
          <w:rFonts w:ascii="黑体" w:hAnsi="黑体" w:eastAsia="黑体" w:cs="宋体"/>
          <w:b/>
          <w:bCs/>
          <w:color w:val="auto"/>
          <w:sz w:val="24"/>
          <w:highlight w:val="none"/>
        </w:rPr>
      </w:pPr>
      <w:r>
        <w:rPr>
          <w:rFonts w:hint="eastAsia" w:ascii="黑体" w:hAnsi="黑体" w:eastAsia="黑体" w:cs="宋体"/>
          <w:b/>
          <w:bCs/>
          <w:color w:val="auto"/>
          <w:sz w:val="24"/>
          <w:highlight w:val="none"/>
        </w:rPr>
        <w:t>7.评审复核</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7.1评审报告签署前，评审委员会要对评审结果进行复核，复核意见要体现在评审报告中。</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pPr>
        <w:spacing w:line="360" w:lineRule="auto"/>
        <w:ind w:firstLine="422" w:firstLineChars="200"/>
        <w:rPr>
          <w:rFonts w:ascii="宋体" w:hAnsi="宋体" w:cs="宋体"/>
          <w:b/>
          <w:bCs/>
          <w:color w:val="auto"/>
          <w:szCs w:val="21"/>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pPr>
        <w:ind w:firstLine="200"/>
        <w:rPr>
          <w:rFonts w:ascii="黑体" w:hAnsi="黑体" w:eastAsia="黑体" w:cs="宋体"/>
          <w:b/>
          <w:bCs/>
          <w:color w:val="auto"/>
          <w:sz w:val="24"/>
          <w:highlight w:val="none"/>
        </w:rPr>
      </w:pPr>
      <w:r>
        <w:rPr>
          <w:rFonts w:hint="eastAsia" w:ascii="黑体" w:hAnsi="黑体" w:eastAsia="黑体" w:cs="宋体"/>
          <w:b/>
          <w:bCs/>
          <w:color w:val="auto"/>
          <w:sz w:val="24"/>
          <w:highlight w:val="none"/>
        </w:rPr>
        <w:t>8</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评审标准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w:t>
      </w:r>
      <w:r>
        <w:rPr>
          <w:rFonts w:ascii="宋体" w:hAnsi="宋体"/>
          <w:bCs/>
          <w:color w:val="auto"/>
          <w:szCs w:val="21"/>
          <w:highlight w:val="none"/>
        </w:rPr>
        <w:t>.</w:t>
      </w:r>
      <w:r>
        <w:rPr>
          <w:rFonts w:hint="eastAsia" w:ascii="宋体" w:hAnsi="宋体"/>
          <w:bCs/>
          <w:color w:val="auto"/>
          <w:szCs w:val="21"/>
          <w:highlight w:val="none"/>
        </w:rPr>
        <w:t>1评审依据：磋商小组将以磋商响应文件为评审依据，对供应商的报价、技术、商务等方面内容按百分制打分。（计分方法按四舍五入取至百分位）</w:t>
      </w:r>
    </w:p>
    <w:tbl>
      <w:tblPr>
        <w:tblStyle w:val="32"/>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574"/>
        <w:gridCol w:w="613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5" w:type="dxa"/>
            <w:vAlign w:val="center"/>
          </w:tcPr>
          <w:p>
            <w:pPr>
              <w:widowControl/>
              <w:spacing w:line="364" w:lineRule="exact"/>
              <w:ind w:left="-122" w:leftChars="-58" w:right="-34" w:rightChars="-16"/>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575" w:type="dxa"/>
            <w:vAlign w:val="center"/>
          </w:tcPr>
          <w:p>
            <w:pPr>
              <w:widowControl/>
              <w:spacing w:line="364"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131" w:type="dxa"/>
            <w:vAlign w:val="center"/>
          </w:tcPr>
          <w:p>
            <w:pPr>
              <w:widowControl/>
              <w:spacing w:line="364"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851" w:type="dxa"/>
            <w:vAlign w:val="center"/>
          </w:tcPr>
          <w:p>
            <w:pPr>
              <w:widowControl/>
              <w:spacing w:line="364"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5" w:type="dxa"/>
            <w:vAlign w:val="center"/>
          </w:tcPr>
          <w:p>
            <w:pPr>
              <w:widowControl/>
              <w:spacing w:line="364"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575" w:type="dxa"/>
            <w:vAlign w:val="center"/>
          </w:tcPr>
          <w:p>
            <w:pPr>
              <w:widowControl/>
              <w:spacing w:line="364"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131" w:type="dxa"/>
          </w:tcPr>
          <w:p>
            <w:pPr>
              <w:spacing w:line="364" w:lineRule="exact"/>
              <w:ind w:firstLine="384" w:firstLineChars="183"/>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pPr>
              <w:pStyle w:val="21"/>
              <w:spacing w:line="364" w:lineRule="exact"/>
              <w:ind w:firstLine="384" w:firstLineChars="183"/>
              <w:rPr>
                <w:rFonts w:hAnsi="宋体" w:cs="宋体"/>
                <w:color w:val="auto"/>
                <w:sz w:val="21"/>
                <w:highlight w:val="none"/>
              </w:rPr>
            </w:pPr>
            <w:r>
              <w:rPr>
                <w:rFonts w:hint="eastAsia" w:hAnsi="宋体" w:cs="宋体"/>
                <w:bCs/>
                <w:color w:val="auto"/>
                <w:kern w:val="2"/>
                <w:sz w:val="21"/>
                <w:highlight w:val="none"/>
              </w:rPr>
              <w:t>2.政府采购政策性扣除计算方法</w:t>
            </w:r>
          </w:p>
          <w:p>
            <w:pPr>
              <w:spacing w:line="364"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（1）按照《政府采购促进中小企业发展管理办法》（财库〔2020〕46号）的规定，响应文件中提供《中小企业声明函》，且服务全部由符合政策要求的小型、微型企业承接的，对其最后报价给予10%的扣除。</w:t>
            </w:r>
          </w:p>
          <w:p>
            <w:pPr>
              <w:spacing w:line="364"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4"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4"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（4）政策性扣除计算方法。</w:t>
            </w:r>
          </w:p>
          <w:p>
            <w:pPr>
              <w:spacing w:line="364"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供应商被评定为监狱企业或者残疾人福利性单位或者其服务全部由符合政策要求的小型、微型企业承接的，该供应商的最后报价给予10%的扣除，扣除后的价格为评审价，即评审价=最后报价×（1-10%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3%的扣除，用扣除后的价格参加评审，扣除后的价格为评审价，即评审价=最后报价×（1-3%）。</w:t>
            </w:r>
          </w:p>
          <w:p>
            <w:pPr>
              <w:snapToGrid w:val="0"/>
              <w:spacing w:line="364"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（5）除上述情况外，评审价＝最后报价。</w:t>
            </w:r>
          </w:p>
          <w:p>
            <w:pPr>
              <w:pStyle w:val="21"/>
              <w:spacing w:line="364" w:lineRule="exact"/>
              <w:ind w:firstLine="315" w:firstLineChars="150"/>
              <w:rPr>
                <w:rFonts w:hAnsi="宋体" w:cs="宋体"/>
                <w:bCs/>
                <w:color w:val="auto"/>
                <w:kern w:val="2"/>
                <w:sz w:val="21"/>
                <w:highlight w:val="none"/>
              </w:rPr>
            </w:pPr>
            <w:r>
              <w:rPr>
                <w:rFonts w:hint="eastAsia" w:hAnsi="宋体" w:cs="宋体"/>
                <w:bCs/>
                <w:color w:val="auto"/>
                <w:kern w:val="2"/>
                <w:sz w:val="21"/>
                <w:highlight w:val="none"/>
              </w:rPr>
              <w:t>（6）以进入比较与评价环节的最低的评审价为基准价，基准价得分为</w:t>
            </w:r>
            <w:r>
              <w:rPr>
                <w:rFonts w:hint="eastAsia" w:hAnsi="宋体" w:cs="宋体"/>
                <w:bCs/>
                <w:color w:val="auto"/>
                <w:kern w:val="2"/>
                <w:sz w:val="21"/>
                <w:highlight w:val="none"/>
                <w:u w:val="single"/>
              </w:rPr>
              <w:t>10分</w:t>
            </w:r>
            <w:r>
              <w:rPr>
                <w:rFonts w:hint="eastAsia" w:hAnsi="宋体" w:cs="宋体"/>
                <w:bCs/>
                <w:color w:val="auto"/>
                <w:kern w:val="2"/>
                <w:sz w:val="21"/>
                <w:highlight w:val="none"/>
              </w:rPr>
              <w:t>。</w:t>
            </w:r>
          </w:p>
          <w:p>
            <w:pPr>
              <w:pStyle w:val="21"/>
              <w:spacing w:line="364" w:lineRule="exact"/>
              <w:ind w:firstLine="315" w:firstLineChars="150"/>
              <w:rPr>
                <w:rFonts w:hAnsi="宋体" w:cs="宋体"/>
                <w:bCs/>
                <w:color w:val="auto"/>
                <w:kern w:val="2"/>
                <w:sz w:val="21"/>
                <w:highlight w:val="none"/>
              </w:rPr>
            </w:pPr>
            <w:r>
              <w:rPr>
                <w:rFonts w:hint="eastAsia" w:hAnsi="宋体" w:cs="宋体"/>
                <w:bCs/>
                <w:color w:val="auto"/>
                <w:kern w:val="2"/>
                <w:sz w:val="21"/>
                <w:highlight w:val="none"/>
              </w:rPr>
              <w:t>（7）价格分计算公式：</w:t>
            </w:r>
          </w:p>
          <w:p>
            <w:pPr>
              <w:pStyle w:val="21"/>
              <w:spacing w:line="364" w:lineRule="exact"/>
              <w:ind w:firstLine="315" w:firstLineChars="150"/>
              <w:rPr>
                <w:rFonts w:hAnsi="宋体" w:cs="宋体"/>
                <w:bCs/>
                <w:color w:val="auto"/>
                <w:sz w:val="21"/>
                <w:highlight w:val="none"/>
              </w:rPr>
            </w:pPr>
            <w:r>
              <w:rPr>
                <w:rFonts w:hint="eastAsia" w:hAnsi="宋体" w:cs="宋体"/>
                <w:bCs/>
                <w:color w:val="auto"/>
                <w:kern w:val="2"/>
                <w:sz w:val="21"/>
                <w:highlight w:val="none"/>
              </w:rPr>
              <w:t>报价得分=（基准价/</w:t>
            </w:r>
            <w:r>
              <w:rPr>
                <w:rFonts w:hint="eastAsia" w:hAnsi="宋体" w:cs="宋体"/>
                <w:color w:val="auto"/>
                <w:sz w:val="21"/>
                <w:highlight w:val="none"/>
              </w:rPr>
              <w:t>评审价</w:t>
            </w:r>
            <w:r>
              <w:rPr>
                <w:rFonts w:hint="eastAsia" w:hAnsi="宋体" w:cs="宋体"/>
                <w:bCs/>
                <w:color w:val="auto"/>
                <w:kern w:val="2"/>
                <w:sz w:val="21"/>
                <w:highlight w:val="none"/>
              </w:rPr>
              <w:t>）×</w:t>
            </w:r>
            <w:r>
              <w:rPr>
                <w:rFonts w:hint="eastAsia" w:hAnsi="宋体" w:cs="宋体"/>
                <w:bCs/>
                <w:color w:val="auto"/>
                <w:kern w:val="2"/>
                <w:sz w:val="21"/>
                <w:highlight w:val="none"/>
                <w:u w:val="single"/>
              </w:rPr>
              <w:t>10分</w:t>
            </w:r>
          </w:p>
        </w:tc>
        <w:tc>
          <w:tcPr>
            <w:tcW w:w="851" w:type="dxa"/>
            <w:vAlign w:val="center"/>
          </w:tcPr>
          <w:p>
            <w:pPr>
              <w:widowControl/>
              <w:spacing w:line="364"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25" w:type="dxa"/>
            <w:vAlign w:val="center"/>
          </w:tcPr>
          <w:p>
            <w:pPr>
              <w:widowControl/>
              <w:spacing w:line="364"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575" w:type="dxa"/>
            <w:vAlign w:val="center"/>
          </w:tcPr>
          <w:p>
            <w:pPr>
              <w:widowControl/>
              <w:spacing w:line="364"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技术分</w:t>
            </w:r>
          </w:p>
        </w:tc>
        <w:tc>
          <w:tcPr>
            <w:tcW w:w="6136" w:type="dxa"/>
            <w:vAlign w:val="center"/>
          </w:tcPr>
          <w:p>
            <w:pPr>
              <w:widowControl/>
              <w:spacing w:line="364"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评审因素</w:t>
            </w:r>
          </w:p>
        </w:tc>
        <w:tc>
          <w:tcPr>
            <w:tcW w:w="846" w:type="dxa"/>
            <w:vAlign w:val="center"/>
          </w:tcPr>
          <w:p>
            <w:pPr>
              <w:widowControl/>
              <w:spacing w:line="364"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625" w:type="dxa"/>
            <w:vAlign w:val="center"/>
          </w:tcPr>
          <w:p>
            <w:pPr>
              <w:adjustRightInd w:val="0"/>
              <w:spacing w:line="364"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2.1</w:t>
            </w:r>
          </w:p>
        </w:tc>
        <w:tc>
          <w:tcPr>
            <w:tcW w:w="1575" w:type="dxa"/>
            <w:vAlign w:val="center"/>
          </w:tcPr>
          <w:p>
            <w:pPr>
              <w:spacing w:line="364" w:lineRule="exact"/>
              <w:jc w:val="center"/>
              <w:rPr>
                <w:rFonts w:ascii="宋体" w:hAnsi="宋体" w:cs="宋体"/>
                <w:bCs/>
                <w:color w:val="auto"/>
                <w:szCs w:val="21"/>
                <w:highlight w:val="none"/>
              </w:rPr>
            </w:pPr>
            <w:r>
              <w:rPr>
                <w:rFonts w:hint="eastAsia" w:asciiTheme="minorEastAsia" w:hAnsiTheme="minorEastAsia" w:eastAsiaTheme="minorEastAsia" w:cstheme="minorEastAsia"/>
                <w:bCs/>
                <w:color w:val="auto"/>
                <w:szCs w:val="21"/>
                <w:highlight w:val="none"/>
              </w:rPr>
              <w:t>对本项目的理解和总体思路</w:t>
            </w:r>
          </w:p>
        </w:tc>
        <w:tc>
          <w:tcPr>
            <w:tcW w:w="6131" w:type="dxa"/>
          </w:tcPr>
          <w:p>
            <w:pPr>
              <w:spacing w:line="360" w:lineRule="exact"/>
              <w:rPr>
                <w:rFonts w:ascii="宋体" w:hAnsi="宋体" w:cs="宋体"/>
                <w:color w:val="auto"/>
                <w:highlight w:val="none"/>
              </w:rPr>
            </w:pPr>
            <w:r>
              <w:rPr>
                <w:rFonts w:hint="eastAsia" w:ascii="宋体" w:hAnsi="宋体" w:cs="宋体"/>
                <w:color w:val="auto"/>
                <w:highlight w:val="none"/>
              </w:rPr>
              <w:t>一档（2分）：对本项目的理解和所在地的建设条件和项目总体设计思路均有阐述；</w:t>
            </w:r>
          </w:p>
          <w:p>
            <w:pPr>
              <w:spacing w:line="360" w:lineRule="exact"/>
              <w:rPr>
                <w:rFonts w:ascii="宋体" w:hAnsi="宋体" w:cs="宋体"/>
                <w:color w:val="auto"/>
                <w:highlight w:val="none"/>
              </w:rPr>
            </w:pPr>
            <w:r>
              <w:rPr>
                <w:rFonts w:hint="eastAsia" w:ascii="宋体" w:hAnsi="宋体" w:cs="宋体"/>
                <w:color w:val="auto"/>
                <w:highlight w:val="none"/>
              </w:rPr>
              <w:t>二档（4分）：对本项目的理解和对所在地的建设条件阐述基本准确、全面、透彻，总体设计基本思路清晰、逻辑严密，切合项目特点；</w:t>
            </w:r>
          </w:p>
          <w:p>
            <w:pPr>
              <w:spacing w:line="364" w:lineRule="exact"/>
              <w:rPr>
                <w:rFonts w:asciiTheme="minorEastAsia" w:hAnsiTheme="minorEastAsia" w:eastAsiaTheme="minorEastAsia" w:cstheme="minorEastAsia"/>
                <w:color w:val="auto"/>
                <w:szCs w:val="21"/>
                <w:highlight w:val="none"/>
              </w:rPr>
            </w:pPr>
            <w:r>
              <w:rPr>
                <w:rFonts w:hint="eastAsia" w:ascii="宋体" w:hAnsi="宋体" w:cs="宋体"/>
                <w:color w:val="auto"/>
                <w:highlight w:val="none"/>
              </w:rPr>
              <w:t>三档（6分）：对本项目的理解和对所在地的建设条件阐述准确、全面、透彻，总体设计思路清晰、逻辑严密，切合项目特点。</w:t>
            </w:r>
          </w:p>
        </w:tc>
        <w:tc>
          <w:tcPr>
            <w:tcW w:w="851" w:type="dxa"/>
            <w:vAlign w:val="center"/>
          </w:tcPr>
          <w:p>
            <w:pPr>
              <w:spacing w:line="364"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625" w:type="dxa"/>
            <w:vAlign w:val="center"/>
          </w:tcPr>
          <w:p>
            <w:pPr>
              <w:adjustRightInd w:val="0"/>
              <w:spacing w:line="364"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2.2</w:t>
            </w:r>
          </w:p>
        </w:tc>
        <w:tc>
          <w:tcPr>
            <w:tcW w:w="1575" w:type="dxa"/>
            <w:vAlign w:val="center"/>
          </w:tcPr>
          <w:p>
            <w:pPr>
              <w:spacing w:line="364" w:lineRule="exact"/>
              <w:jc w:val="center"/>
              <w:rPr>
                <w:rFonts w:ascii="宋体" w:hAnsi="宋体" w:cs="宋体"/>
                <w:bCs/>
                <w:color w:val="auto"/>
                <w:szCs w:val="21"/>
                <w:highlight w:val="none"/>
              </w:rPr>
            </w:pPr>
            <w:r>
              <w:rPr>
                <w:rFonts w:hint="eastAsia" w:asciiTheme="minorEastAsia" w:hAnsiTheme="minorEastAsia" w:eastAsiaTheme="minorEastAsia" w:cstheme="minorEastAsia"/>
                <w:bCs/>
                <w:color w:val="auto"/>
                <w:szCs w:val="21"/>
                <w:highlight w:val="none"/>
              </w:rPr>
              <w:t>对项目研究的特点、关键技术问题的认识及其对策措施</w:t>
            </w:r>
          </w:p>
        </w:tc>
        <w:tc>
          <w:tcPr>
            <w:tcW w:w="6131" w:type="dxa"/>
          </w:tcPr>
          <w:p>
            <w:pPr>
              <w:spacing w:line="360" w:lineRule="exact"/>
              <w:rPr>
                <w:rFonts w:ascii="宋体" w:hAnsi="宋体" w:cs="宋体"/>
                <w:color w:val="auto"/>
                <w:highlight w:val="none"/>
              </w:rPr>
            </w:pPr>
            <w:r>
              <w:rPr>
                <w:rFonts w:hint="eastAsia" w:ascii="宋体" w:hAnsi="宋体" w:cs="宋体"/>
                <w:color w:val="auto"/>
                <w:highlight w:val="none"/>
              </w:rPr>
              <w:t>一档（2分）：对招标项目的设计特点有研究、掌握，对项目中关键技术问题有分析，有相应的对策措施；</w:t>
            </w:r>
          </w:p>
          <w:p>
            <w:pPr>
              <w:spacing w:line="360" w:lineRule="exact"/>
              <w:rPr>
                <w:rFonts w:ascii="宋体" w:hAnsi="宋体" w:cs="宋体"/>
                <w:color w:val="auto"/>
                <w:highlight w:val="none"/>
              </w:rPr>
            </w:pPr>
            <w:r>
              <w:rPr>
                <w:rFonts w:hint="eastAsia" w:ascii="宋体" w:hAnsi="宋体" w:cs="宋体"/>
                <w:color w:val="auto"/>
                <w:highlight w:val="none"/>
              </w:rPr>
              <w:t>二档（4分）：对招标项目的设计特点研究、掌握较全面透彻，对项目中关键技术问题的分析论证较充分，对策措施针对性较强，合理可行；</w:t>
            </w:r>
          </w:p>
          <w:p>
            <w:pPr>
              <w:widowControl/>
              <w:spacing w:line="259" w:lineRule="auto"/>
              <w:ind w:firstLine="420" w:firstLineChars="200"/>
              <w:jc w:val="left"/>
              <w:rPr>
                <w:rFonts w:eastAsia="黑体"/>
                <w:color w:val="auto"/>
                <w:highlight w:val="none"/>
              </w:rPr>
            </w:pPr>
            <w:r>
              <w:rPr>
                <w:rFonts w:hint="eastAsia" w:ascii="宋体" w:hAnsi="宋体" w:cs="宋体"/>
                <w:color w:val="auto"/>
                <w:highlight w:val="none"/>
              </w:rPr>
              <w:t>三档（6分）：对招标项目的设计特点研究、掌握全面透彻，对项目中关键技术问题的分析论证充分，对策措施针对性强，合理可行。</w:t>
            </w:r>
          </w:p>
        </w:tc>
        <w:tc>
          <w:tcPr>
            <w:tcW w:w="851" w:type="dxa"/>
            <w:vAlign w:val="center"/>
          </w:tcPr>
          <w:p>
            <w:pPr>
              <w:spacing w:line="364"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0" w:hRule="atLeast"/>
          <w:jc w:val="center"/>
        </w:trPr>
        <w:tc>
          <w:tcPr>
            <w:tcW w:w="625" w:type="dxa"/>
            <w:vAlign w:val="center"/>
          </w:tcPr>
          <w:p>
            <w:pPr>
              <w:adjustRightInd w:val="0"/>
              <w:spacing w:line="364"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2.3</w:t>
            </w:r>
          </w:p>
        </w:tc>
        <w:tc>
          <w:tcPr>
            <w:tcW w:w="1575" w:type="dxa"/>
            <w:vAlign w:val="center"/>
          </w:tcPr>
          <w:p>
            <w:pPr>
              <w:spacing w:line="364" w:lineRule="exact"/>
              <w:jc w:val="center"/>
              <w:rPr>
                <w:rFonts w:ascii="宋体" w:hAnsi="宋体" w:cs="宋体"/>
                <w:bCs/>
                <w:color w:val="auto"/>
                <w:szCs w:val="21"/>
                <w:highlight w:val="none"/>
              </w:rPr>
            </w:pPr>
            <w:r>
              <w:rPr>
                <w:rFonts w:hint="eastAsia" w:ascii="宋体" w:hAnsi="宋体" w:cs="宋体"/>
                <w:bCs/>
                <w:color w:val="auto"/>
                <w:szCs w:val="21"/>
                <w:highlight w:val="none"/>
              </w:rPr>
              <w:t>总体技术方案说明和必要的图纸</w:t>
            </w:r>
          </w:p>
        </w:tc>
        <w:tc>
          <w:tcPr>
            <w:tcW w:w="6131" w:type="dxa"/>
          </w:tcPr>
          <w:p>
            <w:pPr>
              <w:spacing w:line="360" w:lineRule="exact"/>
              <w:rPr>
                <w:rFonts w:ascii="宋体" w:hAnsi="宋体" w:cs="宋体"/>
                <w:color w:val="auto"/>
                <w:highlight w:val="none"/>
              </w:rPr>
            </w:pPr>
            <w:r>
              <w:rPr>
                <w:rFonts w:hint="eastAsia" w:ascii="宋体" w:hAnsi="宋体" w:cs="宋体"/>
                <w:color w:val="auto"/>
                <w:highlight w:val="none"/>
              </w:rPr>
              <w:t>1、在梳理北海港铁山港的开发建设条件（包括风、潮流、波浪、海床底质和泥沙回淤、工程地质等）的基础上，论述北海港铁山港当前到港船舶的通航情况，包括船舶密度、船舶调度、进出港航道和锚地的使用情况、通航安全情况等。（满分3分）</w:t>
            </w:r>
          </w:p>
          <w:p>
            <w:pPr>
              <w:spacing w:line="360" w:lineRule="exact"/>
              <w:rPr>
                <w:rFonts w:ascii="宋体" w:hAnsi="宋体" w:cs="宋体"/>
                <w:color w:val="auto"/>
                <w:highlight w:val="none"/>
              </w:rPr>
            </w:pPr>
            <w:r>
              <w:rPr>
                <w:rFonts w:hint="eastAsia" w:ascii="宋体" w:hAnsi="宋体" w:cs="宋体"/>
                <w:color w:val="auto"/>
                <w:highlight w:val="none"/>
              </w:rPr>
              <w:t>一档（1分）：供应商对以上内容有一定的理解及分析。</w:t>
            </w:r>
          </w:p>
          <w:p>
            <w:pPr>
              <w:spacing w:line="360" w:lineRule="exact"/>
              <w:rPr>
                <w:rFonts w:ascii="宋体" w:hAnsi="宋体" w:cs="宋体"/>
                <w:color w:val="auto"/>
                <w:highlight w:val="none"/>
              </w:rPr>
            </w:pPr>
            <w:r>
              <w:rPr>
                <w:rFonts w:hint="eastAsia" w:ascii="宋体" w:hAnsi="宋体" w:cs="宋体"/>
                <w:color w:val="auto"/>
                <w:highlight w:val="none"/>
              </w:rPr>
              <w:t>二档（2分）：供应商对以上内容较为深入的理解及分析；</w:t>
            </w:r>
          </w:p>
          <w:p>
            <w:pPr>
              <w:spacing w:line="360" w:lineRule="exact"/>
              <w:rPr>
                <w:rFonts w:ascii="宋体" w:hAnsi="宋体" w:cs="宋体"/>
                <w:color w:val="auto"/>
                <w:highlight w:val="none"/>
              </w:rPr>
            </w:pPr>
            <w:r>
              <w:rPr>
                <w:rFonts w:hint="eastAsia" w:ascii="宋体" w:hAnsi="宋体" w:cs="宋体"/>
                <w:color w:val="auto"/>
                <w:highlight w:val="none"/>
              </w:rPr>
              <w:t>三档（3分）：供应商对以上内容有全面、透彻的理解及分析；</w:t>
            </w:r>
          </w:p>
          <w:p>
            <w:pPr>
              <w:spacing w:line="360" w:lineRule="exact"/>
              <w:rPr>
                <w:rFonts w:ascii="宋体" w:hAnsi="宋体" w:cs="宋体"/>
                <w:color w:val="auto"/>
                <w:highlight w:val="none"/>
              </w:rPr>
            </w:pPr>
            <w:r>
              <w:rPr>
                <w:rFonts w:hint="eastAsia" w:ascii="宋体" w:hAnsi="宋体" w:cs="宋体"/>
                <w:color w:val="auto"/>
                <w:highlight w:val="none"/>
              </w:rPr>
              <w:t>2、结合现有资料对北海港铁山港LNG船及危险品船锚地布置方案研究，论述锚地布置的合理性，分析锚位布置方案，并附锚地总体布置方案图。（满分3分）</w:t>
            </w:r>
          </w:p>
          <w:p>
            <w:pPr>
              <w:spacing w:line="360" w:lineRule="exact"/>
              <w:rPr>
                <w:rFonts w:ascii="宋体" w:hAnsi="宋体" w:cs="宋体"/>
                <w:color w:val="auto"/>
                <w:highlight w:val="none"/>
              </w:rPr>
            </w:pPr>
            <w:r>
              <w:rPr>
                <w:rFonts w:hint="eastAsia" w:ascii="宋体" w:hAnsi="宋体" w:cs="宋体"/>
                <w:color w:val="auto"/>
                <w:highlight w:val="none"/>
              </w:rPr>
              <w:t>一档（1分）：供应商对以上内容有一定的理解及分析。</w:t>
            </w:r>
          </w:p>
          <w:p>
            <w:pPr>
              <w:spacing w:line="360" w:lineRule="exact"/>
              <w:rPr>
                <w:rFonts w:ascii="宋体" w:hAnsi="宋体" w:cs="宋体"/>
                <w:color w:val="auto"/>
                <w:highlight w:val="none"/>
              </w:rPr>
            </w:pPr>
            <w:r>
              <w:rPr>
                <w:rFonts w:hint="eastAsia" w:ascii="宋体" w:hAnsi="宋体" w:cs="宋体"/>
                <w:color w:val="auto"/>
                <w:highlight w:val="none"/>
              </w:rPr>
              <w:t>二档（2分）：供应商对以上内容较为深入的理解及分析；</w:t>
            </w:r>
          </w:p>
          <w:p>
            <w:pPr>
              <w:spacing w:line="360" w:lineRule="exact"/>
              <w:rPr>
                <w:rFonts w:ascii="宋体" w:hAnsi="宋体" w:cs="宋体"/>
                <w:color w:val="auto"/>
                <w:highlight w:val="none"/>
              </w:rPr>
            </w:pPr>
            <w:r>
              <w:rPr>
                <w:rFonts w:hint="eastAsia" w:ascii="宋体" w:hAnsi="宋体" w:cs="宋体"/>
                <w:color w:val="auto"/>
                <w:highlight w:val="none"/>
              </w:rPr>
              <w:t>三档（3分）：供应商对以上内容有全面、透彻的理解及分析；</w:t>
            </w:r>
          </w:p>
          <w:p>
            <w:pPr>
              <w:spacing w:line="360" w:lineRule="exact"/>
              <w:rPr>
                <w:rFonts w:ascii="宋体" w:hAnsi="宋体" w:cs="宋体"/>
                <w:color w:val="auto"/>
                <w:highlight w:val="none"/>
              </w:rPr>
            </w:pPr>
            <w:r>
              <w:rPr>
                <w:rFonts w:hint="eastAsia" w:ascii="宋体" w:hAnsi="宋体" w:cs="宋体"/>
                <w:color w:val="auto"/>
                <w:highlight w:val="none"/>
              </w:rPr>
              <w:t>3、根据本工程的地质和风、浪、水流等自然条件及设计代表船型，计算各方案锚地的设计水深，确定锚地设计底高程。（满分4分）</w:t>
            </w:r>
          </w:p>
          <w:p>
            <w:pPr>
              <w:spacing w:line="360" w:lineRule="exact"/>
              <w:rPr>
                <w:rFonts w:ascii="宋体" w:hAnsi="宋体" w:cs="宋体"/>
                <w:color w:val="auto"/>
                <w:highlight w:val="none"/>
              </w:rPr>
            </w:pPr>
            <w:r>
              <w:rPr>
                <w:rFonts w:hint="eastAsia" w:ascii="宋体" w:hAnsi="宋体" w:cs="宋体"/>
                <w:color w:val="auto"/>
                <w:highlight w:val="none"/>
              </w:rPr>
              <w:t>一档（1.5分）：供应商对以上内容有一定的理解及分析。</w:t>
            </w:r>
          </w:p>
          <w:p>
            <w:pPr>
              <w:spacing w:line="360" w:lineRule="exact"/>
              <w:rPr>
                <w:rFonts w:ascii="宋体" w:hAnsi="宋体" w:cs="宋体"/>
                <w:color w:val="auto"/>
                <w:highlight w:val="none"/>
              </w:rPr>
            </w:pPr>
            <w:r>
              <w:rPr>
                <w:rFonts w:hint="eastAsia" w:ascii="宋体" w:hAnsi="宋体" w:cs="宋体"/>
                <w:color w:val="auto"/>
                <w:highlight w:val="none"/>
              </w:rPr>
              <w:t>二档（2.5分）：供应商对以上内容较为深入的理解及分析；</w:t>
            </w:r>
          </w:p>
          <w:p>
            <w:pPr>
              <w:spacing w:line="360" w:lineRule="exact"/>
              <w:rPr>
                <w:rFonts w:ascii="宋体" w:hAnsi="宋体" w:cs="宋体"/>
                <w:color w:val="auto"/>
                <w:highlight w:val="none"/>
              </w:rPr>
            </w:pPr>
            <w:r>
              <w:rPr>
                <w:rFonts w:hint="eastAsia" w:ascii="宋体" w:hAnsi="宋体" w:cs="宋体"/>
                <w:color w:val="auto"/>
                <w:highlight w:val="none"/>
              </w:rPr>
              <w:t>三档（4分）：供应商对以上内容有全面、透彻的理解及分析；</w:t>
            </w:r>
          </w:p>
          <w:p>
            <w:pPr>
              <w:spacing w:line="360" w:lineRule="exact"/>
              <w:rPr>
                <w:rFonts w:ascii="宋体" w:hAnsi="宋体" w:cs="宋体"/>
                <w:color w:val="auto"/>
                <w:highlight w:val="none"/>
              </w:rPr>
            </w:pPr>
            <w:r>
              <w:rPr>
                <w:rFonts w:hint="eastAsia" w:ascii="宋体" w:hAnsi="宋体" w:cs="宋体"/>
                <w:color w:val="auto"/>
                <w:highlight w:val="none"/>
              </w:rPr>
              <w:t>4、北海港铁山港LNG船及危险品船锚地建成后潮流、泥沙分析，包括工程海域流场特征分析、工程建设引起的流态流速变化分析、纳潮量计算分析、锚地水流分析、泥沙回淤计算等。（满分5分）</w:t>
            </w:r>
          </w:p>
          <w:p>
            <w:pPr>
              <w:spacing w:line="360" w:lineRule="exact"/>
              <w:rPr>
                <w:rFonts w:ascii="宋体" w:hAnsi="宋体" w:cs="宋体"/>
                <w:color w:val="auto"/>
                <w:highlight w:val="none"/>
              </w:rPr>
            </w:pPr>
            <w:r>
              <w:rPr>
                <w:rFonts w:hint="eastAsia" w:ascii="宋体" w:hAnsi="宋体" w:cs="宋体"/>
                <w:color w:val="auto"/>
                <w:highlight w:val="none"/>
              </w:rPr>
              <w:t>一档（2分）：供应商对以上内容有一定的理解及分析。</w:t>
            </w:r>
          </w:p>
          <w:p>
            <w:pPr>
              <w:spacing w:line="360" w:lineRule="exact"/>
              <w:rPr>
                <w:rFonts w:ascii="宋体" w:hAnsi="宋体" w:cs="宋体"/>
                <w:color w:val="auto"/>
                <w:highlight w:val="none"/>
              </w:rPr>
            </w:pPr>
            <w:r>
              <w:rPr>
                <w:rFonts w:hint="eastAsia" w:ascii="宋体" w:hAnsi="宋体" w:cs="宋体"/>
                <w:color w:val="auto"/>
                <w:highlight w:val="none"/>
              </w:rPr>
              <w:t>二档（4分）：供应商对以上内容较为深入的理解及分析；</w:t>
            </w:r>
          </w:p>
          <w:p>
            <w:pPr>
              <w:spacing w:line="360" w:lineRule="exact"/>
              <w:rPr>
                <w:rFonts w:ascii="宋体" w:hAnsi="宋体" w:cs="宋体"/>
                <w:color w:val="auto"/>
                <w:szCs w:val="21"/>
                <w:highlight w:val="none"/>
              </w:rPr>
            </w:pPr>
            <w:r>
              <w:rPr>
                <w:rFonts w:hint="eastAsia" w:ascii="宋体" w:hAnsi="宋体" w:cs="宋体"/>
                <w:color w:val="auto"/>
                <w:highlight w:val="none"/>
              </w:rPr>
              <w:t>三档（5分）：供应商对以上内容有全面、透彻的理解及分析；</w:t>
            </w:r>
          </w:p>
        </w:tc>
        <w:tc>
          <w:tcPr>
            <w:tcW w:w="851" w:type="dxa"/>
            <w:vAlign w:val="center"/>
          </w:tcPr>
          <w:p>
            <w:pPr>
              <w:spacing w:line="364"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jc w:val="center"/>
        </w:trPr>
        <w:tc>
          <w:tcPr>
            <w:tcW w:w="625" w:type="dxa"/>
            <w:vAlign w:val="center"/>
          </w:tcPr>
          <w:p>
            <w:pPr>
              <w:adjustRightInd w:val="0"/>
              <w:spacing w:line="364"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2.4</w:t>
            </w:r>
          </w:p>
        </w:tc>
        <w:tc>
          <w:tcPr>
            <w:tcW w:w="1575" w:type="dxa"/>
            <w:vAlign w:val="center"/>
          </w:tcPr>
          <w:p>
            <w:pPr>
              <w:spacing w:line="364" w:lineRule="exact"/>
              <w:jc w:val="center"/>
              <w:rPr>
                <w:rFonts w:ascii="宋体" w:hAnsi="宋体" w:cs="宋体"/>
                <w:bCs/>
                <w:color w:val="auto"/>
                <w:szCs w:val="21"/>
                <w:highlight w:val="none"/>
              </w:rPr>
            </w:pPr>
            <w:r>
              <w:rPr>
                <w:rFonts w:hint="eastAsia" w:ascii="宋体" w:hAnsi="宋体" w:cs="宋体"/>
                <w:bCs/>
                <w:color w:val="auto"/>
                <w:szCs w:val="21"/>
                <w:highlight w:val="none"/>
              </w:rPr>
              <w:t>项目研究</w:t>
            </w:r>
          </w:p>
          <w:p>
            <w:pPr>
              <w:spacing w:line="364" w:lineRule="exact"/>
              <w:jc w:val="center"/>
              <w:rPr>
                <w:rFonts w:ascii="宋体" w:hAnsi="宋体" w:cs="宋体"/>
                <w:bCs/>
                <w:color w:val="auto"/>
                <w:szCs w:val="21"/>
                <w:highlight w:val="none"/>
              </w:rPr>
            </w:pPr>
            <w:r>
              <w:rPr>
                <w:rFonts w:hint="eastAsia" w:ascii="宋体" w:hAnsi="宋体" w:cs="宋体"/>
                <w:bCs/>
                <w:color w:val="auto"/>
                <w:szCs w:val="21"/>
                <w:highlight w:val="none"/>
              </w:rPr>
              <w:t>（含专题）</w:t>
            </w:r>
          </w:p>
          <w:p>
            <w:pPr>
              <w:spacing w:line="364" w:lineRule="exact"/>
              <w:jc w:val="center"/>
              <w:rPr>
                <w:rFonts w:ascii="宋体" w:hAnsi="宋体" w:cs="宋体"/>
                <w:bCs/>
                <w:color w:val="auto"/>
                <w:szCs w:val="21"/>
                <w:highlight w:val="none"/>
              </w:rPr>
            </w:pPr>
            <w:r>
              <w:rPr>
                <w:rFonts w:hint="eastAsia" w:ascii="宋体" w:hAnsi="宋体" w:cs="宋体"/>
                <w:bCs/>
                <w:color w:val="auto"/>
                <w:szCs w:val="21"/>
                <w:highlight w:val="none"/>
              </w:rPr>
              <w:t>工作内容及计划安排</w:t>
            </w:r>
          </w:p>
        </w:tc>
        <w:tc>
          <w:tcPr>
            <w:tcW w:w="6131" w:type="dxa"/>
          </w:tcPr>
          <w:p>
            <w:pPr>
              <w:spacing w:line="360" w:lineRule="exact"/>
              <w:rPr>
                <w:rFonts w:ascii="宋体" w:hAnsi="宋体" w:cs="宋体"/>
                <w:color w:val="auto"/>
                <w:highlight w:val="none"/>
              </w:rPr>
            </w:pPr>
            <w:r>
              <w:rPr>
                <w:rFonts w:hint="eastAsia" w:ascii="宋体" w:hAnsi="宋体" w:cs="宋体"/>
                <w:color w:val="auto"/>
                <w:highlight w:val="none"/>
              </w:rPr>
              <w:t xml:space="preserve">一档（2分）：工作内容及编制的进度计划工期安排一般，整个工期基本保障，总体评价为一般； </w:t>
            </w:r>
          </w:p>
          <w:p>
            <w:pPr>
              <w:spacing w:line="360" w:lineRule="exact"/>
              <w:rPr>
                <w:rFonts w:ascii="宋体" w:hAnsi="宋体" w:cs="宋体"/>
                <w:color w:val="auto"/>
                <w:highlight w:val="none"/>
              </w:rPr>
            </w:pPr>
            <w:r>
              <w:rPr>
                <w:rFonts w:hint="eastAsia" w:ascii="宋体" w:hAnsi="宋体" w:cs="宋体"/>
                <w:color w:val="auto"/>
                <w:highlight w:val="none"/>
              </w:rPr>
              <w:t xml:space="preserve">二档（4分）：工作内容及编制的进度计划可操作性较强，制定有具体的进度控制措施，工期安排较合理，各阶段工作安排得当，整个工期保障可行，总体评价为良； </w:t>
            </w:r>
          </w:p>
          <w:p>
            <w:pPr>
              <w:spacing w:line="364" w:lineRule="exact"/>
              <w:rPr>
                <w:color w:val="auto"/>
                <w:szCs w:val="21"/>
                <w:highlight w:val="none"/>
              </w:rPr>
            </w:pPr>
            <w:r>
              <w:rPr>
                <w:rFonts w:hint="eastAsia" w:ascii="宋体" w:hAnsi="宋体" w:cs="宋体"/>
                <w:color w:val="auto"/>
                <w:highlight w:val="none"/>
              </w:rPr>
              <w:t>三档（6分）：工作内容及编制的进度计划可操作性强，制定有具体的进度控制措施，工期安排合理，各阶段工作安排得当，整个工期保障可行，总体评价为优。</w:t>
            </w:r>
          </w:p>
        </w:tc>
        <w:tc>
          <w:tcPr>
            <w:tcW w:w="851" w:type="dxa"/>
            <w:vAlign w:val="center"/>
          </w:tcPr>
          <w:p>
            <w:pPr>
              <w:spacing w:line="364"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625" w:type="dxa"/>
            <w:vAlign w:val="center"/>
          </w:tcPr>
          <w:p>
            <w:pPr>
              <w:adjustRightInd w:val="0"/>
              <w:spacing w:line="364"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2.5</w:t>
            </w:r>
          </w:p>
        </w:tc>
        <w:tc>
          <w:tcPr>
            <w:tcW w:w="1575" w:type="dxa"/>
            <w:vAlign w:val="center"/>
          </w:tcPr>
          <w:p>
            <w:pPr>
              <w:spacing w:line="364" w:lineRule="exact"/>
              <w:jc w:val="center"/>
              <w:rPr>
                <w:rFonts w:ascii="宋体" w:hAnsi="宋体" w:cs="宋体"/>
                <w:bCs/>
                <w:color w:val="auto"/>
                <w:szCs w:val="21"/>
                <w:highlight w:val="none"/>
              </w:rPr>
            </w:pPr>
            <w:r>
              <w:rPr>
                <w:rFonts w:hint="eastAsia" w:ascii="宋体" w:hAnsi="宋体" w:cs="宋体"/>
                <w:bCs/>
                <w:color w:val="auto"/>
                <w:szCs w:val="21"/>
                <w:highlight w:val="none"/>
              </w:rPr>
              <w:t>质量管理体系、质量保证措施</w:t>
            </w:r>
          </w:p>
        </w:tc>
        <w:tc>
          <w:tcPr>
            <w:tcW w:w="6131" w:type="dxa"/>
          </w:tcPr>
          <w:p>
            <w:pPr>
              <w:spacing w:line="360" w:lineRule="auto"/>
              <w:rPr>
                <w:rFonts w:ascii="宋体" w:hAnsi="宋体" w:cs="宋体"/>
                <w:color w:val="auto"/>
                <w:highlight w:val="none"/>
              </w:rPr>
            </w:pPr>
            <w:r>
              <w:rPr>
                <w:rFonts w:hint="eastAsia" w:ascii="宋体" w:hAnsi="宋体" w:cs="宋体"/>
                <w:color w:val="auto"/>
                <w:highlight w:val="none"/>
              </w:rPr>
              <w:t>一档（2分）：对本项目工作质量、进度保证措施均有阐述、有质量技术管理班子、人员配备、相关制度；</w:t>
            </w:r>
          </w:p>
          <w:p>
            <w:pPr>
              <w:spacing w:line="360" w:lineRule="auto"/>
              <w:rPr>
                <w:rFonts w:ascii="宋体" w:hAnsi="宋体" w:cs="宋体"/>
                <w:color w:val="auto"/>
                <w:highlight w:val="none"/>
              </w:rPr>
            </w:pPr>
            <w:r>
              <w:rPr>
                <w:rFonts w:hint="eastAsia" w:ascii="宋体" w:hAnsi="宋体" w:cs="宋体"/>
                <w:color w:val="auto"/>
                <w:highlight w:val="none"/>
              </w:rPr>
              <w:t>二档（4分）：质量、进度保证措施健全、合理可行，总体评价为良；</w:t>
            </w:r>
          </w:p>
          <w:p>
            <w:pPr>
              <w:spacing w:line="364" w:lineRule="exact"/>
              <w:rPr>
                <w:rFonts w:ascii="宋体" w:hAnsi="宋体" w:cs="宋体"/>
                <w:color w:val="auto"/>
                <w:highlight w:val="none"/>
              </w:rPr>
            </w:pPr>
            <w:r>
              <w:rPr>
                <w:rFonts w:hint="eastAsia" w:ascii="宋体" w:hAnsi="宋体" w:cs="宋体"/>
                <w:color w:val="auto"/>
                <w:highlight w:val="none"/>
              </w:rPr>
              <w:t>三档（6分）：质量、进度保证措施健全、合理可行，总体评价为优，且有项目所在地类似航道项目设计经验（需附合同、交工验收等证明文件）。</w:t>
            </w:r>
          </w:p>
        </w:tc>
        <w:tc>
          <w:tcPr>
            <w:tcW w:w="851" w:type="dxa"/>
            <w:vAlign w:val="center"/>
          </w:tcPr>
          <w:p>
            <w:pPr>
              <w:spacing w:line="364"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25" w:type="dxa"/>
            <w:vAlign w:val="center"/>
          </w:tcPr>
          <w:p>
            <w:pPr>
              <w:adjustRightInd w:val="0"/>
              <w:spacing w:line="364"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2.6</w:t>
            </w:r>
          </w:p>
        </w:tc>
        <w:tc>
          <w:tcPr>
            <w:tcW w:w="1575" w:type="dxa"/>
            <w:vAlign w:val="center"/>
          </w:tcPr>
          <w:p>
            <w:pPr>
              <w:spacing w:line="364" w:lineRule="exact"/>
              <w:jc w:val="center"/>
              <w:rPr>
                <w:rFonts w:ascii="宋体" w:hAnsi="宋体" w:cs="宋体"/>
                <w:bCs/>
                <w:color w:val="auto"/>
                <w:szCs w:val="21"/>
                <w:highlight w:val="none"/>
              </w:rPr>
            </w:pPr>
            <w:r>
              <w:rPr>
                <w:rFonts w:hint="eastAsia" w:ascii="宋体" w:hAnsi="宋体" w:cs="宋体"/>
                <w:bCs/>
                <w:color w:val="auto"/>
                <w:szCs w:val="21"/>
                <w:highlight w:val="none"/>
              </w:rPr>
              <w:t>后续服务计划及保证措施</w:t>
            </w:r>
          </w:p>
        </w:tc>
        <w:tc>
          <w:tcPr>
            <w:tcW w:w="6131" w:type="dxa"/>
          </w:tcPr>
          <w:p>
            <w:pPr>
              <w:spacing w:line="360" w:lineRule="auto"/>
              <w:rPr>
                <w:rFonts w:ascii="宋体" w:hAnsi="宋体" w:cs="宋体"/>
                <w:color w:val="auto"/>
                <w:highlight w:val="none"/>
              </w:rPr>
            </w:pPr>
            <w:r>
              <w:rPr>
                <w:rFonts w:hint="eastAsia" w:ascii="宋体" w:hAnsi="宋体" w:cs="宋体"/>
                <w:color w:val="auto"/>
                <w:highlight w:val="none"/>
              </w:rPr>
              <w:t>一档（2分）：对本项目后续服务计划及保证措施均有阐述、满足项目基本要求；</w:t>
            </w:r>
          </w:p>
          <w:p>
            <w:pPr>
              <w:spacing w:line="360" w:lineRule="auto"/>
              <w:rPr>
                <w:rFonts w:ascii="宋体" w:hAnsi="宋体" w:cs="宋体"/>
                <w:color w:val="auto"/>
                <w:highlight w:val="none"/>
              </w:rPr>
            </w:pPr>
            <w:r>
              <w:rPr>
                <w:rFonts w:hint="eastAsia" w:ascii="宋体" w:hAnsi="宋体" w:cs="宋体"/>
                <w:color w:val="auto"/>
                <w:highlight w:val="none"/>
              </w:rPr>
              <w:t>二档（4分）：后续服务计划和措施可行，有实质性承诺，后续服务有保障，总体评价为良；</w:t>
            </w:r>
          </w:p>
          <w:p>
            <w:pPr>
              <w:spacing w:line="364" w:lineRule="exact"/>
              <w:rPr>
                <w:rFonts w:ascii="宋体" w:hAnsi="宋体" w:cs="宋体"/>
                <w:color w:val="auto"/>
                <w:highlight w:val="none"/>
              </w:rPr>
            </w:pPr>
            <w:r>
              <w:rPr>
                <w:rFonts w:hint="eastAsia" w:ascii="宋体" w:hAnsi="宋体" w:cs="宋体"/>
                <w:color w:val="auto"/>
                <w:highlight w:val="none"/>
              </w:rPr>
              <w:t>三档（6分）：后续服务计划和措施切实可行，有实质性承诺，后续服务有保障，总体评价为优。</w:t>
            </w:r>
          </w:p>
        </w:tc>
        <w:tc>
          <w:tcPr>
            <w:tcW w:w="851" w:type="dxa"/>
            <w:vAlign w:val="center"/>
          </w:tcPr>
          <w:p>
            <w:pPr>
              <w:spacing w:line="364"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25" w:type="dxa"/>
            <w:vAlign w:val="center"/>
          </w:tcPr>
          <w:p>
            <w:pPr>
              <w:widowControl/>
              <w:spacing w:line="364"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1575" w:type="dxa"/>
            <w:vAlign w:val="center"/>
          </w:tcPr>
          <w:p>
            <w:pPr>
              <w:widowControl/>
              <w:spacing w:line="364" w:lineRule="exact"/>
              <w:jc w:val="center"/>
              <w:rPr>
                <w:rFonts w:ascii="宋体" w:hAnsi="宋体" w:cs="宋体"/>
                <w:b/>
                <w:bCs/>
                <w:color w:val="auto"/>
                <w:szCs w:val="21"/>
                <w:highlight w:val="none"/>
              </w:rPr>
            </w:pPr>
            <w:r>
              <w:rPr>
                <w:rFonts w:hint="eastAsia" w:ascii="宋体" w:hAnsi="宋体" w:cs="宋体"/>
                <w:b/>
                <w:bCs/>
                <w:color w:val="auto"/>
                <w:szCs w:val="21"/>
                <w:highlight w:val="none"/>
              </w:rPr>
              <w:t>商务分</w:t>
            </w:r>
          </w:p>
        </w:tc>
        <w:tc>
          <w:tcPr>
            <w:tcW w:w="6136" w:type="dxa"/>
            <w:vAlign w:val="center"/>
          </w:tcPr>
          <w:p>
            <w:pPr>
              <w:widowControl/>
              <w:spacing w:line="364"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846" w:type="dxa"/>
            <w:vAlign w:val="center"/>
          </w:tcPr>
          <w:p>
            <w:pPr>
              <w:widowControl/>
              <w:spacing w:line="364"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25" w:type="dxa"/>
            <w:vAlign w:val="center"/>
          </w:tcPr>
          <w:p>
            <w:pPr>
              <w:widowControl/>
              <w:spacing w:line="364"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575" w:type="dxa"/>
            <w:vAlign w:val="center"/>
          </w:tcPr>
          <w:p>
            <w:pPr>
              <w:widowControl/>
              <w:spacing w:line="364" w:lineRule="exact"/>
              <w:jc w:val="center"/>
              <w:rPr>
                <w:rFonts w:ascii="宋体" w:hAnsi="宋体" w:cs="宋体"/>
                <w:color w:val="auto"/>
                <w:kern w:val="0"/>
                <w:szCs w:val="21"/>
                <w:highlight w:val="none"/>
              </w:rPr>
            </w:pPr>
            <w:r>
              <w:rPr>
                <w:rFonts w:hint="eastAsia" w:ascii="宋体" w:hAnsi="宋体" w:cs="宋体"/>
                <w:bCs/>
                <w:color w:val="auto"/>
                <w:szCs w:val="21"/>
                <w:highlight w:val="none"/>
              </w:rPr>
              <w:t>供应商与本项目类似的项目业绩</w:t>
            </w:r>
          </w:p>
        </w:tc>
        <w:tc>
          <w:tcPr>
            <w:tcW w:w="6136" w:type="dxa"/>
            <w:vAlign w:val="center"/>
          </w:tcPr>
          <w:p>
            <w:pPr>
              <w:spacing w:line="400" w:lineRule="exact"/>
              <w:rPr>
                <w:rFonts w:hint="eastAsia" w:ascii="宋体" w:hAnsi="宋体" w:cs="宋体"/>
                <w:color w:val="auto"/>
                <w:highlight w:val="none"/>
              </w:rPr>
            </w:pPr>
            <w:r>
              <w:rPr>
                <w:rFonts w:hint="eastAsia" w:ascii="宋体" w:hAnsi="宋体" w:cs="宋体"/>
                <w:color w:val="auto"/>
                <w:highlight w:val="none"/>
              </w:rPr>
              <w:t>（1）投标人自2017年1月1日至投标截止时间，独立承担过</w:t>
            </w:r>
            <w:r>
              <w:rPr>
                <w:rFonts w:hint="eastAsia" w:ascii="宋体" w:hAnsi="宋体"/>
                <w:bCs/>
                <w:color w:val="auto"/>
                <w:szCs w:val="21"/>
                <w:highlight w:val="none"/>
              </w:rPr>
              <w:t>沿海</w:t>
            </w:r>
            <w:r>
              <w:rPr>
                <w:rFonts w:hint="eastAsia" w:ascii="宋体" w:hAnsi="宋体" w:cs="宋体"/>
                <w:color w:val="auto"/>
                <w:highlight w:val="none"/>
              </w:rPr>
              <w:t>航道工程（航道工程均包括航道整治工程、锚地工程、疏浚吹填工程等，下同）工程可行性研究或设计工作的，每个业绩得2分，满分8分；（业绩</w:t>
            </w:r>
            <w:r>
              <w:rPr>
                <w:rFonts w:hint="eastAsia" w:ascii="宋体" w:hAnsi="宋体" w:cs="宋体"/>
                <w:color w:val="auto"/>
                <w:szCs w:val="21"/>
                <w:highlight w:val="none"/>
              </w:rPr>
              <w:t>完成时间以项目可行性研究报告、设计批复时间为准</w:t>
            </w:r>
            <w:r>
              <w:rPr>
                <w:rFonts w:hint="eastAsia" w:ascii="宋体" w:hAnsi="宋体" w:cs="宋体"/>
                <w:color w:val="auto"/>
                <w:highlight w:val="none"/>
              </w:rPr>
              <w:t>，需提供合同或委托书、批复等相关材料复印件）</w:t>
            </w:r>
          </w:p>
          <w:p>
            <w:pPr>
              <w:spacing w:line="400" w:lineRule="exact"/>
              <w:rPr>
                <w:rFonts w:hint="eastAsia" w:ascii="宋体" w:hAnsi="宋体" w:cs="宋体"/>
                <w:color w:val="auto"/>
                <w:highlight w:val="none"/>
              </w:rPr>
            </w:pPr>
            <w:r>
              <w:rPr>
                <w:rFonts w:hint="eastAsia" w:ascii="宋体" w:hAnsi="宋体" w:cs="宋体"/>
                <w:color w:val="auto"/>
                <w:highlight w:val="none"/>
              </w:rPr>
              <w:t>（2）投标人自2017年1月1日至投标截止时间，独立承担过</w:t>
            </w:r>
            <w:r>
              <w:rPr>
                <w:rFonts w:hint="eastAsia" w:ascii="宋体" w:hAnsi="宋体"/>
                <w:bCs/>
                <w:color w:val="auto"/>
                <w:szCs w:val="21"/>
                <w:highlight w:val="none"/>
              </w:rPr>
              <w:t>沿海</w:t>
            </w:r>
            <w:r>
              <w:rPr>
                <w:rFonts w:hint="eastAsia" w:ascii="宋体" w:hAnsi="宋体" w:cs="宋体"/>
                <w:color w:val="auto"/>
                <w:highlight w:val="none"/>
              </w:rPr>
              <w:t>航道工程勘察（岩土勘察或工程测量）工作的，每个业绩得2分，满分6分；（业绩以批复或审查纪要（含专家组意见）日期为准，需提供合同或委托书、勘察报告的封面扉页、批复或审查纪要等相关材料复印件）</w:t>
            </w:r>
          </w:p>
          <w:p>
            <w:pPr>
              <w:spacing w:after="120" w:line="360" w:lineRule="auto"/>
              <w:rPr>
                <w:rFonts w:ascii="宋体" w:hAnsi="宋体" w:cs="宋体"/>
                <w:color w:val="auto"/>
                <w:highlight w:val="none"/>
              </w:rPr>
            </w:pPr>
            <w:r>
              <w:rPr>
                <w:rFonts w:hint="eastAsia" w:ascii="宋体" w:hAnsi="宋体" w:cs="宋体"/>
                <w:color w:val="auto"/>
                <w:highlight w:val="none"/>
              </w:rPr>
              <w:t>（3）投标人自2017年1月1日至投标截止时间，独立承担过沿海航道工程项目环境影响评价业绩的，每个加1分，本小项满分2分；承担过沿海航道工程社会稳定性分析业绩，每个加1分，本小项满分2分；承担过沿海航道工程海域使用论证报告业绩的，每个加1分，本小项满分2分；本项满分6分。（项目环境影响评价、社会稳定性分析业绩、海域使用论证以批复或审查纪要（含专家组意见）日期为准，需提供合同或委托书、批复或审查纪要等相关材料复印件）。</w:t>
            </w:r>
          </w:p>
          <w:p>
            <w:pPr>
              <w:widowControl/>
              <w:spacing w:line="364" w:lineRule="exact"/>
              <w:jc w:val="left"/>
              <w:rPr>
                <w:rFonts w:ascii="宋体" w:hAnsi="宋体" w:cs="宋体"/>
                <w:b/>
                <w:bCs/>
                <w:color w:val="auto"/>
                <w:kern w:val="0"/>
                <w:szCs w:val="21"/>
                <w:highlight w:val="none"/>
              </w:rPr>
            </w:pPr>
            <w:r>
              <w:rPr>
                <w:rFonts w:hint="eastAsia" w:ascii="宋体" w:hAnsi="宋体" w:cs="宋体"/>
                <w:color w:val="auto"/>
                <w:highlight w:val="none"/>
              </w:rPr>
              <w:t>注：同一项目同时包含工程勘察、工可或设计工作内容的，可按实际工作内容及完成情况计为1个勘察项目、1个工可项目、1个设计项目。</w:t>
            </w:r>
          </w:p>
        </w:tc>
        <w:tc>
          <w:tcPr>
            <w:tcW w:w="846" w:type="dxa"/>
            <w:vAlign w:val="center"/>
          </w:tcPr>
          <w:p>
            <w:pPr>
              <w:widowControl/>
              <w:spacing w:line="364" w:lineRule="exact"/>
              <w:jc w:val="center"/>
              <w:rPr>
                <w:rFonts w:ascii="宋体" w:hAnsi="宋体" w:cs="宋体"/>
                <w:b/>
                <w:bCs/>
                <w:color w:val="auto"/>
                <w:kern w:val="0"/>
                <w:szCs w:val="21"/>
                <w:highlight w:val="none"/>
              </w:rPr>
            </w:pPr>
            <w:r>
              <w:rPr>
                <w:rFonts w:hint="eastAsia" w:ascii="宋体" w:hAnsi="宋体" w:cs="宋体"/>
                <w:color w:val="auto"/>
                <w:kern w:val="0"/>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625" w:type="dxa"/>
            <w:vAlign w:val="center"/>
          </w:tcPr>
          <w:p>
            <w:pPr>
              <w:widowControl/>
              <w:spacing w:line="364"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1575" w:type="dxa"/>
            <w:vAlign w:val="center"/>
          </w:tcPr>
          <w:p>
            <w:pPr>
              <w:widowControl/>
              <w:spacing w:line="364" w:lineRule="exact"/>
              <w:jc w:val="center"/>
              <w:rPr>
                <w:rFonts w:ascii="宋体" w:hAnsi="宋体" w:cs="宋体"/>
                <w:color w:val="auto"/>
                <w:kern w:val="0"/>
                <w:szCs w:val="21"/>
                <w:highlight w:val="none"/>
              </w:rPr>
            </w:pPr>
            <w:r>
              <w:rPr>
                <w:rFonts w:hint="eastAsia" w:hAnsi="宋体"/>
                <w:color w:val="auto"/>
                <w:szCs w:val="21"/>
                <w:highlight w:val="none"/>
              </w:rPr>
              <w:t>拟投入项目</w:t>
            </w:r>
            <w:r>
              <w:rPr>
                <w:rFonts w:hint="eastAsia" w:hAnsi="宋体"/>
                <w:color w:val="auto"/>
                <w:szCs w:val="21"/>
                <w:highlight w:val="none"/>
                <w:lang w:val="en-US" w:eastAsia="zh-CN"/>
              </w:rPr>
              <w:t>负责人</w:t>
            </w:r>
            <w:r>
              <w:rPr>
                <w:rFonts w:hint="eastAsia" w:hAnsi="宋体"/>
                <w:color w:val="auto"/>
                <w:szCs w:val="21"/>
                <w:highlight w:val="none"/>
              </w:rPr>
              <w:t>资格和能力</w:t>
            </w:r>
          </w:p>
        </w:tc>
        <w:tc>
          <w:tcPr>
            <w:tcW w:w="6131" w:type="dxa"/>
          </w:tcPr>
          <w:p>
            <w:pPr>
              <w:spacing w:line="400" w:lineRule="exact"/>
              <w:jc w:val="left"/>
              <w:rPr>
                <w:rFonts w:hint="eastAsia" w:ascii="宋体" w:hAnsi="宋体" w:cs="宋体"/>
                <w:color w:val="auto"/>
                <w:highlight w:val="none"/>
              </w:rPr>
            </w:pPr>
            <w:r>
              <w:rPr>
                <w:rFonts w:hint="eastAsia" w:ascii="宋体" w:hAnsi="宋体" w:cs="宋体"/>
                <w:color w:val="auto"/>
                <w:highlight w:val="none"/>
              </w:rPr>
              <w:t>项目负责人具有注册咨询工程师（投资）资格证书，同时具有水运类高级工程师或以上技术职称，加1分；自2017年1月1日至投标截止时间承担过沿海水运工程的可行性研究报告编制或设计工作的项目负责人的，每个项目加1分；本项满分3分。（业绩完成时间以项目可行性研究或设计批复时间为准）</w:t>
            </w:r>
          </w:p>
          <w:p>
            <w:pPr>
              <w:spacing w:line="312" w:lineRule="auto"/>
              <w:jc w:val="left"/>
              <w:rPr>
                <w:color w:val="auto"/>
                <w:highlight w:val="none"/>
              </w:rPr>
            </w:pPr>
            <w:r>
              <w:rPr>
                <w:rFonts w:hint="eastAsia" w:ascii="宋体" w:hAnsi="宋体" w:cs="宋体"/>
                <w:color w:val="auto"/>
                <w:highlight w:val="none"/>
              </w:rPr>
              <w:t>注：需提供项目负责人的身份证、毕业证、执业证书、职称证书（如职称证书不体现专业则以毕业证书专业为准）、提供2021年11月至2022年4月内连续三个月依法缴纳社会保险证明材料复印件、项目负责人业绩扉页等相关证明材料，否则不得分。</w:t>
            </w:r>
          </w:p>
        </w:tc>
        <w:tc>
          <w:tcPr>
            <w:tcW w:w="851" w:type="dxa"/>
            <w:vAlign w:val="center"/>
          </w:tcPr>
          <w:p>
            <w:pPr>
              <w:spacing w:line="364"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25" w:type="dxa"/>
            <w:vAlign w:val="center"/>
          </w:tcPr>
          <w:p>
            <w:pPr>
              <w:widowControl/>
              <w:spacing w:line="364"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3.3</w:t>
            </w:r>
          </w:p>
        </w:tc>
        <w:tc>
          <w:tcPr>
            <w:tcW w:w="1575" w:type="dxa"/>
            <w:vAlign w:val="center"/>
          </w:tcPr>
          <w:p>
            <w:pPr>
              <w:widowControl/>
              <w:spacing w:line="364" w:lineRule="exact"/>
              <w:jc w:val="center"/>
              <w:rPr>
                <w:rFonts w:hint="default" w:hAnsi="宋体" w:eastAsia="宋体"/>
                <w:color w:val="auto"/>
                <w:szCs w:val="21"/>
                <w:highlight w:val="none"/>
                <w:lang w:val="en-US" w:eastAsia="zh-CN"/>
              </w:rPr>
            </w:pPr>
            <w:r>
              <w:rPr>
                <w:rFonts w:hint="eastAsia" w:hAnsi="宋体"/>
                <w:color w:val="auto"/>
                <w:szCs w:val="21"/>
                <w:highlight w:val="none"/>
              </w:rPr>
              <w:t>拟投入</w:t>
            </w:r>
            <w:r>
              <w:rPr>
                <w:rFonts w:hint="eastAsia" w:hAnsi="宋体"/>
                <w:color w:val="auto"/>
                <w:szCs w:val="21"/>
                <w:highlight w:val="none"/>
                <w:lang w:val="en-US" w:eastAsia="zh-CN"/>
              </w:rPr>
              <w:t>其他人员资格和能力</w:t>
            </w:r>
          </w:p>
        </w:tc>
        <w:tc>
          <w:tcPr>
            <w:tcW w:w="6131" w:type="dxa"/>
          </w:tcPr>
          <w:p>
            <w:pPr>
              <w:spacing w:line="400" w:lineRule="exact"/>
              <w:rPr>
                <w:rFonts w:hint="eastAsia" w:ascii="宋体" w:hAnsi="宋体" w:cs="宋体"/>
                <w:color w:val="auto"/>
                <w:highlight w:val="none"/>
              </w:rPr>
            </w:pPr>
            <w:r>
              <w:rPr>
                <w:rFonts w:hint="eastAsia" w:ascii="宋体" w:hAnsi="宋体" w:cs="宋体"/>
                <w:color w:val="auto"/>
                <w:highlight w:val="none"/>
              </w:rPr>
              <w:t>（1）工可编制团队成员具有注册土木工程师（港口与航道工程）资格证书，同时具有水运类高级工程师技术职称，且自2017年1月1日以来参与过沿海航道工程或锚地工程的可行性研究报告编制工作或设计工作的，每人得1分；本项满分2分。</w:t>
            </w:r>
          </w:p>
          <w:p>
            <w:pPr>
              <w:spacing w:line="400" w:lineRule="exact"/>
              <w:rPr>
                <w:rFonts w:hint="eastAsia" w:ascii="宋体" w:hAnsi="宋体" w:cs="宋体"/>
                <w:color w:val="auto"/>
                <w:highlight w:val="none"/>
              </w:rPr>
            </w:pPr>
            <w:r>
              <w:rPr>
                <w:rFonts w:hint="eastAsia" w:ascii="宋体" w:hAnsi="宋体" w:cs="宋体"/>
                <w:color w:val="auto"/>
                <w:highlight w:val="none"/>
              </w:rPr>
              <w:t>（2）专题报告编制团队成员具有注册环境影响评价工程师的，得1分,，本项满分2分。</w:t>
            </w:r>
          </w:p>
          <w:p>
            <w:pPr>
              <w:spacing w:line="400" w:lineRule="exact"/>
              <w:rPr>
                <w:rFonts w:hint="eastAsia" w:ascii="宋体" w:hAnsi="宋体" w:cs="宋体"/>
                <w:color w:val="auto"/>
                <w:highlight w:val="none"/>
              </w:rPr>
            </w:pPr>
            <w:r>
              <w:rPr>
                <w:rFonts w:hint="eastAsia" w:ascii="宋体" w:hAnsi="宋体" w:cs="宋体"/>
                <w:color w:val="auto"/>
                <w:highlight w:val="none"/>
              </w:rPr>
              <w:t>（3）岩土勘察团队成员具有工程地质类似专业高级工程师或以上职称、注册土木工程师（岩土工程），且至少参与过1项沿海水运工程项目岩土勘察工作的，每人1分,本项满分2分。（业绩以批复或审查纪要（含专家组意见）日期为准，需提供合同或委托书、勘察报告的封面扉页、批复或审查纪要等相关材料复印件）</w:t>
            </w:r>
          </w:p>
          <w:p>
            <w:pPr>
              <w:spacing w:line="400" w:lineRule="exact"/>
              <w:rPr>
                <w:rFonts w:hint="eastAsia" w:ascii="宋体" w:hAnsi="宋体" w:cs="宋体"/>
                <w:color w:val="auto"/>
                <w:highlight w:val="none"/>
              </w:rPr>
            </w:pPr>
            <w:r>
              <w:rPr>
                <w:rFonts w:hint="eastAsia" w:ascii="宋体" w:hAnsi="宋体" w:cs="宋体"/>
                <w:color w:val="auto"/>
                <w:highlight w:val="none"/>
              </w:rPr>
              <w:t>（4）工程测量团队成员具有工程测量类似专业高级工程师以上职称、具有注册测绘师的，且至少参与过1项沿海水运工程项目工程测量工作的，每人1分,本项满分2分。（业绩以批复或审查纪要（含专家组意见）日期为准，需提供合同或委托书、工程测量报告的封面扉页、批复或审查纪要等相关材料复印件）</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（注：需提供相关人员的身份证、毕业证、执业证书、职称证书复印件（如职称证书不体现专业则以毕业证书专业为准）、2021年11月至2022年4月内连续三个月依法缴纳社会保险证明材料复印件，否则不得分。）</w:t>
            </w:r>
          </w:p>
        </w:tc>
        <w:tc>
          <w:tcPr>
            <w:tcW w:w="851" w:type="dxa"/>
            <w:vAlign w:val="center"/>
          </w:tcPr>
          <w:p>
            <w:pPr>
              <w:spacing w:line="364"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625" w:type="dxa"/>
            <w:vAlign w:val="center"/>
          </w:tcPr>
          <w:p>
            <w:pPr>
              <w:widowControl/>
              <w:spacing w:line="364"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p>
        </w:tc>
        <w:tc>
          <w:tcPr>
            <w:tcW w:w="1575" w:type="dxa"/>
            <w:vAlign w:val="center"/>
          </w:tcPr>
          <w:p>
            <w:pPr>
              <w:autoSpaceDE w:val="0"/>
              <w:autoSpaceDN w:val="0"/>
              <w:spacing w:line="320" w:lineRule="exact"/>
              <w:jc w:val="center"/>
              <w:rPr>
                <w:rFonts w:ascii="宋体" w:hAnsi="宋体" w:cs="宋体"/>
                <w:color w:val="auto"/>
                <w:kern w:val="0"/>
                <w:highlight w:val="none"/>
              </w:rPr>
            </w:pPr>
            <w:r>
              <w:rPr>
                <w:rFonts w:hint="eastAsia" w:ascii="宋体" w:hAnsi="宋体" w:cs="宋体"/>
                <w:color w:val="auto"/>
                <w:kern w:val="0"/>
                <w:highlight w:val="none"/>
              </w:rPr>
              <w:t>供应商</w:t>
            </w:r>
          </w:p>
          <w:p>
            <w:pPr>
              <w:autoSpaceDE w:val="0"/>
              <w:autoSpaceDN w:val="0"/>
              <w:spacing w:line="320" w:lineRule="exact"/>
              <w:jc w:val="center"/>
              <w:rPr>
                <w:rFonts w:ascii="宋体" w:hAnsi="宋体" w:cs="宋体"/>
                <w:color w:val="auto"/>
                <w:kern w:val="0"/>
                <w:szCs w:val="21"/>
                <w:highlight w:val="none"/>
              </w:rPr>
            </w:pPr>
            <w:r>
              <w:rPr>
                <w:rFonts w:hint="eastAsia" w:ascii="宋体" w:hAnsi="宋体" w:cs="宋体"/>
                <w:color w:val="auto"/>
                <w:kern w:val="0"/>
                <w:highlight w:val="none"/>
              </w:rPr>
              <w:t>的能力与信誉</w:t>
            </w:r>
          </w:p>
        </w:tc>
        <w:tc>
          <w:tcPr>
            <w:tcW w:w="6131" w:type="dxa"/>
          </w:tcPr>
          <w:p>
            <w:pPr>
              <w:spacing w:line="312" w:lineRule="auto"/>
              <w:rPr>
                <w:color w:val="auto"/>
                <w:highlight w:val="none"/>
              </w:rPr>
            </w:pPr>
            <w:r>
              <w:rPr>
                <w:rFonts w:hint="eastAsia"/>
                <w:color w:val="auto"/>
                <w:highlight w:val="none"/>
              </w:rPr>
              <w:t>（1）供应商自2017年1月1日至投标截止时间，完成的水运类项目获得省部级及以上工程咨询成果奖或优秀设计奖或优秀勘察（测绘）奖，每项得1分，本项满分为3分。</w:t>
            </w:r>
          </w:p>
          <w:p>
            <w:pPr>
              <w:spacing w:line="312" w:lineRule="auto"/>
              <w:rPr>
                <w:color w:val="auto"/>
                <w:highlight w:val="none"/>
              </w:rPr>
            </w:pPr>
            <w:r>
              <w:rPr>
                <w:rFonts w:hint="eastAsia"/>
                <w:color w:val="auto"/>
                <w:highlight w:val="none"/>
              </w:rPr>
              <w:t>注：省部级及以上获奖包括省级及以上行业协会、国家部委等颁发的奖项，同一个项目按最高奖项计算得分，不重复计算。</w:t>
            </w:r>
          </w:p>
          <w:p>
            <w:pPr>
              <w:spacing w:line="360" w:lineRule="auto"/>
              <w:rPr>
                <w:color w:val="auto"/>
                <w:highlight w:val="none"/>
              </w:rPr>
            </w:pPr>
            <w:r>
              <w:rPr>
                <w:rFonts w:hint="eastAsia"/>
                <w:color w:val="auto"/>
                <w:highlight w:val="none"/>
              </w:rPr>
              <w:t>（2）供应商获评列入2020年度交通运输部水运工程建设领域守信典型企业目录的，得1分。（注：提供证明文件复印件（或彩色扫描件）并加盖供应商公章，不提供的不得分）。</w:t>
            </w:r>
          </w:p>
          <w:p>
            <w:pPr>
              <w:spacing w:line="360" w:lineRule="auto"/>
              <w:rPr>
                <w:color w:val="auto"/>
                <w:highlight w:val="none"/>
              </w:rPr>
            </w:pPr>
            <w:r>
              <w:rPr>
                <w:rFonts w:hint="eastAsia"/>
                <w:color w:val="auto"/>
                <w:highlight w:val="none"/>
              </w:rPr>
              <w:t xml:space="preserve">（3）供应商具有有效的“全国工程勘察与岩土行业诚信单位”称号，得1分。（注：提供证明文件复印件（或彩色扫描件）并加盖供应商公章，不提供的不得分）。 </w:t>
            </w:r>
          </w:p>
          <w:p>
            <w:pPr>
              <w:spacing w:line="360" w:lineRule="auto"/>
              <w:rPr>
                <w:color w:val="auto"/>
                <w:highlight w:val="none"/>
              </w:rPr>
            </w:pPr>
            <w:r>
              <w:rPr>
                <w:rFonts w:hint="eastAsia"/>
                <w:color w:val="auto"/>
                <w:highlight w:val="none"/>
              </w:rPr>
              <w:t>（4）供应商水运工程设计信用等级评分为 AA 级得4 分，A 级得 2 分，B 级及以下不得分。信用等级以投标截止日期当日供应商所具备的信用等级为准。供应商的信用等级认定原则：评定顺序为①最近一期广西壮族自治区交通运输厅公布的广西水运建设市场水运工程设计企业信用评价结果的等级；②最近一期交通运输部公布的全国水运工程设计企业信用评价结果的等级。本项满分4分。</w:t>
            </w:r>
          </w:p>
          <w:p>
            <w:pPr>
              <w:spacing w:line="360" w:lineRule="auto"/>
              <w:rPr>
                <w:color w:val="auto"/>
                <w:highlight w:val="none"/>
              </w:rPr>
            </w:pPr>
            <w:r>
              <w:rPr>
                <w:rFonts w:hint="eastAsia"/>
                <w:color w:val="auto"/>
                <w:highlight w:val="none"/>
              </w:rPr>
              <w:t>（5）供应商同时具有质量管理体系认证证书、环境管理体系认证证书、职业健康安全管理体系认证证书，得1分，本项满分1分。</w:t>
            </w:r>
          </w:p>
          <w:p>
            <w:pPr>
              <w:spacing w:line="360" w:lineRule="auto"/>
              <w:rPr>
                <w:color w:val="auto"/>
                <w:highlight w:val="none"/>
              </w:rPr>
            </w:pPr>
            <w:r>
              <w:rPr>
                <w:rFonts w:hint="eastAsia" w:hAnsi="宋体" w:cs="宋体"/>
                <w:color w:val="auto"/>
                <w:highlight w:val="none"/>
              </w:rPr>
              <w:t>（6）供应商通过全国投资项目在线审批监管平台工程咨询单位名录备案，且工程咨询单位甲级资信证书的业务专业含水运（含港口河海工程）的，得2分，本项满分2分。</w:t>
            </w:r>
          </w:p>
          <w:p>
            <w:pPr>
              <w:spacing w:line="360" w:lineRule="auto"/>
              <w:rPr>
                <w:color w:val="auto"/>
                <w:highlight w:val="none"/>
              </w:rPr>
            </w:pPr>
            <w:r>
              <w:rPr>
                <w:rFonts w:hint="eastAsia"/>
                <w:color w:val="auto"/>
                <w:highlight w:val="none"/>
              </w:rPr>
              <w:t>（7）供应商</w:t>
            </w:r>
            <w:r>
              <w:rPr>
                <w:rFonts w:hint="eastAsia" w:hAnsi="宋体" w:cs="宋体"/>
                <w:color w:val="auto"/>
                <w:highlight w:val="none"/>
              </w:rPr>
              <w:t>同时具备工程勘察综合甲级资质和</w:t>
            </w:r>
            <w:r>
              <w:rPr>
                <w:rFonts w:hint="eastAsia" w:ascii="宋体" w:hAnsi="宋体" w:cs="宋体"/>
                <w:color w:val="auto"/>
                <w:szCs w:val="21"/>
                <w:highlight w:val="none"/>
              </w:rPr>
              <w:t>工程设计航道工程专业甲级（及以上）资质或水运行业甲级（及以上）资质的，得2分。</w:t>
            </w:r>
          </w:p>
        </w:tc>
        <w:tc>
          <w:tcPr>
            <w:tcW w:w="851" w:type="dxa"/>
            <w:vAlign w:val="center"/>
          </w:tcPr>
          <w:p>
            <w:pPr>
              <w:spacing w:line="364"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331" w:type="dxa"/>
            <w:gridSpan w:val="3"/>
          </w:tcPr>
          <w:p>
            <w:pPr>
              <w:pStyle w:val="21"/>
              <w:spacing w:line="364" w:lineRule="exact"/>
              <w:rPr>
                <w:rFonts w:hAnsi="宋体" w:cs="宋体"/>
                <w:bCs/>
                <w:color w:val="auto"/>
                <w:sz w:val="21"/>
                <w:highlight w:val="none"/>
              </w:rPr>
            </w:pPr>
            <w:r>
              <w:rPr>
                <w:rFonts w:hint="eastAsia" w:hAnsi="宋体" w:cs="宋体"/>
                <w:bCs/>
                <w:color w:val="auto"/>
                <w:sz w:val="21"/>
                <w:highlight w:val="none"/>
              </w:rPr>
              <w:t>4.总得分＝1+2+3</w:t>
            </w:r>
          </w:p>
        </w:tc>
        <w:tc>
          <w:tcPr>
            <w:tcW w:w="851" w:type="dxa"/>
            <w:vAlign w:val="center"/>
          </w:tcPr>
          <w:p>
            <w:pPr>
              <w:widowControl/>
              <w:spacing w:line="364"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r>
    </w:tbl>
    <w:p>
      <w:pPr>
        <w:spacing w:line="360" w:lineRule="auto"/>
        <w:ind w:firstLine="424" w:firstLineChars="202"/>
        <w:jc w:val="left"/>
        <w:rPr>
          <w:rFonts w:ascii="宋体" w:hAnsi="宋体"/>
          <w:bCs/>
          <w:color w:val="auto"/>
          <w:szCs w:val="21"/>
          <w:highlight w:val="none"/>
        </w:rPr>
      </w:pPr>
      <w:bookmarkStart w:id="98" w:name="_Toc73550042"/>
    </w:p>
    <w:p>
      <w:pPr>
        <w:spacing w:line="360" w:lineRule="auto"/>
        <w:ind w:firstLine="424" w:firstLineChars="202"/>
        <w:jc w:val="left"/>
        <w:rPr>
          <w:rFonts w:ascii="宋体" w:hAnsi="宋体"/>
          <w:bCs/>
          <w:color w:val="auto"/>
          <w:szCs w:val="21"/>
          <w:highlight w:val="none"/>
        </w:rPr>
      </w:pPr>
      <w:r>
        <w:rPr>
          <w:rFonts w:hint="eastAsia" w:ascii="宋体" w:hAnsi="宋体"/>
          <w:bCs/>
          <w:color w:val="auto"/>
          <w:szCs w:val="21"/>
          <w:highlight w:val="none"/>
        </w:rPr>
        <w:t>8.1</w:t>
      </w:r>
      <w:r>
        <w:rPr>
          <w:rFonts w:ascii="宋体" w:hAnsi="宋体"/>
          <w:bCs/>
          <w:color w:val="auto"/>
          <w:szCs w:val="21"/>
          <w:highlight w:val="none"/>
        </w:rPr>
        <w:t>.</w:t>
      </w:r>
      <w:r>
        <w:rPr>
          <w:rFonts w:hint="eastAsia" w:ascii="宋体" w:hAnsi="宋体" w:cs="Verdana"/>
          <w:bCs/>
          <w:color w:val="auto"/>
          <w:kern w:val="0"/>
          <w:szCs w:val="21"/>
          <w:highlight w:val="none"/>
        </w:rPr>
        <w:t xml:space="preserve"> </w:t>
      </w:r>
      <w:r>
        <w:rPr>
          <w:rFonts w:hint="eastAsia" w:ascii="宋体" w:hAnsi="宋体"/>
          <w:bCs/>
          <w:color w:val="auto"/>
          <w:szCs w:val="21"/>
          <w:highlight w:val="none"/>
        </w:rPr>
        <w:t>由磋商小组根据综合评分情况，按照评审得分由高到低顺序推荐3名成交候选供应商，并编写评审报告。符合本章第5</w:t>
      </w:r>
      <w:r>
        <w:rPr>
          <w:rFonts w:ascii="宋体" w:hAnsi="宋体"/>
          <w:bCs/>
          <w:color w:val="auto"/>
          <w:szCs w:val="21"/>
          <w:highlight w:val="none"/>
        </w:rPr>
        <w:t>.3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pPr>
        <w:adjustRightInd w:val="0"/>
        <w:spacing w:line="440" w:lineRule="exact"/>
        <w:ind w:firstLine="422" w:firstLineChars="200"/>
        <w:contextualSpacing/>
        <w:rPr>
          <w:rFonts w:ascii="宋体" w:hAnsi="宋体" w:cs="宋体"/>
          <w:b/>
          <w:color w:val="auto"/>
          <w:szCs w:val="21"/>
          <w:highlight w:val="none"/>
        </w:rPr>
      </w:pPr>
      <w:r>
        <w:rPr>
          <w:rFonts w:hint="eastAsia" w:ascii="宋体" w:hAnsi="宋体" w:cs="宋体"/>
          <w:b/>
          <w:color w:val="auto"/>
          <w:szCs w:val="21"/>
          <w:highlight w:val="none"/>
        </w:rPr>
        <w:t>9.特别说明</w:t>
      </w:r>
    </w:p>
    <w:p>
      <w:pPr>
        <w:spacing w:line="440" w:lineRule="exact"/>
        <w:ind w:firstLine="422" w:firstLineChars="201"/>
        <w:jc w:val="left"/>
        <w:rPr>
          <w:rFonts w:ascii="宋体" w:hAnsi="宋体"/>
          <w:bCs/>
          <w:color w:val="auto"/>
          <w:szCs w:val="21"/>
          <w:highlight w:val="none"/>
        </w:rPr>
      </w:pPr>
      <w:bookmarkStart w:id="99" w:name="_Toc17834"/>
      <w:bookmarkStart w:id="100" w:name="_Toc24045"/>
      <w:bookmarkStart w:id="101" w:name="_Toc35617762"/>
      <w:bookmarkStart w:id="102" w:name="_Toc2521"/>
      <w:bookmarkStart w:id="103" w:name="_Toc12584"/>
      <w:r>
        <w:rPr>
          <w:rFonts w:ascii="宋体" w:hAnsi="宋体"/>
          <w:color w:val="auto"/>
          <w:kern w:val="0"/>
          <w:szCs w:val="21"/>
          <w:highlight w:val="none"/>
        </w:rPr>
        <w:t>磋商小组认为响应人的</w:t>
      </w:r>
      <w:r>
        <w:rPr>
          <w:rFonts w:hint="eastAsia" w:ascii="宋体" w:hAnsi="宋体"/>
          <w:color w:val="auto"/>
          <w:kern w:val="0"/>
          <w:szCs w:val="21"/>
          <w:highlight w:val="none"/>
        </w:rPr>
        <w:t>磋商报价</w:t>
      </w:r>
      <w:r>
        <w:rPr>
          <w:rFonts w:ascii="宋体" w:hAnsi="宋体"/>
          <w:color w:val="auto"/>
          <w:kern w:val="0"/>
          <w:szCs w:val="21"/>
          <w:highlight w:val="none"/>
        </w:rPr>
        <w:t>明显低于其他通过符合性审查响应人的</w:t>
      </w:r>
      <w:r>
        <w:rPr>
          <w:rFonts w:hint="eastAsia" w:ascii="宋体" w:hAnsi="宋体"/>
          <w:color w:val="auto"/>
          <w:kern w:val="0"/>
          <w:szCs w:val="21"/>
          <w:highlight w:val="none"/>
        </w:rPr>
        <w:t>磋商报价</w:t>
      </w:r>
      <w:r>
        <w:rPr>
          <w:rFonts w:ascii="宋体" w:hAnsi="宋体"/>
          <w:color w:val="auto"/>
          <w:kern w:val="0"/>
          <w:szCs w:val="21"/>
          <w:highlight w:val="none"/>
        </w:rPr>
        <w:t>，有可能影响产品质量或者不能诚信履约的，应当要求其在评审现场合理的时间内提供书面说明，必要时提交相关证明材料；响应人不能证明其</w:t>
      </w:r>
      <w:r>
        <w:rPr>
          <w:rFonts w:hint="eastAsia" w:ascii="宋体" w:hAnsi="宋体"/>
          <w:color w:val="auto"/>
          <w:kern w:val="0"/>
          <w:szCs w:val="21"/>
          <w:highlight w:val="none"/>
        </w:rPr>
        <w:t>磋商报价</w:t>
      </w:r>
      <w:r>
        <w:rPr>
          <w:rFonts w:ascii="宋体" w:hAnsi="宋体"/>
          <w:color w:val="auto"/>
          <w:kern w:val="0"/>
          <w:szCs w:val="21"/>
          <w:highlight w:val="none"/>
        </w:rPr>
        <w:t>合理性的，磋商小组应当将其作为磋商无效处理。</w:t>
      </w:r>
      <w:bookmarkEnd w:id="99"/>
      <w:bookmarkEnd w:id="100"/>
      <w:bookmarkEnd w:id="101"/>
      <w:bookmarkEnd w:id="102"/>
      <w:bookmarkEnd w:id="103"/>
    </w:p>
    <w:p>
      <w:pPr>
        <w:spacing w:line="360" w:lineRule="auto"/>
        <w:ind w:firstLine="424" w:firstLineChars="202"/>
        <w:jc w:val="center"/>
        <w:outlineLvl w:val="1"/>
        <w:rPr>
          <w:b/>
          <w:color w:val="auto"/>
          <w:highlight w:val="none"/>
        </w:rPr>
      </w:pPr>
      <w:r>
        <w:rPr>
          <w:color w:val="auto"/>
          <w:highlight w:val="none"/>
        </w:rPr>
        <w:br w:type="page"/>
      </w:r>
      <w:bookmarkStart w:id="104" w:name="_Toc73550043"/>
      <w:bookmarkStart w:id="105" w:name="_Toc9020"/>
      <w:bookmarkStart w:id="106" w:name="_Toc44229897"/>
      <w:r>
        <w:rPr>
          <w:rFonts w:hint="eastAsia" w:ascii="Cambria" w:hAnsi="Cambria"/>
          <w:b/>
          <w:bCs/>
          <w:color w:val="auto"/>
          <w:sz w:val="32"/>
          <w:szCs w:val="32"/>
          <w:highlight w:val="none"/>
        </w:rPr>
        <w:t>第五章  响应文件格式</w:t>
      </w:r>
      <w:bookmarkEnd w:id="98"/>
      <w:bookmarkEnd w:id="104"/>
      <w:bookmarkEnd w:id="105"/>
      <w:bookmarkEnd w:id="106"/>
    </w:p>
    <w:p>
      <w:pPr>
        <w:spacing w:line="240" w:lineRule="atLeast"/>
        <w:rPr>
          <w:rFonts w:ascii="宋体" w:hAnsi="宋体"/>
          <w:b/>
          <w:color w:val="auto"/>
          <w:sz w:val="32"/>
          <w:szCs w:val="32"/>
          <w:highlight w:val="none"/>
        </w:rPr>
      </w:pPr>
      <w:bookmarkStart w:id="107" w:name="_Toc44229900"/>
    </w:p>
    <w:p>
      <w:pPr>
        <w:snapToGrid w:val="0"/>
        <w:spacing w:before="50" w:after="50"/>
        <w:rPr>
          <w:rFonts w:ascii="宋体" w:hAnsi="宋体"/>
          <w:b/>
          <w:bCs/>
          <w:color w:val="auto"/>
          <w:sz w:val="24"/>
          <w:highlight w:val="none"/>
        </w:rPr>
      </w:pPr>
    </w:p>
    <w:p>
      <w:pPr>
        <w:pStyle w:val="26"/>
        <w:rPr>
          <w:color w:val="auto"/>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宋体" w:hAnsi="宋体"/>
          <w:bCs/>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仿宋_GB2312" w:hAnsi="仿宋_GB2312" w:eastAsia="仿宋_GB2312" w:cs="仿宋_GB2312"/>
          <w:bCs/>
          <w:color w:val="auto"/>
          <w:sz w:val="32"/>
          <w:szCs w:val="32"/>
          <w:highlight w:val="none"/>
        </w:rPr>
      </w:pPr>
    </w:p>
    <w:p>
      <w:pPr>
        <w:snapToGrid w:val="0"/>
        <w:spacing w:before="120" w:beforeLines="50" w:after="50"/>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项目名称：</w:t>
      </w:r>
    </w:p>
    <w:p>
      <w:pPr>
        <w:snapToGrid w:val="0"/>
        <w:spacing w:before="120" w:beforeLines="50" w:after="50"/>
        <w:ind w:firstLine="480" w:firstLineChars="150"/>
        <w:rPr>
          <w:rFonts w:ascii="仿宋_GB2312" w:hAnsi="仿宋_GB2312" w:eastAsia="仿宋_GB2312" w:cs="仿宋_GB2312"/>
          <w:bCs/>
          <w:color w:val="auto"/>
          <w:sz w:val="32"/>
          <w:szCs w:val="32"/>
          <w:highlight w:val="none"/>
        </w:rPr>
      </w:pPr>
    </w:p>
    <w:p>
      <w:pPr>
        <w:snapToGrid w:val="0"/>
        <w:spacing w:before="120" w:beforeLines="50" w:after="50"/>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项目编号：</w:t>
      </w:r>
    </w:p>
    <w:p>
      <w:pPr>
        <w:snapToGrid w:val="0"/>
        <w:spacing w:before="120" w:beforeLines="50" w:after="50"/>
        <w:ind w:firstLine="480" w:firstLineChars="150"/>
        <w:rPr>
          <w:rFonts w:ascii="仿宋_GB2312" w:hAnsi="仿宋_GB2312" w:eastAsia="仿宋_GB2312" w:cs="仿宋_GB2312"/>
          <w:bCs/>
          <w:color w:val="auto"/>
          <w:sz w:val="32"/>
          <w:szCs w:val="32"/>
          <w:highlight w:val="none"/>
        </w:rPr>
      </w:pPr>
    </w:p>
    <w:p>
      <w:pPr>
        <w:snapToGrid w:val="0"/>
        <w:spacing w:before="120" w:beforeLines="50" w:after="50"/>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所竞分标（如有则填写，无分标时填写“无”或者留空）：</w:t>
      </w:r>
    </w:p>
    <w:p>
      <w:pPr>
        <w:snapToGrid w:val="0"/>
        <w:spacing w:before="120" w:beforeLines="50" w:after="50"/>
        <w:rPr>
          <w:rFonts w:ascii="仿宋_GB2312" w:hAnsi="仿宋_GB2312" w:eastAsia="仿宋_GB2312" w:cs="仿宋_GB2312"/>
          <w:bCs/>
          <w:color w:val="auto"/>
          <w:sz w:val="32"/>
          <w:szCs w:val="32"/>
          <w:highlight w:val="none"/>
        </w:rPr>
      </w:pPr>
    </w:p>
    <w:p>
      <w:pPr>
        <w:snapToGrid w:val="0"/>
        <w:spacing w:before="120" w:beforeLines="50" w:after="50"/>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供应商名称：</w:t>
      </w:r>
    </w:p>
    <w:p>
      <w:pPr>
        <w:snapToGrid w:val="0"/>
        <w:spacing w:before="120" w:beforeLines="50" w:after="50"/>
        <w:rPr>
          <w:rFonts w:ascii="仿宋_GB2312" w:hAnsi="仿宋_GB2312" w:eastAsia="仿宋_GB2312" w:cs="仿宋_GB2312"/>
          <w:bCs/>
          <w:color w:val="auto"/>
          <w:sz w:val="32"/>
          <w:szCs w:val="32"/>
          <w:highlight w:val="none"/>
        </w:rPr>
      </w:pPr>
    </w:p>
    <w:p>
      <w:pPr>
        <w:snapToGrid w:val="0"/>
        <w:spacing w:before="120" w:beforeLines="50" w:after="50"/>
        <w:ind w:firstLine="480" w:firstLineChars="150"/>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首次响应文件提交截止时间前不得解密</w:t>
      </w:r>
    </w:p>
    <w:p>
      <w:pPr>
        <w:snapToGrid w:val="0"/>
        <w:spacing w:before="120" w:beforeLines="50" w:after="50"/>
        <w:ind w:firstLine="5440" w:firstLineChars="1700"/>
        <w:jc w:val="center"/>
        <w:rPr>
          <w:rFonts w:ascii="仿宋_GB2312" w:hAnsi="仿宋_GB2312" w:eastAsia="仿宋_GB2312" w:cs="仿宋_GB2312"/>
          <w:bCs/>
          <w:color w:val="auto"/>
          <w:sz w:val="32"/>
          <w:szCs w:val="32"/>
          <w:highlight w:val="none"/>
        </w:rPr>
      </w:pPr>
    </w:p>
    <w:p>
      <w:pPr>
        <w:snapToGrid w:val="0"/>
        <w:spacing w:before="120" w:beforeLines="50" w:after="50"/>
        <w:ind w:firstLine="645"/>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年    月    日</w:t>
      </w:r>
    </w:p>
    <w:p>
      <w:pPr>
        <w:spacing w:line="240" w:lineRule="atLeast"/>
        <w:rPr>
          <w:rFonts w:ascii="宋体" w:hAnsi="宋体"/>
          <w:bCs/>
          <w:color w:val="auto"/>
          <w:sz w:val="24"/>
          <w:highlight w:val="none"/>
        </w:rPr>
      </w:pPr>
      <w:r>
        <w:rPr>
          <w:rFonts w:ascii="宋体" w:hAnsi="宋体"/>
          <w:bCs/>
          <w:color w:val="auto"/>
          <w:sz w:val="24"/>
          <w:highlight w:val="none"/>
        </w:rPr>
        <w:br w:type="page"/>
      </w:r>
    </w:p>
    <w:p>
      <w:pPr>
        <w:snapToGrid w:val="0"/>
        <w:spacing w:before="120" w:beforeLines="50" w:after="50"/>
        <w:jc w:val="center"/>
        <w:rPr>
          <w:rFonts w:ascii="仿宋_GB2312" w:hAnsi="仿宋_GB2312" w:eastAsia="仿宋_GB2312" w:cs="仿宋_GB2312"/>
          <w:bCs/>
          <w:color w:val="auto"/>
          <w:sz w:val="32"/>
          <w:szCs w:val="32"/>
          <w:highlight w:val="none"/>
        </w:rPr>
      </w:pPr>
    </w:p>
    <w:p>
      <w:pPr>
        <w:snapToGrid w:val="0"/>
        <w:spacing w:before="120" w:beforeLines="50" w:after="50" w:line="360" w:lineRule="auto"/>
        <w:rPr>
          <w:rFonts w:ascii="宋体" w:hAnsi="宋体"/>
          <w:b/>
          <w:bCs/>
          <w:color w:val="auto"/>
          <w:sz w:val="32"/>
          <w:szCs w:val="32"/>
          <w:highlight w:val="none"/>
        </w:rPr>
      </w:pPr>
      <w:bookmarkStart w:id="108" w:name="_Toc15514"/>
      <w:bookmarkStart w:id="109" w:name="_Toc31723070"/>
      <w:bookmarkStart w:id="110" w:name="_Toc35611516"/>
      <w:bookmarkStart w:id="111" w:name="_Toc44229899"/>
      <w:bookmarkStart w:id="112" w:name="_Toc35611438"/>
      <w:bookmarkStart w:id="113" w:name="_Toc31728084"/>
      <w:bookmarkStart w:id="114" w:name="_Toc73550045"/>
      <w:r>
        <w:rPr>
          <w:rFonts w:hint="eastAsia" w:ascii="宋体" w:hAnsi="宋体"/>
          <w:b/>
          <w:bCs/>
          <w:color w:val="auto"/>
          <w:sz w:val="32"/>
          <w:szCs w:val="32"/>
          <w:highlight w:val="none"/>
        </w:rPr>
        <w:t>一、资格证明文件格式</w:t>
      </w:r>
      <w:bookmarkEnd w:id="108"/>
      <w:bookmarkEnd w:id="109"/>
      <w:bookmarkEnd w:id="110"/>
      <w:bookmarkEnd w:id="111"/>
      <w:bookmarkEnd w:id="112"/>
      <w:bookmarkEnd w:id="113"/>
      <w:bookmarkEnd w:id="114"/>
    </w:p>
    <w:p>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p>
    <w:p>
      <w:pPr>
        <w:snapToGrid w:val="0"/>
        <w:spacing w:before="120" w:beforeLines="50" w:after="50"/>
        <w:rPr>
          <w:rFonts w:ascii="宋体" w:hAnsi="宋体"/>
          <w:color w:val="auto"/>
          <w:sz w:val="24"/>
          <w:szCs w:val="20"/>
          <w:highlight w:val="none"/>
        </w:rPr>
      </w:pPr>
      <w:r>
        <w:rPr>
          <w:rFonts w:hint="eastAsia"/>
          <w:bCs/>
          <w:color w:val="auto"/>
          <w:highlight w:val="none"/>
        </w:rPr>
        <w:t>全流程电子文件</w:t>
      </w: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项目名称：</w:t>
      </w:r>
    </w:p>
    <w:p>
      <w:pPr>
        <w:snapToGrid w:val="0"/>
        <w:spacing w:before="120" w:beforeLines="50" w:after="50"/>
        <w:ind w:firstLine="720" w:firstLineChars="225"/>
        <w:rPr>
          <w:rFonts w:ascii="仿宋_GB2312" w:hAnsi="仿宋_GB2312" w:eastAsia="仿宋_GB2312" w:cs="仿宋_GB2312"/>
          <w:bCs/>
          <w:color w:val="auto"/>
          <w:sz w:val="32"/>
          <w:szCs w:val="32"/>
          <w:highlight w:val="none"/>
        </w:rPr>
      </w:pPr>
    </w:p>
    <w:p>
      <w:pPr>
        <w:snapToGrid w:val="0"/>
        <w:spacing w:before="120" w:beforeLines="50" w:after="50"/>
        <w:ind w:firstLine="720" w:firstLineChars="225"/>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项目编号：</w:t>
      </w:r>
    </w:p>
    <w:p>
      <w:pPr>
        <w:snapToGrid w:val="0"/>
        <w:spacing w:before="120" w:beforeLines="50" w:after="50"/>
        <w:ind w:firstLine="720" w:firstLineChars="225"/>
        <w:rPr>
          <w:rFonts w:ascii="仿宋_GB2312" w:hAnsi="仿宋_GB2312" w:eastAsia="仿宋_GB2312" w:cs="仿宋_GB2312"/>
          <w:bCs/>
          <w:color w:val="auto"/>
          <w:sz w:val="32"/>
          <w:szCs w:val="32"/>
          <w:highlight w:val="none"/>
        </w:rPr>
      </w:pPr>
    </w:p>
    <w:p>
      <w:pPr>
        <w:snapToGrid w:val="0"/>
        <w:spacing w:before="120" w:beforeLines="50" w:after="50"/>
        <w:ind w:firstLine="720" w:firstLineChars="225"/>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ascii="仿宋_GB2312" w:hAnsi="仿宋_GB2312" w:eastAsia="仿宋_GB2312" w:cs="仿宋_GB2312"/>
          <w:bCs/>
          <w:color w:val="auto"/>
          <w:sz w:val="32"/>
          <w:szCs w:val="32"/>
          <w:highlight w:val="none"/>
        </w:rPr>
      </w:pPr>
    </w:p>
    <w:p>
      <w:pPr>
        <w:pStyle w:val="8"/>
        <w:snapToGrid w:val="0"/>
        <w:spacing w:before="50" w:after="50"/>
        <w:ind w:firstLine="720" w:firstLineChars="225"/>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供应商名称：</w:t>
      </w:r>
    </w:p>
    <w:p>
      <w:pPr>
        <w:pStyle w:val="8"/>
        <w:snapToGrid w:val="0"/>
        <w:spacing w:before="50" w:after="50"/>
        <w:ind w:firstLine="720" w:firstLineChars="225"/>
        <w:rPr>
          <w:rFonts w:ascii="仿宋_GB2312" w:hAnsi="仿宋_GB2312" w:eastAsia="仿宋_GB2312" w:cs="仿宋_GB2312"/>
          <w:bCs/>
          <w:color w:val="auto"/>
          <w:sz w:val="32"/>
          <w:szCs w:val="32"/>
          <w:highlight w:val="none"/>
        </w:rPr>
      </w:pPr>
    </w:p>
    <w:p>
      <w:pPr>
        <w:pStyle w:val="8"/>
        <w:snapToGrid w:val="0"/>
        <w:spacing w:before="50" w:after="50"/>
        <w:ind w:firstLine="720" w:firstLineChars="225"/>
        <w:rPr>
          <w:rFonts w:ascii="仿宋_GB2312" w:hAnsi="仿宋_GB2312" w:eastAsia="仿宋_GB2312" w:cs="仿宋_GB2312"/>
          <w:bCs/>
          <w:color w:val="auto"/>
          <w:sz w:val="32"/>
          <w:szCs w:val="32"/>
          <w:highlight w:val="none"/>
        </w:rPr>
      </w:pPr>
    </w:p>
    <w:p>
      <w:pPr>
        <w:pStyle w:val="8"/>
        <w:snapToGrid w:val="0"/>
        <w:spacing w:before="50" w:after="50"/>
        <w:ind w:firstLine="720" w:firstLineChars="225"/>
        <w:rPr>
          <w:rFonts w:ascii="仿宋_GB2312" w:hAnsi="仿宋_GB2312" w:eastAsia="仿宋_GB2312" w:cs="仿宋_GB2312"/>
          <w:bCs/>
          <w:color w:val="auto"/>
          <w:sz w:val="32"/>
          <w:szCs w:val="32"/>
          <w:highlight w:val="none"/>
        </w:rPr>
      </w:pPr>
    </w:p>
    <w:p>
      <w:pPr>
        <w:pStyle w:val="8"/>
        <w:snapToGrid w:val="0"/>
        <w:spacing w:before="50" w:after="50"/>
        <w:ind w:firstLine="1280" w:firstLineChars="400"/>
        <w:rPr>
          <w:rFonts w:ascii="仿宋_GB2312" w:hAnsi="仿宋_GB2312" w:eastAsia="仿宋_GB2312" w:cs="仿宋_GB2312"/>
          <w:bCs/>
          <w:color w:val="auto"/>
          <w:sz w:val="32"/>
          <w:szCs w:val="32"/>
          <w:highlight w:val="none"/>
        </w:rPr>
      </w:pPr>
    </w:p>
    <w:p>
      <w:pPr>
        <w:snapToGrid w:val="0"/>
        <w:spacing w:before="120" w:beforeLines="50" w:after="50"/>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    月    日</w:t>
      </w:r>
    </w:p>
    <w:p>
      <w:pPr>
        <w:snapToGrid w:val="0"/>
        <w:spacing w:before="120" w:beforeLines="50" w:after="50" w:line="360" w:lineRule="auto"/>
        <w:ind w:left="142"/>
        <w:jc w:val="center"/>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pPr>
        <w:snapToGrid w:val="0"/>
        <w:spacing w:before="120"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pPr>
        <w:snapToGrid w:val="0"/>
        <w:spacing w:before="120" w:beforeLines="50" w:after="50"/>
        <w:rPr>
          <w:rFonts w:ascii="宋体" w:hAnsi="宋体"/>
          <w:color w:val="auto"/>
          <w:sz w:val="24"/>
          <w:szCs w:val="20"/>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60" w:lineRule="auto"/>
        <w:ind w:firstLine="554" w:firstLineChars="198"/>
        <w:contextualSpacing/>
        <w:jc w:val="center"/>
        <w:rPr>
          <w:rFonts w:ascii="宋体" w:hAnsi="宋体" w:cs="宋体"/>
          <w:b/>
          <w:color w:val="auto"/>
          <w:kern w:val="0"/>
          <w:sz w:val="30"/>
          <w:szCs w:val="30"/>
          <w:highlight w:val="none"/>
        </w:rPr>
      </w:pPr>
      <w:r>
        <w:rPr>
          <w:rFonts w:ascii="宋体" w:hAnsi="宋体"/>
          <w:color w:val="auto"/>
          <w:sz w:val="28"/>
          <w:szCs w:val="28"/>
          <w:highlight w:val="none"/>
        </w:rPr>
        <w:br w:type="page"/>
      </w:r>
      <w:r>
        <w:rPr>
          <w:rFonts w:hint="eastAsia" w:ascii="宋体" w:hAnsi="宋体" w:cs="宋体"/>
          <w:b/>
          <w:color w:val="auto"/>
          <w:kern w:val="0"/>
          <w:sz w:val="30"/>
          <w:szCs w:val="30"/>
          <w:highlight w:val="none"/>
        </w:rPr>
        <w:t>供应商直接控股股东信息</w:t>
      </w:r>
    </w:p>
    <w:p>
      <w:pPr>
        <w:spacing w:line="360" w:lineRule="auto"/>
        <w:contextualSpacing/>
        <w:jc w:val="center"/>
        <w:rPr>
          <w:rFonts w:ascii="宋体" w:hAnsi="宋体" w:cs="宋体"/>
          <w:b/>
          <w:color w:val="auto"/>
          <w:sz w:val="24"/>
          <w:highlight w:val="none"/>
        </w:rPr>
      </w:pPr>
    </w:p>
    <w:tbl>
      <w:tblPr>
        <w:tblStyle w:val="32"/>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bl>
    <w:p>
      <w:pPr>
        <w:spacing w:line="360" w:lineRule="auto"/>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3.供应商不存在直接控股股东的，则填“无”。</w:t>
      </w: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snapToGrid w:val="0"/>
        <w:rPr>
          <w:rFonts w:ascii="宋体" w:hAnsi="宋体" w:cs="宋体"/>
          <w:b/>
          <w:color w:val="auto"/>
          <w:kern w:val="0"/>
          <w:sz w:val="30"/>
          <w:szCs w:val="30"/>
          <w:highlight w:val="none"/>
        </w:rPr>
      </w:pPr>
    </w:p>
    <w:p>
      <w:pPr>
        <w:snapToGrid w:val="0"/>
        <w:ind w:firstLine="596" w:firstLineChars="198"/>
        <w:jc w:val="center"/>
        <w:rPr>
          <w:rFonts w:ascii="宋体" w:hAnsi="宋体" w:cs="宋体"/>
          <w:b/>
          <w:color w:val="auto"/>
          <w:kern w:val="0"/>
          <w:sz w:val="30"/>
          <w:szCs w:val="30"/>
          <w:highlight w:val="none"/>
        </w:rPr>
      </w:pPr>
    </w:p>
    <w:p>
      <w:pPr>
        <w:snapToGrid w:val="0"/>
        <w:ind w:firstLine="596" w:firstLineChars="198"/>
        <w:jc w:val="center"/>
        <w:rPr>
          <w:rFonts w:ascii="宋体" w:hAnsi="宋体" w:cs="宋体"/>
          <w:b/>
          <w:color w:val="auto"/>
          <w:kern w:val="0"/>
          <w:sz w:val="30"/>
          <w:szCs w:val="30"/>
          <w:highlight w:val="none"/>
        </w:rPr>
      </w:pPr>
    </w:p>
    <w:p>
      <w:pPr>
        <w:snapToGrid w:val="0"/>
        <w:ind w:firstLine="596" w:firstLineChars="198"/>
        <w:jc w:val="center"/>
        <w:rPr>
          <w:rFonts w:ascii="宋体" w:hAnsi="宋体" w:cs="宋体"/>
          <w:b/>
          <w:color w:val="auto"/>
          <w:kern w:val="0"/>
          <w:sz w:val="30"/>
          <w:szCs w:val="30"/>
          <w:highlight w:val="none"/>
        </w:rPr>
      </w:pPr>
    </w:p>
    <w:p>
      <w:pPr>
        <w:snapToGrid w:val="0"/>
        <w:ind w:firstLine="596" w:firstLineChars="198"/>
        <w:jc w:val="center"/>
        <w:rPr>
          <w:rFonts w:ascii="宋体" w:hAnsi="宋体" w:cs="宋体"/>
          <w:b/>
          <w:color w:val="auto"/>
          <w:kern w:val="0"/>
          <w:sz w:val="30"/>
          <w:szCs w:val="30"/>
          <w:highlight w:val="none"/>
        </w:rPr>
      </w:pPr>
    </w:p>
    <w:p>
      <w:pPr>
        <w:snapToGrid w:val="0"/>
        <w:ind w:firstLine="596" w:firstLineChars="198"/>
        <w:jc w:val="center"/>
        <w:rPr>
          <w:rFonts w:ascii="宋体" w:hAnsi="宋体" w:cs="宋体"/>
          <w:b/>
          <w:color w:val="auto"/>
          <w:kern w:val="0"/>
          <w:sz w:val="30"/>
          <w:szCs w:val="30"/>
          <w:highlight w:val="none"/>
        </w:rPr>
      </w:pPr>
    </w:p>
    <w:p>
      <w:pPr>
        <w:snapToGrid w:val="0"/>
        <w:ind w:firstLine="596" w:firstLineChars="198"/>
        <w:jc w:val="center"/>
        <w:rPr>
          <w:rFonts w:ascii="宋体" w:hAnsi="宋体" w:cs="宋体"/>
          <w:b/>
          <w:color w:val="auto"/>
          <w:kern w:val="0"/>
          <w:sz w:val="30"/>
          <w:szCs w:val="30"/>
          <w:highlight w:val="none"/>
        </w:rPr>
      </w:pPr>
    </w:p>
    <w:p>
      <w:pPr>
        <w:snapToGrid w:val="0"/>
        <w:ind w:firstLine="596" w:firstLineChars="198"/>
        <w:jc w:val="center"/>
        <w:rPr>
          <w:rFonts w:ascii="宋体" w:hAnsi="宋体" w:cs="宋体"/>
          <w:b/>
          <w:color w:val="auto"/>
          <w:kern w:val="0"/>
          <w:sz w:val="30"/>
          <w:szCs w:val="30"/>
          <w:highlight w:val="none"/>
        </w:rPr>
      </w:pPr>
    </w:p>
    <w:p>
      <w:pPr>
        <w:snapToGrid w:val="0"/>
        <w:ind w:firstLine="596" w:firstLineChars="198"/>
        <w:jc w:val="center"/>
        <w:rPr>
          <w:rFonts w:ascii="宋体" w:hAnsi="宋体" w:cs="宋体"/>
          <w:b/>
          <w:color w:val="auto"/>
          <w:kern w:val="0"/>
          <w:sz w:val="30"/>
          <w:szCs w:val="30"/>
          <w:highlight w:val="none"/>
        </w:rPr>
      </w:pPr>
    </w:p>
    <w:p>
      <w:pPr>
        <w:snapToGrid w:val="0"/>
        <w:ind w:firstLine="596" w:firstLineChars="198"/>
        <w:jc w:val="center"/>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供应商直接管理关系信息表</w:t>
      </w:r>
    </w:p>
    <w:p>
      <w:pPr>
        <w:snapToGrid w:val="0"/>
        <w:spacing w:line="360" w:lineRule="auto"/>
        <w:jc w:val="center"/>
        <w:rPr>
          <w:rFonts w:ascii="宋体" w:hAnsi="宋体" w:cs="宋体"/>
          <w:b/>
          <w:color w:val="auto"/>
          <w:sz w:val="24"/>
          <w:highlight w:val="none"/>
        </w:rPr>
      </w:pPr>
    </w:p>
    <w:tbl>
      <w:tblPr>
        <w:tblStyle w:val="3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bl>
    <w:p>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2.本表所指的管理关系仅限于直接管理关系，不包括间接的管理关系。</w:t>
      </w:r>
    </w:p>
    <w:p>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3.供应商不存在直接管理关系的，则填“无”。</w:t>
      </w:r>
    </w:p>
    <w:p>
      <w:pPr>
        <w:spacing w:line="360" w:lineRule="auto"/>
        <w:contextualSpacing/>
        <w:jc w:val="left"/>
        <w:rPr>
          <w:rFonts w:ascii="宋体" w:hAnsi="宋体" w:cs="宋体"/>
          <w:color w:val="auto"/>
          <w:sz w:val="24"/>
          <w:highlight w:val="none"/>
        </w:rPr>
      </w:pPr>
    </w:p>
    <w:p>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spacing w:line="320" w:lineRule="exact"/>
        <w:jc w:val="center"/>
        <w:rPr>
          <w:rFonts w:ascii="宋体" w:hAnsi="宋体"/>
          <w:color w:val="auto"/>
          <w:sz w:val="28"/>
          <w:szCs w:val="28"/>
          <w:highlight w:val="none"/>
        </w:rPr>
      </w:pPr>
    </w:p>
    <w:p>
      <w:pPr>
        <w:spacing w:line="320" w:lineRule="exact"/>
        <w:jc w:val="center"/>
        <w:rPr>
          <w:rFonts w:ascii="宋体" w:hAnsi="宋体"/>
          <w:color w:val="auto"/>
          <w:sz w:val="28"/>
          <w:szCs w:val="28"/>
          <w:highlight w:val="none"/>
        </w:rPr>
      </w:pPr>
    </w:p>
    <w:p>
      <w:pPr>
        <w:spacing w:line="320" w:lineRule="exact"/>
        <w:jc w:val="center"/>
        <w:rPr>
          <w:rFonts w:ascii="宋体" w:hAnsi="宋体"/>
          <w:color w:val="auto"/>
          <w:sz w:val="28"/>
          <w:szCs w:val="28"/>
          <w:highlight w:val="none"/>
        </w:rPr>
      </w:pPr>
    </w:p>
    <w:p>
      <w:pPr>
        <w:pStyle w:val="31"/>
        <w:ind w:firstLine="280"/>
        <w:rPr>
          <w:rFonts w:hAnsi="宋体"/>
          <w:color w:val="auto"/>
          <w:sz w:val="28"/>
          <w:szCs w:val="28"/>
          <w:highlight w:val="none"/>
        </w:rPr>
      </w:pPr>
    </w:p>
    <w:p>
      <w:pPr>
        <w:pStyle w:val="31"/>
        <w:ind w:firstLine="280"/>
        <w:rPr>
          <w:rFonts w:hAnsi="宋体"/>
          <w:color w:val="auto"/>
          <w:sz w:val="28"/>
          <w:szCs w:val="28"/>
          <w:highlight w:val="none"/>
        </w:rPr>
      </w:pPr>
    </w:p>
    <w:p>
      <w:pPr>
        <w:pStyle w:val="31"/>
        <w:ind w:firstLine="280"/>
        <w:rPr>
          <w:rFonts w:hAnsi="宋体"/>
          <w:color w:val="auto"/>
          <w:sz w:val="28"/>
          <w:szCs w:val="28"/>
          <w:highlight w:val="none"/>
        </w:rPr>
      </w:pPr>
    </w:p>
    <w:p>
      <w:pPr>
        <w:pStyle w:val="31"/>
        <w:ind w:firstLine="280"/>
        <w:rPr>
          <w:rFonts w:hAnsi="宋体"/>
          <w:color w:val="auto"/>
          <w:sz w:val="28"/>
          <w:szCs w:val="28"/>
          <w:highlight w:val="none"/>
        </w:rPr>
      </w:pPr>
    </w:p>
    <w:p>
      <w:pPr>
        <w:pStyle w:val="31"/>
        <w:ind w:firstLine="280"/>
        <w:rPr>
          <w:rFonts w:hAnsi="宋体"/>
          <w:color w:val="auto"/>
          <w:sz w:val="28"/>
          <w:szCs w:val="28"/>
          <w:highlight w:val="none"/>
        </w:rPr>
      </w:pPr>
    </w:p>
    <w:p>
      <w:pPr>
        <w:pStyle w:val="31"/>
        <w:ind w:firstLine="280"/>
        <w:rPr>
          <w:rFonts w:hAnsi="宋体"/>
          <w:color w:val="auto"/>
          <w:sz w:val="28"/>
          <w:szCs w:val="28"/>
          <w:highlight w:val="none"/>
        </w:rPr>
      </w:pPr>
    </w:p>
    <w:p>
      <w:pPr>
        <w:pStyle w:val="31"/>
        <w:ind w:firstLine="280"/>
        <w:rPr>
          <w:rFonts w:hAnsi="宋体"/>
          <w:color w:val="auto"/>
          <w:sz w:val="28"/>
          <w:szCs w:val="28"/>
          <w:highlight w:val="none"/>
        </w:rPr>
      </w:pPr>
    </w:p>
    <w:p>
      <w:pPr>
        <w:pStyle w:val="31"/>
        <w:ind w:firstLine="280"/>
        <w:rPr>
          <w:rFonts w:hAnsi="宋体"/>
          <w:color w:val="auto"/>
          <w:sz w:val="28"/>
          <w:szCs w:val="28"/>
          <w:highlight w:val="none"/>
        </w:rPr>
      </w:pPr>
    </w:p>
    <w:p>
      <w:pPr>
        <w:pStyle w:val="31"/>
        <w:ind w:firstLine="280"/>
        <w:rPr>
          <w:rFonts w:hAnsi="宋体"/>
          <w:color w:val="auto"/>
          <w:sz w:val="28"/>
          <w:szCs w:val="28"/>
          <w:highlight w:val="none"/>
        </w:rPr>
      </w:pPr>
    </w:p>
    <w:p>
      <w:pPr>
        <w:pStyle w:val="31"/>
        <w:ind w:firstLine="280"/>
        <w:rPr>
          <w:rFonts w:hAnsi="宋体"/>
          <w:color w:val="auto"/>
          <w:sz w:val="28"/>
          <w:szCs w:val="28"/>
          <w:highlight w:val="none"/>
        </w:rPr>
      </w:pPr>
    </w:p>
    <w:p>
      <w:pPr>
        <w:pStyle w:val="31"/>
        <w:ind w:firstLine="280"/>
        <w:rPr>
          <w:rFonts w:hAnsi="宋体"/>
          <w:color w:val="auto"/>
          <w:sz w:val="28"/>
          <w:szCs w:val="28"/>
          <w:highlight w:val="none"/>
        </w:rPr>
      </w:pPr>
    </w:p>
    <w:p>
      <w:pPr>
        <w:pStyle w:val="31"/>
        <w:ind w:firstLine="280"/>
        <w:rPr>
          <w:rFonts w:hAnsi="宋体"/>
          <w:color w:val="auto"/>
          <w:sz w:val="28"/>
          <w:szCs w:val="28"/>
          <w:highlight w:val="none"/>
        </w:rPr>
      </w:pPr>
    </w:p>
    <w:p>
      <w:pPr>
        <w:pStyle w:val="31"/>
        <w:ind w:firstLine="280"/>
        <w:rPr>
          <w:rFonts w:hAnsi="宋体"/>
          <w:color w:val="auto"/>
          <w:sz w:val="28"/>
          <w:szCs w:val="28"/>
          <w:highlight w:val="none"/>
        </w:rPr>
      </w:pPr>
    </w:p>
    <w:p>
      <w:pPr>
        <w:pStyle w:val="31"/>
        <w:ind w:firstLine="280"/>
        <w:rPr>
          <w:rFonts w:hAnsi="宋体"/>
          <w:color w:val="auto"/>
          <w:sz w:val="28"/>
          <w:szCs w:val="28"/>
          <w:highlight w:val="none"/>
        </w:rPr>
      </w:pPr>
    </w:p>
    <w:p>
      <w:pPr>
        <w:spacing w:line="320" w:lineRule="exact"/>
        <w:jc w:val="center"/>
        <w:rPr>
          <w:rFonts w:ascii="宋体" w:hAnsi="宋体"/>
          <w:color w:val="auto"/>
          <w:sz w:val="28"/>
          <w:szCs w:val="28"/>
          <w:highlight w:val="none"/>
        </w:rPr>
      </w:pPr>
    </w:p>
    <w:p>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竞标声明</w:t>
      </w:r>
    </w:p>
    <w:p>
      <w:pPr>
        <w:spacing w:line="320" w:lineRule="exact"/>
        <w:jc w:val="center"/>
        <w:rPr>
          <w:rFonts w:ascii="宋体" w:hAnsi="宋体"/>
          <w:color w:val="auto"/>
          <w:sz w:val="24"/>
          <w:szCs w:val="20"/>
          <w:highlight w:val="none"/>
        </w:rPr>
      </w:pPr>
    </w:p>
    <w:p>
      <w:pPr>
        <w:spacing w:before="120" w:beforeLines="50" w:after="50" w:line="420" w:lineRule="exact"/>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（采购人名称或采购代理机构名称）</w:t>
      </w:r>
      <w:r>
        <w:rPr>
          <w:rFonts w:hint="eastAsia" w:ascii="宋体" w:hAnsi="宋体" w:cs="宋体"/>
          <w:color w:val="auto"/>
          <w:sz w:val="24"/>
          <w:highlight w:val="none"/>
        </w:rPr>
        <w:t>：</w:t>
      </w:r>
    </w:p>
    <w:p>
      <w:pPr>
        <w:spacing w:before="120" w:beforeLines="50" w:after="50" w:line="420" w:lineRule="exact"/>
        <w:ind w:firstLine="480" w:firstLineChars="200"/>
        <w:contextualSpacing/>
        <w:rPr>
          <w:rFonts w:ascii="宋体" w:hAnsi="宋体" w:cs="宋体"/>
          <w:color w:val="auto"/>
          <w:sz w:val="24"/>
          <w:highlight w:val="none"/>
          <w:u w:val="single"/>
        </w:rPr>
      </w:pPr>
    </w:p>
    <w:p>
      <w:pPr>
        <w:spacing w:before="120" w:beforeLines="50" w:after="50" w:line="42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pPr>
        <w:spacing w:before="120" w:beforeLines="50" w:line="42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pPr>
        <w:spacing w:before="120" w:beforeLines="50" w:line="42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pPr>
        <w:spacing w:before="120" w:beforeLines="50" w:line="42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before="120" w:beforeLines="50" w:line="42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pPr>
        <w:spacing w:before="120" w:beforeLines="50" w:line="42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pPr>
        <w:spacing w:before="120" w:beforeLines="50" w:line="42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pPr>
        <w:spacing w:before="120" w:beforeLines="50" w:line="42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pPr>
        <w:spacing w:before="120" w:beforeLines="50" w:line="42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pPr>
        <w:spacing w:before="120" w:beforeLines="50" w:line="42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pPr>
        <w:spacing w:before="120" w:beforeLines="50" w:line="42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before="120" w:beforeLines="50" w:line="42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before="120" w:beforeLines="50" w:line="42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before="120" w:beforeLines="50" w:line="42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before="120" w:beforeLines="50" w:line="42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pacing w:before="120" w:beforeLines="50" w:line="42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spacing w:before="120" w:beforeLines="50" w:line="42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税收违法黑名单、政府采购严重违法失信行为记录名单，完全符合《中华人民共和国政府采购法》第二十二条规定的供应商资格条件，我方对此声明负全部法律责任。</w:t>
      </w:r>
    </w:p>
    <w:p>
      <w:pPr>
        <w:spacing w:before="120" w:beforeLines="50" w:line="42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42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pPr>
        <w:spacing w:line="42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ascii="宋体" w:hAnsi="宋体" w:cs="宋体"/>
          <w:color w:val="auto"/>
          <w:sz w:val="24"/>
          <w:highlight w:val="none"/>
        </w:rPr>
        <w:t xml:space="preserve"> </w:t>
      </w:r>
    </w:p>
    <w:p>
      <w:pPr>
        <w:spacing w:line="360" w:lineRule="auto"/>
        <w:ind w:firstLine="480" w:firstLineChars="200"/>
        <w:contextualSpacing/>
        <w:rPr>
          <w:rFonts w:ascii="宋体" w:hAnsi="宋体" w:cs="宋体"/>
          <w:color w:val="auto"/>
          <w:kern w:val="0"/>
          <w:sz w:val="24"/>
          <w:highlight w:val="none"/>
          <w:u w:val="single"/>
        </w:rPr>
      </w:pPr>
      <w:r>
        <w:rPr>
          <w:rFonts w:hint="eastAsia" w:ascii="宋体" w:hAnsi="宋体" w:cs="宋体"/>
          <w:color w:val="auto"/>
          <w:sz w:val="24"/>
          <w:highlight w:val="none"/>
        </w:rPr>
        <w:t>7.</w:t>
      </w:r>
      <w:r>
        <w:rPr>
          <w:rFonts w:hint="eastAsia" w:ascii="宋体" w:hAnsi="宋体" w:cs="宋体"/>
          <w:color w:val="auto"/>
          <w:kern w:val="0"/>
          <w:sz w:val="24"/>
          <w:highlight w:val="none"/>
        </w:rPr>
        <w:t>与本磋商有关的一切正式往来信函请寄：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邮政编号：</w:t>
      </w:r>
      <w:r>
        <w:rPr>
          <w:rFonts w:hint="eastAsia" w:ascii="宋体" w:hAnsi="宋体" w:cs="宋体"/>
          <w:color w:val="auto"/>
          <w:kern w:val="0"/>
          <w:sz w:val="24"/>
          <w:highlight w:val="none"/>
          <w:u w:val="single"/>
        </w:rPr>
        <w:t xml:space="preserve">        </w:t>
      </w:r>
    </w:p>
    <w:p>
      <w:pPr>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电话/传真：</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电子函件：</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pPr>
        <w:tabs>
          <w:tab w:val="left" w:pos="939"/>
        </w:tabs>
        <w:spacing w:line="360" w:lineRule="auto"/>
        <w:ind w:left="141" w:leftChars="67" w:firstLine="360" w:firstLineChars="150"/>
        <w:contextualSpacing/>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pPr>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8.以上事项如有虚假或者隐瞒，我方愿意承担一切后果，并不再寻求任何旨在减轻或者免除法律责任的辩解。</w:t>
      </w:r>
    </w:p>
    <w:p>
      <w:pPr>
        <w:pStyle w:val="19"/>
        <w:tabs>
          <w:tab w:val="left" w:pos="939"/>
        </w:tabs>
        <w:spacing w:line="420" w:lineRule="exact"/>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pPr>
        <w:pStyle w:val="19"/>
        <w:tabs>
          <w:tab w:val="left" w:pos="939"/>
        </w:tabs>
        <w:spacing w:line="42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注：如为联合体竞标，盖章处须加盖联合体各方公章并由联合体各方法定代表人签署，否则其响应文件按无效响应处理。</w:t>
      </w:r>
    </w:p>
    <w:p>
      <w:pPr>
        <w:spacing w:line="420" w:lineRule="exact"/>
        <w:ind w:firstLine="4320" w:firstLineChars="1800"/>
        <w:rPr>
          <w:rFonts w:ascii="宋体" w:hAnsi="宋体" w:cs="宋体"/>
          <w:color w:val="auto"/>
          <w:sz w:val="24"/>
          <w:highlight w:val="none"/>
        </w:rPr>
      </w:pPr>
    </w:p>
    <w:p>
      <w:pPr>
        <w:spacing w:line="420" w:lineRule="exact"/>
        <w:ind w:firstLine="4320" w:firstLineChars="1800"/>
        <w:rPr>
          <w:rFonts w:ascii="宋体" w:hAnsi="宋体" w:cs="宋体"/>
          <w:color w:val="auto"/>
          <w:sz w:val="24"/>
          <w:highlight w:val="none"/>
        </w:rPr>
      </w:pPr>
    </w:p>
    <w:p>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snapToGrid w:val="0"/>
        <w:spacing w:before="120" w:beforeLines="50" w:after="50" w:line="420" w:lineRule="exact"/>
        <w:ind w:right="480" w:firstLine="240" w:firstLineChars="100"/>
        <w:jc w:val="center"/>
        <w:rPr>
          <w:rFonts w:ascii="宋体" w:hAnsi="宋体" w:cs="宋体"/>
          <w:color w:val="auto"/>
          <w:sz w:val="28"/>
          <w:szCs w:val="28"/>
          <w:highlight w:val="none"/>
        </w:rPr>
      </w:pPr>
      <w:r>
        <w:rPr>
          <w:rFonts w:hint="eastAsia" w:ascii="宋体" w:hAnsi="宋体" w:cs="宋体"/>
          <w:color w:val="auto"/>
          <w:sz w:val="24"/>
          <w:highlight w:val="none"/>
        </w:rPr>
        <w:t xml:space="preserve">                                                   年    月    日</w:t>
      </w:r>
    </w:p>
    <w:p>
      <w:pPr>
        <w:autoSpaceDE w:val="0"/>
        <w:autoSpaceDN w:val="0"/>
        <w:spacing w:line="360" w:lineRule="auto"/>
        <w:ind w:firstLine="7140" w:firstLineChars="2550"/>
        <w:rPr>
          <w:rFonts w:ascii="仿宋_GB2312" w:hAnsi="仿宋" w:eastAsia="仿宋_GB2312" w:cs="仿宋_GB2312"/>
          <w:color w:val="auto"/>
          <w:kern w:val="0"/>
          <w:sz w:val="24"/>
          <w:highlight w:val="none"/>
          <w:lang w:val="zh-CN"/>
        </w:rPr>
      </w:pPr>
      <w:r>
        <w:rPr>
          <w:rFonts w:ascii="宋体" w:hAnsi="宋体"/>
          <w:color w:val="auto"/>
          <w:sz w:val="28"/>
          <w:szCs w:val="28"/>
          <w:highlight w:val="none"/>
        </w:rPr>
        <w:br w:type="page"/>
      </w:r>
    </w:p>
    <w:p>
      <w:pPr>
        <w:snapToGrid w:val="0"/>
        <w:spacing w:before="120" w:beforeLines="50" w:after="50" w:line="360" w:lineRule="auto"/>
        <w:ind w:right="480" w:firstLine="321" w:firstLineChars="100"/>
        <w:rPr>
          <w:rFonts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报价商务技术文件格式 </w:t>
      </w:r>
    </w:p>
    <w:p>
      <w:pPr>
        <w:snapToGrid w:val="0"/>
        <w:spacing w:before="120"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1.报价商务技术文件封面格式</w:t>
      </w:r>
    </w:p>
    <w:p>
      <w:pPr>
        <w:snapToGrid w:val="0"/>
        <w:spacing w:before="120" w:beforeLines="50" w:after="50"/>
        <w:rPr>
          <w:rFonts w:ascii="宋体" w:hAnsi="宋体"/>
          <w:color w:val="auto"/>
          <w:sz w:val="24"/>
          <w:szCs w:val="20"/>
          <w:highlight w:val="none"/>
        </w:rPr>
      </w:pPr>
      <w:r>
        <w:rPr>
          <w:rFonts w:hint="eastAsia"/>
          <w:bCs/>
          <w:color w:val="auto"/>
          <w:highlight w:val="none"/>
        </w:rPr>
        <w:t>全流程电子文件</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商  务  技  术  文  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项目名称：</w:t>
      </w:r>
    </w:p>
    <w:p>
      <w:pPr>
        <w:snapToGrid w:val="0"/>
        <w:spacing w:before="120" w:beforeLines="50" w:after="50"/>
        <w:ind w:firstLine="720" w:firstLineChars="225"/>
        <w:rPr>
          <w:rFonts w:ascii="仿宋_GB2312" w:hAnsi="仿宋_GB2312" w:eastAsia="仿宋_GB2312" w:cs="仿宋_GB2312"/>
          <w:bCs/>
          <w:color w:val="auto"/>
          <w:sz w:val="32"/>
          <w:szCs w:val="32"/>
          <w:highlight w:val="none"/>
        </w:rPr>
      </w:pPr>
    </w:p>
    <w:p>
      <w:pPr>
        <w:snapToGrid w:val="0"/>
        <w:spacing w:before="120" w:beforeLines="50" w:after="50"/>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项目编号：</w:t>
      </w:r>
    </w:p>
    <w:p>
      <w:pPr>
        <w:snapToGrid w:val="0"/>
        <w:spacing w:before="120" w:beforeLines="50" w:after="50"/>
        <w:ind w:firstLine="720" w:firstLineChars="225"/>
        <w:rPr>
          <w:rFonts w:ascii="仿宋_GB2312" w:hAnsi="仿宋_GB2312" w:eastAsia="仿宋_GB2312" w:cs="仿宋_GB2312"/>
          <w:bCs/>
          <w:color w:val="auto"/>
          <w:sz w:val="32"/>
          <w:szCs w:val="32"/>
          <w:highlight w:val="none"/>
        </w:rPr>
      </w:pPr>
    </w:p>
    <w:p>
      <w:pPr>
        <w:snapToGrid w:val="0"/>
        <w:spacing w:before="120" w:beforeLines="50" w:after="50"/>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ascii="仿宋_GB2312" w:hAnsi="仿宋_GB2312" w:eastAsia="仿宋_GB2312" w:cs="仿宋_GB2312"/>
          <w:bCs/>
          <w:color w:val="auto"/>
          <w:sz w:val="32"/>
          <w:szCs w:val="32"/>
          <w:highlight w:val="none"/>
        </w:rPr>
      </w:pPr>
    </w:p>
    <w:p>
      <w:pPr>
        <w:pStyle w:val="8"/>
        <w:snapToGrid w:val="0"/>
        <w:spacing w:before="50" w:after="50"/>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供应商名称：</w:t>
      </w:r>
    </w:p>
    <w:p>
      <w:pPr>
        <w:pStyle w:val="8"/>
        <w:snapToGrid w:val="0"/>
        <w:spacing w:before="50" w:after="50"/>
        <w:ind w:firstLine="720" w:firstLineChars="225"/>
        <w:rPr>
          <w:rFonts w:ascii="仿宋_GB2312" w:hAnsi="仿宋_GB2312" w:eastAsia="仿宋_GB2312" w:cs="仿宋_GB2312"/>
          <w:bCs/>
          <w:color w:val="auto"/>
          <w:sz w:val="32"/>
          <w:szCs w:val="32"/>
          <w:highlight w:val="none"/>
        </w:rPr>
      </w:pPr>
    </w:p>
    <w:p>
      <w:pPr>
        <w:pStyle w:val="8"/>
        <w:snapToGrid w:val="0"/>
        <w:spacing w:before="50" w:after="50"/>
        <w:ind w:firstLine="720" w:firstLineChars="225"/>
        <w:rPr>
          <w:rFonts w:ascii="仿宋_GB2312" w:hAnsi="仿宋_GB2312" w:eastAsia="仿宋_GB2312" w:cs="仿宋_GB2312"/>
          <w:bCs/>
          <w:color w:val="auto"/>
          <w:sz w:val="32"/>
          <w:szCs w:val="32"/>
          <w:highlight w:val="none"/>
        </w:rPr>
      </w:pPr>
    </w:p>
    <w:p>
      <w:pPr>
        <w:pStyle w:val="8"/>
        <w:snapToGrid w:val="0"/>
        <w:spacing w:before="50" w:after="50"/>
        <w:ind w:firstLine="1280" w:firstLineChars="400"/>
        <w:rPr>
          <w:rFonts w:ascii="仿宋_GB2312" w:hAnsi="仿宋_GB2312" w:eastAsia="仿宋_GB2312" w:cs="仿宋_GB2312"/>
          <w:bCs/>
          <w:color w:val="auto"/>
          <w:sz w:val="32"/>
          <w:szCs w:val="32"/>
          <w:highlight w:val="none"/>
        </w:rPr>
      </w:pPr>
    </w:p>
    <w:p>
      <w:pPr>
        <w:snapToGrid w:val="0"/>
        <w:spacing w:before="120" w:beforeLines="50" w:after="50"/>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    月    日</w:t>
      </w:r>
    </w:p>
    <w:p>
      <w:pPr>
        <w:snapToGrid w:val="0"/>
        <w:spacing w:before="120" w:beforeLines="50" w:after="50" w:line="360" w:lineRule="auto"/>
        <w:ind w:left="142"/>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2.报价商务技术文件目录</w:t>
      </w:r>
    </w:p>
    <w:p>
      <w:pPr>
        <w:snapToGrid w:val="0"/>
        <w:spacing w:before="120"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pPr>
        <w:snapToGrid w:val="0"/>
        <w:spacing w:before="120" w:beforeLines="50" w:after="50" w:line="360" w:lineRule="auto"/>
        <w:jc w:val="center"/>
        <w:rPr>
          <w:rFonts w:ascii="宋体" w:hAnsi="宋体"/>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pPr>
        <w:spacing w:line="400" w:lineRule="exact"/>
        <w:ind w:firstLine="640" w:firstLineChars="200"/>
        <w:rPr>
          <w:rFonts w:ascii="仿宋_GB2312" w:hAnsi="仿宋_GB2312" w:eastAsia="仿宋_GB2312" w:cs="仿宋_GB2312"/>
          <w:color w:val="auto"/>
          <w:sz w:val="32"/>
          <w:szCs w:val="32"/>
          <w:highlight w:val="none"/>
        </w:rPr>
      </w:pPr>
    </w:p>
    <w:p>
      <w:pPr>
        <w:spacing w:line="360" w:lineRule="auto"/>
        <w:ind w:firstLine="482" w:firstLineChars="200"/>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1.不同供应商的响应文件由同一单位或者个人编制；或者不同供应商报名的IP地址一致的；</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3.不同供应商的响应文件载明的项目管理员或者联系人员为同一个人；</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pPr>
        <w:spacing w:line="360" w:lineRule="auto"/>
        <w:ind w:firstLine="482" w:firstLineChars="200"/>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pPr>
        <w:spacing w:line="360" w:lineRule="auto"/>
        <w:ind w:firstLine="480" w:firstLineChars="200"/>
        <w:rPr>
          <w:rFonts w:ascii="宋体" w:hAnsi="宋体" w:cs="仿宋_GB2312"/>
          <w:color w:val="auto"/>
          <w:sz w:val="24"/>
          <w:highlight w:val="none"/>
        </w:rPr>
      </w:pPr>
    </w:p>
    <w:p>
      <w:pPr>
        <w:spacing w:line="360" w:lineRule="auto"/>
        <w:ind w:firstLine="482" w:firstLineChars="200"/>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以上情形一经核查属实，接受政府采购监管部门对我方认定存在围标串标行为，我方愿意承担一切后果，并不再寻求任何旨在减轻或者免除法律责任的辩解。</w:t>
      </w:r>
    </w:p>
    <w:p>
      <w:pPr>
        <w:spacing w:line="360" w:lineRule="auto"/>
        <w:rPr>
          <w:rFonts w:ascii="宋体" w:hAnsi="宋体" w:cs="仿宋_GB2312"/>
          <w:color w:val="auto"/>
          <w:sz w:val="24"/>
          <w:highlight w:val="none"/>
        </w:rPr>
      </w:pPr>
    </w:p>
    <w:p>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spacing w:line="360" w:lineRule="auto"/>
        <w:ind w:firstLine="480" w:firstLineChars="200"/>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日期：       年   月   日</w:t>
      </w:r>
    </w:p>
    <w:p>
      <w:pPr>
        <w:spacing w:line="520" w:lineRule="exact"/>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pPr>
        <w:spacing w:line="440" w:lineRule="exact"/>
        <w:jc w:val="center"/>
        <w:rPr>
          <w:rFonts w:ascii="方正小标宋简体" w:hAnsi="方正小标宋简体" w:eastAsia="方正小标宋简体" w:cs="方正小标宋简体"/>
          <w:bCs/>
          <w:color w:val="auto"/>
          <w:sz w:val="32"/>
          <w:szCs w:val="32"/>
          <w:highlight w:val="none"/>
        </w:rPr>
      </w:pPr>
    </w:p>
    <w:p>
      <w:pPr>
        <w:jc w:val="center"/>
        <w:rPr>
          <w:rFonts w:ascii="黑体" w:hAnsi="黑体" w:eastAsia="黑体" w:cs="黑体"/>
          <w:snapToGrid w:val="0"/>
          <w:color w:val="auto"/>
          <w:kern w:val="0"/>
          <w:sz w:val="32"/>
          <w:szCs w:val="32"/>
          <w:highlight w:val="none"/>
        </w:rPr>
      </w:pPr>
      <w:r>
        <w:rPr>
          <w:rFonts w:hint="eastAsia" w:ascii="黑体" w:hAnsi="黑体" w:eastAsia="黑体" w:cs="黑体"/>
          <w:snapToGrid w:val="0"/>
          <w:color w:val="auto"/>
          <w:kern w:val="0"/>
          <w:sz w:val="32"/>
          <w:szCs w:val="32"/>
          <w:highlight w:val="none"/>
        </w:rPr>
        <w:t xml:space="preserve">报价清单汇总表        </w:t>
      </w:r>
    </w:p>
    <w:p>
      <w:pPr>
        <w:jc w:val="center"/>
        <w:rPr>
          <w:rFonts w:hAnsi="宋体"/>
          <w:snapToGrid w:val="0"/>
          <w:color w:val="auto"/>
          <w:kern w:val="0"/>
          <w:sz w:val="24"/>
          <w:highlight w:val="none"/>
        </w:rPr>
      </w:pPr>
      <w:r>
        <w:rPr>
          <w:rFonts w:hint="eastAsia" w:ascii="宋体" w:hAnsi="宋体"/>
          <w:snapToGrid w:val="0"/>
          <w:color w:val="auto"/>
          <w:kern w:val="0"/>
          <w:sz w:val="24"/>
          <w:highlight w:val="none"/>
        </w:rPr>
        <w:t xml:space="preserve">                   </w:t>
      </w:r>
    </w:p>
    <w:p>
      <w:pPr>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项目名称：                                          单位：元（人民币）</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3690"/>
        <w:gridCol w:w="247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53" w:type="dxa"/>
            <w:tcBorders>
              <w:top w:val="single" w:color="auto" w:sz="12" w:space="0"/>
              <w:left w:val="single" w:color="auto" w:sz="12" w:space="0"/>
            </w:tcBorders>
            <w:vAlign w:val="center"/>
          </w:tcPr>
          <w:p>
            <w:pPr>
              <w:snapToGrid w:val="0"/>
              <w:jc w:val="center"/>
              <w:rPr>
                <w:rFonts w:ascii="宋体" w:hAnsi="宋体"/>
                <w:b/>
                <w:bCs/>
                <w:color w:val="auto"/>
                <w:szCs w:val="21"/>
                <w:highlight w:val="none"/>
              </w:rPr>
            </w:pPr>
            <w:r>
              <w:rPr>
                <w:rFonts w:hint="eastAsia" w:ascii="宋体" w:hAnsi="宋体"/>
                <w:b/>
                <w:bCs/>
                <w:color w:val="auto"/>
                <w:szCs w:val="21"/>
                <w:highlight w:val="none"/>
              </w:rPr>
              <w:t>序号</w:t>
            </w:r>
          </w:p>
        </w:tc>
        <w:tc>
          <w:tcPr>
            <w:tcW w:w="3690" w:type="dxa"/>
            <w:tcBorders>
              <w:top w:val="single" w:color="auto" w:sz="12" w:space="0"/>
            </w:tcBorders>
            <w:vAlign w:val="center"/>
          </w:tcPr>
          <w:p>
            <w:pPr>
              <w:snapToGrid w:val="0"/>
              <w:jc w:val="center"/>
              <w:rPr>
                <w:rFonts w:ascii="宋体" w:hAnsi="宋体"/>
                <w:b/>
                <w:bCs/>
                <w:color w:val="auto"/>
                <w:szCs w:val="21"/>
                <w:highlight w:val="none"/>
              </w:rPr>
            </w:pPr>
            <w:r>
              <w:rPr>
                <w:rFonts w:hint="eastAsia" w:ascii="宋体" w:hAnsi="宋体"/>
                <w:b/>
                <w:bCs/>
                <w:color w:val="auto"/>
                <w:szCs w:val="21"/>
                <w:highlight w:val="none"/>
              </w:rPr>
              <w:t>项</w:t>
            </w:r>
            <w:r>
              <w:rPr>
                <w:rFonts w:ascii="宋体" w:hAnsi="宋体"/>
                <w:b/>
                <w:bCs/>
                <w:color w:val="auto"/>
                <w:szCs w:val="21"/>
                <w:highlight w:val="none"/>
              </w:rPr>
              <w:t xml:space="preserve">      </w:t>
            </w:r>
            <w:r>
              <w:rPr>
                <w:rFonts w:hint="eastAsia" w:ascii="宋体" w:hAnsi="宋体"/>
                <w:b/>
                <w:bCs/>
                <w:color w:val="auto"/>
                <w:szCs w:val="21"/>
                <w:highlight w:val="none"/>
              </w:rPr>
              <w:t>目</w:t>
            </w:r>
          </w:p>
        </w:tc>
        <w:tc>
          <w:tcPr>
            <w:tcW w:w="2475" w:type="dxa"/>
            <w:tcBorders>
              <w:top w:val="single" w:color="auto" w:sz="12" w:space="0"/>
              <w:right w:val="single" w:color="auto" w:sz="4" w:space="0"/>
            </w:tcBorders>
            <w:vAlign w:val="center"/>
          </w:tcPr>
          <w:p>
            <w:pPr>
              <w:snapToGrid w:val="0"/>
              <w:jc w:val="center"/>
              <w:rPr>
                <w:rFonts w:ascii="宋体" w:hAnsi="宋体"/>
                <w:b/>
                <w:bCs/>
                <w:color w:val="auto"/>
                <w:szCs w:val="21"/>
                <w:highlight w:val="none"/>
              </w:rPr>
            </w:pPr>
            <w:r>
              <w:rPr>
                <w:rFonts w:hint="eastAsia" w:ascii="宋体" w:hAnsi="宋体"/>
                <w:b/>
                <w:bCs/>
                <w:color w:val="auto"/>
                <w:szCs w:val="21"/>
                <w:highlight w:val="none"/>
              </w:rPr>
              <w:t>费用合计（元）</w:t>
            </w:r>
          </w:p>
        </w:tc>
        <w:tc>
          <w:tcPr>
            <w:tcW w:w="1820" w:type="dxa"/>
            <w:tcBorders>
              <w:top w:val="single" w:color="auto" w:sz="12" w:space="0"/>
              <w:right w:val="single" w:color="auto" w:sz="12" w:space="0"/>
            </w:tcBorders>
            <w:vAlign w:val="center"/>
          </w:tcPr>
          <w:p>
            <w:pPr>
              <w:snapToGrid w:val="0"/>
              <w:jc w:val="center"/>
              <w:rPr>
                <w:rFonts w:ascii="宋体" w:hAnsi="宋体"/>
                <w:b/>
                <w:bCs/>
                <w:color w:val="auto"/>
                <w:szCs w:val="21"/>
                <w:highlight w:val="none"/>
              </w:rPr>
            </w:pPr>
            <w:r>
              <w:rPr>
                <w:rFonts w:hint="eastAsia" w:ascii="宋体" w:hAnsi="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53" w:type="dxa"/>
            <w:tcBorders>
              <w:left w:val="single" w:color="auto" w:sz="12"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1</w:t>
            </w:r>
          </w:p>
        </w:tc>
        <w:tc>
          <w:tcPr>
            <w:tcW w:w="3690" w:type="dxa"/>
            <w:vAlign w:val="center"/>
          </w:tcPr>
          <w:p>
            <w:pPr>
              <w:snapToGrid w:val="0"/>
              <w:rPr>
                <w:rFonts w:ascii="宋体" w:hAnsi="宋体"/>
                <w:color w:val="auto"/>
                <w:szCs w:val="21"/>
                <w:highlight w:val="none"/>
              </w:rPr>
            </w:pPr>
            <w:r>
              <w:rPr>
                <w:rFonts w:hint="eastAsia" w:ascii="宋体" w:hAnsi="宋体"/>
                <w:color w:val="auto"/>
                <w:szCs w:val="21"/>
                <w:highlight w:val="none"/>
              </w:rPr>
              <w:t>勘察费</w:t>
            </w:r>
          </w:p>
        </w:tc>
        <w:tc>
          <w:tcPr>
            <w:tcW w:w="2475" w:type="dxa"/>
            <w:tcBorders>
              <w:right w:val="single" w:color="auto" w:sz="4" w:space="0"/>
            </w:tcBorders>
            <w:vAlign w:val="center"/>
          </w:tcPr>
          <w:p>
            <w:pPr>
              <w:snapToGrid w:val="0"/>
              <w:rPr>
                <w:rFonts w:ascii="宋体" w:hAnsi="宋体"/>
                <w:color w:val="auto"/>
                <w:szCs w:val="21"/>
                <w:highlight w:val="none"/>
              </w:rPr>
            </w:pPr>
          </w:p>
        </w:tc>
        <w:tc>
          <w:tcPr>
            <w:tcW w:w="1820" w:type="dxa"/>
            <w:tcBorders>
              <w:right w:val="single" w:color="auto" w:sz="12" w:space="0"/>
            </w:tcBorders>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53" w:type="dxa"/>
            <w:tcBorders>
              <w:left w:val="single" w:color="auto" w:sz="12"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1.1</w:t>
            </w:r>
          </w:p>
        </w:tc>
        <w:tc>
          <w:tcPr>
            <w:tcW w:w="3690" w:type="dxa"/>
            <w:vAlign w:val="center"/>
          </w:tcPr>
          <w:p>
            <w:pPr>
              <w:snapToGrid w:val="0"/>
              <w:rPr>
                <w:rFonts w:ascii="宋体" w:hAnsi="宋体"/>
                <w:color w:val="auto"/>
                <w:szCs w:val="21"/>
                <w:highlight w:val="none"/>
              </w:rPr>
            </w:pPr>
            <w:r>
              <w:rPr>
                <w:rFonts w:hint="eastAsia" w:ascii="宋体" w:hAnsi="宋体"/>
                <w:color w:val="auto"/>
                <w:szCs w:val="21"/>
                <w:highlight w:val="none"/>
              </w:rPr>
              <w:t>工程测量</w:t>
            </w:r>
          </w:p>
        </w:tc>
        <w:tc>
          <w:tcPr>
            <w:tcW w:w="2475" w:type="dxa"/>
            <w:tcBorders>
              <w:right w:val="single" w:color="auto" w:sz="4" w:space="0"/>
            </w:tcBorders>
            <w:vAlign w:val="center"/>
          </w:tcPr>
          <w:p>
            <w:pPr>
              <w:snapToGrid w:val="0"/>
              <w:rPr>
                <w:rFonts w:ascii="宋体" w:hAnsi="宋体"/>
                <w:color w:val="auto"/>
                <w:szCs w:val="21"/>
                <w:highlight w:val="none"/>
              </w:rPr>
            </w:pPr>
          </w:p>
        </w:tc>
        <w:tc>
          <w:tcPr>
            <w:tcW w:w="1820" w:type="dxa"/>
            <w:tcBorders>
              <w:right w:val="single" w:color="auto" w:sz="12" w:space="0"/>
            </w:tcBorders>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53" w:type="dxa"/>
            <w:tcBorders>
              <w:left w:val="single" w:color="auto" w:sz="12"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1.2</w:t>
            </w:r>
          </w:p>
        </w:tc>
        <w:tc>
          <w:tcPr>
            <w:tcW w:w="3690" w:type="dxa"/>
            <w:vAlign w:val="center"/>
          </w:tcPr>
          <w:p>
            <w:pPr>
              <w:snapToGrid w:val="0"/>
              <w:rPr>
                <w:rFonts w:ascii="宋体" w:hAnsi="宋体"/>
                <w:color w:val="auto"/>
                <w:szCs w:val="21"/>
                <w:highlight w:val="none"/>
              </w:rPr>
            </w:pPr>
            <w:r>
              <w:rPr>
                <w:rFonts w:hint="eastAsia" w:ascii="宋体" w:hAnsi="宋体"/>
                <w:color w:val="auto"/>
                <w:szCs w:val="21"/>
                <w:highlight w:val="none"/>
              </w:rPr>
              <w:t>岩土工程勘察</w:t>
            </w:r>
          </w:p>
        </w:tc>
        <w:tc>
          <w:tcPr>
            <w:tcW w:w="2475" w:type="dxa"/>
            <w:tcBorders>
              <w:right w:val="single" w:color="auto" w:sz="4" w:space="0"/>
            </w:tcBorders>
            <w:vAlign w:val="center"/>
          </w:tcPr>
          <w:p>
            <w:pPr>
              <w:snapToGrid w:val="0"/>
              <w:rPr>
                <w:rFonts w:ascii="宋体" w:hAnsi="宋体"/>
                <w:color w:val="auto"/>
                <w:szCs w:val="21"/>
                <w:highlight w:val="none"/>
              </w:rPr>
            </w:pPr>
          </w:p>
        </w:tc>
        <w:tc>
          <w:tcPr>
            <w:tcW w:w="1820" w:type="dxa"/>
            <w:tcBorders>
              <w:right w:val="single" w:color="auto" w:sz="12" w:space="0"/>
            </w:tcBorders>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53" w:type="dxa"/>
            <w:tcBorders>
              <w:left w:val="single" w:color="auto" w:sz="12"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2</w:t>
            </w:r>
          </w:p>
        </w:tc>
        <w:tc>
          <w:tcPr>
            <w:tcW w:w="3690" w:type="dxa"/>
            <w:vAlign w:val="center"/>
          </w:tcPr>
          <w:p>
            <w:pPr>
              <w:snapToGrid w:val="0"/>
              <w:rPr>
                <w:rFonts w:ascii="宋体" w:hAnsi="宋体"/>
                <w:color w:val="auto"/>
                <w:szCs w:val="21"/>
                <w:highlight w:val="none"/>
              </w:rPr>
            </w:pPr>
            <w:r>
              <w:rPr>
                <w:rFonts w:hint="eastAsia" w:ascii="宋体" w:hAnsi="宋体"/>
                <w:color w:val="auto"/>
                <w:szCs w:val="21"/>
                <w:highlight w:val="none"/>
              </w:rPr>
              <w:t>工程可行性研究（含专题研究）</w:t>
            </w:r>
          </w:p>
        </w:tc>
        <w:tc>
          <w:tcPr>
            <w:tcW w:w="2475" w:type="dxa"/>
            <w:tcBorders>
              <w:right w:val="single" w:color="auto" w:sz="4" w:space="0"/>
            </w:tcBorders>
            <w:vAlign w:val="center"/>
          </w:tcPr>
          <w:p>
            <w:pPr>
              <w:snapToGrid w:val="0"/>
              <w:rPr>
                <w:rFonts w:ascii="宋体" w:hAnsi="宋体"/>
                <w:color w:val="auto"/>
                <w:szCs w:val="21"/>
                <w:highlight w:val="none"/>
              </w:rPr>
            </w:pPr>
          </w:p>
        </w:tc>
        <w:tc>
          <w:tcPr>
            <w:tcW w:w="1820" w:type="dxa"/>
            <w:tcBorders>
              <w:right w:val="single" w:color="auto" w:sz="12" w:space="0"/>
            </w:tcBorders>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53" w:type="dxa"/>
            <w:tcBorders>
              <w:left w:val="single" w:color="auto" w:sz="12"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2.1</w:t>
            </w:r>
          </w:p>
        </w:tc>
        <w:tc>
          <w:tcPr>
            <w:tcW w:w="3690" w:type="dxa"/>
            <w:vAlign w:val="center"/>
          </w:tcPr>
          <w:p>
            <w:pPr>
              <w:snapToGrid w:val="0"/>
              <w:rPr>
                <w:rFonts w:ascii="宋体" w:hAnsi="宋体"/>
                <w:color w:val="auto"/>
                <w:szCs w:val="21"/>
                <w:highlight w:val="none"/>
              </w:rPr>
            </w:pPr>
            <w:r>
              <w:rPr>
                <w:rFonts w:hint="eastAsia" w:ascii="宋体" w:hAnsi="宋体"/>
                <w:color w:val="auto"/>
                <w:szCs w:val="21"/>
                <w:highlight w:val="none"/>
              </w:rPr>
              <w:t>工程可行性研究报告</w:t>
            </w:r>
          </w:p>
        </w:tc>
        <w:tc>
          <w:tcPr>
            <w:tcW w:w="2475" w:type="dxa"/>
            <w:tcBorders>
              <w:right w:val="single" w:color="auto" w:sz="4" w:space="0"/>
            </w:tcBorders>
            <w:vAlign w:val="center"/>
          </w:tcPr>
          <w:p>
            <w:pPr>
              <w:snapToGrid w:val="0"/>
              <w:rPr>
                <w:rFonts w:ascii="宋体" w:hAnsi="宋体"/>
                <w:color w:val="auto"/>
                <w:szCs w:val="21"/>
                <w:highlight w:val="none"/>
              </w:rPr>
            </w:pPr>
          </w:p>
        </w:tc>
        <w:tc>
          <w:tcPr>
            <w:tcW w:w="1820" w:type="dxa"/>
            <w:tcBorders>
              <w:right w:val="single" w:color="auto" w:sz="12" w:space="0"/>
            </w:tcBorders>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53" w:type="dxa"/>
            <w:tcBorders>
              <w:left w:val="single" w:color="auto" w:sz="12"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2.2</w:t>
            </w:r>
          </w:p>
        </w:tc>
        <w:tc>
          <w:tcPr>
            <w:tcW w:w="3690" w:type="dxa"/>
            <w:vAlign w:val="center"/>
          </w:tcPr>
          <w:p>
            <w:pPr>
              <w:snapToGrid w:val="0"/>
              <w:rPr>
                <w:rFonts w:ascii="宋体" w:hAnsi="宋体"/>
                <w:color w:val="auto"/>
                <w:szCs w:val="21"/>
                <w:highlight w:val="none"/>
              </w:rPr>
            </w:pPr>
            <w:r>
              <w:rPr>
                <w:rFonts w:hint="eastAsia" w:ascii="宋体" w:hAnsi="宋体"/>
                <w:color w:val="auto"/>
                <w:szCs w:val="21"/>
                <w:highlight w:val="none"/>
              </w:rPr>
              <w:t>专题研究</w:t>
            </w:r>
          </w:p>
        </w:tc>
        <w:tc>
          <w:tcPr>
            <w:tcW w:w="2475" w:type="dxa"/>
            <w:tcBorders>
              <w:right w:val="single" w:color="auto" w:sz="4" w:space="0"/>
            </w:tcBorders>
            <w:vAlign w:val="center"/>
          </w:tcPr>
          <w:p>
            <w:pPr>
              <w:snapToGrid w:val="0"/>
              <w:rPr>
                <w:rFonts w:ascii="宋体" w:hAnsi="宋体"/>
                <w:color w:val="auto"/>
                <w:szCs w:val="21"/>
                <w:highlight w:val="none"/>
              </w:rPr>
            </w:pPr>
          </w:p>
        </w:tc>
        <w:tc>
          <w:tcPr>
            <w:tcW w:w="1820" w:type="dxa"/>
            <w:tcBorders>
              <w:right w:val="single" w:color="auto" w:sz="12" w:space="0"/>
            </w:tcBorders>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53" w:type="dxa"/>
            <w:tcBorders>
              <w:left w:val="single" w:color="auto" w:sz="12"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2.2.1</w:t>
            </w:r>
          </w:p>
        </w:tc>
        <w:tc>
          <w:tcPr>
            <w:tcW w:w="3690" w:type="dxa"/>
            <w:vAlign w:val="center"/>
          </w:tcPr>
          <w:p>
            <w:pPr>
              <w:snapToGrid w:val="0"/>
              <w:rPr>
                <w:rFonts w:ascii="宋体" w:hAnsi="宋体"/>
                <w:color w:val="auto"/>
                <w:szCs w:val="21"/>
                <w:highlight w:val="none"/>
              </w:rPr>
            </w:pPr>
            <w:r>
              <w:rPr>
                <w:rFonts w:hint="eastAsia" w:ascii="宋体" w:hAnsi="宋体"/>
                <w:color w:val="auto"/>
                <w:szCs w:val="21"/>
                <w:highlight w:val="none"/>
              </w:rPr>
              <w:t>社会稳定风险评估报告</w:t>
            </w:r>
          </w:p>
        </w:tc>
        <w:tc>
          <w:tcPr>
            <w:tcW w:w="2475" w:type="dxa"/>
            <w:tcBorders>
              <w:right w:val="single" w:color="auto" w:sz="4" w:space="0"/>
            </w:tcBorders>
            <w:vAlign w:val="center"/>
          </w:tcPr>
          <w:p>
            <w:pPr>
              <w:snapToGrid w:val="0"/>
              <w:rPr>
                <w:rFonts w:ascii="宋体" w:hAnsi="宋体"/>
                <w:color w:val="auto"/>
                <w:szCs w:val="21"/>
                <w:highlight w:val="none"/>
              </w:rPr>
            </w:pPr>
          </w:p>
        </w:tc>
        <w:tc>
          <w:tcPr>
            <w:tcW w:w="1820" w:type="dxa"/>
            <w:tcBorders>
              <w:right w:val="single" w:color="auto" w:sz="12" w:space="0"/>
            </w:tcBorders>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53" w:type="dxa"/>
            <w:tcBorders>
              <w:left w:val="single" w:color="auto" w:sz="12"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2.2.2</w:t>
            </w:r>
          </w:p>
        </w:tc>
        <w:tc>
          <w:tcPr>
            <w:tcW w:w="3690" w:type="dxa"/>
            <w:vAlign w:val="center"/>
          </w:tcPr>
          <w:p>
            <w:pPr>
              <w:snapToGrid w:val="0"/>
              <w:rPr>
                <w:rFonts w:ascii="宋体" w:hAnsi="宋体"/>
                <w:color w:val="auto"/>
                <w:szCs w:val="21"/>
                <w:highlight w:val="none"/>
              </w:rPr>
            </w:pPr>
            <w:r>
              <w:rPr>
                <w:rFonts w:hint="eastAsia" w:ascii="宋体" w:hAnsi="宋体"/>
                <w:color w:val="auto"/>
                <w:szCs w:val="21"/>
                <w:highlight w:val="none"/>
              </w:rPr>
              <w:t>环境影响评价报告</w:t>
            </w:r>
          </w:p>
        </w:tc>
        <w:tc>
          <w:tcPr>
            <w:tcW w:w="2475" w:type="dxa"/>
            <w:tcBorders>
              <w:right w:val="single" w:color="auto" w:sz="4" w:space="0"/>
            </w:tcBorders>
            <w:vAlign w:val="center"/>
          </w:tcPr>
          <w:p>
            <w:pPr>
              <w:snapToGrid w:val="0"/>
              <w:rPr>
                <w:rFonts w:ascii="宋体" w:hAnsi="宋体"/>
                <w:color w:val="auto"/>
                <w:szCs w:val="21"/>
                <w:highlight w:val="none"/>
              </w:rPr>
            </w:pPr>
          </w:p>
        </w:tc>
        <w:tc>
          <w:tcPr>
            <w:tcW w:w="1820" w:type="dxa"/>
            <w:tcBorders>
              <w:right w:val="single" w:color="auto" w:sz="12" w:space="0"/>
            </w:tcBorders>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53" w:type="dxa"/>
            <w:tcBorders>
              <w:left w:val="single" w:color="auto" w:sz="12"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2.2.3</w:t>
            </w:r>
          </w:p>
        </w:tc>
        <w:tc>
          <w:tcPr>
            <w:tcW w:w="3690" w:type="dxa"/>
            <w:vAlign w:val="center"/>
          </w:tcPr>
          <w:p>
            <w:pPr>
              <w:snapToGrid w:val="0"/>
              <w:rPr>
                <w:rFonts w:ascii="宋体" w:hAnsi="宋体"/>
                <w:color w:val="auto"/>
                <w:szCs w:val="21"/>
                <w:highlight w:val="none"/>
              </w:rPr>
            </w:pPr>
            <w:r>
              <w:rPr>
                <w:rFonts w:hint="eastAsia" w:ascii="宋体" w:hAnsi="宋体"/>
                <w:color w:val="auto"/>
                <w:szCs w:val="21"/>
                <w:highlight w:val="none"/>
              </w:rPr>
              <w:t>海域使用论证</w:t>
            </w:r>
          </w:p>
        </w:tc>
        <w:tc>
          <w:tcPr>
            <w:tcW w:w="2475" w:type="dxa"/>
            <w:tcBorders>
              <w:right w:val="single" w:color="auto" w:sz="4" w:space="0"/>
            </w:tcBorders>
            <w:vAlign w:val="center"/>
          </w:tcPr>
          <w:p>
            <w:pPr>
              <w:snapToGrid w:val="0"/>
              <w:rPr>
                <w:rFonts w:ascii="宋体" w:hAnsi="宋体"/>
                <w:color w:val="auto"/>
                <w:szCs w:val="21"/>
                <w:highlight w:val="none"/>
              </w:rPr>
            </w:pPr>
          </w:p>
        </w:tc>
        <w:tc>
          <w:tcPr>
            <w:tcW w:w="1820" w:type="dxa"/>
            <w:tcBorders>
              <w:right w:val="single" w:color="auto" w:sz="12" w:space="0"/>
            </w:tcBorders>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53" w:type="dxa"/>
            <w:tcBorders>
              <w:left w:val="single" w:color="auto" w:sz="12"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2.2.4</w:t>
            </w:r>
          </w:p>
        </w:tc>
        <w:tc>
          <w:tcPr>
            <w:tcW w:w="3690" w:type="dxa"/>
            <w:vAlign w:val="center"/>
          </w:tcPr>
          <w:p>
            <w:pPr>
              <w:snapToGrid w:val="0"/>
              <w:rPr>
                <w:rFonts w:ascii="宋体" w:hAnsi="宋体"/>
                <w:color w:val="auto"/>
                <w:szCs w:val="21"/>
                <w:highlight w:val="none"/>
              </w:rPr>
            </w:pPr>
            <w:r>
              <w:rPr>
                <w:rFonts w:hint="eastAsia" w:ascii="宋体" w:hAnsi="宋体"/>
                <w:color w:val="auto"/>
                <w:szCs w:val="21"/>
                <w:highlight w:val="none"/>
              </w:rPr>
              <w:t>用地预审及规划选址</w:t>
            </w:r>
          </w:p>
        </w:tc>
        <w:tc>
          <w:tcPr>
            <w:tcW w:w="2475" w:type="dxa"/>
            <w:tcBorders>
              <w:right w:val="single" w:color="auto" w:sz="4" w:space="0"/>
            </w:tcBorders>
            <w:vAlign w:val="center"/>
          </w:tcPr>
          <w:p>
            <w:pPr>
              <w:snapToGrid w:val="0"/>
              <w:rPr>
                <w:rFonts w:ascii="宋体" w:hAnsi="宋体"/>
                <w:color w:val="auto"/>
                <w:szCs w:val="21"/>
                <w:highlight w:val="none"/>
              </w:rPr>
            </w:pPr>
          </w:p>
        </w:tc>
        <w:tc>
          <w:tcPr>
            <w:tcW w:w="1820" w:type="dxa"/>
            <w:tcBorders>
              <w:right w:val="single" w:color="auto" w:sz="12" w:space="0"/>
            </w:tcBorders>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53" w:type="dxa"/>
            <w:tcBorders>
              <w:left w:val="single" w:color="auto" w:sz="12" w:space="0"/>
            </w:tcBorders>
            <w:vAlign w:val="center"/>
          </w:tcPr>
          <w:p>
            <w:pPr>
              <w:snapToGrid w:val="0"/>
              <w:jc w:val="center"/>
              <w:rPr>
                <w:rFonts w:ascii="宋体" w:hAnsi="宋体"/>
                <w:b/>
                <w:bCs/>
                <w:color w:val="auto"/>
                <w:szCs w:val="21"/>
                <w:highlight w:val="none"/>
              </w:rPr>
            </w:pPr>
            <w:r>
              <w:rPr>
                <w:rFonts w:hint="eastAsia" w:ascii="宋体" w:hAnsi="宋体"/>
                <w:b/>
                <w:bCs/>
                <w:color w:val="auto"/>
                <w:szCs w:val="21"/>
                <w:highlight w:val="none"/>
              </w:rPr>
              <w:t>6</w:t>
            </w:r>
          </w:p>
        </w:tc>
        <w:tc>
          <w:tcPr>
            <w:tcW w:w="3690" w:type="dxa"/>
            <w:vAlign w:val="center"/>
          </w:tcPr>
          <w:p>
            <w:pPr>
              <w:snapToGrid w:val="0"/>
              <w:rPr>
                <w:rFonts w:ascii="宋体" w:hAnsi="宋体"/>
                <w:b/>
                <w:bCs/>
                <w:color w:val="auto"/>
                <w:szCs w:val="21"/>
                <w:highlight w:val="none"/>
              </w:rPr>
            </w:pPr>
            <w:r>
              <w:rPr>
                <w:rFonts w:hint="eastAsia" w:ascii="宋体" w:hAnsi="宋体"/>
                <w:b/>
                <w:bCs/>
                <w:color w:val="auto"/>
                <w:szCs w:val="21"/>
                <w:highlight w:val="none"/>
              </w:rPr>
              <w:t>竞标报价总计</w:t>
            </w:r>
          </w:p>
        </w:tc>
        <w:tc>
          <w:tcPr>
            <w:tcW w:w="2475" w:type="dxa"/>
            <w:tcBorders>
              <w:right w:val="single" w:color="auto" w:sz="4" w:space="0"/>
            </w:tcBorders>
            <w:vAlign w:val="center"/>
          </w:tcPr>
          <w:p>
            <w:pPr>
              <w:snapToGrid w:val="0"/>
              <w:rPr>
                <w:rFonts w:ascii="宋体" w:hAnsi="宋体"/>
                <w:b/>
                <w:bCs/>
                <w:color w:val="auto"/>
                <w:szCs w:val="21"/>
                <w:highlight w:val="none"/>
              </w:rPr>
            </w:pPr>
          </w:p>
        </w:tc>
        <w:tc>
          <w:tcPr>
            <w:tcW w:w="1820" w:type="dxa"/>
            <w:tcBorders>
              <w:right w:val="single" w:color="auto" w:sz="12" w:space="0"/>
            </w:tcBorders>
            <w:vAlign w:val="center"/>
          </w:tcPr>
          <w:p>
            <w:pPr>
              <w:snapToGrid w:val="0"/>
              <w:rPr>
                <w:rFonts w:ascii="宋体" w:hAnsi="宋体"/>
                <w:b/>
                <w:bCs/>
                <w:color w:val="auto"/>
                <w:szCs w:val="21"/>
                <w:highlight w:val="none"/>
              </w:rPr>
            </w:pPr>
          </w:p>
        </w:tc>
      </w:tr>
    </w:tbl>
    <w:p>
      <w:pPr>
        <w:jc w:val="right"/>
        <w:rPr>
          <w:rFonts w:ascii="宋体" w:hAnsi="宋体"/>
          <w:snapToGrid w:val="0"/>
          <w:color w:val="auto"/>
          <w:kern w:val="0"/>
          <w:sz w:val="24"/>
          <w:highlight w:val="none"/>
        </w:rPr>
      </w:pPr>
    </w:p>
    <w:p>
      <w:pPr>
        <w:spacing w:line="320" w:lineRule="exact"/>
        <w:rPr>
          <w:rFonts w:ascii="宋体" w:hAnsi="宋体"/>
          <w:color w:val="auto"/>
          <w:sz w:val="18"/>
          <w:szCs w:val="18"/>
          <w:highlight w:val="none"/>
        </w:rPr>
      </w:pPr>
      <w:r>
        <w:rPr>
          <w:rFonts w:hint="eastAsia" w:ascii="宋体" w:hAnsi="宋体"/>
          <w:color w:val="auto"/>
          <w:sz w:val="18"/>
          <w:szCs w:val="18"/>
          <w:highlight w:val="none"/>
        </w:rPr>
        <w:t>注：</w:t>
      </w:r>
    </w:p>
    <w:p>
      <w:pPr>
        <w:spacing w:line="320" w:lineRule="exact"/>
        <w:rPr>
          <w:rFonts w:ascii="宋体" w:hAnsi="宋体"/>
          <w:color w:val="auto"/>
          <w:sz w:val="18"/>
          <w:szCs w:val="18"/>
          <w:highlight w:val="none"/>
        </w:rPr>
      </w:pPr>
      <w:r>
        <w:rPr>
          <w:rFonts w:hint="eastAsia" w:ascii="宋体" w:hAnsi="宋体"/>
          <w:color w:val="auto"/>
          <w:sz w:val="18"/>
          <w:szCs w:val="18"/>
          <w:highlight w:val="none"/>
        </w:rPr>
        <w:t>1、供应商应根据本招标项目工程特点和工作内容，分别填写本表各项目；</w:t>
      </w:r>
    </w:p>
    <w:p>
      <w:pPr>
        <w:spacing w:line="320" w:lineRule="exact"/>
        <w:rPr>
          <w:rFonts w:ascii="宋体" w:hAnsi="宋体"/>
          <w:color w:val="auto"/>
          <w:sz w:val="18"/>
          <w:szCs w:val="18"/>
          <w:highlight w:val="none"/>
        </w:rPr>
      </w:pPr>
      <w:r>
        <w:rPr>
          <w:rFonts w:hint="eastAsia" w:ascii="宋体" w:hAnsi="宋体"/>
          <w:color w:val="auto"/>
          <w:sz w:val="18"/>
          <w:szCs w:val="18"/>
          <w:highlight w:val="none"/>
        </w:rPr>
        <w:t>2、供应商应将详细的计算依据、计算过程及优惠附在报价清单后；</w:t>
      </w:r>
    </w:p>
    <w:p>
      <w:pPr>
        <w:rPr>
          <w:snapToGrid w:val="0"/>
          <w:color w:val="auto"/>
          <w:kern w:val="0"/>
          <w:sz w:val="24"/>
          <w:highlight w:val="none"/>
        </w:rPr>
      </w:pPr>
      <w:r>
        <w:rPr>
          <w:rFonts w:hint="eastAsia" w:ascii="宋体" w:hAnsi="宋体"/>
          <w:color w:val="auto"/>
          <w:sz w:val="18"/>
          <w:szCs w:val="18"/>
          <w:highlight w:val="none"/>
        </w:rPr>
        <w:t>3、.含有关评审会议的劳务费、会务费、专家咨询费和专家交通费用等各种费用。</w:t>
      </w:r>
    </w:p>
    <w:p>
      <w:pPr>
        <w:snapToGrid w:val="0"/>
        <w:spacing w:before="50" w:after="50" w:line="360" w:lineRule="auto"/>
        <w:ind w:right="-817" w:rightChars="-389" w:firstLine="960" w:firstLineChars="400"/>
        <w:rPr>
          <w:rFonts w:ascii="宋体" w:hAnsi="宋体" w:cs="仿宋_GB2312"/>
          <w:color w:val="auto"/>
          <w:sz w:val="24"/>
          <w:highlight w:val="none"/>
        </w:rPr>
      </w:pPr>
      <w:r>
        <w:rPr>
          <w:rFonts w:hint="eastAsia" w:ascii="宋体" w:hAnsi="宋体" w:cs="仿宋_GB2312"/>
          <w:color w:val="auto"/>
          <w:sz w:val="24"/>
          <w:highlight w:val="none"/>
        </w:rPr>
        <w:t xml:space="preserve">                  </w:t>
      </w:r>
    </w:p>
    <w:p>
      <w:pPr>
        <w:snapToGrid w:val="0"/>
        <w:spacing w:before="50" w:after="50" w:line="360" w:lineRule="auto"/>
        <w:ind w:right="-817" w:rightChars="-389" w:firstLine="2640" w:firstLineChars="1100"/>
        <w:rPr>
          <w:rFonts w:ascii="宋体" w:hAnsi="宋体" w:cs="仿宋_GB2312"/>
          <w:color w:val="auto"/>
          <w:sz w:val="24"/>
          <w:highlight w:val="none"/>
        </w:rPr>
      </w:pPr>
      <w:r>
        <w:rPr>
          <w:rFonts w:hint="eastAsia" w:ascii="宋体" w:hAnsi="宋体" w:cs="仿宋_GB2312"/>
          <w:color w:val="auto"/>
          <w:sz w:val="24"/>
          <w:highlight w:val="none"/>
        </w:rPr>
        <w:t>供应商（电子签章）：</w:t>
      </w:r>
    </w:p>
    <w:p>
      <w:pPr>
        <w:snapToGrid w:val="0"/>
        <w:spacing w:before="50" w:after="50" w:line="360" w:lineRule="auto"/>
        <w:ind w:right="-817" w:rightChars="-389" w:firstLine="5160" w:firstLineChars="2150"/>
        <w:rPr>
          <w:rFonts w:ascii="宋体" w:hAnsi="宋体" w:cs="仿宋_GB2312"/>
          <w:b/>
          <w:color w:val="auto"/>
          <w:sz w:val="24"/>
          <w:highlight w:val="none"/>
        </w:rPr>
      </w:pPr>
      <w:r>
        <w:rPr>
          <w:rFonts w:hint="eastAsia" w:ascii="宋体" w:hAnsi="宋体" w:cs="仿宋_GB2312"/>
          <w:color w:val="auto"/>
          <w:sz w:val="24"/>
          <w:highlight w:val="none"/>
        </w:rPr>
        <w:t>日期：   年   月   日</w:t>
      </w:r>
    </w:p>
    <w:p>
      <w:pPr>
        <w:spacing w:line="520" w:lineRule="exact"/>
        <w:jc w:val="center"/>
        <w:rPr>
          <w:rFonts w:ascii="宋体" w:hAnsi="Courier New"/>
          <w:b/>
          <w:color w:val="auto"/>
          <w:sz w:val="32"/>
          <w:szCs w:val="32"/>
          <w:highlight w:val="none"/>
        </w:rPr>
      </w:pPr>
    </w:p>
    <w:p>
      <w:pPr>
        <w:spacing w:line="520" w:lineRule="exact"/>
        <w:jc w:val="center"/>
        <w:rPr>
          <w:rFonts w:ascii="宋体" w:hAnsi="Courier New"/>
          <w:b/>
          <w:color w:val="auto"/>
          <w:sz w:val="32"/>
          <w:szCs w:val="32"/>
          <w:highlight w:val="none"/>
        </w:rPr>
      </w:pPr>
    </w:p>
    <w:p>
      <w:pPr>
        <w:spacing w:line="520" w:lineRule="exact"/>
        <w:jc w:val="center"/>
        <w:rPr>
          <w:rFonts w:ascii="宋体" w:hAnsi="Courier New"/>
          <w:b/>
          <w:color w:val="auto"/>
          <w:sz w:val="32"/>
          <w:szCs w:val="32"/>
          <w:highlight w:val="none"/>
        </w:rPr>
      </w:pPr>
    </w:p>
    <w:p>
      <w:pPr>
        <w:spacing w:line="520" w:lineRule="exact"/>
        <w:jc w:val="center"/>
        <w:rPr>
          <w:rFonts w:ascii="宋体" w:hAnsi="Courier New"/>
          <w:b/>
          <w:color w:val="auto"/>
          <w:sz w:val="32"/>
          <w:szCs w:val="32"/>
          <w:highlight w:val="none"/>
        </w:rPr>
      </w:pPr>
    </w:p>
    <w:p>
      <w:pPr>
        <w:spacing w:line="520" w:lineRule="exact"/>
        <w:jc w:val="center"/>
        <w:rPr>
          <w:rFonts w:ascii="宋体" w:hAnsi="Courier New"/>
          <w:b/>
          <w:color w:val="auto"/>
          <w:sz w:val="32"/>
          <w:szCs w:val="32"/>
          <w:highlight w:val="none"/>
        </w:rPr>
      </w:pPr>
    </w:p>
    <w:p>
      <w:pPr>
        <w:spacing w:line="520" w:lineRule="exact"/>
        <w:jc w:val="center"/>
        <w:rPr>
          <w:rFonts w:ascii="宋体" w:hAnsi="Courier New"/>
          <w:b/>
          <w:color w:val="auto"/>
          <w:sz w:val="32"/>
          <w:szCs w:val="32"/>
          <w:highlight w:val="none"/>
        </w:rPr>
      </w:pPr>
    </w:p>
    <w:p>
      <w:pPr>
        <w:spacing w:line="520" w:lineRule="exact"/>
        <w:jc w:val="center"/>
        <w:rPr>
          <w:rFonts w:ascii="宋体" w:hAnsi="Courier New"/>
          <w:b/>
          <w:color w:val="auto"/>
          <w:sz w:val="32"/>
          <w:szCs w:val="32"/>
          <w:highlight w:val="none"/>
        </w:rPr>
      </w:pPr>
    </w:p>
    <w:p>
      <w:pPr>
        <w:jc w:val="center"/>
        <w:rPr>
          <w:rFonts w:hAnsi="宋体"/>
          <w:snapToGrid w:val="0"/>
          <w:color w:val="auto"/>
          <w:kern w:val="0"/>
          <w:sz w:val="24"/>
          <w:highlight w:val="none"/>
        </w:rPr>
      </w:pPr>
      <w:r>
        <w:rPr>
          <w:rFonts w:hint="eastAsia" w:hAnsi="宋体"/>
          <w:snapToGrid w:val="0"/>
          <w:color w:val="auto"/>
          <w:kern w:val="0"/>
          <w:sz w:val="24"/>
          <w:highlight w:val="none"/>
        </w:rPr>
        <w:t>工程可行性研究、专题编制费计算表</w:t>
      </w:r>
    </w:p>
    <w:p>
      <w:pPr>
        <w:snapToGrid w:val="0"/>
        <w:spacing w:line="360" w:lineRule="auto"/>
        <w:ind w:firstLine="916" w:firstLineChars="382"/>
        <w:rPr>
          <w:rFonts w:ascii="宋体"/>
          <w:color w:val="auto"/>
          <w:sz w:val="24"/>
          <w:highlight w:val="none"/>
        </w:rPr>
      </w:pPr>
      <w:r>
        <w:rPr>
          <w:rFonts w:hint="eastAsia" w:ascii="宋体" w:hAnsi="宋体"/>
          <w:color w:val="auto"/>
          <w:sz w:val="24"/>
          <w:highlight w:val="none"/>
        </w:rPr>
        <w:t>项目名称</w:t>
      </w:r>
      <w:r>
        <w:rPr>
          <w:rFonts w:ascii="宋体" w:hAnsi="宋体"/>
          <w:color w:val="auto"/>
          <w:sz w:val="24"/>
          <w:highlight w:val="none"/>
        </w:rPr>
        <w:t>:</w:t>
      </w:r>
    </w:p>
    <w:tbl>
      <w:tblPr>
        <w:tblStyle w:val="32"/>
        <w:tblW w:w="0" w:type="auto"/>
        <w:tblInd w:w="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388" w:type="dxa"/>
            <w:vAlign w:val="center"/>
          </w:tcPr>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tc>
      </w:tr>
    </w:tbl>
    <w:p>
      <w:pPr>
        <w:spacing w:line="520" w:lineRule="exact"/>
        <w:jc w:val="center"/>
        <w:rPr>
          <w:rFonts w:ascii="宋体" w:hAnsi="Courier New"/>
          <w:b/>
          <w:color w:val="auto"/>
          <w:sz w:val="32"/>
          <w:szCs w:val="32"/>
          <w:highlight w:val="none"/>
        </w:rPr>
      </w:pPr>
    </w:p>
    <w:p>
      <w:pPr>
        <w:spacing w:line="520" w:lineRule="exact"/>
        <w:jc w:val="center"/>
        <w:rPr>
          <w:rFonts w:ascii="宋体" w:hAnsi="Courier New"/>
          <w:b/>
          <w:color w:val="auto"/>
          <w:sz w:val="32"/>
          <w:szCs w:val="32"/>
          <w:highlight w:val="none"/>
        </w:rPr>
      </w:pPr>
    </w:p>
    <w:p>
      <w:pPr>
        <w:snapToGrid w:val="0"/>
        <w:spacing w:before="50" w:after="50" w:line="360" w:lineRule="auto"/>
        <w:ind w:right="-817" w:rightChars="-389" w:firstLine="2640" w:firstLineChars="1100"/>
        <w:rPr>
          <w:rFonts w:ascii="宋体" w:hAnsi="宋体" w:cs="仿宋_GB2312"/>
          <w:color w:val="auto"/>
          <w:sz w:val="24"/>
          <w:highlight w:val="none"/>
        </w:rPr>
      </w:pPr>
      <w:r>
        <w:rPr>
          <w:rFonts w:hint="eastAsia" w:ascii="宋体" w:hAnsi="宋体" w:cs="仿宋_GB2312"/>
          <w:color w:val="auto"/>
          <w:sz w:val="24"/>
          <w:highlight w:val="none"/>
        </w:rPr>
        <w:t>供应商（电子签章）：</w:t>
      </w:r>
    </w:p>
    <w:p>
      <w:pPr>
        <w:snapToGrid w:val="0"/>
        <w:spacing w:before="50" w:after="50" w:line="360" w:lineRule="auto"/>
        <w:ind w:right="-817" w:rightChars="-389" w:firstLine="5160" w:firstLineChars="2150"/>
        <w:rPr>
          <w:rFonts w:ascii="宋体" w:hAnsi="宋体" w:cs="仿宋_GB2312"/>
          <w:b/>
          <w:color w:val="auto"/>
          <w:sz w:val="24"/>
          <w:highlight w:val="none"/>
        </w:rPr>
      </w:pPr>
      <w:r>
        <w:rPr>
          <w:rFonts w:hint="eastAsia" w:ascii="宋体" w:hAnsi="宋体" w:cs="仿宋_GB2312"/>
          <w:color w:val="auto"/>
          <w:sz w:val="24"/>
          <w:highlight w:val="none"/>
        </w:rPr>
        <w:t>日期：   年   月   日</w:t>
      </w:r>
    </w:p>
    <w:p>
      <w:pPr>
        <w:spacing w:line="520" w:lineRule="exact"/>
        <w:jc w:val="center"/>
        <w:rPr>
          <w:rFonts w:ascii="宋体" w:hAnsi="Courier New"/>
          <w:b/>
          <w:color w:val="auto"/>
          <w:sz w:val="32"/>
          <w:szCs w:val="32"/>
          <w:highlight w:val="none"/>
        </w:rPr>
      </w:pPr>
    </w:p>
    <w:p>
      <w:pPr>
        <w:spacing w:line="520" w:lineRule="exact"/>
        <w:jc w:val="center"/>
        <w:rPr>
          <w:rFonts w:ascii="宋体" w:hAnsi="Courier New"/>
          <w:b/>
          <w:color w:val="auto"/>
          <w:sz w:val="32"/>
          <w:szCs w:val="32"/>
          <w:highlight w:val="none"/>
        </w:rPr>
      </w:pPr>
    </w:p>
    <w:p>
      <w:pPr>
        <w:spacing w:line="520" w:lineRule="exact"/>
        <w:jc w:val="center"/>
        <w:rPr>
          <w:rFonts w:ascii="宋体" w:hAnsi="Courier New"/>
          <w:b/>
          <w:color w:val="auto"/>
          <w:sz w:val="32"/>
          <w:szCs w:val="32"/>
          <w:highlight w:val="none"/>
        </w:rPr>
      </w:pPr>
    </w:p>
    <w:p>
      <w:pPr>
        <w:spacing w:line="520" w:lineRule="exact"/>
        <w:jc w:val="center"/>
        <w:rPr>
          <w:rFonts w:ascii="宋体" w:hAnsi="Courier New"/>
          <w:b/>
          <w:color w:val="auto"/>
          <w:sz w:val="32"/>
          <w:szCs w:val="32"/>
          <w:highlight w:val="none"/>
        </w:rPr>
      </w:pPr>
    </w:p>
    <w:p>
      <w:pPr>
        <w:spacing w:line="520" w:lineRule="exact"/>
        <w:jc w:val="center"/>
        <w:rPr>
          <w:rFonts w:ascii="宋体" w:hAnsi="Courier New"/>
          <w:b/>
          <w:color w:val="auto"/>
          <w:sz w:val="32"/>
          <w:szCs w:val="32"/>
          <w:highlight w:val="none"/>
        </w:rPr>
      </w:pPr>
    </w:p>
    <w:p>
      <w:pPr>
        <w:spacing w:line="520" w:lineRule="exact"/>
        <w:jc w:val="center"/>
        <w:rPr>
          <w:rFonts w:ascii="宋体" w:hAnsi="Courier New"/>
          <w:b/>
          <w:color w:val="auto"/>
          <w:sz w:val="32"/>
          <w:szCs w:val="32"/>
          <w:highlight w:val="none"/>
        </w:rPr>
      </w:pPr>
    </w:p>
    <w:p>
      <w:pPr>
        <w:spacing w:line="520" w:lineRule="exact"/>
        <w:jc w:val="center"/>
        <w:rPr>
          <w:rFonts w:ascii="宋体" w:hAnsi="Courier New"/>
          <w:b/>
          <w:color w:val="auto"/>
          <w:sz w:val="32"/>
          <w:szCs w:val="32"/>
          <w:highlight w:val="none"/>
        </w:rPr>
      </w:pPr>
    </w:p>
    <w:p>
      <w:pPr>
        <w:spacing w:line="520" w:lineRule="exact"/>
        <w:jc w:val="center"/>
        <w:rPr>
          <w:rFonts w:ascii="宋体" w:hAnsi="Courier New"/>
          <w:b/>
          <w:color w:val="auto"/>
          <w:sz w:val="32"/>
          <w:szCs w:val="32"/>
          <w:highlight w:val="none"/>
        </w:rPr>
      </w:pPr>
    </w:p>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岩土工程勘察报价清单表</w:t>
      </w:r>
    </w:p>
    <w:p>
      <w:pPr>
        <w:spacing w:line="360" w:lineRule="auto"/>
        <w:ind w:firstLine="453" w:firstLineChars="216"/>
        <w:rPr>
          <w:rFonts w:ascii="宋体" w:hAnsi="宋体" w:cs="仿宋"/>
          <w:bCs/>
          <w:color w:val="auto"/>
          <w:szCs w:val="21"/>
          <w:highlight w:val="none"/>
        </w:rPr>
      </w:pPr>
      <w:r>
        <w:rPr>
          <w:rFonts w:hint="eastAsia" w:ascii="宋体" w:hAnsi="宋体" w:cs="仿宋"/>
          <w:bCs/>
          <w:color w:val="auto"/>
          <w:szCs w:val="21"/>
          <w:highlight w:val="none"/>
        </w:rPr>
        <w:t>项目名称:</w:t>
      </w:r>
      <w:r>
        <w:rPr>
          <w:rFonts w:hint="eastAsia" w:ascii="宋体" w:hAnsi="宋体"/>
          <w:snapToGrid w:val="0"/>
          <w:color w:val="auto"/>
          <w:kern w:val="0"/>
          <w:sz w:val="24"/>
          <w:highlight w:val="none"/>
        </w:rPr>
        <w:t xml:space="preserve">  </w:t>
      </w:r>
    </w:p>
    <w:tbl>
      <w:tblPr>
        <w:tblStyle w:val="3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702"/>
        <w:gridCol w:w="3376"/>
        <w:gridCol w:w="1218"/>
        <w:gridCol w:w="725"/>
        <w:gridCol w:w="911"/>
        <w:gridCol w:w="1328"/>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028" w:hRule="atLeast"/>
          <w:jc w:val="center"/>
        </w:trPr>
        <w:tc>
          <w:tcPr>
            <w:tcW w:w="362"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序号</w:t>
            </w:r>
          </w:p>
        </w:tc>
        <w:tc>
          <w:tcPr>
            <w:tcW w:w="1741"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项目</w:t>
            </w:r>
          </w:p>
        </w:tc>
        <w:tc>
          <w:tcPr>
            <w:tcW w:w="628"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预计</w:t>
            </w:r>
          </w:p>
          <w:p>
            <w:pPr>
              <w:jc w:val="center"/>
              <w:rPr>
                <w:rFonts w:ascii="宋体" w:hAnsi="宋体" w:cs="仿宋"/>
                <w:bCs/>
                <w:color w:val="auto"/>
                <w:szCs w:val="21"/>
                <w:highlight w:val="none"/>
              </w:rPr>
            </w:pPr>
            <w:r>
              <w:rPr>
                <w:rFonts w:hint="eastAsia" w:ascii="宋体" w:hAnsi="宋体" w:cs="仿宋"/>
                <w:bCs/>
                <w:color w:val="auto"/>
                <w:szCs w:val="21"/>
                <w:highlight w:val="none"/>
              </w:rPr>
              <w:t>工作量</w:t>
            </w:r>
          </w:p>
        </w:tc>
        <w:tc>
          <w:tcPr>
            <w:tcW w:w="374"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单位</w:t>
            </w:r>
          </w:p>
        </w:tc>
        <w:tc>
          <w:tcPr>
            <w:tcW w:w="470"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综合</w:t>
            </w:r>
          </w:p>
          <w:p>
            <w:pPr>
              <w:jc w:val="center"/>
              <w:rPr>
                <w:rFonts w:ascii="宋体" w:hAnsi="宋体" w:cs="仿宋"/>
                <w:bCs/>
                <w:color w:val="auto"/>
                <w:szCs w:val="21"/>
                <w:highlight w:val="none"/>
              </w:rPr>
            </w:pPr>
            <w:r>
              <w:rPr>
                <w:rFonts w:hint="eastAsia" w:ascii="宋体" w:hAnsi="宋体" w:cs="仿宋"/>
                <w:bCs/>
                <w:color w:val="auto"/>
                <w:szCs w:val="21"/>
                <w:highlight w:val="none"/>
              </w:rPr>
              <w:t>单价</w:t>
            </w:r>
          </w:p>
          <w:p>
            <w:pPr>
              <w:jc w:val="center"/>
              <w:rPr>
                <w:rFonts w:ascii="宋体" w:hAnsi="宋体" w:cs="仿宋"/>
                <w:bCs/>
                <w:color w:val="auto"/>
                <w:szCs w:val="21"/>
                <w:highlight w:val="none"/>
              </w:rPr>
            </w:pPr>
            <w:r>
              <w:rPr>
                <w:rFonts w:hint="eastAsia" w:ascii="宋体" w:hAnsi="宋体" w:cs="仿宋"/>
                <w:bCs/>
                <w:color w:val="auto"/>
                <w:szCs w:val="21"/>
                <w:highlight w:val="none"/>
              </w:rPr>
              <w:t>（元）</w:t>
            </w:r>
          </w:p>
        </w:tc>
        <w:tc>
          <w:tcPr>
            <w:tcW w:w="685"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费用</w:t>
            </w:r>
          </w:p>
          <w:p>
            <w:pPr>
              <w:jc w:val="center"/>
              <w:rPr>
                <w:rFonts w:ascii="宋体" w:hAnsi="宋体" w:cs="仿宋"/>
                <w:bCs/>
                <w:color w:val="auto"/>
                <w:szCs w:val="21"/>
                <w:highlight w:val="none"/>
              </w:rPr>
            </w:pPr>
            <w:r>
              <w:rPr>
                <w:rFonts w:hint="eastAsia" w:ascii="宋体" w:hAnsi="宋体" w:cs="仿宋"/>
                <w:bCs/>
                <w:color w:val="auto"/>
                <w:szCs w:val="21"/>
                <w:highlight w:val="none"/>
              </w:rPr>
              <w:t>金额</w:t>
            </w:r>
          </w:p>
          <w:p>
            <w:pPr>
              <w:jc w:val="center"/>
              <w:rPr>
                <w:rFonts w:ascii="宋体" w:hAnsi="宋体" w:cs="仿宋"/>
                <w:bCs/>
                <w:color w:val="auto"/>
                <w:szCs w:val="21"/>
                <w:highlight w:val="none"/>
              </w:rPr>
            </w:pPr>
            <w:r>
              <w:rPr>
                <w:rFonts w:hint="eastAsia" w:ascii="宋体" w:hAnsi="宋体" w:cs="仿宋"/>
                <w:bCs/>
                <w:color w:val="auto"/>
                <w:szCs w:val="21"/>
                <w:highlight w:val="none"/>
              </w:rPr>
              <w:t>（万元）</w:t>
            </w:r>
          </w:p>
        </w:tc>
        <w:tc>
          <w:tcPr>
            <w:tcW w:w="737"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exact"/>
          <w:jc w:val="center"/>
        </w:trPr>
        <w:tc>
          <w:tcPr>
            <w:tcW w:w="362"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1</w:t>
            </w:r>
          </w:p>
        </w:tc>
        <w:tc>
          <w:tcPr>
            <w:tcW w:w="1741" w:type="pct"/>
            <w:vAlign w:val="center"/>
          </w:tcPr>
          <w:p>
            <w:pPr>
              <w:rPr>
                <w:rFonts w:ascii="宋体" w:hAnsi="宋体" w:cs="仿宋"/>
                <w:bCs/>
                <w:color w:val="auto"/>
                <w:szCs w:val="21"/>
                <w:highlight w:val="none"/>
              </w:rPr>
            </w:pPr>
            <w:r>
              <w:rPr>
                <w:rFonts w:hint="eastAsia" w:ascii="宋体" w:hAnsi="宋体" w:cs="仿宋"/>
                <w:bCs/>
                <w:color w:val="auto"/>
                <w:szCs w:val="21"/>
                <w:highlight w:val="none"/>
              </w:rPr>
              <w:t>勘探点和断面测量</w:t>
            </w:r>
          </w:p>
        </w:tc>
        <w:tc>
          <w:tcPr>
            <w:tcW w:w="628" w:type="pct"/>
            <w:vAlign w:val="center"/>
          </w:tcPr>
          <w:p>
            <w:pPr>
              <w:jc w:val="center"/>
              <w:rPr>
                <w:rFonts w:ascii="宋体" w:hAnsi="宋体" w:cs="仿宋"/>
                <w:bCs/>
                <w:color w:val="auto"/>
                <w:szCs w:val="21"/>
                <w:highlight w:val="none"/>
              </w:rPr>
            </w:pPr>
          </w:p>
        </w:tc>
        <w:tc>
          <w:tcPr>
            <w:tcW w:w="374"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组日</w:t>
            </w:r>
          </w:p>
        </w:tc>
        <w:tc>
          <w:tcPr>
            <w:tcW w:w="470" w:type="pct"/>
            <w:vAlign w:val="center"/>
          </w:tcPr>
          <w:p>
            <w:pPr>
              <w:rPr>
                <w:rFonts w:ascii="宋体" w:hAnsi="宋体" w:cs="仿宋"/>
                <w:bCs/>
                <w:color w:val="auto"/>
                <w:szCs w:val="21"/>
                <w:highlight w:val="none"/>
              </w:rPr>
            </w:pPr>
          </w:p>
        </w:tc>
        <w:tc>
          <w:tcPr>
            <w:tcW w:w="685" w:type="pct"/>
            <w:vAlign w:val="center"/>
          </w:tcPr>
          <w:p>
            <w:pPr>
              <w:rPr>
                <w:rFonts w:ascii="宋体" w:hAnsi="宋体" w:cs="仿宋"/>
                <w:bCs/>
                <w:color w:val="auto"/>
                <w:szCs w:val="21"/>
                <w:highlight w:val="none"/>
              </w:rPr>
            </w:pPr>
          </w:p>
        </w:tc>
        <w:tc>
          <w:tcPr>
            <w:tcW w:w="737" w:type="pct"/>
            <w:vAlign w:val="center"/>
          </w:tcPr>
          <w:p>
            <w:pPr>
              <w:rPr>
                <w:rFonts w:ascii="宋体" w:hAnsi="宋体"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exact"/>
          <w:jc w:val="center"/>
        </w:trPr>
        <w:tc>
          <w:tcPr>
            <w:tcW w:w="362"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2</w:t>
            </w:r>
          </w:p>
        </w:tc>
        <w:tc>
          <w:tcPr>
            <w:tcW w:w="1741" w:type="pct"/>
            <w:vAlign w:val="center"/>
          </w:tcPr>
          <w:p>
            <w:pPr>
              <w:rPr>
                <w:rFonts w:ascii="宋体" w:hAnsi="宋体" w:cs="仿宋"/>
                <w:bCs/>
                <w:color w:val="auto"/>
                <w:szCs w:val="21"/>
                <w:highlight w:val="none"/>
              </w:rPr>
            </w:pPr>
            <w:r>
              <w:rPr>
                <w:rFonts w:hint="eastAsia" w:ascii="宋体" w:hAnsi="宋体" w:cs="仿宋"/>
                <w:bCs/>
                <w:color w:val="auto"/>
                <w:szCs w:val="21"/>
                <w:highlight w:val="none"/>
              </w:rPr>
              <w:t>物探</w:t>
            </w:r>
          </w:p>
        </w:tc>
        <w:tc>
          <w:tcPr>
            <w:tcW w:w="628" w:type="pct"/>
            <w:vAlign w:val="center"/>
          </w:tcPr>
          <w:p>
            <w:pPr>
              <w:jc w:val="center"/>
              <w:rPr>
                <w:rFonts w:ascii="宋体" w:hAnsi="宋体" w:cs="仿宋"/>
                <w:bCs/>
                <w:color w:val="auto"/>
                <w:szCs w:val="21"/>
                <w:highlight w:val="none"/>
              </w:rPr>
            </w:pPr>
          </w:p>
        </w:tc>
        <w:tc>
          <w:tcPr>
            <w:tcW w:w="374"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km</w:t>
            </w:r>
          </w:p>
        </w:tc>
        <w:tc>
          <w:tcPr>
            <w:tcW w:w="470" w:type="pct"/>
            <w:vAlign w:val="center"/>
          </w:tcPr>
          <w:p>
            <w:pPr>
              <w:rPr>
                <w:rFonts w:ascii="宋体" w:hAnsi="宋体" w:cs="仿宋"/>
                <w:bCs/>
                <w:color w:val="auto"/>
                <w:szCs w:val="21"/>
                <w:highlight w:val="none"/>
              </w:rPr>
            </w:pPr>
          </w:p>
        </w:tc>
        <w:tc>
          <w:tcPr>
            <w:tcW w:w="685" w:type="pct"/>
            <w:vAlign w:val="center"/>
          </w:tcPr>
          <w:p>
            <w:pPr>
              <w:rPr>
                <w:rFonts w:ascii="宋体" w:hAnsi="宋体" w:cs="仿宋"/>
                <w:bCs/>
                <w:color w:val="auto"/>
                <w:szCs w:val="21"/>
                <w:highlight w:val="none"/>
              </w:rPr>
            </w:pPr>
          </w:p>
        </w:tc>
        <w:tc>
          <w:tcPr>
            <w:tcW w:w="737" w:type="pct"/>
            <w:vAlign w:val="center"/>
          </w:tcPr>
          <w:p>
            <w:pPr>
              <w:rPr>
                <w:rFonts w:ascii="宋体" w:hAnsi="宋体"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979" w:hRule="exact"/>
          <w:jc w:val="center"/>
        </w:trPr>
        <w:tc>
          <w:tcPr>
            <w:tcW w:w="362"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3</w:t>
            </w:r>
          </w:p>
        </w:tc>
        <w:tc>
          <w:tcPr>
            <w:tcW w:w="1741" w:type="pct"/>
            <w:vAlign w:val="center"/>
          </w:tcPr>
          <w:p>
            <w:pPr>
              <w:rPr>
                <w:rFonts w:ascii="宋体" w:hAnsi="宋体" w:cs="仿宋"/>
                <w:bCs/>
                <w:color w:val="auto"/>
                <w:szCs w:val="21"/>
                <w:highlight w:val="none"/>
              </w:rPr>
            </w:pPr>
            <w:r>
              <w:rPr>
                <w:rFonts w:hint="eastAsia" w:ascii="宋体" w:hAnsi="宋体" w:cs="仿宋"/>
                <w:bCs/>
                <w:color w:val="auto"/>
                <w:szCs w:val="21"/>
                <w:highlight w:val="none"/>
              </w:rPr>
              <w:t>钻探</w:t>
            </w:r>
          </w:p>
        </w:tc>
        <w:tc>
          <w:tcPr>
            <w:tcW w:w="628"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216</w:t>
            </w:r>
          </w:p>
        </w:tc>
        <w:tc>
          <w:tcPr>
            <w:tcW w:w="374"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m</w:t>
            </w:r>
          </w:p>
        </w:tc>
        <w:tc>
          <w:tcPr>
            <w:tcW w:w="470" w:type="pct"/>
            <w:vAlign w:val="center"/>
          </w:tcPr>
          <w:p>
            <w:pPr>
              <w:rPr>
                <w:rFonts w:ascii="宋体" w:hAnsi="宋体" w:cs="仿宋"/>
                <w:bCs/>
                <w:color w:val="auto"/>
                <w:szCs w:val="21"/>
                <w:highlight w:val="none"/>
              </w:rPr>
            </w:pPr>
          </w:p>
        </w:tc>
        <w:tc>
          <w:tcPr>
            <w:tcW w:w="685" w:type="pct"/>
            <w:vAlign w:val="center"/>
          </w:tcPr>
          <w:p>
            <w:pPr>
              <w:rPr>
                <w:rFonts w:ascii="宋体" w:hAnsi="宋体" w:cs="仿宋"/>
                <w:bCs/>
                <w:color w:val="auto"/>
                <w:szCs w:val="21"/>
                <w:highlight w:val="none"/>
              </w:rPr>
            </w:pPr>
          </w:p>
        </w:tc>
        <w:tc>
          <w:tcPr>
            <w:tcW w:w="737" w:type="pct"/>
            <w:vAlign w:val="center"/>
          </w:tcPr>
          <w:p>
            <w:pPr>
              <w:rPr>
                <w:rFonts w:ascii="宋体" w:hAnsi="宋体" w:cs="仿宋"/>
                <w:bCs/>
                <w:color w:val="auto"/>
                <w:szCs w:val="21"/>
                <w:highlight w:val="none"/>
              </w:rPr>
            </w:pPr>
            <w:r>
              <w:rPr>
                <w:rFonts w:hint="eastAsia" w:ascii="宋体" w:hAnsi="宋体" w:cs="仿宋"/>
                <w:bCs/>
                <w:color w:val="auto"/>
                <w:sz w:val="18"/>
                <w:szCs w:val="18"/>
                <w:highlight w:val="none"/>
              </w:rPr>
              <w:t>预计36个孔，平均单孔孔深6.0m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90" w:hRule="atLeast"/>
          <w:jc w:val="center"/>
        </w:trPr>
        <w:tc>
          <w:tcPr>
            <w:tcW w:w="362"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4</w:t>
            </w:r>
          </w:p>
        </w:tc>
        <w:tc>
          <w:tcPr>
            <w:tcW w:w="1741" w:type="pct"/>
            <w:vAlign w:val="center"/>
          </w:tcPr>
          <w:p>
            <w:pPr>
              <w:rPr>
                <w:rFonts w:ascii="宋体" w:hAnsi="宋体" w:cs="仿宋"/>
                <w:bCs/>
                <w:color w:val="auto"/>
                <w:szCs w:val="21"/>
                <w:highlight w:val="none"/>
              </w:rPr>
            </w:pPr>
            <w:r>
              <w:rPr>
                <w:rFonts w:hint="eastAsia" w:ascii="宋体" w:hAnsi="宋体" w:cs="仿宋"/>
                <w:bCs/>
                <w:color w:val="auto"/>
                <w:szCs w:val="21"/>
                <w:highlight w:val="none"/>
              </w:rPr>
              <w:t>标准贯入试验</w:t>
            </w:r>
          </w:p>
        </w:tc>
        <w:tc>
          <w:tcPr>
            <w:tcW w:w="628" w:type="pct"/>
            <w:vAlign w:val="center"/>
          </w:tcPr>
          <w:p>
            <w:pPr>
              <w:jc w:val="center"/>
              <w:rPr>
                <w:rFonts w:ascii="宋体" w:hAnsi="宋体" w:cs="仿宋"/>
                <w:bCs/>
                <w:color w:val="auto"/>
                <w:szCs w:val="21"/>
                <w:highlight w:val="none"/>
              </w:rPr>
            </w:pPr>
          </w:p>
        </w:tc>
        <w:tc>
          <w:tcPr>
            <w:tcW w:w="374"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次</w:t>
            </w:r>
          </w:p>
        </w:tc>
        <w:tc>
          <w:tcPr>
            <w:tcW w:w="470" w:type="pct"/>
            <w:vAlign w:val="center"/>
          </w:tcPr>
          <w:p>
            <w:pPr>
              <w:rPr>
                <w:rFonts w:ascii="宋体" w:hAnsi="宋体" w:cs="仿宋"/>
                <w:bCs/>
                <w:color w:val="auto"/>
                <w:szCs w:val="21"/>
                <w:highlight w:val="none"/>
              </w:rPr>
            </w:pPr>
          </w:p>
        </w:tc>
        <w:tc>
          <w:tcPr>
            <w:tcW w:w="685" w:type="pct"/>
            <w:vAlign w:val="center"/>
          </w:tcPr>
          <w:p>
            <w:pPr>
              <w:rPr>
                <w:rFonts w:ascii="宋体" w:hAnsi="宋体" w:cs="仿宋"/>
                <w:bCs/>
                <w:color w:val="auto"/>
                <w:szCs w:val="21"/>
                <w:highlight w:val="none"/>
              </w:rPr>
            </w:pPr>
          </w:p>
        </w:tc>
        <w:tc>
          <w:tcPr>
            <w:tcW w:w="737" w:type="pct"/>
            <w:vAlign w:val="center"/>
          </w:tcPr>
          <w:p>
            <w:pPr>
              <w:rPr>
                <w:rFonts w:ascii="宋体" w:hAnsi="宋体"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362"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5</w:t>
            </w:r>
          </w:p>
        </w:tc>
        <w:tc>
          <w:tcPr>
            <w:tcW w:w="1741" w:type="pct"/>
            <w:vAlign w:val="center"/>
          </w:tcPr>
          <w:p>
            <w:pPr>
              <w:rPr>
                <w:rFonts w:ascii="宋体" w:hAnsi="宋体" w:cs="仿宋"/>
                <w:bCs/>
                <w:color w:val="auto"/>
                <w:szCs w:val="21"/>
                <w:highlight w:val="none"/>
              </w:rPr>
            </w:pPr>
            <w:r>
              <w:rPr>
                <w:rFonts w:hint="eastAsia" w:ascii="宋体" w:hAnsi="宋体" w:cs="仿宋"/>
                <w:bCs/>
                <w:color w:val="auto"/>
                <w:szCs w:val="21"/>
                <w:highlight w:val="none"/>
              </w:rPr>
              <w:t>圆锥动力触探</w:t>
            </w:r>
          </w:p>
        </w:tc>
        <w:tc>
          <w:tcPr>
            <w:tcW w:w="628" w:type="pct"/>
            <w:vAlign w:val="center"/>
          </w:tcPr>
          <w:p>
            <w:pPr>
              <w:jc w:val="center"/>
              <w:rPr>
                <w:rFonts w:ascii="宋体" w:hAnsi="宋体" w:cs="仿宋"/>
                <w:bCs/>
                <w:color w:val="auto"/>
                <w:szCs w:val="21"/>
                <w:highlight w:val="none"/>
              </w:rPr>
            </w:pPr>
          </w:p>
        </w:tc>
        <w:tc>
          <w:tcPr>
            <w:tcW w:w="374"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m</w:t>
            </w:r>
          </w:p>
        </w:tc>
        <w:tc>
          <w:tcPr>
            <w:tcW w:w="470" w:type="pct"/>
            <w:vAlign w:val="center"/>
          </w:tcPr>
          <w:p>
            <w:pPr>
              <w:rPr>
                <w:rFonts w:ascii="宋体" w:hAnsi="宋体" w:cs="仿宋"/>
                <w:bCs/>
                <w:color w:val="auto"/>
                <w:szCs w:val="21"/>
                <w:highlight w:val="none"/>
              </w:rPr>
            </w:pPr>
          </w:p>
        </w:tc>
        <w:tc>
          <w:tcPr>
            <w:tcW w:w="685" w:type="pct"/>
            <w:vAlign w:val="center"/>
          </w:tcPr>
          <w:p>
            <w:pPr>
              <w:rPr>
                <w:rFonts w:ascii="宋体" w:hAnsi="宋体" w:cs="仿宋"/>
                <w:bCs/>
                <w:color w:val="auto"/>
                <w:szCs w:val="21"/>
                <w:highlight w:val="none"/>
              </w:rPr>
            </w:pPr>
          </w:p>
        </w:tc>
        <w:tc>
          <w:tcPr>
            <w:tcW w:w="737" w:type="pct"/>
            <w:vAlign w:val="center"/>
          </w:tcPr>
          <w:p>
            <w:pPr>
              <w:rPr>
                <w:rFonts w:ascii="宋体" w:hAnsi="宋体"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362"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6</w:t>
            </w:r>
          </w:p>
        </w:tc>
        <w:tc>
          <w:tcPr>
            <w:tcW w:w="1741" w:type="pct"/>
            <w:vAlign w:val="center"/>
          </w:tcPr>
          <w:p>
            <w:pPr>
              <w:rPr>
                <w:rFonts w:ascii="宋体" w:hAnsi="宋体" w:cs="仿宋"/>
                <w:bCs/>
                <w:color w:val="auto"/>
                <w:szCs w:val="21"/>
                <w:highlight w:val="none"/>
              </w:rPr>
            </w:pPr>
            <w:r>
              <w:rPr>
                <w:rFonts w:hint="eastAsia" w:ascii="宋体" w:hAnsi="宋体" w:cs="仿宋"/>
                <w:bCs/>
                <w:color w:val="auto"/>
                <w:szCs w:val="21"/>
                <w:highlight w:val="none"/>
              </w:rPr>
              <w:t>取岩样</w:t>
            </w:r>
          </w:p>
        </w:tc>
        <w:tc>
          <w:tcPr>
            <w:tcW w:w="628" w:type="pct"/>
            <w:vAlign w:val="center"/>
          </w:tcPr>
          <w:p>
            <w:pPr>
              <w:jc w:val="center"/>
              <w:rPr>
                <w:rFonts w:ascii="宋体" w:hAnsi="宋体" w:cs="仿宋"/>
                <w:bCs/>
                <w:color w:val="auto"/>
                <w:szCs w:val="21"/>
                <w:highlight w:val="none"/>
              </w:rPr>
            </w:pPr>
          </w:p>
        </w:tc>
        <w:tc>
          <w:tcPr>
            <w:tcW w:w="374"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件</w:t>
            </w:r>
          </w:p>
        </w:tc>
        <w:tc>
          <w:tcPr>
            <w:tcW w:w="470" w:type="pct"/>
            <w:vAlign w:val="center"/>
          </w:tcPr>
          <w:p>
            <w:pPr>
              <w:rPr>
                <w:rFonts w:ascii="宋体" w:hAnsi="宋体" w:cs="仿宋"/>
                <w:bCs/>
                <w:color w:val="auto"/>
                <w:szCs w:val="21"/>
                <w:highlight w:val="none"/>
              </w:rPr>
            </w:pPr>
          </w:p>
        </w:tc>
        <w:tc>
          <w:tcPr>
            <w:tcW w:w="685" w:type="pct"/>
            <w:vAlign w:val="center"/>
          </w:tcPr>
          <w:p>
            <w:pPr>
              <w:rPr>
                <w:rFonts w:ascii="宋体" w:hAnsi="宋体" w:cs="仿宋"/>
                <w:bCs/>
                <w:color w:val="auto"/>
                <w:szCs w:val="21"/>
                <w:highlight w:val="none"/>
              </w:rPr>
            </w:pPr>
          </w:p>
        </w:tc>
        <w:tc>
          <w:tcPr>
            <w:tcW w:w="737" w:type="pct"/>
            <w:vAlign w:val="center"/>
          </w:tcPr>
          <w:p>
            <w:pPr>
              <w:rPr>
                <w:rFonts w:ascii="宋体" w:hAnsi="宋体"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362"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7</w:t>
            </w:r>
          </w:p>
        </w:tc>
        <w:tc>
          <w:tcPr>
            <w:tcW w:w="1741" w:type="pct"/>
            <w:vAlign w:val="center"/>
          </w:tcPr>
          <w:p>
            <w:pPr>
              <w:rPr>
                <w:rFonts w:ascii="宋体" w:hAnsi="宋体" w:cs="仿宋"/>
                <w:bCs/>
                <w:color w:val="auto"/>
                <w:szCs w:val="21"/>
                <w:highlight w:val="none"/>
              </w:rPr>
            </w:pPr>
            <w:r>
              <w:rPr>
                <w:rFonts w:hint="eastAsia" w:ascii="宋体" w:hAnsi="宋体" w:cs="仿宋"/>
                <w:bCs/>
                <w:color w:val="auto"/>
                <w:szCs w:val="21"/>
                <w:highlight w:val="none"/>
              </w:rPr>
              <w:t>取土样（原状）</w:t>
            </w:r>
          </w:p>
        </w:tc>
        <w:tc>
          <w:tcPr>
            <w:tcW w:w="628" w:type="pct"/>
            <w:vAlign w:val="center"/>
          </w:tcPr>
          <w:p>
            <w:pPr>
              <w:jc w:val="center"/>
              <w:rPr>
                <w:rFonts w:ascii="宋体" w:hAnsi="宋体" w:cs="仿宋"/>
                <w:bCs/>
                <w:color w:val="auto"/>
                <w:szCs w:val="21"/>
                <w:highlight w:val="none"/>
              </w:rPr>
            </w:pPr>
          </w:p>
        </w:tc>
        <w:tc>
          <w:tcPr>
            <w:tcW w:w="374"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件</w:t>
            </w:r>
          </w:p>
        </w:tc>
        <w:tc>
          <w:tcPr>
            <w:tcW w:w="470" w:type="pct"/>
            <w:vAlign w:val="center"/>
          </w:tcPr>
          <w:p>
            <w:pPr>
              <w:rPr>
                <w:rFonts w:ascii="宋体" w:hAnsi="宋体" w:cs="仿宋"/>
                <w:bCs/>
                <w:color w:val="auto"/>
                <w:szCs w:val="21"/>
                <w:highlight w:val="none"/>
              </w:rPr>
            </w:pPr>
          </w:p>
        </w:tc>
        <w:tc>
          <w:tcPr>
            <w:tcW w:w="685" w:type="pct"/>
            <w:vAlign w:val="center"/>
          </w:tcPr>
          <w:p>
            <w:pPr>
              <w:rPr>
                <w:rFonts w:ascii="宋体" w:hAnsi="宋体" w:cs="仿宋"/>
                <w:bCs/>
                <w:color w:val="auto"/>
                <w:szCs w:val="21"/>
                <w:highlight w:val="none"/>
              </w:rPr>
            </w:pPr>
          </w:p>
        </w:tc>
        <w:tc>
          <w:tcPr>
            <w:tcW w:w="737" w:type="pct"/>
            <w:vAlign w:val="center"/>
          </w:tcPr>
          <w:p>
            <w:pPr>
              <w:rPr>
                <w:rFonts w:ascii="宋体" w:hAnsi="宋体"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362"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8</w:t>
            </w:r>
          </w:p>
        </w:tc>
        <w:tc>
          <w:tcPr>
            <w:tcW w:w="1741" w:type="pct"/>
            <w:vAlign w:val="center"/>
          </w:tcPr>
          <w:p>
            <w:pPr>
              <w:rPr>
                <w:rFonts w:ascii="宋体" w:hAnsi="宋体" w:cs="仿宋"/>
                <w:bCs/>
                <w:color w:val="auto"/>
                <w:szCs w:val="21"/>
                <w:highlight w:val="none"/>
              </w:rPr>
            </w:pPr>
            <w:r>
              <w:rPr>
                <w:rFonts w:hint="eastAsia" w:ascii="宋体" w:hAnsi="宋体" w:cs="仿宋"/>
                <w:bCs/>
                <w:color w:val="auto"/>
                <w:szCs w:val="21"/>
                <w:highlight w:val="none"/>
              </w:rPr>
              <w:t>取土样（扰动）</w:t>
            </w:r>
          </w:p>
        </w:tc>
        <w:tc>
          <w:tcPr>
            <w:tcW w:w="628" w:type="pct"/>
            <w:vAlign w:val="center"/>
          </w:tcPr>
          <w:p>
            <w:pPr>
              <w:jc w:val="center"/>
              <w:rPr>
                <w:rFonts w:ascii="宋体" w:hAnsi="宋体" w:cs="仿宋"/>
                <w:bCs/>
                <w:color w:val="auto"/>
                <w:szCs w:val="21"/>
                <w:highlight w:val="none"/>
              </w:rPr>
            </w:pPr>
          </w:p>
        </w:tc>
        <w:tc>
          <w:tcPr>
            <w:tcW w:w="374"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件</w:t>
            </w:r>
          </w:p>
        </w:tc>
        <w:tc>
          <w:tcPr>
            <w:tcW w:w="470" w:type="pct"/>
            <w:vAlign w:val="center"/>
          </w:tcPr>
          <w:p>
            <w:pPr>
              <w:rPr>
                <w:rFonts w:ascii="宋体" w:hAnsi="宋体" w:cs="仿宋"/>
                <w:bCs/>
                <w:color w:val="auto"/>
                <w:szCs w:val="21"/>
                <w:highlight w:val="none"/>
              </w:rPr>
            </w:pPr>
          </w:p>
        </w:tc>
        <w:tc>
          <w:tcPr>
            <w:tcW w:w="685" w:type="pct"/>
            <w:vAlign w:val="center"/>
          </w:tcPr>
          <w:p>
            <w:pPr>
              <w:rPr>
                <w:rFonts w:ascii="宋体" w:hAnsi="宋体" w:cs="仿宋"/>
                <w:bCs/>
                <w:color w:val="auto"/>
                <w:szCs w:val="21"/>
                <w:highlight w:val="none"/>
              </w:rPr>
            </w:pPr>
          </w:p>
        </w:tc>
        <w:tc>
          <w:tcPr>
            <w:tcW w:w="737" w:type="pct"/>
            <w:vAlign w:val="center"/>
          </w:tcPr>
          <w:p>
            <w:pPr>
              <w:rPr>
                <w:rFonts w:ascii="宋体" w:hAnsi="宋体"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362"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9</w:t>
            </w:r>
          </w:p>
        </w:tc>
        <w:tc>
          <w:tcPr>
            <w:tcW w:w="1741" w:type="pct"/>
            <w:vAlign w:val="center"/>
          </w:tcPr>
          <w:p>
            <w:pPr>
              <w:rPr>
                <w:rFonts w:ascii="宋体" w:hAnsi="宋体" w:cs="仿宋"/>
                <w:bCs/>
                <w:color w:val="auto"/>
                <w:szCs w:val="21"/>
                <w:highlight w:val="none"/>
              </w:rPr>
            </w:pPr>
            <w:r>
              <w:rPr>
                <w:rFonts w:hint="eastAsia" w:ascii="宋体" w:hAnsi="宋体" w:cs="仿宋"/>
                <w:bCs/>
                <w:color w:val="auto"/>
                <w:szCs w:val="21"/>
                <w:highlight w:val="none"/>
              </w:rPr>
              <w:t>取水样</w:t>
            </w:r>
          </w:p>
        </w:tc>
        <w:tc>
          <w:tcPr>
            <w:tcW w:w="628" w:type="pct"/>
            <w:vAlign w:val="center"/>
          </w:tcPr>
          <w:p>
            <w:pPr>
              <w:jc w:val="center"/>
              <w:rPr>
                <w:rFonts w:ascii="宋体" w:hAnsi="宋体" w:cs="仿宋"/>
                <w:bCs/>
                <w:color w:val="auto"/>
                <w:szCs w:val="21"/>
                <w:highlight w:val="none"/>
              </w:rPr>
            </w:pPr>
          </w:p>
        </w:tc>
        <w:tc>
          <w:tcPr>
            <w:tcW w:w="374"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件</w:t>
            </w:r>
          </w:p>
        </w:tc>
        <w:tc>
          <w:tcPr>
            <w:tcW w:w="470" w:type="pct"/>
            <w:vAlign w:val="center"/>
          </w:tcPr>
          <w:p>
            <w:pPr>
              <w:rPr>
                <w:rFonts w:ascii="宋体" w:hAnsi="宋体" w:cs="仿宋"/>
                <w:bCs/>
                <w:color w:val="auto"/>
                <w:szCs w:val="21"/>
                <w:highlight w:val="none"/>
              </w:rPr>
            </w:pPr>
          </w:p>
        </w:tc>
        <w:tc>
          <w:tcPr>
            <w:tcW w:w="685" w:type="pct"/>
            <w:vAlign w:val="center"/>
          </w:tcPr>
          <w:p>
            <w:pPr>
              <w:rPr>
                <w:rFonts w:ascii="宋体" w:hAnsi="宋体" w:cs="仿宋"/>
                <w:bCs/>
                <w:color w:val="auto"/>
                <w:szCs w:val="21"/>
                <w:highlight w:val="none"/>
              </w:rPr>
            </w:pPr>
          </w:p>
        </w:tc>
        <w:tc>
          <w:tcPr>
            <w:tcW w:w="737" w:type="pct"/>
            <w:vAlign w:val="center"/>
          </w:tcPr>
          <w:p>
            <w:pPr>
              <w:rPr>
                <w:rFonts w:ascii="宋体" w:hAnsi="宋体"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362"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10</w:t>
            </w:r>
          </w:p>
        </w:tc>
        <w:tc>
          <w:tcPr>
            <w:tcW w:w="1741" w:type="pct"/>
            <w:vAlign w:val="center"/>
          </w:tcPr>
          <w:p>
            <w:pPr>
              <w:rPr>
                <w:rFonts w:ascii="宋体" w:hAnsi="宋体" w:cs="仿宋"/>
                <w:bCs/>
                <w:color w:val="auto"/>
                <w:szCs w:val="21"/>
                <w:highlight w:val="none"/>
              </w:rPr>
            </w:pPr>
            <w:r>
              <w:rPr>
                <w:rFonts w:hint="eastAsia" w:ascii="宋体" w:hAnsi="宋体" w:cs="仿宋"/>
                <w:bCs/>
                <w:color w:val="auto"/>
                <w:szCs w:val="21"/>
                <w:highlight w:val="none"/>
              </w:rPr>
              <w:t>室内试验</w:t>
            </w:r>
          </w:p>
        </w:tc>
        <w:tc>
          <w:tcPr>
            <w:tcW w:w="628" w:type="pct"/>
            <w:vAlign w:val="center"/>
          </w:tcPr>
          <w:p>
            <w:pPr>
              <w:jc w:val="center"/>
              <w:rPr>
                <w:rFonts w:ascii="宋体" w:hAnsi="宋体" w:cs="仿宋"/>
                <w:bCs/>
                <w:color w:val="auto"/>
                <w:szCs w:val="21"/>
                <w:highlight w:val="none"/>
              </w:rPr>
            </w:pPr>
          </w:p>
        </w:tc>
        <w:tc>
          <w:tcPr>
            <w:tcW w:w="374" w:type="pct"/>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组（件）</w:t>
            </w:r>
          </w:p>
        </w:tc>
        <w:tc>
          <w:tcPr>
            <w:tcW w:w="470" w:type="pct"/>
            <w:vAlign w:val="center"/>
          </w:tcPr>
          <w:p>
            <w:pPr>
              <w:rPr>
                <w:rFonts w:ascii="宋体" w:hAnsi="宋体" w:cs="仿宋"/>
                <w:bCs/>
                <w:color w:val="auto"/>
                <w:szCs w:val="21"/>
                <w:highlight w:val="none"/>
              </w:rPr>
            </w:pPr>
          </w:p>
        </w:tc>
        <w:tc>
          <w:tcPr>
            <w:tcW w:w="685" w:type="pct"/>
            <w:vAlign w:val="center"/>
          </w:tcPr>
          <w:p>
            <w:pPr>
              <w:rPr>
                <w:rFonts w:ascii="宋体" w:hAnsi="宋体" w:cs="仿宋"/>
                <w:bCs/>
                <w:color w:val="auto"/>
                <w:szCs w:val="21"/>
                <w:highlight w:val="none"/>
              </w:rPr>
            </w:pPr>
          </w:p>
        </w:tc>
        <w:tc>
          <w:tcPr>
            <w:tcW w:w="737" w:type="pct"/>
            <w:vAlign w:val="center"/>
          </w:tcPr>
          <w:p>
            <w:pPr>
              <w:rPr>
                <w:rFonts w:ascii="宋体" w:hAnsi="宋体"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362" w:type="pct"/>
            <w:vAlign w:val="center"/>
          </w:tcPr>
          <w:p>
            <w:pPr>
              <w:jc w:val="center"/>
              <w:rPr>
                <w:rFonts w:ascii="宋体" w:hAnsi="宋体" w:cs="仿宋"/>
                <w:bCs/>
                <w:color w:val="auto"/>
                <w:szCs w:val="21"/>
                <w:highlight w:val="none"/>
              </w:rPr>
            </w:pPr>
            <w:r>
              <w:rPr>
                <w:rFonts w:ascii="Arial" w:hAnsi="Arial" w:cs="Arial"/>
                <w:bCs/>
                <w:color w:val="auto"/>
                <w:szCs w:val="21"/>
                <w:highlight w:val="none"/>
              </w:rPr>
              <w:t>…</w:t>
            </w:r>
          </w:p>
        </w:tc>
        <w:tc>
          <w:tcPr>
            <w:tcW w:w="1741" w:type="pct"/>
            <w:vAlign w:val="center"/>
          </w:tcPr>
          <w:p>
            <w:pPr>
              <w:rPr>
                <w:rFonts w:ascii="宋体" w:hAnsi="宋体" w:cs="仿宋"/>
                <w:bCs/>
                <w:color w:val="auto"/>
                <w:szCs w:val="21"/>
                <w:highlight w:val="none"/>
              </w:rPr>
            </w:pPr>
            <w:r>
              <w:rPr>
                <w:rFonts w:ascii="Arial" w:hAnsi="Arial" w:cs="Arial"/>
                <w:bCs/>
                <w:color w:val="auto"/>
                <w:szCs w:val="21"/>
                <w:highlight w:val="none"/>
              </w:rPr>
              <w:t>……</w:t>
            </w:r>
          </w:p>
        </w:tc>
        <w:tc>
          <w:tcPr>
            <w:tcW w:w="628" w:type="pct"/>
            <w:vAlign w:val="center"/>
          </w:tcPr>
          <w:p>
            <w:pPr>
              <w:jc w:val="center"/>
              <w:rPr>
                <w:rFonts w:ascii="宋体" w:hAnsi="宋体" w:cs="仿宋"/>
                <w:bCs/>
                <w:color w:val="auto"/>
                <w:szCs w:val="21"/>
                <w:highlight w:val="none"/>
              </w:rPr>
            </w:pPr>
          </w:p>
        </w:tc>
        <w:tc>
          <w:tcPr>
            <w:tcW w:w="374" w:type="pct"/>
            <w:vAlign w:val="center"/>
          </w:tcPr>
          <w:p>
            <w:pPr>
              <w:jc w:val="center"/>
              <w:rPr>
                <w:rFonts w:ascii="宋体" w:hAnsi="宋体" w:cs="仿宋"/>
                <w:bCs/>
                <w:color w:val="auto"/>
                <w:szCs w:val="21"/>
                <w:highlight w:val="none"/>
              </w:rPr>
            </w:pPr>
          </w:p>
        </w:tc>
        <w:tc>
          <w:tcPr>
            <w:tcW w:w="470" w:type="pct"/>
            <w:vAlign w:val="center"/>
          </w:tcPr>
          <w:p>
            <w:pPr>
              <w:rPr>
                <w:rFonts w:ascii="宋体" w:hAnsi="宋体" w:cs="仿宋"/>
                <w:bCs/>
                <w:color w:val="auto"/>
                <w:szCs w:val="21"/>
                <w:highlight w:val="none"/>
              </w:rPr>
            </w:pPr>
          </w:p>
        </w:tc>
        <w:tc>
          <w:tcPr>
            <w:tcW w:w="685" w:type="pct"/>
            <w:vAlign w:val="center"/>
          </w:tcPr>
          <w:p>
            <w:pPr>
              <w:rPr>
                <w:rFonts w:ascii="宋体" w:hAnsi="宋体" w:cs="仿宋"/>
                <w:bCs/>
                <w:color w:val="auto"/>
                <w:szCs w:val="21"/>
                <w:highlight w:val="none"/>
              </w:rPr>
            </w:pPr>
          </w:p>
        </w:tc>
        <w:tc>
          <w:tcPr>
            <w:tcW w:w="737" w:type="pct"/>
            <w:vAlign w:val="center"/>
          </w:tcPr>
          <w:p>
            <w:pPr>
              <w:rPr>
                <w:rFonts w:ascii="宋体" w:hAnsi="宋体"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362" w:type="pct"/>
            <w:vAlign w:val="center"/>
          </w:tcPr>
          <w:p>
            <w:pPr>
              <w:jc w:val="center"/>
              <w:rPr>
                <w:rFonts w:ascii="宋体" w:hAnsi="宋体" w:cs="仿宋"/>
                <w:bCs/>
                <w:color w:val="auto"/>
                <w:szCs w:val="21"/>
                <w:highlight w:val="none"/>
              </w:rPr>
            </w:pPr>
          </w:p>
        </w:tc>
        <w:tc>
          <w:tcPr>
            <w:tcW w:w="1741" w:type="pct"/>
            <w:vAlign w:val="center"/>
          </w:tcPr>
          <w:p>
            <w:pPr>
              <w:rPr>
                <w:rFonts w:ascii="宋体" w:hAnsi="宋体" w:cs="仿宋"/>
                <w:bCs/>
                <w:color w:val="auto"/>
                <w:szCs w:val="21"/>
                <w:highlight w:val="none"/>
              </w:rPr>
            </w:pPr>
          </w:p>
        </w:tc>
        <w:tc>
          <w:tcPr>
            <w:tcW w:w="628" w:type="pct"/>
            <w:vAlign w:val="center"/>
          </w:tcPr>
          <w:p>
            <w:pPr>
              <w:jc w:val="center"/>
              <w:rPr>
                <w:rFonts w:ascii="宋体" w:hAnsi="宋体" w:cs="仿宋"/>
                <w:bCs/>
                <w:color w:val="auto"/>
                <w:szCs w:val="21"/>
                <w:highlight w:val="none"/>
              </w:rPr>
            </w:pPr>
          </w:p>
        </w:tc>
        <w:tc>
          <w:tcPr>
            <w:tcW w:w="374" w:type="pct"/>
            <w:vAlign w:val="center"/>
          </w:tcPr>
          <w:p>
            <w:pPr>
              <w:jc w:val="center"/>
              <w:rPr>
                <w:rFonts w:ascii="宋体" w:hAnsi="宋体" w:cs="仿宋"/>
                <w:bCs/>
                <w:color w:val="auto"/>
                <w:szCs w:val="21"/>
                <w:highlight w:val="none"/>
              </w:rPr>
            </w:pPr>
          </w:p>
        </w:tc>
        <w:tc>
          <w:tcPr>
            <w:tcW w:w="470" w:type="pct"/>
            <w:vAlign w:val="center"/>
          </w:tcPr>
          <w:p>
            <w:pPr>
              <w:rPr>
                <w:rFonts w:ascii="宋体" w:hAnsi="宋体" w:cs="仿宋"/>
                <w:bCs/>
                <w:color w:val="auto"/>
                <w:szCs w:val="21"/>
                <w:highlight w:val="none"/>
              </w:rPr>
            </w:pPr>
          </w:p>
        </w:tc>
        <w:tc>
          <w:tcPr>
            <w:tcW w:w="685" w:type="pct"/>
            <w:vAlign w:val="center"/>
          </w:tcPr>
          <w:p>
            <w:pPr>
              <w:rPr>
                <w:rFonts w:ascii="宋体" w:hAnsi="宋体" w:cs="仿宋"/>
                <w:bCs/>
                <w:color w:val="auto"/>
                <w:szCs w:val="21"/>
                <w:highlight w:val="none"/>
              </w:rPr>
            </w:pPr>
          </w:p>
        </w:tc>
        <w:tc>
          <w:tcPr>
            <w:tcW w:w="737" w:type="pct"/>
            <w:vAlign w:val="center"/>
          </w:tcPr>
          <w:p>
            <w:pPr>
              <w:rPr>
                <w:rFonts w:ascii="宋体" w:hAnsi="宋体"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97" w:hRule="atLeast"/>
          <w:jc w:val="center"/>
        </w:trPr>
        <w:tc>
          <w:tcPr>
            <w:tcW w:w="2103" w:type="pct"/>
            <w:gridSpan w:val="2"/>
            <w:vAlign w:val="center"/>
          </w:tcPr>
          <w:p>
            <w:pPr>
              <w:jc w:val="center"/>
              <w:rPr>
                <w:rFonts w:ascii="宋体" w:hAnsi="宋体" w:cs="仿宋"/>
                <w:bCs/>
                <w:color w:val="auto"/>
                <w:szCs w:val="21"/>
                <w:highlight w:val="none"/>
              </w:rPr>
            </w:pPr>
            <w:r>
              <w:rPr>
                <w:rFonts w:hint="eastAsia" w:ascii="宋体" w:hAnsi="宋体" w:cs="仿宋"/>
                <w:bCs/>
                <w:color w:val="auto"/>
                <w:szCs w:val="21"/>
                <w:highlight w:val="none"/>
              </w:rPr>
              <w:t>合计报价</w:t>
            </w:r>
          </w:p>
        </w:tc>
        <w:tc>
          <w:tcPr>
            <w:tcW w:w="628" w:type="pct"/>
            <w:vAlign w:val="center"/>
          </w:tcPr>
          <w:p>
            <w:pPr>
              <w:rPr>
                <w:rFonts w:ascii="宋体" w:hAnsi="宋体" w:cs="仿宋"/>
                <w:bCs/>
                <w:color w:val="auto"/>
                <w:szCs w:val="21"/>
                <w:highlight w:val="none"/>
              </w:rPr>
            </w:pPr>
          </w:p>
        </w:tc>
        <w:tc>
          <w:tcPr>
            <w:tcW w:w="374" w:type="pct"/>
            <w:vAlign w:val="center"/>
          </w:tcPr>
          <w:p>
            <w:pPr>
              <w:jc w:val="center"/>
              <w:rPr>
                <w:rFonts w:ascii="宋体" w:hAnsi="宋体" w:cs="仿宋"/>
                <w:bCs/>
                <w:color w:val="auto"/>
                <w:szCs w:val="21"/>
                <w:highlight w:val="none"/>
              </w:rPr>
            </w:pPr>
          </w:p>
        </w:tc>
        <w:tc>
          <w:tcPr>
            <w:tcW w:w="470" w:type="pct"/>
            <w:vAlign w:val="center"/>
          </w:tcPr>
          <w:p>
            <w:pPr>
              <w:rPr>
                <w:rFonts w:ascii="宋体" w:hAnsi="宋体" w:cs="仿宋"/>
                <w:bCs/>
                <w:color w:val="auto"/>
                <w:szCs w:val="21"/>
                <w:highlight w:val="none"/>
              </w:rPr>
            </w:pPr>
          </w:p>
        </w:tc>
        <w:tc>
          <w:tcPr>
            <w:tcW w:w="685" w:type="pct"/>
            <w:vAlign w:val="center"/>
          </w:tcPr>
          <w:p>
            <w:pPr>
              <w:rPr>
                <w:rFonts w:ascii="宋体" w:hAnsi="宋体" w:cs="仿宋"/>
                <w:bCs/>
                <w:color w:val="auto"/>
                <w:szCs w:val="21"/>
                <w:highlight w:val="none"/>
              </w:rPr>
            </w:pPr>
          </w:p>
        </w:tc>
        <w:tc>
          <w:tcPr>
            <w:tcW w:w="737" w:type="pct"/>
            <w:vAlign w:val="center"/>
          </w:tcPr>
          <w:p>
            <w:pPr>
              <w:rPr>
                <w:rFonts w:ascii="宋体" w:hAnsi="宋体" w:cs="仿宋"/>
                <w:bCs/>
                <w:color w:val="auto"/>
                <w:szCs w:val="21"/>
                <w:highlight w:val="none"/>
              </w:rPr>
            </w:pPr>
          </w:p>
        </w:tc>
      </w:tr>
    </w:tbl>
    <w:p>
      <w:pPr>
        <w:autoSpaceDE w:val="0"/>
        <w:autoSpaceDN w:val="0"/>
        <w:snapToGrid w:val="0"/>
        <w:spacing w:before="120" w:beforeLines="50" w:line="360" w:lineRule="auto"/>
        <w:ind w:firstLine="482"/>
        <w:textAlignment w:val="bottom"/>
        <w:rPr>
          <w:rFonts w:ascii="宋体" w:hAnsi="宋体"/>
          <w:b/>
          <w:color w:val="auto"/>
          <w:sz w:val="24"/>
          <w:highlight w:val="none"/>
        </w:rPr>
      </w:pPr>
      <w:r>
        <w:rPr>
          <w:rFonts w:hint="eastAsia" w:ascii="宋体" w:hAnsi="宋体" w:cs="仿宋"/>
          <w:b/>
          <w:color w:val="auto"/>
          <w:szCs w:val="21"/>
          <w:highlight w:val="none"/>
        </w:rPr>
        <w:t>说明:1.若供应商未在本报价计算表中填报的项目，将视作供应商已将有关费用包含在其他项目之中，发包人不另行支付，同时供应商仍然需要根据有关规范、规定要求进行勘察并提交相关成果。2.凡清单项目中未包含但在勘察设计中又必须完成的工作内容，均被认为已包含在清单各项目报价中，发包人不另行支付。3.表中未列明预计工作量的项目，供应商根据招标文件要求，按有关标准规范规定的下限值自行测算。4.供应商应在本表后，附详细的计算依据、计算过程、公式。</w:t>
      </w:r>
    </w:p>
    <w:p>
      <w:pPr>
        <w:snapToGrid w:val="0"/>
        <w:spacing w:line="360" w:lineRule="auto"/>
        <w:ind w:firstLine="5678" w:firstLineChars="2704"/>
        <w:jc w:val="left"/>
        <w:rPr>
          <w:rFonts w:ascii="宋体" w:hAnsi="宋体"/>
          <w:color w:val="auto"/>
          <w:szCs w:val="21"/>
          <w:highlight w:val="none"/>
        </w:rPr>
      </w:pPr>
    </w:p>
    <w:p>
      <w:pPr>
        <w:snapToGrid w:val="0"/>
        <w:spacing w:line="360" w:lineRule="auto"/>
        <w:ind w:firstLine="5678" w:firstLineChars="2704"/>
        <w:jc w:val="left"/>
        <w:rPr>
          <w:rFonts w:ascii="宋体" w:hAnsi="宋体"/>
          <w:color w:val="auto"/>
          <w:szCs w:val="21"/>
          <w:highlight w:val="none"/>
        </w:rPr>
      </w:pPr>
    </w:p>
    <w:p>
      <w:pPr>
        <w:snapToGrid w:val="0"/>
        <w:spacing w:before="50" w:after="50" w:line="360" w:lineRule="auto"/>
        <w:ind w:right="-817" w:rightChars="-389" w:firstLine="2640" w:firstLineChars="1100"/>
        <w:rPr>
          <w:rFonts w:ascii="宋体" w:hAnsi="宋体" w:cs="仿宋_GB2312"/>
          <w:color w:val="auto"/>
          <w:sz w:val="24"/>
          <w:highlight w:val="none"/>
        </w:rPr>
      </w:pPr>
      <w:r>
        <w:rPr>
          <w:rFonts w:hint="eastAsia" w:ascii="宋体" w:hAnsi="宋体" w:cs="仿宋_GB2312"/>
          <w:color w:val="auto"/>
          <w:sz w:val="24"/>
          <w:highlight w:val="none"/>
        </w:rPr>
        <w:t>供应商（电子签章）：</w:t>
      </w:r>
    </w:p>
    <w:p>
      <w:pPr>
        <w:snapToGrid w:val="0"/>
        <w:spacing w:before="50" w:after="50" w:line="360" w:lineRule="auto"/>
        <w:ind w:right="-817" w:rightChars="-389" w:firstLine="5160" w:firstLineChars="2150"/>
        <w:rPr>
          <w:rFonts w:ascii="宋体" w:hAnsi="宋体" w:cs="仿宋_GB2312"/>
          <w:b/>
          <w:color w:val="auto"/>
          <w:sz w:val="24"/>
          <w:highlight w:val="none"/>
        </w:rPr>
      </w:pPr>
      <w:r>
        <w:rPr>
          <w:rFonts w:hint="eastAsia" w:ascii="宋体" w:hAnsi="宋体" w:cs="仿宋_GB2312"/>
          <w:color w:val="auto"/>
          <w:sz w:val="24"/>
          <w:highlight w:val="none"/>
        </w:rPr>
        <w:t>日期：   年   月   日</w:t>
      </w:r>
    </w:p>
    <w:p>
      <w:pPr>
        <w:spacing w:line="360" w:lineRule="auto"/>
        <w:ind w:firstLine="280" w:firstLineChars="100"/>
        <w:rPr>
          <w:rFonts w:ascii="仿宋_GB2312" w:hAnsi="宋体" w:eastAsia="仿宋_GB2312"/>
          <w:color w:val="auto"/>
          <w:sz w:val="28"/>
          <w:szCs w:val="28"/>
          <w:highlight w:val="none"/>
        </w:rPr>
      </w:pPr>
    </w:p>
    <w:p>
      <w:pPr>
        <w:spacing w:line="360" w:lineRule="auto"/>
        <w:ind w:firstLine="280" w:firstLineChars="100"/>
        <w:jc w:val="center"/>
        <w:rPr>
          <w:rFonts w:ascii="宋体" w:hAnsi="宋体"/>
          <w:b/>
          <w:color w:val="auto"/>
          <w:sz w:val="24"/>
          <w:highlight w:val="none"/>
        </w:rPr>
      </w:pPr>
      <w:r>
        <w:rPr>
          <w:rFonts w:hint="eastAsia" w:ascii="仿宋_GB2312" w:hAnsi="宋体" w:eastAsia="仿宋_GB2312"/>
          <w:color w:val="auto"/>
          <w:sz w:val="28"/>
          <w:szCs w:val="28"/>
          <w:highlight w:val="none"/>
        </w:rPr>
        <w:br w:type="page"/>
      </w:r>
      <w:r>
        <w:rPr>
          <w:rFonts w:hint="eastAsia" w:ascii="宋体" w:hAnsi="宋体"/>
          <w:b/>
          <w:color w:val="auto"/>
          <w:sz w:val="24"/>
          <w:highlight w:val="none"/>
        </w:rPr>
        <w:t>工程测量报价清单表</w:t>
      </w:r>
    </w:p>
    <w:p>
      <w:pPr>
        <w:spacing w:line="360" w:lineRule="auto"/>
        <w:ind w:firstLine="210" w:firstLineChars="100"/>
        <w:rPr>
          <w:rFonts w:ascii="宋体" w:hAnsi="宋体" w:cs="仿宋"/>
          <w:bCs/>
          <w:color w:val="auto"/>
          <w:szCs w:val="21"/>
          <w:highlight w:val="none"/>
        </w:rPr>
      </w:pPr>
      <w:r>
        <w:rPr>
          <w:rFonts w:hint="eastAsia" w:ascii="宋体" w:hAnsi="宋体" w:cs="仿宋"/>
          <w:bCs/>
          <w:color w:val="auto"/>
          <w:szCs w:val="21"/>
          <w:highlight w:val="none"/>
        </w:rPr>
        <w:t>项目名称:</w:t>
      </w:r>
      <w:r>
        <w:rPr>
          <w:rFonts w:hint="eastAsia" w:ascii="宋体" w:hAnsi="宋体"/>
          <w:snapToGrid w:val="0"/>
          <w:color w:val="auto"/>
          <w:kern w:val="0"/>
          <w:sz w:val="24"/>
          <w:highlight w:val="none"/>
        </w:rPr>
        <w:t xml:space="preserve"> </w:t>
      </w:r>
    </w:p>
    <w:tbl>
      <w:tblPr>
        <w:tblStyle w:val="3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620"/>
        <w:gridCol w:w="2897"/>
        <w:gridCol w:w="1251"/>
        <w:gridCol w:w="725"/>
        <w:gridCol w:w="966"/>
        <w:gridCol w:w="1615"/>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98" w:hRule="exact"/>
          <w:jc w:val="center"/>
        </w:trPr>
        <w:tc>
          <w:tcPr>
            <w:tcW w:w="3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bCs/>
                <w:color w:val="auto"/>
                <w:szCs w:val="21"/>
                <w:highlight w:val="none"/>
              </w:rPr>
              <w:t>序号</w:t>
            </w:r>
          </w:p>
        </w:tc>
        <w:tc>
          <w:tcPr>
            <w:tcW w:w="14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bCs/>
                <w:color w:val="auto"/>
                <w:szCs w:val="21"/>
                <w:highlight w:val="none"/>
              </w:rPr>
              <w:t>项目</w:t>
            </w:r>
          </w:p>
        </w:tc>
        <w:tc>
          <w:tcPr>
            <w:tcW w:w="6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bCs/>
                <w:color w:val="auto"/>
                <w:szCs w:val="21"/>
                <w:highlight w:val="none"/>
              </w:rPr>
              <w:t>预计</w:t>
            </w:r>
          </w:p>
          <w:p>
            <w:pPr>
              <w:jc w:val="center"/>
              <w:rPr>
                <w:rFonts w:ascii="宋体" w:hAnsi="宋体"/>
                <w:bCs/>
                <w:color w:val="auto"/>
                <w:szCs w:val="21"/>
                <w:highlight w:val="none"/>
              </w:rPr>
            </w:pPr>
            <w:r>
              <w:rPr>
                <w:rFonts w:hint="eastAsia" w:ascii="宋体" w:hAnsi="宋体"/>
                <w:bCs/>
                <w:color w:val="auto"/>
                <w:szCs w:val="21"/>
                <w:highlight w:val="none"/>
              </w:rPr>
              <w:t>工作量</w:t>
            </w:r>
          </w:p>
        </w:tc>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bCs/>
                <w:color w:val="auto"/>
                <w:szCs w:val="21"/>
                <w:highlight w:val="none"/>
              </w:rPr>
              <w:t>单位</w:t>
            </w:r>
          </w:p>
        </w:tc>
        <w:tc>
          <w:tcPr>
            <w:tcW w:w="49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bCs/>
                <w:color w:val="auto"/>
                <w:szCs w:val="21"/>
                <w:highlight w:val="none"/>
              </w:rPr>
              <w:t>综合</w:t>
            </w:r>
          </w:p>
          <w:p>
            <w:pPr>
              <w:jc w:val="center"/>
              <w:rPr>
                <w:rFonts w:ascii="宋体" w:hAnsi="宋体"/>
                <w:bCs/>
                <w:color w:val="auto"/>
                <w:szCs w:val="21"/>
                <w:highlight w:val="none"/>
              </w:rPr>
            </w:pPr>
            <w:r>
              <w:rPr>
                <w:rFonts w:hint="eastAsia" w:ascii="宋体" w:hAnsi="宋体"/>
                <w:bCs/>
                <w:color w:val="auto"/>
                <w:szCs w:val="21"/>
                <w:highlight w:val="none"/>
              </w:rPr>
              <w:t>单价</w:t>
            </w:r>
          </w:p>
          <w:p>
            <w:pPr>
              <w:jc w:val="center"/>
              <w:rPr>
                <w:rFonts w:ascii="宋体" w:hAnsi="宋体"/>
                <w:bCs/>
                <w:color w:val="auto"/>
                <w:szCs w:val="21"/>
                <w:highlight w:val="none"/>
              </w:rPr>
            </w:pPr>
            <w:r>
              <w:rPr>
                <w:rFonts w:hint="eastAsia" w:ascii="宋体" w:hAnsi="宋体"/>
                <w:bCs/>
                <w:color w:val="auto"/>
                <w:szCs w:val="21"/>
                <w:highlight w:val="none"/>
              </w:rPr>
              <w:t>（元）</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bCs/>
                <w:color w:val="auto"/>
                <w:szCs w:val="21"/>
                <w:highlight w:val="none"/>
              </w:rPr>
              <w:t>费用</w:t>
            </w:r>
          </w:p>
          <w:p>
            <w:pPr>
              <w:jc w:val="center"/>
              <w:rPr>
                <w:rFonts w:ascii="宋体" w:hAnsi="宋体"/>
                <w:bCs/>
                <w:color w:val="auto"/>
                <w:szCs w:val="21"/>
                <w:highlight w:val="none"/>
              </w:rPr>
            </w:pPr>
            <w:r>
              <w:rPr>
                <w:rFonts w:hint="eastAsia" w:ascii="宋体" w:hAnsi="宋体"/>
                <w:bCs/>
                <w:color w:val="auto"/>
                <w:szCs w:val="21"/>
                <w:highlight w:val="none"/>
              </w:rPr>
              <w:t>金额</w:t>
            </w:r>
          </w:p>
          <w:p>
            <w:pPr>
              <w:jc w:val="center"/>
              <w:rPr>
                <w:rFonts w:ascii="宋体" w:hAnsi="宋体"/>
                <w:bCs/>
                <w:color w:val="auto"/>
                <w:szCs w:val="21"/>
                <w:highlight w:val="none"/>
              </w:rPr>
            </w:pPr>
            <w:r>
              <w:rPr>
                <w:rFonts w:hint="eastAsia" w:ascii="宋体" w:hAnsi="宋体"/>
                <w:bCs/>
                <w:color w:val="auto"/>
                <w:szCs w:val="21"/>
                <w:highlight w:val="none"/>
              </w:rPr>
              <w:t>（万元）</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exact"/>
          <w:jc w:val="center"/>
        </w:trPr>
        <w:tc>
          <w:tcPr>
            <w:tcW w:w="3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bCs/>
                <w:color w:val="auto"/>
                <w:szCs w:val="21"/>
                <w:highlight w:val="none"/>
              </w:rPr>
              <w:t>1</w:t>
            </w:r>
          </w:p>
        </w:tc>
        <w:tc>
          <w:tcPr>
            <w:tcW w:w="1494"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auto"/>
                <w:szCs w:val="21"/>
                <w:highlight w:val="none"/>
              </w:rPr>
            </w:pPr>
            <w:r>
              <w:rPr>
                <w:rFonts w:hint="eastAsia" w:ascii="宋体" w:hAnsi="宋体"/>
                <w:bCs/>
                <w:color w:val="auto"/>
                <w:szCs w:val="21"/>
                <w:highlight w:val="none"/>
              </w:rPr>
              <w:t>GPS 一级控制</w:t>
            </w:r>
          </w:p>
        </w:tc>
        <w:tc>
          <w:tcPr>
            <w:tcW w:w="6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bCs/>
                <w:color w:val="auto"/>
                <w:szCs w:val="21"/>
                <w:highlight w:val="none"/>
              </w:rPr>
              <w:t>点</w:t>
            </w:r>
          </w:p>
        </w:tc>
        <w:tc>
          <w:tcPr>
            <w:tcW w:w="49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exact"/>
          <w:jc w:val="center"/>
        </w:trPr>
        <w:tc>
          <w:tcPr>
            <w:tcW w:w="3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bCs/>
                <w:color w:val="auto"/>
                <w:szCs w:val="21"/>
                <w:highlight w:val="none"/>
              </w:rPr>
              <w:t>2</w:t>
            </w:r>
          </w:p>
        </w:tc>
        <w:tc>
          <w:tcPr>
            <w:tcW w:w="1494"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auto"/>
                <w:szCs w:val="21"/>
                <w:highlight w:val="none"/>
              </w:rPr>
            </w:pPr>
            <w:r>
              <w:rPr>
                <w:rFonts w:hint="eastAsia" w:ascii="宋体" w:hAnsi="宋体"/>
                <w:bCs/>
                <w:color w:val="auto"/>
                <w:szCs w:val="21"/>
                <w:highlight w:val="none"/>
              </w:rPr>
              <w:t>四等水准</w:t>
            </w:r>
          </w:p>
        </w:tc>
        <w:tc>
          <w:tcPr>
            <w:tcW w:w="6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bCs/>
                <w:color w:val="auto"/>
                <w:szCs w:val="21"/>
                <w:highlight w:val="none"/>
              </w:rPr>
              <w:t>km</w:t>
            </w:r>
          </w:p>
        </w:tc>
        <w:tc>
          <w:tcPr>
            <w:tcW w:w="49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exact"/>
          <w:jc w:val="center"/>
        </w:trPr>
        <w:tc>
          <w:tcPr>
            <w:tcW w:w="3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bCs/>
                <w:color w:val="auto"/>
                <w:szCs w:val="21"/>
                <w:highlight w:val="none"/>
              </w:rPr>
              <w:t>3</w:t>
            </w:r>
          </w:p>
        </w:tc>
        <w:tc>
          <w:tcPr>
            <w:tcW w:w="1494"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auto"/>
                <w:szCs w:val="21"/>
                <w:highlight w:val="none"/>
              </w:rPr>
            </w:pPr>
            <w:r>
              <w:rPr>
                <w:rFonts w:hint="eastAsia" w:ascii="宋体" w:hAnsi="宋体"/>
                <w:bCs/>
                <w:color w:val="auto"/>
                <w:szCs w:val="21"/>
                <w:highlight w:val="none"/>
              </w:rPr>
              <w:t>多波束扫海测量</w:t>
            </w:r>
          </w:p>
        </w:tc>
        <w:tc>
          <w:tcPr>
            <w:tcW w:w="6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bCs/>
                <w:color w:val="auto"/>
                <w:szCs w:val="21"/>
                <w:highlight w:val="none"/>
              </w:rPr>
              <w:t>16</w:t>
            </w:r>
          </w:p>
        </w:tc>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bCs/>
                <w:color w:val="auto"/>
                <w:szCs w:val="21"/>
                <w:highlight w:val="none"/>
              </w:rPr>
              <w:t>km</w:t>
            </w:r>
            <w:r>
              <w:rPr>
                <w:rFonts w:hint="eastAsia" w:ascii="宋体" w:hAnsi="宋体"/>
                <w:bCs/>
                <w:color w:val="auto"/>
                <w:szCs w:val="21"/>
                <w:highlight w:val="none"/>
                <w:vertAlign w:val="superscript"/>
              </w:rPr>
              <w:t>2</w:t>
            </w:r>
          </w:p>
        </w:tc>
        <w:tc>
          <w:tcPr>
            <w:tcW w:w="49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exact"/>
          <w:jc w:val="center"/>
        </w:trPr>
        <w:tc>
          <w:tcPr>
            <w:tcW w:w="3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bCs/>
                <w:color w:val="auto"/>
                <w:szCs w:val="21"/>
                <w:highlight w:val="none"/>
              </w:rPr>
              <w:t>4</w:t>
            </w:r>
          </w:p>
        </w:tc>
        <w:tc>
          <w:tcPr>
            <w:tcW w:w="1494"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auto"/>
                <w:szCs w:val="21"/>
                <w:highlight w:val="none"/>
              </w:rPr>
            </w:pPr>
            <w:r>
              <w:rPr>
                <w:rFonts w:hint="eastAsia" w:ascii="宋体" w:hAnsi="宋体"/>
                <w:bCs/>
                <w:color w:val="auto"/>
                <w:szCs w:val="21"/>
                <w:highlight w:val="none"/>
              </w:rPr>
              <w:t>最大涨落潮流速、流向测定</w:t>
            </w:r>
          </w:p>
        </w:tc>
        <w:tc>
          <w:tcPr>
            <w:tcW w:w="6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bCs/>
                <w:color w:val="auto"/>
                <w:szCs w:val="21"/>
                <w:highlight w:val="none"/>
              </w:rPr>
              <w:t>次</w:t>
            </w:r>
          </w:p>
        </w:tc>
        <w:tc>
          <w:tcPr>
            <w:tcW w:w="49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exact"/>
          <w:jc w:val="center"/>
        </w:trPr>
        <w:tc>
          <w:tcPr>
            <w:tcW w:w="3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bCs/>
                <w:color w:val="auto"/>
                <w:szCs w:val="21"/>
                <w:highlight w:val="none"/>
              </w:rPr>
              <w:t>5</w:t>
            </w:r>
          </w:p>
        </w:tc>
        <w:tc>
          <w:tcPr>
            <w:tcW w:w="1494"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auto"/>
                <w:szCs w:val="21"/>
                <w:highlight w:val="none"/>
              </w:rPr>
            </w:pPr>
            <w:r>
              <w:rPr>
                <w:rFonts w:hint="eastAsia" w:ascii="宋体" w:hAnsi="宋体"/>
                <w:bCs/>
                <w:color w:val="auto"/>
                <w:szCs w:val="21"/>
                <w:highlight w:val="none"/>
              </w:rPr>
              <w:t>验潮</w:t>
            </w:r>
          </w:p>
        </w:tc>
        <w:tc>
          <w:tcPr>
            <w:tcW w:w="6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bCs/>
                <w:color w:val="auto"/>
                <w:szCs w:val="21"/>
                <w:highlight w:val="none"/>
              </w:rPr>
              <w:t>点</w:t>
            </w:r>
          </w:p>
        </w:tc>
        <w:tc>
          <w:tcPr>
            <w:tcW w:w="49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exact"/>
          <w:jc w:val="center"/>
        </w:trPr>
        <w:tc>
          <w:tcPr>
            <w:tcW w:w="3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bCs/>
                <w:color w:val="auto"/>
                <w:szCs w:val="21"/>
                <w:highlight w:val="none"/>
              </w:rPr>
            </w:pPr>
            <w:r>
              <w:rPr>
                <w:rFonts w:ascii="Arial" w:hAnsi="Arial" w:cs="Arial"/>
                <w:bCs/>
                <w:color w:val="auto"/>
                <w:szCs w:val="21"/>
                <w:highlight w:val="none"/>
              </w:rPr>
              <w:t>…</w:t>
            </w:r>
          </w:p>
        </w:tc>
        <w:tc>
          <w:tcPr>
            <w:tcW w:w="1494" w:type="pct"/>
            <w:tcBorders>
              <w:top w:val="single" w:color="auto" w:sz="4" w:space="0"/>
              <w:left w:val="single" w:color="auto" w:sz="4" w:space="0"/>
              <w:bottom w:val="single" w:color="auto" w:sz="4" w:space="0"/>
              <w:right w:val="single" w:color="auto" w:sz="4" w:space="0"/>
            </w:tcBorders>
            <w:vAlign w:val="center"/>
          </w:tcPr>
          <w:p>
            <w:pPr>
              <w:rPr>
                <w:rFonts w:ascii="宋体" w:hAnsi="宋体" w:cs="仿宋"/>
                <w:bCs/>
                <w:color w:val="auto"/>
                <w:szCs w:val="21"/>
                <w:highlight w:val="none"/>
              </w:rPr>
            </w:pPr>
            <w:r>
              <w:rPr>
                <w:rFonts w:ascii="Arial" w:hAnsi="Arial" w:cs="Arial"/>
                <w:bCs/>
                <w:color w:val="auto"/>
                <w:szCs w:val="21"/>
                <w:highlight w:val="none"/>
              </w:rPr>
              <w:t>……</w:t>
            </w:r>
          </w:p>
        </w:tc>
        <w:tc>
          <w:tcPr>
            <w:tcW w:w="6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49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exact"/>
          <w:jc w:val="center"/>
        </w:trPr>
        <w:tc>
          <w:tcPr>
            <w:tcW w:w="3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1494"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auto"/>
                <w:szCs w:val="21"/>
                <w:highlight w:val="none"/>
              </w:rPr>
            </w:pPr>
          </w:p>
        </w:tc>
        <w:tc>
          <w:tcPr>
            <w:tcW w:w="6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49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67" w:hRule="exact"/>
          <w:jc w:val="center"/>
        </w:trPr>
        <w:tc>
          <w:tcPr>
            <w:tcW w:w="181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bCs/>
                <w:color w:val="auto"/>
                <w:szCs w:val="21"/>
                <w:highlight w:val="none"/>
              </w:rPr>
              <w:t>合计报价</w:t>
            </w:r>
          </w:p>
        </w:tc>
        <w:tc>
          <w:tcPr>
            <w:tcW w:w="6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49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highlight w:val="none"/>
              </w:rPr>
            </w:pPr>
          </w:p>
        </w:tc>
      </w:tr>
    </w:tbl>
    <w:p>
      <w:pPr>
        <w:autoSpaceDE w:val="0"/>
        <w:autoSpaceDN w:val="0"/>
        <w:snapToGrid w:val="0"/>
        <w:spacing w:before="120" w:beforeLines="50" w:line="360" w:lineRule="auto"/>
        <w:ind w:firstLine="482"/>
        <w:textAlignment w:val="bottom"/>
        <w:rPr>
          <w:rFonts w:ascii="宋体" w:hAnsi="宋体"/>
          <w:b/>
          <w:color w:val="auto"/>
          <w:sz w:val="24"/>
          <w:highlight w:val="none"/>
        </w:rPr>
      </w:pPr>
      <w:r>
        <w:rPr>
          <w:rFonts w:hint="eastAsia" w:ascii="宋体" w:hAnsi="宋体" w:cs="仿宋"/>
          <w:b/>
          <w:color w:val="auto"/>
          <w:szCs w:val="21"/>
          <w:highlight w:val="none"/>
        </w:rPr>
        <w:t>说明:1.若供应商未在本报价计算表中填报的项目，将视作供应商已将有关费用包含在其他项目之中，采购人不另行支付，同时供应商仍然需要根据有关规范、规定要求进行勘察并提交相关成果。2.凡清单项目中未包含但在勘察设计中又必须完成的工作内容，均被认为已包含在清单各项目报价中，采购人不另行支付。3.供应商应在本表后，附详细的计算依据、计算过程、公式。</w:t>
      </w:r>
    </w:p>
    <w:p>
      <w:pPr>
        <w:snapToGrid w:val="0"/>
        <w:spacing w:line="360" w:lineRule="auto"/>
        <w:ind w:firstLine="5678" w:firstLineChars="2704"/>
        <w:jc w:val="left"/>
        <w:rPr>
          <w:rFonts w:ascii="宋体" w:hAnsi="宋体"/>
          <w:color w:val="auto"/>
          <w:szCs w:val="21"/>
          <w:highlight w:val="none"/>
        </w:rPr>
      </w:pPr>
    </w:p>
    <w:p>
      <w:pPr>
        <w:snapToGrid w:val="0"/>
        <w:spacing w:line="360" w:lineRule="auto"/>
        <w:ind w:firstLine="5678" w:firstLineChars="2704"/>
        <w:jc w:val="left"/>
        <w:rPr>
          <w:rFonts w:ascii="宋体" w:hAnsi="宋体"/>
          <w:color w:val="auto"/>
          <w:szCs w:val="21"/>
          <w:highlight w:val="none"/>
        </w:rPr>
      </w:pPr>
    </w:p>
    <w:p>
      <w:pPr>
        <w:snapToGrid w:val="0"/>
        <w:spacing w:before="50" w:after="50" w:line="360" w:lineRule="auto"/>
        <w:ind w:right="-817" w:rightChars="-389" w:firstLine="2640" w:firstLineChars="1100"/>
        <w:rPr>
          <w:rFonts w:ascii="宋体" w:hAnsi="宋体" w:cs="仿宋_GB2312"/>
          <w:color w:val="auto"/>
          <w:sz w:val="24"/>
          <w:highlight w:val="none"/>
        </w:rPr>
      </w:pPr>
      <w:r>
        <w:rPr>
          <w:rFonts w:hint="eastAsia" w:ascii="宋体" w:hAnsi="宋体" w:cs="仿宋_GB2312"/>
          <w:color w:val="auto"/>
          <w:sz w:val="24"/>
          <w:highlight w:val="none"/>
        </w:rPr>
        <w:t>供应商（电子签章）：</w:t>
      </w:r>
    </w:p>
    <w:p>
      <w:pPr>
        <w:snapToGrid w:val="0"/>
        <w:spacing w:before="50" w:after="50" w:line="360" w:lineRule="auto"/>
        <w:ind w:right="-817" w:rightChars="-389" w:firstLine="5160" w:firstLineChars="2150"/>
        <w:rPr>
          <w:rFonts w:ascii="宋体" w:hAnsi="宋体" w:cs="仿宋_GB2312"/>
          <w:b/>
          <w:color w:val="auto"/>
          <w:sz w:val="24"/>
          <w:highlight w:val="none"/>
        </w:rPr>
      </w:pPr>
      <w:r>
        <w:rPr>
          <w:rFonts w:hint="eastAsia" w:ascii="宋体" w:hAnsi="宋体" w:cs="仿宋_GB2312"/>
          <w:color w:val="auto"/>
          <w:sz w:val="24"/>
          <w:highlight w:val="none"/>
        </w:rPr>
        <w:t>日期：   年   月   日</w:t>
      </w:r>
    </w:p>
    <w:p>
      <w:pPr>
        <w:spacing w:line="520" w:lineRule="exact"/>
        <w:jc w:val="center"/>
        <w:rPr>
          <w:rFonts w:ascii="宋体" w:hAnsi="Courier New"/>
          <w:b/>
          <w:color w:val="auto"/>
          <w:sz w:val="32"/>
          <w:szCs w:val="32"/>
          <w:highlight w:val="none"/>
        </w:rPr>
      </w:pPr>
    </w:p>
    <w:p>
      <w:pPr>
        <w:spacing w:line="520" w:lineRule="exact"/>
        <w:jc w:val="center"/>
        <w:rPr>
          <w:rFonts w:ascii="仿宋_GB2312" w:hAnsi="仿宋_GB2312" w:eastAsia="仿宋_GB2312" w:cs="仿宋_GB2312"/>
          <w:color w:val="auto"/>
          <w:sz w:val="32"/>
          <w:szCs w:val="32"/>
          <w:highlight w:val="none"/>
        </w:rPr>
      </w:pPr>
      <w:r>
        <w:rPr>
          <w:rFonts w:hint="eastAsia" w:ascii="宋体" w:hAnsi="Courier New"/>
          <w:b/>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pPr>
        <w:spacing w:line="360" w:lineRule="auto"/>
        <w:ind w:left="540"/>
        <w:contextualSpacing/>
        <w:rPr>
          <w:rFonts w:ascii="仿宋_GB2312" w:hAnsi="仿宋_GB2312" w:eastAsia="仿宋_GB2312" w:cs="仿宋_GB2312"/>
          <w:color w:val="auto"/>
          <w:sz w:val="32"/>
          <w:szCs w:val="32"/>
          <w:highlight w:val="none"/>
        </w:rPr>
      </w:pPr>
    </w:p>
    <w:p>
      <w:pPr>
        <w:spacing w:line="360" w:lineRule="auto"/>
        <w:ind w:left="540"/>
        <w:contextualSpacing/>
        <w:rPr>
          <w:rFonts w:ascii="Calibri" w:hAnsi="Calibri" w:cs="仿宋_GB2312"/>
          <w:color w:val="auto"/>
          <w:sz w:val="24"/>
          <w:highlight w:val="none"/>
        </w:rPr>
      </w:pPr>
      <w:r>
        <w:rPr>
          <w:rFonts w:hint="eastAsia" w:ascii="Calibri" w:hAnsi="Calibri" w:cs="仿宋_GB2312"/>
          <w:color w:val="auto"/>
          <w:sz w:val="24"/>
          <w:highlight w:val="none"/>
        </w:rPr>
        <w:t>供应商名称：</w:t>
      </w:r>
      <w:r>
        <w:rPr>
          <w:rFonts w:hint="eastAsia" w:ascii="Calibri" w:hAnsi="Calibri" w:cs="仿宋_GB2312"/>
          <w:color w:val="auto"/>
          <w:sz w:val="24"/>
          <w:highlight w:val="none"/>
          <w:u w:val="single"/>
        </w:rPr>
        <w:t xml:space="preserve">                                                        </w:t>
      </w:r>
    </w:p>
    <w:p>
      <w:pPr>
        <w:spacing w:line="360" w:lineRule="auto"/>
        <w:ind w:left="540"/>
        <w:contextualSpacing/>
        <w:rPr>
          <w:rFonts w:ascii="Calibri" w:hAnsi="Calibri" w:cs="仿宋_GB2312"/>
          <w:color w:val="auto"/>
          <w:sz w:val="24"/>
          <w:highlight w:val="none"/>
        </w:rPr>
      </w:pPr>
      <w:r>
        <w:rPr>
          <w:rFonts w:hint="eastAsia" w:ascii="Calibri" w:hAnsi="Calibri" w:cs="仿宋_GB2312"/>
          <w:color w:val="auto"/>
          <w:sz w:val="24"/>
          <w:highlight w:val="none"/>
        </w:rPr>
        <w:t>地    址：</w:t>
      </w:r>
      <w:r>
        <w:rPr>
          <w:rFonts w:hint="eastAsia" w:ascii="Calibri" w:hAnsi="Calibri" w:cs="仿宋_GB2312"/>
          <w:color w:val="auto"/>
          <w:sz w:val="24"/>
          <w:highlight w:val="none"/>
          <w:u w:val="single"/>
        </w:rPr>
        <w:t xml:space="preserve">                                                        </w:t>
      </w:r>
    </w:p>
    <w:p>
      <w:pPr>
        <w:spacing w:line="360" w:lineRule="auto"/>
        <w:ind w:left="540"/>
        <w:contextualSpacing/>
        <w:rPr>
          <w:rFonts w:ascii="Calibri" w:hAnsi="Calibri" w:cs="仿宋_GB2312"/>
          <w:color w:val="auto"/>
          <w:sz w:val="24"/>
          <w:highlight w:val="none"/>
        </w:rPr>
      </w:pPr>
      <w:r>
        <w:rPr>
          <w:rFonts w:hint="eastAsia" w:ascii="Calibri" w:hAnsi="Calibri" w:cs="仿宋_GB2312"/>
          <w:color w:val="auto"/>
          <w:sz w:val="24"/>
          <w:highlight w:val="none"/>
        </w:rPr>
        <w:t>姓    名：</w:t>
      </w:r>
      <w:r>
        <w:rPr>
          <w:rFonts w:hint="eastAsia" w:ascii="Calibri" w:hAnsi="Calibri" w:cs="仿宋_GB2312"/>
          <w:color w:val="auto"/>
          <w:sz w:val="24"/>
          <w:highlight w:val="none"/>
          <w:u w:val="single"/>
        </w:rPr>
        <w:t xml:space="preserve">                </w:t>
      </w:r>
      <w:r>
        <w:rPr>
          <w:rFonts w:hint="eastAsia" w:ascii="Calibri" w:hAnsi="Calibri" w:cs="仿宋_GB2312"/>
          <w:color w:val="auto"/>
          <w:sz w:val="24"/>
          <w:highlight w:val="none"/>
        </w:rPr>
        <w:t>性     别：</w:t>
      </w:r>
      <w:r>
        <w:rPr>
          <w:rFonts w:hint="eastAsia" w:ascii="Calibri" w:hAnsi="Calibri" w:cs="仿宋_GB2312"/>
          <w:color w:val="auto"/>
          <w:sz w:val="24"/>
          <w:highlight w:val="none"/>
          <w:u w:val="single"/>
        </w:rPr>
        <w:t xml:space="preserve">                </w:t>
      </w:r>
    </w:p>
    <w:p>
      <w:pPr>
        <w:spacing w:line="360" w:lineRule="auto"/>
        <w:ind w:left="540"/>
        <w:contextualSpacing/>
        <w:rPr>
          <w:rFonts w:ascii="Calibri" w:hAnsi="Calibri" w:cs="仿宋_GB2312"/>
          <w:color w:val="auto"/>
          <w:sz w:val="24"/>
          <w:highlight w:val="none"/>
          <w:u w:val="single"/>
        </w:rPr>
      </w:pPr>
      <w:r>
        <w:rPr>
          <w:rFonts w:hint="eastAsia" w:ascii="Calibri" w:hAnsi="Calibri" w:cs="仿宋_GB2312"/>
          <w:color w:val="auto"/>
          <w:sz w:val="24"/>
          <w:highlight w:val="none"/>
        </w:rPr>
        <w:t>年    龄：</w:t>
      </w:r>
      <w:r>
        <w:rPr>
          <w:rFonts w:hint="eastAsia" w:ascii="Calibri" w:hAnsi="Calibri" w:cs="仿宋_GB2312"/>
          <w:color w:val="auto"/>
          <w:sz w:val="24"/>
          <w:highlight w:val="none"/>
          <w:u w:val="single"/>
        </w:rPr>
        <w:t xml:space="preserve">                </w:t>
      </w:r>
      <w:r>
        <w:rPr>
          <w:rFonts w:hint="eastAsia" w:ascii="Calibri" w:hAnsi="Calibri" w:cs="仿宋_GB2312"/>
          <w:color w:val="auto"/>
          <w:sz w:val="24"/>
          <w:highlight w:val="none"/>
        </w:rPr>
        <w:t>职     务：</w:t>
      </w:r>
      <w:r>
        <w:rPr>
          <w:rFonts w:hint="eastAsia" w:ascii="Calibri" w:hAnsi="Calibri" w:cs="仿宋_GB2312"/>
          <w:color w:val="auto"/>
          <w:sz w:val="24"/>
          <w:highlight w:val="none"/>
          <w:u w:val="single"/>
        </w:rPr>
        <w:t xml:space="preserve">                </w:t>
      </w:r>
    </w:p>
    <w:p>
      <w:pPr>
        <w:spacing w:line="360" w:lineRule="auto"/>
        <w:ind w:left="540"/>
        <w:contextualSpacing/>
        <w:rPr>
          <w:rFonts w:ascii="Calibri" w:hAnsi="Calibri" w:cs="仿宋_GB2312"/>
          <w:color w:val="auto"/>
          <w:sz w:val="24"/>
          <w:highlight w:val="none"/>
        </w:rPr>
      </w:pPr>
      <w:r>
        <w:rPr>
          <w:rFonts w:hint="eastAsia" w:ascii="Calibri" w:hAnsi="Calibri" w:cs="仿宋_GB2312"/>
          <w:color w:val="auto"/>
          <w:sz w:val="24"/>
          <w:highlight w:val="none"/>
        </w:rPr>
        <w:t>身份证号码：</w:t>
      </w:r>
      <w:r>
        <w:rPr>
          <w:rFonts w:hint="eastAsia" w:ascii="Calibri" w:hAnsi="Calibri" w:cs="仿宋_GB2312"/>
          <w:color w:val="auto"/>
          <w:sz w:val="24"/>
          <w:highlight w:val="none"/>
          <w:u w:val="single"/>
        </w:rPr>
        <w:t xml:space="preserve">                                        </w:t>
      </w:r>
    </w:p>
    <w:p>
      <w:pPr>
        <w:spacing w:line="360" w:lineRule="auto"/>
        <w:ind w:firstLine="480" w:firstLineChars="200"/>
        <w:contextualSpacing/>
        <w:rPr>
          <w:rFonts w:ascii="Calibri" w:hAnsi="Calibri" w:cs="仿宋_GB2312"/>
          <w:color w:val="auto"/>
          <w:sz w:val="24"/>
          <w:highlight w:val="none"/>
        </w:rPr>
      </w:pPr>
      <w:r>
        <w:rPr>
          <w:rFonts w:hint="eastAsia" w:ascii="Calibri" w:hAnsi="Calibri" w:cs="仿宋_GB2312"/>
          <w:color w:val="auto"/>
          <w:sz w:val="24"/>
          <w:highlight w:val="none"/>
        </w:rPr>
        <w:t>系</w:t>
      </w:r>
      <w:r>
        <w:rPr>
          <w:rFonts w:hint="eastAsia" w:ascii="Calibri" w:hAnsi="Calibri" w:cs="仿宋_GB2312"/>
          <w:color w:val="auto"/>
          <w:sz w:val="24"/>
          <w:highlight w:val="none"/>
          <w:u w:val="single"/>
        </w:rPr>
        <w:t>（供应商名称）</w:t>
      </w:r>
      <w:r>
        <w:rPr>
          <w:rFonts w:hint="eastAsia" w:ascii="Calibri" w:hAnsi="Calibri" w:cs="仿宋_GB2312"/>
          <w:color w:val="auto"/>
          <w:sz w:val="24"/>
          <w:highlight w:val="none"/>
        </w:rPr>
        <w:t>的法定代表人。</w:t>
      </w:r>
    </w:p>
    <w:p>
      <w:pPr>
        <w:spacing w:line="360" w:lineRule="auto"/>
        <w:ind w:left="540"/>
        <w:contextualSpacing/>
        <w:rPr>
          <w:rFonts w:ascii="Calibri" w:hAnsi="Calibri" w:cs="仿宋_GB2312"/>
          <w:color w:val="auto"/>
          <w:sz w:val="24"/>
          <w:highlight w:val="none"/>
        </w:rPr>
      </w:pPr>
      <w:r>
        <w:rPr>
          <w:rFonts w:hint="eastAsia" w:ascii="Calibri" w:hAnsi="Calibri" w:cs="仿宋_GB2312"/>
          <w:color w:val="auto"/>
          <w:sz w:val="24"/>
          <w:highlight w:val="none"/>
        </w:rPr>
        <w:t>特此证明。</w:t>
      </w:r>
    </w:p>
    <w:p>
      <w:pPr>
        <w:spacing w:line="360" w:lineRule="auto"/>
        <w:ind w:left="540"/>
        <w:contextualSpacing/>
        <w:rPr>
          <w:rFonts w:ascii="Calibri" w:hAnsi="Calibri" w:cs="仿宋_GB2312"/>
          <w:color w:val="auto"/>
          <w:sz w:val="24"/>
          <w:highlight w:val="none"/>
        </w:rPr>
      </w:pPr>
    </w:p>
    <w:p>
      <w:pPr>
        <w:spacing w:line="360" w:lineRule="auto"/>
        <w:ind w:left="540"/>
        <w:contextualSpacing/>
        <w:rPr>
          <w:rFonts w:ascii="Calibri" w:hAnsi="Calibri" w:cs="仿宋_GB2312"/>
          <w:color w:val="auto"/>
          <w:sz w:val="24"/>
          <w:highlight w:val="none"/>
        </w:rPr>
      </w:pPr>
    </w:p>
    <w:p>
      <w:pPr>
        <w:spacing w:line="360" w:lineRule="auto"/>
        <w:ind w:left="540"/>
        <w:contextualSpacing/>
        <w:rPr>
          <w:rFonts w:ascii="Calibri" w:hAnsi="Calibri" w:cs="仿宋_GB2312"/>
          <w:color w:val="auto"/>
          <w:sz w:val="24"/>
          <w:highlight w:val="none"/>
        </w:rPr>
      </w:pPr>
    </w:p>
    <w:p>
      <w:pPr>
        <w:spacing w:line="360" w:lineRule="auto"/>
        <w:ind w:left="540"/>
        <w:contextualSpacing/>
        <w:rPr>
          <w:rFonts w:ascii="Calibri" w:hAnsi="Calibri" w:cs="仿宋_GB2312"/>
          <w:color w:val="auto"/>
          <w:sz w:val="24"/>
          <w:highlight w:val="none"/>
        </w:rPr>
      </w:pPr>
      <w:r>
        <w:rPr>
          <w:rFonts w:hint="eastAsia" w:ascii="Calibri" w:hAnsi="Calibri" w:cs="仿宋_GB2312"/>
          <w:color w:val="auto"/>
          <w:sz w:val="24"/>
          <w:highlight w:val="none"/>
        </w:rPr>
        <w:t>附件：法定代表人有效身份证正反面复印件</w:t>
      </w:r>
    </w:p>
    <w:p>
      <w:pPr>
        <w:spacing w:line="360" w:lineRule="auto"/>
        <w:ind w:left="540"/>
        <w:contextualSpacing/>
        <w:rPr>
          <w:rFonts w:ascii="Calibri" w:hAnsi="Calibri" w:cs="仿宋_GB2312"/>
          <w:color w:val="auto"/>
          <w:sz w:val="24"/>
          <w:highlight w:val="none"/>
        </w:rPr>
      </w:pPr>
    </w:p>
    <w:p>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spacing w:line="360" w:lineRule="auto"/>
        <w:contextualSpacing/>
        <w:jc w:val="center"/>
        <w:rPr>
          <w:rFonts w:ascii="Calibri" w:hAnsi="Calibri"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pPr>
        <w:spacing w:line="360" w:lineRule="auto"/>
        <w:contextualSpacing/>
        <w:jc w:val="left"/>
        <w:rPr>
          <w:rFonts w:ascii="Calibri" w:hAnsi="Calibri" w:cs="仿宋_GB2312"/>
          <w:color w:val="auto"/>
          <w:sz w:val="24"/>
          <w:highlight w:val="none"/>
        </w:rPr>
      </w:pPr>
    </w:p>
    <w:p>
      <w:pPr>
        <w:spacing w:line="360" w:lineRule="auto"/>
        <w:contextualSpacing/>
        <w:jc w:val="left"/>
        <w:rPr>
          <w:rFonts w:ascii="Calibri" w:hAnsi="Calibri" w:cs="仿宋_GB2312"/>
          <w:color w:val="auto"/>
          <w:sz w:val="24"/>
          <w:highlight w:val="none"/>
        </w:rPr>
      </w:pPr>
      <w:r>
        <w:rPr>
          <w:rFonts w:hint="eastAsia" w:ascii="Calibri" w:hAnsi="Calibri" w:cs="仿宋_GB2312"/>
          <w:color w:val="auto"/>
          <w:sz w:val="24"/>
          <w:highlight w:val="none"/>
        </w:rPr>
        <w:t>注：1</w:t>
      </w:r>
      <w:r>
        <w:rPr>
          <w:rFonts w:ascii="Calibri" w:hAnsi="Calibri" w:cs="仿宋_GB2312"/>
          <w:color w:val="auto"/>
          <w:sz w:val="24"/>
          <w:highlight w:val="none"/>
        </w:rPr>
        <w:t>.</w:t>
      </w:r>
      <w:r>
        <w:rPr>
          <w:rFonts w:hint="eastAsia" w:ascii="Calibri" w:hAnsi="Calibri" w:cs="仿宋_GB2312"/>
          <w:color w:val="auto"/>
          <w:sz w:val="24"/>
          <w:highlight w:val="none"/>
        </w:rPr>
        <w:t>自然人竞标的无需提供，联合体竞标的只需牵头人出具。</w:t>
      </w:r>
    </w:p>
    <w:p>
      <w:pPr>
        <w:spacing w:line="360" w:lineRule="auto"/>
        <w:ind w:firstLine="480" w:firstLineChars="200"/>
        <w:contextualSpacing/>
        <w:jc w:val="left"/>
        <w:rPr>
          <w:rFonts w:ascii="Calibri" w:hAnsi="Calibri" w:cs="仿宋_GB2312"/>
          <w:color w:val="auto"/>
          <w:sz w:val="24"/>
          <w:highlight w:val="none"/>
        </w:rPr>
      </w:pPr>
      <w:r>
        <w:rPr>
          <w:rFonts w:hint="eastAsia" w:ascii="Calibri" w:hAnsi="Calibri" w:cs="仿宋_GB2312"/>
          <w:color w:val="auto"/>
          <w:sz w:val="24"/>
          <w:highlight w:val="none"/>
        </w:rPr>
        <w:t>2</w:t>
      </w:r>
      <w:r>
        <w:rPr>
          <w:rFonts w:ascii="Calibri" w:hAnsi="Calibri" w:cs="仿宋_GB2312"/>
          <w:color w:val="auto"/>
          <w:sz w:val="24"/>
          <w:highlight w:val="none"/>
        </w:rPr>
        <w:t>.</w:t>
      </w:r>
      <w:r>
        <w:rPr>
          <w:rFonts w:hint="eastAsia" w:ascii="Calibri" w:hAnsi="Calibri" w:cs="仿宋_GB2312"/>
          <w:color w:val="auto"/>
          <w:sz w:val="24"/>
          <w:highlight w:val="none"/>
        </w:rPr>
        <w:t>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32"/>
        <w:tblpPr w:leftFromText="180" w:rightFromText="180" w:vertAnchor="text" w:horzAnchor="margin" w:tblpY="1169"/>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9540" w:type="dxa"/>
          </w:tcPr>
          <w:p>
            <w:pPr>
              <w:spacing w:line="360" w:lineRule="auto"/>
              <w:rPr>
                <w:rFonts w:hAnsi="Calibri"/>
                <w:b/>
                <w:color w:val="auto"/>
                <w:sz w:val="24"/>
                <w:highlight w:val="none"/>
              </w:rPr>
            </w:pPr>
          </w:p>
          <w:p>
            <w:pPr>
              <w:spacing w:line="360" w:lineRule="auto"/>
              <w:rPr>
                <w:rFonts w:hAnsi="Calibri"/>
                <w:b/>
                <w:color w:val="auto"/>
                <w:sz w:val="24"/>
                <w:highlight w:val="none"/>
              </w:rPr>
            </w:pPr>
            <w:r>
              <w:rPr>
                <w:rFonts w:hint="eastAsia" w:hAnsi="Calibri"/>
                <w:b/>
                <w:color w:val="auto"/>
                <w:sz w:val="24"/>
                <w:highlight w:val="none"/>
              </w:rPr>
              <w:t>法定代表身份证复印件粘帖处（正、反面）</w:t>
            </w:r>
          </w:p>
        </w:tc>
      </w:tr>
    </w:tbl>
    <w:p>
      <w:pPr>
        <w:pStyle w:val="26"/>
        <w:rPr>
          <w:color w:val="auto"/>
          <w:highlight w:val="none"/>
        </w:rPr>
        <w:sectPr>
          <w:pgSz w:w="11911" w:h="16838"/>
          <w:pgMar w:top="1134" w:right="1134" w:bottom="1134" w:left="1134" w:header="720" w:footer="720" w:gutter="0"/>
          <w:cols w:space="720" w:num="1"/>
        </w:sectPr>
      </w:pPr>
    </w:p>
    <w:p>
      <w:pPr>
        <w:adjustRightInd w:val="0"/>
        <w:snapToGrid w:val="0"/>
        <w:spacing w:line="300" w:lineRule="auto"/>
        <w:jc w:val="left"/>
        <w:rPr>
          <w:rFonts w:ascii="宋体" w:hAnsi="宋体"/>
          <w:b/>
          <w:color w:val="auto"/>
          <w:szCs w:val="21"/>
          <w:highlight w:val="none"/>
        </w:rPr>
      </w:pPr>
    </w:p>
    <w:p>
      <w:pPr>
        <w:spacing w:line="500" w:lineRule="exact"/>
        <w:jc w:val="center"/>
        <w:rPr>
          <w:rFonts w:ascii="方正小标宋简体" w:hAnsi="方正小标宋简体" w:eastAsia="方正小标宋简体" w:cs="方正小标宋简体"/>
          <w:color w:val="auto"/>
          <w:sz w:val="44"/>
          <w:szCs w:val="44"/>
          <w:highlight w:val="none"/>
        </w:rPr>
      </w:pPr>
    </w:p>
    <w:p>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法定代表人授权委托书（非联合体竞标格式）</w:t>
      </w:r>
    </w:p>
    <w:p>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pPr>
        <w:spacing w:line="520" w:lineRule="exact"/>
        <w:rPr>
          <w:rFonts w:ascii="仿宋_GB2312" w:hAnsi="仿宋_GB2312" w:eastAsia="仿宋_GB2312" w:cs="仿宋_GB2312"/>
          <w:color w:val="auto"/>
          <w:sz w:val="32"/>
          <w:szCs w:val="32"/>
          <w:highlight w:val="none"/>
        </w:rPr>
      </w:pP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（采购人名称或采购代理机构名称）</w:t>
      </w:r>
      <w:r>
        <w:rPr>
          <w:rFonts w:hint="eastAsia" w:ascii="宋体" w:hAnsi="宋体" w:cs="仿宋_GB2312"/>
          <w:color w:val="auto"/>
          <w:sz w:val="24"/>
          <w:highlight w:val="none"/>
        </w:rPr>
        <w:t>：</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我方对委托代理人的签字事项负全部责任。</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附：委托代理人有效身份证正反面复印件</w:t>
      </w: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委托代理人（签字）：         法定代表人</w:t>
      </w:r>
      <w:r>
        <w:rPr>
          <w:rFonts w:hint="eastAsia" w:cs="仿宋_GB2312"/>
          <w:color w:val="auto"/>
          <w:sz w:val="24"/>
          <w:highlight w:val="none"/>
        </w:rPr>
        <w:t>（签字或盖章）</w:t>
      </w:r>
      <w:r>
        <w:rPr>
          <w:rFonts w:hint="eastAsia" w:ascii="宋体" w:hAnsi="宋体" w:cs="仿宋_GB2312"/>
          <w:color w:val="auto"/>
          <w:sz w:val="24"/>
          <w:highlight w:val="none"/>
        </w:rPr>
        <w:t xml:space="preserve">：                    </w:t>
      </w: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供应商名称（电子签章）：                     </w:t>
      </w: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日期：      年    月    日</w:t>
      </w:r>
    </w:p>
    <w:p>
      <w:pPr>
        <w:spacing w:line="360" w:lineRule="auto"/>
        <w:rPr>
          <w:rFonts w:ascii="宋体" w:hAnsi="宋体" w:cs="仿宋_GB2312"/>
          <w:color w:val="auto"/>
          <w:sz w:val="24"/>
          <w:highlight w:val="none"/>
        </w:rPr>
      </w:pPr>
    </w:p>
    <w:p>
      <w:pPr>
        <w:spacing w:line="360" w:lineRule="auto"/>
        <w:rPr>
          <w:rFonts w:cs="仿宋_GB2312"/>
          <w:color w:val="auto"/>
          <w:sz w:val="24"/>
          <w:highlight w:val="none"/>
        </w:rPr>
      </w:pPr>
      <w:r>
        <w:rPr>
          <w:rFonts w:hint="eastAsia" w:cs="仿宋_GB2312"/>
          <w:color w:val="auto"/>
          <w:sz w:val="24"/>
          <w:highlight w:val="none"/>
        </w:rPr>
        <w:t>注：1. 法定代表人必须在授权委托书上亲笔签字或盖章，委托代理人必须在授权委托书上亲笔签字，</w:t>
      </w:r>
      <w:r>
        <w:rPr>
          <w:rFonts w:hint="eastAsia" w:cs="仿宋_GB2312"/>
          <w:b/>
          <w:color w:val="auto"/>
          <w:sz w:val="24"/>
          <w:highlight w:val="none"/>
        </w:rPr>
        <w:t>否则其响应文件按无效响应处理。</w:t>
      </w:r>
    </w:p>
    <w:p>
      <w:pPr>
        <w:spacing w:line="360" w:lineRule="auto"/>
        <w:ind w:firstLine="480" w:firstLineChars="200"/>
        <w:jc w:val="left"/>
        <w:rPr>
          <w:rFonts w:cs="仿宋_GB2312"/>
          <w:color w:val="auto"/>
          <w:sz w:val="24"/>
          <w:highlight w:val="none"/>
        </w:rPr>
      </w:pPr>
      <w:r>
        <w:rPr>
          <w:rFonts w:cs="仿宋_GB2312"/>
          <w:color w:val="auto"/>
          <w:sz w:val="24"/>
          <w:highlight w:val="none"/>
        </w:rPr>
        <w:t>2.</w:t>
      </w:r>
      <w:r>
        <w:rPr>
          <w:rFonts w:hint="eastAsia" w:cs="仿宋_GB2312"/>
          <w:color w:val="auto"/>
          <w:sz w:val="24"/>
          <w:highlight w:val="none"/>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ascii="仿宋_GB2312" w:hAnsi="仿宋_GB2312" w:eastAsia="仿宋_GB2312" w:cs="仿宋_GB2312"/>
          <w:color w:val="auto"/>
          <w:szCs w:val="21"/>
          <w:highlight w:val="none"/>
        </w:rPr>
      </w:pPr>
      <w:r>
        <w:rPr>
          <w:rFonts w:hint="eastAsia" w:cs="仿宋_GB2312"/>
          <w:color w:val="auto"/>
          <w:sz w:val="24"/>
          <w:highlight w:val="none"/>
        </w:rPr>
        <w:t>3</w:t>
      </w:r>
      <w:r>
        <w:rPr>
          <w:rFonts w:cs="仿宋_GB2312"/>
          <w:color w:val="auto"/>
          <w:sz w:val="24"/>
          <w:highlight w:val="none"/>
        </w:rPr>
        <w:t>.</w:t>
      </w:r>
      <w:r>
        <w:rPr>
          <w:rFonts w:hint="eastAsia" w:cs="仿宋_GB2312"/>
          <w:color w:val="auto"/>
          <w:sz w:val="24"/>
          <w:highlight w:val="none"/>
        </w:rPr>
        <w:t xml:space="preserve"> 法人、其他组织竞标时“我方”是指“我单位”，自然人竞标时“我方”是指“本人”。</w:t>
      </w:r>
    </w:p>
    <w:p>
      <w:pPr>
        <w:spacing w:line="500" w:lineRule="exact"/>
        <w:jc w:val="center"/>
        <w:rPr>
          <w:rFonts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法定代表人授权委托书（联合体竞标格式）</w:t>
      </w:r>
    </w:p>
    <w:p>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pPr>
        <w:spacing w:line="500" w:lineRule="exact"/>
        <w:jc w:val="center"/>
        <w:rPr>
          <w:rFonts w:ascii="方正小标宋简体" w:hAnsi="方正小标宋简体" w:eastAsia="方正小标宋简体" w:cs="方正小标宋简体"/>
          <w:color w:val="auto"/>
          <w:sz w:val="44"/>
          <w:szCs w:val="44"/>
          <w:highlight w:val="none"/>
        </w:rPr>
      </w:pPr>
    </w:p>
    <w:p>
      <w:pPr>
        <w:spacing w:line="500" w:lineRule="exact"/>
        <w:jc w:val="center"/>
        <w:rPr>
          <w:rFonts w:ascii="仿宋_GB2312" w:hAnsi="仿宋_GB2312" w:eastAsia="仿宋_GB2312" w:cs="仿宋_GB2312"/>
          <w:color w:val="auto"/>
          <w:sz w:val="32"/>
          <w:szCs w:val="32"/>
          <w:highlight w:val="none"/>
        </w:rPr>
      </w:pPr>
    </w:p>
    <w:p>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我方对委托代理人的签字事项负全部责任。</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pPr>
        <w:spacing w:line="360" w:lineRule="auto"/>
        <w:rPr>
          <w:rFonts w:ascii="宋体" w:hAnsi="宋体" w:cs="仿宋_GB2312"/>
          <w:color w:val="auto"/>
          <w:sz w:val="24"/>
          <w:highlight w:val="none"/>
        </w:rPr>
      </w:pPr>
    </w:p>
    <w:p>
      <w:pPr>
        <w:spacing w:line="360" w:lineRule="auto"/>
        <w:ind w:firstLine="1560" w:firstLineChars="650"/>
        <w:rPr>
          <w:rFonts w:ascii="Calibri" w:hAnsi="Calibri" w:cs="仿宋_GB2312"/>
          <w:color w:val="auto"/>
          <w:sz w:val="24"/>
          <w:highlight w:val="none"/>
        </w:rPr>
      </w:pPr>
      <w:r>
        <w:rPr>
          <w:rFonts w:hint="eastAsia" w:ascii="Calibri" w:hAnsi="Calibri" w:cs="仿宋_GB2312"/>
          <w:color w:val="auto"/>
          <w:sz w:val="24"/>
          <w:highlight w:val="none"/>
        </w:rPr>
        <w:t>牵头人法定代表人（签字或盖章）：</w:t>
      </w:r>
    </w:p>
    <w:p>
      <w:pPr>
        <w:spacing w:line="360" w:lineRule="auto"/>
        <w:ind w:firstLine="3120" w:firstLineChars="1300"/>
        <w:rPr>
          <w:rFonts w:ascii="Calibri" w:hAnsi="Calibri" w:cs="仿宋_GB2312"/>
          <w:color w:val="auto"/>
          <w:sz w:val="24"/>
          <w:highlight w:val="none"/>
        </w:rPr>
      </w:pPr>
      <w:r>
        <w:rPr>
          <w:rFonts w:hint="eastAsia" w:ascii="Calibri" w:hAnsi="Calibri" w:cs="仿宋_GB2312"/>
          <w:color w:val="auto"/>
          <w:sz w:val="24"/>
          <w:highlight w:val="none"/>
        </w:rPr>
        <w:t>牵头人（电子签章）：</w:t>
      </w:r>
    </w:p>
    <w:p>
      <w:pPr>
        <w:spacing w:line="360" w:lineRule="auto"/>
        <w:ind w:firstLine="3840" w:firstLineChars="1600"/>
        <w:rPr>
          <w:rFonts w:ascii="Calibri" w:hAnsi="Calibri" w:cs="仿宋_GB2312"/>
          <w:color w:val="auto"/>
          <w:sz w:val="24"/>
          <w:highlight w:val="none"/>
        </w:rPr>
      </w:pPr>
      <w:r>
        <w:rPr>
          <w:rFonts w:hint="eastAsia" w:ascii="Calibri" w:hAnsi="Calibri" w:cs="仿宋_GB2312"/>
          <w:color w:val="auto"/>
          <w:sz w:val="24"/>
          <w:highlight w:val="none"/>
        </w:rPr>
        <w:t>日期：    年   月   日</w:t>
      </w:r>
    </w:p>
    <w:p>
      <w:pPr>
        <w:spacing w:line="360" w:lineRule="auto"/>
        <w:rPr>
          <w:rFonts w:ascii="Calibri" w:hAnsi="Calibri" w:cs="仿宋_GB2312"/>
          <w:color w:val="auto"/>
          <w:sz w:val="24"/>
          <w:highlight w:val="none"/>
        </w:rPr>
      </w:pPr>
    </w:p>
    <w:p>
      <w:pPr>
        <w:spacing w:line="360" w:lineRule="auto"/>
        <w:ind w:firstLine="3120" w:firstLineChars="1300"/>
        <w:rPr>
          <w:rFonts w:ascii="Calibri" w:hAnsi="Calibri" w:cs="仿宋_GB2312"/>
          <w:color w:val="auto"/>
          <w:sz w:val="24"/>
          <w:highlight w:val="none"/>
        </w:rPr>
      </w:pPr>
      <w:r>
        <w:rPr>
          <w:rFonts w:hint="eastAsia" w:ascii="Calibri" w:hAnsi="Calibri" w:cs="仿宋_GB2312"/>
          <w:color w:val="auto"/>
          <w:sz w:val="24"/>
          <w:highlight w:val="none"/>
        </w:rPr>
        <w:t>被授权人（签字）：</w:t>
      </w:r>
    </w:p>
    <w:p>
      <w:pPr>
        <w:spacing w:line="360" w:lineRule="auto"/>
        <w:ind w:firstLine="3840" w:firstLineChars="1600"/>
        <w:rPr>
          <w:rFonts w:ascii="Calibri" w:hAnsi="Calibri" w:cs="仿宋_GB2312"/>
          <w:color w:val="auto"/>
          <w:sz w:val="24"/>
          <w:highlight w:val="none"/>
        </w:rPr>
      </w:pPr>
      <w:r>
        <w:rPr>
          <w:rFonts w:hint="eastAsia" w:ascii="Calibri" w:hAnsi="Calibri" w:cs="仿宋_GB2312"/>
          <w:color w:val="auto"/>
          <w:sz w:val="24"/>
          <w:highlight w:val="none"/>
        </w:rPr>
        <w:t>日期：    年   月   日</w:t>
      </w:r>
    </w:p>
    <w:p>
      <w:pPr>
        <w:spacing w:line="360" w:lineRule="auto"/>
        <w:rPr>
          <w:rFonts w:ascii="Calibri" w:hAnsi="Calibri" w:cs="仿宋_GB2312"/>
          <w:color w:val="auto"/>
          <w:sz w:val="24"/>
          <w:highlight w:val="none"/>
        </w:rPr>
      </w:pPr>
    </w:p>
    <w:p>
      <w:pPr>
        <w:spacing w:line="360" w:lineRule="auto"/>
        <w:rPr>
          <w:rFonts w:ascii="Calibri" w:hAnsi="Calibri" w:cs="仿宋_GB2312"/>
          <w:color w:val="auto"/>
          <w:sz w:val="24"/>
          <w:highlight w:val="none"/>
        </w:rPr>
      </w:pPr>
      <w:r>
        <w:rPr>
          <w:rFonts w:hint="eastAsia" w:ascii="Calibri" w:hAnsi="Calibri" w:cs="仿宋_GB2312"/>
          <w:color w:val="auto"/>
          <w:sz w:val="24"/>
          <w:highlight w:val="none"/>
        </w:rPr>
        <w:t>注：1. 法定代表人必须在授权委托书上亲笔签字或盖章，委托代理人必须在授权委托书上亲笔签字，</w:t>
      </w:r>
      <w:r>
        <w:rPr>
          <w:rFonts w:hint="eastAsia" w:ascii="Calibri" w:hAnsi="Calibri" w:cs="仿宋_GB2312"/>
          <w:b/>
          <w:color w:val="auto"/>
          <w:sz w:val="24"/>
          <w:highlight w:val="none"/>
        </w:rPr>
        <w:t>否则其响应文件按无效响应处理。</w:t>
      </w:r>
    </w:p>
    <w:p>
      <w:pPr>
        <w:spacing w:line="360" w:lineRule="auto"/>
        <w:ind w:firstLine="480" w:firstLineChars="200"/>
        <w:jc w:val="left"/>
        <w:rPr>
          <w:rFonts w:ascii="Calibri" w:hAnsi="Calibri" w:cs="仿宋_GB2312"/>
          <w:color w:val="auto"/>
          <w:sz w:val="24"/>
          <w:highlight w:val="none"/>
        </w:rPr>
      </w:pPr>
      <w:r>
        <w:rPr>
          <w:rFonts w:hint="eastAsia" w:ascii="Calibri" w:hAnsi="Calibri" w:cs="仿宋_GB2312"/>
          <w:color w:val="auto"/>
          <w:sz w:val="24"/>
          <w:highlight w:val="none"/>
        </w:rPr>
        <w:t>2.本授权委托书应由联合体牵头人的法定代表人按上述规定签署。</w:t>
      </w:r>
    </w:p>
    <w:p>
      <w:pPr>
        <w:spacing w:line="360" w:lineRule="auto"/>
        <w:ind w:firstLine="480" w:firstLineChars="200"/>
        <w:jc w:val="left"/>
        <w:rPr>
          <w:rFonts w:ascii="Calibri" w:hAnsi="Calibri" w:cs="仿宋_GB2312"/>
          <w:color w:val="auto"/>
          <w:sz w:val="24"/>
          <w:highlight w:val="none"/>
        </w:rPr>
      </w:pPr>
      <w:r>
        <w:rPr>
          <w:rFonts w:hint="eastAsia" w:ascii="Calibri" w:hAnsi="Calibri" w:cs="仿宋_GB2312"/>
          <w:color w:val="auto"/>
          <w:sz w:val="24"/>
          <w:highlight w:val="none"/>
        </w:rPr>
        <w:t>3</w:t>
      </w:r>
      <w:r>
        <w:rPr>
          <w:rFonts w:ascii="Calibri" w:hAnsi="Calibri" w:cs="仿宋_GB2312"/>
          <w:color w:val="auto"/>
          <w:sz w:val="24"/>
          <w:highlight w:val="none"/>
        </w:rPr>
        <w:t>.</w:t>
      </w:r>
      <w:r>
        <w:rPr>
          <w:rFonts w:hint="eastAsia" w:ascii="Calibri" w:hAnsi="Calibri" w:cs="仿宋_GB2312"/>
          <w:color w:val="auto"/>
          <w:sz w:val="24"/>
          <w:highlight w:val="none"/>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ascii="Calibri" w:hAnsi="Calibri" w:cs="仿宋_GB2312"/>
          <w:color w:val="auto"/>
          <w:sz w:val="24"/>
          <w:highlight w:val="none"/>
        </w:rPr>
      </w:pPr>
      <w:r>
        <w:rPr>
          <w:rFonts w:hint="eastAsia" w:ascii="Calibri" w:hAnsi="Calibri" w:cs="仿宋_GB2312"/>
          <w:color w:val="auto"/>
          <w:sz w:val="24"/>
          <w:highlight w:val="none"/>
        </w:rPr>
        <w:t>4</w:t>
      </w:r>
      <w:r>
        <w:rPr>
          <w:rFonts w:ascii="Calibri" w:hAnsi="Calibri" w:cs="仿宋_GB2312"/>
          <w:color w:val="auto"/>
          <w:sz w:val="24"/>
          <w:highlight w:val="none"/>
        </w:rPr>
        <w:t>.</w:t>
      </w:r>
      <w:r>
        <w:rPr>
          <w:rFonts w:hint="eastAsia" w:ascii="Calibri" w:hAnsi="Calibri" w:cs="仿宋_GB2312"/>
          <w:color w:val="auto"/>
          <w:sz w:val="24"/>
          <w:highlight w:val="none"/>
        </w:rPr>
        <w:t>法人、其他组织竞标时“我方”是指“我单位”，自然人竞标时“我方”是指“本人”。</w:t>
      </w:r>
    </w:p>
    <w:p>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商务条款偏离表（格式）</w:t>
      </w:r>
    </w:p>
    <w:p>
      <w:pPr>
        <w:snapToGrid w:val="0"/>
        <w:spacing w:before="50"/>
        <w:jc w:val="left"/>
        <w:rPr>
          <w:rFonts w:ascii="宋体" w:hAnsi="宋体"/>
          <w:color w:val="auto"/>
          <w:sz w:val="24"/>
          <w:highlight w:val="none"/>
        </w:rPr>
      </w:pPr>
    </w:p>
    <w:p>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采购项目名称：</w:t>
      </w:r>
    </w:p>
    <w:p>
      <w:pPr>
        <w:pStyle w:val="21"/>
        <w:spacing w:line="360" w:lineRule="auto"/>
        <w:rPr>
          <w:rFonts w:hAnsi="宋体" w:cs="仿宋_GB2312"/>
          <w:color w:val="auto"/>
          <w:sz w:val="24"/>
          <w:szCs w:val="24"/>
          <w:highlight w:val="none"/>
        </w:rPr>
      </w:pPr>
      <w:r>
        <w:rPr>
          <w:rFonts w:hint="eastAsia" w:hAnsi="宋体" w:cs="仿宋_GB2312"/>
          <w:color w:val="auto"/>
          <w:sz w:val="24"/>
          <w:highlight w:val="none"/>
        </w:rPr>
        <w:t>分标号：</w:t>
      </w:r>
      <w:r>
        <w:rPr>
          <w:rFonts w:hAnsi="宋体" w:cs="仿宋_GB2312"/>
          <w:color w:val="auto"/>
          <w:sz w:val="24"/>
          <w:highlight w:val="none"/>
          <w:u w:val="single"/>
        </w:rPr>
        <w:t>（有分标时填写）</w:t>
      </w:r>
    </w:p>
    <w:p>
      <w:pPr>
        <w:snapToGrid w:val="0"/>
        <w:spacing w:before="50" w:line="360" w:lineRule="auto"/>
        <w:jc w:val="left"/>
        <w:rPr>
          <w:rFonts w:ascii="宋体" w:hAnsi="宋体" w:cs="仿宋_GB2312"/>
          <w:color w:val="auto"/>
          <w:sz w:val="24"/>
          <w:highlight w:val="none"/>
          <w:u w:val="single"/>
        </w:rPr>
      </w:pPr>
    </w:p>
    <w:tbl>
      <w:tblPr>
        <w:tblStyle w:val="32"/>
        <w:tblpPr w:leftFromText="180" w:rightFromText="180" w:vertAnchor="text" w:horzAnchor="margin" w:tblpY="-9"/>
        <w:tblOverlap w:val="never"/>
        <w:tblW w:w="94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0"/>
        <w:gridCol w:w="3169"/>
        <w:gridCol w:w="2791"/>
        <w:gridCol w:w="25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auto"/>
                <w:sz w:val="24"/>
                <w:highlight w:val="none"/>
              </w:rPr>
            </w:pPr>
            <w:r>
              <w:rPr>
                <w:rFonts w:ascii="宋体" w:hAnsi="宋体" w:cs="仿宋_GB2312"/>
                <w:color w:val="auto"/>
                <w:sz w:val="24"/>
                <w:highlight w:val="none"/>
              </w:rPr>
              <w:t>项号</w:t>
            </w:r>
          </w:p>
        </w:tc>
        <w:tc>
          <w:tcPr>
            <w:tcW w:w="316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竞争性磋商采购文件的</w:t>
            </w:r>
          </w:p>
          <w:p>
            <w:pPr>
              <w:snapToGrid w:val="0"/>
              <w:spacing w:before="156"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商务条款要求</w:t>
            </w:r>
          </w:p>
        </w:tc>
        <w:tc>
          <w:tcPr>
            <w:tcW w:w="279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响应文件承诺</w:t>
            </w:r>
          </w:p>
          <w:p>
            <w:pPr>
              <w:snapToGrid w:val="0"/>
              <w:spacing w:before="156"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的商务条款</w:t>
            </w:r>
          </w:p>
        </w:tc>
        <w:tc>
          <w:tcPr>
            <w:tcW w:w="25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316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auto"/>
                <w:sz w:val="24"/>
                <w:highlight w:val="none"/>
              </w:rPr>
            </w:pPr>
          </w:p>
        </w:tc>
        <w:tc>
          <w:tcPr>
            <w:tcW w:w="279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auto"/>
                <w:sz w:val="24"/>
                <w:highlight w:val="none"/>
              </w:rPr>
            </w:pPr>
          </w:p>
        </w:tc>
        <w:tc>
          <w:tcPr>
            <w:tcW w:w="25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316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auto"/>
                <w:sz w:val="24"/>
                <w:highlight w:val="none"/>
              </w:rPr>
            </w:pPr>
          </w:p>
        </w:tc>
        <w:tc>
          <w:tcPr>
            <w:tcW w:w="279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left="43"/>
              <w:jc w:val="center"/>
              <w:rPr>
                <w:rFonts w:ascii="宋体" w:hAnsi="宋体" w:cs="仿宋_GB2312"/>
                <w:color w:val="auto"/>
                <w:sz w:val="24"/>
                <w:highlight w:val="none"/>
              </w:rPr>
            </w:pPr>
          </w:p>
        </w:tc>
        <w:tc>
          <w:tcPr>
            <w:tcW w:w="25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left="43"/>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316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auto"/>
                <w:sz w:val="24"/>
                <w:highlight w:val="none"/>
              </w:rPr>
            </w:pPr>
          </w:p>
        </w:tc>
        <w:tc>
          <w:tcPr>
            <w:tcW w:w="279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auto"/>
                <w:sz w:val="24"/>
                <w:highlight w:val="none"/>
              </w:rPr>
            </w:pPr>
          </w:p>
        </w:tc>
        <w:tc>
          <w:tcPr>
            <w:tcW w:w="25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9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316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auto"/>
                <w:sz w:val="24"/>
                <w:highlight w:val="none"/>
              </w:rPr>
            </w:pPr>
          </w:p>
        </w:tc>
        <w:tc>
          <w:tcPr>
            <w:tcW w:w="279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auto"/>
                <w:sz w:val="24"/>
                <w:highlight w:val="none"/>
              </w:rPr>
            </w:pPr>
          </w:p>
        </w:tc>
        <w:tc>
          <w:tcPr>
            <w:tcW w:w="25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auto"/>
                <w:sz w:val="24"/>
                <w:highlight w:val="none"/>
              </w:rPr>
            </w:pPr>
          </w:p>
        </w:tc>
      </w:tr>
    </w:tbl>
    <w:p>
      <w:pPr>
        <w:pStyle w:val="15"/>
        <w:rPr>
          <w:rFonts w:ascii="宋体" w:hAnsi="宋体"/>
          <w:color w:val="auto"/>
          <w:kern w:val="0"/>
          <w:sz w:val="24"/>
          <w:szCs w:val="24"/>
          <w:highlight w:val="none"/>
        </w:rPr>
      </w:pPr>
      <w:r>
        <w:rPr>
          <w:rFonts w:hint="eastAsia" w:ascii="宋体" w:hAnsi="宋体"/>
          <w:color w:val="auto"/>
          <w:kern w:val="0"/>
          <w:sz w:val="24"/>
          <w:szCs w:val="24"/>
          <w:highlight w:val="none"/>
        </w:rPr>
        <w:t>注：</w:t>
      </w:r>
    </w:p>
    <w:p>
      <w:pPr>
        <w:pStyle w:val="15"/>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采购需求”表格中的“二、商务要求”条款逐条实质性响应，并作出偏离说明。</w:t>
      </w:r>
    </w:p>
    <w:p>
      <w:pPr>
        <w:snapToGrid w:val="0"/>
        <w:spacing w:before="50" w:line="360" w:lineRule="auto"/>
        <w:jc w:val="left"/>
        <w:rPr>
          <w:rFonts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pPr>
        <w:snapToGrid w:val="0"/>
        <w:spacing w:before="50" w:after="50" w:line="360" w:lineRule="auto"/>
        <w:ind w:right="-817" w:rightChars="-389"/>
        <w:rPr>
          <w:rFonts w:ascii="宋体" w:hAnsi="宋体" w:cs="仿宋_GB2312"/>
          <w:color w:val="auto"/>
          <w:sz w:val="24"/>
          <w:highlight w:val="none"/>
        </w:rPr>
      </w:pPr>
    </w:p>
    <w:p>
      <w:pPr>
        <w:snapToGrid w:val="0"/>
        <w:spacing w:before="50" w:after="50" w:line="360" w:lineRule="auto"/>
        <w:ind w:right="-817" w:rightChars="-389" w:firstLine="960" w:firstLineChars="400"/>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法定代表人或者其委托代理人（签字）：                    </w:t>
      </w:r>
    </w:p>
    <w:p>
      <w:pPr>
        <w:snapToGrid w:val="0"/>
        <w:spacing w:before="50" w:after="50" w:line="360" w:lineRule="auto"/>
        <w:ind w:right="-817" w:rightChars="-389" w:firstLine="2640" w:firstLineChars="1100"/>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pPr>
        <w:snapToGrid w:val="0"/>
        <w:spacing w:before="50" w:after="50" w:line="360" w:lineRule="auto"/>
        <w:ind w:right="-817" w:rightChars="-389" w:firstLine="4080" w:firstLineChars="1700"/>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技术需求偏离表（格式）</w:t>
      </w:r>
    </w:p>
    <w:p>
      <w:pPr>
        <w:spacing w:line="520" w:lineRule="exact"/>
        <w:rPr>
          <w:rFonts w:ascii="仿宋_GB2312" w:hAnsi="仿宋_GB2312" w:eastAsia="仿宋_GB2312" w:cs="仿宋_GB2312"/>
          <w:color w:val="auto"/>
          <w:sz w:val="32"/>
          <w:szCs w:val="32"/>
          <w:highlight w:val="none"/>
        </w:rPr>
      </w:pPr>
    </w:p>
    <w:p>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采购项目名称：</w:t>
      </w:r>
    </w:p>
    <w:p>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分标号：</w:t>
      </w:r>
      <w:r>
        <w:rPr>
          <w:rFonts w:ascii="宋体" w:hAnsi="宋体" w:cs="仿宋_GB2312"/>
          <w:color w:val="auto"/>
          <w:sz w:val="24"/>
          <w:highlight w:val="none"/>
          <w:u w:val="single"/>
        </w:rPr>
        <w:t>（有分标时填写）</w:t>
      </w:r>
    </w:p>
    <w:tbl>
      <w:tblPr>
        <w:tblStyle w:val="32"/>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bookmarkStart w:id="115" w:name="_Toc297193185"/>
            <w:bookmarkStart w:id="116" w:name="_Toc173211900"/>
            <w:bookmarkStart w:id="117" w:name="_Toc254970588"/>
            <w:bookmarkStart w:id="118" w:name="_Toc254970729"/>
            <w:bookmarkStart w:id="119" w:name="_Toc295404981"/>
            <w:bookmarkStart w:id="120" w:name="_Toc373333689"/>
            <w:bookmarkStart w:id="121" w:name="_Toc383699906"/>
            <w:bookmarkStart w:id="122" w:name="_Toc301781611"/>
            <w:bookmarkStart w:id="123" w:name="_Toc173066401"/>
            <w:r>
              <w:rPr>
                <w:rFonts w:hint="eastAsia" w:ascii="宋体" w:hAnsi="宋体" w:eastAsia="宋体" w:cs="仿宋_GB2312"/>
                <w:color w:val="auto"/>
                <w:kern w:val="2"/>
                <w:sz w:val="24"/>
                <w:szCs w:val="24"/>
                <w:highlight w:val="none"/>
              </w:rPr>
              <w:t>序号</w:t>
            </w:r>
            <w:bookmarkEnd w:id="115"/>
            <w:bookmarkEnd w:id="116"/>
            <w:bookmarkEnd w:id="117"/>
            <w:bookmarkEnd w:id="118"/>
            <w:bookmarkEnd w:id="119"/>
            <w:bookmarkEnd w:id="120"/>
            <w:bookmarkEnd w:id="121"/>
            <w:bookmarkEnd w:id="122"/>
            <w:bookmarkEnd w:id="123"/>
          </w:p>
        </w:tc>
        <w:tc>
          <w:tcPr>
            <w:tcW w:w="915" w:type="dxa"/>
            <w:tcBorders>
              <w:right w:val="single" w:color="auto" w:sz="4" w:space="0"/>
            </w:tcBorders>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r>
              <w:rPr>
                <w:rFonts w:hint="eastAsia" w:hAnsi="宋体" w:eastAsia="宋体" w:cs="宋体"/>
                <w:color w:val="auto"/>
                <w:kern w:val="2"/>
                <w:sz w:val="24"/>
                <w:szCs w:val="24"/>
                <w:highlight w:val="none"/>
              </w:rPr>
              <w:t>标的名称</w:t>
            </w:r>
          </w:p>
        </w:tc>
        <w:tc>
          <w:tcPr>
            <w:tcW w:w="3038" w:type="dxa"/>
            <w:tcBorders>
              <w:left w:val="single" w:color="auto" w:sz="4" w:space="0"/>
            </w:tcBorders>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竞争性磋商采购文件需求</w:t>
            </w:r>
          </w:p>
        </w:tc>
        <w:tc>
          <w:tcPr>
            <w:tcW w:w="2734" w:type="dxa"/>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响应文件承诺</w:t>
            </w:r>
          </w:p>
        </w:tc>
        <w:tc>
          <w:tcPr>
            <w:tcW w:w="1492" w:type="dxa"/>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bookmarkStart w:id="124" w:name="_Toc254970591"/>
            <w:bookmarkStart w:id="125" w:name="_Toc173066404"/>
            <w:bookmarkStart w:id="126" w:name="_Toc373333692"/>
            <w:bookmarkStart w:id="127" w:name="_Toc297193188"/>
            <w:bookmarkStart w:id="128" w:name="_Toc173211903"/>
            <w:bookmarkStart w:id="129" w:name="_Toc254970732"/>
            <w:bookmarkStart w:id="130" w:name="_Toc301781614"/>
            <w:bookmarkStart w:id="131" w:name="_Toc295404984"/>
            <w:bookmarkStart w:id="132" w:name="_Toc383699909"/>
            <w:r>
              <w:rPr>
                <w:rFonts w:hint="eastAsia" w:ascii="宋体" w:hAnsi="宋体" w:eastAsia="宋体" w:cs="仿宋_GB2312"/>
                <w:color w:val="auto"/>
                <w:kern w:val="2"/>
                <w:sz w:val="24"/>
                <w:szCs w:val="24"/>
                <w:highlight w:val="none"/>
              </w:rPr>
              <w:t>偏离</w:t>
            </w:r>
            <w:bookmarkEnd w:id="124"/>
            <w:bookmarkEnd w:id="125"/>
            <w:bookmarkEnd w:id="126"/>
            <w:bookmarkEnd w:id="127"/>
            <w:bookmarkEnd w:id="128"/>
            <w:bookmarkEnd w:id="129"/>
            <w:bookmarkEnd w:id="130"/>
            <w:bookmarkEnd w:id="131"/>
            <w:bookmarkEnd w:id="132"/>
            <w:bookmarkStart w:id="133" w:name="_Toc383699910"/>
            <w:bookmarkStart w:id="134" w:name="_Toc297193189"/>
            <w:bookmarkStart w:id="135" w:name="_Toc301781615"/>
            <w:bookmarkStart w:id="136" w:name="_Toc295404985"/>
            <w:bookmarkStart w:id="137" w:name="_Toc254970592"/>
            <w:bookmarkStart w:id="138" w:name="_Toc173066405"/>
            <w:bookmarkStart w:id="139" w:name="_Toc373333693"/>
            <w:bookmarkStart w:id="140" w:name="_Toc254970733"/>
            <w:bookmarkStart w:id="141" w:name="_Toc173211904"/>
            <w:r>
              <w:rPr>
                <w:rFonts w:hint="eastAsia" w:ascii="宋体" w:hAnsi="宋体" w:eastAsia="宋体" w:cs="仿宋_GB2312"/>
                <w:color w:val="auto"/>
                <w:kern w:val="2"/>
                <w:sz w:val="24"/>
                <w:szCs w:val="24"/>
                <w:highlight w:val="none"/>
              </w:rPr>
              <w:t>说明</w:t>
            </w:r>
            <w:bookmarkEnd w:id="133"/>
            <w:bookmarkEnd w:id="134"/>
            <w:bookmarkEnd w:id="135"/>
            <w:bookmarkEnd w:id="136"/>
            <w:bookmarkEnd w:id="137"/>
            <w:bookmarkEnd w:id="138"/>
            <w:bookmarkEnd w:id="139"/>
            <w:bookmarkEnd w:id="140"/>
            <w:bookmarkEnd w:id="141"/>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bookmarkStart w:id="142" w:name="_Toc383699911"/>
            <w:bookmarkStart w:id="143" w:name="_Toc254970734"/>
            <w:bookmarkStart w:id="144" w:name="_Toc254970593"/>
            <w:bookmarkStart w:id="145" w:name="_Toc297193190"/>
            <w:bookmarkStart w:id="146" w:name="_Toc301781616"/>
            <w:bookmarkStart w:id="147" w:name="_Toc373333694"/>
            <w:bookmarkStart w:id="148" w:name="_Toc173211905"/>
            <w:bookmarkStart w:id="149" w:name="_Toc295404986"/>
            <w:bookmarkStart w:id="150" w:name="_Toc173066406"/>
            <w:r>
              <w:rPr>
                <w:rFonts w:hint="eastAsia" w:ascii="宋体" w:hAnsi="宋体" w:eastAsia="宋体" w:cs="仿宋_GB2312"/>
                <w:color w:val="auto"/>
                <w:kern w:val="2"/>
                <w:sz w:val="24"/>
                <w:szCs w:val="24"/>
                <w:highlight w:val="none"/>
              </w:rPr>
              <w:t>1</w:t>
            </w:r>
            <w:bookmarkEnd w:id="142"/>
            <w:bookmarkEnd w:id="143"/>
            <w:bookmarkEnd w:id="144"/>
            <w:bookmarkEnd w:id="145"/>
            <w:bookmarkEnd w:id="146"/>
            <w:bookmarkEnd w:id="147"/>
            <w:bookmarkEnd w:id="148"/>
            <w:bookmarkEnd w:id="149"/>
            <w:bookmarkEnd w:id="150"/>
          </w:p>
        </w:tc>
        <w:tc>
          <w:tcPr>
            <w:tcW w:w="915" w:type="dxa"/>
            <w:tcBorders>
              <w:right w:val="single" w:color="auto" w:sz="4" w:space="0"/>
            </w:tcBorders>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c>
          <w:tcPr>
            <w:tcW w:w="2734" w:type="dxa"/>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c>
          <w:tcPr>
            <w:tcW w:w="1492" w:type="dxa"/>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bookmarkStart w:id="151" w:name="_Toc173066407"/>
            <w:bookmarkStart w:id="152" w:name="_Toc297193191"/>
            <w:bookmarkStart w:id="153" w:name="_Toc373333695"/>
            <w:bookmarkStart w:id="154" w:name="_Toc254970594"/>
            <w:bookmarkStart w:id="155" w:name="_Toc383699912"/>
            <w:bookmarkStart w:id="156" w:name="_Toc254970735"/>
            <w:bookmarkStart w:id="157" w:name="_Toc173211906"/>
            <w:bookmarkStart w:id="158" w:name="_Toc301781617"/>
            <w:bookmarkStart w:id="159" w:name="_Toc295404987"/>
            <w:r>
              <w:rPr>
                <w:rFonts w:hint="eastAsia" w:ascii="宋体" w:hAnsi="宋体" w:eastAsia="宋体" w:cs="仿宋_GB2312"/>
                <w:color w:val="auto"/>
                <w:kern w:val="2"/>
                <w:sz w:val="24"/>
                <w:szCs w:val="24"/>
                <w:highlight w:val="none"/>
              </w:rPr>
              <w:t>2</w:t>
            </w:r>
            <w:bookmarkEnd w:id="151"/>
            <w:bookmarkEnd w:id="152"/>
            <w:bookmarkEnd w:id="153"/>
            <w:bookmarkEnd w:id="154"/>
            <w:bookmarkEnd w:id="155"/>
            <w:bookmarkEnd w:id="156"/>
            <w:bookmarkEnd w:id="157"/>
            <w:bookmarkEnd w:id="158"/>
            <w:bookmarkEnd w:id="159"/>
          </w:p>
        </w:tc>
        <w:tc>
          <w:tcPr>
            <w:tcW w:w="915" w:type="dxa"/>
            <w:tcBorders>
              <w:right w:val="single" w:color="auto" w:sz="4" w:space="0"/>
            </w:tcBorders>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c>
          <w:tcPr>
            <w:tcW w:w="2734" w:type="dxa"/>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c>
          <w:tcPr>
            <w:tcW w:w="1492" w:type="dxa"/>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bookmarkStart w:id="160" w:name="_Toc295404988"/>
            <w:bookmarkStart w:id="161" w:name="_Toc254970595"/>
            <w:bookmarkStart w:id="162" w:name="_Toc173066408"/>
            <w:bookmarkStart w:id="163" w:name="_Toc301781618"/>
            <w:bookmarkStart w:id="164" w:name="_Toc383699913"/>
            <w:bookmarkStart w:id="165" w:name="_Toc297193192"/>
            <w:bookmarkStart w:id="166" w:name="_Toc373333696"/>
            <w:bookmarkStart w:id="167" w:name="_Toc173211907"/>
            <w:bookmarkStart w:id="168" w:name="_Toc254970736"/>
            <w:r>
              <w:rPr>
                <w:rFonts w:hint="eastAsia" w:ascii="宋体" w:hAnsi="宋体" w:eastAsia="宋体" w:cs="仿宋_GB2312"/>
                <w:color w:val="auto"/>
                <w:kern w:val="2"/>
                <w:sz w:val="24"/>
                <w:szCs w:val="24"/>
                <w:highlight w:val="none"/>
              </w:rPr>
              <w:t>3</w:t>
            </w:r>
            <w:bookmarkEnd w:id="160"/>
            <w:bookmarkEnd w:id="161"/>
            <w:bookmarkEnd w:id="162"/>
            <w:bookmarkEnd w:id="163"/>
            <w:bookmarkEnd w:id="164"/>
            <w:bookmarkEnd w:id="165"/>
            <w:bookmarkEnd w:id="166"/>
            <w:bookmarkEnd w:id="167"/>
            <w:bookmarkEnd w:id="168"/>
          </w:p>
        </w:tc>
        <w:tc>
          <w:tcPr>
            <w:tcW w:w="915" w:type="dxa"/>
            <w:tcBorders>
              <w:right w:val="single" w:color="auto" w:sz="4" w:space="0"/>
            </w:tcBorders>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c>
          <w:tcPr>
            <w:tcW w:w="2734" w:type="dxa"/>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c>
          <w:tcPr>
            <w:tcW w:w="1492" w:type="dxa"/>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bookmarkStart w:id="169" w:name="_Toc254970596"/>
            <w:bookmarkStart w:id="170" w:name="_Toc297193193"/>
            <w:bookmarkStart w:id="171" w:name="_Toc295404989"/>
            <w:bookmarkStart w:id="172" w:name="_Toc254970737"/>
            <w:bookmarkStart w:id="173" w:name="_Toc173066409"/>
            <w:bookmarkStart w:id="174" w:name="_Toc383699914"/>
            <w:bookmarkStart w:id="175" w:name="_Toc301781619"/>
            <w:bookmarkStart w:id="176" w:name="_Toc373333697"/>
            <w:bookmarkStart w:id="177" w:name="_Toc173211908"/>
            <w:r>
              <w:rPr>
                <w:rFonts w:hint="eastAsia" w:ascii="宋体" w:hAnsi="宋体" w:eastAsia="宋体" w:cs="仿宋_GB2312"/>
                <w:color w:val="auto"/>
                <w:kern w:val="2"/>
                <w:sz w:val="24"/>
                <w:szCs w:val="24"/>
                <w:highlight w:val="none"/>
              </w:rPr>
              <w:t>4</w:t>
            </w:r>
            <w:bookmarkEnd w:id="169"/>
            <w:bookmarkEnd w:id="170"/>
            <w:bookmarkEnd w:id="171"/>
            <w:bookmarkEnd w:id="172"/>
            <w:bookmarkEnd w:id="173"/>
            <w:bookmarkEnd w:id="174"/>
            <w:bookmarkEnd w:id="175"/>
            <w:bookmarkEnd w:id="176"/>
            <w:bookmarkEnd w:id="177"/>
          </w:p>
        </w:tc>
        <w:tc>
          <w:tcPr>
            <w:tcW w:w="915" w:type="dxa"/>
            <w:tcBorders>
              <w:right w:val="single" w:color="auto" w:sz="4" w:space="0"/>
            </w:tcBorders>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c>
          <w:tcPr>
            <w:tcW w:w="2734" w:type="dxa"/>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c>
          <w:tcPr>
            <w:tcW w:w="1492" w:type="dxa"/>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bookmarkStart w:id="178" w:name="_Toc295404990"/>
            <w:bookmarkStart w:id="179" w:name="_Toc254970738"/>
            <w:bookmarkStart w:id="180" w:name="_Toc301781620"/>
            <w:bookmarkStart w:id="181" w:name="_Toc173211909"/>
            <w:bookmarkStart w:id="182" w:name="_Toc297193194"/>
            <w:bookmarkStart w:id="183" w:name="_Toc383699915"/>
            <w:bookmarkStart w:id="184" w:name="_Toc254970597"/>
            <w:bookmarkStart w:id="185" w:name="_Toc173066410"/>
            <w:bookmarkStart w:id="186" w:name="_Toc373333698"/>
            <w:r>
              <w:rPr>
                <w:rFonts w:hint="eastAsia" w:ascii="宋体" w:hAnsi="宋体" w:eastAsia="宋体" w:cs="仿宋_GB2312"/>
                <w:color w:val="auto"/>
                <w:kern w:val="2"/>
                <w:sz w:val="24"/>
                <w:szCs w:val="24"/>
                <w:highlight w:val="none"/>
              </w:rPr>
              <w:t>5</w:t>
            </w:r>
            <w:bookmarkEnd w:id="178"/>
            <w:bookmarkEnd w:id="179"/>
            <w:bookmarkEnd w:id="180"/>
            <w:bookmarkEnd w:id="181"/>
            <w:bookmarkEnd w:id="182"/>
            <w:bookmarkEnd w:id="183"/>
            <w:bookmarkEnd w:id="184"/>
            <w:bookmarkEnd w:id="185"/>
            <w:bookmarkEnd w:id="186"/>
          </w:p>
        </w:tc>
        <w:tc>
          <w:tcPr>
            <w:tcW w:w="915" w:type="dxa"/>
            <w:tcBorders>
              <w:right w:val="single" w:color="auto" w:sz="4" w:space="0"/>
            </w:tcBorders>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c>
          <w:tcPr>
            <w:tcW w:w="2734" w:type="dxa"/>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c>
          <w:tcPr>
            <w:tcW w:w="1492" w:type="dxa"/>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bookmarkStart w:id="187" w:name="_Toc297193195"/>
            <w:bookmarkStart w:id="188" w:name="_Toc254970602"/>
            <w:bookmarkStart w:id="189" w:name="_Toc383699916"/>
            <w:bookmarkStart w:id="190" w:name="_Toc295404991"/>
            <w:bookmarkStart w:id="191" w:name="_Toc373333699"/>
            <w:bookmarkStart w:id="192" w:name="_Toc173211914"/>
            <w:bookmarkStart w:id="193" w:name="_Toc301781621"/>
            <w:bookmarkStart w:id="194" w:name="_Toc173066415"/>
            <w:bookmarkStart w:id="195" w:name="_Toc254970743"/>
            <w:r>
              <w:rPr>
                <w:rFonts w:hint="eastAsia" w:ascii="宋体" w:hAnsi="宋体" w:eastAsia="宋体" w:cs="仿宋_GB2312"/>
                <w:color w:val="auto"/>
                <w:kern w:val="2"/>
                <w:sz w:val="24"/>
                <w:szCs w:val="24"/>
                <w:highlight w:val="none"/>
              </w:rPr>
              <w:t>…</w:t>
            </w:r>
            <w:bookmarkEnd w:id="187"/>
            <w:bookmarkEnd w:id="188"/>
            <w:bookmarkEnd w:id="189"/>
            <w:bookmarkEnd w:id="190"/>
            <w:bookmarkEnd w:id="191"/>
            <w:bookmarkEnd w:id="192"/>
            <w:bookmarkEnd w:id="193"/>
            <w:bookmarkEnd w:id="194"/>
            <w:bookmarkEnd w:id="195"/>
          </w:p>
        </w:tc>
        <w:tc>
          <w:tcPr>
            <w:tcW w:w="915" w:type="dxa"/>
            <w:tcBorders>
              <w:right w:val="single" w:color="auto" w:sz="4" w:space="0"/>
            </w:tcBorders>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c>
          <w:tcPr>
            <w:tcW w:w="2734" w:type="dxa"/>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c>
          <w:tcPr>
            <w:tcW w:w="1492" w:type="dxa"/>
            <w:tcBorders>
              <w:right w:val="single" w:color="auto" w:sz="4" w:space="0"/>
            </w:tcBorders>
            <w:vAlign w:val="center"/>
          </w:tcPr>
          <w:p>
            <w:pPr>
              <w:pStyle w:val="18"/>
              <w:spacing w:line="360" w:lineRule="auto"/>
              <w:ind w:firstLine="0" w:firstLineChars="0"/>
              <w:jc w:val="center"/>
              <w:rPr>
                <w:rFonts w:ascii="宋体" w:hAnsi="宋体" w:eastAsia="宋体" w:cs="仿宋_GB2312"/>
                <w:color w:val="auto"/>
                <w:kern w:val="2"/>
                <w:sz w:val="24"/>
                <w:szCs w:val="24"/>
                <w:highlight w:val="none"/>
              </w:rPr>
            </w:pPr>
          </w:p>
        </w:tc>
      </w:tr>
    </w:tbl>
    <w:p>
      <w:pPr>
        <w:adjustRightInd w:val="0"/>
        <w:snapToGrid w:val="0"/>
        <w:spacing w:line="360" w:lineRule="auto"/>
        <w:rPr>
          <w:rFonts w:ascii="宋体" w:hAnsi="宋体" w:cs="仿宋_GB2312"/>
          <w:color w:val="auto"/>
          <w:sz w:val="24"/>
          <w:highlight w:val="none"/>
        </w:rPr>
      </w:pPr>
    </w:p>
    <w:p>
      <w:pPr>
        <w:pStyle w:val="18"/>
        <w:spacing w:line="360" w:lineRule="auto"/>
        <w:ind w:firstLine="0" w:firstLineChars="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pPr>
        <w:pStyle w:val="18"/>
        <w:spacing w:line="360" w:lineRule="auto"/>
        <w:ind w:firstLine="0" w:firstLineChars="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采购需求”表格中的“一、项目要求及服务要求”条款逐条实质性响应，并作出偏离说明。</w:t>
      </w:r>
    </w:p>
    <w:p>
      <w:pPr>
        <w:pStyle w:val="18"/>
        <w:spacing w:line="360" w:lineRule="auto"/>
        <w:ind w:firstLine="0" w:firstLineChars="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pPr>
        <w:pStyle w:val="21"/>
        <w:spacing w:line="360" w:lineRule="auto"/>
        <w:rPr>
          <w:rFonts w:hAnsi="宋体" w:cs="仿宋_GB2312"/>
          <w:color w:val="auto"/>
          <w:sz w:val="24"/>
          <w:szCs w:val="24"/>
          <w:highlight w:val="none"/>
        </w:rPr>
      </w:pPr>
    </w:p>
    <w:p>
      <w:pPr>
        <w:snapToGrid w:val="0"/>
        <w:spacing w:before="50" w:after="50" w:line="360" w:lineRule="auto"/>
        <w:ind w:right="-817" w:rightChars="-389"/>
        <w:rPr>
          <w:rFonts w:ascii="宋体" w:hAnsi="宋体" w:cs="仿宋_GB2312"/>
          <w:color w:val="auto"/>
          <w:sz w:val="24"/>
          <w:highlight w:val="none"/>
        </w:rPr>
      </w:pPr>
    </w:p>
    <w:p>
      <w:pPr>
        <w:snapToGrid w:val="0"/>
        <w:spacing w:before="50" w:after="50" w:line="360" w:lineRule="auto"/>
        <w:ind w:right="-817" w:rightChars="-389" w:firstLine="960" w:firstLineChars="400"/>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法定代表人或者其委托代理人（签字）：                    </w:t>
      </w:r>
    </w:p>
    <w:p>
      <w:pPr>
        <w:snapToGrid w:val="0"/>
        <w:spacing w:before="50" w:after="50" w:line="360" w:lineRule="auto"/>
        <w:ind w:right="-817" w:rightChars="-389" w:firstLine="2640" w:firstLineChars="1100"/>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pPr>
        <w:snapToGrid w:val="0"/>
        <w:spacing w:before="50" w:after="50" w:line="360" w:lineRule="auto"/>
        <w:ind w:right="-817" w:rightChars="-389" w:firstLine="4080" w:firstLineChars="1700"/>
        <w:rPr>
          <w:rFonts w:ascii="宋体" w:hAnsi="宋体" w:cs="仿宋_GB2312"/>
          <w:color w:val="auto"/>
          <w:sz w:val="24"/>
          <w:highlight w:val="none"/>
        </w:rPr>
      </w:pPr>
      <w:r>
        <w:rPr>
          <w:rFonts w:hint="eastAsia" w:ascii="宋体" w:hAnsi="宋体" w:cs="仿宋_GB2312"/>
          <w:color w:val="auto"/>
          <w:sz w:val="24"/>
          <w:highlight w:val="none"/>
        </w:rPr>
        <w:t>日期：   年   月   日</w:t>
      </w:r>
    </w:p>
    <w:p>
      <w:pPr>
        <w:snapToGrid w:val="0"/>
        <w:spacing w:before="156" w:beforeLines="50" w:after="50"/>
        <w:ind w:left="142"/>
        <w:jc w:val="left"/>
        <w:rPr>
          <w:rFonts w:ascii="宋体" w:hAnsi="宋体" w:cs="仿宋_GB2312"/>
          <w:color w:val="auto"/>
          <w:sz w:val="24"/>
          <w:highlight w:val="none"/>
        </w:rPr>
        <w:sectPr>
          <w:headerReference r:id="rId7" w:type="first"/>
          <w:footerReference r:id="rId9" w:type="first"/>
          <w:footerReference r:id="rId8" w:type="default"/>
          <w:pgSz w:w="11906" w:h="16838"/>
          <w:pgMar w:top="1240" w:right="1134" w:bottom="1318" w:left="1418" w:header="851" w:footer="992" w:gutter="0"/>
          <w:cols w:space="720" w:num="1"/>
          <w:titlePg/>
          <w:docGrid w:type="lines" w:linePitch="312" w:charSpace="0"/>
        </w:sectPr>
      </w:pPr>
      <w:r>
        <w:rPr>
          <w:rFonts w:ascii="宋体" w:hAnsi="宋体" w:cs="仿宋_GB2312"/>
          <w:color w:val="auto"/>
          <w:sz w:val="24"/>
          <w:highlight w:val="none"/>
        </w:rPr>
        <w:br w:type="page"/>
      </w:r>
    </w:p>
    <w:p>
      <w:pPr>
        <w:snapToGrid w:val="0"/>
        <w:spacing w:line="46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响 应 函（格式）</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华新项目管理集团有限公司  </w:t>
      </w:r>
      <w:r>
        <w:rPr>
          <w:rFonts w:hint="eastAsia" w:ascii="宋体" w:hAnsi="宋体" w:cs="宋体"/>
          <w:color w:val="auto"/>
          <w:szCs w:val="21"/>
          <w:highlight w:val="none"/>
        </w:rPr>
        <w:t>：</w:t>
      </w:r>
    </w:p>
    <w:p>
      <w:pPr>
        <w:snapToGrid w:val="0"/>
        <w:spacing w:line="380" w:lineRule="exact"/>
        <w:ind w:firstLine="480"/>
        <w:rPr>
          <w:rFonts w:ascii="宋体" w:hAnsi="宋体" w:cs="宋体"/>
          <w:color w:val="auto"/>
          <w:szCs w:val="21"/>
          <w:highlight w:val="none"/>
        </w:rPr>
      </w:pPr>
      <w:r>
        <w:rPr>
          <w:rFonts w:hint="eastAsia" w:ascii="宋体" w:hAnsi="宋体" w:cs="宋体"/>
          <w:color w:val="auto"/>
          <w:szCs w:val="21"/>
          <w:highlight w:val="none"/>
        </w:rPr>
        <w:t>根据贵方为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项目的磋商公告（项目编号：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），签字代表</w:t>
      </w:r>
      <w:r>
        <w:rPr>
          <w:rFonts w:hint="eastAsia" w:ascii="宋体" w:hAnsi="宋体" w:cs="宋体"/>
          <w:color w:val="auto"/>
          <w:szCs w:val="21"/>
          <w:highlight w:val="none"/>
          <w:u w:val="single"/>
        </w:rPr>
        <w:t xml:space="preserve">     （全名）     </w:t>
      </w:r>
      <w:r>
        <w:rPr>
          <w:rFonts w:hint="eastAsia" w:ascii="宋体" w:hAnsi="宋体" w:cs="宋体"/>
          <w:color w:val="auto"/>
          <w:szCs w:val="21"/>
          <w:highlight w:val="none"/>
        </w:rPr>
        <w:t>经正式授权并代表磋商供应商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（供应商名称）提交响应文件。</w:t>
      </w:r>
    </w:p>
    <w:p>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据此函，签字代表宣布同意如下：</w:t>
      </w:r>
    </w:p>
    <w:p>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1.磋商供应商已详细审查全部“采购文件”，包括修改文件（如有的话）以及全部参考资料和有关附件，已经了解我方对于采购文件、采购过程、采购结果有依法进行询问、质疑、投诉的权利及相关渠道和要求。</w:t>
      </w:r>
    </w:p>
    <w:p>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2.磋商供应商在提交首次响应文件之前已经与贵方进行了充分的沟通，完全理解并接受采购文件的各项规定和要求，对采购文件的合理性、合法性不再有异议。</w:t>
      </w:r>
    </w:p>
    <w:p>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3.本磋商有效期自开标之日起</w:t>
      </w:r>
      <w:r>
        <w:rPr>
          <w:rFonts w:hint="eastAsia" w:ascii="宋体" w:hAnsi="宋体" w:cs="宋体"/>
          <w:color w:val="auto"/>
          <w:szCs w:val="21"/>
          <w:highlight w:val="none"/>
          <w:u w:val="single"/>
        </w:rPr>
        <w:t xml:space="preserve">90 </w:t>
      </w:r>
      <w:r>
        <w:rPr>
          <w:rFonts w:hint="eastAsia" w:ascii="宋体" w:hAnsi="宋体" w:cs="宋体"/>
          <w:color w:val="auto"/>
          <w:szCs w:val="21"/>
          <w:highlight w:val="none"/>
        </w:rPr>
        <w:t>日。</w:t>
      </w:r>
    </w:p>
    <w:p>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4.如成交，本响应文件至本项目合同履行完毕止均保持有效，本磋商供应商将按“采购文件”及政府采购法律、法规的规定履行合同责任和义务。</w:t>
      </w:r>
    </w:p>
    <w:p>
      <w:p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5.磋商供应商同意本响应文件中“竞标报价表”和成交后签订的采购合同可用于公示，其中所有内容不涉及磋商供应商商业秘密，并承诺可向采购人提供相关电子文档。</w:t>
      </w:r>
    </w:p>
    <w:p>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6.磋商供应商同意按照贵方要求提供与磋商有关的一切数据或资料。</w:t>
      </w:r>
    </w:p>
    <w:p>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7.与本磋商有关的一切正式往来信函请寄：</w:t>
      </w:r>
    </w:p>
    <w:p>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磋商供应商代表姓名：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磋商供应商名称（公章）：</w:t>
      </w:r>
      <w:r>
        <w:rPr>
          <w:rFonts w:hint="eastAsia" w:ascii="宋体" w:hAnsi="宋体" w:cs="宋体"/>
          <w:color w:val="auto"/>
          <w:szCs w:val="21"/>
          <w:highlight w:val="none"/>
          <w:u w:val="single"/>
        </w:rPr>
        <w:t xml:space="preserve">                                          </w:t>
      </w:r>
    </w:p>
    <w:p>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磋商供应商企业工商营业执照号码：</w:t>
      </w:r>
      <w:r>
        <w:rPr>
          <w:rFonts w:hint="eastAsia" w:ascii="宋体" w:hAnsi="宋体" w:cs="宋体"/>
          <w:color w:val="auto"/>
          <w:szCs w:val="21"/>
          <w:highlight w:val="none"/>
          <w:u w:val="single"/>
        </w:rPr>
        <w:t xml:space="preserve">                                  </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磋商供应商企业工商营业执照注册地址：</w:t>
      </w:r>
      <w:r>
        <w:rPr>
          <w:rFonts w:hint="eastAsia" w:ascii="宋体" w:hAnsi="宋体" w:cs="宋体"/>
          <w:color w:val="auto"/>
          <w:szCs w:val="21"/>
          <w:highlight w:val="none"/>
          <w:u w:val="single"/>
        </w:rPr>
        <w:t xml:space="preserve">                                 </w:t>
      </w:r>
    </w:p>
    <w:p>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法定代表人姓名：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法定代表人身份证号码：</w:t>
      </w:r>
      <w:r>
        <w:rPr>
          <w:rFonts w:hint="eastAsia" w:ascii="宋体" w:hAnsi="宋体" w:cs="宋体"/>
          <w:color w:val="auto"/>
          <w:szCs w:val="21"/>
          <w:highlight w:val="none"/>
          <w:u w:val="single"/>
        </w:rPr>
        <w:t xml:space="preserve">                      </w:t>
      </w:r>
    </w:p>
    <w:p>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授权委托代理人姓名：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授权委托代理人身份证号码：</w:t>
      </w:r>
      <w:r>
        <w:rPr>
          <w:rFonts w:hint="eastAsia" w:ascii="宋体" w:hAnsi="宋体" w:cs="宋体"/>
          <w:color w:val="auto"/>
          <w:szCs w:val="21"/>
          <w:highlight w:val="none"/>
          <w:u w:val="single"/>
        </w:rPr>
        <w:t xml:space="preserve">                      </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银行账号：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授权代表签字：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380" w:lineRule="exact"/>
        <w:rPr>
          <w:rFonts w:ascii="宋体" w:hAnsi="宋体" w:cs="宋体"/>
          <w:color w:val="auto"/>
          <w:szCs w:val="21"/>
          <w:highlight w:val="none"/>
        </w:rPr>
      </w:pPr>
      <w:r>
        <w:rPr>
          <w:rFonts w:hint="eastAsia" w:ascii="宋体" w:hAnsi="宋体"/>
          <w:color w:val="auto"/>
          <w:szCs w:val="21"/>
          <w:highlight w:val="none"/>
        </w:rPr>
        <w:t>供应商</w:t>
      </w:r>
      <w:r>
        <w:rPr>
          <w:rFonts w:hint="eastAsia" w:ascii="宋体" w:hAnsi="宋体" w:cs="宋体"/>
          <w:color w:val="auto"/>
          <w:szCs w:val="21"/>
          <w:highlight w:val="none"/>
        </w:rPr>
        <w:t>开票资料：</w:t>
      </w:r>
    </w:p>
    <w:p>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代理服务费开票信息：</w:t>
      </w:r>
      <w:r>
        <w:rPr>
          <w:rFonts w:hint="eastAsia" w:ascii="宋体" w:hAnsi="宋体" w:cs="宋体"/>
          <w:color w:val="auto"/>
          <w:szCs w:val="21"/>
          <w:highlight w:val="none"/>
          <w:u w:val="single"/>
        </w:rPr>
        <w:t xml:space="preserve">（填“专票”或“普票”） </w:t>
      </w:r>
      <w:r>
        <w:rPr>
          <w:rFonts w:hint="eastAsia" w:ascii="宋体" w:hAnsi="宋体" w:cs="宋体"/>
          <w:color w:val="auto"/>
          <w:szCs w:val="21"/>
          <w:highlight w:val="none"/>
        </w:rPr>
        <w:t xml:space="preserve"> </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名称：                                                              </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纳税人识别号：  </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地址、电话：</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开户行及账号：</w:t>
      </w:r>
    </w:p>
    <w:p>
      <w:pPr>
        <w:snapToGrid w:val="0"/>
        <w:spacing w:line="380" w:lineRule="exact"/>
        <w:rPr>
          <w:rFonts w:ascii="宋体" w:hAnsi="宋体" w:cs="宋体"/>
          <w:color w:val="auto"/>
          <w:szCs w:val="21"/>
          <w:highlight w:val="none"/>
          <w:u w:val="single"/>
        </w:rPr>
      </w:pPr>
      <w:r>
        <w:rPr>
          <w:rFonts w:hint="eastAsia" w:ascii="宋体" w:cs="宋体"/>
          <w:color w:val="auto"/>
          <w:kern w:val="0"/>
          <w:szCs w:val="21"/>
          <w:highlight w:val="none"/>
        </w:rPr>
        <w:t>法定代表人或其委托代理人（签字）</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jc w:val="right"/>
        <w:rPr>
          <w:rFonts w:ascii="宋体" w:hAnsi="宋体" w:cs="宋体"/>
          <w:color w:val="auto"/>
          <w:szCs w:val="21"/>
          <w:highlight w:val="none"/>
        </w:rPr>
      </w:pPr>
      <w:r>
        <w:rPr>
          <w:rFonts w:hint="eastAsia" w:ascii="宋体" w:hAnsi="宋体" w:cs="宋体"/>
          <w:color w:val="auto"/>
          <w:szCs w:val="21"/>
          <w:highlight w:val="none"/>
        </w:rPr>
        <w:t xml:space="preserve">供应商电子签章：                                                       </w:t>
      </w:r>
    </w:p>
    <w:p>
      <w:pPr>
        <w:jc w:val="right"/>
        <w:rPr>
          <w:color w:val="auto"/>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ascii="宋体" w:hAnsi="宋体"/>
          <w:b/>
          <w:color w:val="auto"/>
          <w:sz w:val="24"/>
          <w:highlight w:val="none"/>
        </w:rPr>
      </w:pPr>
      <w:r>
        <w:rPr>
          <w:rFonts w:hint="eastAsia" w:ascii="宋体" w:hAnsi="宋体"/>
          <w:b/>
          <w:color w:val="auto"/>
          <w:sz w:val="24"/>
          <w:highlight w:val="none"/>
        </w:rPr>
        <w:br w:type="page"/>
      </w:r>
    </w:p>
    <w:p>
      <w:pPr>
        <w:snapToGrid w:val="0"/>
        <w:spacing w:before="156" w:beforeLines="50" w:after="50"/>
        <w:ind w:left="142"/>
        <w:jc w:val="left"/>
        <w:rPr>
          <w:rFonts w:ascii="宋体" w:hAnsi="宋体"/>
          <w:b/>
          <w:color w:val="auto"/>
          <w:sz w:val="24"/>
          <w:highlight w:val="none"/>
        </w:rPr>
      </w:pPr>
      <w:r>
        <w:rPr>
          <w:rFonts w:hint="eastAsia" w:ascii="宋体" w:hAnsi="宋体"/>
          <w:b/>
          <w:color w:val="auto"/>
          <w:sz w:val="24"/>
          <w:highlight w:val="none"/>
        </w:rPr>
        <w:t>项目实施人员一览表格式</w:t>
      </w:r>
    </w:p>
    <w:p>
      <w:pPr>
        <w:snapToGrid w:val="0"/>
        <w:spacing w:before="156" w:beforeLines="50" w:after="50"/>
        <w:ind w:left="142"/>
        <w:jc w:val="left"/>
        <w:rPr>
          <w:rFonts w:ascii="宋体" w:hAnsi="宋体"/>
          <w:b/>
          <w:color w:val="auto"/>
          <w:sz w:val="24"/>
          <w:highlight w:val="none"/>
        </w:rPr>
      </w:pPr>
    </w:p>
    <w:p>
      <w:pPr>
        <w:snapToGrid w:val="0"/>
        <w:spacing w:before="156"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pPr>
        <w:pStyle w:val="21"/>
        <w:rPr>
          <w:color w:val="auto"/>
          <w:sz w:val="24"/>
          <w:szCs w:val="24"/>
          <w:highlight w:val="none"/>
        </w:rPr>
      </w:pPr>
      <w:r>
        <w:rPr>
          <w:rFonts w:hint="eastAsia" w:hAnsi="宋体" w:cs="仿宋_GB2312"/>
          <w:color w:val="auto"/>
          <w:sz w:val="24"/>
          <w:highlight w:val="none"/>
        </w:rPr>
        <w:t>分标号：</w:t>
      </w:r>
      <w:r>
        <w:rPr>
          <w:rFonts w:hAnsi="宋体" w:cs="仿宋_GB2312"/>
          <w:color w:val="auto"/>
          <w:sz w:val="24"/>
          <w:highlight w:val="none"/>
          <w:u w:val="single"/>
        </w:rPr>
        <w:t>（有分标时填写）</w:t>
      </w:r>
    </w:p>
    <w:tbl>
      <w:tblPr>
        <w:tblStyle w:val="32"/>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87"/>
        <w:gridCol w:w="1889"/>
        <w:gridCol w:w="1578"/>
        <w:gridCol w:w="1886"/>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pPr>
              <w:snapToGrid w:val="0"/>
              <w:spacing w:before="50" w:after="156" w:afterLines="50"/>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87" w:type="dxa"/>
            <w:vAlign w:val="center"/>
          </w:tcPr>
          <w:p>
            <w:pPr>
              <w:snapToGrid w:val="0"/>
              <w:spacing w:before="50" w:after="156" w:afterLines="50"/>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889" w:type="dxa"/>
            <w:vAlign w:val="center"/>
          </w:tcPr>
          <w:p>
            <w:pPr>
              <w:snapToGrid w:val="0"/>
              <w:spacing w:before="50" w:after="156" w:afterLines="50"/>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578" w:type="dxa"/>
            <w:vAlign w:val="center"/>
          </w:tcPr>
          <w:p>
            <w:pPr>
              <w:snapToGrid w:val="0"/>
              <w:spacing w:before="50" w:after="156" w:afterLines="50"/>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886" w:type="dxa"/>
            <w:vAlign w:val="center"/>
          </w:tcPr>
          <w:p>
            <w:pPr>
              <w:snapToGrid w:val="0"/>
              <w:spacing w:before="50" w:after="156" w:afterLines="50"/>
              <w:jc w:val="center"/>
              <w:rPr>
                <w:rFonts w:ascii="宋体" w:hAnsi="宋体"/>
                <w:color w:val="auto"/>
                <w:sz w:val="24"/>
                <w:szCs w:val="20"/>
                <w:highlight w:val="none"/>
              </w:rPr>
            </w:pPr>
            <w:r>
              <w:rPr>
                <w:rFonts w:hint="eastAsia" w:ascii="宋体" w:hAnsi="宋体"/>
                <w:color w:val="auto"/>
                <w:sz w:val="24"/>
                <w:szCs w:val="20"/>
                <w:highlight w:val="none"/>
              </w:rPr>
              <w:t>参加本单位</w:t>
            </w:r>
          </w:p>
          <w:p>
            <w:pPr>
              <w:snapToGrid w:val="0"/>
              <w:spacing w:before="50" w:after="156" w:afterLines="50"/>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2047" w:type="dxa"/>
            <w:vAlign w:val="center"/>
          </w:tcPr>
          <w:p>
            <w:pPr>
              <w:snapToGrid w:val="0"/>
              <w:spacing w:before="50" w:after="156" w:afterLines="50"/>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pPr>
              <w:snapToGrid w:val="0"/>
              <w:spacing w:before="50" w:after="156" w:afterLines="50"/>
              <w:jc w:val="center"/>
              <w:rPr>
                <w:rFonts w:ascii="宋体" w:hAnsi="宋体"/>
                <w:color w:val="auto"/>
                <w:sz w:val="24"/>
                <w:szCs w:val="20"/>
                <w:highlight w:val="none"/>
              </w:rPr>
            </w:pPr>
          </w:p>
        </w:tc>
        <w:tc>
          <w:tcPr>
            <w:tcW w:w="787" w:type="dxa"/>
            <w:vAlign w:val="center"/>
          </w:tcPr>
          <w:p>
            <w:pPr>
              <w:snapToGrid w:val="0"/>
              <w:spacing w:before="50" w:after="156" w:afterLines="50"/>
              <w:jc w:val="center"/>
              <w:rPr>
                <w:rFonts w:ascii="宋体" w:hAnsi="宋体"/>
                <w:color w:val="auto"/>
                <w:sz w:val="24"/>
                <w:szCs w:val="20"/>
                <w:highlight w:val="none"/>
              </w:rPr>
            </w:pPr>
          </w:p>
        </w:tc>
        <w:tc>
          <w:tcPr>
            <w:tcW w:w="1889" w:type="dxa"/>
            <w:vAlign w:val="center"/>
          </w:tcPr>
          <w:p>
            <w:pPr>
              <w:snapToGrid w:val="0"/>
              <w:spacing w:before="50" w:after="156" w:afterLines="50"/>
              <w:jc w:val="center"/>
              <w:rPr>
                <w:rFonts w:ascii="宋体" w:hAnsi="宋体"/>
                <w:color w:val="auto"/>
                <w:sz w:val="24"/>
                <w:szCs w:val="20"/>
                <w:highlight w:val="none"/>
              </w:rPr>
            </w:pPr>
          </w:p>
        </w:tc>
        <w:tc>
          <w:tcPr>
            <w:tcW w:w="1578" w:type="dxa"/>
            <w:vAlign w:val="center"/>
          </w:tcPr>
          <w:p>
            <w:pPr>
              <w:snapToGrid w:val="0"/>
              <w:spacing w:before="50" w:after="156" w:afterLines="50"/>
              <w:jc w:val="center"/>
              <w:rPr>
                <w:rFonts w:ascii="宋体" w:hAnsi="宋体"/>
                <w:color w:val="auto"/>
                <w:sz w:val="24"/>
                <w:szCs w:val="20"/>
                <w:highlight w:val="none"/>
              </w:rPr>
            </w:pPr>
          </w:p>
        </w:tc>
        <w:tc>
          <w:tcPr>
            <w:tcW w:w="1886" w:type="dxa"/>
            <w:vAlign w:val="center"/>
          </w:tcPr>
          <w:p>
            <w:pPr>
              <w:snapToGrid w:val="0"/>
              <w:spacing w:before="50" w:after="156" w:afterLines="50"/>
              <w:jc w:val="center"/>
              <w:rPr>
                <w:rFonts w:ascii="宋体" w:hAnsi="宋体"/>
                <w:color w:val="auto"/>
                <w:sz w:val="24"/>
                <w:szCs w:val="20"/>
                <w:highlight w:val="none"/>
              </w:rPr>
            </w:pPr>
          </w:p>
        </w:tc>
        <w:tc>
          <w:tcPr>
            <w:tcW w:w="2047" w:type="dxa"/>
            <w:vAlign w:val="center"/>
          </w:tcPr>
          <w:p>
            <w:pPr>
              <w:snapToGrid w:val="0"/>
              <w:spacing w:before="50" w:after="156" w:afterLines="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pPr>
              <w:snapToGrid w:val="0"/>
              <w:spacing w:before="50" w:after="156" w:afterLines="50"/>
              <w:jc w:val="center"/>
              <w:rPr>
                <w:rFonts w:ascii="宋体" w:hAnsi="宋体"/>
                <w:color w:val="auto"/>
                <w:sz w:val="24"/>
                <w:szCs w:val="20"/>
                <w:highlight w:val="none"/>
              </w:rPr>
            </w:pPr>
          </w:p>
        </w:tc>
        <w:tc>
          <w:tcPr>
            <w:tcW w:w="787" w:type="dxa"/>
            <w:vAlign w:val="center"/>
          </w:tcPr>
          <w:p>
            <w:pPr>
              <w:snapToGrid w:val="0"/>
              <w:spacing w:before="50" w:after="156" w:afterLines="50"/>
              <w:jc w:val="center"/>
              <w:rPr>
                <w:rFonts w:ascii="宋体" w:hAnsi="宋体"/>
                <w:color w:val="auto"/>
                <w:sz w:val="24"/>
                <w:szCs w:val="20"/>
                <w:highlight w:val="none"/>
              </w:rPr>
            </w:pPr>
          </w:p>
        </w:tc>
        <w:tc>
          <w:tcPr>
            <w:tcW w:w="1889" w:type="dxa"/>
            <w:vAlign w:val="center"/>
          </w:tcPr>
          <w:p>
            <w:pPr>
              <w:snapToGrid w:val="0"/>
              <w:spacing w:before="50" w:after="156" w:afterLines="50"/>
              <w:jc w:val="center"/>
              <w:rPr>
                <w:rFonts w:ascii="宋体" w:hAnsi="宋体"/>
                <w:color w:val="auto"/>
                <w:sz w:val="24"/>
                <w:szCs w:val="20"/>
                <w:highlight w:val="none"/>
              </w:rPr>
            </w:pPr>
          </w:p>
        </w:tc>
        <w:tc>
          <w:tcPr>
            <w:tcW w:w="1578" w:type="dxa"/>
            <w:vAlign w:val="center"/>
          </w:tcPr>
          <w:p>
            <w:pPr>
              <w:snapToGrid w:val="0"/>
              <w:spacing w:before="50" w:after="156" w:afterLines="50"/>
              <w:jc w:val="center"/>
              <w:rPr>
                <w:rFonts w:ascii="宋体" w:hAnsi="宋体"/>
                <w:color w:val="auto"/>
                <w:sz w:val="24"/>
                <w:szCs w:val="20"/>
                <w:highlight w:val="none"/>
              </w:rPr>
            </w:pPr>
          </w:p>
        </w:tc>
        <w:tc>
          <w:tcPr>
            <w:tcW w:w="1886" w:type="dxa"/>
            <w:vAlign w:val="center"/>
          </w:tcPr>
          <w:p>
            <w:pPr>
              <w:snapToGrid w:val="0"/>
              <w:spacing w:before="50" w:after="156" w:afterLines="50"/>
              <w:jc w:val="center"/>
              <w:rPr>
                <w:rFonts w:ascii="宋体" w:hAnsi="宋体"/>
                <w:color w:val="auto"/>
                <w:sz w:val="24"/>
                <w:szCs w:val="20"/>
                <w:highlight w:val="none"/>
              </w:rPr>
            </w:pPr>
          </w:p>
        </w:tc>
        <w:tc>
          <w:tcPr>
            <w:tcW w:w="2047" w:type="dxa"/>
            <w:vAlign w:val="center"/>
          </w:tcPr>
          <w:p>
            <w:pPr>
              <w:snapToGrid w:val="0"/>
              <w:spacing w:before="50" w:after="156" w:afterLines="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pPr>
              <w:snapToGrid w:val="0"/>
              <w:spacing w:before="50" w:after="156" w:afterLines="50"/>
              <w:jc w:val="center"/>
              <w:rPr>
                <w:rFonts w:ascii="宋体" w:hAnsi="宋体"/>
                <w:color w:val="auto"/>
                <w:sz w:val="24"/>
                <w:szCs w:val="20"/>
                <w:highlight w:val="none"/>
              </w:rPr>
            </w:pPr>
          </w:p>
        </w:tc>
        <w:tc>
          <w:tcPr>
            <w:tcW w:w="787" w:type="dxa"/>
            <w:vAlign w:val="center"/>
          </w:tcPr>
          <w:p>
            <w:pPr>
              <w:snapToGrid w:val="0"/>
              <w:spacing w:before="50" w:after="156" w:afterLines="50"/>
              <w:jc w:val="center"/>
              <w:rPr>
                <w:rFonts w:ascii="宋体" w:hAnsi="宋体"/>
                <w:color w:val="auto"/>
                <w:sz w:val="24"/>
                <w:szCs w:val="20"/>
                <w:highlight w:val="none"/>
              </w:rPr>
            </w:pPr>
          </w:p>
        </w:tc>
        <w:tc>
          <w:tcPr>
            <w:tcW w:w="1889" w:type="dxa"/>
            <w:vAlign w:val="center"/>
          </w:tcPr>
          <w:p>
            <w:pPr>
              <w:snapToGrid w:val="0"/>
              <w:spacing w:before="50" w:after="156" w:afterLines="50"/>
              <w:jc w:val="center"/>
              <w:rPr>
                <w:rFonts w:ascii="宋体" w:hAnsi="宋体"/>
                <w:color w:val="auto"/>
                <w:sz w:val="24"/>
                <w:szCs w:val="20"/>
                <w:highlight w:val="none"/>
              </w:rPr>
            </w:pPr>
          </w:p>
        </w:tc>
        <w:tc>
          <w:tcPr>
            <w:tcW w:w="1578" w:type="dxa"/>
            <w:vAlign w:val="center"/>
          </w:tcPr>
          <w:p>
            <w:pPr>
              <w:snapToGrid w:val="0"/>
              <w:spacing w:before="50" w:after="156" w:afterLines="50"/>
              <w:jc w:val="center"/>
              <w:rPr>
                <w:rFonts w:ascii="宋体" w:hAnsi="宋体"/>
                <w:color w:val="auto"/>
                <w:sz w:val="24"/>
                <w:szCs w:val="20"/>
                <w:highlight w:val="none"/>
              </w:rPr>
            </w:pPr>
          </w:p>
        </w:tc>
        <w:tc>
          <w:tcPr>
            <w:tcW w:w="1886" w:type="dxa"/>
            <w:vAlign w:val="center"/>
          </w:tcPr>
          <w:p>
            <w:pPr>
              <w:snapToGrid w:val="0"/>
              <w:spacing w:before="50" w:after="156" w:afterLines="50"/>
              <w:jc w:val="center"/>
              <w:rPr>
                <w:rFonts w:ascii="宋体" w:hAnsi="宋体"/>
                <w:color w:val="auto"/>
                <w:sz w:val="24"/>
                <w:szCs w:val="20"/>
                <w:highlight w:val="none"/>
              </w:rPr>
            </w:pPr>
          </w:p>
        </w:tc>
        <w:tc>
          <w:tcPr>
            <w:tcW w:w="2047" w:type="dxa"/>
            <w:vAlign w:val="center"/>
          </w:tcPr>
          <w:p>
            <w:pPr>
              <w:snapToGrid w:val="0"/>
              <w:spacing w:before="50" w:after="156" w:afterLines="50"/>
              <w:jc w:val="center"/>
              <w:rPr>
                <w:rFonts w:ascii="宋体" w:hAnsi="宋体"/>
                <w:color w:val="auto"/>
                <w:sz w:val="24"/>
                <w:szCs w:val="20"/>
                <w:highlight w:val="none"/>
              </w:rPr>
            </w:pPr>
          </w:p>
        </w:tc>
      </w:tr>
    </w:tbl>
    <w:p>
      <w:pPr>
        <w:snapToGrid w:val="0"/>
        <w:spacing w:after="156" w:afterLines="50" w:line="360" w:lineRule="auto"/>
        <w:jc w:val="left"/>
        <w:rPr>
          <w:rFonts w:ascii="宋体" w:hAnsi="宋体"/>
          <w:color w:val="auto"/>
          <w:sz w:val="24"/>
          <w:szCs w:val="20"/>
          <w:highlight w:val="none"/>
        </w:rPr>
      </w:pPr>
    </w:p>
    <w:p>
      <w:pPr>
        <w:snapToGrid w:val="0"/>
        <w:spacing w:after="156" w:afterLines="50" w:line="360" w:lineRule="auto"/>
        <w:jc w:val="left"/>
        <w:rPr>
          <w:rFonts w:ascii="宋体" w:hAnsi="宋体"/>
          <w:color w:val="auto"/>
          <w:sz w:val="24"/>
          <w:szCs w:val="20"/>
          <w:highlight w:val="none"/>
        </w:rPr>
      </w:pPr>
      <w:r>
        <w:rPr>
          <w:rFonts w:hint="eastAsia" w:ascii="宋体" w:hAnsi="宋体"/>
          <w:color w:val="auto"/>
          <w:sz w:val="24"/>
          <w:szCs w:val="20"/>
          <w:highlight w:val="none"/>
        </w:rPr>
        <w:t>注：在填写时，如本表格不适合供应商的实际情况，可参照本表格式自行制表填写。</w:t>
      </w:r>
    </w:p>
    <w:p>
      <w:pPr>
        <w:snapToGrid w:val="0"/>
        <w:spacing w:after="156" w:afterLines="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法定代表人或者其委托代理人</w:t>
      </w:r>
      <w:r>
        <w:rPr>
          <w:rFonts w:hint="eastAsia" w:ascii="宋体" w:hAnsi="宋体"/>
          <w:color w:val="auto"/>
          <w:spacing w:val="20"/>
          <w:sz w:val="24"/>
          <w:highlight w:val="none"/>
        </w:rPr>
        <w:t>签字：</w:t>
      </w:r>
    </w:p>
    <w:p>
      <w:pPr>
        <w:snapToGrid w:val="0"/>
        <w:spacing w:after="156" w:afterLines="50" w:line="360" w:lineRule="auto"/>
        <w:jc w:val="left"/>
        <w:rPr>
          <w:rFonts w:ascii="宋体" w:hAnsi="宋体"/>
          <w:color w:val="auto"/>
          <w:sz w:val="24"/>
          <w:szCs w:val="20"/>
          <w:highlight w:val="none"/>
        </w:rPr>
      </w:pPr>
      <w:r>
        <w:rPr>
          <w:rFonts w:hint="eastAsia" w:ascii="宋体" w:hAnsi="宋体"/>
          <w:color w:val="auto"/>
          <w:spacing w:val="20"/>
          <w:sz w:val="24"/>
          <w:highlight w:val="none"/>
        </w:rPr>
        <w:t>供应商（电子签章）：              日 期：</w:t>
      </w:r>
    </w:p>
    <w:p>
      <w:pPr>
        <w:snapToGrid w:val="0"/>
        <w:spacing w:before="50" w:after="156" w:afterLines="50"/>
        <w:jc w:val="left"/>
        <w:rPr>
          <w:rFonts w:ascii="宋体" w:hAnsi="宋体"/>
          <w:color w:val="auto"/>
          <w:sz w:val="24"/>
          <w:szCs w:val="20"/>
          <w:highlight w:val="none"/>
        </w:rPr>
      </w:pPr>
    </w:p>
    <w:p>
      <w:pPr>
        <w:snapToGrid w:val="0"/>
        <w:spacing w:before="50" w:after="50" w:line="360" w:lineRule="auto"/>
        <w:ind w:right="-817" w:rightChars="-389" w:firstLine="5461" w:firstLineChars="1700"/>
        <w:rPr>
          <w:rFonts w:ascii="仿宋_GB2312" w:hAnsi="仿宋_GB2312" w:eastAsia="仿宋_GB2312" w:cs="仿宋_GB2312"/>
          <w:b/>
          <w:color w:val="auto"/>
          <w:sz w:val="32"/>
          <w:szCs w:val="32"/>
          <w:highlight w:val="none"/>
        </w:rPr>
      </w:pPr>
    </w:p>
    <w:p>
      <w:pPr>
        <w:spacing w:line="300" w:lineRule="auto"/>
        <w:rPr>
          <w:rFonts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30"/>
          <w:szCs w:val="30"/>
          <w:highlight w:val="none"/>
        </w:rPr>
        <w:t>其他文书、文件格式</w:t>
      </w:r>
    </w:p>
    <w:p>
      <w:pPr>
        <w:spacing w:line="300" w:lineRule="auto"/>
        <w:ind w:firstLine="2200" w:firstLineChars="500"/>
        <w:rPr>
          <w:rFonts w:ascii="方正小标宋简体" w:hAnsi="方正小标宋简体" w:eastAsia="方正小标宋简体" w:cs="方正小标宋简体"/>
          <w:color w:val="auto"/>
          <w:sz w:val="44"/>
          <w:szCs w:val="44"/>
          <w:highlight w:val="none"/>
        </w:rPr>
      </w:pPr>
      <w:r>
        <w:rPr>
          <w:rFonts w:ascii="方正小标宋简体" w:hAnsi="方正小标宋简体" w:eastAsia="方正小标宋简体" w:cs="方正小标宋简体"/>
          <w:color w:val="auto"/>
          <w:sz w:val="44"/>
          <w:szCs w:val="44"/>
          <w:highlight w:val="none"/>
        </w:rPr>
        <w:t>中小企业声明函（</w:t>
      </w:r>
      <w:r>
        <w:rPr>
          <w:rFonts w:hint="eastAsia" w:ascii="方正小标宋简体" w:hAnsi="方正小标宋简体" w:eastAsia="方正小标宋简体" w:cs="方正小标宋简体"/>
          <w:color w:val="auto"/>
          <w:sz w:val="44"/>
          <w:szCs w:val="44"/>
          <w:highlight w:val="none"/>
        </w:rPr>
        <w:t>服务</w:t>
      </w:r>
      <w:r>
        <w:rPr>
          <w:rFonts w:ascii="方正小标宋简体" w:hAnsi="方正小标宋简体" w:eastAsia="方正小标宋简体" w:cs="方正小标宋简体"/>
          <w:color w:val="auto"/>
          <w:sz w:val="44"/>
          <w:szCs w:val="44"/>
          <w:highlight w:val="none"/>
        </w:rPr>
        <w:t>）</w:t>
      </w:r>
    </w:p>
    <w:p>
      <w:pPr>
        <w:spacing w:line="360" w:lineRule="auto"/>
        <w:ind w:left="-426" w:right="142" w:firstLine="6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4"/>
          <w:highlight w:val="none"/>
          <w:u w:val="single"/>
        </w:rPr>
        <w:t>（单位名称）</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rPr>
        <w:t>采购活动，提供的服务全部由符合政策要求的中小企业制造。相关企业（含联合体中的中小企业、签订分包意向协议的中小企业）的具体情况如下：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（采购文件中明确的所属行业）</w:t>
      </w:r>
      <w:r>
        <w:rPr>
          <w:rFonts w:hint="eastAsia" w:asciiTheme="minorEastAsia" w:hAnsiTheme="minorEastAsia" w:eastAsiaTheme="minorEastAsia" w:cstheme="minorEastAsia"/>
          <w:color w:val="auto"/>
          <w:sz w:val="24"/>
          <w:highlight w:val="none"/>
        </w:rPr>
        <w:t>行业；制造商为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（中型企业、小型企业、微型企业）</w:t>
      </w:r>
      <w:r>
        <w:rPr>
          <w:rFonts w:hint="eastAsia" w:asciiTheme="minorEastAsia" w:hAnsiTheme="minorEastAsia" w:eastAsiaTheme="minorEastAsia" w:cstheme="minorEastAsia"/>
          <w:color w:val="auto"/>
          <w:sz w:val="24"/>
          <w:highlight w:val="none"/>
        </w:rPr>
        <w:t>；</w:t>
      </w:r>
    </w:p>
    <w:p>
      <w:pPr>
        <w:tabs>
          <w:tab w:val="left" w:pos="1065"/>
          <w:tab w:val="left" w:pos="6477"/>
        </w:tabs>
        <w:spacing w:line="360" w:lineRule="auto"/>
        <w:ind w:left="-426" w:right="-58" w:firstLine="655"/>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（采购文件中明确的所属行业）</w:t>
      </w:r>
      <w:r>
        <w:rPr>
          <w:rFonts w:hint="eastAsia" w:asciiTheme="minorEastAsia" w:hAnsiTheme="minorEastAsia" w:eastAsiaTheme="minorEastAsia" w:cstheme="minorEastAsia"/>
          <w:color w:val="auto"/>
          <w:sz w:val="24"/>
          <w:highlight w:val="none"/>
        </w:rPr>
        <w:t>行业；制造商为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（中型企业、小型企业、微型企业）</w:t>
      </w:r>
      <w:r>
        <w:rPr>
          <w:rFonts w:hint="eastAsia" w:asciiTheme="minorEastAsia" w:hAnsiTheme="minorEastAsia" w:eastAsiaTheme="minorEastAsia" w:cstheme="minorEastAsia"/>
          <w:color w:val="auto"/>
          <w:sz w:val="24"/>
          <w:highlight w:val="none"/>
        </w:rPr>
        <w:t>；</w:t>
      </w:r>
    </w:p>
    <w:p>
      <w:pPr>
        <w:spacing w:line="360" w:lineRule="auto"/>
        <w:ind w:left="142" w:right="142"/>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360" w:lineRule="auto"/>
        <w:ind w:left="-405" w:leftChars="-193" w:right="142" w:firstLine="453" w:firstLineChars="189"/>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pPr>
        <w:spacing w:line="360" w:lineRule="auto"/>
        <w:ind w:left="-426" w:right="142" w:firstLine="567"/>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pPr>
        <w:spacing w:line="360" w:lineRule="auto"/>
        <w:ind w:left="3960" w:right="1808"/>
        <w:contextualSpacing/>
        <w:rPr>
          <w:rFonts w:asciiTheme="minorEastAsia" w:hAnsiTheme="minorEastAsia" w:eastAsiaTheme="minorEastAsia" w:cstheme="minorEastAsia"/>
          <w:color w:val="auto"/>
          <w:sz w:val="24"/>
          <w:highlight w:val="none"/>
        </w:rPr>
      </w:pPr>
    </w:p>
    <w:p>
      <w:pPr>
        <w:autoSpaceDE w:val="0"/>
        <w:autoSpaceDN w:val="0"/>
        <w:spacing w:line="360"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pPr>
        <w:autoSpaceDE w:val="0"/>
        <w:autoSpaceDN w:val="0"/>
        <w:spacing w:line="360" w:lineRule="auto"/>
        <w:ind w:firstLine="6480" w:firstLineChars="27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pPr>
        <w:spacing w:line="360" w:lineRule="auto"/>
        <w:ind w:left="3960" w:right="1808"/>
        <w:contextualSpacing/>
        <w:rPr>
          <w:rFonts w:ascii="Calibri" w:hAnsi="Calibri"/>
          <w:color w:val="auto"/>
          <w:highlight w:val="none"/>
        </w:rPr>
      </w:pPr>
    </w:p>
    <w:p>
      <w:pPr>
        <w:spacing w:line="360" w:lineRule="auto"/>
        <w:contextualSpacing/>
        <w:jc w:val="left"/>
        <w:rPr>
          <w:rFonts w:ascii="仿宋_GB2312" w:hAnsi="仿宋" w:eastAsia="仿宋_GB2312" w:cs="仿宋_GB2312"/>
          <w:color w:val="auto"/>
          <w:kern w:val="0"/>
          <w:sz w:val="24"/>
          <w:highlight w:val="none"/>
        </w:rPr>
      </w:pPr>
      <w:r>
        <w:rPr>
          <w:rFonts w:hint="eastAsia" w:ascii="Calibri" w:hAnsi="Calibri"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left"/>
        <w:rPr>
          <w:rFonts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宋体" w:hAnsi="宋体"/>
          <w:color w:val="auto"/>
          <w:sz w:val="24"/>
          <w:highlight w:val="none"/>
        </w:rPr>
        <w:t xml:space="preserve">                </w:t>
      </w:r>
      <w:r>
        <w:rPr>
          <w:rFonts w:hint="eastAsia" w:ascii="方正小标宋简体" w:hAnsi="方正小标宋简体" w:eastAsia="方正小标宋简体" w:cs="方正小标宋简体"/>
          <w:color w:val="auto"/>
          <w:sz w:val="44"/>
          <w:szCs w:val="44"/>
          <w:highlight w:val="none"/>
        </w:rPr>
        <w:t>残疾人福利性单位声明函</w:t>
      </w:r>
    </w:p>
    <w:p>
      <w:pPr>
        <w:spacing w:line="520" w:lineRule="exact"/>
        <w:rPr>
          <w:rFonts w:ascii="仿宋_GB2312" w:hAnsi="仿宋_GB2312" w:eastAsia="仿宋_GB2312" w:cs="仿宋_GB2312"/>
          <w:color w:val="auto"/>
          <w:sz w:val="32"/>
          <w:szCs w:val="32"/>
          <w:highlight w:val="none"/>
        </w:rPr>
      </w:pP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项目采购活动由本单位提供服务。</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ind w:firstLine="2400" w:firstLineChars="1000"/>
        <w:rPr>
          <w:rFonts w:ascii="宋体" w:hAnsi="宋体" w:cs="仿宋_GB2312"/>
          <w:color w:val="auto"/>
          <w:sz w:val="24"/>
          <w:highlight w:val="none"/>
        </w:rPr>
      </w:pPr>
      <w:r>
        <w:rPr>
          <w:rFonts w:hint="eastAsia" w:ascii="宋体" w:hAnsi="宋体" w:cs="仿宋_GB2312"/>
          <w:color w:val="auto"/>
          <w:sz w:val="24"/>
          <w:highlight w:val="none"/>
        </w:rPr>
        <w:t>供应商名称（电子签章）：</w:t>
      </w:r>
    </w:p>
    <w:p>
      <w:pPr>
        <w:spacing w:line="360" w:lineRule="auto"/>
        <w:ind w:firstLine="3600" w:firstLineChars="1500"/>
        <w:rPr>
          <w:rFonts w:ascii="宋体" w:hAnsi="宋体" w:cs="仿宋_GB2312"/>
          <w:color w:val="auto"/>
          <w:sz w:val="24"/>
          <w:highlight w:val="none"/>
        </w:rPr>
      </w:pPr>
      <w:r>
        <w:rPr>
          <w:rFonts w:hint="eastAsia" w:ascii="宋体" w:hAnsi="宋体" w:cs="仿宋_GB2312"/>
          <w:color w:val="auto"/>
          <w:sz w:val="24"/>
          <w:highlight w:val="none"/>
        </w:rPr>
        <w:t>日  期：</w:t>
      </w:r>
      <w:r>
        <w:rPr>
          <w:rFonts w:hint="eastAsia" w:cs="仿宋_GB2312"/>
          <w:color w:val="auto"/>
          <w:sz w:val="24"/>
          <w:highlight w:val="none"/>
        </w:rPr>
        <w:t xml:space="preserve">     年   月   日</w:t>
      </w: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pPr>
        <w:spacing w:line="360" w:lineRule="auto"/>
        <w:jc w:val="center"/>
        <w:rPr>
          <w:rFonts w:ascii="宋体" w:hAnsi="宋体"/>
          <w:b/>
          <w:bCs/>
          <w:color w:val="auto"/>
          <w:sz w:val="32"/>
          <w:szCs w:val="32"/>
          <w:highlight w:val="none"/>
        </w:rPr>
      </w:pPr>
      <w:r>
        <w:rPr>
          <w:rFonts w:ascii="宋体" w:hAnsi="宋体" w:cs="仿宋_GB2312"/>
          <w:color w:val="auto"/>
          <w:sz w:val="24"/>
          <w:highlight w:val="none"/>
        </w:rPr>
        <w:br w:type="page"/>
      </w:r>
      <w:r>
        <w:rPr>
          <w:rFonts w:hint="eastAsia" w:ascii="宋体" w:hAnsi="宋体"/>
          <w:b/>
          <w:bCs/>
          <w:color w:val="auto"/>
          <w:sz w:val="32"/>
          <w:szCs w:val="32"/>
          <w:highlight w:val="none"/>
        </w:rPr>
        <w:t>质疑函（格式）</w:t>
      </w:r>
    </w:p>
    <w:p>
      <w:pPr>
        <w:pStyle w:val="21"/>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pPr>
        <w:pStyle w:val="21"/>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质疑供应商：</w:t>
      </w:r>
    </w:p>
    <w:p>
      <w:pPr>
        <w:pStyle w:val="21"/>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pPr>
        <w:pStyle w:val="21"/>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Ansi="宋体"/>
          <w:bCs/>
          <w:color w:val="auto"/>
          <w:sz w:val="24"/>
          <w:szCs w:val="24"/>
          <w:highlight w:val="none"/>
        </w:rPr>
        <w:t>联系电话</w:t>
      </w:r>
      <w:r>
        <w:rPr>
          <w:rFonts w:hint="eastAsia" w:hAnsi="宋体"/>
          <w:bCs/>
          <w:color w:val="auto"/>
          <w:sz w:val="24"/>
          <w:szCs w:val="24"/>
          <w:highlight w:val="none"/>
        </w:rPr>
        <w:t>：</w:t>
      </w:r>
    </w:p>
    <w:p>
      <w:pPr>
        <w:pStyle w:val="21"/>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授权代表：</w:t>
      </w:r>
    </w:p>
    <w:p>
      <w:pPr>
        <w:pStyle w:val="21"/>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p>
    <w:p>
      <w:pPr>
        <w:pStyle w:val="21"/>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pPr>
        <w:pStyle w:val="21"/>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二、质疑项目基本情况：</w:t>
      </w:r>
    </w:p>
    <w:p>
      <w:pPr>
        <w:pStyle w:val="21"/>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pPr>
        <w:pStyle w:val="21"/>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pPr>
        <w:pStyle w:val="21"/>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采购人名称：</w:t>
      </w:r>
    </w:p>
    <w:p>
      <w:pPr>
        <w:pStyle w:val="21"/>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w:t>
      </w:r>
    </w:p>
    <w:p>
      <w:pPr>
        <w:pStyle w:val="21"/>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□采购文件   采购文件获取日期：</w:t>
      </w:r>
    </w:p>
    <w:p>
      <w:pPr>
        <w:pStyle w:val="21"/>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 xml:space="preserve">□采购过程   </w:t>
      </w:r>
    </w:p>
    <w:p>
      <w:pPr>
        <w:pStyle w:val="21"/>
        <w:spacing w:line="360" w:lineRule="auto"/>
        <w:ind w:left="25" w:leftChars="12" w:firstLine="352" w:firstLineChars="147"/>
        <w:rPr>
          <w:rFonts w:hAnsi="宋体"/>
          <w:bCs/>
          <w:color w:val="auto"/>
          <w:sz w:val="24"/>
          <w:szCs w:val="24"/>
          <w:highlight w:val="none"/>
          <w:u w:val="single"/>
        </w:rPr>
      </w:pPr>
      <w:r>
        <w:rPr>
          <w:rFonts w:hint="eastAsia" w:hAnsi="宋体"/>
          <w:color w:val="auto"/>
          <w:sz w:val="24"/>
          <w:szCs w:val="24"/>
          <w:highlight w:val="none"/>
        </w:rPr>
        <w:t xml:space="preserve">□成交结果   </w:t>
      </w:r>
    </w:p>
    <w:p>
      <w:pPr>
        <w:pStyle w:val="21"/>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三、质疑事项具体内容</w:t>
      </w:r>
    </w:p>
    <w:p>
      <w:pPr>
        <w:pStyle w:val="21"/>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质疑事项1：</w:t>
      </w:r>
    </w:p>
    <w:p>
      <w:pPr>
        <w:pStyle w:val="21"/>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事实依据：</w:t>
      </w:r>
    </w:p>
    <w:p>
      <w:pPr>
        <w:pStyle w:val="21"/>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法律依据：</w:t>
      </w:r>
    </w:p>
    <w:p>
      <w:pPr>
        <w:pStyle w:val="21"/>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质疑事项2</w:t>
      </w:r>
    </w:p>
    <w:p>
      <w:pPr>
        <w:pStyle w:val="21"/>
        <w:spacing w:line="360" w:lineRule="auto"/>
        <w:ind w:left="25" w:leftChars="12" w:firstLine="472" w:firstLineChars="197"/>
        <w:rPr>
          <w:rFonts w:hAnsi="宋体"/>
          <w:color w:val="auto"/>
          <w:sz w:val="24"/>
          <w:szCs w:val="24"/>
          <w:highlight w:val="none"/>
        </w:rPr>
      </w:pPr>
      <w:r>
        <w:rPr>
          <w:rFonts w:hAnsi="宋体"/>
          <w:color w:val="auto"/>
          <w:sz w:val="24"/>
          <w:szCs w:val="24"/>
          <w:highlight w:val="none"/>
        </w:rPr>
        <w:t>……</w:t>
      </w:r>
    </w:p>
    <w:p>
      <w:pPr>
        <w:pStyle w:val="21"/>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四、与质疑事项相关的质疑请求：</w:t>
      </w:r>
    </w:p>
    <w:p>
      <w:pPr>
        <w:pStyle w:val="21"/>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p>
    <w:p>
      <w:pPr>
        <w:pStyle w:val="21"/>
        <w:spacing w:line="360" w:lineRule="auto"/>
        <w:ind w:left="25" w:leftChars="12" w:firstLine="352" w:firstLineChars="147"/>
        <w:rPr>
          <w:rFonts w:hAnsi="宋体"/>
          <w:color w:val="auto"/>
          <w:sz w:val="24"/>
          <w:szCs w:val="24"/>
          <w:highlight w:val="none"/>
        </w:rPr>
      </w:pPr>
    </w:p>
    <w:p>
      <w:pPr>
        <w:pStyle w:val="21"/>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pPr>
        <w:pStyle w:val="21"/>
        <w:spacing w:line="360" w:lineRule="auto"/>
        <w:ind w:left="25" w:leftChars="12" w:firstLine="352" w:firstLineChars="147"/>
        <w:rPr>
          <w:rFonts w:hAnsi="宋体"/>
          <w:color w:val="auto"/>
          <w:sz w:val="24"/>
          <w:szCs w:val="24"/>
          <w:highlight w:val="none"/>
        </w:rPr>
      </w:pPr>
    </w:p>
    <w:p>
      <w:pPr>
        <w:pStyle w:val="21"/>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pPr>
        <w:pStyle w:val="21"/>
        <w:snapToGrid w:val="0"/>
        <w:spacing w:line="360" w:lineRule="auto"/>
        <w:rPr>
          <w:rFonts w:hAnsi="宋体"/>
          <w:b/>
          <w:color w:val="auto"/>
          <w:sz w:val="24"/>
          <w:szCs w:val="24"/>
          <w:highlight w:val="none"/>
        </w:rPr>
      </w:pPr>
    </w:p>
    <w:p>
      <w:pPr>
        <w:pStyle w:val="21"/>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pPr>
        <w:pStyle w:val="21"/>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pPr>
        <w:pStyle w:val="21"/>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1"/>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pPr>
        <w:pStyle w:val="21"/>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4.质疑函的质疑请求应与质疑事项相关。</w:t>
      </w:r>
    </w:p>
    <w:p>
      <w:pPr>
        <w:pStyle w:val="21"/>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pPr>
        <w:pStyle w:val="21"/>
        <w:snapToGrid w:val="0"/>
        <w:rPr>
          <w:b/>
          <w:color w:val="auto"/>
          <w:sz w:val="24"/>
          <w:szCs w:val="24"/>
          <w:highlight w:val="none"/>
        </w:rPr>
      </w:pPr>
    </w:p>
    <w:p>
      <w:pPr>
        <w:spacing w:line="460" w:lineRule="exact"/>
        <w:jc w:val="center"/>
        <w:rPr>
          <w:rFonts w:eastAsia="隶书"/>
          <w:color w:val="auto"/>
          <w:sz w:val="44"/>
          <w:highlight w:val="none"/>
        </w:rPr>
      </w:pPr>
      <w:r>
        <w:rPr>
          <w:rFonts w:eastAsia="隶书"/>
          <w:color w:val="auto"/>
          <w:sz w:val="44"/>
          <w:highlight w:val="none"/>
        </w:rPr>
        <w:br w:type="page"/>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投诉书（格式）</w:t>
      </w:r>
    </w:p>
    <w:p>
      <w:pPr>
        <w:pStyle w:val="21"/>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pPr>
        <w:pStyle w:val="21"/>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p>
    <w:p>
      <w:pPr>
        <w:pStyle w:val="21"/>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pPr>
        <w:pStyle w:val="21"/>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p>
    <w:p>
      <w:pPr>
        <w:pStyle w:val="21"/>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p>
    <w:p>
      <w:pPr>
        <w:pStyle w:val="21"/>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Ansi="宋体"/>
          <w:bCs/>
          <w:color w:val="auto"/>
          <w:sz w:val="24"/>
          <w:szCs w:val="24"/>
          <w:highlight w:val="none"/>
        </w:rPr>
        <w:t>联系</w:t>
      </w:r>
      <w:r>
        <w:rPr>
          <w:rFonts w:hint="eastAsia" w:hAnsi="宋体"/>
          <w:bCs/>
          <w:color w:val="auto"/>
          <w:sz w:val="24"/>
          <w:szCs w:val="24"/>
          <w:highlight w:val="none"/>
        </w:rPr>
        <w:t>电话：</w:t>
      </w:r>
    </w:p>
    <w:p>
      <w:pPr>
        <w:pStyle w:val="21"/>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pPr>
        <w:pStyle w:val="21"/>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pPr>
        <w:pStyle w:val="21"/>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地址：</w:t>
      </w:r>
      <w:r>
        <w:rPr>
          <w:rFonts w:hAnsi="宋体"/>
          <w:bCs/>
          <w:color w:val="auto"/>
          <w:sz w:val="24"/>
          <w:szCs w:val="24"/>
          <w:highlight w:val="none"/>
        </w:rPr>
        <w:t>邮编</w:t>
      </w:r>
      <w:r>
        <w:rPr>
          <w:rFonts w:hint="eastAsia" w:hAnsi="宋体"/>
          <w:bCs/>
          <w:color w:val="auto"/>
          <w:sz w:val="24"/>
          <w:szCs w:val="24"/>
          <w:highlight w:val="none"/>
        </w:rPr>
        <w:t>：</w:t>
      </w:r>
    </w:p>
    <w:p>
      <w:pPr>
        <w:pStyle w:val="21"/>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pPr>
        <w:pStyle w:val="21"/>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pPr>
        <w:pStyle w:val="21"/>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pPr>
        <w:pStyle w:val="21"/>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p>
    <w:p>
      <w:pPr>
        <w:pStyle w:val="21"/>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pPr>
        <w:pStyle w:val="21"/>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pPr>
        <w:pStyle w:val="21"/>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pPr>
        <w:pStyle w:val="21"/>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p>
    <w:p>
      <w:pPr>
        <w:pStyle w:val="21"/>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p>
    <w:p>
      <w:pPr>
        <w:pStyle w:val="21"/>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p>
    <w:p>
      <w:pPr>
        <w:pStyle w:val="21"/>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p>
    <w:p>
      <w:pPr>
        <w:pStyle w:val="21"/>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竞争性磋商文件公告：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pPr>
        <w:pStyle w:val="21"/>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pPr>
        <w:pStyle w:val="21"/>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pPr>
        <w:pStyle w:val="21"/>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投诉人于年月日，向提出质疑，质疑事项为：</w:t>
      </w:r>
    </w:p>
    <w:p>
      <w:pPr>
        <w:pStyle w:val="21"/>
        <w:spacing w:line="360" w:lineRule="auto"/>
        <w:ind w:firstLine="241"/>
        <w:rPr>
          <w:rFonts w:hAnsi="宋体"/>
          <w:bCs/>
          <w:color w:val="auto"/>
          <w:sz w:val="24"/>
          <w:szCs w:val="24"/>
          <w:highlight w:val="none"/>
          <w:u w:val="single"/>
        </w:rPr>
      </w:pPr>
    </w:p>
    <w:p>
      <w:pPr>
        <w:pStyle w:val="21"/>
        <w:spacing w:line="360" w:lineRule="auto"/>
        <w:ind w:firstLine="241"/>
        <w:rPr>
          <w:rFonts w:hAnsi="宋体"/>
          <w:bCs/>
          <w:color w:val="auto"/>
          <w:sz w:val="24"/>
          <w:szCs w:val="24"/>
          <w:highlight w:val="none"/>
          <w:u w:val="single"/>
        </w:rPr>
      </w:pPr>
    </w:p>
    <w:p>
      <w:pPr>
        <w:pStyle w:val="21"/>
        <w:spacing w:line="360" w:lineRule="auto"/>
        <w:ind w:firstLine="241"/>
        <w:rPr>
          <w:rFonts w:hAnsi="宋体"/>
          <w:color w:val="auto"/>
          <w:sz w:val="24"/>
          <w:szCs w:val="24"/>
          <w:highlight w:val="none"/>
        </w:rPr>
      </w:pPr>
      <w:r>
        <w:rPr>
          <w:rFonts w:hint="eastAsia" w:hAnsi="宋体"/>
          <w:bCs/>
          <w:color w:val="auto"/>
          <w:sz w:val="24"/>
          <w:szCs w:val="24"/>
          <w:highlight w:val="none"/>
          <w:u w:val="single"/>
        </w:rPr>
        <w:t>采购人/采购代理机构</w:t>
      </w:r>
      <w:r>
        <w:rPr>
          <w:rFonts w:hint="eastAsia" w:hAnsi="宋体"/>
          <w:bCs/>
          <w:color w:val="auto"/>
          <w:sz w:val="24"/>
          <w:szCs w:val="24"/>
          <w:highlight w:val="none"/>
        </w:rPr>
        <w:t>于</w:t>
      </w:r>
      <w:r>
        <w:rPr>
          <w:rFonts w:hint="eastAsia" w:hAnsi="宋体"/>
          <w:color w:val="auto"/>
          <w:sz w:val="24"/>
          <w:szCs w:val="24"/>
          <w:highlight w:val="none"/>
        </w:rPr>
        <w:t>年月日，</w:t>
      </w:r>
      <w:r>
        <w:rPr>
          <w:rFonts w:hint="eastAsia" w:hAnsi="宋体"/>
          <w:bCs/>
          <w:color w:val="auto"/>
          <w:sz w:val="24"/>
          <w:szCs w:val="24"/>
          <w:highlight w:val="none"/>
        </w:rPr>
        <w:t xml:space="preserve">就质疑事项作出了答复/没有在法定期限内作出答复。                                                                                             </w:t>
      </w:r>
    </w:p>
    <w:p>
      <w:pPr>
        <w:pStyle w:val="21"/>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pPr>
        <w:pStyle w:val="21"/>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p>
    <w:p>
      <w:pPr>
        <w:pStyle w:val="21"/>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p>
    <w:p>
      <w:pPr>
        <w:pStyle w:val="21"/>
        <w:spacing w:line="360" w:lineRule="auto"/>
        <w:ind w:left="25" w:leftChars="12" w:firstLine="472" w:firstLineChars="197"/>
        <w:rPr>
          <w:rFonts w:hAnsi="宋体"/>
          <w:color w:val="auto"/>
          <w:sz w:val="24"/>
          <w:szCs w:val="24"/>
          <w:highlight w:val="none"/>
        </w:rPr>
      </w:pPr>
    </w:p>
    <w:p>
      <w:pPr>
        <w:pStyle w:val="21"/>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p>
    <w:p>
      <w:pPr>
        <w:pStyle w:val="21"/>
        <w:spacing w:line="360" w:lineRule="auto"/>
        <w:ind w:left="25" w:leftChars="12" w:firstLine="352" w:firstLineChars="147"/>
        <w:rPr>
          <w:rFonts w:hAnsi="宋体"/>
          <w:bCs/>
          <w:color w:val="auto"/>
          <w:sz w:val="24"/>
          <w:szCs w:val="24"/>
          <w:highlight w:val="none"/>
          <w:u w:val="single"/>
        </w:rPr>
      </w:pPr>
    </w:p>
    <w:p>
      <w:pPr>
        <w:pStyle w:val="21"/>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p>
    <w:p>
      <w:pPr>
        <w:pStyle w:val="21"/>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pPr>
        <w:pStyle w:val="21"/>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pPr>
        <w:pStyle w:val="21"/>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p>
    <w:p>
      <w:pPr>
        <w:pStyle w:val="21"/>
        <w:spacing w:line="360" w:lineRule="auto"/>
        <w:ind w:left="25" w:leftChars="12" w:firstLine="352" w:firstLineChars="147"/>
        <w:rPr>
          <w:rFonts w:hAnsi="宋体"/>
          <w:color w:val="auto"/>
          <w:sz w:val="24"/>
          <w:szCs w:val="24"/>
          <w:highlight w:val="none"/>
        </w:rPr>
      </w:pPr>
    </w:p>
    <w:p>
      <w:pPr>
        <w:pStyle w:val="21"/>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pPr>
        <w:pStyle w:val="21"/>
        <w:spacing w:line="360" w:lineRule="auto"/>
        <w:ind w:left="25" w:leftChars="12" w:firstLine="352" w:firstLineChars="147"/>
        <w:rPr>
          <w:rFonts w:hAnsi="宋体"/>
          <w:color w:val="auto"/>
          <w:sz w:val="24"/>
          <w:szCs w:val="24"/>
          <w:highlight w:val="none"/>
        </w:rPr>
      </w:pPr>
    </w:p>
    <w:p>
      <w:pPr>
        <w:pStyle w:val="21"/>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pPr>
        <w:pStyle w:val="21"/>
        <w:spacing w:line="360" w:lineRule="auto"/>
        <w:ind w:left="25" w:leftChars="12" w:firstLine="472" w:firstLineChars="197"/>
        <w:rPr>
          <w:rFonts w:hAnsi="宋体"/>
          <w:color w:val="auto"/>
          <w:sz w:val="24"/>
          <w:szCs w:val="24"/>
          <w:highlight w:val="none"/>
        </w:rPr>
      </w:pPr>
    </w:p>
    <w:p>
      <w:pPr>
        <w:pStyle w:val="21"/>
        <w:snapToGrid w:val="0"/>
        <w:spacing w:line="360" w:lineRule="auto"/>
        <w:rPr>
          <w:rFonts w:hAnsi="宋体"/>
          <w:b/>
          <w:color w:val="auto"/>
          <w:sz w:val="24"/>
          <w:szCs w:val="24"/>
          <w:highlight w:val="none"/>
        </w:rPr>
      </w:pPr>
    </w:p>
    <w:p>
      <w:pPr>
        <w:pStyle w:val="21"/>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pPr>
        <w:pStyle w:val="21"/>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pPr>
        <w:pStyle w:val="21"/>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1"/>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pPr>
        <w:pStyle w:val="21"/>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pPr>
        <w:pStyle w:val="21"/>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pPr>
        <w:pStyle w:val="21"/>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pPr>
        <w:pStyle w:val="4"/>
        <w:jc w:val="center"/>
        <w:rPr>
          <w:color w:val="auto"/>
          <w:highlight w:val="none"/>
        </w:rPr>
      </w:pPr>
      <w:r>
        <w:rPr>
          <w:rFonts w:hint="eastAsia" w:hAnsi="宋体"/>
          <w:color w:val="auto"/>
          <w:sz w:val="24"/>
          <w:highlight w:val="none"/>
        </w:rPr>
        <w:br w:type="page"/>
      </w:r>
      <w:bookmarkStart w:id="196" w:name="_Toc6901"/>
      <w:bookmarkStart w:id="197" w:name="_Toc73550046"/>
      <w:r>
        <w:rPr>
          <w:rFonts w:hint="eastAsia"/>
          <w:color w:val="auto"/>
          <w:highlight w:val="none"/>
        </w:rPr>
        <w:t>第六章   拟定的合同文本</w:t>
      </w:r>
      <w:bookmarkEnd w:id="107"/>
      <w:bookmarkEnd w:id="196"/>
      <w:bookmarkEnd w:id="197"/>
    </w:p>
    <w:p>
      <w:pPr>
        <w:spacing w:before="156" w:beforeLines="50" w:after="156" w:afterLines="50" w:line="360" w:lineRule="auto"/>
        <w:jc w:val="center"/>
        <w:outlineLvl w:val="1"/>
        <w:rPr>
          <w:rFonts w:ascii="黑体" w:hAnsi="宋体" w:eastAsia="黑体"/>
          <w:color w:val="auto"/>
          <w:sz w:val="32"/>
          <w:szCs w:val="32"/>
          <w:highlight w:val="none"/>
        </w:rPr>
      </w:pPr>
      <w:bookmarkStart w:id="198" w:name="_Toc38903735"/>
      <w:bookmarkStart w:id="199" w:name="_Toc89866132"/>
      <w:bookmarkStart w:id="200" w:name="_Toc4777"/>
      <w:bookmarkStart w:id="201" w:name="_Toc6647"/>
      <w:r>
        <w:rPr>
          <w:rFonts w:hint="eastAsia" w:ascii="黑体" w:hAnsi="宋体" w:eastAsia="黑体"/>
          <w:color w:val="auto"/>
          <w:sz w:val="32"/>
          <w:szCs w:val="32"/>
          <w:highlight w:val="none"/>
        </w:rPr>
        <w:t>第一节  通用合同条款</w:t>
      </w:r>
      <w:bookmarkEnd w:id="198"/>
      <w:bookmarkEnd w:id="199"/>
      <w:bookmarkEnd w:id="200"/>
      <w:bookmarkEnd w:id="201"/>
    </w:p>
    <w:p>
      <w:pPr>
        <w:pStyle w:val="112"/>
        <w:spacing w:before="480" w:beforeLines="0" w:after="240" w:afterLines="0"/>
        <w:outlineLvl w:val="1"/>
        <w:rPr>
          <w:rFonts w:ascii="宋体" w:hAnsi="宋体" w:eastAsia="宋体" w:cs="宋体"/>
          <w:b/>
          <w:color w:val="auto"/>
          <w:highlight w:val="none"/>
        </w:rPr>
      </w:pPr>
      <w:bookmarkStart w:id="202" w:name="_Toc446919468"/>
      <w:bookmarkStart w:id="203" w:name="_Toc1433"/>
      <w:bookmarkStart w:id="204" w:name="_Toc335721986"/>
      <w:bookmarkStart w:id="205" w:name="_Toc335660845"/>
      <w:bookmarkStart w:id="206" w:name="_Toc89866133"/>
      <w:bookmarkStart w:id="207" w:name="_Toc346269488"/>
      <w:bookmarkStart w:id="208" w:name="_Toc346269068"/>
      <w:bookmarkStart w:id="209" w:name="_Toc326241901"/>
      <w:bookmarkStart w:id="210" w:name="_Toc4811"/>
      <w:r>
        <w:rPr>
          <w:rFonts w:hint="eastAsia" w:ascii="宋体" w:hAnsi="宋体" w:eastAsia="宋体" w:cs="宋体"/>
          <w:b/>
          <w:color w:val="auto"/>
          <w:highlight w:val="none"/>
        </w:rPr>
        <w:t>1. 定义和解释</w:t>
      </w:r>
      <w:bookmarkEnd w:id="202"/>
      <w:bookmarkEnd w:id="203"/>
      <w:bookmarkEnd w:id="204"/>
      <w:bookmarkEnd w:id="205"/>
      <w:bookmarkEnd w:id="206"/>
      <w:bookmarkEnd w:id="207"/>
      <w:bookmarkEnd w:id="208"/>
      <w:bookmarkEnd w:id="209"/>
      <w:bookmarkEnd w:id="210"/>
    </w:p>
    <w:p>
      <w:pPr>
        <w:spacing w:line="460" w:lineRule="exact"/>
        <w:rPr>
          <w:rFonts w:ascii="宋体" w:hAnsi="宋体" w:cs="宋体"/>
          <w:color w:val="auto"/>
          <w:highlight w:val="none"/>
        </w:rPr>
      </w:pPr>
      <w:r>
        <w:rPr>
          <w:rFonts w:hint="eastAsia" w:ascii="宋体" w:hAnsi="宋体" w:cs="宋体"/>
          <w:color w:val="auto"/>
          <w:highlight w:val="none"/>
        </w:rPr>
        <w:t>通用合同条款、专用合同条款中的下列词语应具有本条所赋予的含义。</w:t>
      </w:r>
    </w:p>
    <w:p>
      <w:pPr>
        <w:spacing w:line="460" w:lineRule="exact"/>
        <w:ind w:firstLine="420" w:firstLineChars="200"/>
        <w:rPr>
          <w:rFonts w:ascii="宋体" w:hAnsi="宋体" w:cs="宋体"/>
          <w:color w:val="auto"/>
          <w:highlight w:val="none"/>
        </w:rPr>
      </w:pPr>
      <w:bookmarkStart w:id="211" w:name="_Toc335660846"/>
      <w:r>
        <w:rPr>
          <w:rFonts w:hint="eastAsia" w:ascii="宋体" w:hAnsi="宋体" w:cs="宋体"/>
          <w:color w:val="auto"/>
          <w:highlight w:val="none"/>
        </w:rPr>
        <w:t>1.1 本项目：指专用合同条款中指明进行的勘察、可行性研究报告编制（含各专题研究）招标的项目。</w:t>
      </w:r>
      <w:bookmarkEnd w:id="211"/>
    </w:p>
    <w:p>
      <w:pPr>
        <w:spacing w:line="460" w:lineRule="exact"/>
        <w:ind w:firstLine="420" w:firstLineChars="200"/>
        <w:rPr>
          <w:rFonts w:ascii="宋体" w:hAnsi="宋体" w:cs="宋体"/>
          <w:color w:val="auto"/>
          <w:highlight w:val="none"/>
        </w:rPr>
      </w:pPr>
      <w:bookmarkStart w:id="212" w:name="_Toc335660847"/>
      <w:r>
        <w:rPr>
          <w:rFonts w:hint="eastAsia" w:ascii="宋体" w:hAnsi="宋体" w:cs="宋体"/>
          <w:color w:val="auto"/>
          <w:highlight w:val="none"/>
        </w:rPr>
        <w:t>1.2 发包人：即合同协议书中的甲方，指专用合同条款中指明的执行建设项目投资计划的单位，或其指定的负责管理建设项目的代表机构，以及取得该当事人资格的合法继承人。本合同的发包人在合同专用条款中指明。</w:t>
      </w:r>
      <w:bookmarkEnd w:id="212"/>
    </w:p>
    <w:p>
      <w:pPr>
        <w:spacing w:line="460" w:lineRule="exact"/>
        <w:ind w:firstLine="420" w:firstLineChars="200"/>
        <w:rPr>
          <w:rFonts w:ascii="宋体" w:hAnsi="宋体" w:cs="宋体"/>
          <w:color w:val="auto"/>
          <w:highlight w:val="none"/>
        </w:rPr>
      </w:pPr>
      <w:bookmarkStart w:id="213" w:name="_Toc335660848"/>
      <w:r>
        <w:rPr>
          <w:rFonts w:hint="eastAsia" w:ascii="宋体" w:hAnsi="宋体" w:cs="宋体"/>
          <w:color w:val="auto"/>
          <w:highlight w:val="none"/>
        </w:rPr>
        <w:t>1.3 承包人：即合同协议书中的乙方，指其投标文件已为发包人所接受，并与发包人签订了合同协议书承担本项目勘察、可研报告（含各专题研究）的编制服务机构，以及取得该当事机构资格的合法继承人。若投标人为联合体，承包人包括联合体所有成员单位。</w:t>
      </w:r>
      <w:bookmarkEnd w:id="213"/>
    </w:p>
    <w:p>
      <w:pPr>
        <w:spacing w:line="460" w:lineRule="exact"/>
        <w:ind w:firstLine="420" w:firstLineChars="200"/>
        <w:rPr>
          <w:rFonts w:ascii="宋体" w:hAnsi="宋体" w:cs="宋体"/>
          <w:color w:val="auto"/>
          <w:highlight w:val="none"/>
        </w:rPr>
      </w:pPr>
      <w:bookmarkStart w:id="214" w:name="_Toc335660849"/>
      <w:r>
        <w:rPr>
          <w:rFonts w:hint="eastAsia" w:ascii="宋体" w:hAnsi="宋体" w:cs="宋体"/>
          <w:color w:val="auto"/>
          <w:highlight w:val="none"/>
        </w:rPr>
        <w:t>1.4 分包人：指从承包人处分包合同中某一部分项目，并与其签订分包合同的单位。</w:t>
      </w:r>
      <w:bookmarkEnd w:id="214"/>
    </w:p>
    <w:p>
      <w:pPr>
        <w:spacing w:line="460" w:lineRule="exact"/>
        <w:ind w:firstLine="420" w:firstLineChars="200"/>
        <w:rPr>
          <w:rFonts w:ascii="宋体" w:hAnsi="宋体" w:cs="宋体"/>
          <w:color w:val="auto"/>
          <w:highlight w:val="none"/>
        </w:rPr>
      </w:pPr>
      <w:bookmarkStart w:id="215" w:name="_Toc335660851"/>
      <w:r>
        <w:rPr>
          <w:rFonts w:hint="eastAsia" w:ascii="宋体" w:hAnsi="宋体" w:cs="宋体"/>
          <w:color w:val="auto"/>
          <w:highlight w:val="none"/>
        </w:rPr>
        <w:t>1.5 咨询单位：指受发包人委托对本项目勘察报告或可研报告（含各专题研究）进行审查或提供咨询意见的咨询机构。</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1.6项目负责人：指由承包人书面委任的负责本项目勘察、 可研编制（含各专题研究）的组织管理者。</w:t>
      </w:r>
      <w:bookmarkEnd w:id="215"/>
    </w:p>
    <w:p>
      <w:pPr>
        <w:spacing w:line="460" w:lineRule="exact"/>
        <w:ind w:firstLine="420" w:firstLineChars="200"/>
        <w:rPr>
          <w:rFonts w:ascii="宋体" w:hAnsi="宋体" w:cs="宋体"/>
          <w:color w:val="auto"/>
          <w:highlight w:val="none"/>
        </w:rPr>
      </w:pPr>
      <w:bookmarkStart w:id="216" w:name="_Toc335660852"/>
      <w:r>
        <w:rPr>
          <w:rFonts w:hint="eastAsia" w:ascii="宋体" w:hAnsi="宋体" w:cs="宋体"/>
          <w:color w:val="auto"/>
          <w:highlight w:val="none"/>
        </w:rPr>
        <w:t>1.7 分项负责人：指由承包人批准的、并经发包人认可的各专业负责人。</w:t>
      </w:r>
      <w:bookmarkEnd w:id="216"/>
    </w:p>
    <w:p>
      <w:pPr>
        <w:spacing w:line="460" w:lineRule="exact"/>
        <w:ind w:firstLine="420" w:firstLineChars="200"/>
        <w:rPr>
          <w:rFonts w:ascii="宋体" w:hAnsi="宋体" w:cs="宋体"/>
          <w:color w:val="auto"/>
          <w:highlight w:val="none"/>
        </w:rPr>
      </w:pPr>
      <w:bookmarkStart w:id="217" w:name="_Toc335660853"/>
      <w:r>
        <w:rPr>
          <w:rFonts w:hint="eastAsia" w:ascii="宋体" w:hAnsi="宋体" w:cs="宋体"/>
          <w:color w:val="auto"/>
          <w:highlight w:val="none"/>
        </w:rPr>
        <w:t>1.8 可行性研究合同：指合同协议书、中标通知书、投标函、专用合同条款、通用合同条款、项目需求及要求、报价清单，以及构成合同组成部分的其他文件。</w:t>
      </w:r>
      <w:bookmarkEnd w:id="217"/>
    </w:p>
    <w:p>
      <w:pPr>
        <w:spacing w:line="460" w:lineRule="exact"/>
        <w:ind w:firstLine="420" w:firstLineChars="200"/>
        <w:rPr>
          <w:rFonts w:ascii="宋体" w:hAnsi="宋体" w:cs="宋体"/>
          <w:color w:val="auto"/>
          <w:highlight w:val="none"/>
        </w:rPr>
      </w:pPr>
      <w:bookmarkStart w:id="218" w:name="_Toc335660854"/>
      <w:r>
        <w:rPr>
          <w:rFonts w:hint="eastAsia" w:ascii="宋体" w:hAnsi="宋体" w:cs="宋体"/>
          <w:color w:val="auto"/>
          <w:highlight w:val="none"/>
        </w:rPr>
        <w:t>1.9项目需求及要求:是勘察、可研编制（含各专题研究）工作的依据，指国家和交通运输部相关标准以及发包人有关勘察、可研编制（含各专题研究）的其他书面要求。</w:t>
      </w:r>
      <w:bookmarkEnd w:id="218"/>
    </w:p>
    <w:p>
      <w:pPr>
        <w:spacing w:line="460" w:lineRule="exact"/>
        <w:ind w:firstLine="420" w:firstLineChars="200"/>
        <w:rPr>
          <w:rFonts w:ascii="宋体" w:hAnsi="宋体" w:cs="宋体"/>
          <w:color w:val="auto"/>
          <w:highlight w:val="none"/>
        </w:rPr>
      </w:pPr>
      <w:bookmarkStart w:id="219" w:name="_Toc335660855"/>
      <w:r>
        <w:rPr>
          <w:rFonts w:hint="eastAsia" w:ascii="宋体" w:hAnsi="宋体" w:cs="宋体"/>
          <w:color w:val="auto"/>
          <w:highlight w:val="none"/>
        </w:rPr>
        <w:t>1.10 勘察:指承包人按合同的规定进行的有关工程测量、岩土工程与工程地质勘察、必要的科学研究试验等工作。本合同包括的具体勘察内容在专用合同条款中约定。</w:t>
      </w:r>
      <w:bookmarkEnd w:id="219"/>
    </w:p>
    <w:p>
      <w:pPr>
        <w:spacing w:line="460" w:lineRule="exact"/>
        <w:ind w:firstLine="420" w:firstLineChars="200"/>
        <w:rPr>
          <w:rFonts w:ascii="宋体" w:hAnsi="宋体" w:cs="宋体"/>
          <w:color w:val="auto"/>
          <w:highlight w:val="none"/>
        </w:rPr>
      </w:pPr>
      <w:bookmarkStart w:id="220" w:name="_Toc335660856"/>
      <w:r>
        <w:rPr>
          <w:rFonts w:hint="eastAsia" w:ascii="宋体" w:hAnsi="宋体" w:cs="宋体"/>
          <w:color w:val="auto"/>
          <w:highlight w:val="none"/>
        </w:rPr>
        <w:t>1.11 勘察报告：指承包人按国家和交通运输部相关标准提交的勘察成果。本合同包括的具体勘察报告内容在专用合同条款中约定。</w:t>
      </w:r>
      <w:bookmarkEnd w:id="220"/>
    </w:p>
    <w:p>
      <w:pPr>
        <w:spacing w:line="460" w:lineRule="exact"/>
        <w:ind w:firstLine="420" w:firstLineChars="200"/>
        <w:rPr>
          <w:rFonts w:ascii="宋体" w:hAnsi="宋体" w:cs="宋体"/>
          <w:color w:val="auto"/>
          <w:highlight w:val="none"/>
        </w:rPr>
      </w:pPr>
      <w:bookmarkStart w:id="221" w:name="_Toc335660857"/>
      <w:r>
        <w:rPr>
          <w:rFonts w:hint="eastAsia" w:ascii="宋体" w:hAnsi="宋体" w:cs="宋体"/>
          <w:color w:val="auto"/>
          <w:highlight w:val="none"/>
        </w:rPr>
        <w:t>1.12 可研编制（含各专题研究）成果文件:指承包人按国家和交通运输部相关标准提交的可研编制（含各专题研究）成果，本合同包括的具体可研（含各专题研究）编制成果文件在专用合同条款中约定。</w:t>
      </w:r>
      <w:bookmarkEnd w:id="221"/>
    </w:p>
    <w:p>
      <w:pPr>
        <w:spacing w:line="460" w:lineRule="exact"/>
        <w:ind w:firstLine="420" w:firstLineChars="200"/>
        <w:rPr>
          <w:rFonts w:ascii="宋体" w:hAnsi="宋体" w:cs="宋体"/>
          <w:color w:val="auto"/>
          <w:highlight w:val="none"/>
        </w:rPr>
      </w:pPr>
      <w:bookmarkStart w:id="222" w:name="_Toc335660858"/>
      <w:r>
        <w:rPr>
          <w:rFonts w:hint="eastAsia" w:ascii="宋体" w:hAnsi="宋体" w:cs="宋体"/>
          <w:color w:val="auto"/>
          <w:highlight w:val="none"/>
        </w:rPr>
        <w:t>1.13 合同价格：指承包人按合同约定完成所要求的勘察、可研编制（含各专题研究）工作，发包人应付给承包人报酬的金额。</w:t>
      </w:r>
      <w:bookmarkEnd w:id="222"/>
    </w:p>
    <w:p>
      <w:pPr>
        <w:spacing w:line="460" w:lineRule="exact"/>
        <w:ind w:firstLine="420" w:firstLineChars="200"/>
        <w:rPr>
          <w:rFonts w:ascii="宋体" w:hAnsi="宋体" w:cs="宋体"/>
          <w:color w:val="auto"/>
          <w:highlight w:val="none"/>
        </w:rPr>
      </w:pPr>
      <w:bookmarkStart w:id="223" w:name="_Toc335660859"/>
      <w:r>
        <w:rPr>
          <w:rFonts w:hint="eastAsia" w:ascii="宋体" w:hAnsi="宋体" w:cs="宋体"/>
          <w:color w:val="auto"/>
          <w:highlight w:val="none"/>
        </w:rPr>
        <w:t>1.14 暂列金额：指暂时未定的，包含在合同中，并在报价中以此名称表明的金额，用于进行本项目可能发生的额外勘察、可研编制（含各专题研究）工作或作为不可预见费用。</w:t>
      </w:r>
      <w:bookmarkEnd w:id="223"/>
    </w:p>
    <w:p>
      <w:pPr>
        <w:spacing w:line="460" w:lineRule="exact"/>
        <w:ind w:firstLine="420" w:firstLineChars="200"/>
        <w:rPr>
          <w:rFonts w:ascii="宋体" w:hAnsi="宋体" w:cs="宋体"/>
          <w:color w:val="auto"/>
          <w:highlight w:val="none"/>
        </w:rPr>
      </w:pPr>
      <w:bookmarkStart w:id="224" w:name="_Toc335660860"/>
      <w:r>
        <w:rPr>
          <w:rFonts w:hint="eastAsia" w:ascii="宋体" w:hAnsi="宋体" w:cs="宋体"/>
          <w:color w:val="auto"/>
          <w:highlight w:val="none"/>
        </w:rPr>
        <w:t>1.15勘察、 可研编制（含各专题研究）工作质量事故：指由于承包人的责任过失使工程在施工过程中和设计使用年限内遭受损毁或产生不可弥补的本质缺陷，而需要对工程或设施、设备进行更新、补强、返工修复的事故。</w:t>
      </w:r>
      <w:bookmarkEnd w:id="224"/>
    </w:p>
    <w:p>
      <w:pPr>
        <w:spacing w:line="460" w:lineRule="exact"/>
        <w:ind w:firstLine="420" w:firstLineChars="200"/>
        <w:rPr>
          <w:rFonts w:ascii="宋体" w:hAnsi="宋体" w:cs="宋体"/>
          <w:color w:val="auto"/>
          <w:highlight w:val="none"/>
        </w:rPr>
      </w:pPr>
      <w:bookmarkStart w:id="225" w:name="_Toc335660861"/>
      <w:r>
        <w:rPr>
          <w:rFonts w:hint="eastAsia" w:ascii="宋体" w:hAnsi="宋体" w:cs="宋体"/>
          <w:color w:val="auto"/>
          <w:highlight w:val="none"/>
        </w:rPr>
        <w:t>1.16 不可抗力：指发包人与承包人不能预见、或不能采取措施避免并不能克服的自然灾害或社会政治因素等。</w:t>
      </w:r>
      <w:bookmarkEnd w:id="225"/>
    </w:p>
    <w:p>
      <w:pPr>
        <w:spacing w:line="460" w:lineRule="exact"/>
        <w:ind w:firstLine="420" w:firstLineChars="200"/>
        <w:rPr>
          <w:rFonts w:ascii="宋体" w:hAnsi="宋体" w:cs="宋体"/>
          <w:color w:val="auto"/>
          <w:highlight w:val="none"/>
        </w:rPr>
      </w:pPr>
      <w:bookmarkStart w:id="226" w:name="_Toc335660862"/>
      <w:r>
        <w:rPr>
          <w:rFonts w:hint="eastAsia" w:ascii="宋体" w:hAnsi="宋体" w:cs="宋体"/>
          <w:color w:val="auto"/>
          <w:highlight w:val="none"/>
        </w:rPr>
        <w:t>1.17 天或日：除特别指明外，指日历天。</w:t>
      </w:r>
      <w:bookmarkEnd w:id="226"/>
    </w:p>
    <w:p>
      <w:pPr>
        <w:pStyle w:val="112"/>
        <w:spacing w:before="480" w:beforeLines="0" w:after="240" w:afterLines="0"/>
        <w:outlineLvl w:val="1"/>
        <w:rPr>
          <w:rFonts w:ascii="宋体" w:hAnsi="宋体" w:eastAsia="宋体" w:cs="宋体"/>
          <w:b/>
          <w:color w:val="auto"/>
          <w:highlight w:val="none"/>
        </w:rPr>
      </w:pPr>
      <w:bookmarkStart w:id="227" w:name="_Toc326241902"/>
      <w:bookmarkStart w:id="228" w:name="_Toc89866134"/>
      <w:bookmarkStart w:id="229" w:name="_Toc5738"/>
      <w:bookmarkStart w:id="230" w:name="_Toc346269489"/>
      <w:bookmarkStart w:id="231" w:name="_Toc335660863"/>
      <w:bookmarkStart w:id="232" w:name="_Toc446919469"/>
      <w:bookmarkStart w:id="233" w:name="_Toc3366"/>
      <w:bookmarkStart w:id="234" w:name="_Toc346269069"/>
      <w:bookmarkStart w:id="235" w:name="_Toc335721987"/>
      <w:r>
        <w:rPr>
          <w:rFonts w:hint="eastAsia" w:ascii="宋体" w:hAnsi="宋体" w:eastAsia="宋体" w:cs="宋体"/>
          <w:b/>
          <w:color w:val="auto"/>
          <w:highlight w:val="none"/>
        </w:rPr>
        <w:t>2. 发包人的责任</w:t>
      </w:r>
      <w:bookmarkEnd w:id="227"/>
      <w:r>
        <w:rPr>
          <w:rFonts w:hint="eastAsia" w:ascii="宋体" w:hAnsi="宋体" w:eastAsia="宋体" w:cs="宋体"/>
          <w:b/>
          <w:color w:val="auto"/>
          <w:highlight w:val="none"/>
        </w:rPr>
        <w:t>与义务</w:t>
      </w:r>
      <w:bookmarkEnd w:id="228"/>
      <w:bookmarkEnd w:id="229"/>
      <w:bookmarkEnd w:id="230"/>
      <w:bookmarkEnd w:id="231"/>
      <w:bookmarkEnd w:id="232"/>
      <w:bookmarkEnd w:id="233"/>
      <w:bookmarkEnd w:id="234"/>
      <w:bookmarkEnd w:id="235"/>
    </w:p>
    <w:p>
      <w:pPr>
        <w:spacing w:line="460" w:lineRule="exact"/>
        <w:ind w:firstLine="420" w:firstLineChars="200"/>
        <w:rPr>
          <w:rFonts w:ascii="宋体" w:hAnsi="宋体" w:cs="宋体"/>
          <w:color w:val="auto"/>
          <w:highlight w:val="none"/>
        </w:rPr>
      </w:pPr>
      <w:bookmarkStart w:id="236" w:name="_Toc335660864"/>
      <w:r>
        <w:rPr>
          <w:rFonts w:hint="eastAsia" w:ascii="宋体" w:hAnsi="宋体" w:cs="宋体"/>
          <w:color w:val="auto"/>
          <w:highlight w:val="none"/>
        </w:rPr>
        <w:t>2.1 发包人应根据本项目的具体情况和技术要求，确定合理的勘察、 可研编制（含各专题研究）工作量及合理的工作服务周期，并按本合同有关规定及时支付合同价款。</w:t>
      </w:r>
      <w:bookmarkEnd w:id="236"/>
      <w:r>
        <w:rPr>
          <w:rFonts w:hint="eastAsia" w:ascii="宋体" w:hAnsi="宋体" w:cs="宋体"/>
          <w:color w:val="auto"/>
          <w:highlight w:val="none"/>
        </w:rPr>
        <w:t>发包人不应随意压缩合同规定的成果文件交付时间。</w:t>
      </w:r>
    </w:p>
    <w:p>
      <w:pPr>
        <w:spacing w:line="460" w:lineRule="exact"/>
        <w:ind w:firstLine="420" w:firstLineChars="200"/>
        <w:rPr>
          <w:rFonts w:ascii="宋体" w:hAnsi="宋体" w:cs="宋体"/>
          <w:color w:val="auto"/>
          <w:highlight w:val="none"/>
        </w:rPr>
      </w:pPr>
      <w:bookmarkStart w:id="237" w:name="_Toc335660865"/>
      <w:r>
        <w:rPr>
          <w:rFonts w:hint="eastAsia" w:ascii="宋体" w:hAnsi="宋体" w:cs="宋体"/>
          <w:color w:val="auto"/>
          <w:highlight w:val="none"/>
        </w:rPr>
        <w:t>2.2 法律规定和（或）合同约定由发包人负责办理的工程建设项目必须履行的各类审批、核准或备案手续，发包人应当按时办理，承包人应给予必要的协助。</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2.3 法律规定和（或）合同约定由承包人负责办理的勘察所需的证件和批件，发包人应给予必要的协助。</w:t>
      </w:r>
    </w:p>
    <w:bookmarkEnd w:id="237"/>
    <w:p>
      <w:pPr>
        <w:spacing w:line="460" w:lineRule="exact"/>
        <w:ind w:firstLine="420" w:firstLineChars="200"/>
        <w:rPr>
          <w:rFonts w:ascii="宋体" w:hAnsi="宋体" w:cs="宋体"/>
          <w:color w:val="auto"/>
          <w:highlight w:val="none"/>
        </w:rPr>
      </w:pPr>
      <w:bookmarkStart w:id="238" w:name="_Toc335660867"/>
      <w:r>
        <w:rPr>
          <w:rFonts w:hint="eastAsia" w:ascii="宋体" w:hAnsi="宋体" w:cs="宋体"/>
          <w:color w:val="auto"/>
          <w:highlight w:val="none"/>
        </w:rPr>
        <w:t>2.4 发包人负责组织专家或委托咨询单位对勘察成果、可研编制（含各专题研究）成果文件和为了满足勘察、可研编制（含各专题研究）需要而进行的各种研究试验成果进行审查，并负责成果文件的报审工作。</w:t>
      </w:r>
      <w:bookmarkEnd w:id="238"/>
    </w:p>
    <w:p>
      <w:pPr>
        <w:spacing w:line="460" w:lineRule="exact"/>
        <w:ind w:firstLine="420" w:firstLineChars="200"/>
        <w:rPr>
          <w:rFonts w:ascii="宋体" w:hAnsi="宋体" w:cs="宋体"/>
          <w:color w:val="auto"/>
          <w:highlight w:val="none"/>
        </w:rPr>
      </w:pPr>
      <w:bookmarkStart w:id="239" w:name="_Toc335660868"/>
      <w:r>
        <w:rPr>
          <w:rFonts w:hint="eastAsia" w:ascii="宋体" w:hAnsi="宋体" w:cs="宋体"/>
          <w:color w:val="auto"/>
          <w:highlight w:val="none"/>
        </w:rPr>
        <w:t>2.5 除合同另有规定外，发包人应保护承包人的投标函、可研编制（含各专题研究）方案、计算软件和专利技术。未经承包人同意，发包人对承包人交付的勘察、 可研编制（含各专题研究）资料及文件不得擅自修改、复制或向第三人转让或用于本合同以外的项目。</w:t>
      </w:r>
      <w:bookmarkEnd w:id="239"/>
    </w:p>
    <w:p>
      <w:pPr>
        <w:spacing w:line="460" w:lineRule="exact"/>
        <w:ind w:firstLine="420" w:firstLineChars="200"/>
        <w:rPr>
          <w:rFonts w:ascii="宋体" w:hAnsi="宋体" w:cs="宋体"/>
          <w:color w:val="auto"/>
          <w:highlight w:val="none"/>
        </w:rPr>
      </w:pPr>
      <w:bookmarkStart w:id="240" w:name="_Toc335660869"/>
      <w:r>
        <w:rPr>
          <w:rFonts w:hint="eastAsia" w:ascii="宋体" w:hAnsi="宋体" w:cs="宋体"/>
          <w:color w:val="auto"/>
          <w:highlight w:val="none"/>
        </w:rPr>
        <w:t>2.6 发包人不应对承包人提出不符合国家有关法律、法规和工程建设强制性标准的有关要求。</w:t>
      </w:r>
    </w:p>
    <w:bookmarkEnd w:id="240"/>
    <w:p>
      <w:pPr>
        <w:spacing w:line="460" w:lineRule="exact"/>
        <w:ind w:firstLine="420" w:firstLineChars="200"/>
        <w:rPr>
          <w:rFonts w:ascii="宋体" w:hAnsi="宋体" w:cs="宋体"/>
          <w:color w:val="auto"/>
          <w:highlight w:val="none"/>
        </w:rPr>
      </w:pPr>
      <w:bookmarkStart w:id="241" w:name="_Toc335660870"/>
      <w:r>
        <w:rPr>
          <w:rFonts w:hint="eastAsia" w:ascii="宋体" w:hAnsi="宋体" w:cs="宋体"/>
          <w:color w:val="auto"/>
          <w:highlight w:val="none"/>
        </w:rPr>
        <w:t>2.7 由于发包人原因造成本项目出现重大变更导致承包人返工时，发包人应按有关合同条款调整合同价格。</w:t>
      </w:r>
      <w:bookmarkEnd w:id="241"/>
    </w:p>
    <w:p>
      <w:pPr>
        <w:spacing w:line="460" w:lineRule="exact"/>
        <w:ind w:firstLine="420" w:firstLineChars="200"/>
        <w:rPr>
          <w:rFonts w:ascii="宋体" w:hAnsi="宋体" w:cs="宋体"/>
          <w:color w:val="auto"/>
          <w:highlight w:val="none"/>
        </w:rPr>
      </w:pPr>
      <w:bookmarkStart w:id="242" w:name="_Toc335660871"/>
      <w:r>
        <w:rPr>
          <w:rFonts w:hint="eastAsia" w:ascii="宋体" w:hAnsi="宋体" w:cs="宋体"/>
          <w:color w:val="auto"/>
          <w:highlight w:val="none"/>
        </w:rPr>
        <w:t>2.8 发包人应履行专用合同条款约定的其他责任</w:t>
      </w:r>
      <w:bookmarkEnd w:id="242"/>
      <w:r>
        <w:rPr>
          <w:rFonts w:hint="eastAsia" w:ascii="宋体" w:hAnsi="宋体" w:cs="宋体"/>
          <w:color w:val="auto"/>
          <w:highlight w:val="none"/>
        </w:rPr>
        <w:t>。</w:t>
      </w:r>
    </w:p>
    <w:p>
      <w:pPr>
        <w:pStyle w:val="112"/>
        <w:spacing w:before="480" w:beforeLines="0" w:after="240" w:afterLines="0"/>
        <w:outlineLvl w:val="1"/>
        <w:rPr>
          <w:rFonts w:ascii="宋体" w:hAnsi="宋体" w:eastAsia="宋体" w:cs="宋体"/>
          <w:b/>
          <w:color w:val="auto"/>
          <w:highlight w:val="none"/>
        </w:rPr>
      </w:pPr>
      <w:bookmarkStart w:id="243" w:name="_Toc326241903"/>
      <w:bookmarkStart w:id="244" w:name="_Toc89866135"/>
      <w:bookmarkStart w:id="245" w:name="_Toc4518"/>
      <w:bookmarkStart w:id="246" w:name="_Toc9258"/>
      <w:bookmarkStart w:id="247" w:name="_Toc446919470"/>
      <w:bookmarkStart w:id="248" w:name="_Toc335660872"/>
      <w:bookmarkStart w:id="249" w:name="_Toc335721988"/>
      <w:bookmarkStart w:id="250" w:name="_Toc346269070"/>
      <w:bookmarkStart w:id="251" w:name="_Toc346269490"/>
      <w:r>
        <w:rPr>
          <w:rFonts w:hint="eastAsia" w:ascii="宋体" w:hAnsi="宋体" w:eastAsia="宋体" w:cs="宋体"/>
          <w:b/>
          <w:color w:val="auto"/>
          <w:highlight w:val="none"/>
        </w:rPr>
        <w:t>3. 承包人的责任</w:t>
      </w:r>
      <w:bookmarkEnd w:id="243"/>
      <w:r>
        <w:rPr>
          <w:rFonts w:hint="eastAsia" w:ascii="宋体" w:hAnsi="宋体" w:eastAsia="宋体" w:cs="宋体"/>
          <w:b/>
          <w:color w:val="auto"/>
          <w:highlight w:val="none"/>
        </w:rPr>
        <w:t>与义务</w:t>
      </w:r>
      <w:bookmarkEnd w:id="244"/>
      <w:bookmarkEnd w:id="245"/>
      <w:bookmarkEnd w:id="246"/>
      <w:bookmarkEnd w:id="247"/>
      <w:bookmarkEnd w:id="248"/>
      <w:bookmarkEnd w:id="249"/>
      <w:bookmarkEnd w:id="250"/>
      <w:bookmarkEnd w:id="251"/>
    </w:p>
    <w:p>
      <w:pPr>
        <w:spacing w:line="460" w:lineRule="exact"/>
        <w:ind w:firstLine="420" w:firstLineChars="200"/>
        <w:rPr>
          <w:rFonts w:ascii="宋体" w:hAnsi="宋体" w:cs="宋体"/>
          <w:color w:val="auto"/>
          <w:highlight w:val="none"/>
        </w:rPr>
      </w:pPr>
      <w:bookmarkStart w:id="252" w:name="_Toc335660873"/>
      <w:r>
        <w:rPr>
          <w:rFonts w:hint="eastAsia" w:ascii="宋体" w:hAnsi="宋体" w:cs="宋体"/>
          <w:color w:val="auto"/>
          <w:highlight w:val="none"/>
        </w:rPr>
        <w:t>3.1 承包人的一般义务</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3.1.1 承包人在履行合同过程中应遵守法律，并保证发包人免于承担因承包人违反法律而引起的任何责任。</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3.1.2 承包人应按有关法律规定纳税，应缴纳的税金（含增值税）包括在合同价格之中。</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3.1.3 承包人应按合同约定以及发包人要求，根据本项目的具体情况，按国家和交通运输部相关标准的有关要求，完成合同约定的全部工作，并对工作中的任何缺陷进行整改、完善和修补，使其满足合同约定的目的。承包人应按合同约定提供勘察文件、可行性研究（含各专题）文件及相关服务等。</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3.1.4 承包人应按法律、规范标准和发包人要求，采取各项有效措施，确保勘察作业操作规范、安全、文明和环保，在风险性较大的环境中作业时应当编制安全防护方案并制定应急预案，防止因勘察作业造成的人身伤害和财产损失。</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3.1.5 承包人在进行合同约定的各项工作时，不得侵害发包人与他人使用公用道路、水源、市政管网等公共设施的权利，避免对邻近的公共设施产生干扰，保证勘探场地的周边设施、建构筑物、地下管线、架空线和其他物体的安全运行。承包人占用或使用他人的施工场地，影响他人作业或生活的，应承担相应责任。</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3.2 承包人应做好可行性研究（含专题）和勘察设计的质量管理工作，建立健全可行性研究（含专题）和勘察设计质量保证体系，加强可行性研究（含专题）和勘察设计全过程的质量控制，建立完整的可行性研究（含专题）编制、复核、审核、会签和批准制度，明确各阶段的责任人，并对本项目的可行性研究（含专题）和勘察质量负责。</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3.3 承包人在进行可行性研究（含专题）和勘察时，应采取相应的安全、保卫和环境保护措施，因承包人未能采取有效措施而发生的与可行性研究（含专题）和勘察活动有关的人身伤亡、罚款、索赔、损失赔偿、诉讼费用及其他一切责任应由承包人负责。</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3.4 承包人在可行性研究（含专题）和勘察过程中，提供的成果文件不应侵犯任何第三方的专利权、版权、及其他知识产权，否则由此而引起索赔或诉讼，承包人应承担全部责任，并保障发包人免于承担由此造成的一切损害和损失。</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3.5 承包人提交的成果文件必须接受发包人委托的咨询审查单位及发包人上级主管部门的审查，并按照审查意见修改完善。</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3.6 人员管理</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承包人应对其项目负责人和其他人员进行有效管理。发包人要求撤换不能胜任本职工作、行为不端或玩忽职守的项目负责人和其他人员的，承包人应予以撤换。</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3.6.1 项目负责人</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3.6.1.1 承包人应按合同协议书的约定指派项目负责人，并在约定的期限内到职。承包人更换项目负责人应事先征得发包人同意，并应在更换14天前将拟更换的项目负责人的姓名和详细资料提交发包人。项目负责人2天内不能履行职责的，应事先征得发包人同意，并委派代表代行其职责。</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3.6.1.2 项目负责人应按合同约定以及发包人要求，负责组织合同工作的实施。在情况紧急且无法与发包人取得联系时，可采取保证工程和人员生命财产安全的紧急措施，并在采取措施后24小时内向发包人提交书面报告。</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3.6.1.3 承包人为履行合同发出的一切函件均应盖有承包人单位章，并由承包人的项目负责人签字确认。</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3.6.1.4 按照专用合同条款约定，项目负责人可以授权其下属人员履行其某项职责，但事先应将这些人员的姓名和授权范围书面通知发包人。</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3.6.2 其他人员</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3.6.2.1 承包人应在合同签订之日起7天内，向发包人提交项目机构以及人员安排的报告，其内容应包括项目机构设置、主要勘察、研究、承包人员和作业人员的名单及资格条件。主要人员应相对稳定，更换主要人员的，应取得发包人的同意,并向发包人提交继任人员的资格、管理经验等资料。项目负责人的更换，应按照本章第3.6.1项规定执行。</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3.6.2.2 除专用合同条款另有约定外，主要人员包括项目负责人、专业负责人、审核人、审定人等；其他人员包括各专业的承包人员、管理人员等。</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3.6.2.3 承包人应保证其主要人员（含分包人）在合同期限内的任何时候，都能按时参加发包人组织的工作会议。</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3.6.2.4 国家规定应当持证上岗的工作人员均应持有相应的资格证明，发包人有权随时检查。发包人认为有必要时，可以进行现场考核</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3.6.3 承包人应派驻经验丰富的设计代表做好施工现场服务，并负责解决施工过程中出现的设计问题。</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3.7 承包人不得将本合同规定的可行性研究（含专题）和勘察任务转包，不得将工程主体、关键性工作分包给第三方，如有分包计划，须经发包人批准。</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3.8 合同价款应专款专用。发包人按合同约定支付给承包人的各项价款，应专用于合同研究、勘察和设计工作。</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 承包人应履行专用合同条款约定的其他责任。</w:t>
      </w:r>
    </w:p>
    <w:bookmarkEnd w:id="252"/>
    <w:p>
      <w:pPr>
        <w:pStyle w:val="112"/>
        <w:spacing w:before="480" w:beforeLines="0" w:after="240" w:afterLines="0"/>
        <w:outlineLvl w:val="1"/>
        <w:rPr>
          <w:rFonts w:ascii="宋体" w:hAnsi="宋体" w:eastAsia="宋体" w:cs="宋体"/>
          <w:b/>
          <w:color w:val="auto"/>
          <w:highlight w:val="none"/>
        </w:rPr>
      </w:pPr>
      <w:bookmarkStart w:id="253" w:name="_Toc89866136"/>
      <w:bookmarkStart w:id="254" w:name="_Toc335721989"/>
      <w:bookmarkStart w:id="255" w:name="_Toc446919471"/>
      <w:bookmarkStart w:id="256" w:name="_Toc18500"/>
      <w:bookmarkStart w:id="257" w:name="_Toc346269491"/>
      <w:bookmarkStart w:id="258" w:name="_Toc346269071"/>
      <w:bookmarkStart w:id="259" w:name="_Toc326241904"/>
      <w:bookmarkStart w:id="260" w:name="_Toc335660882"/>
      <w:bookmarkStart w:id="261" w:name="_Toc19808"/>
      <w:r>
        <w:rPr>
          <w:rFonts w:hint="eastAsia" w:ascii="宋体" w:hAnsi="宋体" w:eastAsia="宋体" w:cs="宋体"/>
          <w:b/>
          <w:color w:val="auto"/>
          <w:highlight w:val="none"/>
        </w:rPr>
        <w:t>4. 勘察、 可研编制（含各专题研究）周期及提交成果</w:t>
      </w:r>
      <w:bookmarkEnd w:id="253"/>
      <w:bookmarkEnd w:id="254"/>
      <w:bookmarkEnd w:id="255"/>
      <w:bookmarkEnd w:id="256"/>
      <w:bookmarkEnd w:id="257"/>
      <w:bookmarkEnd w:id="258"/>
      <w:bookmarkEnd w:id="259"/>
      <w:bookmarkEnd w:id="260"/>
      <w:bookmarkEnd w:id="261"/>
    </w:p>
    <w:p>
      <w:pPr>
        <w:spacing w:line="460" w:lineRule="exact"/>
        <w:ind w:firstLine="420" w:firstLineChars="200"/>
        <w:rPr>
          <w:rFonts w:ascii="宋体" w:hAnsi="宋体" w:cs="宋体"/>
          <w:color w:val="auto"/>
          <w:highlight w:val="none"/>
        </w:rPr>
      </w:pPr>
      <w:bookmarkStart w:id="262" w:name="_Toc335660883"/>
      <w:r>
        <w:rPr>
          <w:rFonts w:hint="eastAsia" w:ascii="宋体" w:hAnsi="宋体" w:cs="宋体"/>
          <w:color w:val="auto"/>
          <w:highlight w:val="none"/>
        </w:rPr>
        <w:t>4.1 承包人应根据合同约定分批、分阶段提供所需勘察、 可研编制（含各专题研究）文件。本项目服务范围、勘察、 可研编制（含各专题研究）内容与要求、主要技术标准、勘察、 可研编制（含各专题研究）周期及需提交的勘察、 可研编制（含各专题研究）成果在专用合同条款中约定。</w:t>
      </w:r>
      <w:bookmarkEnd w:id="262"/>
    </w:p>
    <w:p>
      <w:pPr>
        <w:pStyle w:val="112"/>
        <w:spacing w:before="480" w:beforeLines="0" w:after="240" w:afterLines="0"/>
        <w:outlineLvl w:val="1"/>
        <w:rPr>
          <w:rFonts w:ascii="宋体" w:hAnsi="宋体" w:eastAsia="宋体" w:cs="宋体"/>
          <w:b/>
          <w:color w:val="auto"/>
          <w:highlight w:val="none"/>
        </w:rPr>
      </w:pPr>
      <w:bookmarkStart w:id="263" w:name="_Toc346269072"/>
      <w:bookmarkStart w:id="264" w:name="_Toc11887"/>
      <w:bookmarkStart w:id="265" w:name="_Toc89866137"/>
      <w:bookmarkStart w:id="266" w:name="_Toc346269492"/>
      <w:bookmarkStart w:id="267" w:name="_Toc326241905"/>
      <w:bookmarkStart w:id="268" w:name="_Toc335721990"/>
      <w:bookmarkStart w:id="269" w:name="_Toc335660884"/>
      <w:bookmarkStart w:id="270" w:name="_Toc446919472"/>
      <w:bookmarkStart w:id="271" w:name="_Toc28242"/>
      <w:r>
        <w:rPr>
          <w:rFonts w:hint="eastAsia" w:ascii="宋体" w:hAnsi="宋体" w:eastAsia="宋体" w:cs="宋体"/>
          <w:b/>
          <w:color w:val="auto"/>
          <w:highlight w:val="none"/>
        </w:rPr>
        <w:t>5. 违约与赔偿</w:t>
      </w:r>
      <w:bookmarkEnd w:id="263"/>
      <w:bookmarkEnd w:id="264"/>
      <w:bookmarkEnd w:id="265"/>
      <w:bookmarkEnd w:id="266"/>
      <w:bookmarkEnd w:id="267"/>
      <w:bookmarkEnd w:id="268"/>
      <w:bookmarkEnd w:id="269"/>
      <w:bookmarkEnd w:id="270"/>
      <w:bookmarkEnd w:id="271"/>
    </w:p>
    <w:p>
      <w:pPr>
        <w:spacing w:line="460" w:lineRule="exact"/>
        <w:ind w:firstLine="420" w:firstLineChars="200"/>
        <w:rPr>
          <w:rFonts w:ascii="宋体" w:hAnsi="宋体" w:cs="宋体"/>
          <w:color w:val="auto"/>
          <w:highlight w:val="none"/>
        </w:rPr>
      </w:pPr>
      <w:bookmarkStart w:id="272" w:name="_Toc335660029"/>
      <w:bookmarkStart w:id="273" w:name="_Toc335721991"/>
      <w:bookmarkStart w:id="274" w:name="_Toc335660885"/>
      <w:bookmarkStart w:id="275" w:name="_Toc335721539"/>
      <w:bookmarkStart w:id="276" w:name="_Toc335660442"/>
      <w:bookmarkStart w:id="277" w:name="_Toc330218117"/>
      <w:bookmarkStart w:id="278" w:name="_Toc330218682"/>
      <w:bookmarkStart w:id="279" w:name="_Toc357066655"/>
      <w:bookmarkStart w:id="280" w:name="_Toc446919473"/>
      <w:r>
        <w:rPr>
          <w:rFonts w:hint="eastAsia" w:ascii="宋体" w:hAnsi="宋体" w:cs="宋体"/>
          <w:color w:val="auto"/>
          <w:highlight w:val="none"/>
        </w:rPr>
        <w:t>5.1 发包人的违约</w:t>
      </w:r>
      <w:bookmarkEnd w:id="272"/>
      <w:bookmarkEnd w:id="273"/>
      <w:bookmarkEnd w:id="274"/>
      <w:bookmarkEnd w:id="275"/>
      <w:bookmarkEnd w:id="276"/>
      <w:bookmarkEnd w:id="277"/>
      <w:bookmarkEnd w:id="278"/>
      <w:r>
        <w:rPr>
          <w:rFonts w:hint="eastAsia" w:ascii="宋体" w:hAnsi="宋体" w:cs="宋体"/>
          <w:color w:val="auto"/>
          <w:highlight w:val="none"/>
        </w:rPr>
        <w:t>与赔偿</w:t>
      </w:r>
      <w:bookmarkEnd w:id="279"/>
      <w:bookmarkEnd w:id="280"/>
    </w:p>
    <w:p>
      <w:pPr>
        <w:spacing w:line="460" w:lineRule="exact"/>
        <w:ind w:firstLine="420" w:firstLineChars="200"/>
        <w:rPr>
          <w:rFonts w:ascii="宋体" w:hAnsi="宋体" w:cs="宋体"/>
          <w:color w:val="auto"/>
          <w:highlight w:val="none"/>
        </w:rPr>
      </w:pPr>
      <w:bookmarkStart w:id="281" w:name="_Toc335660886"/>
      <w:r>
        <w:rPr>
          <w:rFonts w:hint="eastAsia" w:ascii="宋体" w:hAnsi="宋体" w:cs="宋体"/>
          <w:color w:val="auto"/>
          <w:highlight w:val="none"/>
        </w:rPr>
        <w:t>5.1.1 由于发包人变更勘察、 可研编制（含各专题研究）项目、规模、条件、工期等，或未按合同规定提供勘察、 可研编制（含各专题研究）必需的资料，而造成勘察、 可研编制（含各专题研究）的返工、停工、窝工或修改设计，发包人应按承包人实际消耗的工作量增付费用；由于发包人要求提前完成勘察、 可研编制（含各专题研究）工作而导致增加的人员和费用，应另行计列。</w:t>
      </w:r>
      <w:bookmarkEnd w:id="281"/>
    </w:p>
    <w:p>
      <w:pPr>
        <w:spacing w:line="460" w:lineRule="exact"/>
        <w:ind w:firstLine="420" w:firstLineChars="200"/>
        <w:rPr>
          <w:rFonts w:ascii="宋体" w:hAnsi="宋体" w:cs="宋体"/>
          <w:color w:val="auto"/>
          <w:highlight w:val="none"/>
        </w:rPr>
      </w:pPr>
      <w:bookmarkStart w:id="282" w:name="_Toc335660887"/>
      <w:r>
        <w:rPr>
          <w:rFonts w:hint="eastAsia" w:ascii="宋体" w:hAnsi="宋体" w:cs="宋体"/>
          <w:color w:val="auto"/>
          <w:highlight w:val="none"/>
        </w:rPr>
        <w:t>5.1.2 发包人超过合同规定的日期支付费用的，应偿付逾期的违约金。偿付办法与金额在合同专用条款中约定。</w:t>
      </w:r>
      <w:bookmarkEnd w:id="282"/>
    </w:p>
    <w:p>
      <w:pPr>
        <w:spacing w:line="460" w:lineRule="exact"/>
        <w:ind w:firstLine="420" w:firstLineChars="200"/>
        <w:rPr>
          <w:rFonts w:ascii="宋体" w:hAnsi="宋体" w:cs="宋体"/>
          <w:color w:val="auto"/>
          <w:highlight w:val="none"/>
        </w:rPr>
      </w:pPr>
      <w:bookmarkStart w:id="283" w:name="_Toc335660888"/>
      <w:r>
        <w:rPr>
          <w:rFonts w:hint="eastAsia" w:ascii="宋体" w:hAnsi="宋体" w:cs="宋体"/>
          <w:color w:val="auto"/>
          <w:highlight w:val="none"/>
        </w:rPr>
        <w:t>5.1.3 在合同生效后，发包人要求终止或解除合同的，应根据承包人已进行的实际工作量支付费用，不足一半时，按剩余合同价的5%向承包人支付违约金；超过一半时，按剩余合同价的10%向承包人支付违约金。</w:t>
      </w:r>
      <w:bookmarkEnd w:id="283"/>
    </w:p>
    <w:p>
      <w:pPr>
        <w:spacing w:line="460" w:lineRule="exact"/>
        <w:ind w:firstLine="420" w:firstLineChars="200"/>
        <w:rPr>
          <w:rFonts w:ascii="宋体" w:hAnsi="宋体" w:cs="宋体"/>
          <w:color w:val="auto"/>
          <w:highlight w:val="none"/>
        </w:rPr>
      </w:pPr>
      <w:bookmarkStart w:id="284" w:name="_Toc335660889"/>
      <w:r>
        <w:rPr>
          <w:rFonts w:hint="eastAsia" w:ascii="宋体" w:hAnsi="宋体" w:cs="宋体"/>
          <w:color w:val="auto"/>
          <w:highlight w:val="none"/>
        </w:rPr>
        <w:t>5.1.4 专用合同条款中约定的发包人其他违约与赔偿责任。</w:t>
      </w:r>
      <w:bookmarkEnd w:id="284"/>
    </w:p>
    <w:p>
      <w:pPr>
        <w:spacing w:line="460" w:lineRule="exact"/>
        <w:ind w:firstLine="420" w:firstLineChars="200"/>
        <w:rPr>
          <w:rFonts w:ascii="宋体" w:hAnsi="宋体" w:cs="宋体"/>
          <w:color w:val="auto"/>
          <w:highlight w:val="none"/>
        </w:rPr>
      </w:pPr>
      <w:bookmarkStart w:id="285" w:name="_Toc335721540"/>
      <w:bookmarkStart w:id="286" w:name="_Toc335660890"/>
      <w:bookmarkStart w:id="287" w:name="_Toc330218118"/>
      <w:bookmarkStart w:id="288" w:name="_Toc335660443"/>
      <w:bookmarkStart w:id="289" w:name="_Toc335721992"/>
      <w:bookmarkStart w:id="290" w:name="_Toc335660030"/>
      <w:bookmarkStart w:id="291" w:name="_Toc330218683"/>
      <w:bookmarkStart w:id="292" w:name="_Toc446919474"/>
      <w:bookmarkStart w:id="293" w:name="_Toc357066656"/>
      <w:r>
        <w:rPr>
          <w:rFonts w:hint="eastAsia" w:ascii="宋体" w:hAnsi="宋体" w:cs="宋体"/>
          <w:color w:val="auto"/>
          <w:highlight w:val="none"/>
        </w:rPr>
        <w:t>5.2 承包人的违约</w:t>
      </w:r>
      <w:bookmarkEnd w:id="285"/>
      <w:bookmarkEnd w:id="286"/>
      <w:bookmarkEnd w:id="287"/>
      <w:bookmarkEnd w:id="288"/>
      <w:bookmarkEnd w:id="289"/>
      <w:bookmarkEnd w:id="290"/>
      <w:bookmarkEnd w:id="291"/>
      <w:r>
        <w:rPr>
          <w:rFonts w:hint="eastAsia" w:ascii="宋体" w:hAnsi="宋体" w:cs="宋体"/>
          <w:color w:val="auto"/>
          <w:highlight w:val="none"/>
        </w:rPr>
        <w:t>与赔偿</w:t>
      </w:r>
      <w:bookmarkEnd w:id="292"/>
      <w:bookmarkEnd w:id="293"/>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5.2.1 在合同履行过程中发生下列任何一种情况，均属承包人违约，赔偿责任在专用条款中约定：</w:t>
      </w:r>
    </w:p>
    <w:p>
      <w:pPr>
        <w:spacing w:line="460" w:lineRule="exact"/>
        <w:ind w:firstLine="420" w:firstLineChars="200"/>
        <w:rPr>
          <w:rFonts w:ascii="宋体" w:hAnsi="宋体" w:cs="宋体"/>
          <w:color w:val="auto"/>
          <w:highlight w:val="none"/>
        </w:rPr>
      </w:pPr>
      <w:bookmarkStart w:id="294" w:name="_Toc335660891"/>
      <w:r>
        <w:rPr>
          <w:rFonts w:hint="eastAsia" w:ascii="宋体" w:hAnsi="宋体" w:cs="宋体"/>
          <w:color w:val="auto"/>
          <w:highlight w:val="none"/>
        </w:rPr>
        <w:t>（1）承包人将勘察、 可研编制（含各专题研究）任务转包，或未经发包人同意私自分包的；</w:t>
      </w:r>
      <w:bookmarkEnd w:id="294"/>
    </w:p>
    <w:p>
      <w:pPr>
        <w:spacing w:line="460" w:lineRule="exact"/>
        <w:ind w:firstLine="420" w:firstLineChars="200"/>
        <w:rPr>
          <w:rFonts w:ascii="宋体" w:hAnsi="宋体" w:cs="宋体"/>
          <w:color w:val="auto"/>
          <w:highlight w:val="none"/>
        </w:rPr>
      </w:pPr>
      <w:bookmarkStart w:id="295" w:name="_Toc335660892"/>
      <w:r>
        <w:rPr>
          <w:rFonts w:hint="eastAsia" w:ascii="宋体" w:hAnsi="宋体" w:cs="宋体"/>
          <w:color w:val="auto"/>
          <w:highlight w:val="none"/>
        </w:rPr>
        <w:t>（2）承包人未按照本合同规定的强制性技术标准进行勘察、 可研编制（含各专题研究）的；</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（3）承包人未根据勘察成果资料进行可研编制（含各专题研究）的；</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（4）承包人在勘察、 可研编制（含各专题研究）文件中指定或变相指定材料或设备生产厂、供应商的；</w:t>
      </w:r>
      <w:bookmarkEnd w:id="295"/>
    </w:p>
    <w:p>
      <w:pPr>
        <w:spacing w:line="460" w:lineRule="exact"/>
        <w:ind w:firstLine="420" w:firstLineChars="200"/>
        <w:rPr>
          <w:rFonts w:ascii="宋体" w:hAnsi="宋体" w:cs="宋体"/>
          <w:color w:val="auto"/>
          <w:highlight w:val="none"/>
        </w:rPr>
      </w:pPr>
      <w:bookmarkStart w:id="296" w:name="_Toc335660893"/>
      <w:r>
        <w:rPr>
          <w:rFonts w:hint="eastAsia" w:ascii="宋体" w:hAnsi="宋体" w:cs="宋体"/>
          <w:color w:val="auto"/>
          <w:highlight w:val="none"/>
        </w:rPr>
        <w:t>（5）承包人由于自身原因，未能按期提交勘察成果、工程可行性研究及各专题文件、专题研究报告的（发包人同意延长期限的除外）；</w:t>
      </w:r>
      <w:bookmarkEnd w:id="296"/>
    </w:p>
    <w:p>
      <w:pPr>
        <w:spacing w:line="460" w:lineRule="exact"/>
        <w:ind w:firstLine="420" w:firstLineChars="200"/>
        <w:rPr>
          <w:rFonts w:ascii="宋体" w:hAnsi="宋体" w:cs="宋体"/>
          <w:color w:val="auto"/>
          <w:highlight w:val="none"/>
        </w:rPr>
      </w:pPr>
      <w:bookmarkStart w:id="297" w:name="_Toc335660894"/>
      <w:r>
        <w:rPr>
          <w:rFonts w:hint="eastAsia" w:ascii="宋体" w:hAnsi="宋体" w:cs="宋体"/>
          <w:color w:val="auto"/>
          <w:highlight w:val="none"/>
        </w:rPr>
        <w:t>（6）在收到发包人、承包人或上级主管部门提出的审查意见后，承包人未在专用合同条款规定的期限内完成对勘察成果、工程可行性研究及各专题文件、专题研究报告修改的；</w:t>
      </w:r>
      <w:bookmarkEnd w:id="297"/>
    </w:p>
    <w:p>
      <w:pPr>
        <w:spacing w:line="460" w:lineRule="exact"/>
        <w:ind w:firstLine="420" w:firstLineChars="200"/>
        <w:rPr>
          <w:rFonts w:ascii="宋体" w:hAnsi="宋体" w:cs="宋体"/>
          <w:color w:val="auto"/>
          <w:highlight w:val="none"/>
        </w:rPr>
      </w:pPr>
      <w:bookmarkStart w:id="298" w:name="_Toc335660895"/>
      <w:r>
        <w:rPr>
          <w:rFonts w:hint="eastAsia" w:ascii="宋体" w:hAnsi="宋体" w:cs="宋体"/>
          <w:color w:val="auto"/>
          <w:highlight w:val="none"/>
        </w:rPr>
        <w:t>（7）由于承包人的过失或责任引起本项目发生重大设计变更或设计错误，导致施工工期拖延或给发包人造成经济损失，承包人除负责采取补救措施外，应免收受损失部分设计费，并根据损失程度向发包人支付赔偿金。</w:t>
      </w:r>
      <w:bookmarkEnd w:id="298"/>
      <w:bookmarkStart w:id="299" w:name="_Toc335660896"/>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（8）承包人在投标文件中承诺投入本项目的主要勘察承包人员未经发包人同意更换的（但因不可抗力引起的人员变动除外）；</w:t>
      </w:r>
      <w:bookmarkEnd w:id="299"/>
    </w:p>
    <w:p>
      <w:pPr>
        <w:spacing w:line="460" w:lineRule="exact"/>
        <w:ind w:firstLine="420" w:firstLineChars="200"/>
        <w:rPr>
          <w:rFonts w:ascii="宋体" w:hAnsi="宋体" w:cs="宋体"/>
          <w:color w:val="auto"/>
          <w:highlight w:val="none"/>
        </w:rPr>
      </w:pPr>
      <w:bookmarkStart w:id="300" w:name="_Toc335660897"/>
      <w:r>
        <w:rPr>
          <w:rFonts w:hint="eastAsia" w:ascii="宋体" w:hAnsi="宋体" w:cs="宋体"/>
          <w:color w:val="auto"/>
          <w:highlight w:val="none"/>
        </w:rPr>
        <w:t>5.2.2 专用合同条款中约定的承包人其他违约与赔偿责任。</w:t>
      </w:r>
      <w:bookmarkEnd w:id="300"/>
    </w:p>
    <w:p>
      <w:pPr>
        <w:pStyle w:val="112"/>
        <w:spacing w:before="480" w:beforeLines="0" w:after="240" w:afterLines="0"/>
        <w:outlineLvl w:val="1"/>
        <w:rPr>
          <w:rFonts w:ascii="宋体" w:hAnsi="宋体" w:eastAsia="宋体" w:cs="宋体"/>
          <w:b/>
          <w:color w:val="auto"/>
          <w:highlight w:val="none"/>
        </w:rPr>
      </w:pPr>
      <w:bookmarkStart w:id="301" w:name="_Toc346269073"/>
      <w:bookmarkStart w:id="302" w:name="_Toc446919475"/>
      <w:bookmarkStart w:id="303" w:name="_Toc16056"/>
      <w:bookmarkStart w:id="304" w:name="_Toc326241906"/>
      <w:bookmarkStart w:id="305" w:name="_Toc346269493"/>
      <w:bookmarkStart w:id="306" w:name="_Toc5571"/>
      <w:bookmarkStart w:id="307" w:name="_Toc335660898"/>
      <w:bookmarkStart w:id="308" w:name="_Toc335721993"/>
      <w:bookmarkStart w:id="309" w:name="_Toc89866138"/>
      <w:r>
        <w:rPr>
          <w:rFonts w:hint="eastAsia" w:ascii="宋体" w:hAnsi="宋体" w:eastAsia="宋体" w:cs="宋体"/>
          <w:b/>
          <w:color w:val="auto"/>
          <w:highlight w:val="none"/>
        </w:rPr>
        <w:t>6. 合同的生效与终止</w:t>
      </w:r>
      <w:bookmarkEnd w:id="301"/>
      <w:bookmarkEnd w:id="302"/>
      <w:bookmarkEnd w:id="303"/>
      <w:bookmarkEnd w:id="304"/>
      <w:bookmarkEnd w:id="305"/>
      <w:bookmarkEnd w:id="306"/>
      <w:bookmarkEnd w:id="307"/>
      <w:bookmarkEnd w:id="308"/>
      <w:bookmarkEnd w:id="309"/>
    </w:p>
    <w:p>
      <w:pPr>
        <w:spacing w:line="460" w:lineRule="exact"/>
        <w:ind w:firstLine="420" w:firstLineChars="200"/>
        <w:rPr>
          <w:rFonts w:ascii="宋体" w:hAnsi="宋体" w:cs="宋体"/>
          <w:color w:val="auto"/>
          <w:highlight w:val="none"/>
        </w:rPr>
      </w:pPr>
      <w:bookmarkStart w:id="310" w:name="_Toc335660899"/>
      <w:r>
        <w:rPr>
          <w:rFonts w:hint="eastAsia" w:ascii="宋体" w:hAnsi="宋体" w:cs="宋体"/>
          <w:color w:val="auto"/>
          <w:highlight w:val="none"/>
        </w:rPr>
        <w:t>6.1 合同的生效</w:t>
      </w:r>
      <w:bookmarkEnd w:id="310"/>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合同文件自双方在合同协议书上签字盖单位章后生效。承包人工作的开始和完成时间应按合同文件的规定执行。</w:t>
      </w:r>
    </w:p>
    <w:p>
      <w:pPr>
        <w:spacing w:line="460" w:lineRule="exact"/>
        <w:ind w:firstLine="420" w:firstLineChars="200"/>
        <w:rPr>
          <w:rFonts w:ascii="宋体" w:hAnsi="宋体" w:cs="宋体"/>
          <w:color w:val="auto"/>
          <w:highlight w:val="none"/>
        </w:rPr>
      </w:pPr>
      <w:bookmarkStart w:id="311" w:name="_Toc335660900"/>
      <w:r>
        <w:rPr>
          <w:rFonts w:hint="eastAsia" w:ascii="宋体" w:hAnsi="宋体" w:cs="宋体"/>
          <w:color w:val="auto"/>
          <w:highlight w:val="none"/>
        </w:rPr>
        <w:t>6.2 合同的终止</w:t>
      </w:r>
      <w:bookmarkEnd w:id="311"/>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合同双方履行完合同规定的义务后，本合同即行终止。</w:t>
      </w:r>
    </w:p>
    <w:p>
      <w:pPr>
        <w:spacing w:line="460" w:lineRule="exact"/>
        <w:ind w:firstLine="420" w:firstLineChars="200"/>
        <w:rPr>
          <w:rFonts w:ascii="宋体" w:hAnsi="宋体" w:cs="宋体"/>
          <w:color w:val="auto"/>
          <w:highlight w:val="none"/>
        </w:rPr>
      </w:pPr>
      <w:bookmarkStart w:id="312" w:name="_Toc335660901"/>
      <w:r>
        <w:rPr>
          <w:rFonts w:hint="eastAsia" w:ascii="宋体" w:hAnsi="宋体" w:cs="宋体"/>
          <w:color w:val="auto"/>
          <w:highlight w:val="none"/>
        </w:rPr>
        <w:t>6.3 由于不可抗力因素致使合同无法履行时，双方应协商解决，不论何种原因，本合同的终止不应损害和影响各方应有的权利、索赔要求和应负的责任。</w:t>
      </w:r>
      <w:bookmarkEnd w:id="312"/>
    </w:p>
    <w:p>
      <w:pPr>
        <w:pStyle w:val="112"/>
        <w:spacing w:before="480" w:beforeLines="0" w:after="240" w:afterLines="0"/>
        <w:outlineLvl w:val="1"/>
        <w:rPr>
          <w:rFonts w:ascii="宋体" w:hAnsi="宋体" w:eastAsia="宋体" w:cs="宋体"/>
          <w:b/>
          <w:color w:val="auto"/>
          <w:highlight w:val="none"/>
        </w:rPr>
      </w:pPr>
      <w:bookmarkStart w:id="313" w:name="_Toc8335"/>
      <w:bookmarkStart w:id="314" w:name="_Toc25326"/>
      <w:bookmarkStart w:id="315" w:name="_Toc446919476"/>
      <w:bookmarkStart w:id="316" w:name="_Toc89866139"/>
      <w:bookmarkStart w:id="317" w:name="_Toc346269494"/>
      <w:bookmarkStart w:id="318" w:name="_Toc326241907"/>
      <w:bookmarkStart w:id="319" w:name="_Toc335721994"/>
      <w:bookmarkStart w:id="320" w:name="_Toc346269074"/>
      <w:bookmarkStart w:id="321" w:name="_Toc335660902"/>
      <w:r>
        <w:rPr>
          <w:rFonts w:hint="eastAsia" w:ascii="宋体" w:hAnsi="宋体" w:eastAsia="宋体" w:cs="宋体"/>
          <w:b/>
          <w:color w:val="auto"/>
          <w:highlight w:val="none"/>
        </w:rPr>
        <w:t>7. 费用与支付</w:t>
      </w:r>
      <w:bookmarkEnd w:id="313"/>
      <w:bookmarkEnd w:id="314"/>
      <w:bookmarkEnd w:id="315"/>
      <w:bookmarkEnd w:id="316"/>
      <w:bookmarkEnd w:id="317"/>
      <w:bookmarkEnd w:id="318"/>
      <w:bookmarkEnd w:id="319"/>
      <w:bookmarkEnd w:id="320"/>
      <w:bookmarkEnd w:id="321"/>
    </w:p>
    <w:p>
      <w:pPr>
        <w:spacing w:line="460" w:lineRule="exact"/>
        <w:ind w:firstLine="420" w:firstLineChars="200"/>
        <w:rPr>
          <w:rFonts w:ascii="宋体" w:hAnsi="宋体" w:cs="宋体"/>
          <w:color w:val="auto"/>
          <w:highlight w:val="none"/>
        </w:rPr>
      </w:pPr>
      <w:bookmarkStart w:id="322" w:name="_Toc335660903"/>
      <w:r>
        <w:rPr>
          <w:rFonts w:hint="eastAsia" w:ascii="宋体" w:hAnsi="宋体" w:cs="宋体"/>
          <w:color w:val="auto"/>
          <w:highlight w:val="none"/>
        </w:rPr>
        <w:t>7.1合同价格是完成合同所规定责任的总费用，包括收集资料，踏勘现场，制订纲要，进行测绘、勘探、取样、试验、测试、分析、研究、评估、审查、配合审查等，编制勘察文件，编制工程可行性研究报告（含各专题）、后续服务，青苗和园林绿化补偿，占地补偿，扰民及民扰，占道施工，安全防护、文明施工、环境保护，农民工工伤保险等全部费用和国家规定的增值税税金，由承包人人包干使用，发包人按进度分期支付，本合同的合同价款确定方式在专用条款中约定。</w:t>
      </w:r>
      <w:bookmarkEnd w:id="322"/>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7.1.1发包人应按合同规定向承包人支付勘察、 可研编制费用、专题研究费用。</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7.1.2承包人为联合体时，则发包人应根据勘察、 可研编制（含各专题研究）工作进展分批向联合体牵头人支付勘察、 可研编制（含各专题研究）费用。联合体牵头人提出书面申请时，发包人可分别向联合体各成员支付合同款。</w:t>
      </w:r>
    </w:p>
    <w:p>
      <w:pPr>
        <w:spacing w:line="460" w:lineRule="exact"/>
        <w:ind w:firstLine="420" w:firstLineChars="200"/>
        <w:rPr>
          <w:rFonts w:ascii="宋体" w:hAnsi="宋体" w:cs="宋体"/>
          <w:color w:val="auto"/>
          <w:highlight w:val="none"/>
        </w:rPr>
      </w:pPr>
      <w:bookmarkStart w:id="323" w:name="_Toc335660904"/>
      <w:r>
        <w:rPr>
          <w:rFonts w:hint="eastAsia" w:ascii="宋体" w:hAnsi="宋体" w:cs="宋体"/>
          <w:color w:val="auto"/>
          <w:highlight w:val="none"/>
        </w:rPr>
        <w:t>7.2.1勘察、 可研编制（含各专题研究）合同价格是完成合同所规定责任的总费用，由承包人包干使用，发包人按进度分期支付，本合同的合同价及支付办法在专用条款中约定。</w:t>
      </w:r>
      <w:bookmarkEnd w:id="323"/>
    </w:p>
    <w:p>
      <w:pPr>
        <w:spacing w:line="460" w:lineRule="exact"/>
        <w:ind w:firstLine="420" w:firstLineChars="200"/>
        <w:rPr>
          <w:rFonts w:ascii="宋体" w:hAnsi="宋体" w:cs="宋体"/>
          <w:color w:val="auto"/>
          <w:highlight w:val="none"/>
        </w:rPr>
      </w:pPr>
      <w:bookmarkStart w:id="324" w:name="_Toc335660905"/>
      <w:bookmarkStart w:id="325" w:name="_Toc446919477"/>
      <w:bookmarkStart w:id="326" w:name="_Toc357066659"/>
      <w:r>
        <w:rPr>
          <w:rFonts w:hint="eastAsia" w:ascii="宋体" w:hAnsi="宋体" w:cs="宋体"/>
          <w:color w:val="auto"/>
          <w:highlight w:val="none"/>
        </w:rPr>
        <w:t>7.2.2费用支付涉及政府投资资金的，按照国库集中支付等国家相关规定和专用合同条款的约定执行。承包人应预见并承担政府投资资金有可能不及时到位支付的风险。</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7.2.3承包人为联合体时，则发包人应根据研究和勘察设计工作进展分批向联合体牵头人支付合同价款。联合体牵头人提出书面申请时，发包人可分别向联合体各成员支付合同款。</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7.3 暂列金额</w:t>
      </w:r>
      <w:bookmarkEnd w:id="324"/>
      <w:bookmarkEnd w:id="325"/>
      <w:bookmarkEnd w:id="326"/>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本合同的暂列金额在专用合同条款中约定。暂列金额应按发包人的书面指示使用。</w:t>
      </w:r>
    </w:p>
    <w:p>
      <w:pPr>
        <w:spacing w:line="460" w:lineRule="exact"/>
        <w:ind w:firstLine="420" w:firstLineChars="200"/>
        <w:rPr>
          <w:rFonts w:ascii="宋体" w:hAnsi="宋体" w:cs="宋体"/>
          <w:color w:val="auto"/>
          <w:highlight w:val="none"/>
        </w:rPr>
      </w:pPr>
      <w:bookmarkStart w:id="327" w:name="_Toc335660906"/>
      <w:bookmarkStart w:id="328" w:name="_Toc446919478"/>
      <w:bookmarkStart w:id="329" w:name="_Toc357066660"/>
      <w:r>
        <w:rPr>
          <w:rFonts w:hint="eastAsia" w:ascii="宋体" w:hAnsi="宋体" w:cs="宋体"/>
          <w:color w:val="auto"/>
          <w:highlight w:val="none"/>
        </w:rPr>
        <w:t>7.4 勘察、 可研编制（含各专题研究）费用的调整</w:t>
      </w:r>
      <w:bookmarkEnd w:id="327"/>
      <w:bookmarkEnd w:id="328"/>
      <w:bookmarkEnd w:id="329"/>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在合同实施期间，由于国家政策调整或新颁法律、法规、标准，或市场因素变化导致本项目勘察、 可研编制（含各专题研究）费用的变化，按专用合同条款中相应规定执行。</w:t>
      </w:r>
    </w:p>
    <w:p>
      <w:pPr>
        <w:spacing w:line="460" w:lineRule="exact"/>
        <w:ind w:firstLine="420" w:firstLineChars="200"/>
        <w:rPr>
          <w:rFonts w:ascii="宋体" w:hAnsi="宋体" w:cs="宋体"/>
          <w:color w:val="auto"/>
          <w:highlight w:val="none"/>
        </w:rPr>
      </w:pPr>
      <w:bookmarkStart w:id="330" w:name="_Toc335660907"/>
      <w:r>
        <w:rPr>
          <w:rFonts w:hint="eastAsia" w:ascii="宋体" w:hAnsi="宋体" w:cs="宋体"/>
          <w:color w:val="auto"/>
          <w:highlight w:val="none"/>
        </w:rPr>
        <w:t>7.5 如专用合同条款要求承包人提交履约担保的，在签订合同前，承包人应按专用合同条款中规定的金额和形式向发包人提交履约担保，担保期满后，发包人应及时退还。</w:t>
      </w:r>
    </w:p>
    <w:p>
      <w:pPr>
        <w:spacing w:line="460" w:lineRule="exact"/>
        <w:ind w:firstLine="420" w:firstLineChars="200"/>
        <w:rPr>
          <w:rFonts w:ascii="宋体" w:hAnsi="宋体" w:cs="宋体"/>
          <w:color w:val="auto"/>
          <w:highlight w:val="none"/>
        </w:rPr>
      </w:pPr>
      <w:bookmarkStart w:id="331" w:name="_Toc446919479"/>
      <w:bookmarkStart w:id="332" w:name="_Toc357066661"/>
      <w:r>
        <w:rPr>
          <w:rFonts w:hint="eastAsia" w:ascii="宋体" w:hAnsi="宋体" w:cs="宋体"/>
          <w:color w:val="auto"/>
          <w:highlight w:val="none"/>
        </w:rPr>
        <w:t>7.6 税费</w:t>
      </w:r>
      <w:bookmarkEnd w:id="330"/>
      <w:bookmarkEnd w:id="331"/>
      <w:bookmarkEnd w:id="332"/>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承包人应自行承担完成本项目勘察、 可研编制（含各专题研究）工作需缴纳的一切税费，并包括在报价清单各项目报价之内，发包人不另行支付。</w:t>
      </w:r>
    </w:p>
    <w:p>
      <w:pPr>
        <w:pStyle w:val="112"/>
        <w:spacing w:before="480" w:beforeLines="0" w:after="240" w:afterLines="0"/>
        <w:outlineLvl w:val="1"/>
        <w:rPr>
          <w:rFonts w:ascii="宋体" w:hAnsi="宋体" w:eastAsia="宋体" w:cs="宋体"/>
          <w:b/>
          <w:color w:val="auto"/>
          <w:highlight w:val="none"/>
        </w:rPr>
      </w:pPr>
      <w:bookmarkStart w:id="333" w:name="_Toc335721995"/>
      <w:bookmarkStart w:id="334" w:name="_Toc335660908"/>
      <w:bookmarkStart w:id="335" w:name="_Toc326241908"/>
      <w:bookmarkStart w:id="336" w:name="_Toc346269075"/>
      <w:bookmarkStart w:id="337" w:name="_Toc26826"/>
      <w:bookmarkStart w:id="338" w:name="_Toc21244"/>
      <w:bookmarkStart w:id="339" w:name="_Toc346269495"/>
      <w:bookmarkStart w:id="340" w:name="_Toc89866140"/>
      <w:bookmarkStart w:id="341" w:name="_Toc446919480"/>
      <w:r>
        <w:rPr>
          <w:rFonts w:hint="eastAsia" w:ascii="宋体" w:hAnsi="宋体" w:eastAsia="宋体" w:cs="宋体"/>
          <w:b/>
          <w:color w:val="auto"/>
          <w:highlight w:val="none"/>
        </w:rPr>
        <w:t xml:space="preserve">8. </w:t>
      </w:r>
      <w:bookmarkEnd w:id="333"/>
      <w:bookmarkEnd w:id="334"/>
      <w:bookmarkEnd w:id="335"/>
      <w:r>
        <w:rPr>
          <w:rFonts w:hint="eastAsia" w:ascii="宋体" w:hAnsi="宋体" w:eastAsia="宋体" w:cs="宋体"/>
          <w:b/>
          <w:color w:val="auto"/>
          <w:highlight w:val="none"/>
        </w:rPr>
        <w:t>其他</w:t>
      </w:r>
      <w:bookmarkEnd w:id="336"/>
      <w:bookmarkEnd w:id="337"/>
      <w:bookmarkEnd w:id="338"/>
      <w:bookmarkEnd w:id="339"/>
      <w:bookmarkEnd w:id="340"/>
      <w:bookmarkEnd w:id="341"/>
    </w:p>
    <w:p>
      <w:pPr>
        <w:spacing w:line="460" w:lineRule="auto"/>
        <w:ind w:firstLine="420" w:firstLineChars="200"/>
        <w:jc w:val="left"/>
        <w:rPr>
          <w:rFonts w:ascii="宋体" w:hAnsi="宋体" w:cs="宋体"/>
          <w:color w:val="auto"/>
          <w:szCs w:val="21"/>
          <w:highlight w:val="none"/>
        </w:rPr>
      </w:pPr>
      <w:bookmarkStart w:id="342" w:name="_Toc335660909"/>
      <w:bookmarkStart w:id="343" w:name="_Toc357066663"/>
      <w:bookmarkStart w:id="344" w:name="_Toc446919481"/>
      <w:r>
        <w:rPr>
          <w:rFonts w:hint="eastAsia" w:ascii="宋体" w:hAnsi="宋体" w:cs="宋体"/>
          <w:color w:val="auto"/>
          <w:szCs w:val="21"/>
          <w:highlight w:val="none"/>
        </w:rPr>
        <w:t>8.1 法律和法规</w:t>
      </w:r>
    </w:p>
    <w:p>
      <w:pPr>
        <w:spacing w:line="4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本合同必须服从中华人民共和国现行法律、法规，对合同的解释应以中华人民共和国的现行法律、法规为准。</w:t>
      </w:r>
    </w:p>
    <w:p>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8.2知识产权</w:t>
      </w:r>
    </w:p>
    <w:p>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8.2.1 除专用合同条款另有约定外，承包人完成的勘察工作成果、可行性研究（含专题）工作成果，除署名权以外的著作权和其他知识产权均归发包人享有。</w:t>
      </w:r>
    </w:p>
    <w:p>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8.2.2 承包人在从事可行性研究（含专题）和勘察设计活动时，不得侵犯他人的知识产权。因侵犯专利权或其他知识产权所引起的责任，由承包人自行承担。因发包人提供的设计资料导致侵权的，由发包人承担责任。</w:t>
      </w:r>
    </w:p>
    <w:p>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8.2.3 承包人在投标文件中采用专利技术、专有技术的，相应的使用费视为已包含在投标报价之中，发包人不另行支付。</w:t>
      </w:r>
    </w:p>
    <w:p>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8.3 争议的解决</w:t>
      </w:r>
    </w:p>
    <w:p>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本合同在执行过程中，如发生争议双方协商解决，协商不成按下列一种方式解决：</w:t>
      </w:r>
    </w:p>
    <w:p>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（1） 向约定的仲裁委员会申请仲裁；</w:t>
      </w:r>
    </w:p>
    <w:p>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（2） 向约定的人民法院提起诉讼。</w:t>
      </w:r>
    </w:p>
    <w:bookmarkEnd w:id="342"/>
    <w:bookmarkEnd w:id="343"/>
    <w:bookmarkEnd w:id="344"/>
    <w:p>
      <w:pPr>
        <w:pStyle w:val="112"/>
        <w:spacing w:before="480" w:beforeLines="0" w:after="240" w:afterLines="0"/>
        <w:outlineLvl w:val="1"/>
        <w:rPr>
          <w:rFonts w:ascii="宋体" w:hAnsi="宋体" w:eastAsia="宋体" w:cs="宋体"/>
          <w:b/>
          <w:snapToGrid w:val="0"/>
          <w:color w:val="auto"/>
          <w:kern w:val="0"/>
          <w:highlight w:val="none"/>
        </w:rPr>
      </w:pPr>
      <w:r>
        <w:rPr>
          <w:rFonts w:hint="eastAsia" w:ascii="宋体" w:hAnsi="宋体" w:eastAsia="宋体" w:cs="宋体"/>
          <w:snapToGrid w:val="0"/>
          <w:color w:val="auto"/>
          <w:kern w:val="0"/>
          <w:highlight w:val="none"/>
        </w:rPr>
        <w:br w:type="page"/>
      </w:r>
      <w:bookmarkStart w:id="345" w:name="_Toc335721996"/>
      <w:bookmarkStart w:id="346" w:name="_Toc89866141"/>
      <w:bookmarkStart w:id="347" w:name="_Toc346269496"/>
      <w:bookmarkStart w:id="348" w:name="_Toc180"/>
      <w:bookmarkStart w:id="349" w:name="_Toc326241909"/>
      <w:bookmarkStart w:id="350" w:name="_Toc27309"/>
      <w:bookmarkStart w:id="351" w:name="_Toc446919484"/>
      <w:bookmarkStart w:id="352" w:name="_Toc346269076"/>
      <w:bookmarkStart w:id="353" w:name="_Toc335660914"/>
      <w:r>
        <w:rPr>
          <w:rFonts w:hint="eastAsia" w:ascii="宋体" w:hAnsi="宋体" w:eastAsia="宋体" w:cs="宋体"/>
          <w:b/>
          <w:color w:val="auto"/>
          <w:highlight w:val="none"/>
        </w:rPr>
        <w:t>第二节 专用合同条款</w:t>
      </w:r>
      <w:bookmarkEnd w:id="345"/>
      <w:bookmarkEnd w:id="346"/>
      <w:bookmarkEnd w:id="347"/>
      <w:bookmarkEnd w:id="348"/>
      <w:bookmarkEnd w:id="349"/>
      <w:bookmarkEnd w:id="350"/>
      <w:bookmarkEnd w:id="351"/>
      <w:bookmarkEnd w:id="352"/>
      <w:bookmarkEnd w:id="353"/>
    </w:p>
    <w:p>
      <w:pPr>
        <w:pStyle w:val="112"/>
        <w:spacing w:before="480" w:beforeLines="0" w:after="240" w:afterLines="0"/>
        <w:outlineLvl w:val="1"/>
        <w:rPr>
          <w:rFonts w:ascii="宋体" w:hAnsi="宋体" w:eastAsia="宋体" w:cs="宋体"/>
          <w:b/>
          <w:color w:val="auto"/>
          <w:highlight w:val="none"/>
        </w:rPr>
      </w:pPr>
      <w:bookmarkStart w:id="354" w:name="_Toc346269077"/>
      <w:bookmarkStart w:id="355" w:name="_Toc10704"/>
      <w:bookmarkStart w:id="356" w:name="_Toc335721997"/>
      <w:bookmarkStart w:id="357" w:name="_Toc346269497"/>
      <w:bookmarkStart w:id="358" w:name="_Toc326241910"/>
      <w:bookmarkStart w:id="359" w:name="_Toc12355"/>
      <w:bookmarkStart w:id="360" w:name="_Toc446919485"/>
      <w:bookmarkStart w:id="361" w:name="_Toc89866142"/>
      <w:bookmarkStart w:id="362" w:name="_Toc335660915"/>
      <w:r>
        <w:rPr>
          <w:rFonts w:hint="eastAsia" w:ascii="宋体" w:hAnsi="宋体" w:eastAsia="宋体" w:cs="宋体"/>
          <w:b/>
          <w:color w:val="auto"/>
          <w:highlight w:val="none"/>
        </w:rPr>
        <w:t>1. 定义和解释</w:t>
      </w:r>
      <w:bookmarkEnd w:id="354"/>
      <w:bookmarkEnd w:id="355"/>
      <w:bookmarkEnd w:id="356"/>
      <w:bookmarkEnd w:id="357"/>
      <w:bookmarkEnd w:id="358"/>
      <w:bookmarkEnd w:id="359"/>
      <w:bookmarkEnd w:id="360"/>
      <w:bookmarkEnd w:id="361"/>
      <w:bookmarkEnd w:id="362"/>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1.1 本合同的项目名称 、建设地点、建设规模：</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lang w:eastAsia="zh-CN"/>
        </w:rPr>
        <w:t>铁山港LNG船及危险品锚地工程前期工作</w:t>
      </w:r>
      <w:r>
        <w:rPr>
          <w:rFonts w:hint="eastAsia" w:ascii="宋体" w:hAnsi="宋体" w:cs="宋体"/>
          <w:color w:val="auto"/>
          <w:highlight w:val="none"/>
        </w:rPr>
        <w:t>；</w:t>
      </w:r>
    </w:p>
    <w:p>
      <w:pPr>
        <w:spacing w:line="460" w:lineRule="exact"/>
        <w:ind w:firstLine="420" w:firstLineChars="200"/>
        <w:rPr>
          <w:rFonts w:ascii="宋体" w:hAnsi="宋体" w:cs="宋体"/>
          <w:color w:val="auto"/>
          <w:szCs w:val="21"/>
          <w:highlight w:val="none"/>
        </w:rPr>
      </w:pPr>
      <w:r>
        <w:rPr>
          <w:rFonts w:hint="eastAsia" w:ascii="宋体" w:hAnsi="宋体" w:cs="宋体"/>
          <w:color w:val="auto"/>
          <w:highlight w:val="none"/>
        </w:rPr>
        <w:t>建设地点：</w:t>
      </w:r>
      <w:r>
        <w:rPr>
          <w:rFonts w:hint="eastAsia" w:ascii="宋体" w:hAnsi="宋体" w:cs="宋体"/>
          <w:color w:val="auto"/>
          <w:szCs w:val="21"/>
          <w:highlight w:val="none"/>
        </w:rPr>
        <w:t>北海市</w:t>
      </w:r>
    </w:p>
    <w:p>
      <w:pPr>
        <w:spacing w:line="460" w:lineRule="exact"/>
        <w:ind w:firstLine="420" w:firstLineChars="200"/>
        <w:rPr>
          <w:rFonts w:ascii="宋体" w:hAnsi="宋体" w:cs="宋体"/>
          <w:color w:val="auto"/>
          <w:highlight w:val="none"/>
        </w:rPr>
      </w:pPr>
      <w:r>
        <w:rPr>
          <w:rFonts w:hint="eastAsia" w:ascii="宋体" w:hAnsi="宋体" w:cs="宋体"/>
          <w:color w:val="auto"/>
          <w:szCs w:val="21"/>
          <w:highlight w:val="none"/>
        </w:rPr>
        <w:t>建设规模：根据《北海港总体规划（2035年）》，在铁山湾海域规划1个外5#锚地，供LNG船及危险品船舶避风和待泊，面积4×4km</w:t>
      </w:r>
      <w:r>
        <w:rPr>
          <w:rFonts w:hint="eastAsia" w:ascii="宋体" w:hAnsi="宋体" w:cs="宋体"/>
          <w:color w:val="auto"/>
          <w:szCs w:val="21"/>
          <w:highlight w:val="none"/>
          <w:vertAlign w:val="superscript"/>
        </w:rPr>
        <w:t>2</w:t>
      </w:r>
      <w:r>
        <w:rPr>
          <w:rFonts w:hint="eastAsia" w:ascii="宋体" w:hAnsi="宋体" w:cs="宋体"/>
          <w:color w:val="auto"/>
          <w:szCs w:val="21"/>
          <w:highlight w:val="none"/>
        </w:rPr>
        <w:t>，设计水深约18～21m。</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1.2 本合同的发包人：</w:t>
      </w:r>
      <w:r>
        <w:rPr>
          <w:rFonts w:hint="eastAsia" w:ascii="宋体" w:hAnsi="宋体" w:cs="宋体"/>
          <w:color w:val="auto"/>
          <w:szCs w:val="21"/>
          <w:highlight w:val="none"/>
          <w:u w:val="single"/>
        </w:rPr>
        <w:t>广西壮族自治区港航发展中心</w:t>
      </w:r>
      <w:r>
        <w:rPr>
          <w:rFonts w:hint="eastAsia" w:ascii="宋体" w:hAnsi="宋体" w:cs="宋体"/>
          <w:color w:val="auto"/>
          <w:highlight w:val="none"/>
        </w:rPr>
        <w:t>。</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1.3 本合同的承包人：</w:t>
      </w:r>
      <w:r>
        <w:rPr>
          <w:rFonts w:hint="eastAsia" w:ascii="宋体" w:hAnsi="宋体" w:cs="宋体"/>
          <w:color w:val="auto"/>
          <w:highlight w:val="none"/>
          <w:u w:val="single"/>
        </w:rPr>
        <w:t xml:space="preserve">                           </w:t>
      </w:r>
      <w:r>
        <w:rPr>
          <w:rFonts w:hint="eastAsia" w:ascii="宋体" w:hAnsi="宋体" w:cs="宋体"/>
          <w:color w:val="auto"/>
          <w:highlight w:val="none"/>
        </w:rPr>
        <w:t>（即中标人） 。</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1.10本合同包括的具体招标范围及内容：</w:t>
      </w:r>
    </w:p>
    <w:p>
      <w:pPr>
        <w:spacing w:line="460" w:lineRule="exact"/>
        <w:ind w:firstLine="420" w:firstLineChars="200"/>
        <w:jc w:val="left"/>
        <w:rPr>
          <w:rFonts w:ascii="宋体" w:hAnsi="宋体" w:cs="宋体"/>
          <w:color w:val="auto"/>
          <w:highlight w:val="none"/>
        </w:rPr>
      </w:pPr>
      <w:bookmarkStart w:id="363" w:name="_Toc326241911"/>
      <w:bookmarkStart w:id="364" w:name="_Toc346269498"/>
      <w:bookmarkStart w:id="365" w:name="_Toc335660916"/>
      <w:bookmarkStart w:id="366" w:name="_Toc346269078"/>
      <w:bookmarkStart w:id="367" w:name="_Toc446919486"/>
      <w:bookmarkStart w:id="368" w:name="_Toc335721998"/>
      <w:r>
        <w:rPr>
          <w:rFonts w:hint="eastAsia" w:ascii="宋体" w:hAnsi="宋体" w:cs="宋体"/>
          <w:color w:val="auto"/>
          <w:highlight w:val="none"/>
          <w:lang w:val="zh-CN"/>
        </w:rPr>
        <w:t>北海港铁山港LNG船及危险品船锚地工程可行性研究，包括工程可行性报告编制、专题论证报告编制（包括用地预审及规划选址、社会稳定风险评估报告、环境影响评价报告、海域使用论证报告）、必要的地形测量、水文测验和地质勘察（水下地形测量面积约16km</w:t>
      </w:r>
      <w:r>
        <w:rPr>
          <w:rFonts w:hint="eastAsia" w:ascii="宋体" w:hAnsi="宋体" w:cs="宋体"/>
          <w:color w:val="auto"/>
          <w:highlight w:val="none"/>
          <w:vertAlign w:val="superscript"/>
          <w:lang w:val="zh-CN"/>
        </w:rPr>
        <w:t>2</w:t>
      </w:r>
      <w:r>
        <w:rPr>
          <w:rFonts w:hint="eastAsia" w:ascii="宋体" w:hAnsi="宋体" w:cs="宋体"/>
          <w:color w:val="auto"/>
          <w:highlight w:val="none"/>
          <w:lang w:val="zh-CN"/>
        </w:rPr>
        <w:t>，成图比例1:2000；地质钻孔按满足工可要求布设，约36个）</w:t>
      </w:r>
      <w:r>
        <w:rPr>
          <w:rFonts w:hint="eastAsia" w:ascii="宋体" w:hAnsi="宋体" w:cs="宋体"/>
          <w:color w:val="auto"/>
          <w:highlight w:val="none"/>
        </w:rPr>
        <w:t>等前期工作。</w:t>
      </w:r>
    </w:p>
    <w:p>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1.10.1 勘察范围：包括工程可行性研究阶段的测绘、勘探、取样、试验、岩土工程勘察和工程测量。勘察所需的证件和批件由承包人负责办理，发包人给予必要的协助。</w:t>
      </w:r>
    </w:p>
    <w:p>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1.10.2 工程可行性研究报告编制及专题范围：包括评价项目附近港口航道航运现状，分析腹地经济发展对航运的需要并进行客货运量的预测，分析与工程项目相关的自然条件，论证适航船型和营运组织，论定通航标准和建设规模；选定工程方案和工程措施；提出配套设施、协作条件、实施步骤及工程投资估算、资金筹措方案、经济评价、环境保护、社会稳定风险分析、节能评估、</w:t>
      </w:r>
      <w:r>
        <w:rPr>
          <w:rFonts w:hint="eastAsia" w:ascii="宋体" w:hAnsi="宋体" w:cs="宋体"/>
          <w:color w:val="auto"/>
          <w:highlight w:val="none"/>
          <w:lang w:val="zh-CN"/>
        </w:rPr>
        <w:t>地预审及规划选址</w:t>
      </w:r>
      <w:r>
        <w:rPr>
          <w:rFonts w:hint="eastAsia" w:ascii="宋体" w:hAnsi="宋体" w:cs="宋体"/>
          <w:color w:val="auto"/>
          <w:highlight w:val="none"/>
        </w:rPr>
        <w:t>专题</w:t>
      </w:r>
      <w:r>
        <w:rPr>
          <w:rFonts w:hint="eastAsia" w:ascii="宋体" w:hAnsi="宋体" w:cs="宋体"/>
          <w:color w:val="auto"/>
          <w:highlight w:val="none"/>
          <w:lang w:val="zh-CN"/>
        </w:rPr>
        <w:t>、社会稳定风险评估报告</w:t>
      </w:r>
      <w:r>
        <w:rPr>
          <w:rFonts w:hint="eastAsia" w:ascii="宋体" w:hAnsi="宋体" w:cs="宋体"/>
          <w:color w:val="auto"/>
          <w:highlight w:val="none"/>
        </w:rPr>
        <w:t>专题</w:t>
      </w:r>
      <w:r>
        <w:rPr>
          <w:rFonts w:hint="eastAsia" w:ascii="宋体" w:hAnsi="宋体" w:cs="宋体"/>
          <w:color w:val="auto"/>
          <w:highlight w:val="none"/>
          <w:lang w:val="zh-CN"/>
        </w:rPr>
        <w:t>、环境影响评价报告</w:t>
      </w:r>
      <w:r>
        <w:rPr>
          <w:rFonts w:hint="eastAsia" w:ascii="宋体" w:hAnsi="宋体" w:cs="宋体"/>
          <w:color w:val="auto"/>
          <w:highlight w:val="none"/>
        </w:rPr>
        <w:t>专题</w:t>
      </w:r>
      <w:r>
        <w:rPr>
          <w:rFonts w:hint="eastAsia" w:ascii="宋体" w:hAnsi="宋体" w:cs="宋体"/>
          <w:color w:val="auto"/>
          <w:highlight w:val="none"/>
          <w:lang w:val="zh-CN"/>
        </w:rPr>
        <w:t>、海域使用论证报告</w:t>
      </w:r>
      <w:r>
        <w:rPr>
          <w:rFonts w:hint="eastAsia" w:ascii="宋体" w:hAnsi="宋体" w:cs="宋体"/>
          <w:color w:val="auto"/>
          <w:highlight w:val="none"/>
        </w:rPr>
        <w:t>专题等。</w:t>
      </w:r>
    </w:p>
    <w:p>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1.11 本合同的勘察文件：包括承包人按合同约定向发包人提交的工程勘察报告、服务大纲、勘察方案、外业指导书、进度计划、图纸、计算书、软件和其他文件等，包括阶段性文件和最终文件，且应当采用合同中双方约定的格式和载体。勘察报告包括：</w:t>
      </w:r>
    </w:p>
    <w:p>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（1）按照现行《水运工程岩土勘察规范》等国家和行业的标准规范的规定，根据要求，提交勘察报告。</w:t>
      </w:r>
    </w:p>
    <w:p>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（2）按照现行《水运工程测量规范》等国家和行业的标准规范的规定，提交控制网点布置图、点之记资料、成果表、所测绘的水深测量等图纸、测量工作技术报告等测量成果。</w:t>
      </w:r>
    </w:p>
    <w:p>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1.12本合同的可研编制（含各专题研究）文件：包括评价项目附近港口航道航运现状，分析腹地经济发展对航运的需要并进行客货运量的预测，分析与工程项目相关的自然条件，论证适航船型和营运组织，论定通航标准和建设规模；选定工程方案和工程措施；提出配套设施、协作条件、实施步骤及工程投资估算、资金筹措方案、经济评价、环境保护、社会稳定风险分析、节能评估、</w:t>
      </w:r>
      <w:r>
        <w:rPr>
          <w:rFonts w:hint="eastAsia" w:ascii="宋体" w:hAnsi="宋体" w:cs="宋体"/>
          <w:color w:val="auto"/>
          <w:highlight w:val="none"/>
          <w:lang w:val="zh-CN"/>
        </w:rPr>
        <w:t>地预审及规划选址</w:t>
      </w:r>
      <w:r>
        <w:rPr>
          <w:rFonts w:hint="eastAsia" w:ascii="宋体" w:hAnsi="宋体" w:cs="宋体"/>
          <w:color w:val="auto"/>
          <w:highlight w:val="none"/>
        </w:rPr>
        <w:t>专题</w:t>
      </w:r>
      <w:r>
        <w:rPr>
          <w:rFonts w:hint="eastAsia" w:ascii="宋体" w:hAnsi="宋体" w:cs="宋体"/>
          <w:color w:val="auto"/>
          <w:highlight w:val="none"/>
          <w:lang w:val="zh-CN"/>
        </w:rPr>
        <w:t>、社会稳定风险评估报告</w:t>
      </w:r>
      <w:r>
        <w:rPr>
          <w:rFonts w:hint="eastAsia" w:ascii="宋体" w:hAnsi="宋体" w:cs="宋体"/>
          <w:color w:val="auto"/>
          <w:highlight w:val="none"/>
        </w:rPr>
        <w:t>专题</w:t>
      </w:r>
      <w:r>
        <w:rPr>
          <w:rFonts w:hint="eastAsia" w:ascii="宋体" w:hAnsi="宋体" w:cs="宋体"/>
          <w:color w:val="auto"/>
          <w:highlight w:val="none"/>
          <w:lang w:val="zh-CN"/>
        </w:rPr>
        <w:t>、环境影响评价报告</w:t>
      </w:r>
      <w:r>
        <w:rPr>
          <w:rFonts w:hint="eastAsia" w:ascii="宋体" w:hAnsi="宋体" w:cs="宋体"/>
          <w:color w:val="auto"/>
          <w:highlight w:val="none"/>
        </w:rPr>
        <w:t>专题</w:t>
      </w:r>
      <w:r>
        <w:rPr>
          <w:rFonts w:hint="eastAsia" w:ascii="宋体" w:hAnsi="宋体" w:cs="宋体"/>
          <w:color w:val="auto"/>
          <w:highlight w:val="none"/>
          <w:lang w:val="zh-CN"/>
        </w:rPr>
        <w:t>、海域使用论证报告</w:t>
      </w:r>
      <w:r>
        <w:rPr>
          <w:rFonts w:hint="eastAsia" w:ascii="宋体" w:hAnsi="宋体" w:cs="宋体"/>
          <w:color w:val="auto"/>
          <w:highlight w:val="none"/>
        </w:rPr>
        <w:t>专题等。</w:t>
      </w:r>
    </w:p>
    <w:p>
      <w:pPr>
        <w:autoSpaceDE w:val="0"/>
        <w:autoSpaceDN w:val="0"/>
        <w:adjustRightInd w:val="0"/>
        <w:spacing w:line="360" w:lineRule="auto"/>
        <w:ind w:firstLine="420" w:firstLineChars="200"/>
        <w:rPr>
          <w:rFonts w:ascii="宋体" w:hAnsi="宋体" w:cs="宋体"/>
          <w:color w:val="auto"/>
          <w:kern w:val="0"/>
          <w:szCs w:val="21"/>
          <w:highlight w:val="none"/>
        </w:rPr>
      </w:pPr>
    </w:p>
    <w:p>
      <w:pPr>
        <w:pStyle w:val="112"/>
        <w:spacing w:before="480" w:beforeLines="0" w:after="240" w:afterLines="0"/>
        <w:outlineLvl w:val="1"/>
        <w:rPr>
          <w:rFonts w:ascii="宋体" w:hAnsi="宋体" w:eastAsia="宋体" w:cs="宋体"/>
          <w:b/>
          <w:color w:val="auto"/>
          <w:highlight w:val="none"/>
        </w:rPr>
      </w:pPr>
      <w:bookmarkStart w:id="369" w:name="_Toc8292"/>
      <w:bookmarkStart w:id="370" w:name="_Toc89866143"/>
      <w:bookmarkStart w:id="371" w:name="_Toc24687"/>
      <w:r>
        <w:rPr>
          <w:rFonts w:hint="eastAsia" w:ascii="宋体" w:hAnsi="宋体" w:eastAsia="宋体" w:cs="宋体"/>
          <w:b/>
          <w:color w:val="auto"/>
          <w:highlight w:val="none"/>
        </w:rPr>
        <w:t>2. 发包人的责任与义务</w:t>
      </w:r>
      <w:bookmarkEnd w:id="363"/>
      <w:bookmarkEnd w:id="364"/>
      <w:bookmarkEnd w:id="365"/>
      <w:bookmarkEnd w:id="366"/>
      <w:bookmarkEnd w:id="367"/>
      <w:bookmarkEnd w:id="368"/>
      <w:bookmarkEnd w:id="369"/>
      <w:bookmarkEnd w:id="370"/>
      <w:bookmarkEnd w:id="371"/>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2.8 发包人应履行的其他责任：</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2.8.1 发包人负责组织专家或委托咨询单位对勘察成果、工程可行性研究报告（含各专题）和为了满足工程可行性研究需要而进行的各种研究试验成果进行审查，并负责工程可行性研究报告的报审工作。</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2.8.2 在合同签订后，发包人负责提供现已有有关项目现有水下和陆域地形、水文测量等资料成果。</w:t>
      </w:r>
    </w:p>
    <w:p>
      <w:pPr>
        <w:pStyle w:val="112"/>
        <w:spacing w:before="480" w:beforeLines="0" w:after="240" w:afterLines="0"/>
        <w:outlineLvl w:val="1"/>
        <w:rPr>
          <w:rFonts w:ascii="宋体" w:hAnsi="宋体" w:eastAsia="宋体" w:cs="宋体"/>
          <w:b/>
          <w:color w:val="auto"/>
          <w:highlight w:val="none"/>
        </w:rPr>
      </w:pPr>
      <w:bookmarkStart w:id="372" w:name="_Toc6338"/>
      <w:bookmarkStart w:id="373" w:name="_Toc346269499"/>
      <w:bookmarkStart w:id="374" w:name="_Toc335660917"/>
      <w:bookmarkStart w:id="375" w:name="_Toc346269079"/>
      <w:bookmarkStart w:id="376" w:name="_Toc326241912"/>
      <w:bookmarkStart w:id="377" w:name="_Toc89866144"/>
      <w:bookmarkStart w:id="378" w:name="_Toc22831"/>
      <w:bookmarkStart w:id="379" w:name="_Toc446919487"/>
      <w:bookmarkStart w:id="380" w:name="_Toc335721999"/>
      <w:r>
        <w:rPr>
          <w:rFonts w:hint="eastAsia" w:ascii="宋体" w:hAnsi="宋体" w:eastAsia="宋体" w:cs="宋体"/>
          <w:b/>
          <w:color w:val="auto"/>
          <w:highlight w:val="none"/>
        </w:rPr>
        <w:t>3. 承包人的责任与义务</w:t>
      </w:r>
      <w:bookmarkEnd w:id="372"/>
      <w:bookmarkEnd w:id="373"/>
      <w:bookmarkEnd w:id="374"/>
      <w:bookmarkEnd w:id="375"/>
      <w:bookmarkEnd w:id="376"/>
      <w:bookmarkEnd w:id="377"/>
      <w:bookmarkEnd w:id="378"/>
      <w:bookmarkEnd w:id="379"/>
      <w:bookmarkEnd w:id="380"/>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3.6.1.1项目负责人：</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 xml:space="preserve">姓名：                 身份证号码：                                </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 xml:space="preserve">联系电话：                 传真号码：                 </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 xml:space="preserve">电子信箱：                 收信地址：                                </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 承包人应履行的其他责任：</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3.9.1 承包人应按国家现行技术标准、规范、规程及发包人提出的要求，组织开展各项专题研究活动以及编制可行性研究报告，及时处理各研究工作遇到的各类技术、协调问题，并对其研究进度和质量负责，确保各项研究成果能及时满足本项目工程可行性研究、初步设计、施工图设计及批复的要求。</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承包人人应按合同约定，自备及提供为完成勘察服务所需的劳务、材料、勘察设备、实验设施等，并应自行承担勘探场地临时设施的搭设、维护、管理和拆除。</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3.9.2 勘察所需的证件和批件由承包人负责办理，发包人给予必要的协助。由此发生的费用已包含在承包人的投标报价中，发包人不另行支付。</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（1）承包人人应按有关规定办理水上水下活动许可或其他有关许可。</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（2）在勘察过程中，存在与本项目相干扰的铁路、航道、管线、电力电信缆线及其他设施或特殊保护区域的，承包人人应按有关行政管理部门的要求，办理有关审批手续，确保本项目顺利实施。</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（3）需临时占地的，由承包人向行政管理部门申请，按照要求制定占地施工方案，并据此实施。临时占地使用完毕后，承包人应当按照行政管理部门规定恢复临时占地。</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4）承包人负责查清勘察工作范围地下已在埋藏物，拆除障碍物，开挖以及修复地下管线；修通至作业现场道路，接通电源、水源及平整场地；水上作业船、排、平台的租用；负责青苗、树木以及水域养殖赔偿物赔偿等。</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3.9.3 承包人应按合同规定的时限及份数，向发包人提交质量合格的勘察文件和工程可行性研究及各专题文件（包含阶段性文件和最终文件；纸质文件和电子版文件），接受发包人或发包人上级主管部门的审查。发包人、审查咨询单位、发包人上级主管部门对勘察文件、工程可行性研究（含各专题研究）文件的审查并不免除承包人的责任。</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勘察文件、工程可行性研究及各专题文件存在错误、遗漏、含混、矛盾、不充分之处或其他缺陷，无论勘察文件、工程可行性研究及各专题文件是否通过了发包人审查或审查机构审查，承包人均应自费对前述问题带来的缺陷和工程问题进行改正，但由于发包人提供的文件错误导致的除外。</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3.9.4 承包人应配合发包人开展各项报审工作，积极参与、跟踪各项审查活动，及时按照有关行政审批部门对勘察文件和工程可行性研究及各专题文件的审查意见进行修改完善。</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3.9.5 勘察设备要求</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3.9.5.1 承包人应按合同进度计划的要求，及时配置勘察设备进行作业。承包人更换合同约定的勘察设备的，应报发包人批准。</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3.9.5.2 承包人应当按照规范要求，及时维修、保养或更换勘察设备，包括并不限于钻机、触探仪、全站仪、水准仪、探测仪、测井平台、天平、固结仪、振筛机、干燥箱、直剪仪、收缩仪、膨胀仪、渗透仪等，保证勘察设备能够随时进场使用。</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3.9.5.3 承包人使用的勘察设备不能满足合同进度计划和（或）质量要求时，发包人有权要求承包人增加或更换勘察设备，承包人应及时增加或更换，由此增加的费用和（或）周期延误由承包人自行承担。</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3.9.6 安全作业要求</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3.9.6.1 承包人应遵守有关安全生产的法律，按合同约定履行安全职责，编制安全措施。</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3.9.6.2 承包人应当严格执行操作规程，采取有效措施保证道路、桥梁、交通安全设施、建构筑物、地下管线、架空线和其他周边设施等安全正常地运行。</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3.9.6.3 承包人应当按照法律、法规和工程建设强制性标准进行勘察，加强勘察作业安全管理，特别加强易燃、易爆材料、火工器材、有毒与腐蚀性材料和其他危险品的管理。</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3.9.6.4 承包人应严格按照国家安全标准制定施工安全操作规程，配备必要的安全生产和劳动保护设施，加强对承包人人员的安全教育，并且发放安全工作手册和劳动保护用具。</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3.9.6.5 承包人应按规定制定应对灾害的紧急预案。承包人还应按预案做好安全检查，配置必要的救助物资和器材，切实保护好有关人员的人身和财产安全。</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3.9.6.6 承包人应对其履行合同所雇佣的全部人员，包括分包人人员的工伤事故承担责任。</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3.9.6.7 对于承包人在勘察过程中发生的人员伤亡，或造成第三方的人员伤亡，或财产损失，或由此引起的其他一切损害和损失，由承包人自行承担责任，发包人均不承担责任。由于承包人原因在施工场地内及其毗邻地带造成的第三者人员伤亡和财产损失，由承包人负责赔偿。</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3.9.6.8承包人人在勘察中应避免造成环境污染以及钻探坑洞等给当地群众和发包人留下生活生产安全隐患，对所造成的环境污染、安全隐患的治理和消除，属承包人的责任。</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3.9.6.9承包人在任务实施过程应尽量避免由于机具或其他原因所导致的钻探套管脱落等给施工带来的困难和增加投资的现象。</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3.9.6.10关于工程地质钻探，应满足以下规定：</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1、承包人开展钻探工作前，应按要求编写《勘察大纲》，并将钻探的方法、方案、程序和流程控制等实施过程控制方案报发包人审查，方案审查通过后方可进行钻探工作。钻探后孔位、数量、钻孔的深度、孔径等应达到交通运输部相关规范的要求和勘察大纲的规定。钻孔的位置符合原获得审批通过方案的要求。承包人的地质钻探应符合交通运输部水运工程地质勘察的有关规定。</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2、承包人钻探完成后，发包人（或其委托的单位）将对孔位、数量、钻孔的深度、孔径、岩芯采取率等进行检查验收，并可以随机抽检20%以上承包人的钻探工作。发包人将把随机抽检钻探工作的合格率作为计量支付承包人地质勘察费用的比例，承包人应对随机抽检中发现的不合格的钻探工作无条件返工。承包人需返工处理或重新布孔钻探的，重新布孔方案仍需报发包人审批，返工处理或重新钻探的费用由承包人自行承担。若承包人返工处理后仍然不合格，发包人将按随机抽检钻探工作的不合格率每1%处以承包人勘察设计合同总价的1%违约金，累计扣减的费用不超过勘察设计合同总价的10%。发包人以核实发现承包人在钻探工作中弄虚作假的，发包人每发现或核实一次将处以承包人勘察设计合同总价的0.5%违约金，累计扣减的费用不超过勘察设计合同总价的5%。</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3、承包人钻探完成后，需要回填的应及时回填钻孔，如因钻孔不及时回填而发生的责任事故，承包人承担全部责任。</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3.9.7 环境保护要求</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3.9.7.1 承包人在履行合同过程中，应遵守有关环境保护的法律，履行合同约定的环境保护义务，并对违反法律和合同约定义务所造成的环境破坏、人身伤害和财产损失负责。</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3.9.7.2 承包人应按合同约定的环保工作内容，编制环保措施。</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3.9.7.3 承包人应确保勘探过程中产生的气体排放物、粉尘、噪声、地面排水及排污等，符合法律规定和发包人要求。</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3.9.8 勘察文件和工程可行性研究及各专题文件要求</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3.9.8.1 勘察文件的编制应符合法律法规、规范标准的强制性规定和发包人要求，相关勘察依据应完整、准确、可靠，勘察方案论证充分，计算成果规范可靠，并能够实施。</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3.9.8.2 勘察文件的深度应满足本合同相应勘察阶段的规定要求，满足发包人的下步工作需要，并应符合国家和行业现行规定。</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3.9.8.3 工程可行性研究及各专题文件的编制应符合法律法规、规范标准的强制性规定和发包人要求，相关设计依据应完整、准确、可靠，设计方案论证充分，计算成果规范可靠，并能够实施。</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3.9.8.4 后续服务应当根据法律、规范标准和发包人要求，保证工程的合理使用寿命年限，并在工程可行性研究及各专题文件中予以注明。</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3.9.8.5 工程可行性研究及各专题文件的编制应满足本合同的规定要求，满足发包人的下步工作需要，并应符合国家和行业现行规定。</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3.9.8.6 工程可行性研究及各专题文件必须保证工程质量和施工安全等方面的要求，按照有关法律法规规定在工程可行性研究及各专题文件中提出保障施工作业人员安全和预防生产安全事故的措施建议。</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3.9.9存在与本项目相交叉或影响的铁路、航道、管线、电力电信缆线及其他设施或特殊保护区域的，承包人人应按有关法律法规或部门的要求进行方案论证，办理有关审批或备案手续，本项目涉及到铁路、航道、管线、电力电信缆线及其他设施或特殊保护区域的实施方案应取得有关部门、单位的批复同意。</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3.9.10 承包人应接受发包人或发包人委托的咨询审查单位和发包人的上级主管部门的审查，凡审查意见中提出的问题，承包人应逐条给予反馈，提交书面的反馈意见并修改完善工程可行性研究及各专题文件。当上级主管部门对前一段设计进行批复，其结果影响后一段工作内容时，承包人必须无条件执行批复内容。</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承包人应在收到发包人、审查咨询单位及发包人上级主管部门提出的审查意见后，5天内完成对工程可行性研究及各专题文件的修改。</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由此发生的所有修改、赶工的费用，均已包含在投标报价中，发包人不再另行支付。</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3.9.11 承包人提交勘察外业成果之前，发包人将委托第三方监理单位或组织专家对勘察外业资料及成果进行检查验收。检查验收按现行《水运工程测量质量检验标准》《水运工程测量规范》《水运工程岩土勘察规范》等有关标准规范进行。如进行检查抽样，检查抽样的重点为有工程量的水深测量、地形测量和地质勘察，总抽样或检查率不低于规范规定的各相关单位工程抽样或检查率。如果检查的结果与承包人提交的成果引起工程量计算误差超出±5％及以上时，承包人必须进行返工，直至提交的成果合格为止。由此发生的所有费用及发包人损失由承包人承担。</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承包人有义务积极配合和协助发包人、第三方监理单位或专家对勘察外业资料及成果进行检查验收，及时提供有关资料，为检查、验收工作提供必要的便利。</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3.9.12 发包人组织专家或委托咨询单位对勘察文件、工程可行性研究及各专题文件、本项目有关的研究试验成果进行审查，审查、报批过程所需的全部相关会务、劳务费用（如工程可行性研究报告评估审查、各专题论证评审等审查的会务、专家劳务等费用）均含在投标报价内，发包人不再另行支付。</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3.9.13  承包人应承担的后续服务内容包括配合发包人做好设计阶段勘察设计招标工作，应发包人的要求提供本项目下一阶段设计招标需要的勘察设计技术要求、勘察测量工程量清单。后续服务所在费用包含在合同总价中。</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3.9.14本项目严禁转包和违规分包。各专题论证报告编制可合法分包，但须经发包人同意。分包人的资质要求应符合法律法规规定要求，且与其分包工作的标准和规模相适应。</w:t>
      </w:r>
    </w:p>
    <w:p>
      <w:pPr>
        <w:spacing w:line="460" w:lineRule="exact"/>
        <w:ind w:firstLine="420" w:firstLineChars="200"/>
        <w:rPr>
          <w:rFonts w:ascii="宋体" w:hAnsi="宋体" w:cs="宋体"/>
          <w:color w:val="auto"/>
          <w:highlight w:val="none"/>
        </w:rPr>
      </w:pPr>
    </w:p>
    <w:p>
      <w:pPr>
        <w:pStyle w:val="112"/>
        <w:spacing w:before="480" w:beforeLines="0" w:after="240" w:afterLines="0"/>
        <w:outlineLvl w:val="1"/>
        <w:rPr>
          <w:rFonts w:ascii="宋体" w:hAnsi="宋体" w:eastAsia="宋体" w:cs="宋体"/>
          <w:b/>
          <w:color w:val="auto"/>
          <w:highlight w:val="none"/>
        </w:rPr>
      </w:pPr>
      <w:bookmarkStart w:id="381" w:name="_Toc335722000"/>
      <w:bookmarkStart w:id="382" w:name="_Toc446919488"/>
      <w:bookmarkStart w:id="383" w:name="_Toc346269500"/>
      <w:bookmarkStart w:id="384" w:name="_Toc346269080"/>
      <w:bookmarkStart w:id="385" w:name="_Toc326241913"/>
      <w:bookmarkStart w:id="386" w:name="_Toc335660918"/>
      <w:bookmarkStart w:id="387" w:name="_Toc28423"/>
      <w:bookmarkStart w:id="388" w:name="_Toc17876"/>
      <w:bookmarkStart w:id="389" w:name="_Toc89866145"/>
      <w:r>
        <w:rPr>
          <w:rFonts w:hint="eastAsia" w:ascii="宋体" w:hAnsi="宋体" w:eastAsia="宋体" w:cs="宋体"/>
          <w:b/>
          <w:color w:val="auto"/>
          <w:highlight w:val="none"/>
        </w:rPr>
        <w:t xml:space="preserve">4. </w:t>
      </w:r>
      <w:bookmarkEnd w:id="381"/>
      <w:bookmarkEnd w:id="382"/>
      <w:bookmarkEnd w:id="383"/>
      <w:bookmarkEnd w:id="384"/>
      <w:bookmarkEnd w:id="385"/>
      <w:bookmarkEnd w:id="386"/>
      <w:r>
        <w:rPr>
          <w:rFonts w:hint="eastAsia" w:ascii="宋体" w:hAnsi="宋体" w:eastAsia="宋体" w:cs="宋体"/>
          <w:b/>
          <w:color w:val="auto"/>
          <w:highlight w:val="none"/>
        </w:rPr>
        <w:t>勘察、可研编制（含各专题研究）周期及提交成果</w:t>
      </w:r>
      <w:bookmarkEnd w:id="387"/>
      <w:bookmarkEnd w:id="388"/>
      <w:bookmarkEnd w:id="389"/>
    </w:p>
    <w:p>
      <w:pPr>
        <w:rPr>
          <w:rFonts w:ascii="宋体" w:hAnsi="宋体" w:cs="宋体"/>
          <w:color w:val="auto"/>
          <w:highlight w:val="none"/>
        </w:rPr>
      </w:pP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4.1 勘察咨询工期及提交成果</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本款约定为：</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本项目的</w:t>
      </w:r>
      <w:bookmarkStart w:id="390" w:name="_Toc89866146"/>
      <w:bookmarkStart w:id="391" w:name="_Toc27338"/>
      <w:bookmarkStart w:id="392" w:name="_Toc446919490"/>
      <w:bookmarkStart w:id="393" w:name="_Toc335660919"/>
      <w:bookmarkStart w:id="394" w:name="_Toc346269081"/>
      <w:bookmarkStart w:id="395" w:name="_Toc27491"/>
      <w:bookmarkStart w:id="396" w:name="_Toc335722001"/>
      <w:bookmarkStart w:id="397" w:name="_Toc326241914"/>
      <w:bookmarkStart w:id="398" w:name="_Toc346269501"/>
      <w:r>
        <w:rPr>
          <w:rFonts w:hint="eastAsia" w:ascii="宋体" w:hAnsi="宋体" w:cs="宋体"/>
          <w:color w:val="auto"/>
          <w:highlight w:val="none"/>
        </w:rPr>
        <w:t>编制总工期：4个月。各阶段成果交付时间如下：</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（1）要求根据项目时间要求和工作阶段深度要求安排勘察测量工作，提供满足工程可行性研究阶段要求的勘察成果，合同签订后1个月内提交全部勘察测量报告。</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（2）专题论证报告编制（包括选址报告、社会稳定风险评估报告、环境影响评价报告、海域使用论证报告等），合同签订后2个月内完成全部送审稿，报批稿在评审会后15个工作日内完成。</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（3）合同签订后3个月内提交可行性研究报告送审稿，并在工程可行性研究报告评审会后15个工作日内完成报批稿。</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（4）合同签订后4个月内完成可行性研究报告用及各专题论证报告的报批稿。</w:t>
      </w:r>
    </w:p>
    <w:p>
      <w:pPr>
        <w:pStyle w:val="112"/>
        <w:spacing w:before="480" w:beforeLines="0" w:after="240" w:afterLines="0"/>
        <w:outlineLvl w:val="1"/>
        <w:rPr>
          <w:rFonts w:ascii="宋体" w:hAnsi="宋体" w:eastAsia="宋体" w:cs="宋体"/>
          <w:b/>
          <w:color w:val="auto"/>
          <w:highlight w:val="none"/>
        </w:rPr>
      </w:pPr>
      <w:r>
        <w:rPr>
          <w:rFonts w:hint="eastAsia" w:ascii="宋体" w:hAnsi="宋体" w:eastAsia="宋体" w:cs="宋体"/>
          <w:b/>
          <w:color w:val="auto"/>
          <w:highlight w:val="none"/>
        </w:rPr>
        <w:t>5. 违约与赔偿</w:t>
      </w:r>
      <w:bookmarkEnd w:id="390"/>
      <w:bookmarkEnd w:id="391"/>
      <w:bookmarkEnd w:id="392"/>
      <w:bookmarkEnd w:id="393"/>
      <w:bookmarkEnd w:id="394"/>
      <w:bookmarkEnd w:id="395"/>
      <w:bookmarkEnd w:id="396"/>
      <w:bookmarkEnd w:id="397"/>
      <w:bookmarkEnd w:id="398"/>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5.1.2 发包人未按规定的时间和金额支付勘察咨询费的赔偿责任：</w:t>
      </w:r>
    </w:p>
    <w:p>
      <w:pPr>
        <w:spacing w:line="460" w:lineRule="exact"/>
        <w:ind w:firstLine="420" w:firstLineChars="200"/>
        <w:rPr>
          <w:rFonts w:ascii="宋体" w:hAnsi="宋体" w:cs="宋体"/>
          <w:color w:val="auto"/>
          <w:highlight w:val="none"/>
        </w:rPr>
      </w:pPr>
      <w:r>
        <w:rPr>
          <w:rFonts w:hint="eastAsia"/>
          <w:color w:val="auto"/>
          <w:highlight w:val="none"/>
        </w:rPr>
        <w:t>发包人应按本合同规定的金额和日期向承包人支付合同价款。发包人未按期向承包人支付预付款的，承包人有权推迟开工时间，且交付文件的时间相应顺延。发包人未按规定时间向承包人支付进度款的，每逾期支付一天，应承担应支付金额千分之一的逾期违约金（因政府、财政部门未及时将建设资金拨付发包人的情形除外），且承包人提交成果文件的时间相应顺延。发包人的逾期违约金上限为合同总价款的3%。</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5.1.4 发包人的其他违约与赔偿责任:无。</w:t>
      </w:r>
    </w:p>
    <w:p>
      <w:pPr>
        <w:spacing w:line="460" w:lineRule="exact"/>
        <w:ind w:firstLine="420" w:firstLineChars="200"/>
        <w:rPr>
          <w:rFonts w:ascii="宋体" w:hAnsi="宋体" w:cs="宋体"/>
          <w:color w:val="auto"/>
          <w:highlight w:val="none"/>
        </w:rPr>
      </w:pPr>
      <w:bookmarkStart w:id="399" w:name="_Toc335722003"/>
      <w:bookmarkStart w:id="400" w:name="_Toc335660041"/>
      <w:bookmarkStart w:id="401" w:name="_Toc335660454"/>
      <w:bookmarkStart w:id="402" w:name="_Toc330218694"/>
      <w:bookmarkStart w:id="403" w:name="_Toc330218129"/>
      <w:bookmarkStart w:id="404" w:name="_Toc335660921"/>
      <w:bookmarkStart w:id="405" w:name="_Toc335721551"/>
      <w:bookmarkStart w:id="406" w:name="_Toc346269082"/>
      <w:bookmarkStart w:id="407" w:name="_Toc346269502"/>
      <w:bookmarkStart w:id="408" w:name="_Toc357066672"/>
      <w:bookmarkStart w:id="409" w:name="_Toc376012627"/>
      <w:bookmarkStart w:id="410" w:name="_Toc375725218"/>
      <w:bookmarkStart w:id="411" w:name="_Toc376713874"/>
      <w:bookmarkStart w:id="412" w:name="_Toc446919491"/>
      <w:r>
        <w:rPr>
          <w:rFonts w:hint="eastAsia" w:ascii="宋体" w:hAnsi="宋体" w:cs="宋体"/>
          <w:color w:val="auto"/>
          <w:highlight w:val="none"/>
        </w:rPr>
        <w:t>5.2.</w:t>
      </w:r>
      <w:bookmarkEnd w:id="399"/>
      <w:bookmarkEnd w:id="400"/>
      <w:bookmarkEnd w:id="401"/>
      <w:bookmarkEnd w:id="402"/>
      <w:bookmarkEnd w:id="403"/>
      <w:bookmarkEnd w:id="404"/>
      <w:bookmarkEnd w:id="405"/>
      <w:r>
        <w:rPr>
          <w:rFonts w:hint="eastAsia" w:ascii="宋体" w:hAnsi="宋体" w:cs="宋体"/>
          <w:color w:val="auto"/>
          <w:highlight w:val="none"/>
        </w:rPr>
        <w:t>1 由于中标人的责任给发包人造成损失的违约责任：发包人有权视违约的情况决定中止或解除本合同，每发生一次，计扣中标人勘察咨询合同总价10%的违约金，给发包人造成损失的还应当赔偿</w:t>
      </w:r>
      <w:bookmarkEnd w:id="406"/>
      <w:bookmarkEnd w:id="407"/>
      <w:bookmarkEnd w:id="408"/>
      <w:r>
        <w:rPr>
          <w:rFonts w:hint="eastAsia" w:ascii="宋体" w:hAnsi="宋体" w:cs="宋体"/>
          <w:color w:val="auto"/>
          <w:highlight w:val="none"/>
        </w:rPr>
        <w:t>。</w:t>
      </w:r>
      <w:bookmarkEnd w:id="409"/>
      <w:bookmarkEnd w:id="410"/>
      <w:bookmarkEnd w:id="411"/>
      <w:bookmarkEnd w:id="412"/>
    </w:p>
    <w:p>
      <w:pPr>
        <w:spacing w:line="460" w:lineRule="exact"/>
        <w:ind w:firstLine="420" w:firstLineChars="200"/>
        <w:rPr>
          <w:rFonts w:ascii="宋体" w:hAnsi="宋体" w:cs="宋体"/>
          <w:color w:val="auto"/>
          <w:highlight w:val="none"/>
        </w:rPr>
      </w:pPr>
      <w:bookmarkStart w:id="413" w:name="_Toc357066673"/>
      <w:bookmarkStart w:id="414" w:name="_Toc335660042"/>
      <w:bookmarkStart w:id="415" w:name="_Toc375725219"/>
      <w:bookmarkStart w:id="416" w:name="_Toc330218130"/>
      <w:bookmarkStart w:id="417" w:name="_Toc376713875"/>
      <w:bookmarkStart w:id="418" w:name="_Toc346269083"/>
      <w:bookmarkStart w:id="419" w:name="_Toc335660455"/>
      <w:bookmarkStart w:id="420" w:name="_Toc335721552"/>
      <w:bookmarkStart w:id="421" w:name="_Toc446919492"/>
      <w:bookmarkStart w:id="422" w:name="_Toc346269503"/>
      <w:bookmarkStart w:id="423" w:name="_Toc330218695"/>
      <w:bookmarkStart w:id="424" w:name="_Toc376012628"/>
      <w:bookmarkStart w:id="425" w:name="_Toc335660922"/>
      <w:bookmarkStart w:id="426" w:name="_Toc335722004"/>
      <w:r>
        <w:rPr>
          <w:rFonts w:hint="eastAsia" w:ascii="宋体" w:hAnsi="宋体" w:cs="宋体"/>
          <w:color w:val="auto"/>
          <w:highlight w:val="none"/>
        </w:rPr>
        <w:t>5.2.2 承包人其他违约与赔偿责任：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（1）如果承包人未能按照招标文件规定的时间提供相应的勘察咨询文件和资料的，则每延期1天，发包人将按勘察咨询合同价格的5‰扣除承包人的违约金，并支付给遭受延误的其他合同的承包人作为赶工费。</w:t>
      </w:r>
    </w:p>
    <w:p>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(2)承包人未按审查意见并在规定期限内完成修改的，则每延期1天，发包人将分别按相应阶段勘察咨询合同价的1‰计扣承包人违约金，累计扣减的违约金不超过勘察咨询合同总价的5%。</w:t>
      </w:r>
    </w:p>
    <w:p>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(3)由于承包人的过失或责任引起本项目发生重大变更或较大变更，导致项目工期拖延或者给发包人造成经济损失的，承包人除应负责继续完善相关勘察、可行性研究报告及各专题论证编制工作并对发包人的损失做出相应赔偿外，发包人还将视承包人造成的项目工期延误和费用损失等情况，计扣承包人勘察设计合同总价5%～10%的违约金。</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(4)承包人违反投标文件中的承诺更换项目负责人、分项负责人的，发包人将处以每名人员5万元的违约金，该违约金将从任何应付的勘察咨询费中扣除；对于违反投标文件中的承诺，更换项目负责人或分项负责人的，导致承包人无法继续履行合同或严重影响到本项目勘察咨询进度和质量的，发包人将有权解除合同，并将向承包人追究由此给发包人造成的经济损失。但对承包人更换项目负责人或分项负责人，是因疾病、意外伤亡或调离，承包人不得不进行更换合格的人员，且更换的人员的资格和能力不低于原来所报人员，并经发包人批准同意的，可不予处以违约金。</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(5)当承包人发生本款约定的违约情况时，发包人有权向承包人处以违约金，具体约定如下：</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①承包人进行的钻探工作未达到有关要求的，发包人将视情况予以扣减一定比例的勘察费用（累计扣减的勘察费用不超过合同总价的20%），给发包人造成其它损失的，由承包人承担。</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②由于承包人调查资料不全或勘察不准确造成项目漏项，致使工程实施时增加工程费用的，则相应扣减合同费用，扣减标准为增加工程造价部分1.5%的违约金，但累计扣减的违约金不超过合同总价的10%。</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③承包人在勘察咨询或在后续服务过程中，泄露应该保密的资料或信息，或与施工投标人或承包人串通作出有损国家或发包人利益或影响施工投标公平竞争的行为，视具体情况，发包人将按合同价的5％-10％计扣违约金，构成犯罪的依法追究刑事责任。</w:t>
      </w:r>
    </w:p>
    <w:p>
      <w:pPr>
        <w:pStyle w:val="112"/>
        <w:spacing w:before="480" w:beforeLines="0" w:after="240" w:afterLines="0"/>
        <w:outlineLvl w:val="1"/>
        <w:rPr>
          <w:rFonts w:ascii="宋体" w:hAnsi="宋体" w:eastAsia="宋体" w:cs="宋体"/>
          <w:b/>
          <w:color w:val="auto"/>
          <w:highlight w:val="none"/>
        </w:rPr>
      </w:pPr>
      <w:bookmarkStart w:id="427" w:name="_Toc446919493"/>
      <w:bookmarkStart w:id="428" w:name="_Toc346269084"/>
      <w:bookmarkStart w:id="429" w:name="_Toc89866147"/>
      <w:bookmarkStart w:id="430" w:name="_Toc326241915"/>
      <w:bookmarkStart w:id="431" w:name="_Toc27477"/>
      <w:bookmarkStart w:id="432" w:name="_Toc16919"/>
      <w:bookmarkStart w:id="433" w:name="_Toc346269504"/>
      <w:bookmarkStart w:id="434" w:name="_Toc335722005"/>
      <w:bookmarkStart w:id="435" w:name="_Toc335660923"/>
      <w:r>
        <w:rPr>
          <w:rFonts w:hint="eastAsia" w:ascii="宋体" w:hAnsi="宋体" w:eastAsia="宋体" w:cs="宋体"/>
          <w:b/>
          <w:color w:val="auto"/>
          <w:highlight w:val="none"/>
        </w:rPr>
        <w:t>7. 费用与支付</w:t>
      </w:r>
      <w:bookmarkEnd w:id="427"/>
      <w:bookmarkEnd w:id="428"/>
      <w:bookmarkEnd w:id="429"/>
      <w:bookmarkEnd w:id="430"/>
      <w:bookmarkEnd w:id="431"/>
      <w:bookmarkEnd w:id="432"/>
      <w:bookmarkEnd w:id="433"/>
      <w:bookmarkEnd w:id="434"/>
      <w:bookmarkEnd w:id="435"/>
    </w:p>
    <w:p>
      <w:pPr>
        <w:spacing w:before="480" w:after="240"/>
        <w:jc w:val="center"/>
        <w:outlineLvl w:val="1"/>
        <w:rPr>
          <w:rFonts w:ascii="黑体" w:hAnsi="宋体" w:eastAsia="黑体"/>
          <w:b/>
          <w:color w:val="auto"/>
          <w:sz w:val="28"/>
          <w:szCs w:val="28"/>
          <w:highlight w:val="none"/>
        </w:rPr>
      </w:pPr>
      <w:r>
        <w:rPr>
          <w:rFonts w:ascii="黑体" w:hAnsi="宋体" w:eastAsia="黑体"/>
          <w:b/>
          <w:color w:val="auto"/>
          <w:sz w:val="28"/>
          <w:szCs w:val="28"/>
          <w:highlight w:val="none"/>
        </w:rPr>
        <w:t>7. 费用与支付</w:t>
      </w:r>
    </w:p>
    <w:p>
      <w:pPr>
        <w:spacing w:line="460" w:lineRule="exact"/>
        <w:ind w:firstLine="420" w:firstLineChars="200"/>
        <w:rPr>
          <w:color w:val="auto"/>
          <w:highlight w:val="none"/>
        </w:rPr>
      </w:pPr>
      <w:r>
        <w:rPr>
          <w:color w:val="auto"/>
          <w:highlight w:val="none"/>
        </w:rPr>
        <w:t>7.1 本合同勘察咨询费用</w:t>
      </w:r>
      <w:r>
        <w:rPr>
          <w:rFonts w:hint="eastAsia"/>
          <w:color w:val="auto"/>
          <w:highlight w:val="none"/>
        </w:rPr>
        <w:t>签约价</w:t>
      </w:r>
      <w:r>
        <w:rPr>
          <w:color w:val="auto"/>
          <w:highlight w:val="none"/>
        </w:rPr>
        <w:t>为：　　万元（大写：　　　　　）</w:t>
      </w:r>
    </w:p>
    <w:p>
      <w:pPr>
        <w:spacing w:line="460" w:lineRule="exact"/>
        <w:ind w:firstLine="420" w:firstLineChars="200"/>
        <w:rPr>
          <w:color w:val="auto"/>
          <w:highlight w:val="none"/>
        </w:rPr>
      </w:pPr>
      <w:r>
        <w:rPr>
          <w:rFonts w:hint="eastAsia"/>
          <w:color w:val="auto"/>
          <w:highlight w:val="none"/>
        </w:rPr>
        <w:t>其中（勘察费    元，大写：    ；工程可行性研究费      元，大写：    ；专题研究费      元，大写：    ；暂列金额       元，大写：     ）。</w:t>
      </w:r>
    </w:p>
    <w:p>
      <w:pPr>
        <w:spacing w:after="120"/>
        <w:ind w:firstLine="420"/>
        <w:rPr>
          <w:rFonts w:ascii="宋体" w:hAnsi="宋体" w:cs="宋体"/>
          <w:b/>
          <w:bCs/>
          <w:color w:val="auto"/>
          <w:szCs w:val="21"/>
          <w:highlight w:val="none"/>
          <w:lang w:val="zh-CN"/>
        </w:rPr>
      </w:pPr>
      <w:r>
        <w:rPr>
          <w:rFonts w:hint="eastAsia"/>
          <w:color w:val="auto"/>
          <w:highlight w:val="none"/>
        </w:rPr>
        <w:t xml:space="preserve">    最终结算费用按合同专用条款7.2、7.3、7.4约定进行。</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 本项目勘察设计咨询费用支付方式如下：</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7.2.1 本合同规定：</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（1）勘察工程量根据承包人实际完成并符合合同规定、符合标准和规范要求的勘察实物工作量进行结算，以承包人提交的经验收的最终勘察文件计算的合格的勘察工作量为准。</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（2）勘察成果及报告须经过发包人组织验收，未经验收或验收不合格的勘察成果不予计量和结算。</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（3）钻孔深度以钻至设计开挖底标高以下2.0米止为准进行计量和验收，孔底标高允许超深为20cm，超出部分不予计量；以符合要求的实际进尺进行计量。</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7.2.2 付款方式</w:t>
      </w:r>
    </w:p>
    <w:p>
      <w:pPr>
        <w:snapToGrid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承包人根据工作进度，向发包人提交支付申请（一式两份），并附相应的支持性证明文件。发包人根据承包人的工作进度，分期支付合同价款。</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因本项目经费为部门预算安排，</w:t>
      </w:r>
      <w:r>
        <w:rPr>
          <w:rFonts w:hint="eastAsia" w:ascii="宋体" w:hAnsi="宋体" w:cs="宋体"/>
          <w:b/>
          <w:bCs/>
          <w:color w:val="auto"/>
          <w:szCs w:val="21"/>
          <w:highlight w:val="none"/>
        </w:rPr>
        <w:t>由于财政资金未按时到位或财政资金管理原因暂时不能支付的，合同价款的支付时间相应顺延，并且发包人不因此承担逾期付款的违约责任。</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7.2.2.1 勘察费</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（1）预付款</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签署后，由承包人提交预付款支付申请，发包人收到预付款支付申请后的14天内，向承包人支付勘察费合同价的30%作为预付款；承包人应当提供等额的增值税发票；本合同履行后，预付款抵作勘察费，不再扣回。</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（2）进度款支付</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①勘察外业结束并经发包人认可后，由承包人提交进度款支付申请，发包人收到进度款支付申请后的14天内，向承包人支付费用至勘察费合同价的80%（含相应的预付款）；承包人应当提供等额的增值税发票。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提交经验收合格的勘察报告后，由承包人提交进度款支付申请，发包人收到进度款支付申请后的28天内，根据承包人实际完成的勘察工作量对应的合同款，支付承包人该项费用的剩余款项；承包人应当提供等额的增值税发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7.2.2.2 咨询费（工程可行性研究报告及专题报告编制费）</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（1）预付款</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签署后，由承包人提交预付款支付申请，发包人收到预付款支付申请后的14天内，向承包人支付工程可行性研究报告及专题报告编制费用合同价的30%作为预付款；承包人应当提供等额的增值税发票；本合同履行后，预付款抵作咨询费，不再扣回。</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（2）进度款支付</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①在提交专题报告送审稿后，由承包人提交进度款支付申请，发包人收到进度款支付申请后的14天内，向承包人支付费用至相应专题研究费合同价的80%（含相应的预付款）；承包人应当提供等额的增值税发票。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②在专题报告通过评审或取得批复后，由承包人提交进度款支付申请，发包人收到进度款支付申请后的14天内，支付承包人该项费用的剩余款项；承包人应当提供等额的增值税发票。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在提交工程可行性研究报告送审稿后，由承包人提交进度款支付申请，发包人收到进度款支付申请后的14天内，向承包人支付费用至相应工程可行性研究报告编制费合同价的80%（含相应的预付款）；承包人应当提供等额的增值税发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④在工程可行性研究报告通过评审或获得批复后，由承包人提交进度款支付申请，发包人收到进度款支付申请后的14天内，支付承包人该项费用的剩余款项；承包人应当提供等额的增值税发票。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⑤各专题研究报告编制根据项目的实际情况和有关法律法规定要求有可能需要开展，也有可能不需要开展。如果不开展某项专题报告编制的，则不支付该专项论证报告编制费用。</w:t>
      </w:r>
    </w:p>
    <w:p>
      <w:pPr>
        <w:spacing w:after="120"/>
        <w:rPr>
          <w:color w:val="auto"/>
          <w:highlight w:val="none"/>
        </w:rPr>
      </w:pPr>
      <w:r>
        <w:rPr>
          <w:rFonts w:hint="eastAsia"/>
          <w:color w:val="auto"/>
          <w:highlight w:val="none"/>
        </w:rPr>
        <w:t xml:space="preserve">    </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7.2.3 费用结算</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本合同的价款按下述约定进行结算：</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（1）勘察费按承包人实际完成并经发包人计量的各单项工作内容的勘察实物工作量进行费用结算；勘察结算单价取投标报价。</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（2）咨询费（工程可行性研究报告及专题报告编制费）按合同价进行结算。如果某项专题报告编制不需要开展工作，则相应扣减该项费用。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7.2.4 有异议的支付</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发包人对承包人提交的付款申请有异议时，发包人应在7个工作日内发出书面通知要求承包人澄清，此时，应在收到承包人书面澄清(以发包人签收的日期为准)之日起28天内支付。如果承包人在收到要求书面澄清的通知后15天内未做任何书面答复，则不予支付，直到承包人作出书面澄清为止。</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7.2.5 承包人收款账户信息如下：</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开户行：</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账户名：</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账  号：</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承包人收款账户发生变更的，应当在变更当日书面告知发包人，否则由此产生的损失由承包人承担；发包人不接受承包人委托第三方收款。</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 暂列金额</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本合同的暂列金额为    </w:t>
      </w:r>
      <w:r>
        <w:rPr>
          <w:rFonts w:hint="eastAsia" w:ascii="宋体" w:hAnsi="宋体" w:cs="宋体"/>
          <w:b/>
          <w:bCs/>
          <w:color w:val="auto"/>
          <w:kern w:val="0"/>
          <w:szCs w:val="21"/>
          <w:highlight w:val="none"/>
        </w:rPr>
        <w:t>万元</w:t>
      </w:r>
      <w:r>
        <w:rPr>
          <w:rFonts w:hint="eastAsia" w:ascii="宋体" w:hAnsi="宋体" w:cs="宋体"/>
          <w:color w:val="auto"/>
          <w:szCs w:val="21"/>
          <w:highlight w:val="none"/>
        </w:rPr>
        <w:t>。这项金额应按发包人的书面指示全部或部分地使用，或根本不予动用。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如果使用暂列金额进行某项额外勘察设计工作，其费用应按承包人投标报价中相应项目的基本单价和实际发生的工作量经发包人核定后支付，或者按实际发生的工作费用经发包人核实后支付。</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 费用的调整</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本款约定为：</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7.4.1 在合同实施期间勘察咨询费不随国家政策变化和物价波动等原因进行调整，方案变更、法律、法规、规范和标准变更等均不能作为承包人的索赔依据，承包人应将该风险考虑在投标报价中。</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在合同执行过程中，岩土类别及孔深、孔数或勘察工期的改变，或地质条件复杂等原因引起的补充或增加勘察工作量，均不改变报价清单中的单价，专用合同条款7.4.2规定的情形除外。</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7.4.2 在合同实施期间，如果勘察实物工作量发生变化，勘察费用应进行调整，其他情况不得调整勘察费用。</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勘察费用调整时，以实际完成并提交成果、符合合同规定、符合标准和规范要求且经发包人</w:t>
      </w:r>
      <w:r>
        <w:rPr>
          <w:rFonts w:hint="eastAsia" w:ascii="宋体" w:hAnsi="宋体" w:cs="宋体"/>
          <w:b/>
          <w:bCs/>
          <w:color w:val="auto"/>
          <w:szCs w:val="21"/>
          <w:highlight w:val="none"/>
        </w:rPr>
        <w:t>核定后</w:t>
      </w:r>
      <w:r>
        <w:rPr>
          <w:rFonts w:hint="eastAsia" w:ascii="宋体" w:hAnsi="宋体"/>
          <w:b/>
          <w:color w:val="auto"/>
          <w:szCs w:val="21"/>
          <w:highlight w:val="none"/>
        </w:rPr>
        <w:t>的勘察实物工作量，</w:t>
      </w:r>
      <w:r>
        <w:rPr>
          <w:rFonts w:hint="eastAsia" w:ascii="宋体" w:hAnsi="宋体" w:cs="宋体"/>
          <w:b/>
          <w:bCs/>
          <w:color w:val="auto"/>
          <w:szCs w:val="21"/>
          <w:highlight w:val="none"/>
        </w:rPr>
        <w:t>按承包人投标报价中相应项目的合同单价</w:t>
      </w:r>
      <w:r>
        <w:rPr>
          <w:rFonts w:hint="eastAsia" w:ascii="宋体" w:hAnsi="宋体"/>
          <w:b/>
          <w:color w:val="auto"/>
          <w:szCs w:val="21"/>
          <w:highlight w:val="none"/>
        </w:rPr>
        <w:t>进行结算；如果勘察实物工作量增加，增加部分结算单价</w:t>
      </w:r>
      <w:r>
        <w:rPr>
          <w:rFonts w:hint="eastAsia" w:ascii="宋体" w:hAnsi="宋体" w:cs="宋体"/>
          <w:b/>
          <w:bCs/>
          <w:color w:val="auto"/>
          <w:szCs w:val="21"/>
          <w:highlight w:val="none"/>
        </w:rPr>
        <w:t>取承包人投标报价中相应项目的合同单价与按国家、行业和地方标准或定额下浮15%确定的单价两者中较低者进行结算；如果</w:t>
      </w:r>
      <w:r>
        <w:rPr>
          <w:rFonts w:hint="eastAsia" w:ascii="宋体" w:hAnsi="宋体"/>
          <w:b/>
          <w:color w:val="auto"/>
          <w:szCs w:val="21"/>
          <w:highlight w:val="none"/>
        </w:rPr>
        <w:t>勘察实物工作量减少，结算单价</w:t>
      </w:r>
      <w:r>
        <w:rPr>
          <w:rFonts w:hint="eastAsia" w:ascii="宋体" w:hAnsi="宋体" w:cs="宋体"/>
          <w:b/>
          <w:bCs/>
          <w:color w:val="auto"/>
          <w:szCs w:val="21"/>
          <w:highlight w:val="none"/>
        </w:rPr>
        <w:t>取承包人投标报价中相应项目的合同单价。</w:t>
      </w:r>
    </w:p>
    <w:p>
      <w:pPr>
        <w:snapToGrid w:val="0"/>
        <w:spacing w:line="360" w:lineRule="auto"/>
        <w:ind w:firstLine="422" w:firstLineChars="200"/>
        <w:rPr>
          <w:rFonts w:ascii="宋体" w:hAnsi="宋体" w:cs="宋体"/>
          <w:b/>
          <w:bCs/>
          <w:color w:val="auto"/>
          <w:szCs w:val="21"/>
          <w:highlight w:val="none"/>
        </w:rPr>
      </w:pPr>
      <w:r>
        <w:rPr>
          <w:rFonts w:hint="eastAsia" w:ascii="宋体" w:hAnsi="宋体"/>
          <w:b/>
          <w:color w:val="auto"/>
          <w:szCs w:val="21"/>
          <w:highlight w:val="none"/>
        </w:rPr>
        <w:t>7.4.3</w:t>
      </w:r>
      <w:r>
        <w:rPr>
          <w:rFonts w:hint="eastAsia" w:ascii="宋体" w:hAnsi="宋体" w:cs="宋体"/>
          <w:b/>
          <w:bCs/>
          <w:color w:val="auto"/>
          <w:szCs w:val="21"/>
          <w:highlight w:val="none"/>
        </w:rPr>
        <w:t>如发包人未书面指示动用“暂列金额”，则在结算时“暂列金额”予以扣减；如全部或部分地使用，则按发包人书面指示按承包人投标报价中相应项目的基本单价和实际发生的工作量经核定后予以结算。</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7.5.1 承包人在签订合同之前，向发包人提交金额为签约合同价的 5 %的履约保证金。承包人未按约定提交履约保证金的，视为乙方放弃中标资格，承包人有权不予与其签订合同；因此给承包人造成损失的，承包人还应承担相应的赔偿责任。</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7.5.2 履约保证金可采用履约银行保函或银行转帐的形式。</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（1）若采用银行保函形式，应采用招标文件所附的格式，由国有商业或股份制商业银行出具。并保证其有效。执行本条规定所需的费用由承包人承担。保函的正本由发包人保存。</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（2）若采用银行转账形式，应当从承包人基本账户转出，且全额一次性转入发包人指定账号，并注明“</w:t>
      </w:r>
      <w:r>
        <w:rPr>
          <w:rFonts w:hint="eastAsia" w:ascii="宋体" w:hAnsi="宋体" w:cs="宋体"/>
          <w:color w:val="auto"/>
          <w:szCs w:val="21"/>
          <w:highlight w:val="none"/>
          <w:lang w:eastAsia="zh-CN"/>
        </w:rPr>
        <w:t>铁山港LNG船及危险品锚地工程前期工作</w:t>
      </w:r>
      <w:r>
        <w:rPr>
          <w:rFonts w:hint="eastAsia" w:ascii="宋体" w:hAnsi="宋体" w:cs="宋体"/>
          <w:color w:val="auto"/>
          <w:szCs w:val="21"/>
          <w:highlight w:val="none"/>
        </w:rPr>
        <w:t>履约保证金”，并且确保在中标通知书发出之日起30日内到账，否则，其履约担保视为无效。</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7.5.3 履约担保在承包人按合同要求完成全部勘察咨询工作并提交全部合格的资料后28天内退还承包人，履约保证金不计利息。</w:t>
      </w:r>
    </w:p>
    <w:p>
      <w:pPr>
        <w:pStyle w:val="112"/>
        <w:spacing w:before="480" w:beforeLines="0" w:after="240" w:afterLines="0"/>
        <w:outlineLvl w:val="1"/>
        <w:rPr>
          <w:rFonts w:ascii="宋体" w:hAnsi="宋体" w:eastAsia="宋体" w:cs="宋体"/>
          <w:b/>
          <w:color w:val="auto"/>
          <w:highlight w:val="none"/>
        </w:rPr>
      </w:pPr>
      <w:bookmarkStart w:id="436" w:name="_Toc326241916"/>
      <w:bookmarkStart w:id="437" w:name="_Toc335660924"/>
      <w:bookmarkStart w:id="438" w:name="_Toc335722006"/>
      <w:bookmarkStart w:id="439" w:name="_Toc2643"/>
      <w:bookmarkStart w:id="440" w:name="_Toc346269085"/>
      <w:bookmarkStart w:id="441" w:name="_Toc346269505"/>
      <w:bookmarkStart w:id="442" w:name="_Toc89866148"/>
      <w:bookmarkStart w:id="443" w:name="_Toc446919494"/>
      <w:bookmarkStart w:id="444" w:name="_Toc32674"/>
      <w:r>
        <w:rPr>
          <w:rFonts w:hint="eastAsia" w:ascii="宋体" w:hAnsi="宋体" w:eastAsia="宋体" w:cs="宋体"/>
          <w:b/>
          <w:color w:val="auto"/>
          <w:highlight w:val="none"/>
        </w:rPr>
        <w:t xml:space="preserve">8. </w:t>
      </w:r>
      <w:bookmarkEnd w:id="436"/>
      <w:bookmarkEnd w:id="437"/>
      <w:bookmarkEnd w:id="438"/>
      <w:r>
        <w:rPr>
          <w:rFonts w:hint="eastAsia" w:ascii="宋体" w:hAnsi="宋体" w:eastAsia="宋体" w:cs="宋体"/>
          <w:b/>
          <w:color w:val="auto"/>
          <w:highlight w:val="none"/>
        </w:rPr>
        <w:t>其他</w:t>
      </w:r>
      <w:bookmarkEnd w:id="439"/>
      <w:bookmarkEnd w:id="440"/>
      <w:bookmarkEnd w:id="441"/>
      <w:bookmarkEnd w:id="442"/>
      <w:bookmarkEnd w:id="443"/>
      <w:bookmarkEnd w:id="444"/>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8.3 争议的解决</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本款约定为：争议的终解决方式：</w:t>
      </w:r>
      <w:r>
        <w:rPr>
          <w:rFonts w:hint="eastAsia" w:ascii="宋体" w:hAnsi="宋体" w:cs="宋体"/>
          <w:color w:val="auto"/>
          <w:szCs w:val="21"/>
          <w:highlight w:val="none"/>
        </w:rPr>
        <w:sym w:font="Wingdings" w:char="F0A8"/>
      </w:r>
      <w:r>
        <w:rPr>
          <w:rFonts w:hint="eastAsia" w:ascii="宋体" w:hAnsi="宋体" w:cs="宋体"/>
          <w:color w:val="auto"/>
          <w:szCs w:val="21"/>
          <w:highlight w:val="none"/>
        </w:rPr>
        <w:t>仲裁/</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诉讼。</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如采用仲裁，仲裁机构名称：</w:t>
      </w:r>
      <w:r>
        <w:rPr>
          <w:rFonts w:hint="eastAsia" w:ascii="宋体" w:hAnsi="宋体" w:cs="宋体"/>
          <w:color w:val="auto"/>
          <w:szCs w:val="21"/>
          <w:highlight w:val="none"/>
        </w:rPr>
        <w:tab/>
      </w:r>
      <w:r>
        <w:rPr>
          <w:rFonts w:hint="eastAsia" w:ascii="宋体" w:hAnsi="宋体" w:cs="宋体"/>
          <w:color w:val="auto"/>
          <w:szCs w:val="21"/>
          <w:highlight w:val="none"/>
        </w:rPr>
        <w:t>/  。</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如采用诉讼，诉讼机构名称：发包人所在地南宁市有管辖权的人民法院 。</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因本合同一方违约而产生的一切法律纠纷，守约方为解决争议所产生的诉讼费、律师代理费、鉴定费、公证费、合理调查费、保全费、诉讼财产保全保险费及执行费等，均由违约方承担。</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8.4 农民工工资的发放：在合同实施期间，承包人应按国家、地方有关规定保障足额发放所聘参与本工程的农民工的工资，不得以任何理由和借口拖欠农民工的工资。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因拖欠农民工工资引起的一切纠纷，均由承包人自行承担责任。</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8.5 保险：</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8.5.1承包人应按规定办理履行本合同所需要的工程责任险，并在合同履行期间保持足额、有效。</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8.5.2 工程责任险的保险范围，应当包括由于承包人的疏忽或过失而造成的工程质量事故损失，以及由于事故引发的第三者人身伤亡、财产损失或费用赔偿等。</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8.5.3 发生工程勘察保险事故后，承包人应按保险人要求进行报告，并负责办理保险理赔业务；保险金不足以补偿损失的，由承包人自行补偿。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8.6 资料保密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除法律规定或合同另有约定外，未经发包人同意，承包人不得将发包人提供的图纸、文件以及声明需要保密的资料信息等商业秘密泄露给第三方。保密义务长期有效，不因本合同的终止、解除等事由失去效力。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8.7通知送达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一方发给对方的文件均以本合同载明的地址、电话等通讯方式为准，若一方变更地址、电话等通讯信息的，应即时以书面形式通知对方，否则，通知人按合同中对方的地址、电话等通讯方式发给对方的文件即视为通知人履行了送达文件的义务。如因合同中一方地址错误或地址变更没有书面通知造成送达不能的，由该方自行承担一切损失和责任。各类书面通知以书面文件为准，接收方签收之时起即为送达。无法直接传送的，市区内自文件邮寄之日起三天后视为已送达，市区外自发送之日起五天后视为已送达。</w:t>
      </w:r>
    </w:p>
    <w:p>
      <w:pPr>
        <w:pStyle w:val="2"/>
        <w:rPr>
          <w:rFonts w:hAnsi="宋体"/>
          <w:color w:val="auto"/>
          <w:szCs w:val="21"/>
          <w:highlight w:val="none"/>
        </w:rPr>
      </w:pPr>
    </w:p>
    <w:p>
      <w:pPr>
        <w:pStyle w:val="2"/>
        <w:rPr>
          <w:rFonts w:hAnsi="宋体"/>
          <w:color w:val="auto"/>
          <w:szCs w:val="21"/>
          <w:highlight w:val="none"/>
        </w:rPr>
      </w:pPr>
    </w:p>
    <w:p>
      <w:pPr>
        <w:pStyle w:val="2"/>
        <w:rPr>
          <w:rFonts w:hAnsi="宋体"/>
          <w:color w:val="auto"/>
          <w:szCs w:val="21"/>
          <w:highlight w:val="none"/>
        </w:rPr>
      </w:pPr>
    </w:p>
    <w:p>
      <w:pPr>
        <w:pStyle w:val="2"/>
        <w:rPr>
          <w:rFonts w:hAnsi="宋体"/>
          <w:color w:val="auto"/>
          <w:szCs w:val="21"/>
          <w:highlight w:val="none"/>
        </w:rPr>
      </w:pPr>
    </w:p>
    <w:p>
      <w:pPr>
        <w:pStyle w:val="2"/>
        <w:rPr>
          <w:rFonts w:hAnsi="宋体"/>
          <w:color w:val="auto"/>
          <w:szCs w:val="21"/>
          <w:highlight w:val="none"/>
        </w:rPr>
      </w:pPr>
    </w:p>
    <w:p>
      <w:pPr>
        <w:pStyle w:val="2"/>
        <w:rPr>
          <w:rFonts w:hAnsi="宋体"/>
          <w:color w:val="auto"/>
          <w:szCs w:val="21"/>
          <w:highlight w:val="none"/>
        </w:rPr>
      </w:pPr>
    </w:p>
    <w:p>
      <w:pPr>
        <w:pStyle w:val="4"/>
        <w:jc w:val="center"/>
        <w:rPr>
          <w:color w:val="auto"/>
          <w:highlight w:val="none"/>
        </w:rPr>
      </w:pPr>
      <w:r>
        <w:rPr>
          <w:rFonts w:hint="eastAsia"/>
          <w:color w:val="auto"/>
          <w:sz w:val="28"/>
          <w:szCs w:val="28"/>
          <w:highlight w:val="none"/>
        </w:rPr>
        <w:t>第三节  合同协议书</w:t>
      </w:r>
    </w:p>
    <w:p>
      <w:pPr>
        <w:jc w:val="center"/>
        <w:rPr>
          <w:color w:val="auto"/>
          <w:szCs w:val="21"/>
          <w:highlight w:val="none"/>
        </w:rPr>
      </w:pPr>
      <w:r>
        <w:rPr>
          <w:rFonts w:hint="eastAsia" w:ascii="宋体" w:hAnsi="宋体"/>
          <w:color w:val="auto"/>
          <w:sz w:val="28"/>
          <w:szCs w:val="28"/>
          <w:highlight w:val="none"/>
        </w:rPr>
        <w:t>合同协议书</w:t>
      </w:r>
    </w:p>
    <w:p>
      <w:pPr>
        <w:snapToGrid w:val="0"/>
        <w:spacing w:line="360" w:lineRule="auto"/>
        <w:jc w:val="center"/>
        <w:rPr>
          <w:rFonts w:ascii="宋体" w:hAnsi="宋体" w:cs="宋体"/>
          <w:b/>
          <w:color w:val="auto"/>
          <w:szCs w:val="21"/>
          <w:highlight w:val="none"/>
        </w:rPr>
      </w:pP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本合同协议书由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(以下简称“甲方（发包人）”)与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(以下简称“乙方（承包人）”)于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日共同签署。</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甲方（发包人）通过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日的中标通知书，接受了乙方（承包人）为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(项目名称)的前期工作承担单位，投标报价总额为人民币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万元(大写)，</w:t>
      </w:r>
      <w:r>
        <w:rPr>
          <w:rFonts w:ascii="宋体" w:hAnsi="宋体"/>
          <w:snapToGrid w:val="0"/>
          <w:color w:val="auto"/>
          <w:kern w:val="0"/>
          <w:sz w:val="24"/>
          <w:highlight w:val="none"/>
        </w:rPr>
        <w:t xml:space="preserve">其中勘察费为 </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万元，</w:t>
      </w:r>
      <w:r>
        <w:rPr>
          <w:rFonts w:hint="eastAsia" w:ascii="宋体" w:hAnsi="宋体"/>
          <w:snapToGrid w:val="0"/>
          <w:color w:val="auto"/>
          <w:kern w:val="0"/>
          <w:sz w:val="24"/>
          <w:highlight w:val="none"/>
        </w:rPr>
        <w:t>工程可行性研究编制</w:t>
      </w:r>
      <w:r>
        <w:rPr>
          <w:rFonts w:ascii="宋体" w:hAnsi="宋体"/>
          <w:snapToGrid w:val="0"/>
          <w:color w:val="auto"/>
          <w:kern w:val="0"/>
          <w:sz w:val="24"/>
          <w:highlight w:val="none"/>
        </w:rPr>
        <w:t>费为</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万元，</w:t>
      </w:r>
      <w:r>
        <w:rPr>
          <w:rFonts w:hint="eastAsia" w:ascii="宋体" w:hAnsi="宋体"/>
          <w:snapToGrid w:val="0"/>
          <w:color w:val="auto"/>
          <w:kern w:val="0"/>
          <w:sz w:val="24"/>
          <w:highlight w:val="none"/>
        </w:rPr>
        <w:t>专题研究</w:t>
      </w:r>
      <w:r>
        <w:rPr>
          <w:rFonts w:ascii="宋体" w:hAnsi="宋体"/>
          <w:snapToGrid w:val="0"/>
          <w:color w:val="auto"/>
          <w:kern w:val="0"/>
          <w:sz w:val="24"/>
          <w:highlight w:val="none"/>
        </w:rPr>
        <w:t>费为</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万元，</w:t>
      </w:r>
      <w:r>
        <w:rPr>
          <w:rFonts w:hint="eastAsia" w:ascii="宋体" w:hAnsi="宋体" w:cs="宋体"/>
          <w:color w:val="auto"/>
          <w:szCs w:val="21"/>
          <w:highlight w:val="none"/>
        </w:rPr>
        <w:t>暂列金额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为此，甲、乙双方达成如下协议：</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一、本协议书中所用术语的含义与勘察咨询合同条款中的含义相同。</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二、下列文件应作为本合同的组成部分，并互为补充和解释，但如有含义不清或互相矛盾之处，以如下排序在前者优先：</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(1)合同协议书及各种合同附件(含评标期间和合同谈判过程中的澄清文件和补充资料；咨询人提交的经发包人审核通过的勘察咨询详细工作大纲及进度计划、专题研究详细工作大纲等)；</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(2)中标通知书；</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(3)投标函；</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(4)专用合同条款；</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(5)通用合同条款；</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(6)技术要求；</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(7)工作量及报价清单；</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(8)联合体协议（如有）</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（9）构成本合同组成部分的其他文件(补遗书、澄清函)。</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三、甲方（发包人）和乙方（承包人）双方的责任和义务及违约条款遵照合同条款的规定。</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四、本合同的总金额是完成本合同所规定义务的签约合同价，最终的合同结算价按合同专用条款7.2款约定计算。甲方（发包人）将按进度和合同条款相应规定支付。</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五、本合同协议书未尽事宜由双方协商解决。双方经协商可另行签订补充协议，补充协议是合同的组成部分。补充协议与合同不一致之处，以补充协议为准。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六、本合同协议书经双方法定代表人或其委托代理人签字并加盖双方单位公章后、且发包人收到承包人的履约担保后生效，合同费用结清后、在双方履行完本合同项下全部权利义务后终止。双方要恪守信誉，严格履行。</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七、本合同正本两份，双方各执</w:t>
      </w:r>
      <w:r>
        <w:rPr>
          <w:rFonts w:hint="eastAsia" w:ascii="宋体" w:hAnsi="宋体" w:cs="宋体"/>
          <w:color w:val="auto"/>
          <w:szCs w:val="21"/>
          <w:highlight w:val="none"/>
          <w:u w:val="single"/>
        </w:rPr>
        <w:t>1</w:t>
      </w:r>
      <w:r>
        <w:rPr>
          <w:rFonts w:hint="eastAsia" w:ascii="宋体" w:hAnsi="宋体" w:cs="宋体"/>
          <w:color w:val="auto"/>
          <w:szCs w:val="21"/>
          <w:highlight w:val="none"/>
        </w:rPr>
        <w:t>份；副本10份，发包人执</w:t>
      </w:r>
      <w:r>
        <w:rPr>
          <w:rFonts w:hint="eastAsia" w:ascii="宋体" w:hAnsi="宋体" w:cs="宋体"/>
          <w:color w:val="auto"/>
          <w:szCs w:val="21"/>
          <w:highlight w:val="none"/>
          <w:u w:val="single"/>
        </w:rPr>
        <w:t>5</w:t>
      </w:r>
      <w:r>
        <w:rPr>
          <w:rFonts w:hint="eastAsia" w:ascii="宋体" w:hAnsi="宋体" w:cs="宋体"/>
          <w:color w:val="auto"/>
          <w:szCs w:val="21"/>
          <w:highlight w:val="none"/>
        </w:rPr>
        <w:t>份，承包人执</w:t>
      </w:r>
      <w:r>
        <w:rPr>
          <w:rFonts w:hint="eastAsia" w:ascii="宋体" w:hAnsi="宋体" w:cs="宋体"/>
          <w:color w:val="auto"/>
          <w:szCs w:val="21"/>
          <w:highlight w:val="none"/>
          <w:u w:val="single"/>
        </w:rPr>
        <w:t>5</w:t>
      </w:r>
      <w:r>
        <w:rPr>
          <w:rFonts w:hint="eastAsia" w:ascii="宋体" w:hAnsi="宋体" w:cs="宋体"/>
          <w:color w:val="auto"/>
          <w:szCs w:val="21"/>
          <w:highlight w:val="none"/>
        </w:rPr>
        <w:t>份。正副本具有同等法律效力；当正本与副本内容不一致时，以正本为准。</w:t>
      </w: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甲方（发包人）：广西壮族自治区港航发展中心               乙方（承包人）：  （单位全称）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（盖章）                                    （盖章）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                                     法定代表人</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或                                             或</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委托代理人签名：                    　         委托代理人签名：</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收款单位全称：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银行帐号：</w:t>
      </w:r>
    </w:p>
    <w:p>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开户行：</w:t>
      </w:r>
    </w:p>
    <w:p>
      <w:pPr>
        <w:snapToGrid w:val="0"/>
        <w:spacing w:line="360" w:lineRule="auto"/>
        <w:rPr>
          <w:rFonts w:ascii="宋体" w:hAnsi="宋体" w:cs="宋体"/>
          <w:bCs/>
          <w:color w:val="auto"/>
          <w:szCs w:val="21"/>
          <w:highlight w:val="none"/>
        </w:rPr>
      </w:pP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地址：</w:t>
      </w:r>
      <w:r>
        <w:rPr>
          <w:rFonts w:hint="eastAsia" w:ascii="宋体" w:hAnsi="宋体" w:cs="宋体"/>
          <w:bCs/>
          <w:color w:val="auto"/>
          <w:szCs w:val="21"/>
          <w:highlight w:val="none"/>
          <w:u w:val="single"/>
        </w:rPr>
        <w:t>南宁市百花路67号</w:t>
      </w:r>
      <w:r>
        <w:rPr>
          <w:rFonts w:hint="eastAsia" w:ascii="宋体" w:hAnsi="宋体" w:cs="宋体"/>
          <w:bCs/>
          <w:color w:val="auto"/>
          <w:szCs w:val="21"/>
          <w:highlight w:val="none"/>
        </w:rPr>
        <w:t xml:space="preserve">      　　              地址：</w:t>
      </w:r>
      <w:r>
        <w:rPr>
          <w:rFonts w:hint="eastAsia" w:ascii="宋体" w:hAnsi="宋体" w:cs="宋体"/>
          <w:bCs/>
          <w:color w:val="auto"/>
          <w:szCs w:val="21"/>
          <w:highlight w:val="none"/>
          <w:u w:val="single"/>
        </w:rPr>
        <w:t>　　　　　</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电话：</w:t>
      </w:r>
      <w:r>
        <w:rPr>
          <w:rFonts w:hint="eastAsia" w:ascii="宋体" w:hAnsi="宋体" w:cs="宋体"/>
          <w:bCs/>
          <w:color w:val="auto"/>
          <w:spacing w:val="-20"/>
          <w:szCs w:val="21"/>
          <w:highlight w:val="none"/>
          <w:u w:val="single"/>
        </w:rPr>
        <w:t>0771-2115343，2115331</w:t>
      </w:r>
      <w:r>
        <w:rPr>
          <w:rFonts w:hint="eastAsia" w:ascii="宋体" w:hAnsi="宋体" w:cs="宋体"/>
          <w:bCs/>
          <w:color w:val="auto"/>
          <w:szCs w:val="21"/>
          <w:highlight w:val="none"/>
        </w:rPr>
        <w:t xml:space="preserve">                        电话：</w:t>
      </w:r>
      <w:r>
        <w:rPr>
          <w:rFonts w:hint="eastAsia" w:ascii="宋体" w:hAnsi="宋体" w:cs="宋体"/>
          <w:bCs/>
          <w:color w:val="auto"/>
          <w:szCs w:val="21"/>
          <w:highlight w:val="none"/>
          <w:u w:val="single"/>
        </w:rPr>
        <w:t>　　　　　</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日期：</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日期：</w:t>
      </w:r>
      <w:r>
        <w:rPr>
          <w:rFonts w:hint="eastAsia" w:ascii="宋体" w:hAnsi="宋体" w:cs="宋体"/>
          <w:bCs/>
          <w:color w:val="auto"/>
          <w:szCs w:val="21"/>
          <w:highlight w:val="none"/>
          <w:u w:val="single"/>
        </w:rPr>
        <w:t>　　　　　</w:t>
      </w:r>
    </w:p>
    <w:p>
      <w:pPr>
        <w:rPr>
          <w:color w:val="auto"/>
          <w:highlight w:val="none"/>
        </w:rPr>
      </w:pPr>
      <w:bookmarkStart w:id="445" w:name="_Toc20065"/>
    </w:p>
    <w:p>
      <w:pPr>
        <w:rPr>
          <w:color w:val="auto"/>
          <w:highlight w:val="none"/>
        </w:rPr>
      </w:pPr>
    </w:p>
    <w:p>
      <w:pPr>
        <w:rPr>
          <w:color w:val="auto"/>
          <w:highlight w:val="none"/>
        </w:rPr>
      </w:pPr>
    </w:p>
    <w:p>
      <w:pPr>
        <w:rPr>
          <w:color w:val="auto"/>
          <w:highlight w:val="none"/>
        </w:rPr>
      </w:pPr>
      <w:r>
        <w:rPr>
          <w:rFonts w:hint="eastAsia"/>
          <w:color w:val="auto"/>
          <w:highlight w:val="none"/>
        </w:rPr>
        <w:br w:type="page"/>
      </w:r>
    </w:p>
    <w:bookmarkEnd w:id="445"/>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廉政合同</w:t>
      </w:r>
    </w:p>
    <w:p>
      <w:pPr>
        <w:snapToGrid w:val="0"/>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 xml:space="preserve">根据《关于在交通基础设施建设中加强廉政建设的若干意见》以及有关工程建设、廉政建设的规定，为做好工程建设中的党风廉政建设，保证工程建设高效优质，保证建设资金的安全和有效使用以及投资效益，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（以下简称:甲方（发包人））为一方与另一方</w:t>
      </w:r>
      <w:r>
        <w:rPr>
          <w:rFonts w:hint="eastAsia" w:ascii="宋体" w:hAnsi="宋体" w:cs="宋体"/>
          <w:color w:val="auto"/>
          <w:szCs w:val="21"/>
          <w:highlight w:val="none"/>
          <w:u w:val="single"/>
        </w:rPr>
        <w:t xml:space="preserve">  全称    </w:t>
      </w:r>
      <w:r>
        <w:rPr>
          <w:rFonts w:hint="eastAsia" w:ascii="宋体" w:hAnsi="宋体" w:cs="宋体"/>
          <w:color w:val="auto"/>
          <w:szCs w:val="21"/>
          <w:highlight w:val="none"/>
        </w:rPr>
        <w:t>（以下称乙方（承包人）），特订立如下合同。</w:t>
      </w:r>
    </w:p>
    <w:p>
      <w:pPr>
        <w:snapToGrid w:val="0"/>
        <w:spacing w:line="360" w:lineRule="auto"/>
        <w:ind w:left="602" w:firstLine="480"/>
        <w:rPr>
          <w:rFonts w:ascii="宋体" w:hAnsi="宋体" w:cs="宋体"/>
          <w:color w:val="auto"/>
          <w:szCs w:val="21"/>
          <w:highlight w:val="none"/>
        </w:rPr>
      </w:pPr>
      <w:r>
        <w:rPr>
          <w:rFonts w:hint="eastAsia" w:ascii="宋体" w:hAnsi="宋体" w:cs="宋体"/>
          <w:color w:val="auto"/>
          <w:szCs w:val="21"/>
          <w:highlight w:val="none"/>
        </w:rPr>
        <w:t>第一条  双方的权利和义务</w:t>
      </w:r>
    </w:p>
    <w:p>
      <w:pPr>
        <w:snapToGrid w:val="0"/>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（一）严格遵守党和国家有关法律法规及交通运输部的有关规定。</w:t>
      </w:r>
    </w:p>
    <w:p>
      <w:pPr>
        <w:snapToGrid w:val="0"/>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（二）严格执行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合同文件，自觉按合同办事。</w:t>
      </w:r>
    </w:p>
    <w:p>
      <w:pPr>
        <w:snapToGrid w:val="0"/>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（三）双方的业务活动坚持公开、公正、诚信、透明的原则（除法律认定的商业秘密和合同文件另有规定之外），不得损害国家和集体利益，违反工程建设管理规章制度。</w:t>
      </w:r>
    </w:p>
    <w:p>
      <w:pPr>
        <w:snapToGrid w:val="0"/>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（四）建立健全廉政制度，开展廉政教育，设立廉政告示牌，公布举报电话，监督并认真查处违法违纪行为。</w:t>
      </w:r>
    </w:p>
    <w:p>
      <w:pPr>
        <w:snapToGrid w:val="0"/>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（五）发现对方在业务活动中有违反廉政规定的行为，有及时提醒对方纠正的权利和义务。</w:t>
      </w:r>
    </w:p>
    <w:p>
      <w:pPr>
        <w:snapToGrid w:val="0"/>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（六）发现对方严重违反本合同义务条款的行为，有向其上级有关部门举报、建议给予处理并要求告知处理结果的权利。</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第二条 甲方（发包人）的义务</w:t>
      </w:r>
    </w:p>
    <w:p>
      <w:pPr>
        <w:snapToGrid w:val="0"/>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（一）甲方（发包人）及其工作人员不得索要或接受乙方（承包人）的礼金、有价证券和贵重物品，不得让乙方（承包人）报销任何应由甲方（发包人）或个人支付的费用等。</w:t>
      </w:r>
    </w:p>
    <w:p>
      <w:pPr>
        <w:snapToGrid w:val="0"/>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（二）甲方（发包人）工作人员不得参加乙方（承包人）安排的超标准宴请和娱乐活动；不得接受乙方（承包人）提供的通讯工具、交通工具和高档办公用品等。</w:t>
      </w:r>
    </w:p>
    <w:p>
      <w:pPr>
        <w:snapToGrid w:val="0"/>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（三）甲方（发包人）及其工作人员不得要求或者接受乙方（承包人）为其住房装修、婚丧嫁娶活动、配偶子女的工作安排以及出国出境、旅游等提供方便等。</w:t>
      </w:r>
    </w:p>
    <w:p>
      <w:pPr>
        <w:snapToGrid w:val="0"/>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四）不准向乙方（承包人）和相关单位介绍或为配偶、子女、亲属参与同甲方（发包人）项目工程合同有关的咨询业务等活动。不得以任何理由要求乙方（承包人）和相关单位在咨询中使用某种产品、材料和设备。</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第三条  乙方（承包人）义务</w:t>
      </w:r>
    </w:p>
    <w:p>
      <w:pPr>
        <w:snapToGrid w:val="0"/>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（一）乙方（承包人）不得以任何理由向甲方（发包人）及其工作人员行贿或馈赠礼金、有价证券、贵重礼品。</w:t>
      </w:r>
    </w:p>
    <w:p>
      <w:pPr>
        <w:snapToGrid w:val="0"/>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（二）乙方（承包人）不得以任何名义为甲方（发包人）及其工作人员报销应由甲方（发包人）单位或个人支付的任何费用。</w:t>
      </w:r>
    </w:p>
    <w:p>
      <w:pPr>
        <w:snapToGrid w:val="0"/>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（三）乙方（承包人）不得以任何理由安排甲方（发包人）工作人员参加超标准宴请及娱乐活动。</w:t>
      </w:r>
    </w:p>
    <w:p>
      <w:pPr>
        <w:snapToGrid w:val="0"/>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（四）乙方（承包人）不得为甲方（发包人）单位和个人购置或提供通讯工具、交通工具和高档办公用品等。</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第四条  违约责任</w:t>
      </w:r>
    </w:p>
    <w:p>
      <w:pPr>
        <w:snapToGrid w:val="0"/>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一）甲方（发包人）及其工作人员违反本合同第一、二条，按管理权限，依据有关规定给予党纪、政纪处分或组织处理；涉嫌犯罪的，移交司法机关追究刑事责任；给乙方（承包人）单位造成经济损失的，应予以赔偿。</w:t>
      </w:r>
    </w:p>
    <w:p>
      <w:pPr>
        <w:snapToGrid w:val="0"/>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二）乙方（承包人）及其工作人员违反本合同第一、三条，按管理权限，依据有关规定给予党纪、政纪处分或组织处理；给甲方（发包人）单位造成经济损失的，应予以赔偿；情节严重的，甲方（发包人）建议交通工程建设主管部门给予乙方（承包人）一至三年内不得进入其主管的交通工程建设市场的处罚。</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第五条：双方约定：本合同由双方或双方上级单位的纪检监察机关负责监督。由甲方（发包人）或甲方（发包人）上级单位的纪检监察机关约请乙方（承包人）或乙方（承包人）上级单位纪检监察机关对本合同履行情况进行检查，提出在本合同规定范围内的裁定意见。</w:t>
      </w:r>
    </w:p>
    <w:p>
      <w:pPr>
        <w:snapToGrid w:val="0"/>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第六条  本合同自双方法定代表人或其委托代理人签字并加盖双方单位公章后、且发包人收到承包人的履约担保后生效，至本项目全部成果通过验收后终止。</w:t>
      </w:r>
    </w:p>
    <w:p>
      <w:pPr>
        <w:snapToGrid w:val="0"/>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第七条  本合同作为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合同的附件，与咨询合同具有同等的法律效力。</w:t>
      </w:r>
    </w:p>
    <w:p>
      <w:pPr>
        <w:snapToGrid w:val="0"/>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第八条  本合同正本两份，双方各执</w:t>
      </w:r>
      <w:r>
        <w:rPr>
          <w:rFonts w:hint="eastAsia" w:ascii="宋体" w:hAnsi="宋体" w:cs="宋体"/>
          <w:color w:val="auto"/>
          <w:szCs w:val="21"/>
          <w:highlight w:val="none"/>
          <w:u w:val="single"/>
        </w:rPr>
        <w:t>1</w:t>
      </w:r>
      <w:r>
        <w:rPr>
          <w:rFonts w:hint="eastAsia" w:ascii="宋体" w:hAnsi="宋体" w:cs="宋体"/>
          <w:color w:val="auto"/>
          <w:szCs w:val="21"/>
          <w:highlight w:val="none"/>
        </w:rPr>
        <w:t>份；副本10份，发包人执</w:t>
      </w:r>
      <w:r>
        <w:rPr>
          <w:rFonts w:hint="eastAsia" w:ascii="宋体" w:hAnsi="宋体" w:cs="宋体"/>
          <w:color w:val="auto"/>
          <w:szCs w:val="21"/>
          <w:highlight w:val="none"/>
          <w:u w:val="single"/>
        </w:rPr>
        <w:t>5</w:t>
      </w:r>
      <w:r>
        <w:rPr>
          <w:rFonts w:hint="eastAsia" w:ascii="宋体" w:hAnsi="宋体" w:cs="宋体"/>
          <w:color w:val="auto"/>
          <w:szCs w:val="21"/>
          <w:highlight w:val="none"/>
        </w:rPr>
        <w:t>份，承包人执</w:t>
      </w:r>
      <w:r>
        <w:rPr>
          <w:rFonts w:hint="eastAsia" w:ascii="宋体" w:hAnsi="宋体" w:cs="宋体"/>
          <w:color w:val="auto"/>
          <w:szCs w:val="21"/>
          <w:highlight w:val="none"/>
          <w:u w:val="single"/>
        </w:rPr>
        <w:t>5</w:t>
      </w:r>
      <w:r>
        <w:rPr>
          <w:rFonts w:hint="eastAsia" w:ascii="宋体" w:hAnsi="宋体" w:cs="宋体"/>
          <w:color w:val="auto"/>
          <w:szCs w:val="21"/>
          <w:highlight w:val="none"/>
        </w:rPr>
        <w:t>份。。</w:t>
      </w:r>
    </w:p>
    <w:p>
      <w:pPr>
        <w:snapToGrid w:val="0"/>
        <w:spacing w:line="360" w:lineRule="auto"/>
        <w:ind w:firstLine="480"/>
        <w:rPr>
          <w:rFonts w:ascii="宋体" w:hAnsi="宋体" w:cs="宋体"/>
          <w:color w:val="auto"/>
          <w:szCs w:val="21"/>
          <w:highlight w:val="none"/>
        </w:rPr>
      </w:pP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甲方（发包人）：</w:t>
      </w:r>
      <w:r>
        <w:rPr>
          <w:rFonts w:hint="eastAsia" w:ascii="宋体" w:hAnsi="宋体" w:cs="宋体"/>
          <w:color w:val="auto"/>
          <w:szCs w:val="21"/>
          <w:highlight w:val="none"/>
          <w:u w:val="single"/>
        </w:rPr>
        <w:t>（单位全称）   （盖单位章）</w:t>
      </w:r>
      <w:r>
        <w:rPr>
          <w:rFonts w:hint="eastAsia" w:ascii="宋体" w:hAnsi="宋体" w:cs="宋体"/>
          <w:color w:val="auto"/>
          <w:szCs w:val="21"/>
          <w:highlight w:val="none"/>
        </w:rPr>
        <w:t xml:space="preserve">        乙方（承包人）：</w:t>
      </w:r>
      <w:r>
        <w:rPr>
          <w:rFonts w:hint="eastAsia" w:ascii="宋体" w:hAnsi="宋体" w:cs="宋体"/>
          <w:color w:val="auto"/>
          <w:szCs w:val="21"/>
          <w:highlight w:val="none"/>
          <w:u w:val="single"/>
        </w:rPr>
        <w:t>（单位全称）   （盖单位章）</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                                    法定代表人</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或                                            或</w:t>
      </w: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（职务）</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（职务）</w:t>
      </w: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（姓名）</w:t>
      </w: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（签字）</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（签字）</w:t>
      </w:r>
    </w:p>
    <w:p>
      <w:pPr>
        <w:snapToGrid w:val="0"/>
        <w:spacing w:line="360" w:lineRule="auto"/>
        <w:ind w:firstLine="561"/>
        <w:jc w:val="left"/>
        <w:outlineLvl w:val="1"/>
        <w:rPr>
          <w:rFonts w:ascii="宋体" w:hAnsi="宋体" w:cs="宋体"/>
          <w:b/>
          <w:color w:val="auto"/>
          <w:szCs w:val="21"/>
          <w:highlight w:val="none"/>
        </w:rPr>
      </w:pPr>
      <w:bookmarkStart w:id="446" w:name="_Toc38903739"/>
      <w:bookmarkStart w:id="447" w:name="_Toc14116"/>
      <w:r>
        <w:rPr>
          <w:rFonts w:hint="eastAsia" w:ascii="宋体" w:hAnsi="宋体" w:cs="宋体"/>
          <w:b/>
          <w:color w:val="auto"/>
          <w:szCs w:val="21"/>
          <w:highlight w:val="none"/>
        </w:rPr>
        <w:br w:type="page"/>
      </w:r>
      <w:bookmarkEnd w:id="446"/>
      <w:bookmarkEnd w:id="447"/>
      <w:r>
        <w:rPr>
          <w:rFonts w:hint="eastAsia" w:ascii="宋体" w:hAnsi="宋体" w:cs="宋体"/>
          <w:b/>
          <w:color w:val="auto"/>
          <w:szCs w:val="21"/>
          <w:highlight w:val="none"/>
        </w:rPr>
        <w:t xml:space="preserve"> </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安全生产合同</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为北海铁山港LNG船及危险品工程前期工作的实施过程中创造安全、高效的工作环境，切实搞好本工程的安全管理工作，本工程业主</w:t>
      </w:r>
      <w:r>
        <w:rPr>
          <w:rFonts w:hint="eastAsia" w:ascii="宋体" w:hAnsi="宋体" w:cs="宋体"/>
          <w:color w:val="auto"/>
          <w:szCs w:val="21"/>
          <w:highlight w:val="none"/>
          <w:u w:val="single"/>
        </w:rPr>
        <w:t>广西壮族自治区港航发展中心</w:t>
      </w:r>
      <w:r>
        <w:rPr>
          <w:rFonts w:hint="eastAsia" w:ascii="宋体" w:hAnsi="宋体" w:cs="宋体"/>
          <w:color w:val="auto"/>
          <w:szCs w:val="21"/>
          <w:highlight w:val="none"/>
        </w:rPr>
        <w:t>（以下简称“甲方（发包人）”）与xxxxxxx（以下简称“乙方（承包人）”）特此签订安全生产合同：</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一、甲方（发包人）职责</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1．严格遵守国家有关安全生产的法律法规，认真执行合同中的有关安全要求。</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2．按照“安全第一、预防为主”和坚持“管生产必须管安全”的原则进行安全生产管理，做到生产与安全工作同时计划、布置、检查、总结和评比。</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3．重要的安全设施必须坚持与主体工程“三同时”的原则，即：同时咨询、审批，同时施工，同时验收，投入使用。</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4．定期召开安全生产调度会，及时传达中央及地方有关安全生产的精神。</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5．组织对乙方（承包人）施工现场安全生产检查，监督乙方（承包人）及时处理发现的各项安全隐患。</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二、乙方（承包人）职责</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1．严格遵守国家有关安全生产的法律法规，执行交通部颁发的有关安全生产的规定，认真执行合同中的有安全要求。</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3．建立健全安全生产责任制。从派往项目实施的勘察及咨询（包括临时雇请的民工）的安全生产管理系统必须做到纵向到底，一环不漏；各职能部门、人员的安全生产责任制做到横向到边，人人有责。现场设置的安全机构，应按施工人员的1%～3%配备安全员，专职负责所有员工的安全和治安保卫工作及预防事故的发生。安全机构人员，有权按有关规定发布指令，并采取保护性措施防止事故发生。</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4．乙方（承包人）在任何时候都应采取各种合理的预防措施，防止其员工发生任何违法、违禁、暴力或妨碍治安的行为。</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5．乙方（承包人）必须具有劳动安全管理部门颁发的安全生产证书，参加勘察及咨询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乙方（承包人）必须承担管理责任。</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6．对于易燃易爆的材料除应专门妥善保管之外，还应配备有足够的消防设施，所有施工人员都应熟悉消防设备的性能和使用方法；乙方（承包人）不得将任何种类的爆炸物给予、易货或以其他方式转让给任何其他人，或允许、容忍上述同样行为。</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7．操作人员上岗，必须按规定穿戴防护用品。施工负责人和安全检查员应随时检查劳动防护用品的穿戴情况，不按规定穿戴防护用品的人员不得上岗。</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8．所有施工机具设备和高空作业的设备均应定期检查，并有安全员的签字记录，保证其经常处于完好状态；不合格的机具、设备和劳动保护用品严禁使用。</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9．施工中采用新技术、新工艺、新设备、新材料时，必须制定相应的安全技术措施，施工现场必须具有相关的安全标志牌。</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10．乙方（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三、违约责任</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如因甲方（发包人）或乙方（承包人）违约造成安全事故，将依法追究责任。</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本合同正本两份，双方各执</w:t>
      </w:r>
      <w:r>
        <w:rPr>
          <w:rFonts w:hint="eastAsia" w:ascii="宋体" w:hAnsi="宋体" w:cs="宋体"/>
          <w:color w:val="auto"/>
          <w:szCs w:val="21"/>
          <w:highlight w:val="none"/>
          <w:u w:val="single"/>
        </w:rPr>
        <w:t>1</w:t>
      </w:r>
      <w:r>
        <w:rPr>
          <w:rFonts w:hint="eastAsia" w:ascii="宋体" w:hAnsi="宋体" w:cs="宋体"/>
          <w:color w:val="auto"/>
          <w:szCs w:val="21"/>
          <w:highlight w:val="none"/>
        </w:rPr>
        <w:t>份；副本10份，发包人执</w:t>
      </w:r>
      <w:r>
        <w:rPr>
          <w:rFonts w:hint="eastAsia" w:ascii="宋体" w:hAnsi="宋体" w:cs="宋体"/>
          <w:color w:val="auto"/>
          <w:szCs w:val="21"/>
          <w:highlight w:val="none"/>
          <w:u w:val="single"/>
        </w:rPr>
        <w:t>5</w:t>
      </w:r>
      <w:r>
        <w:rPr>
          <w:rFonts w:hint="eastAsia" w:ascii="宋体" w:hAnsi="宋体" w:cs="宋体"/>
          <w:color w:val="auto"/>
          <w:szCs w:val="21"/>
          <w:highlight w:val="none"/>
        </w:rPr>
        <w:t>份，承包人执</w:t>
      </w:r>
      <w:r>
        <w:rPr>
          <w:rFonts w:hint="eastAsia" w:ascii="宋体" w:hAnsi="宋体" w:cs="宋体"/>
          <w:color w:val="auto"/>
          <w:szCs w:val="21"/>
          <w:highlight w:val="none"/>
          <w:u w:val="single"/>
        </w:rPr>
        <w:t>5</w:t>
      </w:r>
      <w:r>
        <w:rPr>
          <w:rFonts w:hint="eastAsia" w:ascii="宋体" w:hAnsi="宋体" w:cs="宋体"/>
          <w:color w:val="auto"/>
          <w:szCs w:val="21"/>
          <w:highlight w:val="none"/>
        </w:rPr>
        <w:t>份。由双方法定代表人或其委托代理人签字并加盖双方单位公章后、且发包人收到承包人的履约担保后生效，至本项目全部成果通过验收后终止。</w:t>
      </w:r>
    </w:p>
    <w:p>
      <w:pPr>
        <w:snapToGrid w:val="0"/>
        <w:spacing w:line="360" w:lineRule="auto"/>
        <w:ind w:firstLine="561"/>
        <w:rPr>
          <w:rFonts w:ascii="宋体" w:hAnsi="宋体" w:cs="宋体"/>
          <w:color w:val="auto"/>
          <w:szCs w:val="21"/>
          <w:highlight w:val="none"/>
        </w:rPr>
      </w:pP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甲方（发包人）：广西壮族自治区港航发展中心（盖章） 乙方（承包人）：（单位全称）（盖章） </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法定代表人                                 法定代表人</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或其委托代理人签名：                   或其委托代理人签名：</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签字日期：      年   月  日            签字日期：      年   月  日</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单位地址：南宁市新民路67号            单位地址： </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联系电话：                             联系电话：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传真：                                 传真：</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邮政编码：                             邮政编码：　</w:t>
      </w:r>
    </w:p>
    <w:p>
      <w:pPr>
        <w:rPr>
          <w:color w:val="auto"/>
          <w:highlight w:val="none"/>
        </w:rPr>
      </w:pPr>
      <w:bookmarkStart w:id="448" w:name="_Toc7528"/>
      <w:bookmarkStart w:id="449" w:name="_Toc38903740"/>
      <w:bookmarkStart w:id="450" w:name="_Toc366663403"/>
    </w:p>
    <w:p>
      <w:pPr>
        <w:rPr>
          <w:color w:val="auto"/>
          <w:highlight w:val="none"/>
        </w:rPr>
      </w:pPr>
    </w:p>
    <w:p>
      <w:pPr>
        <w:tabs>
          <w:tab w:val="left" w:pos="864"/>
        </w:tabs>
        <w:outlineLvl w:val="1"/>
        <w:rPr>
          <w:rFonts w:ascii="宋体" w:hAnsi="宋体" w:cs="宋体"/>
          <w:color w:val="auto"/>
          <w:szCs w:val="21"/>
          <w:highlight w:val="none"/>
        </w:rPr>
      </w:pPr>
      <w:r>
        <w:rPr>
          <w:rFonts w:hint="eastAsia" w:ascii="宋体" w:hAnsi="宋体" w:cs="宋体"/>
          <w:b/>
          <w:color w:val="auto"/>
          <w:szCs w:val="21"/>
          <w:highlight w:val="none"/>
        </w:rPr>
        <w:br w:type="page"/>
      </w:r>
      <w:bookmarkEnd w:id="448"/>
      <w:bookmarkEnd w:id="449"/>
      <w:bookmarkEnd w:id="450"/>
      <w:r>
        <w:rPr>
          <w:rFonts w:hint="eastAsia" w:ascii="宋体" w:hAnsi="宋体" w:cs="宋体"/>
          <w:color w:val="auto"/>
          <w:szCs w:val="21"/>
          <w:highlight w:val="none"/>
        </w:rPr>
        <w:t xml:space="preserve"> </w:t>
      </w:r>
    </w:p>
    <w:p>
      <w:pPr>
        <w:snapToGrid w:val="0"/>
        <w:spacing w:line="360" w:lineRule="auto"/>
        <w:ind w:firstLine="561"/>
        <w:rPr>
          <w:rFonts w:ascii="宋体" w:hAnsi="宋体" w:cs="宋体"/>
          <w:color w:val="auto"/>
          <w:szCs w:val="21"/>
          <w:highlight w:val="none"/>
        </w:rPr>
      </w:pPr>
    </w:p>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履约担保</w:t>
      </w:r>
    </w:p>
    <w:p>
      <w:pPr>
        <w:snapToGrid w:val="0"/>
        <w:spacing w:line="360" w:lineRule="auto"/>
        <w:ind w:firstLine="561"/>
        <w:rPr>
          <w:rFonts w:ascii="宋体" w:hAnsi="宋体" w:cs="宋体"/>
          <w:color w:val="auto"/>
          <w:szCs w:val="21"/>
          <w:highlight w:val="none"/>
        </w:rPr>
      </w:pP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广西壮族自治区港航发展中心：</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广西壮族自治区港航发展中心</w:t>
      </w:r>
      <w:r>
        <w:rPr>
          <w:rFonts w:hint="eastAsia" w:ascii="宋体" w:hAnsi="宋体" w:cs="宋体"/>
          <w:color w:val="auto"/>
          <w:szCs w:val="21"/>
          <w:highlight w:val="none"/>
        </w:rPr>
        <w:t>（下称‘业主’）接受</w:t>
      </w:r>
      <w:r>
        <w:rPr>
          <w:rFonts w:hint="eastAsia" w:ascii="宋体" w:hAnsi="宋体" w:cs="宋体"/>
          <w:color w:val="auto"/>
          <w:szCs w:val="21"/>
          <w:highlight w:val="none"/>
          <w:u w:val="single"/>
        </w:rPr>
        <w:t xml:space="preserve">（承包人全称）  </w:t>
      </w:r>
      <w:r>
        <w:rPr>
          <w:rFonts w:hint="eastAsia" w:ascii="宋体" w:hAnsi="宋体" w:cs="宋体"/>
          <w:color w:val="auto"/>
          <w:szCs w:val="21"/>
          <w:highlight w:val="none"/>
        </w:rPr>
        <w:t>（下称‘承包人’）于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的投标。我方愿意无条件地、不可撤消地就承包人履行与你方订立的合同，向你方提供担保。</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1、担保金额为人民币(大写)  万元（¥   元）。</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2、担保有效期自业主与承包人签订的合同生效之日起至承包人按合同要求完成全部工作并全部提交合格的资料后30天止。</w:t>
      </w:r>
    </w:p>
    <w:p>
      <w:pPr>
        <w:snapToGrid w:val="0"/>
        <w:spacing w:line="360" w:lineRule="auto"/>
        <w:ind w:firstLine="561"/>
        <w:rPr>
          <w:rFonts w:ascii="宋体" w:hAnsi="宋体" w:cs="宋体"/>
          <w:color w:val="auto"/>
          <w:szCs w:val="21"/>
          <w:highlight w:val="none"/>
        </w:rPr>
      </w:pPr>
      <w:r>
        <w:rPr>
          <w:rFonts w:hint="eastAsia" w:ascii="宋体" w:hAnsi="宋体" w:cs="宋体"/>
          <w:color w:val="auto"/>
          <w:szCs w:val="21"/>
          <w:highlight w:val="none"/>
        </w:rPr>
        <w:t>3、在本担保有效期内，因承包人违反合同约定的义务给你方造成经济损失时，我方在收到你方以书面形式提出的在担保金额内的赔偿要求后，7天内无条件支付。</w:t>
      </w:r>
    </w:p>
    <w:p>
      <w:pPr>
        <w:snapToGrid w:val="0"/>
        <w:spacing w:line="360" w:lineRule="auto"/>
        <w:ind w:firstLine="561"/>
        <w:rPr>
          <w:rFonts w:ascii="宋体" w:hAnsi="宋体" w:cs="宋体"/>
          <w:color w:val="auto"/>
          <w:szCs w:val="21"/>
          <w:highlight w:val="none"/>
        </w:rPr>
      </w:pPr>
    </w:p>
    <w:p>
      <w:pPr>
        <w:snapToGrid w:val="0"/>
        <w:spacing w:line="360" w:lineRule="auto"/>
        <w:ind w:firstLine="3580"/>
        <w:rPr>
          <w:rFonts w:ascii="宋体" w:hAnsi="宋体" w:cs="宋体"/>
          <w:color w:val="auto"/>
          <w:szCs w:val="21"/>
          <w:highlight w:val="none"/>
        </w:rPr>
      </w:pPr>
      <w:r>
        <w:rPr>
          <w:rFonts w:hint="eastAsia" w:ascii="宋体" w:hAnsi="宋体" w:cs="宋体"/>
          <w:color w:val="auto"/>
          <w:szCs w:val="21"/>
          <w:highlight w:val="none"/>
        </w:rPr>
        <w:t xml:space="preserve">担保银行：   （银行全称）  （盖单位章）  </w:t>
      </w:r>
    </w:p>
    <w:p>
      <w:pPr>
        <w:snapToGrid w:val="0"/>
        <w:spacing w:line="360" w:lineRule="auto"/>
        <w:ind w:firstLine="3580"/>
        <w:rPr>
          <w:rFonts w:ascii="宋体" w:hAnsi="宋体" w:cs="宋体"/>
          <w:color w:val="auto"/>
          <w:szCs w:val="21"/>
          <w:highlight w:val="none"/>
        </w:rPr>
      </w:pPr>
      <w:r>
        <w:rPr>
          <w:rFonts w:hint="eastAsia" w:ascii="宋体" w:hAnsi="宋体" w:cs="宋体"/>
          <w:color w:val="auto"/>
          <w:szCs w:val="21"/>
          <w:highlight w:val="none"/>
        </w:rPr>
        <w:t>法定代表人</w:t>
      </w:r>
    </w:p>
    <w:p>
      <w:pPr>
        <w:snapToGrid w:val="0"/>
        <w:spacing w:line="360" w:lineRule="auto"/>
        <w:ind w:firstLine="3580"/>
        <w:rPr>
          <w:rFonts w:ascii="宋体" w:hAnsi="宋体" w:cs="宋体"/>
          <w:color w:val="auto"/>
          <w:szCs w:val="21"/>
          <w:highlight w:val="none"/>
        </w:rPr>
      </w:pPr>
      <w:r>
        <w:rPr>
          <w:rFonts w:hint="eastAsia" w:ascii="宋体" w:hAnsi="宋体" w:cs="宋体"/>
          <w:color w:val="auto"/>
          <w:szCs w:val="21"/>
          <w:highlight w:val="none"/>
        </w:rPr>
        <w:t>或其委托代理人：     (签字)</w:t>
      </w:r>
    </w:p>
    <w:p>
      <w:pPr>
        <w:snapToGrid w:val="0"/>
        <w:spacing w:line="360" w:lineRule="auto"/>
        <w:ind w:firstLine="3580"/>
        <w:rPr>
          <w:rFonts w:ascii="宋体" w:hAnsi="宋体" w:cs="宋体"/>
          <w:color w:val="auto"/>
          <w:szCs w:val="21"/>
          <w:highlight w:val="none"/>
        </w:rPr>
      </w:pPr>
      <w:r>
        <w:rPr>
          <w:rFonts w:hint="eastAsia" w:ascii="宋体" w:hAnsi="宋体" w:cs="宋体"/>
          <w:color w:val="auto"/>
          <w:szCs w:val="21"/>
          <w:highlight w:val="none"/>
        </w:rPr>
        <w:t>地    址：</w:t>
      </w:r>
    </w:p>
    <w:p>
      <w:pPr>
        <w:snapToGrid w:val="0"/>
        <w:spacing w:line="360" w:lineRule="auto"/>
        <w:ind w:firstLine="3580"/>
        <w:rPr>
          <w:rFonts w:ascii="宋体" w:hAnsi="宋体" w:cs="宋体"/>
          <w:color w:val="auto"/>
          <w:szCs w:val="21"/>
          <w:highlight w:val="none"/>
        </w:rPr>
      </w:pPr>
      <w:r>
        <w:rPr>
          <w:rFonts w:hint="eastAsia" w:ascii="宋体" w:hAnsi="宋体" w:cs="宋体"/>
          <w:color w:val="auto"/>
          <w:szCs w:val="21"/>
          <w:highlight w:val="none"/>
        </w:rPr>
        <w:t>邮政编码：</w:t>
      </w:r>
    </w:p>
    <w:p>
      <w:pPr>
        <w:snapToGrid w:val="0"/>
        <w:spacing w:line="360" w:lineRule="auto"/>
        <w:ind w:firstLine="3580"/>
        <w:rPr>
          <w:rFonts w:ascii="宋体" w:hAnsi="宋体" w:cs="宋体"/>
          <w:color w:val="auto"/>
          <w:szCs w:val="21"/>
          <w:highlight w:val="none"/>
        </w:rPr>
      </w:pPr>
      <w:r>
        <w:rPr>
          <w:rFonts w:hint="eastAsia" w:ascii="宋体" w:hAnsi="宋体" w:cs="宋体"/>
          <w:color w:val="auto"/>
          <w:szCs w:val="21"/>
          <w:highlight w:val="none"/>
        </w:rPr>
        <w:t>电    话：</w:t>
      </w:r>
    </w:p>
    <w:p>
      <w:pPr>
        <w:snapToGrid w:val="0"/>
        <w:spacing w:line="360" w:lineRule="auto"/>
        <w:ind w:firstLine="3580"/>
        <w:rPr>
          <w:rFonts w:ascii="宋体" w:hAnsi="宋体" w:cs="宋体"/>
          <w:color w:val="auto"/>
          <w:szCs w:val="21"/>
          <w:highlight w:val="none"/>
        </w:rPr>
      </w:pPr>
      <w:r>
        <w:rPr>
          <w:rFonts w:hint="eastAsia" w:ascii="宋体" w:hAnsi="宋体" w:cs="宋体"/>
          <w:color w:val="auto"/>
          <w:szCs w:val="21"/>
          <w:highlight w:val="none"/>
        </w:rPr>
        <w:t>传    真：</w:t>
      </w:r>
    </w:p>
    <w:p>
      <w:pPr>
        <w:snapToGrid w:val="0"/>
        <w:spacing w:line="360" w:lineRule="auto"/>
        <w:ind w:firstLine="3580"/>
        <w:rPr>
          <w:rFonts w:ascii="宋体" w:hAnsi="宋体" w:cs="宋体"/>
          <w:color w:val="auto"/>
          <w:szCs w:val="21"/>
          <w:highlight w:val="none"/>
        </w:rPr>
      </w:pPr>
      <w:r>
        <w:rPr>
          <w:rFonts w:hint="eastAsia" w:ascii="宋体" w:hAnsi="宋体" w:cs="宋体"/>
          <w:color w:val="auto"/>
          <w:szCs w:val="21"/>
          <w:highlight w:val="none"/>
        </w:rPr>
        <w:t>日    期：      年     月     日</w:t>
      </w:r>
    </w:p>
    <w:p>
      <w:pPr>
        <w:spacing w:before="4"/>
        <w:rPr>
          <w:rFonts w:ascii="宋体" w:hAnsi="宋体" w:cs="宋体"/>
          <w:color w:val="auto"/>
          <w:sz w:val="6"/>
          <w:szCs w:val="6"/>
          <w:highlight w:val="none"/>
        </w:rPr>
      </w:pPr>
    </w:p>
    <w:p>
      <w:pPr>
        <w:spacing w:line="360" w:lineRule="auto"/>
        <w:ind w:firstLine="420" w:firstLineChars="200"/>
        <w:rPr>
          <w:rFonts w:hAnsi="宋体"/>
          <w:color w:val="auto"/>
          <w:szCs w:val="21"/>
          <w:highlight w:val="none"/>
        </w:rPr>
      </w:pPr>
    </w:p>
    <w:sectPr>
      <w:pgSz w:w="11906" w:h="16838"/>
      <w:pgMar w:top="1240" w:right="1134" w:bottom="13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altName w:val="宋体"/>
    <w:panose1 w:val="02010800040101010101"/>
    <w:charset w:val="86"/>
    <w:family w:val="auto"/>
    <w:pitch w:val="default"/>
    <w:sig w:usb0="00000000" w:usb1="00000000" w:usb2="00000010" w:usb3="00000000" w:csb0="00040000" w:csb1="00000000"/>
  </w:font>
  <w:font w:name="Adobe 黑体 Std R">
    <w:altName w:val="黑体"/>
    <w:panose1 w:val="00000000000000000000"/>
    <w:charset w:val="86"/>
    <w:family w:val="swiss"/>
    <w:pitch w:val="default"/>
    <w:sig w:usb0="00000000" w:usb1="00000000" w:usb2="00000016" w:usb3="00000000" w:csb0="00060007"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0000000000000000000"/>
    <w:charset w:val="86"/>
    <w:family w:val="auto"/>
    <w:pitch w:val="default"/>
    <w:sig w:usb0="00000000" w:usb1="00000000" w:usb2="00000012"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6"/>
        <w:sz w:val="21"/>
      </w:rPr>
    </w:pPr>
    <w:r>
      <w:rPr>
        <w:sz w:val="21"/>
      </w:rPr>
      <w:fldChar w:fldCharType="begin"/>
    </w:r>
    <w:r>
      <w:rPr>
        <w:rStyle w:val="36"/>
        <w:sz w:val="21"/>
      </w:rPr>
      <w:instrText xml:space="preserve">PAGE  </w:instrText>
    </w:r>
    <w:r>
      <w:rPr>
        <w:sz w:val="21"/>
      </w:rPr>
      <w:fldChar w:fldCharType="separate"/>
    </w:r>
    <w:r>
      <w:rPr>
        <w:rStyle w:val="36"/>
        <w:sz w:val="21"/>
      </w:rPr>
      <w:t>0</w:t>
    </w:r>
    <w:r>
      <w:rPr>
        <w:sz w:val="21"/>
      </w:rPr>
      <w:fldChar w:fldCharType="end"/>
    </w:r>
  </w:p>
  <w:p>
    <w:pPr>
      <w:pStyle w:val="24"/>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3" name="文本框 51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pStyle w:val="2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125"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4vdRNAAAAACAQAADwAAAAAAAAABACAAAAAiAAAA&#10;ZHJzL2Rvd25yZXYueG1sUEsBAhQAFAAAAAgAh07iQEWgluPWAQAApwMAAA4AAAAAAAAAAQAgAAAA&#10;HwEAAGRycy9lMm9Eb2MueG1sUEsFBgAAAAAGAAYAWQEAAGcFA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1" name="文本框 51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4"/>
                            <w:jc w:val="center"/>
                          </w:pPr>
                          <w:r>
                            <w:fldChar w:fldCharType="begin"/>
                          </w:r>
                          <w:r>
                            <w:instrText xml:space="preserve"> PAGE   \* MERGEFORMAT </w:instrText>
                          </w:r>
                          <w:r>
                            <w:fldChar w:fldCharType="separate"/>
                          </w:r>
                          <w:r>
                            <w:rPr>
                              <w:lang w:val="zh-CN"/>
                            </w:rPr>
                            <w:t>98</w:t>
                          </w:r>
                          <w:r>
                            <w:rPr>
                              <w:lang w:val="zh-CN"/>
                            </w:rP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V+SdAAAAADAQAADwAAAAAAAAABACAAAAAiAAAA&#10;ZHJzL2Rvd25yZXYueG1sUEsBAhQAFAAAAAgAh07iQBTpuwrWAQAAqAMAAA4AAAAAAAAAAQAgAAAA&#10;HwEAAGRycy9lMm9Eb2MueG1sUEsFBgAAAAAGAAYAWQEAAGcFAAAAAA==&#10;">
              <v:fill on="f" focussize="0,0"/>
              <v:stroke on="f"/>
              <v:imagedata o:title=""/>
              <o:lock v:ext="edit" aspectratio="f"/>
              <v:textbox inset="0mm,0mm,0mm,0mm" style="mso-fit-shape-to-text:t;">
                <w:txbxContent>
                  <w:p>
                    <w:pPr>
                      <w:pStyle w:val="24"/>
                      <w:jc w:val="center"/>
                    </w:pPr>
                    <w:r>
                      <w:fldChar w:fldCharType="begin"/>
                    </w:r>
                    <w:r>
                      <w:instrText xml:space="preserve"> PAGE   \* MERGEFORMAT </w:instrText>
                    </w:r>
                    <w:r>
                      <w:fldChar w:fldCharType="separate"/>
                    </w:r>
                    <w:r>
                      <w:rPr>
                        <w:lang w:val="zh-CN"/>
                      </w:rPr>
                      <w:t>98</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2" name="文本框 512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4"/>
                          </w:pPr>
                          <w:r>
                            <w:fldChar w:fldCharType="begin"/>
                          </w:r>
                          <w:r>
                            <w:instrText xml:space="preserve"> PAGE  \* MERGEFORMAT </w:instrText>
                          </w:r>
                          <w:r>
                            <w:fldChar w:fldCharType="separate"/>
                          </w:r>
                          <w:r>
                            <w:t>66</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V+SdAAAAADAQAADwAAAAAAAAABACAAAAAiAAAA&#10;ZHJzL2Rvd25yZXYueG1sUEsBAhQAFAAAAAgAh07iQJUw7J/WAQAAqAMAAA4AAAAAAAAAAQAgAAAA&#10;HwEAAGRycy9lMm9Eb2MueG1sUEsFBgAAAAAGAAYAWQEAAGcFA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tabs>
        <w:tab w:val="clear" w:pos="8306"/>
      </w:tabs>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s>
      <w:snapToGrid w:val="0"/>
      <w:ind w:left="-141" w:leftChars="-67"/>
      <w:rPr>
        <w:sz w:val="18"/>
        <w:szCs w:val="18"/>
      </w:rPr>
    </w:pPr>
    <w:r>
      <w:rPr>
        <w:rFonts w:hint="eastAsia" w:ascii="宋体" w:hAnsi="宋体" w:cs="宋体"/>
        <w:kern w:val="0"/>
        <w:sz w:val="18"/>
        <w:szCs w:val="18"/>
        <w:u w:val="single"/>
      </w:rPr>
      <w:t xml:space="preserve">北海港铁山港LNG船及危险品锚地工程前期工作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CEB78"/>
    <w:multiLevelType w:val="singleLevel"/>
    <w:tmpl w:val="EB8CEB78"/>
    <w:lvl w:ilvl="0" w:tentative="0">
      <w:start w:val="3"/>
      <w:numFmt w:val="chineseCounting"/>
      <w:suff w:val="space"/>
      <w:lvlText w:val="第%1章"/>
      <w:lvlJc w:val="left"/>
      <w:rPr>
        <w:rFonts w:hint="eastAsia"/>
        <w:b/>
      </w:rPr>
    </w:lvl>
  </w:abstractNum>
  <w:abstractNum w:abstractNumId="1">
    <w:nsid w:val="F3A2986D"/>
    <w:multiLevelType w:val="singleLevel"/>
    <w:tmpl w:val="F3A2986D"/>
    <w:lvl w:ilvl="0" w:tentative="0">
      <w:start w:val="2"/>
      <w:numFmt w:val="decimal"/>
      <w:suff w:val="space"/>
      <w:lvlText w:val="%1."/>
      <w:lvlJc w:val="left"/>
    </w:lvl>
  </w:abstractNum>
  <w:abstractNum w:abstractNumId="2">
    <w:nsid w:val="005516B5"/>
    <w:multiLevelType w:val="singleLevel"/>
    <w:tmpl w:val="005516B5"/>
    <w:lvl w:ilvl="0" w:tentative="0">
      <w:start w:val="3"/>
      <w:numFmt w:val="chineseCounting"/>
      <w:suff w:val="nothing"/>
      <w:lvlText w:val="（%1）"/>
      <w:lvlJc w:val="left"/>
      <w:rPr>
        <w:rFonts w:hint="eastAsia"/>
      </w:rPr>
    </w:lvl>
  </w:abstractNum>
  <w:abstractNum w:abstractNumId="3">
    <w:nsid w:val="53C9F15C"/>
    <w:multiLevelType w:val="singleLevel"/>
    <w:tmpl w:val="53C9F15C"/>
    <w:lvl w:ilvl="0" w:tentative="0">
      <w:start w:val="2"/>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NjNmMjFlYmRiZGMwZWRjNWE3NGI3NWQ0OWE0MjIifQ=="/>
  </w:docVars>
  <w:rsids>
    <w:rsidRoot w:val="00F34B14"/>
    <w:rsid w:val="00000672"/>
    <w:rsid w:val="00001013"/>
    <w:rsid w:val="00001799"/>
    <w:rsid w:val="00001AF2"/>
    <w:rsid w:val="00001ECA"/>
    <w:rsid w:val="0000216E"/>
    <w:rsid w:val="00002731"/>
    <w:rsid w:val="00002D29"/>
    <w:rsid w:val="00003B4E"/>
    <w:rsid w:val="00003B93"/>
    <w:rsid w:val="000046C3"/>
    <w:rsid w:val="0000474D"/>
    <w:rsid w:val="00005FDF"/>
    <w:rsid w:val="000070B3"/>
    <w:rsid w:val="000076B8"/>
    <w:rsid w:val="000109DC"/>
    <w:rsid w:val="00010D39"/>
    <w:rsid w:val="0001172C"/>
    <w:rsid w:val="00012854"/>
    <w:rsid w:val="00012EA6"/>
    <w:rsid w:val="000139CF"/>
    <w:rsid w:val="00013AA4"/>
    <w:rsid w:val="00013DFE"/>
    <w:rsid w:val="000141EA"/>
    <w:rsid w:val="00016ABC"/>
    <w:rsid w:val="000177DB"/>
    <w:rsid w:val="000179C9"/>
    <w:rsid w:val="00017CCC"/>
    <w:rsid w:val="00017D9A"/>
    <w:rsid w:val="00020227"/>
    <w:rsid w:val="00020455"/>
    <w:rsid w:val="00020813"/>
    <w:rsid w:val="00020E21"/>
    <w:rsid w:val="000220B2"/>
    <w:rsid w:val="0002264C"/>
    <w:rsid w:val="00022731"/>
    <w:rsid w:val="00022792"/>
    <w:rsid w:val="00023AF0"/>
    <w:rsid w:val="00024463"/>
    <w:rsid w:val="00025461"/>
    <w:rsid w:val="00025636"/>
    <w:rsid w:val="00025E36"/>
    <w:rsid w:val="00026855"/>
    <w:rsid w:val="00026886"/>
    <w:rsid w:val="00027660"/>
    <w:rsid w:val="000315BC"/>
    <w:rsid w:val="000326E0"/>
    <w:rsid w:val="000329E0"/>
    <w:rsid w:val="00032D03"/>
    <w:rsid w:val="00033A91"/>
    <w:rsid w:val="000352E9"/>
    <w:rsid w:val="00035494"/>
    <w:rsid w:val="00036125"/>
    <w:rsid w:val="00036A07"/>
    <w:rsid w:val="0003780B"/>
    <w:rsid w:val="00040571"/>
    <w:rsid w:val="00040973"/>
    <w:rsid w:val="0004156E"/>
    <w:rsid w:val="00041713"/>
    <w:rsid w:val="0004440C"/>
    <w:rsid w:val="00046B5E"/>
    <w:rsid w:val="000470CB"/>
    <w:rsid w:val="000478AA"/>
    <w:rsid w:val="0004799C"/>
    <w:rsid w:val="0005077E"/>
    <w:rsid w:val="000509D9"/>
    <w:rsid w:val="00051ACB"/>
    <w:rsid w:val="0005322A"/>
    <w:rsid w:val="000533E7"/>
    <w:rsid w:val="00055D41"/>
    <w:rsid w:val="00057CD6"/>
    <w:rsid w:val="00057E08"/>
    <w:rsid w:val="00060DCE"/>
    <w:rsid w:val="000610E3"/>
    <w:rsid w:val="000614F3"/>
    <w:rsid w:val="0006234D"/>
    <w:rsid w:val="000623B4"/>
    <w:rsid w:val="00062405"/>
    <w:rsid w:val="000634A7"/>
    <w:rsid w:val="00063B0B"/>
    <w:rsid w:val="00063F81"/>
    <w:rsid w:val="00064847"/>
    <w:rsid w:val="00065E08"/>
    <w:rsid w:val="000673E2"/>
    <w:rsid w:val="000675ED"/>
    <w:rsid w:val="0007063F"/>
    <w:rsid w:val="000707FD"/>
    <w:rsid w:val="00070949"/>
    <w:rsid w:val="000711E4"/>
    <w:rsid w:val="00072AED"/>
    <w:rsid w:val="00072F45"/>
    <w:rsid w:val="00073A84"/>
    <w:rsid w:val="00073F47"/>
    <w:rsid w:val="0007492F"/>
    <w:rsid w:val="00074ED8"/>
    <w:rsid w:val="00075B7E"/>
    <w:rsid w:val="00077538"/>
    <w:rsid w:val="00077ACA"/>
    <w:rsid w:val="00077C70"/>
    <w:rsid w:val="00080445"/>
    <w:rsid w:val="00080A78"/>
    <w:rsid w:val="000813B5"/>
    <w:rsid w:val="00081BA3"/>
    <w:rsid w:val="00081D2E"/>
    <w:rsid w:val="00081F89"/>
    <w:rsid w:val="00082150"/>
    <w:rsid w:val="000821D3"/>
    <w:rsid w:val="00082619"/>
    <w:rsid w:val="00082D02"/>
    <w:rsid w:val="00083871"/>
    <w:rsid w:val="00083B91"/>
    <w:rsid w:val="0008473C"/>
    <w:rsid w:val="0008520B"/>
    <w:rsid w:val="000860BD"/>
    <w:rsid w:val="000862B0"/>
    <w:rsid w:val="000871B8"/>
    <w:rsid w:val="00087859"/>
    <w:rsid w:val="000916DA"/>
    <w:rsid w:val="00092442"/>
    <w:rsid w:val="000929EF"/>
    <w:rsid w:val="0009560F"/>
    <w:rsid w:val="0009588E"/>
    <w:rsid w:val="000959EE"/>
    <w:rsid w:val="00097183"/>
    <w:rsid w:val="000972CB"/>
    <w:rsid w:val="00097608"/>
    <w:rsid w:val="000A0419"/>
    <w:rsid w:val="000A063A"/>
    <w:rsid w:val="000A13F3"/>
    <w:rsid w:val="000A23B1"/>
    <w:rsid w:val="000A2B0E"/>
    <w:rsid w:val="000A398F"/>
    <w:rsid w:val="000A3BC5"/>
    <w:rsid w:val="000A448C"/>
    <w:rsid w:val="000A509C"/>
    <w:rsid w:val="000A6007"/>
    <w:rsid w:val="000A65A6"/>
    <w:rsid w:val="000A70E3"/>
    <w:rsid w:val="000A7275"/>
    <w:rsid w:val="000A7A12"/>
    <w:rsid w:val="000A7A72"/>
    <w:rsid w:val="000B00A1"/>
    <w:rsid w:val="000B1202"/>
    <w:rsid w:val="000B1801"/>
    <w:rsid w:val="000B1D0C"/>
    <w:rsid w:val="000B2273"/>
    <w:rsid w:val="000B2BC6"/>
    <w:rsid w:val="000B2D03"/>
    <w:rsid w:val="000B36FB"/>
    <w:rsid w:val="000B3815"/>
    <w:rsid w:val="000B3C7B"/>
    <w:rsid w:val="000B5B7A"/>
    <w:rsid w:val="000B6A6B"/>
    <w:rsid w:val="000B6C95"/>
    <w:rsid w:val="000B79FC"/>
    <w:rsid w:val="000C1245"/>
    <w:rsid w:val="000C1679"/>
    <w:rsid w:val="000C1EE3"/>
    <w:rsid w:val="000C2C92"/>
    <w:rsid w:val="000C3AE7"/>
    <w:rsid w:val="000C3CC9"/>
    <w:rsid w:val="000C4644"/>
    <w:rsid w:val="000C5A3F"/>
    <w:rsid w:val="000C6DE4"/>
    <w:rsid w:val="000C7202"/>
    <w:rsid w:val="000D0A89"/>
    <w:rsid w:val="000D1389"/>
    <w:rsid w:val="000D16D3"/>
    <w:rsid w:val="000D1798"/>
    <w:rsid w:val="000D1F61"/>
    <w:rsid w:val="000D2626"/>
    <w:rsid w:val="000D36E0"/>
    <w:rsid w:val="000D3E46"/>
    <w:rsid w:val="000D411D"/>
    <w:rsid w:val="000D4589"/>
    <w:rsid w:val="000D5272"/>
    <w:rsid w:val="000D5F7C"/>
    <w:rsid w:val="000D695F"/>
    <w:rsid w:val="000D73DD"/>
    <w:rsid w:val="000E1B97"/>
    <w:rsid w:val="000E1C51"/>
    <w:rsid w:val="000E28AB"/>
    <w:rsid w:val="000E2E3E"/>
    <w:rsid w:val="000E3583"/>
    <w:rsid w:val="000E3A00"/>
    <w:rsid w:val="000E3AF0"/>
    <w:rsid w:val="000E4E04"/>
    <w:rsid w:val="000E4E6A"/>
    <w:rsid w:val="000E5F48"/>
    <w:rsid w:val="000E6EC9"/>
    <w:rsid w:val="000E70B4"/>
    <w:rsid w:val="000E7B62"/>
    <w:rsid w:val="000F0E1E"/>
    <w:rsid w:val="000F1A1B"/>
    <w:rsid w:val="000F2A95"/>
    <w:rsid w:val="000F3281"/>
    <w:rsid w:val="000F32FD"/>
    <w:rsid w:val="000F3733"/>
    <w:rsid w:val="000F4C8B"/>
    <w:rsid w:val="000F5F8B"/>
    <w:rsid w:val="000F6153"/>
    <w:rsid w:val="000F64AA"/>
    <w:rsid w:val="000F7AF4"/>
    <w:rsid w:val="000F7C33"/>
    <w:rsid w:val="000F7F0C"/>
    <w:rsid w:val="001004D6"/>
    <w:rsid w:val="00102676"/>
    <w:rsid w:val="00103646"/>
    <w:rsid w:val="00103918"/>
    <w:rsid w:val="00104897"/>
    <w:rsid w:val="00104D06"/>
    <w:rsid w:val="00104EDE"/>
    <w:rsid w:val="001051BA"/>
    <w:rsid w:val="001058D3"/>
    <w:rsid w:val="00105A56"/>
    <w:rsid w:val="00105CDA"/>
    <w:rsid w:val="00106BEE"/>
    <w:rsid w:val="00107C74"/>
    <w:rsid w:val="0011091C"/>
    <w:rsid w:val="00111266"/>
    <w:rsid w:val="001112EB"/>
    <w:rsid w:val="00113678"/>
    <w:rsid w:val="00113C3E"/>
    <w:rsid w:val="001149D9"/>
    <w:rsid w:val="00115E11"/>
    <w:rsid w:val="00115EEE"/>
    <w:rsid w:val="00115F56"/>
    <w:rsid w:val="00115FE6"/>
    <w:rsid w:val="00116CA9"/>
    <w:rsid w:val="00116F38"/>
    <w:rsid w:val="001170A4"/>
    <w:rsid w:val="00117684"/>
    <w:rsid w:val="00117AE7"/>
    <w:rsid w:val="00117CBD"/>
    <w:rsid w:val="0012006A"/>
    <w:rsid w:val="00121979"/>
    <w:rsid w:val="00122064"/>
    <w:rsid w:val="00124341"/>
    <w:rsid w:val="00124492"/>
    <w:rsid w:val="00124B12"/>
    <w:rsid w:val="001250A0"/>
    <w:rsid w:val="00125573"/>
    <w:rsid w:val="001263B8"/>
    <w:rsid w:val="00130217"/>
    <w:rsid w:val="00130783"/>
    <w:rsid w:val="00130A47"/>
    <w:rsid w:val="00131EFF"/>
    <w:rsid w:val="00132B47"/>
    <w:rsid w:val="001337F8"/>
    <w:rsid w:val="00133E53"/>
    <w:rsid w:val="001348B4"/>
    <w:rsid w:val="001351CB"/>
    <w:rsid w:val="00135530"/>
    <w:rsid w:val="00135947"/>
    <w:rsid w:val="001359A2"/>
    <w:rsid w:val="00136020"/>
    <w:rsid w:val="00136445"/>
    <w:rsid w:val="0013668F"/>
    <w:rsid w:val="00140132"/>
    <w:rsid w:val="00141C9C"/>
    <w:rsid w:val="00141E40"/>
    <w:rsid w:val="0014277F"/>
    <w:rsid w:val="001434BE"/>
    <w:rsid w:val="00144050"/>
    <w:rsid w:val="0014479F"/>
    <w:rsid w:val="001452B4"/>
    <w:rsid w:val="00145320"/>
    <w:rsid w:val="001476D3"/>
    <w:rsid w:val="00150105"/>
    <w:rsid w:val="001509CF"/>
    <w:rsid w:val="00150D1D"/>
    <w:rsid w:val="00151258"/>
    <w:rsid w:val="00152126"/>
    <w:rsid w:val="001525AA"/>
    <w:rsid w:val="00152A87"/>
    <w:rsid w:val="00153BB5"/>
    <w:rsid w:val="00154518"/>
    <w:rsid w:val="00156359"/>
    <w:rsid w:val="00156DD6"/>
    <w:rsid w:val="0015739B"/>
    <w:rsid w:val="001575FC"/>
    <w:rsid w:val="0016038D"/>
    <w:rsid w:val="0016086E"/>
    <w:rsid w:val="00160D0C"/>
    <w:rsid w:val="00161172"/>
    <w:rsid w:val="001612DC"/>
    <w:rsid w:val="00161998"/>
    <w:rsid w:val="00161CE6"/>
    <w:rsid w:val="00161E65"/>
    <w:rsid w:val="0016221D"/>
    <w:rsid w:val="00162597"/>
    <w:rsid w:val="001629AF"/>
    <w:rsid w:val="001629FD"/>
    <w:rsid w:val="0016428A"/>
    <w:rsid w:val="001647C9"/>
    <w:rsid w:val="00165627"/>
    <w:rsid w:val="001661A3"/>
    <w:rsid w:val="0016656E"/>
    <w:rsid w:val="00167226"/>
    <w:rsid w:val="0016782B"/>
    <w:rsid w:val="0016784D"/>
    <w:rsid w:val="00171837"/>
    <w:rsid w:val="00173256"/>
    <w:rsid w:val="00173B0E"/>
    <w:rsid w:val="00173E03"/>
    <w:rsid w:val="0017512C"/>
    <w:rsid w:val="0017586A"/>
    <w:rsid w:val="00175B78"/>
    <w:rsid w:val="00175BA6"/>
    <w:rsid w:val="00176CA7"/>
    <w:rsid w:val="00176F8E"/>
    <w:rsid w:val="001778C5"/>
    <w:rsid w:val="00177E56"/>
    <w:rsid w:val="00177F0A"/>
    <w:rsid w:val="00180A96"/>
    <w:rsid w:val="00180DA0"/>
    <w:rsid w:val="0018113D"/>
    <w:rsid w:val="00181A79"/>
    <w:rsid w:val="00181EAD"/>
    <w:rsid w:val="00182862"/>
    <w:rsid w:val="00184F57"/>
    <w:rsid w:val="00185544"/>
    <w:rsid w:val="00185617"/>
    <w:rsid w:val="00187A14"/>
    <w:rsid w:val="0019171E"/>
    <w:rsid w:val="00191CAC"/>
    <w:rsid w:val="00192368"/>
    <w:rsid w:val="001923A0"/>
    <w:rsid w:val="001928B1"/>
    <w:rsid w:val="00193537"/>
    <w:rsid w:val="00193846"/>
    <w:rsid w:val="00195424"/>
    <w:rsid w:val="001955FF"/>
    <w:rsid w:val="00197EDD"/>
    <w:rsid w:val="001A02B3"/>
    <w:rsid w:val="001A04BB"/>
    <w:rsid w:val="001A08D0"/>
    <w:rsid w:val="001A1B39"/>
    <w:rsid w:val="001A2120"/>
    <w:rsid w:val="001A23F3"/>
    <w:rsid w:val="001A28C6"/>
    <w:rsid w:val="001A297E"/>
    <w:rsid w:val="001A2E69"/>
    <w:rsid w:val="001A3056"/>
    <w:rsid w:val="001A3C34"/>
    <w:rsid w:val="001A3ED8"/>
    <w:rsid w:val="001A3EDE"/>
    <w:rsid w:val="001A4222"/>
    <w:rsid w:val="001A434D"/>
    <w:rsid w:val="001A50EA"/>
    <w:rsid w:val="001A5E24"/>
    <w:rsid w:val="001A6B27"/>
    <w:rsid w:val="001A6D8B"/>
    <w:rsid w:val="001A6DAA"/>
    <w:rsid w:val="001A7717"/>
    <w:rsid w:val="001A793A"/>
    <w:rsid w:val="001B125A"/>
    <w:rsid w:val="001B17D8"/>
    <w:rsid w:val="001B1EBA"/>
    <w:rsid w:val="001B2142"/>
    <w:rsid w:val="001B2D70"/>
    <w:rsid w:val="001B2F2B"/>
    <w:rsid w:val="001B327A"/>
    <w:rsid w:val="001B35DE"/>
    <w:rsid w:val="001B3A13"/>
    <w:rsid w:val="001B4C37"/>
    <w:rsid w:val="001B4EF9"/>
    <w:rsid w:val="001B59FF"/>
    <w:rsid w:val="001B6512"/>
    <w:rsid w:val="001B65D7"/>
    <w:rsid w:val="001B6752"/>
    <w:rsid w:val="001B6768"/>
    <w:rsid w:val="001B6F1F"/>
    <w:rsid w:val="001B7866"/>
    <w:rsid w:val="001B7ECC"/>
    <w:rsid w:val="001C025B"/>
    <w:rsid w:val="001C09AB"/>
    <w:rsid w:val="001C115F"/>
    <w:rsid w:val="001C2287"/>
    <w:rsid w:val="001C25A7"/>
    <w:rsid w:val="001C318C"/>
    <w:rsid w:val="001C35C4"/>
    <w:rsid w:val="001C39AA"/>
    <w:rsid w:val="001C4287"/>
    <w:rsid w:val="001C4479"/>
    <w:rsid w:val="001C5190"/>
    <w:rsid w:val="001C6081"/>
    <w:rsid w:val="001C7B48"/>
    <w:rsid w:val="001D0CFB"/>
    <w:rsid w:val="001D1A0D"/>
    <w:rsid w:val="001D1DDD"/>
    <w:rsid w:val="001D31D5"/>
    <w:rsid w:val="001D343C"/>
    <w:rsid w:val="001D58A1"/>
    <w:rsid w:val="001D58C2"/>
    <w:rsid w:val="001D5A8A"/>
    <w:rsid w:val="001D735E"/>
    <w:rsid w:val="001D73C8"/>
    <w:rsid w:val="001D7BC6"/>
    <w:rsid w:val="001E089A"/>
    <w:rsid w:val="001E0D5B"/>
    <w:rsid w:val="001E129E"/>
    <w:rsid w:val="001E175C"/>
    <w:rsid w:val="001E1B0E"/>
    <w:rsid w:val="001E393A"/>
    <w:rsid w:val="001E3A84"/>
    <w:rsid w:val="001E4392"/>
    <w:rsid w:val="001E5A94"/>
    <w:rsid w:val="001F2A2E"/>
    <w:rsid w:val="001F3356"/>
    <w:rsid w:val="001F3C63"/>
    <w:rsid w:val="001F4115"/>
    <w:rsid w:val="001F4460"/>
    <w:rsid w:val="001F6F60"/>
    <w:rsid w:val="001F711A"/>
    <w:rsid w:val="001F75B0"/>
    <w:rsid w:val="00200CE5"/>
    <w:rsid w:val="00200F7C"/>
    <w:rsid w:val="002014DB"/>
    <w:rsid w:val="00201E12"/>
    <w:rsid w:val="002033B5"/>
    <w:rsid w:val="0020382C"/>
    <w:rsid w:val="0020395A"/>
    <w:rsid w:val="0020437A"/>
    <w:rsid w:val="0020454C"/>
    <w:rsid w:val="0020521F"/>
    <w:rsid w:val="0020532C"/>
    <w:rsid w:val="002114C7"/>
    <w:rsid w:val="002126A4"/>
    <w:rsid w:val="0021302C"/>
    <w:rsid w:val="00213B1C"/>
    <w:rsid w:val="00214202"/>
    <w:rsid w:val="002148E3"/>
    <w:rsid w:val="0021552D"/>
    <w:rsid w:val="002156AE"/>
    <w:rsid w:val="00215E99"/>
    <w:rsid w:val="0022054D"/>
    <w:rsid w:val="00220A76"/>
    <w:rsid w:val="00223017"/>
    <w:rsid w:val="00223DDB"/>
    <w:rsid w:val="00223FA4"/>
    <w:rsid w:val="00223FB0"/>
    <w:rsid w:val="00224067"/>
    <w:rsid w:val="0022421C"/>
    <w:rsid w:val="00224755"/>
    <w:rsid w:val="00224E83"/>
    <w:rsid w:val="00225664"/>
    <w:rsid w:val="0022663D"/>
    <w:rsid w:val="00227F2D"/>
    <w:rsid w:val="00231851"/>
    <w:rsid w:val="002319FB"/>
    <w:rsid w:val="00231B89"/>
    <w:rsid w:val="00231F11"/>
    <w:rsid w:val="00231F5E"/>
    <w:rsid w:val="00232859"/>
    <w:rsid w:val="00232DD5"/>
    <w:rsid w:val="002346B4"/>
    <w:rsid w:val="00234F6E"/>
    <w:rsid w:val="002355BE"/>
    <w:rsid w:val="002358EA"/>
    <w:rsid w:val="00235DD9"/>
    <w:rsid w:val="00236578"/>
    <w:rsid w:val="00236DE9"/>
    <w:rsid w:val="00237342"/>
    <w:rsid w:val="00237D5A"/>
    <w:rsid w:val="002405E7"/>
    <w:rsid w:val="00241264"/>
    <w:rsid w:val="002415AE"/>
    <w:rsid w:val="00241D3C"/>
    <w:rsid w:val="00242109"/>
    <w:rsid w:val="00243189"/>
    <w:rsid w:val="002439AB"/>
    <w:rsid w:val="00243C19"/>
    <w:rsid w:val="00244AE8"/>
    <w:rsid w:val="00245587"/>
    <w:rsid w:val="00245594"/>
    <w:rsid w:val="00245F2B"/>
    <w:rsid w:val="00247F3A"/>
    <w:rsid w:val="00250122"/>
    <w:rsid w:val="00250755"/>
    <w:rsid w:val="00251043"/>
    <w:rsid w:val="00251C4A"/>
    <w:rsid w:val="0025271C"/>
    <w:rsid w:val="002533CD"/>
    <w:rsid w:val="00254EAB"/>
    <w:rsid w:val="002557AF"/>
    <w:rsid w:val="0025589C"/>
    <w:rsid w:val="00255B62"/>
    <w:rsid w:val="002566B1"/>
    <w:rsid w:val="002575E3"/>
    <w:rsid w:val="00257A74"/>
    <w:rsid w:val="002603C1"/>
    <w:rsid w:val="002609A1"/>
    <w:rsid w:val="002612B1"/>
    <w:rsid w:val="002655E5"/>
    <w:rsid w:val="00266165"/>
    <w:rsid w:val="00266F2C"/>
    <w:rsid w:val="00267B23"/>
    <w:rsid w:val="00267F28"/>
    <w:rsid w:val="0027125E"/>
    <w:rsid w:val="00271767"/>
    <w:rsid w:val="00272293"/>
    <w:rsid w:val="002723C8"/>
    <w:rsid w:val="00273C2A"/>
    <w:rsid w:val="00273CBE"/>
    <w:rsid w:val="002746B1"/>
    <w:rsid w:val="00277BEF"/>
    <w:rsid w:val="00282D56"/>
    <w:rsid w:val="00283378"/>
    <w:rsid w:val="002835B0"/>
    <w:rsid w:val="00283C74"/>
    <w:rsid w:val="0028407E"/>
    <w:rsid w:val="0028410F"/>
    <w:rsid w:val="00284572"/>
    <w:rsid w:val="00285221"/>
    <w:rsid w:val="00286FB5"/>
    <w:rsid w:val="00287763"/>
    <w:rsid w:val="00287C15"/>
    <w:rsid w:val="00290606"/>
    <w:rsid w:val="002909B2"/>
    <w:rsid w:val="00290BEF"/>
    <w:rsid w:val="00291D6D"/>
    <w:rsid w:val="00291FF1"/>
    <w:rsid w:val="00292093"/>
    <w:rsid w:val="00292AA2"/>
    <w:rsid w:val="00293361"/>
    <w:rsid w:val="00293E4B"/>
    <w:rsid w:val="002952B1"/>
    <w:rsid w:val="00295B7F"/>
    <w:rsid w:val="00295D11"/>
    <w:rsid w:val="00296FB6"/>
    <w:rsid w:val="002A0001"/>
    <w:rsid w:val="002A0BD9"/>
    <w:rsid w:val="002A0C3A"/>
    <w:rsid w:val="002A1130"/>
    <w:rsid w:val="002A1880"/>
    <w:rsid w:val="002A23B7"/>
    <w:rsid w:val="002A3A57"/>
    <w:rsid w:val="002A4B4F"/>
    <w:rsid w:val="002A57A8"/>
    <w:rsid w:val="002A6828"/>
    <w:rsid w:val="002A6B11"/>
    <w:rsid w:val="002A6DEF"/>
    <w:rsid w:val="002A7406"/>
    <w:rsid w:val="002A770B"/>
    <w:rsid w:val="002A7CF7"/>
    <w:rsid w:val="002B013E"/>
    <w:rsid w:val="002B058D"/>
    <w:rsid w:val="002B0C16"/>
    <w:rsid w:val="002B24EA"/>
    <w:rsid w:val="002B2AC5"/>
    <w:rsid w:val="002B3528"/>
    <w:rsid w:val="002B3539"/>
    <w:rsid w:val="002B3A09"/>
    <w:rsid w:val="002B4532"/>
    <w:rsid w:val="002B4746"/>
    <w:rsid w:val="002B5042"/>
    <w:rsid w:val="002B69CC"/>
    <w:rsid w:val="002B6D25"/>
    <w:rsid w:val="002B6D71"/>
    <w:rsid w:val="002C0C1C"/>
    <w:rsid w:val="002C3E3B"/>
    <w:rsid w:val="002C54C2"/>
    <w:rsid w:val="002C5D34"/>
    <w:rsid w:val="002C60BB"/>
    <w:rsid w:val="002C661A"/>
    <w:rsid w:val="002D0D6F"/>
    <w:rsid w:val="002D25FC"/>
    <w:rsid w:val="002D3E56"/>
    <w:rsid w:val="002D4AC6"/>
    <w:rsid w:val="002D5BF5"/>
    <w:rsid w:val="002D5EE8"/>
    <w:rsid w:val="002D7360"/>
    <w:rsid w:val="002D7648"/>
    <w:rsid w:val="002D7C20"/>
    <w:rsid w:val="002E0A5C"/>
    <w:rsid w:val="002E1009"/>
    <w:rsid w:val="002E109C"/>
    <w:rsid w:val="002E193E"/>
    <w:rsid w:val="002E1A94"/>
    <w:rsid w:val="002E1D55"/>
    <w:rsid w:val="002E26C4"/>
    <w:rsid w:val="002E30A5"/>
    <w:rsid w:val="002E47E4"/>
    <w:rsid w:val="002E4BF9"/>
    <w:rsid w:val="002E4D61"/>
    <w:rsid w:val="002E6E6C"/>
    <w:rsid w:val="002E70C2"/>
    <w:rsid w:val="002F0522"/>
    <w:rsid w:val="002F16DD"/>
    <w:rsid w:val="002F199D"/>
    <w:rsid w:val="002F213C"/>
    <w:rsid w:val="002F223C"/>
    <w:rsid w:val="002F2453"/>
    <w:rsid w:val="002F352D"/>
    <w:rsid w:val="002F4084"/>
    <w:rsid w:val="002F4A08"/>
    <w:rsid w:val="002F4ADB"/>
    <w:rsid w:val="002F531E"/>
    <w:rsid w:val="002F548D"/>
    <w:rsid w:val="002F54B7"/>
    <w:rsid w:val="002F5ACC"/>
    <w:rsid w:val="002F6B1E"/>
    <w:rsid w:val="002F704B"/>
    <w:rsid w:val="002F72C3"/>
    <w:rsid w:val="002F768C"/>
    <w:rsid w:val="002F78A9"/>
    <w:rsid w:val="002F7D1E"/>
    <w:rsid w:val="00300201"/>
    <w:rsid w:val="0030025A"/>
    <w:rsid w:val="00302EFC"/>
    <w:rsid w:val="003031B2"/>
    <w:rsid w:val="00303243"/>
    <w:rsid w:val="00303BCC"/>
    <w:rsid w:val="00303F2B"/>
    <w:rsid w:val="00303F8D"/>
    <w:rsid w:val="0030572D"/>
    <w:rsid w:val="0030586A"/>
    <w:rsid w:val="0030622D"/>
    <w:rsid w:val="00306811"/>
    <w:rsid w:val="00306F32"/>
    <w:rsid w:val="003074C5"/>
    <w:rsid w:val="00307A3C"/>
    <w:rsid w:val="00307FA4"/>
    <w:rsid w:val="00310290"/>
    <w:rsid w:val="00310546"/>
    <w:rsid w:val="00310CC1"/>
    <w:rsid w:val="00312504"/>
    <w:rsid w:val="00313026"/>
    <w:rsid w:val="00313913"/>
    <w:rsid w:val="0031421F"/>
    <w:rsid w:val="00314B31"/>
    <w:rsid w:val="00314EFD"/>
    <w:rsid w:val="00315A65"/>
    <w:rsid w:val="00317BA7"/>
    <w:rsid w:val="00320BE2"/>
    <w:rsid w:val="00320C40"/>
    <w:rsid w:val="00321886"/>
    <w:rsid w:val="003228EB"/>
    <w:rsid w:val="00323694"/>
    <w:rsid w:val="00323BE7"/>
    <w:rsid w:val="00324C3A"/>
    <w:rsid w:val="00324D63"/>
    <w:rsid w:val="003255AF"/>
    <w:rsid w:val="003256EB"/>
    <w:rsid w:val="003259DB"/>
    <w:rsid w:val="003267C1"/>
    <w:rsid w:val="003314D9"/>
    <w:rsid w:val="00331653"/>
    <w:rsid w:val="00331A48"/>
    <w:rsid w:val="00331BCC"/>
    <w:rsid w:val="003330AF"/>
    <w:rsid w:val="003330C9"/>
    <w:rsid w:val="0033364C"/>
    <w:rsid w:val="00334415"/>
    <w:rsid w:val="00335EA1"/>
    <w:rsid w:val="0033691E"/>
    <w:rsid w:val="00336A6A"/>
    <w:rsid w:val="00336CCB"/>
    <w:rsid w:val="003411D1"/>
    <w:rsid w:val="003416BA"/>
    <w:rsid w:val="00342148"/>
    <w:rsid w:val="00342F99"/>
    <w:rsid w:val="0034575A"/>
    <w:rsid w:val="00345F57"/>
    <w:rsid w:val="003464F6"/>
    <w:rsid w:val="00350E3F"/>
    <w:rsid w:val="00350E6C"/>
    <w:rsid w:val="003518A6"/>
    <w:rsid w:val="00351E7F"/>
    <w:rsid w:val="00352953"/>
    <w:rsid w:val="00354062"/>
    <w:rsid w:val="0035459E"/>
    <w:rsid w:val="00355C0D"/>
    <w:rsid w:val="003566A9"/>
    <w:rsid w:val="00356988"/>
    <w:rsid w:val="00356CE9"/>
    <w:rsid w:val="003570BB"/>
    <w:rsid w:val="00357128"/>
    <w:rsid w:val="0035755E"/>
    <w:rsid w:val="00357A80"/>
    <w:rsid w:val="00357AB4"/>
    <w:rsid w:val="00361441"/>
    <w:rsid w:val="00361B8B"/>
    <w:rsid w:val="003638C6"/>
    <w:rsid w:val="00363F39"/>
    <w:rsid w:val="00364398"/>
    <w:rsid w:val="0036445C"/>
    <w:rsid w:val="00364627"/>
    <w:rsid w:val="00364AB0"/>
    <w:rsid w:val="00364B6D"/>
    <w:rsid w:val="003667B0"/>
    <w:rsid w:val="003667DD"/>
    <w:rsid w:val="00366B48"/>
    <w:rsid w:val="00367764"/>
    <w:rsid w:val="00370316"/>
    <w:rsid w:val="00370DC7"/>
    <w:rsid w:val="00371C93"/>
    <w:rsid w:val="00371CBD"/>
    <w:rsid w:val="00371F20"/>
    <w:rsid w:val="00372823"/>
    <w:rsid w:val="00372B98"/>
    <w:rsid w:val="003737B7"/>
    <w:rsid w:val="003740CC"/>
    <w:rsid w:val="003745F4"/>
    <w:rsid w:val="00374E79"/>
    <w:rsid w:val="0037529A"/>
    <w:rsid w:val="00375388"/>
    <w:rsid w:val="00375FB9"/>
    <w:rsid w:val="00376851"/>
    <w:rsid w:val="00376FA2"/>
    <w:rsid w:val="00377A3B"/>
    <w:rsid w:val="00377E3C"/>
    <w:rsid w:val="00380000"/>
    <w:rsid w:val="00380BBE"/>
    <w:rsid w:val="00381D70"/>
    <w:rsid w:val="0038235E"/>
    <w:rsid w:val="003829D0"/>
    <w:rsid w:val="00383574"/>
    <w:rsid w:val="0038444F"/>
    <w:rsid w:val="003861F0"/>
    <w:rsid w:val="00387051"/>
    <w:rsid w:val="00387ECF"/>
    <w:rsid w:val="0039021B"/>
    <w:rsid w:val="00390429"/>
    <w:rsid w:val="003927DF"/>
    <w:rsid w:val="0039366C"/>
    <w:rsid w:val="00393AF5"/>
    <w:rsid w:val="00393EC8"/>
    <w:rsid w:val="0039570C"/>
    <w:rsid w:val="00395E42"/>
    <w:rsid w:val="00396409"/>
    <w:rsid w:val="00396A2D"/>
    <w:rsid w:val="00396FC3"/>
    <w:rsid w:val="003A0A2E"/>
    <w:rsid w:val="003A1A94"/>
    <w:rsid w:val="003A204E"/>
    <w:rsid w:val="003A28BD"/>
    <w:rsid w:val="003A2D25"/>
    <w:rsid w:val="003A32E2"/>
    <w:rsid w:val="003A5728"/>
    <w:rsid w:val="003A60E7"/>
    <w:rsid w:val="003A7092"/>
    <w:rsid w:val="003A72A1"/>
    <w:rsid w:val="003A7611"/>
    <w:rsid w:val="003A7D1F"/>
    <w:rsid w:val="003B0B6A"/>
    <w:rsid w:val="003B1EBC"/>
    <w:rsid w:val="003B22F7"/>
    <w:rsid w:val="003B23FF"/>
    <w:rsid w:val="003B27AE"/>
    <w:rsid w:val="003B29CF"/>
    <w:rsid w:val="003B3A90"/>
    <w:rsid w:val="003B534F"/>
    <w:rsid w:val="003B644C"/>
    <w:rsid w:val="003B653B"/>
    <w:rsid w:val="003B7A79"/>
    <w:rsid w:val="003C0FE1"/>
    <w:rsid w:val="003C151A"/>
    <w:rsid w:val="003C350C"/>
    <w:rsid w:val="003C36EE"/>
    <w:rsid w:val="003C3903"/>
    <w:rsid w:val="003C3BA0"/>
    <w:rsid w:val="003C4580"/>
    <w:rsid w:val="003C5C5E"/>
    <w:rsid w:val="003C639F"/>
    <w:rsid w:val="003C6746"/>
    <w:rsid w:val="003C6E4A"/>
    <w:rsid w:val="003C7555"/>
    <w:rsid w:val="003C7898"/>
    <w:rsid w:val="003D0FF5"/>
    <w:rsid w:val="003D11A3"/>
    <w:rsid w:val="003D1537"/>
    <w:rsid w:val="003D183C"/>
    <w:rsid w:val="003D2D1B"/>
    <w:rsid w:val="003D48C7"/>
    <w:rsid w:val="003D4C27"/>
    <w:rsid w:val="003D65F6"/>
    <w:rsid w:val="003D7109"/>
    <w:rsid w:val="003D76D8"/>
    <w:rsid w:val="003D7CE8"/>
    <w:rsid w:val="003E0514"/>
    <w:rsid w:val="003E1032"/>
    <w:rsid w:val="003E1904"/>
    <w:rsid w:val="003E285E"/>
    <w:rsid w:val="003E3124"/>
    <w:rsid w:val="003E3300"/>
    <w:rsid w:val="003E43D3"/>
    <w:rsid w:val="003E48E1"/>
    <w:rsid w:val="003E59BB"/>
    <w:rsid w:val="003E5DB6"/>
    <w:rsid w:val="003E6225"/>
    <w:rsid w:val="003E65AC"/>
    <w:rsid w:val="003E66AE"/>
    <w:rsid w:val="003E72B9"/>
    <w:rsid w:val="003E7ED4"/>
    <w:rsid w:val="003F0E52"/>
    <w:rsid w:val="003F0F6B"/>
    <w:rsid w:val="003F1B65"/>
    <w:rsid w:val="003F1D3A"/>
    <w:rsid w:val="003F1FC6"/>
    <w:rsid w:val="003F1FE3"/>
    <w:rsid w:val="003F2359"/>
    <w:rsid w:val="003F2823"/>
    <w:rsid w:val="003F2898"/>
    <w:rsid w:val="003F3865"/>
    <w:rsid w:val="003F3D55"/>
    <w:rsid w:val="003F44E2"/>
    <w:rsid w:val="003F459E"/>
    <w:rsid w:val="003F4632"/>
    <w:rsid w:val="003F47BA"/>
    <w:rsid w:val="003F4FE6"/>
    <w:rsid w:val="003F6617"/>
    <w:rsid w:val="003F6E32"/>
    <w:rsid w:val="003F71E4"/>
    <w:rsid w:val="00400C81"/>
    <w:rsid w:val="0040221A"/>
    <w:rsid w:val="00402332"/>
    <w:rsid w:val="004025C2"/>
    <w:rsid w:val="00403195"/>
    <w:rsid w:val="004033A9"/>
    <w:rsid w:val="00403E55"/>
    <w:rsid w:val="0040407C"/>
    <w:rsid w:val="0040416C"/>
    <w:rsid w:val="004041A2"/>
    <w:rsid w:val="00404681"/>
    <w:rsid w:val="00404E5F"/>
    <w:rsid w:val="00405AC1"/>
    <w:rsid w:val="00406923"/>
    <w:rsid w:val="0040763D"/>
    <w:rsid w:val="00410D17"/>
    <w:rsid w:val="00413442"/>
    <w:rsid w:val="00413821"/>
    <w:rsid w:val="00413BA5"/>
    <w:rsid w:val="004141A3"/>
    <w:rsid w:val="00414909"/>
    <w:rsid w:val="0041582F"/>
    <w:rsid w:val="00416112"/>
    <w:rsid w:val="0041661A"/>
    <w:rsid w:val="00417642"/>
    <w:rsid w:val="00417AE0"/>
    <w:rsid w:val="00417BAA"/>
    <w:rsid w:val="004201F0"/>
    <w:rsid w:val="00420378"/>
    <w:rsid w:val="0042042B"/>
    <w:rsid w:val="00420B45"/>
    <w:rsid w:val="00420D7A"/>
    <w:rsid w:val="00421257"/>
    <w:rsid w:val="00422193"/>
    <w:rsid w:val="004223DE"/>
    <w:rsid w:val="00422A10"/>
    <w:rsid w:val="00424ACB"/>
    <w:rsid w:val="00424D17"/>
    <w:rsid w:val="00425DFD"/>
    <w:rsid w:val="004260B5"/>
    <w:rsid w:val="004263A3"/>
    <w:rsid w:val="00427713"/>
    <w:rsid w:val="0042796F"/>
    <w:rsid w:val="00427CCC"/>
    <w:rsid w:val="0043013A"/>
    <w:rsid w:val="00430421"/>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322"/>
    <w:rsid w:val="00441F0F"/>
    <w:rsid w:val="00442965"/>
    <w:rsid w:val="00444157"/>
    <w:rsid w:val="0044417C"/>
    <w:rsid w:val="00444DB3"/>
    <w:rsid w:val="00445617"/>
    <w:rsid w:val="00445A2F"/>
    <w:rsid w:val="00445A44"/>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6ED1"/>
    <w:rsid w:val="004578EB"/>
    <w:rsid w:val="004604D5"/>
    <w:rsid w:val="00460697"/>
    <w:rsid w:val="0046117B"/>
    <w:rsid w:val="004632CF"/>
    <w:rsid w:val="00464AB7"/>
    <w:rsid w:val="0046669B"/>
    <w:rsid w:val="00467EF8"/>
    <w:rsid w:val="00467FE4"/>
    <w:rsid w:val="00472429"/>
    <w:rsid w:val="004725E5"/>
    <w:rsid w:val="00472751"/>
    <w:rsid w:val="00473128"/>
    <w:rsid w:val="00475078"/>
    <w:rsid w:val="00475767"/>
    <w:rsid w:val="004779A0"/>
    <w:rsid w:val="004808E3"/>
    <w:rsid w:val="00480C20"/>
    <w:rsid w:val="00481016"/>
    <w:rsid w:val="0048204C"/>
    <w:rsid w:val="004821BB"/>
    <w:rsid w:val="0048221A"/>
    <w:rsid w:val="004826FE"/>
    <w:rsid w:val="004827D5"/>
    <w:rsid w:val="00482AF2"/>
    <w:rsid w:val="004830C9"/>
    <w:rsid w:val="00483347"/>
    <w:rsid w:val="00483E2E"/>
    <w:rsid w:val="00484B69"/>
    <w:rsid w:val="00485406"/>
    <w:rsid w:val="004854CB"/>
    <w:rsid w:val="0048590F"/>
    <w:rsid w:val="00486D60"/>
    <w:rsid w:val="00490D02"/>
    <w:rsid w:val="00491D08"/>
    <w:rsid w:val="00491FA1"/>
    <w:rsid w:val="00492A25"/>
    <w:rsid w:val="00492E13"/>
    <w:rsid w:val="004938A3"/>
    <w:rsid w:val="004943CA"/>
    <w:rsid w:val="0049558B"/>
    <w:rsid w:val="00496350"/>
    <w:rsid w:val="0049694F"/>
    <w:rsid w:val="0049797C"/>
    <w:rsid w:val="004A1405"/>
    <w:rsid w:val="004A1FC6"/>
    <w:rsid w:val="004A24FD"/>
    <w:rsid w:val="004A2DA8"/>
    <w:rsid w:val="004A2E5F"/>
    <w:rsid w:val="004A38C2"/>
    <w:rsid w:val="004A3C03"/>
    <w:rsid w:val="004A3DB7"/>
    <w:rsid w:val="004A48E6"/>
    <w:rsid w:val="004A5088"/>
    <w:rsid w:val="004A5255"/>
    <w:rsid w:val="004A6A21"/>
    <w:rsid w:val="004A6CB0"/>
    <w:rsid w:val="004A6F35"/>
    <w:rsid w:val="004A70FF"/>
    <w:rsid w:val="004A71FC"/>
    <w:rsid w:val="004A7EDE"/>
    <w:rsid w:val="004B0D93"/>
    <w:rsid w:val="004B1FA4"/>
    <w:rsid w:val="004B29AC"/>
    <w:rsid w:val="004B35DF"/>
    <w:rsid w:val="004B3627"/>
    <w:rsid w:val="004B3F12"/>
    <w:rsid w:val="004B4922"/>
    <w:rsid w:val="004B57DF"/>
    <w:rsid w:val="004B5976"/>
    <w:rsid w:val="004B5BA3"/>
    <w:rsid w:val="004B722E"/>
    <w:rsid w:val="004B72E8"/>
    <w:rsid w:val="004C01A5"/>
    <w:rsid w:val="004C03BD"/>
    <w:rsid w:val="004C0412"/>
    <w:rsid w:val="004C2138"/>
    <w:rsid w:val="004C3940"/>
    <w:rsid w:val="004C409C"/>
    <w:rsid w:val="004C51FD"/>
    <w:rsid w:val="004C566B"/>
    <w:rsid w:val="004C65A8"/>
    <w:rsid w:val="004C6689"/>
    <w:rsid w:val="004D139A"/>
    <w:rsid w:val="004D14DC"/>
    <w:rsid w:val="004D17C6"/>
    <w:rsid w:val="004D2858"/>
    <w:rsid w:val="004D2E4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12AE"/>
    <w:rsid w:val="004E1641"/>
    <w:rsid w:val="004E1818"/>
    <w:rsid w:val="004E1990"/>
    <w:rsid w:val="004E25A8"/>
    <w:rsid w:val="004E3930"/>
    <w:rsid w:val="004E3ED9"/>
    <w:rsid w:val="004E5866"/>
    <w:rsid w:val="004E6097"/>
    <w:rsid w:val="004E61EF"/>
    <w:rsid w:val="004E63C6"/>
    <w:rsid w:val="004E75F9"/>
    <w:rsid w:val="004E76A7"/>
    <w:rsid w:val="004E7A30"/>
    <w:rsid w:val="004E7B03"/>
    <w:rsid w:val="004F0064"/>
    <w:rsid w:val="004F06AC"/>
    <w:rsid w:val="004F0B6B"/>
    <w:rsid w:val="004F1D2A"/>
    <w:rsid w:val="004F2286"/>
    <w:rsid w:val="004F243F"/>
    <w:rsid w:val="004F252C"/>
    <w:rsid w:val="004F36A3"/>
    <w:rsid w:val="004F3E0C"/>
    <w:rsid w:val="004F40AE"/>
    <w:rsid w:val="004F4308"/>
    <w:rsid w:val="004F6FC8"/>
    <w:rsid w:val="004F7160"/>
    <w:rsid w:val="00500258"/>
    <w:rsid w:val="00500B2D"/>
    <w:rsid w:val="00501A99"/>
    <w:rsid w:val="00503180"/>
    <w:rsid w:val="005038A4"/>
    <w:rsid w:val="00503AB4"/>
    <w:rsid w:val="00505450"/>
    <w:rsid w:val="005056C6"/>
    <w:rsid w:val="005100B7"/>
    <w:rsid w:val="005113C9"/>
    <w:rsid w:val="00512050"/>
    <w:rsid w:val="00512055"/>
    <w:rsid w:val="0051280C"/>
    <w:rsid w:val="00512842"/>
    <w:rsid w:val="005128BE"/>
    <w:rsid w:val="005131C5"/>
    <w:rsid w:val="0051356F"/>
    <w:rsid w:val="00513E7C"/>
    <w:rsid w:val="005140BB"/>
    <w:rsid w:val="00514FBE"/>
    <w:rsid w:val="00514FD9"/>
    <w:rsid w:val="0051550A"/>
    <w:rsid w:val="0051608F"/>
    <w:rsid w:val="00517EDB"/>
    <w:rsid w:val="00520EF8"/>
    <w:rsid w:val="005210F7"/>
    <w:rsid w:val="00521753"/>
    <w:rsid w:val="005224EE"/>
    <w:rsid w:val="00522879"/>
    <w:rsid w:val="00522D0E"/>
    <w:rsid w:val="00523BB1"/>
    <w:rsid w:val="0052570E"/>
    <w:rsid w:val="005260CD"/>
    <w:rsid w:val="00526265"/>
    <w:rsid w:val="005263F2"/>
    <w:rsid w:val="0052655D"/>
    <w:rsid w:val="005265E0"/>
    <w:rsid w:val="00526BC3"/>
    <w:rsid w:val="00531761"/>
    <w:rsid w:val="00531975"/>
    <w:rsid w:val="0053219B"/>
    <w:rsid w:val="0053248F"/>
    <w:rsid w:val="0053332A"/>
    <w:rsid w:val="0053358A"/>
    <w:rsid w:val="00534668"/>
    <w:rsid w:val="00534DDD"/>
    <w:rsid w:val="00535291"/>
    <w:rsid w:val="00535A94"/>
    <w:rsid w:val="00537874"/>
    <w:rsid w:val="0053795F"/>
    <w:rsid w:val="00540511"/>
    <w:rsid w:val="00540578"/>
    <w:rsid w:val="00540808"/>
    <w:rsid w:val="0054080E"/>
    <w:rsid w:val="00540EA1"/>
    <w:rsid w:val="00541548"/>
    <w:rsid w:val="0054358E"/>
    <w:rsid w:val="00543AF4"/>
    <w:rsid w:val="00544191"/>
    <w:rsid w:val="0054440C"/>
    <w:rsid w:val="005448EC"/>
    <w:rsid w:val="00544C0A"/>
    <w:rsid w:val="00544EA0"/>
    <w:rsid w:val="00544F39"/>
    <w:rsid w:val="00546F90"/>
    <w:rsid w:val="00547EFB"/>
    <w:rsid w:val="005513B5"/>
    <w:rsid w:val="005522F2"/>
    <w:rsid w:val="005531DF"/>
    <w:rsid w:val="00553874"/>
    <w:rsid w:val="00554577"/>
    <w:rsid w:val="00554AD8"/>
    <w:rsid w:val="00554F78"/>
    <w:rsid w:val="00555DA1"/>
    <w:rsid w:val="00556BF7"/>
    <w:rsid w:val="00557675"/>
    <w:rsid w:val="00557F60"/>
    <w:rsid w:val="00561730"/>
    <w:rsid w:val="00561B97"/>
    <w:rsid w:val="00562149"/>
    <w:rsid w:val="00565FAF"/>
    <w:rsid w:val="00567B5D"/>
    <w:rsid w:val="00570757"/>
    <w:rsid w:val="00572F98"/>
    <w:rsid w:val="00573733"/>
    <w:rsid w:val="00573F8B"/>
    <w:rsid w:val="00574554"/>
    <w:rsid w:val="00574E06"/>
    <w:rsid w:val="005751BB"/>
    <w:rsid w:val="00576089"/>
    <w:rsid w:val="005764B1"/>
    <w:rsid w:val="00576852"/>
    <w:rsid w:val="00576D06"/>
    <w:rsid w:val="005779E4"/>
    <w:rsid w:val="0058289C"/>
    <w:rsid w:val="0058362D"/>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97373"/>
    <w:rsid w:val="00597DD6"/>
    <w:rsid w:val="005A04E0"/>
    <w:rsid w:val="005A11BC"/>
    <w:rsid w:val="005A1525"/>
    <w:rsid w:val="005A16A3"/>
    <w:rsid w:val="005A1E17"/>
    <w:rsid w:val="005A252B"/>
    <w:rsid w:val="005A2822"/>
    <w:rsid w:val="005A2A8F"/>
    <w:rsid w:val="005A3204"/>
    <w:rsid w:val="005A3341"/>
    <w:rsid w:val="005A3C3D"/>
    <w:rsid w:val="005A41CE"/>
    <w:rsid w:val="005A46EC"/>
    <w:rsid w:val="005A5EAE"/>
    <w:rsid w:val="005A6407"/>
    <w:rsid w:val="005A74E1"/>
    <w:rsid w:val="005B008D"/>
    <w:rsid w:val="005B07EC"/>
    <w:rsid w:val="005B244D"/>
    <w:rsid w:val="005B2B11"/>
    <w:rsid w:val="005B32A4"/>
    <w:rsid w:val="005B338D"/>
    <w:rsid w:val="005B3BAF"/>
    <w:rsid w:val="005B4178"/>
    <w:rsid w:val="005B4DA3"/>
    <w:rsid w:val="005B5BEE"/>
    <w:rsid w:val="005B77D2"/>
    <w:rsid w:val="005C019B"/>
    <w:rsid w:val="005C1AED"/>
    <w:rsid w:val="005C30F5"/>
    <w:rsid w:val="005C4DF7"/>
    <w:rsid w:val="005C51A5"/>
    <w:rsid w:val="005C557A"/>
    <w:rsid w:val="005C5C47"/>
    <w:rsid w:val="005C61DD"/>
    <w:rsid w:val="005C6438"/>
    <w:rsid w:val="005C6B8B"/>
    <w:rsid w:val="005C727F"/>
    <w:rsid w:val="005D02E3"/>
    <w:rsid w:val="005D0C20"/>
    <w:rsid w:val="005D1F34"/>
    <w:rsid w:val="005D2C1F"/>
    <w:rsid w:val="005D34B2"/>
    <w:rsid w:val="005D3B54"/>
    <w:rsid w:val="005D40CD"/>
    <w:rsid w:val="005D6222"/>
    <w:rsid w:val="005D6B59"/>
    <w:rsid w:val="005D6D27"/>
    <w:rsid w:val="005D784B"/>
    <w:rsid w:val="005E03E4"/>
    <w:rsid w:val="005E0454"/>
    <w:rsid w:val="005E05F6"/>
    <w:rsid w:val="005E2442"/>
    <w:rsid w:val="005E3111"/>
    <w:rsid w:val="005E3F85"/>
    <w:rsid w:val="005E40D3"/>
    <w:rsid w:val="005E4A5F"/>
    <w:rsid w:val="005E57B0"/>
    <w:rsid w:val="005E5B01"/>
    <w:rsid w:val="005E6D3B"/>
    <w:rsid w:val="005F009E"/>
    <w:rsid w:val="005F0DF1"/>
    <w:rsid w:val="005F1516"/>
    <w:rsid w:val="005F1E87"/>
    <w:rsid w:val="005F229E"/>
    <w:rsid w:val="005F2564"/>
    <w:rsid w:val="005F2571"/>
    <w:rsid w:val="005F3822"/>
    <w:rsid w:val="005F4635"/>
    <w:rsid w:val="005F4900"/>
    <w:rsid w:val="005F4E52"/>
    <w:rsid w:val="005F5B2C"/>
    <w:rsid w:val="005F6D58"/>
    <w:rsid w:val="005F7383"/>
    <w:rsid w:val="00600071"/>
    <w:rsid w:val="0060058E"/>
    <w:rsid w:val="00600CE9"/>
    <w:rsid w:val="00602A3C"/>
    <w:rsid w:val="00603EFD"/>
    <w:rsid w:val="0060475B"/>
    <w:rsid w:val="00604FB6"/>
    <w:rsid w:val="00605387"/>
    <w:rsid w:val="00606302"/>
    <w:rsid w:val="00606B5D"/>
    <w:rsid w:val="006076FD"/>
    <w:rsid w:val="0061143F"/>
    <w:rsid w:val="006114D8"/>
    <w:rsid w:val="00613553"/>
    <w:rsid w:val="00613601"/>
    <w:rsid w:val="00613791"/>
    <w:rsid w:val="00614352"/>
    <w:rsid w:val="006150D6"/>
    <w:rsid w:val="00615245"/>
    <w:rsid w:val="0061590D"/>
    <w:rsid w:val="00617A18"/>
    <w:rsid w:val="00617EEE"/>
    <w:rsid w:val="00620A1F"/>
    <w:rsid w:val="00621232"/>
    <w:rsid w:val="0062169D"/>
    <w:rsid w:val="0062181E"/>
    <w:rsid w:val="00622BB7"/>
    <w:rsid w:val="00622C1E"/>
    <w:rsid w:val="00623389"/>
    <w:rsid w:val="00623DAA"/>
    <w:rsid w:val="00623FAF"/>
    <w:rsid w:val="006265C4"/>
    <w:rsid w:val="0062678A"/>
    <w:rsid w:val="006270AF"/>
    <w:rsid w:val="00634367"/>
    <w:rsid w:val="00634C25"/>
    <w:rsid w:val="00640082"/>
    <w:rsid w:val="00640291"/>
    <w:rsid w:val="00640744"/>
    <w:rsid w:val="00640EFE"/>
    <w:rsid w:val="00641D6D"/>
    <w:rsid w:val="00641FAC"/>
    <w:rsid w:val="00643664"/>
    <w:rsid w:val="0064397B"/>
    <w:rsid w:val="00643CAA"/>
    <w:rsid w:val="0064471B"/>
    <w:rsid w:val="00644B6C"/>
    <w:rsid w:val="00644F16"/>
    <w:rsid w:val="006455EB"/>
    <w:rsid w:val="006456C2"/>
    <w:rsid w:val="00646FC3"/>
    <w:rsid w:val="006477F0"/>
    <w:rsid w:val="006478E4"/>
    <w:rsid w:val="0065171A"/>
    <w:rsid w:val="00652680"/>
    <w:rsid w:val="00652E52"/>
    <w:rsid w:val="00653CDE"/>
    <w:rsid w:val="00653D03"/>
    <w:rsid w:val="00654585"/>
    <w:rsid w:val="00654827"/>
    <w:rsid w:val="0065592C"/>
    <w:rsid w:val="00655AB6"/>
    <w:rsid w:val="00656281"/>
    <w:rsid w:val="0065636A"/>
    <w:rsid w:val="00657003"/>
    <w:rsid w:val="00660238"/>
    <w:rsid w:val="006602EF"/>
    <w:rsid w:val="0066037E"/>
    <w:rsid w:val="00660D4C"/>
    <w:rsid w:val="00661277"/>
    <w:rsid w:val="006619E0"/>
    <w:rsid w:val="00663FEA"/>
    <w:rsid w:val="00664803"/>
    <w:rsid w:val="006657C5"/>
    <w:rsid w:val="006661A4"/>
    <w:rsid w:val="00666AC0"/>
    <w:rsid w:val="006670E0"/>
    <w:rsid w:val="006671B8"/>
    <w:rsid w:val="00667275"/>
    <w:rsid w:val="00667532"/>
    <w:rsid w:val="0066783E"/>
    <w:rsid w:val="00667E53"/>
    <w:rsid w:val="006713AB"/>
    <w:rsid w:val="00672CA5"/>
    <w:rsid w:val="00673711"/>
    <w:rsid w:val="00673F82"/>
    <w:rsid w:val="0067416F"/>
    <w:rsid w:val="00674F74"/>
    <w:rsid w:val="0067508F"/>
    <w:rsid w:val="00675665"/>
    <w:rsid w:val="00677576"/>
    <w:rsid w:val="0067785E"/>
    <w:rsid w:val="0068051E"/>
    <w:rsid w:val="00680B9D"/>
    <w:rsid w:val="00681F13"/>
    <w:rsid w:val="0068231C"/>
    <w:rsid w:val="00682344"/>
    <w:rsid w:val="00682F28"/>
    <w:rsid w:val="00684842"/>
    <w:rsid w:val="00685536"/>
    <w:rsid w:val="006859AA"/>
    <w:rsid w:val="00685BD6"/>
    <w:rsid w:val="00687116"/>
    <w:rsid w:val="006878A6"/>
    <w:rsid w:val="00687D5F"/>
    <w:rsid w:val="0069013C"/>
    <w:rsid w:val="00690437"/>
    <w:rsid w:val="00690DC3"/>
    <w:rsid w:val="00690E65"/>
    <w:rsid w:val="006911B7"/>
    <w:rsid w:val="00691387"/>
    <w:rsid w:val="0069188E"/>
    <w:rsid w:val="00691974"/>
    <w:rsid w:val="00692BF6"/>
    <w:rsid w:val="00692CE6"/>
    <w:rsid w:val="00693186"/>
    <w:rsid w:val="00693B6C"/>
    <w:rsid w:val="006942AE"/>
    <w:rsid w:val="006943EC"/>
    <w:rsid w:val="00695421"/>
    <w:rsid w:val="00697BD3"/>
    <w:rsid w:val="00697DFA"/>
    <w:rsid w:val="006A16D5"/>
    <w:rsid w:val="006A1772"/>
    <w:rsid w:val="006A1780"/>
    <w:rsid w:val="006A21DD"/>
    <w:rsid w:val="006A26C6"/>
    <w:rsid w:val="006A3B28"/>
    <w:rsid w:val="006A471E"/>
    <w:rsid w:val="006A4FEE"/>
    <w:rsid w:val="006A5209"/>
    <w:rsid w:val="006A64FA"/>
    <w:rsid w:val="006A6E87"/>
    <w:rsid w:val="006A703E"/>
    <w:rsid w:val="006A7BE3"/>
    <w:rsid w:val="006A7D25"/>
    <w:rsid w:val="006A7D32"/>
    <w:rsid w:val="006B01D1"/>
    <w:rsid w:val="006B16EA"/>
    <w:rsid w:val="006B1780"/>
    <w:rsid w:val="006B224E"/>
    <w:rsid w:val="006B24C8"/>
    <w:rsid w:val="006B376E"/>
    <w:rsid w:val="006B4589"/>
    <w:rsid w:val="006B4FA8"/>
    <w:rsid w:val="006B610E"/>
    <w:rsid w:val="006B6805"/>
    <w:rsid w:val="006B6DE0"/>
    <w:rsid w:val="006B7F5D"/>
    <w:rsid w:val="006C16C3"/>
    <w:rsid w:val="006C2109"/>
    <w:rsid w:val="006C2187"/>
    <w:rsid w:val="006C32F4"/>
    <w:rsid w:val="006C3C54"/>
    <w:rsid w:val="006C4B6B"/>
    <w:rsid w:val="006C4F9F"/>
    <w:rsid w:val="006C6D98"/>
    <w:rsid w:val="006C71A2"/>
    <w:rsid w:val="006C73EC"/>
    <w:rsid w:val="006D0419"/>
    <w:rsid w:val="006D0C1D"/>
    <w:rsid w:val="006D2E9D"/>
    <w:rsid w:val="006D4A4E"/>
    <w:rsid w:val="006D4C42"/>
    <w:rsid w:val="006D5809"/>
    <w:rsid w:val="006D607E"/>
    <w:rsid w:val="006D6E12"/>
    <w:rsid w:val="006D70CB"/>
    <w:rsid w:val="006D715C"/>
    <w:rsid w:val="006D7363"/>
    <w:rsid w:val="006D774E"/>
    <w:rsid w:val="006E0754"/>
    <w:rsid w:val="006E16D0"/>
    <w:rsid w:val="006E2668"/>
    <w:rsid w:val="006E2D39"/>
    <w:rsid w:val="006E32B0"/>
    <w:rsid w:val="006E348E"/>
    <w:rsid w:val="006E396A"/>
    <w:rsid w:val="006E3D63"/>
    <w:rsid w:val="006E46CA"/>
    <w:rsid w:val="006E58BF"/>
    <w:rsid w:val="006E5DD8"/>
    <w:rsid w:val="006E5EA1"/>
    <w:rsid w:val="006E699E"/>
    <w:rsid w:val="006E6DEE"/>
    <w:rsid w:val="006E7D4B"/>
    <w:rsid w:val="006F0760"/>
    <w:rsid w:val="006F0A2F"/>
    <w:rsid w:val="006F11E2"/>
    <w:rsid w:val="006F2574"/>
    <w:rsid w:val="006F3231"/>
    <w:rsid w:val="006F3DE3"/>
    <w:rsid w:val="006F4787"/>
    <w:rsid w:val="006F5D75"/>
    <w:rsid w:val="006F61D8"/>
    <w:rsid w:val="006F62B7"/>
    <w:rsid w:val="006F70BC"/>
    <w:rsid w:val="006F723B"/>
    <w:rsid w:val="006F7E7C"/>
    <w:rsid w:val="007004D5"/>
    <w:rsid w:val="00701334"/>
    <w:rsid w:val="0070174E"/>
    <w:rsid w:val="007018DB"/>
    <w:rsid w:val="00701DE6"/>
    <w:rsid w:val="0070219A"/>
    <w:rsid w:val="0070381B"/>
    <w:rsid w:val="00706A0A"/>
    <w:rsid w:val="0070796C"/>
    <w:rsid w:val="00710EBF"/>
    <w:rsid w:val="007110B8"/>
    <w:rsid w:val="00711A5A"/>
    <w:rsid w:val="00711D0D"/>
    <w:rsid w:val="0071209F"/>
    <w:rsid w:val="007125A2"/>
    <w:rsid w:val="00712D93"/>
    <w:rsid w:val="00713148"/>
    <w:rsid w:val="00713F79"/>
    <w:rsid w:val="007148A8"/>
    <w:rsid w:val="0071665C"/>
    <w:rsid w:val="00716AC8"/>
    <w:rsid w:val="00716E54"/>
    <w:rsid w:val="00717F49"/>
    <w:rsid w:val="0072033C"/>
    <w:rsid w:val="00720B1B"/>
    <w:rsid w:val="00721062"/>
    <w:rsid w:val="00721547"/>
    <w:rsid w:val="00721D4B"/>
    <w:rsid w:val="00721E5D"/>
    <w:rsid w:val="00722159"/>
    <w:rsid w:val="007229D4"/>
    <w:rsid w:val="007230F8"/>
    <w:rsid w:val="007233F4"/>
    <w:rsid w:val="00723A91"/>
    <w:rsid w:val="00724044"/>
    <w:rsid w:val="007248D3"/>
    <w:rsid w:val="00725137"/>
    <w:rsid w:val="00725378"/>
    <w:rsid w:val="00727A43"/>
    <w:rsid w:val="00727FF2"/>
    <w:rsid w:val="00730550"/>
    <w:rsid w:val="00730E33"/>
    <w:rsid w:val="00731434"/>
    <w:rsid w:val="00731E59"/>
    <w:rsid w:val="007323E0"/>
    <w:rsid w:val="00732911"/>
    <w:rsid w:val="00732E25"/>
    <w:rsid w:val="0073369A"/>
    <w:rsid w:val="00733721"/>
    <w:rsid w:val="00733DE2"/>
    <w:rsid w:val="007352EA"/>
    <w:rsid w:val="00736BFD"/>
    <w:rsid w:val="0073792F"/>
    <w:rsid w:val="0074018E"/>
    <w:rsid w:val="007403F7"/>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9D4"/>
    <w:rsid w:val="00747DE2"/>
    <w:rsid w:val="007504BF"/>
    <w:rsid w:val="007506CD"/>
    <w:rsid w:val="0075267F"/>
    <w:rsid w:val="007526EC"/>
    <w:rsid w:val="00752C91"/>
    <w:rsid w:val="00753C48"/>
    <w:rsid w:val="00754250"/>
    <w:rsid w:val="00754FE4"/>
    <w:rsid w:val="00755216"/>
    <w:rsid w:val="00756236"/>
    <w:rsid w:val="00756271"/>
    <w:rsid w:val="00756348"/>
    <w:rsid w:val="00756504"/>
    <w:rsid w:val="00756508"/>
    <w:rsid w:val="00756521"/>
    <w:rsid w:val="00756960"/>
    <w:rsid w:val="00756AB7"/>
    <w:rsid w:val="00756C5D"/>
    <w:rsid w:val="00760472"/>
    <w:rsid w:val="0076106D"/>
    <w:rsid w:val="007611AE"/>
    <w:rsid w:val="00761FD6"/>
    <w:rsid w:val="007623FB"/>
    <w:rsid w:val="00762517"/>
    <w:rsid w:val="00763240"/>
    <w:rsid w:val="0076376A"/>
    <w:rsid w:val="00763C4F"/>
    <w:rsid w:val="00764259"/>
    <w:rsid w:val="007648AD"/>
    <w:rsid w:val="0076504E"/>
    <w:rsid w:val="00765375"/>
    <w:rsid w:val="00767245"/>
    <w:rsid w:val="00767AC2"/>
    <w:rsid w:val="00767BFD"/>
    <w:rsid w:val="00767EA0"/>
    <w:rsid w:val="0077040F"/>
    <w:rsid w:val="0077068F"/>
    <w:rsid w:val="00771AF4"/>
    <w:rsid w:val="00771EDF"/>
    <w:rsid w:val="00772A90"/>
    <w:rsid w:val="00772F8D"/>
    <w:rsid w:val="0077408D"/>
    <w:rsid w:val="00774270"/>
    <w:rsid w:val="007743F6"/>
    <w:rsid w:val="00775679"/>
    <w:rsid w:val="0077574F"/>
    <w:rsid w:val="00775823"/>
    <w:rsid w:val="00775B11"/>
    <w:rsid w:val="00777B32"/>
    <w:rsid w:val="0078051E"/>
    <w:rsid w:val="00781089"/>
    <w:rsid w:val="00782BA2"/>
    <w:rsid w:val="007838F3"/>
    <w:rsid w:val="007856FE"/>
    <w:rsid w:val="00785D73"/>
    <w:rsid w:val="00785F46"/>
    <w:rsid w:val="007865F4"/>
    <w:rsid w:val="00786D5C"/>
    <w:rsid w:val="00786E96"/>
    <w:rsid w:val="00787860"/>
    <w:rsid w:val="00787DFF"/>
    <w:rsid w:val="00787F93"/>
    <w:rsid w:val="00791E6D"/>
    <w:rsid w:val="00791EB5"/>
    <w:rsid w:val="0079287E"/>
    <w:rsid w:val="007935F7"/>
    <w:rsid w:val="00793696"/>
    <w:rsid w:val="007940BB"/>
    <w:rsid w:val="00795F40"/>
    <w:rsid w:val="00796F65"/>
    <w:rsid w:val="007A11C2"/>
    <w:rsid w:val="007A18BB"/>
    <w:rsid w:val="007A27DD"/>
    <w:rsid w:val="007A41BF"/>
    <w:rsid w:val="007A490A"/>
    <w:rsid w:val="007A4DC8"/>
    <w:rsid w:val="007A723D"/>
    <w:rsid w:val="007A7B95"/>
    <w:rsid w:val="007B0297"/>
    <w:rsid w:val="007B02FA"/>
    <w:rsid w:val="007B0F53"/>
    <w:rsid w:val="007B21AE"/>
    <w:rsid w:val="007B2570"/>
    <w:rsid w:val="007B2EF4"/>
    <w:rsid w:val="007B3113"/>
    <w:rsid w:val="007B3304"/>
    <w:rsid w:val="007B42F8"/>
    <w:rsid w:val="007B49BA"/>
    <w:rsid w:val="007B7490"/>
    <w:rsid w:val="007C0525"/>
    <w:rsid w:val="007C13F7"/>
    <w:rsid w:val="007C218D"/>
    <w:rsid w:val="007C25CB"/>
    <w:rsid w:val="007C2D28"/>
    <w:rsid w:val="007C3C5C"/>
    <w:rsid w:val="007C3E22"/>
    <w:rsid w:val="007C5442"/>
    <w:rsid w:val="007C5B3E"/>
    <w:rsid w:val="007C6218"/>
    <w:rsid w:val="007C6484"/>
    <w:rsid w:val="007C67C6"/>
    <w:rsid w:val="007C78BE"/>
    <w:rsid w:val="007C7E59"/>
    <w:rsid w:val="007D0476"/>
    <w:rsid w:val="007D0752"/>
    <w:rsid w:val="007D0B91"/>
    <w:rsid w:val="007D0E87"/>
    <w:rsid w:val="007D1452"/>
    <w:rsid w:val="007D20B3"/>
    <w:rsid w:val="007D2D85"/>
    <w:rsid w:val="007D3DCB"/>
    <w:rsid w:val="007D460C"/>
    <w:rsid w:val="007D4996"/>
    <w:rsid w:val="007D4AD3"/>
    <w:rsid w:val="007D5D19"/>
    <w:rsid w:val="007D5FDC"/>
    <w:rsid w:val="007D6176"/>
    <w:rsid w:val="007D6D68"/>
    <w:rsid w:val="007D7FEB"/>
    <w:rsid w:val="007E11B5"/>
    <w:rsid w:val="007E257B"/>
    <w:rsid w:val="007E27FE"/>
    <w:rsid w:val="007E28F2"/>
    <w:rsid w:val="007E32DA"/>
    <w:rsid w:val="007E4998"/>
    <w:rsid w:val="007E4A9C"/>
    <w:rsid w:val="007E564E"/>
    <w:rsid w:val="007E6914"/>
    <w:rsid w:val="007E7AB6"/>
    <w:rsid w:val="007E7F78"/>
    <w:rsid w:val="007F0179"/>
    <w:rsid w:val="007F2C13"/>
    <w:rsid w:val="007F2CEC"/>
    <w:rsid w:val="007F3435"/>
    <w:rsid w:val="007F55DE"/>
    <w:rsid w:val="007F7344"/>
    <w:rsid w:val="007F762D"/>
    <w:rsid w:val="007F78F0"/>
    <w:rsid w:val="007F78FF"/>
    <w:rsid w:val="007F7B61"/>
    <w:rsid w:val="008001C5"/>
    <w:rsid w:val="00800F6C"/>
    <w:rsid w:val="00801065"/>
    <w:rsid w:val="00802C0B"/>
    <w:rsid w:val="00803D57"/>
    <w:rsid w:val="00804F87"/>
    <w:rsid w:val="008051FC"/>
    <w:rsid w:val="008055A9"/>
    <w:rsid w:val="008056C4"/>
    <w:rsid w:val="008057FD"/>
    <w:rsid w:val="00805D8B"/>
    <w:rsid w:val="00806652"/>
    <w:rsid w:val="00810E8E"/>
    <w:rsid w:val="00811D5C"/>
    <w:rsid w:val="00812C44"/>
    <w:rsid w:val="008135E1"/>
    <w:rsid w:val="00813779"/>
    <w:rsid w:val="00813E26"/>
    <w:rsid w:val="0081481D"/>
    <w:rsid w:val="00814BE8"/>
    <w:rsid w:val="00814D40"/>
    <w:rsid w:val="00814F6E"/>
    <w:rsid w:val="0081555D"/>
    <w:rsid w:val="0081572A"/>
    <w:rsid w:val="00815B84"/>
    <w:rsid w:val="00816BE9"/>
    <w:rsid w:val="00816D5D"/>
    <w:rsid w:val="008224B3"/>
    <w:rsid w:val="00822518"/>
    <w:rsid w:val="008225A2"/>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4906"/>
    <w:rsid w:val="00836075"/>
    <w:rsid w:val="00836417"/>
    <w:rsid w:val="008369AB"/>
    <w:rsid w:val="00837526"/>
    <w:rsid w:val="008407A7"/>
    <w:rsid w:val="00840A82"/>
    <w:rsid w:val="0084322B"/>
    <w:rsid w:val="00843F81"/>
    <w:rsid w:val="00844087"/>
    <w:rsid w:val="008448F1"/>
    <w:rsid w:val="0084519E"/>
    <w:rsid w:val="00845CAE"/>
    <w:rsid w:val="00846370"/>
    <w:rsid w:val="008477E7"/>
    <w:rsid w:val="00847C2B"/>
    <w:rsid w:val="00850272"/>
    <w:rsid w:val="008506B9"/>
    <w:rsid w:val="00851822"/>
    <w:rsid w:val="008521D2"/>
    <w:rsid w:val="008532BF"/>
    <w:rsid w:val="008539B2"/>
    <w:rsid w:val="00853BF4"/>
    <w:rsid w:val="00854294"/>
    <w:rsid w:val="0085436C"/>
    <w:rsid w:val="0085572E"/>
    <w:rsid w:val="0085788B"/>
    <w:rsid w:val="00857A9E"/>
    <w:rsid w:val="00857DE2"/>
    <w:rsid w:val="00861F93"/>
    <w:rsid w:val="00863A8E"/>
    <w:rsid w:val="0086407F"/>
    <w:rsid w:val="008645E3"/>
    <w:rsid w:val="00864E79"/>
    <w:rsid w:val="0086661F"/>
    <w:rsid w:val="00866A0D"/>
    <w:rsid w:val="00866DB5"/>
    <w:rsid w:val="0086701D"/>
    <w:rsid w:val="0086702B"/>
    <w:rsid w:val="008672E2"/>
    <w:rsid w:val="0086784E"/>
    <w:rsid w:val="0087033E"/>
    <w:rsid w:val="0087121C"/>
    <w:rsid w:val="00872084"/>
    <w:rsid w:val="00872827"/>
    <w:rsid w:val="00872A32"/>
    <w:rsid w:val="00874911"/>
    <w:rsid w:val="008754E4"/>
    <w:rsid w:val="00875A8C"/>
    <w:rsid w:val="0087673A"/>
    <w:rsid w:val="00876D49"/>
    <w:rsid w:val="00876EAE"/>
    <w:rsid w:val="00877163"/>
    <w:rsid w:val="00880106"/>
    <w:rsid w:val="008805CB"/>
    <w:rsid w:val="00880E1B"/>
    <w:rsid w:val="00880F95"/>
    <w:rsid w:val="00882B44"/>
    <w:rsid w:val="008838AD"/>
    <w:rsid w:val="008864B3"/>
    <w:rsid w:val="008865E5"/>
    <w:rsid w:val="008871B0"/>
    <w:rsid w:val="00890B57"/>
    <w:rsid w:val="008916BA"/>
    <w:rsid w:val="0089217C"/>
    <w:rsid w:val="00892790"/>
    <w:rsid w:val="00893671"/>
    <w:rsid w:val="00894720"/>
    <w:rsid w:val="00895838"/>
    <w:rsid w:val="00895A1E"/>
    <w:rsid w:val="00895A72"/>
    <w:rsid w:val="00895CDF"/>
    <w:rsid w:val="00896679"/>
    <w:rsid w:val="00896D8C"/>
    <w:rsid w:val="008A0E40"/>
    <w:rsid w:val="008A0FC9"/>
    <w:rsid w:val="008A1956"/>
    <w:rsid w:val="008A1A7C"/>
    <w:rsid w:val="008A21DC"/>
    <w:rsid w:val="008A2CE2"/>
    <w:rsid w:val="008A40D3"/>
    <w:rsid w:val="008A469C"/>
    <w:rsid w:val="008A51D1"/>
    <w:rsid w:val="008A5DCE"/>
    <w:rsid w:val="008A75D3"/>
    <w:rsid w:val="008A790E"/>
    <w:rsid w:val="008B05DD"/>
    <w:rsid w:val="008B17E8"/>
    <w:rsid w:val="008B2E7C"/>
    <w:rsid w:val="008B3FDF"/>
    <w:rsid w:val="008B439E"/>
    <w:rsid w:val="008B45F0"/>
    <w:rsid w:val="008B4A70"/>
    <w:rsid w:val="008B4D21"/>
    <w:rsid w:val="008B502F"/>
    <w:rsid w:val="008B6108"/>
    <w:rsid w:val="008B6DFC"/>
    <w:rsid w:val="008B6F44"/>
    <w:rsid w:val="008B7227"/>
    <w:rsid w:val="008C04E0"/>
    <w:rsid w:val="008C191C"/>
    <w:rsid w:val="008C1DA4"/>
    <w:rsid w:val="008C29B0"/>
    <w:rsid w:val="008C2CD5"/>
    <w:rsid w:val="008C3618"/>
    <w:rsid w:val="008C43AD"/>
    <w:rsid w:val="008C59D5"/>
    <w:rsid w:val="008C6118"/>
    <w:rsid w:val="008C6341"/>
    <w:rsid w:val="008C72CE"/>
    <w:rsid w:val="008C731F"/>
    <w:rsid w:val="008C74D9"/>
    <w:rsid w:val="008D314D"/>
    <w:rsid w:val="008D3B2D"/>
    <w:rsid w:val="008D4A06"/>
    <w:rsid w:val="008D58D9"/>
    <w:rsid w:val="008D5AD4"/>
    <w:rsid w:val="008D6DD5"/>
    <w:rsid w:val="008D6E59"/>
    <w:rsid w:val="008D7155"/>
    <w:rsid w:val="008E00AE"/>
    <w:rsid w:val="008E0B29"/>
    <w:rsid w:val="008E141A"/>
    <w:rsid w:val="008E1A44"/>
    <w:rsid w:val="008E1F98"/>
    <w:rsid w:val="008E28E6"/>
    <w:rsid w:val="008E3232"/>
    <w:rsid w:val="008E3674"/>
    <w:rsid w:val="008E3B6C"/>
    <w:rsid w:val="008E4FB1"/>
    <w:rsid w:val="008E52DD"/>
    <w:rsid w:val="008E562C"/>
    <w:rsid w:val="008E692A"/>
    <w:rsid w:val="008E77D4"/>
    <w:rsid w:val="008E7ADD"/>
    <w:rsid w:val="008F04B2"/>
    <w:rsid w:val="008F091F"/>
    <w:rsid w:val="008F17B2"/>
    <w:rsid w:val="008F1BDD"/>
    <w:rsid w:val="008F22B3"/>
    <w:rsid w:val="008F357B"/>
    <w:rsid w:val="008F44CA"/>
    <w:rsid w:val="008F49D3"/>
    <w:rsid w:val="008F6519"/>
    <w:rsid w:val="008F69BB"/>
    <w:rsid w:val="008F7012"/>
    <w:rsid w:val="008F7ADA"/>
    <w:rsid w:val="008F7B17"/>
    <w:rsid w:val="00900042"/>
    <w:rsid w:val="0090034B"/>
    <w:rsid w:val="00902623"/>
    <w:rsid w:val="00902A67"/>
    <w:rsid w:val="00902C5E"/>
    <w:rsid w:val="00902F8D"/>
    <w:rsid w:val="00903947"/>
    <w:rsid w:val="00904BE4"/>
    <w:rsid w:val="0090504A"/>
    <w:rsid w:val="009051F5"/>
    <w:rsid w:val="00905221"/>
    <w:rsid w:val="00905A7C"/>
    <w:rsid w:val="00905D7E"/>
    <w:rsid w:val="00907037"/>
    <w:rsid w:val="0091112C"/>
    <w:rsid w:val="0091160A"/>
    <w:rsid w:val="009119EC"/>
    <w:rsid w:val="00912E04"/>
    <w:rsid w:val="00913258"/>
    <w:rsid w:val="00913851"/>
    <w:rsid w:val="00913BB0"/>
    <w:rsid w:val="0091456C"/>
    <w:rsid w:val="00914C58"/>
    <w:rsid w:val="0091564D"/>
    <w:rsid w:val="009156DA"/>
    <w:rsid w:val="00915774"/>
    <w:rsid w:val="00916976"/>
    <w:rsid w:val="00916BC5"/>
    <w:rsid w:val="0091726A"/>
    <w:rsid w:val="00917C01"/>
    <w:rsid w:val="00917E9C"/>
    <w:rsid w:val="00920184"/>
    <w:rsid w:val="00920EA4"/>
    <w:rsid w:val="00921792"/>
    <w:rsid w:val="00921BEA"/>
    <w:rsid w:val="009227BE"/>
    <w:rsid w:val="009238FD"/>
    <w:rsid w:val="00923998"/>
    <w:rsid w:val="00923DB4"/>
    <w:rsid w:val="0092420B"/>
    <w:rsid w:val="0092430E"/>
    <w:rsid w:val="00924DEA"/>
    <w:rsid w:val="0092530B"/>
    <w:rsid w:val="00926112"/>
    <w:rsid w:val="0092625F"/>
    <w:rsid w:val="00926B28"/>
    <w:rsid w:val="00926D9C"/>
    <w:rsid w:val="00927028"/>
    <w:rsid w:val="00927763"/>
    <w:rsid w:val="00927A2D"/>
    <w:rsid w:val="00927B37"/>
    <w:rsid w:val="009321B1"/>
    <w:rsid w:val="00932ED7"/>
    <w:rsid w:val="009334F0"/>
    <w:rsid w:val="0093422D"/>
    <w:rsid w:val="0093483B"/>
    <w:rsid w:val="00934CF9"/>
    <w:rsid w:val="00934DD7"/>
    <w:rsid w:val="009369A9"/>
    <w:rsid w:val="00936CF7"/>
    <w:rsid w:val="00937783"/>
    <w:rsid w:val="00937EAD"/>
    <w:rsid w:val="00937F28"/>
    <w:rsid w:val="00940FE1"/>
    <w:rsid w:val="00942306"/>
    <w:rsid w:val="009424B8"/>
    <w:rsid w:val="00943D89"/>
    <w:rsid w:val="00944668"/>
    <w:rsid w:val="009449CE"/>
    <w:rsid w:val="00944DC6"/>
    <w:rsid w:val="009458B0"/>
    <w:rsid w:val="00945B52"/>
    <w:rsid w:val="00945B7A"/>
    <w:rsid w:val="00945F05"/>
    <w:rsid w:val="00946348"/>
    <w:rsid w:val="00947797"/>
    <w:rsid w:val="009478A2"/>
    <w:rsid w:val="00951475"/>
    <w:rsid w:val="009539A6"/>
    <w:rsid w:val="00954032"/>
    <w:rsid w:val="00955FBB"/>
    <w:rsid w:val="00956006"/>
    <w:rsid w:val="009561FD"/>
    <w:rsid w:val="0095694B"/>
    <w:rsid w:val="00956BD5"/>
    <w:rsid w:val="00956D84"/>
    <w:rsid w:val="00957747"/>
    <w:rsid w:val="009577B5"/>
    <w:rsid w:val="009608E6"/>
    <w:rsid w:val="00960F57"/>
    <w:rsid w:val="00961C90"/>
    <w:rsid w:val="00962A63"/>
    <w:rsid w:val="00965443"/>
    <w:rsid w:val="00965954"/>
    <w:rsid w:val="00965E55"/>
    <w:rsid w:val="0096608E"/>
    <w:rsid w:val="009660A3"/>
    <w:rsid w:val="009660BA"/>
    <w:rsid w:val="00966522"/>
    <w:rsid w:val="00966C33"/>
    <w:rsid w:val="00970804"/>
    <w:rsid w:val="00970D69"/>
    <w:rsid w:val="00970F18"/>
    <w:rsid w:val="009711F4"/>
    <w:rsid w:val="009715F5"/>
    <w:rsid w:val="00971CF1"/>
    <w:rsid w:val="00971F5D"/>
    <w:rsid w:val="009721E9"/>
    <w:rsid w:val="00973772"/>
    <w:rsid w:val="00974A3C"/>
    <w:rsid w:val="00975419"/>
    <w:rsid w:val="0097560A"/>
    <w:rsid w:val="00975E1E"/>
    <w:rsid w:val="00975E70"/>
    <w:rsid w:val="009761DE"/>
    <w:rsid w:val="009766FA"/>
    <w:rsid w:val="00977CD6"/>
    <w:rsid w:val="00980DF9"/>
    <w:rsid w:val="00981D9B"/>
    <w:rsid w:val="0098243D"/>
    <w:rsid w:val="009826FE"/>
    <w:rsid w:val="00982D26"/>
    <w:rsid w:val="0098397D"/>
    <w:rsid w:val="00983B6E"/>
    <w:rsid w:val="00983FE5"/>
    <w:rsid w:val="009849E9"/>
    <w:rsid w:val="009859E4"/>
    <w:rsid w:val="00986581"/>
    <w:rsid w:val="00987322"/>
    <w:rsid w:val="00987812"/>
    <w:rsid w:val="00990225"/>
    <w:rsid w:val="00992A13"/>
    <w:rsid w:val="00992CD7"/>
    <w:rsid w:val="00994AAD"/>
    <w:rsid w:val="00995150"/>
    <w:rsid w:val="00995D67"/>
    <w:rsid w:val="009A013B"/>
    <w:rsid w:val="009A02F4"/>
    <w:rsid w:val="009A06BF"/>
    <w:rsid w:val="009A0D17"/>
    <w:rsid w:val="009A1D76"/>
    <w:rsid w:val="009A2494"/>
    <w:rsid w:val="009A32B1"/>
    <w:rsid w:val="009A33A3"/>
    <w:rsid w:val="009A36F2"/>
    <w:rsid w:val="009A3B89"/>
    <w:rsid w:val="009A40C3"/>
    <w:rsid w:val="009A40D5"/>
    <w:rsid w:val="009A57D0"/>
    <w:rsid w:val="009A6559"/>
    <w:rsid w:val="009A68FC"/>
    <w:rsid w:val="009A6CE4"/>
    <w:rsid w:val="009A7514"/>
    <w:rsid w:val="009A7E7A"/>
    <w:rsid w:val="009B0602"/>
    <w:rsid w:val="009B1584"/>
    <w:rsid w:val="009B16CC"/>
    <w:rsid w:val="009B18F0"/>
    <w:rsid w:val="009B2471"/>
    <w:rsid w:val="009B2537"/>
    <w:rsid w:val="009B314F"/>
    <w:rsid w:val="009B439C"/>
    <w:rsid w:val="009B49A1"/>
    <w:rsid w:val="009B4A6C"/>
    <w:rsid w:val="009B4DA8"/>
    <w:rsid w:val="009B519A"/>
    <w:rsid w:val="009B620C"/>
    <w:rsid w:val="009B6753"/>
    <w:rsid w:val="009B676C"/>
    <w:rsid w:val="009B6A26"/>
    <w:rsid w:val="009B7229"/>
    <w:rsid w:val="009C079D"/>
    <w:rsid w:val="009C0D70"/>
    <w:rsid w:val="009C13D1"/>
    <w:rsid w:val="009C1E09"/>
    <w:rsid w:val="009C20EA"/>
    <w:rsid w:val="009C2913"/>
    <w:rsid w:val="009C2936"/>
    <w:rsid w:val="009C2BD4"/>
    <w:rsid w:val="009C2D69"/>
    <w:rsid w:val="009C5AFE"/>
    <w:rsid w:val="009C6606"/>
    <w:rsid w:val="009C6AC0"/>
    <w:rsid w:val="009C6CE5"/>
    <w:rsid w:val="009C6D50"/>
    <w:rsid w:val="009C7547"/>
    <w:rsid w:val="009D05EC"/>
    <w:rsid w:val="009D0F86"/>
    <w:rsid w:val="009D18D4"/>
    <w:rsid w:val="009D1AA3"/>
    <w:rsid w:val="009D2F60"/>
    <w:rsid w:val="009D3A2E"/>
    <w:rsid w:val="009D5ADE"/>
    <w:rsid w:val="009D5BAC"/>
    <w:rsid w:val="009D5C56"/>
    <w:rsid w:val="009D6265"/>
    <w:rsid w:val="009D64BD"/>
    <w:rsid w:val="009D6CB1"/>
    <w:rsid w:val="009E0286"/>
    <w:rsid w:val="009E153F"/>
    <w:rsid w:val="009E2C09"/>
    <w:rsid w:val="009E2E6F"/>
    <w:rsid w:val="009E322A"/>
    <w:rsid w:val="009E393E"/>
    <w:rsid w:val="009E444E"/>
    <w:rsid w:val="009E4968"/>
    <w:rsid w:val="009E4BFE"/>
    <w:rsid w:val="009E663C"/>
    <w:rsid w:val="009E684A"/>
    <w:rsid w:val="009E6BB1"/>
    <w:rsid w:val="009E6E14"/>
    <w:rsid w:val="009F0494"/>
    <w:rsid w:val="009F0CD9"/>
    <w:rsid w:val="009F1A79"/>
    <w:rsid w:val="009F1F57"/>
    <w:rsid w:val="009F29DC"/>
    <w:rsid w:val="009F2BA9"/>
    <w:rsid w:val="009F2DDD"/>
    <w:rsid w:val="009F3447"/>
    <w:rsid w:val="009F34FA"/>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4E0"/>
    <w:rsid w:val="00A05D91"/>
    <w:rsid w:val="00A06AC2"/>
    <w:rsid w:val="00A0740B"/>
    <w:rsid w:val="00A07ED3"/>
    <w:rsid w:val="00A101D1"/>
    <w:rsid w:val="00A101DE"/>
    <w:rsid w:val="00A10CA8"/>
    <w:rsid w:val="00A11042"/>
    <w:rsid w:val="00A12579"/>
    <w:rsid w:val="00A133D8"/>
    <w:rsid w:val="00A15655"/>
    <w:rsid w:val="00A16780"/>
    <w:rsid w:val="00A16CDE"/>
    <w:rsid w:val="00A16D73"/>
    <w:rsid w:val="00A1740C"/>
    <w:rsid w:val="00A17D1D"/>
    <w:rsid w:val="00A20069"/>
    <w:rsid w:val="00A2244D"/>
    <w:rsid w:val="00A2253D"/>
    <w:rsid w:val="00A229DB"/>
    <w:rsid w:val="00A247B8"/>
    <w:rsid w:val="00A24906"/>
    <w:rsid w:val="00A2495A"/>
    <w:rsid w:val="00A24C7A"/>
    <w:rsid w:val="00A24D8F"/>
    <w:rsid w:val="00A25B8B"/>
    <w:rsid w:val="00A267F8"/>
    <w:rsid w:val="00A2689F"/>
    <w:rsid w:val="00A268C2"/>
    <w:rsid w:val="00A26ECA"/>
    <w:rsid w:val="00A27461"/>
    <w:rsid w:val="00A27D67"/>
    <w:rsid w:val="00A30ABC"/>
    <w:rsid w:val="00A33212"/>
    <w:rsid w:val="00A33B74"/>
    <w:rsid w:val="00A345BC"/>
    <w:rsid w:val="00A3467F"/>
    <w:rsid w:val="00A34B4C"/>
    <w:rsid w:val="00A35030"/>
    <w:rsid w:val="00A3551A"/>
    <w:rsid w:val="00A35BF8"/>
    <w:rsid w:val="00A37209"/>
    <w:rsid w:val="00A37584"/>
    <w:rsid w:val="00A376E8"/>
    <w:rsid w:val="00A37F8E"/>
    <w:rsid w:val="00A41537"/>
    <w:rsid w:val="00A41737"/>
    <w:rsid w:val="00A42B8F"/>
    <w:rsid w:val="00A42D8E"/>
    <w:rsid w:val="00A43254"/>
    <w:rsid w:val="00A4359F"/>
    <w:rsid w:val="00A43896"/>
    <w:rsid w:val="00A43A26"/>
    <w:rsid w:val="00A447A0"/>
    <w:rsid w:val="00A459F5"/>
    <w:rsid w:val="00A45FC0"/>
    <w:rsid w:val="00A47130"/>
    <w:rsid w:val="00A47ECC"/>
    <w:rsid w:val="00A50171"/>
    <w:rsid w:val="00A5040B"/>
    <w:rsid w:val="00A504FA"/>
    <w:rsid w:val="00A5102E"/>
    <w:rsid w:val="00A5132E"/>
    <w:rsid w:val="00A51375"/>
    <w:rsid w:val="00A51533"/>
    <w:rsid w:val="00A5205B"/>
    <w:rsid w:val="00A531D4"/>
    <w:rsid w:val="00A540A9"/>
    <w:rsid w:val="00A54572"/>
    <w:rsid w:val="00A54F63"/>
    <w:rsid w:val="00A56109"/>
    <w:rsid w:val="00A568C0"/>
    <w:rsid w:val="00A575B8"/>
    <w:rsid w:val="00A61C60"/>
    <w:rsid w:val="00A61ECB"/>
    <w:rsid w:val="00A6410C"/>
    <w:rsid w:val="00A647B1"/>
    <w:rsid w:val="00A64DEF"/>
    <w:rsid w:val="00A654D2"/>
    <w:rsid w:val="00A665DF"/>
    <w:rsid w:val="00A670FC"/>
    <w:rsid w:val="00A67321"/>
    <w:rsid w:val="00A67FCC"/>
    <w:rsid w:val="00A70AA5"/>
    <w:rsid w:val="00A70C03"/>
    <w:rsid w:val="00A71256"/>
    <w:rsid w:val="00A7217B"/>
    <w:rsid w:val="00A72956"/>
    <w:rsid w:val="00A73861"/>
    <w:rsid w:val="00A739A6"/>
    <w:rsid w:val="00A740ED"/>
    <w:rsid w:val="00A74C29"/>
    <w:rsid w:val="00A74C62"/>
    <w:rsid w:val="00A75EF9"/>
    <w:rsid w:val="00A76C27"/>
    <w:rsid w:val="00A8134D"/>
    <w:rsid w:val="00A818A1"/>
    <w:rsid w:val="00A8311C"/>
    <w:rsid w:val="00A835D0"/>
    <w:rsid w:val="00A84C5F"/>
    <w:rsid w:val="00A85930"/>
    <w:rsid w:val="00A8632B"/>
    <w:rsid w:val="00A863F5"/>
    <w:rsid w:val="00A863F7"/>
    <w:rsid w:val="00A86604"/>
    <w:rsid w:val="00A86E82"/>
    <w:rsid w:val="00A87519"/>
    <w:rsid w:val="00A90A65"/>
    <w:rsid w:val="00A9246D"/>
    <w:rsid w:val="00A93BD0"/>
    <w:rsid w:val="00A93CC2"/>
    <w:rsid w:val="00A95F06"/>
    <w:rsid w:val="00A974CC"/>
    <w:rsid w:val="00AA01A3"/>
    <w:rsid w:val="00AA2001"/>
    <w:rsid w:val="00AA260D"/>
    <w:rsid w:val="00AA266C"/>
    <w:rsid w:val="00AA2B5C"/>
    <w:rsid w:val="00AA308F"/>
    <w:rsid w:val="00AA32D2"/>
    <w:rsid w:val="00AA4016"/>
    <w:rsid w:val="00AA4C1F"/>
    <w:rsid w:val="00AA5328"/>
    <w:rsid w:val="00AA5393"/>
    <w:rsid w:val="00AA63D4"/>
    <w:rsid w:val="00AB03FD"/>
    <w:rsid w:val="00AB0AFE"/>
    <w:rsid w:val="00AB1B39"/>
    <w:rsid w:val="00AB2000"/>
    <w:rsid w:val="00AB38CB"/>
    <w:rsid w:val="00AB3B86"/>
    <w:rsid w:val="00AB3BEC"/>
    <w:rsid w:val="00AB44E4"/>
    <w:rsid w:val="00AB4AEB"/>
    <w:rsid w:val="00AB4D17"/>
    <w:rsid w:val="00AB4E5F"/>
    <w:rsid w:val="00AB5352"/>
    <w:rsid w:val="00AB56AE"/>
    <w:rsid w:val="00AB59D5"/>
    <w:rsid w:val="00AB62D5"/>
    <w:rsid w:val="00AB65B5"/>
    <w:rsid w:val="00AB6929"/>
    <w:rsid w:val="00AB6DCD"/>
    <w:rsid w:val="00AB6EE0"/>
    <w:rsid w:val="00AB7A31"/>
    <w:rsid w:val="00AC17A2"/>
    <w:rsid w:val="00AC3E1C"/>
    <w:rsid w:val="00AC40B7"/>
    <w:rsid w:val="00AC531F"/>
    <w:rsid w:val="00AC5A18"/>
    <w:rsid w:val="00AC5B36"/>
    <w:rsid w:val="00AC6377"/>
    <w:rsid w:val="00AC66A4"/>
    <w:rsid w:val="00AC6CB1"/>
    <w:rsid w:val="00AC7D6D"/>
    <w:rsid w:val="00AD0091"/>
    <w:rsid w:val="00AD0CF6"/>
    <w:rsid w:val="00AD23EF"/>
    <w:rsid w:val="00AD2662"/>
    <w:rsid w:val="00AD307B"/>
    <w:rsid w:val="00AD4014"/>
    <w:rsid w:val="00AD41B3"/>
    <w:rsid w:val="00AD4208"/>
    <w:rsid w:val="00AD5013"/>
    <w:rsid w:val="00AD69F0"/>
    <w:rsid w:val="00AD7127"/>
    <w:rsid w:val="00AD730C"/>
    <w:rsid w:val="00AE0031"/>
    <w:rsid w:val="00AE0C7D"/>
    <w:rsid w:val="00AE123A"/>
    <w:rsid w:val="00AE1539"/>
    <w:rsid w:val="00AE28A7"/>
    <w:rsid w:val="00AE2A98"/>
    <w:rsid w:val="00AE2CF2"/>
    <w:rsid w:val="00AE3012"/>
    <w:rsid w:val="00AE33A6"/>
    <w:rsid w:val="00AE3729"/>
    <w:rsid w:val="00AE3D4D"/>
    <w:rsid w:val="00AE4CCE"/>
    <w:rsid w:val="00AE5C6A"/>
    <w:rsid w:val="00AE7280"/>
    <w:rsid w:val="00AE7D55"/>
    <w:rsid w:val="00AF033A"/>
    <w:rsid w:val="00AF1699"/>
    <w:rsid w:val="00AF1FD3"/>
    <w:rsid w:val="00AF2910"/>
    <w:rsid w:val="00AF34B8"/>
    <w:rsid w:val="00AF3896"/>
    <w:rsid w:val="00AF3FC2"/>
    <w:rsid w:val="00B0098A"/>
    <w:rsid w:val="00B00A5F"/>
    <w:rsid w:val="00B029B8"/>
    <w:rsid w:val="00B02F60"/>
    <w:rsid w:val="00B032B8"/>
    <w:rsid w:val="00B04721"/>
    <w:rsid w:val="00B04B15"/>
    <w:rsid w:val="00B04B46"/>
    <w:rsid w:val="00B0534D"/>
    <w:rsid w:val="00B05685"/>
    <w:rsid w:val="00B05F9F"/>
    <w:rsid w:val="00B06368"/>
    <w:rsid w:val="00B068DA"/>
    <w:rsid w:val="00B06B48"/>
    <w:rsid w:val="00B06FC6"/>
    <w:rsid w:val="00B074C9"/>
    <w:rsid w:val="00B07D9D"/>
    <w:rsid w:val="00B113BC"/>
    <w:rsid w:val="00B11AE5"/>
    <w:rsid w:val="00B1233D"/>
    <w:rsid w:val="00B12FE6"/>
    <w:rsid w:val="00B1303F"/>
    <w:rsid w:val="00B1364A"/>
    <w:rsid w:val="00B13859"/>
    <w:rsid w:val="00B14319"/>
    <w:rsid w:val="00B14A06"/>
    <w:rsid w:val="00B158E1"/>
    <w:rsid w:val="00B16715"/>
    <w:rsid w:val="00B175A0"/>
    <w:rsid w:val="00B1768E"/>
    <w:rsid w:val="00B17910"/>
    <w:rsid w:val="00B20596"/>
    <w:rsid w:val="00B20F18"/>
    <w:rsid w:val="00B21516"/>
    <w:rsid w:val="00B2163F"/>
    <w:rsid w:val="00B21A37"/>
    <w:rsid w:val="00B21F62"/>
    <w:rsid w:val="00B225F0"/>
    <w:rsid w:val="00B22CE0"/>
    <w:rsid w:val="00B23319"/>
    <w:rsid w:val="00B23738"/>
    <w:rsid w:val="00B23BEF"/>
    <w:rsid w:val="00B247BB"/>
    <w:rsid w:val="00B2504A"/>
    <w:rsid w:val="00B25EE6"/>
    <w:rsid w:val="00B278CF"/>
    <w:rsid w:val="00B30B01"/>
    <w:rsid w:val="00B3115A"/>
    <w:rsid w:val="00B31825"/>
    <w:rsid w:val="00B31A5C"/>
    <w:rsid w:val="00B32CC0"/>
    <w:rsid w:val="00B33B06"/>
    <w:rsid w:val="00B33C19"/>
    <w:rsid w:val="00B35A15"/>
    <w:rsid w:val="00B36A99"/>
    <w:rsid w:val="00B4059A"/>
    <w:rsid w:val="00B42264"/>
    <w:rsid w:val="00B434B2"/>
    <w:rsid w:val="00B43D45"/>
    <w:rsid w:val="00B45FD0"/>
    <w:rsid w:val="00B468F2"/>
    <w:rsid w:val="00B469DE"/>
    <w:rsid w:val="00B47286"/>
    <w:rsid w:val="00B50234"/>
    <w:rsid w:val="00B516A4"/>
    <w:rsid w:val="00B51BF4"/>
    <w:rsid w:val="00B52C68"/>
    <w:rsid w:val="00B5372B"/>
    <w:rsid w:val="00B542FE"/>
    <w:rsid w:val="00B55A1B"/>
    <w:rsid w:val="00B561DB"/>
    <w:rsid w:val="00B56DF9"/>
    <w:rsid w:val="00B600BD"/>
    <w:rsid w:val="00B61274"/>
    <w:rsid w:val="00B61B35"/>
    <w:rsid w:val="00B61CD1"/>
    <w:rsid w:val="00B61DCE"/>
    <w:rsid w:val="00B62188"/>
    <w:rsid w:val="00B62A6F"/>
    <w:rsid w:val="00B62E07"/>
    <w:rsid w:val="00B62F79"/>
    <w:rsid w:val="00B62F82"/>
    <w:rsid w:val="00B6306A"/>
    <w:rsid w:val="00B635E3"/>
    <w:rsid w:val="00B662FF"/>
    <w:rsid w:val="00B66679"/>
    <w:rsid w:val="00B66EEA"/>
    <w:rsid w:val="00B676F3"/>
    <w:rsid w:val="00B67986"/>
    <w:rsid w:val="00B67A12"/>
    <w:rsid w:val="00B70145"/>
    <w:rsid w:val="00B70888"/>
    <w:rsid w:val="00B71043"/>
    <w:rsid w:val="00B71A92"/>
    <w:rsid w:val="00B721D8"/>
    <w:rsid w:val="00B72EEF"/>
    <w:rsid w:val="00B730CA"/>
    <w:rsid w:val="00B747C5"/>
    <w:rsid w:val="00B74F2F"/>
    <w:rsid w:val="00B753ED"/>
    <w:rsid w:val="00B769BC"/>
    <w:rsid w:val="00B77349"/>
    <w:rsid w:val="00B7761E"/>
    <w:rsid w:val="00B8002B"/>
    <w:rsid w:val="00B80A3D"/>
    <w:rsid w:val="00B80B04"/>
    <w:rsid w:val="00B819FF"/>
    <w:rsid w:val="00B821E4"/>
    <w:rsid w:val="00B823E0"/>
    <w:rsid w:val="00B8260D"/>
    <w:rsid w:val="00B82B78"/>
    <w:rsid w:val="00B82F16"/>
    <w:rsid w:val="00B845B4"/>
    <w:rsid w:val="00B84662"/>
    <w:rsid w:val="00B84C74"/>
    <w:rsid w:val="00B85191"/>
    <w:rsid w:val="00B858A1"/>
    <w:rsid w:val="00B85FEC"/>
    <w:rsid w:val="00B864A3"/>
    <w:rsid w:val="00B86B65"/>
    <w:rsid w:val="00B86C2A"/>
    <w:rsid w:val="00B902A5"/>
    <w:rsid w:val="00B90420"/>
    <w:rsid w:val="00B90848"/>
    <w:rsid w:val="00B90976"/>
    <w:rsid w:val="00B91146"/>
    <w:rsid w:val="00B913E4"/>
    <w:rsid w:val="00B91DB9"/>
    <w:rsid w:val="00B91FF3"/>
    <w:rsid w:val="00B93EFE"/>
    <w:rsid w:val="00B944B9"/>
    <w:rsid w:val="00B94549"/>
    <w:rsid w:val="00B94956"/>
    <w:rsid w:val="00B94C7F"/>
    <w:rsid w:val="00B94E93"/>
    <w:rsid w:val="00B956B5"/>
    <w:rsid w:val="00B96BC1"/>
    <w:rsid w:val="00B96DF2"/>
    <w:rsid w:val="00B96E18"/>
    <w:rsid w:val="00B96F5A"/>
    <w:rsid w:val="00B97A21"/>
    <w:rsid w:val="00BA0B39"/>
    <w:rsid w:val="00BA0CB2"/>
    <w:rsid w:val="00BA0E26"/>
    <w:rsid w:val="00BA138B"/>
    <w:rsid w:val="00BA305B"/>
    <w:rsid w:val="00BA31BF"/>
    <w:rsid w:val="00BA3FC7"/>
    <w:rsid w:val="00BA478B"/>
    <w:rsid w:val="00BA5224"/>
    <w:rsid w:val="00BA575E"/>
    <w:rsid w:val="00BA68B9"/>
    <w:rsid w:val="00BA7695"/>
    <w:rsid w:val="00BA76B7"/>
    <w:rsid w:val="00BA7E3B"/>
    <w:rsid w:val="00BB078D"/>
    <w:rsid w:val="00BB079C"/>
    <w:rsid w:val="00BB0D7A"/>
    <w:rsid w:val="00BB10E1"/>
    <w:rsid w:val="00BB1CC6"/>
    <w:rsid w:val="00BB1CE2"/>
    <w:rsid w:val="00BB2471"/>
    <w:rsid w:val="00BB3035"/>
    <w:rsid w:val="00BB39C1"/>
    <w:rsid w:val="00BB3DF5"/>
    <w:rsid w:val="00BB5B85"/>
    <w:rsid w:val="00BB5D16"/>
    <w:rsid w:val="00BB6180"/>
    <w:rsid w:val="00BB69E6"/>
    <w:rsid w:val="00BB7BE5"/>
    <w:rsid w:val="00BC08BD"/>
    <w:rsid w:val="00BC11E8"/>
    <w:rsid w:val="00BC1B7A"/>
    <w:rsid w:val="00BC2C17"/>
    <w:rsid w:val="00BC3ACD"/>
    <w:rsid w:val="00BC3B20"/>
    <w:rsid w:val="00BC3EE4"/>
    <w:rsid w:val="00BC43BC"/>
    <w:rsid w:val="00BC57A4"/>
    <w:rsid w:val="00BC588C"/>
    <w:rsid w:val="00BC6E73"/>
    <w:rsid w:val="00BC74D3"/>
    <w:rsid w:val="00BC75A5"/>
    <w:rsid w:val="00BC7E53"/>
    <w:rsid w:val="00BD0014"/>
    <w:rsid w:val="00BD01D8"/>
    <w:rsid w:val="00BD16C9"/>
    <w:rsid w:val="00BD255F"/>
    <w:rsid w:val="00BD2895"/>
    <w:rsid w:val="00BD4236"/>
    <w:rsid w:val="00BD483B"/>
    <w:rsid w:val="00BD49FA"/>
    <w:rsid w:val="00BD5CD4"/>
    <w:rsid w:val="00BD65D9"/>
    <w:rsid w:val="00BD6DF3"/>
    <w:rsid w:val="00BD6E09"/>
    <w:rsid w:val="00BD6EF9"/>
    <w:rsid w:val="00BE0ACB"/>
    <w:rsid w:val="00BE2260"/>
    <w:rsid w:val="00BE3917"/>
    <w:rsid w:val="00BE50FD"/>
    <w:rsid w:val="00BE51CA"/>
    <w:rsid w:val="00BE537F"/>
    <w:rsid w:val="00BE5D77"/>
    <w:rsid w:val="00BE6514"/>
    <w:rsid w:val="00BE6D47"/>
    <w:rsid w:val="00BE7032"/>
    <w:rsid w:val="00BE7330"/>
    <w:rsid w:val="00BF01C5"/>
    <w:rsid w:val="00BF061A"/>
    <w:rsid w:val="00BF066A"/>
    <w:rsid w:val="00BF14CC"/>
    <w:rsid w:val="00BF1821"/>
    <w:rsid w:val="00BF3A62"/>
    <w:rsid w:val="00BF4342"/>
    <w:rsid w:val="00BF4704"/>
    <w:rsid w:val="00BF4FFC"/>
    <w:rsid w:val="00BF5050"/>
    <w:rsid w:val="00BF50D1"/>
    <w:rsid w:val="00BF5422"/>
    <w:rsid w:val="00BF59B1"/>
    <w:rsid w:val="00BF6A78"/>
    <w:rsid w:val="00BF7695"/>
    <w:rsid w:val="00BF79B4"/>
    <w:rsid w:val="00BF7AF3"/>
    <w:rsid w:val="00BF7C61"/>
    <w:rsid w:val="00C0005A"/>
    <w:rsid w:val="00C01427"/>
    <w:rsid w:val="00C014C7"/>
    <w:rsid w:val="00C047AB"/>
    <w:rsid w:val="00C04BB8"/>
    <w:rsid w:val="00C058AF"/>
    <w:rsid w:val="00C115F6"/>
    <w:rsid w:val="00C124C1"/>
    <w:rsid w:val="00C128AE"/>
    <w:rsid w:val="00C12BA8"/>
    <w:rsid w:val="00C136D6"/>
    <w:rsid w:val="00C13D5B"/>
    <w:rsid w:val="00C141D7"/>
    <w:rsid w:val="00C1576F"/>
    <w:rsid w:val="00C15ACA"/>
    <w:rsid w:val="00C1711B"/>
    <w:rsid w:val="00C17AE2"/>
    <w:rsid w:val="00C20140"/>
    <w:rsid w:val="00C20F27"/>
    <w:rsid w:val="00C215CF"/>
    <w:rsid w:val="00C2244B"/>
    <w:rsid w:val="00C22711"/>
    <w:rsid w:val="00C2280A"/>
    <w:rsid w:val="00C22B0D"/>
    <w:rsid w:val="00C23522"/>
    <w:rsid w:val="00C240C1"/>
    <w:rsid w:val="00C24AA4"/>
    <w:rsid w:val="00C24AED"/>
    <w:rsid w:val="00C250D0"/>
    <w:rsid w:val="00C252AC"/>
    <w:rsid w:val="00C25852"/>
    <w:rsid w:val="00C25C0F"/>
    <w:rsid w:val="00C26567"/>
    <w:rsid w:val="00C265F3"/>
    <w:rsid w:val="00C26923"/>
    <w:rsid w:val="00C26C25"/>
    <w:rsid w:val="00C27214"/>
    <w:rsid w:val="00C27597"/>
    <w:rsid w:val="00C27E5E"/>
    <w:rsid w:val="00C30382"/>
    <w:rsid w:val="00C30772"/>
    <w:rsid w:val="00C30D6F"/>
    <w:rsid w:val="00C31063"/>
    <w:rsid w:val="00C31B7E"/>
    <w:rsid w:val="00C322D1"/>
    <w:rsid w:val="00C3242A"/>
    <w:rsid w:val="00C33201"/>
    <w:rsid w:val="00C33A39"/>
    <w:rsid w:val="00C35D01"/>
    <w:rsid w:val="00C360B3"/>
    <w:rsid w:val="00C37027"/>
    <w:rsid w:val="00C37B19"/>
    <w:rsid w:val="00C413CB"/>
    <w:rsid w:val="00C425FA"/>
    <w:rsid w:val="00C42752"/>
    <w:rsid w:val="00C42973"/>
    <w:rsid w:val="00C450C2"/>
    <w:rsid w:val="00C46B55"/>
    <w:rsid w:val="00C47D6D"/>
    <w:rsid w:val="00C5034F"/>
    <w:rsid w:val="00C50830"/>
    <w:rsid w:val="00C51DFA"/>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D26"/>
    <w:rsid w:val="00C6411A"/>
    <w:rsid w:val="00C64429"/>
    <w:rsid w:val="00C6540A"/>
    <w:rsid w:val="00C668A1"/>
    <w:rsid w:val="00C66DA2"/>
    <w:rsid w:val="00C67223"/>
    <w:rsid w:val="00C67BCB"/>
    <w:rsid w:val="00C707B8"/>
    <w:rsid w:val="00C70BF0"/>
    <w:rsid w:val="00C710A5"/>
    <w:rsid w:val="00C712AC"/>
    <w:rsid w:val="00C71C15"/>
    <w:rsid w:val="00C71F3D"/>
    <w:rsid w:val="00C7208A"/>
    <w:rsid w:val="00C72F53"/>
    <w:rsid w:val="00C73FB2"/>
    <w:rsid w:val="00C74035"/>
    <w:rsid w:val="00C748EA"/>
    <w:rsid w:val="00C77535"/>
    <w:rsid w:val="00C77818"/>
    <w:rsid w:val="00C8063F"/>
    <w:rsid w:val="00C81282"/>
    <w:rsid w:val="00C83214"/>
    <w:rsid w:val="00C8329F"/>
    <w:rsid w:val="00C84F8A"/>
    <w:rsid w:val="00C85BA4"/>
    <w:rsid w:val="00C8618F"/>
    <w:rsid w:val="00C8625D"/>
    <w:rsid w:val="00C8658B"/>
    <w:rsid w:val="00C86CC8"/>
    <w:rsid w:val="00C90372"/>
    <w:rsid w:val="00C9041F"/>
    <w:rsid w:val="00C9166B"/>
    <w:rsid w:val="00C91A45"/>
    <w:rsid w:val="00C91FB4"/>
    <w:rsid w:val="00C92150"/>
    <w:rsid w:val="00C92328"/>
    <w:rsid w:val="00C92D42"/>
    <w:rsid w:val="00C938C2"/>
    <w:rsid w:val="00C93F8A"/>
    <w:rsid w:val="00C94EA1"/>
    <w:rsid w:val="00C95745"/>
    <w:rsid w:val="00C95902"/>
    <w:rsid w:val="00C95EC7"/>
    <w:rsid w:val="00C962E3"/>
    <w:rsid w:val="00C970EA"/>
    <w:rsid w:val="00C978E2"/>
    <w:rsid w:val="00C97997"/>
    <w:rsid w:val="00CA109A"/>
    <w:rsid w:val="00CA10A2"/>
    <w:rsid w:val="00CA1D83"/>
    <w:rsid w:val="00CA25C0"/>
    <w:rsid w:val="00CA3451"/>
    <w:rsid w:val="00CA35C6"/>
    <w:rsid w:val="00CA4948"/>
    <w:rsid w:val="00CA52F9"/>
    <w:rsid w:val="00CA5368"/>
    <w:rsid w:val="00CA568B"/>
    <w:rsid w:val="00CA573A"/>
    <w:rsid w:val="00CA5D95"/>
    <w:rsid w:val="00CB16BD"/>
    <w:rsid w:val="00CB19FE"/>
    <w:rsid w:val="00CB2364"/>
    <w:rsid w:val="00CB2FC7"/>
    <w:rsid w:val="00CB304C"/>
    <w:rsid w:val="00CB3933"/>
    <w:rsid w:val="00CB3AA4"/>
    <w:rsid w:val="00CB401F"/>
    <w:rsid w:val="00CB53E8"/>
    <w:rsid w:val="00CB594A"/>
    <w:rsid w:val="00CB5CB2"/>
    <w:rsid w:val="00CB6979"/>
    <w:rsid w:val="00CB7DDE"/>
    <w:rsid w:val="00CC0A3D"/>
    <w:rsid w:val="00CC218E"/>
    <w:rsid w:val="00CC35C8"/>
    <w:rsid w:val="00CC3C53"/>
    <w:rsid w:val="00CC3D24"/>
    <w:rsid w:val="00CC3F91"/>
    <w:rsid w:val="00CC4ACD"/>
    <w:rsid w:val="00CC4B0A"/>
    <w:rsid w:val="00CC544A"/>
    <w:rsid w:val="00CC57EA"/>
    <w:rsid w:val="00CC5954"/>
    <w:rsid w:val="00CC6128"/>
    <w:rsid w:val="00CC629B"/>
    <w:rsid w:val="00CC6C4E"/>
    <w:rsid w:val="00CD009D"/>
    <w:rsid w:val="00CD0445"/>
    <w:rsid w:val="00CD05A2"/>
    <w:rsid w:val="00CD14D1"/>
    <w:rsid w:val="00CD2034"/>
    <w:rsid w:val="00CD29D4"/>
    <w:rsid w:val="00CD2B5C"/>
    <w:rsid w:val="00CD2FF3"/>
    <w:rsid w:val="00CD3323"/>
    <w:rsid w:val="00CD38F5"/>
    <w:rsid w:val="00CD437E"/>
    <w:rsid w:val="00CD5DAD"/>
    <w:rsid w:val="00CD72C5"/>
    <w:rsid w:val="00CD79A7"/>
    <w:rsid w:val="00CE0789"/>
    <w:rsid w:val="00CE0E8D"/>
    <w:rsid w:val="00CE1863"/>
    <w:rsid w:val="00CE1A03"/>
    <w:rsid w:val="00CE2346"/>
    <w:rsid w:val="00CE25B2"/>
    <w:rsid w:val="00CE2AB6"/>
    <w:rsid w:val="00CE3529"/>
    <w:rsid w:val="00CE35C8"/>
    <w:rsid w:val="00CE3962"/>
    <w:rsid w:val="00CE4B33"/>
    <w:rsid w:val="00CE4D1A"/>
    <w:rsid w:val="00CE4E8A"/>
    <w:rsid w:val="00CE5105"/>
    <w:rsid w:val="00CE5623"/>
    <w:rsid w:val="00CE56BD"/>
    <w:rsid w:val="00CE5EC0"/>
    <w:rsid w:val="00CE6F9F"/>
    <w:rsid w:val="00CE781A"/>
    <w:rsid w:val="00CE7B08"/>
    <w:rsid w:val="00CE7D52"/>
    <w:rsid w:val="00CF163F"/>
    <w:rsid w:val="00CF1D74"/>
    <w:rsid w:val="00CF2BE2"/>
    <w:rsid w:val="00CF3DEB"/>
    <w:rsid w:val="00CF55F9"/>
    <w:rsid w:val="00CF7074"/>
    <w:rsid w:val="00CF7495"/>
    <w:rsid w:val="00D00EB8"/>
    <w:rsid w:val="00D01CF9"/>
    <w:rsid w:val="00D0334D"/>
    <w:rsid w:val="00D0374D"/>
    <w:rsid w:val="00D05C4B"/>
    <w:rsid w:val="00D06D7B"/>
    <w:rsid w:val="00D06DA5"/>
    <w:rsid w:val="00D07191"/>
    <w:rsid w:val="00D07F1D"/>
    <w:rsid w:val="00D10558"/>
    <w:rsid w:val="00D10757"/>
    <w:rsid w:val="00D11D4D"/>
    <w:rsid w:val="00D126DC"/>
    <w:rsid w:val="00D12B03"/>
    <w:rsid w:val="00D13E70"/>
    <w:rsid w:val="00D15802"/>
    <w:rsid w:val="00D16C58"/>
    <w:rsid w:val="00D17019"/>
    <w:rsid w:val="00D17FC8"/>
    <w:rsid w:val="00D20B44"/>
    <w:rsid w:val="00D20E3D"/>
    <w:rsid w:val="00D21168"/>
    <w:rsid w:val="00D23BF2"/>
    <w:rsid w:val="00D2438C"/>
    <w:rsid w:val="00D2460F"/>
    <w:rsid w:val="00D25399"/>
    <w:rsid w:val="00D26C3F"/>
    <w:rsid w:val="00D27185"/>
    <w:rsid w:val="00D32E6C"/>
    <w:rsid w:val="00D33AB3"/>
    <w:rsid w:val="00D33F24"/>
    <w:rsid w:val="00D34160"/>
    <w:rsid w:val="00D346B8"/>
    <w:rsid w:val="00D34DCA"/>
    <w:rsid w:val="00D35AC8"/>
    <w:rsid w:val="00D36F87"/>
    <w:rsid w:val="00D37E4E"/>
    <w:rsid w:val="00D417D8"/>
    <w:rsid w:val="00D41F78"/>
    <w:rsid w:val="00D422A4"/>
    <w:rsid w:val="00D42C05"/>
    <w:rsid w:val="00D42E6C"/>
    <w:rsid w:val="00D4351C"/>
    <w:rsid w:val="00D43B80"/>
    <w:rsid w:val="00D44988"/>
    <w:rsid w:val="00D45695"/>
    <w:rsid w:val="00D45B4C"/>
    <w:rsid w:val="00D45BA4"/>
    <w:rsid w:val="00D468D8"/>
    <w:rsid w:val="00D471AF"/>
    <w:rsid w:val="00D4724F"/>
    <w:rsid w:val="00D50519"/>
    <w:rsid w:val="00D51601"/>
    <w:rsid w:val="00D51ECB"/>
    <w:rsid w:val="00D5264C"/>
    <w:rsid w:val="00D52BBC"/>
    <w:rsid w:val="00D537FE"/>
    <w:rsid w:val="00D53CC9"/>
    <w:rsid w:val="00D54A6A"/>
    <w:rsid w:val="00D54B8F"/>
    <w:rsid w:val="00D55951"/>
    <w:rsid w:val="00D56C69"/>
    <w:rsid w:val="00D57EB6"/>
    <w:rsid w:val="00D608C0"/>
    <w:rsid w:val="00D60D6D"/>
    <w:rsid w:val="00D610D3"/>
    <w:rsid w:val="00D642B3"/>
    <w:rsid w:val="00D66D8B"/>
    <w:rsid w:val="00D70849"/>
    <w:rsid w:val="00D72297"/>
    <w:rsid w:val="00D72A1C"/>
    <w:rsid w:val="00D7308F"/>
    <w:rsid w:val="00D7313E"/>
    <w:rsid w:val="00D73580"/>
    <w:rsid w:val="00D73802"/>
    <w:rsid w:val="00D73C2C"/>
    <w:rsid w:val="00D73D52"/>
    <w:rsid w:val="00D745E7"/>
    <w:rsid w:val="00D774ED"/>
    <w:rsid w:val="00D777C3"/>
    <w:rsid w:val="00D77C44"/>
    <w:rsid w:val="00D77F88"/>
    <w:rsid w:val="00D77FB9"/>
    <w:rsid w:val="00D80489"/>
    <w:rsid w:val="00D81AFA"/>
    <w:rsid w:val="00D81EAA"/>
    <w:rsid w:val="00D81FE2"/>
    <w:rsid w:val="00D8259F"/>
    <w:rsid w:val="00D825F2"/>
    <w:rsid w:val="00D8285C"/>
    <w:rsid w:val="00D828B1"/>
    <w:rsid w:val="00D836AF"/>
    <w:rsid w:val="00D83D49"/>
    <w:rsid w:val="00D84181"/>
    <w:rsid w:val="00D84754"/>
    <w:rsid w:val="00D84ACB"/>
    <w:rsid w:val="00D84F27"/>
    <w:rsid w:val="00D853F0"/>
    <w:rsid w:val="00D85CA5"/>
    <w:rsid w:val="00D86D47"/>
    <w:rsid w:val="00D86FA6"/>
    <w:rsid w:val="00D8710C"/>
    <w:rsid w:val="00D873C6"/>
    <w:rsid w:val="00D9074A"/>
    <w:rsid w:val="00D9099E"/>
    <w:rsid w:val="00D90BE3"/>
    <w:rsid w:val="00D9193A"/>
    <w:rsid w:val="00D91E0A"/>
    <w:rsid w:val="00D923B2"/>
    <w:rsid w:val="00D93E64"/>
    <w:rsid w:val="00D93F64"/>
    <w:rsid w:val="00D94CA4"/>
    <w:rsid w:val="00D95E99"/>
    <w:rsid w:val="00D965D5"/>
    <w:rsid w:val="00D97DA2"/>
    <w:rsid w:val="00DA0951"/>
    <w:rsid w:val="00DA1A3A"/>
    <w:rsid w:val="00DA2079"/>
    <w:rsid w:val="00DA2351"/>
    <w:rsid w:val="00DA249E"/>
    <w:rsid w:val="00DA2D3D"/>
    <w:rsid w:val="00DA4C30"/>
    <w:rsid w:val="00DA584A"/>
    <w:rsid w:val="00DA6B31"/>
    <w:rsid w:val="00DA7764"/>
    <w:rsid w:val="00DB0329"/>
    <w:rsid w:val="00DB145E"/>
    <w:rsid w:val="00DB1A94"/>
    <w:rsid w:val="00DB1D52"/>
    <w:rsid w:val="00DB1F62"/>
    <w:rsid w:val="00DB21E7"/>
    <w:rsid w:val="00DB24E9"/>
    <w:rsid w:val="00DB2E03"/>
    <w:rsid w:val="00DB2EDF"/>
    <w:rsid w:val="00DB3742"/>
    <w:rsid w:val="00DB3E9B"/>
    <w:rsid w:val="00DB3F4B"/>
    <w:rsid w:val="00DB4956"/>
    <w:rsid w:val="00DB5375"/>
    <w:rsid w:val="00DB59CC"/>
    <w:rsid w:val="00DB67C1"/>
    <w:rsid w:val="00DB6C0B"/>
    <w:rsid w:val="00DB70F4"/>
    <w:rsid w:val="00DC0CA1"/>
    <w:rsid w:val="00DC1056"/>
    <w:rsid w:val="00DC1442"/>
    <w:rsid w:val="00DC21D8"/>
    <w:rsid w:val="00DC27DF"/>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6CF8"/>
    <w:rsid w:val="00DD7859"/>
    <w:rsid w:val="00DD7B41"/>
    <w:rsid w:val="00DE0636"/>
    <w:rsid w:val="00DE0784"/>
    <w:rsid w:val="00DE091C"/>
    <w:rsid w:val="00DE0A1D"/>
    <w:rsid w:val="00DE15B2"/>
    <w:rsid w:val="00DE1A9A"/>
    <w:rsid w:val="00DE3D2C"/>
    <w:rsid w:val="00DE42EC"/>
    <w:rsid w:val="00DE47F1"/>
    <w:rsid w:val="00DE530A"/>
    <w:rsid w:val="00DE5E82"/>
    <w:rsid w:val="00DE5FA6"/>
    <w:rsid w:val="00DE630B"/>
    <w:rsid w:val="00DE6792"/>
    <w:rsid w:val="00DE6AA1"/>
    <w:rsid w:val="00DE6BC0"/>
    <w:rsid w:val="00DE7EF7"/>
    <w:rsid w:val="00DF015B"/>
    <w:rsid w:val="00DF02EC"/>
    <w:rsid w:val="00DF10FC"/>
    <w:rsid w:val="00DF1185"/>
    <w:rsid w:val="00DF1299"/>
    <w:rsid w:val="00DF1A70"/>
    <w:rsid w:val="00DF1E5F"/>
    <w:rsid w:val="00DF23A8"/>
    <w:rsid w:val="00DF27D4"/>
    <w:rsid w:val="00DF2A89"/>
    <w:rsid w:val="00DF2F27"/>
    <w:rsid w:val="00DF36B6"/>
    <w:rsid w:val="00DF4296"/>
    <w:rsid w:val="00DF53F0"/>
    <w:rsid w:val="00DF5F25"/>
    <w:rsid w:val="00DF5F38"/>
    <w:rsid w:val="00DF64D1"/>
    <w:rsid w:val="00DF6608"/>
    <w:rsid w:val="00DF6CCC"/>
    <w:rsid w:val="00DF6D0C"/>
    <w:rsid w:val="00DF6F64"/>
    <w:rsid w:val="00DF721E"/>
    <w:rsid w:val="00DF7B8A"/>
    <w:rsid w:val="00DF7C87"/>
    <w:rsid w:val="00DF7D0C"/>
    <w:rsid w:val="00E009B0"/>
    <w:rsid w:val="00E00A12"/>
    <w:rsid w:val="00E00C49"/>
    <w:rsid w:val="00E0219D"/>
    <w:rsid w:val="00E0460D"/>
    <w:rsid w:val="00E04C0F"/>
    <w:rsid w:val="00E05216"/>
    <w:rsid w:val="00E0570B"/>
    <w:rsid w:val="00E0722C"/>
    <w:rsid w:val="00E10913"/>
    <w:rsid w:val="00E10B87"/>
    <w:rsid w:val="00E121CE"/>
    <w:rsid w:val="00E129B5"/>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36454"/>
    <w:rsid w:val="00E402C5"/>
    <w:rsid w:val="00E402F4"/>
    <w:rsid w:val="00E405F1"/>
    <w:rsid w:val="00E417DB"/>
    <w:rsid w:val="00E43054"/>
    <w:rsid w:val="00E44440"/>
    <w:rsid w:val="00E46013"/>
    <w:rsid w:val="00E47099"/>
    <w:rsid w:val="00E47284"/>
    <w:rsid w:val="00E472E6"/>
    <w:rsid w:val="00E477C3"/>
    <w:rsid w:val="00E50394"/>
    <w:rsid w:val="00E5061E"/>
    <w:rsid w:val="00E51E16"/>
    <w:rsid w:val="00E53730"/>
    <w:rsid w:val="00E5438D"/>
    <w:rsid w:val="00E54511"/>
    <w:rsid w:val="00E54745"/>
    <w:rsid w:val="00E54E50"/>
    <w:rsid w:val="00E55288"/>
    <w:rsid w:val="00E57577"/>
    <w:rsid w:val="00E614C4"/>
    <w:rsid w:val="00E62043"/>
    <w:rsid w:val="00E626B9"/>
    <w:rsid w:val="00E627C9"/>
    <w:rsid w:val="00E62C76"/>
    <w:rsid w:val="00E630F3"/>
    <w:rsid w:val="00E6332F"/>
    <w:rsid w:val="00E637C9"/>
    <w:rsid w:val="00E6402D"/>
    <w:rsid w:val="00E6680A"/>
    <w:rsid w:val="00E66F0D"/>
    <w:rsid w:val="00E70615"/>
    <w:rsid w:val="00E7161E"/>
    <w:rsid w:val="00E7207B"/>
    <w:rsid w:val="00E7253E"/>
    <w:rsid w:val="00E7347A"/>
    <w:rsid w:val="00E75A47"/>
    <w:rsid w:val="00E75BB6"/>
    <w:rsid w:val="00E75D8C"/>
    <w:rsid w:val="00E76590"/>
    <w:rsid w:val="00E777F2"/>
    <w:rsid w:val="00E77C9A"/>
    <w:rsid w:val="00E802C9"/>
    <w:rsid w:val="00E80F0A"/>
    <w:rsid w:val="00E815D4"/>
    <w:rsid w:val="00E8291B"/>
    <w:rsid w:val="00E82E70"/>
    <w:rsid w:val="00E82F92"/>
    <w:rsid w:val="00E8395F"/>
    <w:rsid w:val="00E8410F"/>
    <w:rsid w:val="00E849D7"/>
    <w:rsid w:val="00E85E41"/>
    <w:rsid w:val="00E85EA1"/>
    <w:rsid w:val="00E86703"/>
    <w:rsid w:val="00E90A65"/>
    <w:rsid w:val="00E91044"/>
    <w:rsid w:val="00E910D3"/>
    <w:rsid w:val="00E92154"/>
    <w:rsid w:val="00E923CF"/>
    <w:rsid w:val="00E93685"/>
    <w:rsid w:val="00E93AFD"/>
    <w:rsid w:val="00E93B65"/>
    <w:rsid w:val="00E93C8C"/>
    <w:rsid w:val="00E95111"/>
    <w:rsid w:val="00E951E6"/>
    <w:rsid w:val="00E95FDF"/>
    <w:rsid w:val="00E97C42"/>
    <w:rsid w:val="00EA14C8"/>
    <w:rsid w:val="00EA1F94"/>
    <w:rsid w:val="00EA2110"/>
    <w:rsid w:val="00EA283A"/>
    <w:rsid w:val="00EA2C90"/>
    <w:rsid w:val="00EA2E07"/>
    <w:rsid w:val="00EA48F3"/>
    <w:rsid w:val="00EA60BF"/>
    <w:rsid w:val="00EA7365"/>
    <w:rsid w:val="00EA763F"/>
    <w:rsid w:val="00EA77E9"/>
    <w:rsid w:val="00EB05D0"/>
    <w:rsid w:val="00EB1151"/>
    <w:rsid w:val="00EB1D0B"/>
    <w:rsid w:val="00EB1D49"/>
    <w:rsid w:val="00EB23D9"/>
    <w:rsid w:val="00EB39A0"/>
    <w:rsid w:val="00EB559F"/>
    <w:rsid w:val="00EB566C"/>
    <w:rsid w:val="00EB5F3D"/>
    <w:rsid w:val="00EC1CEB"/>
    <w:rsid w:val="00EC1D32"/>
    <w:rsid w:val="00EC1DC0"/>
    <w:rsid w:val="00EC1DC2"/>
    <w:rsid w:val="00EC21EC"/>
    <w:rsid w:val="00EC24B8"/>
    <w:rsid w:val="00EC268C"/>
    <w:rsid w:val="00EC3753"/>
    <w:rsid w:val="00EC3870"/>
    <w:rsid w:val="00EC4E71"/>
    <w:rsid w:val="00EC5F1C"/>
    <w:rsid w:val="00EC6AC0"/>
    <w:rsid w:val="00ED0365"/>
    <w:rsid w:val="00ED0865"/>
    <w:rsid w:val="00ED1C60"/>
    <w:rsid w:val="00ED1FC0"/>
    <w:rsid w:val="00ED2EB9"/>
    <w:rsid w:val="00ED3A31"/>
    <w:rsid w:val="00ED3A92"/>
    <w:rsid w:val="00ED4469"/>
    <w:rsid w:val="00ED5F23"/>
    <w:rsid w:val="00ED6DC0"/>
    <w:rsid w:val="00ED7223"/>
    <w:rsid w:val="00ED7A7A"/>
    <w:rsid w:val="00EE0327"/>
    <w:rsid w:val="00EE038C"/>
    <w:rsid w:val="00EE28C5"/>
    <w:rsid w:val="00EE2F09"/>
    <w:rsid w:val="00EE47C5"/>
    <w:rsid w:val="00EE490C"/>
    <w:rsid w:val="00EE4E57"/>
    <w:rsid w:val="00EE5738"/>
    <w:rsid w:val="00EE58BD"/>
    <w:rsid w:val="00EE5E59"/>
    <w:rsid w:val="00EE65B7"/>
    <w:rsid w:val="00EE73D0"/>
    <w:rsid w:val="00EE7CB0"/>
    <w:rsid w:val="00EF08A8"/>
    <w:rsid w:val="00EF167B"/>
    <w:rsid w:val="00EF3038"/>
    <w:rsid w:val="00EF41A8"/>
    <w:rsid w:val="00EF44FB"/>
    <w:rsid w:val="00EF5122"/>
    <w:rsid w:val="00EF5554"/>
    <w:rsid w:val="00EF5AD8"/>
    <w:rsid w:val="00EF642B"/>
    <w:rsid w:val="00EF6B36"/>
    <w:rsid w:val="00EF6B90"/>
    <w:rsid w:val="00EF751C"/>
    <w:rsid w:val="00EF7807"/>
    <w:rsid w:val="00EF79F7"/>
    <w:rsid w:val="00F006C0"/>
    <w:rsid w:val="00F0125F"/>
    <w:rsid w:val="00F01581"/>
    <w:rsid w:val="00F019AA"/>
    <w:rsid w:val="00F01B96"/>
    <w:rsid w:val="00F0267E"/>
    <w:rsid w:val="00F02686"/>
    <w:rsid w:val="00F030C0"/>
    <w:rsid w:val="00F03291"/>
    <w:rsid w:val="00F03743"/>
    <w:rsid w:val="00F0459B"/>
    <w:rsid w:val="00F04E15"/>
    <w:rsid w:val="00F05DF3"/>
    <w:rsid w:val="00F069EA"/>
    <w:rsid w:val="00F070E5"/>
    <w:rsid w:val="00F07322"/>
    <w:rsid w:val="00F07A50"/>
    <w:rsid w:val="00F07DDE"/>
    <w:rsid w:val="00F11675"/>
    <w:rsid w:val="00F12557"/>
    <w:rsid w:val="00F13273"/>
    <w:rsid w:val="00F13599"/>
    <w:rsid w:val="00F13B28"/>
    <w:rsid w:val="00F15609"/>
    <w:rsid w:val="00F156A0"/>
    <w:rsid w:val="00F15730"/>
    <w:rsid w:val="00F164D4"/>
    <w:rsid w:val="00F202C2"/>
    <w:rsid w:val="00F212F6"/>
    <w:rsid w:val="00F22756"/>
    <w:rsid w:val="00F235A7"/>
    <w:rsid w:val="00F23890"/>
    <w:rsid w:val="00F2504D"/>
    <w:rsid w:val="00F2637F"/>
    <w:rsid w:val="00F268F7"/>
    <w:rsid w:val="00F26D62"/>
    <w:rsid w:val="00F30B83"/>
    <w:rsid w:val="00F30BDB"/>
    <w:rsid w:val="00F30CF8"/>
    <w:rsid w:val="00F31EDF"/>
    <w:rsid w:val="00F32CDE"/>
    <w:rsid w:val="00F32D4C"/>
    <w:rsid w:val="00F3327E"/>
    <w:rsid w:val="00F338C3"/>
    <w:rsid w:val="00F34877"/>
    <w:rsid w:val="00F34B14"/>
    <w:rsid w:val="00F34F58"/>
    <w:rsid w:val="00F35DA7"/>
    <w:rsid w:val="00F36A6A"/>
    <w:rsid w:val="00F370DE"/>
    <w:rsid w:val="00F37AFA"/>
    <w:rsid w:val="00F40101"/>
    <w:rsid w:val="00F404F7"/>
    <w:rsid w:val="00F40CCA"/>
    <w:rsid w:val="00F42923"/>
    <w:rsid w:val="00F42D97"/>
    <w:rsid w:val="00F4325E"/>
    <w:rsid w:val="00F436B2"/>
    <w:rsid w:val="00F43813"/>
    <w:rsid w:val="00F43FEE"/>
    <w:rsid w:val="00F45A72"/>
    <w:rsid w:val="00F46723"/>
    <w:rsid w:val="00F4706D"/>
    <w:rsid w:val="00F476E1"/>
    <w:rsid w:val="00F47D1D"/>
    <w:rsid w:val="00F47F29"/>
    <w:rsid w:val="00F50016"/>
    <w:rsid w:val="00F5118A"/>
    <w:rsid w:val="00F51A21"/>
    <w:rsid w:val="00F51C1C"/>
    <w:rsid w:val="00F52614"/>
    <w:rsid w:val="00F5276E"/>
    <w:rsid w:val="00F52BFF"/>
    <w:rsid w:val="00F52E9F"/>
    <w:rsid w:val="00F53304"/>
    <w:rsid w:val="00F53B81"/>
    <w:rsid w:val="00F540FE"/>
    <w:rsid w:val="00F556FF"/>
    <w:rsid w:val="00F55D12"/>
    <w:rsid w:val="00F5687F"/>
    <w:rsid w:val="00F575C7"/>
    <w:rsid w:val="00F57FD0"/>
    <w:rsid w:val="00F60305"/>
    <w:rsid w:val="00F61B12"/>
    <w:rsid w:val="00F63264"/>
    <w:rsid w:val="00F634E4"/>
    <w:rsid w:val="00F6379E"/>
    <w:rsid w:val="00F65171"/>
    <w:rsid w:val="00F6560D"/>
    <w:rsid w:val="00F66E5D"/>
    <w:rsid w:val="00F67844"/>
    <w:rsid w:val="00F70799"/>
    <w:rsid w:val="00F70A8B"/>
    <w:rsid w:val="00F70B8D"/>
    <w:rsid w:val="00F724FB"/>
    <w:rsid w:val="00F726B8"/>
    <w:rsid w:val="00F72A26"/>
    <w:rsid w:val="00F733C3"/>
    <w:rsid w:val="00F73DE4"/>
    <w:rsid w:val="00F746A1"/>
    <w:rsid w:val="00F756DD"/>
    <w:rsid w:val="00F77515"/>
    <w:rsid w:val="00F77F4E"/>
    <w:rsid w:val="00F80047"/>
    <w:rsid w:val="00F800C7"/>
    <w:rsid w:val="00F8104D"/>
    <w:rsid w:val="00F81587"/>
    <w:rsid w:val="00F8288F"/>
    <w:rsid w:val="00F83B1E"/>
    <w:rsid w:val="00F84802"/>
    <w:rsid w:val="00F85B72"/>
    <w:rsid w:val="00F86540"/>
    <w:rsid w:val="00F865CE"/>
    <w:rsid w:val="00F8766F"/>
    <w:rsid w:val="00F877C5"/>
    <w:rsid w:val="00F91082"/>
    <w:rsid w:val="00F9116D"/>
    <w:rsid w:val="00F91A9A"/>
    <w:rsid w:val="00F93ABB"/>
    <w:rsid w:val="00F94D79"/>
    <w:rsid w:val="00F964F5"/>
    <w:rsid w:val="00F9658C"/>
    <w:rsid w:val="00F97A7F"/>
    <w:rsid w:val="00FA0889"/>
    <w:rsid w:val="00FA0FC6"/>
    <w:rsid w:val="00FA16E7"/>
    <w:rsid w:val="00FA2250"/>
    <w:rsid w:val="00FA31C7"/>
    <w:rsid w:val="00FA472D"/>
    <w:rsid w:val="00FA488C"/>
    <w:rsid w:val="00FB0CBF"/>
    <w:rsid w:val="00FB1185"/>
    <w:rsid w:val="00FB18F6"/>
    <w:rsid w:val="00FB2A52"/>
    <w:rsid w:val="00FB3A5A"/>
    <w:rsid w:val="00FB3F92"/>
    <w:rsid w:val="00FB52C7"/>
    <w:rsid w:val="00FB57DC"/>
    <w:rsid w:val="00FB6B92"/>
    <w:rsid w:val="00FB6E19"/>
    <w:rsid w:val="00FB71F6"/>
    <w:rsid w:val="00FC0187"/>
    <w:rsid w:val="00FC0AF8"/>
    <w:rsid w:val="00FC1483"/>
    <w:rsid w:val="00FC1C47"/>
    <w:rsid w:val="00FC3102"/>
    <w:rsid w:val="00FC39ED"/>
    <w:rsid w:val="00FC4419"/>
    <w:rsid w:val="00FC47E2"/>
    <w:rsid w:val="00FC4AA5"/>
    <w:rsid w:val="00FC4B88"/>
    <w:rsid w:val="00FC4BB8"/>
    <w:rsid w:val="00FC5148"/>
    <w:rsid w:val="00FC6524"/>
    <w:rsid w:val="00FC75AC"/>
    <w:rsid w:val="00FC77A0"/>
    <w:rsid w:val="00FC77CB"/>
    <w:rsid w:val="00FD01BF"/>
    <w:rsid w:val="00FD0525"/>
    <w:rsid w:val="00FD0AB7"/>
    <w:rsid w:val="00FD297D"/>
    <w:rsid w:val="00FD2C0A"/>
    <w:rsid w:val="00FD2D13"/>
    <w:rsid w:val="00FD374D"/>
    <w:rsid w:val="00FD6071"/>
    <w:rsid w:val="00FD633B"/>
    <w:rsid w:val="00FE0794"/>
    <w:rsid w:val="00FE1041"/>
    <w:rsid w:val="00FE1758"/>
    <w:rsid w:val="00FE24CB"/>
    <w:rsid w:val="00FE323F"/>
    <w:rsid w:val="00FE3473"/>
    <w:rsid w:val="00FE4049"/>
    <w:rsid w:val="00FE4794"/>
    <w:rsid w:val="00FE480F"/>
    <w:rsid w:val="00FE4998"/>
    <w:rsid w:val="00FE56A1"/>
    <w:rsid w:val="00FE57DE"/>
    <w:rsid w:val="00FE7A68"/>
    <w:rsid w:val="00FF0231"/>
    <w:rsid w:val="00FF0DFF"/>
    <w:rsid w:val="00FF1331"/>
    <w:rsid w:val="00FF1C84"/>
    <w:rsid w:val="00FF1C9B"/>
    <w:rsid w:val="00FF1D49"/>
    <w:rsid w:val="00FF203B"/>
    <w:rsid w:val="00FF2562"/>
    <w:rsid w:val="00FF3A41"/>
    <w:rsid w:val="00FF3E5B"/>
    <w:rsid w:val="00FF57E4"/>
    <w:rsid w:val="00FF78E5"/>
    <w:rsid w:val="01267479"/>
    <w:rsid w:val="012A4DE5"/>
    <w:rsid w:val="012D2922"/>
    <w:rsid w:val="0130631D"/>
    <w:rsid w:val="01416BEA"/>
    <w:rsid w:val="0144320F"/>
    <w:rsid w:val="014648E5"/>
    <w:rsid w:val="0149625A"/>
    <w:rsid w:val="015B6773"/>
    <w:rsid w:val="01634233"/>
    <w:rsid w:val="01675C9D"/>
    <w:rsid w:val="01680946"/>
    <w:rsid w:val="016C33E7"/>
    <w:rsid w:val="0179304D"/>
    <w:rsid w:val="01964C23"/>
    <w:rsid w:val="01A26A36"/>
    <w:rsid w:val="01A26ABD"/>
    <w:rsid w:val="01A820FE"/>
    <w:rsid w:val="01AF3D99"/>
    <w:rsid w:val="01B422E9"/>
    <w:rsid w:val="01C8614B"/>
    <w:rsid w:val="01C901A1"/>
    <w:rsid w:val="01D55F62"/>
    <w:rsid w:val="01DB24EE"/>
    <w:rsid w:val="01FF49C3"/>
    <w:rsid w:val="02114AD0"/>
    <w:rsid w:val="02340DEB"/>
    <w:rsid w:val="02381D95"/>
    <w:rsid w:val="02426275"/>
    <w:rsid w:val="02511F9D"/>
    <w:rsid w:val="027B7818"/>
    <w:rsid w:val="028B4657"/>
    <w:rsid w:val="02A955B5"/>
    <w:rsid w:val="02B00858"/>
    <w:rsid w:val="02B06BC5"/>
    <w:rsid w:val="02B50983"/>
    <w:rsid w:val="02C965A0"/>
    <w:rsid w:val="02CC1D28"/>
    <w:rsid w:val="02F3339C"/>
    <w:rsid w:val="02FA727E"/>
    <w:rsid w:val="03181FC3"/>
    <w:rsid w:val="03187AC5"/>
    <w:rsid w:val="031F7FEC"/>
    <w:rsid w:val="032414C8"/>
    <w:rsid w:val="033C26D9"/>
    <w:rsid w:val="034C57E0"/>
    <w:rsid w:val="034C7816"/>
    <w:rsid w:val="0356521C"/>
    <w:rsid w:val="0367031B"/>
    <w:rsid w:val="03900EE4"/>
    <w:rsid w:val="03963F15"/>
    <w:rsid w:val="03994C18"/>
    <w:rsid w:val="039F0AA5"/>
    <w:rsid w:val="03A314B8"/>
    <w:rsid w:val="03B739C1"/>
    <w:rsid w:val="03BA0C95"/>
    <w:rsid w:val="03C95460"/>
    <w:rsid w:val="03CA3725"/>
    <w:rsid w:val="03D77250"/>
    <w:rsid w:val="03D82B98"/>
    <w:rsid w:val="03DA29EA"/>
    <w:rsid w:val="03F52909"/>
    <w:rsid w:val="03F60B7F"/>
    <w:rsid w:val="03F83E8B"/>
    <w:rsid w:val="03FB58C9"/>
    <w:rsid w:val="03FD0A3F"/>
    <w:rsid w:val="040E5482"/>
    <w:rsid w:val="041A5B06"/>
    <w:rsid w:val="041D61F2"/>
    <w:rsid w:val="04317CEE"/>
    <w:rsid w:val="04490252"/>
    <w:rsid w:val="044A4F13"/>
    <w:rsid w:val="045845C4"/>
    <w:rsid w:val="045A19AF"/>
    <w:rsid w:val="045B6E71"/>
    <w:rsid w:val="04742A58"/>
    <w:rsid w:val="04B10F61"/>
    <w:rsid w:val="04BE1F34"/>
    <w:rsid w:val="04CA26D5"/>
    <w:rsid w:val="04CA5BCA"/>
    <w:rsid w:val="04D60C0B"/>
    <w:rsid w:val="04DA0934"/>
    <w:rsid w:val="04DE47CB"/>
    <w:rsid w:val="04E45971"/>
    <w:rsid w:val="04E63C33"/>
    <w:rsid w:val="04E758BA"/>
    <w:rsid w:val="04ED2D3C"/>
    <w:rsid w:val="04F02C6D"/>
    <w:rsid w:val="04FB288F"/>
    <w:rsid w:val="05195CDF"/>
    <w:rsid w:val="051D7A06"/>
    <w:rsid w:val="05224C50"/>
    <w:rsid w:val="05315FA3"/>
    <w:rsid w:val="05436DEF"/>
    <w:rsid w:val="05721369"/>
    <w:rsid w:val="05764474"/>
    <w:rsid w:val="059156F6"/>
    <w:rsid w:val="059A7659"/>
    <w:rsid w:val="059E71CE"/>
    <w:rsid w:val="05A51115"/>
    <w:rsid w:val="05A57FBE"/>
    <w:rsid w:val="05C56868"/>
    <w:rsid w:val="05CF032B"/>
    <w:rsid w:val="05CF4863"/>
    <w:rsid w:val="05D211BB"/>
    <w:rsid w:val="05E11832"/>
    <w:rsid w:val="05E40A64"/>
    <w:rsid w:val="05E66DB3"/>
    <w:rsid w:val="05FB37AC"/>
    <w:rsid w:val="06010EBD"/>
    <w:rsid w:val="06153187"/>
    <w:rsid w:val="061820D6"/>
    <w:rsid w:val="06297251"/>
    <w:rsid w:val="062B1C9B"/>
    <w:rsid w:val="063F02A7"/>
    <w:rsid w:val="06513686"/>
    <w:rsid w:val="065505AB"/>
    <w:rsid w:val="067A38BC"/>
    <w:rsid w:val="06972F8C"/>
    <w:rsid w:val="069F6517"/>
    <w:rsid w:val="06A45508"/>
    <w:rsid w:val="06A84659"/>
    <w:rsid w:val="06AE33EE"/>
    <w:rsid w:val="06AE7C83"/>
    <w:rsid w:val="06BC3AC1"/>
    <w:rsid w:val="06CE0008"/>
    <w:rsid w:val="06DA11AD"/>
    <w:rsid w:val="06E60349"/>
    <w:rsid w:val="06FA4F32"/>
    <w:rsid w:val="071416C6"/>
    <w:rsid w:val="07192BEB"/>
    <w:rsid w:val="071A7554"/>
    <w:rsid w:val="071C4602"/>
    <w:rsid w:val="071D2D9B"/>
    <w:rsid w:val="071D4A46"/>
    <w:rsid w:val="07210EA7"/>
    <w:rsid w:val="0737550F"/>
    <w:rsid w:val="07432277"/>
    <w:rsid w:val="07445D13"/>
    <w:rsid w:val="07473A5A"/>
    <w:rsid w:val="07654EA1"/>
    <w:rsid w:val="077118A6"/>
    <w:rsid w:val="07AF4378"/>
    <w:rsid w:val="07B72767"/>
    <w:rsid w:val="07BB0670"/>
    <w:rsid w:val="07CF5DE6"/>
    <w:rsid w:val="07DD1E24"/>
    <w:rsid w:val="07E30D08"/>
    <w:rsid w:val="07E83A6C"/>
    <w:rsid w:val="07FA0E75"/>
    <w:rsid w:val="0804454B"/>
    <w:rsid w:val="08077E72"/>
    <w:rsid w:val="08096F67"/>
    <w:rsid w:val="080C43EB"/>
    <w:rsid w:val="08134BA1"/>
    <w:rsid w:val="08151AA2"/>
    <w:rsid w:val="08251265"/>
    <w:rsid w:val="08254C5C"/>
    <w:rsid w:val="08267325"/>
    <w:rsid w:val="08433FBC"/>
    <w:rsid w:val="084E668E"/>
    <w:rsid w:val="084F5B3A"/>
    <w:rsid w:val="085A5D66"/>
    <w:rsid w:val="0873038E"/>
    <w:rsid w:val="0876532F"/>
    <w:rsid w:val="08850917"/>
    <w:rsid w:val="08882DD0"/>
    <w:rsid w:val="08885D3C"/>
    <w:rsid w:val="088E222D"/>
    <w:rsid w:val="088E2245"/>
    <w:rsid w:val="089B5D58"/>
    <w:rsid w:val="08A744C6"/>
    <w:rsid w:val="08A8570B"/>
    <w:rsid w:val="08AF258D"/>
    <w:rsid w:val="08B574AB"/>
    <w:rsid w:val="08C8136B"/>
    <w:rsid w:val="08CB14AA"/>
    <w:rsid w:val="08D650FD"/>
    <w:rsid w:val="08D66EC0"/>
    <w:rsid w:val="08D973B5"/>
    <w:rsid w:val="08DD0DC6"/>
    <w:rsid w:val="08DE1D43"/>
    <w:rsid w:val="08E32744"/>
    <w:rsid w:val="08E3350D"/>
    <w:rsid w:val="08FF6821"/>
    <w:rsid w:val="090F1FD8"/>
    <w:rsid w:val="09185929"/>
    <w:rsid w:val="0928078D"/>
    <w:rsid w:val="0932609C"/>
    <w:rsid w:val="09371F32"/>
    <w:rsid w:val="093A28B6"/>
    <w:rsid w:val="093D4AEB"/>
    <w:rsid w:val="094D0F64"/>
    <w:rsid w:val="094D2672"/>
    <w:rsid w:val="095C4BE3"/>
    <w:rsid w:val="097E606A"/>
    <w:rsid w:val="09845AD3"/>
    <w:rsid w:val="098B205E"/>
    <w:rsid w:val="099A75AA"/>
    <w:rsid w:val="09A37F77"/>
    <w:rsid w:val="09AD6E7B"/>
    <w:rsid w:val="09AF4A73"/>
    <w:rsid w:val="09B577A3"/>
    <w:rsid w:val="09BA585F"/>
    <w:rsid w:val="09CC2AAC"/>
    <w:rsid w:val="09D37C70"/>
    <w:rsid w:val="09D7077E"/>
    <w:rsid w:val="09DC6E99"/>
    <w:rsid w:val="09E015A8"/>
    <w:rsid w:val="09E72CFE"/>
    <w:rsid w:val="09F90020"/>
    <w:rsid w:val="09FE045E"/>
    <w:rsid w:val="0A00544E"/>
    <w:rsid w:val="0A0550BD"/>
    <w:rsid w:val="0A085BA2"/>
    <w:rsid w:val="0A166171"/>
    <w:rsid w:val="0A3A1166"/>
    <w:rsid w:val="0A3B012B"/>
    <w:rsid w:val="0A484F34"/>
    <w:rsid w:val="0A5371B6"/>
    <w:rsid w:val="0A644D59"/>
    <w:rsid w:val="0A6461EA"/>
    <w:rsid w:val="0A652D3E"/>
    <w:rsid w:val="0A790F09"/>
    <w:rsid w:val="0A796857"/>
    <w:rsid w:val="0A837322"/>
    <w:rsid w:val="0A8D0D3A"/>
    <w:rsid w:val="0A8F6CB2"/>
    <w:rsid w:val="0A990CC3"/>
    <w:rsid w:val="0A9A71BE"/>
    <w:rsid w:val="0A9C51E0"/>
    <w:rsid w:val="0A9D1CF7"/>
    <w:rsid w:val="0A9F1C11"/>
    <w:rsid w:val="0A9F327D"/>
    <w:rsid w:val="0AB37473"/>
    <w:rsid w:val="0AB73906"/>
    <w:rsid w:val="0ABF2570"/>
    <w:rsid w:val="0ACF3853"/>
    <w:rsid w:val="0AD6602F"/>
    <w:rsid w:val="0ADE43C8"/>
    <w:rsid w:val="0AF90ABD"/>
    <w:rsid w:val="0B0566D1"/>
    <w:rsid w:val="0B0A467A"/>
    <w:rsid w:val="0B2C1811"/>
    <w:rsid w:val="0B326F2A"/>
    <w:rsid w:val="0B3F13B1"/>
    <w:rsid w:val="0B421580"/>
    <w:rsid w:val="0B714A71"/>
    <w:rsid w:val="0B776CC4"/>
    <w:rsid w:val="0B79773D"/>
    <w:rsid w:val="0B7D4427"/>
    <w:rsid w:val="0B863BDA"/>
    <w:rsid w:val="0B9A670B"/>
    <w:rsid w:val="0B9D472B"/>
    <w:rsid w:val="0BA03107"/>
    <w:rsid w:val="0BAA7026"/>
    <w:rsid w:val="0BCD26F2"/>
    <w:rsid w:val="0BFC0854"/>
    <w:rsid w:val="0C172FEA"/>
    <w:rsid w:val="0C1D53D5"/>
    <w:rsid w:val="0C1E0718"/>
    <w:rsid w:val="0C1E2888"/>
    <w:rsid w:val="0C2A53BB"/>
    <w:rsid w:val="0C2A7AB2"/>
    <w:rsid w:val="0C3038B2"/>
    <w:rsid w:val="0C41629B"/>
    <w:rsid w:val="0C444F0C"/>
    <w:rsid w:val="0C4A519A"/>
    <w:rsid w:val="0C4B3E4E"/>
    <w:rsid w:val="0C4E47D0"/>
    <w:rsid w:val="0C4E4CB0"/>
    <w:rsid w:val="0C566B1A"/>
    <w:rsid w:val="0C600361"/>
    <w:rsid w:val="0C7B4283"/>
    <w:rsid w:val="0C825708"/>
    <w:rsid w:val="0C8525FD"/>
    <w:rsid w:val="0C897F4A"/>
    <w:rsid w:val="0C92213C"/>
    <w:rsid w:val="0CB23210"/>
    <w:rsid w:val="0CB36E06"/>
    <w:rsid w:val="0CDD4A53"/>
    <w:rsid w:val="0CF86E57"/>
    <w:rsid w:val="0CFA1A13"/>
    <w:rsid w:val="0CFB678B"/>
    <w:rsid w:val="0CFF2922"/>
    <w:rsid w:val="0D0210CA"/>
    <w:rsid w:val="0D0A049A"/>
    <w:rsid w:val="0D1854F4"/>
    <w:rsid w:val="0D1E1F9A"/>
    <w:rsid w:val="0D2417FF"/>
    <w:rsid w:val="0D280CE5"/>
    <w:rsid w:val="0D3E29AA"/>
    <w:rsid w:val="0D3F285A"/>
    <w:rsid w:val="0D403178"/>
    <w:rsid w:val="0D431ACF"/>
    <w:rsid w:val="0D44037A"/>
    <w:rsid w:val="0D680A46"/>
    <w:rsid w:val="0D7264F0"/>
    <w:rsid w:val="0D764789"/>
    <w:rsid w:val="0D7B40BD"/>
    <w:rsid w:val="0D7E3E36"/>
    <w:rsid w:val="0D7F13CC"/>
    <w:rsid w:val="0D831BD4"/>
    <w:rsid w:val="0D84032B"/>
    <w:rsid w:val="0D956018"/>
    <w:rsid w:val="0D972B2B"/>
    <w:rsid w:val="0D984627"/>
    <w:rsid w:val="0DB67747"/>
    <w:rsid w:val="0DBE72BD"/>
    <w:rsid w:val="0DD875F1"/>
    <w:rsid w:val="0DDA59D1"/>
    <w:rsid w:val="0DE6639B"/>
    <w:rsid w:val="0DE92F8F"/>
    <w:rsid w:val="0DF100ED"/>
    <w:rsid w:val="0DF1543F"/>
    <w:rsid w:val="0E035E21"/>
    <w:rsid w:val="0E174F85"/>
    <w:rsid w:val="0E1E5AE7"/>
    <w:rsid w:val="0E213E73"/>
    <w:rsid w:val="0E2650E7"/>
    <w:rsid w:val="0E292E75"/>
    <w:rsid w:val="0E594819"/>
    <w:rsid w:val="0E7A56A1"/>
    <w:rsid w:val="0E961DFA"/>
    <w:rsid w:val="0E9777C3"/>
    <w:rsid w:val="0E9C4A41"/>
    <w:rsid w:val="0EB07F86"/>
    <w:rsid w:val="0EBE18B8"/>
    <w:rsid w:val="0EC1633E"/>
    <w:rsid w:val="0EDB303A"/>
    <w:rsid w:val="0EE6070F"/>
    <w:rsid w:val="0EEB62C4"/>
    <w:rsid w:val="0EF32AD7"/>
    <w:rsid w:val="0F043B25"/>
    <w:rsid w:val="0F0C7D0C"/>
    <w:rsid w:val="0F1B2FEA"/>
    <w:rsid w:val="0F1D1DA9"/>
    <w:rsid w:val="0F283F2D"/>
    <w:rsid w:val="0F2A74C4"/>
    <w:rsid w:val="0F435DB7"/>
    <w:rsid w:val="0F552005"/>
    <w:rsid w:val="0F834458"/>
    <w:rsid w:val="0F88653F"/>
    <w:rsid w:val="0FA97ADE"/>
    <w:rsid w:val="0FB4375D"/>
    <w:rsid w:val="0FBB0C85"/>
    <w:rsid w:val="0FBF73D9"/>
    <w:rsid w:val="0FC031B1"/>
    <w:rsid w:val="0FD7426A"/>
    <w:rsid w:val="0FD8381A"/>
    <w:rsid w:val="0FE225BE"/>
    <w:rsid w:val="0FEB7BBB"/>
    <w:rsid w:val="10094233"/>
    <w:rsid w:val="101F061B"/>
    <w:rsid w:val="103A7EA5"/>
    <w:rsid w:val="103B2B27"/>
    <w:rsid w:val="10463B75"/>
    <w:rsid w:val="104A33DB"/>
    <w:rsid w:val="104F0F1D"/>
    <w:rsid w:val="104F1BCE"/>
    <w:rsid w:val="105930B7"/>
    <w:rsid w:val="10626296"/>
    <w:rsid w:val="106F1713"/>
    <w:rsid w:val="10771710"/>
    <w:rsid w:val="107917F8"/>
    <w:rsid w:val="10795A08"/>
    <w:rsid w:val="1083561F"/>
    <w:rsid w:val="10977E58"/>
    <w:rsid w:val="10A27F31"/>
    <w:rsid w:val="10A8242B"/>
    <w:rsid w:val="10AD1741"/>
    <w:rsid w:val="10C846E5"/>
    <w:rsid w:val="10D11952"/>
    <w:rsid w:val="10E00591"/>
    <w:rsid w:val="10E41FA0"/>
    <w:rsid w:val="10EE5982"/>
    <w:rsid w:val="10F11B72"/>
    <w:rsid w:val="10F37661"/>
    <w:rsid w:val="10FB25D9"/>
    <w:rsid w:val="110C3A1C"/>
    <w:rsid w:val="11263AA6"/>
    <w:rsid w:val="11286F66"/>
    <w:rsid w:val="114124AB"/>
    <w:rsid w:val="1142039C"/>
    <w:rsid w:val="114642CC"/>
    <w:rsid w:val="114F57F3"/>
    <w:rsid w:val="116C27BC"/>
    <w:rsid w:val="1174341E"/>
    <w:rsid w:val="11842908"/>
    <w:rsid w:val="11927058"/>
    <w:rsid w:val="11A25A29"/>
    <w:rsid w:val="11B320A7"/>
    <w:rsid w:val="11B74750"/>
    <w:rsid w:val="11BC4512"/>
    <w:rsid w:val="11BF1B43"/>
    <w:rsid w:val="11C86EF5"/>
    <w:rsid w:val="11DB13AE"/>
    <w:rsid w:val="11E5517D"/>
    <w:rsid w:val="11F77146"/>
    <w:rsid w:val="11F91B6E"/>
    <w:rsid w:val="120905D8"/>
    <w:rsid w:val="12096E90"/>
    <w:rsid w:val="12176CAE"/>
    <w:rsid w:val="1218701F"/>
    <w:rsid w:val="12352DDF"/>
    <w:rsid w:val="12394D3B"/>
    <w:rsid w:val="12413846"/>
    <w:rsid w:val="12452D01"/>
    <w:rsid w:val="124D747B"/>
    <w:rsid w:val="126961E2"/>
    <w:rsid w:val="126A3E61"/>
    <w:rsid w:val="1284667D"/>
    <w:rsid w:val="1285238A"/>
    <w:rsid w:val="12923EE6"/>
    <w:rsid w:val="12993A49"/>
    <w:rsid w:val="129B7F07"/>
    <w:rsid w:val="12A76278"/>
    <w:rsid w:val="12AC08F8"/>
    <w:rsid w:val="12B02054"/>
    <w:rsid w:val="12BA7692"/>
    <w:rsid w:val="12CB20C3"/>
    <w:rsid w:val="12D6271E"/>
    <w:rsid w:val="12D64F0C"/>
    <w:rsid w:val="12DB027F"/>
    <w:rsid w:val="12DD3262"/>
    <w:rsid w:val="12DF50C8"/>
    <w:rsid w:val="12E01B54"/>
    <w:rsid w:val="12F2526A"/>
    <w:rsid w:val="130C4050"/>
    <w:rsid w:val="130E3293"/>
    <w:rsid w:val="13225B51"/>
    <w:rsid w:val="132C3ABE"/>
    <w:rsid w:val="13463674"/>
    <w:rsid w:val="135A2A8D"/>
    <w:rsid w:val="13636231"/>
    <w:rsid w:val="136A5BAB"/>
    <w:rsid w:val="137709B9"/>
    <w:rsid w:val="137B4CAC"/>
    <w:rsid w:val="137B794E"/>
    <w:rsid w:val="13A92538"/>
    <w:rsid w:val="13AB5880"/>
    <w:rsid w:val="13AF4F03"/>
    <w:rsid w:val="13B84E22"/>
    <w:rsid w:val="13BB00C1"/>
    <w:rsid w:val="13BB2933"/>
    <w:rsid w:val="13D427EF"/>
    <w:rsid w:val="13DD080B"/>
    <w:rsid w:val="13E93C93"/>
    <w:rsid w:val="13EB731E"/>
    <w:rsid w:val="14130509"/>
    <w:rsid w:val="141443A8"/>
    <w:rsid w:val="14144A2C"/>
    <w:rsid w:val="14171315"/>
    <w:rsid w:val="14182618"/>
    <w:rsid w:val="141B635C"/>
    <w:rsid w:val="141F02A4"/>
    <w:rsid w:val="143E0754"/>
    <w:rsid w:val="143F3A1A"/>
    <w:rsid w:val="146D63BA"/>
    <w:rsid w:val="147355E8"/>
    <w:rsid w:val="14736E66"/>
    <w:rsid w:val="147F458F"/>
    <w:rsid w:val="148A266C"/>
    <w:rsid w:val="148C3BCB"/>
    <w:rsid w:val="14B25C92"/>
    <w:rsid w:val="14BB5510"/>
    <w:rsid w:val="14C27078"/>
    <w:rsid w:val="14C52328"/>
    <w:rsid w:val="14C974D4"/>
    <w:rsid w:val="14CB7A4D"/>
    <w:rsid w:val="14DE437C"/>
    <w:rsid w:val="14E249FF"/>
    <w:rsid w:val="14E51151"/>
    <w:rsid w:val="14EF3356"/>
    <w:rsid w:val="14F003A9"/>
    <w:rsid w:val="14F90148"/>
    <w:rsid w:val="14F96BE0"/>
    <w:rsid w:val="151041A3"/>
    <w:rsid w:val="15180982"/>
    <w:rsid w:val="15190CE8"/>
    <w:rsid w:val="151B4064"/>
    <w:rsid w:val="15216DA4"/>
    <w:rsid w:val="1534169A"/>
    <w:rsid w:val="153A482D"/>
    <w:rsid w:val="15411656"/>
    <w:rsid w:val="154C2DA3"/>
    <w:rsid w:val="156A1410"/>
    <w:rsid w:val="156F3BFC"/>
    <w:rsid w:val="15835543"/>
    <w:rsid w:val="159C72D8"/>
    <w:rsid w:val="15A83AE7"/>
    <w:rsid w:val="15C03E03"/>
    <w:rsid w:val="15CD5C4B"/>
    <w:rsid w:val="15DC41B4"/>
    <w:rsid w:val="15E2100F"/>
    <w:rsid w:val="15E9123B"/>
    <w:rsid w:val="15F510C1"/>
    <w:rsid w:val="15F641B4"/>
    <w:rsid w:val="15FF0D86"/>
    <w:rsid w:val="16020797"/>
    <w:rsid w:val="16032F9A"/>
    <w:rsid w:val="16105AB1"/>
    <w:rsid w:val="16132C69"/>
    <w:rsid w:val="161D15A4"/>
    <w:rsid w:val="162A25EB"/>
    <w:rsid w:val="162F266A"/>
    <w:rsid w:val="16476E22"/>
    <w:rsid w:val="164D6B1F"/>
    <w:rsid w:val="164E6368"/>
    <w:rsid w:val="165701F3"/>
    <w:rsid w:val="166065F0"/>
    <w:rsid w:val="167025B3"/>
    <w:rsid w:val="167979A2"/>
    <w:rsid w:val="167C51D1"/>
    <w:rsid w:val="1684585B"/>
    <w:rsid w:val="168A296C"/>
    <w:rsid w:val="169228AB"/>
    <w:rsid w:val="16C22045"/>
    <w:rsid w:val="16C3763F"/>
    <w:rsid w:val="16F727FD"/>
    <w:rsid w:val="16FD2A55"/>
    <w:rsid w:val="17067C1A"/>
    <w:rsid w:val="17096B3A"/>
    <w:rsid w:val="17293E9F"/>
    <w:rsid w:val="172B2114"/>
    <w:rsid w:val="17366761"/>
    <w:rsid w:val="17535DEF"/>
    <w:rsid w:val="17570109"/>
    <w:rsid w:val="17627BF8"/>
    <w:rsid w:val="17710C68"/>
    <w:rsid w:val="17746A35"/>
    <w:rsid w:val="177564D8"/>
    <w:rsid w:val="177C01F0"/>
    <w:rsid w:val="177D2F79"/>
    <w:rsid w:val="17827EDC"/>
    <w:rsid w:val="178456A2"/>
    <w:rsid w:val="1794599C"/>
    <w:rsid w:val="179C2959"/>
    <w:rsid w:val="179F5511"/>
    <w:rsid w:val="17A6692F"/>
    <w:rsid w:val="17CE6630"/>
    <w:rsid w:val="17D13C46"/>
    <w:rsid w:val="17D31CB1"/>
    <w:rsid w:val="17D538FD"/>
    <w:rsid w:val="17DA4FEB"/>
    <w:rsid w:val="17E13A92"/>
    <w:rsid w:val="17E24856"/>
    <w:rsid w:val="17E60BD1"/>
    <w:rsid w:val="17F55987"/>
    <w:rsid w:val="18291108"/>
    <w:rsid w:val="185D091A"/>
    <w:rsid w:val="18733C4D"/>
    <w:rsid w:val="18763F68"/>
    <w:rsid w:val="18860520"/>
    <w:rsid w:val="188A6E5B"/>
    <w:rsid w:val="18D0694A"/>
    <w:rsid w:val="18D8596C"/>
    <w:rsid w:val="18D965ED"/>
    <w:rsid w:val="18EB11A5"/>
    <w:rsid w:val="18EB2C58"/>
    <w:rsid w:val="18ED45B3"/>
    <w:rsid w:val="18FA7B88"/>
    <w:rsid w:val="18FB30A6"/>
    <w:rsid w:val="190423AB"/>
    <w:rsid w:val="190762FD"/>
    <w:rsid w:val="190E698E"/>
    <w:rsid w:val="19120A93"/>
    <w:rsid w:val="19147F4C"/>
    <w:rsid w:val="19372574"/>
    <w:rsid w:val="193D5D25"/>
    <w:rsid w:val="194E66EA"/>
    <w:rsid w:val="19520625"/>
    <w:rsid w:val="19534928"/>
    <w:rsid w:val="19542EE4"/>
    <w:rsid w:val="19563664"/>
    <w:rsid w:val="19683D55"/>
    <w:rsid w:val="19684CD2"/>
    <w:rsid w:val="19690846"/>
    <w:rsid w:val="19762503"/>
    <w:rsid w:val="197A15F5"/>
    <w:rsid w:val="197B348F"/>
    <w:rsid w:val="1997301B"/>
    <w:rsid w:val="19A6025E"/>
    <w:rsid w:val="19AF1F1B"/>
    <w:rsid w:val="19BC03EA"/>
    <w:rsid w:val="19C01308"/>
    <w:rsid w:val="19CA26C6"/>
    <w:rsid w:val="19D0496F"/>
    <w:rsid w:val="19D36B91"/>
    <w:rsid w:val="19D84669"/>
    <w:rsid w:val="19DC3381"/>
    <w:rsid w:val="19F70405"/>
    <w:rsid w:val="1A016CE2"/>
    <w:rsid w:val="1A112A0F"/>
    <w:rsid w:val="1A1266BD"/>
    <w:rsid w:val="1A2464B8"/>
    <w:rsid w:val="1A247ABE"/>
    <w:rsid w:val="1A267759"/>
    <w:rsid w:val="1A2756DE"/>
    <w:rsid w:val="1A2A5FA2"/>
    <w:rsid w:val="1A3277FC"/>
    <w:rsid w:val="1A377427"/>
    <w:rsid w:val="1A4101EF"/>
    <w:rsid w:val="1A50312D"/>
    <w:rsid w:val="1A513D90"/>
    <w:rsid w:val="1A5946F3"/>
    <w:rsid w:val="1A741986"/>
    <w:rsid w:val="1A761178"/>
    <w:rsid w:val="1A7E1353"/>
    <w:rsid w:val="1A7F06BB"/>
    <w:rsid w:val="1A81623C"/>
    <w:rsid w:val="1A8C0DC4"/>
    <w:rsid w:val="1A8E7F95"/>
    <w:rsid w:val="1A9470CA"/>
    <w:rsid w:val="1A9E57CA"/>
    <w:rsid w:val="1A9F551C"/>
    <w:rsid w:val="1AB323BF"/>
    <w:rsid w:val="1AC60784"/>
    <w:rsid w:val="1AD00B9D"/>
    <w:rsid w:val="1AD90C1B"/>
    <w:rsid w:val="1ADB212E"/>
    <w:rsid w:val="1AF11DD6"/>
    <w:rsid w:val="1AFD788B"/>
    <w:rsid w:val="1AFF0AFE"/>
    <w:rsid w:val="1B02386B"/>
    <w:rsid w:val="1B217E4E"/>
    <w:rsid w:val="1B243D10"/>
    <w:rsid w:val="1B3304ED"/>
    <w:rsid w:val="1B3C108F"/>
    <w:rsid w:val="1B3D0697"/>
    <w:rsid w:val="1B40655F"/>
    <w:rsid w:val="1B4A4F57"/>
    <w:rsid w:val="1B4F19F8"/>
    <w:rsid w:val="1B5534F3"/>
    <w:rsid w:val="1B554C10"/>
    <w:rsid w:val="1B847E60"/>
    <w:rsid w:val="1B981900"/>
    <w:rsid w:val="1B9C5A0D"/>
    <w:rsid w:val="1BBB3122"/>
    <w:rsid w:val="1BC41F9A"/>
    <w:rsid w:val="1BCC69F3"/>
    <w:rsid w:val="1BDB7BE3"/>
    <w:rsid w:val="1BF76746"/>
    <w:rsid w:val="1BFE0A88"/>
    <w:rsid w:val="1C2231EC"/>
    <w:rsid w:val="1C484FD7"/>
    <w:rsid w:val="1C4D6EAE"/>
    <w:rsid w:val="1C746CE7"/>
    <w:rsid w:val="1C7E0C87"/>
    <w:rsid w:val="1C890FFD"/>
    <w:rsid w:val="1C9964EF"/>
    <w:rsid w:val="1CAD63A2"/>
    <w:rsid w:val="1CAF257B"/>
    <w:rsid w:val="1CC725D9"/>
    <w:rsid w:val="1CDE59CD"/>
    <w:rsid w:val="1CE24BF3"/>
    <w:rsid w:val="1CE47432"/>
    <w:rsid w:val="1CE864C8"/>
    <w:rsid w:val="1CEE0C76"/>
    <w:rsid w:val="1D080734"/>
    <w:rsid w:val="1D140B39"/>
    <w:rsid w:val="1D1B7244"/>
    <w:rsid w:val="1D335A88"/>
    <w:rsid w:val="1D423B8C"/>
    <w:rsid w:val="1D805BC5"/>
    <w:rsid w:val="1D924EC1"/>
    <w:rsid w:val="1D955588"/>
    <w:rsid w:val="1D957985"/>
    <w:rsid w:val="1DB616C4"/>
    <w:rsid w:val="1DBD210A"/>
    <w:rsid w:val="1DC94FBA"/>
    <w:rsid w:val="1DCF6712"/>
    <w:rsid w:val="1DE45ED1"/>
    <w:rsid w:val="1DEE6BB9"/>
    <w:rsid w:val="1DF2724C"/>
    <w:rsid w:val="1DFA1A2B"/>
    <w:rsid w:val="1E145E04"/>
    <w:rsid w:val="1E1C37B5"/>
    <w:rsid w:val="1E1C6B62"/>
    <w:rsid w:val="1E2D340E"/>
    <w:rsid w:val="1E3A4272"/>
    <w:rsid w:val="1E417858"/>
    <w:rsid w:val="1E462F7C"/>
    <w:rsid w:val="1E491CCE"/>
    <w:rsid w:val="1E582CFD"/>
    <w:rsid w:val="1E755CAC"/>
    <w:rsid w:val="1E934B29"/>
    <w:rsid w:val="1E9A5963"/>
    <w:rsid w:val="1EA70253"/>
    <w:rsid w:val="1EB84DF1"/>
    <w:rsid w:val="1EB92A34"/>
    <w:rsid w:val="1ECC44FA"/>
    <w:rsid w:val="1EE20D1D"/>
    <w:rsid w:val="1EE33FB6"/>
    <w:rsid w:val="1EE50B67"/>
    <w:rsid w:val="1F063325"/>
    <w:rsid w:val="1F167507"/>
    <w:rsid w:val="1F1915A4"/>
    <w:rsid w:val="1F1F7F9D"/>
    <w:rsid w:val="1F271AD6"/>
    <w:rsid w:val="1F484381"/>
    <w:rsid w:val="1F4C4072"/>
    <w:rsid w:val="1F5458B8"/>
    <w:rsid w:val="1F565362"/>
    <w:rsid w:val="1F6B07E2"/>
    <w:rsid w:val="1F6D7C1B"/>
    <w:rsid w:val="1F75722A"/>
    <w:rsid w:val="1F785C46"/>
    <w:rsid w:val="1F844B76"/>
    <w:rsid w:val="1F9879EF"/>
    <w:rsid w:val="1FA307D1"/>
    <w:rsid w:val="1FAE4163"/>
    <w:rsid w:val="1FB55A32"/>
    <w:rsid w:val="1FB7764F"/>
    <w:rsid w:val="1FBC5DF5"/>
    <w:rsid w:val="1FC255E2"/>
    <w:rsid w:val="1FC31AA4"/>
    <w:rsid w:val="1FD12B03"/>
    <w:rsid w:val="1FF1647B"/>
    <w:rsid w:val="1FF36BD9"/>
    <w:rsid w:val="1FF92D92"/>
    <w:rsid w:val="1FFD7356"/>
    <w:rsid w:val="200308CB"/>
    <w:rsid w:val="20142D72"/>
    <w:rsid w:val="20167702"/>
    <w:rsid w:val="20264B9E"/>
    <w:rsid w:val="202F31F3"/>
    <w:rsid w:val="20385F37"/>
    <w:rsid w:val="205A5635"/>
    <w:rsid w:val="205D2367"/>
    <w:rsid w:val="20617E97"/>
    <w:rsid w:val="2078412B"/>
    <w:rsid w:val="20822067"/>
    <w:rsid w:val="208D1D7C"/>
    <w:rsid w:val="209A3579"/>
    <w:rsid w:val="209B795F"/>
    <w:rsid w:val="209E0CE9"/>
    <w:rsid w:val="20AD713A"/>
    <w:rsid w:val="20C3623F"/>
    <w:rsid w:val="20C62B9C"/>
    <w:rsid w:val="20E51EC7"/>
    <w:rsid w:val="20F807DF"/>
    <w:rsid w:val="21213E84"/>
    <w:rsid w:val="21261EE6"/>
    <w:rsid w:val="212C253D"/>
    <w:rsid w:val="212E7613"/>
    <w:rsid w:val="214E24E6"/>
    <w:rsid w:val="215326A9"/>
    <w:rsid w:val="215D00F5"/>
    <w:rsid w:val="215F4096"/>
    <w:rsid w:val="21781212"/>
    <w:rsid w:val="217D16B4"/>
    <w:rsid w:val="21802B97"/>
    <w:rsid w:val="21852B55"/>
    <w:rsid w:val="218550EE"/>
    <w:rsid w:val="21967A08"/>
    <w:rsid w:val="21AC3137"/>
    <w:rsid w:val="21B778D2"/>
    <w:rsid w:val="21B83F86"/>
    <w:rsid w:val="21BB56C9"/>
    <w:rsid w:val="21E23EF1"/>
    <w:rsid w:val="21F1112F"/>
    <w:rsid w:val="21F251F8"/>
    <w:rsid w:val="21F4099C"/>
    <w:rsid w:val="22097BAF"/>
    <w:rsid w:val="220A3AF1"/>
    <w:rsid w:val="220F406D"/>
    <w:rsid w:val="221178A8"/>
    <w:rsid w:val="221213CF"/>
    <w:rsid w:val="22182CAD"/>
    <w:rsid w:val="222012B6"/>
    <w:rsid w:val="2221142C"/>
    <w:rsid w:val="22244A9D"/>
    <w:rsid w:val="22327A92"/>
    <w:rsid w:val="22432909"/>
    <w:rsid w:val="225C13F5"/>
    <w:rsid w:val="225F053E"/>
    <w:rsid w:val="226527F9"/>
    <w:rsid w:val="226B413A"/>
    <w:rsid w:val="2286618C"/>
    <w:rsid w:val="228E526E"/>
    <w:rsid w:val="22934807"/>
    <w:rsid w:val="22AE4C99"/>
    <w:rsid w:val="22B43DB6"/>
    <w:rsid w:val="22B90BC1"/>
    <w:rsid w:val="22CA6339"/>
    <w:rsid w:val="22D21730"/>
    <w:rsid w:val="22D3764A"/>
    <w:rsid w:val="22E97300"/>
    <w:rsid w:val="22EB138C"/>
    <w:rsid w:val="22EF0C95"/>
    <w:rsid w:val="22F67501"/>
    <w:rsid w:val="22F96AB9"/>
    <w:rsid w:val="23043340"/>
    <w:rsid w:val="230C73A1"/>
    <w:rsid w:val="23142C70"/>
    <w:rsid w:val="231A1A82"/>
    <w:rsid w:val="231D53A2"/>
    <w:rsid w:val="232B4000"/>
    <w:rsid w:val="232B4B55"/>
    <w:rsid w:val="233C603B"/>
    <w:rsid w:val="234F7205"/>
    <w:rsid w:val="23591CF4"/>
    <w:rsid w:val="235C5086"/>
    <w:rsid w:val="23647D97"/>
    <w:rsid w:val="236A6A08"/>
    <w:rsid w:val="236D5383"/>
    <w:rsid w:val="237A0E31"/>
    <w:rsid w:val="237C3BFC"/>
    <w:rsid w:val="23811D43"/>
    <w:rsid w:val="2388167F"/>
    <w:rsid w:val="238E0ED9"/>
    <w:rsid w:val="23920AEB"/>
    <w:rsid w:val="23B303D2"/>
    <w:rsid w:val="23B34A05"/>
    <w:rsid w:val="23B42F74"/>
    <w:rsid w:val="23B7504C"/>
    <w:rsid w:val="23BA49DF"/>
    <w:rsid w:val="23BC4556"/>
    <w:rsid w:val="23C21ECD"/>
    <w:rsid w:val="23DB214F"/>
    <w:rsid w:val="23DF763A"/>
    <w:rsid w:val="23EA3384"/>
    <w:rsid w:val="23F276AD"/>
    <w:rsid w:val="23F7444F"/>
    <w:rsid w:val="24112BE2"/>
    <w:rsid w:val="2411715A"/>
    <w:rsid w:val="24225B6E"/>
    <w:rsid w:val="24253494"/>
    <w:rsid w:val="2440660F"/>
    <w:rsid w:val="2444604A"/>
    <w:rsid w:val="24465880"/>
    <w:rsid w:val="24471BB0"/>
    <w:rsid w:val="24571307"/>
    <w:rsid w:val="24663483"/>
    <w:rsid w:val="247469D3"/>
    <w:rsid w:val="249168A8"/>
    <w:rsid w:val="2493153D"/>
    <w:rsid w:val="24970617"/>
    <w:rsid w:val="24981E8B"/>
    <w:rsid w:val="24C33178"/>
    <w:rsid w:val="24C425AA"/>
    <w:rsid w:val="24CA06D1"/>
    <w:rsid w:val="24D01EF6"/>
    <w:rsid w:val="24D134CB"/>
    <w:rsid w:val="24D463FA"/>
    <w:rsid w:val="24E3170B"/>
    <w:rsid w:val="24E97BF5"/>
    <w:rsid w:val="24EF558D"/>
    <w:rsid w:val="24F927BC"/>
    <w:rsid w:val="25004422"/>
    <w:rsid w:val="25024C19"/>
    <w:rsid w:val="250728EF"/>
    <w:rsid w:val="25080BE0"/>
    <w:rsid w:val="250F59BD"/>
    <w:rsid w:val="25110A2A"/>
    <w:rsid w:val="25237000"/>
    <w:rsid w:val="252E6E00"/>
    <w:rsid w:val="25317F44"/>
    <w:rsid w:val="25372E9D"/>
    <w:rsid w:val="253A603F"/>
    <w:rsid w:val="254A2C40"/>
    <w:rsid w:val="25517AAA"/>
    <w:rsid w:val="256017E5"/>
    <w:rsid w:val="2567121C"/>
    <w:rsid w:val="256768C7"/>
    <w:rsid w:val="25691A1B"/>
    <w:rsid w:val="256C0944"/>
    <w:rsid w:val="25751583"/>
    <w:rsid w:val="259223B7"/>
    <w:rsid w:val="259233D6"/>
    <w:rsid w:val="25971971"/>
    <w:rsid w:val="259F043F"/>
    <w:rsid w:val="25AE72EF"/>
    <w:rsid w:val="25B42A8B"/>
    <w:rsid w:val="25BC1450"/>
    <w:rsid w:val="25BC5BB9"/>
    <w:rsid w:val="25CF62B8"/>
    <w:rsid w:val="25F01C0C"/>
    <w:rsid w:val="26042DA5"/>
    <w:rsid w:val="26091A9F"/>
    <w:rsid w:val="26104920"/>
    <w:rsid w:val="26223443"/>
    <w:rsid w:val="264274E5"/>
    <w:rsid w:val="2644052A"/>
    <w:rsid w:val="26446DE3"/>
    <w:rsid w:val="264500BA"/>
    <w:rsid w:val="26732F8C"/>
    <w:rsid w:val="2676500C"/>
    <w:rsid w:val="26785713"/>
    <w:rsid w:val="2679758D"/>
    <w:rsid w:val="267C1301"/>
    <w:rsid w:val="26863949"/>
    <w:rsid w:val="269669E7"/>
    <w:rsid w:val="26A41D30"/>
    <w:rsid w:val="26AF6742"/>
    <w:rsid w:val="26D7699F"/>
    <w:rsid w:val="26DA3C0C"/>
    <w:rsid w:val="26DB3021"/>
    <w:rsid w:val="26DF239B"/>
    <w:rsid w:val="26F07BB5"/>
    <w:rsid w:val="26F12C66"/>
    <w:rsid w:val="26F828D1"/>
    <w:rsid w:val="27087239"/>
    <w:rsid w:val="272C0996"/>
    <w:rsid w:val="27351349"/>
    <w:rsid w:val="27453C35"/>
    <w:rsid w:val="27483C3B"/>
    <w:rsid w:val="274A4C16"/>
    <w:rsid w:val="274D3AC5"/>
    <w:rsid w:val="27644A62"/>
    <w:rsid w:val="277E02B1"/>
    <w:rsid w:val="277F6056"/>
    <w:rsid w:val="27923E50"/>
    <w:rsid w:val="27A63865"/>
    <w:rsid w:val="27AD1EA3"/>
    <w:rsid w:val="27E957E4"/>
    <w:rsid w:val="27F00F20"/>
    <w:rsid w:val="280524DC"/>
    <w:rsid w:val="28137875"/>
    <w:rsid w:val="281F5D9F"/>
    <w:rsid w:val="282206FD"/>
    <w:rsid w:val="28314831"/>
    <w:rsid w:val="283B2AA4"/>
    <w:rsid w:val="283B2CBB"/>
    <w:rsid w:val="283C4D5D"/>
    <w:rsid w:val="284006EF"/>
    <w:rsid w:val="28492237"/>
    <w:rsid w:val="28522035"/>
    <w:rsid w:val="285740B8"/>
    <w:rsid w:val="2857631A"/>
    <w:rsid w:val="28597B60"/>
    <w:rsid w:val="285A3BBF"/>
    <w:rsid w:val="285A6C92"/>
    <w:rsid w:val="28634607"/>
    <w:rsid w:val="286D1FD8"/>
    <w:rsid w:val="287873BA"/>
    <w:rsid w:val="28827A16"/>
    <w:rsid w:val="28850B65"/>
    <w:rsid w:val="288824F9"/>
    <w:rsid w:val="288C2F17"/>
    <w:rsid w:val="2890497C"/>
    <w:rsid w:val="2894512C"/>
    <w:rsid w:val="289C3A30"/>
    <w:rsid w:val="28B3749C"/>
    <w:rsid w:val="28C50447"/>
    <w:rsid w:val="28C630C2"/>
    <w:rsid w:val="28C87E3B"/>
    <w:rsid w:val="28CF7098"/>
    <w:rsid w:val="28D03E71"/>
    <w:rsid w:val="28EB2086"/>
    <w:rsid w:val="28F46923"/>
    <w:rsid w:val="28F70D5A"/>
    <w:rsid w:val="290C5889"/>
    <w:rsid w:val="29121D76"/>
    <w:rsid w:val="29283269"/>
    <w:rsid w:val="29292BA2"/>
    <w:rsid w:val="293E49BF"/>
    <w:rsid w:val="29464CC0"/>
    <w:rsid w:val="295A24AC"/>
    <w:rsid w:val="295F1274"/>
    <w:rsid w:val="29631D06"/>
    <w:rsid w:val="296B45F9"/>
    <w:rsid w:val="29725C62"/>
    <w:rsid w:val="29795893"/>
    <w:rsid w:val="297F12BA"/>
    <w:rsid w:val="298909D2"/>
    <w:rsid w:val="2992349C"/>
    <w:rsid w:val="29947A72"/>
    <w:rsid w:val="29B76DEB"/>
    <w:rsid w:val="29B87B16"/>
    <w:rsid w:val="29BD1B4E"/>
    <w:rsid w:val="29C1410A"/>
    <w:rsid w:val="29C17109"/>
    <w:rsid w:val="29CE45FC"/>
    <w:rsid w:val="29DB780B"/>
    <w:rsid w:val="29E575E5"/>
    <w:rsid w:val="29EE1ABC"/>
    <w:rsid w:val="29EF45A3"/>
    <w:rsid w:val="29F8310B"/>
    <w:rsid w:val="2A29358A"/>
    <w:rsid w:val="2A417596"/>
    <w:rsid w:val="2A517566"/>
    <w:rsid w:val="2A53244F"/>
    <w:rsid w:val="2A5428C6"/>
    <w:rsid w:val="2A583A31"/>
    <w:rsid w:val="2A5E1DCB"/>
    <w:rsid w:val="2A6D6F14"/>
    <w:rsid w:val="2A7254C1"/>
    <w:rsid w:val="2A7702A4"/>
    <w:rsid w:val="2A822BA4"/>
    <w:rsid w:val="2A870193"/>
    <w:rsid w:val="2A98369A"/>
    <w:rsid w:val="2A9D2833"/>
    <w:rsid w:val="2A9F6F8B"/>
    <w:rsid w:val="2AA210EE"/>
    <w:rsid w:val="2AA240EE"/>
    <w:rsid w:val="2AB50213"/>
    <w:rsid w:val="2ABA08C2"/>
    <w:rsid w:val="2ABE5C11"/>
    <w:rsid w:val="2AC30A00"/>
    <w:rsid w:val="2ACD2F5D"/>
    <w:rsid w:val="2AD576C0"/>
    <w:rsid w:val="2ADC3B7C"/>
    <w:rsid w:val="2AEE6E34"/>
    <w:rsid w:val="2AF14093"/>
    <w:rsid w:val="2AFB1914"/>
    <w:rsid w:val="2B007973"/>
    <w:rsid w:val="2B020F56"/>
    <w:rsid w:val="2B125ACC"/>
    <w:rsid w:val="2B18248A"/>
    <w:rsid w:val="2B22717E"/>
    <w:rsid w:val="2B2E208D"/>
    <w:rsid w:val="2B315EA6"/>
    <w:rsid w:val="2B32780D"/>
    <w:rsid w:val="2B347342"/>
    <w:rsid w:val="2B4104F9"/>
    <w:rsid w:val="2B4314D2"/>
    <w:rsid w:val="2B49343E"/>
    <w:rsid w:val="2B564B28"/>
    <w:rsid w:val="2B5B0250"/>
    <w:rsid w:val="2B626A1D"/>
    <w:rsid w:val="2B6C4B13"/>
    <w:rsid w:val="2B6E5BD2"/>
    <w:rsid w:val="2B6F010C"/>
    <w:rsid w:val="2B774624"/>
    <w:rsid w:val="2B790F25"/>
    <w:rsid w:val="2B824A6E"/>
    <w:rsid w:val="2B873D86"/>
    <w:rsid w:val="2B907959"/>
    <w:rsid w:val="2B916110"/>
    <w:rsid w:val="2B947EBB"/>
    <w:rsid w:val="2BA87B16"/>
    <w:rsid w:val="2BA979E1"/>
    <w:rsid w:val="2BB06485"/>
    <w:rsid w:val="2BBF5D55"/>
    <w:rsid w:val="2BE36546"/>
    <w:rsid w:val="2BFB2108"/>
    <w:rsid w:val="2C03569F"/>
    <w:rsid w:val="2C160F35"/>
    <w:rsid w:val="2C23491F"/>
    <w:rsid w:val="2C242588"/>
    <w:rsid w:val="2C2E182A"/>
    <w:rsid w:val="2C4C6AE8"/>
    <w:rsid w:val="2C4F3C40"/>
    <w:rsid w:val="2C663F7E"/>
    <w:rsid w:val="2C7A72BE"/>
    <w:rsid w:val="2C8037CD"/>
    <w:rsid w:val="2C8466DE"/>
    <w:rsid w:val="2C90765D"/>
    <w:rsid w:val="2C916F77"/>
    <w:rsid w:val="2C9A7D75"/>
    <w:rsid w:val="2CA86C71"/>
    <w:rsid w:val="2CB615CA"/>
    <w:rsid w:val="2CCB136F"/>
    <w:rsid w:val="2CDB6811"/>
    <w:rsid w:val="2D1F0A73"/>
    <w:rsid w:val="2D292845"/>
    <w:rsid w:val="2D3919FB"/>
    <w:rsid w:val="2D3F7630"/>
    <w:rsid w:val="2D4A7DC0"/>
    <w:rsid w:val="2D4C1512"/>
    <w:rsid w:val="2D4C4EC8"/>
    <w:rsid w:val="2D4C5BCA"/>
    <w:rsid w:val="2D5B660C"/>
    <w:rsid w:val="2D5F643F"/>
    <w:rsid w:val="2D67156D"/>
    <w:rsid w:val="2D6C12A3"/>
    <w:rsid w:val="2D7245AA"/>
    <w:rsid w:val="2D782631"/>
    <w:rsid w:val="2D7C599E"/>
    <w:rsid w:val="2D800E07"/>
    <w:rsid w:val="2D863B4E"/>
    <w:rsid w:val="2D924B9C"/>
    <w:rsid w:val="2D941DAD"/>
    <w:rsid w:val="2DB23FFA"/>
    <w:rsid w:val="2DB3488C"/>
    <w:rsid w:val="2DB5428B"/>
    <w:rsid w:val="2DC44024"/>
    <w:rsid w:val="2DE834EE"/>
    <w:rsid w:val="2DF065BA"/>
    <w:rsid w:val="2E023E39"/>
    <w:rsid w:val="2E05415F"/>
    <w:rsid w:val="2E0F5102"/>
    <w:rsid w:val="2E1C043B"/>
    <w:rsid w:val="2E203BD3"/>
    <w:rsid w:val="2E204ADD"/>
    <w:rsid w:val="2E3C21E2"/>
    <w:rsid w:val="2E3C31A7"/>
    <w:rsid w:val="2E4F387B"/>
    <w:rsid w:val="2E4F6FA1"/>
    <w:rsid w:val="2E7463A3"/>
    <w:rsid w:val="2E7528D1"/>
    <w:rsid w:val="2E900AF6"/>
    <w:rsid w:val="2E9976CE"/>
    <w:rsid w:val="2E9A67E0"/>
    <w:rsid w:val="2EA203BD"/>
    <w:rsid w:val="2EA44F61"/>
    <w:rsid w:val="2EBD21C9"/>
    <w:rsid w:val="2EBE40A3"/>
    <w:rsid w:val="2EC6111D"/>
    <w:rsid w:val="2EC87D1E"/>
    <w:rsid w:val="2ECF7565"/>
    <w:rsid w:val="2EEC16E3"/>
    <w:rsid w:val="2EF61F78"/>
    <w:rsid w:val="2EF777EE"/>
    <w:rsid w:val="2EF846E3"/>
    <w:rsid w:val="2EFC1DC3"/>
    <w:rsid w:val="2F0A6F8C"/>
    <w:rsid w:val="2F0F059D"/>
    <w:rsid w:val="2F1D454F"/>
    <w:rsid w:val="2F2602E2"/>
    <w:rsid w:val="2F28524E"/>
    <w:rsid w:val="2F31155D"/>
    <w:rsid w:val="2F401D3C"/>
    <w:rsid w:val="2F5B24E1"/>
    <w:rsid w:val="2F74685D"/>
    <w:rsid w:val="2F790D12"/>
    <w:rsid w:val="2F7C175F"/>
    <w:rsid w:val="2FA3382B"/>
    <w:rsid w:val="2FA95C88"/>
    <w:rsid w:val="2FAA3826"/>
    <w:rsid w:val="2FAD51D9"/>
    <w:rsid w:val="2FC062EA"/>
    <w:rsid w:val="2FD05DEB"/>
    <w:rsid w:val="2FE364BA"/>
    <w:rsid w:val="30076AD0"/>
    <w:rsid w:val="300F0093"/>
    <w:rsid w:val="301B6055"/>
    <w:rsid w:val="301C5B45"/>
    <w:rsid w:val="30256280"/>
    <w:rsid w:val="302918BB"/>
    <w:rsid w:val="303242AF"/>
    <w:rsid w:val="30377A88"/>
    <w:rsid w:val="3041370F"/>
    <w:rsid w:val="3043213F"/>
    <w:rsid w:val="30662821"/>
    <w:rsid w:val="3077123C"/>
    <w:rsid w:val="307D3902"/>
    <w:rsid w:val="307D7BDC"/>
    <w:rsid w:val="30AF27C2"/>
    <w:rsid w:val="30B02B01"/>
    <w:rsid w:val="30B1153A"/>
    <w:rsid w:val="30B2302E"/>
    <w:rsid w:val="30BA47CA"/>
    <w:rsid w:val="30EB6672"/>
    <w:rsid w:val="30ED484A"/>
    <w:rsid w:val="30F17A12"/>
    <w:rsid w:val="30FC07FF"/>
    <w:rsid w:val="31053702"/>
    <w:rsid w:val="312B3EE1"/>
    <w:rsid w:val="312B50A3"/>
    <w:rsid w:val="313575F6"/>
    <w:rsid w:val="31367D49"/>
    <w:rsid w:val="314046F0"/>
    <w:rsid w:val="316F2929"/>
    <w:rsid w:val="3179689D"/>
    <w:rsid w:val="317E0F4E"/>
    <w:rsid w:val="318E5F5A"/>
    <w:rsid w:val="319767B2"/>
    <w:rsid w:val="319A23DC"/>
    <w:rsid w:val="31A96D17"/>
    <w:rsid w:val="31B51B98"/>
    <w:rsid w:val="31B823DC"/>
    <w:rsid w:val="31CD5228"/>
    <w:rsid w:val="31DB069E"/>
    <w:rsid w:val="31FF06F4"/>
    <w:rsid w:val="32171FA5"/>
    <w:rsid w:val="32270FAB"/>
    <w:rsid w:val="322C43D0"/>
    <w:rsid w:val="32385F91"/>
    <w:rsid w:val="323B3825"/>
    <w:rsid w:val="32434B25"/>
    <w:rsid w:val="32453A27"/>
    <w:rsid w:val="325A1EF0"/>
    <w:rsid w:val="3263064A"/>
    <w:rsid w:val="328E42E6"/>
    <w:rsid w:val="32912902"/>
    <w:rsid w:val="32925EBB"/>
    <w:rsid w:val="32934FFA"/>
    <w:rsid w:val="329F4EC4"/>
    <w:rsid w:val="32A23E21"/>
    <w:rsid w:val="32A43132"/>
    <w:rsid w:val="32AC0C06"/>
    <w:rsid w:val="32BC7769"/>
    <w:rsid w:val="32D8349D"/>
    <w:rsid w:val="32E15AB2"/>
    <w:rsid w:val="32FD1D02"/>
    <w:rsid w:val="33002D53"/>
    <w:rsid w:val="330132A6"/>
    <w:rsid w:val="33045ACF"/>
    <w:rsid w:val="330D24E3"/>
    <w:rsid w:val="33100662"/>
    <w:rsid w:val="331F69C9"/>
    <w:rsid w:val="33344EF5"/>
    <w:rsid w:val="333E5505"/>
    <w:rsid w:val="334242D0"/>
    <w:rsid w:val="334C431E"/>
    <w:rsid w:val="3361718F"/>
    <w:rsid w:val="336D3FC8"/>
    <w:rsid w:val="336F3F61"/>
    <w:rsid w:val="337344EB"/>
    <w:rsid w:val="3387551A"/>
    <w:rsid w:val="339156E8"/>
    <w:rsid w:val="33976866"/>
    <w:rsid w:val="33A2294F"/>
    <w:rsid w:val="33B248B8"/>
    <w:rsid w:val="33B7615F"/>
    <w:rsid w:val="33B80B01"/>
    <w:rsid w:val="33B97B1F"/>
    <w:rsid w:val="33C30A40"/>
    <w:rsid w:val="33C71EEB"/>
    <w:rsid w:val="33CA6A3B"/>
    <w:rsid w:val="33F923CF"/>
    <w:rsid w:val="341461C6"/>
    <w:rsid w:val="34313FCA"/>
    <w:rsid w:val="3431412D"/>
    <w:rsid w:val="344528BA"/>
    <w:rsid w:val="34454694"/>
    <w:rsid w:val="345A0964"/>
    <w:rsid w:val="345B45F6"/>
    <w:rsid w:val="345F7030"/>
    <w:rsid w:val="346166C7"/>
    <w:rsid w:val="34710AF0"/>
    <w:rsid w:val="34724C22"/>
    <w:rsid w:val="3488219E"/>
    <w:rsid w:val="348E11F2"/>
    <w:rsid w:val="349B5591"/>
    <w:rsid w:val="34A26CFC"/>
    <w:rsid w:val="34BF5EA9"/>
    <w:rsid w:val="34CE5520"/>
    <w:rsid w:val="34D34864"/>
    <w:rsid w:val="34D761B6"/>
    <w:rsid w:val="34E31673"/>
    <w:rsid w:val="34E704E4"/>
    <w:rsid w:val="34FC334A"/>
    <w:rsid w:val="35196C77"/>
    <w:rsid w:val="3537750C"/>
    <w:rsid w:val="3537798C"/>
    <w:rsid w:val="353F2E45"/>
    <w:rsid w:val="35411E7E"/>
    <w:rsid w:val="354410E2"/>
    <w:rsid w:val="354A6DE1"/>
    <w:rsid w:val="354D6898"/>
    <w:rsid w:val="354E2FE8"/>
    <w:rsid w:val="355231B6"/>
    <w:rsid w:val="35583300"/>
    <w:rsid w:val="355B225A"/>
    <w:rsid w:val="355E381D"/>
    <w:rsid w:val="355E63CB"/>
    <w:rsid w:val="356133A2"/>
    <w:rsid w:val="3563764D"/>
    <w:rsid w:val="35676966"/>
    <w:rsid w:val="356933FA"/>
    <w:rsid w:val="356C0B41"/>
    <w:rsid w:val="35A828BB"/>
    <w:rsid w:val="35AB7C13"/>
    <w:rsid w:val="35B43FD9"/>
    <w:rsid w:val="35B86FD1"/>
    <w:rsid w:val="35BF5F4D"/>
    <w:rsid w:val="35C13FC9"/>
    <w:rsid w:val="35CA2E18"/>
    <w:rsid w:val="35D0389E"/>
    <w:rsid w:val="35D934CA"/>
    <w:rsid w:val="35E1115E"/>
    <w:rsid w:val="35EC2B69"/>
    <w:rsid w:val="3605599F"/>
    <w:rsid w:val="360806E9"/>
    <w:rsid w:val="36091D96"/>
    <w:rsid w:val="360B3FF3"/>
    <w:rsid w:val="3610095D"/>
    <w:rsid w:val="361C403D"/>
    <w:rsid w:val="36321C91"/>
    <w:rsid w:val="363F3F24"/>
    <w:rsid w:val="363F70C6"/>
    <w:rsid w:val="364257B6"/>
    <w:rsid w:val="36480C08"/>
    <w:rsid w:val="3657711C"/>
    <w:rsid w:val="366542DA"/>
    <w:rsid w:val="366F0A64"/>
    <w:rsid w:val="367B42B2"/>
    <w:rsid w:val="367D4F4B"/>
    <w:rsid w:val="3685074E"/>
    <w:rsid w:val="36886A90"/>
    <w:rsid w:val="368B73D8"/>
    <w:rsid w:val="36A45F80"/>
    <w:rsid w:val="36B70080"/>
    <w:rsid w:val="36BD7F41"/>
    <w:rsid w:val="36CB75C6"/>
    <w:rsid w:val="36CE6E46"/>
    <w:rsid w:val="36D27AF8"/>
    <w:rsid w:val="36FD2002"/>
    <w:rsid w:val="371238DE"/>
    <w:rsid w:val="372F7AE8"/>
    <w:rsid w:val="373310B3"/>
    <w:rsid w:val="373456E6"/>
    <w:rsid w:val="3740471A"/>
    <w:rsid w:val="374C2851"/>
    <w:rsid w:val="376D16E1"/>
    <w:rsid w:val="376E3D43"/>
    <w:rsid w:val="378D0519"/>
    <w:rsid w:val="379451CB"/>
    <w:rsid w:val="37A00DC1"/>
    <w:rsid w:val="37A40F81"/>
    <w:rsid w:val="37B802A8"/>
    <w:rsid w:val="37BB3766"/>
    <w:rsid w:val="37BC7F0A"/>
    <w:rsid w:val="37C302E2"/>
    <w:rsid w:val="37C86A1E"/>
    <w:rsid w:val="37EA5922"/>
    <w:rsid w:val="37F5463A"/>
    <w:rsid w:val="37FA4184"/>
    <w:rsid w:val="3805745A"/>
    <w:rsid w:val="38103D52"/>
    <w:rsid w:val="38143E78"/>
    <w:rsid w:val="38276B93"/>
    <w:rsid w:val="38456DD9"/>
    <w:rsid w:val="3845701D"/>
    <w:rsid w:val="38475913"/>
    <w:rsid w:val="3857576E"/>
    <w:rsid w:val="38577133"/>
    <w:rsid w:val="38625AEA"/>
    <w:rsid w:val="387A3248"/>
    <w:rsid w:val="3881742E"/>
    <w:rsid w:val="38844E0D"/>
    <w:rsid w:val="38950B28"/>
    <w:rsid w:val="38A56E0C"/>
    <w:rsid w:val="38AC3431"/>
    <w:rsid w:val="38CD7BCF"/>
    <w:rsid w:val="38D70914"/>
    <w:rsid w:val="38DC51EC"/>
    <w:rsid w:val="38E17959"/>
    <w:rsid w:val="38E42EDA"/>
    <w:rsid w:val="38E47094"/>
    <w:rsid w:val="38E95200"/>
    <w:rsid w:val="39126399"/>
    <w:rsid w:val="39236806"/>
    <w:rsid w:val="392F2E16"/>
    <w:rsid w:val="39372AAC"/>
    <w:rsid w:val="393C0560"/>
    <w:rsid w:val="395C3421"/>
    <w:rsid w:val="396628EC"/>
    <w:rsid w:val="39745297"/>
    <w:rsid w:val="39772477"/>
    <w:rsid w:val="397D1365"/>
    <w:rsid w:val="39861365"/>
    <w:rsid w:val="39886C32"/>
    <w:rsid w:val="399A0290"/>
    <w:rsid w:val="399A3937"/>
    <w:rsid w:val="399B3D0D"/>
    <w:rsid w:val="39B10F71"/>
    <w:rsid w:val="39B977FE"/>
    <w:rsid w:val="39BA6409"/>
    <w:rsid w:val="39BE7598"/>
    <w:rsid w:val="39C718FD"/>
    <w:rsid w:val="39D66A2E"/>
    <w:rsid w:val="39E00529"/>
    <w:rsid w:val="39E24C28"/>
    <w:rsid w:val="39F026D2"/>
    <w:rsid w:val="39FD5BA6"/>
    <w:rsid w:val="3A031298"/>
    <w:rsid w:val="3A0B64A7"/>
    <w:rsid w:val="3A0F7F3D"/>
    <w:rsid w:val="3A106162"/>
    <w:rsid w:val="3A1266CF"/>
    <w:rsid w:val="3A1A47C6"/>
    <w:rsid w:val="3A1B1021"/>
    <w:rsid w:val="3A496D66"/>
    <w:rsid w:val="3A4F73B0"/>
    <w:rsid w:val="3A507272"/>
    <w:rsid w:val="3A574DDA"/>
    <w:rsid w:val="3A750DF4"/>
    <w:rsid w:val="3A891FCF"/>
    <w:rsid w:val="3AA22FAA"/>
    <w:rsid w:val="3AAB4E3E"/>
    <w:rsid w:val="3AB31592"/>
    <w:rsid w:val="3AB340D4"/>
    <w:rsid w:val="3AB5349B"/>
    <w:rsid w:val="3ACA162B"/>
    <w:rsid w:val="3AD00CBD"/>
    <w:rsid w:val="3AD3075A"/>
    <w:rsid w:val="3AD74C7D"/>
    <w:rsid w:val="3ADF0DCC"/>
    <w:rsid w:val="3AE4605B"/>
    <w:rsid w:val="3AEE2E36"/>
    <w:rsid w:val="3AF74C02"/>
    <w:rsid w:val="3B052598"/>
    <w:rsid w:val="3B18270B"/>
    <w:rsid w:val="3B187A16"/>
    <w:rsid w:val="3B1B5E8D"/>
    <w:rsid w:val="3B1C32F7"/>
    <w:rsid w:val="3B1F0894"/>
    <w:rsid w:val="3B2136C9"/>
    <w:rsid w:val="3B2C49C6"/>
    <w:rsid w:val="3B2E763C"/>
    <w:rsid w:val="3B463723"/>
    <w:rsid w:val="3B564D55"/>
    <w:rsid w:val="3B5908CC"/>
    <w:rsid w:val="3B6056C8"/>
    <w:rsid w:val="3B685EF3"/>
    <w:rsid w:val="3B6F766D"/>
    <w:rsid w:val="3B702DEB"/>
    <w:rsid w:val="3B8E5233"/>
    <w:rsid w:val="3BBE6678"/>
    <w:rsid w:val="3BC84C11"/>
    <w:rsid w:val="3BCA6581"/>
    <w:rsid w:val="3BD9659E"/>
    <w:rsid w:val="3BDD0118"/>
    <w:rsid w:val="3BEB62A7"/>
    <w:rsid w:val="3C0059A5"/>
    <w:rsid w:val="3C0669F8"/>
    <w:rsid w:val="3C134E78"/>
    <w:rsid w:val="3C190566"/>
    <w:rsid w:val="3C1D11C3"/>
    <w:rsid w:val="3C1E08E9"/>
    <w:rsid w:val="3C373ECB"/>
    <w:rsid w:val="3C3B1E78"/>
    <w:rsid w:val="3C44604B"/>
    <w:rsid w:val="3C44696B"/>
    <w:rsid w:val="3C5C711C"/>
    <w:rsid w:val="3C68369D"/>
    <w:rsid w:val="3C6B2E6C"/>
    <w:rsid w:val="3C706F91"/>
    <w:rsid w:val="3C7821A4"/>
    <w:rsid w:val="3C895F08"/>
    <w:rsid w:val="3CA825FB"/>
    <w:rsid w:val="3CB80C19"/>
    <w:rsid w:val="3CBD3352"/>
    <w:rsid w:val="3CC46D43"/>
    <w:rsid w:val="3CCD56B7"/>
    <w:rsid w:val="3CE15A11"/>
    <w:rsid w:val="3CE5055D"/>
    <w:rsid w:val="3CE63FAC"/>
    <w:rsid w:val="3CF41DB2"/>
    <w:rsid w:val="3D0A2751"/>
    <w:rsid w:val="3D0D1159"/>
    <w:rsid w:val="3D106736"/>
    <w:rsid w:val="3D174F24"/>
    <w:rsid w:val="3D23484D"/>
    <w:rsid w:val="3D2C52EA"/>
    <w:rsid w:val="3D3366D4"/>
    <w:rsid w:val="3D38791F"/>
    <w:rsid w:val="3D4310F5"/>
    <w:rsid w:val="3D4A3601"/>
    <w:rsid w:val="3D4D5D08"/>
    <w:rsid w:val="3D5030D5"/>
    <w:rsid w:val="3D574035"/>
    <w:rsid w:val="3D5A14F4"/>
    <w:rsid w:val="3D72249C"/>
    <w:rsid w:val="3D795C80"/>
    <w:rsid w:val="3D8C471D"/>
    <w:rsid w:val="3D936FC1"/>
    <w:rsid w:val="3DAC3FD7"/>
    <w:rsid w:val="3DB156F5"/>
    <w:rsid w:val="3DB95AE3"/>
    <w:rsid w:val="3DF3449E"/>
    <w:rsid w:val="3DF6345D"/>
    <w:rsid w:val="3DFC6EF0"/>
    <w:rsid w:val="3E0228B7"/>
    <w:rsid w:val="3E06255F"/>
    <w:rsid w:val="3E1524E5"/>
    <w:rsid w:val="3E2078E6"/>
    <w:rsid w:val="3E2B09D4"/>
    <w:rsid w:val="3E3A74C1"/>
    <w:rsid w:val="3E3E7246"/>
    <w:rsid w:val="3E417A60"/>
    <w:rsid w:val="3E4516B8"/>
    <w:rsid w:val="3E4D4F28"/>
    <w:rsid w:val="3E4E1E73"/>
    <w:rsid w:val="3E550F8D"/>
    <w:rsid w:val="3E5E2001"/>
    <w:rsid w:val="3E6F4F2E"/>
    <w:rsid w:val="3E7C30B9"/>
    <w:rsid w:val="3E836BAC"/>
    <w:rsid w:val="3E86715C"/>
    <w:rsid w:val="3E95103C"/>
    <w:rsid w:val="3EA27301"/>
    <w:rsid w:val="3EAD36FE"/>
    <w:rsid w:val="3EC33EEC"/>
    <w:rsid w:val="3ED35285"/>
    <w:rsid w:val="3ED936C3"/>
    <w:rsid w:val="3EDD3AE2"/>
    <w:rsid w:val="3EE13701"/>
    <w:rsid w:val="3EF732B7"/>
    <w:rsid w:val="3EF75E0E"/>
    <w:rsid w:val="3F1641B2"/>
    <w:rsid w:val="3F1A4BB3"/>
    <w:rsid w:val="3F1C14BF"/>
    <w:rsid w:val="3F4B6B7A"/>
    <w:rsid w:val="3F561290"/>
    <w:rsid w:val="3F571470"/>
    <w:rsid w:val="3F61735B"/>
    <w:rsid w:val="3F6C53EF"/>
    <w:rsid w:val="3F7B62D3"/>
    <w:rsid w:val="3F8053C9"/>
    <w:rsid w:val="3F867CA0"/>
    <w:rsid w:val="3FBB6A77"/>
    <w:rsid w:val="3FC6342E"/>
    <w:rsid w:val="3FCB1974"/>
    <w:rsid w:val="3FD45D32"/>
    <w:rsid w:val="3FF112FD"/>
    <w:rsid w:val="4003423F"/>
    <w:rsid w:val="40083871"/>
    <w:rsid w:val="40166A81"/>
    <w:rsid w:val="401811AC"/>
    <w:rsid w:val="40192BA6"/>
    <w:rsid w:val="402F3E0E"/>
    <w:rsid w:val="4034112D"/>
    <w:rsid w:val="403E0C17"/>
    <w:rsid w:val="404B4C93"/>
    <w:rsid w:val="404C0467"/>
    <w:rsid w:val="404E30B5"/>
    <w:rsid w:val="40681F8E"/>
    <w:rsid w:val="40787732"/>
    <w:rsid w:val="407F0ADB"/>
    <w:rsid w:val="40AA03D0"/>
    <w:rsid w:val="40B5736A"/>
    <w:rsid w:val="40BE2055"/>
    <w:rsid w:val="40C3095D"/>
    <w:rsid w:val="40D14201"/>
    <w:rsid w:val="40DA7FF9"/>
    <w:rsid w:val="40FE0FA7"/>
    <w:rsid w:val="40FE135C"/>
    <w:rsid w:val="41066DCD"/>
    <w:rsid w:val="41285DD7"/>
    <w:rsid w:val="4137192C"/>
    <w:rsid w:val="41666944"/>
    <w:rsid w:val="41693F47"/>
    <w:rsid w:val="4170760E"/>
    <w:rsid w:val="41736559"/>
    <w:rsid w:val="41872B42"/>
    <w:rsid w:val="41B23C44"/>
    <w:rsid w:val="41C13366"/>
    <w:rsid w:val="41C34DA4"/>
    <w:rsid w:val="41C726C1"/>
    <w:rsid w:val="41D84E94"/>
    <w:rsid w:val="41DF59AC"/>
    <w:rsid w:val="41EE6D4D"/>
    <w:rsid w:val="41EF7F8C"/>
    <w:rsid w:val="42001EBD"/>
    <w:rsid w:val="4227370F"/>
    <w:rsid w:val="42334326"/>
    <w:rsid w:val="42433F0B"/>
    <w:rsid w:val="42515BB9"/>
    <w:rsid w:val="42521903"/>
    <w:rsid w:val="42541013"/>
    <w:rsid w:val="42550A18"/>
    <w:rsid w:val="42595F17"/>
    <w:rsid w:val="425C5BD2"/>
    <w:rsid w:val="425D3FBD"/>
    <w:rsid w:val="42655993"/>
    <w:rsid w:val="42761EB9"/>
    <w:rsid w:val="42791361"/>
    <w:rsid w:val="427D04BC"/>
    <w:rsid w:val="429D496A"/>
    <w:rsid w:val="42A557B0"/>
    <w:rsid w:val="42A5707E"/>
    <w:rsid w:val="42AF75E6"/>
    <w:rsid w:val="42B52E73"/>
    <w:rsid w:val="42C26F2D"/>
    <w:rsid w:val="42CF00D1"/>
    <w:rsid w:val="42E7122A"/>
    <w:rsid w:val="42EE57B9"/>
    <w:rsid w:val="42F473A1"/>
    <w:rsid w:val="42F86875"/>
    <w:rsid w:val="42FD6A25"/>
    <w:rsid w:val="43050D54"/>
    <w:rsid w:val="4307531E"/>
    <w:rsid w:val="431470A0"/>
    <w:rsid w:val="432831DD"/>
    <w:rsid w:val="432E72B3"/>
    <w:rsid w:val="43534C89"/>
    <w:rsid w:val="436007DD"/>
    <w:rsid w:val="43603515"/>
    <w:rsid w:val="4365763E"/>
    <w:rsid w:val="438618AE"/>
    <w:rsid w:val="438A14FC"/>
    <w:rsid w:val="43C3461F"/>
    <w:rsid w:val="43C60777"/>
    <w:rsid w:val="43D25CCA"/>
    <w:rsid w:val="43E239C0"/>
    <w:rsid w:val="44110CE4"/>
    <w:rsid w:val="441478AE"/>
    <w:rsid w:val="4415164D"/>
    <w:rsid w:val="4418376E"/>
    <w:rsid w:val="44184EC9"/>
    <w:rsid w:val="441E62C0"/>
    <w:rsid w:val="44230F1D"/>
    <w:rsid w:val="4429111D"/>
    <w:rsid w:val="44383C9C"/>
    <w:rsid w:val="444708AC"/>
    <w:rsid w:val="44513EE1"/>
    <w:rsid w:val="4455208E"/>
    <w:rsid w:val="445D2039"/>
    <w:rsid w:val="44630668"/>
    <w:rsid w:val="44807AC7"/>
    <w:rsid w:val="44813E2F"/>
    <w:rsid w:val="449F39B7"/>
    <w:rsid w:val="44BA7C42"/>
    <w:rsid w:val="44C452E8"/>
    <w:rsid w:val="44CB2751"/>
    <w:rsid w:val="44E70806"/>
    <w:rsid w:val="44EC3DBE"/>
    <w:rsid w:val="44F211F1"/>
    <w:rsid w:val="451764D2"/>
    <w:rsid w:val="45325D14"/>
    <w:rsid w:val="453F20EB"/>
    <w:rsid w:val="45464FCE"/>
    <w:rsid w:val="454E727C"/>
    <w:rsid w:val="455E3CC7"/>
    <w:rsid w:val="455F7143"/>
    <w:rsid w:val="45811C7C"/>
    <w:rsid w:val="45975C0C"/>
    <w:rsid w:val="45BF4DCD"/>
    <w:rsid w:val="45C20619"/>
    <w:rsid w:val="45C20F7A"/>
    <w:rsid w:val="45D2462E"/>
    <w:rsid w:val="45D62BBD"/>
    <w:rsid w:val="45E367CB"/>
    <w:rsid w:val="45F45020"/>
    <w:rsid w:val="45FE3C3B"/>
    <w:rsid w:val="462D73E3"/>
    <w:rsid w:val="46311B4C"/>
    <w:rsid w:val="46341A24"/>
    <w:rsid w:val="46464577"/>
    <w:rsid w:val="465114D7"/>
    <w:rsid w:val="46565087"/>
    <w:rsid w:val="46630E6E"/>
    <w:rsid w:val="46656544"/>
    <w:rsid w:val="466774DB"/>
    <w:rsid w:val="46694D32"/>
    <w:rsid w:val="466B1FF0"/>
    <w:rsid w:val="466D2ED0"/>
    <w:rsid w:val="467D72D0"/>
    <w:rsid w:val="46814546"/>
    <w:rsid w:val="468B3EFB"/>
    <w:rsid w:val="468C1791"/>
    <w:rsid w:val="46962A01"/>
    <w:rsid w:val="469F45FA"/>
    <w:rsid w:val="46A34CCB"/>
    <w:rsid w:val="46D61779"/>
    <w:rsid w:val="46D877CE"/>
    <w:rsid w:val="47003555"/>
    <w:rsid w:val="470A6193"/>
    <w:rsid w:val="470B19C7"/>
    <w:rsid w:val="470E5430"/>
    <w:rsid w:val="47131BFD"/>
    <w:rsid w:val="4714030D"/>
    <w:rsid w:val="4727200A"/>
    <w:rsid w:val="47385210"/>
    <w:rsid w:val="47416D9E"/>
    <w:rsid w:val="47446521"/>
    <w:rsid w:val="47476344"/>
    <w:rsid w:val="47591F60"/>
    <w:rsid w:val="4769076E"/>
    <w:rsid w:val="477B2914"/>
    <w:rsid w:val="4792067C"/>
    <w:rsid w:val="47A34832"/>
    <w:rsid w:val="47A861F3"/>
    <w:rsid w:val="47BC276F"/>
    <w:rsid w:val="47C14751"/>
    <w:rsid w:val="47D34349"/>
    <w:rsid w:val="47DC4F5C"/>
    <w:rsid w:val="47E91873"/>
    <w:rsid w:val="47EA42EA"/>
    <w:rsid w:val="47EF3109"/>
    <w:rsid w:val="47FB2072"/>
    <w:rsid w:val="48006EFE"/>
    <w:rsid w:val="48103A1C"/>
    <w:rsid w:val="481B372E"/>
    <w:rsid w:val="481E413B"/>
    <w:rsid w:val="48312AE4"/>
    <w:rsid w:val="483E290C"/>
    <w:rsid w:val="484765F6"/>
    <w:rsid w:val="48565B2B"/>
    <w:rsid w:val="486B4363"/>
    <w:rsid w:val="488F1640"/>
    <w:rsid w:val="489E0797"/>
    <w:rsid w:val="489E3547"/>
    <w:rsid w:val="48A0539E"/>
    <w:rsid w:val="48AC55D8"/>
    <w:rsid w:val="48B015EA"/>
    <w:rsid w:val="48B40671"/>
    <w:rsid w:val="48C23729"/>
    <w:rsid w:val="48CB6C4D"/>
    <w:rsid w:val="48F801D9"/>
    <w:rsid w:val="49007FDE"/>
    <w:rsid w:val="49036A81"/>
    <w:rsid w:val="490D5C37"/>
    <w:rsid w:val="491023D1"/>
    <w:rsid w:val="49116133"/>
    <w:rsid w:val="49127BE5"/>
    <w:rsid w:val="491E5D85"/>
    <w:rsid w:val="492E74BC"/>
    <w:rsid w:val="49381D3E"/>
    <w:rsid w:val="4964330E"/>
    <w:rsid w:val="497C4DAD"/>
    <w:rsid w:val="4989158F"/>
    <w:rsid w:val="499A5AEC"/>
    <w:rsid w:val="499B5738"/>
    <w:rsid w:val="499C24F5"/>
    <w:rsid w:val="499F244D"/>
    <w:rsid w:val="49A03345"/>
    <w:rsid w:val="49B906A2"/>
    <w:rsid w:val="49D7248F"/>
    <w:rsid w:val="49DE390C"/>
    <w:rsid w:val="49E45F25"/>
    <w:rsid w:val="49FB6FD3"/>
    <w:rsid w:val="4A0B14C2"/>
    <w:rsid w:val="4A180254"/>
    <w:rsid w:val="4A193C24"/>
    <w:rsid w:val="4A252503"/>
    <w:rsid w:val="4A253339"/>
    <w:rsid w:val="4A334335"/>
    <w:rsid w:val="4A505717"/>
    <w:rsid w:val="4A7B6C26"/>
    <w:rsid w:val="4A8E28CB"/>
    <w:rsid w:val="4A900538"/>
    <w:rsid w:val="4A973F3F"/>
    <w:rsid w:val="4AC34219"/>
    <w:rsid w:val="4ACF17F2"/>
    <w:rsid w:val="4AD21D1B"/>
    <w:rsid w:val="4AD50CF5"/>
    <w:rsid w:val="4AD72F48"/>
    <w:rsid w:val="4ADB16CD"/>
    <w:rsid w:val="4AF54A2F"/>
    <w:rsid w:val="4AF96BC7"/>
    <w:rsid w:val="4AFE6C3D"/>
    <w:rsid w:val="4B0262DE"/>
    <w:rsid w:val="4B1A5C30"/>
    <w:rsid w:val="4B1F48FA"/>
    <w:rsid w:val="4B39589F"/>
    <w:rsid w:val="4B397E92"/>
    <w:rsid w:val="4B3B6E76"/>
    <w:rsid w:val="4B3D10D3"/>
    <w:rsid w:val="4B5419FC"/>
    <w:rsid w:val="4B5621DC"/>
    <w:rsid w:val="4B8043CA"/>
    <w:rsid w:val="4B862A85"/>
    <w:rsid w:val="4B91358C"/>
    <w:rsid w:val="4BAE7E11"/>
    <w:rsid w:val="4BB2684B"/>
    <w:rsid w:val="4BBB6AFF"/>
    <w:rsid w:val="4BC645EA"/>
    <w:rsid w:val="4BC97922"/>
    <w:rsid w:val="4BD25B77"/>
    <w:rsid w:val="4BDC7082"/>
    <w:rsid w:val="4BE603ED"/>
    <w:rsid w:val="4BE91A48"/>
    <w:rsid w:val="4BF46173"/>
    <w:rsid w:val="4C0B7CA0"/>
    <w:rsid w:val="4C1058E4"/>
    <w:rsid w:val="4C1073C4"/>
    <w:rsid w:val="4C1322E1"/>
    <w:rsid w:val="4C1A4069"/>
    <w:rsid w:val="4C1D58D4"/>
    <w:rsid w:val="4C405EE9"/>
    <w:rsid w:val="4C423BE8"/>
    <w:rsid w:val="4C4406DC"/>
    <w:rsid w:val="4C480296"/>
    <w:rsid w:val="4C4810CA"/>
    <w:rsid w:val="4C490C42"/>
    <w:rsid w:val="4C4F28E8"/>
    <w:rsid w:val="4C51305B"/>
    <w:rsid w:val="4C54715C"/>
    <w:rsid w:val="4C616C0E"/>
    <w:rsid w:val="4C696563"/>
    <w:rsid w:val="4C7A033D"/>
    <w:rsid w:val="4C815EF9"/>
    <w:rsid w:val="4CD44B8D"/>
    <w:rsid w:val="4CE12E19"/>
    <w:rsid w:val="4CEF36E2"/>
    <w:rsid w:val="4CEF4DC5"/>
    <w:rsid w:val="4CF335F5"/>
    <w:rsid w:val="4CF54BB9"/>
    <w:rsid w:val="4D064A46"/>
    <w:rsid w:val="4D0D385C"/>
    <w:rsid w:val="4D146080"/>
    <w:rsid w:val="4D232E93"/>
    <w:rsid w:val="4D273076"/>
    <w:rsid w:val="4D2B4984"/>
    <w:rsid w:val="4D5E652D"/>
    <w:rsid w:val="4D66159A"/>
    <w:rsid w:val="4D67057D"/>
    <w:rsid w:val="4D722FB4"/>
    <w:rsid w:val="4D7433C2"/>
    <w:rsid w:val="4D984595"/>
    <w:rsid w:val="4D9E6DDF"/>
    <w:rsid w:val="4DA23498"/>
    <w:rsid w:val="4DAB1200"/>
    <w:rsid w:val="4DAD3569"/>
    <w:rsid w:val="4DB76295"/>
    <w:rsid w:val="4DD90D4E"/>
    <w:rsid w:val="4DEF679E"/>
    <w:rsid w:val="4DF7225F"/>
    <w:rsid w:val="4E0A7AF2"/>
    <w:rsid w:val="4E0B0211"/>
    <w:rsid w:val="4E0D7291"/>
    <w:rsid w:val="4E101DA4"/>
    <w:rsid w:val="4E1C3DDC"/>
    <w:rsid w:val="4E1C7F50"/>
    <w:rsid w:val="4E257655"/>
    <w:rsid w:val="4E403582"/>
    <w:rsid w:val="4E4343CE"/>
    <w:rsid w:val="4E435E98"/>
    <w:rsid w:val="4E4D2EBC"/>
    <w:rsid w:val="4E684CB4"/>
    <w:rsid w:val="4E774169"/>
    <w:rsid w:val="4E8066AF"/>
    <w:rsid w:val="4E9732E3"/>
    <w:rsid w:val="4E9853C2"/>
    <w:rsid w:val="4EA63558"/>
    <w:rsid w:val="4EA75D8D"/>
    <w:rsid w:val="4EAB07B9"/>
    <w:rsid w:val="4EC26EEA"/>
    <w:rsid w:val="4ED720AC"/>
    <w:rsid w:val="4EDA4B11"/>
    <w:rsid w:val="4F0817B7"/>
    <w:rsid w:val="4F0B04A0"/>
    <w:rsid w:val="4F2E7FDD"/>
    <w:rsid w:val="4F372380"/>
    <w:rsid w:val="4F372FFB"/>
    <w:rsid w:val="4F39291F"/>
    <w:rsid w:val="4F4925FE"/>
    <w:rsid w:val="4F5375AF"/>
    <w:rsid w:val="4F592624"/>
    <w:rsid w:val="4F5F2ECE"/>
    <w:rsid w:val="4F611DB2"/>
    <w:rsid w:val="4F6C7856"/>
    <w:rsid w:val="4F80265B"/>
    <w:rsid w:val="4F83024A"/>
    <w:rsid w:val="4F8A5E99"/>
    <w:rsid w:val="4F8C4BE9"/>
    <w:rsid w:val="4F9160CF"/>
    <w:rsid w:val="4F9759B1"/>
    <w:rsid w:val="4F9F566B"/>
    <w:rsid w:val="4FAA0D6A"/>
    <w:rsid w:val="4FB01660"/>
    <w:rsid w:val="4FB63C43"/>
    <w:rsid w:val="4FCC5CF4"/>
    <w:rsid w:val="4FD62E0F"/>
    <w:rsid w:val="4FD66978"/>
    <w:rsid w:val="4FF1615B"/>
    <w:rsid w:val="4FF22BB7"/>
    <w:rsid w:val="4FF51585"/>
    <w:rsid w:val="4FF57404"/>
    <w:rsid w:val="4FF637FF"/>
    <w:rsid w:val="501F3A39"/>
    <w:rsid w:val="50290B81"/>
    <w:rsid w:val="50322CEE"/>
    <w:rsid w:val="5037733F"/>
    <w:rsid w:val="50417201"/>
    <w:rsid w:val="50495BA7"/>
    <w:rsid w:val="504B7498"/>
    <w:rsid w:val="504C43BE"/>
    <w:rsid w:val="505678BE"/>
    <w:rsid w:val="505A1D39"/>
    <w:rsid w:val="505D75D3"/>
    <w:rsid w:val="50627F0B"/>
    <w:rsid w:val="506748B0"/>
    <w:rsid w:val="50707B0B"/>
    <w:rsid w:val="507A6AF5"/>
    <w:rsid w:val="507C53FC"/>
    <w:rsid w:val="507F7A43"/>
    <w:rsid w:val="50850A44"/>
    <w:rsid w:val="508572DA"/>
    <w:rsid w:val="508952B4"/>
    <w:rsid w:val="50A26CA7"/>
    <w:rsid w:val="50A873A4"/>
    <w:rsid w:val="50AF5076"/>
    <w:rsid w:val="50B046D4"/>
    <w:rsid w:val="50B2446C"/>
    <w:rsid w:val="50BC1B63"/>
    <w:rsid w:val="50C27936"/>
    <w:rsid w:val="50CD42C7"/>
    <w:rsid w:val="50D76466"/>
    <w:rsid w:val="50DB6F48"/>
    <w:rsid w:val="50DF05EC"/>
    <w:rsid w:val="50F1401A"/>
    <w:rsid w:val="51060B1F"/>
    <w:rsid w:val="510E74FB"/>
    <w:rsid w:val="51143A98"/>
    <w:rsid w:val="51311177"/>
    <w:rsid w:val="514F5D5B"/>
    <w:rsid w:val="5158159D"/>
    <w:rsid w:val="516B6FE1"/>
    <w:rsid w:val="516E2E89"/>
    <w:rsid w:val="51867FFA"/>
    <w:rsid w:val="51874608"/>
    <w:rsid w:val="519023F8"/>
    <w:rsid w:val="5193167E"/>
    <w:rsid w:val="51962A9D"/>
    <w:rsid w:val="51985003"/>
    <w:rsid w:val="51991EA8"/>
    <w:rsid w:val="51B149B4"/>
    <w:rsid w:val="51B161F7"/>
    <w:rsid w:val="51B57BF4"/>
    <w:rsid w:val="51B923FC"/>
    <w:rsid w:val="51BE581F"/>
    <w:rsid w:val="51CF29E1"/>
    <w:rsid w:val="51D72E93"/>
    <w:rsid w:val="51D759D4"/>
    <w:rsid w:val="51DB44D3"/>
    <w:rsid w:val="51DC04B7"/>
    <w:rsid w:val="520147C2"/>
    <w:rsid w:val="52370222"/>
    <w:rsid w:val="52395ECD"/>
    <w:rsid w:val="525060DD"/>
    <w:rsid w:val="52515783"/>
    <w:rsid w:val="525A5E37"/>
    <w:rsid w:val="52616338"/>
    <w:rsid w:val="52671ED1"/>
    <w:rsid w:val="526D15C6"/>
    <w:rsid w:val="5277740A"/>
    <w:rsid w:val="52BB2EDC"/>
    <w:rsid w:val="52BB674A"/>
    <w:rsid w:val="52C10D75"/>
    <w:rsid w:val="52C6636A"/>
    <w:rsid w:val="52D47489"/>
    <w:rsid w:val="52DA37F1"/>
    <w:rsid w:val="52DC17F2"/>
    <w:rsid w:val="52E4634F"/>
    <w:rsid w:val="52E53503"/>
    <w:rsid w:val="52F2520E"/>
    <w:rsid w:val="530315CF"/>
    <w:rsid w:val="5306410C"/>
    <w:rsid w:val="530E46F9"/>
    <w:rsid w:val="5310590C"/>
    <w:rsid w:val="53146663"/>
    <w:rsid w:val="53225EFE"/>
    <w:rsid w:val="5323548F"/>
    <w:rsid w:val="53260BF2"/>
    <w:rsid w:val="5329463C"/>
    <w:rsid w:val="532D7CAE"/>
    <w:rsid w:val="534F2ED5"/>
    <w:rsid w:val="536752DF"/>
    <w:rsid w:val="53694A04"/>
    <w:rsid w:val="536B1678"/>
    <w:rsid w:val="536D02FE"/>
    <w:rsid w:val="5397492A"/>
    <w:rsid w:val="53A600EF"/>
    <w:rsid w:val="53A67DA1"/>
    <w:rsid w:val="53BE6CAC"/>
    <w:rsid w:val="53C27FF8"/>
    <w:rsid w:val="53C83576"/>
    <w:rsid w:val="53CB0FE9"/>
    <w:rsid w:val="53D15736"/>
    <w:rsid w:val="53D37555"/>
    <w:rsid w:val="53DA53E2"/>
    <w:rsid w:val="53E63B3C"/>
    <w:rsid w:val="53FE7D02"/>
    <w:rsid w:val="540529FA"/>
    <w:rsid w:val="540556D5"/>
    <w:rsid w:val="542B4DB4"/>
    <w:rsid w:val="542C33D8"/>
    <w:rsid w:val="5437558A"/>
    <w:rsid w:val="543A6B36"/>
    <w:rsid w:val="5448420E"/>
    <w:rsid w:val="54505F51"/>
    <w:rsid w:val="54525C0E"/>
    <w:rsid w:val="54532F4E"/>
    <w:rsid w:val="54605C15"/>
    <w:rsid w:val="546F3006"/>
    <w:rsid w:val="5479167B"/>
    <w:rsid w:val="5481314E"/>
    <w:rsid w:val="54861E80"/>
    <w:rsid w:val="549E0A52"/>
    <w:rsid w:val="549E1A80"/>
    <w:rsid w:val="54A77E44"/>
    <w:rsid w:val="54AA79DF"/>
    <w:rsid w:val="54BD670B"/>
    <w:rsid w:val="54BD6F28"/>
    <w:rsid w:val="54C658F4"/>
    <w:rsid w:val="54C7092C"/>
    <w:rsid w:val="54C85476"/>
    <w:rsid w:val="54D11018"/>
    <w:rsid w:val="54D613EC"/>
    <w:rsid w:val="54D81E0D"/>
    <w:rsid w:val="54FD01F1"/>
    <w:rsid w:val="550C4BD7"/>
    <w:rsid w:val="5510214C"/>
    <w:rsid w:val="5510388B"/>
    <w:rsid w:val="55121746"/>
    <w:rsid w:val="551C28E4"/>
    <w:rsid w:val="551D712E"/>
    <w:rsid w:val="55237265"/>
    <w:rsid w:val="552F2B63"/>
    <w:rsid w:val="553B6DA5"/>
    <w:rsid w:val="554C1D56"/>
    <w:rsid w:val="554C2665"/>
    <w:rsid w:val="554E1D56"/>
    <w:rsid w:val="55572986"/>
    <w:rsid w:val="55622AED"/>
    <w:rsid w:val="558A2F9B"/>
    <w:rsid w:val="559231FE"/>
    <w:rsid w:val="559E5379"/>
    <w:rsid w:val="55A43BA2"/>
    <w:rsid w:val="55ED1A56"/>
    <w:rsid w:val="55F86DBE"/>
    <w:rsid w:val="55FE3ED8"/>
    <w:rsid w:val="560E0417"/>
    <w:rsid w:val="560F2F88"/>
    <w:rsid w:val="56166D07"/>
    <w:rsid w:val="561A07DE"/>
    <w:rsid w:val="561A67DD"/>
    <w:rsid w:val="56381F5B"/>
    <w:rsid w:val="563E3752"/>
    <w:rsid w:val="563F51DA"/>
    <w:rsid w:val="56442D6D"/>
    <w:rsid w:val="56460F2F"/>
    <w:rsid w:val="565340FA"/>
    <w:rsid w:val="565705A4"/>
    <w:rsid w:val="56610A29"/>
    <w:rsid w:val="56737402"/>
    <w:rsid w:val="567F7F66"/>
    <w:rsid w:val="568854FD"/>
    <w:rsid w:val="5696447A"/>
    <w:rsid w:val="56A0131C"/>
    <w:rsid w:val="56A42A4E"/>
    <w:rsid w:val="56A44286"/>
    <w:rsid w:val="56B60337"/>
    <w:rsid w:val="56CB0921"/>
    <w:rsid w:val="56CF3A59"/>
    <w:rsid w:val="56D81119"/>
    <w:rsid w:val="56E9467E"/>
    <w:rsid w:val="57061716"/>
    <w:rsid w:val="571201D0"/>
    <w:rsid w:val="571271EF"/>
    <w:rsid w:val="571B589B"/>
    <w:rsid w:val="571D152F"/>
    <w:rsid w:val="571F7377"/>
    <w:rsid w:val="57207EC8"/>
    <w:rsid w:val="57231DE1"/>
    <w:rsid w:val="57276B68"/>
    <w:rsid w:val="57281235"/>
    <w:rsid w:val="57306A3C"/>
    <w:rsid w:val="57367B0E"/>
    <w:rsid w:val="57386E96"/>
    <w:rsid w:val="573A4287"/>
    <w:rsid w:val="573B4542"/>
    <w:rsid w:val="57495E9D"/>
    <w:rsid w:val="57504BB6"/>
    <w:rsid w:val="57613849"/>
    <w:rsid w:val="57624B73"/>
    <w:rsid w:val="577F43B5"/>
    <w:rsid w:val="578A7E3F"/>
    <w:rsid w:val="579101A4"/>
    <w:rsid w:val="57A10BAA"/>
    <w:rsid w:val="57AF7A44"/>
    <w:rsid w:val="57B046B4"/>
    <w:rsid w:val="57CD6B40"/>
    <w:rsid w:val="57D1143D"/>
    <w:rsid w:val="57D94EE7"/>
    <w:rsid w:val="57FA6E9F"/>
    <w:rsid w:val="57FA74D0"/>
    <w:rsid w:val="57FD0AFB"/>
    <w:rsid w:val="57FE6547"/>
    <w:rsid w:val="5802373C"/>
    <w:rsid w:val="58272F2C"/>
    <w:rsid w:val="582B6C76"/>
    <w:rsid w:val="58382F4E"/>
    <w:rsid w:val="58391C19"/>
    <w:rsid w:val="587378C1"/>
    <w:rsid w:val="5877688C"/>
    <w:rsid w:val="58805E0B"/>
    <w:rsid w:val="58865806"/>
    <w:rsid w:val="588C205B"/>
    <w:rsid w:val="589C6C3B"/>
    <w:rsid w:val="58A41EB2"/>
    <w:rsid w:val="58A93363"/>
    <w:rsid w:val="58AC5489"/>
    <w:rsid w:val="58B6098B"/>
    <w:rsid w:val="58B96046"/>
    <w:rsid w:val="58C16090"/>
    <w:rsid w:val="58C25CE8"/>
    <w:rsid w:val="58CA17B2"/>
    <w:rsid w:val="58DA03BA"/>
    <w:rsid w:val="58E3278B"/>
    <w:rsid w:val="58EB5819"/>
    <w:rsid w:val="58ED24A3"/>
    <w:rsid w:val="58EF7E23"/>
    <w:rsid w:val="58F25808"/>
    <w:rsid w:val="58F65CD9"/>
    <w:rsid w:val="58F67C27"/>
    <w:rsid w:val="58F9774A"/>
    <w:rsid w:val="58FF7888"/>
    <w:rsid w:val="590941BD"/>
    <w:rsid w:val="591C1409"/>
    <w:rsid w:val="59266B32"/>
    <w:rsid w:val="59324546"/>
    <w:rsid w:val="5934634B"/>
    <w:rsid w:val="59492033"/>
    <w:rsid w:val="5957185A"/>
    <w:rsid w:val="595830A1"/>
    <w:rsid w:val="59587CA6"/>
    <w:rsid w:val="59682C4C"/>
    <w:rsid w:val="5978444B"/>
    <w:rsid w:val="597A6048"/>
    <w:rsid w:val="5984062B"/>
    <w:rsid w:val="59A84A30"/>
    <w:rsid w:val="59B831C6"/>
    <w:rsid w:val="59B845ED"/>
    <w:rsid w:val="59CA3AF2"/>
    <w:rsid w:val="59DB04E7"/>
    <w:rsid w:val="59E148C7"/>
    <w:rsid w:val="59F879EC"/>
    <w:rsid w:val="5A1876E4"/>
    <w:rsid w:val="5A1B42DF"/>
    <w:rsid w:val="5A2F2CC8"/>
    <w:rsid w:val="5A2F7450"/>
    <w:rsid w:val="5A33463C"/>
    <w:rsid w:val="5A4E3CFD"/>
    <w:rsid w:val="5A832C77"/>
    <w:rsid w:val="5A923A84"/>
    <w:rsid w:val="5AA64D0E"/>
    <w:rsid w:val="5AC90164"/>
    <w:rsid w:val="5ACB40C5"/>
    <w:rsid w:val="5AE33A9E"/>
    <w:rsid w:val="5AFA15BA"/>
    <w:rsid w:val="5AFE2794"/>
    <w:rsid w:val="5B000ECB"/>
    <w:rsid w:val="5B0D29DF"/>
    <w:rsid w:val="5B131BF0"/>
    <w:rsid w:val="5B1A0C52"/>
    <w:rsid w:val="5B1F3649"/>
    <w:rsid w:val="5B202E73"/>
    <w:rsid w:val="5B2152DC"/>
    <w:rsid w:val="5B360D5E"/>
    <w:rsid w:val="5B4D3E1C"/>
    <w:rsid w:val="5B55606F"/>
    <w:rsid w:val="5B693EEE"/>
    <w:rsid w:val="5B706B1C"/>
    <w:rsid w:val="5B7409FE"/>
    <w:rsid w:val="5B7D1240"/>
    <w:rsid w:val="5B9461E4"/>
    <w:rsid w:val="5B9917D3"/>
    <w:rsid w:val="5BA33416"/>
    <w:rsid w:val="5BBF5A02"/>
    <w:rsid w:val="5BC404EC"/>
    <w:rsid w:val="5BC62C70"/>
    <w:rsid w:val="5BC67148"/>
    <w:rsid w:val="5BCD16D6"/>
    <w:rsid w:val="5BCE12AC"/>
    <w:rsid w:val="5BD745B1"/>
    <w:rsid w:val="5BDD28C6"/>
    <w:rsid w:val="5BDD78E0"/>
    <w:rsid w:val="5BED30AD"/>
    <w:rsid w:val="5BF0115D"/>
    <w:rsid w:val="5BF308B8"/>
    <w:rsid w:val="5BF42A15"/>
    <w:rsid w:val="5BFE23F2"/>
    <w:rsid w:val="5C06487A"/>
    <w:rsid w:val="5C0B7FA8"/>
    <w:rsid w:val="5C0C6D3C"/>
    <w:rsid w:val="5C10702D"/>
    <w:rsid w:val="5C1363FA"/>
    <w:rsid w:val="5C152601"/>
    <w:rsid w:val="5C185B19"/>
    <w:rsid w:val="5C205134"/>
    <w:rsid w:val="5C217AC1"/>
    <w:rsid w:val="5C4C1518"/>
    <w:rsid w:val="5C4D2E86"/>
    <w:rsid w:val="5C585E46"/>
    <w:rsid w:val="5C633B89"/>
    <w:rsid w:val="5C647836"/>
    <w:rsid w:val="5C6B6435"/>
    <w:rsid w:val="5C6D1AE0"/>
    <w:rsid w:val="5C707501"/>
    <w:rsid w:val="5C867859"/>
    <w:rsid w:val="5C8A1B2F"/>
    <w:rsid w:val="5C8A1D28"/>
    <w:rsid w:val="5C932474"/>
    <w:rsid w:val="5C950DE9"/>
    <w:rsid w:val="5C9C3E64"/>
    <w:rsid w:val="5CA40764"/>
    <w:rsid w:val="5CAB260D"/>
    <w:rsid w:val="5CBD4D25"/>
    <w:rsid w:val="5CC27062"/>
    <w:rsid w:val="5CDD7ABF"/>
    <w:rsid w:val="5CDF6D7E"/>
    <w:rsid w:val="5CE41113"/>
    <w:rsid w:val="5CE92FBA"/>
    <w:rsid w:val="5CF428E3"/>
    <w:rsid w:val="5CF522E2"/>
    <w:rsid w:val="5CF56323"/>
    <w:rsid w:val="5D02627C"/>
    <w:rsid w:val="5D1244AA"/>
    <w:rsid w:val="5D2D1FF4"/>
    <w:rsid w:val="5D2E08BF"/>
    <w:rsid w:val="5D384F99"/>
    <w:rsid w:val="5D3A6991"/>
    <w:rsid w:val="5D3E1839"/>
    <w:rsid w:val="5D404A2C"/>
    <w:rsid w:val="5D4963E8"/>
    <w:rsid w:val="5D5154F3"/>
    <w:rsid w:val="5D703BB6"/>
    <w:rsid w:val="5D775190"/>
    <w:rsid w:val="5D823EF6"/>
    <w:rsid w:val="5D8F17B7"/>
    <w:rsid w:val="5D9362DA"/>
    <w:rsid w:val="5D9B37E1"/>
    <w:rsid w:val="5DA277A3"/>
    <w:rsid w:val="5DB22BEA"/>
    <w:rsid w:val="5DB82E58"/>
    <w:rsid w:val="5DC359D9"/>
    <w:rsid w:val="5DC56CE9"/>
    <w:rsid w:val="5DD62CAB"/>
    <w:rsid w:val="5DDE57C0"/>
    <w:rsid w:val="5DEC31C8"/>
    <w:rsid w:val="5DEC575F"/>
    <w:rsid w:val="5DEE560F"/>
    <w:rsid w:val="5DF16235"/>
    <w:rsid w:val="5DF83D88"/>
    <w:rsid w:val="5E117FFD"/>
    <w:rsid w:val="5E1373D3"/>
    <w:rsid w:val="5E233F70"/>
    <w:rsid w:val="5E26144E"/>
    <w:rsid w:val="5E284892"/>
    <w:rsid w:val="5E3F5B21"/>
    <w:rsid w:val="5E481304"/>
    <w:rsid w:val="5E4968E1"/>
    <w:rsid w:val="5E5D6F55"/>
    <w:rsid w:val="5E653866"/>
    <w:rsid w:val="5E6B2AA6"/>
    <w:rsid w:val="5E6C7697"/>
    <w:rsid w:val="5E81122D"/>
    <w:rsid w:val="5E876FBD"/>
    <w:rsid w:val="5E89571F"/>
    <w:rsid w:val="5E907C8B"/>
    <w:rsid w:val="5E92635E"/>
    <w:rsid w:val="5EA56B84"/>
    <w:rsid w:val="5EB0279B"/>
    <w:rsid w:val="5EDD1A75"/>
    <w:rsid w:val="5EF41AB8"/>
    <w:rsid w:val="5EFF18F8"/>
    <w:rsid w:val="5F02429A"/>
    <w:rsid w:val="5F2D25DF"/>
    <w:rsid w:val="5F331220"/>
    <w:rsid w:val="5F3D4A37"/>
    <w:rsid w:val="5F436B48"/>
    <w:rsid w:val="5F572959"/>
    <w:rsid w:val="5F694039"/>
    <w:rsid w:val="5F896E0E"/>
    <w:rsid w:val="5F8B10F8"/>
    <w:rsid w:val="5F910526"/>
    <w:rsid w:val="5F937B28"/>
    <w:rsid w:val="5F9A1EF1"/>
    <w:rsid w:val="5F9B1503"/>
    <w:rsid w:val="5F9F4879"/>
    <w:rsid w:val="5FA30B7B"/>
    <w:rsid w:val="5FA55B24"/>
    <w:rsid w:val="5FAA77F7"/>
    <w:rsid w:val="5FAC29E4"/>
    <w:rsid w:val="5FAF4F68"/>
    <w:rsid w:val="5FBD1F7F"/>
    <w:rsid w:val="5FCA54AC"/>
    <w:rsid w:val="5FCE4A73"/>
    <w:rsid w:val="5FD42FF2"/>
    <w:rsid w:val="5FDA1A6F"/>
    <w:rsid w:val="5FDB42D6"/>
    <w:rsid w:val="5FDB4BA6"/>
    <w:rsid w:val="5FDB62BE"/>
    <w:rsid w:val="5FF62B87"/>
    <w:rsid w:val="5FF85FC5"/>
    <w:rsid w:val="60091826"/>
    <w:rsid w:val="60126A1A"/>
    <w:rsid w:val="60305D28"/>
    <w:rsid w:val="6032181E"/>
    <w:rsid w:val="603D2786"/>
    <w:rsid w:val="603E1E43"/>
    <w:rsid w:val="604A27CB"/>
    <w:rsid w:val="60550F66"/>
    <w:rsid w:val="605A0EBF"/>
    <w:rsid w:val="606007BB"/>
    <w:rsid w:val="607504DC"/>
    <w:rsid w:val="608034A4"/>
    <w:rsid w:val="608A2253"/>
    <w:rsid w:val="60A45B03"/>
    <w:rsid w:val="60AC7F66"/>
    <w:rsid w:val="60B53A1B"/>
    <w:rsid w:val="60B73FA5"/>
    <w:rsid w:val="60BE03B4"/>
    <w:rsid w:val="60D23437"/>
    <w:rsid w:val="60EB7F17"/>
    <w:rsid w:val="60EC0D5A"/>
    <w:rsid w:val="60F83317"/>
    <w:rsid w:val="60FF71A0"/>
    <w:rsid w:val="6103352A"/>
    <w:rsid w:val="610A0589"/>
    <w:rsid w:val="610E30CE"/>
    <w:rsid w:val="610F0176"/>
    <w:rsid w:val="61175B9E"/>
    <w:rsid w:val="6126553C"/>
    <w:rsid w:val="613A1460"/>
    <w:rsid w:val="61442B4D"/>
    <w:rsid w:val="61527A33"/>
    <w:rsid w:val="61600311"/>
    <w:rsid w:val="61981A42"/>
    <w:rsid w:val="61A02001"/>
    <w:rsid w:val="61AB1B13"/>
    <w:rsid w:val="61B04BA0"/>
    <w:rsid w:val="61B07959"/>
    <w:rsid w:val="61B37B14"/>
    <w:rsid w:val="61BF10D9"/>
    <w:rsid w:val="61D02DCA"/>
    <w:rsid w:val="61DE488E"/>
    <w:rsid w:val="61FB0D0A"/>
    <w:rsid w:val="61FE0F93"/>
    <w:rsid w:val="621524B5"/>
    <w:rsid w:val="621E20FC"/>
    <w:rsid w:val="623853C1"/>
    <w:rsid w:val="624A6D3A"/>
    <w:rsid w:val="62547EAB"/>
    <w:rsid w:val="62760999"/>
    <w:rsid w:val="62877266"/>
    <w:rsid w:val="62890DA9"/>
    <w:rsid w:val="62914F30"/>
    <w:rsid w:val="629A3E67"/>
    <w:rsid w:val="629C5F9F"/>
    <w:rsid w:val="629D0FCA"/>
    <w:rsid w:val="629E19B3"/>
    <w:rsid w:val="62A20753"/>
    <w:rsid w:val="62AC22DC"/>
    <w:rsid w:val="62B4513C"/>
    <w:rsid w:val="62C00B85"/>
    <w:rsid w:val="62D0273B"/>
    <w:rsid w:val="62D35FCB"/>
    <w:rsid w:val="62DA1F51"/>
    <w:rsid w:val="62E03EF5"/>
    <w:rsid w:val="62F03EAF"/>
    <w:rsid w:val="630E39C8"/>
    <w:rsid w:val="63182907"/>
    <w:rsid w:val="631D1734"/>
    <w:rsid w:val="63275380"/>
    <w:rsid w:val="632B4468"/>
    <w:rsid w:val="633274DC"/>
    <w:rsid w:val="63350368"/>
    <w:rsid w:val="634B3EF5"/>
    <w:rsid w:val="635C6173"/>
    <w:rsid w:val="63692445"/>
    <w:rsid w:val="636B6595"/>
    <w:rsid w:val="638553E9"/>
    <w:rsid w:val="638F64A9"/>
    <w:rsid w:val="639C7502"/>
    <w:rsid w:val="63A14CB5"/>
    <w:rsid w:val="63B0102B"/>
    <w:rsid w:val="63B15378"/>
    <w:rsid w:val="63C8324F"/>
    <w:rsid w:val="63D30C54"/>
    <w:rsid w:val="63F744FE"/>
    <w:rsid w:val="63F8454C"/>
    <w:rsid w:val="64007134"/>
    <w:rsid w:val="6406118A"/>
    <w:rsid w:val="640B2087"/>
    <w:rsid w:val="640B648C"/>
    <w:rsid w:val="640F79EF"/>
    <w:rsid w:val="643052EF"/>
    <w:rsid w:val="643100FD"/>
    <w:rsid w:val="643A01FF"/>
    <w:rsid w:val="64564DDB"/>
    <w:rsid w:val="645E3A5E"/>
    <w:rsid w:val="646646A4"/>
    <w:rsid w:val="6481130B"/>
    <w:rsid w:val="648C491A"/>
    <w:rsid w:val="64907294"/>
    <w:rsid w:val="64914249"/>
    <w:rsid w:val="649226F7"/>
    <w:rsid w:val="6494672B"/>
    <w:rsid w:val="64982D5B"/>
    <w:rsid w:val="649B2F5C"/>
    <w:rsid w:val="64B02B0C"/>
    <w:rsid w:val="64B4074E"/>
    <w:rsid w:val="64BF60B1"/>
    <w:rsid w:val="64C80D68"/>
    <w:rsid w:val="64DB128A"/>
    <w:rsid w:val="64DE7DA7"/>
    <w:rsid w:val="64E45EF7"/>
    <w:rsid w:val="64F9430F"/>
    <w:rsid w:val="64FB2555"/>
    <w:rsid w:val="650559F5"/>
    <w:rsid w:val="651274C8"/>
    <w:rsid w:val="651771A2"/>
    <w:rsid w:val="6521471A"/>
    <w:rsid w:val="6526166D"/>
    <w:rsid w:val="65626C37"/>
    <w:rsid w:val="657A3107"/>
    <w:rsid w:val="657E0529"/>
    <w:rsid w:val="65805B0E"/>
    <w:rsid w:val="65831C95"/>
    <w:rsid w:val="658568D3"/>
    <w:rsid w:val="6586348A"/>
    <w:rsid w:val="65877CF8"/>
    <w:rsid w:val="658B11C7"/>
    <w:rsid w:val="659559D9"/>
    <w:rsid w:val="65AB3DD9"/>
    <w:rsid w:val="65AC09E0"/>
    <w:rsid w:val="65B4797C"/>
    <w:rsid w:val="65B76830"/>
    <w:rsid w:val="65BB221F"/>
    <w:rsid w:val="65BC3912"/>
    <w:rsid w:val="65C84786"/>
    <w:rsid w:val="65D01661"/>
    <w:rsid w:val="65D64964"/>
    <w:rsid w:val="65DA58B8"/>
    <w:rsid w:val="65E11A2B"/>
    <w:rsid w:val="65E3456F"/>
    <w:rsid w:val="65F5740F"/>
    <w:rsid w:val="65F57746"/>
    <w:rsid w:val="65F61523"/>
    <w:rsid w:val="65F8033F"/>
    <w:rsid w:val="66172279"/>
    <w:rsid w:val="662104AD"/>
    <w:rsid w:val="6635242D"/>
    <w:rsid w:val="66447BC1"/>
    <w:rsid w:val="664B41F2"/>
    <w:rsid w:val="6664170A"/>
    <w:rsid w:val="667F57B6"/>
    <w:rsid w:val="6691014E"/>
    <w:rsid w:val="66924B3F"/>
    <w:rsid w:val="669F1664"/>
    <w:rsid w:val="66A500F2"/>
    <w:rsid w:val="66A73FF2"/>
    <w:rsid w:val="66AB02DD"/>
    <w:rsid w:val="66B165B0"/>
    <w:rsid w:val="66BB386A"/>
    <w:rsid w:val="66BE161E"/>
    <w:rsid w:val="66C812D3"/>
    <w:rsid w:val="66CA15F8"/>
    <w:rsid w:val="66F36768"/>
    <w:rsid w:val="6704107E"/>
    <w:rsid w:val="670713C6"/>
    <w:rsid w:val="67156A83"/>
    <w:rsid w:val="67190D03"/>
    <w:rsid w:val="671D4752"/>
    <w:rsid w:val="672A5965"/>
    <w:rsid w:val="674E562C"/>
    <w:rsid w:val="67546DC2"/>
    <w:rsid w:val="676305D3"/>
    <w:rsid w:val="676C25C6"/>
    <w:rsid w:val="676D364B"/>
    <w:rsid w:val="677435B2"/>
    <w:rsid w:val="677A5EE0"/>
    <w:rsid w:val="678F7FF5"/>
    <w:rsid w:val="679B6329"/>
    <w:rsid w:val="67AA7915"/>
    <w:rsid w:val="67B71BFE"/>
    <w:rsid w:val="67BB3AB2"/>
    <w:rsid w:val="67CE67F7"/>
    <w:rsid w:val="67D8209D"/>
    <w:rsid w:val="67E17E42"/>
    <w:rsid w:val="67ED3DB0"/>
    <w:rsid w:val="67EF75F1"/>
    <w:rsid w:val="681D5DBD"/>
    <w:rsid w:val="6822067B"/>
    <w:rsid w:val="68231DF6"/>
    <w:rsid w:val="682A1638"/>
    <w:rsid w:val="68394798"/>
    <w:rsid w:val="683E3D34"/>
    <w:rsid w:val="68602CD8"/>
    <w:rsid w:val="68651E2D"/>
    <w:rsid w:val="68674E21"/>
    <w:rsid w:val="68921520"/>
    <w:rsid w:val="68930D91"/>
    <w:rsid w:val="68941ED7"/>
    <w:rsid w:val="68B77208"/>
    <w:rsid w:val="68CB5DDC"/>
    <w:rsid w:val="68CD2978"/>
    <w:rsid w:val="68F9151E"/>
    <w:rsid w:val="69072742"/>
    <w:rsid w:val="69124F16"/>
    <w:rsid w:val="69303D88"/>
    <w:rsid w:val="69374F7C"/>
    <w:rsid w:val="693819C4"/>
    <w:rsid w:val="693E5F2D"/>
    <w:rsid w:val="694963EC"/>
    <w:rsid w:val="694E37A5"/>
    <w:rsid w:val="69564175"/>
    <w:rsid w:val="695A3136"/>
    <w:rsid w:val="69636F53"/>
    <w:rsid w:val="696A0640"/>
    <w:rsid w:val="697C0395"/>
    <w:rsid w:val="697E04B4"/>
    <w:rsid w:val="699C3461"/>
    <w:rsid w:val="69A11D94"/>
    <w:rsid w:val="69A268C7"/>
    <w:rsid w:val="69BA79E3"/>
    <w:rsid w:val="69CD5C14"/>
    <w:rsid w:val="69CF0D33"/>
    <w:rsid w:val="69CF6B03"/>
    <w:rsid w:val="69D16558"/>
    <w:rsid w:val="69E42030"/>
    <w:rsid w:val="69F37D61"/>
    <w:rsid w:val="6A0167CF"/>
    <w:rsid w:val="6A134E1B"/>
    <w:rsid w:val="6A150A88"/>
    <w:rsid w:val="6A162DCB"/>
    <w:rsid w:val="6A2419A7"/>
    <w:rsid w:val="6A36134C"/>
    <w:rsid w:val="6A3D6A38"/>
    <w:rsid w:val="6A4B7446"/>
    <w:rsid w:val="6A4C4A93"/>
    <w:rsid w:val="6A5F4648"/>
    <w:rsid w:val="6A68042C"/>
    <w:rsid w:val="6A686E18"/>
    <w:rsid w:val="6A6C73A0"/>
    <w:rsid w:val="6A757CFD"/>
    <w:rsid w:val="6A8216F2"/>
    <w:rsid w:val="6A821A6F"/>
    <w:rsid w:val="6A883618"/>
    <w:rsid w:val="6A8D359A"/>
    <w:rsid w:val="6A9A5D05"/>
    <w:rsid w:val="6AA340B4"/>
    <w:rsid w:val="6AB06896"/>
    <w:rsid w:val="6AD301F0"/>
    <w:rsid w:val="6AE34B4E"/>
    <w:rsid w:val="6AE73CA2"/>
    <w:rsid w:val="6AEA5E39"/>
    <w:rsid w:val="6AEC0DF8"/>
    <w:rsid w:val="6AF90F3C"/>
    <w:rsid w:val="6B0542A5"/>
    <w:rsid w:val="6B121EAB"/>
    <w:rsid w:val="6B3814C5"/>
    <w:rsid w:val="6B3C316D"/>
    <w:rsid w:val="6B646D0A"/>
    <w:rsid w:val="6B6B208C"/>
    <w:rsid w:val="6B9946B3"/>
    <w:rsid w:val="6BAA45BA"/>
    <w:rsid w:val="6BAA55E6"/>
    <w:rsid w:val="6BD8123B"/>
    <w:rsid w:val="6BE90B26"/>
    <w:rsid w:val="6C03712F"/>
    <w:rsid w:val="6C0D3BEE"/>
    <w:rsid w:val="6C2F0B71"/>
    <w:rsid w:val="6C3366FF"/>
    <w:rsid w:val="6C36035F"/>
    <w:rsid w:val="6C367AFD"/>
    <w:rsid w:val="6C377E73"/>
    <w:rsid w:val="6C513D4F"/>
    <w:rsid w:val="6C51536B"/>
    <w:rsid w:val="6C55703B"/>
    <w:rsid w:val="6C620F3A"/>
    <w:rsid w:val="6C623F51"/>
    <w:rsid w:val="6C7007C7"/>
    <w:rsid w:val="6C8464E3"/>
    <w:rsid w:val="6C855717"/>
    <w:rsid w:val="6CA22913"/>
    <w:rsid w:val="6CA43B6E"/>
    <w:rsid w:val="6CAF7693"/>
    <w:rsid w:val="6CB610F9"/>
    <w:rsid w:val="6CB714BE"/>
    <w:rsid w:val="6CCA2342"/>
    <w:rsid w:val="6CCD2E8C"/>
    <w:rsid w:val="6CD3033E"/>
    <w:rsid w:val="6CD82927"/>
    <w:rsid w:val="6CE1575C"/>
    <w:rsid w:val="6CEA7BE1"/>
    <w:rsid w:val="6CEB55C1"/>
    <w:rsid w:val="6D0E5244"/>
    <w:rsid w:val="6D0F3BED"/>
    <w:rsid w:val="6D1A0B46"/>
    <w:rsid w:val="6D1D244B"/>
    <w:rsid w:val="6D201736"/>
    <w:rsid w:val="6D4516EB"/>
    <w:rsid w:val="6D4C08BB"/>
    <w:rsid w:val="6D724778"/>
    <w:rsid w:val="6D7B47B4"/>
    <w:rsid w:val="6D7C61B6"/>
    <w:rsid w:val="6D7D7FA8"/>
    <w:rsid w:val="6D7F450F"/>
    <w:rsid w:val="6D822CB8"/>
    <w:rsid w:val="6D872735"/>
    <w:rsid w:val="6D8A31B7"/>
    <w:rsid w:val="6D8F4449"/>
    <w:rsid w:val="6DA04756"/>
    <w:rsid w:val="6DA15027"/>
    <w:rsid w:val="6DC3780D"/>
    <w:rsid w:val="6DC650E3"/>
    <w:rsid w:val="6DDB3AC0"/>
    <w:rsid w:val="6DE12B74"/>
    <w:rsid w:val="6DE76850"/>
    <w:rsid w:val="6DE9265B"/>
    <w:rsid w:val="6DEF6F1A"/>
    <w:rsid w:val="6DF63E61"/>
    <w:rsid w:val="6E096ECB"/>
    <w:rsid w:val="6E1C758E"/>
    <w:rsid w:val="6E1D652D"/>
    <w:rsid w:val="6E236E13"/>
    <w:rsid w:val="6E271499"/>
    <w:rsid w:val="6E344339"/>
    <w:rsid w:val="6E456722"/>
    <w:rsid w:val="6E4D5263"/>
    <w:rsid w:val="6E500CDC"/>
    <w:rsid w:val="6E501CE9"/>
    <w:rsid w:val="6E517D4E"/>
    <w:rsid w:val="6E52195A"/>
    <w:rsid w:val="6E55366C"/>
    <w:rsid w:val="6E617FDD"/>
    <w:rsid w:val="6E772B7C"/>
    <w:rsid w:val="6EB75037"/>
    <w:rsid w:val="6EB77C93"/>
    <w:rsid w:val="6EC3048C"/>
    <w:rsid w:val="6ED81FBA"/>
    <w:rsid w:val="6EE42856"/>
    <w:rsid w:val="6EEB1621"/>
    <w:rsid w:val="6EF978AA"/>
    <w:rsid w:val="6F0065D7"/>
    <w:rsid w:val="6F073D74"/>
    <w:rsid w:val="6F09315B"/>
    <w:rsid w:val="6F191D26"/>
    <w:rsid w:val="6F1F6867"/>
    <w:rsid w:val="6F244BC7"/>
    <w:rsid w:val="6F253D9A"/>
    <w:rsid w:val="6F261BB1"/>
    <w:rsid w:val="6F397679"/>
    <w:rsid w:val="6F4C225C"/>
    <w:rsid w:val="6F4F621D"/>
    <w:rsid w:val="6F5E2A39"/>
    <w:rsid w:val="6F634662"/>
    <w:rsid w:val="6F69115D"/>
    <w:rsid w:val="6F6E1544"/>
    <w:rsid w:val="6F7174E5"/>
    <w:rsid w:val="6F731432"/>
    <w:rsid w:val="6F7B084C"/>
    <w:rsid w:val="6F813B26"/>
    <w:rsid w:val="6FB16119"/>
    <w:rsid w:val="6FB20BD4"/>
    <w:rsid w:val="6FBA59BE"/>
    <w:rsid w:val="6FBC379A"/>
    <w:rsid w:val="6FBD33A6"/>
    <w:rsid w:val="6FC40DBD"/>
    <w:rsid w:val="6FD45174"/>
    <w:rsid w:val="6FDA3798"/>
    <w:rsid w:val="6FF20AF9"/>
    <w:rsid w:val="6FFB331C"/>
    <w:rsid w:val="700D1844"/>
    <w:rsid w:val="70100DD8"/>
    <w:rsid w:val="701447FF"/>
    <w:rsid w:val="70175822"/>
    <w:rsid w:val="701F69D2"/>
    <w:rsid w:val="70296B3E"/>
    <w:rsid w:val="702D1A6A"/>
    <w:rsid w:val="704670F4"/>
    <w:rsid w:val="704C2FC2"/>
    <w:rsid w:val="705822F6"/>
    <w:rsid w:val="70611204"/>
    <w:rsid w:val="70706582"/>
    <w:rsid w:val="70BF08B6"/>
    <w:rsid w:val="70D334B4"/>
    <w:rsid w:val="70D65A79"/>
    <w:rsid w:val="70D66175"/>
    <w:rsid w:val="70E76209"/>
    <w:rsid w:val="70ED54CD"/>
    <w:rsid w:val="70F94A00"/>
    <w:rsid w:val="71012B1C"/>
    <w:rsid w:val="712265FE"/>
    <w:rsid w:val="713203C3"/>
    <w:rsid w:val="7142158E"/>
    <w:rsid w:val="714779F9"/>
    <w:rsid w:val="714F70A9"/>
    <w:rsid w:val="715D07BE"/>
    <w:rsid w:val="7160454F"/>
    <w:rsid w:val="71654A86"/>
    <w:rsid w:val="716666B1"/>
    <w:rsid w:val="716A3116"/>
    <w:rsid w:val="71790E08"/>
    <w:rsid w:val="717D1359"/>
    <w:rsid w:val="719369A1"/>
    <w:rsid w:val="71AC70EB"/>
    <w:rsid w:val="71C91F13"/>
    <w:rsid w:val="71CE4EAF"/>
    <w:rsid w:val="71DC5E53"/>
    <w:rsid w:val="71FF1876"/>
    <w:rsid w:val="71FF792D"/>
    <w:rsid w:val="72092E9A"/>
    <w:rsid w:val="720D375A"/>
    <w:rsid w:val="721441EE"/>
    <w:rsid w:val="72165C3B"/>
    <w:rsid w:val="72316BCC"/>
    <w:rsid w:val="72326718"/>
    <w:rsid w:val="72447216"/>
    <w:rsid w:val="72451B9D"/>
    <w:rsid w:val="724A2EB8"/>
    <w:rsid w:val="724B499D"/>
    <w:rsid w:val="725848A9"/>
    <w:rsid w:val="726D543B"/>
    <w:rsid w:val="72774DA6"/>
    <w:rsid w:val="729251A4"/>
    <w:rsid w:val="72936633"/>
    <w:rsid w:val="72976E47"/>
    <w:rsid w:val="72AC03B9"/>
    <w:rsid w:val="72AF7324"/>
    <w:rsid w:val="72BC64BB"/>
    <w:rsid w:val="72C4413D"/>
    <w:rsid w:val="72CC3174"/>
    <w:rsid w:val="72F329E0"/>
    <w:rsid w:val="73046B66"/>
    <w:rsid w:val="73173626"/>
    <w:rsid w:val="731909A4"/>
    <w:rsid w:val="731C4312"/>
    <w:rsid w:val="731D3EDB"/>
    <w:rsid w:val="733C0585"/>
    <w:rsid w:val="733E6A99"/>
    <w:rsid w:val="734130AD"/>
    <w:rsid w:val="73460871"/>
    <w:rsid w:val="734651CD"/>
    <w:rsid w:val="7353246A"/>
    <w:rsid w:val="7362259E"/>
    <w:rsid w:val="73692A67"/>
    <w:rsid w:val="73792F9B"/>
    <w:rsid w:val="738C52F5"/>
    <w:rsid w:val="738C77E5"/>
    <w:rsid w:val="73A03BBF"/>
    <w:rsid w:val="73A07EA9"/>
    <w:rsid w:val="73A44D4E"/>
    <w:rsid w:val="73A44EAF"/>
    <w:rsid w:val="73BD4A54"/>
    <w:rsid w:val="73C21F74"/>
    <w:rsid w:val="73C33EFE"/>
    <w:rsid w:val="73DE725E"/>
    <w:rsid w:val="73E24FC4"/>
    <w:rsid w:val="73FA6782"/>
    <w:rsid w:val="73FE53CE"/>
    <w:rsid w:val="73FE745F"/>
    <w:rsid w:val="74061B0E"/>
    <w:rsid w:val="740B5FAF"/>
    <w:rsid w:val="741717E6"/>
    <w:rsid w:val="741B02D7"/>
    <w:rsid w:val="741E3442"/>
    <w:rsid w:val="74203F18"/>
    <w:rsid w:val="742C114B"/>
    <w:rsid w:val="742C21B5"/>
    <w:rsid w:val="744727FF"/>
    <w:rsid w:val="74472AA8"/>
    <w:rsid w:val="74557978"/>
    <w:rsid w:val="745922EC"/>
    <w:rsid w:val="746916A3"/>
    <w:rsid w:val="747F0160"/>
    <w:rsid w:val="74BD6189"/>
    <w:rsid w:val="74CE22C6"/>
    <w:rsid w:val="74DA46C5"/>
    <w:rsid w:val="74E03F35"/>
    <w:rsid w:val="74FA2C30"/>
    <w:rsid w:val="74FF7360"/>
    <w:rsid w:val="75060DF0"/>
    <w:rsid w:val="751D37BA"/>
    <w:rsid w:val="751D76D4"/>
    <w:rsid w:val="75465138"/>
    <w:rsid w:val="754B4B92"/>
    <w:rsid w:val="754D5C4B"/>
    <w:rsid w:val="75597B8E"/>
    <w:rsid w:val="755A5960"/>
    <w:rsid w:val="755E16E7"/>
    <w:rsid w:val="756627F7"/>
    <w:rsid w:val="75753202"/>
    <w:rsid w:val="75796382"/>
    <w:rsid w:val="75910C6C"/>
    <w:rsid w:val="759A3D2B"/>
    <w:rsid w:val="75AD53C9"/>
    <w:rsid w:val="75AF7706"/>
    <w:rsid w:val="75B62FFC"/>
    <w:rsid w:val="75D45A3A"/>
    <w:rsid w:val="75DD37EE"/>
    <w:rsid w:val="75F32A83"/>
    <w:rsid w:val="75F937F8"/>
    <w:rsid w:val="75FE20EE"/>
    <w:rsid w:val="760E5510"/>
    <w:rsid w:val="76141508"/>
    <w:rsid w:val="761879C2"/>
    <w:rsid w:val="764A7996"/>
    <w:rsid w:val="76616593"/>
    <w:rsid w:val="76651C08"/>
    <w:rsid w:val="76680EF9"/>
    <w:rsid w:val="76732F78"/>
    <w:rsid w:val="76774897"/>
    <w:rsid w:val="767E5F84"/>
    <w:rsid w:val="769571AA"/>
    <w:rsid w:val="76A133BD"/>
    <w:rsid w:val="76AE4659"/>
    <w:rsid w:val="76C240A7"/>
    <w:rsid w:val="76CC3495"/>
    <w:rsid w:val="76D168B5"/>
    <w:rsid w:val="76DC3A64"/>
    <w:rsid w:val="76E43735"/>
    <w:rsid w:val="76EB04A8"/>
    <w:rsid w:val="76EF6B43"/>
    <w:rsid w:val="76F31284"/>
    <w:rsid w:val="76FC45CE"/>
    <w:rsid w:val="77122E74"/>
    <w:rsid w:val="771F27D8"/>
    <w:rsid w:val="772F2C8B"/>
    <w:rsid w:val="77313787"/>
    <w:rsid w:val="77463841"/>
    <w:rsid w:val="7747213A"/>
    <w:rsid w:val="77485CED"/>
    <w:rsid w:val="775246B7"/>
    <w:rsid w:val="775B7545"/>
    <w:rsid w:val="775F7D43"/>
    <w:rsid w:val="77651A40"/>
    <w:rsid w:val="776629D4"/>
    <w:rsid w:val="776C5D64"/>
    <w:rsid w:val="77707E8A"/>
    <w:rsid w:val="77732FF2"/>
    <w:rsid w:val="77761A18"/>
    <w:rsid w:val="7789336E"/>
    <w:rsid w:val="778D6917"/>
    <w:rsid w:val="77A509E6"/>
    <w:rsid w:val="77B043D8"/>
    <w:rsid w:val="77BB0DBD"/>
    <w:rsid w:val="77C90C27"/>
    <w:rsid w:val="77D853FB"/>
    <w:rsid w:val="77D913CF"/>
    <w:rsid w:val="77EB3D14"/>
    <w:rsid w:val="78000985"/>
    <w:rsid w:val="78083785"/>
    <w:rsid w:val="780906D7"/>
    <w:rsid w:val="780B46A3"/>
    <w:rsid w:val="780D3639"/>
    <w:rsid w:val="78120B05"/>
    <w:rsid w:val="781A7C24"/>
    <w:rsid w:val="781E69D1"/>
    <w:rsid w:val="78250123"/>
    <w:rsid w:val="78267E28"/>
    <w:rsid w:val="783D0438"/>
    <w:rsid w:val="784C5AC9"/>
    <w:rsid w:val="785721DF"/>
    <w:rsid w:val="7868625F"/>
    <w:rsid w:val="7888432B"/>
    <w:rsid w:val="78911D7A"/>
    <w:rsid w:val="78932F39"/>
    <w:rsid w:val="78BC2941"/>
    <w:rsid w:val="78BF1D49"/>
    <w:rsid w:val="78CB0618"/>
    <w:rsid w:val="78D04BC3"/>
    <w:rsid w:val="78D65887"/>
    <w:rsid w:val="78D80633"/>
    <w:rsid w:val="78EC7D37"/>
    <w:rsid w:val="78F50BCD"/>
    <w:rsid w:val="78FD7E36"/>
    <w:rsid w:val="78FF04F0"/>
    <w:rsid w:val="79174105"/>
    <w:rsid w:val="79183D5F"/>
    <w:rsid w:val="791D611D"/>
    <w:rsid w:val="79277C8A"/>
    <w:rsid w:val="792A65BB"/>
    <w:rsid w:val="79400842"/>
    <w:rsid w:val="79454668"/>
    <w:rsid w:val="7952122F"/>
    <w:rsid w:val="79580111"/>
    <w:rsid w:val="79583B4C"/>
    <w:rsid w:val="79595D00"/>
    <w:rsid w:val="796309AC"/>
    <w:rsid w:val="79653570"/>
    <w:rsid w:val="79694AF2"/>
    <w:rsid w:val="79702261"/>
    <w:rsid w:val="79735665"/>
    <w:rsid w:val="79A82A20"/>
    <w:rsid w:val="79A974E0"/>
    <w:rsid w:val="79AC5E86"/>
    <w:rsid w:val="79B2067D"/>
    <w:rsid w:val="79C542D4"/>
    <w:rsid w:val="79CD417D"/>
    <w:rsid w:val="79D471AF"/>
    <w:rsid w:val="79DE1D2A"/>
    <w:rsid w:val="79E50B64"/>
    <w:rsid w:val="79E74B89"/>
    <w:rsid w:val="79ED5955"/>
    <w:rsid w:val="79F30432"/>
    <w:rsid w:val="7A08441E"/>
    <w:rsid w:val="7A11118C"/>
    <w:rsid w:val="7A195908"/>
    <w:rsid w:val="7A1C230D"/>
    <w:rsid w:val="7A1E2F89"/>
    <w:rsid w:val="7A2431E7"/>
    <w:rsid w:val="7A263B6B"/>
    <w:rsid w:val="7A3B2EFA"/>
    <w:rsid w:val="7A3D01C1"/>
    <w:rsid w:val="7A5573C9"/>
    <w:rsid w:val="7A5C39E3"/>
    <w:rsid w:val="7A610907"/>
    <w:rsid w:val="7A670A51"/>
    <w:rsid w:val="7A6D239B"/>
    <w:rsid w:val="7A736AD8"/>
    <w:rsid w:val="7A7C2EED"/>
    <w:rsid w:val="7A7F6AE2"/>
    <w:rsid w:val="7AAD747A"/>
    <w:rsid w:val="7ACA1EA9"/>
    <w:rsid w:val="7ACF4192"/>
    <w:rsid w:val="7ADF49C6"/>
    <w:rsid w:val="7AE97D85"/>
    <w:rsid w:val="7AF46346"/>
    <w:rsid w:val="7AFA7A6C"/>
    <w:rsid w:val="7B0F5EBF"/>
    <w:rsid w:val="7B130FB9"/>
    <w:rsid w:val="7B133302"/>
    <w:rsid w:val="7B1F54B4"/>
    <w:rsid w:val="7B2C53A3"/>
    <w:rsid w:val="7B2D4848"/>
    <w:rsid w:val="7B386415"/>
    <w:rsid w:val="7B3F2B2E"/>
    <w:rsid w:val="7B497195"/>
    <w:rsid w:val="7B5052DD"/>
    <w:rsid w:val="7B5153BD"/>
    <w:rsid w:val="7B530200"/>
    <w:rsid w:val="7B5F06CB"/>
    <w:rsid w:val="7B6B1D60"/>
    <w:rsid w:val="7B7E5E5A"/>
    <w:rsid w:val="7B7F48CD"/>
    <w:rsid w:val="7B8B4AEA"/>
    <w:rsid w:val="7BA22552"/>
    <w:rsid w:val="7BB06CC6"/>
    <w:rsid w:val="7BB63A7D"/>
    <w:rsid w:val="7BBC0279"/>
    <w:rsid w:val="7BDA690E"/>
    <w:rsid w:val="7BE752CA"/>
    <w:rsid w:val="7BF64EDE"/>
    <w:rsid w:val="7C112B23"/>
    <w:rsid w:val="7C264371"/>
    <w:rsid w:val="7C2C61AB"/>
    <w:rsid w:val="7C31229F"/>
    <w:rsid w:val="7C361682"/>
    <w:rsid w:val="7C400C1E"/>
    <w:rsid w:val="7C431DCD"/>
    <w:rsid w:val="7C452682"/>
    <w:rsid w:val="7C510650"/>
    <w:rsid w:val="7C564165"/>
    <w:rsid w:val="7C58728E"/>
    <w:rsid w:val="7C6135E6"/>
    <w:rsid w:val="7C7102EB"/>
    <w:rsid w:val="7C71409D"/>
    <w:rsid w:val="7C7C1BA5"/>
    <w:rsid w:val="7C807BD3"/>
    <w:rsid w:val="7C85247B"/>
    <w:rsid w:val="7C9211EF"/>
    <w:rsid w:val="7CA23453"/>
    <w:rsid w:val="7CA338B0"/>
    <w:rsid w:val="7CA53AC4"/>
    <w:rsid w:val="7CB706DA"/>
    <w:rsid w:val="7CC5757A"/>
    <w:rsid w:val="7CCB64E9"/>
    <w:rsid w:val="7CED7128"/>
    <w:rsid w:val="7CF13349"/>
    <w:rsid w:val="7CF5095B"/>
    <w:rsid w:val="7CF72560"/>
    <w:rsid w:val="7CF8411E"/>
    <w:rsid w:val="7CFD12C7"/>
    <w:rsid w:val="7D1474AC"/>
    <w:rsid w:val="7D1F029D"/>
    <w:rsid w:val="7D303720"/>
    <w:rsid w:val="7D596B24"/>
    <w:rsid w:val="7D6A118A"/>
    <w:rsid w:val="7D935AE7"/>
    <w:rsid w:val="7DB15E9E"/>
    <w:rsid w:val="7DC07628"/>
    <w:rsid w:val="7DC900B1"/>
    <w:rsid w:val="7DD11708"/>
    <w:rsid w:val="7DD71CF8"/>
    <w:rsid w:val="7DDD443F"/>
    <w:rsid w:val="7DE03AD5"/>
    <w:rsid w:val="7DED76C7"/>
    <w:rsid w:val="7E016D7D"/>
    <w:rsid w:val="7E1071BF"/>
    <w:rsid w:val="7E147E5B"/>
    <w:rsid w:val="7E197709"/>
    <w:rsid w:val="7E1A2CF3"/>
    <w:rsid w:val="7E2E683E"/>
    <w:rsid w:val="7E31182B"/>
    <w:rsid w:val="7E380BE6"/>
    <w:rsid w:val="7E3C2534"/>
    <w:rsid w:val="7E460D3A"/>
    <w:rsid w:val="7E47242F"/>
    <w:rsid w:val="7E5914F0"/>
    <w:rsid w:val="7E6375F1"/>
    <w:rsid w:val="7E6A5E55"/>
    <w:rsid w:val="7E806A7F"/>
    <w:rsid w:val="7E8401BF"/>
    <w:rsid w:val="7E8524C7"/>
    <w:rsid w:val="7EA06413"/>
    <w:rsid w:val="7EA71682"/>
    <w:rsid w:val="7EAC505D"/>
    <w:rsid w:val="7EAF26D5"/>
    <w:rsid w:val="7EC167BD"/>
    <w:rsid w:val="7EC32A39"/>
    <w:rsid w:val="7EDB77AE"/>
    <w:rsid w:val="7EE34AA9"/>
    <w:rsid w:val="7EF75D49"/>
    <w:rsid w:val="7F03669F"/>
    <w:rsid w:val="7F0C388B"/>
    <w:rsid w:val="7F2266F4"/>
    <w:rsid w:val="7F272D9E"/>
    <w:rsid w:val="7F2C5BC1"/>
    <w:rsid w:val="7F2C666B"/>
    <w:rsid w:val="7F346396"/>
    <w:rsid w:val="7F482829"/>
    <w:rsid w:val="7F4C3DDB"/>
    <w:rsid w:val="7F6614C5"/>
    <w:rsid w:val="7F6E2D41"/>
    <w:rsid w:val="7F7827AB"/>
    <w:rsid w:val="7F88779E"/>
    <w:rsid w:val="7F896F0E"/>
    <w:rsid w:val="7F987397"/>
    <w:rsid w:val="7FA13BC9"/>
    <w:rsid w:val="7FB546A5"/>
    <w:rsid w:val="7FC4690B"/>
    <w:rsid w:val="7FC95033"/>
    <w:rsid w:val="7FE70678"/>
    <w:rsid w:val="7FEA21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6"/>
    <w:qFormat/>
    <w:uiPriority w:val="0"/>
    <w:pPr>
      <w:keepNext/>
      <w:keepLines/>
      <w:spacing w:before="340" w:after="330" w:line="576" w:lineRule="auto"/>
      <w:outlineLvl w:val="0"/>
    </w:pPr>
    <w:rPr>
      <w:rFonts w:eastAsia="黑体"/>
      <w:b/>
      <w:kern w:val="44"/>
      <w:sz w:val="44"/>
    </w:rPr>
  </w:style>
  <w:style w:type="paragraph" w:styleId="4">
    <w:name w:val="heading 2"/>
    <w:basedOn w:val="1"/>
    <w:next w:val="1"/>
    <w:link w:val="60"/>
    <w:qFormat/>
    <w:uiPriority w:val="0"/>
    <w:pPr>
      <w:keepNext/>
      <w:keepLines/>
      <w:spacing w:before="260" w:after="260" w:line="416" w:lineRule="auto"/>
      <w:outlineLvl w:val="1"/>
    </w:pPr>
    <w:rPr>
      <w:rFonts w:ascii="Cambria" w:hAnsi="Cambria"/>
      <w:b/>
      <w:bCs/>
      <w:sz w:val="32"/>
      <w:szCs w:val="32"/>
    </w:rPr>
  </w:style>
  <w:style w:type="paragraph" w:styleId="5">
    <w:name w:val="heading 3"/>
    <w:next w:val="1"/>
    <w:link w:val="89"/>
    <w:qFormat/>
    <w:uiPriority w:val="0"/>
    <w:pPr>
      <w:keepNext/>
      <w:keepLines/>
      <w:adjustRightInd w:val="0"/>
      <w:snapToGrid w:val="0"/>
      <w:spacing w:beforeLines="50" w:line="360" w:lineRule="auto"/>
      <w:outlineLvl w:val="2"/>
    </w:pPr>
    <w:rPr>
      <w:rFonts w:ascii="Times New Roman" w:hAnsi="Times New Roman" w:eastAsia="黑体" w:cs="宋体"/>
      <w:b/>
      <w:snapToGrid w:val="0"/>
      <w:sz w:val="30"/>
      <w:szCs w:val="28"/>
      <w:lang w:val="en-US" w:eastAsia="zh-CN" w:bidi="ar-SA"/>
    </w:rPr>
  </w:style>
  <w:style w:type="paragraph" w:styleId="6">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54"/>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sz w:val="24"/>
    </w:rPr>
  </w:style>
  <w:style w:type="paragraph" w:styleId="10">
    <w:name w:val="heading 8"/>
    <w:basedOn w:val="1"/>
    <w:next w:val="1"/>
    <w:link w:val="67"/>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Normal Indent"/>
    <w:basedOn w:val="1"/>
    <w:link w:val="101"/>
    <w:qFormat/>
    <w:uiPriority w:val="0"/>
    <w:pPr>
      <w:ind w:firstLine="420"/>
    </w:pPr>
    <w:rPr>
      <w:szCs w:val="20"/>
    </w:rPr>
  </w:style>
  <w:style w:type="paragraph" w:styleId="11">
    <w:name w:val="index 8"/>
    <w:basedOn w:val="1"/>
    <w:next w:val="1"/>
    <w:qFormat/>
    <w:uiPriority w:val="0"/>
    <w:pPr>
      <w:ind w:left="2940"/>
    </w:p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caption"/>
    <w:next w:val="1"/>
    <w:qFormat/>
    <w:uiPriority w:val="99"/>
    <w:pPr>
      <w:spacing w:line="360" w:lineRule="auto"/>
      <w:ind w:firstLine="200" w:firstLineChars="200"/>
      <w:jc w:val="center"/>
    </w:pPr>
    <w:rPr>
      <w:rFonts w:ascii="Cambria" w:hAnsi="Cambria" w:eastAsia="黑体" w:cs="Times New Roman"/>
      <w:kern w:val="2"/>
      <w:sz w:val="24"/>
      <w:lang w:val="en-US" w:eastAsia="zh-CN" w:bidi="ar-SA"/>
    </w:rPr>
  </w:style>
  <w:style w:type="paragraph" w:styleId="14">
    <w:name w:val="annotation text"/>
    <w:basedOn w:val="1"/>
    <w:link w:val="64"/>
    <w:qFormat/>
    <w:uiPriority w:val="0"/>
    <w:pPr>
      <w:jc w:val="left"/>
    </w:pPr>
  </w:style>
  <w:style w:type="paragraph" w:styleId="15">
    <w:name w:val="Body Text 3"/>
    <w:basedOn w:val="1"/>
    <w:link w:val="41"/>
    <w:unhideWhenUsed/>
    <w:qFormat/>
    <w:uiPriority w:val="99"/>
    <w:pPr>
      <w:spacing w:after="120"/>
    </w:pPr>
    <w:rPr>
      <w:sz w:val="16"/>
      <w:szCs w:val="16"/>
    </w:rPr>
  </w:style>
  <w:style w:type="paragraph" w:styleId="16">
    <w:name w:val="Body Text"/>
    <w:basedOn w:val="1"/>
    <w:next w:val="17"/>
    <w:link w:val="61"/>
    <w:unhideWhenUsed/>
    <w:qFormat/>
    <w:uiPriority w:val="0"/>
    <w:pPr>
      <w:spacing w:after="120"/>
    </w:pPr>
  </w:style>
  <w:style w:type="paragraph" w:styleId="17">
    <w:name w:val="Body Text First Indent 2"/>
    <w:basedOn w:val="18"/>
    <w:link w:val="93"/>
    <w:qFormat/>
    <w:uiPriority w:val="0"/>
    <w:pPr>
      <w:ind w:firstLine="420" w:firstLineChars="200"/>
    </w:pPr>
  </w:style>
  <w:style w:type="paragraph" w:styleId="18">
    <w:name w:val="Body Text Indent"/>
    <w:basedOn w:val="1"/>
    <w:link w:val="50"/>
    <w:qFormat/>
    <w:uiPriority w:val="0"/>
    <w:pPr>
      <w:ind w:firstLine="830" w:firstLineChars="352"/>
    </w:pPr>
    <w:rPr>
      <w:rFonts w:ascii="仿宋_GB2312" w:eastAsia="仿宋_GB2312"/>
      <w:kern w:val="0"/>
      <w:sz w:val="32"/>
      <w:szCs w:val="20"/>
    </w:rPr>
  </w:style>
  <w:style w:type="paragraph" w:styleId="19">
    <w:name w:val="List 2"/>
    <w:basedOn w:val="1"/>
    <w:unhideWhenUsed/>
    <w:qFormat/>
    <w:uiPriority w:val="99"/>
    <w:pPr>
      <w:ind w:left="100" w:leftChars="200" w:hanging="200" w:hangingChars="200"/>
      <w:contextualSpacing/>
    </w:pPr>
  </w:style>
  <w:style w:type="paragraph" w:styleId="20">
    <w:name w:val="toc 3"/>
    <w:basedOn w:val="1"/>
    <w:next w:val="1"/>
    <w:unhideWhenUsed/>
    <w:qFormat/>
    <w:uiPriority w:val="39"/>
    <w:pPr>
      <w:ind w:left="840" w:leftChars="400"/>
    </w:pPr>
  </w:style>
  <w:style w:type="paragraph" w:styleId="21">
    <w:name w:val="Plain Text"/>
    <w:basedOn w:val="1"/>
    <w:next w:val="6"/>
    <w:link w:val="44"/>
    <w:qFormat/>
    <w:uiPriority w:val="0"/>
    <w:rPr>
      <w:rFonts w:ascii="宋体" w:hAnsi="Courier New"/>
      <w:kern w:val="0"/>
      <w:sz w:val="20"/>
      <w:szCs w:val="21"/>
    </w:rPr>
  </w:style>
  <w:style w:type="paragraph" w:styleId="22">
    <w:name w:val="Date"/>
    <w:basedOn w:val="1"/>
    <w:next w:val="1"/>
    <w:link w:val="62"/>
    <w:unhideWhenUsed/>
    <w:qFormat/>
    <w:uiPriority w:val="99"/>
    <w:pPr>
      <w:ind w:left="100" w:leftChars="2500"/>
    </w:pPr>
  </w:style>
  <w:style w:type="paragraph" w:styleId="23">
    <w:name w:val="Balloon Text"/>
    <w:basedOn w:val="1"/>
    <w:semiHidden/>
    <w:qFormat/>
    <w:uiPriority w:val="0"/>
    <w:rPr>
      <w:sz w:val="18"/>
      <w:szCs w:val="18"/>
    </w:rPr>
  </w:style>
  <w:style w:type="paragraph" w:styleId="24">
    <w:name w:val="footer"/>
    <w:basedOn w:val="1"/>
    <w:link w:val="70"/>
    <w:unhideWhenUsed/>
    <w:qFormat/>
    <w:uiPriority w:val="0"/>
    <w:pPr>
      <w:tabs>
        <w:tab w:val="center" w:pos="4153"/>
        <w:tab w:val="right" w:pos="8306"/>
      </w:tabs>
      <w:snapToGrid w:val="0"/>
      <w:jc w:val="left"/>
    </w:pPr>
    <w:rPr>
      <w:kern w:val="0"/>
      <w:sz w:val="18"/>
      <w:szCs w:val="18"/>
    </w:rPr>
  </w:style>
  <w:style w:type="paragraph" w:styleId="25">
    <w:name w:val="header"/>
    <w:basedOn w:val="1"/>
    <w:link w:val="6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unhideWhenUsed/>
    <w:qFormat/>
    <w:uiPriority w:val="39"/>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link w:val="87"/>
    <w:unhideWhenUsed/>
    <w:qFormat/>
    <w:uiPriority w:val="0"/>
    <w:rPr>
      <w:rFonts w:ascii="Calibri" w:hAnsi="Calibri"/>
      <w:kern w:val="0"/>
      <w:sz w:val="24"/>
    </w:rPr>
  </w:style>
  <w:style w:type="paragraph" w:styleId="29">
    <w:name w:val="Title"/>
    <w:basedOn w:val="1"/>
    <w:next w:val="1"/>
    <w:link w:val="97"/>
    <w:qFormat/>
    <w:uiPriority w:val="0"/>
    <w:pPr>
      <w:autoSpaceDE w:val="0"/>
      <w:autoSpaceDN w:val="0"/>
      <w:spacing w:before="240" w:after="60" w:line="360" w:lineRule="auto"/>
      <w:jc w:val="center"/>
      <w:outlineLvl w:val="0"/>
    </w:pPr>
    <w:rPr>
      <w:rFonts w:ascii="Calibri Light" w:hAnsi="Calibri Light"/>
      <w:b/>
      <w:bCs/>
      <w:sz w:val="32"/>
      <w:szCs w:val="32"/>
      <w:lang w:eastAsia="ko-KR"/>
    </w:rPr>
  </w:style>
  <w:style w:type="paragraph" w:styleId="30">
    <w:name w:val="annotation subject"/>
    <w:basedOn w:val="14"/>
    <w:next w:val="14"/>
    <w:link w:val="57"/>
    <w:qFormat/>
    <w:uiPriority w:val="99"/>
    <w:rPr>
      <w:b/>
      <w:bCs/>
    </w:rPr>
  </w:style>
  <w:style w:type="paragraph" w:styleId="31">
    <w:name w:val="Body Text First Indent"/>
    <w:basedOn w:val="16"/>
    <w:unhideWhenUsed/>
    <w:qFormat/>
    <w:uiPriority w:val="0"/>
    <w:pPr>
      <w:autoSpaceDE w:val="0"/>
      <w:autoSpaceDN w:val="0"/>
      <w:adjustRightInd w:val="0"/>
      <w:spacing w:after="0"/>
      <w:ind w:firstLine="420" w:firstLineChars="100"/>
      <w:jc w:val="left"/>
    </w:pPr>
    <w:rPr>
      <w:rFonts w:ascii="宋体"/>
      <w:kern w:val="0"/>
      <w:sz w:val="22"/>
      <w:szCs w:val="20"/>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unhideWhenUsed/>
    <w:qFormat/>
    <w:uiPriority w:val="99"/>
    <w:rPr>
      <w:vertAlign w:val="superscript"/>
    </w:rPr>
  </w:style>
  <w:style w:type="character" w:styleId="36">
    <w:name w:val="page number"/>
    <w:basedOn w:val="34"/>
    <w:qFormat/>
    <w:uiPriority w:val="0"/>
  </w:style>
  <w:style w:type="character" w:styleId="37">
    <w:name w:val="Emphasis"/>
    <w:qFormat/>
    <w:uiPriority w:val="20"/>
    <w:rPr>
      <w:i/>
      <w:iCs/>
    </w:rPr>
  </w:style>
  <w:style w:type="character" w:styleId="38">
    <w:name w:val="Hyperlink"/>
    <w:unhideWhenUsed/>
    <w:qFormat/>
    <w:uiPriority w:val="99"/>
    <w:rPr>
      <w:color w:val="0000FF"/>
      <w:u w:val="single"/>
    </w:rPr>
  </w:style>
  <w:style w:type="character" w:styleId="39">
    <w:name w:val="annotation reference"/>
    <w:qFormat/>
    <w:uiPriority w:val="99"/>
    <w:rPr>
      <w:sz w:val="21"/>
      <w:szCs w:val="21"/>
    </w:rPr>
  </w:style>
  <w:style w:type="character" w:customStyle="1" w:styleId="40">
    <w:name w:val="正文文本 字符"/>
    <w:qFormat/>
    <w:uiPriority w:val="0"/>
    <w:rPr>
      <w:rFonts w:ascii="Times New Roman" w:hAnsi="Times New Roman"/>
      <w:kern w:val="2"/>
      <w:sz w:val="21"/>
      <w:szCs w:val="24"/>
    </w:rPr>
  </w:style>
  <w:style w:type="character" w:customStyle="1" w:styleId="41">
    <w:name w:val="正文文本 3 Char"/>
    <w:link w:val="15"/>
    <w:semiHidden/>
    <w:qFormat/>
    <w:uiPriority w:val="99"/>
    <w:rPr>
      <w:kern w:val="2"/>
      <w:sz w:val="16"/>
      <w:szCs w:val="16"/>
    </w:rPr>
  </w:style>
  <w:style w:type="character" w:customStyle="1" w:styleId="42">
    <w:name w:val="标题 2 Char"/>
    <w:qFormat/>
    <w:uiPriority w:val="0"/>
    <w:rPr>
      <w:rFonts w:ascii="Cambria" w:hAnsi="Cambria" w:eastAsia="宋体" w:cs="Times New Roman"/>
      <w:b/>
      <w:bCs/>
      <w:kern w:val="2"/>
      <w:sz w:val="32"/>
      <w:szCs w:val="32"/>
    </w:rPr>
  </w:style>
  <w:style w:type="character" w:customStyle="1" w:styleId="43">
    <w:name w:val="页眉 字符"/>
    <w:qFormat/>
    <w:uiPriority w:val="0"/>
    <w:rPr>
      <w:sz w:val="18"/>
      <w:szCs w:val="18"/>
    </w:rPr>
  </w:style>
  <w:style w:type="character" w:customStyle="1" w:styleId="44">
    <w:name w:val="纯文本 Char1"/>
    <w:link w:val="21"/>
    <w:qFormat/>
    <w:uiPriority w:val="0"/>
    <w:rPr>
      <w:rFonts w:ascii="宋体" w:hAnsi="Courier New" w:eastAsia="宋体" w:cs="Courier New"/>
      <w:szCs w:val="21"/>
    </w:rPr>
  </w:style>
  <w:style w:type="character" w:customStyle="1" w:styleId="45">
    <w:name w:val="正文文本 Char"/>
    <w:qFormat/>
    <w:uiPriority w:val="99"/>
    <w:rPr>
      <w:rFonts w:ascii="Times New Roman" w:hAnsi="Times New Roman"/>
      <w:kern w:val="2"/>
      <w:sz w:val="21"/>
      <w:szCs w:val="24"/>
    </w:rPr>
  </w:style>
  <w:style w:type="character" w:customStyle="1" w:styleId="46">
    <w:name w:val="纯文本 字符1"/>
    <w:qFormat/>
    <w:uiPriority w:val="0"/>
    <w:rPr>
      <w:rFonts w:ascii="宋体" w:hAnsi="Courier New"/>
    </w:rPr>
  </w:style>
  <w:style w:type="character" w:customStyle="1" w:styleId="47">
    <w:name w:val="标题 8 Char"/>
    <w:qFormat/>
    <w:uiPriority w:val="0"/>
    <w:rPr>
      <w:rFonts w:ascii="Arial" w:hAnsi="Arial" w:eastAsia="黑体"/>
      <w:kern w:val="2"/>
      <w:sz w:val="24"/>
      <w:szCs w:val="24"/>
    </w:rPr>
  </w:style>
  <w:style w:type="character" w:customStyle="1" w:styleId="48">
    <w:name w:val="批注主题 字符"/>
    <w:qFormat/>
    <w:uiPriority w:val="0"/>
    <w:rPr>
      <w:rFonts w:ascii="Times New Roman" w:hAnsi="Times New Roman"/>
      <w:b/>
      <w:bCs/>
      <w:kern w:val="2"/>
      <w:sz w:val="21"/>
      <w:szCs w:val="24"/>
    </w:rPr>
  </w:style>
  <w:style w:type="character" w:customStyle="1" w:styleId="49">
    <w:name w:val="纯文本 字符2"/>
    <w:qFormat/>
    <w:uiPriority w:val="0"/>
    <w:rPr>
      <w:rFonts w:ascii="宋体" w:hAnsi="Courier New" w:eastAsia="宋体" w:cs="Courier New"/>
      <w:szCs w:val="21"/>
    </w:rPr>
  </w:style>
  <w:style w:type="character" w:customStyle="1" w:styleId="50">
    <w:name w:val="正文文本缩进 Char"/>
    <w:link w:val="18"/>
    <w:qFormat/>
    <w:uiPriority w:val="0"/>
    <w:rPr>
      <w:rFonts w:ascii="仿宋_GB2312" w:hAnsi="Times New Roman" w:eastAsia="仿宋_GB2312" w:cs="Times New Roman"/>
      <w:sz w:val="32"/>
      <w:szCs w:val="20"/>
    </w:rPr>
  </w:style>
  <w:style w:type="character" w:customStyle="1" w:styleId="51">
    <w:name w:val="批注文字 字符"/>
    <w:qFormat/>
    <w:uiPriority w:val="0"/>
    <w:rPr>
      <w:rFonts w:ascii="Times New Roman" w:hAnsi="Times New Roman"/>
      <w:kern w:val="2"/>
      <w:sz w:val="21"/>
      <w:szCs w:val="24"/>
    </w:rPr>
  </w:style>
  <w:style w:type="character" w:customStyle="1" w:styleId="52">
    <w:name w:val="纯文本 字符"/>
    <w:qFormat/>
    <w:uiPriority w:val="0"/>
    <w:rPr>
      <w:rFonts w:ascii="宋体" w:hAnsi="Courier New" w:eastAsia="宋体" w:cs="Courier New"/>
      <w:szCs w:val="21"/>
    </w:rPr>
  </w:style>
  <w:style w:type="character" w:customStyle="1" w:styleId="53">
    <w:name w:val="textcontents"/>
    <w:basedOn w:val="34"/>
    <w:qFormat/>
    <w:uiPriority w:val="0"/>
  </w:style>
  <w:style w:type="character" w:customStyle="1" w:styleId="54">
    <w:name w:val="标题 5 Char"/>
    <w:link w:val="7"/>
    <w:semiHidden/>
    <w:qFormat/>
    <w:uiPriority w:val="9"/>
    <w:rPr>
      <w:rFonts w:ascii="Times New Roman" w:hAnsi="Times New Roman"/>
      <w:b/>
      <w:bCs/>
      <w:kern w:val="2"/>
      <w:sz w:val="28"/>
      <w:szCs w:val="28"/>
    </w:rPr>
  </w:style>
  <w:style w:type="character" w:customStyle="1" w:styleId="55">
    <w:name w:val="Char Char2"/>
    <w:qFormat/>
    <w:uiPriority w:val="0"/>
    <w:rPr>
      <w:rFonts w:ascii="Times New Roman" w:hAnsi="Times New Roman"/>
      <w:kern w:val="2"/>
      <w:sz w:val="21"/>
      <w:szCs w:val="24"/>
    </w:rPr>
  </w:style>
  <w:style w:type="character" w:customStyle="1" w:styleId="56">
    <w:name w:val="正文文本缩进 字符"/>
    <w:qFormat/>
    <w:uiPriority w:val="0"/>
    <w:rPr>
      <w:rFonts w:ascii="仿宋_GB2312" w:hAnsi="Times New Roman" w:eastAsia="仿宋_GB2312" w:cs="Times New Roman"/>
      <w:sz w:val="32"/>
      <w:szCs w:val="20"/>
    </w:rPr>
  </w:style>
  <w:style w:type="character" w:customStyle="1" w:styleId="57">
    <w:name w:val="批注主题 Char"/>
    <w:link w:val="30"/>
    <w:qFormat/>
    <w:uiPriority w:val="99"/>
    <w:rPr>
      <w:rFonts w:ascii="Times New Roman" w:hAnsi="Times New Roman"/>
      <w:b/>
      <w:bCs/>
      <w:kern w:val="2"/>
      <w:sz w:val="21"/>
      <w:szCs w:val="24"/>
    </w:rPr>
  </w:style>
  <w:style w:type="character" w:customStyle="1" w:styleId="58">
    <w:name w:val="apple-style-span"/>
    <w:basedOn w:val="34"/>
    <w:qFormat/>
    <w:uiPriority w:val="0"/>
  </w:style>
  <w:style w:type="character" w:customStyle="1" w:styleId="5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0">
    <w:name w:val="标题 2 Char1"/>
    <w:link w:val="4"/>
    <w:qFormat/>
    <w:uiPriority w:val="9"/>
    <w:rPr>
      <w:rFonts w:ascii="Cambria" w:hAnsi="Cambria" w:eastAsia="宋体" w:cs="Times New Roman"/>
      <w:b/>
      <w:bCs/>
      <w:kern w:val="2"/>
      <w:sz w:val="32"/>
      <w:szCs w:val="32"/>
    </w:rPr>
  </w:style>
  <w:style w:type="character" w:customStyle="1" w:styleId="61">
    <w:name w:val="正文文本 Char1"/>
    <w:link w:val="16"/>
    <w:qFormat/>
    <w:uiPriority w:val="0"/>
    <w:rPr>
      <w:rFonts w:ascii="Times New Roman" w:hAnsi="Times New Roman"/>
      <w:kern w:val="2"/>
      <w:sz w:val="21"/>
      <w:szCs w:val="24"/>
    </w:rPr>
  </w:style>
  <w:style w:type="character" w:customStyle="1" w:styleId="62">
    <w:name w:val="日期 Char"/>
    <w:link w:val="22"/>
    <w:semiHidden/>
    <w:qFormat/>
    <w:uiPriority w:val="99"/>
    <w:rPr>
      <w:rFonts w:ascii="Times New Roman" w:hAnsi="Times New Roman"/>
      <w:kern w:val="2"/>
      <w:sz w:val="21"/>
      <w:szCs w:val="24"/>
    </w:rPr>
  </w:style>
  <w:style w:type="character" w:customStyle="1" w:styleId="63">
    <w:name w:val="纯文本 Char"/>
    <w:qFormat/>
    <w:uiPriority w:val="0"/>
    <w:rPr>
      <w:rFonts w:ascii="宋体" w:hAnsi="Courier New" w:eastAsia="宋体" w:cs="Courier New"/>
      <w:szCs w:val="21"/>
    </w:rPr>
  </w:style>
  <w:style w:type="character" w:customStyle="1" w:styleId="64">
    <w:name w:val="批注文字 Char1"/>
    <w:link w:val="14"/>
    <w:qFormat/>
    <w:uiPriority w:val="0"/>
    <w:rPr>
      <w:rFonts w:ascii="Times New Roman" w:hAnsi="Times New Roman"/>
      <w:kern w:val="2"/>
      <w:sz w:val="21"/>
      <w:szCs w:val="24"/>
    </w:rPr>
  </w:style>
  <w:style w:type="character" w:customStyle="1" w:styleId="65">
    <w:name w:val="标题 2 字符"/>
    <w:qFormat/>
    <w:uiPriority w:val="0"/>
    <w:rPr>
      <w:rFonts w:ascii="Cambria" w:hAnsi="Cambria" w:eastAsia="宋体" w:cs="Times New Roman"/>
      <w:b/>
      <w:bCs/>
      <w:kern w:val="2"/>
      <w:sz w:val="32"/>
      <w:szCs w:val="32"/>
    </w:rPr>
  </w:style>
  <w:style w:type="character" w:customStyle="1" w:styleId="66">
    <w:name w:val="页眉 Char"/>
    <w:link w:val="25"/>
    <w:qFormat/>
    <w:uiPriority w:val="0"/>
    <w:rPr>
      <w:sz w:val="18"/>
      <w:szCs w:val="18"/>
    </w:rPr>
  </w:style>
  <w:style w:type="character" w:customStyle="1" w:styleId="67">
    <w:name w:val="标题 8 Char1"/>
    <w:link w:val="10"/>
    <w:semiHidden/>
    <w:qFormat/>
    <w:uiPriority w:val="9"/>
    <w:rPr>
      <w:rFonts w:ascii="等线 Light" w:hAnsi="等线 Light" w:eastAsia="等线 Light" w:cs="Times New Roman"/>
      <w:kern w:val="2"/>
      <w:sz w:val="24"/>
      <w:szCs w:val="24"/>
    </w:rPr>
  </w:style>
  <w:style w:type="character" w:customStyle="1" w:styleId="68">
    <w:name w:val="批注文字 字符1"/>
    <w:qFormat/>
    <w:uiPriority w:val="0"/>
    <w:rPr>
      <w:rFonts w:ascii="Times New Roman" w:hAnsi="Times New Roman"/>
      <w:kern w:val="2"/>
      <w:sz w:val="21"/>
      <w:szCs w:val="24"/>
    </w:rPr>
  </w:style>
  <w:style w:type="character" w:customStyle="1" w:styleId="69">
    <w:name w:val="批注文字 Char"/>
    <w:qFormat/>
    <w:uiPriority w:val="0"/>
    <w:rPr>
      <w:rFonts w:ascii="Times New Roman" w:hAnsi="Times New Roman"/>
      <w:kern w:val="2"/>
      <w:sz w:val="21"/>
      <w:szCs w:val="24"/>
    </w:rPr>
  </w:style>
  <w:style w:type="character" w:customStyle="1" w:styleId="70">
    <w:name w:val="页脚 Char"/>
    <w:link w:val="24"/>
    <w:qFormat/>
    <w:uiPriority w:val="99"/>
    <w:rPr>
      <w:sz w:val="18"/>
      <w:szCs w:val="18"/>
    </w:rPr>
  </w:style>
  <w:style w:type="character" w:customStyle="1" w:styleId="71">
    <w:name w:val="页脚 字符"/>
    <w:qFormat/>
    <w:uiPriority w:val="0"/>
    <w:rPr>
      <w:sz w:val="18"/>
      <w:szCs w:val="18"/>
    </w:rPr>
  </w:style>
  <w:style w:type="paragraph" w:customStyle="1" w:styleId="72">
    <w:name w:val="标题B"/>
    <w:qFormat/>
    <w:uiPriority w:val="0"/>
    <w:pPr>
      <w:jc w:val="center"/>
    </w:pPr>
    <w:rPr>
      <w:rFonts w:ascii="黑体" w:hAnsi="黑体" w:eastAsia="黑体" w:cs="黑体"/>
      <w:kern w:val="2"/>
      <w:sz w:val="30"/>
      <w:szCs w:val="30"/>
      <w:lang w:val="en-US" w:eastAsia="zh-CN" w:bidi="ar-SA"/>
    </w:rPr>
  </w:style>
  <w:style w:type="paragraph" w:customStyle="1" w:styleId="73">
    <w:name w:val="Char Char Char Char"/>
    <w:basedOn w:val="1"/>
    <w:qFormat/>
    <w:uiPriority w:val="0"/>
  </w:style>
  <w:style w:type="paragraph" w:customStyle="1" w:styleId="74">
    <w:name w:val="列出段落1"/>
    <w:basedOn w:val="1"/>
    <w:qFormat/>
    <w:uiPriority w:val="34"/>
    <w:pPr>
      <w:ind w:firstLine="420" w:firstLineChars="200"/>
    </w:pPr>
  </w:style>
  <w:style w:type="paragraph" w:customStyle="1" w:styleId="75">
    <w:name w:val="WPSOffice手动目录 1"/>
    <w:qFormat/>
    <w:uiPriority w:val="0"/>
    <w:rPr>
      <w:rFonts w:ascii="Times New Roman" w:hAnsi="Times New Roman" w:eastAsia="宋体" w:cs="Times New Roman"/>
      <w:lang w:val="en-US" w:eastAsia="zh-CN" w:bidi="ar-SA"/>
    </w:rPr>
  </w:style>
  <w:style w:type="paragraph" w:customStyle="1" w:styleId="76">
    <w:name w:val="列出段落11"/>
    <w:basedOn w:val="1"/>
    <w:qFormat/>
    <w:uiPriority w:val="0"/>
    <w:pPr>
      <w:autoSpaceDE w:val="0"/>
      <w:autoSpaceDN w:val="0"/>
      <w:spacing w:line="360" w:lineRule="auto"/>
      <w:ind w:firstLine="420" w:firstLineChars="200"/>
    </w:pPr>
    <w:rPr>
      <w:rFonts w:ascii="Calibri" w:hAnsi="Calibri"/>
      <w:szCs w:val="22"/>
    </w:rPr>
  </w:style>
  <w:style w:type="paragraph" w:customStyle="1" w:styleId="77">
    <w:name w:val="List Paragraph1"/>
    <w:basedOn w:val="1"/>
    <w:qFormat/>
    <w:uiPriority w:val="34"/>
    <w:pPr>
      <w:ind w:firstLine="420" w:firstLineChars="200"/>
    </w:pPr>
    <w:rPr>
      <w:rFonts w:ascii="Calibri" w:hAnsi="Calibri"/>
      <w:szCs w:val="22"/>
    </w:rPr>
  </w:style>
  <w:style w:type="paragraph" w:customStyle="1" w:styleId="7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79">
    <w:name w:val="List Paragraph"/>
    <w:basedOn w:val="1"/>
    <w:link w:val="88"/>
    <w:qFormat/>
    <w:uiPriority w:val="34"/>
    <w:pPr>
      <w:ind w:firstLine="420" w:firstLineChars="200"/>
    </w:pPr>
  </w:style>
  <w:style w:type="paragraph" w:customStyle="1" w:styleId="80">
    <w:name w:val="列表段落1"/>
    <w:basedOn w:val="1"/>
    <w:qFormat/>
    <w:uiPriority w:val="0"/>
    <w:pPr>
      <w:ind w:firstLine="420" w:firstLineChars="200"/>
    </w:pPr>
  </w:style>
  <w:style w:type="paragraph" w:customStyle="1" w:styleId="81">
    <w:name w:val="默认段落字体 Para Char Char Char Char Char Char Char Char Char1 Char Char Char Char"/>
    <w:basedOn w:val="1"/>
    <w:qFormat/>
    <w:uiPriority w:val="0"/>
    <w:rPr>
      <w:rFonts w:ascii="Tahoma" w:hAnsi="Tahoma"/>
      <w:sz w:val="24"/>
      <w:szCs w:val="20"/>
    </w:rPr>
  </w:style>
  <w:style w:type="paragraph" w:customStyle="1" w:styleId="82">
    <w:name w:val="明显引用1"/>
    <w:basedOn w:val="1"/>
    <w:next w:val="1"/>
    <w:qFormat/>
    <w:uiPriority w:val="0"/>
    <w:pPr>
      <w:wordWrap w:val="0"/>
      <w:spacing w:before="360" w:after="360"/>
      <w:ind w:left="950" w:right="950"/>
      <w:jc w:val="center"/>
    </w:pPr>
    <w:rPr>
      <w:i/>
      <w:iCs/>
    </w:rPr>
  </w:style>
  <w:style w:type="paragraph" w:customStyle="1" w:styleId="83">
    <w:name w:val="正文首行缩进两字"/>
    <w:link w:val="95"/>
    <w:qFormat/>
    <w:uiPriority w:val="0"/>
    <w:pPr>
      <w:spacing w:line="360" w:lineRule="auto"/>
      <w:ind w:right="210" w:rightChars="100" w:firstLine="424" w:firstLineChars="202"/>
    </w:pPr>
    <w:rPr>
      <w:rFonts w:ascii="宋体" w:hAnsi="宋体" w:eastAsia="宋体" w:cs="Times New Roman"/>
      <w:color w:val="333333"/>
      <w:sz w:val="21"/>
      <w:szCs w:val="21"/>
      <w:lang w:val="en-US" w:eastAsia="zh-CN" w:bidi="ar-SA"/>
    </w:rPr>
  </w:style>
  <w:style w:type="table" w:customStyle="1" w:styleId="84">
    <w:name w:val="网格型1"/>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5">
    <w:name w:val="普通(网站) Char"/>
    <w:basedOn w:val="1"/>
    <w:qFormat/>
    <w:uiPriority w:val="0"/>
    <w:pPr>
      <w:widowControl/>
      <w:spacing w:beforeAutospacing="1" w:afterAutospacing="1"/>
      <w:jc w:val="left"/>
    </w:pPr>
    <w:rPr>
      <w:rFonts w:hint="eastAsia" w:ascii="宋体" w:hAnsi="宋体"/>
      <w:kern w:val="0"/>
      <w:sz w:val="24"/>
    </w:rPr>
  </w:style>
  <w:style w:type="paragraph" w:customStyle="1" w:styleId="86">
    <w:name w:val="Plain Text1"/>
    <w:basedOn w:val="1"/>
    <w:qFormat/>
    <w:uiPriority w:val="0"/>
    <w:rPr>
      <w:rFonts w:ascii="宋体" w:hAnsi="Courier New" w:cs="Courier New"/>
      <w:szCs w:val="21"/>
    </w:rPr>
  </w:style>
  <w:style w:type="character" w:customStyle="1" w:styleId="87">
    <w:name w:val="普通(网站) Char1"/>
    <w:link w:val="28"/>
    <w:qFormat/>
    <w:uiPriority w:val="0"/>
    <w:rPr>
      <w:rFonts w:ascii="Calibri" w:hAnsi="Calibri"/>
      <w:sz w:val="24"/>
      <w:szCs w:val="24"/>
    </w:rPr>
  </w:style>
  <w:style w:type="character" w:customStyle="1" w:styleId="88">
    <w:name w:val="列出段落 Char"/>
    <w:link w:val="79"/>
    <w:qFormat/>
    <w:uiPriority w:val="34"/>
    <w:rPr>
      <w:kern w:val="2"/>
      <w:sz w:val="21"/>
      <w:szCs w:val="24"/>
    </w:rPr>
  </w:style>
  <w:style w:type="character" w:customStyle="1" w:styleId="89">
    <w:name w:val="标题 3 Char"/>
    <w:basedOn w:val="34"/>
    <w:link w:val="5"/>
    <w:qFormat/>
    <w:uiPriority w:val="0"/>
    <w:rPr>
      <w:rFonts w:eastAsia="黑体" w:cs="宋体"/>
      <w:b/>
      <w:snapToGrid w:val="0"/>
      <w:sz w:val="30"/>
      <w:szCs w:val="28"/>
    </w:rPr>
  </w:style>
  <w:style w:type="character" w:customStyle="1" w:styleId="90">
    <w:name w:val="列表段落 字符1"/>
    <w:link w:val="91"/>
    <w:qFormat/>
    <w:uiPriority w:val="34"/>
    <w:rPr>
      <w:rFonts w:ascii="Calibri" w:hAnsi="Calibri"/>
      <w:lang w:val="zh-CN"/>
    </w:rPr>
  </w:style>
  <w:style w:type="paragraph" w:customStyle="1" w:styleId="91">
    <w:name w:val="列表段落11"/>
    <w:basedOn w:val="1"/>
    <w:link w:val="90"/>
    <w:qFormat/>
    <w:uiPriority w:val="34"/>
    <w:pPr>
      <w:ind w:firstLine="420" w:firstLineChars="200"/>
    </w:pPr>
    <w:rPr>
      <w:rFonts w:ascii="Calibri" w:hAnsi="Calibri"/>
      <w:kern w:val="0"/>
      <w:sz w:val="20"/>
      <w:szCs w:val="20"/>
      <w:lang w:val="zh-CN"/>
    </w:rPr>
  </w:style>
  <w:style w:type="character" w:customStyle="1" w:styleId="92">
    <w:name w:val="正文文本首行缩进 2 字符"/>
    <w:basedOn w:val="50"/>
    <w:qFormat/>
    <w:uiPriority w:val="0"/>
    <w:rPr>
      <w:rFonts w:ascii="仿宋_GB2312" w:hAnsi="Times New Roman" w:eastAsia="仿宋_GB2312" w:cs="Times New Roman"/>
      <w:sz w:val="32"/>
      <w:szCs w:val="20"/>
    </w:rPr>
  </w:style>
  <w:style w:type="character" w:customStyle="1" w:styleId="93">
    <w:name w:val="正文首行缩进 2 Char"/>
    <w:link w:val="17"/>
    <w:qFormat/>
    <w:uiPriority w:val="0"/>
    <w:rPr>
      <w:rFonts w:ascii="仿宋_GB2312" w:eastAsia="仿宋_GB2312"/>
      <w:sz w:val="32"/>
    </w:rPr>
  </w:style>
  <w:style w:type="character" w:customStyle="1" w:styleId="94">
    <w:name w:val="普通(网站) 字符1"/>
    <w:qFormat/>
    <w:uiPriority w:val="0"/>
    <w:rPr>
      <w:rFonts w:ascii="宋体" w:hAnsi="宋体" w:eastAsia="宋体" w:cs="Times New Roman"/>
      <w:color w:val="000000"/>
      <w:kern w:val="0"/>
      <w:sz w:val="24"/>
      <w:szCs w:val="24"/>
      <w:lang w:val="zh-CN" w:eastAsia="zh-CN"/>
    </w:rPr>
  </w:style>
  <w:style w:type="character" w:customStyle="1" w:styleId="95">
    <w:name w:val="正文首行缩进两字 Char"/>
    <w:link w:val="83"/>
    <w:qFormat/>
    <w:locked/>
    <w:uiPriority w:val="0"/>
    <w:rPr>
      <w:rFonts w:ascii="宋体" w:hAnsi="宋体"/>
      <w:color w:val="333333"/>
      <w:sz w:val="21"/>
      <w:szCs w:val="21"/>
    </w:rPr>
  </w:style>
  <w:style w:type="character" w:customStyle="1" w:styleId="96">
    <w:name w:val="标题 1 Char"/>
    <w:basedOn w:val="34"/>
    <w:link w:val="3"/>
    <w:qFormat/>
    <w:uiPriority w:val="0"/>
    <w:rPr>
      <w:rFonts w:eastAsia="黑体"/>
      <w:b/>
      <w:kern w:val="44"/>
      <w:sz w:val="44"/>
      <w:szCs w:val="24"/>
    </w:rPr>
  </w:style>
  <w:style w:type="character" w:customStyle="1" w:styleId="97">
    <w:name w:val="标题 Char"/>
    <w:link w:val="29"/>
    <w:qFormat/>
    <w:locked/>
    <w:uiPriority w:val="0"/>
    <w:rPr>
      <w:rFonts w:ascii="Calibri Light" w:hAnsi="Calibri Light"/>
      <w:b/>
      <w:bCs/>
      <w:kern w:val="2"/>
      <w:sz w:val="32"/>
      <w:szCs w:val="32"/>
      <w:lang w:eastAsia="ko-KR"/>
    </w:rPr>
  </w:style>
  <w:style w:type="character" w:customStyle="1" w:styleId="98">
    <w:name w:val="标题 Char1"/>
    <w:basedOn w:val="34"/>
    <w:qFormat/>
    <w:uiPriority w:val="10"/>
    <w:rPr>
      <w:rFonts w:asciiTheme="majorHAnsi" w:hAnsiTheme="majorHAnsi" w:cstheme="majorBidi"/>
      <w:b/>
      <w:bCs/>
      <w:kern w:val="2"/>
      <w:sz w:val="32"/>
      <w:szCs w:val="32"/>
    </w:rPr>
  </w:style>
  <w:style w:type="character" w:customStyle="1" w:styleId="99">
    <w:name w:val="标题 字符"/>
    <w:basedOn w:val="34"/>
    <w:qFormat/>
    <w:uiPriority w:val="0"/>
    <w:rPr>
      <w:rFonts w:ascii="Calibri Light" w:hAnsi="Calibri Light" w:eastAsia="宋体" w:cs="Times New Roman"/>
      <w:b/>
      <w:bCs/>
      <w:kern w:val="2"/>
      <w:sz w:val="32"/>
      <w:szCs w:val="32"/>
    </w:rPr>
  </w:style>
  <w:style w:type="paragraph" w:customStyle="1" w:styleId="100">
    <w:name w:val="纯文本2"/>
    <w:basedOn w:val="1"/>
    <w:qFormat/>
    <w:uiPriority w:val="0"/>
    <w:rPr>
      <w:rFonts w:ascii="宋体" w:hAnsi="Courier New"/>
      <w:kern w:val="0"/>
      <w:sz w:val="20"/>
      <w:szCs w:val="21"/>
    </w:rPr>
  </w:style>
  <w:style w:type="character" w:customStyle="1" w:styleId="101">
    <w:name w:val="正文缩进 Char"/>
    <w:link w:val="8"/>
    <w:qFormat/>
    <w:locked/>
    <w:uiPriority w:val="0"/>
    <w:rPr>
      <w:kern w:val="2"/>
      <w:sz w:val="21"/>
    </w:rPr>
  </w:style>
  <w:style w:type="table" w:customStyle="1" w:styleId="102">
    <w:name w:val="网格型2"/>
    <w:basedOn w:val="3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网格型3"/>
    <w:basedOn w:val="3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05">
    <w:name w:val="图表目录1"/>
    <w:basedOn w:val="1"/>
    <w:next w:val="1"/>
    <w:qFormat/>
    <w:uiPriority w:val="0"/>
    <w:pPr>
      <w:ind w:left="200" w:leftChars="200" w:hanging="200" w:hangingChars="200"/>
    </w:pPr>
  </w:style>
  <w:style w:type="paragraph" w:customStyle="1" w:styleId="106">
    <w:name w:val="图表目录2"/>
    <w:basedOn w:val="1"/>
    <w:next w:val="1"/>
    <w:qFormat/>
    <w:uiPriority w:val="0"/>
    <w:pPr>
      <w:ind w:left="200" w:leftChars="200" w:hanging="200" w:hangingChars="200"/>
    </w:pPr>
  </w:style>
  <w:style w:type="paragraph" w:customStyle="1" w:styleId="107">
    <w:name w:val="纯文本1"/>
    <w:basedOn w:val="1"/>
    <w:next w:val="1"/>
    <w:qFormat/>
    <w:uiPriority w:val="0"/>
    <w:rPr>
      <w:rFonts w:ascii="宋体" w:hAnsi="Courier New"/>
      <w:kern w:val="0"/>
      <w:sz w:val="20"/>
      <w:szCs w:val="21"/>
    </w:rPr>
  </w:style>
  <w:style w:type="paragraph" w:customStyle="1" w:styleId="108">
    <w:name w:val="纯文本111"/>
    <w:basedOn w:val="1"/>
    <w:next w:val="1"/>
    <w:qFormat/>
    <w:uiPriority w:val="0"/>
    <w:rPr>
      <w:rFonts w:ascii="宋体" w:hAnsi="Courier New"/>
      <w:kern w:val="0"/>
      <w:sz w:val="20"/>
      <w:szCs w:val="21"/>
    </w:rPr>
  </w:style>
  <w:style w:type="paragraph" w:customStyle="1" w:styleId="10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图表目录21"/>
    <w:basedOn w:val="1"/>
    <w:next w:val="1"/>
    <w:qFormat/>
    <w:uiPriority w:val="0"/>
    <w:pPr>
      <w:ind w:left="200" w:leftChars="200" w:hanging="200" w:hangingChars="200"/>
    </w:pPr>
  </w:style>
  <w:style w:type="paragraph" w:customStyle="1" w:styleId="111">
    <w:name w:val="纯文本11"/>
    <w:basedOn w:val="1"/>
    <w:next w:val="1"/>
    <w:qFormat/>
    <w:uiPriority w:val="0"/>
    <w:rPr>
      <w:rFonts w:ascii="宋体" w:hAnsi="Courier New"/>
      <w:kern w:val="0"/>
      <w:sz w:val="20"/>
      <w:szCs w:val="21"/>
    </w:rPr>
  </w:style>
  <w:style w:type="paragraph" w:customStyle="1" w:styleId="112">
    <w:name w:val="题目"/>
    <w:basedOn w:val="1"/>
    <w:qFormat/>
    <w:uiPriority w:val="0"/>
    <w:pPr>
      <w:spacing w:beforeLines="200" w:afterLines="100"/>
      <w:jc w:val="center"/>
    </w:pPr>
    <w:rPr>
      <w:rFonts w:ascii="黑体" w:eastAsia="黑体"/>
      <w:color w:val="C00000"/>
      <w:sz w:val="28"/>
      <w:szCs w:val="28"/>
    </w:rPr>
  </w:style>
  <w:style w:type="paragraph" w:customStyle="1" w:styleId="113">
    <w:name w:val="正文2"/>
    <w:basedOn w:val="1"/>
    <w:qFormat/>
    <w:uiPriority w:val="0"/>
    <w:pPr>
      <w:adjustRightInd w:val="0"/>
      <w:spacing w:before="156" w:line="360" w:lineRule="auto"/>
      <w:ind w:firstLine="510" w:firstLineChars="200"/>
    </w:pPr>
    <w:rPr>
      <w:rFonts w:asciiTheme="minorHAnsi" w:hAnsiTheme="minorHAnsi" w:eastAsiaTheme="minorEastAsia" w:cstheme="minorBid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BDB65-04D3-494F-83A9-736E60CD173F}">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100</Pages>
  <Words>63705</Words>
  <Characters>66648</Characters>
  <Lines>521</Lines>
  <Paragraphs>146</Paragraphs>
  <TotalTime>123</TotalTime>
  <ScaleCrop>false</ScaleCrop>
  <LinksUpToDate>false</LinksUpToDate>
  <CharactersWithSpaces>70657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2022-06-05T08:55:00Z</dcterms:created>
  <dc:creator>唐冰</dc:creator>
  <cp:lastModifiedBy>NTKO</cp:lastModifiedBy>
  <cp:lastPrinted>2022-04-20T10:09:00Z</cp:lastPrinted>
  <dcterms:modified xsi:type="dcterms:W3CDTF">2022-06-06T09:50:52Z</dcterms:modified>
  <dc:title>竞争性谈判文件规范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4ED3E7D01244494CABA7A2357C79274E</vt:lpwstr>
  </property>
</Properties>
</file>