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pBdr>
          <w:top w:val="none" w:color="auto" w:sz="0" w:space="0"/>
          <w:left w:val="none" w:color="auto" w:sz="0" w:space="0"/>
          <w:bottom w:val="none" w:color="auto" w:sz="0" w:space="0"/>
          <w:right w:val="none" w:color="auto" w:sz="0" w:space="0"/>
        </w:pBdr>
        <w:shd w:val="clear" w:color="auto" w:fill="FFFFFF"/>
        <w:spacing w:before="0" w:after="0" w:line="360" w:lineRule="atLeast"/>
        <w:ind w:left="0" w:right="0" w:firstLine="0"/>
        <w:jc w:val="center"/>
        <w:textAlignment w:val="baseline"/>
        <w:rPr>
          <w:rStyle w:val="7"/>
          <w:rFonts w:hint="eastAsia" w:ascii="宋体" w:hAnsi="宋体"/>
          <w:b/>
          <w:i w:val="0"/>
          <w:caps w:val="0"/>
          <w:color w:val="252525"/>
          <w:kern w:val="0"/>
          <w:sz w:val="28"/>
          <w:szCs w:val="28"/>
          <w:lang w:val="en-US" w:eastAsia="zh-CN"/>
        </w:rPr>
      </w:pPr>
    </w:p>
    <w:p>
      <w:pPr>
        <w:pStyle w:val="12"/>
        <w:widowControl/>
        <w:pBdr>
          <w:top w:val="none" w:color="auto" w:sz="0" w:space="0"/>
          <w:left w:val="none" w:color="auto" w:sz="0" w:space="0"/>
          <w:bottom w:val="none" w:color="auto" w:sz="0" w:space="0"/>
          <w:right w:val="none" w:color="auto" w:sz="0" w:space="0"/>
        </w:pBdr>
        <w:shd w:val="clear" w:color="auto" w:fill="FFFFFF"/>
        <w:spacing w:before="0" w:after="0" w:line="360" w:lineRule="atLeast"/>
        <w:ind w:left="0" w:right="0" w:firstLine="0"/>
        <w:jc w:val="center"/>
        <w:textAlignment w:val="baseline"/>
        <w:rPr>
          <w:rStyle w:val="7"/>
          <w:rFonts w:hint="eastAsia" w:ascii="宋体" w:hAnsi="宋体"/>
          <w:b/>
          <w:i w:val="0"/>
          <w:caps w:val="0"/>
          <w:color w:val="252525"/>
          <w:kern w:val="0"/>
          <w:sz w:val="28"/>
          <w:szCs w:val="28"/>
          <w:lang w:val="en-US" w:eastAsia="zh-CN"/>
        </w:rPr>
      </w:pPr>
      <w:r>
        <w:rPr>
          <w:rStyle w:val="7"/>
          <w:rFonts w:hint="eastAsia" w:ascii="宋体" w:hAnsi="宋体"/>
          <w:b/>
          <w:i w:val="0"/>
          <w:caps w:val="0"/>
          <w:color w:val="252525"/>
          <w:kern w:val="0"/>
          <w:sz w:val="28"/>
          <w:szCs w:val="28"/>
          <w:lang w:val="en-US" w:eastAsia="zh-CN"/>
        </w:rPr>
        <w:t>福建新华发行集团福州分公司安泰书城改造（电子设备）</w:t>
      </w:r>
    </w:p>
    <w:p>
      <w:pPr>
        <w:pStyle w:val="12"/>
        <w:widowControl/>
        <w:pBdr>
          <w:top w:val="none" w:color="auto" w:sz="0" w:space="0"/>
          <w:left w:val="none" w:color="auto" w:sz="0" w:space="0"/>
          <w:bottom w:val="none" w:color="auto" w:sz="0" w:space="0"/>
          <w:right w:val="none" w:color="auto" w:sz="0" w:space="0"/>
        </w:pBdr>
        <w:shd w:val="clear" w:color="auto" w:fill="FFFFFF"/>
        <w:spacing w:before="0" w:after="0" w:line="360" w:lineRule="atLeast"/>
        <w:ind w:left="0" w:right="0" w:firstLine="0"/>
        <w:jc w:val="center"/>
        <w:textAlignment w:val="baseline"/>
        <w:rPr>
          <w:rStyle w:val="7"/>
          <w:rFonts w:hint="default" w:ascii="宋体" w:hAnsi="宋体" w:eastAsia="宋体"/>
          <w:b/>
          <w:i w:val="0"/>
          <w:caps w:val="0"/>
          <w:color w:val="252525"/>
          <w:kern w:val="0"/>
          <w:sz w:val="28"/>
          <w:szCs w:val="28"/>
          <w:lang w:val="en-US" w:eastAsia="zh-CN"/>
        </w:rPr>
      </w:pPr>
      <w:r>
        <w:rPr>
          <w:rStyle w:val="7"/>
          <w:rFonts w:ascii="宋体" w:hAnsi="宋体" w:eastAsia="宋体"/>
          <w:b/>
          <w:i w:val="0"/>
          <w:caps w:val="0"/>
          <w:color w:val="252525"/>
          <w:kern w:val="0"/>
          <w:sz w:val="28"/>
          <w:szCs w:val="28"/>
          <w:lang w:val="en-US" w:eastAsia="zh-CN"/>
        </w:rPr>
        <w:t>补充通知</w:t>
      </w:r>
      <w:r>
        <w:rPr>
          <w:rStyle w:val="7"/>
          <w:rFonts w:hint="eastAsia" w:ascii="宋体" w:hAnsi="宋体"/>
          <w:b/>
          <w:i w:val="0"/>
          <w:caps w:val="0"/>
          <w:color w:val="252525"/>
          <w:kern w:val="0"/>
          <w:sz w:val="28"/>
          <w:szCs w:val="28"/>
          <w:lang w:val="en-US" w:eastAsia="zh-CN"/>
        </w:rPr>
        <w:t>2</w:t>
      </w:r>
    </w:p>
    <w:p>
      <w:pPr>
        <w:pStyle w:val="12"/>
        <w:widowControl/>
        <w:pBdr>
          <w:top w:val="none" w:color="auto" w:sz="0" w:space="0"/>
          <w:left w:val="none" w:color="auto" w:sz="0" w:space="0"/>
          <w:bottom w:val="none" w:color="auto" w:sz="0" w:space="0"/>
          <w:right w:val="none" w:color="auto" w:sz="0" w:space="0"/>
        </w:pBdr>
        <w:shd w:val="clear" w:color="auto" w:fill="FFFFFF"/>
        <w:spacing w:before="0" w:after="0" w:line="360" w:lineRule="atLeast"/>
        <w:ind w:left="0" w:right="0" w:firstLine="0"/>
        <w:jc w:val="center"/>
        <w:textAlignment w:val="baseline"/>
        <w:rPr>
          <w:rStyle w:val="7"/>
          <w:rFonts w:ascii="宋体" w:hAnsi="宋体" w:eastAsia="宋体"/>
          <w:b/>
          <w:i w:val="0"/>
          <w:caps w:val="0"/>
          <w:color w:val="252525"/>
          <w:kern w:val="0"/>
          <w:sz w:val="28"/>
          <w:szCs w:val="28"/>
          <w:lang w:val="en-US" w:eastAsia="zh-CN"/>
        </w:rPr>
      </w:pPr>
    </w:p>
    <w:p>
      <w:pPr>
        <w:pStyle w:val="12"/>
        <w:widowControl/>
        <w:pBdr>
          <w:top w:val="none" w:color="auto" w:sz="0" w:space="0"/>
          <w:left w:val="none" w:color="auto" w:sz="0" w:space="0"/>
          <w:bottom w:val="none" w:color="auto" w:sz="0" w:space="0"/>
          <w:right w:val="none" w:color="auto" w:sz="0" w:space="0"/>
        </w:pBdr>
        <w:shd w:val="clear" w:color="auto" w:fill="FFFFFF"/>
        <w:kinsoku/>
        <w:wordWrap/>
        <w:overflowPunct/>
        <w:bidi w:val="0"/>
        <w:spacing w:before="0" w:after="0" w:line="270" w:lineRule="atLeast"/>
        <w:ind w:left="0" w:right="0" w:firstLine="0"/>
        <w:jc w:val="right"/>
        <w:textAlignment w:val="baseline"/>
        <w:rPr>
          <w:rStyle w:val="7"/>
          <w:rFonts w:hint="eastAsia" w:ascii="宋体" w:hAnsi="宋体"/>
          <w:b/>
          <w:i w:val="0"/>
          <w:caps w:val="0"/>
          <w:color w:val="252525"/>
          <w:kern w:val="0"/>
          <w:sz w:val="24"/>
          <w:szCs w:val="24"/>
          <w:lang w:val="en-US" w:eastAsia="zh-CN"/>
        </w:rPr>
      </w:pPr>
      <w:r>
        <w:rPr>
          <w:rStyle w:val="7"/>
          <w:rFonts w:ascii="宋体" w:hAnsi="宋体" w:eastAsia="宋体"/>
          <w:b/>
          <w:i w:val="0"/>
          <w:caps w:val="0"/>
          <w:color w:val="252525"/>
          <w:kern w:val="0"/>
          <w:sz w:val="24"/>
          <w:szCs w:val="24"/>
          <w:lang w:val="en-US" w:eastAsia="zh-CN"/>
        </w:rPr>
        <w:t>招标编号：</w:t>
      </w:r>
      <w:r>
        <w:rPr>
          <w:rStyle w:val="7"/>
          <w:rFonts w:hint="eastAsia" w:ascii="宋体" w:hAnsi="宋体" w:eastAsia="宋体"/>
          <w:b/>
          <w:i w:val="0"/>
          <w:caps w:val="0"/>
          <w:color w:val="252525"/>
          <w:kern w:val="0"/>
          <w:sz w:val="24"/>
          <w:szCs w:val="24"/>
          <w:lang w:val="en-US" w:eastAsia="zh-CN"/>
        </w:rPr>
        <w:t>HXZ22043</w:t>
      </w:r>
    </w:p>
    <w:p>
      <w:pPr>
        <w:pStyle w:val="12"/>
        <w:widowControl/>
        <w:pBdr>
          <w:top w:val="none" w:color="auto" w:sz="0" w:space="0"/>
          <w:left w:val="none" w:color="auto" w:sz="0" w:space="0"/>
          <w:bottom w:val="none" w:color="auto" w:sz="0" w:space="0"/>
          <w:right w:val="none" w:color="auto" w:sz="0" w:space="0"/>
        </w:pBdr>
        <w:shd w:val="clear" w:color="auto" w:fill="FFFFFF"/>
        <w:kinsoku/>
        <w:wordWrap/>
        <w:overflowPunct/>
        <w:bidi w:val="0"/>
        <w:spacing w:before="0" w:after="0" w:line="270" w:lineRule="atLeast"/>
        <w:ind w:left="0" w:right="0" w:firstLine="0"/>
        <w:jc w:val="left"/>
        <w:textAlignment w:val="baseline"/>
        <w:rPr>
          <w:rStyle w:val="8"/>
          <w:rFonts w:ascii="Helvetica" w:hAnsi="Helvetica" w:eastAsia="Helvetica"/>
          <w:i w:val="0"/>
          <w:caps w:val="0"/>
          <w:color w:val="252525"/>
          <w:kern w:val="0"/>
          <w:sz w:val="24"/>
          <w:szCs w:val="24"/>
          <w:lang w:val="en-US" w:eastAsia="zh-CN"/>
        </w:rPr>
      </w:pPr>
      <w:r>
        <w:rPr>
          <w:rStyle w:val="8"/>
          <w:rFonts w:ascii="宋体" w:hAnsi="宋体" w:eastAsia="宋体"/>
          <w:i w:val="0"/>
          <w:caps w:val="0"/>
          <w:color w:val="252525"/>
          <w:kern w:val="0"/>
          <w:sz w:val="24"/>
          <w:szCs w:val="24"/>
          <w:lang w:val="en-US" w:eastAsia="zh-CN"/>
        </w:rPr>
        <w:t>致各有关投标人：</w:t>
      </w:r>
    </w:p>
    <w:p>
      <w:pPr>
        <w:keepNext w:val="0"/>
        <w:keepLines w:val="0"/>
        <w:pageBreakBefore w:val="0"/>
        <w:widowControl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本补充通知作为</w:t>
      </w:r>
      <w:r>
        <w:rPr>
          <w:rFonts w:hint="eastAsia" w:ascii="宋体" w:hAnsi="宋体" w:cs="宋体"/>
          <w:sz w:val="24"/>
          <w:szCs w:val="24"/>
          <w:lang w:eastAsia="zh-CN"/>
        </w:rPr>
        <w:t>福建新华发行集团福州分公司安泰书城改造（电子设备）</w:t>
      </w:r>
      <w:r>
        <w:rPr>
          <w:rFonts w:hint="eastAsia" w:ascii="宋体" w:hAnsi="宋体" w:eastAsia="宋体" w:cs="宋体"/>
          <w:sz w:val="24"/>
          <w:szCs w:val="24"/>
        </w:rPr>
        <w:t>招标文件的修改，是招标文件的组成部份。本补充通知内容与招标文件和招标公告不一致的，以本通知为准。具体内容如下：</w:t>
      </w:r>
    </w:p>
    <w:p>
      <w:pPr>
        <w:pStyle w:val="2"/>
        <w:numPr>
          <w:ilvl w:val="0"/>
          <w:numId w:val="1"/>
        </w:numPr>
        <w:tabs>
          <w:tab w:val="clear" w:pos="312"/>
        </w:tabs>
        <w:rPr>
          <w:rFonts w:hint="eastAsia" w:hAnsi="宋体" w:cs="宋体"/>
          <w:kern w:val="2"/>
          <w:sz w:val="24"/>
          <w:szCs w:val="24"/>
          <w:lang w:val="en-US" w:eastAsia="zh-CN" w:bidi="ar-SA"/>
        </w:rPr>
      </w:pPr>
      <w:r>
        <w:rPr>
          <w:rFonts w:hint="eastAsia" w:ascii="宋体" w:hAnsi="宋体" w:eastAsia="宋体" w:cs="宋体"/>
          <w:kern w:val="2"/>
          <w:sz w:val="24"/>
          <w:szCs w:val="24"/>
          <w:lang w:val="en-US" w:eastAsia="zh-CN" w:bidi="ar-SA"/>
        </w:rPr>
        <w:t>本项目</w:t>
      </w:r>
      <w:r>
        <w:rPr>
          <w:rFonts w:hint="eastAsia" w:hAnsi="宋体" w:cs="宋体"/>
          <w:kern w:val="2"/>
          <w:sz w:val="24"/>
          <w:szCs w:val="24"/>
          <w:lang w:val="en-US" w:eastAsia="zh-CN" w:bidi="ar-SA"/>
        </w:rPr>
        <w:t>“询价通知书P23第三章询价内容及要求第二条：技术和服务内容及要求”现修改为如下表：</w:t>
      </w:r>
    </w:p>
    <w:tbl>
      <w:tblPr>
        <w:tblStyle w:val="5"/>
        <w:tblW w:w="10082" w:type="dxa"/>
        <w:jc w:val="center"/>
        <w:tblLayout w:type="fixed"/>
        <w:tblCellMar>
          <w:top w:w="15" w:type="dxa"/>
          <w:left w:w="15" w:type="dxa"/>
          <w:bottom w:w="15" w:type="dxa"/>
          <w:right w:w="15" w:type="dxa"/>
        </w:tblCellMar>
      </w:tblPr>
      <w:tblGrid>
        <w:gridCol w:w="510"/>
        <w:gridCol w:w="885"/>
        <w:gridCol w:w="7712"/>
        <w:gridCol w:w="585"/>
        <w:gridCol w:w="15"/>
        <w:gridCol w:w="375"/>
      </w:tblGrid>
      <w:tr>
        <w:tblPrEx>
          <w:tblCellMar>
            <w:top w:w="15" w:type="dxa"/>
            <w:left w:w="15" w:type="dxa"/>
            <w:bottom w:w="15" w:type="dxa"/>
            <w:right w:w="15" w:type="dxa"/>
          </w:tblCellMar>
        </w:tblPrEx>
        <w:trPr>
          <w:trHeight w:val="33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工程名称：福建新华发行集团福州分公司安泰书城改造（电子设备）</w:t>
            </w:r>
          </w:p>
        </w:tc>
      </w:tr>
      <w:tr>
        <w:tblPrEx>
          <w:tblCellMar>
            <w:top w:w="15" w:type="dxa"/>
            <w:left w:w="15" w:type="dxa"/>
            <w:bottom w:w="15" w:type="dxa"/>
            <w:right w:w="15" w:type="dxa"/>
          </w:tblCellMar>
        </w:tblPrEx>
        <w:trPr>
          <w:trHeight w:val="33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7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项目特征描述</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计量单位</w:t>
            </w:r>
          </w:p>
        </w:tc>
        <w:tc>
          <w:tcPr>
            <w:tcW w:w="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工程量</w:t>
            </w:r>
          </w:p>
        </w:tc>
      </w:tr>
      <w:tr>
        <w:tblPrEx>
          <w:tblCellMar>
            <w:top w:w="15" w:type="dxa"/>
            <w:left w:w="15" w:type="dxa"/>
            <w:bottom w:w="15" w:type="dxa"/>
            <w:right w:w="15" w:type="dxa"/>
          </w:tblCellMar>
        </w:tblPrEx>
        <w:trPr>
          <w:trHeight w:val="259"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LED</w:t>
            </w:r>
          </w:p>
        </w:tc>
      </w:tr>
      <w:tr>
        <w:tblPrEx>
          <w:tblCellMar>
            <w:top w:w="15" w:type="dxa"/>
            <w:left w:w="15" w:type="dxa"/>
            <w:bottom w:w="15" w:type="dxa"/>
            <w:right w:w="15" w:type="dxa"/>
          </w:tblCellMar>
        </w:tblPrEx>
        <w:trPr>
          <w:trHeight w:val="4813"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(1)视频系统设备</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(2)安泰图书城大屏室内全彩LED显示屏屏幕显示尺寸：5.76M*2.4M，</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(3)像素点间距：≤1.86mm±0.03mm、像素构成1R/1G/1B；；</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(4)模组尺寸(mm):320×160mm；箱体规格：640*480*85mm</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(5)模组分辨率(dots):172×86,箱体分辨率：344*258</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(6)像素点密度(dots/㎡): 289000点，</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(7)输入功率 (最大值)：700 W/m2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(8)输入功率(平均值）230W/m2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(9)白平衡亮度(nit)：≥1200cd/m2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(10)色温(K)：2000-9500可调</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(11)工作温湿度：-20℃– 50℃</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(12)LED封装方式：SMD1515</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(13)刷新频率：≥3840HZ</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(14)可视角度：水平≥170°/垂直≥160°</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(15)对比度：≥6000:1</w:t>
            </w:r>
          </w:p>
          <w:p>
            <w:pPr>
              <w:widowControl/>
              <w:jc w:val="left"/>
              <w:textAlignment w:val="center"/>
              <w:rPr>
                <w:rFonts w:hint="eastAsia" w:ascii="宋体" w:hAnsi="宋体" w:cs="宋体"/>
                <w:color w:val="000000"/>
                <w:sz w:val="18"/>
                <w:szCs w:val="18"/>
              </w:rPr>
            </w:pPr>
            <w:r>
              <w:rPr>
                <w:rFonts w:hint="eastAsia" w:ascii="宋体" w:hAnsi="宋体" w:cs="宋体"/>
                <w:kern w:val="0"/>
                <w:sz w:val="18"/>
                <w:szCs w:val="18"/>
              </w:rPr>
              <w:t>(16)符合盐雾10级要求；图像0-100%可调，具备对比度、色调、色饱和度、灰度校正系数、色彩范围、图像变倍、单模组亮度调节等。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51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1)接收卡</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(2)集成 HUB75，无需再配转接板，更方便，成本更低；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(3)减少接插连接件，减少故障点，故障率更低； 3、支持常规芯片实现高刷新、高灰度、高亮度；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(4)全新灰度引擎，低灰度表现更佳；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(5)细节处理更完美，可消除单元板设计引起的某行偏暗、低灰偏红、鬼影等问题；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(6)支持高精度的色度、亮度一体化逐点校正；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(7)支持所有常规芯片、PWM 芯片和灯饰芯片；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(8)支持静态屏、2~64 扫之间的任意扫描类型；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(9)支持任意抽点，支持数据偏移，可轻松实现各种异型屏、球形屏、创意显示屏；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(10)单卡支持 16 组 RGB 信号输出；</w:t>
            </w:r>
          </w:p>
          <w:p>
            <w:pPr>
              <w:widowControl/>
              <w:jc w:val="left"/>
              <w:textAlignment w:val="center"/>
              <w:rPr>
                <w:rFonts w:hint="eastAsia" w:ascii="宋体" w:hAnsi="宋体" w:cs="宋体"/>
                <w:color w:val="000000"/>
                <w:sz w:val="18"/>
                <w:szCs w:val="18"/>
              </w:rPr>
            </w:pPr>
            <w:r>
              <w:rPr>
                <w:rFonts w:hint="eastAsia" w:ascii="宋体" w:hAnsi="宋体" w:cs="宋体"/>
                <w:kern w:val="0"/>
                <w:sz w:val="18"/>
                <w:szCs w:val="18"/>
              </w:rPr>
              <w:t>(11)控制系统同品牌，与控制系统其他分项无缝兼容，完全满足控制系统性能需求。控制系统（含多画面拼接器、视频控制器、独立主控、同步接收卡）采用同一生产厂家同一品牌产品，严禁贴牌</w:t>
            </w:r>
            <w:r>
              <w:rPr>
                <w:rFonts w:hint="eastAsia"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18 </w:t>
            </w:r>
          </w:p>
        </w:tc>
      </w:tr>
      <w:tr>
        <w:tblPrEx>
          <w:tblCellMar>
            <w:top w:w="15" w:type="dxa"/>
            <w:left w:w="15" w:type="dxa"/>
            <w:bottom w:w="15" w:type="dxa"/>
            <w:right w:w="15" w:type="dxa"/>
          </w:tblCellMar>
        </w:tblPrEx>
        <w:trPr>
          <w:trHeight w:val="367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(1)专业主控-</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(2)支持多达 5 路输入接口，包括 1 路 DVI，1 路 HDMI1.3，1 路 VGA，1 路 USB 播放，1 路 CVBS，1 路选配扩展安卓子卡。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(3)支持三画面显示，位置/大小可自由调节，支持视频源任意切换，任意缩放。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(4)扩展子卡安装后支持使用鼠标或键盘进行控制和手机电脑等无线投屏。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(5)支持HDCP1.4</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(6)支持外置独立音频。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 DVI、HDMI 的输入分辨率预设及自定义调节。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(8)支持画面一键全屏缩放、点对点显示、自定义缩放三种缩放模式。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(9)支持快捷点屏，简单操作即可完成屏体配置。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(10)520万像素，单画面最宽4096，多画面拼接最宽可达8192点，或最高可达8192点；</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(11)支持亮度、色温调节，支持对比度、色调、饱和度调节，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(12)支持通过 RS232 协议连接中控设备。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(13)支持屏体参数调整，例如亮度、Gamma 等。</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(14)前面板直观的 LCD 显示界面，可直接观察4个网口的通讯状态，清晰的按键灯提示，简化了系统的控制操作。</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9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(1)LED钢结构支架--定制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(2)壁挂支架大屏结构，全部经过科学设计，承重计算，材料采用2*4镀锌方管及4*4镀锌角铁加厚钢材焊接，不锈钢包边，包含包边装饰、方管等耗材.</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(3)压铸铝箱体</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(4)采用模块化安装结构，具备拼缝和平整度调节机构</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网络服务器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(1)电脑</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(2)CPU：≥四核处理器，主频≥3.4GHz；主板：B250系列芯片及更高系列主板，内存：≥8G ?DDR4 2400MH，≥2个内存槽；硬盘：≥1TB 7200rpm ；显卡:集成显卡；显示器：≥19.5寸液晶显示器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6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机柜、机架</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(1)机柜--宽*深*高： 600*800*1200</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(2)厚度：设备安装方孔条2.0MM，安装梁1.5MM，其它1.2MM；材料除方孔条采用耐指纹镀铝锌板制</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6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配电箱</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(1)配电箱20KW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(2)主要功能：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(3)含主控开关、分路控制开关、接地端子等控制元件。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(4)含配电箱：配电柜具有分步启动过流保护功能；具有防腐、防锈、防尘功能；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(5)采用时控智能监控系统，系统具有无人值守功能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(6)电气防护具有过流、短路、断路等保护措施</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(7)能实现对LED显示屏多时段智能定时开关屏电源</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81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配线</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(1)配套配件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(2)电缆线：6*4+1；配电箱到屏幕电线：2.5*3条；网络线：8条</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(3)电源线、信号线（网线、DVI线等）、辅材（安装片、各类螺丝）、备品备件、运输及相关配件</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视频系统调试</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(1)显示屏安装调试及售后</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(2)现场定做.包括所用设备运输，搬运，安装，调试，按照业主需求，以符合本项目工程为基准。</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(3)为了后期售后考虑，投标人技术人员需具备中级或中级以上工程师至少一名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收银系统</w:t>
            </w:r>
          </w:p>
        </w:tc>
      </w:tr>
      <w:tr>
        <w:tblPrEx>
          <w:tblCellMar>
            <w:top w:w="15" w:type="dxa"/>
            <w:left w:w="15" w:type="dxa"/>
            <w:bottom w:w="15" w:type="dxa"/>
            <w:right w:w="15" w:type="dxa"/>
          </w:tblCellMar>
        </w:tblPrEx>
        <w:trPr>
          <w:trHeight w:val="96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收银台</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(1)POS收银双屏电脑（含钱箱）</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(2)POS收银双屏电脑（15.6寸触控双屏J1900/主板四核 /8G内存/128G固态硬盘/带58小票打印机/带钱箱/带二维高精度扫码枪/带键盘鼠</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4 </w:t>
            </w:r>
          </w:p>
        </w:tc>
      </w:tr>
      <w:tr>
        <w:tblPrEx>
          <w:tblCellMar>
            <w:top w:w="15" w:type="dxa"/>
            <w:left w:w="15" w:type="dxa"/>
            <w:bottom w:w="15" w:type="dxa"/>
            <w:right w:w="15" w:type="dxa"/>
          </w:tblCellMar>
        </w:tblPrEx>
        <w:trPr>
          <w:trHeight w:val="105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系统打印机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(1)全自动接单打印机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(2)打印宽度58mm，支持WIFI、4G、USB接入，云端打印，自动切纸, /3年保。支持接入第三方平台打印小票。推荐品牌：飞鹅、易联云</w:t>
            </w:r>
            <w:r>
              <w:rPr>
                <w:rFonts w:hint="eastAsia" w:ascii="宋体" w:hAnsi="宋体" w:cs="宋体"/>
                <w:color w:val="000000"/>
                <w:kern w:val="0"/>
                <w:sz w:val="18"/>
                <w:szCs w:val="18"/>
                <w:lang w:eastAsia="zh-CN"/>
              </w:rPr>
              <w:t>、得力</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(3)接入福建新华自助购小程序，打印销售小票</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电视</w:t>
            </w:r>
          </w:p>
        </w:tc>
      </w:tr>
      <w:tr>
        <w:tblPrEx>
          <w:tblCellMar>
            <w:top w:w="15" w:type="dxa"/>
            <w:left w:w="15" w:type="dxa"/>
            <w:bottom w:w="15" w:type="dxa"/>
            <w:right w:w="15" w:type="dxa"/>
          </w:tblCellMar>
        </w:tblPrEx>
        <w:trPr>
          <w:trHeight w:val="77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(1)电视含挂墙支架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(2)40寸，屏幕尺寸：16:9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(3)推荐：康佳、TCL、海信</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6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网络设备</w:t>
            </w:r>
          </w:p>
        </w:tc>
      </w:tr>
      <w:tr>
        <w:tblPrEx>
          <w:tblCellMar>
            <w:top w:w="15" w:type="dxa"/>
            <w:left w:w="15" w:type="dxa"/>
            <w:bottom w:w="15" w:type="dxa"/>
            <w:right w:w="15" w:type="dxa"/>
          </w:tblCellMar>
        </w:tblPrEx>
        <w:trPr>
          <w:trHeight w:val="6612"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防火墙</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(1)防火墙</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(2)系统应采用非插卡式设备，不需要业务卡即可实现下一代防火墙业务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(3)为保证防火墙运行的稳定性和处理能力，要求设备采用非X86架构对各项安全功能进行加速优化处理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(4)系统具有良好的可扩展性，能够扩展支持病毒防御、入侵防御、应用识别、垃圾邮件过滤、文件防泄漏、上网行为管理、APT防御、僵尸主机检测、IPSEC VPN与SSL VPN等功能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(5)要求固化千兆电口数量≥14个；千兆光口数量≥2个；为保障接口稳定性，所投产品必须是固化接口，而非板卡接口，标准的1U设备而非桌面级设备；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(6)三层网络吞吐≥3Gbps ，IPS吞吐量≥1.4Gbps，最大并发连接≥130万，最大新建连接≥30000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(7)IPSEC VPN隧道数≥200，设备本身要求自带200个IPSec VPN授权；SSL VPN并发用户数≥100，设备本身要求自带100个 SSL VPN授权；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(8)要求支持虚拟防火墙，且每个虚拟防火墙独立管理；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(9)支持SYN Flood、UDP Flood、ICMP Flood、LAND攻击、Smurf攻击、Fraggle攻击、Winnuke等攻击防护；具备硬件TCP SYN FLOOD防护加速能力</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(10)策略具备接口、地址、服务、时间、用户、带宽等的配置。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(11)支持基于特定源地址、目的地址、应用端口组合的会话数限制。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(12)入侵检测特征库≥5000种；</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(13)支持HTTP、FTP、IMAP、POP3、SMTP、IM、HTTPS、IMAPS、POP3S、SMTPS协议病毒过滤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(14)支持深达10级以上的文件压缩。可以限制过滤文件的大小，对超大文件采取“通过”或“阻止”动作。</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(15)支持对VPN传输隧道内容进行病毒过滤；</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(16)支持基于代理模式、流模式的垃圾邮件检测过滤，防垃圾邮件功能支持IP地址过滤、邮件地址过滤、MIME头信息、邮件内容过滤、RBL实时黑名单、域名解析等多种方法。</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(17)提供三年特征库升级服务；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(19)推荐：锐捷、华三，华为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556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路由器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(1)路由器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(2)支持固化千兆电口≥8个，固化千兆光口≥1个，固化万兆光口≥1个；</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(3)标准1U机箱，多核非X86架构；内置1个硬盘，硬盘容量≥1T；</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(4)内置1个电源，整机功耗低于25W；支持内存≥2GB；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(5)支持静态路由、RIP(V1/V2)、RIPng、OSPFv2等多种路由协议；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(6)为保证在多条外网线路情况下带宽的合理分配使用，设备必须支持多链路负载均衡，负载均衡可基于带宽等多种方式；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(7)支持正向DNS代 理功能，可根据配置实现对不同外网线路的DNS服务器地址管理；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(8)支持智能DNS，无需内部服务器做任何修改情况下，为外网用户提供一个与该用户相同运营商的链路对内访问；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(10)要求所投产品内置多种流控模型，包括娱乐模板，办公模板，专家模板等，支持一键开启智能流量控制；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(11)支持网络资源加速(主动缓存)，可对指 定网络资源提供热点资源本地化服务；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(12)支持应用缓存加速(被动缓存)，可将用户访问过的APP(IOS及Android)均缓存到本地，供其他访问相同APP的用户在本地下载，提高下载速度；</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580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中央管理系统</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(1)上网行为管理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(2)所投产品须整机最少支持5个千兆电口，具有1T的硬盘存储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(3)设备最大吞吐量≥1Gbps，最大支持并发连接数50万,每秒新建连接数≥7000/秒</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(4)支持网桥部署、路由模式部署、旁路部署、混合部署</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(5)支持以HTTP及SSL加密的WEB图形化接口进行设备配置和管理，支持英语、简体中文、繁体中文接口；可利用谷歌、火狐、IE浏览器访问设备。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(6)设备将主动通过SNMP协议去读取三层交换机上的内网主机的MAC地址，支持三层环境下绑定MAC或绑定IP+MAC进行上网认证的实现方式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(7)支持单点登录的类型包括:AD SSO、PPPOE SSO、WEB SSO</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(8)支持基于MAC地址免认证，支持CDMA/GSM短信猫，支持第三方短信服务提供商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(9)用户可以自助申请上网临时账号，账号可以通过邮件、短信发送给用户，输入该账号密码即可完成认证上网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(10)可以识别无线终端接入设备，并进行允计或拒绝上网策略，包括IOS、 Android、 IPAD设备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(11)可检测出内网用户私接无线路由器、360WiFi等设备的共享上网行为，进行告警及阻断</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(12)支持将特殊协议（如MPLS、PPPoE、VLAN（Q-in-Q）等）的协议头剥离掉，这样可以对特殊协议封装内的原始数据进行认证、审计和控制。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(13)支持基于线路的流控、基于应用的流控、基于URL的流控、基于IP的流控、基于用户组的流控、基于时间段的流控、基于单个用户的流控</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(14)限制指定的应用一天内可以使用的流量总额或使用时长</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(15)含三年特征库升级授权</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(17)推荐：锐捷、华三，华为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8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(1)核心交换机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(2)固化端口：≥28个10/100/1000Mbps电口，≥4个SFP+光口。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(3)交换容量≥5.98T；包转发率≥342Mpps。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(4)设备可提供2个扩展槽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(5)整机采用绿色环保设计，满负荷情况下电源功率≤70W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(6)要求所投设备MAC地址≥64K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(7)要求所投设备ARP表项≥20K(8)</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(8)要求所投产品支持软件定义网络SDN，符合OpenFlow 1.3协议标准.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(9)要求所投设备FIB表项≥12K；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(10)支持基于端口的出方向和入方向限速，限端口速粒度≤64Kbps；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(11)支持基于流的出方向和入方向限速，且流限速粒度≤8Kbps；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(12)要求所投设备支持1对1、1对多、多对1和基于流的镜像；且支持RSPAN和ERSPAN。</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(13)支持虚拟化功能，最多可将9台物理设备虚拟化为一台逻辑设备统一管理，并且链路故障的收敛时间≤50ms（最快8ms）。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(14)要求所投产品支持ITU-TG.8032国际公有环网协议ERPS,支持相切环和相交环，并且链路故障的收敛时间≤50ms；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(16)要求所投产品支持模块化操作系统，支持针对单一模块打热补丁，故障模块升级中不影响其他进程的正常运行和业务转发。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(17)要求所投产品具备节能环保设计。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(18)支持无需收集哑终端MAC和IP地址，实现哑终端入网IP+mac绑定及终端自动上线与vlan/端口无关，即插即用。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(19)支持静动态IP地址可视化管理。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(20)要求所投产品支持端口特定的隔离策略，既能隔离arp、单播、dhcp报文又能放通其他正常的二层报文。(21)支持ARP防欺骗的功能，在交换机端口启用802.1X和WEB认证功能的前提下，能够禁止非法用户的ARP欺骗报文，保护合法用户免受其害，防止合法用户的数据被窃取。</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(22)推荐：锐捷、华三，华为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08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(1)48口汇聚交换机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(2)固化端口：≥48个10/100/1000Mbps电口，≥4个SFP+光口；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(3)交换容量≥336Gbps，包转发率≥144Mpps；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28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(1)24口接入交换机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(2)固化端口：≥24个10/100/1000Mbps电口，≥4个SFP光口；(3)2、交换容量≥336Gbps，包转发率≥42Mpps；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3 </w:t>
            </w:r>
          </w:p>
        </w:tc>
      </w:tr>
      <w:tr>
        <w:tblPrEx>
          <w:tblCellMar>
            <w:top w:w="15" w:type="dxa"/>
            <w:left w:w="15" w:type="dxa"/>
            <w:bottom w:w="15" w:type="dxa"/>
            <w:right w:w="15" w:type="dxa"/>
          </w:tblCellMar>
        </w:tblPrEx>
        <w:trPr>
          <w:trHeight w:val="75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模块(模块箱)</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(1)万兆光纤模块</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(2)万兆单模光模块，波长1310nm,传输距离10KM。</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8 </w:t>
            </w:r>
          </w:p>
        </w:tc>
      </w:tr>
      <w:tr>
        <w:tblPrEx>
          <w:tblCellMar>
            <w:top w:w="15" w:type="dxa"/>
            <w:left w:w="15" w:type="dxa"/>
            <w:bottom w:w="15" w:type="dxa"/>
            <w:right w:w="15" w:type="dxa"/>
          </w:tblCellMar>
        </w:tblPrEx>
        <w:trPr>
          <w:trHeight w:val="34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控制设备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(1)无线控制器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(2)默认可管理全网设备数（包括：网关+交换机+AP）共256个；</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(3)固化千兆电口数≥5；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(4)单台设备最大支持的在线无线用户数目≥2K；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(5)要求设备可使用AP的本地数据转发技术模式，根据网络的SSID和用户VLAN的规划，数据可直接进入有线网络进行本地交换，从而更好的适应未来无线网络更高流量传输的要求；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(6)AP和AC之间支持L2/L3层网络拓扑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(7)要求设备可以支持二层和三层的组网，支持跨AP跨三层快速漫游，三层漫游可支持基于SSID生效。</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设备内置云控制模式，该模式支持以真实拓扑为入口对全网设备进行可视化配置，可视化监控，可视化管理，包括网关，交换机，无线AP；可实时监测网络环境，故障告警定位，支持内网监控摄像头扫描与智能识别，支持内网穿透远程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14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(1)24口POE交换机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(2)固化端口：≥24个10/100/1000Mbps电口，≥4个SFP光口；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(4)支持PoE供电口≥24个，整机POE输出功率≥370W, 单口最大输出功率≥30W；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(11)推荐：锐捷、华三，华为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08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(1)8口千兆POE交换机(2)1、固化端口：≥8个10/100/1000Mbps电口，；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(3)支持PoE供电口≥8个，整机POE输出功率≥370W, 单口最大输出功率≥30W；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92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(1)8口千兆交换机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4 </w:t>
            </w:r>
          </w:p>
        </w:tc>
      </w:tr>
      <w:tr>
        <w:tblPrEx>
          <w:tblCellMar>
            <w:top w:w="15" w:type="dxa"/>
            <w:left w:w="15" w:type="dxa"/>
            <w:bottom w:w="15" w:type="dxa"/>
            <w:right w:w="15" w:type="dxa"/>
          </w:tblCellMar>
        </w:tblPrEx>
        <w:trPr>
          <w:trHeight w:val="300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路由器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(1)双频吸顶AP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(2)支持标准支持802.11a/n/ac和802.11b/g/n，同时支持支持802.11ac Wave2协议；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(3)支持双频(2.4G双流，5G单流), 2.4G提供最高提供400Mbps的接入速率，5G提供最高提供433Mbps的接入速率，整机提供833Mbsp的接入速率；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(4)实配2个10/100/1000Base-T以太网口；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(5)支持PoE以太网供电（支持802.3af/802.3at兼容供电）和本地供电（DC 12V）；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(6)要求所投产品可以通过同一品牌的网管软件实现：在线状态查询、配置修改，无线用户终端详情：包含用户mac地址、信号强度、频段、总流量、终端os类型、终端厂商等，实配网管平台，提供功能截图；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(7)要求所投产品支持网管平台集中管理，实配网管平台，出现设备掉线、CPU状态、内存状态等问题通过微信告警推送；</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(8)为了售后的统一及维护方便 ，本次项目所用防火墙、路由器、行为管理、交换机、无线AP为同一品牌；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27 </w:t>
            </w:r>
          </w:p>
        </w:tc>
      </w:tr>
      <w:tr>
        <w:tblPrEx>
          <w:tblCellMar>
            <w:top w:w="15" w:type="dxa"/>
            <w:left w:w="15" w:type="dxa"/>
            <w:bottom w:w="15" w:type="dxa"/>
            <w:right w:w="15" w:type="dxa"/>
          </w:tblCellMar>
        </w:tblPrEx>
        <w:trPr>
          <w:trHeight w:val="257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监控摄像设备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(1)监控摄像机含配套支架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(2)1T算力，1/2.7 inch CMOS，500万像素，2.8mm-12mm焦距，红外补光50m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(3)最大功耗：10W、典型功耗：3.5W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(4)电源电压：DC12V±20%，POE（802.3af）</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(5)设备尺寸：115mm×140mm×297mmmm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(6)网络接口：1个RJ45 10M/100M自适应以太网口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(7)支持热度图、多算法切换、行为分析、人群态势分析、人脸、人体、机非人、车辆、交通数据统计;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(8)支持宽动态、背光补偿、白平衡、强光抑制等图像增强技术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(9)IP67防护等级，支持POE供电，</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(10)支持国标UDP/TCP，RTSP，FTP等协议</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12 </w:t>
            </w:r>
          </w:p>
        </w:tc>
      </w:tr>
      <w:tr>
        <w:tblPrEx>
          <w:tblCellMar>
            <w:top w:w="15" w:type="dxa"/>
            <w:left w:w="15" w:type="dxa"/>
            <w:bottom w:w="15" w:type="dxa"/>
            <w:right w:w="15" w:type="dxa"/>
          </w:tblCellMar>
        </w:tblPrEx>
        <w:trPr>
          <w:trHeight w:val="30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监控摄像设备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(1)网络高清电梯摄像机(2)(2)全彩级高灵敏度传感器，F1.0超大光圈镜头，提供更清晰的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(3)视频流输入</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(4)?8?7 最高分辨率可达1920 × 1080 @25 fps，在该分辨率下可输</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(5)出实时图像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(6)?8?7 支持ROI感兴趣区域增强编码，支持Smart265/264编码，可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(7)根据场景情况自适应调整码率分配，有效节省存储成本</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(8)?8?7 支持背光补偿，强光抑制，3D数字降噪，120 dB宽动态，适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(9)应不同监控环境</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(10)?8?7 支持萤石平台接入</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(11)?8?7 支持暖光灯补光，照射距离最远可达50 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(12)?8?7 1个内置麦克风，高清拾音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(13)?8?7 符合IP66防尘防水设计，可靠性高</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49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录像设备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(1)32路网络硬盘录像机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(2)网络视频输入 32路，接入能力320Mbps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(3)视频转发 转发能力320Mbps，回放下载 回放能力128Mbps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(4)8盘位，每个接口最大容量支持8TB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(5)设备接入支持HUAWEI SDK、ONVIF标准协议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(6)预览模式 支持1/4/6/8/9/10/12/13/14/16/17/19/20/22/25/32/36/64画面</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(7)2*100/1000M以太网卡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(8)3*USB接口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(9)1*RCA接口输入/输出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(10)支持华为SDC智能事件联动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(11)支持16路同步回放，支持多倍速回放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(12)支持手动录像、计划录像、移动侦测、IO告警联动触发的录像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(13)兼容TCP/UDP/RTP/NTP/SMTP等网络协议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(14)工作温度 -5℃~55℃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(15)工作湿度 20%～90%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(16)功耗（不含硬盘） ≤25W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(17)电源 输入：AC200-240V/50-60Hz</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(18)外形尺寸 440mm（宽）X460mm（深）X89mm（高）</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(19)重量（不含硬盘） 6.59kg</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93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录像设备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(1)监控硬盘</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(2)6T监控专用硬盘</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12 </w:t>
            </w:r>
          </w:p>
        </w:tc>
      </w:tr>
      <w:tr>
        <w:tblPrEx>
          <w:tblCellMar>
            <w:top w:w="15" w:type="dxa"/>
            <w:left w:w="15" w:type="dxa"/>
            <w:bottom w:w="15" w:type="dxa"/>
            <w:right w:w="15"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(1)机房显示器24寸</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642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电脑视频系统设备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(1)电脑视频系统设备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(2)同显视频电脑电视一体机，含挂墙支架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(3)为保护钢化玻璃四周，外观采用表面氧化拉丝工艺处理铝型材包边方式对钢化玻璃固定结构设计（非传统的粘贴或胶固化方法），彻底保证玻璃的牢固性、稳定性，弧形无直角设计，安全可靠，美观大方。</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(4)产品符合IP6X防尘和IPX5防水要求，达到V-0阻燃等级要求。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(5)显示屏参数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(6)尺寸：43英寸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(7)视角：178 度 (H) / 178 度 (V)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(8)亮度：300cd/m2</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(9)对比度：1200:1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(10)响 应 时 间：8ms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(11)屏体分辨率：1920（H）×1080(V)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(12)有效显示面积：914.184(H)mmx529.416(V)mm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(13)电脑参数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(14)1.工业级主板，CPU I5酷睿双核以上，内存4G DDR3，硬盘120G SSD，无线WIFI</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(15)2.接口：HDMI端口*1，VGA端口*1，USB 2.0*2，USB 3.0*2，RJ45 *1，耳麦/麦克*1，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(16)内置喇叭高低音：内置喇叭高低音</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(17)喇叭功率：10W×2</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(18)输入电压交流电：100～240V 50/60Hz</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(19)为保证产品质量和性能的可靠性，要求提供所供产品生产厂商的国家强制性3c认证证书和节能认证证书</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(20)须提供生产厂家针对本项目的授权书原件及质保证明函原件。</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3821"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(1)监控核心交换机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(2)性能：交换容量≥598Gbps；转发性能≥222Mpps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(3)性能指标MAC地址表≥32K、路由表容量≥24K、ARP表项≥16K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(4)接口类型：≥24千兆电口(其中8千兆SFP)+4万兆SFP光口+1业务扩展槽，1个mini USB和1个USB口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(5)硬件可靠：支持可热插拔模块电源冗余和可热插拔模块化风扇冗余</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(6)支持横向虚拟化（≥9台设备，最大堆叠带宽≥160G）</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(7)支持STP/RSTP/MSTP、支持RRPP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(8)支持DHCP Server/ DHCP Relay/ DHCP Snooping/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(9)支持WRR、WFQ、SP+WRR、WDRR、SP+WDRR、SP+WFQ</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(10)支持本地端口镜像和远程端口镜像RSPAN</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(11)支持支持静态路由、RIPv1/v2，RIPng、OSPFv1/v2，OSPFv3、BGP4，BGP4+ for IPv6、等价路由，策略路由</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(12)支持VRRP/VRRPv3支持802.1X认证/集中式MAC地址认证、支持PORTAL认证、支持动态ARP检测，防止中间人攻击和ARP拒绝服务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(13)支持基于第二层、第三层和第四层的ACL；整机提供ACl条目数不小于3K条；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(14)符合IEEE 802.3az（EEE）节能标准、支持端口休眠，关闭没有应用的端口，节省能源</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(15)为了保障整体网络兼容性和统一售后，要求网络统一品牌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27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(1)千兆POE交换机24口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(2)端口：≥24个10/100/1000M以太网电接口+2千兆SFP光口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(3)支持POE+供电；POE供电功率≥370W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(4)支持业务端口防雷≥9KV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(5)支持共享缓存架构；支持拨码开关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(6)品牌 要求网络产品同一品牌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36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(1)千兆POE交换机16口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(2)端口：≥16个10/100/1000M以太网电接口+2千兆SFP光口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(3)支持POE+供电；POE供电功率≥370W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(4)支持业务端口防雷≥9KV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(5)支持共享缓存架构；支持拨码开关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(6)品牌 要求网络产品同一品牌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40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机柜、机架</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(1)过渡设备箱300*400*500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视频系统调试</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(1)监控摄像设备调试</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614"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(1)视频会议系统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(2)1部1080P高清会议终端；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(3)视频输入接口：HDMI 、,3G SDI，VGA</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(4)视频输出接口：HDMI、SDI、HD－BASE</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(5)音频输入：RCA，HDMI，,XLR</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(6)音频输出： RCA，HDMI</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(7)USB接口：USB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(8)支持485接口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(9)网络接口：4×10/100/1000Mbps自适应接口,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(10)框架协议 IETF SIP；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(11)视频编解码协议 H.264BP、H.264HP、H.265；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(12)双流协议 BFCP；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(13)音频编解码协议 AAC_LD、Opus、g722.1、g722.1c、G722、G711a、G711u、Amrwb、G723、ilbc；</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(14)网络传输协议 TCP/IP、FTP、FTPS、DHCP、SNMP、Telnet、SSH、HTTP、HTTPS、RTP、RTCP、SNTP；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(15)支持高清视频支持分层编码传输控制技术、丢包恢复（PLC）技术；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(16)工作电压：AC 110V~240V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(17)工作温度：-5℃~40℃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(18)视频会议摄像机（2台）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(19)1/2.7英寸, CMOS，1080P高清摄像机，；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(20)12倍光学变，16倍数字变焦，f3.5mm ~ 42.3mm, F1.8 ~ F2.8；</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(21)快门：1/30s ~ 1/10000s；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(22)预置位：255个（精度&lt;0.1°）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(23)云台转动活范围  水平：±170°，垂直：-30°~+90°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(24)云台转动速度范围 水平：1.7°~ 100°/秒，垂直1.7° ~ 69.9°/秒。</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(25)支持RS232+RS48;</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(26)含安装调试</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3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工程名称：福建新华发行集团福州分公司安泰书城改造（电子设备）</w:t>
            </w:r>
          </w:p>
        </w:tc>
      </w:tr>
      <w:tr>
        <w:tblPrEx>
          <w:tblCellMar>
            <w:top w:w="15" w:type="dxa"/>
            <w:left w:w="15" w:type="dxa"/>
            <w:bottom w:w="15" w:type="dxa"/>
            <w:right w:w="15" w:type="dxa"/>
          </w:tblCellMar>
        </w:tblPrEx>
        <w:trPr>
          <w:trHeight w:val="33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序号</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项目名称</w:t>
            </w:r>
          </w:p>
        </w:tc>
        <w:tc>
          <w:tcPr>
            <w:tcW w:w="7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项目特征描述</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计量单位</w:t>
            </w:r>
          </w:p>
        </w:tc>
        <w:tc>
          <w:tcPr>
            <w:tcW w:w="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工程量</w:t>
            </w:r>
          </w:p>
        </w:tc>
      </w:tr>
      <w:tr>
        <w:tblPrEx>
          <w:tblCellMar>
            <w:top w:w="15" w:type="dxa"/>
            <w:left w:w="15" w:type="dxa"/>
            <w:bottom w:w="15" w:type="dxa"/>
            <w:right w:w="15" w:type="dxa"/>
          </w:tblCellMar>
        </w:tblPrEx>
        <w:trPr>
          <w:trHeight w:val="259"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LED</w:t>
            </w:r>
          </w:p>
        </w:tc>
      </w:tr>
      <w:tr>
        <w:tblPrEx>
          <w:tblCellMar>
            <w:top w:w="15" w:type="dxa"/>
            <w:left w:w="15" w:type="dxa"/>
            <w:bottom w:w="15" w:type="dxa"/>
            <w:right w:w="15" w:type="dxa"/>
          </w:tblCellMar>
        </w:tblPrEx>
        <w:trPr>
          <w:trHeight w:val="4813"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(1)视频系统设备</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(2)安泰图书城大屏室内全彩LED显示屏屏幕显示尺寸：5.76M*2.4M，</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(3)像素点间距：≤1.86mm±0.03mm、像素构成1R/1G/1B；；</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(4)模组尺寸(mm):320×160mm；箱体规格：640*480*85mm</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(5)模组分辨率(dots):172×86,箱体分辨率：344*258</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(6)像素点密度(dots/㎡): 289000点，</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(7)输入功率 (最大值)：700 W/m2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(8)输入功率(平均值）230W/m2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(9)白平衡亮度(nit)：≥1200cd/m2</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(10)色温(K)：2000-9500可调</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(11)工作温湿度：-20℃– 50℃</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(12)LED封装方式：SMD1515</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(13)刷新频率：≥3840HZ</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(14)可视角度：水平≥170°/垂直≥160°</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(15)对比度：≥6000:1</w:t>
            </w:r>
          </w:p>
          <w:p>
            <w:pPr>
              <w:widowControl/>
              <w:jc w:val="left"/>
              <w:textAlignment w:val="center"/>
              <w:rPr>
                <w:rFonts w:hint="eastAsia" w:ascii="宋体" w:hAnsi="宋体" w:cs="宋体"/>
                <w:color w:val="000000"/>
                <w:sz w:val="18"/>
                <w:szCs w:val="18"/>
              </w:rPr>
            </w:pPr>
            <w:r>
              <w:rPr>
                <w:rFonts w:hint="eastAsia" w:ascii="宋体" w:hAnsi="宋体" w:cs="宋体"/>
                <w:kern w:val="0"/>
                <w:sz w:val="18"/>
                <w:szCs w:val="18"/>
              </w:rPr>
              <w:t>(16)符合盐雾10级要求；图像0-100%可调，具备对比度、色调、色饱和度、灰度校正系数、色彩范围、图像变倍、单模组亮度调节等。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51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1)接收卡</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(2)集成 HUB75，无需再配转接板，更方便，成本更低；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(3)减少接插连接件，减少故障点，故障率更低； 3、支持常规芯片实现高刷新、高灰度、高亮度；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(4)全新灰度引擎，低灰度表现更佳；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(5)细节处理更完美，可消除单元板设计引起的某行偏暗、低灰偏红、鬼影等问题；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(6)支持高精度的色度、亮度一体化逐点校正；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(7)支持所有常规芯片、PWM 芯片和灯饰芯片；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(8)支持静态屏、2~64 扫之间的任意扫描类型；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 xml:space="preserve">(9)支持任意抽点，支持数据偏移，可轻松实现各种异型屏、球形屏、创意显示屏； </w:t>
            </w:r>
          </w:p>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(10)单卡支持 16 组 RGB 信号输出；</w:t>
            </w:r>
          </w:p>
          <w:p>
            <w:pPr>
              <w:widowControl/>
              <w:jc w:val="left"/>
              <w:textAlignment w:val="center"/>
              <w:rPr>
                <w:rFonts w:hint="eastAsia" w:ascii="宋体" w:hAnsi="宋体" w:cs="宋体"/>
                <w:color w:val="000000"/>
                <w:sz w:val="18"/>
                <w:szCs w:val="18"/>
              </w:rPr>
            </w:pPr>
            <w:r>
              <w:rPr>
                <w:rFonts w:hint="eastAsia" w:ascii="宋体" w:hAnsi="宋体" w:cs="宋体"/>
                <w:kern w:val="0"/>
                <w:sz w:val="18"/>
                <w:szCs w:val="18"/>
              </w:rPr>
              <w:t>(11)控制系统同品牌，与控制系统其他分项无缝兼容，完全满足控制系统性能需求。控制系统（含多画面拼接器、视频控制器、独立主控、同步接收卡）采用同一生产厂家同一品牌产品，严禁贴牌</w:t>
            </w:r>
            <w:r>
              <w:rPr>
                <w:rFonts w:hint="eastAsia" w:ascii="宋体" w:hAnsi="宋体" w:cs="宋体"/>
                <w:color w:val="000000"/>
                <w:kern w:val="0"/>
                <w:sz w:val="18"/>
                <w:szCs w:val="18"/>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18 </w:t>
            </w:r>
          </w:p>
        </w:tc>
      </w:tr>
      <w:tr>
        <w:tblPrEx>
          <w:tblCellMar>
            <w:top w:w="15" w:type="dxa"/>
            <w:left w:w="15" w:type="dxa"/>
            <w:bottom w:w="15" w:type="dxa"/>
            <w:right w:w="15" w:type="dxa"/>
          </w:tblCellMar>
        </w:tblPrEx>
        <w:trPr>
          <w:trHeight w:val="367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(1)专业主控-</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(2)支持多达 5 路输入接口，包括 1 路 DVI，1 路 HDMI1.3，1 路 VGA，1 路 USB 播放，1 路 CVBS，1 路选配扩展安卓子卡。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(3)支持三画面显示，位置/大小可自由调节，支持视频源任意切换，任意缩放。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(4)扩展子卡安装后支持使用鼠标或键盘进行控制和手机电脑等无线投屏。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(5)支持HDCP1.4</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(6)支持外置独立音频。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 DVI、HDMI 的输入分辨率预设及自定义调节。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(8)支持画面一键全屏缩放、点对点显示、自定义缩放三种缩放模式。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(9)支持快捷点屏，简单操作即可完成屏体配置。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(10)520万像素，单画面最宽4096，多画面拼接最宽可达8192点，或最高可达8192点；</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(11)支持亮度、色温调节，支持对比度、色调、饱和度调节，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(12)支持通过 RS232 协议连接中控设备。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(13)支持屏体参数调整，例如亮度、Gamma 等。</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(14)前面板直观的 LCD 显示界面，可直接观察4个网口的通讯状态，清晰的按键灯提示，简化了系统的控制操作。</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9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(1)LED钢结构支架--定制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(2)壁挂支架大屏结构，全部经过科学设计，承重计算，材料采用2*4镀锌方管及4*4镀锌角铁加厚钢材焊接，不锈钢包边，包含包边装饰、方管等耗材.</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(3)压铸铝箱体</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(4)采用模块化安装结构，具备拼缝和平整度调节机构</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网络服务器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(1)电脑</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(2)CPU：≥四核处理器，主频≥3.4GHz；主板：B250系列芯片及更高系列主板，内存：≥8G ?DDR4 2400MH，≥2个内存槽；硬盘：≥1TB 7200rpm ；显卡:集成显卡；显示器：≥19.5寸液晶显示器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6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机柜、机架</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(1)机柜--宽*深*高： 600*800*1200</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(2)厚度：设备安装方孔条2.0MM，安装梁1.5MM，其它1.2MM；材料除方孔条采用耐指纹镀铝锌板制</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6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配电箱</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(1)配电箱20KW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(2)主要功能：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(3)含主控开关、分路控制开关、接地端子等控制元件。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(4)含配电箱：配电柜具有分步启动过流保护功能；具有防腐、防锈、防尘功能；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(5)采用时控智能监控系统，系统具有无人值守功能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(6)电气防护具有过流、短路、断路等保护措施</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(7)能实现对LED显示屏多时段智能定时开关屏电源</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81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配线</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(1)配套配件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(2)电缆线：6*4+1；配电箱到屏幕电线：2.5*3条；网络线：8条</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(3)电源线、信号线（网线、DVI线等）、辅材（安装片、各类螺丝）、备品备件、运输及相关配件</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视频系统调试</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(1)显示屏安装调试及售后</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(2)现场定做.包括所用设备运输，搬运，安装，调试，按照业主需求，以符合本项目工程为基准。</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(3)为了后期售后考虑，投标人技术人员需具备中级或中级以上工程师至少一名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w:t>
            </w:r>
          </w:p>
        </w:tc>
        <w:tc>
          <w:tcPr>
            <w:tcW w:w="3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收银系统</w:t>
            </w:r>
          </w:p>
        </w:tc>
      </w:tr>
      <w:tr>
        <w:tblPrEx>
          <w:tblCellMar>
            <w:top w:w="15" w:type="dxa"/>
            <w:left w:w="15" w:type="dxa"/>
            <w:bottom w:w="15" w:type="dxa"/>
            <w:right w:w="15" w:type="dxa"/>
          </w:tblCellMar>
        </w:tblPrEx>
        <w:trPr>
          <w:trHeight w:val="96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收银台</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(1)POS收银双屏电脑（含钱箱）</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(2)POS收银双屏电脑（15.6寸触控双屏J1900/主板四核 /8G内存/128G固态硬盘/带58小票打印机/带钱箱/带二维高精度扫码枪/带键盘鼠</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4 </w:t>
            </w:r>
          </w:p>
        </w:tc>
      </w:tr>
      <w:tr>
        <w:tblPrEx>
          <w:tblCellMar>
            <w:top w:w="15" w:type="dxa"/>
            <w:left w:w="15" w:type="dxa"/>
            <w:bottom w:w="15" w:type="dxa"/>
            <w:right w:w="15" w:type="dxa"/>
          </w:tblCellMar>
        </w:tblPrEx>
        <w:trPr>
          <w:trHeight w:val="105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系统打印机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(1)全自动接单打印机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(2)打印宽度58mm，支持WIFI、4G、USB接入，云端打印，自动切纸, /3年保。支持接入第三方平台打印小票。推荐品牌：飞鹅、易联云</w:t>
            </w:r>
            <w:r>
              <w:rPr>
                <w:rFonts w:hint="eastAsia" w:ascii="宋体" w:hAnsi="宋体" w:cs="宋体"/>
                <w:color w:val="000000"/>
                <w:kern w:val="0"/>
                <w:sz w:val="18"/>
                <w:szCs w:val="18"/>
                <w:lang w:eastAsia="zh-CN"/>
              </w:rPr>
              <w:t>、得力</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(3)接入福建新华自助购小程序，打印销售小票</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电视</w:t>
            </w:r>
          </w:p>
        </w:tc>
      </w:tr>
      <w:tr>
        <w:tblPrEx>
          <w:tblCellMar>
            <w:top w:w="15" w:type="dxa"/>
            <w:left w:w="15" w:type="dxa"/>
            <w:bottom w:w="15" w:type="dxa"/>
            <w:right w:w="15" w:type="dxa"/>
          </w:tblCellMar>
        </w:tblPrEx>
        <w:trPr>
          <w:trHeight w:val="77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(1)电视含挂墙支架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(2)40寸，屏幕尺寸：16:9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(3)推荐：康佳、TCL、海信</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6 </w:t>
            </w:r>
          </w:p>
        </w:tc>
      </w:tr>
      <w:tr>
        <w:tblPrEx>
          <w:tblCellMar>
            <w:top w:w="15" w:type="dxa"/>
            <w:left w:w="15" w:type="dxa"/>
            <w:bottom w:w="15" w:type="dxa"/>
            <w:right w:w="15" w:type="dxa"/>
          </w:tblCellMar>
        </w:tblPrEx>
        <w:trPr>
          <w:trHeight w:val="390" w:hRule="atLeast"/>
          <w:jc w:val="center"/>
        </w:trPr>
        <w:tc>
          <w:tcPr>
            <w:tcW w:w="100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rPr>
              <w:t>网络设备</w:t>
            </w:r>
          </w:p>
        </w:tc>
      </w:tr>
      <w:tr>
        <w:tblPrEx>
          <w:tblCellMar>
            <w:top w:w="15" w:type="dxa"/>
            <w:left w:w="15" w:type="dxa"/>
            <w:bottom w:w="15" w:type="dxa"/>
            <w:right w:w="15" w:type="dxa"/>
          </w:tblCellMar>
        </w:tblPrEx>
        <w:trPr>
          <w:trHeight w:val="6612"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防火墙</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(1)防火墙</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(2)系统应采用非插卡式设备，不需要业务卡即可实现下一代防火墙业务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(3)为保证防火墙运行的稳定性和处理能力，要求设备采用非X86架构对各项安全功能进行加速优化处理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(4)系统具有良好的可扩展性，能够扩展支持病毒防御、入侵防御、应用识别、垃圾邮件过滤、文件防泄漏、上网行为管理、APT防御、僵尸主机检测、IPSEC VPN与SSL VPN等功能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(5)要求固化千兆电口数量≥14个；千兆光口数量≥2个；为保障接口稳定性，所投产品必须是固化接口，而非板卡接口，标准的1U设备而非桌面级设备；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(6)三层网络吞吐≥3Gbps ，IPS吞吐量≥1.4Gbps，最大并发连接≥130万，最大新建连接≥30000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(7)IPSEC VPN隧道数≥200，设备本身要求自带200个IPSec VPN授权；SSL VPN并发用户数≥100，设备本身要求自带100个 SSL VPN授权；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(8)要求支持虚拟防火墙，且每个虚拟防火墙独立管理；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(9)支持SYN Flood、UDP Flood、ICMP Flood、LAND攻击、Smurf攻击、Fraggle攻击、Winnuke等攻击防护；具备硬件TCP SYN FLOOD防护加速能力</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(10)策略具备接口、地址、服务、时间、用户、带宽等的配置。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(11)支持基于特定源地址、目的地址、应用端口组合的会话数限制。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(12)入侵检测特征库≥5000种；</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(13)支持HTTP、FTP、IMAP、POP3、SMTP、IM、HTTPS、IMAPS、POP3S、SMTPS协议病毒过滤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(14)支持深达10级以上的文件压缩。可以限制过滤文件的大小，对超大文件采取“通过”或“阻止”动作。</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(15)支持对VPN传输隧道内容进行病毒过滤；</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(16)支持基于代理模式、流模式的垃圾邮件检测过滤，防垃圾邮件功能支持IP地址过滤、邮件地址过滤、MIME头信息、邮件内容过滤、RBL实时黑名单、域名解析等多种方法。</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(17)提供三年特征库升级服务；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(19)推荐：锐捷、华三，华为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65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路由器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(1)路由器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(2)支持固化千兆电口≥8个，固化千兆光口≥1个，固化万兆光口≥1个；</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(3)标准1U机箱，多核非X86架构；内置1个硬盘，硬盘容量≥1T；</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(4)内置1个电源，整机功耗低于25W；支持内存≥2GB；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(5)支持静态路由、RIP(V1/V2)、RIPng、OSPFv2等多种路由协议；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(6)为保证在多条外网线路情况下带宽的合理分配使用，设备必须支持多链路负载均衡，负载均衡可基于带宽等多种方式；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(7)支持正向DNS代 理功能，可根据配置实现对不同外网线路的DNS服务器地址管理；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(8)支持智能DNS，无需内部服务器做任何修改情况下，为外网用户提供一个与该用户相同运营商的链路对内访问；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(10)要求所投产品内置多种流控模型，包括娱乐模板，办公模板，专家模板等，支持一键开启智能流量控制；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(11)支持网络资源加速(主动缓存)，可对指 定网络资源提供热点资源本地化服务；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(12)支持应用缓存加速(被动缓存)，可将用户访问过的APP(IOS及Android)均缓存到本地，供其他访问相同APP的用户在本地下载，提高下载速度；</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(14)推荐：锐捷、华三，华为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580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中央管理系统</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(1)上网行为管理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(2)所投产品须整机最少支持5个千兆电口，具有1T的硬盘存储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(3)设备最大吞吐量≥1Gbps，最大支持并发连接数50万,每秒新建连接数≥7000/秒</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(4)支持网桥部署、路由模式部署、旁路部署、混合部署</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(5)支持以HTTP及SSL加密的WEB图形化接口进行设备配置和管理，支持英语、简体中文、繁体中文接口；可利用谷歌、火狐、IE浏览器访问设备。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(6)设备将主动通过SNMP协议去读取三层交换机上的内网主机的MAC地址，支持三层环境下绑定MAC或绑定IP+MAC进行上网认证的实现方式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(7)支持单点登录的类型包括:AD SSO、PPPOE SSO、WEB SSO</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(8)支持基于MAC地址免认证，支持CDMA/GSM短信猫，支持第三方短信服务提供商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(9)用户可以自助申请上网临时账号，账号可以通过邮件、短信发送给用户，输入该账号密码即可完成认证上网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(10)可以识别无线终端接入设备，并进行允计或拒绝上网策略，包括IOS、 Android、 IPAD设备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(11)可检测出内网用户私接无线路由器、360WiFi等设备的共享上网行为，进行告警及阻断</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(12)支持将特殊协议（如MPLS、PPPoE、VLAN（Q-in-Q）等）的协议头剥离掉，这样可以对特殊协议封装内的原始数据进行认证、审计和控制。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(13)支持基于线路的流控、基于应用的流控、基于URL的流控、基于IP的流控、基于用户组的流控、基于时间段的流控、基于单个用户的流控</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(14)限制指定的应用一天内可以使用的流量总额或使用时长</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(15)含三年特征库升级授权</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(17)推荐：锐捷、华三，华为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个</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78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(1)核心交换机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(2)固化端口：≥28个10/100/1000Mbps电口，≥4个SFP+光口。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(3)交换容量≥5.98T；包转发率≥342Mpps。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(4)设备可提供2个扩展槽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(5)整机采用绿色环保设计，满负荷情况下电源功率≤70W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(6)要求所投设备MAC地址≥64K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(7)要求所投设备ARP表项≥20K(8)</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(8)要求所投产品支持软件定义网络SDN，符合OpenFlow 1.3协议标准.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(9)要求所投设备FIB表项≥12K；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(10)支持基于端口的出方向和入方向限速，限端口速粒度≤64Kbps；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(11)支持基于流的出方向和入方向限速，且流限速粒度≤8Kbps；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(12)要求所投设备支持1对1、1对多、多对1和基于流的镜像；且支持RSPAN和ERSPAN。</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(13)支持虚拟化功能，最多可将9台物理设备虚拟化为一台逻辑设备统一管理，并且链路故障的收敛时间≤50ms（最快8ms）。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(14)要求所投产品支持ITU-TG.8032国际公有环网协议ERPS,支持相切环和相交环，并且链路故障的收敛时间≤50ms；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(16)要求所投产品支持模块化操作系统，支持针对单一模块打热补丁，故障模块升级中不影响其他进程的正常运行和业务转发。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(17)要求所投产品具备节能环保设计。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(18)支持无需收集哑终端MAC和IP地址，实现哑终端入网IP+mac绑定及终端自动上线与vlan/端口无关，即插即用。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(19)支持静动态IP地址可视化管理。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(20)要求所投产品支持端口特定的隔离策略，既能隔离arp、单播、dhcp报文又能放通其他正常的二层报文。(21)支持ARP防欺骗的功能，在交换机端口启用802.1X和WEB认证功能的前提下，能够禁止非法用户的ARP欺骗报文，保护合法用户免受其害，防止合法用户的数据被窃取。</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(22)推荐：锐捷、华三，华为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08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(1)48口汇聚交换机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(2)固化端口：≥48个10/100/1000Mbps电口，≥4个SFP+光口；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(3)交换容量≥336Gbps，包转发率≥144Mpps；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28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(1)24口接入交换机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(2)固化端口：≥24个10/100/1000Mbps电口，≥4个SFP光口；(3)2、交换容量≥336Gbps，包转发率≥42Mpps；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3 </w:t>
            </w:r>
          </w:p>
        </w:tc>
      </w:tr>
      <w:tr>
        <w:tblPrEx>
          <w:tblCellMar>
            <w:top w:w="15" w:type="dxa"/>
            <w:left w:w="15" w:type="dxa"/>
            <w:bottom w:w="15" w:type="dxa"/>
            <w:right w:w="15" w:type="dxa"/>
          </w:tblCellMar>
        </w:tblPrEx>
        <w:trPr>
          <w:trHeight w:val="75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模块(模块箱)</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(1)万兆光纤模块</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(2)万兆单模光模块，波长1310nm,传输距离10KM。</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8 </w:t>
            </w:r>
          </w:p>
        </w:tc>
      </w:tr>
      <w:tr>
        <w:tblPrEx>
          <w:tblCellMar>
            <w:top w:w="15" w:type="dxa"/>
            <w:left w:w="15" w:type="dxa"/>
            <w:bottom w:w="15" w:type="dxa"/>
            <w:right w:w="15" w:type="dxa"/>
          </w:tblCellMar>
        </w:tblPrEx>
        <w:trPr>
          <w:trHeight w:val="348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控制设备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(1)无线控制器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(2)默认可管理全网设备数（包括：网关+交换机+AP）共256个；</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(3)固化千兆电口数≥5；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(4)单台设备最大支持的在线无线用户数目≥2K；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(5)要求设备可使用AP的本地数据转发技术模式，根据网络的SSID和用户VLAN的规划，数据可直接进入有线网络进行本地交换，从而更好的适应未来无线网络更高流量传输的要求；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(6)AP和AC之间支持L2/L3层网络拓扑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(7)要求设备可以支持二层和三层的组网，支持跨AP跨三层快速漫游，三层漫游可支持基于SSID生效。</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要求设备内置云控制模式，该模式支持以真实拓扑为入口对全网设备进行可视化配置，可视化监控，可视化管理，包括网关，交换机，无线AP；可实时监测网络环境，故障告警定位，支持内网监控摄像头扫描与智能识别，支持内网穿透远程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14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(1)24口POE交换机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(2)固化端口：≥24个10/100/1000Mbps电口，≥4个SFP光口；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(4)支持PoE供电口≥24个，整机POE输出功率≥370W, 单口最大输出功率≥30W；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(11)推荐：锐捷、华三，华为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308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(1)8口千兆POE交换机(2)1、固化端口：≥8个10/100/1000Mbps电口，；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(2)交换容量≥336Gbps，包转发率≥42Mpps；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(3)支持PoE供电口≥8个，整机POE输出功率≥370W, 单口最大输出功率≥30W；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(4)为避免网络被异常流量和突发流量波及导致网络瘫痪，要求设备支持QOS，支持端口流量限速;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(9)为了售后的统一及维护方便 ，本次项目所用防火墙、路由器、行为管理、交换机、无线AP为同一品牌；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92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(1)8口千兆交换机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(2)支持专门针对CPU的保护机制，能够针对发往CPU处理的各种报文进行流量控制和优先级处理，保护交换机在各种环境下稳定工作；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(3)支持标准的ACL、支持基于IP/MAC扩展的ACL；</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(4)符合国家低碳环保等政策要求，支持IEEE 802.3az标准的EEE节能技术；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(5)支持网管平台管理，通过可上网的PC或者手机，即可完成部署，即插即用，支持可视化整网拓扑、前面板端口通断状态呈现、CPU、内存利用率、设备配置等功能；</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(6)推荐：锐捷、华三，华为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4 </w:t>
            </w:r>
          </w:p>
        </w:tc>
      </w:tr>
      <w:tr>
        <w:tblPrEx>
          <w:tblCellMar>
            <w:top w:w="15" w:type="dxa"/>
            <w:left w:w="15" w:type="dxa"/>
            <w:bottom w:w="15" w:type="dxa"/>
            <w:right w:w="15" w:type="dxa"/>
          </w:tblCellMar>
        </w:tblPrEx>
        <w:trPr>
          <w:trHeight w:val="300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路由器</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(1)双频吸顶AP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(2)支持标准支持802.11a/n/ac和802.11b/g/n，同时支持支持802.11ac Wave2协议；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(3)支持双频(2.4G双流，5G单流), 2.4G提供最高提供400Mbps的接入速率，5G提供最高提供433Mbps的接入速率，整机提供833Mbsp的接入速率；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(4)实配2个10/100/1000Base-T以太网口；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(5)支持PoE以太网供电（支持802.3af/802.3at兼容供电）和本地供电（DC 12V）；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(6)要求所投产品可以通过同一品牌的网管软件实现：在线状态查询、配置修改，无线用户终端详情：包含用户mac地址、信号强度、频段、总流量、终端os类型、终端厂商等，实配网管平台，提供功能截图；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(7)要求所投产品支持网管平台集中管理，实配网管平台，出现设备掉线、CPU状态、内存状态等问题通过微信告警推送；</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(8)为了售后的统一及维护方便 ，本次项目所用防火墙、路由器、行为管理、交换机、无线AP为同一品牌；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27 </w:t>
            </w:r>
          </w:p>
        </w:tc>
      </w:tr>
      <w:tr>
        <w:tblPrEx>
          <w:tblCellMar>
            <w:top w:w="15" w:type="dxa"/>
            <w:left w:w="15" w:type="dxa"/>
            <w:bottom w:w="15" w:type="dxa"/>
            <w:right w:w="15" w:type="dxa"/>
          </w:tblCellMar>
        </w:tblPrEx>
        <w:trPr>
          <w:trHeight w:val="257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监控摄像设备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(1)监控摄像机含配套支架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(2)1T算力，1/2.7 inch CMOS，500万像素，2.8mm-12mm焦距，红外补光50m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(3)最大功耗：10W、典型功耗：3.5W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(4)电源电压：DC12V±20%，POE（802.3af）</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(5)设备尺寸：115mm×140mm×297mmmm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(6)网络接口：1个RJ45 10M/100M自适应以太网口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(7)支持热度图、多算法切换、行为分析、人群态势分析、人脸、人体、机非人、车辆、交通数据统计;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(8)支持宽动态、背光补偿、白平衡、强光抑制等图像增强技术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(9)IP67防护等级，支持POE供电，</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(10)支持国标UDP/TCP，RTSP，FTP等协议</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12 </w:t>
            </w:r>
          </w:p>
        </w:tc>
      </w:tr>
      <w:tr>
        <w:tblPrEx>
          <w:tblCellMar>
            <w:top w:w="15" w:type="dxa"/>
            <w:left w:w="15" w:type="dxa"/>
            <w:bottom w:w="15" w:type="dxa"/>
            <w:right w:w="15" w:type="dxa"/>
          </w:tblCellMar>
        </w:tblPrEx>
        <w:trPr>
          <w:trHeight w:val="30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监控摄像设备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(1)网络高清电梯摄像机(2)(2)全彩级高灵敏度传感器，F1.0超大光圈镜头，提供更清晰的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(3)视频流输入</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(4)?8?7 最高分辨率可达1920 × 1080 @25 fps，在该分辨率下可输</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(5)出实时图像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(6)?8?7 支持ROI感兴趣区域增强编码，支持Smart265/264编码，可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(7)根据场景情况自适应调整码率分配，有效节省存储成本</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(8)?8?7 支持背光补偿，强光抑制，3D数字降噪，120 dB宽动态，适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(9)应不同监控环境</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(10)?8?7 支持萤石平台接入</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(11)?8?7 支持暖光灯补光，照射距离最远可达50 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(12)?8?7 1个内置麦克风，高清拾音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(13)?8?7 符合IP66防尘防水设计，可靠性高</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493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录像设备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(1)32路网络硬盘录像机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(2)网络视频输入 32路，接入能力320Mbps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(3)视频转发 转发能力320Mbps，回放下载 回放能力128Mbps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(4)8盘位，每个接口最大容量支持8TB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(5)设备接入支持HUAWEI SDK、ONVIF标准协议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(6)预览模式 支持1/4/6/8/9/10/12/13/14/16/17/19/20/22/25/32/36/64画面</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(7)2*100/1000M以太网卡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(8)3*USB接口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(9)1*RCA接口输入/输出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(10)支持华为SDC智能事件联动</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(11)支持16路同步回放，支持多倍速回放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(12)支持手动录像、计划录像、移动侦测、IO告警联动触发的录像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(13)兼容TCP/UDP/RTP/NTP/SMTP等网络协议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(14)工作温度 -5℃~55℃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(15)工作湿度 20%～90%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(16)功耗（不含硬盘） ≤25W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(17)电源 输入：AC200-240V/50-60Hz</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(18)外形尺寸 440mm（宽）X460mm（深）X89mm（高）</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(19)重量（不含硬盘） 6.59kg</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93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录像设备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(1)监控硬盘</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(2)6T监控专用硬盘</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12 </w:t>
            </w:r>
          </w:p>
        </w:tc>
      </w:tr>
      <w:tr>
        <w:tblPrEx>
          <w:tblCellMar>
            <w:top w:w="15" w:type="dxa"/>
            <w:left w:w="15" w:type="dxa"/>
            <w:bottom w:w="15" w:type="dxa"/>
            <w:right w:w="15"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(1)机房显示器24寸</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6425"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电脑视频系统设备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(1)电脑视频系统设备</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(2)同显视频电脑电视一体机，含挂墙支架</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(3)为保护钢化玻璃四周，外观采用表面氧化拉丝工艺处理铝型材包边方式对钢化玻璃固定结构设计（非传统的粘贴或胶固化方法），彻底保证玻璃的牢固性、稳定性，弧形无直角设计，安全可靠，美观大方。</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(4)产品符合IP6X防尘和IPX5防水要求，达到V-0阻燃等级要求。</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(5)显示屏参数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(6)尺寸：43英寸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(7)视角：178 度 (H) / 178 度 (V)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(8)亮度：300cd/m2</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(9)对比度：1200:1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(10)响 应 时 间：8ms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(11)屏体分辨率：1920（H）×1080(V)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(12)有效显示面积：914.184(H)mmx529.416(V)mm</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(13)电脑参数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(14)1.工业级主板，CPU I5酷睿双核以上，内存4G DDR3，硬盘120G SSD，无线WIFI</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(15)2.接口：HDMI端口*1，VGA端口*1，USB 2.0*2，USB 3.0*2，RJ45 *1，耳麦/麦克*1，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(16)内置喇叭高低音：内置喇叭高低音</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(17)喇叭功率：10W×2</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(18)输入电压交流电：100～240V 50/60Hz</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(19)为保证产品质量和性能的可靠性，要求提供所供产品生产厂商的国家强制性3c认证证书和节能认证证书</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(20)须提供生产厂家针对本项目的授权书原件及质保证明函原件。</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3821"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(1)监控核心交换机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(2)性能：交换容量≥598Gbps；转发性能≥222Mpps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(3)性能指标MAC地址表≥32K、路由表容量≥24K、ARP表项≥16K</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(4)接口类型：≥24千兆电口(其中8千兆SFP)+4万兆SFP光口+1业务扩展槽，1个mini USB和1个USB口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(5)硬件可靠：支持可热插拔模块电源冗余和可热插拔模块化风扇冗余</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(6)支持横向虚拟化（≥9台设备，最大堆叠带宽≥160G）</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(7)支持STP/RSTP/MSTP、支持RRPP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(8)支持DHCP Server/ DHCP Relay/ DHCP Snooping/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(9)支持WRR、WFQ、SP+WRR、WDRR、SP+WDRR、SP+WFQ</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(10)支持本地端口镜像和远程端口镜像RSPAN</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(11)支持支持静态路由、RIPv1/v2，RIPng、OSPFv1/v2，OSPFv3、BGP4，BGP4+ for IPv6、等价路由，策略路由</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(12)支持VRRP/VRRPv3支持802.1X认证/集中式MAC地址认证、支持PORTAL认证、支持动态ARP检测，防止中间人攻击和ARP拒绝服务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(13)支持基于第二层、第三层和第四层的ACL；整机提供ACl条目数不小于3K条；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(14)符合IEEE 802.3az（EEE）节能标准、支持端口休眠，关闭没有应用的端口，节省能源</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(15)为了保障整体网络兼容性和统一售后，要求网络统一品牌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27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(1)千兆POE交换机24口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(2)端口：≥24个10/100/1000M以太网电接口+2千兆SFP光口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(3)支持POE+供电；POE供电功率≥370W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(4)支持业务端口防雷≥9KV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(5)支持共享缓存架构；支持拨码开关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(6)品牌 要求网络产品同一品牌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136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交换机</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(1)千兆POE交换机16口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(2)端口：≥16个10/100/1000M以太网电接口+2千兆SFP光口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(3)支持POE+供电；POE供电功率≥370W</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(4)支持业务端口防雷≥9KV</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(5)支持共享缓存架构；支持拨码开关</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(6)品牌 要求网络产品同一品牌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40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机柜、机架</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(1)过渡设备箱300*400*500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2 </w:t>
            </w:r>
          </w:p>
        </w:tc>
      </w:tr>
      <w:tr>
        <w:tblPrEx>
          <w:tblCellMar>
            <w:top w:w="15" w:type="dxa"/>
            <w:left w:w="15" w:type="dxa"/>
            <w:bottom w:w="15" w:type="dxa"/>
            <w:right w:w="15"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视频系统调试</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(1)监控摄像设备调试</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系统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r>
        <w:tblPrEx>
          <w:tblCellMar>
            <w:top w:w="15" w:type="dxa"/>
            <w:left w:w="15" w:type="dxa"/>
            <w:bottom w:w="15" w:type="dxa"/>
            <w:right w:w="15" w:type="dxa"/>
          </w:tblCellMar>
        </w:tblPrEx>
        <w:trPr>
          <w:trHeight w:val="5784"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视频系统设备</w:t>
            </w:r>
          </w:p>
        </w:tc>
        <w:tc>
          <w:tcPr>
            <w:tcW w:w="7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(1)视频会议系统</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(2)1部1080P高清会议终端；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(3)视频输入接口：HDMI 、,3G SDI，VGA</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(4)视频输出接口：HDMI、SDI、HD－BASE</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(5)音频输入：RCA，HDMI，,XLR</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(6)音频输出： RCA，HDMI</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(7)USB接口：USB</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(8)支持485接口</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(9)网络接口：4×10/100/1000Mbps自适应接口,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(10)框架协议 IETF SIP；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(11)视频编解码协议 H.264BP、H.264HP、H.265；</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(12)双流协议 BFCP；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(13)音频编解码协议 AAC_LD、Opus、g722.1、g722.1c、G722、G711a、G711u、Amrwb、G723、ilbc；</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(14)网络传输协议 TCP/IP、FTP、FTPS、DHCP、SNMP、Telnet、SSH、HTTP、HTTPS、RTP、RTCP、SNTP；</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(15)支持高清视频支持分层编码传输控制技术、丢包恢复（PLC）技术；</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(16)工作电压：AC 110V~240V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(17)工作温度：-5℃~40℃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(18)视频会议摄像机（2台）</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(19)1/2.7英寸, CMOS，1080P高清摄像机，；</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(20)12倍光学变，16倍数字变焦，f3.5mm ~ 42.3mm, F1.8 ~ F2.8；</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(21)快门：1/30s ~ 1/10000s；</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(22)预置位：255个（精度&lt;0.1°）</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(23)云台转动活范围  水平：±170°，垂直：-30°~+90°</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(24)云台转动速度范围 水平：1.7°~ 100°/秒，垂直1.7° ~ 69.9°/秒。</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(25)支持RS232+RS48;</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(26)含安装调试</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1 </w:t>
            </w:r>
          </w:p>
        </w:tc>
      </w:tr>
    </w:tbl>
    <w:p>
      <w:pPr>
        <w:spacing w:line="460" w:lineRule="exact"/>
        <w:jc w:val="left"/>
        <w:rPr>
          <w:rFonts w:hint="eastAsia" w:ascii="宋体" w:hAnsi="宋体"/>
          <w:sz w:val="24"/>
        </w:rPr>
      </w:pPr>
      <w:r>
        <w:rPr>
          <w:rFonts w:hint="eastAsia" w:ascii="宋体" w:hAnsi="宋体"/>
          <w:sz w:val="24"/>
        </w:rPr>
        <w:t>一、交货期：</w:t>
      </w:r>
      <w:r>
        <w:rPr>
          <w:rFonts w:hint="eastAsia" w:ascii="宋体" w:hAnsi="宋体"/>
          <w:sz w:val="24"/>
          <w:u w:val="single"/>
        </w:rPr>
        <w:t>自合同生效之日起15日历天。</w:t>
      </w:r>
      <w:r>
        <w:rPr>
          <w:rFonts w:hint="eastAsia" w:ascii="宋体" w:hAnsi="宋体"/>
          <w:sz w:val="24"/>
          <w:highlight w:val="yellow"/>
        </w:rPr>
        <w:br w:type="textWrapping"/>
      </w:r>
      <w:r>
        <w:rPr>
          <w:rFonts w:hint="eastAsia" w:ascii="宋体" w:hAnsi="宋体"/>
          <w:sz w:val="24"/>
        </w:rPr>
        <w:t>二、售后服务要求</w:t>
      </w:r>
    </w:p>
    <w:p>
      <w:pPr>
        <w:spacing w:line="460" w:lineRule="exact"/>
        <w:ind w:firstLine="480" w:firstLineChars="200"/>
        <w:rPr>
          <w:rFonts w:hint="eastAsia"/>
          <w:sz w:val="24"/>
        </w:rPr>
      </w:pPr>
      <w:r>
        <w:rPr>
          <w:rFonts w:hint="eastAsia" w:ascii="宋体" w:hAnsi="宋体"/>
          <w:sz w:val="24"/>
        </w:rPr>
        <w:t>1.中标人对本项目</w:t>
      </w:r>
      <w:r>
        <w:rPr>
          <w:rFonts w:hint="eastAsia" w:ascii="宋体" w:hAnsi="宋体" w:cs="宋体"/>
          <w:sz w:val="24"/>
        </w:rPr>
        <w:t>所提供的货物质保期为2年，从采购人或第三方检验机构对所有货物验收合格次日起计算。</w:t>
      </w:r>
    </w:p>
    <w:p>
      <w:pPr>
        <w:spacing w:line="460" w:lineRule="exact"/>
        <w:ind w:firstLine="480" w:firstLineChars="200"/>
        <w:rPr>
          <w:rFonts w:hint="eastAsia" w:ascii="宋体" w:hAnsi="宋体"/>
          <w:sz w:val="24"/>
        </w:rPr>
      </w:pPr>
      <w:r>
        <w:rPr>
          <w:rFonts w:hint="eastAsia" w:ascii="宋体" w:hAnsi="宋体"/>
          <w:sz w:val="24"/>
        </w:rPr>
        <w:t>2.保修期内，中标人应对本项目</w:t>
      </w:r>
      <w:r>
        <w:rPr>
          <w:rFonts w:hint="eastAsia" w:ascii="宋体" w:hAnsi="宋体" w:cs="宋体"/>
          <w:sz w:val="24"/>
        </w:rPr>
        <w:t>所提供的货物</w:t>
      </w:r>
      <w:r>
        <w:rPr>
          <w:rFonts w:hint="eastAsia" w:ascii="宋体" w:hAnsi="宋体"/>
          <w:sz w:val="24"/>
        </w:rPr>
        <w:t>免费保修，非因操作不当造成要更换的零配件及设备由中标人负责包修、包换。</w:t>
      </w:r>
    </w:p>
    <w:p>
      <w:pPr>
        <w:spacing w:line="460" w:lineRule="exact"/>
        <w:ind w:firstLine="480" w:firstLineChars="200"/>
        <w:rPr>
          <w:rFonts w:hint="eastAsia"/>
        </w:rPr>
      </w:pPr>
      <w:r>
        <w:rPr>
          <w:rFonts w:hint="eastAsia" w:ascii="宋体" w:hAnsi="宋体"/>
          <w:bCs/>
          <w:sz w:val="24"/>
        </w:rPr>
        <w:t>3</w:t>
      </w:r>
      <w:r>
        <w:rPr>
          <w:rFonts w:ascii="宋体" w:hAnsi="宋体"/>
          <w:bCs/>
          <w:sz w:val="24"/>
        </w:rPr>
        <w:t>.</w:t>
      </w:r>
      <w:r>
        <w:rPr>
          <w:rFonts w:ascii="宋体" w:hAnsi="宋体"/>
          <w:b/>
          <w:sz w:val="24"/>
        </w:rPr>
        <w:t xml:space="preserve"> </w:t>
      </w:r>
      <w:r>
        <w:rPr>
          <w:rFonts w:hint="eastAsia" w:ascii="宋体" w:hAnsi="宋体"/>
          <w:sz w:val="24"/>
        </w:rPr>
        <w:t>中标人交货后，保证对质保期内的货物质量的技术支持和维护。</w:t>
      </w:r>
    </w:p>
    <w:p>
      <w:pPr>
        <w:spacing w:line="460" w:lineRule="exact"/>
        <w:ind w:firstLine="480" w:firstLineChars="200"/>
        <w:rPr>
          <w:rFonts w:hint="eastAsia" w:ascii="宋体" w:hAnsi="宋体"/>
          <w:sz w:val="24"/>
        </w:rPr>
      </w:pPr>
      <w:r>
        <w:rPr>
          <w:rFonts w:hint="eastAsia" w:ascii="宋体" w:hAnsi="宋体"/>
          <w:sz w:val="24"/>
        </w:rPr>
        <w:t>4..若质量保修期内系统运行发生故障，中标人首先得保证7*24小时电话技术支持，在设备影响正常运营时，中标人在采购人申请售后保障后保证1小时响应，4小时内到达现场，12小时内完成故障处理</w:t>
      </w:r>
      <w:r>
        <w:rPr>
          <w:rFonts w:hint="eastAsia" w:ascii="宋体" w:hAnsi="宋体" w:cs="宋体"/>
          <w:sz w:val="24"/>
        </w:rPr>
        <w:t>并修复产品</w:t>
      </w:r>
      <w:r>
        <w:rPr>
          <w:rFonts w:hint="eastAsia" w:ascii="宋体" w:hAnsi="宋体"/>
          <w:sz w:val="24"/>
        </w:rPr>
        <w:t>。</w:t>
      </w:r>
    </w:p>
    <w:p>
      <w:pPr>
        <w:spacing w:line="460" w:lineRule="exact"/>
        <w:ind w:firstLine="480" w:firstLineChars="200"/>
        <w:rPr>
          <w:rFonts w:hint="eastAsia" w:ascii="宋体" w:hAnsi="宋体"/>
          <w:sz w:val="24"/>
        </w:rPr>
      </w:pPr>
      <w:r>
        <w:rPr>
          <w:rFonts w:hint="eastAsia" w:ascii="宋体" w:hAnsi="宋体"/>
          <w:sz w:val="24"/>
        </w:rPr>
        <w:t>5.质保期内的保修服务均为中标人上门保修，由此产生的一切费用均由中标人自行承担。</w:t>
      </w:r>
    </w:p>
    <w:p>
      <w:pPr>
        <w:spacing w:line="460" w:lineRule="exact"/>
        <w:ind w:firstLine="480" w:firstLineChars="200"/>
        <w:rPr>
          <w:rFonts w:hint="eastAsia" w:ascii="宋体" w:hAnsi="宋体"/>
          <w:sz w:val="24"/>
        </w:rPr>
      </w:pPr>
      <w:r>
        <w:rPr>
          <w:rFonts w:hint="eastAsia" w:ascii="宋体" w:hAnsi="宋体"/>
          <w:sz w:val="24"/>
        </w:rPr>
        <w:t>6.中标人须无偿提供本次招标清单中的售后服务卡。</w:t>
      </w:r>
    </w:p>
    <w:p>
      <w:pPr>
        <w:keepNext w:val="0"/>
        <w:keepLines w:val="0"/>
        <w:pageBreakBefore w:val="0"/>
        <w:widowControl w:val="0"/>
        <w:kinsoku/>
        <w:wordWrap/>
        <w:topLinePunct w:val="0"/>
        <w:bidi w:val="0"/>
        <w:snapToGrid/>
        <w:spacing w:line="400" w:lineRule="exact"/>
        <w:jc w:val="left"/>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12"/>
        <w:widowControl/>
        <w:pBdr>
          <w:top w:val="none" w:color="auto" w:sz="0" w:space="0"/>
          <w:left w:val="none" w:color="auto" w:sz="0" w:space="0"/>
          <w:bottom w:val="none" w:color="auto" w:sz="0" w:space="0"/>
          <w:right w:val="none" w:color="auto" w:sz="0" w:space="0"/>
        </w:pBdr>
        <w:shd w:val="clear" w:color="auto" w:fill="FFFFFF"/>
        <w:kinsoku/>
        <w:wordWrap/>
        <w:overflowPunct/>
        <w:bidi w:val="0"/>
        <w:spacing w:before="0" w:after="0" w:line="270" w:lineRule="atLeast"/>
        <w:ind w:left="0" w:right="0"/>
        <w:jc w:val="right"/>
        <w:textAlignment w:val="baseline"/>
        <w:rPr>
          <w:rStyle w:val="8"/>
          <w:rFonts w:ascii="宋体" w:hAnsi="宋体" w:eastAsia="宋体"/>
          <w:i w:val="0"/>
          <w:caps w:val="0"/>
          <w:color w:val="252525"/>
          <w:kern w:val="0"/>
          <w:sz w:val="24"/>
          <w:szCs w:val="24"/>
          <w:lang w:val="en-US" w:eastAsia="zh-CN"/>
        </w:rPr>
      </w:pPr>
      <w:r>
        <w:rPr>
          <w:rStyle w:val="8"/>
          <w:rFonts w:ascii="宋体" w:hAnsi="宋体" w:eastAsia="宋体"/>
          <w:i w:val="0"/>
          <w:caps w:val="0"/>
          <w:color w:val="252525"/>
          <w:kern w:val="0"/>
          <w:sz w:val="24"/>
          <w:szCs w:val="24"/>
          <w:lang w:val="en-US" w:eastAsia="zh-CN"/>
        </w:rPr>
        <w:t>招标人：</w:t>
      </w:r>
      <w:r>
        <w:rPr>
          <w:rStyle w:val="8"/>
          <w:rFonts w:hint="eastAsia" w:ascii="宋体" w:hAnsi="宋体"/>
          <w:i w:val="0"/>
          <w:caps w:val="0"/>
          <w:color w:val="252525"/>
          <w:kern w:val="0"/>
          <w:sz w:val="24"/>
          <w:szCs w:val="24"/>
          <w:lang w:val="en-US" w:eastAsia="zh-CN"/>
        </w:rPr>
        <w:t xml:space="preserve">福建新华发行（集团）有限责任公司  </w:t>
      </w:r>
    </w:p>
    <w:p>
      <w:pPr>
        <w:pStyle w:val="12"/>
        <w:widowControl/>
        <w:pBdr>
          <w:top w:val="none" w:color="auto" w:sz="0" w:space="0"/>
          <w:left w:val="none" w:color="auto" w:sz="0" w:space="0"/>
          <w:bottom w:val="none" w:color="auto" w:sz="0" w:space="0"/>
          <w:right w:val="none" w:color="auto" w:sz="0" w:space="0"/>
        </w:pBdr>
        <w:shd w:val="clear" w:color="auto" w:fill="FFFFFF"/>
        <w:kinsoku/>
        <w:wordWrap/>
        <w:overflowPunct/>
        <w:bidi w:val="0"/>
        <w:spacing w:before="0" w:after="0" w:line="270" w:lineRule="atLeast"/>
        <w:ind w:left="0" w:right="0"/>
        <w:jc w:val="right"/>
        <w:textAlignment w:val="baseline"/>
        <w:rPr>
          <w:rStyle w:val="8"/>
          <w:rFonts w:ascii="宋体" w:hAnsi="宋体" w:eastAsia="宋体"/>
          <w:i w:val="0"/>
          <w:caps w:val="0"/>
          <w:color w:val="252525"/>
          <w:kern w:val="0"/>
          <w:sz w:val="24"/>
          <w:szCs w:val="24"/>
          <w:lang w:val="en-US" w:eastAsia="zh-CN"/>
        </w:rPr>
      </w:pPr>
      <w:r>
        <w:rPr>
          <w:rStyle w:val="8"/>
          <w:rFonts w:ascii="宋体" w:hAnsi="宋体" w:eastAsia="宋体"/>
          <w:i w:val="0"/>
          <w:caps w:val="0"/>
          <w:color w:val="252525"/>
          <w:kern w:val="0"/>
          <w:sz w:val="24"/>
          <w:szCs w:val="24"/>
          <w:lang w:val="en-US" w:eastAsia="zh-CN"/>
        </w:rPr>
        <w:t>招标代理机构：</w:t>
      </w:r>
      <w:r>
        <w:rPr>
          <w:rStyle w:val="8"/>
          <w:rFonts w:hint="eastAsia" w:ascii="宋体" w:hAnsi="宋体"/>
          <w:i w:val="0"/>
          <w:caps w:val="0"/>
          <w:color w:val="252525"/>
          <w:kern w:val="0"/>
          <w:sz w:val="24"/>
          <w:szCs w:val="24"/>
          <w:lang w:val="en-US" w:eastAsia="zh-CN"/>
        </w:rPr>
        <w:t>福建恒信工程咨询有限公司</w:t>
      </w:r>
    </w:p>
    <w:p>
      <w:pPr>
        <w:pStyle w:val="12"/>
        <w:widowControl/>
        <w:pBdr>
          <w:top w:val="none" w:color="auto" w:sz="0" w:space="0"/>
          <w:left w:val="none" w:color="auto" w:sz="0" w:space="0"/>
          <w:bottom w:val="none" w:color="auto" w:sz="0" w:space="0"/>
          <w:right w:val="none" w:color="auto" w:sz="0" w:space="0"/>
        </w:pBdr>
        <w:shd w:val="clear" w:color="auto" w:fill="FFFFFF"/>
        <w:kinsoku/>
        <w:wordWrap/>
        <w:overflowPunct/>
        <w:bidi w:val="0"/>
        <w:spacing w:before="0" w:after="0" w:line="270" w:lineRule="atLeast"/>
        <w:ind w:left="0" w:right="0"/>
        <w:jc w:val="right"/>
        <w:textAlignment w:val="baseline"/>
        <w:rPr>
          <w:rStyle w:val="8"/>
          <w:rFonts w:ascii="宋体" w:hAnsi="宋体" w:eastAsia="宋体"/>
          <w:i w:val="0"/>
          <w:caps w:val="0"/>
          <w:color w:val="252525"/>
          <w:kern w:val="0"/>
          <w:sz w:val="24"/>
          <w:szCs w:val="24"/>
          <w:lang w:val="en-US" w:eastAsia="zh-CN"/>
        </w:rPr>
      </w:pPr>
      <w:r>
        <w:rPr>
          <w:rStyle w:val="8"/>
          <w:rFonts w:ascii="宋体" w:hAnsi="宋体" w:eastAsia="宋体"/>
          <w:i w:val="0"/>
          <w:caps w:val="0"/>
          <w:color w:val="252525"/>
          <w:kern w:val="0"/>
          <w:sz w:val="24"/>
          <w:szCs w:val="24"/>
          <w:lang w:val="en-US" w:eastAsia="zh-CN"/>
        </w:rPr>
        <w:t>日期：20</w:t>
      </w:r>
      <w:r>
        <w:rPr>
          <w:rStyle w:val="8"/>
          <w:rFonts w:hint="eastAsia" w:ascii="宋体" w:hAnsi="宋体"/>
          <w:i w:val="0"/>
          <w:caps w:val="0"/>
          <w:color w:val="252525"/>
          <w:kern w:val="0"/>
          <w:sz w:val="24"/>
          <w:szCs w:val="24"/>
          <w:lang w:val="en-US" w:eastAsia="zh-CN"/>
        </w:rPr>
        <w:t>22</w:t>
      </w:r>
      <w:r>
        <w:rPr>
          <w:rStyle w:val="8"/>
          <w:rFonts w:ascii="宋体" w:hAnsi="宋体" w:eastAsia="宋体"/>
          <w:i w:val="0"/>
          <w:caps w:val="0"/>
          <w:color w:val="252525"/>
          <w:kern w:val="0"/>
          <w:sz w:val="24"/>
          <w:szCs w:val="24"/>
          <w:lang w:val="en-US" w:eastAsia="zh-CN"/>
        </w:rPr>
        <w:t>年</w:t>
      </w:r>
      <w:r>
        <w:rPr>
          <w:rStyle w:val="8"/>
          <w:rFonts w:hint="eastAsia" w:ascii="宋体" w:hAnsi="宋体"/>
          <w:i w:val="0"/>
          <w:caps w:val="0"/>
          <w:color w:val="252525"/>
          <w:kern w:val="0"/>
          <w:sz w:val="24"/>
          <w:szCs w:val="24"/>
          <w:lang w:val="en-US" w:eastAsia="zh-CN"/>
        </w:rPr>
        <w:t>6</w:t>
      </w:r>
      <w:r>
        <w:rPr>
          <w:rStyle w:val="8"/>
          <w:rFonts w:ascii="宋体" w:hAnsi="宋体" w:eastAsia="宋体"/>
          <w:i w:val="0"/>
          <w:caps w:val="0"/>
          <w:color w:val="252525"/>
          <w:kern w:val="0"/>
          <w:sz w:val="24"/>
          <w:szCs w:val="24"/>
          <w:lang w:val="en-US" w:eastAsia="zh-CN"/>
        </w:rPr>
        <w:t>月</w:t>
      </w:r>
      <w:r>
        <w:rPr>
          <w:rStyle w:val="8"/>
          <w:rFonts w:hint="eastAsia" w:ascii="宋体" w:hAnsi="宋体"/>
          <w:i w:val="0"/>
          <w:caps w:val="0"/>
          <w:color w:val="252525"/>
          <w:kern w:val="0"/>
          <w:sz w:val="24"/>
          <w:szCs w:val="24"/>
          <w:lang w:val="en-US" w:eastAsia="zh-CN"/>
        </w:rPr>
        <w:t>21</w:t>
      </w:r>
      <w:r>
        <w:rPr>
          <w:rStyle w:val="8"/>
          <w:rFonts w:ascii="宋体" w:hAnsi="宋体" w:eastAsia="宋体"/>
          <w:i w:val="0"/>
          <w:caps w:val="0"/>
          <w:color w:val="252525"/>
          <w:kern w:val="0"/>
          <w:sz w:val="24"/>
          <w:szCs w:val="24"/>
          <w:lang w:val="en-US" w:eastAsia="zh-CN"/>
        </w:rPr>
        <w:t>日</w:t>
      </w:r>
    </w:p>
    <w:p>
      <w:pPr>
        <w:widowControl/>
        <w:jc w:val="right"/>
        <w:textAlignment w:val="baseline"/>
        <w:rPr>
          <w:rStyle w:val="8"/>
          <w:rFonts w:ascii="宋体" w:hAnsi="宋体" w:eastAsia="宋体"/>
          <w:i w:val="0"/>
          <w:caps w:val="0"/>
          <w:color w:val="252525"/>
          <w:kern w:val="2"/>
          <w:sz w:val="24"/>
          <w:szCs w:val="24"/>
          <w:lang w:val="en-US" w:eastAsia="zh-CN" w:bidi="ar-SA"/>
        </w:rPr>
      </w:pPr>
    </w:p>
    <w:sectPr>
      <w:pgSz w:w="11906" w:h="16838"/>
      <w:pgMar w:top="873" w:right="1800" w:bottom="873"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2552"/>
    <w:multiLevelType w:val="singleLevel"/>
    <w:tmpl w:val="883C25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Q4NWIzYWFjMjBjNTU0OTQxMGZhNGNhMDdmMTIifQ=="/>
  </w:docVars>
  <w:rsids>
    <w:rsidRoot w:val="00000000"/>
    <w:rsid w:val="03716D43"/>
    <w:rsid w:val="03AC7D7B"/>
    <w:rsid w:val="07417DD0"/>
    <w:rsid w:val="077B0190"/>
    <w:rsid w:val="09931095"/>
    <w:rsid w:val="0A9E48A3"/>
    <w:rsid w:val="0FAB7314"/>
    <w:rsid w:val="13C20EF5"/>
    <w:rsid w:val="14B60DBE"/>
    <w:rsid w:val="16193907"/>
    <w:rsid w:val="172D0D7B"/>
    <w:rsid w:val="17C2451C"/>
    <w:rsid w:val="19C721E8"/>
    <w:rsid w:val="1C365D0E"/>
    <w:rsid w:val="1CC114A2"/>
    <w:rsid w:val="1F7D1F25"/>
    <w:rsid w:val="21696E53"/>
    <w:rsid w:val="21F81705"/>
    <w:rsid w:val="24856569"/>
    <w:rsid w:val="26F442CE"/>
    <w:rsid w:val="29156B40"/>
    <w:rsid w:val="2AFD5320"/>
    <w:rsid w:val="2E642E7C"/>
    <w:rsid w:val="2EC4290F"/>
    <w:rsid w:val="2ED200BA"/>
    <w:rsid w:val="2F2677DF"/>
    <w:rsid w:val="30E54782"/>
    <w:rsid w:val="38E250CA"/>
    <w:rsid w:val="40833041"/>
    <w:rsid w:val="42554B49"/>
    <w:rsid w:val="4441183E"/>
    <w:rsid w:val="4467753C"/>
    <w:rsid w:val="484E277B"/>
    <w:rsid w:val="486378A9"/>
    <w:rsid w:val="48785437"/>
    <w:rsid w:val="4BD45646"/>
    <w:rsid w:val="4E222EAD"/>
    <w:rsid w:val="51C27D36"/>
    <w:rsid w:val="57F40AA1"/>
    <w:rsid w:val="588A331D"/>
    <w:rsid w:val="60E43825"/>
    <w:rsid w:val="62D45C56"/>
    <w:rsid w:val="65CD0FB0"/>
    <w:rsid w:val="664C6AFF"/>
    <w:rsid w:val="66EC3434"/>
    <w:rsid w:val="69C118AB"/>
    <w:rsid w:val="6E7E3E71"/>
    <w:rsid w:val="76703A1D"/>
    <w:rsid w:val="782C1850"/>
    <w:rsid w:val="7B0C2B02"/>
    <w:rsid w:val="7B65767C"/>
    <w:rsid w:val="7B8210A3"/>
    <w:rsid w:val="7D2B38E7"/>
    <w:rsid w:val="7DFD162B"/>
    <w:rsid w:val="7E051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qFormat/>
    <w:uiPriority w:val="99"/>
    <w:pPr>
      <w:widowControl/>
      <w:tabs>
        <w:tab w:val="left" w:pos="0"/>
        <w:tab w:val="left" w:pos="993"/>
        <w:tab w:val="left" w:pos="1134"/>
      </w:tabs>
      <w:adjustRightInd/>
      <w:spacing w:line="500" w:lineRule="exact"/>
      <w:ind w:firstLine="567"/>
      <w:textAlignment w:val="auto"/>
    </w:pPr>
    <w:rPr>
      <w:rFonts w:ascii="宋体"/>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8"/>
    <w:link w:val="1"/>
    <w:qFormat/>
    <w:uiPriority w:val="0"/>
    <w:rPr>
      <w:b/>
    </w:rPr>
  </w:style>
  <w:style w:type="character" w:customStyle="1" w:styleId="8">
    <w:name w:val="NormalCharacter"/>
    <w:link w:val="1"/>
    <w:semiHidden/>
    <w:qFormat/>
    <w:uiPriority w:val="0"/>
  </w:style>
  <w:style w:type="character" w:styleId="9">
    <w:name w:val="Hyperlink"/>
    <w:basedOn w:val="8"/>
    <w:link w:val="1"/>
    <w:qFormat/>
    <w:uiPriority w:val="0"/>
    <w:rPr>
      <w:color w:val="0000FF"/>
      <w:u w:val="single"/>
    </w:rPr>
  </w:style>
  <w:style w:type="paragraph" w:customStyle="1" w:styleId="10">
    <w:name w:val="Fließtext"/>
    <w:basedOn w:val="1"/>
    <w:qFormat/>
    <w:uiPriority w:val="0"/>
    <w:pPr>
      <w:overflowPunct w:val="0"/>
      <w:autoSpaceDE w:val="0"/>
      <w:autoSpaceDN w:val="0"/>
      <w:adjustRightInd w:val="0"/>
      <w:jc w:val="both"/>
      <w:textAlignment w:val="baseline"/>
    </w:pPr>
    <w:rPr>
      <w:kern w:val="28"/>
      <w:szCs w:val="20"/>
    </w:rPr>
  </w:style>
  <w:style w:type="table" w:customStyle="1" w:styleId="11">
    <w:name w:val="TableNormal"/>
    <w:semiHidden/>
    <w:qFormat/>
    <w:uiPriority w:val="0"/>
  </w:style>
  <w:style w:type="paragraph" w:customStyle="1" w:styleId="12">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9073</Words>
  <Characters>12052</Characters>
  <TotalTime>0</TotalTime>
  <ScaleCrop>false</ScaleCrop>
  <LinksUpToDate>false</LinksUpToDate>
  <CharactersWithSpaces>12333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2020-07-28T07:25:00Z</dcterms:created>
  <dc:creator>Administrator</dc:creator>
  <cp:lastModifiedBy>zrj.zz</cp:lastModifiedBy>
  <dcterms:modified xsi:type="dcterms:W3CDTF">2022-06-21T05:55:30Z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543760BB38104370B6BED3854B1C2606</vt:lpwstr>
  </property>
</Properties>
</file>