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广西国乔项目管理有限公司关于崇左市职业技术学校图书馆（一期）设备安装建设、图书购置的更正公告</w:t>
      </w:r>
    </w:p>
    <w:p>
      <w:pPr>
        <w:pStyle w:val="6"/>
        <w:keepNext w:val="0"/>
        <w:keepLines w:val="0"/>
        <w:widowControl/>
        <w:suppressLineNumbers w:val="0"/>
        <w:spacing w:before="255" w:beforeAutospacing="0" w:after="255" w:afterAutospacing="0" w:line="240" w:lineRule="auto"/>
        <w:ind w:left="0" w:right="0"/>
        <w:jc w:val="both"/>
        <w:rPr>
          <w:rFonts w:ascii="黑体" w:hAnsi="宋体" w:eastAsia="黑体" w:cs="黑体"/>
          <w:sz w:val="24"/>
          <w:szCs w:val="24"/>
        </w:rPr>
      </w:pPr>
      <w:r>
        <w:rPr>
          <w:rStyle w:val="9"/>
          <w:rFonts w:ascii="微软雅黑" w:hAnsi="微软雅黑" w:eastAsia="微软雅黑" w:cs="微软雅黑"/>
          <w:sz w:val="24"/>
          <w:szCs w:val="24"/>
        </w:rPr>
        <w:t>一、项目基本情况</w:t>
      </w:r>
      <w:r>
        <w:rPr>
          <w:rFonts w:ascii="黑体" w:hAnsi="宋体" w:eastAsia="黑体" w:cs="黑体"/>
          <w:sz w:val="24"/>
          <w:szCs w:val="24"/>
        </w:rPr>
        <w:t xml:space="preserve">            </w:t>
      </w:r>
    </w:p>
    <w:p>
      <w:pPr>
        <w:pStyle w:val="6"/>
        <w:keepNext w:val="0"/>
        <w:keepLines w:val="0"/>
        <w:widowControl/>
        <w:suppressLineNumbers w:val="0"/>
        <w:spacing w:line="240" w:lineRule="auto"/>
        <w:ind w:left="0" w:firstLine="420"/>
      </w:pPr>
      <w:r>
        <w:rPr>
          <w:rFonts w:hint="eastAsia" w:ascii="微软雅黑" w:hAnsi="微软雅黑" w:eastAsia="微软雅黑" w:cs="微软雅黑"/>
          <w:sz w:val="24"/>
          <w:szCs w:val="24"/>
        </w:rPr>
        <w:t>原公告的采购项目编号：</w:t>
      </w:r>
      <w:r>
        <w:rPr>
          <w:rStyle w:val="10"/>
          <w:rFonts w:hint="eastAsia" w:ascii="微软雅黑" w:hAnsi="微软雅黑" w:eastAsia="微软雅黑" w:cs="微软雅黑"/>
          <w:sz w:val="24"/>
          <w:szCs w:val="24"/>
        </w:rPr>
        <w:t>CZZC2022-G1-990124-GQGL</w:t>
      </w:r>
      <w:r>
        <w:rPr>
          <w:rFonts w:hint="eastAsia" w:ascii="微软雅黑" w:hAnsi="微软雅黑" w:eastAsia="微软雅黑" w:cs="微软雅黑"/>
          <w:sz w:val="24"/>
          <w:szCs w:val="24"/>
        </w:rPr>
        <w:t>　　　　　　　　　　　                </w:t>
      </w:r>
    </w:p>
    <w:p>
      <w:pPr>
        <w:pStyle w:val="6"/>
        <w:keepNext w:val="0"/>
        <w:keepLines w:val="0"/>
        <w:widowControl/>
        <w:suppressLineNumbers w:val="0"/>
        <w:spacing w:line="240" w:lineRule="auto"/>
        <w:ind w:left="0" w:firstLine="420"/>
      </w:pPr>
      <w:r>
        <w:rPr>
          <w:rFonts w:hint="eastAsia" w:ascii="微软雅黑" w:hAnsi="微软雅黑" w:eastAsia="微软雅黑" w:cs="微软雅黑"/>
          <w:sz w:val="24"/>
          <w:szCs w:val="24"/>
        </w:rPr>
        <w:t>原公告的采购项目名称：</w:t>
      </w:r>
      <w:r>
        <w:rPr>
          <w:rStyle w:val="10"/>
          <w:rFonts w:hint="eastAsia" w:ascii="微软雅黑" w:hAnsi="微软雅黑" w:eastAsia="微软雅黑" w:cs="微软雅黑"/>
          <w:sz w:val="24"/>
          <w:szCs w:val="24"/>
        </w:rPr>
        <w:t>崇左市职业技术学校图书馆（一期）设备安装建设、图书购置</w:t>
      </w:r>
      <w:r>
        <w:rPr>
          <w:rFonts w:hint="eastAsia" w:ascii="微软雅黑" w:hAnsi="微软雅黑" w:eastAsia="微软雅黑" w:cs="微软雅黑"/>
          <w:sz w:val="24"/>
          <w:szCs w:val="24"/>
        </w:rPr>
        <w:t>　　　　　　　　　                </w:t>
      </w:r>
    </w:p>
    <w:p>
      <w:pPr>
        <w:pStyle w:val="6"/>
        <w:keepNext w:val="0"/>
        <w:keepLines w:val="0"/>
        <w:widowControl/>
        <w:suppressLineNumbers w:val="0"/>
        <w:spacing w:line="240" w:lineRule="auto"/>
        <w:ind w:left="0" w:firstLine="420"/>
      </w:pPr>
      <w:r>
        <w:rPr>
          <w:rFonts w:hint="eastAsia" w:ascii="微软雅黑" w:hAnsi="微软雅黑" w:eastAsia="微软雅黑" w:cs="微软雅黑"/>
          <w:sz w:val="24"/>
          <w:szCs w:val="24"/>
        </w:rPr>
        <w:t>首次公告日期：</w:t>
      </w:r>
      <w:r>
        <w:rPr>
          <w:rStyle w:val="10"/>
          <w:rFonts w:hint="eastAsia" w:ascii="微软雅黑" w:hAnsi="微软雅黑" w:eastAsia="微软雅黑" w:cs="微软雅黑"/>
          <w:sz w:val="24"/>
          <w:szCs w:val="24"/>
        </w:rPr>
        <w:t>2022年06月14日</w:t>
      </w:r>
      <w:r>
        <w:rPr>
          <w:rFonts w:hint="eastAsia" w:ascii="微软雅黑" w:hAnsi="微软雅黑" w:eastAsia="微软雅黑" w:cs="微软雅黑"/>
          <w:sz w:val="24"/>
          <w:szCs w:val="24"/>
        </w:rPr>
        <w:t>　　　　　　　　　　　                </w:t>
      </w:r>
    </w:p>
    <w:p>
      <w:pPr>
        <w:pStyle w:val="6"/>
        <w:keepNext w:val="0"/>
        <w:keepLines w:val="0"/>
        <w:widowControl/>
        <w:suppressLineNumbers w:val="0"/>
        <w:spacing w:before="255" w:beforeAutospacing="0" w:after="255" w:afterAutospacing="0" w:line="240" w:lineRule="auto"/>
        <w:ind w:left="0" w:right="0"/>
        <w:jc w:val="both"/>
        <w:rPr>
          <w:rFonts w:ascii="黑体" w:hAnsi="宋体" w:eastAsia="黑体" w:cs="黑体"/>
          <w:sz w:val="24"/>
          <w:szCs w:val="24"/>
        </w:rPr>
      </w:pPr>
      <w:r>
        <w:rPr>
          <w:rStyle w:val="9"/>
          <w:rFonts w:hint="eastAsia" w:ascii="微软雅黑" w:hAnsi="微软雅黑" w:eastAsia="微软雅黑" w:cs="微软雅黑"/>
          <w:sz w:val="24"/>
          <w:szCs w:val="24"/>
        </w:rPr>
        <w:t>二、更正信息</w:t>
      </w:r>
      <w:r>
        <w:rPr>
          <w:rFonts w:ascii="黑体" w:hAnsi="宋体" w:eastAsia="黑体" w:cs="黑体"/>
          <w:sz w:val="24"/>
          <w:szCs w:val="24"/>
        </w:rPr>
        <w:t xml:space="preserve">            </w:t>
      </w:r>
    </w:p>
    <w:p>
      <w:pPr>
        <w:pStyle w:val="6"/>
        <w:keepNext w:val="0"/>
        <w:keepLines w:val="0"/>
        <w:widowControl/>
        <w:suppressLineNumbers w:val="0"/>
        <w:spacing w:line="240" w:lineRule="auto"/>
        <w:ind w:left="0" w:firstLine="420"/>
      </w:pPr>
      <w:r>
        <w:rPr>
          <w:rFonts w:hint="eastAsia" w:ascii="微软雅黑" w:hAnsi="微软雅黑" w:eastAsia="微软雅黑" w:cs="微软雅黑"/>
          <w:sz w:val="24"/>
          <w:szCs w:val="24"/>
        </w:rPr>
        <w:t>更正事项：</w:t>
      </w:r>
      <w:r>
        <w:rPr>
          <w:rStyle w:val="10"/>
          <w:rFonts w:hint="eastAsia" w:ascii="微软雅黑" w:hAnsi="微软雅黑" w:eastAsia="微软雅黑" w:cs="微软雅黑"/>
          <w:sz w:val="24"/>
          <w:szCs w:val="24"/>
        </w:rPr>
        <w:t>采购公告,采购文件</w:t>
      </w:r>
      <w:r>
        <w:rPr>
          <w:rFonts w:hint="eastAsia" w:ascii="微软雅黑" w:hAnsi="微软雅黑" w:eastAsia="微软雅黑" w:cs="微软雅黑"/>
          <w:sz w:val="24"/>
          <w:szCs w:val="24"/>
        </w:rPr>
        <w:t>                  </w:t>
      </w:r>
    </w:p>
    <w:p>
      <w:pPr>
        <w:pStyle w:val="6"/>
        <w:keepNext w:val="0"/>
        <w:keepLines w:val="0"/>
        <w:widowControl/>
        <w:suppressLineNumbers w:val="0"/>
        <w:spacing w:line="240" w:lineRule="auto"/>
        <w:ind w:left="0" w:firstLine="420"/>
      </w:pPr>
      <w:r>
        <w:rPr>
          <w:rFonts w:hint="eastAsia" w:ascii="微软雅黑" w:hAnsi="微软雅黑" w:eastAsia="微软雅黑" w:cs="微软雅黑"/>
          <w:sz w:val="24"/>
          <w:szCs w:val="24"/>
        </w:rPr>
        <w:t>更正内容：                </w:t>
      </w:r>
      <w:r>
        <w:rPr>
          <w:rStyle w:val="10"/>
          <w:rFonts w:hint="eastAsia" w:ascii="微软雅黑" w:hAnsi="微软雅黑" w:eastAsia="微软雅黑" w:cs="微软雅黑"/>
          <w:sz w:val="24"/>
          <w:szCs w:val="24"/>
        </w:rPr>
        <w:t>     </w:t>
      </w:r>
    </w:p>
    <w:tbl>
      <w:tblPr>
        <w:tblStyle w:val="7"/>
        <w:tblW w:w="6011" w:type="pct"/>
        <w:tblCellSpacing w:w="15" w:type="dxa"/>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5"/>
        <w:gridCol w:w="1664"/>
        <w:gridCol w:w="3795"/>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更正项</w:t>
            </w:r>
          </w:p>
        </w:tc>
        <w:tc>
          <w:tcPr>
            <w:tcW w:w="1864"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更正前内容</w:t>
            </w:r>
          </w:p>
        </w:tc>
        <w:tc>
          <w:tcPr>
            <w:tcW w:w="1864"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标项名称:崇左职业技术学校电子检索区、24小时阅读中心、自助图书借阅区</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标项名称:电子检索区、24小时阅读中心、自助图书借阅区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标项名称:崇左职业技术学校纸质图书采购</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标项名称:纸质图书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标项名称:崇左职业技术学校数字阅读区</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标项名称:数字阅读区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标项名称:崇左职业技术学校电子阅览室、网络构建</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标项名称:电子阅览室、网络构建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5</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标项名称:崇左职业技术学校朗读亭</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标项名称:朗读亭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6</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标项名称:崇左职业技术学校图书馆其他内涵建设所需、藏书及阅览区</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标项六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标项名称:图书馆其他内涵建设所需、藏书及阅览区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7</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申请人的资格要求</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申请人的资格要求：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1.满足《中华人民共和国政府采购法》第二十二条规定；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2.落实政府采购政策需满足的资格要求： 本项目专门面向中小企业采购（供应商投标全部货物由中小微企业或监狱企业或残疾人福利性单位制造)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3.本项目的特定资格要求：供应商须具备有效的《中华人民共和国出版物经营许可证》</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申请人的资格要求：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标项二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1.满足《中华人民共和国政府采购法》第二十二条规定；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2.落实政府采购政策需满足的资格要求： 本项目为图书供应服务采购，专门面向中小企业采购（供应商为中小微企业或监狱企业或残疾人福利性单位)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3.本项目的特定资格要求：供应商须具备有效的《中华人民共和国出版物经营许可证》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第二章采购需求中的2分标“▲二、商务条款其他要求”</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1、供应商以折扣率报价：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本项目所有图书采购均按最终的码洋价折扣率报价核算采购金额，实际采购金额按实洋价付款。实洋价（供货价）=图书码洋价合计值*折扣率，且实洋价不得超出本项目预算价；当投标图书折扣率高于70%的，按无效投标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折扣率是指投标供应商根据本项目总成本（包括纸质图书、标准MARC数据、图书加工、备品备件、工具、运抵指定交货地点、现场安装调试、验收的各种费用和售后服务、税金及其他所有成本费用的总和。）情况所报出的折扣率，折扣率作为评审价。</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1、供应商以折扣率报价：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本项目所有图书采购均按最终的码洋价折扣率报价核算采购金额，实际采购金额按实洋价付款。实洋价（供货价）=图书码洋价合计值*折扣率，且实洋价不得超出本项目预算价；当投标图书折扣率高于70%的，按无效投标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折扣率是指投标供应商根据本项目总成本（包括纸质图书、标准MARC数据、图书加工、备品备件、工具、运抵指定交货地点、现场安装调试、验收的各种费用和售后服务、税金及其他所有成本费用的总和。）情况所报出的折扣率，折扣率作为评审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2、本项目为图书供应服务采购，包括图书配送、加工、上架。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9</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商务、技术文件：</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7.设备性能配置清单（格式后附）；（必须提供，否则按无效投标处理）</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7.设备性能配置清单（格式后附）；（必须提供，否则按无效投标处理；标项二不需提供）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10</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评标标准：标项二</w:t>
            </w:r>
          </w:p>
        </w:tc>
        <w:tc>
          <w:tcPr>
            <w:tcW w:w="1864" w:type="pct"/>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具体详见附件</w:t>
            </w:r>
          </w:p>
        </w:tc>
        <w:tc>
          <w:tcPr>
            <w:tcW w:w="1864" w:type="pct"/>
            <w:shd w:val="clear" w:color="auto" w:fill="auto"/>
            <w:vAlign w:val="center"/>
          </w:tcPr>
          <w:p>
            <w:pPr>
              <w:keepNext w:val="0"/>
              <w:keepLines w:val="0"/>
              <w:widowControl/>
              <w:suppressLineNumbers w:val="0"/>
              <w:wordWrap w:val="0"/>
              <w:jc w:val="left"/>
              <w:rPr>
                <w:rFonts w:hint="default"/>
                <w:lang w:val="en-US"/>
              </w:rPr>
            </w:pPr>
            <w:r>
              <w:rPr>
                <w:rFonts w:ascii="宋体" w:hAnsi="宋体" w:eastAsia="宋体" w:cs="宋体"/>
                <w:kern w:val="0"/>
                <w:sz w:val="24"/>
                <w:szCs w:val="24"/>
                <w:lang w:val="en-US" w:eastAsia="zh-CN" w:bidi="ar"/>
              </w:rPr>
              <w:t>具体详见</w:t>
            </w:r>
            <w:r>
              <w:rPr>
                <w:rFonts w:hint="eastAsia" w:ascii="宋体" w:hAnsi="宋体" w:eastAsia="宋体" w:cs="宋体"/>
                <w:kern w:val="0"/>
                <w:sz w:val="24"/>
                <w:szCs w:val="24"/>
                <w:lang w:val="en-US" w:eastAsia="zh-CN" w:bidi="ar"/>
              </w:rPr>
              <w:t>更改通知</w:t>
            </w:r>
            <w:r>
              <w:rPr>
                <w:rFonts w:ascii="宋体" w:hAnsi="宋体" w:eastAsia="宋体" w:cs="宋体"/>
                <w:kern w:val="0"/>
                <w:sz w:val="24"/>
                <w:szCs w:val="24"/>
                <w:lang w:val="en-US" w:eastAsia="zh-CN" w:bidi="ar"/>
              </w:rPr>
              <w:t>附件</w:t>
            </w:r>
            <w:r>
              <w:rPr>
                <w:rFonts w:hint="eastAsia" w:ascii="宋体" w:hAnsi="宋体" w:eastAsia="宋体" w:cs="宋体"/>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86"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11</w:t>
            </w:r>
          </w:p>
        </w:tc>
        <w:tc>
          <w:tcPr>
            <w:tcW w:w="809" w:type="pct"/>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中小企业声明函</w:t>
            </w:r>
          </w:p>
        </w:tc>
        <w:tc>
          <w:tcPr>
            <w:tcW w:w="1864" w:type="pct"/>
            <w:shd w:val="clear" w:color="auto" w:fill="auto"/>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无</w:t>
            </w:r>
          </w:p>
        </w:tc>
        <w:tc>
          <w:tcPr>
            <w:tcW w:w="1864" w:type="pct"/>
            <w:shd w:val="clear" w:color="auto" w:fill="auto"/>
            <w:vAlign w:val="center"/>
          </w:tcPr>
          <w:p>
            <w:pPr>
              <w:keepNext w:val="0"/>
              <w:keepLines w:val="0"/>
              <w:widowControl/>
              <w:suppressLineNumbers w:val="0"/>
              <w:wordWrap w:val="0"/>
              <w:jc w:val="center"/>
              <w:rPr>
                <w:rFonts w:hint="default"/>
                <w:lang w:val="en-US"/>
              </w:rPr>
            </w:pPr>
            <w:r>
              <w:rPr>
                <w:rFonts w:ascii="宋体" w:hAnsi="宋体" w:eastAsia="宋体" w:cs="宋体"/>
                <w:kern w:val="0"/>
                <w:sz w:val="24"/>
                <w:szCs w:val="24"/>
                <w:lang w:val="en-US" w:eastAsia="zh-CN" w:bidi="ar"/>
              </w:rPr>
              <w:t>新增“中小企业声明函（服务）”格式，具体详见</w:t>
            </w:r>
            <w:r>
              <w:rPr>
                <w:rFonts w:hint="eastAsia" w:ascii="宋体" w:hAnsi="宋体" w:eastAsia="宋体" w:cs="宋体"/>
                <w:kern w:val="0"/>
                <w:sz w:val="24"/>
                <w:szCs w:val="24"/>
                <w:lang w:val="en-US" w:eastAsia="zh-CN" w:bidi="ar"/>
              </w:rPr>
              <w:t>更改通知</w:t>
            </w:r>
            <w:bookmarkStart w:id="0" w:name="_GoBack"/>
            <w:bookmarkEnd w:id="0"/>
            <w:r>
              <w:rPr>
                <w:rFonts w:ascii="宋体" w:hAnsi="宋体" w:eastAsia="宋体" w:cs="宋体"/>
                <w:kern w:val="0"/>
                <w:sz w:val="24"/>
                <w:szCs w:val="24"/>
                <w:lang w:val="en-US" w:eastAsia="zh-CN" w:bidi="ar"/>
              </w:rPr>
              <w:t>附件</w:t>
            </w:r>
            <w:r>
              <w:rPr>
                <w:rFonts w:hint="eastAsia" w:ascii="宋体" w:hAnsi="宋体" w:eastAsia="宋体" w:cs="宋体"/>
                <w:kern w:val="0"/>
                <w:sz w:val="24"/>
                <w:szCs w:val="24"/>
                <w:lang w:val="en-US" w:eastAsia="zh-CN" w:bidi="ar"/>
              </w:rPr>
              <w:t>2</w:t>
            </w:r>
          </w:p>
        </w:tc>
      </w:tr>
    </w:tbl>
    <w:p>
      <w:pPr>
        <w:keepNext w:val="0"/>
        <w:keepLines w:val="0"/>
        <w:widowControl/>
        <w:suppressLineNumbers w:val="0"/>
        <w:spacing w:line="300" w:lineRule="atLeast"/>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附件1: </w:t>
      </w:r>
    </w:p>
    <w:p>
      <w:pPr>
        <w:keepNext w:val="0"/>
        <w:keepLines w:val="0"/>
        <w:widowControl/>
        <w:suppressLineNumbers w:val="0"/>
        <w:spacing w:line="300" w:lineRule="atLeast"/>
        <w:jc w:val="left"/>
        <w:rPr>
          <w:rFonts w:hint="eastAsia" w:ascii="微软雅黑" w:hAnsi="微软雅黑" w:eastAsia="微软雅黑" w:cs="微软雅黑"/>
          <w:kern w:val="0"/>
          <w:sz w:val="24"/>
          <w:szCs w:val="24"/>
          <w:lang w:val="en-US" w:eastAsia="zh-CN" w:bidi="ar"/>
        </w:rPr>
      </w:pPr>
      <w:r>
        <w:rPr>
          <w:rFonts w:ascii="宋体" w:hAnsi="宋体" w:eastAsia="宋体" w:cs="宋体"/>
          <w:b/>
          <w:bCs/>
          <w:kern w:val="0"/>
          <w:sz w:val="24"/>
          <w:szCs w:val="24"/>
          <w:lang w:val="en-US" w:eastAsia="zh-CN" w:bidi="ar"/>
        </w:rPr>
        <w:t>评标标准：标项二</w:t>
      </w:r>
      <w:r>
        <w:rPr>
          <w:rFonts w:hint="eastAsia" w:ascii="宋体" w:hAnsi="宋体" w:eastAsia="宋体" w:cs="宋体"/>
          <w:b/>
          <w:bCs/>
          <w:kern w:val="0"/>
          <w:sz w:val="24"/>
          <w:szCs w:val="24"/>
          <w:lang w:val="en-US" w:eastAsia="zh-CN" w:bidi="ar"/>
        </w:rPr>
        <w:t>更改如下：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5"/>
        <w:gridCol w:w="850"/>
        <w:gridCol w:w="1383"/>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335" w:type="dxa"/>
            <w:gridSpan w:val="2"/>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1383" w:type="dxa"/>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评分因素</w:t>
            </w:r>
          </w:p>
        </w:tc>
        <w:tc>
          <w:tcPr>
            <w:tcW w:w="6182" w:type="dxa"/>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85" w:type="dxa"/>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tc>
        <w:tc>
          <w:tcPr>
            <w:tcW w:w="850" w:type="dxa"/>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价格分</w:t>
            </w:r>
          </w:p>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（满分</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0分）</w:t>
            </w:r>
          </w:p>
        </w:tc>
        <w:tc>
          <w:tcPr>
            <w:tcW w:w="1383" w:type="dxa"/>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投标报价</w:t>
            </w:r>
          </w:p>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（满分</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0分）</w:t>
            </w:r>
          </w:p>
        </w:tc>
        <w:tc>
          <w:tcPr>
            <w:tcW w:w="6182" w:type="dxa"/>
            <w:shd w:val="clear" w:color="auto" w:fill="auto"/>
            <w:noWrap w:val="0"/>
            <w:vAlign w:val="center"/>
          </w:tcPr>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（1）评标报价为投标人的投标报价进行政策性扣除后的价格，评标报价只是作为评标时使用。最终中标人的中标金额等于投标报价。</w:t>
            </w:r>
          </w:p>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（2）按照《政府采购促进中小企业发展管理办法》（财库〔2020〕46号）的规定，投标人在其投标文件中提供《中小企业声明函》，且其投标产品全部为小型和微型企业产品的，对其最后报价给予10%的扣除。</w:t>
            </w:r>
          </w:p>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（5）政策性扣除计算方法。</w:t>
            </w:r>
          </w:p>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货物采购项目中，供应商所投标全部货物为小型或者微型企业货物的；在工程采购项目中，工程由小微企业承建；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标价，即评标报价=投标报价×（1-2%）；除上述情况外，评标报价=投标报价。</w:t>
            </w:r>
          </w:p>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（6）以进入综合评分环节的最低的评标报价为基准价，基准价报价得分为</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0分。</w:t>
            </w:r>
          </w:p>
          <w:p>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（7）价格分计算公式：        </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实洋价（供货价）</w:t>
            </w:r>
            <w:r>
              <w:rPr>
                <w:rFonts w:hint="eastAsia" w:ascii="宋体" w:hAnsi="宋体" w:eastAsia="宋体" w:cs="宋体"/>
                <w:b w:val="0"/>
                <w:bCs w:val="0"/>
                <w:color w:val="auto"/>
                <w:sz w:val="21"/>
                <w:szCs w:val="21"/>
                <w:highlight w:val="none"/>
              </w:rPr>
              <w:t>＝图书码洋价合计值×折扣率，投标人有效的最低投标折扣率指所有进入详评的投标人的投标折扣率中，数值最小的（如：进入详评的三个投标人的投标折扣率分别为40%、50%、60%，则投标人中的最低投标折扣率为40%），以进入详评的最低的评标折扣率为</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某投标人价格分 =[投标人有效的最低投标折扣率（%）÷某投标人有效投标折扣率（%）]×</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0分。</w:t>
            </w:r>
          </w:p>
          <w:p>
            <w:pPr>
              <w:keepNext w:val="0"/>
              <w:keepLines w:val="0"/>
              <w:pageBreakBefore w:val="0"/>
              <w:kinsoku/>
              <w:wordWrap/>
              <w:overflowPunct/>
              <w:topLinePunct w:val="0"/>
              <w:autoSpaceDE/>
              <w:autoSpaceDN/>
              <w:bidi w:val="0"/>
              <w:spacing w:line="360" w:lineRule="auto"/>
              <w:ind w:left="105" w:leftChars="50" w:firstLine="315" w:firstLineChars="1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注：当投标图书折扣率高于</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0%的，按无效投标处理。评标委员会认为该投标人的最低投标报价或者某些小项报价明显不合理或者明显低于其他通过符合性审查投标人的报价，有可能影响产品质量或者不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485" w:type="dxa"/>
            <w:vMerge w:val="restart"/>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w:t>
            </w:r>
          </w:p>
        </w:tc>
        <w:tc>
          <w:tcPr>
            <w:tcW w:w="850" w:type="dxa"/>
            <w:vMerge w:val="restart"/>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技术分（满分</w:t>
            </w:r>
            <w:r>
              <w:rPr>
                <w:rFonts w:hint="eastAsia" w:ascii="宋体" w:hAnsi="宋体" w:cs="宋体"/>
                <w:b w:val="0"/>
                <w:bCs w:val="0"/>
                <w:color w:val="auto"/>
                <w:kern w:val="0"/>
                <w:sz w:val="21"/>
                <w:szCs w:val="21"/>
                <w:highlight w:val="none"/>
                <w:lang w:val="en-US" w:eastAsia="zh-CN"/>
              </w:rPr>
              <w:t>50</w:t>
            </w:r>
            <w:r>
              <w:rPr>
                <w:rFonts w:hint="eastAsia" w:ascii="宋体" w:hAnsi="宋体" w:eastAsia="宋体" w:cs="宋体"/>
                <w:b w:val="0"/>
                <w:bCs w:val="0"/>
                <w:color w:val="auto"/>
                <w:kern w:val="0"/>
                <w:sz w:val="21"/>
                <w:szCs w:val="21"/>
                <w:highlight w:val="none"/>
              </w:rPr>
              <w:t>分）</w:t>
            </w:r>
          </w:p>
        </w:tc>
        <w:tc>
          <w:tcPr>
            <w:tcW w:w="1383" w:type="dxa"/>
            <w:shd w:val="clear" w:color="auto" w:fill="auto"/>
            <w:noWrap w:val="0"/>
            <w:vAlign w:val="center"/>
          </w:tcPr>
          <w:p>
            <w:pPr>
              <w:keepNext w:val="0"/>
              <w:keepLines w:val="0"/>
              <w:pageBreakBefore w:val="0"/>
              <w:kinsoku/>
              <w:wordWrap/>
              <w:overflowPunct/>
              <w:topLinePunct w:val="0"/>
              <w:autoSpaceDE/>
              <w:autoSpaceDN/>
              <w:bidi w:val="0"/>
              <w:adjustRightInd w:val="0"/>
              <w:spacing w:line="360" w:lineRule="auto"/>
              <w:jc w:val="left"/>
              <w:textAlignment w:val="baseline"/>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图书采访方案分（满分</w:t>
            </w:r>
            <w:r>
              <w:rPr>
                <w:rFonts w:hint="eastAsia" w:ascii="宋体" w:hAnsi="宋体" w:eastAsia="宋体" w:cs="宋体"/>
                <w:color w:val="auto"/>
                <w:sz w:val="21"/>
                <w:szCs w:val="21"/>
                <w:highlight w:val="none"/>
                <w:u w:val="none"/>
                <w:lang w:val="en-US" w:eastAsia="zh-CN"/>
              </w:rPr>
              <w:t>15</w:t>
            </w:r>
            <w:r>
              <w:rPr>
                <w:rFonts w:hint="eastAsia" w:ascii="宋体" w:hAnsi="宋体" w:eastAsia="宋体" w:cs="宋体"/>
                <w:color w:val="auto"/>
                <w:sz w:val="21"/>
                <w:szCs w:val="21"/>
                <w:highlight w:val="none"/>
              </w:rPr>
              <w:t>分）</w:t>
            </w:r>
          </w:p>
        </w:tc>
        <w:tc>
          <w:tcPr>
            <w:tcW w:w="6182" w:type="dxa"/>
            <w:shd w:val="clear" w:color="auto" w:fill="auto"/>
            <w:noWrap w:val="0"/>
            <w:vAlign w:val="center"/>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投标人全品种专业图书采访数据、组织现采承诺、供书计划等具体措施由评委根据措施的合理性和可操作性在各档次内评委独立打分。未提供不得分。</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分）：专业图书采访数据，组织现采承诺，年提供书目数据6万条，有固定的属于大型图书现采场地。</w:t>
            </w:r>
            <w:r>
              <w:rPr>
                <w:rFonts w:hint="eastAsia" w:ascii="宋体" w:hAnsi="宋体" w:eastAsia="宋体" w:cs="宋体"/>
                <w:color w:val="auto"/>
                <w:sz w:val="21"/>
                <w:szCs w:val="21"/>
                <w:highlight w:val="none"/>
                <w:lang w:val="en-US" w:eastAsia="zh-CN"/>
              </w:rPr>
              <w:t>供货时间满足招标文件要求</w:t>
            </w:r>
            <w:r>
              <w:rPr>
                <w:rFonts w:hint="eastAsia" w:ascii="宋体" w:hAnsi="宋体" w:eastAsia="宋体" w:cs="宋体"/>
                <w:color w:val="auto"/>
                <w:sz w:val="21"/>
                <w:szCs w:val="21"/>
                <w:highlight w:val="none"/>
              </w:rPr>
              <w:t>。供书计划基本满足本项目要求。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分）：具有全品种专业图书采访数据，组织现采承诺，年提供书目数据不少于8万条，有固定的属于自己的大型图书现采场地。</w:t>
            </w:r>
            <w:r>
              <w:rPr>
                <w:rFonts w:hint="eastAsia" w:ascii="宋体" w:hAnsi="宋体" w:eastAsia="宋体" w:cs="宋体"/>
                <w:color w:val="auto"/>
                <w:sz w:val="21"/>
                <w:szCs w:val="21"/>
                <w:highlight w:val="none"/>
                <w:lang w:val="en-US" w:eastAsia="zh-CN"/>
              </w:rPr>
              <w:t>现货图书及期货图书能满足招标文件需求</w:t>
            </w:r>
            <w:r>
              <w:rPr>
                <w:rFonts w:hint="eastAsia" w:ascii="宋体" w:hAnsi="宋体" w:eastAsia="宋体" w:cs="宋体"/>
                <w:color w:val="auto"/>
                <w:sz w:val="21"/>
                <w:szCs w:val="21"/>
                <w:highlight w:val="none"/>
              </w:rPr>
              <w:t>。能够满足本项目招标文件的服务要求。</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分）：具有全品种专业图书采访数据，组织现采承诺，年提供书目数据不少于10万条，有固定的属于自己的大型图书现采场地。供书计划和保障措施优于本项目招标文件的服务要求。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85" w:type="dxa"/>
            <w:vMerge w:val="continue"/>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p>
        </w:tc>
        <w:tc>
          <w:tcPr>
            <w:tcW w:w="850" w:type="dxa"/>
            <w:vMerge w:val="continue"/>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p>
        </w:tc>
        <w:tc>
          <w:tcPr>
            <w:tcW w:w="1383" w:type="dxa"/>
            <w:shd w:val="clear" w:color="auto" w:fill="auto"/>
            <w:noWrap w:val="0"/>
            <w:vAlign w:val="center"/>
          </w:tcPr>
          <w:p>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配送方案分（满分</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6182"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在打分前根据投标人售后配送方案（包括投标文件中提供的仓储场地、配送队伍、运输工具、运输能力等保障条件和管理能力等内容，）确定各投标人配送方案的所属档次后，然后由评委在相应档次内独立打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分）：仓储场地、配送队伍、运输工具、运输能力等保障条件和管理能力等内容简单、没有针对性。</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分）：仓储场地、配送队伍、运输工具、运输能力等保障条件和管理能力等内容较详细、有针对性。</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分）：仓储场地、配送队伍、运输工具、运输能力等保障条件和管理能力等内容非常详细完整、科学地针对本项目制定。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85" w:type="dxa"/>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p>
        </w:tc>
        <w:tc>
          <w:tcPr>
            <w:tcW w:w="850" w:type="dxa"/>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kern w:val="0"/>
                <w:sz w:val="21"/>
                <w:szCs w:val="21"/>
                <w:highlight w:val="none"/>
              </w:rPr>
            </w:pPr>
          </w:p>
        </w:tc>
        <w:tc>
          <w:tcPr>
            <w:tcW w:w="1383" w:type="dxa"/>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图书到书率的保障措施方案（满分</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82" w:type="dxa"/>
            <w:shd w:val="clear" w:color="auto" w:fill="auto"/>
            <w:noWrap w:val="0"/>
            <w:vAlign w:val="top"/>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分）：图书到书率保障措施方案基本满足招标文件要求。</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分）：图书到书率保障措施及违约处罚的承诺满足招标文件要求。</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分）：图书到书率保障措施及违约处罚的承诺优于招标文件要求，并制定有符合本项目特点的方案和保障措施。</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485" w:type="dxa"/>
            <w:vMerge w:val="restart"/>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850" w:type="dxa"/>
            <w:vMerge w:val="restart"/>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商务分    （满分</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1383" w:type="dxa"/>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Cs/>
                <w:color w:val="auto"/>
                <w:sz w:val="21"/>
                <w:szCs w:val="21"/>
                <w:highlight w:val="none"/>
              </w:rPr>
              <w:t>图书加工及</w:t>
            </w:r>
            <w:r>
              <w:rPr>
                <w:rFonts w:hint="eastAsia" w:ascii="宋体" w:hAnsi="宋体" w:eastAsia="宋体" w:cs="宋体"/>
                <w:b w:val="0"/>
                <w:bCs w:val="0"/>
                <w:color w:val="auto"/>
                <w:sz w:val="21"/>
                <w:szCs w:val="21"/>
                <w:highlight w:val="none"/>
              </w:rPr>
              <w:t>售后服务方案分（满分</w:t>
            </w:r>
            <w:r>
              <w:rPr>
                <w:rFonts w:hint="eastAsia" w:ascii="宋体" w:hAnsi="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分）</w:t>
            </w:r>
          </w:p>
        </w:tc>
        <w:tc>
          <w:tcPr>
            <w:tcW w:w="6182" w:type="dxa"/>
            <w:shd w:val="clear" w:color="auto" w:fill="auto"/>
            <w:noWrap w:val="0"/>
            <w:vAlign w:val="top"/>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评委根据投标文件提供的图书加工及售后服务方案，内容包括图书加工、质保期、售后服务措施（如及时更换不合格产品、交货期提前、服务优质、有附加特色服务等），在各档次内评委独立打分。未提供不得分。</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分）：图书加工质量符合国家相关标准，质保期满足招标文件要求， 基本能够满足本项目招标文件的服务要求。</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分）：图书加工质量符合国家相关标准，质保期优于招标文件要求，能够满足本项目招标文件的服务要求。</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分）：图书加工质量符合国家相关标准，质保期优于招标文件要求，能够提供本项目相关的增值服务。</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Cs/>
                <w:color w:val="auto"/>
                <w:sz w:val="21"/>
                <w:szCs w:val="21"/>
                <w:highlight w:val="none"/>
              </w:rPr>
              <w:t>四档（</w:t>
            </w:r>
            <w:r>
              <w:rPr>
                <w:rFonts w:hint="eastAsia" w:ascii="宋体" w:hAnsi="宋体" w:cs="宋体"/>
                <w:bCs/>
                <w:color w:val="auto"/>
                <w:sz w:val="21"/>
                <w:szCs w:val="21"/>
                <w:highlight w:val="none"/>
                <w:lang w:val="en-US" w:eastAsia="zh-CN"/>
              </w:rPr>
              <w:t>32</w:t>
            </w:r>
            <w:r>
              <w:rPr>
                <w:rFonts w:hint="eastAsia" w:ascii="宋体" w:hAnsi="宋体" w:eastAsia="宋体" w:cs="宋体"/>
                <w:bCs/>
                <w:color w:val="auto"/>
                <w:sz w:val="21"/>
                <w:szCs w:val="21"/>
                <w:highlight w:val="none"/>
              </w:rPr>
              <w:t>分）：图书加工质量符合国家相关标准，质保期优于招标文件要求，有完整的售后服务体系和团队，售后服务措施详实，有具体售后服务人员联系方式，能够提供本项目相关的增值服务，以及附加有价值的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485" w:type="dxa"/>
            <w:vMerge w:val="continue"/>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sz w:val="21"/>
                <w:szCs w:val="21"/>
                <w:highlight w:val="none"/>
              </w:rPr>
            </w:pPr>
          </w:p>
        </w:tc>
        <w:tc>
          <w:tcPr>
            <w:tcW w:w="850" w:type="dxa"/>
            <w:vMerge w:val="continue"/>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rPr>
            </w:pPr>
          </w:p>
        </w:tc>
        <w:tc>
          <w:tcPr>
            <w:tcW w:w="1383" w:type="dxa"/>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履约能力分（满分</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分）</w:t>
            </w:r>
          </w:p>
        </w:tc>
        <w:tc>
          <w:tcPr>
            <w:tcW w:w="6182" w:type="dxa"/>
            <w:shd w:val="clear" w:color="auto" w:fill="auto"/>
            <w:noWrap w:val="0"/>
            <w:vAlign w:val="top"/>
          </w:tcPr>
          <w:p>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供应商具有有效的质量管理体系认证证书、环境管理体系认证证书、职业健康安全管理体系认证证书，每项得1分，</w:t>
            </w:r>
            <w:r>
              <w:rPr>
                <w:rFonts w:hint="eastAsia" w:ascii="宋体" w:hAnsi="宋体" w:eastAsia="宋体" w:cs="宋体"/>
                <w:b w:val="0"/>
                <w:bCs w:val="0"/>
                <w:color w:val="auto"/>
                <w:sz w:val="21"/>
                <w:szCs w:val="21"/>
                <w:highlight w:val="none"/>
                <w:lang w:val="en-US" w:eastAsia="zh-CN"/>
              </w:rPr>
              <w:t>满分3</w:t>
            </w:r>
            <w:r>
              <w:rPr>
                <w:rFonts w:hint="eastAsia" w:ascii="宋体" w:hAnsi="宋体" w:eastAsia="宋体" w:cs="宋体"/>
                <w:b w:val="0"/>
                <w:bCs w:val="0"/>
                <w:color w:val="auto"/>
                <w:sz w:val="21"/>
                <w:szCs w:val="21"/>
                <w:highlight w:val="none"/>
              </w:rPr>
              <w:t>分。（以提供相关认证证书复印件为准并加盖供应商公章）。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485" w:type="dxa"/>
            <w:vMerge w:val="continue"/>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sz w:val="21"/>
                <w:szCs w:val="21"/>
                <w:highlight w:val="none"/>
              </w:rPr>
            </w:pPr>
          </w:p>
        </w:tc>
        <w:tc>
          <w:tcPr>
            <w:tcW w:w="850" w:type="dxa"/>
            <w:vMerge w:val="continue"/>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rPr>
            </w:pPr>
          </w:p>
        </w:tc>
        <w:tc>
          <w:tcPr>
            <w:tcW w:w="1383" w:type="dxa"/>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业绩分           （满分</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6182" w:type="dxa"/>
            <w:shd w:val="clear" w:color="auto" w:fill="auto"/>
            <w:noWrap w:val="0"/>
            <w:vAlign w:val="top"/>
          </w:tcPr>
          <w:p>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投标人自2019年以来类似项目的业绩（以有效的合同复印件或中标通知书复印件为准,每个得1分，满分</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485" w:type="dxa"/>
            <w:vMerge w:val="continue"/>
            <w:shd w:val="clear" w:color="auto" w:fill="auto"/>
            <w:noWrap w:val="0"/>
            <w:vAlign w:val="center"/>
          </w:tcPr>
          <w:p>
            <w:pPr>
              <w:keepNext w:val="0"/>
              <w:keepLines w:val="0"/>
              <w:pageBreakBefore w:val="0"/>
              <w:widowControl/>
              <w:tabs>
                <w:tab w:val="left" w:pos="8460"/>
              </w:tabs>
              <w:kinsoku/>
              <w:wordWrap/>
              <w:overflowPunct/>
              <w:topLinePunct w:val="0"/>
              <w:autoSpaceDE/>
              <w:autoSpaceDN/>
              <w:bidi w:val="0"/>
              <w:spacing w:line="360" w:lineRule="auto"/>
              <w:jc w:val="center"/>
              <w:textAlignment w:val="baseline"/>
              <w:rPr>
                <w:rFonts w:hint="eastAsia" w:ascii="宋体" w:hAnsi="宋体" w:eastAsia="宋体" w:cs="宋体"/>
                <w:b w:val="0"/>
                <w:bCs w:val="0"/>
                <w:color w:val="auto"/>
                <w:sz w:val="21"/>
                <w:szCs w:val="21"/>
                <w:highlight w:val="none"/>
              </w:rPr>
            </w:pPr>
          </w:p>
        </w:tc>
        <w:tc>
          <w:tcPr>
            <w:tcW w:w="850" w:type="dxa"/>
            <w:vMerge w:val="continue"/>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rPr>
            </w:pPr>
          </w:p>
        </w:tc>
        <w:tc>
          <w:tcPr>
            <w:tcW w:w="1383" w:type="dxa"/>
            <w:shd w:val="clear" w:color="auto" w:fill="auto"/>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政策分（满分</w:t>
            </w:r>
            <w:r>
              <w:rPr>
                <w:rFonts w:hint="eastAsia" w:ascii="宋体" w:hAnsi="宋体" w:eastAsia="宋体" w:cs="宋体"/>
                <w:b w:val="0"/>
                <w:bCs w:val="0"/>
                <w:color w:val="auto"/>
                <w:sz w:val="21"/>
                <w:szCs w:val="21"/>
                <w:highlight w:val="none"/>
                <w:u w:val="none"/>
              </w:rPr>
              <w:t xml:space="preserve"> </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 xml:space="preserve"> </w:t>
            </w:r>
            <w:r>
              <w:rPr>
                <w:rFonts w:hint="eastAsia" w:ascii="宋体" w:hAnsi="宋体" w:eastAsia="宋体" w:cs="宋体"/>
                <w:b w:val="0"/>
                <w:bCs w:val="0"/>
                <w:color w:val="auto"/>
                <w:sz w:val="21"/>
                <w:szCs w:val="21"/>
                <w:highlight w:val="none"/>
              </w:rPr>
              <w:t>分）</w:t>
            </w:r>
          </w:p>
        </w:tc>
        <w:tc>
          <w:tcPr>
            <w:tcW w:w="6182" w:type="dxa"/>
            <w:shd w:val="clear" w:color="auto" w:fill="auto"/>
            <w:noWrap w:val="0"/>
            <w:vAlign w:val="top"/>
          </w:tcPr>
          <w:p>
            <w:pPr>
              <w:pStyle w:val="5"/>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电子签章]，得1分。</w:t>
            </w:r>
          </w:p>
          <w:p>
            <w:pPr>
              <w:pStyle w:val="5"/>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t>（2）属于财政部《环境标志产品政府采购品目清单》内的产品[投标文件中提供有效的认证证书复印件及品目清单（标注出投标产品在品目清单中所属的品目），并加盖投标人电子签章]，得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8900" w:type="dxa"/>
            <w:gridSpan w:val="4"/>
            <w:shd w:val="clear" w:color="auto" w:fill="auto"/>
            <w:noWrap w:val="0"/>
            <w:vAlign w:val="center"/>
          </w:tcPr>
          <w:p>
            <w:pPr>
              <w:keepNext w:val="0"/>
              <w:keepLines w:val="0"/>
              <w:pageBreakBefore w:val="0"/>
              <w:tabs>
                <w:tab w:val="left" w:pos="8460"/>
              </w:tabs>
              <w:kinsoku/>
              <w:wordWrap/>
              <w:overflowPunct/>
              <w:topLinePunct w:val="0"/>
              <w:autoSpaceDE/>
              <w:autoSpaceDN/>
              <w:bidi w:val="0"/>
              <w:spacing w:line="360" w:lineRule="auto"/>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总得分=1+2+3。</w:t>
            </w:r>
          </w:p>
        </w:tc>
      </w:tr>
    </w:tbl>
    <w:p>
      <w:pPr>
        <w:keepNext w:val="0"/>
        <w:keepLines w:val="0"/>
        <w:widowControl/>
        <w:suppressLineNumbers w:val="0"/>
        <w:spacing w:line="300" w:lineRule="atLeast"/>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w:t>
      </w: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pStyle w:val="2"/>
        <w:rPr>
          <w:rFonts w:hint="eastAsia" w:ascii="微软雅黑" w:hAnsi="微软雅黑" w:eastAsia="微软雅黑" w:cs="微软雅黑"/>
          <w:kern w:val="0"/>
          <w:sz w:val="24"/>
          <w:szCs w:val="24"/>
          <w:lang w:val="en-US" w:eastAsia="zh-CN" w:bidi="ar"/>
        </w:rPr>
      </w:pPr>
    </w:p>
    <w:p>
      <w:pPr>
        <w:keepNext w:val="0"/>
        <w:keepLines w:val="0"/>
        <w:widowControl/>
        <w:suppressLineNumbers w:val="0"/>
        <w:spacing w:line="300" w:lineRule="atLeast"/>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附件2:    </w:t>
      </w:r>
    </w:p>
    <w:p>
      <w:pPr>
        <w:jc w:val="center"/>
        <w:rPr>
          <w:rFonts w:hint="eastAsia" w:ascii="宋体" w:hAnsi="宋体" w:cs="方正小标宋简体"/>
          <w:sz w:val="44"/>
          <w:szCs w:val="44"/>
          <w:highlight w:val="none"/>
        </w:rPr>
      </w:pPr>
      <w:r>
        <w:rPr>
          <w:rFonts w:hint="eastAsia" w:ascii="微软雅黑" w:hAnsi="微软雅黑" w:eastAsia="微软雅黑" w:cs="微软雅黑"/>
          <w:kern w:val="0"/>
          <w:sz w:val="24"/>
          <w:szCs w:val="24"/>
          <w:highlight w:val="none"/>
          <w:lang w:val="en-US" w:eastAsia="zh-CN" w:bidi="ar"/>
        </w:rPr>
        <w:t xml:space="preserve">  </w:t>
      </w:r>
      <w:r>
        <w:rPr>
          <w:rFonts w:hint="eastAsia" w:ascii="宋体" w:hAnsi="宋体" w:cs="方正小标宋简体"/>
          <w:sz w:val="44"/>
          <w:szCs w:val="44"/>
          <w:highlight w:val="none"/>
        </w:rPr>
        <w:t>中小企业声明函（服务）</w:t>
      </w:r>
    </w:p>
    <w:p>
      <w:pPr>
        <w:spacing w:before="2" w:line="500" w:lineRule="exact"/>
        <w:rPr>
          <w:rFonts w:ascii="宋体" w:hAnsi="宋体" w:cs="宋体"/>
          <w:b/>
          <w:bCs/>
          <w:color w:val="000000"/>
          <w:sz w:val="27"/>
          <w:szCs w:val="27"/>
        </w:rPr>
      </w:pPr>
    </w:p>
    <w:p>
      <w:pPr>
        <w:pStyle w:val="4"/>
        <w:spacing w:line="360" w:lineRule="auto"/>
        <w:ind w:left="-426" w:leftChars="-203" w:right="142" w:firstLine="480" w:firstLineChars="200"/>
        <w:contextualSpacing/>
        <w:rPr>
          <w:rFonts w:hint="eastAsia" w:ascii="宋体" w:hAnsi="宋体"/>
          <w:color w:val="000000"/>
          <w:kern w:val="24"/>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000000"/>
          <w:kern w:val="24"/>
          <w:sz w:val="24"/>
        </w:rPr>
      </w:pPr>
      <w:r>
        <w:rPr>
          <w:rFonts w:ascii="宋体" w:hAnsi="宋体"/>
          <w:color w:val="000000"/>
          <w:kern w:val="24"/>
          <w:sz w:val="24"/>
        </w:rPr>
        <w:t>1.</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w:t>
      </w:r>
      <w:r>
        <w:rPr>
          <w:rFonts w:hint="eastAsia" w:ascii="宋体" w:hAnsi="宋体"/>
          <w:color w:val="000000"/>
          <w:kern w:val="24"/>
          <w:sz w:val="24"/>
        </w:rPr>
        <w:t>承接企业</w:t>
      </w:r>
      <w:r>
        <w:rPr>
          <w:rFonts w:ascii="宋体" w:hAnsi="宋体"/>
          <w:color w:val="000000"/>
          <w:kern w:val="24"/>
          <w:sz w:val="24"/>
        </w:rPr>
        <w:t>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pPr>
        <w:tabs>
          <w:tab w:val="left" w:pos="1065"/>
          <w:tab w:val="left" w:pos="6477"/>
        </w:tabs>
        <w:spacing w:line="360" w:lineRule="auto"/>
        <w:ind w:left="-426" w:right="-58" w:firstLine="655"/>
        <w:contextualSpacing/>
        <w:rPr>
          <w:rFonts w:ascii="宋体" w:hAnsi="宋体"/>
          <w:color w:val="000000"/>
          <w:kern w:val="24"/>
          <w:sz w:val="24"/>
        </w:rPr>
      </w:pPr>
      <w:r>
        <w:rPr>
          <w:rFonts w:ascii="宋体" w:hAnsi="宋体"/>
          <w:color w:val="000000"/>
          <w:kern w:val="24"/>
          <w:sz w:val="24"/>
        </w:rPr>
        <w:t>2.</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w:t>
      </w:r>
      <w:r>
        <w:rPr>
          <w:rFonts w:hint="eastAsia" w:ascii="宋体" w:hAnsi="宋体"/>
          <w:color w:val="000000"/>
          <w:kern w:val="24"/>
          <w:sz w:val="24"/>
        </w:rPr>
        <w:t>承接企业</w:t>
      </w:r>
      <w:r>
        <w:rPr>
          <w:rFonts w:ascii="宋体" w:hAnsi="宋体"/>
          <w:color w:val="000000"/>
          <w:kern w:val="24"/>
          <w:sz w:val="24"/>
        </w:rPr>
        <w:t>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pPr>
        <w:pStyle w:val="4"/>
        <w:spacing w:line="360" w:lineRule="auto"/>
        <w:ind w:left="142" w:right="142"/>
        <w:contextualSpacing/>
        <w:rPr>
          <w:rFonts w:ascii="宋体" w:hAnsi="宋体"/>
          <w:color w:val="000000"/>
          <w:kern w:val="24"/>
        </w:rPr>
      </w:pPr>
      <w:r>
        <w:rPr>
          <w:rFonts w:ascii="宋体" w:hAnsi="宋体"/>
          <w:color w:val="000000"/>
          <w:kern w:val="24"/>
        </w:rPr>
        <w:t xml:space="preserve">…… </w:t>
      </w:r>
    </w:p>
    <w:p>
      <w:pPr>
        <w:pStyle w:val="4"/>
        <w:spacing w:line="360" w:lineRule="auto"/>
        <w:ind w:left="-405" w:leftChars="-193" w:right="142" w:firstLine="453" w:firstLineChars="189"/>
        <w:contextualSpacing/>
        <w:rPr>
          <w:rFonts w:ascii="宋体" w:hAnsi="宋体"/>
          <w:color w:val="000000"/>
          <w:kern w:val="24"/>
        </w:rPr>
      </w:pPr>
      <w:r>
        <w:rPr>
          <w:rFonts w:ascii="宋体" w:hAnsi="宋体"/>
          <w:color w:val="000000"/>
          <w:kern w:val="24"/>
        </w:rPr>
        <w:t>以上企业，不属于大企业的分支机构，不存在控股股东为大企业的情形，也不存在与大企业的负责人为同一人的情形。</w:t>
      </w:r>
    </w:p>
    <w:p>
      <w:pPr>
        <w:pStyle w:val="4"/>
        <w:spacing w:line="360" w:lineRule="auto"/>
        <w:ind w:left="-426" w:right="142" w:firstLine="567"/>
        <w:contextualSpacing/>
        <w:rPr>
          <w:rFonts w:ascii="宋体" w:hAnsi="宋体"/>
          <w:color w:val="000000"/>
          <w:kern w:val="24"/>
        </w:rPr>
      </w:pPr>
      <w:r>
        <w:rPr>
          <w:rFonts w:ascii="宋体" w:hAnsi="宋体"/>
          <w:color w:val="000000"/>
          <w:kern w:val="24"/>
        </w:rPr>
        <w:t>本企业对上述声明内容的真实性负责。如有虚假，将依法承担相应责任。</w:t>
      </w:r>
    </w:p>
    <w:p>
      <w:pPr>
        <w:pStyle w:val="4"/>
        <w:spacing w:line="360" w:lineRule="auto"/>
        <w:ind w:left="3960" w:right="1808"/>
        <w:contextualSpacing/>
        <w:rPr>
          <w:rFonts w:hint="eastAsia" w:ascii="宋体" w:hAnsi="宋体"/>
          <w:color w:val="000000"/>
          <w:kern w:val="24"/>
        </w:rPr>
      </w:pPr>
    </w:p>
    <w:p>
      <w:pPr>
        <w:pStyle w:val="4"/>
        <w:spacing w:line="360" w:lineRule="auto"/>
        <w:ind w:left="3960" w:right="1808"/>
        <w:contextualSpacing/>
        <w:rPr>
          <w:rFonts w:ascii="宋体" w:hAnsi="宋体"/>
          <w:color w:val="000000"/>
          <w:kern w:val="24"/>
        </w:rPr>
      </w:pPr>
      <w:r>
        <w:rPr>
          <w:rFonts w:ascii="宋体" w:hAnsi="宋体"/>
          <w:color w:val="000000"/>
          <w:kern w:val="24"/>
        </w:rPr>
        <w:t xml:space="preserve">企业名称（章）： </w:t>
      </w:r>
    </w:p>
    <w:p>
      <w:pPr>
        <w:pStyle w:val="4"/>
        <w:spacing w:line="360" w:lineRule="auto"/>
        <w:ind w:left="3960" w:right="1808"/>
        <w:contextualSpacing/>
        <w:rPr>
          <w:rFonts w:ascii="宋体" w:hAnsi="宋体"/>
          <w:color w:val="000000"/>
          <w:kern w:val="24"/>
        </w:rPr>
      </w:pPr>
      <w:r>
        <w:rPr>
          <w:rFonts w:ascii="宋体" w:hAnsi="宋体"/>
          <w:color w:val="000000"/>
          <w:kern w:val="24"/>
        </w:rPr>
        <w:t>日</w:t>
      </w:r>
      <w:r>
        <w:rPr>
          <w:rFonts w:hint="eastAsia" w:ascii="宋体" w:hAnsi="宋体"/>
          <w:color w:val="000000"/>
          <w:kern w:val="24"/>
        </w:rPr>
        <w:t xml:space="preserve"> </w:t>
      </w:r>
      <w:r>
        <w:rPr>
          <w:rFonts w:ascii="宋体" w:hAnsi="宋体"/>
          <w:color w:val="000000"/>
          <w:kern w:val="24"/>
        </w:rPr>
        <w:t>期：</w:t>
      </w:r>
    </w:p>
    <w:p>
      <w:pPr>
        <w:pStyle w:val="4"/>
        <w:spacing w:line="360" w:lineRule="auto"/>
        <w:ind w:left="3960" w:right="1808"/>
        <w:contextualSpacing/>
        <w:rPr>
          <w:rFonts w:ascii="宋体" w:hAnsi="宋体"/>
          <w:color w:val="000000"/>
          <w:kern w:val="24"/>
        </w:rPr>
      </w:pPr>
    </w:p>
    <w:p>
      <w:pPr>
        <w:pStyle w:val="4"/>
        <w:spacing w:line="360" w:lineRule="auto"/>
        <w:ind w:left="3960" w:right="1808"/>
        <w:contextualSpacing/>
        <w:rPr>
          <w:rFonts w:ascii="宋体" w:hAnsi="宋体"/>
          <w:color w:val="000000"/>
          <w:kern w:val="24"/>
        </w:rPr>
      </w:pPr>
    </w:p>
    <w:p>
      <w:pPr>
        <w:pStyle w:val="4"/>
        <w:spacing w:line="360" w:lineRule="auto"/>
        <w:ind w:left="-426" w:right="142" w:firstLine="567"/>
        <w:contextualSpacing/>
        <w:rPr>
          <w:rFonts w:hint="eastAsia" w:ascii="宋体" w:hAnsi="宋体"/>
          <w:color w:val="000000"/>
          <w:kern w:val="24"/>
        </w:rPr>
      </w:pPr>
      <w:r>
        <w:rPr>
          <w:rFonts w:hint="eastAsia" w:ascii="宋体" w:hAnsi="宋体"/>
          <w:color w:val="000000"/>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000000"/>
          <w:sz w:val="24"/>
        </w:rPr>
      </w:pPr>
    </w:p>
    <w:p>
      <w:pPr>
        <w:keepNext w:val="0"/>
        <w:keepLines w:val="0"/>
        <w:widowControl/>
        <w:suppressLineNumbers w:val="0"/>
        <w:spacing w:line="300" w:lineRule="atLeast"/>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p>
    <w:p>
      <w:pPr>
        <w:pStyle w:val="6"/>
        <w:keepNext w:val="0"/>
        <w:keepLines w:val="0"/>
        <w:widowControl/>
        <w:suppressLineNumbers w:val="0"/>
        <w:spacing w:line="240" w:lineRule="auto"/>
        <w:ind w:left="0" w:firstLine="420"/>
      </w:pPr>
      <w:r>
        <w:rPr>
          <w:rFonts w:hint="eastAsia" w:ascii="微软雅黑" w:hAnsi="微软雅黑" w:eastAsia="微软雅黑" w:cs="微软雅黑"/>
          <w:sz w:val="24"/>
          <w:szCs w:val="24"/>
        </w:rPr>
        <w:t>更正日期：</w:t>
      </w:r>
      <w:r>
        <w:rPr>
          <w:rStyle w:val="10"/>
          <w:rFonts w:hint="eastAsia" w:ascii="微软雅黑" w:hAnsi="微软雅黑" w:eastAsia="微软雅黑" w:cs="微软雅黑"/>
          <w:sz w:val="24"/>
          <w:szCs w:val="24"/>
        </w:rPr>
        <w:t>2022年06月17日</w:t>
      </w:r>
      <w:r>
        <w:rPr>
          <w:rFonts w:hint="eastAsia" w:ascii="微软雅黑" w:hAnsi="微软雅黑" w:eastAsia="微软雅黑" w:cs="微软雅黑"/>
          <w:sz w:val="24"/>
          <w:szCs w:val="24"/>
          <w:u w:val="none"/>
        </w:rPr>
        <w:t>　</w:t>
      </w:r>
      <w:r>
        <w:rPr>
          <w:rFonts w:hint="eastAsia" w:ascii="微软雅黑" w:hAnsi="微软雅黑" w:eastAsia="微软雅黑" w:cs="微软雅黑"/>
          <w:sz w:val="24"/>
          <w:szCs w:val="24"/>
        </w:rPr>
        <w:t>　　　　　　　　　                </w:t>
      </w:r>
    </w:p>
    <w:p>
      <w:pPr>
        <w:pStyle w:val="6"/>
        <w:keepNext w:val="0"/>
        <w:keepLines w:val="0"/>
        <w:widowControl/>
        <w:numPr>
          <w:ilvl w:val="0"/>
          <w:numId w:val="1"/>
        </w:numPr>
        <w:suppressLineNumbers w:val="0"/>
        <w:spacing w:before="255" w:beforeAutospacing="0" w:after="255" w:afterAutospacing="0" w:line="240" w:lineRule="auto"/>
        <w:ind w:left="0" w:right="0"/>
        <w:jc w:val="both"/>
        <w:rPr>
          <w:rFonts w:ascii="黑体" w:hAnsi="宋体" w:eastAsia="黑体" w:cs="黑体"/>
          <w:sz w:val="24"/>
          <w:szCs w:val="24"/>
        </w:rPr>
      </w:pPr>
      <w:r>
        <w:rPr>
          <w:rStyle w:val="9"/>
          <w:rFonts w:hint="eastAsia" w:ascii="微软雅黑" w:hAnsi="微软雅黑" w:eastAsia="微软雅黑" w:cs="微软雅黑"/>
          <w:sz w:val="24"/>
          <w:szCs w:val="24"/>
        </w:rPr>
        <w:t>其他补充事宜</w:t>
      </w:r>
      <w:r>
        <w:rPr>
          <w:rFonts w:ascii="黑体" w:hAnsi="宋体" w:eastAsia="黑体" w:cs="黑体"/>
          <w:sz w:val="24"/>
          <w:szCs w:val="24"/>
        </w:rPr>
        <w:t xml:space="preserve">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420" w:lineRule="exact"/>
        <w:ind w:right="0" w:rightChars="0"/>
        <w:jc w:val="both"/>
        <w:textAlignment w:val="auto"/>
      </w:pPr>
      <w:r>
        <w:rPr>
          <w:rFonts w:ascii="黑体" w:hAnsi="宋体" w:eastAsia="黑体" w:cs="黑体"/>
          <w:sz w:val="24"/>
          <w:szCs w:val="24"/>
        </w:rPr>
        <w:t xml:space="preserve"> </w:t>
      </w:r>
      <w:r>
        <w:rPr>
          <w:rFonts w:hint="eastAsia" w:ascii="微软雅黑" w:hAnsi="微软雅黑" w:eastAsia="微软雅黑" w:cs="微软雅黑"/>
          <w:sz w:val="24"/>
          <w:szCs w:val="24"/>
        </w:rPr>
        <w:t xml:space="preserve">  发布媒介：http://www.ccgp.gov.cn（中国政府采购网）、http://zfcg.gxzf.gov.cn（广西壮族自治区政府采购网）、ggzy.jgswj.gxzf.gov.cn/czggzy【全国公共资源交易平台】(广西.崇左）  </w:t>
      </w:r>
      <w:r>
        <w:rPr>
          <w:rFonts w:ascii="黑体" w:hAnsi="宋体" w:eastAsia="黑体" w:cs="黑体"/>
          <w:sz w:val="24"/>
          <w:szCs w:val="24"/>
        </w:rPr>
        <w:t>     </w:t>
      </w:r>
      <w: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20" w:lineRule="exact"/>
        <w:ind w:left="0" w:right="0"/>
        <w:jc w:val="both"/>
        <w:textAlignment w:val="auto"/>
        <w:rPr>
          <w:rFonts w:ascii="黑体" w:hAnsi="宋体" w:eastAsia="黑体" w:cs="黑体"/>
          <w:sz w:val="24"/>
          <w:szCs w:val="24"/>
        </w:rPr>
      </w:pPr>
      <w:r>
        <w:rPr>
          <w:rStyle w:val="9"/>
          <w:rFonts w:hint="eastAsia" w:ascii="微软雅黑" w:hAnsi="微软雅黑" w:eastAsia="微软雅黑" w:cs="微软雅黑"/>
          <w:sz w:val="24"/>
          <w:szCs w:val="24"/>
        </w:rPr>
        <w:t>四、对本次采购提出询问，请按以下方式联系。</w:t>
      </w:r>
      <w:r>
        <w:rPr>
          <w:rFonts w:hint="eastAsia" w:ascii="微软雅黑" w:hAnsi="微软雅黑" w:eastAsia="微软雅黑" w:cs="微软雅黑"/>
          <w:sz w:val="24"/>
          <w:szCs w:val="24"/>
        </w:rPr>
        <w:t>　　　           </w:t>
      </w:r>
      <w:r>
        <w:rPr>
          <w:rFonts w:ascii="黑体" w:hAnsi="宋体" w:eastAsia="黑体" w:cs="黑体"/>
          <w:sz w:val="24"/>
          <w:szCs w:val="24"/>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1.采购人信息           </w:t>
      </w:r>
      <w:r>
        <w:rPr>
          <w:rFonts w:hint="eastAsia" w:ascii="微软雅黑" w:hAnsi="微软雅黑" w:eastAsia="微软雅黑" w:cs="微软雅黑"/>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名    称：</w:t>
      </w:r>
      <w:r>
        <w:rPr>
          <w:rStyle w:val="10"/>
          <w:rFonts w:hint="eastAsia" w:ascii="微软雅黑" w:hAnsi="微软雅黑" w:eastAsia="微软雅黑" w:cs="微软雅黑"/>
          <w:sz w:val="24"/>
          <w:szCs w:val="24"/>
        </w:rPr>
        <w:t>崇左职业技术学校</w:t>
      </w:r>
      <w:r>
        <w:rPr>
          <w:rFonts w:hint="eastAsia" w:ascii="微软雅黑" w:hAnsi="微软雅黑" w:eastAsia="微软雅黑" w:cs="微软雅黑"/>
          <w:sz w:val="24"/>
          <w:szCs w:val="24"/>
        </w:rPr>
        <w:t>              </w:t>
      </w:r>
      <w:r>
        <w:rPr>
          <w:rFonts w:hint="eastAsia" w:ascii="微软雅黑" w:hAnsi="微软雅黑" w:eastAsia="微软雅黑" w:cs="微软雅黑"/>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地    址：</w:t>
      </w:r>
      <w:r>
        <w:rPr>
          <w:rStyle w:val="10"/>
          <w:rFonts w:hint="eastAsia" w:ascii="微软雅黑" w:hAnsi="微软雅黑" w:eastAsia="微软雅黑" w:cs="微软雅黑"/>
          <w:sz w:val="24"/>
          <w:szCs w:val="24"/>
        </w:rPr>
        <w:t>崇左市江州区佛子路22号</w:t>
      </w:r>
      <w:r>
        <w:rPr>
          <w:rFonts w:hint="eastAsia" w:ascii="微软雅黑" w:hAnsi="微软雅黑" w:eastAsia="微软雅黑" w:cs="微软雅黑"/>
          <w:sz w:val="24"/>
          <w:szCs w:val="24"/>
        </w:rPr>
        <w:t>         </w:t>
      </w:r>
      <w:r>
        <w:rPr>
          <w:rFonts w:hint="eastAsia" w:ascii="微软雅黑" w:hAnsi="微软雅黑" w:eastAsia="微软雅黑" w:cs="微软雅黑"/>
        </w:rPr>
        <w:t>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联系方式：</w:t>
      </w:r>
      <w:r>
        <w:rPr>
          <w:rStyle w:val="10"/>
          <w:rFonts w:hint="eastAsia" w:ascii="微软雅黑" w:hAnsi="微软雅黑" w:eastAsia="微软雅黑" w:cs="微软雅黑"/>
          <w:sz w:val="24"/>
          <w:szCs w:val="24"/>
        </w:rPr>
        <w:t xml:space="preserve"> 0771-5935377</w:t>
      </w:r>
      <w:r>
        <w:rPr>
          <w:rFonts w:hint="eastAsia" w:ascii="微软雅黑" w:hAnsi="微软雅黑" w:eastAsia="微软雅黑" w:cs="微软雅黑"/>
          <w:sz w:val="24"/>
          <w:szCs w:val="24"/>
        </w:rPr>
        <w:t>                    </w:t>
      </w:r>
      <w:r>
        <w:rPr>
          <w:rFonts w:hint="eastAsia" w:ascii="微软雅黑" w:hAnsi="微软雅黑" w:eastAsia="微软雅黑" w:cs="微软雅黑"/>
        </w:rPr>
        <w:t>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2.采购代理机构信息（如有）</w:t>
      </w:r>
      <w:r>
        <w:rPr>
          <w:rFonts w:hint="eastAsia" w:ascii="微软雅黑" w:hAnsi="微软雅黑" w:eastAsia="微软雅黑" w:cs="微软雅黑"/>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名    称：</w:t>
      </w:r>
      <w:r>
        <w:rPr>
          <w:rStyle w:val="10"/>
          <w:rFonts w:hint="eastAsia" w:ascii="微软雅黑" w:hAnsi="微软雅黑" w:eastAsia="微软雅黑" w:cs="微软雅黑"/>
          <w:sz w:val="24"/>
          <w:szCs w:val="24"/>
        </w:rPr>
        <w:t>广西国乔项目管理有限公司</w:t>
      </w:r>
      <w:r>
        <w:rPr>
          <w:rFonts w:hint="eastAsia" w:ascii="微软雅黑" w:hAnsi="微软雅黑" w:eastAsia="微软雅黑" w:cs="微软雅黑"/>
          <w:sz w:val="24"/>
          <w:szCs w:val="24"/>
        </w:rPr>
        <w:t>            </w:t>
      </w:r>
      <w:r>
        <w:rPr>
          <w:rFonts w:hint="eastAsia" w:ascii="微软雅黑" w:hAnsi="微软雅黑" w:eastAsia="微软雅黑" w:cs="微软雅黑"/>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地    址：</w:t>
      </w:r>
      <w:r>
        <w:rPr>
          <w:rStyle w:val="10"/>
          <w:rFonts w:hint="eastAsia" w:ascii="微软雅黑" w:hAnsi="微软雅黑" w:eastAsia="微软雅黑" w:cs="微软雅黑"/>
          <w:sz w:val="24"/>
          <w:szCs w:val="24"/>
        </w:rPr>
        <w:t>广西南宁市青秀区滨湖路66号交通厅四区8栋1203号 </w:t>
      </w:r>
      <w:r>
        <w:rPr>
          <w:rFonts w:hint="eastAsia" w:ascii="微软雅黑" w:hAnsi="微软雅黑" w:eastAsia="微软雅黑" w:cs="微软雅黑"/>
          <w:sz w:val="24"/>
          <w:szCs w:val="24"/>
        </w:rPr>
        <w:t>              </w:t>
      </w:r>
      <w:r>
        <w:rPr>
          <w:rFonts w:hint="eastAsia" w:ascii="微软雅黑" w:hAnsi="微软雅黑" w:eastAsia="微软雅黑" w:cs="微软雅黑"/>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sz w:val="24"/>
          <w:szCs w:val="24"/>
        </w:rPr>
        <w:t>联系方式：</w:t>
      </w:r>
      <w:r>
        <w:rPr>
          <w:rStyle w:val="10"/>
          <w:rFonts w:hint="eastAsia" w:ascii="微软雅黑" w:hAnsi="微软雅黑" w:eastAsia="微软雅黑" w:cs="微软雅黑"/>
          <w:sz w:val="24"/>
          <w:szCs w:val="24"/>
        </w:rPr>
        <w:t>0771-5590377 </w:t>
      </w:r>
      <w:r>
        <w:rPr>
          <w:rFonts w:hint="eastAsia" w:ascii="微软雅黑" w:hAnsi="微软雅黑" w:eastAsia="微软雅黑" w:cs="微软雅黑"/>
          <w:sz w:val="24"/>
          <w:szCs w:val="24"/>
        </w:rPr>
        <w:t>              </w:t>
      </w:r>
      <w:r>
        <w:rPr>
          <w:rFonts w:hint="eastAsia" w:ascii="微软雅黑" w:hAnsi="微软雅黑" w:eastAsia="微软雅黑" w:cs="微软雅黑"/>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rPr>
        <w:t>3.项目联系方式</w:t>
      </w:r>
      <w: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rPr>
        <w:t>项目联系人：</w:t>
      </w:r>
      <w:r>
        <w:rPr>
          <w:rStyle w:val="10"/>
          <w:rFonts w:hint="eastAsia" w:ascii="微软雅黑" w:hAnsi="微软雅黑" w:eastAsia="微软雅黑" w:cs="微软雅黑"/>
        </w:rPr>
        <w:t>黄婷</w:t>
      </w:r>
      <w: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420" w:lineRule="exact"/>
        <w:ind w:left="0" w:firstLine="420"/>
        <w:textAlignment w:val="auto"/>
      </w:pPr>
      <w:r>
        <w:rPr>
          <w:rFonts w:hint="eastAsia" w:ascii="微软雅黑" w:hAnsi="微软雅黑" w:eastAsia="微软雅黑" w:cs="微软雅黑"/>
        </w:rPr>
        <w:t>电    话：</w:t>
      </w:r>
      <w:r>
        <w:rPr>
          <w:rStyle w:val="10"/>
          <w:rFonts w:hint="eastAsia" w:ascii="微软雅黑" w:hAnsi="微软雅黑" w:eastAsia="微软雅黑" w:cs="微软雅黑"/>
        </w:rPr>
        <w:t>0771-5590377 </w:t>
      </w:r>
      <w: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7720B"/>
    <w:multiLevelType w:val="singleLevel"/>
    <w:tmpl w:val="3EA772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F7BCF"/>
    <w:rsid w:val="11BF6ECB"/>
    <w:rsid w:val="20BB0AC3"/>
    <w:rsid w:val="27394D0F"/>
    <w:rsid w:val="29BF7BCF"/>
    <w:rsid w:val="7C89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120" w:beforeLines="0" w:after="120" w:afterLines="0" w:line="360" w:lineRule="auto"/>
      <w:ind w:left="2900" w:hanging="2900"/>
      <w:outlineLvl w:val="3"/>
    </w:pPr>
    <w:rPr>
      <w:rFonts w:ascii="Arial" w:hAnsi="Arial" w:eastAsia="黑体" w:cs="Times New Roman"/>
      <w:color w:val="000000"/>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380" w:lineRule="exact"/>
      <w:jc w:val="both"/>
      <w:textAlignment w:val="baseline"/>
    </w:pPr>
    <w:rPr>
      <w:kern w:val="2"/>
      <w:sz w:val="24"/>
      <w:szCs w:val="24"/>
      <w:lang w:val="en-US" w:eastAsia="zh-CN" w:bidi="ar-SA"/>
    </w:rPr>
  </w:style>
  <w:style w:type="paragraph" w:styleId="4">
    <w:name w:val="Body Text"/>
    <w:basedOn w:val="1"/>
    <w:next w:val="1"/>
    <w:qFormat/>
    <w:uiPriority w:val="99"/>
    <w:pPr>
      <w:spacing w:line="380" w:lineRule="exact"/>
    </w:pPr>
    <w:rPr>
      <w:kern w:val="0"/>
      <w:sz w:val="24"/>
    </w:rPr>
  </w:style>
  <w:style w:type="paragraph" w:styleId="5">
    <w:name w:val="Plain Text"/>
    <w:basedOn w:val="1"/>
    <w:next w:val="3"/>
    <w:qFormat/>
    <w:uiPriority w:val="0"/>
    <w:rPr>
      <w:rFonts w:ascii="宋体" w:hAnsi="Courier New"/>
      <w:kern w:val="0"/>
      <w:sz w:val="20"/>
      <w:szCs w:val="21"/>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TML Sample"/>
    <w:basedOn w:val="8"/>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2022-06-17T01:59:00Z</dcterms:created>
  <dc:creator>昭懿</dc:creator>
  <cp:lastModifiedBy>昭懿</cp:lastModifiedBy>
  <dcterms:modified xsi:type="dcterms:W3CDTF">2022-06-17T09:06:05Z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8E9D321F6BE7492FB06025B0EF64B0D0</vt:lpwstr>
  </property>
</Properties>
</file>