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spacing w:line="360" w:lineRule="auto"/>
        <w:jc w:val="left"/>
      </w:pPr>
      <w:r>
        <w:drawing>
          <wp:inline distT="0" distB="0" distL="114300" distR="114300">
            <wp:extent cx="3041015" cy="652145"/>
            <wp:effectExtent l="0" t="0" r="6985" b="1460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6"/>
                    <a:stretch>
                      <a:fillRect/>
                    </a:stretch>
                  </pic:blipFill>
                  <pic:spPr>
                    <a:xfrm>
                      <a:off x="0" y="0"/>
                      <a:ext cx="3041015" cy="652145"/>
                    </a:xfrm>
                    <a:prstGeom prst="rect">
                      <a:avLst/>
                    </a:prstGeom>
                    <a:noFill/>
                    <a:ln>
                      <a:noFill/>
                    </a:ln>
                  </pic:spPr>
                </pic:pic>
              </a:graphicData>
            </a:graphic>
          </wp:inline>
        </w:drawing>
      </w:r>
    </w:p>
    <w:p>
      <w:pPr>
        <w:pStyle w:val="2"/>
      </w:pPr>
    </w:p>
    <w:p/>
    <w:p/>
    <w:p>
      <w:pPr>
        <w:pStyle w:val="2"/>
      </w:pPr>
    </w:p>
    <w:p>
      <w:pPr>
        <w:shd w:val="clear" w:color="auto" w:fill="FFFFFF"/>
        <w:spacing w:line="360" w:lineRule="auto"/>
        <w:ind w:left="210" w:leftChars="100"/>
        <w:jc w:val="center"/>
        <w:rPr>
          <w:rFonts w:ascii="宋体" w:hAnsi="宋体" w:cs="宋体"/>
          <w:b/>
          <w:bCs/>
          <w:spacing w:val="60"/>
          <w:sz w:val="72"/>
          <w:szCs w:val="72"/>
        </w:rPr>
      </w:pPr>
      <w:r>
        <w:rPr>
          <w:rFonts w:hint="eastAsia" w:ascii="宋体" w:hAnsi="宋体" w:cs="宋体"/>
          <w:b/>
          <w:bCs/>
          <w:spacing w:val="60"/>
          <w:sz w:val="72"/>
          <w:szCs w:val="72"/>
        </w:rPr>
        <w:t>中国政府采购项目</w:t>
      </w:r>
    </w:p>
    <w:p>
      <w:pPr>
        <w:shd w:val="clear" w:color="auto" w:fill="FFFFFF"/>
        <w:spacing w:after="240" w:line="360" w:lineRule="auto"/>
        <w:ind w:left="210" w:leftChars="100"/>
        <w:jc w:val="center"/>
        <w:rPr>
          <w:rFonts w:ascii="宋体" w:hAnsi="宋体" w:cs="宋体"/>
          <w:b/>
          <w:bCs/>
          <w:spacing w:val="60"/>
          <w:sz w:val="72"/>
          <w:szCs w:val="72"/>
        </w:rPr>
      </w:pPr>
      <w:r>
        <w:rPr>
          <w:rFonts w:hint="eastAsia" w:ascii="宋体" w:hAnsi="宋体" w:cs="宋体"/>
          <w:b/>
          <w:bCs/>
          <w:spacing w:val="60"/>
          <w:sz w:val="72"/>
          <w:szCs w:val="72"/>
        </w:rPr>
        <w:t>公开招标文件</w:t>
      </w:r>
    </w:p>
    <w:p>
      <w:pPr>
        <w:shd w:val="clear" w:color="auto" w:fill="FFFFFF"/>
        <w:adjustRightInd w:val="0"/>
        <w:snapToGrid w:val="0"/>
        <w:spacing w:line="360" w:lineRule="auto"/>
        <w:jc w:val="center"/>
        <w:rPr>
          <w:rFonts w:ascii="宋体" w:hAnsi="宋体" w:eastAsia="宋体" w:cs="Arial"/>
          <w:b/>
          <w:bCs/>
          <w:sz w:val="72"/>
          <w:szCs w:val="72"/>
        </w:rPr>
      </w:pPr>
    </w:p>
    <w:p>
      <w:pPr>
        <w:shd w:val="clear" w:color="auto" w:fill="FFFFFF"/>
        <w:adjustRightInd w:val="0"/>
        <w:snapToGrid w:val="0"/>
        <w:spacing w:line="360" w:lineRule="auto"/>
        <w:rPr>
          <w:rFonts w:ascii="宋体" w:hAnsi="宋体" w:eastAsia="宋体" w:cs="Arial"/>
          <w:sz w:val="28"/>
        </w:rPr>
      </w:pPr>
      <w:r>
        <w:rPr>
          <w:rFonts w:hint="eastAsia" w:ascii="宋体" w:hAnsi="宋体" w:eastAsia="宋体" w:cs="Arial"/>
          <w:sz w:val="28"/>
        </w:rPr>
        <w:t>项目编号：TEDACCGP-2022-003</w:t>
      </w:r>
    </w:p>
    <w:p>
      <w:pPr>
        <w:shd w:val="clear" w:color="auto" w:fill="FFFFFF"/>
        <w:adjustRightInd w:val="0"/>
        <w:snapToGrid w:val="0"/>
        <w:spacing w:line="360" w:lineRule="auto"/>
        <w:ind w:left="1400" w:hanging="1400" w:hangingChars="500"/>
        <w:rPr>
          <w:rFonts w:ascii="宋体" w:hAnsi="宋体" w:eastAsia="宋体" w:cs="Arial"/>
          <w:sz w:val="28"/>
        </w:rPr>
      </w:pPr>
      <w:r>
        <w:rPr>
          <w:rFonts w:hint="eastAsia" w:ascii="宋体" w:hAnsi="宋体" w:eastAsia="宋体" w:cs="Arial"/>
          <w:sz w:val="28"/>
        </w:rPr>
        <w:t>项目名称：AIS／ASM国产化核心网系统工程</w:t>
      </w:r>
    </w:p>
    <w:p>
      <w:pPr>
        <w:shd w:val="clear" w:color="auto" w:fill="FFFFFF"/>
        <w:adjustRightInd w:val="0"/>
        <w:snapToGrid w:val="0"/>
        <w:spacing w:line="480" w:lineRule="auto"/>
        <w:rPr>
          <w:rFonts w:ascii="宋体" w:hAnsi="宋体" w:eastAsia="宋体" w:cs="Arial"/>
          <w:sz w:val="28"/>
        </w:rPr>
      </w:pPr>
    </w:p>
    <w:p>
      <w:pPr>
        <w:pStyle w:val="2"/>
      </w:pPr>
    </w:p>
    <w:p>
      <w:pPr>
        <w:shd w:val="clear" w:color="auto" w:fill="FFFFFF"/>
        <w:adjustRightInd w:val="0"/>
        <w:snapToGrid w:val="0"/>
        <w:spacing w:line="480" w:lineRule="auto"/>
        <w:rPr>
          <w:rFonts w:ascii="宋体" w:hAnsi="宋体" w:eastAsia="宋体" w:cs="Arial"/>
          <w:sz w:val="28"/>
        </w:rPr>
      </w:pPr>
    </w:p>
    <w:p>
      <w:pPr>
        <w:shd w:val="clear" w:color="auto" w:fill="FFFFFF"/>
        <w:adjustRightInd w:val="0"/>
        <w:snapToGrid w:val="0"/>
        <w:spacing w:line="360" w:lineRule="auto"/>
        <w:rPr>
          <w:rFonts w:ascii="宋体" w:hAnsi="宋体" w:eastAsia="宋体" w:cs="Arial"/>
          <w:sz w:val="28"/>
        </w:rPr>
      </w:pPr>
      <w:bookmarkStart w:id="0" w:name="OLE_LINK5"/>
    </w:p>
    <w:bookmarkEnd w:id="0"/>
    <w:p>
      <w:pPr>
        <w:shd w:val="clear" w:color="auto" w:fill="FFFFFF"/>
        <w:adjustRightInd w:val="0"/>
        <w:snapToGrid w:val="0"/>
        <w:spacing w:line="360" w:lineRule="auto"/>
        <w:rPr>
          <w:rFonts w:ascii="宋体" w:hAnsi="宋体" w:eastAsia="宋体" w:cs="Arial"/>
          <w:sz w:val="28"/>
        </w:rPr>
      </w:pPr>
      <w:r>
        <w:rPr>
          <w:rFonts w:hint="eastAsia" w:ascii="宋体" w:hAnsi="宋体" w:eastAsia="宋体" w:cs="Arial"/>
          <w:sz w:val="28"/>
        </w:rPr>
        <w:t>交通运输部北海航海保障中心天津航标处</w:t>
      </w:r>
    </w:p>
    <w:p>
      <w:pPr>
        <w:shd w:val="clear" w:color="auto" w:fill="FFFFFF"/>
        <w:adjustRightInd w:val="0"/>
        <w:snapToGrid w:val="0"/>
        <w:spacing w:line="360" w:lineRule="auto"/>
        <w:rPr>
          <w:rFonts w:ascii="宋体" w:hAnsi="宋体" w:eastAsia="宋体" w:cs="Arial"/>
          <w:sz w:val="28"/>
        </w:rPr>
      </w:pPr>
      <w:r>
        <w:rPr>
          <w:rFonts w:hint="eastAsia" w:ascii="宋体" w:hAnsi="宋体" w:eastAsia="宋体" w:cs="Arial"/>
          <w:sz w:val="28"/>
        </w:rPr>
        <w:t>天津泰达工程管理咨询有限公司</w:t>
      </w:r>
    </w:p>
    <w:p>
      <w:pPr>
        <w:keepNext/>
        <w:keepLines/>
        <w:spacing w:before="260" w:after="260" w:line="415" w:lineRule="auto"/>
        <w:jc w:val="right"/>
        <w:outlineLvl w:val="2"/>
        <w:rPr>
          <w:rFonts w:ascii="宋体" w:hAnsi="宋体" w:eastAsia="宋体" w:cs="Arial"/>
          <w:sz w:val="28"/>
        </w:rPr>
      </w:pPr>
    </w:p>
    <w:p>
      <w:pPr>
        <w:keepNext/>
        <w:keepLines/>
        <w:spacing w:before="260" w:after="260" w:line="415" w:lineRule="auto"/>
        <w:jc w:val="right"/>
        <w:outlineLvl w:val="2"/>
        <w:rPr>
          <w:rFonts w:ascii="宋体" w:hAnsi="宋体" w:eastAsia="宋体" w:cs="Arial"/>
          <w:sz w:val="28"/>
        </w:rPr>
        <w:sectPr>
          <w:footerReference r:id="rId4" w:type="first"/>
          <w:footerReference r:id="rId3" w:type="default"/>
          <w:pgSz w:w="11907" w:h="16840"/>
          <w:pgMar w:top="1440" w:right="1797" w:bottom="1440" w:left="1797" w:header="794" w:footer="720" w:gutter="0"/>
          <w:cols w:space="720" w:num="1"/>
          <w:titlePg/>
          <w:docGrid w:linePitch="312" w:charSpace="0"/>
        </w:sectPr>
      </w:pPr>
      <w:r>
        <w:rPr>
          <w:rFonts w:hint="eastAsia" w:ascii="宋体" w:hAnsi="宋体" w:eastAsia="宋体" w:cs="Arial"/>
          <w:sz w:val="28"/>
        </w:rPr>
        <w:t>二〇二二年五月</w:t>
      </w:r>
    </w:p>
    <w:p>
      <w:pPr>
        <w:pStyle w:val="20"/>
        <w:sectPr>
          <w:footerReference r:id="rId5" w:type="default"/>
          <w:pgSz w:w="11906" w:h="16838"/>
          <w:pgMar w:top="1440" w:right="1800" w:bottom="1440" w:left="1800" w:header="851" w:footer="992" w:gutter="0"/>
          <w:cols w:space="425" w:num="1"/>
          <w:docGrid w:type="lines" w:linePitch="312" w:charSpace="0"/>
        </w:sectPr>
      </w:pPr>
    </w:p>
    <w:p>
      <w:pPr>
        <w:pStyle w:val="20"/>
      </w:pPr>
      <w:r>
        <w:rPr>
          <w:rFonts w:hint="eastAsia"/>
        </w:rPr>
        <w:t>目 录</w:t>
      </w:r>
    </w:p>
    <w:p>
      <w:pPr>
        <w:pStyle w:val="20"/>
        <w:tabs>
          <w:tab w:val="right" w:leader="dot" w:pos="8306"/>
          <w:tab w:val="clear" w:pos="8296"/>
        </w:tabs>
        <w:rPr>
          <w:sz w:val="28"/>
          <w:szCs w:val="28"/>
        </w:rPr>
      </w:pPr>
      <w:r>
        <w:rPr>
          <w:sz w:val="28"/>
          <w:szCs w:val="28"/>
        </w:rPr>
        <w:fldChar w:fldCharType="begin"/>
      </w:r>
      <w:r>
        <w:rPr>
          <w:sz w:val="28"/>
          <w:szCs w:val="28"/>
        </w:rPr>
        <w:instrText xml:space="preserve"> TOC \o "1-1" \h \z \u </w:instrText>
      </w:r>
      <w:r>
        <w:rPr>
          <w:sz w:val="28"/>
          <w:szCs w:val="28"/>
        </w:rPr>
        <w:fldChar w:fldCharType="separate"/>
      </w:r>
      <w:r>
        <w:fldChar w:fldCharType="begin"/>
      </w:r>
      <w:r>
        <w:instrText xml:space="preserve"> HYPERLINK \l "_Toc32131" </w:instrText>
      </w:r>
      <w:r>
        <w:fldChar w:fldCharType="separate"/>
      </w:r>
      <w:r>
        <w:rPr>
          <w:rFonts w:hint="eastAsia"/>
          <w:sz w:val="28"/>
          <w:szCs w:val="28"/>
        </w:rPr>
        <w:t>第一部分：邀请函</w:t>
      </w:r>
      <w:r>
        <w:rPr>
          <w:sz w:val="28"/>
          <w:szCs w:val="28"/>
        </w:rPr>
        <w:tab/>
      </w:r>
      <w:r>
        <w:rPr>
          <w:sz w:val="28"/>
          <w:szCs w:val="28"/>
        </w:rPr>
        <w:fldChar w:fldCharType="begin"/>
      </w:r>
      <w:r>
        <w:rPr>
          <w:sz w:val="28"/>
          <w:szCs w:val="28"/>
        </w:rPr>
        <w:instrText xml:space="preserve"> PAGEREF _Toc32131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0"/>
        <w:tabs>
          <w:tab w:val="right" w:leader="dot" w:pos="8306"/>
          <w:tab w:val="clear" w:pos="8296"/>
        </w:tabs>
        <w:rPr>
          <w:sz w:val="28"/>
          <w:szCs w:val="28"/>
        </w:rPr>
      </w:pPr>
      <w:r>
        <w:fldChar w:fldCharType="begin"/>
      </w:r>
      <w:r>
        <w:instrText xml:space="preserve"> HYPERLINK \l "_Toc28332" </w:instrText>
      </w:r>
      <w:r>
        <w:fldChar w:fldCharType="separate"/>
      </w:r>
      <w:r>
        <w:rPr>
          <w:rFonts w:hint="eastAsia"/>
          <w:sz w:val="28"/>
          <w:szCs w:val="28"/>
        </w:rPr>
        <w:t>第二部分：项目要求</w:t>
      </w:r>
      <w:r>
        <w:rPr>
          <w:sz w:val="28"/>
          <w:szCs w:val="28"/>
        </w:rPr>
        <w:tab/>
      </w:r>
      <w:r>
        <w:rPr>
          <w:sz w:val="28"/>
          <w:szCs w:val="28"/>
        </w:rPr>
        <w:fldChar w:fldCharType="begin"/>
      </w:r>
      <w:r>
        <w:rPr>
          <w:sz w:val="28"/>
          <w:szCs w:val="28"/>
        </w:rPr>
        <w:instrText xml:space="preserve"> PAGEREF _Toc28332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20"/>
        <w:tabs>
          <w:tab w:val="right" w:leader="dot" w:pos="8306"/>
          <w:tab w:val="clear" w:pos="8296"/>
        </w:tabs>
        <w:rPr>
          <w:sz w:val="28"/>
          <w:szCs w:val="28"/>
        </w:rPr>
      </w:pPr>
      <w:r>
        <w:fldChar w:fldCharType="begin"/>
      </w:r>
      <w:r>
        <w:instrText xml:space="preserve"> HYPERLINK \l "_Toc3831" </w:instrText>
      </w:r>
      <w:r>
        <w:fldChar w:fldCharType="separate"/>
      </w:r>
      <w:r>
        <w:rPr>
          <w:rFonts w:hint="eastAsia"/>
          <w:sz w:val="28"/>
          <w:szCs w:val="28"/>
        </w:rPr>
        <w:t>第三部分：供应商须知</w:t>
      </w:r>
      <w:r>
        <w:rPr>
          <w:sz w:val="28"/>
          <w:szCs w:val="28"/>
        </w:rPr>
        <w:tab/>
      </w:r>
      <w:r>
        <w:rPr>
          <w:sz w:val="28"/>
          <w:szCs w:val="28"/>
        </w:rPr>
        <w:fldChar w:fldCharType="begin"/>
      </w:r>
      <w:r>
        <w:rPr>
          <w:sz w:val="28"/>
          <w:szCs w:val="28"/>
        </w:rPr>
        <w:instrText xml:space="preserve"> PAGEREF _Toc3831 \h </w:instrText>
      </w:r>
      <w:r>
        <w:rPr>
          <w:sz w:val="28"/>
          <w:szCs w:val="28"/>
        </w:rPr>
        <w:fldChar w:fldCharType="separate"/>
      </w:r>
      <w:r>
        <w:rPr>
          <w:sz w:val="28"/>
          <w:szCs w:val="28"/>
        </w:rPr>
        <w:t>58</w:t>
      </w:r>
      <w:r>
        <w:rPr>
          <w:sz w:val="28"/>
          <w:szCs w:val="28"/>
        </w:rPr>
        <w:fldChar w:fldCharType="end"/>
      </w:r>
      <w:r>
        <w:rPr>
          <w:sz w:val="28"/>
          <w:szCs w:val="28"/>
        </w:rPr>
        <w:fldChar w:fldCharType="end"/>
      </w:r>
    </w:p>
    <w:p>
      <w:pPr>
        <w:pStyle w:val="20"/>
        <w:tabs>
          <w:tab w:val="right" w:leader="dot" w:pos="8306"/>
          <w:tab w:val="clear" w:pos="8296"/>
        </w:tabs>
        <w:rPr>
          <w:sz w:val="28"/>
          <w:szCs w:val="28"/>
        </w:rPr>
      </w:pPr>
      <w:r>
        <w:fldChar w:fldCharType="begin"/>
      </w:r>
      <w:r>
        <w:instrText xml:space="preserve"> HYPERLINK \l "_Toc10792" </w:instrText>
      </w:r>
      <w:r>
        <w:fldChar w:fldCharType="separate"/>
      </w:r>
      <w:r>
        <w:rPr>
          <w:rFonts w:hint="eastAsia"/>
          <w:sz w:val="28"/>
          <w:szCs w:val="28"/>
        </w:rPr>
        <w:t>第四部分：拟用合同条款</w:t>
      </w:r>
      <w:r>
        <w:rPr>
          <w:sz w:val="28"/>
          <w:szCs w:val="28"/>
        </w:rPr>
        <w:tab/>
      </w:r>
      <w:r>
        <w:rPr>
          <w:sz w:val="28"/>
          <w:szCs w:val="28"/>
        </w:rPr>
        <w:fldChar w:fldCharType="begin"/>
      </w:r>
      <w:r>
        <w:rPr>
          <w:sz w:val="28"/>
          <w:szCs w:val="28"/>
        </w:rPr>
        <w:instrText xml:space="preserve"> PAGEREF _Toc10792 \h </w:instrText>
      </w:r>
      <w:r>
        <w:rPr>
          <w:sz w:val="28"/>
          <w:szCs w:val="28"/>
        </w:rPr>
        <w:fldChar w:fldCharType="separate"/>
      </w:r>
      <w:r>
        <w:rPr>
          <w:sz w:val="28"/>
          <w:szCs w:val="28"/>
        </w:rPr>
        <w:t>77</w:t>
      </w:r>
      <w:r>
        <w:rPr>
          <w:sz w:val="28"/>
          <w:szCs w:val="28"/>
        </w:rPr>
        <w:fldChar w:fldCharType="end"/>
      </w:r>
      <w:r>
        <w:rPr>
          <w:sz w:val="28"/>
          <w:szCs w:val="28"/>
        </w:rPr>
        <w:fldChar w:fldCharType="end"/>
      </w:r>
    </w:p>
    <w:p>
      <w:pPr>
        <w:pStyle w:val="20"/>
        <w:tabs>
          <w:tab w:val="right" w:leader="dot" w:pos="8306"/>
          <w:tab w:val="clear" w:pos="8296"/>
        </w:tabs>
        <w:rPr>
          <w:sz w:val="28"/>
          <w:szCs w:val="28"/>
        </w:rPr>
      </w:pPr>
      <w:r>
        <w:fldChar w:fldCharType="begin"/>
      </w:r>
      <w:r>
        <w:instrText xml:space="preserve"> HYPERLINK \l "_Toc8612" </w:instrText>
      </w:r>
      <w:r>
        <w:fldChar w:fldCharType="separate"/>
      </w:r>
      <w:r>
        <w:rPr>
          <w:rFonts w:hint="eastAsia"/>
          <w:sz w:val="28"/>
          <w:szCs w:val="28"/>
        </w:rPr>
        <w:t>第五部分</w:t>
      </w:r>
      <w:r>
        <w:rPr>
          <w:sz w:val="28"/>
          <w:szCs w:val="28"/>
        </w:rPr>
        <w:t xml:space="preserve">  </w:t>
      </w:r>
      <w:r>
        <w:rPr>
          <w:rFonts w:hint="eastAsia"/>
          <w:sz w:val="28"/>
          <w:szCs w:val="28"/>
        </w:rPr>
        <w:t>投标文件格式</w:t>
      </w:r>
      <w:r>
        <w:rPr>
          <w:sz w:val="28"/>
          <w:szCs w:val="28"/>
        </w:rPr>
        <w:tab/>
      </w:r>
      <w:r>
        <w:rPr>
          <w:sz w:val="28"/>
          <w:szCs w:val="28"/>
        </w:rPr>
        <w:fldChar w:fldCharType="begin"/>
      </w:r>
      <w:r>
        <w:rPr>
          <w:sz w:val="28"/>
          <w:szCs w:val="28"/>
        </w:rPr>
        <w:instrText xml:space="preserve"> PAGEREF _Toc8612 \h </w:instrText>
      </w:r>
      <w:r>
        <w:rPr>
          <w:sz w:val="28"/>
          <w:szCs w:val="28"/>
        </w:rPr>
        <w:fldChar w:fldCharType="separate"/>
      </w:r>
      <w:r>
        <w:rPr>
          <w:sz w:val="28"/>
          <w:szCs w:val="28"/>
        </w:rPr>
        <w:t>87</w:t>
      </w:r>
      <w:r>
        <w:rPr>
          <w:sz w:val="28"/>
          <w:szCs w:val="28"/>
        </w:rPr>
        <w:fldChar w:fldCharType="end"/>
      </w:r>
      <w:r>
        <w:rPr>
          <w:sz w:val="28"/>
          <w:szCs w:val="28"/>
        </w:rPr>
        <w:fldChar w:fldCharType="end"/>
      </w:r>
    </w:p>
    <w:p>
      <w:pPr>
        <w:jc w:val="center"/>
        <w:rPr>
          <w:sz w:val="28"/>
          <w:szCs w:val="28"/>
        </w:rPr>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pPr>
      <w:r>
        <w:rPr>
          <w:sz w:val="28"/>
          <w:szCs w:val="28"/>
        </w:rPr>
        <w:fldChar w:fldCharType="end"/>
      </w:r>
    </w:p>
    <w:p>
      <w:pPr>
        <w:pStyle w:val="3"/>
        <w:spacing w:before="120" w:after="120" w:line="579" w:lineRule="auto"/>
        <w:rPr>
          <w:szCs w:val="32"/>
        </w:rPr>
      </w:pPr>
      <w:bookmarkStart w:id="1" w:name="_Toc32131"/>
      <w:bookmarkStart w:id="2" w:name="_Toc443612332"/>
      <w:bookmarkStart w:id="3" w:name="_Toc19476"/>
      <w:r>
        <w:rPr>
          <w:rFonts w:hint="eastAsia"/>
          <w:szCs w:val="32"/>
        </w:rPr>
        <w:t>第一部分：邀请函</w:t>
      </w:r>
      <w:bookmarkEnd w:id="1"/>
      <w:bookmarkEnd w:id="2"/>
      <w:bookmarkEnd w:id="3"/>
    </w:p>
    <w:p>
      <w:pPr>
        <w:widowControl/>
        <w:spacing w:line="360" w:lineRule="auto"/>
        <w:jc w:val="left"/>
        <w:outlineLvl w:val="0"/>
        <w:rPr>
          <w:rFonts w:ascii="宋体" w:hAnsi="宋体" w:eastAsia="宋体" w:cs="宋体"/>
          <w:sz w:val="24"/>
          <w:szCs w:val="24"/>
        </w:rPr>
      </w:pPr>
      <w:bookmarkStart w:id="4" w:name="_Toc32624"/>
      <w:bookmarkStart w:id="5" w:name="_Toc443612333"/>
      <w:r>
        <w:rPr>
          <w:rFonts w:hint="eastAsia" w:ascii="宋体" w:hAnsi="宋体" w:eastAsia="宋体" w:cs="宋体"/>
          <w:color w:val="383838"/>
          <w:kern w:val="0"/>
          <w:sz w:val="24"/>
          <w:szCs w:val="24"/>
          <w:lang w:bidi="ar"/>
        </w:rPr>
        <w:t>项目概况</w:t>
      </w:r>
      <w:bookmarkEnd w:id="4"/>
      <w:r>
        <w:rPr>
          <w:rFonts w:hint="eastAsia" w:ascii="宋体" w:hAnsi="宋体" w:eastAsia="宋体" w:cs="宋体"/>
          <w:color w:val="383838"/>
          <w:kern w:val="0"/>
          <w:sz w:val="24"/>
          <w:szCs w:val="24"/>
          <w:lang w:bidi="ar"/>
        </w:rPr>
        <w:t xml:space="preserve">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AIS／ASM国产化核心网系统工程招标项目的潜在投标人应在天津经济技术开发区第四大街80号天大科技园B2座获取招标文件，并于2022年06月21日 09点30分（北京时间）前递交投标文件。 </w:t>
      </w:r>
    </w:p>
    <w:p>
      <w:pPr>
        <w:widowControl/>
        <w:spacing w:line="360" w:lineRule="auto"/>
        <w:jc w:val="left"/>
        <w:rPr>
          <w:rFonts w:ascii="宋体" w:hAnsi="宋体" w:eastAsia="宋体" w:cs="宋体"/>
          <w:sz w:val="24"/>
          <w:szCs w:val="24"/>
        </w:rPr>
      </w:pPr>
      <w:r>
        <w:rPr>
          <w:rFonts w:hint="eastAsia" w:ascii="宋体" w:hAnsi="宋体" w:eastAsia="宋体" w:cs="宋体"/>
          <w:b/>
          <w:bCs/>
          <w:color w:val="383838"/>
          <w:kern w:val="0"/>
          <w:sz w:val="24"/>
          <w:szCs w:val="24"/>
          <w:lang w:bidi="ar"/>
        </w:rPr>
        <w:t xml:space="preserve">一、项目基本情况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项目编号：TEDACCGP-2022-003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项目名称：AIS／ASM国产化核心网系统工程 </w:t>
      </w:r>
    </w:p>
    <w:p>
      <w:pPr>
        <w:widowControl/>
        <w:spacing w:line="360" w:lineRule="auto"/>
        <w:ind w:firstLine="480" w:firstLineChars="200"/>
        <w:jc w:val="left"/>
        <w:rPr>
          <w:rFonts w:ascii="宋体" w:hAnsi="宋体" w:eastAsia="宋体" w:cs="宋体"/>
          <w:color w:val="383838"/>
          <w:kern w:val="0"/>
          <w:sz w:val="24"/>
          <w:szCs w:val="24"/>
          <w:lang w:bidi="ar"/>
        </w:rPr>
      </w:pPr>
      <w:r>
        <w:rPr>
          <w:rFonts w:hint="eastAsia" w:ascii="宋体" w:hAnsi="宋体" w:eastAsia="宋体" w:cs="宋体"/>
          <w:color w:val="383838"/>
          <w:kern w:val="0"/>
          <w:sz w:val="24"/>
          <w:szCs w:val="24"/>
          <w:lang w:bidi="ar"/>
        </w:rPr>
        <w:t xml:space="preserve">预算金额：317 万元（人民币） </w:t>
      </w:r>
    </w:p>
    <w:p>
      <w:pPr>
        <w:pStyle w:val="2"/>
        <w:ind w:firstLine="480" w:firstLineChars="200"/>
      </w:pPr>
      <w:r>
        <w:rPr>
          <w:rFonts w:hint="eastAsia" w:ascii="宋体" w:hAnsi="宋体" w:cs="宋体"/>
          <w:color w:val="383838"/>
          <w:kern w:val="0"/>
          <w:sz w:val="24"/>
          <w:szCs w:val="24"/>
          <w:lang w:bidi="ar"/>
        </w:rPr>
        <w:t>最高限价：317万元（人民币）</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采购需求： 详见项目需求书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383838"/>
          <w:kern w:val="0"/>
          <w:sz w:val="24"/>
          <w:szCs w:val="24"/>
          <w:lang w:bidi="ar"/>
        </w:rPr>
        <w:t>合同履行期限：</w:t>
      </w:r>
      <w:r>
        <w:rPr>
          <w:rFonts w:hint="eastAsia" w:ascii="宋体" w:hAnsi="宋体" w:eastAsia="宋体" w:cs="宋体"/>
          <w:b/>
          <w:bCs/>
          <w:color w:val="383838"/>
          <w:kern w:val="0"/>
          <w:sz w:val="24"/>
          <w:szCs w:val="24"/>
          <w:lang w:bidi="ar"/>
        </w:rPr>
        <w:t>自</w:t>
      </w:r>
      <w:r>
        <w:rPr>
          <w:rFonts w:hint="eastAsia" w:ascii="宋体" w:hAnsi="宋体"/>
          <w:b/>
          <w:bCs/>
          <w:sz w:val="24"/>
        </w:rPr>
        <w:t>合同</w:t>
      </w:r>
      <w:r>
        <w:rPr>
          <w:rFonts w:hint="eastAsia" w:ascii="宋体" w:hAnsi="宋体"/>
          <w:b/>
          <w:sz w:val="24"/>
        </w:rPr>
        <w:t>签订之日起至</w:t>
      </w:r>
      <w:r>
        <w:rPr>
          <w:rFonts w:ascii="宋体" w:hAnsi="宋体"/>
          <w:b/>
          <w:sz w:val="24"/>
        </w:rPr>
        <w:t>2023年</w:t>
      </w:r>
      <w:r>
        <w:rPr>
          <w:rFonts w:hint="eastAsia" w:ascii="宋体" w:hAnsi="宋体"/>
          <w:b/>
          <w:sz w:val="24"/>
        </w:rPr>
        <w:t>12月31日</w:t>
      </w:r>
      <w:r>
        <w:rPr>
          <w:rFonts w:hint="eastAsia" w:ascii="宋体" w:hAnsi="宋体" w:eastAsia="宋体" w:cs="宋体"/>
          <w:color w:val="383838"/>
          <w:kern w:val="0"/>
          <w:sz w:val="24"/>
          <w:szCs w:val="24"/>
          <w:lang w:bidi="ar"/>
        </w:rPr>
        <w:t>。</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本项目( 不接受 )联合体投标。 </w:t>
      </w:r>
    </w:p>
    <w:p>
      <w:pPr>
        <w:widowControl/>
        <w:spacing w:line="360" w:lineRule="auto"/>
        <w:jc w:val="left"/>
        <w:rPr>
          <w:rFonts w:ascii="宋体" w:hAnsi="宋体" w:eastAsia="宋体" w:cs="宋体"/>
          <w:sz w:val="24"/>
          <w:szCs w:val="24"/>
        </w:rPr>
      </w:pPr>
      <w:r>
        <w:rPr>
          <w:rFonts w:hint="eastAsia" w:ascii="宋体" w:hAnsi="宋体" w:eastAsia="宋体" w:cs="宋体"/>
          <w:b/>
          <w:bCs/>
          <w:color w:val="383838"/>
          <w:kern w:val="0"/>
          <w:sz w:val="24"/>
          <w:szCs w:val="24"/>
          <w:lang w:bidi="ar"/>
        </w:rPr>
        <w:t xml:space="preserve">二、申请人的资格要求：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1.满足《中华人民共和国政府采购法》第二十二条规定；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2.落实政府采购政策需满足的资格要求： </w:t>
      </w:r>
    </w:p>
    <w:p>
      <w:pPr>
        <w:pStyle w:val="59"/>
        <w:widowControl/>
        <w:numPr>
          <w:ilvl w:val="0"/>
          <w:numId w:val="2"/>
        </w:numPr>
        <w:spacing w:line="360" w:lineRule="auto"/>
        <w:ind w:left="0" w:firstLine="567" w:firstLineChars="0"/>
        <w:jc w:val="left"/>
        <w:rPr>
          <w:rFonts w:ascii="宋体" w:hAnsi="宋体" w:eastAsia="宋体" w:cs="宋体"/>
          <w:color w:val="383838"/>
          <w:kern w:val="0"/>
          <w:sz w:val="24"/>
          <w:szCs w:val="24"/>
          <w:lang w:bidi="ar"/>
        </w:rPr>
      </w:pPr>
      <w:r>
        <w:rPr>
          <w:rFonts w:hint="eastAsia" w:ascii="宋体" w:hAnsi="宋体" w:eastAsia="宋体" w:cs="宋体"/>
          <w:color w:val="383838"/>
          <w:kern w:val="0"/>
          <w:sz w:val="24"/>
          <w:szCs w:val="24"/>
          <w:lang w:bidi="ar"/>
        </w:rPr>
        <w:t>①根据财政部发布的《政府采购促进中小企业发展管理办法》(财库〔2020〕46号)规定，本项目对小型和微型企业产品的价格给予6%的扣除。②本项目所属行业为</w:t>
      </w:r>
      <w:r>
        <w:rPr>
          <w:rFonts w:cstheme="minorEastAsia"/>
          <w:b/>
          <w:bCs/>
          <w:sz w:val="24"/>
          <w:szCs w:val="24"/>
          <w:u w:val="single"/>
        </w:rPr>
        <w:t>软件和信息技术服务业</w:t>
      </w:r>
      <w:r>
        <w:rPr>
          <w:rFonts w:hint="eastAsia" w:ascii="宋体" w:hAnsi="宋体" w:eastAsia="宋体" w:cs="宋体"/>
          <w:color w:val="383838"/>
          <w:kern w:val="0"/>
          <w:sz w:val="24"/>
          <w:szCs w:val="24"/>
          <w:lang w:bidi="ar"/>
        </w:rPr>
        <w:t>，中小微企业投标文件中须提供《中小企业声明函》（中小企业划分见“关于印发中小企业划型标准规定的通知”（工信部联企业〔2011〕300号）文件。</w:t>
      </w:r>
    </w:p>
    <w:p>
      <w:pPr>
        <w:pStyle w:val="59"/>
        <w:widowControl/>
        <w:numPr>
          <w:ilvl w:val="0"/>
          <w:numId w:val="2"/>
        </w:numPr>
        <w:spacing w:line="360" w:lineRule="auto"/>
        <w:ind w:left="0" w:firstLine="567" w:firstLineChars="0"/>
        <w:jc w:val="left"/>
        <w:rPr>
          <w:rFonts w:ascii="宋体" w:hAnsi="宋体" w:eastAsia="宋体" w:cs="宋体"/>
          <w:sz w:val="24"/>
          <w:szCs w:val="24"/>
        </w:rPr>
      </w:pPr>
      <w:r>
        <w:rPr>
          <w:rFonts w:hint="eastAsia" w:ascii="宋体" w:hAnsi="宋体" w:eastAsia="宋体" w:cs="宋体"/>
          <w:color w:val="383838"/>
          <w:kern w:val="0"/>
          <w:sz w:val="24"/>
          <w:szCs w:val="24"/>
          <w:lang w:bidi="ar"/>
        </w:rPr>
        <w:t>根据财政部、民政部、中国残疾人联合会联合发布的《关于促进残疾人就业政府采购政策的通知》（财库〔2017〕141号）规定，在政府采购活动中，残疾人福利性单位视同小型、微型企业，对其价格给予6%的扣除（供应商所投全部货物生产厂家为残疾人福利性单位则给予6%的扣除，否则不予扣除）。残疾人福利性单位属于小型、微型企业的，不重复享受政策。符合条件的残疾人福利性单位须提供《残疾人福利性单位声明函》，未提供《残疾人福利性单位声明函》的将不给予价格扣除。</w:t>
      </w:r>
    </w:p>
    <w:p>
      <w:pPr>
        <w:pStyle w:val="59"/>
        <w:widowControl/>
        <w:numPr>
          <w:ilvl w:val="0"/>
          <w:numId w:val="2"/>
        </w:numPr>
        <w:spacing w:line="360" w:lineRule="auto"/>
        <w:ind w:left="0" w:firstLine="567" w:firstLineChars="0"/>
        <w:jc w:val="left"/>
        <w:rPr>
          <w:rFonts w:ascii="宋体" w:hAnsi="宋体" w:eastAsia="宋体" w:cs="宋体"/>
          <w:sz w:val="24"/>
          <w:szCs w:val="24"/>
        </w:rPr>
      </w:pPr>
      <w:r>
        <w:rPr>
          <w:rFonts w:hint="eastAsia" w:ascii="宋体" w:hAnsi="宋体" w:eastAsia="宋体" w:cs="宋体"/>
          <w:color w:val="383838"/>
          <w:kern w:val="0"/>
          <w:sz w:val="24"/>
          <w:szCs w:val="24"/>
          <w:lang w:bidi="ar"/>
        </w:rPr>
        <w:t>执行《关于政府采购支持监狱企业发展有关问题的通知》规定。对监狱企业视同小型、微型企业，享受评审中价格扣除政策，同时监狱企业技术标中须提供由省级以上监狱管理局、戒毒管理局（含新疆生产建设兵团）出具的属于监狱企业的证明文件，未提供的将不给予价格扣除。</w:t>
      </w:r>
    </w:p>
    <w:p>
      <w:pPr>
        <w:pStyle w:val="59"/>
        <w:widowControl/>
        <w:numPr>
          <w:ilvl w:val="0"/>
          <w:numId w:val="2"/>
        </w:numPr>
        <w:spacing w:line="360" w:lineRule="auto"/>
        <w:ind w:left="0" w:firstLine="567" w:firstLineChars="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涉及商品包装和快递包装的，按照财政部办公厅、生态环境部办公厅、国家邮政局办公室《关于印发&lt;商品包装政府采购需求标准（试行）&gt;、&lt;快递包装政府采购需求标准（试行）&gt;的通知》（财办库〔2020〕123号）要求执行。 </w:t>
      </w:r>
    </w:p>
    <w:p>
      <w:pPr>
        <w:pStyle w:val="59"/>
        <w:widowControl/>
        <w:numPr>
          <w:ilvl w:val="0"/>
          <w:numId w:val="2"/>
        </w:numPr>
        <w:spacing w:line="360" w:lineRule="auto"/>
        <w:ind w:left="0" w:firstLine="567" w:firstLineChars="0"/>
        <w:jc w:val="left"/>
        <w:rPr>
          <w:rFonts w:ascii="宋体" w:hAnsi="宋体" w:eastAsia="宋体" w:cs="宋体"/>
          <w:sz w:val="24"/>
          <w:szCs w:val="24"/>
        </w:rPr>
      </w:pPr>
      <w:r>
        <w:rPr>
          <w:rFonts w:hint="eastAsia" w:ascii="宋体" w:hAnsi="宋体" w:cs="Arial"/>
          <w:sz w:val="24"/>
        </w:rPr>
        <w:t>根据财政部、国家发展改革委《关于调整节能产品政府采购清单的通知》（财库〔20</w:t>
      </w:r>
      <w:r>
        <w:rPr>
          <w:rFonts w:ascii="宋体" w:hAnsi="宋体" w:cs="Arial"/>
          <w:sz w:val="24"/>
        </w:rPr>
        <w:t>09</w:t>
      </w:r>
      <w:r>
        <w:rPr>
          <w:rFonts w:hint="eastAsia" w:ascii="宋体" w:hAnsi="宋体" w:cs="Arial"/>
          <w:sz w:val="24"/>
        </w:rPr>
        <w:t>〕1</w:t>
      </w:r>
      <w:r>
        <w:rPr>
          <w:rFonts w:ascii="宋体" w:hAnsi="宋体" w:cs="Arial"/>
          <w:sz w:val="24"/>
        </w:rPr>
        <w:t>02</w:t>
      </w:r>
      <w:r>
        <w:rPr>
          <w:rFonts w:hint="eastAsia" w:ascii="宋体" w:hAnsi="宋体" w:cs="Arial"/>
          <w:sz w:val="24"/>
        </w:rPr>
        <w:t>号）文件，以及财政部、发展改革委、生态环境部、市场监管总局《关于调整优化节能产品、环境标志产品政府采购执行机制的通知》（财库〔2019〕9号）文件规定，依据品目清单和认证证书实施政府优先采购和强制采购。</w:t>
      </w:r>
    </w:p>
    <w:p>
      <w:pPr>
        <w:pStyle w:val="59"/>
        <w:widowControl/>
        <w:numPr>
          <w:ilvl w:val="0"/>
          <w:numId w:val="2"/>
        </w:numPr>
        <w:spacing w:line="360" w:lineRule="auto"/>
        <w:ind w:left="0" w:firstLine="567" w:firstLineChars="0"/>
        <w:jc w:val="left"/>
        <w:rPr>
          <w:rFonts w:ascii="宋体" w:hAnsi="宋体" w:eastAsia="宋体" w:cs="宋体"/>
          <w:sz w:val="24"/>
          <w:szCs w:val="24"/>
        </w:rPr>
      </w:pPr>
      <w:r>
        <w:rPr>
          <w:rFonts w:hint="eastAsia" w:ascii="宋体" w:hAnsi="宋体" w:cs="Arial"/>
          <w:sz w:val="24"/>
        </w:rPr>
        <w:t>根据财政部、环境保护部《关于调整环境标志产品政府采购清单的通知》（财库〔20</w:t>
      </w:r>
      <w:r>
        <w:rPr>
          <w:rFonts w:ascii="宋体" w:hAnsi="宋体" w:cs="Arial"/>
          <w:sz w:val="24"/>
        </w:rPr>
        <w:t>09</w:t>
      </w:r>
      <w:r>
        <w:rPr>
          <w:rFonts w:hint="eastAsia" w:ascii="宋体" w:hAnsi="宋体" w:cs="Arial"/>
          <w:sz w:val="24"/>
        </w:rPr>
        <w:t>〕1</w:t>
      </w:r>
      <w:r>
        <w:rPr>
          <w:rFonts w:ascii="宋体" w:hAnsi="宋体" w:cs="Arial"/>
          <w:sz w:val="24"/>
        </w:rPr>
        <w:t>11</w:t>
      </w:r>
      <w:r>
        <w:rPr>
          <w:rFonts w:hint="eastAsia" w:ascii="宋体" w:hAnsi="宋体" w:cs="Arial"/>
          <w:sz w:val="24"/>
        </w:rPr>
        <w:t>号）文件，以及财政部、发展改革委、生态环境部、市场监管总局《关于调整优化节能产品、环境标志产品政府采购执行机制的通知》（财库〔2019〕9号）文件规定，依据品目清单和认证证书实施政府优先采购和强制采购。</w:t>
      </w:r>
    </w:p>
    <w:p>
      <w:pPr>
        <w:pStyle w:val="59"/>
        <w:widowControl/>
        <w:numPr>
          <w:ilvl w:val="0"/>
          <w:numId w:val="2"/>
        </w:numPr>
        <w:spacing w:line="360" w:lineRule="auto"/>
        <w:ind w:left="0" w:firstLine="567" w:firstLineChars="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按照《财政部关于在政府采购活动中查询及使用信用记录有关问题的通知》（财库〔2016〕125号）的要求，根据开标当日“信用中国”网站（www.creditchina.gov.cn）、中国政府采购网 （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 </w:t>
      </w:r>
    </w:p>
    <w:p>
      <w:pPr>
        <w:widowControl/>
        <w:spacing w:line="360" w:lineRule="auto"/>
        <w:ind w:firstLine="480" w:firstLineChars="200"/>
        <w:jc w:val="left"/>
        <w:rPr>
          <w:rFonts w:ascii="宋体" w:hAnsi="宋体" w:eastAsia="宋体" w:cs="宋体"/>
          <w:color w:val="383838"/>
          <w:kern w:val="0"/>
          <w:sz w:val="24"/>
          <w:szCs w:val="24"/>
          <w:lang w:bidi="ar"/>
        </w:rPr>
      </w:pPr>
      <w:r>
        <w:rPr>
          <w:rFonts w:hint="eastAsia" w:ascii="宋体" w:hAnsi="宋体" w:eastAsia="宋体" w:cs="宋体"/>
          <w:color w:val="383838"/>
          <w:kern w:val="0"/>
          <w:sz w:val="24"/>
          <w:szCs w:val="24"/>
          <w:lang w:bidi="ar"/>
        </w:rPr>
        <w:t>3.本项目的特定资格要求：</w:t>
      </w:r>
    </w:p>
    <w:p>
      <w:pPr>
        <w:pStyle w:val="59"/>
        <w:widowControl/>
        <w:numPr>
          <w:ilvl w:val="0"/>
          <w:numId w:val="3"/>
        </w:numPr>
        <w:spacing w:line="360" w:lineRule="auto"/>
        <w:ind w:left="0" w:firstLine="480" w:firstLineChars="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具有独立承担民事责任能力的法人或其他组织。须提供证明供应商具有独立承担民事责任能力的相关证件； </w:t>
      </w:r>
    </w:p>
    <w:p>
      <w:pPr>
        <w:pStyle w:val="59"/>
        <w:widowControl/>
        <w:numPr>
          <w:ilvl w:val="0"/>
          <w:numId w:val="3"/>
        </w:numPr>
        <w:spacing w:line="360" w:lineRule="auto"/>
        <w:ind w:left="0" w:firstLine="480" w:firstLineChars="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具有良好的商业信誉和健全的财务会计制度。须提供2020年或2021年度经第三方会计师事务所审计的企业财务报告或2022年度银行出具的资信证明； </w:t>
      </w:r>
    </w:p>
    <w:p>
      <w:pPr>
        <w:pStyle w:val="59"/>
        <w:widowControl/>
        <w:numPr>
          <w:ilvl w:val="0"/>
          <w:numId w:val="3"/>
        </w:numPr>
        <w:spacing w:line="360" w:lineRule="auto"/>
        <w:ind w:left="0" w:firstLine="480" w:firstLineChars="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有依法缴纳税收和社会保障资金的良好记录。须提供2022年至少1个月的依法缴纳税收和社会保险费的相关证明材料； </w:t>
      </w:r>
    </w:p>
    <w:p>
      <w:pPr>
        <w:pStyle w:val="59"/>
        <w:widowControl/>
        <w:numPr>
          <w:ilvl w:val="0"/>
          <w:numId w:val="3"/>
        </w:numPr>
        <w:spacing w:line="360" w:lineRule="auto"/>
        <w:ind w:left="0" w:firstLine="480" w:firstLineChars="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参加政府采购活动前三年内，在经营活动中没有重大违法记录。须提供书面声明函； </w:t>
      </w:r>
    </w:p>
    <w:p>
      <w:pPr>
        <w:pStyle w:val="59"/>
        <w:widowControl/>
        <w:numPr>
          <w:ilvl w:val="0"/>
          <w:numId w:val="3"/>
        </w:numPr>
        <w:spacing w:line="360" w:lineRule="auto"/>
        <w:ind w:left="0" w:firstLine="480" w:firstLineChars="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本项目不接受联合体投标。 </w:t>
      </w:r>
    </w:p>
    <w:p>
      <w:pPr>
        <w:widowControl/>
        <w:spacing w:line="360" w:lineRule="auto"/>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 </w:t>
      </w:r>
      <w:r>
        <w:rPr>
          <w:rFonts w:hint="eastAsia" w:ascii="宋体" w:hAnsi="宋体" w:eastAsia="宋体" w:cs="宋体"/>
          <w:b/>
          <w:bCs/>
          <w:color w:val="383838"/>
          <w:kern w:val="0"/>
          <w:sz w:val="24"/>
          <w:szCs w:val="24"/>
          <w:lang w:bidi="ar"/>
        </w:rPr>
        <w:t xml:space="preserve">三、获取招标文件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383838"/>
          <w:kern w:val="0"/>
          <w:sz w:val="24"/>
          <w:szCs w:val="24"/>
          <w:lang w:bidi="ar"/>
        </w:rPr>
        <w:t>时间：2022年05月3</w:t>
      </w:r>
      <w:r>
        <w:rPr>
          <w:rFonts w:hint="eastAsia" w:ascii="宋体" w:hAnsi="宋体" w:eastAsia="宋体" w:cs="宋体"/>
          <w:color w:val="383838"/>
          <w:kern w:val="0"/>
          <w:sz w:val="24"/>
          <w:szCs w:val="24"/>
          <w:lang w:val="en-US" w:eastAsia="zh-CN" w:bidi="ar"/>
        </w:rPr>
        <w:t>1</w:t>
      </w:r>
      <w:r>
        <w:rPr>
          <w:rFonts w:hint="eastAsia" w:ascii="宋体" w:hAnsi="宋体" w:eastAsia="宋体" w:cs="宋体"/>
          <w:color w:val="383838"/>
          <w:kern w:val="0"/>
          <w:sz w:val="24"/>
          <w:szCs w:val="24"/>
          <w:lang w:bidi="ar"/>
        </w:rPr>
        <w:t>日 至 2022年06月0</w:t>
      </w:r>
      <w:r>
        <w:rPr>
          <w:rFonts w:hint="eastAsia" w:ascii="宋体" w:hAnsi="宋体" w:eastAsia="宋体" w:cs="宋体"/>
          <w:color w:val="383838"/>
          <w:kern w:val="0"/>
          <w:sz w:val="24"/>
          <w:szCs w:val="24"/>
          <w:lang w:val="en-US" w:eastAsia="zh-CN" w:bidi="ar"/>
        </w:rPr>
        <w:t>8</w:t>
      </w:r>
      <w:r>
        <w:rPr>
          <w:rFonts w:hint="eastAsia" w:ascii="宋体" w:hAnsi="宋体" w:eastAsia="宋体" w:cs="宋体"/>
          <w:color w:val="383838"/>
          <w:kern w:val="0"/>
          <w:sz w:val="24"/>
          <w:szCs w:val="24"/>
          <w:lang w:bidi="ar"/>
        </w:rPr>
        <w:t xml:space="preserve">日，每天上午8:30至12:00，下午13:00至17:00。（北京时间，法定节假日除外）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地点：天津经济技术开发区第四大街80号天大科技园B2座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方式：报名并交纳招标文件费后，现场获取文件，如因疫情防控要求无法到场获取文件，可联系代理机构项目负责人采取网上获取招标文件方式。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售价：￥800元，本公告包含的招标文件售价总和 </w:t>
      </w:r>
    </w:p>
    <w:p>
      <w:pPr>
        <w:widowControl/>
        <w:spacing w:line="360" w:lineRule="auto"/>
        <w:jc w:val="left"/>
        <w:rPr>
          <w:rFonts w:ascii="宋体" w:hAnsi="宋体" w:eastAsia="宋体" w:cs="宋体"/>
          <w:sz w:val="24"/>
          <w:szCs w:val="24"/>
        </w:rPr>
      </w:pPr>
      <w:r>
        <w:rPr>
          <w:rFonts w:hint="eastAsia" w:ascii="宋体" w:hAnsi="宋体" w:eastAsia="宋体" w:cs="宋体"/>
          <w:b/>
          <w:bCs/>
          <w:color w:val="383838"/>
          <w:kern w:val="0"/>
          <w:sz w:val="24"/>
          <w:szCs w:val="24"/>
          <w:lang w:bidi="ar"/>
        </w:rPr>
        <w:t xml:space="preserve">四、提交投标文件截止时间、开标时间和地点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提交投标文件截止时间：2022年06月21日 09点30分（北京时间）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开标时间：2022年06月21日 09点30分（北京时间）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地点：天津经济技术开发区第四大街80号天大科技园B2座一楼会议室 </w:t>
      </w:r>
    </w:p>
    <w:p>
      <w:pPr>
        <w:widowControl/>
        <w:spacing w:line="360" w:lineRule="auto"/>
        <w:jc w:val="left"/>
        <w:rPr>
          <w:rFonts w:ascii="宋体" w:hAnsi="宋体" w:eastAsia="宋体" w:cs="宋体"/>
          <w:sz w:val="24"/>
          <w:szCs w:val="24"/>
        </w:rPr>
      </w:pPr>
      <w:r>
        <w:rPr>
          <w:rFonts w:hint="eastAsia" w:ascii="宋体" w:hAnsi="宋体" w:eastAsia="宋体" w:cs="宋体"/>
          <w:b/>
          <w:bCs/>
          <w:color w:val="383838"/>
          <w:kern w:val="0"/>
          <w:sz w:val="24"/>
          <w:szCs w:val="24"/>
          <w:lang w:bidi="ar"/>
        </w:rPr>
        <w:t xml:space="preserve">五、公告期限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自本公告发布之日起5个工作日。 </w:t>
      </w:r>
    </w:p>
    <w:p>
      <w:pPr>
        <w:widowControl/>
        <w:spacing w:line="360" w:lineRule="auto"/>
        <w:jc w:val="left"/>
        <w:rPr>
          <w:rFonts w:ascii="宋体" w:hAnsi="宋体" w:eastAsia="宋体" w:cs="宋体"/>
          <w:sz w:val="24"/>
          <w:szCs w:val="24"/>
        </w:rPr>
      </w:pPr>
      <w:r>
        <w:rPr>
          <w:rFonts w:hint="eastAsia" w:ascii="宋体" w:hAnsi="宋体" w:eastAsia="宋体" w:cs="宋体"/>
          <w:b/>
          <w:bCs/>
          <w:color w:val="383838"/>
          <w:kern w:val="0"/>
          <w:sz w:val="24"/>
          <w:szCs w:val="24"/>
          <w:lang w:bidi="ar"/>
        </w:rPr>
        <w:t xml:space="preserve">六、其他补充事宜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本项目为政府购买服务。公益一类事业单位、使用事业编制且由财政拨款保障的群团组织，不作为政府购买服务的承接主体。 </w:t>
      </w:r>
    </w:p>
    <w:p>
      <w:pPr>
        <w:widowControl/>
        <w:spacing w:line="360" w:lineRule="auto"/>
        <w:jc w:val="left"/>
        <w:rPr>
          <w:rFonts w:ascii="宋体" w:hAnsi="宋体" w:eastAsia="宋体" w:cs="宋体"/>
          <w:sz w:val="24"/>
          <w:szCs w:val="24"/>
        </w:rPr>
      </w:pPr>
      <w:r>
        <w:rPr>
          <w:rFonts w:hint="eastAsia" w:ascii="宋体" w:hAnsi="宋体" w:eastAsia="宋体" w:cs="宋体"/>
          <w:b/>
          <w:bCs/>
          <w:color w:val="383838"/>
          <w:kern w:val="0"/>
          <w:sz w:val="24"/>
          <w:szCs w:val="24"/>
          <w:lang w:bidi="ar"/>
        </w:rPr>
        <w:t xml:space="preserve">七、对本次招标提出询问，请按以下方式联系。 </w:t>
      </w:r>
    </w:p>
    <w:p>
      <w:pPr>
        <w:widowControl/>
        <w:spacing w:line="360" w:lineRule="auto"/>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1.采购人信息 </w:t>
      </w:r>
    </w:p>
    <w:p>
      <w:pPr>
        <w:widowControl/>
        <w:spacing w:line="360" w:lineRule="auto"/>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名 称：交通运输部北海航海保障中心天津航标处      </w:t>
      </w:r>
    </w:p>
    <w:p>
      <w:pPr>
        <w:widowControl/>
        <w:spacing w:line="360" w:lineRule="auto"/>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地址：天津市滨海新区塘沽永太路243号          </w:t>
      </w:r>
    </w:p>
    <w:p>
      <w:pPr>
        <w:widowControl/>
        <w:spacing w:line="360" w:lineRule="auto"/>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联系方式：谢工  022-58870927       </w:t>
      </w:r>
    </w:p>
    <w:p>
      <w:pPr>
        <w:widowControl/>
        <w:spacing w:line="360" w:lineRule="auto"/>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2.采购代理机构信息 </w:t>
      </w:r>
    </w:p>
    <w:p>
      <w:pPr>
        <w:widowControl/>
        <w:spacing w:line="360" w:lineRule="auto"/>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名 称：天津泰达工程管理咨询有限公司             </w:t>
      </w:r>
    </w:p>
    <w:p>
      <w:pPr>
        <w:widowControl/>
        <w:spacing w:line="360" w:lineRule="auto"/>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地 址：天津经济技术开发区第四大街80号天大科技园B2座             </w:t>
      </w:r>
    </w:p>
    <w:p>
      <w:pPr>
        <w:widowControl/>
        <w:spacing w:line="360" w:lineRule="auto"/>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联系方式：霍程程 022-25295869             </w:t>
      </w:r>
    </w:p>
    <w:p>
      <w:pPr>
        <w:widowControl/>
        <w:spacing w:line="360" w:lineRule="auto"/>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3.项目联系方式 </w:t>
      </w:r>
    </w:p>
    <w:p>
      <w:pPr>
        <w:widowControl/>
        <w:spacing w:line="360" w:lineRule="auto"/>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项目联系人：霍程程 </w:t>
      </w:r>
    </w:p>
    <w:p>
      <w:pPr>
        <w:widowControl/>
        <w:spacing w:line="360" w:lineRule="auto"/>
        <w:jc w:val="left"/>
        <w:rPr>
          <w:rFonts w:ascii="宋体" w:hAnsi="宋体" w:eastAsia="宋体" w:cs="宋体"/>
          <w:color w:val="383838"/>
          <w:kern w:val="0"/>
          <w:sz w:val="24"/>
          <w:szCs w:val="24"/>
          <w:lang w:bidi="ar"/>
        </w:rPr>
      </w:pPr>
      <w:r>
        <w:rPr>
          <w:rFonts w:hint="eastAsia" w:ascii="宋体" w:hAnsi="宋体" w:eastAsia="宋体" w:cs="宋体"/>
          <w:color w:val="383838"/>
          <w:kern w:val="0"/>
          <w:sz w:val="24"/>
          <w:szCs w:val="24"/>
          <w:lang w:bidi="ar"/>
        </w:rPr>
        <w:t xml:space="preserve">电 话：  022-25295869 </w:t>
      </w:r>
    </w:p>
    <w:p>
      <w:pPr>
        <w:widowControl/>
        <w:spacing w:line="360" w:lineRule="auto"/>
        <w:jc w:val="right"/>
        <w:rPr>
          <w:rFonts w:ascii="宋体" w:hAnsi="宋体" w:eastAsia="宋体" w:cs="宋体"/>
          <w:color w:val="383838"/>
          <w:kern w:val="0"/>
          <w:sz w:val="24"/>
          <w:szCs w:val="24"/>
          <w:lang w:bidi="ar"/>
        </w:rPr>
      </w:pPr>
      <w:r>
        <w:rPr>
          <w:rFonts w:hint="eastAsia" w:ascii="宋体" w:hAnsi="宋体" w:eastAsia="宋体" w:cs="宋体"/>
          <w:color w:val="383838"/>
          <w:kern w:val="0"/>
          <w:sz w:val="24"/>
          <w:szCs w:val="24"/>
          <w:lang w:bidi="ar"/>
        </w:rPr>
        <w:t xml:space="preserve">                                       2022年05月</w:t>
      </w:r>
      <w:r>
        <w:rPr>
          <w:rFonts w:hint="eastAsia" w:ascii="宋体" w:hAnsi="宋体" w:eastAsia="宋体" w:cs="宋体"/>
          <w:color w:val="383838"/>
          <w:kern w:val="0"/>
          <w:sz w:val="24"/>
          <w:szCs w:val="24"/>
          <w:lang w:val="en-US" w:eastAsia="zh-CN" w:bidi="ar"/>
        </w:rPr>
        <w:t>31</w:t>
      </w:r>
      <w:r>
        <w:rPr>
          <w:rFonts w:hint="eastAsia" w:ascii="宋体" w:hAnsi="宋体" w:eastAsia="宋体" w:cs="宋体"/>
          <w:color w:val="383838"/>
          <w:kern w:val="0"/>
          <w:sz w:val="24"/>
          <w:szCs w:val="24"/>
          <w:lang w:bidi="ar"/>
        </w:rPr>
        <w:t>日</w:t>
      </w:r>
      <w:r>
        <w:rPr>
          <w:rFonts w:hint="eastAsia" w:ascii="宋体" w:hAnsi="宋体" w:eastAsia="宋体" w:cs="宋体"/>
          <w:color w:val="383838"/>
          <w:kern w:val="0"/>
          <w:sz w:val="24"/>
          <w:szCs w:val="24"/>
          <w:lang w:bidi="ar"/>
        </w:rPr>
        <w:br w:type="page"/>
      </w:r>
    </w:p>
    <w:p>
      <w:pPr>
        <w:pStyle w:val="3"/>
        <w:rPr>
          <w:szCs w:val="32"/>
        </w:rPr>
      </w:pPr>
      <w:bookmarkStart w:id="6" w:name="_Toc28332"/>
      <w:bookmarkStart w:id="7" w:name="_Toc9479"/>
      <w:r>
        <w:rPr>
          <w:rFonts w:hint="eastAsia"/>
          <w:szCs w:val="32"/>
        </w:rPr>
        <w:t>第二部分：项目</w:t>
      </w:r>
      <w:bookmarkEnd w:id="5"/>
      <w:r>
        <w:rPr>
          <w:rFonts w:hint="eastAsia"/>
          <w:szCs w:val="32"/>
        </w:rPr>
        <w:t>要求</w:t>
      </w:r>
      <w:bookmarkEnd w:id="6"/>
      <w:bookmarkEnd w:id="7"/>
    </w:p>
    <w:p>
      <w:pPr>
        <w:pStyle w:val="59"/>
        <w:spacing w:line="360" w:lineRule="auto"/>
        <w:ind w:firstLine="480"/>
        <w:rPr>
          <w:sz w:val="24"/>
          <w:szCs w:val="24"/>
        </w:rPr>
      </w:pPr>
      <w:r>
        <w:rPr>
          <w:rFonts w:hint="eastAsia"/>
          <w:sz w:val="24"/>
          <w:szCs w:val="24"/>
        </w:rPr>
        <w:t>现就“</w:t>
      </w:r>
      <w:r>
        <w:rPr>
          <w:rFonts w:hint="eastAsia" w:asciiTheme="minorEastAsia" w:hAnsiTheme="minorEastAsia"/>
          <w:kern w:val="0"/>
          <w:sz w:val="24"/>
          <w:szCs w:val="24"/>
        </w:rPr>
        <w:t>AIS／ASM国产化核心网系统工程</w:t>
      </w:r>
      <w:r>
        <w:rPr>
          <w:rFonts w:hint="eastAsia"/>
          <w:sz w:val="24"/>
          <w:szCs w:val="24"/>
        </w:rPr>
        <w:t>”进行公开招标，凡符合《中华人民共和国政府采购法》规定的供应商，均可参加投标。</w:t>
      </w:r>
    </w:p>
    <w:p>
      <w:pPr>
        <w:pStyle w:val="47"/>
        <w:numPr>
          <w:ilvl w:val="0"/>
          <w:numId w:val="4"/>
        </w:numPr>
        <w:spacing w:line="360" w:lineRule="auto"/>
        <w:ind w:left="482" w:hanging="482"/>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供应商资格要求</w:t>
      </w:r>
    </w:p>
    <w:p>
      <w:pPr>
        <w:widowControl/>
        <w:spacing w:line="360" w:lineRule="auto"/>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1、具有独立承担民事责任能力的法人或其他组织。须提供证明供应商具有独立承担民事责任能力的相关证件； </w:t>
      </w:r>
    </w:p>
    <w:p>
      <w:pPr>
        <w:widowControl/>
        <w:spacing w:line="360" w:lineRule="auto"/>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2、具有良好的商业信誉和健全的财务会计制度。须提供2020年或2021年度经第三方会计师事务所审计的企业财务报告或2022年度银行出具的资信证明； </w:t>
      </w:r>
    </w:p>
    <w:p>
      <w:pPr>
        <w:widowControl/>
        <w:spacing w:line="360" w:lineRule="auto"/>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3、有依法缴纳税收和社会保障资金的良好记录。须提供2022年至少1个月的依法缴纳税收和社会保险费的相关证明材料； </w:t>
      </w:r>
    </w:p>
    <w:p>
      <w:pPr>
        <w:widowControl/>
        <w:spacing w:line="360" w:lineRule="auto"/>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4、参加政府采购活动前三年内，在经营活动中没有重大违法记录。须提供书面声明函； </w:t>
      </w:r>
    </w:p>
    <w:p>
      <w:pPr>
        <w:pStyle w:val="47"/>
        <w:spacing w:line="360" w:lineRule="auto"/>
        <w:rPr>
          <w:rFonts w:ascii="宋体" w:hAnsi="宋体" w:eastAsia="宋体" w:cs="宋体"/>
          <w:color w:val="383838"/>
          <w:lang w:bidi="ar"/>
        </w:rPr>
      </w:pPr>
      <w:r>
        <w:rPr>
          <w:rFonts w:hint="eastAsia" w:ascii="宋体" w:hAnsi="宋体" w:eastAsia="宋体" w:cs="宋体"/>
          <w:color w:val="383838"/>
          <w:lang w:bidi="ar"/>
        </w:rPr>
        <w:t>5、本项目不接受联合体投标。</w:t>
      </w:r>
    </w:p>
    <w:p>
      <w:pPr>
        <w:pStyle w:val="47"/>
        <w:spacing w:line="360" w:lineRule="auto"/>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二、政府采购政策要求：</w:t>
      </w:r>
    </w:p>
    <w:p>
      <w:pPr>
        <w:widowControl/>
        <w:spacing w:line="360" w:lineRule="auto"/>
        <w:ind w:firstLine="480" w:firstLineChars="200"/>
        <w:jc w:val="left"/>
        <w:rPr>
          <w:rFonts w:ascii="宋体" w:hAnsi="宋体" w:eastAsia="宋体" w:cs="宋体"/>
          <w:color w:val="383838"/>
          <w:kern w:val="0"/>
          <w:sz w:val="24"/>
          <w:szCs w:val="24"/>
          <w:lang w:bidi="ar"/>
        </w:rPr>
      </w:pPr>
      <w:r>
        <w:rPr>
          <w:rFonts w:hint="eastAsia" w:ascii="宋体" w:hAnsi="宋体" w:eastAsia="宋体" w:cs="宋体"/>
          <w:color w:val="383838"/>
          <w:kern w:val="0"/>
          <w:sz w:val="24"/>
          <w:szCs w:val="24"/>
          <w:lang w:bidi="ar"/>
        </w:rPr>
        <w:t>1、①根据财政部发布的《政府采购促进中小企业发展管理办法》(财库〔2020〕46号)规定，本项目对小型和微型企业产品的价格给予6%的扣除。②本项目所属行业为</w:t>
      </w:r>
      <w:r>
        <w:rPr>
          <w:rFonts w:cstheme="minorEastAsia"/>
          <w:b/>
          <w:bCs/>
          <w:sz w:val="24"/>
          <w:szCs w:val="24"/>
          <w:u w:val="single"/>
        </w:rPr>
        <w:t>软件和信息技术服务业</w:t>
      </w:r>
      <w:r>
        <w:rPr>
          <w:rFonts w:hint="eastAsia" w:ascii="宋体" w:hAnsi="宋体" w:eastAsia="宋体" w:cs="宋体"/>
          <w:color w:val="383838"/>
          <w:kern w:val="0"/>
          <w:sz w:val="24"/>
          <w:szCs w:val="24"/>
          <w:lang w:bidi="ar"/>
        </w:rPr>
        <w:t>，中小微企业投标文件中须提供《中小企业声明函》（中小企业划分见“关于印发中小企业划型标准规定的通知”（工信部联企业〔2011〕300号）文件。</w:t>
      </w:r>
    </w:p>
    <w:p>
      <w:pPr>
        <w:widowControl/>
        <w:spacing w:line="360" w:lineRule="auto"/>
        <w:ind w:firstLine="480" w:firstLineChars="200"/>
        <w:jc w:val="left"/>
        <w:rPr>
          <w:rFonts w:ascii="宋体" w:hAnsi="宋体" w:eastAsia="宋体" w:cs="宋体"/>
          <w:color w:val="383838"/>
          <w:kern w:val="0"/>
          <w:sz w:val="24"/>
          <w:szCs w:val="24"/>
          <w:lang w:bidi="ar"/>
        </w:rPr>
      </w:pPr>
      <w:r>
        <w:rPr>
          <w:rFonts w:hint="eastAsia" w:ascii="宋体" w:hAnsi="宋体" w:eastAsia="宋体" w:cs="宋体"/>
          <w:color w:val="383838"/>
          <w:kern w:val="0"/>
          <w:sz w:val="24"/>
          <w:szCs w:val="24"/>
          <w:lang w:bidi="ar"/>
        </w:rPr>
        <w:t>2、根据财政部、民政部、中国残疾人联合会联合发布的《关于促进残疾人就业政府采购政策的通知》（财库〔2017〕141号）规定，在政府采购活动中，残疾人福利性单位视同小型、微型企业，对其价格给予6%的扣除（供应商所投全部货物生产厂家为残疾人福利性单位则给予6%的扣除，否则不予扣除）。残疾人福利性单位属于小型、微型企业的，不重复享受政策。符合条件的残疾人福利性单位须提供《残疾人福利性单位声明函》，未提供《残疾人福利性单位声明函》的将不给予价格扣除。</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3、执行《关于政府采购支持监狱企业发展有关问题的通知》规定。对监狱企业视同小型、微型企业，享受评审中价格扣除政策，同时监狱企业技术标中须提供由省级以上监狱管理局、戒毒管理局（含新疆生产建设兵团）出具的属于监狱企业的证明文件，未提供的将不给予价格扣除。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4、涉及商品包装和快递包装的，按照财政部办公厅、生态环境部办公厅、国家邮政局办公室《关于印发&lt;商品包装政府采购需求标准（试行）&gt;、&lt;快递包装政府采购需求标准（试行）&gt;的通知》（财办库〔2020〕123号）要求执行。 </w:t>
      </w:r>
    </w:p>
    <w:p>
      <w:pPr>
        <w:tabs>
          <w:tab w:val="left" w:pos="900"/>
          <w:tab w:val="left" w:pos="1300"/>
        </w:tabs>
        <w:spacing w:line="360" w:lineRule="auto"/>
        <w:ind w:firstLine="480" w:firstLineChars="200"/>
        <w:rPr>
          <w:rFonts w:ascii="宋体" w:hAnsi="宋体" w:cs="Arial"/>
          <w:sz w:val="24"/>
        </w:rPr>
      </w:pPr>
      <w:r>
        <w:rPr>
          <w:rFonts w:hint="eastAsia" w:ascii="宋体" w:hAnsi="宋体" w:eastAsia="宋体" w:cs="宋体"/>
          <w:color w:val="383838"/>
          <w:kern w:val="0"/>
          <w:sz w:val="24"/>
          <w:szCs w:val="24"/>
          <w:lang w:bidi="ar"/>
        </w:rPr>
        <w:t>5、</w:t>
      </w:r>
      <w:r>
        <w:rPr>
          <w:rFonts w:hint="eastAsia" w:ascii="宋体" w:hAnsi="宋体" w:cs="Arial"/>
          <w:sz w:val="24"/>
        </w:rPr>
        <w:t>根据财政部、国家发展改革委《关于调整节能产品政府采购清单的通知》（财库〔20</w:t>
      </w:r>
      <w:r>
        <w:rPr>
          <w:rFonts w:ascii="宋体" w:hAnsi="宋体" w:cs="Arial"/>
          <w:sz w:val="24"/>
        </w:rPr>
        <w:t>09</w:t>
      </w:r>
      <w:r>
        <w:rPr>
          <w:rFonts w:hint="eastAsia" w:ascii="宋体" w:hAnsi="宋体" w:cs="Arial"/>
          <w:sz w:val="24"/>
        </w:rPr>
        <w:t>〕1</w:t>
      </w:r>
      <w:r>
        <w:rPr>
          <w:rFonts w:ascii="宋体" w:hAnsi="宋体" w:cs="Arial"/>
          <w:sz w:val="24"/>
        </w:rPr>
        <w:t>02</w:t>
      </w:r>
      <w:r>
        <w:rPr>
          <w:rFonts w:hint="eastAsia" w:ascii="宋体" w:hAnsi="宋体" w:cs="Arial"/>
          <w:sz w:val="24"/>
        </w:rPr>
        <w:t>号）文件，以及财政部、发展改革委、生态环境部、市场监管总局《关于调整优化节能产品、环境标志产品政府采购执行机制的通知》（财库〔2019〕9号）文件规定，依据品目清单和认证证书实施政府优先采购和强制采购。</w:t>
      </w:r>
    </w:p>
    <w:p>
      <w:pPr>
        <w:tabs>
          <w:tab w:val="left" w:pos="900"/>
          <w:tab w:val="left" w:pos="1300"/>
        </w:tabs>
        <w:spacing w:line="360" w:lineRule="auto"/>
        <w:ind w:firstLine="480" w:firstLineChars="200"/>
        <w:rPr>
          <w:rFonts w:ascii="宋体" w:hAnsi="宋体" w:cs="Arial"/>
          <w:sz w:val="24"/>
        </w:rPr>
      </w:pPr>
      <w:r>
        <w:rPr>
          <w:rFonts w:hint="eastAsia" w:ascii="宋体" w:hAnsi="宋体" w:eastAsia="宋体" w:cs="宋体"/>
          <w:color w:val="383838"/>
          <w:kern w:val="0"/>
          <w:sz w:val="24"/>
          <w:szCs w:val="24"/>
          <w:lang w:bidi="ar"/>
        </w:rPr>
        <w:t>6、</w:t>
      </w:r>
      <w:r>
        <w:rPr>
          <w:rFonts w:hint="eastAsia" w:ascii="宋体" w:hAnsi="宋体" w:cs="Arial"/>
          <w:sz w:val="24"/>
        </w:rPr>
        <w:t>根据财政部、环境保护部《关于调整环境标志产品政府采购清单的通知》（财库〔20</w:t>
      </w:r>
      <w:r>
        <w:rPr>
          <w:rFonts w:ascii="宋体" w:hAnsi="宋体" w:cs="Arial"/>
          <w:sz w:val="24"/>
        </w:rPr>
        <w:t>09</w:t>
      </w:r>
      <w:r>
        <w:rPr>
          <w:rFonts w:hint="eastAsia" w:ascii="宋体" w:hAnsi="宋体" w:cs="Arial"/>
          <w:sz w:val="24"/>
        </w:rPr>
        <w:t>〕1</w:t>
      </w:r>
      <w:r>
        <w:rPr>
          <w:rFonts w:ascii="宋体" w:hAnsi="宋体" w:cs="Arial"/>
          <w:sz w:val="24"/>
        </w:rPr>
        <w:t>11</w:t>
      </w:r>
      <w:r>
        <w:rPr>
          <w:rFonts w:hint="eastAsia" w:ascii="宋体" w:hAnsi="宋体" w:cs="Arial"/>
          <w:sz w:val="24"/>
        </w:rPr>
        <w:t>号）文件，以及财政部、发展改革委、生态环境部、市场监管总局《关于调整优化节能产品、环境标志产品政府采购执行机制的通知》（财库〔2019〕9号）文件规定，依据品目清单和认证证书实施政府优先采购和强制采购。</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383838"/>
          <w:kern w:val="0"/>
          <w:sz w:val="24"/>
          <w:szCs w:val="24"/>
          <w:lang w:bidi="ar"/>
        </w:rPr>
        <w:t xml:space="preserve">7、按照《财政部关于在政府采购活动中查询及使用信用记录有关问题的通知》（财库〔2016〕125号）的要求，根据开标当日“信用中国”网站（www.creditchina.gov.cn）、中国政府采购网 （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 </w:t>
      </w:r>
    </w:p>
    <w:p>
      <w:pPr>
        <w:pStyle w:val="47"/>
        <w:spacing w:line="360" w:lineRule="auto"/>
        <w:rPr>
          <w:rFonts w:cs="Times New Roman" w:asciiTheme="minorEastAsia" w:hAnsiTheme="minorEastAsia" w:eastAsiaTheme="minorEastAsia"/>
          <w:color w:val="auto"/>
        </w:rPr>
      </w:pPr>
      <w:r>
        <w:rPr>
          <w:rFonts w:cs="Times New Roman" w:asciiTheme="minorEastAsia" w:hAnsiTheme="minorEastAsia" w:eastAsiaTheme="minorEastAsia"/>
          <w:color w:val="auto"/>
        </w:rPr>
        <w:t>三</w:t>
      </w:r>
      <w:r>
        <w:rPr>
          <w:rFonts w:hint="eastAsia" w:cs="Times New Roman" w:asciiTheme="minorEastAsia" w:hAnsiTheme="minorEastAsia" w:eastAsiaTheme="minorEastAsia"/>
          <w:color w:val="auto"/>
        </w:rPr>
        <w:t>、项目需求</w:t>
      </w:r>
    </w:p>
    <w:p>
      <w:pPr>
        <w:tabs>
          <w:tab w:val="left" w:pos="840"/>
        </w:tabs>
        <w:spacing w:line="360" w:lineRule="auto"/>
        <w:rPr>
          <w:rFonts w:ascii="宋体" w:hAnsi="宋体"/>
          <w:sz w:val="24"/>
        </w:rPr>
      </w:pPr>
      <w:r>
        <w:rPr>
          <w:rFonts w:hint="eastAsia" w:ascii="宋体" w:hAnsi="宋体"/>
          <w:sz w:val="24"/>
        </w:rPr>
        <w:t>1、具体需求详见第二部分附件——《项目需求书》。</w:t>
      </w:r>
    </w:p>
    <w:p>
      <w:pPr>
        <w:pStyle w:val="47"/>
        <w:spacing w:line="360" w:lineRule="auto"/>
        <w:rPr>
          <w:rFonts w:cs="Times New Roman" w:asciiTheme="minorEastAsia" w:hAnsiTheme="minorEastAsia" w:eastAsiaTheme="minorEastAsia"/>
          <w:color w:val="auto"/>
        </w:rPr>
      </w:pPr>
      <w:r>
        <w:rPr>
          <w:rFonts w:cs="Times New Roman" w:asciiTheme="minorEastAsia" w:hAnsiTheme="minorEastAsia" w:eastAsiaTheme="minorEastAsia"/>
          <w:color w:val="auto"/>
        </w:rPr>
        <w:t>四</w:t>
      </w:r>
      <w:r>
        <w:rPr>
          <w:rFonts w:hint="eastAsia" w:cs="Times New Roman" w:asciiTheme="minorEastAsia" w:hAnsiTheme="minorEastAsia" w:eastAsiaTheme="minorEastAsia"/>
          <w:color w:val="auto"/>
        </w:rPr>
        <w:t>、</w:t>
      </w:r>
      <w:r>
        <w:rPr>
          <w:rFonts w:cs="Times New Roman" w:asciiTheme="minorEastAsia" w:hAnsiTheme="minorEastAsia" w:eastAsiaTheme="minorEastAsia"/>
          <w:color w:val="auto"/>
        </w:rPr>
        <w:t>商务要求</w:t>
      </w:r>
    </w:p>
    <w:p>
      <w:pPr>
        <w:spacing w:line="360" w:lineRule="auto"/>
        <w:rPr>
          <w:rFonts w:ascii="宋体" w:hAnsi="宋体"/>
          <w:sz w:val="24"/>
        </w:rPr>
      </w:pPr>
      <w:r>
        <w:rPr>
          <w:rFonts w:hint="eastAsia" w:ascii="宋体" w:hAnsi="宋体"/>
          <w:sz w:val="24"/>
        </w:rPr>
        <w:t>1、报价要求</w:t>
      </w:r>
    </w:p>
    <w:p>
      <w:pPr>
        <w:autoSpaceDE w:val="0"/>
        <w:autoSpaceDN w:val="0"/>
        <w:adjustRightInd w:val="0"/>
        <w:spacing w:line="360" w:lineRule="auto"/>
        <w:rPr>
          <w:rFonts w:ascii="宋体" w:hAnsi="宋体"/>
          <w:sz w:val="24"/>
        </w:rPr>
      </w:pPr>
      <w:r>
        <w:rPr>
          <w:rFonts w:hint="eastAsia" w:ascii="宋体" w:hAnsi="宋体"/>
          <w:sz w:val="24"/>
        </w:rPr>
        <w:t>（1）投标报价以人民币填列。</w:t>
      </w:r>
    </w:p>
    <w:p>
      <w:pPr>
        <w:autoSpaceDE w:val="0"/>
        <w:autoSpaceDN w:val="0"/>
        <w:adjustRightInd w:val="0"/>
        <w:spacing w:line="360" w:lineRule="auto"/>
        <w:rPr>
          <w:rFonts w:ascii="宋体" w:hAnsi="宋体"/>
          <w:sz w:val="24"/>
        </w:rPr>
      </w:pPr>
      <w:r>
        <w:rPr>
          <w:rFonts w:hint="eastAsia" w:ascii="宋体" w:hAnsi="宋体"/>
          <w:sz w:val="24"/>
        </w:rPr>
        <w:t>（2）供应商应按照行业及企业自身取费标准，并充分考虑市场竞争因素进行投标报价。</w:t>
      </w:r>
    </w:p>
    <w:p>
      <w:pPr>
        <w:autoSpaceDE w:val="0"/>
        <w:autoSpaceDN w:val="0"/>
        <w:adjustRightInd w:val="0"/>
        <w:spacing w:line="360" w:lineRule="auto"/>
        <w:rPr>
          <w:rFonts w:ascii="宋体" w:hAnsi="宋体" w:cs="Arial"/>
          <w:sz w:val="24"/>
        </w:rPr>
      </w:pPr>
      <w:r>
        <w:rPr>
          <w:rFonts w:hint="eastAsia" w:ascii="宋体" w:hAnsi="宋体" w:cs="Arial"/>
          <w:sz w:val="24"/>
        </w:rPr>
        <w:t>（3）供应商所报价格为最优惠总价格，包括完成招标文件全部工作内容所需的一切费用。</w:t>
      </w:r>
    </w:p>
    <w:p>
      <w:pPr>
        <w:autoSpaceDE w:val="0"/>
        <w:autoSpaceDN w:val="0"/>
        <w:adjustRightInd w:val="0"/>
        <w:spacing w:line="360" w:lineRule="auto"/>
        <w:rPr>
          <w:rFonts w:ascii="宋体" w:hAnsi="宋体"/>
          <w:sz w:val="24"/>
        </w:rPr>
      </w:pPr>
      <w:r>
        <w:rPr>
          <w:rFonts w:hint="eastAsia" w:ascii="宋体" w:hAnsi="宋体"/>
          <w:sz w:val="24"/>
        </w:rPr>
        <w:t>2、服务时间、</w:t>
      </w:r>
      <w:r>
        <w:rPr>
          <w:rFonts w:ascii="宋体" w:hAnsi="宋体"/>
          <w:sz w:val="24"/>
        </w:rPr>
        <w:t>地点</w:t>
      </w:r>
      <w:r>
        <w:rPr>
          <w:rFonts w:hint="eastAsia" w:ascii="宋体" w:hAnsi="宋体"/>
          <w:sz w:val="24"/>
        </w:rPr>
        <w:t>、</w:t>
      </w:r>
      <w:r>
        <w:rPr>
          <w:rFonts w:ascii="宋体" w:hAnsi="宋体"/>
          <w:sz w:val="24"/>
        </w:rPr>
        <w:t>范围</w:t>
      </w:r>
    </w:p>
    <w:p>
      <w:pPr>
        <w:widowControl/>
        <w:spacing w:line="360" w:lineRule="auto"/>
        <w:ind w:firstLine="480" w:firstLineChars="200"/>
        <w:jc w:val="left"/>
        <w:rPr>
          <w:rFonts w:ascii="宋体" w:hAnsi="宋体" w:eastAsia="宋体" w:cs="宋体"/>
          <w:sz w:val="24"/>
          <w:szCs w:val="24"/>
        </w:rPr>
      </w:pPr>
      <w:r>
        <w:rPr>
          <w:rFonts w:hint="eastAsia" w:asciiTheme="minorEastAsia" w:hAnsiTheme="minorEastAsia"/>
          <w:sz w:val="24"/>
        </w:rPr>
        <w:t>★</w:t>
      </w:r>
      <w:r>
        <w:rPr>
          <w:rFonts w:hint="eastAsia" w:ascii="宋体" w:hAnsi="宋体"/>
          <w:b/>
          <w:sz w:val="24"/>
        </w:rPr>
        <w:t>（1）服务时间：</w:t>
      </w:r>
      <w:r>
        <w:rPr>
          <w:rFonts w:hint="eastAsia" w:ascii="宋体" w:hAnsi="宋体" w:eastAsia="宋体" w:cs="宋体"/>
          <w:b/>
          <w:bCs/>
          <w:color w:val="383838"/>
          <w:kern w:val="0"/>
          <w:sz w:val="24"/>
          <w:szCs w:val="24"/>
          <w:lang w:bidi="ar"/>
        </w:rPr>
        <w:t>自</w:t>
      </w:r>
      <w:r>
        <w:rPr>
          <w:rFonts w:hint="eastAsia" w:ascii="宋体" w:hAnsi="宋体"/>
          <w:b/>
          <w:bCs/>
          <w:sz w:val="24"/>
        </w:rPr>
        <w:t>合同</w:t>
      </w:r>
      <w:r>
        <w:rPr>
          <w:rFonts w:hint="eastAsia" w:ascii="宋体" w:hAnsi="宋体"/>
          <w:b/>
          <w:sz w:val="24"/>
        </w:rPr>
        <w:t>签订之日起至</w:t>
      </w:r>
      <w:r>
        <w:rPr>
          <w:rFonts w:ascii="宋体" w:hAnsi="宋体"/>
          <w:b/>
          <w:sz w:val="24"/>
        </w:rPr>
        <w:t>2023年</w:t>
      </w:r>
      <w:r>
        <w:rPr>
          <w:rFonts w:hint="eastAsia" w:ascii="宋体" w:hAnsi="宋体"/>
          <w:b/>
          <w:sz w:val="24"/>
        </w:rPr>
        <w:t>12月31日</w:t>
      </w:r>
      <w:r>
        <w:rPr>
          <w:rFonts w:hint="eastAsia" w:ascii="宋体" w:hAnsi="宋体" w:eastAsia="宋体" w:cs="宋体"/>
          <w:color w:val="383838"/>
          <w:kern w:val="0"/>
          <w:sz w:val="24"/>
          <w:szCs w:val="24"/>
          <w:lang w:bidi="ar"/>
        </w:rPr>
        <w:t>。</w:t>
      </w:r>
    </w:p>
    <w:p>
      <w:pPr>
        <w:autoSpaceDE w:val="0"/>
        <w:autoSpaceDN w:val="0"/>
        <w:adjustRightInd w:val="0"/>
        <w:spacing w:line="360" w:lineRule="auto"/>
        <w:ind w:firstLine="472" w:firstLineChars="196"/>
        <w:rPr>
          <w:rFonts w:ascii="宋体" w:hAnsi="宋体"/>
          <w:b/>
          <w:sz w:val="24"/>
        </w:rPr>
      </w:pPr>
      <w:r>
        <w:rPr>
          <w:rFonts w:hint="eastAsia" w:asciiTheme="minorEastAsia" w:hAnsiTheme="minorEastAsia"/>
          <w:b/>
          <w:sz w:val="24"/>
        </w:rPr>
        <w:t>★</w:t>
      </w:r>
      <w:r>
        <w:rPr>
          <w:rFonts w:hint="eastAsia" w:ascii="宋体" w:hAnsi="宋体"/>
          <w:b/>
          <w:sz w:val="24"/>
        </w:rPr>
        <w:t>（2）服务地点：天津、大连、营口、烟台、青岛、秦皇岛</w:t>
      </w:r>
    </w:p>
    <w:p>
      <w:pPr>
        <w:autoSpaceDE w:val="0"/>
        <w:autoSpaceDN w:val="0"/>
        <w:adjustRightInd w:val="0"/>
        <w:spacing w:line="360" w:lineRule="auto"/>
        <w:ind w:firstLine="720" w:firstLineChars="300"/>
        <w:rPr>
          <w:rFonts w:ascii="宋体" w:hAnsi="宋体"/>
          <w:sz w:val="24"/>
        </w:rPr>
      </w:pPr>
      <w:r>
        <w:rPr>
          <w:rFonts w:hint="eastAsia" w:ascii="宋体" w:hAnsi="宋体"/>
          <w:sz w:val="24"/>
        </w:rPr>
        <w:t>（3）服务范围：调整现有AIS岸基网络系统数据传输架构，开发AIS/ASM国产化核心网系统，开发AIS/ASM国产核心网系统1套（其中包含接口服务子系统、核心网管理服务子系统、基站驱动服务子系统、数据对比测试子系统四项），并进行部署；购置19台服务器，6台万兆交换机，其中AIS海区中心部署1台服务器，6个辖区中心每个部署3台服务器和1台万兆交换机，用于部署AIS/ASM国产核心网系统。</w:t>
      </w:r>
    </w:p>
    <w:p>
      <w:pPr>
        <w:autoSpaceDE w:val="0"/>
        <w:autoSpaceDN w:val="0"/>
        <w:adjustRightInd w:val="0"/>
        <w:spacing w:line="360" w:lineRule="auto"/>
        <w:rPr>
          <w:rFonts w:ascii="宋体" w:hAnsi="宋体"/>
          <w:sz w:val="24"/>
        </w:rPr>
      </w:pPr>
      <w:r>
        <w:rPr>
          <w:rFonts w:hint="eastAsia" w:ascii="宋体" w:hAnsi="宋体"/>
          <w:sz w:val="24"/>
        </w:rPr>
        <w:t>3、服务标准</w:t>
      </w:r>
    </w:p>
    <w:p>
      <w:pPr>
        <w:autoSpaceDE w:val="0"/>
        <w:autoSpaceDN w:val="0"/>
        <w:adjustRightInd w:val="0"/>
        <w:spacing w:line="360" w:lineRule="auto"/>
        <w:rPr>
          <w:rFonts w:ascii="宋体" w:hAnsi="宋体"/>
          <w:sz w:val="24"/>
        </w:rPr>
      </w:pPr>
      <w:r>
        <w:rPr>
          <w:rFonts w:hint="eastAsia" w:asciiTheme="minorEastAsia" w:hAnsiTheme="minorEastAsia"/>
          <w:sz w:val="24"/>
        </w:rPr>
        <w:t>★</w:t>
      </w:r>
      <w:r>
        <w:rPr>
          <w:rFonts w:hint="eastAsia" w:ascii="宋体" w:hAnsi="宋体"/>
          <w:b/>
          <w:sz w:val="24"/>
        </w:rPr>
        <w:t>（1）服务标准：达到招标文件规定的服务需求，及国家、地方和行业现行规定合格标准。</w:t>
      </w:r>
    </w:p>
    <w:p>
      <w:pPr>
        <w:autoSpaceDE w:val="0"/>
        <w:autoSpaceDN w:val="0"/>
        <w:adjustRightInd w:val="0"/>
        <w:spacing w:line="360" w:lineRule="auto"/>
        <w:rPr>
          <w:rFonts w:ascii="宋体" w:hAnsi="宋体"/>
          <w:sz w:val="24"/>
        </w:rPr>
      </w:pPr>
      <w:r>
        <w:rPr>
          <w:rFonts w:hint="eastAsia" w:ascii="宋体" w:hAnsi="宋体"/>
          <w:sz w:val="24"/>
        </w:rPr>
        <w:t>4、投标有效期</w:t>
      </w:r>
    </w:p>
    <w:p>
      <w:pPr>
        <w:autoSpaceDE w:val="0"/>
        <w:autoSpaceDN w:val="0"/>
        <w:adjustRightInd w:val="0"/>
        <w:spacing w:line="360" w:lineRule="auto"/>
        <w:rPr>
          <w:rFonts w:ascii="宋体" w:hAnsi="宋体"/>
          <w:sz w:val="24"/>
        </w:rPr>
      </w:pPr>
      <w:r>
        <w:rPr>
          <w:rFonts w:hint="eastAsia" w:ascii="宋体" w:hAnsi="宋体"/>
          <w:sz w:val="24"/>
        </w:rPr>
        <w:t>本项目投标有效期为50个工作日。</w:t>
      </w:r>
    </w:p>
    <w:p>
      <w:pPr>
        <w:autoSpaceDE w:val="0"/>
        <w:autoSpaceDN w:val="0"/>
        <w:adjustRightInd w:val="0"/>
        <w:spacing w:line="360" w:lineRule="auto"/>
        <w:rPr>
          <w:rFonts w:ascii="宋体" w:hAnsi="宋体" w:cs="Arial"/>
          <w:sz w:val="24"/>
        </w:rPr>
      </w:pPr>
      <w:r>
        <w:rPr>
          <w:rFonts w:hint="eastAsia" w:ascii="宋体" w:hAnsi="宋体"/>
          <w:sz w:val="24"/>
        </w:rPr>
        <w:t>5、投标保证金</w:t>
      </w:r>
      <w:r>
        <w:rPr>
          <w:rFonts w:hint="eastAsia" w:ascii="宋体" w:hAnsi="宋体" w:cs="Arial"/>
          <w:sz w:val="24"/>
        </w:rPr>
        <w:t>与履约保证金</w:t>
      </w:r>
    </w:p>
    <w:p>
      <w:pPr>
        <w:numPr>
          <w:ilvl w:val="0"/>
          <w:numId w:val="5"/>
        </w:numPr>
        <w:tabs>
          <w:tab w:val="left" w:pos="800"/>
          <w:tab w:val="left" w:pos="1100"/>
        </w:tabs>
        <w:spacing w:line="360" w:lineRule="auto"/>
        <w:ind w:left="1085" w:hanging="685"/>
        <w:rPr>
          <w:rFonts w:ascii="宋体" w:hAnsi="宋体" w:cs="Arial"/>
          <w:sz w:val="24"/>
        </w:rPr>
      </w:pPr>
      <w:r>
        <w:rPr>
          <w:rFonts w:hint="eastAsia" w:ascii="宋体" w:hAnsi="宋体" w:cs="Arial"/>
          <w:sz w:val="24"/>
        </w:rPr>
        <w:t>本项目交纳投标保证金人民币陆万元整。</w:t>
      </w:r>
    </w:p>
    <w:p>
      <w:pPr>
        <w:numPr>
          <w:ilvl w:val="0"/>
          <w:numId w:val="5"/>
        </w:numPr>
        <w:tabs>
          <w:tab w:val="left" w:pos="800"/>
          <w:tab w:val="left" w:pos="1100"/>
        </w:tabs>
        <w:spacing w:line="360" w:lineRule="auto"/>
        <w:ind w:firstLine="1"/>
        <w:rPr>
          <w:rFonts w:ascii="宋体" w:hAnsi="宋体" w:cs="Arial"/>
          <w:sz w:val="24"/>
        </w:rPr>
      </w:pPr>
      <w:r>
        <w:rPr>
          <w:rFonts w:hint="eastAsia" w:ascii="宋体" w:hAnsi="宋体" w:cs="Arial"/>
          <w:sz w:val="24"/>
        </w:rPr>
        <w:t>供应商应当以支票、电汇等非现金形式提交。</w:t>
      </w:r>
    </w:p>
    <w:p>
      <w:pPr>
        <w:numPr>
          <w:ilvl w:val="0"/>
          <w:numId w:val="5"/>
        </w:numPr>
        <w:tabs>
          <w:tab w:val="left" w:pos="800"/>
          <w:tab w:val="left" w:pos="1100"/>
        </w:tabs>
        <w:spacing w:line="360" w:lineRule="auto"/>
        <w:ind w:firstLine="1"/>
        <w:rPr>
          <w:rFonts w:ascii="宋体" w:hAnsi="宋体" w:cs="Arial"/>
          <w:sz w:val="24"/>
        </w:rPr>
      </w:pPr>
      <w:r>
        <w:rPr>
          <w:rFonts w:hint="eastAsia" w:ascii="宋体" w:hAnsi="宋体" w:cs="Arial"/>
          <w:sz w:val="24"/>
        </w:rPr>
        <w:t>未按规定提交投标保证金的或在开标前保证金未到账的，不具备投标资格。</w:t>
      </w:r>
    </w:p>
    <w:p>
      <w:pPr>
        <w:numPr>
          <w:ilvl w:val="0"/>
          <w:numId w:val="5"/>
        </w:numPr>
        <w:tabs>
          <w:tab w:val="left" w:pos="800"/>
          <w:tab w:val="left" w:pos="1100"/>
        </w:tabs>
        <w:spacing w:line="360" w:lineRule="auto"/>
        <w:ind w:left="1085" w:hanging="685"/>
        <w:rPr>
          <w:rFonts w:ascii="宋体" w:hAnsi="宋体" w:cs="Arial"/>
          <w:sz w:val="24"/>
        </w:rPr>
      </w:pPr>
      <w:r>
        <w:rPr>
          <w:rFonts w:hint="eastAsia" w:ascii="宋体" w:hAnsi="宋体" w:cs="Arial"/>
          <w:sz w:val="24"/>
        </w:rPr>
        <w:t>天津泰达工程管理咨询有限公司账户信息及相关联系方式</w:t>
      </w:r>
    </w:p>
    <w:p>
      <w:pPr>
        <w:spacing w:line="360" w:lineRule="auto"/>
        <w:ind w:firstLine="998" w:firstLineChars="416"/>
        <w:rPr>
          <w:rFonts w:ascii="宋体" w:hAnsi="宋体" w:eastAsia="宋体" w:cs="Arial"/>
          <w:bCs/>
          <w:sz w:val="24"/>
          <w:szCs w:val="24"/>
        </w:rPr>
      </w:pPr>
      <w:r>
        <w:rPr>
          <w:rFonts w:hint="eastAsia" w:ascii="宋体" w:hAnsi="宋体" w:eastAsia="宋体" w:cs="Arial"/>
          <w:bCs/>
          <w:sz w:val="24"/>
          <w:szCs w:val="24"/>
        </w:rPr>
        <w:t>户名：天津泰达工程管理咨询有限公司</w:t>
      </w:r>
    </w:p>
    <w:p>
      <w:pPr>
        <w:spacing w:line="360" w:lineRule="auto"/>
        <w:ind w:firstLine="998" w:firstLineChars="416"/>
        <w:rPr>
          <w:rFonts w:ascii="宋体" w:hAnsi="宋体" w:eastAsia="宋体" w:cs="Arial"/>
          <w:bCs/>
          <w:sz w:val="24"/>
          <w:szCs w:val="24"/>
        </w:rPr>
      </w:pPr>
      <w:r>
        <w:rPr>
          <w:rFonts w:hint="eastAsia" w:ascii="宋体" w:hAnsi="宋体" w:eastAsia="宋体" w:cs="Arial"/>
          <w:bCs/>
          <w:sz w:val="24"/>
          <w:szCs w:val="24"/>
        </w:rPr>
        <w:t>开户行：上海浦东发展银行天津分行浦惠支行</w:t>
      </w:r>
    </w:p>
    <w:p>
      <w:pPr>
        <w:spacing w:line="360" w:lineRule="auto"/>
        <w:ind w:firstLine="998" w:firstLineChars="416"/>
        <w:rPr>
          <w:rFonts w:ascii="宋体" w:hAnsi="宋体" w:eastAsia="宋体" w:cs="Arial"/>
          <w:bCs/>
          <w:sz w:val="24"/>
          <w:szCs w:val="24"/>
        </w:rPr>
      </w:pPr>
      <w:r>
        <w:rPr>
          <w:rFonts w:hint="eastAsia" w:ascii="宋体" w:hAnsi="宋体" w:eastAsia="宋体" w:cs="Arial"/>
          <w:bCs/>
          <w:sz w:val="24"/>
          <w:szCs w:val="24"/>
        </w:rPr>
        <w:t>行号：310110000056</w:t>
      </w:r>
    </w:p>
    <w:p>
      <w:pPr>
        <w:spacing w:line="360" w:lineRule="auto"/>
        <w:ind w:firstLine="998" w:firstLineChars="416"/>
        <w:rPr>
          <w:rFonts w:ascii="宋体" w:hAnsi="宋体" w:eastAsia="宋体" w:cs="Arial"/>
          <w:bCs/>
          <w:sz w:val="24"/>
          <w:szCs w:val="24"/>
        </w:rPr>
      </w:pPr>
      <w:r>
        <w:rPr>
          <w:rFonts w:hint="eastAsia" w:ascii="宋体" w:hAnsi="宋体" w:eastAsia="宋体" w:cs="Arial"/>
          <w:bCs/>
          <w:sz w:val="24"/>
          <w:szCs w:val="24"/>
        </w:rPr>
        <w:t>账号：77050154740004206</w:t>
      </w:r>
    </w:p>
    <w:p>
      <w:pPr>
        <w:tabs>
          <w:tab w:val="left" w:pos="993"/>
        </w:tabs>
        <w:spacing w:line="360" w:lineRule="auto"/>
        <w:ind w:firstLine="998" w:firstLineChars="416"/>
        <w:rPr>
          <w:rFonts w:ascii="宋体" w:hAnsi="宋体" w:cs="Arial"/>
          <w:bCs/>
          <w:sz w:val="24"/>
          <w:szCs w:val="24"/>
        </w:rPr>
      </w:pPr>
      <w:r>
        <w:rPr>
          <w:rFonts w:hint="eastAsia" w:ascii="宋体" w:hAnsi="宋体" w:eastAsia="宋体" w:cs="Arial"/>
          <w:bCs/>
          <w:sz w:val="24"/>
          <w:szCs w:val="24"/>
        </w:rPr>
        <w:t>财务部联系人：李林  财务部联系方式：022-25295822</w:t>
      </w:r>
    </w:p>
    <w:p>
      <w:pPr>
        <w:tabs>
          <w:tab w:val="left" w:pos="993"/>
        </w:tabs>
        <w:spacing w:line="360" w:lineRule="auto"/>
        <w:ind w:firstLine="998" w:firstLineChars="416"/>
        <w:rPr>
          <w:rFonts w:ascii="宋体" w:hAnsi="宋体" w:cs="Arial"/>
          <w:bCs/>
          <w:sz w:val="24"/>
          <w:szCs w:val="24"/>
        </w:rPr>
      </w:pPr>
      <w:r>
        <w:rPr>
          <w:rFonts w:hint="eastAsia" w:ascii="宋体" w:hAnsi="宋体" w:cs="Arial"/>
          <w:bCs/>
          <w:sz w:val="24"/>
          <w:szCs w:val="24"/>
        </w:rPr>
        <w:t>汇款时请以公司账户进行电汇，并注明项目名称及项目编号。</w:t>
      </w:r>
    </w:p>
    <w:p>
      <w:pPr>
        <w:tabs>
          <w:tab w:val="left" w:pos="800"/>
          <w:tab w:val="left" w:pos="1100"/>
        </w:tabs>
        <w:spacing w:line="360" w:lineRule="auto"/>
        <w:ind w:left="426"/>
        <w:rPr>
          <w:rFonts w:ascii="宋体" w:hAnsi="宋体"/>
          <w:sz w:val="24"/>
        </w:rPr>
      </w:pPr>
      <w:r>
        <w:rPr>
          <w:rFonts w:hint="eastAsia" w:ascii="宋体" w:hAnsi="宋体"/>
          <w:sz w:val="24"/>
        </w:rPr>
        <w:t>（5）</w:t>
      </w:r>
      <w:r>
        <w:rPr>
          <w:rFonts w:hint="eastAsia" w:ascii="宋体" w:hAnsi="宋体" w:eastAsia="宋体" w:cs="Arial"/>
          <w:bCs/>
          <w:sz w:val="24"/>
          <w:szCs w:val="24"/>
        </w:rPr>
        <w:t>未中标供应商应当配合代理机构在中标通知书发出之日起5个工作日内退还投标保证金，中标供应商应当配合代理机构在政府采购合同签订之日起5个工作日内退还投标保证金</w:t>
      </w:r>
      <w:r>
        <w:rPr>
          <w:rFonts w:hint="eastAsia" w:ascii="宋体" w:hAnsi="宋体"/>
          <w:sz w:val="24"/>
        </w:rPr>
        <w:t>。</w:t>
      </w:r>
    </w:p>
    <w:p>
      <w:pPr>
        <w:tabs>
          <w:tab w:val="left" w:pos="425"/>
          <w:tab w:val="left" w:pos="800"/>
          <w:tab w:val="left" w:pos="1100"/>
        </w:tabs>
        <w:spacing w:line="360" w:lineRule="auto"/>
        <w:ind w:firstLine="480" w:firstLineChars="200"/>
        <w:rPr>
          <w:rFonts w:ascii="宋体" w:hAnsi="宋体" w:cs="Arial"/>
          <w:sz w:val="24"/>
        </w:rPr>
      </w:pPr>
      <w:r>
        <w:rPr>
          <w:rFonts w:hint="eastAsia" w:ascii="宋体" w:hAnsi="宋体"/>
          <w:sz w:val="24"/>
        </w:rPr>
        <w:t>（6）</w:t>
      </w:r>
      <w:r>
        <w:rPr>
          <w:rFonts w:ascii="宋体" w:hAnsi="宋体"/>
          <w:sz w:val="24"/>
        </w:rPr>
        <w:t>履约保证金</w:t>
      </w:r>
    </w:p>
    <w:p>
      <w:pPr>
        <w:tabs>
          <w:tab w:val="left" w:pos="425"/>
          <w:tab w:val="left" w:pos="800"/>
          <w:tab w:val="left" w:pos="1100"/>
        </w:tabs>
        <w:spacing w:line="360" w:lineRule="auto"/>
        <w:ind w:left="400" w:firstLine="480" w:firstLineChars="200"/>
        <w:rPr>
          <w:rFonts w:ascii="宋体" w:hAnsi="宋体" w:cs="Arial"/>
          <w:sz w:val="24"/>
        </w:rPr>
      </w:pPr>
      <w:r>
        <w:rPr>
          <w:rFonts w:ascii="宋体" w:hAnsi="宋体" w:cs="Arial"/>
          <w:sz w:val="24"/>
        </w:rPr>
        <w:t>本项目无须交纳</w:t>
      </w:r>
      <w:r>
        <w:rPr>
          <w:rFonts w:hint="eastAsia" w:ascii="宋体" w:hAnsi="宋体" w:cs="Arial"/>
          <w:sz w:val="24"/>
        </w:rPr>
        <w:t>履约保证金。</w:t>
      </w:r>
    </w:p>
    <w:p>
      <w:pPr>
        <w:pStyle w:val="48"/>
        <w:spacing w:line="420" w:lineRule="auto"/>
        <w:ind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★6、付款方式：</w:t>
      </w:r>
    </w:p>
    <w:p>
      <w:pPr>
        <w:pStyle w:val="47"/>
        <w:numPr>
          <w:ilvl w:val="3"/>
          <w:numId w:val="6"/>
        </w:numPr>
        <w:spacing w:line="360" w:lineRule="auto"/>
        <w:ind w:left="426" w:firstLine="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项目实际支付价款以财政专项拨款额度为准，拨款额度不足的，待财政资金到位后支付。</w:t>
      </w:r>
    </w:p>
    <w:p>
      <w:pPr>
        <w:pStyle w:val="47"/>
        <w:numPr>
          <w:ilvl w:val="3"/>
          <w:numId w:val="6"/>
        </w:numPr>
        <w:spacing w:line="360" w:lineRule="auto"/>
        <w:ind w:left="426" w:firstLine="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本项目合同签订后</w:t>
      </w:r>
      <w:r>
        <w:rPr>
          <w:rFonts w:ascii="Times New Roman" w:hAnsi="Times New Roman" w:eastAsia="宋体" w:cs="Times New Roman"/>
          <w:color w:val="auto"/>
          <w:kern w:val="2"/>
        </w:rPr>
        <w:t>10</w:t>
      </w:r>
      <w:r>
        <w:rPr>
          <w:rFonts w:hint="eastAsia" w:ascii="Times New Roman" w:hAnsi="Times New Roman" w:eastAsia="宋体" w:cs="Times New Roman"/>
          <w:color w:val="auto"/>
          <w:kern w:val="2"/>
        </w:rPr>
        <w:t>个工作日内，由丙方向乙方支付合同总价款</w:t>
      </w:r>
      <w:r>
        <w:rPr>
          <w:rFonts w:ascii="Times New Roman" w:hAnsi="Times New Roman" w:eastAsia="宋体" w:cs="Times New Roman"/>
          <w:color w:val="auto"/>
          <w:kern w:val="2"/>
        </w:rPr>
        <w:t>30%</w:t>
      </w:r>
      <w:r>
        <w:rPr>
          <w:rFonts w:hint="eastAsia" w:ascii="Times New Roman" w:hAnsi="Times New Roman" w:eastAsia="宋体" w:cs="Times New Roman"/>
          <w:color w:val="auto"/>
          <w:kern w:val="2"/>
        </w:rPr>
        <w:t>。</w:t>
      </w:r>
    </w:p>
    <w:p>
      <w:pPr>
        <w:pStyle w:val="47"/>
        <w:numPr>
          <w:ilvl w:val="3"/>
          <w:numId w:val="6"/>
        </w:numPr>
        <w:spacing w:line="360" w:lineRule="auto"/>
        <w:ind w:left="426" w:firstLine="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完成本项目详细设计并向甲方提供《详细设计报告》，由丙方向乙方支付合同总价款的15</w:t>
      </w:r>
      <w:r>
        <w:rPr>
          <w:rFonts w:ascii="Times New Roman" w:hAnsi="Times New Roman" w:eastAsia="宋体" w:cs="Times New Roman"/>
          <w:color w:val="auto"/>
          <w:kern w:val="2"/>
        </w:rPr>
        <w:t>%</w:t>
      </w:r>
      <w:r>
        <w:rPr>
          <w:rFonts w:hint="eastAsia" w:ascii="Times New Roman" w:hAnsi="Times New Roman" w:eastAsia="宋体" w:cs="Times New Roman"/>
          <w:color w:val="auto"/>
          <w:kern w:val="2"/>
        </w:rPr>
        <w:t>。</w:t>
      </w:r>
    </w:p>
    <w:p>
      <w:pPr>
        <w:pStyle w:val="47"/>
        <w:numPr>
          <w:ilvl w:val="3"/>
          <w:numId w:val="6"/>
        </w:numPr>
        <w:spacing w:line="360" w:lineRule="auto"/>
        <w:ind w:left="426" w:firstLine="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完成本项目设备的到货点验后</w:t>
      </w:r>
      <w:r>
        <w:rPr>
          <w:rFonts w:ascii="Times New Roman" w:hAnsi="Times New Roman" w:eastAsia="宋体" w:cs="Times New Roman"/>
          <w:color w:val="auto"/>
          <w:kern w:val="2"/>
        </w:rPr>
        <w:t>10</w:t>
      </w:r>
      <w:r>
        <w:rPr>
          <w:rFonts w:hint="eastAsia" w:ascii="Times New Roman" w:hAnsi="Times New Roman" w:eastAsia="宋体" w:cs="Times New Roman"/>
          <w:color w:val="auto"/>
          <w:kern w:val="2"/>
        </w:rPr>
        <w:t>个工作日内，由丙方向乙方支付合同总价款的30</w:t>
      </w:r>
      <w:r>
        <w:rPr>
          <w:rFonts w:ascii="Times New Roman" w:hAnsi="Times New Roman" w:eastAsia="宋体" w:cs="Times New Roman"/>
          <w:color w:val="auto"/>
          <w:kern w:val="2"/>
        </w:rPr>
        <w:t>%</w:t>
      </w:r>
      <w:r>
        <w:rPr>
          <w:rFonts w:hint="eastAsia" w:ascii="Times New Roman" w:hAnsi="Times New Roman" w:eastAsia="宋体" w:cs="Times New Roman"/>
          <w:color w:val="auto"/>
          <w:kern w:val="2"/>
        </w:rPr>
        <w:t>。</w:t>
      </w:r>
    </w:p>
    <w:p>
      <w:pPr>
        <w:pStyle w:val="47"/>
        <w:numPr>
          <w:ilvl w:val="3"/>
          <w:numId w:val="6"/>
        </w:numPr>
        <w:spacing w:line="360" w:lineRule="auto"/>
        <w:ind w:left="426" w:firstLine="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完成本项目软件功能确认后</w:t>
      </w:r>
      <w:r>
        <w:rPr>
          <w:rFonts w:ascii="Times New Roman" w:hAnsi="Times New Roman" w:eastAsia="宋体" w:cs="Times New Roman"/>
          <w:color w:val="auto"/>
          <w:kern w:val="2"/>
        </w:rPr>
        <w:t>10</w:t>
      </w:r>
      <w:r>
        <w:rPr>
          <w:rFonts w:hint="eastAsia" w:ascii="Times New Roman" w:hAnsi="Times New Roman" w:eastAsia="宋体" w:cs="Times New Roman"/>
          <w:color w:val="auto"/>
          <w:kern w:val="2"/>
        </w:rPr>
        <w:t>个工作日内，由丙方向乙方支付合同总价款的</w:t>
      </w:r>
      <w:r>
        <w:rPr>
          <w:rFonts w:ascii="Times New Roman" w:hAnsi="Times New Roman" w:eastAsia="宋体" w:cs="Times New Roman"/>
          <w:color w:val="auto"/>
          <w:kern w:val="2"/>
        </w:rPr>
        <w:t>15%</w:t>
      </w:r>
      <w:r>
        <w:rPr>
          <w:rFonts w:hint="eastAsia" w:ascii="Times New Roman" w:hAnsi="Times New Roman" w:eastAsia="宋体" w:cs="Times New Roman"/>
          <w:color w:val="auto"/>
          <w:kern w:val="2"/>
        </w:rPr>
        <w:t>。</w:t>
      </w:r>
    </w:p>
    <w:p>
      <w:pPr>
        <w:pStyle w:val="47"/>
        <w:numPr>
          <w:ilvl w:val="3"/>
          <w:numId w:val="6"/>
        </w:numPr>
        <w:spacing w:line="360" w:lineRule="auto"/>
        <w:ind w:left="426" w:firstLine="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完成本项目设备安装，经甲方确认合格后</w:t>
      </w:r>
      <w:r>
        <w:rPr>
          <w:rFonts w:ascii="Times New Roman" w:hAnsi="Times New Roman" w:eastAsia="宋体" w:cs="Times New Roman"/>
          <w:color w:val="auto"/>
          <w:kern w:val="2"/>
        </w:rPr>
        <w:t>10</w:t>
      </w:r>
      <w:r>
        <w:rPr>
          <w:rFonts w:hint="eastAsia" w:ascii="Times New Roman" w:hAnsi="Times New Roman" w:eastAsia="宋体" w:cs="Times New Roman"/>
          <w:color w:val="auto"/>
          <w:kern w:val="2"/>
        </w:rPr>
        <w:t>个工作日内，由丙方向乙方支付合同总价款的</w:t>
      </w:r>
      <w:r>
        <w:rPr>
          <w:rFonts w:ascii="Times New Roman" w:hAnsi="Times New Roman" w:eastAsia="宋体" w:cs="Times New Roman"/>
          <w:color w:val="auto"/>
          <w:kern w:val="2"/>
        </w:rPr>
        <w:t>5%</w:t>
      </w:r>
      <w:r>
        <w:rPr>
          <w:rFonts w:hint="eastAsia" w:ascii="Times New Roman" w:hAnsi="Times New Roman" w:eastAsia="宋体" w:cs="Times New Roman"/>
          <w:color w:val="auto"/>
          <w:kern w:val="2"/>
        </w:rPr>
        <w:t>。</w:t>
      </w:r>
    </w:p>
    <w:p>
      <w:pPr>
        <w:pStyle w:val="47"/>
        <w:numPr>
          <w:ilvl w:val="3"/>
          <w:numId w:val="6"/>
        </w:numPr>
        <w:spacing w:line="360" w:lineRule="auto"/>
        <w:ind w:left="426" w:firstLine="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项目完成现场验收，并完成项目审计后</w:t>
      </w:r>
      <w:r>
        <w:rPr>
          <w:rFonts w:ascii="Times New Roman" w:hAnsi="Times New Roman" w:eastAsia="宋体" w:cs="Times New Roman"/>
          <w:color w:val="auto"/>
          <w:kern w:val="2"/>
        </w:rPr>
        <w:t>10</w:t>
      </w:r>
      <w:r>
        <w:rPr>
          <w:rFonts w:hint="eastAsia" w:ascii="Times New Roman" w:hAnsi="Times New Roman" w:eastAsia="宋体" w:cs="Times New Roman"/>
          <w:color w:val="auto"/>
          <w:kern w:val="2"/>
        </w:rPr>
        <w:t>个工作日内按照审计值支付剩余费用，乙方出具9万元的保函。</w:t>
      </w:r>
    </w:p>
    <w:p>
      <w:pPr>
        <w:pStyle w:val="47"/>
        <w:spacing w:line="360" w:lineRule="auto"/>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7、其他要求</w:t>
      </w:r>
    </w:p>
    <w:p>
      <w:pPr>
        <w:pStyle w:val="47"/>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（1）供应商须整包进行投标，不得拆包分项投标。</w:t>
      </w:r>
    </w:p>
    <w:p>
      <w:pPr>
        <w:pStyle w:val="47"/>
        <w:spacing w:line="360" w:lineRule="auto"/>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五、开标评标程序</w:t>
      </w:r>
    </w:p>
    <w:p>
      <w:pPr>
        <w:pStyle w:val="47"/>
        <w:spacing w:line="360" w:lineRule="auto"/>
        <w:jc w:val="both"/>
        <w:rPr>
          <w:rFonts w:ascii="宋体" w:hAnsi="宋体" w:eastAsia="宋体" w:cs="Arial"/>
          <w:color w:val="auto"/>
        </w:rPr>
      </w:pPr>
      <w:r>
        <w:rPr>
          <w:rFonts w:hint="eastAsia" w:ascii="宋体" w:hAnsi="宋体" w:eastAsia="宋体" w:cs="Arial"/>
          <w:color w:val="auto"/>
        </w:rPr>
        <w:t>（一）开标</w:t>
      </w:r>
    </w:p>
    <w:p>
      <w:pPr>
        <w:pStyle w:val="47"/>
        <w:spacing w:line="360" w:lineRule="auto"/>
        <w:jc w:val="both"/>
        <w:rPr>
          <w:rFonts w:ascii="宋体" w:hAnsi="宋体" w:eastAsia="宋体" w:cs="Arial"/>
          <w:color w:val="auto"/>
        </w:rPr>
      </w:pPr>
      <w:r>
        <w:rPr>
          <w:rFonts w:hint="eastAsia" w:ascii="宋体" w:hAnsi="宋体" w:eastAsia="宋体" w:cs="Arial"/>
          <w:color w:val="auto"/>
        </w:rPr>
        <w:t>1、开标时，由</w:t>
      </w:r>
      <w:r>
        <w:rPr>
          <w:rFonts w:hint="eastAsia" w:ascii="宋体" w:hAnsi="宋体" w:cs="Arial"/>
        </w:rPr>
        <w:t>投标人</w:t>
      </w:r>
      <w:r>
        <w:rPr>
          <w:rFonts w:hint="eastAsia" w:ascii="宋体" w:hAnsi="宋体" w:eastAsia="宋体" w:cs="Arial"/>
          <w:color w:val="auto"/>
        </w:rPr>
        <w:t>或者其推选的代表检查投标文件的密封情况；经确认无误后，由采购代理机构工作人员当众拆封，宣布投标人名称、投标价格。</w:t>
      </w:r>
    </w:p>
    <w:p>
      <w:pPr>
        <w:pStyle w:val="47"/>
        <w:spacing w:line="360" w:lineRule="auto"/>
        <w:jc w:val="both"/>
        <w:rPr>
          <w:rFonts w:ascii="宋体" w:hAnsi="宋体" w:cs="Arial"/>
        </w:rPr>
      </w:pPr>
      <w:r>
        <w:rPr>
          <w:rFonts w:ascii="宋体" w:hAnsi="宋体" w:eastAsia="宋体" w:cs="Arial"/>
          <w:color w:val="auto"/>
        </w:rPr>
        <w:t>2</w:t>
      </w:r>
      <w:r>
        <w:rPr>
          <w:rFonts w:hint="eastAsia" w:ascii="宋体" w:hAnsi="宋体" w:eastAsia="宋体" w:cs="Arial"/>
          <w:color w:val="auto"/>
        </w:rPr>
        <w:t>、</w:t>
      </w:r>
      <w:r>
        <w:rPr>
          <w:rFonts w:hint="eastAsia" w:ascii="宋体" w:hAnsi="宋体" w:cs="Arial"/>
        </w:rPr>
        <w:t>法定代表人参加开标时,除投标文件外须另行携带法定代表人资格证明书原件、法定代表人身份证原件；非法定代表人参加开标时，除投标文件外须另行携带法人授权委托书原件和代理人身份证原件。未按要求携带上述资料的人员，不得进入开标现场。</w:t>
      </w:r>
    </w:p>
    <w:p>
      <w:pPr>
        <w:pStyle w:val="47"/>
        <w:spacing w:line="360" w:lineRule="auto"/>
        <w:jc w:val="both"/>
        <w:rPr>
          <w:rFonts w:ascii="宋体" w:hAnsi="宋体" w:eastAsia="宋体" w:cs="Arial"/>
          <w:color w:val="auto"/>
        </w:rPr>
      </w:pPr>
      <w:r>
        <w:rPr>
          <w:rFonts w:hint="eastAsia" w:ascii="宋体" w:hAnsi="宋体" w:eastAsia="宋体" w:cs="Arial"/>
          <w:color w:val="auto"/>
        </w:rPr>
        <w:t>（二）资格性审查</w:t>
      </w:r>
    </w:p>
    <w:p>
      <w:pPr>
        <w:pStyle w:val="47"/>
        <w:numPr>
          <w:ilvl w:val="0"/>
          <w:numId w:val="7"/>
        </w:numPr>
        <w:spacing w:line="360" w:lineRule="auto"/>
        <w:jc w:val="both"/>
        <w:rPr>
          <w:rFonts w:ascii="宋体" w:hAnsi="宋体" w:eastAsia="宋体" w:cs="Arial"/>
          <w:color w:val="auto"/>
        </w:rPr>
      </w:pPr>
      <w:r>
        <w:rPr>
          <w:rFonts w:hint="eastAsia" w:ascii="宋体" w:hAnsi="宋体" w:eastAsia="宋体" w:cs="Arial"/>
          <w:color w:val="auto"/>
        </w:rPr>
        <w:t>开标结束后，采购人或者采购代理机构依法对投标人进行资格性审查。</w:t>
      </w:r>
    </w:p>
    <w:p>
      <w:pPr>
        <w:pStyle w:val="59"/>
        <w:numPr>
          <w:ilvl w:val="0"/>
          <w:numId w:val="7"/>
        </w:numPr>
        <w:tabs>
          <w:tab w:val="left" w:pos="0"/>
        </w:tabs>
        <w:spacing w:line="360" w:lineRule="auto"/>
        <w:ind w:firstLineChars="0"/>
        <w:rPr>
          <w:rFonts w:ascii="宋体" w:hAnsi="宋体" w:cs="Arial"/>
          <w:bCs/>
          <w:sz w:val="24"/>
        </w:rPr>
      </w:pPr>
      <w:r>
        <w:rPr>
          <w:rFonts w:ascii="宋体" w:hAnsi="宋体" w:cs="Arial"/>
          <w:b/>
          <w:bCs/>
          <w:sz w:val="24"/>
        </w:rPr>
        <w:t>资格性审查内容为实质性要求</w:t>
      </w:r>
      <w:r>
        <w:rPr>
          <w:rFonts w:hint="eastAsia" w:ascii="宋体" w:hAnsi="宋体" w:cs="Arial"/>
          <w:b/>
          <w:bCs/>
          <w:sz w:val="24"/>
        </w:rPr>
        <w:t>，如有不满足，将视为无效投标。</w:t>
      </w:r>
      <w:r>
        <w:rPr>
          <w:rFonts w:hint="eastAsia" w:ascii="宋体" w:hAnsi="宋体" w:cs="Arial"/>
          <w:bCs/>
          <w:sz w:val="24"/>
        </w:rPr>
        <w:t>请将资格审查所涉及到的证明文件集中于投标文件中《资格证明文件》的章节中进行制作（《资格证明文件》详见招标文件第五部分投标文件格式），并将相关内容标清页码。</w:t>
      </w:r>
      <w:r>
        <w:rPr>
          <w:rFonts w:ascii="宋体" w:hAnsi="宋体" w:cs="Arial"/>
          <w:b/>
          <w:bCs/>
          <w:sz w:val="24"/>
        </w:rPr>
        <w:t>资格性审查内容如下</w:t>
      </w:r>
      <w:r>
        <w:rPr>
          <w:rFonts w:hint="eastAsia" w:ascii="宋体" w:hAnsi="宋体" w:cs="Arial"/>
          <w:b/>
          <w:bCs/>
          <w:sz w:val="24"/>
        </w:rPr>
        <w:t>：</w:t>
      </w:r>
    </w:p>
    <w:p>
      <w:pPr>
        <w:pStyle w:val="47"/>
        <w:spacing w:line="360" w:lineRule="auto"/>
        <w:jc w:val="both"/>
        <w:rPr>
          <w:rFonts w:ascii="宋体" w:hAnsi="宋体" w:cs="Arial"/>
          <w:bCs/>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387"/>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17" w:type="dxa"/>
            <w:shd w:val="clear" w:color="auto" w:fill="auto"/>
            <w:vAlign w:val="center"/>
          </w:tcPr>
          <w:p>
            <w:pPr>
              <w:tabs>
                <w:tab w:val="left" w:pos="0"/>
                <w:tab w:val="left" w:pos="800"/>
                <w:tab w:val="left" w:pos="1100"/>
              </w:tabs>
              <w:spacing w:line="360" w:lineRule="auto"/>
              <w:jc w:val="center"/>
              <w:rPr>
                <w:rFonts w:ascii="宋体" w:hAnsi="宋体" w:cs="Arial"/>
                <w:b/>
                <w:kern w:val="0"/>
                <w:sz w:val="24"/>
                <w:szCs w:val="20"/>
              </w:rPr>
            </w:pPr>
            <w:r>
              <w:rPr>
                <w:rFonts w:hint="eastAsia" w:ascii="宋体" w:hAnsi="宋体" w:cs="Arial"/>
                <w:b/>
                <w:kern w:val="0"/>
                <w:sz w:val="24"/>
                <w:szCs w:val="20"/>
              </w:rPr>
              <w:t>序号</w:t>
            </w:r>
          </w:p>
        </w:tc>
        <w:tc>
          <w:tcPr>
            <w:tcW w:w="5387" w:type="dxa"/>
            <w:shd w:val="clear" w:color="auto" w:fill="auto"/>
            <w:vAlign w:val="center"/>
          </w:tcPr>
          <w:p>
            <w:pPr>
              <w:tabs>
                <w:tab w:val="left" w:pos="0"/>
                <w:tab w:val="left" w:pos="800"/>
                <w:tab w:val="left" w:pos="1100"/>
              </w:tabs>
              <w:spacing w:line="360" w:lineRule="auto"/>
              <w:jc w:val="center"/>
              <w:rPr>
                <w:rFonts w:ascii="宋体" w:hAnsi="宋体" w:cs="Arial"/>
                <w:b/>
                <w:kern w:val="0"/>
                <w:sz w:val="24"/>
                <w:szCs w:val="20"/>
              </w:rPr>
            </w:pPr>
            <w:r>
              <w:rPr>
                <w:rFonts w:hint="eastAsia" w:ascii="宋体" w:hAnsi="宋体" w:cs="Arial"/>
                <w:b/>
                <w:kern w:val="0"/>
                <w:sz w:val="24"/>
                <w:szCs w:val="20"/>
              </w:rPr>
              <w:t>资格性审查内容</w:t>
            </w:r>
          </w:p>
        </w:tc>
        <w:tc>
          <w:tcPr>
            <w:tcW w:w="2318" w:type="dxa"/>
            <w:shd w:val="clear" w:color="auto" w:fill="auto"/>
            <w:vAlign w:val="center"/>
          </w:tcPr>
          <w:p>
            <w:pPr>
              <w:tabs>
                <w:tab w:val="left" w:pos="0"/>
                <w:tab w:val="left" w:pos="800"/>
                <w:tab w:val="left" w:pos="1100"/>
              </w:tabs>
              <w:spacing w:line="360" w:lineRule="auto"/>
              <w:jc w:val="center"/>
              <w:rPr>
                <w:rFonts w:ascii="宋体" w:hAnsi="宋体" w:cs="Arial"/>
                <w:b/>
                <w:kern w:val="0"/>
                <w:sz w:val="24"/>
                <w:szCs w:val="20"/>
              </w:rPr>
            </w:pPr>
            <w:r>
              <w:rPr>
                <w:rFonts w:hint="eastAsia" w:ascii="宋体" w:hAnsi="宋体" w:cs="Arial"/>
                <w:b/>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17" w:type="dxa"/>
            <w:shd w:val="clear" w:color="auto" w:fill="auto"/>
            <w:vAlign w:val="center"/>
          </w:tcPr>
          <w:p>
            <w:pPr>
              <w:tabs>
                <w:tab w:val="left" w:pos="0"/>
                <w:tab w:val="left" w:pos="800"/>
                <w:tab w:val="left" w:pos="1100"/>
              </w:tabs>
              <w:jc w:val="center"/>
              <w:rPr>
                <w:rFonts w:ascii="宋体" w:hAnsi="宋体" w:cs="Arial"/>
                <w:kern w:val="0"/>
                <w:sz w:val="24"/>
                <w:szCs w:val="20"/>
              </w:rPr>
            </w:pPr>
            <w:r>
              <w:rPr>
                <w:rFonts w:ascii="宋体" w:hAnsi="宋体" w:cs="Arial"/>
                <w:kern w:val="0"/>
                <w:sz w:val="24"/>
                <w:szCs w:val="20"/>
              </w:rPr>
              <w:t xml:space="preserve"> </w:t>
            </w:r>
            <w:r>
              <w:rPr>
                <w:rFonts w:hint="eastAsia" w:ascii="宋体" w:hAnsi="宋体" w:cs="Arial"/>
                <w:kern w:val="0"/>
                <w:sz w:val="24"/>
                <w:szCs w:val="20"/>
              </w:rPr>
              <w:t>1</w:t>
            </w:r>
          </w:p>
        </w:tc>
        <w:tc>
          <w:tcPr>
            <w:tcW w:w="5387" w:type="dxa"/>
            <w:shd w:val="clear" w:color="auto" w:fill="auto"/>
            <w:vAlign w:val="center"/>
          </w:tcPr>
          <w:p>
            <w:pPr>
              <w:pStyle w:val="47"/>
              <w:jc w:val="both"/>
              <w:rPr>
                <w:rFonts w:ascii="宋体" w:hAnsi="宋体" w:eastAsia="宋体"/>
              </w:rPr>
            </w:pPr>
            <w:r>
              <w:rPr>
                <w:rFonts w:hint="eastAsia" w:ascii="宋体" w:hAnsi="宋体" w:eastAsia="宋体"/>
              </w:rPr>
              <w:t>具有独立承担民事责任能力的法人或其他组织。提供证明供应商具有独立承担民事责任能力的相关证件；</w:t>
            </w:r>
          </w:p>
        </w:tc>
        <w:tc>
          <w:tcPr>
            <w:tcW w:w="2318" w:type="dxa"/>
            <w:shd w:val="clear" w:color="auto" w:fill="auto"/>
            <w:vAlign w:val="center"/>
          </w:tcPr>
          <w:p>
            <w:pPr>
              <w:tabs>
                <w:tab w:val="left" w:pos="0"/>
                <w:tab w:val="left" w:pos="800"/>
                <w:tab w:val="left" w:pos="1100"/>
              </w:tabs>
              <w:rPr>
                <w:rFonts w:ascii="宋体" w:hAnsi="宋体" w:cs="Arial"/>
                <w:kern w:val="0"/>
                <w:sz w:val="24"/>
                <w:szCs w:val="20"/>
              </w:rPr>
            </w:pPr>
            <w:r>
              <w:rPr>
                <w:rFonts w:hint="eastAsia" w:ascii="宋体" w:hAnsi="宋体" w:cs="Arial"/>
                <w:kern w:val="0"/>
                <w:sz w:val="24"/>
                <w:szCs w:val="20"/>
              </w:rPr>
              <w:t>须在技术标中提供复印件（加盖供应商公章）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817" w:type="dxa"/>
            <w:shd w:val="clear" w:color="auto" w:fill="auto"/>
            <w:vAlign w:val="center"/>
          </w:tcPr>
          <w:p>
            <w:pPr>
              <w:tabs>
                <w:tab w:val="left" w:pos="0"/>
                <w:tab w:val="left" w:pos="800"/>
                <w:tab w:val="left" w:pos="1100"/>
              </w:tabs>
              <w:jc w:val="center"/>
              <w:rPr>
                <w:rFonts w:ascii="宋体" w:hAnsi="宋体" w:cs="Arial"/>
                <w:kern w:val="0"/>
                <w:sz w:val="24"/>
                <w:szCs w:val="20"/>
              </w:rPr>
            </w:pPr>
            <w:r>
              <w:rPr>
                <w:rFonts w:hint="eastAsia" w:ascii="宋体" w:hAnsi="宋体" w:cs="Arial"/>
                <w:kern w:val="0"/>
                <w:sz w:val="24"/>
                <w:szCs w:val="20"/>
              </w:rPr>
              <w:t>2</w:t>
            </w:r>
          </w:p>
        </w:tc>
        <w:tc>
          <w:tcPr>
            <w:tcW w:w="5387" w:type="dxa"/>
            <w:shd w:val="clear" w:color="auto" w:fill="auto"/>
            <w:vAlign w:val="center"/>
          </w:tcPr>
          <w:p>
            <w:pPr>
              <w:widowControl/>
              <w:spacing w:line="360" w:lineRule="auto"/>
              <w:jc w:val="left"/>
              <w:rPr>
                <w:rFonts w:ascii="宋体" w:hAnsi="宋体" w:cs="Arial"/>
              </w:rPr>
            </w:pPr>
            <w:r>
              <w:rPr>
                <w:rFonts w:hint="eastAsia" w:ascii="宋体" w:hAnsi="宋体" w:eastAsia="宋体" w:cs="宋体"/>
                <w:color w:val="383838"/>
                <w:kern w:val="0"/>
                <w:sz w:val="24"/>
                <w:szCs w:val="24"/>
                <w:lang w:bidi="ar"/>
              </w:rPr>
              <w:t xml:space="preserve">具有良好的商业信誉和健全的财务会计制度。须提供2020年或2021年度经第三方会计师事务所审计的企业财务报告或2022年度银行出具的资信证明； </w:t>
            </w:r>
          </w:p>
        </w:tc>
        <w:tc>
          <w:tcPr>
            <w:tcW w:w="2318" w:type="dxa"/>
            <w:shd w:val="clear" w:color="auto" w:fill="auto"/>
            <w:vAlign w:val="center"/>
          </w:tcPr>
          <w:p>
            <w:pPr>
              <w:tabs>
                <w:tab w:val="left" w:pos="0"/>
                <w:tab w:val="left" w:pos="800"/>
                <w:tab w:val="left" w:pos="1100"/>
              </w:tabs>
              <w:rPr>
                <w:rFonts w:ascii="宋体" w:hAnsi="宋体" w:cs="Arial"/>
                <w:b/>
                <w:kern w:val="0"/>
                <w:sz w:val="24"/>
                <w:szCs w:val="20"/>
              </w:rPr>
            </w:pPr>
            <w:r>
              <w:rPr>
                <w:rFonts w:hint="eastAsia" w:ascii="宋体" w:hAnsi="宋体" w:cs="Arial"/>
                <w:kern w:val="0"/>
                <w:sz w:val="24"/>
                <w:szCs w:val="20"/>
              </w:rPr>
              <w:t>须在技术标中提供复印件（加盖供应商公章）。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817" w:type="dxa"/>
            <w:shd w:val="clear" w:color="auto" w:fill="auto"/>
            <w:vAlign w:val="center"/>
          </w:tcPr>
          <w:p>
            <w:pPr>
              <w:tabs>
                <w:tab w:val="left" w:pos="0"/>
                <w:tab w:val="left" w:pos="800"/>
                <w:tab w:val="left" w:pos="1100"/>
              </w:tabs>
              <w:jc w:val="center"/>
              <w:rPr>
                <w:rFonts w:ascii="宋体" w:hAnsi="宋体" w:cs="Arial"/>
                <w:kern w:val="0"/>
                <w:sz w:val="24"/>
                <w:szCs w:val="20"/>
              </w:rPr>
            </w:pPr>
            <w:r>
              <w:rPr>
                <w:rFonts w:hint="eastAsia" w:ascii="宋体" w:hAnsi="宋体" w:cs="Arial"/>
                <w:kern w:val="0"/>
                <w:sz w:val="24"/>
                <w:szCs w:val="20"/>
              </w:rPr>
              <w:t>3</w:t>
            </w:r>
          </w:p>
        </w:tc>
        <w:tc>
          <w:tcPr>
            <w:tcW w:w="5387" w:type="dxa"/>
            <w:shd w:val="clear" w:color="auto" w:fill="auto"/>
            <w:vAlign w:val="center"/>
          </w:tcPr>
          <w:p>
            <w:pPr>
              <w:widowControl/>
              <w:spacing w:line="360" w:lineRule="auto"/>
              <w:jc w:val="left"/>
              <w:rPr>
                <w:rFonts w:ascii="宋体" w:hAnsi="宋体" w:cs="Arial"/>
              </w:rPr>
            </w:pPr>
            <w:r>
              <w:rPr>
                <w:rFonts w:hint="eastAsia" w:ascii="宋体" w:hAnsi="宋体" w:eastAsia="宋体" w:cs="宋体"/>
                <w:color w:val="383838"/>
                <w:kern w:val="0"/>
                <w:sz w:val="24"/>
                <w:szCs w:val="24"/>
                <w:lang w:bidi="ar"/>
              </w:rPr>
              <w:t>有依法缴纳税收和社会保障资金的良好记录。须提供2022年至少1个月的依法缴纳税收和社会保险费的相关证明材料；</w:t>
            </w:r>
          </w:p>
        </w:tc>
        <w:tc>
          <w:tcPr>
            <w:tcW w:w="2318" w:type="dxa"/>
            <w:shd w:val="clear" w:color="auto" w:fill="auto"/>
            <w:vAlign w:val="center"/>
          </w:tcPr>
          <w:p>
            <w:pPr>
              <w:tabs>
                <w:tab w:val="left" w:pos="0"/>
                <w:tab w:val="left" w:pos="800"/>
                <w:tab w:val="left" w:pos="1100"/>
              </w:tabs>
              <w:rPr>
                <w:rFonts w:ascii="宋体" w:hAnsi="宋体" w:cs="Arial"/>
                <w:b/>
                <w:kern w:val="0"/>
                <w:sz w:val="24"/>
                <w:szCs w:val="20"/>
              </w:rPr>
            </w:pPr>
            <w:r>
              <w:rPr>
                <w:rFonts w:hint="eastAsia" w:ascii="宋体" w:hAnsi="宋体" w:cs="Arial"/>
                <w:kern w:val="0"/>
                <w:sz w:val="24"/>
                <w:szCs w:val="20"/>
              </w:rPr>
              <w:t>须在技术标中提供复印件（加盖供应商公章）。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17" w:type="dxa"/>
            <w:shd w:val="clear" w:color="auto" w:fill="auto"/>
            <w:vAlign w:val="center"/>
          </w:tcPr>
          <w:p>
            <w:pPr>
              <w:tabs>
                <w:tab w:val="left" w:pos="0"/>
                <w:tab w:val="left" w:pos="800"/>
                <w:tab w:val="left" w:pos="1100"/>
              </w:tabs>
              <w:jc w:val="center"/>
              <w:rPr>
                <w:rFonts w:ascii="宋体" w:hAnsi="宋体" w:cs="Arial"/>
                <w:kern w:val="0"/>
                <w:sz w:val="24"/>
                <w:szCs w:val="20"/>
              </w:rPr>
            </w:pPr>
            <w:r>
              <w:rPr>
                <w:rFonts w:hint="eastAsia" w:ascii="宋体" w:hAnsi="宋体" w:cs="Arial"/>
                <w:kern w:val="0"/>
                <w:sz w:val="24"/>
                <w:szCs w:val="20"/>
              </w:rPr>
              <w:t>4</w:t>
            </w:r>
          </w:p>
        </w:tc>
        <w:tc>
          <w:tcPr>
            <w:tcW w:w="5387" w:type="dxa"/>
            <w:shd w:val="clear" w:color="auto" w:fill="auto"/>
            <w:vAlign w:val="center"/>
          </w:tcPr>
          <w:p>
            <w:pPr>
              <w:widowControl/>
              <w:spacing w:line="360" w:lineRule="auto"/>
              <w:jc w:val="left"/>
              <w:rPr>
                <w:rFonts w:ascii="宋体" w:hAnsi="宋体" w:eastAsia="......." w:cs="Arial"/>
                <w:color w:val="000000"/>
                <w:sz w:val="24"/>
                <w:szCs w:val="24"/>
              </w:rPr>
            </w:pPr>
            <w:r>
              <w:rPr>
                <w:rFonts w:hint="eastAsia" w:ascii="宋体" w:hAnsi="宋体" w:eastAsia="宋体" w:cs="宋体"/>
                <w:color w:val="383838"/>
                <w:kern w:val="0"/>
                <w:sz w:val="24"/>
                <w:szCs w:val="24"/>
                <w:lang w:bidi="ar"/>
              </w:rPr>
              <w:t xml:space="preserve">参加政府采购活动前三年内，在经营活动中没有重大违法记录。须提供书面声明函； </w:t>
            </w:r>
          </w:p>
        </w:tc>
        <w:tc>
          <w:tcPr>
            <w:tcW w:w="2318" w:type="dxa"/>
            <w:shd w:val="clear" w:color="auto" w:fill="auto"/>
            <w:vAlign w:val="center"/>
          </w:tcPr>
          <w:p>
            <w:pPr>
              <w:tabs>
                <w:tab w:val="left" w:pos="0"/>
                <w:tab w:val="left" w:pos="800"/>
                <w:tab w:val="left" w:pos="1100"/>
              </w:tabs>
              <w:rPr>
                <w:rFonts w:ascii="宋体" w:hAnsi="宋体" w:cs="Arial"/>
                <w:kern w:val="0"/>
                <w:sz w:val="24"/>
                <w:szCs w:val="20"/>
              </w:rPr>
            </w:pPr>
            <w:r>
              <w:rPr>
                <w:rFonts w:hint="eastAsia" w:ascii="宋体" w:hAnsi="宋体" w:cs="Arial"/>
                <w:kern w:val="0"/>
                <w:sz w:val="24"/>
                <w:szCs w:val="20"/>
              </w:rPr>
              <w:t>须在技术标中提供原件。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17" w:type="dxa"/>
            <w:shd w:val="clear" w:color="auto" w:fill="auto"/>
            <w:vAlign w:val="center"/>
          </w:tcPr>
          <w:p>
            <w:pPr>
              <w:tabs>
                <w:tab w:val="left" w:pos="0"/>
                <w:tab w:val="left" w:pos="800"/>
                <w:tab w:val="left" w:pos="1100"/>
              </w:tabs>
              <w:jc w:val="center"/>
              <w:rPr>
                <w:rFonts w:ascii="宋体" w:hAnsi="宋体" w:cs="Arial"/>
                <w:kern w:val="0"/>
                <w:sz w:val="24"/>
                <w:szCs w:val="20"/>
              </w:rPr>
            </w:pPr>
            <w:r>
              <w:rPr>
                <w:rFonts w:hint="eastAsia" w:ascii="宋体" w:hAnsi="宋体" w:cs="Arial"/>
                <w:kern w:val="0"/>
                <w:sz w:val="24"/>
                <w:szCs w:val="20"/>
              </w:rPr>
              <w:t>5</w:t>
            </w:r>
          </w:p>
        </w:tc>
        <w:tc>
          <w:tcPr>
            <w:tcW w:w="5387" w:type="dxa"/>
            <w:shd w:val="clear" w:color="auto" w:fill="auto"/>
            <w:vAlign w:val="center"/>
          </w:tcPr>
          <w:p>
            <w:pPr>
              <w:pStyle w:val="47"/>
              <w:jc w:val="both"/>
              <w:rPr>
                <w:rFonts w:ascii="宋体" w:hAnsi="宋体" w:eastAsia="宋体" w:cs="Times New Roman"/>
                <w:color w:val="auto"/>
              </w:rPr>
            </w:pPr>
            <w:r>
              <w:rPr>
                <w:rFonts w:hint="eastAsia" w:ascii="宋体" w:hAnsi="宋体" w:eastAsia="宋体"/>
              </w:rPr>
              <w:t>法定代表人资格证明书</w:t>
            </w:r>
            <w:r>
              <w:rPr>
                <w:rFonts w:hint="eastAsia" w:ascii="宋体" w:hAnsi="宋体" w:eastAsia="宋体" w:cs="宋体"/>
                <w:kern w:val="2"/>
              </w:rPr>
              <w:t>（法定代表人、非法定代表人参加投标时均须提供）</w:t>
            </w:r>
            <w:r>
              <w:rPr>
                <w:rFonts w:hint="eastAsia" w:ascii="宋体" w:hAnsi="宋体" w:eastAsia="宋体"/>
              </w:rPr>
              <w:t>；法人授权委托书（法定代表人参加投标时无须提供）；</w:t>
            </w:r>
          </w:p>
        </w:tc>
        <w:tc>
          <w:tcPr>
            <w:tcW w:w="2318" w:type="dxa"/>
            <w:shd w:val="clear" w:color="auto" w:fill="auto"/>
            <w:vAlign w:val="center"/>
          </w:tcPr>
          <w:p>
            <w:pPr>
              <w:tabs>
                <w:tab w:val="left" w:pos="0"/>
                <w:tab w:val="left" w:pos="800"/>
                <w:tab w:val="left" w:pos="1100"/>
              </w:tabs>
              <w:rPr>
                <w:rFonts w:ascii="宋体" w:hAnsi="宋体" w:cs="Arial"/>
                <w:b/>
                <w:kern w:val="0"/>
                <w:sz w:val="24"/>
                <w:szCs w:val="20"/>
              </w:rPr>
            </w:pPr>
            <w:r>
              <w:rPr>
                <w:rFonts w:hint="eastAsia" w:ascii="宋体" w:hAnsi="宋体" w:cs="Arial"/>
                <w:kern w:val="0"/>
                <w:sz w:val="24"/>
                <w:szCs w:val="20"/>
              </w:rPr>
              <w:t>须在技术标中提供原件。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17" w:type="dxa"/>
            <w:shd w:val="clear" w:color="auto" w:fill="auto"/>
            <w:vAlign w:val="center"/>
          </w:tcPr>
          <w:p>
            <w:pPr>
              <w:tabs>
                <w:tab w:val="left" w:pos="0"/>
                <w:tab w:val="left" w:pos="800"/>
                <w:tab w:val="left" w:pos="1100"/>
              </w:tabs>
              <w:jc w:val="center"/>
              <w:rPr>
                <w:rFonts w:ascii="宋体" w:hAnsi="宋体" w:cs="Arial"/>
                <w:kern w:val="0"/>
                <w:sz w:val="24"/>
                <w:szCs w:val="20"/>
              </w:rPr>
            </w:pPr>
            <w:r>
              <w:rPr>
                <w:rFonts w:hint="eastAsia" w:ascii="宋体" w:hAnsi="宋体" w:cs="Arial"/>
                <w:kern w:val="0"/>
                <w:sz w:val="24"/>
                <w:szCs w:val="20"/>
              </w:rPr>
              <w:t>6</w:t>
            </w:r>
          </w:p>
        </w:tc>
        <w:tc>
          <w:tcPr>
            <w:tcW w:w="5387" w:type="dxa"/>
            <w:shd w:val="clear" w:color="auto" w:fill="auto"/>
            <w:vAlign w:val="center"/>
          </w:tcPr>
          <w:p>
            <w:pPr>
              <w:pStyle w:val="47"/>
              <w:jc w:val="both"/>
              <w:rPr>
                <w:rFonts w:ascii="宋体" w:hAnsi="宋体" w:eastAsia="宋体"/>
              </w:rPr>
            </w:pPr>
            <w:r>
              <w:rPr>
                <w:rFonts w:hint="eastAsia" w:ascii="宋体" w:hAnsi="宋体" w:eastAsia="宋体"/>
              </w:rPr>
              <w:t>法定代表人身份证（法定代表人参加投标时）；代理人身份证（非法定代表人参加投标时）；</w:t>
            </w:r>
          </w:p>
        </w:tc>
        <w:tc>
          <w:tcPr>
            <w:tcW w:w="2318" w:type="dxa"/>
            <w:shd w:val="clear" w:color="auto" w:fill="auto"/>
            <w:vAlign w:val="center"/>
          </w:tcPr>
          <w:p>
            <w:pPr>
              <w:tabs>
                <w:tab w:val="left" w:pos="0"/>
                <w:tab w:val="left" w:pos="800"/>
                <w:tab w:val="left" w:pos="1100"/>
              </w:tabs>
              <w:rPr>
                <w:rFonts w:ascii="宋体" w:hAnsi="宋体" w:eastAsia="......." w:cs="Arial"/>
                <w:b/>
              </w:rPr>
            </w:pPr>
            <w:r>
              <w:rPr>
                <w:rFonts w:hint="eastAsia" w:ascii="宋体" w:hAnsi="宋体" w:cs="Arial"/>
                <w:kern w:val="0"/>
                <w:sz w:val="24"/>
                <w:szCs w:val="20"/>
              </w:rPr>
              <w:t>须提供证件原件，并将复印件（加盖供应商公章）附于技术标中。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pStyle w:val="47"/>
              <w:jc w:val="center"/>
              <w:rPr>
                <w:rFonts w:ascii="宋体" w:hAnsi="宋体" w:eastAsia="宋体"/>
              </w:rPr>
            </w:pPr>
            <w:r>
              <w:rPr>
                <w:rFonts w:hint="eastAsia" w:ascii="宋体" w:hAnsi="宋体" w:eastAsia="宋体"/>
              </w:rPr>
              <w:t>7</w:t>
            </w:r>
          </w:p>
        </w:tc>
        <w:tc>
          <w:tcPr>
            <w:tcW w:w="5387" w:type="dxa"/>
            <w:shd w:val="clear" w:color="auto" w:fill="auto"/>
            <w:vAlign w:val="center"/>
          </w:tcPr>
          <w:p>
            <w:pPr>
              <w:tabs>
                <w:tab w:val="left" w:pos="0"/>
                <w:tab w:val="left" w:pos="800"/>
                <w:tab w:val="left" w:pos="1100"/>
              </w:tabs>
              <w:rPr>
                <w:rFonts w:ascii="宋体" w:hAnsi="宋体" w:cs="Arial"/>
                <w:kern w:val="0"/>
                <w:sz w:val="24"/>
                <w:szCs w:val="20"/>
              </w:rPr>
            </w:pPr>
            <w:r>
              <w:rPr>
                <w:rFonts w:hint="eastAsia" w:ascii="宋体" w:hAnsi="宋体" w:cs="Arial"/>
                <w:kern w:val="0"/>
                <w:sz w:val="24"/>
                <w:szCs w:val="20"/>
              </w:rPr>
              <w:t>投标保证金提交情况。</w:t>
            </w:r>
          </w:p>
        </w:tc>
        <w:tc>
          <w:tcPr>
            <w:tcW w:w="2318" w:type="dxa"/>
            <w:shd w:val="clear" w:color="auto" w:fill="auto"/>
            <w:vAlign w:val="center"/>
          </w:tcPr>
          <w:p>
            <w:pPr>
              <w:tabs>
                <w:tab w:val="left" w:pos="0"/>
                <w:tab w:val="left" w:pos="800"/>
                <w:tab w:val="left" w:pos="1100"/>
              </w:tabs>
              <w:rPr>
                <w:rFonts w:ascii="宋体" w:hAnsi="宋体" w:cs="Arial"/>
                <w:b/>
                <w:kern w:val="0"/>
                <w:sz w:val="24"/>
                <w:szCs w:val="20"/>
              </w:rPr>
            </w:pPr>
            <w:r>
              <w:rPr>
                <w:rFonts w:hint="eastAsia" w:ascii="宋体" w:hAnsi="宋体" w:cs="宋体"/>
                <w:sz w:val="24"/>
                <w:szCs w:val="24"/>
              </w:rPr>
              <w:t>按招标文件要求缴纳到账</w:t>
            </w:r>
          </w:p>
        </w:tc>
      </w:tr>
    </w:tbl>
    <w:p>
      <w:pPr>
        <w:pStyle w:val="47"/>
        <w:spacing w:line="360" w:lineRule="auto"/>
        <w:jc w:val="both"/>
        <w:rPr>
          <w:rFonts w:ascii="宋体" w:hAnsi="宋体" w:cs="Arial"/>
          <w:bCs/>
        </w:rPr>
      </w:pPr>
    </w:p>
    <w:p>
      <w:pPr>
        <w:pStyle w:val="47"/>
        <w:spacing w:line="360" w:lineRule="auto"/>
        <w:jc w:val="both"/>
        <w:rPr>
          <w:rFonts w:ascii="宋体" w:hAnsi="宋体" w:eastAsia="宋体" w:cs="Arial"/>
          <w:color w:val="auto"/>
        </w:rPr>
      </w:pPr>
      <w:r>
        <w:rPr>
          <w:rFonts w:hint="eastAsia" w:ascii="宋体" w:hAnsi="宋体" w:eastAsia="宋体" w:cs="Arial"/>
          <w:color w:val="auto"/>
        </w:rPr>
        <w:t>（三）评标</w:t>
      </w:r>
    </w:p>
    <w:p>
      <w:pPr>
        <w:pStyle w:val="47"/>
        <w:spacing w:line="360" w:lineRule="auto"/>
        <w:jc w:val="both"/>
        <w:rPr>
          <w:rFonts w:ascii="宋体" w:hAnsi="宋体" w:eastAsia="宋体" w:cs="Arial"/>
          <w:color w:val="auto"/>
        </w:rPr>
      </w:pPr>
      <w:r>
        <w:rPr>
          <w:rFonts w:hint="eastAsia" w:ascii="宋体" w:hAnsi="宋体" w:eastAsia="宋体" w:cs="Arial"/>
          <w:color w:val="auto"/>
        </w:rPr>
        <w:t>1、评标委员会按照招标文件中规定的评标方法和标准，对符合性审查合格的投标文件进行商务和技术评估，综合比较与评价。</w:t>
      </w:r>
    </w:p>
    <w:p>
      <w:pPr>
        <w:pStyle w:val="47"/>
        <w:spacing w:line="360" w:lineRule="auto"/>
        <w:jc w:val="both"/>
        <w:rPr>
          <w:rFonts w:ascii="Times New Roman" w:hAnsi="Times New Roman" w:eastAsia="宋体" w:cs="Times New Roman"/>
          <w:color w:val="auto"/>
          <w:kern w:val="2"/>
        </w:rPr>
      </w:pPr>
      <w:r>
        <w:rPr>
          <w:rFonts w:hint="eastAsia" w:ascii="宋体" w:hAnsi="宋体" w:eastAsia="宋体" w:cs="Arial"/>
          <w:color w:val="auto"/>
        </w:rPr>
        <w:t>2、具体评审步骤详见本文件第三部分第29条。</w:t>
      </w:r>
    </w:p>
    <w:p>
      <w:pPr>
        <w:pStyle w:val="47"/>
        <w:spacing w:line="360" w:lineRule="auto"/>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六、评审方法及标准</w:t>
      </w:r>
    </w:p>
    <w:p>
      <w:pPr>
        <w:pStyle w:val="47"/>
        <w:spacing w:line="360" w:lineRule="auto"/>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（一）本项目</w:t>
      </w:r>
      <w:r>
        <w:rPr>
          <w:rFonts w:ascii="Times New Roman" w:hAnsi="Times New Roman" w:eastAsia="宋体" w:cs="Times New Roman"/>
          <w:color w:val="auto"/>
          <w:kern w:val="2"/>
        </w:rPr>
        <w:t>采用</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综合评分法</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的评审方法</w:t>
      </w:r>
      <w:r>
        <w:rPr>
          <w:rFonts w:hint="eastAsia" w:ascii="Times New Roman" w:hAnsi="Times New Roman" w:eastAsia="宋体" w:cs="Times New Roman"/>
          <w:color w:val="auto"/>
          <w:kern w:val="2"/>
        </w:rPr>
        <w:t>，</w:t>
      </w:r>
      <w:r>
        <w:rPr>
          <w:rFonts w:hint="eastAsia" w:ascii="宋体" w:hAnsi="宋体" w:eastAsia="宋体" w:cs="Arial"/>
          <w:color w:val="auto"/>
        </w:rPr>
        <w:t>是指投标文件满足招标文件全部实质性要求且按照评审因素的量化指标评审得分最高的供应商为中标候选人的评标方法。</w:t>
      </w:r>
      <w:r>
        <w:rPr>
          <w:rFonts w:cs="Times New Roman" w:asciiTheme="minorEastAsia" w:hAnsiTheme="minorEastAsia" w:eastAsiaTheme="minorEastAsia"/>
          <w:color w:val="auto"/>
        </w:rPr>
        <w:t>评标采用百分制，各评委独立分别对实质上响应招标文件的投标进行逐项打分，对</w:t>
      </w:r>
      <w:r>
        <w:rPr>
          <w:rFonts w:hint="eastAsia" w:cs="Times New Roman" w:asciiTheme="minorEastAsia" w:hAnsiTheme="minorEastAsia" w:eastAsiaTheme="minorEastAsia"/>
          <w:color w:val="auto"/>
        </w:rPr>
        <w:t>评标委员会</w:t>
      </w:r>
      <w:r>
        <w:rPr>
          <w:rFonts w:cs="Times New Roman" w:asciiTheme="minorEastAsia" w:hAnsiTheme="minorEastAsia" w:eastAsiaTheme="minorEastAsia"/>
          <w:color w:val="auto"/>
        </w:rPr>
        <w:t>各成员每一因素的打分汇总后取</w:t>
      </w:r>
      <w:r>
        <w:rPr>
          <w:rFonts w:hint="eastAsia" w:cs="Times New Roman" w:asciiTheme="minorEastAsia" w:hAnsiTheme="minorEastAsia" w:eastAsiaTheme="minorEastAsia"/>
          <w:color w:val="auto"/>
        </w:rPr>
        <w:t>算术</w:t>
      </w:r>
      <w:r>
        <w:rPr>
          <w:rFonts w:cs="Times New Roman" w:asciiTheme="minorEastAsia" w:hAnsiTheme="minorEastAsia" w:eastAsiaTheme="minorEastAsia"/>
          <w:color w:val="auto"/>
        </w:rPr>
        <w:t>平均分，该平均分为供应商的得分。</w:t>
      </w:r>
      <w:r>
        <w:rPr>
          <w:rFonts w:hint="eastAsia" w:cs="Times New Roman" w:asciiTheme="minorEastAsia" w:hAnsiTheme="minorEastAsia" w:eastAsiaTheme="minorEastAsia"/>
          <w:color w:val="auto"/>
        </w:rPr>
        <w:t>（评分表详见下附表格）</w:t>
      </w:r>
    </w:p>
    <w:p>
      <w:pPr>
        <w:pStyle w:val="47"/>
        <w:spacing w:line="360" w:lineRule="auto"/>
        <w:rPr>
          <w:rFonts w:ascii="宋体" w:hAnsi="宋体" w:cs="Arial"/>
          <w:color w:val="FF0000"/>
        </w:rPr>
      </w:pPr>
      <w:r>
        <w:rPr>
          <w:rFonts w:hint="eastAsia" w:ascii="宋体" w:hAnsi="宋体" w:cs="Arial"/>
          <w:color w:val="auto"/>
        </w:rPr>
        <w:t>（二）</w:t>
      </w:r>
      <w:r>
        <w:rPr>
          <w:rFonts w:ascii="宋体" w:hAnsi="宋体" w:cs="宋体"/>
        </w:rPr>
        <w:t>中标候选供应商产生办法：采用综合评分法的</w:t>
      </w:r>
      <w:r>
        <w:rPr>
          <w:rFonts w:hint="eastAsia" w:ascii="宋体" w:hAnsi="宋体" w:cs="宋体"/>
        </w:rPr>
        <w:t>，按评审后得分由高到低顺序排列。得分相同的，按投标报价由低到高顺序排列。得分且投标报价相同的，按技术指标优劣顺序排列。</w:t>
      </w:r>
    </w:p>
    <w:p>
      <w:pPr>
        <w:pStyle w:val="47"/>
        <w:spacing w:line="360" w:lineRule="auto"/>
        <w:jc w:val="both"/>
        <w:rPr>
          <w:rFonts w:ascii="宋体" w:hAnsi="宋体" w:cs="宋体"/>
          <w:color w:val="auto"/>
        </w:rPr>
      </w:pPr>
      <w:r>
        <w:rPr>
          <w:rFonts w:hint="eastAsia" w:ascii="宋体" w:hAnsi="宋体" w:cs="宋体"/>
          <w:color w:val="auto"/>
        </w:rPr>
        <w:t>（三）其他要求：</w:t>
      </w:r>
    </w:p>
    <w:p>
      <w:pPr>
        <w:pStyle w:val="47"/>
        <w:spacing w:line="360" w:lineRule="auto"/>
        <w:jc w:val="both"/>
        <w:rPr>
          <w:rFonts w:ascii="宋体" w:hAnsi="宋体" w:eastAsia="宋体" w:cs="Arial"/>
          <w:color w:val="auto"/>
        </w:rPr>
      </w:pPr>
      <w:r>
        <w:rPr>
          <w:rFonts w:ascii="宋体" w:hAnsi="宋体" w:cs="宋体"/>
          <w:color w:val="auto"/>
        </w:rPr>
        <w:t>1</w:t>
      </w:r>
      <w:r>
        <w:rPr>
          <w:rFonts w:hint="eastAsia" w:ascii="宋体" w:hAnsi="宋体" w:cs="宋体"/>
          <w:color w:val="auto"/>
        </w:rPr>
        <w:t>、不能满足招标文件中任何一条实质性要求</w:t>
      </w:r>
      <w:r>
        <w:rPr>
          <w:rFonts w:hint="eastAsia" w:ascii="宋体" w:hAnsi="宋体" w:eastAsia="宋体" w:cs="Times New Roman"/>
          <w:color w:val="auto"/>
        </w:rPr>
        <w:t>（或</w:t>
      </w:r>
      <w:r>
        <w:rPr>
          <w:rFonts w:hint="eastAsia" w:asciiTheme="minorEastAsia" w:hAnsiTheme="minorEastAsia"/>
        </w:rPr>
        <w:t>★</w:t>
      </w:r>
      <w:r>
        <w:rPr>
          <w:rFonts w:hint="eastAsia" w:ascii="宋体" w:hAnsi="宋体" w:eastAsia="宋体" w:cs="Times New Roman"/>
          <w:color w:val="auto"/>
        </w:rPr>
        <w:t>号条款）</w:t>
      </w:r>
      <w:r>
        <w:rPr>
          <w:rFonts w:cs="Times New Roman" w:asciiTheme="minorEastAsia" w:hAnsiTheme="minorEastAsia" w:eastAsiaTheme="minorEastAsia"/>
          <w:color w:val="auto"/>
        </w:rPr>
        <w:t>或经评标委员会认定有重大偏离的投标文件，</w:t>
      </w:r>
      <w:r>
        <w:rPr>
          <w:rFonts w:hint="eastAsia" w:ascii="宋体" w:hAnsi="宋体" w:cs="宋体"/>
          <w:color w:val="auto"/>
        </w:rPr>
        <w:t>视为无效投标。</w:t>
      </w:r>
    </w:p>
    <w:p>
      <w:pPr>
        <w:pStyle w:val="27"/>
        <w:widowControl/>
        <w:ind w:firstLine="0" w:firstLineChars="0"/>
        <w:rPr>
          <w:rFonts w:ascii="宋体" w:hAnsi="宋体" w:cs="宋体"/>
          <w:szCs w:val="24"/>
        </w:rPr>
      </w:pPr>
      <w:r>
        <w:rPr>
          <w:rFonts w:ascii="宋体" w:hAnsi="宋体" w:cs="宋体"/>
          <w:szCs w:val="24"/>
        </w:rPr>
        <w:t>2</w:t>
      </w:r>
      <w:r>
        <w:rPr>
          <w:rFonts w:hint="eastAsia" w:ascii="宋体" w:hAnsi="宋体" w:cs="宋体"/>
          <w:szCs w:val="24"/>
        </w:rPr>
        <w:t>、单位负责人为同一人或者存在直接控股、管理关系的不同供应商，不得参加同一合同项下的政府采购活动。</w:t>
      </w:r>
    </w:p>
    <w:p>
      <w:pPr>
        <w:pStyle w:val="27"/>
        <w:widowControl/>
        <w:ind w:firstLine="0" w:firstLineChars="0"/>
        <w:rPr>
          <w:rFonts w:ascii="宋体" w:hAnsi="宋体" w:cs="宋体"/>
          <w:szCs w:val="24"/>
        </w:rPr>
      </w:pPr>
      <w:r>
        <w:rPr>
          <w:rFonts w:ascii="宋体" w:hAnsi="宋体" w:cs="宋体"/>
          <w:szCs w:val="24"/>
        </w:rPr>
        <w:t>3</w:t>
      </w:r>
      <w:r>
        <w:rPr>
          <w:rFonts w:hint="eastAsia" w:ascii="宋体" w:hAnsi="宋体" w:cs="宋体"/>
          <w:szCs w:val="24"/>
        </w:rPr>
        <w:t>、为采购项目提供整体设计、规范编制或者项目管理、监理、检测等服务的供应商，不得再参加该项目的采购活动。</w:t>
      </w:r>
    </w:p>
    <w:p>
      <w:pPr>
        <w:tabs>
          <w:tab w:val="left" w:pos="900"/>
          <w:tab w:val="left" w:pos="1300"/>
        </w:tabs>
        <w:spacing w:line="360" w:lineRule="auto"/>
        <w:jc w:val="left"/>
        <w:rPr>
          <w:rFonts w:ascii="宋体" w:hAnsi="宋体" w:eastAsia="宋体" w:cs="宋体"/>
          <w:sz w:val="24"/>
          <w:szCs w:val="24"/>
        </w:rPr>
      </w:pPr>
      <w:r>
        <w:rPr>
          <w:rFonts w:hint="eastAsia" w:ascii="宋体" w:hAnsi="宋体" w:eastAsia="宋体" w:cs="宋体"/>
          <w:sz w:val="24"/>
          <w:szCs w:val="24"/>
        </w:rPr>
        <w:t>4、根据《财政部关于在政府采购活动中查询及使用信用记录有关问题的通知》（财库[2016]125号）文件的规定，采购人、代理机构在项目评审过程中对供应商信用信息进行查询，对列入失信被执行人、重大税收违法案件当事人名单、政府采购严重违法失信行为记录名单的供应商，拒绝其参与政府采购活动。</w:t>
      </w:r>
    </w:p>
    <w:p>
      <w:pPr>
        <w:tabs>
          <w:tab w:val="left" w:pos="900"/>
          <w:tab w:val="left" w:pos="1300"/>
        </w:tabs>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（1）信用信息的查询渠道包括“信用中国”网站（www.creditchina.gov.cn）和中国政府采购网（www.ccgp. gov.cn）。</w:t>
      </w:r>
    </w:p>
    <w:p>
      <w:pPr>
        <w:tabs>
          <w:tab w:val="left" w:pos="900"/>
          <w:tab w:val="left" w:pos="1300"/>
        </w:tabs>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（2）查询的截止时点为开标时间或响应文件开启时间。</w:t>
      </w:r>
    </w:p>
    <w:p>
      <w:pPr>
        <w:spacing w:line="375" w:lineRule="atLeast"/>
        <w:jc w:val="left"/>
        <w:rPr>
          <w:rFonts w:ascii="宋体" w:hAnsi="宋体" w:cs="宋体"/>
          <w:kern w:val="0"/>
          <w:sz w:val="24"/>
          <w:szCs w:val="24"/>
        </w:rPr>
      </w:pPr>
      <w:r>
        <w:rPr>
          <w:rFonts w:hint="eastAsia" w:ascii="宋体" w:hAnsi="宋体" w:eastAsia="宋体" w:cs="宋体"/>
          <w:sz w:val="24"/>
          <w:szCs w:val="24"/>
        </w:rPr>
        <w:t>5、本项目为政府购买服务。公益一类事业单位、使用事业编制且由财政拨款保障的群</w:t>
      </w:r>
      <w:r>
        <w:rPr>
          <w:rFonts w:hint="eastAsia" w:ascii="宋体" w:hAnsi="宋体" w:cs="宋体"/>
          <w:kern w:val="0"/>
          <w:sz w:val="24"/>
          <w:szCs w:val="24"/>
        </w:rPr>
        <w:t>团组织，不作为政府购买服务的承接主体。</w:t>
      </w:r>
      <w:r>
        <w:rPr>
          <w:rFonts w:ascii="宋体" w:hAnsi="宋体" w:cs="宋体"/>
          <w:kern w:val="0"/>
          <w:sz w:val="24"/>
          <w:szCs w:val="24"/>
        </w:rPr>
        <w:t>答疑会时间及地点：如有需要另行通知。</w:t>
      </w:r>
    </w:p>
    <w:p>
      <w:pPr>
        <w:pStyle w:val="27"/>
        <w:widowControl/>
        <w:ind w:firstLine="0" w:firstLineChars="0"/>
        <w:rPr>
          <w:rFonts w:ascii="宋体" w:hAnsi="宋体" w:cs="宋体"/>
          <w:b/>
          <w:szCs w:val="24"/>
        </w:rPr>
      </w:pPr>
    </w:p>
    <w:p>
      <w:pPr>
        <w:pStyle w:val="27"/>
        <w:widowControl/>
        <w:ind w:firstLine="0" w:firstLineChars="0"/>
        <w:rPr>
          <w:rFonts w:ascii="宋体" w:hAnsi="宋体" w:cs="宋体"/>
          <w:b/>
          <w:szCs w:val="24"/>
        </w:rPr>
      </w:pPr>
    </w:p>
    <w:p>
      <w:pPr>
        <w:pStyle w:val="27"/>
        <w:widowControl/>
        <w:ind w:firstLine="0" w:firstLineChars="0"/>
        <w:rPr>
          <w:rFonts w:ascii="宋体" w:hAnsi="宋体" w:cs="宋体"/>
          <w:b/>
          <w:szCs w:val="24"/>
        </w:rPr>
      </w:pPr>
    </w:p>
    <w:p>
      <w:pPr>
        <w:pStyle w:val="27"/>
        <w:widowControl/>
        <w:ind w:firstLine="0" w:firstLineChars="0"/>
        <w:rPr>
          <w:rFonts w:ascii="宋体" w:hAnsi="宋体" w:cs="宋体"/>
          <w:b/>
          <w:szCs w:val="24"/>
        </w:rPr>
      </w:pPr>
      <w:r>
        <w:rPr>
          <w:rFonts w:hint="eastAsia" w:ascii="宋体" w:hAnsi="宋体" w:cs="宋体"/>
          <w:b/>
          <w:szCs w:val="24"/>
        </w:rPr>
        <w:t>附表</w:t>
      </w:r>
    </w:p>
    <w:p>
      <w:pPr>
        <w:pStyle w:val="27"/>
        <w:widowControl/>
        <w:ind w:firstLine="482"/>
        <w:jc w:val="center"/>
        <w:rPr>
          <w:rFonts w:ascii="宋体" w:hAnsi="宋体" w:cs="宋体"/>
          <w:b/>
          <w:szCs w:val="24"/>
        </w:rPr>
      </w:pPr>
      <w:r>
        <w:rPr>
          <w:rFonts w:hint="eastAsia" w:ascii="宋体" w:hAnsi="宋体" w:cs="宋体"/>
          <w:b/>
          <w:szCs w:val="24"/>
        </w:rPr>
        <w:t>评分表</w:t>
      </w:r>
    </w:p>
    <w:tbl>
      <w:tblPr>
        <w:tblStyle w:val="32"/>
        <w:tblW w:w="98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134"/>
        <w:gridCol w:w="1276"/>
        <w:gridCol w:w="5954"/>
        <w:gridCol w:w="8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675" w:type="dxa"/>
            <w:tcBorders>
              <w:top w:val="single" w:color="auto" w:sz="6" w:space="0"/>
              <w:left w:val="single" w:color="auto" w:sz="6" w:space="0"/>
              <w:bottom w:val="single" w:color="auto" w:sz="6" w:space="0"/>
              <w:right w:val="single" w:color="auto" w:sz="4" w:space="0"/>
            </w:tcBorders>
            <w:vAlign w:val="center"/>
          </w:tcPr>
          <w:p>
            <w:pPr>
              <w:spacing w:after="200" w:line="440" w:lineRule="exact"/>
              <w:jc w:val="center"/>
              <w:rPr>
                <w:rFonts w:ascii="宋体" w:hAnsi="宋体"/>
                <w:b/>
                <w:snapToGrid w:val="0"/>
                <w:sz w:val="22"/>
                <w:lang w:eastAsia="en-US" w:bidi="en-US"/>
              </w:rPr>
            </w:pPr>
            <w:r>
              <w:rPr>
                <w:rFonts w:hint="eastAsia" w:ascii="宋体" w:hAnsi="宋体"/>
                <w:b/>
                <w:snapToGrid w:val="0"/>
              </w:rPr>
              <w:t>序号</w:t>
            </w:r>
          </w:p>
        </w:tc>
        <w:tc>
          <w:tcPr>
            <w:tcW w:w="2410" w:type="dxa"/>
            <w:gridSpan w:val="2"/>
            <w:tcBorders>
              <w:top w:val="single" w:color="auto" w:sz="6" w:space="0"/>
              <w:left w:val="single" w:color="auto" w:sz="4" w:space="0"/>
              <w:bottom w:val="single" w:color="auto" w:sz="6" w:space="0"/>
              <w:right w:val="single" w:color="auto" w:sz="6" w:space="0"/>
            </w:tcBorders>
            <w:vAlign w:val="center"/>
          </w:tcPr>
          <w:p>
            <w:pPr>
              <w:spacing w:after="200" w:line="440" w:lineRule="exact"/>
              <w:jc w:val="center"/>
              <w:rPr>
                <w:rFonts w:ascii="宋体" w:hAnsi="宋体"/>
                <w:b/>
                <w:snapToGrid w:val="0"/>
                <w:sz w:val="22"/>
                <w:lang w:eastAsia="en-US" w:bidi="en-US"/>
              </w:rPr>
            </w:pPr>
            <w:r>
              <w:rPr>
                <w:rFonts w:hint="eastAsia" w:ascii="宋体" w:hAnsi="宋体"/>
                <w:b/>
                <w:snapToGrid w:val="0"/>
              </w:rPr>
              <w:t>评审项目</w:t>
            </w:r>
          </w:p>
        </w:tc>
        <w:tc>
          <w:tcPr>
            <w:tcW w:w="5954" w:type="dxa"/>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b/>
                <w:snapToGrid w:val="0"/>
                <w:sz w:val="22"/>
                <w:lang w:eastAsia="en-US" w:bidi="en-US"/>
              </w:rPr>
            </w:pPr>
            <w:r>
              <w:rPr>
                <w:rFonts w:hint="eastAsia" w:ascii="宋体" w:hAnsi="宋体"/>
                <w:b/>
                <w:snapToGrid w:val="0"/>
              </w:rPr>
              <w:t>评分标准</w:t>
            </w:r>
          </w:p>
        </w:tc>
        <w:tc>
          <w:tcPr>
            <w:tcW w:w="814" w:type="dxa"/>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b/>
                <w:snapToGrid w:val="0"/>
                <w:sz w:val="22"/>
                <w:lang w:eastAsia="en-US" w:bidi="en-US"/>
              </w:rPr>
            </w:pPr>
            <w:r>
              <w:rPr>
                <w:rFonts w:hint="eastAsia" w:ascii="宋体" w:hAnsi="宋体"/>
                <w:b/>
                <w:snapToGrid w:val="0"/>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snapToGrid w:val="0"/>
                <w:sz w:val="22"/>
                <w:lang w:eastAsia="en-US" w:bidi="en-US"/>
              </w:rPr>
            </w:pPr>
            <w:r>
              <w:rPr>
                <w:rFonts w:hint="eastAsia" w:ascii="宋体" w:hAnsi="宋体"/>
                <w:snapToGrid w:val="0"/>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Times New Roman"/>
                <w:snapToGrid w:val="0"/>
                <w:sz w:val="22"/>
                <w:lang w:eastAsia="en-US" w:bidi="en-US"/>
              </w:rPr>
            </w:pPr>
            <w:r>
              <w:rPr>
                <w:rFonts w:hint="eastAsia" w:ascii="宋体" w:hAnsi="宋体"/>
                <w:snapToGrid w:val="0"/>
              </w:rPr>
              <w:t>投标价格</w:t>
            </w:r>
          </w:p>
          <w:p>
            <w:pPr>
              <w:spacing w:after="200" w:line="440" w:lineRule="exact"/>
              <w:jc w:val="center"/>
              <w:rPr>
                <w:rFonts w:ascii="宋体" w:hAnsi="宋体"/>
                <w:sz w:val="22"/>
                <w:lang w:eastAsia="en-US" w:bidi="en-US"/>
              </w:rPr>
            </w:pPr>
            <w:r>
              <w:rPr>
                <w:rFonts w:hint="eastAsia" w:ascii="宋体" w:hAnsi="宋体"/>
                <w:snapToGrid w:val="0"/>
              </w:rPr>
              <w:t>（20分）</w:t>
            </w:r>
          </w:p>
        </w:tc>
        <w:tc>
          <w:tcPr>
            <w:tcW w:w="5954" w:type="dxa"/>
            <w:tcBorders>
              <w:top w:val="single" w:color="auto" w:sz="6" w:space="0"/>
              <w:left w:val="single" w:color="auto" w:sz="6" w:space="0"/>
              <w:bottom w:val="single" w:color="auto" w:sz="6" w:space="0"/>
              <w:right w:val="single" w:color="auto" w:sz="6" w:space="0"/>
            </w:tcBorders>
            <w:vAlign w:val="center"/>
          </w:tcPr>
          <w:p>
            <w:pPr>
              <w:spacing w:after="200" w:line="440" w:lineRule="exact"/>
              <w:rPr>
                <w:rFonts w:ascii="宋体" w:hAnsi="宋体"/>
                <w:snapToGrid w:val="0"/>
                <w:sz w:val="22"/>
                <w:lang w:bidi="en-US"/>
              </w:rPr>
            </w:pPr>
            <w:r>
              <w:rPr>
                <w:rFonts w:hint="eastAsia" w:ascii="宋体" w:hAnsi="宋体"/>
                <w:snapToGrid w:val="0"/>
                <w:sz w:val="22"/>
                <w:lang w:bidi="en-US"/>
              </w:rPr>
              <w:t>评审价=投标报价*（1-X）</w:t>
            </w:r>
          </w:p>
          <w:p>
            <w:pPr>
              <w:spacing w:after="200" w:line="440" w:lineRule="exact"/>
              <w:rPr>
                <w:rFonts w:ascii="宋体" w:hAnsi="宋体"/>
                <w:snapToGrid w:val="0"/>
                <w:sz w:val="22"/>
                <w:lang w:bidi="en-US"/>
              </w:rPr>
            </w:pPr>
            <w:r>
              <w:rPr>
                <w:rFonts w:hint="eastAsia" w:ascii="宋体" w:hAnsi="宋体"/>
                <w:snapToGrid w:val="0"/>
                <w:sz w:val="22"/>
                <w:lang w:bidi="en-US"/>
              </w:rPr>
              <w:t>小型和微型企业：X=6%；非小型和非微型企业:X=0；</w:t>
            </w:r>
          </w:p>
          <w:p>
            <w:pPr>
              <w:spacing w:after="200" w:line="440" w:lineRule="exact"/>
              <w:rPr>
                <w:rFonts w:ascii="宋体" w:hAnsi="宋体"/>
                <w:snapToGrid w:val="0"/>
                <w:sz w:val="22"/>
                <w:lang w:bidi="en-US"/>
              </w:rPr>
            </w:pPr>
            <w:r>
              <w:rPr>
                <w:rFonts w:hint="eastAsia" w:ascii="宋体" w:hAnsi="宋体"/>
                <w:snapToGrid w:val="0"/>
                <w:sz w:val="22"/>
                <w:lang w:bidi="en-US"/>
              </w:rPr>
              <w:t>报价完整且最低的评审价为20分</w:t>
            </w:r>
          </w:p>
          <w:p>
            <w:pPr>
              <w:spacing w:after="200" w:line="440" w:lineRule="exact"/>
              <w:rPr>
                <w:rFonts w:ascii="宋体" w:hAnsi="宋体"/>
                <w:snapToGrid w:val="0"/>
                <w:sz w:val="22"/>
                <w:lang w:bidi="en-US"/>
              </w:rPr>
            </w:pPr>
            <w:r>
              <w:rPr>
                <w:rFonts w:hint="eastAsia" w:ascii="宋体" w:hAnsi="宋体"/>
                <w:snapToGrid w:val="0"/>
                <w:sz w:val="22"/>
                <w:lang w:bidi="en-US"/>
              </w:rPr>
              <w:t>有效投标报价得分（保留小数点后两位）：A=20*L/B</w:t>
            </w:r>
          </w:p>
          <w:p>
            <w:pPr>
              <w:spacing w:after="200" w:line="440" w:lineRule="exact"/>
              <w:rPr>
                <w:rFonts w:ascii="宋体" w:hAnsi="宋体"/>
                <w:snapToGrid w:val="0"/>
                <w:sz w:val="22"/>
                <w:lang w:bidi="en-US"/>
              </w:rPr>
            </w:pPr>
            <w:r>
              <w:rPr>
                <w:rFonts w:hint="eastAsia" w:ascii="宋体" w:hAnsi="宋体"/>
                <w:snapToGrid w:val="0"/>
                <w:sz w:val="22"/>
                <w:lang w:bidi="en-US"/>
              </w:rPr>
              <w:t>A：得分；B：有效评审价；L：有效最低评审价。</w:t>
            </w:r>
          </w:p>
        </w:tc>
        <w:tc>
          <w:tcPr>
            <w:tcW w:w="814" w:type="dxa"/>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snapToGrid w:val="0"/>
                <w:sz w:val="22"/>
                <w:lang w:bidi="en-US"/>
              </w:rPr>
            </w:pPr>
            <w:r>
              <w:rPr>
                <w:rFonts w:hint="eastAsia" w:ascii="宋体" w:hAnsi="宋体"/>
                <w:snapToGrid w:val="0"/>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75" w:type="dxa"/>
            <w:vMerge w:val="restart"/>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snapToGrid w:val="0"/>
                <w:sz w:val="22"/>
                <w:lang w:eastAsia="en-US" w:bidi="en-US"/>
              </w:rPr>
            </w:pPr>
            <w:r>
              <w:rPr>
                <w:rFonts w:hint="eastAsia" w:ascii="宋体" w:hAnsi="宋体"/>
                <w:snapToGrid w:val="0"/>
              </w:rPr>
              <w:t xml:space="preserve">2   </w:t>
            </w:r>
          </w:p>
        </w:tc>
        <w:tc>
          <w:tcPr>
            <w:tcW w:w="1134" w:type="dxa"/>
            <w:vMerge w:val="restart"/>
            <w:tcBorders>
              <w:top w:val="single" w:color="auto" w:sz="6" w:space="0"/>
              <w:left w:val="single" w:color="auto" w:sz="6" w:space="0"/>
              <w:bottom w:val="single" w:color="auto" w:sz="6" w:space="0"/>
              <w:right w:val="single" w:color="auto" w:sz="6" w:space="0"/>
            </w:tcBorders>
            <w:vAlign w:val="center"/>
          </w:tcPr>
          <w:p>
            <w:pPr>
              <w:spacing w:after="200" w:line="440" w:lineRule="exact"/>
              <w:rPr>
                <w:rFonts w:ascii="宋体" w:hAnsi="宋体"/>
                <w:snapToGrid w:val="0"/>
                <w:sz w:val="22"/>
                <w:lang w:eastAsia="en-US" w:bidi="en-US"/>
              </w:rPr>
            </w:pPr>
            <w:r>
              <w:rPr>
                <w:rFonts w:hint="eastAsia" w:ascii="宋体" w:hAnsi="宋体"/>
                <w:snapToGrid w:val="0"/>
              </w:rPr>
              <w:t>商务部分（13分）</w:t>
            </w:r>
          </w:p>
        </w:tc>
        <w:tc>
          <w:tcPr>
            <w:tcW w:w="127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Times New Roman"/>
                <w:sz w:val="22"/>
                <w:szCs w:val="21"/>
                <w:lang w:eastAsia="en-US" w:bidi="en-US"/>
              </w:rPr>
            </w:pPr>
            <w:r>
              <w:rPr>
                <w:rFonts w:hint="eastAsia" w:ascii="宋体" w:hAnsi="宋体"/>
                <w:szCs w:val="21"/>
              </w:rPr>
              <w:t>业绩水平</w:t>
            </w:r>
          </w:p>
          <w:p>
            <w:pPr>
              <w:spacing w:after="200" w:line="440" w:lineRule="exact"/>
              <w:jc w:val="center"/>
              <w:rPr>
                <w:rFonts w:ascii="宋体" w:hAnsi="宋体"/>
                <w:sz w:val="22"/>
                <w:szCs w:val="21"/>
                <w:lang w:eastAsia="en-US" w:bidi="en-US"/>
              </w:rPr>
            </w:pPr>
            <w:r>
              <w:rPr>
                <w:rFonts w:hint="eastAsia" w:ascii="宋体" w:hAnsi="宋体"/>
                <w:szCs w:val="21"/>
              </w:rPr>
              <w:t>（</w:t>
            </w:r>
            <w:r>
              <w:rPr>
                <w:rFonts w:ascii="宋体" w:hAnsi="宋体"/>
                <w:szCs w:val="21"/>
              </w:rPr>
              <w:t>6</w:t>
            </w:r>
            <w:r>
              <w:rPr>
                <w:rFonts w:hint="eastAsia" w:ascii="宋体" w:hAnsi="宋体"/>
                <w:szCs w:val="21"/>
              </w:rPr>
              <w:t>分）</w:t>
            </w:r>
          </w:p>
        </w:tc>
        <w:tc>
          <w:tcPr>
            <w:tcW w:w="5954" w:type="dxa"/>
            <w:tcBorders>
              <w:top w:val="single" w:color="auto" w:sz="6" w:space="0"/>
              <w:left w:val="single" w:color="auto" w:sz="6" w:space="0"/>
              <w:bottom w:val="single" w:color="auto" w:sz="6" w:space="0"/>
              <w:right w:val="single" w:color="auto" w:sz="6" w:space="0"/>
            </w:tcBorders>
            <w:vAlign w:val="center"/>
          </w:tcPr>
          <w:p>
            <w:pPr>
              <w:spacing w:after="200" w:line="440" w:lineRule="exact"/>
              <w:rPr>
                <w:rFonts w:ascii="宋体" w:hAnsi="宋体" w:cs="宋体"/>
                <w:szCs w:val="24"/>
              </w:rPr>
            </w:pPr>
            <w:r>
              <w:rPr>
                <w:rFonts w:hint="eastAsia" w:ascii="宋体" w:hAnsi="宋体"/>
                <w:szCs w:val="21"/>
              </w:rPr>
              <w:t>根据投标人提供近3</w:t>
            </w:r>
            <w:r>
              <w:rPr>
                <w:rFonts w:ascii="宋体" w:hAnsi="宋体"/>
                <w:szCs w:val="21"/>
              </w:rPr>
              <w:t>年内(自2</w:t>
            </w:r>
            <w:r>
              <w:rPr>
                <w:rFonts w:hint="eastAsia" w:ascii="宋体" w:hAnsi="宋体"/>
                <w:szCs w:val="21"/>
              </w:rPr>
              <w:t>019</w:t>
            </w:r>
            <w:r>
              <w:rPr>
                <w:rFonts w:ascii="宋体" w:hAnsi="宋体"/>
                <w:szCs w:val="21"/>
              </w:rPr>
              <w:t>年</w:t>
            </w:r>
            <w:r>
              <w:rPr>
                <w:rFonts w:hint="eastAsia" w:ascii="宋体" w:hAnsi="宋体"/>
                <w:szCs w:val="21"/>
              </w:rPr>
              <w:t>5</w:t>
            </w:r>
            <w:r>
              <w:rPr>
                <w:rFonts w:ascii="宋体" w:hAnsi="宋体"/>
                <w:szCs w:val="21"/>
              </w:rPr>
              <w:t>月至今)</w:t>
            </w:r>
            <w:r>
              <w:rPr>
                <w:rFonts w:hint="eastAsia" w:ascii="宋体" w:hAnsi="宋体"/>
                <w:szCs w:val="21"/>
              </w:rPr>
              <w:t>承担与</w:t>
            </w:r>
            <w:r>
              <w:rPr>
                <w:rFonts w:ascii="宋体" w:hAnsi="宋体"/>
                <w:szCs w:val="21"/>
              </w:rPr>
              <w:t>AIS</w:t>
            </w:r>
            <w:r>
              <w:rPr>
                <w:rFonts w:hint="eastAsia" w:ascii="宋体" w:hAnsi="宋体"/>
                <w:szCs w:val="21"/>
              </w:rPr>
              <w:t>相关的软硬件开发、系统建设项目或A</w:t>
            </w:r>
            <w:r>
              <w:rPr>
                <w:rFonts w:ascii="宋体" w:hAnsi="宋体"/>
                <w:szCs w:val="21"/>
              </w:rPr>
              <w:t>IS</w:t>
            </w:r>
            <w:r>
              <w:rPr>
                <w:rFonts w:hint="eastAsia" w:ascii="宋体" w:hAnsi="宋体"/>
                <w:szCs w:val="21"/>
              </w:rPr>
              <w:t>相关</w:t>
            </w:r>
            <w:r>
              <w:rPr>
                <w:rFonts w:ascii="宋体" w:hAnsi="宋体"/>
                <w:szCs w:val="21"/>
              </w:rPr>
              <w:t>设备销售合同</w:t>
            </w:r>
            <w:r>
              <w:rPr>
                <w:rFonts w:hint="eastAsia" w:ascii="宋体" w:hAnsi="宋体"/>
                <w:szCs w:val="21"/>
              </w:rPr>
              <w:t>业绩证明，</w:t>
            </w:r>
            <w:r>
              <w:rPr>
                <w:rFonts w:hint="eastAsia" w:ascii="宋体" w:hAnsi="宋体" w:cs="宋体"/>
                <w:szCs w:val="24"/>
              </w:rPr>
              <w:t>每提供一个有效业绩得2分，满分</w:t>
            </w:r>
            <w:r>
              <w:rPr>
                <w:rFonts w:ascii="宋体" w:hAnsi="宋体" w:cs="宋体"/>
                <w:szCs w:val="24"/>
              </w:rPr>
              <w:t>6</w:t>
            </w:r>
            <w:r>
              <w:rPr>
                <w:rFonts w:hint="eastAsia" w:ascii="宋体" w:hAnsi="宋体" w:cs="宋体"/>
                <w:szCs w:val="24"/>
              </w:rPr>
              <w:t>分。</w:t>
            </w:r>
          </w:p>
          <w:p>
            <w:pPr>
              <w:spacing w:after="200" w:line="440" w:lineRule="exact"/>
              <w:rPr>
                <w:rFonts w:ascii="宋体" w:hAnsi="宋体"/>
                <w:sz w:val="22"/>
                <w:szCs w:val="21"/>
                <w:lang w:bidi="en-US"/>
              </w:rPr>
            </w:pPr>
            <w:r>
              <w:rPr>
                <w:rFonts w:hint="eastAsia" w:ascii="宋体" w:hAnsi="宋体" w:cs="宋体"/>
                <w:szCs w:val="24"/>
              </w:rPr>
              <w:t>投标人应提供合同复印件并加盖公章。</w:t>
            </w:r>
          </w:p>
        </w:tc>
        <w:tc>
          <w:tcPr>
            <w:tcW w:w="814" w:type="dxa"/>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sz w:val="22"/>
                <w:szCs w:val="21"/>
                <w:lang w:bidi="en-US"/>
              </w:rPr>
            </w:pPr>
            <w:r>
              <w:rPr>
                <w:rFonts w:ascii="宋体" w:hAnsi="宋体"/>
                <w:szCs w:val="21"/>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0" w:hRule="atLeast"/>
          <w:jc w:val="center"/>
        </w:trPr>
        <w:tc>
          <w:tcPr>
            <w:tcW w:w="675"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276" w:type="dxa"/>
            <w:vMerge w:val="restart"/>
            <w:tcBorders>
              <w:top w:val="single" w:color="auto" w:sz="6" w:space="0"/>
              <w:left w:val="single" w:color="auto" w:sz="6" w:space="0"/>
              <w:right w:val="single" w:color="auto" w:sz="6" w:space="0"/>
            </w:tcBorders>
            <w:vAlign w:val="center"/>
          </w:tcPr>
          <w:p>
            <w:pPr>
              <w:spacing w:line="440" w:lineRule="exact"/>
              <w:rPr>
                <w:rFonts w:ascii="宋体" w:hAnsi="宋体" w:cs="Times New Roman"/>
                <w:sz w:val="22"/>
                <w:szCs w:val="21"/>
                <w:lang w:eastAsia="en-US" w:bidi="en-US"/>
              </w:rPr>
            </w:pPr>
            <w:r>
              <w:rPr>
                <w:rFonts w:hint="eastAsia" w:ascii="宋体" w:hAnsi="宋体"/>
                <w:szCs w:val="21"/>
              </w:rPr>
              <w:t>综合能力</w:t>
            </w:r>
          </w:p>
          <w:p>
            <w:pPr>
              <w:rPr>
                <w:rFonts w:ascii="宋体" w:hAnsi="宋体"/>
                <w:sz w:val="22"/>
                <w:szCs w:val="21"/>
                <w:lang w:eastAsia="en-US" w:bidi="en-US"/>
              </w:rPr>
            </w:pPr>
            <w:r>
              <w:rPr>
                <w:rFonts w:hint="eastAsia" w:ascii="宋体" w:hAnsi="宋体"/>
                <w:szCs w:val="21"/>
              </w:rPr>
              <w:t>（7分）</w:t>
            </w:r>
          </w:p>
        </w:tc>
        <w:tc>
          <w:tcPr>
            <w:tcW w:w="5954" w:type="dxa"/>
            <w:tcBorders>
              <w:top w:val="single" w:color="auto" w:sz="4" w:space="0"/>
              <w:left w:val="single" w:color="auto" w:sz="6" w:space="0"/>
              <w:bottom w:val="single" w:color="auto" w:sz="4" w:space="0"/>
              <w:right w:val="single" w:color="auto" w:sz="6" w:space="0"/>
            </w:tcBorders>
            <w:vAlign w:val="center"/>
          </w:tcPr>
          <w:p>
            <w:pPr>
              <w:spacing w:after="200" w:line="440" w:lineRule="exact"/>
              <w:rPr>
                <w:rFonts w:ascii="宋体" w:hAnsi="宋体"/>
                <w:sz w:val="22"/>
                <w:szCs w:val="21"/>
                <w:lang w:bidi="en-US"/>
              </w:rPr>
            </w:pPr>
            <w:r>
              <w:rPr>
                <w:rFonts w:hint="eastAsia" w:ascii="宋体" w:hAnsi="宋体"/>
                <w:szCs w:val="21"/>
              </w:rPr>
              <w:t>具备质量管理体系认证（</w:t>
            </w:r>
            <w:r>
              <w:rPr>
                <w:rFonts w:ascii="宋体" w:hAnsi="宋体"/>
                <w:szCs w:val="21"/>
              </w:rPr>
              <w:t>ISO9001）证书，</w:t>
            </w:r>
            <w:r>
              <w:rPr>
                <w:rFonts w:hint="eastAsia" w:ascii="宋体" w:hAnsi="宋体"/>
                <w:szCs w:val="21"/>
              </w:rPr>
              <w:t>满足得3分</w:t>
            </w:r>
            <w:r>
              <w:rPr>
                <w:rFonts w:ascii="宋体" w:hAnsi="宋体"/>
                <w:szCs w:val="21"/>
              </w:rPr>
              <w:t>，不满足不得分。（提供复印件加盖公章）</w:t>
            </w:r>
          </w:p>
        </w:tc>
        <w:tc>
          <w:tcPr>
            <w:tcW w:w="814" w:type="dxa"/>
            <w:tcBorders>
              <w:top w:val="single" w:color="auto" w:sz="4" w:space="0"/>
              <w:left w:val="single" w:color="auto" w:sz="6" w:space="0"/>
              <w:bottom w:val="single" w:color="auto" w:sz="4" w:space="0"/>
              <w:right w:val="single" w:color="auto" w:sz="6" w:space="0"/>
            </w:tcBorders>
            <w:vAlign w:val="center"/>
          </w:tcPr>
          <w:p>
            <w:pPr>
              <w:spacing w:after="200" w:line="440" w:lineRule="exact"/>
              <w:jc w:val="center"/>
              <w:rPr>
                <w:rFonts w:ascii="宋体" w:hAnsi="宋体"/>
                <w:sz w:val="22"/>
                <w:szCs w:val="21"/>
                <w:lang w:bidi="en-US"/>
              </w:rPr>
            </w:pPr>
            <w:r>
              <w:rPr>
                <w:rFonts w:hint="eastAsia" w:ascii="宋体" w:hAnsi="宋体"/>
                <w:szCs w:val="21"/>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55" w:hRule="atLeast"/>
          <w:jc w:val="center"/>
        </w:trPr>
        <w:tc>
          <w:tcPr>
            <w:tcW w:w="675"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276"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2"/>
                <w:szCs w:val="21"/>
                <w:lang w:eastAsia="en-US" w:bidi="en-US"/>
              </w:rPr>
            </w:pPr>
          </w:p>
        </w:tc>
        <w:tc>
          <w:tcPr>
            <w:tcW w:w="5954" w:type="dxa"/>
            <w:tcBorders>
              <w:top w:val="single" w:color="auto" w:sz="4" w:space="0"/>
              <w:left w:val="single" w:color="auto" w:sz="6" w:space="0"/>
              <w:bottom w:val="single" w:color="auto" w:sz="6" w:space="0"/>
              <w:right w:val="single" w:color="auto" w:sz="6" w:space="0"/>
            </w:tcBorders>
            <w:vAlign w:val="center"/>
          </w:tcPr>
          <w:p>
            <w:pPr>
              <w:spacing w:after="200" w:line="440" w:lineRule="exact"/>
              <w:rPr>
                <w:rFonts w:ascii="宋体" w:hAnsi="宋体"/>
                <w:sz w:val="22"/>
                <w:szCs w:val="21"/>
                <w:lang w:bidi="en-US"/>
              </w:rPr>
            </w:pPr>
            <w:r>
              <w:rPr>
                <w:rFonts w:hint="eastAsia" w:ascii="宋体" w:hAnsi="宋体"/>
                <w:szCs w:val="21"/>
              </w:rPr>
              <w:t>项目组成员具备有</w:t>
            </w:r>
            <w:bookmarkStart w:id="8" w:name="OLE_LINK33"/>
            <w:bookmarkStart w:id="9" w:name="OLE_LINK34"/>
            <w:r>
              <w:rPr>
                <w:rFonts w:hint="eastAsia" w:ascii="宋体" w:hAnsi="宋体"/>
                <w:szCs w:val="21"/>
              </w:rPr>
              <w:t>电气、通信、电子与或计算机</w:t>
            </w:r>
            <w:bookmarkEnd w:id="8"/>
            <w:bookmarkEnd w:id="9"/>
            <w:r>
              <w:rPr>
                <w:rFonts w:hint="eastAsia" w:ascii="宋体" w:hAnsi="宋体"/>
                <w:szCs w:val="21"/>
              </w:rPr>
              <w:t>专业本科及以上教育背景，并提供每有1个证书得1分，最多得</w:t>
            </w:r>
            <w:r>
              <w:rPr>
                <w:rFonts w:ascii="宋体" w:hAnsi="宋体"/>
                <w:szCs w:val="21"/>
              </w:rPr>
              <w:t>4</w:t>
            </w:r>
            <w:r>
              <w:rPr>
                <w:rFonts w:hint="eastAsia" w:ascii="宋体" w:hAnsi="宋体"/>
                <w:szCs w:val="21"/>
              </w:rPr>
              <w:t>分。以上证书人员需提供（自2</w:t>
            </w:r>
            <w:r>
              <w:rPr>
                <w:rFonts w:ascii="宋体" w:hAnsi="宋体"/>
                <w:szCs w:val="21"/>
              </w:rPr>
              <w:t>021年12月至今</w:t>
            </w:r>
            <w:r>
              <w:rPr>
                <w:rFonts w:hint="eastAsia" w:ascii="宋体" w:hAnsi="宋体"/>
                <w:szCs w:val="21"/>
              </w:rPr>
              <w:t>）6个月社保。</w:t>
            </w:r>
          </w:p>
        </w:tc>
        <w:tc>
          <w:tcPr>
            <w:tcW w:w="814" w:type="dxa"/>
            <w:tcBorders>
              <w:top w:val="single" w:color="auto" w:sz="4" w:space="0"/>
              <w:left w:val="single" w:color="auto" w:sz="6" w:space="0"/>
              <w:bottom w:val="single" w:color="auto" w:sz="6" w:space="0"/>
              <w:right w:val="single" w:color="auto" w:sz="6" w:space="0"/>
            </w:tcBorders>
            <w:vAlign w:val="center"/>
          </w:tcPr>
          <w:p>
            <w:pPr>
              <w:spacing w:after="200" w:line="440" w:lineRule="exact"/>
              <w:jc w:val="center"/>
              <w:rPr>
                <w:rFonts w:ascii="宋体" w:hAnsi="宋体"/>
                <w:sz w:val="22"/>
                <w:szCs w:val="21"/>
                <w:lang w:bidi="en-US"/>
              </w:rPr>
            </w:pPr>
            <w:r>
              <w:rPr>
                <w:rFonts w:ascii="宋体" w:hAnsi="宋体"/>
                <w:szCs w:val="21"/>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3" w:hRule="atLeast"/>
          <w:jc w:val="center"/>
        </w:trPr>
        <w:tc>
          <w:tcPr>
            <w:tcW w:w="675" w:type="dxa"/>
            <w:vMerge w:val="restart"/>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snapToGrid w:val="0"/>
                <w:sz w:val="22"/>
                <w:lang w:eastAsia="en-US" w:bidi="en-US"/>
              </w:rPr>
            </w:pPr>
            <w:r>
              <w:rPr>
                <w:rFonts w:hint="eastAsia" w:ascii="宋体" w:hAnsi="宋体"/>
                <w:snapToGrid w:val="0"/>
              </w:rPr>
              <w:t>3</w:t>
            </w:r>
          </w:p>
        </w:tc>
        <w:tc>
          <w:tcPr>
            <w:tcW w:w="1134" w:type="dxa"/>
            <w:vMerge w:val="restart"/>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Times New Roman"/>
                <w:snapToGrid w:val="0"/>
                <w:sz w:val="22"/>
                <w:lang w:eastAsia="en-US" w:bidi="en-US"/>
              </w:rPr>
            </w:pPr>
            <w:r>
              <w:rPr>
                <w:rFonts w:hint="eastAsia" w:ascii="宋体" w:hAnsi="宋体"/>
                <w:snapToGrid w:val="0"/>
              </w:rPr>
              <w:t>技术部分</w:t>
            </w:r>
          </w:p>
          <w:p>
            <w:pPr>
              <w:spacing w:after="200" w:line="440" w:lineRule="exact"/>
              <w:jc w:val="center"/>
              <w:rPr>
                <w:rFonts w:ascii="宋体" w:hAnsi="宋体"/>
                <w:snapToGrid w:val="0"/>
                <w:sz w:val="22"/>
                <w:lang w:eastAsia="en-US" w:bidi="en-US"/>
              </w:rPr>
            </w:pPr>
            <w:r>
              <w:rPr>
                <w:rFonts w:hint="eastAsia" w:ascii="宋体" w:hAnsi="宋体"/>
                <w:snapToGrid w:val="0"/>
              </w:rPr>
              <w:t>（67分）</w:t>
            </w:r>
          </w:p>
        </w:tc>
        <w:tc>
          <w:tcPr>
            <w:tcW w:w="1276" w:type="dxa"/>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snapToGrid w:val="0"/>
                <w:sz w:val="22"/>
                <w:lang w:eastAsia="en-US" w:bidi="en-US"/>
              </w:rPr>
            </w:pPr>
            <w:r>
              <w:rPr>
                <w:rFonts w:hint="eastAsia" w:ascii="宋体" w:hAnsi="宋体"/>
                <w:snapToGrid w:val="0"/>
              </w:rPr>
              <w:t>需求理解与分析（5分）</w:t>
            </w:r>
          </w:p>
        </w:tc>
        <w:tc>
          <w:tcPr>
            <w:tcW w:w="5954" w:type="dxa"/>
            <w:tcBorders>
              <w:top w:val="single" w:color="auto" w:sz="6" w:space="0"/>
              <w:left w:val="single" w:color="auto" w:sz="6" w:space="0"/>
              <w:bottom w:val="single" w:color="auto" w:sz="6" w:space="0"/>
              <w:right w:val="single" w:color="auto" w:sz="6" w:space="0"/>
            </w:tcBorders>
            <w:vAlign w:val="center"/>
          </w:tcPr>
          <w:p>
            <w:pPr>
              <w:spacing w:after="200" w:line="440" w:lineRule="exact"/>
              <w:rPr>
                <w:rFonts w:hint="eastAsia" w:ascii="宋体" w:hAnsi="宋体" w:eastAsiaTheme="minorEastAsia"/>
                <w:szCs w:val="21"/>
                <w:lang w:eastAsia="zh-CN"/>
              </w:rPr>
            </w:pPr>
            <w:r>
              <w:rPr>
                <w:rFonts w:ascii="宋体" w:hAnsi="宋体"/>
                <w:szCs w:val="21"/>
              </w:rPr>
              <w:t>应包含对项目系统现状</w:t>
            </w:r>
            <w:r>
              <w:rPr>
                <w:rFonts w:hint="eastAsia" w:ascii="宋体" w:hAnsi="宋体"/>
                <w:szCs w:val="21"/>
              </w:rPr>
              <w:t>、实施内容及服务目标等业务需求的理解与分析。</w:t>
            </w:r>
          </w:p>
          <w:p>
            <w:pPr>
              <w:spacing w:after="200" w:line="440" w:lineRule="exact"/>
              <w:rPr>
                <w:rFonts w:hint="eastAsia" w:ascii="宋体" w:hAnsi="宋体" w:eastAsiaTheme="minorEastAsia"/>
                <w:szCs w:val="21"/>
                <w:lang w:eastAsia="zh-CN"/>
              </w:rPr>
            </w:pPr>
            <w:r>
              <w:rPr>
                <w:rFonts w:hint="eastAsia" w:ascii="宋体" w:hAnsi="宋体"/>
                <w:szCs w:val="21"/>
              </w:rPr>
              <w:t>对本项目的系统现状、实施内容及服务目标等业务需求的理解与分析准确清楚，对项目重点和难点具有准确的理解和把握，5分。</w:t>
            </w:r>
          </w:p>
          <w:p>
            <w:pPr>
              <w:spacing w:after="200" w:line="440" w:lineRule="exact"/>
              <w:rPr>
                <w:rFonts w:hint="eastAsia" w:ascii="宋体" w:hAnsi="宋体" w:eastAsiaTheme="minorEastAsia"/>
                <w:szCs w:val="21"/>
                <w:lang w:eastAsia="zh-CN"/>
              </w:rPr>
            </w:pPr>
            <w:r>
              <w:rPr>
                <w:rFonts w:ascii="宋体" w:hAnsi="宋体"/>
                <w:szCs w:val="21"/>
              </w:rPr>
              <w:t>对本项目的</w:t>
            </w:r>
            <w:r>
              <w:rPr>
                <w:rFonts w:hint="eastAsia" w:ascii="宋体" w:hAnsi="宋体"/>
                <w:szCs w:val="21"/>
              </w:rPr>
              <w:t>系统现状、实施内容及服务目标等业务需求的理解与分析较为准确，对项目重点和难点具有较为准确的理解和把握，</w:t>
            </w:r>
            <w:r>
              <w:rPr>
                <w:rFonts w:ascii="宋体" w:hAnsi="宋体"/>
                <w:szCs w:val="21"/>
              </w:rPr>
              <w:t>3</w:t>
            </w:r>
            <w:r>
              <w:rPr>
                <w:rFonts w:hint="eastAsia" w:ascii="宋体" w:hAnsi="宋体"/>
                <w:szCs w:val="21"/>
              </w:rPr>
              <w:t>分。</w:t>
            </w:r>
          </w:p>
          <w:p>
            <w:pPr>
              <w:spacing w:after="200" w:line="440" w:lineRule="exact"/>
              <w:rPr>
                <w:rFonts w:hint="eastAsia" w:ascii="宋体" w:hAnsi="宋体" w:eastAsiaTheme="minorEastAsia"/>
                <w:szCs w:val="21"/>
                <w:lang w:eastAsia="zh-CN"/>
              </w:rPr>
            </w:pPr>
            <w:r>
              <w:rPr>
                <w:rFonts w:ascii="宋体" w:hAnsi="宋体"/>
                <w:szCs w:val="21"/>
              </w:rPr>
              <w:t>对本项目的</w:t>
            </w:r>
            <w:r>
              <w:rPr>
                <w:rFonts w:hint="eastAsia" w:ascii="宋体" w:hAnsi="宋体"/>
                <w:szCs w:val="21"/>
              </w:rPr>
              <w:t>系统现状、实施内容及服务目标等业务需求的理解与分析较为准确，对项目重点和难点具理解和把握模糊，</w:t>
            </w:r>
            <w:r>
              <w:rPr>
                <w:rFonts w:ascii="宋体" w:hAnsi="宋体"/>
                <w:szCs w:val="21"/>
              </w:rPr>
              <w:t>1</w:t>
            </w:r>
            <w:r>
              <w:rPr>
                <w:rFonts w:hint="eastAsia" w:ascii="宋体" w:hAnsi="宋体"/>
                <w:szCs w:val="21"/>
              </w:rPr>
              <w:t>分。</w:t>
            </w:r>
          </w:p>
          <w:p>
            <w:pPr>
              <w:spacing w:after="200" w:line="440" w:lineRule="exact"/>
              <w:rPr>
                <w:rFonts w:ascii="宋体" w:hAnsi="宋体"/>
                <w:szCs w:val="21"/>
              </w:rPr>
            </w:pPr>
            <w:r>
              <w:rPr>
                <w:rFonts w:hint="eastAsia" w:ascii="宋体" w:hAnsi="宋体"/>
                <w:szCs w:val="21"/>
              </w:rPr>
              <w:t>其他，0分。</w:t>
            </w:r>
          </w:p>
        </w:tc>
        <w:tc>
          <w:tcPr>
            <w:tcW w:w="814" w:type="dxa"/>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sz w:val="22"/>
                <w:szCs w:val="21"/>
                <w:lang w:eastAsia="en-US" w:bidi="en-US"/>
              </w:rPr>
            </w:pPr>
            <w:r>
              <w:rPr>
                <w:rFonts w:hint="eastAsia" w:ascii="宋体" w:hAnsi="宋体"/>
                <w:szCs w:val="21"/>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0" w:hRule="atLeast"/>
          <w:jc w:val="center"/>
        </w:trPr>
        <w:tc>
          <w:tcPr>
            <w:tcW w:w="675" w:type="dxa"/>
            <w:vMerge w:val="continue"/>
            <w:tcBorders>
              <w:left w:val="single" w:color="auto" w:sz="6" w:space="0"/>
              <w:right w:val="single" w:color="auto" w:sz="6" w:space="0"/>
            </w:tcBorders>
            <w:vAlign w:val="center"/>
          </w:tcPr>
          <w:p>
            <w:pPr>
              <w:spacing w:after="200" w:line="440" w:lineRule="exact"/>
              <w:jc w:val="center"/>
              <w:rPr>
                <w:rFonts w:ascii="宋体" w:hAnsi="宋体"/>
                <w:snapToGrid w:val="0"/>
              </w:rPr>
            </w:pPr>
          </w:p>
        </w:tc>
        <w:tc>
          <w:tcPr>
            <w:tcW w:w="1134" w:type="dxa"/>
            <w:vMerge w:val="continue"/>
            <w:tcBorders>
              <w:left w:val="single" w:color="auto" w:sz="6" w:space="0"/>
              <w:right w:val="single" w:color="auto" w:sz="6" w:space="0"/>
            </w:tcBorders>
            <w:vAlign w:val="center"/>
          </w:tcPr>
          <w:p>
            <w:pPr>
              <w:spacing w:after="200" w:line="440" w:lineRule="exact"/>
              <w:jc w:val="center"/>
              <w:rPr>
                <w:rFonts w:ascii="宋体" w:hAnsi="宋体"/>
                <w:snapToGrid w:val="0"/>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snapToGrid w:val="0"/>
              </w:rPr>
            </w:pPr>
            <w:r>
              <w:rPr>
                <w:rFonts w:hint="eastAsia" w:ascii="宋体" w:hAnsi="宋体"/>
                <w:snapToGrid w:val="0"/>
              </w:rPr>
              <w:t>方案完整性（</w:t>
            </w:r>
            <w:r>
              <w:rPr>
                <w:rFonts w:ascii="宋体" w:hAnsi="宋体"/>
                <w:snapToGrid w:val="0"/>
              </w:rPr>
              <w:t>5</w:t>
            </w:r>
            <w:r>
              <w:rPr>
                <w:rFonts w:hint="eastAsia" w:ascii="宋体" w:hAnsi="宋体"/>
                <w:snapToGrid w:val="0"/>
              </w:rPr>
              <w:t>分）</w:t>
            </w:r>
          </w:p>
        </w:tc>
        <w:tc>
          <w:tcPr>
            <w:tcW w:w="5954" w:type="dxa"/>
            <w:tcBorders>
              <w:top w:val="single" w:color="auto" w:sz="6" w:space="0"/>
              <w:left w:val="single" w:color="auto" w:sz="6" w:space="0"/>
              <w:bottom w:val="single" w:color="auto" w:sz="6" w:space="0"/>
              <w:right w:val="single" w:color="auto" w:sz="6" w:space="0"/>
            </w:tcBorders>
            <w:vAlign w:val="center"/>
          </w:tcPr>
          <w:p>
            <w:pPr>
              <w:spacing w:after="200" w:line="440" w:lineRule="exact"/>
              <w:rPr>
                <w:rFonts w:ascii="宋体" w:hAnsi="宋体"/>
                <w:szCs w:val="21"/>
              </w:rPr>
            </w:pPr>
            <w:r>
              <w:rPr>
                <w:rFonts w:hint="eastAsia" w:ascii="宋体" w:hAnsi="宋体"/>
                <w:szCs w:val="21"/>
              </w:rPr>
              <w:t>根据投标文件的总体方案的完整性、规范性。包含项目实施计划及策略、质量控制方案、测试验收方案、人员规划、项目实施进度、项目实施保障措施。</w:t>
            </w:r>
          </w:p>
          <w:p>
            <w:pPr>
              <w:spacing w:after="200" w:line="440" w:lineRule="exact"/>
              <w:rPr>
                <w:rFonts w:hint="eastAsia" w:ascii="宋体" w:hAnsi="宋体" w:eastAsiaTheme="minorEastAsia"/>
                <w:szCs w:val="21"/>
                <w:lang w:eastAsia="zh-CN"/>
              </w:rPr>
            </w:pPr>
            <w:r>
              <w:rPr>
                <w:rFonts w:ascii="宋体" w:hAnsi="宋体"/>
                <w:szCs w:val="21"/>
              </w:rPr>
              <w:t>所提供的技术方案完整性强</w:t>
            </w:r>
            <w:r>
              <w:rPr>
                <w:rFonts w:hint="eastAsia" w:ascii="宋体" w:hAnsi="宋体"/>
                <w:szCs w:val="21"/>
              </w:rPr>
              <w:t>、规范性高、包含上述内容且内容充实可行。</w:t>
            </w:r>
            <w:r>
              <w:rPr>
                <w:rFonts w:ascii="宋体" w:hAnsi="宋体"/>
                <w:szCs w:val="21"/>
              </w:rPr>
              <w:t>5</w:t>
            </w:r>
            <w:r>
              <w:rPr>
                <w:rFonts w:hint="eastAsia" w:ascii="宋体" w:hAnsi="宋体"/>
                <w:szCs w:val="21"/>
              </w:rPr>
              <w:t>分</w:t>
            </w:r>
          </w:p>
          <w:p>
            <w:pPr>
              <w:spacing w:after="200" w:line="440" w:lineRule="exact"/>
              <w:rPr>
                <w:rFonts w:hint="eastAsia" w:ascii="宋体" w:hAnsi="宋体" w:eastAsiaTheme="minorEastAsia"/>
                <w:szCs w:val="21"/>
                <w:lang w:eastAsia="zh-CN"/>
              </w:rPr>
            </w:pPr>
            <w:r>
              <w:rPr>
                <w:rFonts w:ascii="宋体" w:hAnsi="宋体"/>
                <w:szCs w:val="21"/>
              </w:rPr>
              <w:t>所提供的技术方案完整性较强</w:t>
            </w:r>
            <w:r>
              <w:rPr>
                <w:rFonts w:hint="eastAsia" w:ascii="宋体" w:hAnsi="宋体"/>
                <w:szCs w:val="21"/>
              </w:rPr>
              <w:t>、规范性较高、上述项目内容有瑕疵或内容合理性、可行性较好。</w:t>
            </w:r>
            <w:r>
              <w:rPr>
                <w:rFonts w:ascii="宋体" w:hAnsi="宋体"/>
                <w:szCs w:val="21"/>
              </w:rPr>
              <w:t>3</w:t>
            </w:r>
            <w:r>
              <w:rPr>
                <w:rFonts w:hint="eastAsia" w:ascii="宋体" w:hAnsi="宋体"/>
                <w:szCs w:val="21"/>
              </w:rPr>
              <w:t>分</w:t>
            </w:r>
          </w:p>
          <w:p>
            <w:pPr>
              <w:spacing w:after="200" w:line="440" w:lineRule="exact"/>
              <w:rPr>
                <w:rFonts w:hint="eastAsia" w:ascii="宋体" w:hAnsi="宋体" w:eastAsiaTheme="minorEastAsia"/>
                <w:szCs w:val="21"/>
                <w:lang w:eastAsia="zh-CN"/>
              </w:rPr>
            </w:pPr>
            <w:r>
              <w:rPr>
                <w:rFonts w:ascii="宋体" w:hAnsi="宋体"/>
                <w:szCs w:val="21"/>
              </w:rPr>
              <w:t>所提供的技术方案完整性</w:t>
            </w:r>
            <w:r>
              <w:rPr>
                <w:rFonts w:hint="eastAsia" w:ascii="宋体" w:hAnsi="宋体"/>
                <w:szCs w:val="21"/>
              </w:rPr>
              <w:t>一般、规范性一般、上述项目内容有多处瑕疵或内容合理性、可行性一般。</w:t>
            </w:r>
            <w:r>
              <w:rPr>
                <w:rFonts w:ascii="宋体" w:hAnsi="宋体"/>
                <w:szCs w:val="21"/>
              </w:rPr>
              <w:t>1</w:t>
            </w:r>
            <w:r>
              <w:rPr>
                <w:rFonts w:hint="eastAsia" w:ascii="宋体" w:hAnsi="宋体"/>
                <w:szCs w:val="21"/>
              </w:rPr>
              <w:t>分</w:t>
            </w:r>
          </w:p>
          <w:p>
            <w:pPr>
              <w:spacing w:after="200" w:line="440" w:lineRule="exact"/>
              <w:rPr>
                <w:rFonts w:ascii="宋体" w:hAnsi="宋体"/>
                <w:szCs w:val="21"/>
              </w:rPr>
            </w:pPr>
            <w:r>
              <w:rPr>
                <w:rFonts w:hint="eastAsia" w:ascii="宋体" w:hAnsi="宋体"/>
                <w:szCs w:val="21"/>
              </w:rPr>
              <w:t>其他，0分</w:t>
            </w:r>
          </w:p>
        </w:tc>
        <w:tc>
          <w:tcPr>
            <w:tcW w:w="814" w:type="dxa"/>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szCs w:val="21"/>
              </w:rPr>
            </w:pPr>
            <w:r>
              <w:rPr>
                <w:rFonts w:hint="eastAsia" w:ascii="宋体" w:hAnsi="宋体"/>
                <w:szCs w:val="21"/>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675"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Times New Roman"/>
                <w:snapToGrid w:val="0"/>
                <w:sz w:val="22"/>
                <w:lang w:eastAsia="en-US" w:bidi="en-US"/>
              </w:rPr>
            </w:pPr>
            <w:r>
              <w:rPr>
                <w:rFonts w:hint="eastAsia" w:ascii="宋体" w:hAnsi="宋体"/>
                <w:snapToGrid w:val="0"/>
              </w:rPr>
              <w:t>设备清单</w:t>
            </w:r>
          </w:p>
          <w:p>
            <w:pPr>
              <w:spacing w:after="200" w:line="440" w:lineRule="exact"/>
              <w:jc w:val="center"/>
              <w:rPr>
                <w:rFonts w:ascii="宋体" w:hAnsi="宋体"/>
                <w:snapToGrid w:val="0"/>
                <w:sz w:val="22"/>
                <w:lang w:eastAsia="en-US" w:bidi="en-US"/>
              </w:rPr>
            </w:pPr>
            <w:r>
              <w:rPr>
                <w:rFonts w:hint="eastAsia" w:ascii="宋体" w:hAnsi="宋体"/>
                <w:snapToGrid w:val="0"/>
              </w:rPr>
              <w:t>（5分）</w:t>
            </w:r>
          </w:p>
        </w:tc>
        <w:tc>
          <w:tcPr>
            <w:tcW w:w="5954" w:type="dxa"/>
            <w:tcBorders>
              <w:top w:val="single" w:color="auto" w:sz="6" w:space="0"/>
              <w:left w:val="single" w:color="auto" w:sz="6" w:space="0"/>
              <w:bottom w:val="single" w:color="auto" w:sz="4" w:space="0"/>
              <w:right w:val="single" w:color="auto" w:sz="6" w:space="0"/>
            </w:tcBorders>
            <w:vAlign w:val="center"/>
          </w:tcPr>
          <w:p>
            <w:pPr>
              <w:spacing w:after="200" w:line="440" w:lineRule="exact"/>
              <w:rPr>
                <w:rFonts w:ascii="宋体" w:hAnsi="宋体"/>
                <w:sz w:val="22"/>
                <w:szCs w:val="21"/>
                <w:lang w:bidi="en-US"/>
              </w:rPr>
            </w:pPr>
            <w:r>
              <w:rPr>
                <w:rFonts w:hint="eastAsia" w:ascii="宋体" w:hAnsi="宋体"/>
                <w:szCs w:val="21"/>
              </w:rPr>
              <w:t>根据投标人提供的硬件技术规格，满足全部技术要求得5分，有一项技术要求</w:t>
            </w:r>
            <w:r>
              <w:rPr>
                <w:rFonts w:hint="eastAsia" w:ascii="宋体" w:hAnsi="宋体"/>
                <w:szCs w:val="21"/>
                <w:lang w:val="en-US" w:eastAsia="zh-CN"/>
              </w:rPr>
              <w:t>不</w:t>
            </w:r>
            <w:bookmarkStart w:id="222" w:name="_GoBack"/>
            <w:bookmarkEnd w:id="222"/>
            <w:r>
              <w:rPr>
                <w:rFonts w:hint="eastAsia" w:ascii="宋体" w:hAnsi="宋体"/>
                <w:szCs w:val="21"/>
              </w:rPr>
              <w:t>满足的扣1分，扣至0分为止。</w:t>
            </w:r>
          </w:p>
        </w:tc>
        <w:tc>
          <w:tcPr>
            <w:tcW w:w="814" w:type="dxa"/>
            <w:tcBorders>
              <w:top w:val="single" w:color="auto" w:sz="6" w:space="0"/>
              <w:left w:val="single" w:color="auto" w:sz="6" w:space="0"/>
              <w:bottom w:val="single" w:color="auto" w:sz="4" w:space="0"/>
              <w:right w:val="single" w:color="auto" w:sz="6" w:space="0"/>
            </w:tcBorders>
            <w:vAlign w:val="center"/>
          </w:tcPr>
          <w:p>
            <w:pPr>
              <w:spacing w:after="200" w:line="440" w:lineRule="exact"/>
              <w:jc w:val="center"/>
              <w:rPr>
                <w:rFonts w:ascii="宋体" w:hAnsi="宋体"/>
                <w:sz w:val="22"/>
                <w:szCs w:val="21"/>
                <w:lang w:bidi="en-US"/>
              </w:rPr>
            </w:pPr>
            <w:r>
              <w:rPr>
                <w:rFonts w:hint="eastAsia" w:ascii="宋体" w:hAnsi="宋体"/>
                <w:szCs w:val="21"/>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75"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276" w:type="dxa"/>
            <w:vMerge w:val="restart"/>
            <w:tcBorders>
              <w:top w:val="single" w:color="auto" w:sz="6" w:space="0"/>
              <w:left w:val="single" w:color="auto" w:sz="6" w:space="0"/>
              <w:right w:val="single" w:color="auto" w:sz="6" w:space="0"/>
            </w:tcBorders>
            <w:vAlign w:val="center"/>
          </w:tcPr>
          <w:p>
            <w:pPr>
              <w:spacing w:line="440" w:lineRule="exact"/>
              <w:jc w:val="center"/>
              <w:rPr>
                <w:rFonts w:ascii="宋体" w:hAnsi="宋体" w:cs="Times New Roman"/>
                <w:snapToGrid w:val="0"/>
                <w:sz w:val="22"/>
                <w:lang w:eastAsia="en-US" w:bidi="en-US"/>
              </w:rPr>
            </w:pPr>
            <w:r>
              <w:rPr>
                <w:rFonts w:hint="eastAsia" w:ascii="宋体" w:hAnsi="宋体"/>
                <w:snapToGrid w:val="0"/>
              </w:rPr>
              <w:t>技术方案</w:t>
            </w:r>
          </w:p>
          <w:p>
            <w:pPr>
              <w:spacing w:after="200" w:line="440" w:lineRule="exact"/>
              <w:jc w:val="center"/>
              <w:rPr>
                <w:rFonts w:ascii="宋体" w:hAnsi="宋体"/>
                <w:snapToGrid w:val="0"/>
                <w:sz w:val="22"/>
                <w:lang w:eastAsia="en-US" w:bidi="en-US"/>
              </w:rPr>
            </w:pPr>
            <w:r>
              <w:rPr>
                <w:rFonts w:hint="eastAsia" w:ascii="宋体" w:hAnsi="宋体"/>
                <w:snapToGrid w:val="0"/>
              </w:rPr>
              <w:t>（38分）</w:t>
            </w:r>
          </w:p>
        </w:tc>
        <w:tc>
          <w:tcPr>
            <w:tcW w:w="5954" w:type="dxa"/>
            <w:tcBorders>
              <w:top w:val="single" w:color="auto" w:sz="6" w:space="0"/>
              <w:left w:val="single" w:color="auto" w:sz="6" w:space="0"/>
              <w:bottom w:val="single" w:color="auto" w:sz="6" w:space="0"/>
              <w:right w:val="single" w:color="auto" w:sz="6" w:space="0"/>
            </w:tcBorders>
            <w:vAlign w:val="center"/>
          </w:tcPr>
          <w:p>
            <w:pPr>
              <w:spacing w:after="200" w:line="276" w:lineRule="auto"/>
              <w:rPr>
                <w:rFonts w:hint="eastAsia" w:eastAsiaTheme="minorEastAsia"/>
                <w:lang w:eastAsia="zh-CN"/>
              </w:rPr>
            </w:pPr>
            <w:r>
              <w:rPr>
                <w:rFonts w:hint="eastAsia"/>
              </w:rPr>
              <w:t xml:space="preserve">项目需求分析，以及对AIS/ASM国产化核心网系统架构设计。 </w:t>
            </w:r>
          </w:p>
          <w:p>
            <w:pPr>
              <w:spacing w:after="200" w:line="276" w:lineRule="auto"/>
            </w:pPr>
            <w:r>
              <w:rPr>
                <w:rFonts w:hint="eastAsia"/>
              </w:rPr>
              <w:t>项目需求分析准确清晰，系统架构设计细节清楚，6分。</w:t>
            </w:r>
          </w:p>
          <w:p>
            <w:pPr>
              <w:spacing w:after="200" w:line="276" w:lineRule="auto"/>
            </w:pPr>
            <w:r>
              <w:rPr>
                <w:rFonts w:hint="eastAsia"/>
              </w:rPr>
              <w:t>项目需求分析较为准确清晰，系统架构设计细节较为清楚，</w:t>
            </w:r>
            <w:r>
              <w:t>3</w:t>
            </w:r>
            <w:r>
              <w:rPr>
                <w:rFonts w:hint="eastAsia"/>
              </w:rPr>
              <w:t>分。</w:t>
            </w:r>
          </w:p>
          <w:p>
            <w:pPr>
              <w:spacing w:after="200" w:line="276" w:lineRule="auto"/>
            </w:pPr>
            <w:r>
              <w:rPr>
                <w:rFonts w:hint="eastAsia"/>
              </w:rPr>
              <w:t>项目需求分析一般，系统架构设计细节不够明确，</w:t>
            </w:r>
            <w:r>
              <w:t>1</w:t>
            </w:r>
            <w:r>
              <w:rPr>
                <w:rFonts w:hint="eastAsia"/>
              </w:rPr>
              <w:t>分。</w:t>
            </w:r>
          </w:p>
          <w:p>
            <w:pPr>
              <w:spacing w:after="200" w:line="276" w:lineRule="auto"/>
            </w:pPr>
            <w:r>
              <w:t>其他</w:t>
            </w:r>
            <w:r>
              <w:rPr>
                <w:rFonts w:hint="eastAsia"/>
              </w:rPr>
              <w:t>，0分</w:t>
            </w:r>
          </w:p>
        </w:tc>
        <w:tc>
          <w:tcPr>
            <w:tcW w:w="814" w:type="dxa"/>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sz w:val="22"/>
                <w:szCs w:val="21"/>
                <w:lang w:eastAsia="en-US" w:bidi="en-US"/>
              </w:rPr>
            </w:pPr>
            <w:r>
              <w:rPr>
                <w:rFonts w:hint="eastAsia" w:ascii="宋体" w:hAnsi="宋体"/>
                <w:szCs w:val="21"/>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75"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276" w:type="dxa"/>
            <w:vMerge w:val="continue"/>
            <w:tcBorders>
              <w:left w:val="single" w:color="auto" w:sz="6" w:space="0"/>
              <w:right w:val="single" w:color="auto" w:sz="6" w:space="0"/>
            </w:tcBorders>
            <w:vAlign w:val="center"/>
          </w:tcPr>
          <w:p>
            <w:pPr>
              <w:spacing w:after="200" w:line="440" w:lineRule="exact"/>
              <w:jc w:val="center"/>
              <w:rPr>
                <w:rFonts w:ascii="宋体" w:hAnsi="宋体"/>
                <w:snapToGrid w:val="0"/>
              </w:rPr>
            </w:pPr>
          </w:p>
        </w:tc>
        <w:tc>
          <w:tcPr>
            <w:tcW w:w="5954" w:type="dxa"/>
            <w:tcBorders>
              <w:top w:val="single" w:color="auto" w:sz="6" w:space="0"/>
              <w:left w:val="single" w:color="auto" w:sz="6" w:space="0"/>
              <w:bottom w:val="single" w:color="auto" w:sz="6" w:space="0"/>
              <w:right w:val="single" w:color="auto" w:sz="6" w:space="0"/>
            </w:tcBorders>
            <w:vAlign w:val="center"/>
          </w:tcPr>
          <w:p>
            <w:pPr>
              <w:spacing w:after="200" w:line="440" w:lineRule="exact"/>
            </w:pPr>
            <w:r>
              <w:rPr>
                <w:rFonts w:hint="eastAsia"/>
              </w:rPr>
              <w:t>AIS/ASM国产化核心网接口服务子系统方案的可行性、合理性、详细程度，系统功能实现的逻辑性。</w:t>
            </w:r>
          </w:p>
          <w:p>
            <w:pPr>
              <w:spacing w:after="200" w:line="440" w:lineRule="exact"/>
              <w:rPr>
                <w:rFonts w:hint="eastAsia" w:eastAsiaTheme="minorEastAsia"/>
                <w:lang w:eastAsia="zh-CN"/>
              </w:rPr>
            </w:pPr>
            <w:r>
              <w:t>方案详细</w:t>
            </w:r>
            <w:r>
              <w:rPr>
                <w:rFonts w:hint="eastAsia"/>
              </w:rPr>
              <w:t>，</w:t>
            </w:r>
            <w:r>
              <w:t>可行性高</w:t>
            </w:r>
            <w:r>
              <w:rPr>
                <w:rFonts w:hint="eastAsia"/>
              </w:rPr>
              <w:t>，</w:t>
            </w:r>
            <w:r>
              <w:t>合理性强</w:t>
            </w:r>
            <w:r>
              <w:rPr>
                <w:rFonts w:hint="eastAsia"/>
              </w:rPr>
              <w:t>，能够体现系统功能实现逻辑，</w:t>
            </w:r>
            <w:r>
              <w:t>6</w:t>
            </w:r>
            <w:r>
              <w:rPr>
                <w:rFonts w:hint="eastAsia"/>
              </w:rPr>
              <w:t>分</w:t>
            </w:r>
          </w:p>
          <w:p>
            <w:pPr>
              <w:spacing w:after="200" w:line="440" w:lineRule="exact"/>
              <w:rPr>
                <w:rFonts w:hint="eastAsia" w:eastAsiaTheme="minorEastAsia"/>
                <w:lang w:eastAsia="zh-CN"/>
              </w:rPr>
            </w:pPr>
            <w:r>
              <w:t>方案较详细</w:t>
            </w:r>
            <w:r>
              <w:rPr>
                <w:rFonts w:hint="eastAsia"/>
              </w:rPr>
              <w:t>，</w:t>
            </w:r>
            <w:r>
              <w:t>可行性较高</w:t>
            </w:r>
            <w:r>
              <w:rPr>
                <w:rFonts w:hint="eastAsia"/>
              </w:rPr>
              <w:t>，</w:t>
            </w:r>
            <w:r>
              <w:t>合理性较强</w:t>
            </w:r>
            <w:r>
              <w:rPr>
                <w:rFonts w:hint="eastAsia"/>
              </w:rPr>
              <w:t>，能够较好的体现系统功能实现逻辑</w:t>
            </w:r>
            <w:r>
              <w:t>3</w:t>
            </w:r>
            <w:r>
              <w:rPr>
                <w:rFonts w:hint="eastAsia"/>
              </w:rPr>
              <w:t>分</w:t>
            </w:r>
          </w:p>
          <w:p>
            <w:pPr>
              <w:spacing w:after="200" w:line="440" w:lineRule="exact"/>
              <w:rPr>
                <w:rFonts w:hint="eastAsia" w:eastAsiaTheme="minorEastAsia"/>
                <w:lang w:eastAsia="zh-CN"/>
              </w:rPr>
            </w:pPr>
            <w:r>
              <w:t>方案详细程度</w:t>
            </w:r>
            <w:r>
              <w:rPr>
                <w:rFonts w:hint="eastAsia"/>
              </w:rPr>
              <w:t>、</w:t>
            </w:r>
            <w:r>
              <w:t>可行性及合理性</w:t>
            </w:r>
            <w:r>
              <w:rPr>
                <w:rFonts w:hint="eastAsia"/>
              </w:rPr>
              <w:t>，基本可以体现系统功能实现逻辑</w:t>
            </w:r>
            <w:r>
              <w:t>1</w:t>
            </w:r>
            <w:r>
              <w:rPr>
                <w:rFonts w:hint="eastAsia"/>
              </w:rPr>
              <w:t>分</w:t>
            </w:r>
          </w:p>
          <w:p>
            <w:pPr>
              <w:spacing w:after="200" w:line="440" w:lineRule="exact"/>
            </w:pPr>
            <w:r>
              <w:rPr>
                <w:rFonts w:hint="eastAsia"/>
              </w:rPr>
              <w:t>其他0分</w:t>
            </w:r>
          </w:p>
        </w:tc>
        <w:tc>
          <w:tcPr>
            <w:tcW w:w="814" w:type="dxa"/>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szCs w:val="21"/>
              </w:rPr>
            </w:pPr>
            <w:r>
              <w:rPr>
                <w:rFonts w:ascii="宋体" w:hAnsi="宋体"/>
                <w:szCs w:val="21"/>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75"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276" w:type="dxa"/>
            <w:vMerge w:val="continue"/>
            <w:tcBorders>
              <w:left w:val="single" w:color="auto" w:sz="6" w:space="0"/>
              <w:right w:val="single" w:color="auto" w:sz="6" w:space="0"/>
            </w:tcBorders>
            <w:vAlign w:val="center"/>
          </w:tcPr>
          <w:p>
            <w:pPr>
              <w:spacing w:after="200" w:line="440" w:lineRule="exact"/>
              <w:jc w:val="center"/>
              <w:rPr>
                <w:rFonts w:ascii="宋体" w:hAnsi="宋体"/>
                <w:snapToGrid w:val="0"/>
              </w:rPr>
            </w:pPr>
          </w:p>
        </w:tc>
        <w:tc>
          <w:tcPr>
            <w:tcW w:w="5954" w:type="dxa"/>
            <w:tcBorders>
              <w:top w:val="single" w:color="auto" w:sz="6" w:space="0"/>
              <w:left w:val="single" w:color="auto" w:sz="6" w:space="0"/>
              <w:bottom w:val="single" w:color="auto" w:sz="6" w:space="0"/>
              <w:right w:val="single" w:color="auto" w:sz="6" w:space="0"/>
            </w:tcBorders>
            <w:vAlign w:val="center"/>
          </w:tcPr>
          <w:p>
            <w:pPr>
              <w:spacing w:after="200" w:line="440" w:lineRule="exact"/>
            </w:pPr>
            <w:r>
              <w:rPr>
                <w:rFonts w:hint="eastAsia"/>
              </w:rPr>
              <w:t>AIS/ASM国产化核心网</w:t>
            </w:r>
            <w:r>
              <w:rPr>
                <w:rFonts w:hint="eastAsia" w:ascii="仿宋_GB2312" w:hAnsi="仿宋_GB2312" w:eastAsia="仿宋_GB2312" w:cs="仿宋"/>
                <w:szCs w:val="21"/>
              </w:rPr>
              <w:t>核心网管理</w:t>
            </w:r>
            <w:r>
              <w:rPr>
                <w:rFonts w:hint="eastAsia"/>
              </w:rPr>
              <w:t>子系统方案的可行性、合理性、详细程度，系统功能实现的逻辑性。</w:t>
            </w:r>
          </w:p>
          <w:p>
            <w:pPr>
              <w:spacing w:after="200" w:line="440" w:lineRule="exact"/>
              <w:rPr>
                <w:rFonts w:hint="eastAsia" w:eastAsiaTheme="minorEastAsia"/>
                <w:lang w:eastAsia="zh-CN"/>
              </w:rPr>
            </w:pPr>
            <w:r>
              <w:t>方案详细</w:t>
            </w:r>
            <w:r>
              <w:rPr>
                <w:rFonts w:hint="eastAsia"/>
              </w:rPr>
              <w:t>，</w:t>
            </w:r>
            <w:r>
              <w:t>可行性高</w:t>
            </w:r>
            <w:r>
              <w:rPr>
                <w:rFonts w:hint="eastAsia"/>
              </w:rPr>
              <w:t>，</w:t>
            </w:r>
            <w:r>
              <w:t>合理性强</w:t>
            </w:r>
            <w:r>
              <w:rPr>
                <w:rFonts w:hint="eastAsia"/>
              </w:rPr>
              <w:t>，能够体现系统功能实现逻辑，</w:t>
            </w:r>
            <w:r>
              <w:t>6</w:t>
            </w:r>
            <w:r>
              <w:rPr>
                <w:rFonts w:hint="eastAsia"/>
              </w:rPr>
              <w:t>分</w:t>
            </w:r>
          </w:p>
          <w:p>
            <w:pPr>
              <w:spacing w:after="200" w:line="440" w:lineRule="exact"/>
              <w:rPr>
                <w:rFonts w:hint="eastAsia" w:eastAsiaTheme="minorEastAsia"/>
                <w:lang w:eastAsia="zh-CN"/>
              </w:rPr>
            </w:pPr>
            <w:r>
              <w:t>方案较详细</w:t>
            </w:r>
            <w:r>
              <w:rPr>
                <w:rFonts w:hint="eastAsia"/>
              </w:rPr>
              <w:t>，</w:t>
            </w:r>
            <w:r>
              <w:t>可行性较高</w:t>
            </w:r>
            <w:r>
              <w:rPr>
                <w:rFonts w:hint="eastAsia"/>
              </w:rPr>
              <w:t>，</w:t>
            </w:r>
            <w:r>
              <w:t>合理性较强</w:t>
            </w:r>
            <w:r>
              <w:rPr>
                <w:rFonts w:hint="eastAsia"/>
              </w:rPr>
              <w:t>，能够较好的体现系统功能实现逻辑</w:t>
            </w:r>
            <w:r>
              <w:t>3</w:t>
            </w:r>
            <w:r>
              <w:rPr>
                <w:rFonts w:hint="eastAsia"/>
              </w:rPr>
              <w:t>分</w:t>
            </w:r>
          </w:p>
          <w:p>
            <w:pPr>
              <w:spacing w:after="200" w:line="440" w:lineRule="exact"/>
              <w:rPr>
                <w:rFonts w:hint="eastAsia" w:eastAsiaTheme="minorEastAsia"/>
                <w:lang w:eastAsia="zh-CN"/>
              </w:rPr>
            </w:pPr>
            <w:r>
              <w:t>方案详细程度</w:t>
            </w:r>
            <w:r>
              <w:rPr>
                <w:rFonts w:hint="eastAsia"/>
              </w:rPr>
              <w:t>、</w:t>
            </w:r>
            <w:r>
              <w:t>可行性及合理性</w:t>
            </w:r>
            <w:r>
              <w:rPr>
                <w:rFonts w:hint="eastAsia"/>
              </w:rPr>
              <w:t>，基本可以体现系统功能实现逻辑</w:t>
            </w:r>
            <w:r>
              <w:t>1</w:t>
            </w:r>
            <w:r>
              <w:rPr>
                <w:rFonts w:hint="eastAsia"/>
              </w:rPr>
              <w:t>分</w:t>
            </w:r>
          </w:p>
          <w:p>
            <w:pPr>
              <w:spacing w:after="200" w:line="440" w:lineRule="exact"/>
            </w:pPr>
            <w:r>
              <w:rPr>
                <w:rFonts w:hint="eastAsia"/>
              </w:rPr>
              <w:t>其他0分</w:t>
            </w:r>
          </w:p>
        </w:tc>
        <w:tc>
          <w:tcPr>
            <w:tcW w:w="814" w:type="dxa"/>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szCs w:val="21"/>
              </w:rPr>
            </w:pPr>
            <w:r>
              <w:rPr>
                <w:rFonts w:ascii="宋体" w:hAnsi="宋体"/>
                <w:szCs w:val="21"/>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75"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bidi="en-US"/>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bidi="en-US"/>
              </w:rPr>
            </w:pPr>
          </w:p>
        </w:tc>
        <w:tc>
          <w:tcPr>
            <w:tcW w:w="1276" w:type="dxa"/>
            <w:vMerge w:val="continue"/>
            <w:tcBorders>
              <w:left w:val="single" w:color="auto" w:sz="6" w:space="0"/>
              <w:right w:val="single" w:color="auto" w:sz="6" w:space="0"/>
            </w:tcBorders>
            <w:vAlign w:val="center"/>
          </w:tcPr>
          <w:p>
            <w:pPr>
              <w:spacing w:after="200" w:line="440" w:lineRule="exact"/>
              <w:jc w:val="center"/>
              <w:rPr>
                <w:rFonts w:ascii="宋体" w:hAnsi="宋体"/>
                <w:snapToGrid w:val="0"/>
              </w:rPr>
            </w:pPr>
          </w:p>
        </w:tc>
        <w:tc>
          <w:tcPr>
            <w:tcW w:w="5954" w:type="dxa"/>
            <w:tcBorders>
              <w:top w:val="single" w:color="auto" w:sz="6" w:space="0"/>
              <w:left w:val="single" w:color="auto" w:sz="6" w:space="0"/>
              <w:bottom w:val="single" w:color="auto" w:sz="6" w:space="0"/>
              <w:right w:val="single" w:color="auto" w:sz="6" w:space="0"/>
            </w:tcBorders>
            <w:vAlign w:val="center"/>
          </w:tcPr>
          <w:p>
            <w:pPr>
              <w:spacing w:after="200" w:line="440" w:lineRule="exact"/>
            </w:pPr>
            <w:r>
              <w:rPr>
                <w:rFonts w:hint="eastAsia"/>
              </w:rPr>
              <w:t>AIS/ASM国产化核心网</w:t>
            </w:r>
            <w:r>
              <w:rPr>
                <w:rFonts w:hint="eastAsia" w:ascii="仿宋_GB2312" w:hAnsi="仿宋_GB2312" w:eastAsia="仿宋_GB2312" w:cs="仿宋"/>
                <w:szCs w:val="21"/>
              </w:rPr>
              <w:t>基站驱动服务</w:t>
            </w:r>
            <w:r>
              <w:rPr>
                <w:rFonts w:hint="eastAsia"/>
              </w:rPr>
              <w:t>子系统方案的可行性、合理性、详细程度，系统功能实现的逻辑性。</w:t>
            </w:r>
          </w:p>
          <w:p>
            <w:pPr>
              <w:spacing w:after="200" w:line="440" w:lineRule="exact"/>
              <w:rPr>
                <w:rFonts w:hint="eastAsia" w:eastAsiaTheme="minorEastAsia"/>
                <w:lang w:eastAsia="zh-CN"/>
              </w:rPr>
            </w:pPr>
            <w:r>
              <w:t>方案详细</w:t>
            </w:r>
            <w:r>
              <w:rPr>
                <w:rFonts w:hint="eastAsia"/>
              </w:rPr>
              <w:t>，</w:t>
            </w:r>
            <w:r>
              <w:t>可行性高</w:t>
            </w:r>
            <w:r>
              <w:rPr>
                <w:rFonts w:hint="eastAsia"/>
              </w:rPr>
              <w:t>，</w:t>
            </w:r>
            <w:r>
              <w:t>合理性强</w:t>
            </w:r>
            <w:r>
              <w:rPr>
                <w:rFonts w:hint="eastAsia"/>
              </w:rPr>
              <w:t>，能够体现系统功能实现逻辑，</w:t>
            </w:r>
            <w:r>
              <w:t>6</w:t>
            </w:r>
            <w:r>
              <w:rPr>
                <w:rFonts w:hint="eastAsia"/>
              </w:rPr>
              <w:t>分</w:t>
            </w:r>
          </w:p>
          <w:p>
            <w:pPr>
              <w:spacing w:after="200" w:line="440" w:lineRule="exact"/>
              <w:rPr>
                <w:rFonts w:hint="eastAsia" w:eastAsiaTheme="minorEastAsia"/>
                <w:lang w:eastAsia="zh-CN"/>
              </w:rPr>
            </w:pPr>
            <w:r>
              <w:t>方案较详细</w:t>
            </w:r>
            <w:r>
              <w:rPr>
                <w:rFonts w:hint="eastAsia"/>
              </w:rPr>
              <w:t>，</w:t>
            </w:r>
            <w:r>
              <w:t>可行性较高</w:t>
            </w:r>
            <w:r>
              <w:rPr>
                <w:rFonts w:hint="eastAsia"/>
              </w:rPr>
              <w:t>，</w:t>
            </w:r>
            <w:r>
              <w:t>合理性较强</w:t>
            </w:r>
            <w:r>
              <w:rPr>
                <w:rFonts w:hint="eastAsia"/>
              </w:rPr>
              <w:t>，能够较好的体现系统功能实现逻辑</w:t>
            </w:r>
            <w:r>
              <w:t>3</w:t>
            </w:r>
            <w:r>
              <w:rPr>
                <w:rFonts w:hint="eastAsia"/>
              </w:rPr>
              <w:t>分</w:t>
            </w:r>
          </w:p>
          <w:p>
            <w:pPr>
              <w:spacing w:after="200" w:line="440" w:lineRule="exact"/>
              <w:rPr>
                <w:rFonts w:hint="eastAsia" w:eastAsiaTheme="minorEastAsia"/>
                <w:lang w:eastAsia="zh-CN"/>
              </w:rPr>
            </w:pPr>
            <w:r>
              <w:t>方案详细程度</w:t>
            </w:r>
            <w:r>
              <w:rPr>
                <w:rFonts w:hint="eastAsia"/>
              </w:rPr>
              <w:t>、</w:t>
            </w:r>
            <w:r>
              <w:t>可行性及合理性</w:t>
            </w:r>
            <w:r>
              <w:rPr>
                <w:rFonts w:hint="eastAsia"/>
              </w:rPr>
              <w:t>，基本可以体现系统功能实现逻辑</w:t>
            </w:r>
            <w:r>
              <w:t>1</w:t>
            </w:r>
            <w:r>
              <w:rPr>
                <w:rFonts w:hint="eastAsia"/>
              </w:rPr>
              <w:t>分</w:t>
            </w:r>
          </w:p>
          <w:p>
            <w:pPr>
              <w:spacing w:after="200" w:line="440" w:lineRule="exact"/>
              <w:rPr>
                <w:rFonts w:ascii="宋体" w:hAnsi="宋体"/>
                <w:szCs w:val="21"/>
              </w:rPr>
            </w:pPr>
            <w:r>
              <w:rPr>
                <w:rFonts w:hint="eastAsia"/>
              </w:rPr>
              <w:t>其他0分</w:t>
            </w:r>
          </w:p>
        </w:tc>
        <w:tc>
          <w:tcPr>
            <w:tcW w:w="814" w:type="dxa"/>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szCs w:val="21"/>
              </w:rPr>
            </w:pPr>
            <w:r>
              <w:rPr>
                <w:rFonts w:ascii="宋体" w:hAnsi="宋体"/>
                <w:szCs w:val="21"/>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75"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276" w:type="dxa"/>
            <w:vMerge w:val="continue"/>
            <w:tcBorders>
              <w:left w:val="single" w:color="auto" w:sz="6" w:space="0"/>
              <w:right w:val="single" w:color="auto" w:sz="6" w:space="0"/>
            </w:tcBorders>
            <w:vAlign w:val="center"/>
          </w:tcPr>
          <w:p>
            <w:pPr>
              <w:spacing w:after="200" w:line="440" w:lineRule="exact"/>
              <w:jc w:val="center"/>
              <w:rPr>
                <w:rFonts w:ascii="宋体" w:hAnsi="宋体"/>
                <w:snapToGrid w:val="0"/>
              </w:rPr>
            </w:pPr>
          </w:p>
        </w:tc>
        <w:tc>
          <w:tcPr>
            <w:tcW w:w="5954" w:type="dxa"/>
            <w:tcBorders>
              <w:top w:val="single" w:color="auto" w:sz="6" w:space="0"/>
              <w:left w:val="single" w:color="auto" w:sz="6" w:space="0"/>
              <w:bottom w:val="single" w:color="auto" w:sz="6" w:space="0"/>
              <w:right w:val="single" w:color="auto" w:sz="6" w:space="0"/>
            </w:tcBorders>
            <w:vAlign w:val="center"/>
          </w:tcPr>
          <w:p>
            <w:pPr>
              <w:spacing w:after="200" w:line="440" w:lineRule="exact"/>
            </w:pPr>
            <w:r>
              <w:rPr>
                <w:rFonts w:hint="eastAsia"/>
              </w:rPr>
              <w:t>AIS/ASM国产化核心网数据对比测试子系统方案的可行性、合理性、详细程度，系统功能实现的逻辑性。</w:t>
            </w:r>
          </w:p>
          <w:p>
            <w:pPr>
              <w:spacing w:after="200" w:line="440" w:lineRule="exact"/>
              <w:rPr>
                <w:rFonts w:hint="eastAsia" w:eastAsiaTheme="minorEastAsia"/>
                <w:lang w:eastAsia="zh-CN"/>
              </w:rPr>
            </w:pPr>
            <w:r>
              <w:t>方案详细</w:t>
            </w:r>
            <w:r>
              <w:rPr>
                <w:rFonts w:hint="eastAsia"/>
              </w:rPr>
              <w:t>，</w:t>
            </w:r>
            <w:r>
              <w:t>可行性高</w:t>
            </w:r>
            <w:r>
              <w:rPr>
                <w:rFonts w:hint="eastAsia"/>
              </w:rPr>
              <w:t>，</w:t>
            </w:r>
            <w:r>
              <w:t>合理性强</w:t>
            </w:r>
            <w:r>
              <w:rPr>
                <w:rFonts w:hint="eastAsia"/>
              </w:rPr>
              <w:t>，能够体现系统功能实现逻辑，</w:t>
            </w:r>
            <w:r>
              <w:t>6</w:t>
            </w:r>
            <w:r>
              <w:rPr>
                <w:rFonts w:hint="eastAsia"/>
              </w:rPr>
              <w:t>分</w:t>
            </w:r>
          </w:p>
          <w:p>
            <w:pPr>
              <w:spacing w:after="200" w:line="440" w:lineRule="exact"/>
              <w:rPr>
                <w:rFonts w:hint="eastAsia" w:eastAsiaTheme="minorEastAsia"/>
                <w:lang w:eastAsia="zh-CN"/>
              </w:rPr>
            </w:pPr>
            <w:r>
              <w:t>方案较详细</w:t>
            </w:r>
            <w:r>
              <w:rPr>
                <w:rFonts w:hint="eastAsia"/>
              </w:rPr>
              <w:t>，</w:t>
            </w:r>
            <w:r>
              <w:t>可行性较高</w:t>
            </w:r>
            <w:r>
              <w:rPr>
                <w:rFonts w:hint="eastAsia"/>
              </w:rPr>
              <w:t>，</w:t>
            </w:r>
            <w:r>
              <w:t>合理性较强</w:t>
            </w:r>
            <w:r>
              <w:rPr>
                <w:rFonts w:hint="eastAsia"/>
              </w:rPr>
              <w:t>，能够较好的体现系统功能实现逻辑</w:t>
            </w:r>
            <w:r>
              <w:t>3</w:t>
            </w:r>
            <w:r>
              <w:rPr>
                <w:rFonts w:hint="eastAsia"/>
              </w:rPr>
              <w:t>分</w:t>
            </w:r>
          </w:p>
          <w:p>
            <w:pPr>
              <w:spacing w:after="200" w:line="440" w:lineRule="exact"/>
              <w:rPr>
                <w:rFonts w:hint="eastAsia" w:eastAsiaTheme="minorEastAsia"/>
                <w:lang w:eastAsia="zh-CN"/>
              </w:rPr>
            </w:pPr>
            <w:r>
              <w:t>方案详细程度</w:t>
            </w:r>
            <w:r>
              <w:rPr>
                <w:rFonts w:hint="eastAsia"/>
              </w:rPr>
              <w:t>、</w:t>
            </w:r>
            <w:r>
              <w:t>可行性及合理性</w:t>
            </w:r>
            <w:r>
              <w:rPr>
                <w:rFonts w:hint="eastAsia"/>
              </w:rPr>
              <w:t>，基本可以体现系统功能实现逻辑</w:t>
            </w:r>
            <w:r>
              <w:t>1</w:t>
            </w:r>
            <w:r>
              <w:rPr>
                <w:rFonts w:hint="eastAsia"/>
              </w:rPr>
              <w:t>分</w:t>
            </w:r>
          </w:p>
          <w:p>
            <w:pPr>
              <w:spacing w:after="200" w:line="440" w:lineRule="exact"/>
              <w:rPr>
                <w:rFonts w:ascii="宋体" w:hAnsi="宋体"/>
                <w:szCs w:val="21"/>
              </w:rPr>
            </w:pPr>
            <w:r>
              <w:rPr>
                <w:rFonts w:hint="eastAsia"/>
              </w:rPr>
              <w:t>其他0分</w:t>
            </w:r>
          </w:p>
        </w:tc>
        <w:tc>
          <w:tcPr>
            <w:tcW w:w="814" w:type="dxa"/>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szCs w:val="21"/>
              </w:rPr>
            </w:pPr>
            <w:r>
              <w:rPr>
                <w:rFonts w:ascii="宋体" w:hAnsi="宋体"/>
                <w:szCs w:val="21"/>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75"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276" w:type="dxa"/>
            <w:vMerge w:val="continue"/>
            <w:tcBorders>
              <w:left w:val="single" w:color="auto" w:sz="6" w:space="0"/>
              <w:right w:val="single" w:color="auto" w:sz="6" w:space="0"/>
            </w:tcBorders>
            <w:vAlign w:val="center"/>
          </w:tcPr>
          <w:p>
            <w:pPr>
              <w:spacing w:after="200" w:line="440" w:lineRule="exact"/>
              <w:jc w:val="center"/>
              <w:rPr>
                <w:rFonts w:ascii="宋体" w:hAnsi="宋体"/>
                <w:snapToGrid w:val="0"/>
              </w:rPr>
            </w:pPr>
          </w:p>
        </w:tc>
        <w:tc>
          <w:tcPr>
            <w:tcW w:w="5954" w:type="dxa"/>
            <w:tcBorders>
              <w:top w:val="single" w:color="auto" w:sz="6" w:space="0"/>
              <w:left w:val="single" w:color="auto" w:sz="6" w:space="0"/>
              <w:bottom w:val="single" w:color="auto" w:sz="6" w:space="0"/>
              <w:right w:val="single" w:color="auto" w:sz="6" w:space="0"/>
            </w:tcBorders>
            <w:vAlign w:val="center"/>
          </w:tcPr>
          <w:p>
            <w:pPr>
              <w:spacing w:after="200" w:line="440" w:lineRule="exact"/>
              <w:rPr>
                <w:rFonts w:hint="eastAsia" w:eastAsiaTheme="minorEastAsia"/>
                <w:lang w:eastAsia="zh-CN"/>
              </w:rPr>
            </w:pPr>
            <w:r>
              <w:rPr>
                <w:rFonts w:hint="eastAsia"/>
              </w:rPr>
              <w:t>AIS/ASM国产化核心网各子系统之间的业务逻辑方案。</w:t>
            </w:r>
          </w:p>
          <w:p>
            <w:pPr>
              <w:spacing w:after="200" w:line="440" w:lineRule="exact"/>
              <w:rPr>
                <w:rFonts w:hint="eastAsia" w:eastAsiaTheme="minorEastAsia"/>
                <w:lang w:eastAsia="zh-CN"/>
              </w:rPr>
            </w:pPr>
            <w:r>
              <w:t>方案逻辑性强</w:t>
            </w:r>
            <w:r>
              <w:rPr>
                <w:rFonts w:hint="eastAsia"/>
              </w:rPr>
              <w:t>，</w:t>
            </w:r>
            <w:r>
              <w:t>内容详实完整</w:t>
            </w:r>
            <w:r>
              <w:rPr>
                <w:rFonts w:hint="eastAsia"/>
              </w:rPr>
              <w:t>，</w:t>
            </w:r>
            <w:r>
              <w:t>可行性高</w:t>
            </w:r>
            <w:r>
              <w:rPr>
                <w:rFonts w:hint="eastAsia"/>
              </w:rPr>
              <w:t>，</w:t>
            </w:r>
            <w:r>
              <w:t>能够保障四个子系统的协同运行</w:t>
            </w:r>
            <w:r>
              <w:rPr>
                <w:rFonts w:hint="eastAsia"/>
              </w:rPr>
              <w:t>，4分；</w:t>
            </w:r>
          </w:p>
          <w:p>
            <w:pPr>
              <w:spacing w:after="200" w:line="440" w:lineRule="exact"/>
            </w:pPr>
            <w:r>
              <w:t>方案逻辑性较强</w:t>
            </w:r>
            <w:r>
              <w:rPr>
                <w:rFonts w:hint="eastAsia"/>
              </w:rPr>
              <w:t>，内容较为完整，可行性较高，基本保障四个子系统协同运行，2分；</w:t>
            </w:r>
          </w:p>
          <w:p>
            <w:pPr>
              <w:pStyle w:val="2"/>
            </w:pPr>
            <w:r>
              <w:rPr>
                <w:rFonts w:hint="eastAsia" w:asciiTheme="minorHAnsi" w:hAnsiTheme="minorHAnsi" w:eastAsiaTheme="minorEastAsia" w:cstheme="minorBidi"/>
                <w:sz w:val="21"/>
                <w:szCs w:val="22"/>
              </w:rPr>
              <w:t>方案逻辑性一般，内容基本完整，或无法四个子系统相互间全部协同运行，1分；</w:t>
            </w:r>
          </w:p>
          <w:p>
            <w:r>
              <w:t>其他0分</w:t>
            </w:r>
          </w:p>
        </w:tc>
        <w:tc>
          <w:tcPr>
            <w:tcW w:w="814" w:type="dxa"/>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szCs w:val="21"/>
              </w:rPr>
            </w:pPr>
            <w:r>
              <w:rPr>
                <w:rFonts w:hint="eastAsia" w:ascii="宋体" w:hAnsi="宋体"/>
                <w:szCs w:val="21"/>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75"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bidi="en-US"/>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bidi="en-US"/>
              </w:rPr>
            </w:pPr>
          </w:p>
        </w:tc>
        <w:tc>
          <w:tcPr>
            <w:tcW w:w="1276" w:type="dxa"/>
            <w:vMerge w:val="continue"/>
            <w:tcBorders>
              <w:left w:val="single" w:color="auto" w:sz="6" w:space="0"/>
              <w:right w:val="single" w:color="auto" w:sz="6" w:space="0"/>
            </w:tcBorders>
            <w:vAlign w:val="center"/>
          </w:tcPr>
          <w:p>
            <w:pPr>
              <w:spacing w:after="200" w:line="440" w:lineRule="exact"/>
              <w:jc w:val="center"/>
              <w:rPr>
                <w:rFonts w:ascii="宋体" w:hAnsi="宋体"/>
                <w:snapToGrid w:val="0"/>
              </w:rPr>
            </w:pPr>
          </w:p>
        </w:tc>
        <w:tc>
          <w:tcPr>
            <w:tcW w:w="5954" w:type="dxa"/>
            <w:tcBorders>
              <w:top w:val="single" w:color="auto" w:sz="6" w:space="0"/>
              <w:left w:val="single" w:color="auto" w:sz="6" w:space="0"/>
              <w:bottom w:val="single" w:color="auto" w:sz="6" w:space="0"/>
              <w:right w:val="single" w:color="auto" w:sz="6" w:space="0"/>
            </w:tcBorders>
            <w:vAlign w:val="center"/>
          </w:tcPr>
          <w:p>
            <w:pPr>
              <w:spacing w:after="200" w:line="440" w:lineRule="exact"/>
              <w:rPr>
                <w:rFonts w:hint="eastAsia" w:eastAsiaTheme="minorEastAsia"/>
                <w:lang w:eastAsia="zh-CN"/>
              </w:rPr>
            </w:pPr>
            <w:r>
              <w:rPr>
                <w:rFonts w:hint="eastAsia"/>
              </w:rPr>
              <w:t>AIS/ASM国产化核心网与现有A</w:t>
            </w:r>
            <w:r>
              <w:t>IS应用的兼容性方案</w:t>
            </w:r>
            <w:r>
              <w:rPr>
                <w:rFonts w:hint="eastAsia"/>
              </w:rPr>
              <w:t>。</w:t>
            </w:r>
          </w:p>
          <w:p>
            <w:pPr>
              <w:spacing w:after="200" w:line="440" w:lineRule="exact"/>
              <w:rPr>
                <w:rFonts w:hint="eastAsia" w:eastAsiaTheme="minorEastAsia"/>
                <w:lang w:eastAsia="zh-CN"/>
              </w:rPr>
            </w:pPr>
            <w:r>
              <w:t>方案详实</w:t>
            </w:r>
            <w:r>
              <w:rPr>
                <w:rFonts w:hint="eastAsia"/>
              </w:rPr>
              <w:t>，</w:t>
            </w:r>
            <w:r>
              <w:t>内容完整</w:t>
            </w:r>
            <w:r>
              <w:rPr>
                <w:rFonts w:hint="eastAsia"/>
              </w:rPr>
              <w:t>，能与现有A</w:t>
            </w:r>
            <w:r>
              <w:t>IS应用完全兼容</w:t>
            </w:r>
            <w:r>
              <w:rPr>
                <w:rFonts w:hint="eastAsia"/>
              </w:rPr>
              <w:t>，4分；</w:t>
            </w:r>
          </w:p>
          <w:p>
            <w:pPr>
              <w:spacing w:after="200" w:line="440" w:lineRule="exact"/>
              <w:rPr>
                <w:rFonts w:hint="eastAsia" w:eastAsiaTheme="minorEastAsia"/>
                <w:lang w:eastAsia="zh-CN"/>
              </w:rPr>
            </w:pPr>
            <w:r>
              <w:t>方案</w:t>
            </w:r>
            <w:r>
              <w:rPr>
                <w:rFonts w:hint="eastAsia"/>
              </w:rPr>
              <w:t>较详细，</w:t>
            </w:r>
            <w:r>
              <w:t>内容较完整</w:t>
            </w:r>
            <w:r>
              <w:rPr>
                <w:rFonts w:hint="eastAsia"/>
              </w:rPr>
              <w:t>，能与现有A</w:t>
            </w:r>
            <w:r>
              <w:t>IS应用较好的兼容</w:t>
            </w:r>
            <w:r>
              <w:rPr>
                <w:rFonts w:hint="eastAsia"/>
              </w:rPr>
              <w:t>，2分；</w:t>
            </w:r>
          </w:p>
          <w:p>
            <w:pPr>
              <w:spacing w:after="200" w:line="440" w:lineRule="exact"/>
              <w:rPr>
                <w:rFonts w:hint="eastAsia" w:eastAsiaTheme="minorEastAsia"/>
                <w:lang w:eastAsia="zh-CN"/>
              </w:rPr>
            </w:pPr>
            <w:r>
              <w:t>方案一般</w:t>
            </w:r>
            <w:r>
              <w:rPr>
                <w:rFonts w:hint="eastAsia"/>
              </w:rPr>
              <w:t>，</w:t>
            </w:r>
            <w:r>
              <w:t>内容不够完整</w:t>
            </w:r>
            <w:r>
              <w:rPr>
                <w:rFonts w:hint="eastAsia"/>
              </w:rPr>
              <w:t>，</w:t>
            </w:r>
            <w:r>
              <w:t>或与现有</w:t>
            </w:r>
            <w:r>
              <w:rPr>
                <w:rFonts w:hint="eastAsia"/>
              </w:rPr>
              <w:t>A</w:t>
            </w:r>
            <w:r>
              <w:t>IS应用兼容存在部分问题</w:t>
            </w:r>
            <w:r>
              <w:rPr>
                <w:rFonts w:hint="eastAsia"/>
              </w:rPr>
              <w:t>，1分；</w:t>
            </w:r>
          </w:p>
          <w:p>
            <w:pPr>
              <w:spacing w:after="200" w:line="440" w:lineRule="exact"/>
            </w:pPr>
            <w:r>
              <w:t>其他</w:t>
            </w:r>
            <w:r>
              <w:rPr>
                <w:rFonts w:hint="eastAsia"/>
              </w:rPr>
              <w:t>，0分。</w:t>
            </w:r>
          </w:p>
        </w:tc>
        <w:tc>
          <w:tcPr>
            <w:tcW w:w="814" w:type="dxa"/>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szCs w:val="21"/>
              </w:rPr>
            </w:pPr>
            <w:r>
              <w:rPr>
                <w:rFonts w:hint="eastAsia" w:ascii="宋体" w:hAnsi="宋体"/>
                <w:szCs w:val="21"/>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75"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bidi="en-US"/>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bidi="en-US"/>
              </w:rPr>
            </w:pPr>
          </w:p>
        </w:tc>
        <w:tc>
          <w:tcPr>
            <w:tcW w:w="1276" w:type="dxa"/>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bidi="en-US"/>
              </w:rPr>
            </w:pPr>
            <w:r>
              <w:rPr>
                <w:rFonts w:hint="eastAsia" w:ascii="宋体" w:hAnsi="宋体"/>
                <w:snapToGrid w:val="0"/>
                <w:sz w:val="22"/>
                <w:lang w:eastAsia="en-US" w:bidi="en-US"/>
              </w:rPr>
              <w:t>技术参数评价</w:t>
            </w:r>
            <w:r>
              <w:rPr>
                <w:rFonts w:hint="eastAsia" w:ascii="宋体" w:hAnsi="宋体"/>
                <w:snapToGrid w:val="0"/>
                <w:sz w:val="22"/>
                <w:lang w:bidi="en-US"/>
              </w:rPr>
              <w:t>（4分）</w:t>
            </w:r>
          </w:p>
        </w:tc>
        <w:tc>
          <w:tcPr>
            <w:tcW w:w="5954" w:type="dxa"/>
            <w:tcBorders>
              <w:top w:val="single" w:color="auto" w:sz="6" w:space="0"/>
              <w:left w:val="single" w:color="auto" w:sz="6" w:space="0"/>
              <w:bottom w:val="single" w:color="auto" w:sz="6" w:space="0"/>
              <w:right w:val="single" w:color="auto" w:sz="6" w:space="0"/>
            </w:tcBorders>
            <w:vAlign w:val="center"/>
          </w:tcPr>
          <w:p>
            <w:pPr>
              <w:spacing w:after="200" w:line="440" w:lineRule="exact"/>
              <w:rPr>
                <w:rFonts w:hint="eastAsia" w:eastAsiaTheme="minorEastAsia"/>
                <w:lang w:eastAsia="zh-CN"/>
              </w:rPr>
            </w:pPr>
            <w:r>
              <w:rPr>
                <w:rFonts w:hint="eastAsia"/>
              </w:rPr>
              <w:t>投标人承诺的</w:t>
            </w:r>
            <w:r>
              <w:t>AIS/ASM</w:t>
            </w:r>
            <w:r>
              <w:rPr>
                <w:rFonts w:hint="eastAsia"/>
              </w:rPr>
              <w:t>国产化核心网系统功能要求应完全符合《项目需求书》中软件系统技术要求的3.3.1的性能要求，无负偏离。</w:t>
            </w:r>
          </w:p>
          <w:p>
            <w:pPr>
              <w:spacing w:after="200" w:line="440" w:lineRule="exact"/>
              <w:rPr>
                <w:rFonts w:hint="eastAsia" w:eastAsiaTheme="minorEastAsia"/>
                <w:lang w:eastAsia="zh-CN"/>
              </w:rPr>
            </w:pPr>
            <w:r>
              <w:rPr>
                <w:rFonts w:hint="eastAsia"/>
              </w:rPr>
              <w:t>功能点无负偏离，4分；</w:t>
            </w:r>
          </w:p>
          <w:p>
            <w:pPr>
              <w:spacing w:after="200" w:line="440" w:lineRule="exact"/>
              <w:rPr>
                <w:rFonts w:hint="eastAsia" w:eastAsiaTheme="minorEastAsia"/>
                <w:lang w:eastAsia="zh-CN"/>
              </w:rPr>
            </w:pPr>
            <w:r>
              <w:rPr>
                <w:rFonts w:hint="eastAsia"/>
              </w:rPr>
              <w:t>有任一功能点偏离</w:t>
            </w:r>
            <w:r>
              <w:t>5%</w:t>
            </w:r>
            <w:r>
              <w:rPr>
                <w:rFonts w:hint="eastAsia"/>
              </w:rPr>
              <w:t>以下，2分；</w:t>
            </w:r>
          </w:p>
          <w:p>
            <w:pPr>
              <w:spacing w:after="200" w:line="440" w:lineRule="exact"/>
              <w:rPr>
                <w:rFonts w:hint="eastAsia" w:eastAsiaTheme="minorEastAsia"/>
                <w:lang w:eastAsia="zh-CN"/>
              </w:rPr>
            </w:pPr>
            <w:r>
              <w:rPr>
                <w:rFonts w:hint="eastAsia"/>
              </w:rPr>
              <w:t>有任一功能点偏离</w:t>
            </w:r>
            <w:r>
              <w:t>5%-10%</w:t>
            </w:r>
            <w:r>
              <w:rPr>
                <w:rFonts w:hint="eastAsia"/>
              </w:rPr>
              <w:t>，</w:t>
            </w:r>
            <w:r>
              <w:t>1</w:t>
            </w:r>
            <w:r>
              <w:rPr>
                <w:rFonts w:hint="eastAsia"/>
              </w:rPr>
              <w:t>分；</w:t>
            </w:r>
          </w:p>
          <w:p>
            <w:pPr>
              <w:spacing w:after="200" w:line="440" w:lineRule="exact"/>
            </w:pPr>
            <w:r>
              <w:rPr>
                <w:rFonts w:hint="eastAsia"/>
              </w:rPr>
              <w:t>其他，</w:t>
            </w:r>
            <w:r>
              <w:t>0</w:t>
            </w:r>
            <w:r>
              <w:rPr>
                <w:rFonts w:hint="eastAsia"/>
              </w:rPr>
              <w:t>分。</w:t>
            </w:r>
          </w:p>
        </w:tc>
        <w:tc>
          <w:tcPr>
            <w:tcW w:w="814" w:type="dxa"/>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szCs w:val="21"/>
              </w:rPr>
            </w:pPr>
            <w:r>
              <w:rPr>
                <w:rFonts w:hint="eastAsia" w:ascii="宋体" w:hAnsi="宋体"/>
                <w:szCs w:val="21"/>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75"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276" w:type="dxa"/>
            <w:vMerge w:val="restart"/>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snapToGrid w:val="0"/>
                <w:sz w:val="22"/>
                <w:lang w:eastAsia="en-US" w:bidi="en-US"/>
              </w:rPr>
            </w:pPr>
            <w:r>
              <w:rPr>
                <w:rFonts w:hint="eastAsia" w:ascii="宋体" w:hAnsi="宋体"/>
                <w:snapToGrid w:val="0"/>
              </w:rPr>
              <w:t>实施组织（4分）</w:t>
            </w:r>
          </w:p>
        </w:tc>
        <w:tc>
          <w:tcPr>
            <w:tcW w:w="5954" w:type="dxa"/>
            <w:tcBorders>
              <w:top w:val="single" w:color="auto" w:sz="6" w:space="0"/>
              <w:left w:val="single" w:color="auto" w:sz="6" w:space="0"/>
              <w:bottom w:val="single" w:color="auto" w:sz="6" w:space="0"/>
              <w:right w:val="single" w:color="auto" w:sz="6" w:space="0"/>
            </w:tcBorders>
            <w:vAlign w:val="center"/>
          </w:tcPr>
          <w:p>
            <w:pPr>
              <w:spacing w:after="200" w:line="276" w:lineRule="auto"/>
              <w:rPr>
                <w:rFonts w:hint="eastAsia" w:eastAsiaTheme="minorEastAsia"/>
                <w:lang w:eastAsia="zh-CN"/>
              </w:rPr>
            </w:pPr>
            <w:r>
              <w:rPr>
                <w:rFonts w:hint="eastAsia"/>
              </w:rPr>
              <w:t>AIS/ASM国产化核心网系统实施工作组织计划和质量保证能够保障现有业务平滑性、可用性。</w:t>
            </w:r>
          </w:p>
          <w:p>
            <w:pPr>
              <w:spacing w:after="200" w:line="276" w:lineRule="auto"/>
              <w:rPr>
                <w:rFonts w:hint="eastAsia" w:eastAsiaTheme="minorEastAsia"/>
                <w:lang w:eastAsia="zh-CN"/>
              </w:rPr>
            </w:pPr>
            <w:r>
              <w:rPr>
                <w:rFonts w:hint="eastAsia"/>
              </w:rPr>
              <w:t>实施工作组织</w:t>
            </w:r>
            <w:r>
              <w:t>计划和质量保障措施的合理性好</w:t>
            </w:r>
            <w:r>
              <w:rPr>
                <w:rFonts w:hint="eastAsia"/>
              </w:rPr>
              <w:t>，</w:t>
            </w:r>
            <w:r>
              <w:t>可行性高</w:t>
            </w:r>
            <w:r>
              <w:rPr>
                <w:rFonts w:hint="eastAsia"/>
              </w:rPr>
              <w:t>，2分；实施工作组织</w:t>
            </w:r>
            <w:r>
              <w:t>计划和质量保障措施的合理性</w:t>
            </w:r>
            <w:r>
              <w:rPr>
                <w:rFonts w:hint="eastAsia"/>
              </w:rPr>
              <w:t>一般，</w:t>
            </w:r>
            <w:r>
              <w:t>可行性一般</w:t>
            </w:r>
            <w:r>
              <w:rPr>
                <w:rFonts w:hint="eastAsia"/>
              </w:rPr>
              <w:t>，</w:t>
            </w:r>
            <w:r>
              <w:t>1</w:t>
            </w:r>
            <w:r>
              <w:rPr>
                <w:rFonts w:hint="eastAsia"/>
              </w:rPr>
              <w:t>分；</w:t>
            </w:r>
          </w:p>
          <w:p>
            <w:pPr>
              <w:spacing w:after="200" w:line="276" w:lineRule="auto"/>
            </w:pPr>
            <w:r>
              <w:t>其他</w:t>
            </w:r>
            <w:r>
              <w:rPr>
                <w:rFonts w:hint="eastAsia"/>
              </w:rPr>
              <w:t>0分。</w:t>
            </w:r>
          </w:p>
        </w:tc>
        <w:tc>
          <w:tcPr>
            <w:tcW w:w="814" w:type="dxa"/>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color w:val="C00000"/>
                <w:sz w:val="22"/>
                <w:szCs w:val="21"/>
                <w:lang w:bidi="en-US"/>
              </w:rPr>
            </w:pPr>
            <w:r>
              <w:rPr>
                <w:rFonts w:hint="eastAsia" w:ascii="宋体" w:hAnsi="宋体"/>
                <w:szCs w:val="21"/>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75"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276"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5954" w:type="dxa"/>
            <w:tcBorders>
              <w:top w:val="single" w:color="auto" w:sz="6" w:space="0"/>
              <w:left w:val="single" w:color="auto" w:sz="6" w:space="0"/>
              <w:bottom w:val="single" w:color="auto" w:sz="6" w:space="0"/>
              <w:right w:val="single" w:color="auto" w:sz="6" w:space="0"/>
            </w:tcBorders>
            <w:vAlign w:val="center"/>
          </w:tcPr>
          <w:p>
            <w:pPr>
              <w:spacing w:after="200" w:line="276" w:lineRule="auto"/>
              <w:rPr>
                <w:rFonts w:hint="eastAsia" w:eastAsiaTheme="minorEastAsia"/>
                <w:lang w:eastAsia="zh-CN"/>
              </w:rPr>
            </w:pPr>
            <w:r>
              <w:rPr>
                <w:rFonts w:hint="eastAsia"/>
              </w:rPr>
              <w:t>AIS/ASM国产化核心网系统软件开发人员组织和配置的合理性、可行性。</w:t>
            </w:r>
          </w:p>
          <w:p>
            <w:pPr>
              <w:spacing w:after="200" w:line="276" w:lineRule="auto"/>
              <w:rPr>
                <w:rFonts w:hint="eastAsia" w:eastAsiaTheme="minorEastAsia"/>
                <w:lang w:eastAsia="zh-CN"/>
              </w:rPr>
            </w:pPr>
            <w:r>
              <w:rPr>
                <w:rFonts w:hint="eastAsia"/>
              </w:rPr>
              <w:t>系统软件开发人员组织和配置的合理性高、可行性好</w:t>
            </w:r>
            <w:r>
              <w:t>2</w:t>
            </w:r>
            <w:r>
              <w:rPr>
                <w:rFonts w:hint="eastAsia"/>
              </w:rPr>
              <w:t>分；</w:t>
            </w:r>
          </w:p>
          <w:p>
            <w:pPr>
              <w:spacing w:after="200" w:line="276" w:lineRule="auto"/>
              <w:rPr>
                <w:rFonts w:hint="eastAsia" w:eastAsiaTheme="minorEastAsia"/>
                <w:lang w:eastAsia="zh-CN"/>
              </w:rPr>
            </w:pPr>
            <w:r>
              <w:rPr>
                <w:rFonts w:hint="eastAsia"/>
              </w:rPr>
              <w:t>系统软件开发人员组织和配置的合理性一般、可行性一般</w:t>
            </w:r>
            <w:r>
              <w:t>1</w:t>
            </w:r>
            <w:r>
              <w:rPr>
                <w:rFonts w:hint="eastAsia"/>
              </w:rPr>
              <w:t>分；</w:t>
            </w:r>
          </w:p>
          <w:p>
            <w:pPr>
              <w:spacing w:after="200" w:line="276" w:lineRule="auto"/>
            </w:pPr>
            <w:r>
              <w:t>其他</w:t>
            </w:r>
            <w:r>
              <w:rPr>
                <w:rFonts w:hint="eastAsia"/>
              </w:rPr>
              <w:t>，0分</w:t>
            </w:r>
          </w:p>
        </w:tc>
        <w:tc>
          <w:tcPr>
            <w:tcW w:w="814" w:type="dxa"/>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color w:val="C00000"/>
                <w:sz w:val="22"/>
                <w:szCs w:val="21"/>
                <w:lang w:bidi="en-US"/>
              </w:rPr>
            </w:pPr>
            <w:r>
              <w:rPr>
                <w:rFonts w:ascii="宋体" w:hAnsi="宋体"/>
                <w:szCs w:val="21"/>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75"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276" w:type="dxa"/>
            <w:vMerge w:val="restart"/>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Times New Roman"/>
                <w:snapToGrid w:val="0"/>
                <w:sz w:val="22"/>
                <w:lang w:bidi="en-US"/>
              </w:rPr>
            </w:pPr>
            <w:r>
              <w:rPr>
                <w:rFonts w:hint="eastAsia" w:ascii="宋体" w:hAnsi="宋体"/>
                <w:snapToGrid w:val="0"/>
              </w:rPr>
              <w:t>技术支持</w:t>
            </w:r>
          </w:p>
          <w:p>
            <w:pPr>
              <w:spacing w:line="440" w:lineRule="exact"/>
              <w:jc w:val="center"/>
              <w:rPr>
                <w:rFonts w:ascii="宋体" w:hAnsi="宋体"/>
                <w:snapToGrid w:val="0"/>
              </w:rPr>
            </w:pPr>
            <w:r>
              <w:rPr>
                <w:rFonts w:hint="eastAsia" w:ascii="宋体" w:hAnsi="宋体"/>
                <w:snapToGrid w:val="0"/>
              </w:rPr>
              <w:t>与服务</w:t>
            </w:r>
          </w:p>
          <w:p>
            <w:pPr>
              <w:spacing w:after="200" w:line="440" w:lineRule="exact"/>
              <w:jc w:val="center"/>
              <w:rPr>
                <w:rFonts w:ascii="宋体" w:hAnsi="宋体"/>
                <w:snapToGrid w:val="0"/>
                <w:sz w:val="22"/>
                <w:lang w:bidi="en-US"/>
              </w:rPr>
            </w:pPr>
            <w:r>
              <w:rPr>
                <w:rFonts w:hint="eastAsia" w:ascii="宋体" w:hAnsi="宋体"/>
                <w:snapToGrid w:val="0"/>
              </w:rPr>
              <w:t>（6分）</w:t>
            </w:r>
          </w:p>
        </w:tc>
        <w:tc>
          <w:tcPr>
            <w:tcW w:w="5954" w:type="dxa"/>
            <w:tcBorders>
              <w:top w:val="single" w:color="auto" w:sz="6" w:space="0"/>
              <w:left w:val="single" w:color="auto" w:sz="6" w:space="0"/>
              <w:bottom w:val="single" w:color="auto" w:sz="6" w:space="0"/>
              <w:right w:val="single" w:color="auto" w:sz="6" w:space="0"/>
            </w:tcBorders>
            <w:vAlign w:val="center"/>
          </w:tcPr>
          <w:p>
            <w:pPr>
              <w:spacing w:after="200" w:line="276" w:lineRule="auto"/>
              <w:rPr>
                <w:rFonts w:hint="eastAsia"/>
                <w:lang w:eastAsia="zh-CN"/>
              </w:rPr>
            </w:pPr>
            <w:r>
              <w:rPr>
                <w:rFonts w:hint="eastAsia"/>
              </w:rPr>
              <w:t>技术支持方案整体的合理性。</w:t>
            </w:r>
          </w:p>
          <w:p>
            <w:pPr>
              <w:spacing w:after="200" w:line="276" w:lineRule="auto"/>
              <w:rPr>
                <w:rFonts w:hint="eastAsia"/>
                <w:lang w:eastAsia="zh-CN"/>
              </w:rPr>
            </w:pPr>
            <w:r>
              <w:rPr>
                <w:rFonts w:hint="eastAsia"/>
              </w:rPr>
              <w:t>技术支持方案合理性高2分；</w:t>
            </w:r>
          </w:p>
          <w:p>
            <w:pPr>
              <w:spacing w:after="200" w:line="276" w:lineRule="auto"/>
              <w:rPr>
                <w:rFonts w:hint="eastAsia"/>
                <w:lang w:eastAsia="zh-CN"/>
              </w:rPr>
            </w:pPr>
            <w:r>
              <w:rPr>
                <w:rFonts w:hint="eastAsia"/>
              </w:rPr>
              <w:t>技术支持方案合理性一般1分；</w:t>
            </w:r>
          </w:p>
          <w:p>
            <w:pPr>
              <w:spacing w:after="200" w:line="276" w:lineRule="auto"/>
              <w:rPr>
                <w:rFonts w:ascii="宋体" w:hAnsi="宋体"/>
                <w:szCs w:val="21"/>
              </w:rPr>
            </w:pPr>
            <w:r>
              <w:rPr>
                <w:rFonts w:hint="eastAsia"/>
              </w:rPr>
              <w:t>其他，0分</w:t>
            </w:r>
          </w:p>
        </w:tc>
        <w:tc>
          <w:tcPr>
            <w:tcW w:w="814" w:type="dxa"/>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sz w:val="22"/>
                <w:szCs w:val="21"/>
                <w:lang w:eastAsia="en-US" w:bidi="en-US"/>
              </w:rPr>
            </w:pPr>
            <w:r>
              <w:rPr>
                <w:rFonts w:hint="eastAsia" w:ascii="宋体" w:hAnsi="宋体"/>
                <w:szCs w:val="21"/>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64" w:hRule="atLeast"/>
          <w:jc w:val="center"/>
        </w:trPr>
        <w:tc>
          <w:tcPr>
            <w:tcW w:w="675"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276"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bidi="en-US"/>
              </w:rPr>
            </w:pPr>
          </w:p>
        </w:tc>
        <w:tc>
          <w:tcPr>
            <w:tcW w:w="5954" w:type="dxa"/>
            <w:tcBorders>
              <w:top w:val="single" w:color="auto" w:sz="6" w:space="0"/>
              <w:left w:val="single" w:color="auto" w:sz="6" w:space="0"/>
              <w:bottom w:val="single" w:color="auto" w:sz="6" w:space="0"/>
              <w:right w:val="single" w:color="auto" w:sz="6" w:space="0"/>
            </w:tcBorders>
            <w:vAlign w:val="center"/>
          </w:tcPr>
          <w:p>
            <w:pPr>
              <w:spacing w:after="200" w:line="276" w:lineRule="auto"/>
              <w:rPr>
                <w:rFonts w:hint="eastAsia" w:eastAsiaTheme="minorEastAsia"/>
                <w:lang w:eastAsia="zh-CN"/>
              </w:rPr>
            </w:pPr>
            <w:r>
              <w:rPr>
                <w:rFonts w:hint="eastAsia"/>
              </w:rPr>
              <w:t>技术支持服务的方式、范围、响应时间等。</w:t>
            </w:r>
          </w:p>
          <w:p>
            <w:pPr>
              <w:spacing w:after="200" w:line="276" w:lineRule="auto"/>
              <w:rPr>
                <w:rFonts w:hint="eastAsia" w:eastAsiaTheme="minorEastAsia"/>
                <w:lang w:eastAsia="zh-CN"/>
              </w:rPr>
            </w:pPr>
            <w:r>
              <w:rPr>
                <w:rFonts w:hint="eastAsia"/>
              </w:rPr>
              <w:t>技术支持服务的方式多样、范围广、响应及时，2分；</w:t>
            </w:r>
          </w:p>
          <w:p>
            <w:pPr>
              <w:spacing w:after="200" w:line="276" w:lineRule="auto"/>
              <w:rPr>
                <w:rFonts w:hint="eastAsia" w:eastAsiaTheme="minorEastAsia"/>
                <w:lang w:eastAsia="zh-CN"/>
              </w:rPr>
            </w:pPr>
            <w:r>
              <w:rPr>
                <w:rFonts w:hint="eastAsia"/>
              </w:rPr>
              <w:t>技术支持服务的方式一般、范围一般、响应较慢，</w:t>
            </w:r>
            <w:r>
              <w:t>1</w:t>
            </w:r>
            <w:r>
              <w:rPr>
                <w:rFonts w:hint="eastAsia"/>
              </w:rPr>
              <w:t>分；</w:t>
            </w:r>
          </w:p>
          <w:p>
            <w:pPr>
              <w:spacing w:after="200" w:line="276" w:lineRule="auto"/>
            </w:pPr>
            <w:r>
              <w:t>其他</w:t>
            </w:r>
            <w:r>
              <w:rPr>
                <w:rFonts w:hint="eastAsia"/>
              </w:rPr>
              <w:t>，0分。</w:t>
            </w:r>
          </w:p>
        </w:tc>
        <w:tc>
          <w:tcPr>
            <w:tcW w:w="814" w:type="dxa"/>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sz w:val="22"/>
                <w:szCs w:val="21"/>
                <w:lang w:eastAsia="en-US" w:bidi="en-US"/>
              </w:rPr>
            </w:pPr>
            <w:r>
              <w:rPr>
                <w:rFonts w:hint="eastAsia" w:ascii="宋体" w:hAnsi="宋体"/>
                <w:szCs w:val="21"/>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75"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eastAsia="en-US" w:bidi="en-US"/>
              </w:rPr>
            </w:pPr>
          </w:p>
        </w:tc>
        <w:tc>
          <w:tcPr>
            <w:tcW w:w="1276"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napToGrid w:val="0"/>
                <w:sz w:val="22"/>
                <w:lang w:bidi="en-US"/>
              </w:rPr>
            </w:pPr>
          </w:p>
        </w:tc>
        <w:tc>
          <w:tcPr>
            <w:tcW w:w="5954" w:type="dxa"/>
            <w:tcBorders>
              <w:top w:val="single" w:color="auto" w:sz="6" w:space="0"/>
              <w:left w:val="single" w:color="auto" w:sz="6" w:space="0"/>
              <w:bottom w:val="single" w:color="auto" w:sz="6" w:space="0"/>
              <w:right w:val="single" w:color="auto" w:sz="6" w:space="0"/>
            </w:tcBorders>
            <w:vAlign w:val="center"/>
          </w:tcPr>
          <w:p>
            <w:pPr>
              <w:spacing w:after="200" w:line="276" w:lineRule="auto"/>
              <w:rPr>
                <w:rFonts w:hint="eastAsia" w:eastAsiaTheme="minorEastAsia"/>
                <w:lang w:eastAsia="zh-CN"/>
              </w:rPr>
            </w:pPr>
            <w:r>
              <w:rPr>
                <w:rFonts w:hint="eastAsia"/>
              </w:rPr>
              <w:t>投标人提供的培训方案的合理性、科学性、多样性。</w:t>
            </w:r>
          </w:p>
          <w:p>
            <w:pPr>
              <w:spacing w:after="200" w:line="276" w:lineRule="auto"/>
              <w:rPr>
                <w:rFonts w:hint="eastAsia" w:eastAsiaTheme="minorEastAsia"/>
                <w:lang w:eastAsia="zh-CN"/>
              </w:rPr>
            </w:pPr>
            <w:r>
              <w:t>培训方案合理性</w:t>
            </w:r>
            <w:r>
              <w:rPr>
                <w:rFonts w:hint="eastAsia"/>
              </w:rPr>
              <w:t>、</w:t>
            </w:r>
            <w:r>
              <w:t>科学性</w:t>
            </w:r>
            <w:r>
              <w:rPr>
                <w:rFonts w:hint="eastAsia"/>
              </w:rPr>
              <w:t>、</w:t>
            </w:r>
            <w:r>
              <w:t>多样性高</w:t>
            </w:r>
            <w:r>
              <w:rPr>
                <w:rFonts w:hint="eastAsia"/>
              </w:rPr>
              <w:t>，2分；</w:t>
            </w:r>
          </w:p>
          <w:p>
            <w:pPr>
              <w:spacing w:after="200" w:line="276" w:lineRule="auto"/>
              <w:rPr>
                <w:rFonts w:hint="eastAsia" w:eastAsiaTheme="minorEastAsia"/>
                <w:lang w:eastAsia="zh-CN"/>
              </w:rPr>
            </w:pPr>
            <w:r>
              <w:t>培训方案合理性</w:t>
            </w:r>
            <w:r>
              <w:rPr>
                <w:rFonts w:hint="eastAsia"/>
              </w:rPr>
              <w:t>、</w:t>
            </w:r>
            <w:r>
              <w:t>科学性</w:t>
            </w:r>
            <w:r>
              <w:rPr>
                <w:rFonts w:hint="eastAsia"/>
              </w:rPr>
              <w:t>、</w:t>
            </w:r>
            <w:r>
              <w:t>多样性一般</w:t>
            </w:r>
            <w:r>
              <w:rPr>
                <w:rFonts w:hint="eastAsia"/>
              </w:rPr>
              <w:t>，</w:t>
            </w:r>
            <w:r>
              <w:t>1</w:t>
            </w:r>
            <w:r>
              <w:rPr>
                <w:rFonts w:hint="eastAsia"/>
              </w:rPr>
              <w:t>分；</w:t>
            </w:r>
          </w:p>
          <w:p>
            <w:pPr>
              <w:spacing w:after="200" w:line="276" w:lineRule="auto"/>
            </w:pPr>
            <w:r>
              <w:t>其他</w:t>
            </w:r>
            <w:r>
              <w:rPr>
                <w:rFonts w:hint="eastAsia"/>
              </w:rPr>
              <w:t>，0分。</w:t>
            </w:r>
          </w:p>
        </w:tc>
        <w:tc>
          <w:tcPr>
            <w:tcW w:w="814" w:type="dxa"/>
            <w:tcBorders>
              <w:top w:val="single" w:color="auto" w:sz="6" w:space="0"/>
              <w:left w:val="single" w:color="auto" w:sz="6" w:space="0"/>
              <w:bottom w:val="single" w:color="auto" w:sz="6" w:space="0"/>
              <w:right w:val="single" w:color="auto" w:sz="6" w:space="0"/>
            </w:tcBorders>
            <w:vAlign w:val="center"/>
          </w:tcPr>
          <w:p>
            <w:pPr>
              <w:spacing w:after="200" w:line="440" w:lineRule="exact"/>
              <w:jc w:val="center"/>
              <w:rPr>
                <w:rFonts w:ascii="宋体" w:hAnsi="宋体"/>
                <w:sz w:val="22"/>
                <w:szCs w:val="21"/>
                <w:lang w:bidi="en-US"/>
              </w:rPr>
            </w:pPr>
            <w:r>
              <w:rPr>
                <w:rFonts w:hint="eastAsia" w:ascii="宋体" w:hAnsi="宋体"/>
                <w:szCs w:val="21"/>
              </w:rPr>
              <w:t>2</w:t>
            </w:r>
          </w:p>
        </w:tc>
      </w:tr>
    </w:tbl>
    <w:p>
      <w:pPr>
        <w:pStyle w:val="47"/>
        <w:spacing w:line="360" w:lineRule="auto"/>
      </w:pPr>
    </w:p>
    <w:p>
      <w:pPr>
        <w:pStyle w:val="47"/>
        <w:spacing w:line="360" w:lineRule="auto"/>
        <w:rPr>
          <w:rFonts w:cs="Times New Roman" w:asciiTheme="minorEastAsia" w:hAnsiTheme="minorEastAsia" w:eastAsiaTheme="minorEastAsia"/>
          <w:color w:val="auto"/>
        </w:rPr>
      </w:pPr>
      <w:r>
        <w:t>七、</w:t>
      </w:r>
      <w:r>
        <w:rPr>
          <w:rFonts w:hint="eastAsia" w:cs="Times New Roman" w:asciiTheme="minorEastAsia" w:hAnsiTheme="minorEastAsia" w:eastAsiaTheme="minorEastAsia"/>
          <w:color w:val="auto"/>
        </w:rPr>
        <w:t>投标文件的组成及份数</w:t>
      </w:r>
    </w:p>
    <w:p>
      <w:pPr>
        <w:spacing w:line="360" w:lineRule="auto"/>
        <w:ind w:left="1" w:hanging="1"/>
        <w:rPr>
          <w:rFonts w:ascii="宋体" w:hAnsi="宋体" w:cs="Arial"/>
          <w:sz w:val="24"/>
        </w:rPr>
      </w:pPr>
      <w:r>
        <w:rPr>
          <w:rFonts w:ascii="宋体" w:hAnsi="宋体" w:cs="Arial"/>
          <w:sz w:val="24"/>
        </w:rPr>
        <w:t>1</w:t>
      </w:r>
      <w:r>
        <w:rPr>
          <w:rFonts w:hint="eastAsia" w:ascii="宋体" w:hAnsi="宋体" w:cs="Arial"/>
          <w:sz w:val="24"/>
        </w:rPr>
        <w:t>、本项目须提交技术标、商务标两部分投标文件，每部分投标文件包括一份正本投标文件、三份副本投标文件和两份电子版文件。</w:t>
      </w:r>
    </w:p>
    <w:p>
      <w:pPr>
        <w:spacing w:line="360" w:lineRule="auto"/>
        <w:ind w:left="1" w:hanging="1"/>
        <w:rPr>
          <w:rFonts w:ascii="宋体" w:hAnsi="宋体" w:cs="Arial"/>
          <w:sz w:val="24"/>
        </w:rPr>
      </w:pPr>
      <w:r>
        <w:rPr>
          <w:rFonts w:hint="eastAsia" w:ascii="宋体" w:hAnsi="宋体" w:cs="Arial"/>
          <w:sz w:val="24"/>
        </w:rPr>
        <w:t>2、技术标部分应包含内容：资格、技术及商务内容（不含报价）；商务标部分应包含内容：报价文件。</w:t>
      </w:r>
    </w:p>
    <w:p>
      <w:pPr>
        <w:spacing w:line="360" w:lineRule="auto"/>
        <w:ind w:left="1" w:hanging="1"/>
        <w:rPr>
          <w:rFonts w:ascii="宋体" w:hAnsi="宋体" w:cs="Arial"/>
          <w:sz w:val="24"/>
        </w:rPr>
      </w:pPr>
      <w:r>
        <w:rPr>
          <w:rFonts w:ascii="宋体" w:hAnsi="宋体" w:cs="Arial"/>
          <w:sz w:val="24"/>
        </w:rPr>
        <w:t>3</w:t>
      </w:r>
      <w:r>
        <w:rPr>
          <w:rFonts w:hint="eastAsia" w:ascii="宋体" w:hAnsi="宋体" w:cs="Arial"/>
          <w:sz w:val="24"/>
        </w:rPr>
        <w:t>、电子版投标文件要求：与纸质投标文件内容完全一致，方便打开且无病毒；电子版文件与纸质文件不一致时，以纸质文件正本为准。</w:t>
      </w:r>
    </w:p>
    <w:p>
      <w:pPr>
        <w:spacing w:line="360" w:lineRule="auto"/>
        <w:ind w:left="1" w:hanging="1"/>
        <w:rPr>
          <w:rFonts w:ascii="宋体" w:hAnsi="宋体" w:cs="Arial"/>
          <w:color w:val="FF0000"/>
          <w:sz w:val="24"/>
        </w:rPr>
      </w:pPr>
      <w:r>
        <w:rPr>
          <w:rFonts w:ascii="宋体" w:hAnsi="宋体" w:cs="Arial"/>
          <w:sz w:val="24"/>
        </w:rPr>
        <w:t>4</w:t>
      </w:r>
      <w:r>
        <w:rPr>
          <w:rFonts w:hint="eastAsia" w:ascii="宋体" w:hAnsi="宋体" w:cs="Arial"/>
          <w:sz w:val="24"/>
        </w:rPr>
        <w:t>、供应商应将投标文件技术标和商务标分别装订成册，并编制“投标文件目录”。</w:t>
      </w:r>
      <w:r>
        <w:rPr>
          <w:rFonts w:hint="eastAsia" w:ascii="宋体" w:hAnsi="宋体"/>
          <w:sz w:val="24"/>
        </w:rPr>
        <w:t>建议文件采用双面打印，并以胶装方式进行装订。</w:t>
      </w:r>
    </w:p>
    <w:p>
      <w:pPr>
        <w:spacing w:line="360" w:lineRule="auto"/>
        <w:ind w:left="1" w:hanging="1"/>
        <w:rPr>
          <w:rFonts w:ascii="宋体" w:hAnsi="宋体" w:cs="Arial"/>
          <w:sz w:val="24"/>
        </w:rPr>
      </w:pPr>
      <w:r>
        <w:rPr>
          <w:rFonts w:ascii="宋体" w:hAnsi="宋体" w:cs="Arial"/>
          <w:sz w:val="24"/>
        </w:rPr>
        <w:t>5</w:t>
      </w:r>
      <w:r>
        <w:rPr>
          <w:rFonts w:hint="eastAsia" w:ascii="宋体" w:hAnsi="宋体" w:cs="Arial"/>
          <w:sz w:val="24"/>
        </w:rPr>
        <w:t>、根据财政部《政府采购货物和服务招标投标管理办法》的规定，供应商应当在招标文件要求提交投标文件的截止时间前，将投标文件密封送达投标地点。</w:t>
      </w:r>
    </w:p>
    <w:p>
      <w:pPr>
        <w:spacing w:line="360" w:lineRule="auto"/>
        <w:ind w:left="1" w:hanging="1"/>
        <w:rPr>
          <w:rFonts w:ascii="宋体" w:hAnsi="宋体" w:cs="Arial"/>
          <w:sz w:val="24"/>
        </w:rPr>
      </w:pPr>
      <w:r>
        <w:rPr>
          <w:rFonts w:hint="eastAsia" w:ascii="宋体" w:hAnsi="宋体" w:cs="Arial"/>
          <w:sz w:val="24"/>
        </w:rPr>
        <w:t>逾期送达或者未按照招标文件要求密封的投标文件，采购人、采购代理机构应当拒收。</w:t>
      </w:r>
    </w:p>
    <w:p>
      <w:pPr>
        <w:pStyle w:val="47"/>
        <w:spacing w:line="360" w:lineRule="auto"/>
        <w:rPr>
          <w:rFonts w:cs="Times New Roman" w:asciiTheme="minorEastAsia" w:hAnsiTheme="minorEastAsia" w:eastAsiaTheme="minorEastAsia"/>
          <w:color w:val="auto"/>
        </w:rPr>
      </w:pPr>
      <w:bookmarkStart w:id="10" w:name="_Toc232498122"/>
    </w:p>
    <w:bookmarkEnd w:id="10"/>
    <w:p>
      <w:pPr>
        <w:pStyle w:val="47"/>
        <w:spacing w:line="360" w:lineRule="auto"/>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 xml:space="preserve">九、其他 </w:t>
      </w:r>
    </w:p>
    <w:p>
      <w:pPr>
        <w:pStyle w:val="47"/>
        <w:spacing w:line="360" w:lineRule="auto"/>
        <w:jc w:val="both"/>
        <w:rPr>
          <w:rFonts w:ascii="宋体" w:hAnsi="宋体" w:cs="Arial"/>
          <w:bCs/>
        </w:rPr>
      </w:pPr>
      <w:r>
        <w:rPr>
          <w:rFonts w:hint="eastAsia" w:ascii="宋体" w:hAnsi="宋体" w:cs="Arial"/>
          <w:bCs/>
        </w:rPr>
        <w:t>1、本项目公告、文件等内容的发布媒体为：中国政府采购网。</w:t>
      </w:r>
    </w:p>
    <w:p>
      <w:pPr>
        <w:pStyle w:val="47"/>
        <w:spacing w:line="360" w:lineRule="auto"/>
        <w:jc w:val="both"/>
        <w:rPr>
          <w:rFonts w:asciiTheme="minorEastAsia" w:hAnsiTheme="minorEastAsia"/>
        </w:rPr>
      </w:pPr>
      <w:r>
        <w:rPr>
          <w:rFonts w:asciiTheme="minorEastAsia" w:hAnsiTheme="minorEastAsia"/>
        </w:rPr>
        <w:br w:type="page"/>
      </w:r>
    </w:p>
    <w:p>
      <w:pPr>
        <w:spacing w:line="360" w:lineRule="auto"/>
        <w:jc w:val="left"/>
        <w:rPr>
          <w:rFonts w:asciiTheme="minorEastAsia" w:hAnsiTheme="minorEastAsia"/>
          <w:b/>
          <w:sz w:val="32"/>
          <w:szCs w:val="32"/>
        </w:rPr>
      </w:pPr>
      <w:r>
        <w:rPr>
          <w:rFonts w:asciiTheme="minorEastAsia" w:hAnsiTheme="minorEastAsia"/>
          <w:b/>
          <w:sz w:val="32"/>
          <w:szCs w:val="32"/>
        </w:rPr>
        <w:t>第二部分附件</w:t>
      </w:r>
    </w:p>
    <w:p>
      <w:pPr>
        <w:spacing w:line="360" w:lineRule="auto"/>
        <w:jc w:val="center"/>
        <w:rPr>
          <w:rFonts w:asciiTheme="minorEastAsia" w:hAnsiTheme="minorEastAsia"/>
          <w:b/>
          <w:sz w:val="32"/>
          <w:szCs w:val="32"/>
        </w:rPr>
      </w:pPr>
      <w:r>
        <w:rPr>
          <w:rFonts w:asciiTheme="minorEastAsia" w:hAnsiTheme="minorEastAsia"/>
          <w:b/>
          <w:sz w:val="32"/>
          <w:szCs w:val="32"/>
        </w:rPr>
        <w:t>项目需求书</w:t>
      </w:r>
    </w:p>
    <w:p>
      <w:pPr>
        <w:pStyle w:val="3"/>
        <w:jc w:val="left"/>
        <w:rPr>
          <w:sz w:val="24"/>
          <w:szCs w:val="24"/>
        </w:rPr>
      </w:pPr>
      <w:bookmarkStart w:id="11" w:name="_Toc332713880"/>
      <w:bookmarkStart w:id="12" w:name="_Toc100742920"/>
      <w:bookmarkStart w:id="13" w:name="_Toc9802"/>
      <w:bookmarkStart w:id="14" w:name="_Toc21658"/>
      <w:bookmarkStart w:id="15" w:name="_Toc298237424"/>
      <w:bookmarkStart w:id="16" w:name="_Toc290387328"/>
      <w:bookmarkStart w:id="17" w:name="_Toc298238906"/>
      <w:bookmarkStart w:id="18" w:name="_Toc443612334"/>
      <w:r>
        <w:rPr>
          <w:rFonts w:hint="eastAsia"/>
          <w:sz w:val="24"/>
          <w:szCs w:val="24"/>
        </w:rPr>
        <w:t>一、</w:t>
      </w:r>
      <w:r>
        <w:rPr>
          <w:sz w:val="24"/>
          <w:szCs w:val="24"/>
        </w:rPr>
        <w:t>概述</w:t>
      </w:r>
      <w:bookmarkEnd w:id="11"/>
      <w:bookmarkEnd w:id="12"/>
      <w:bookmarkEnd w:id="13"/>
      <w:bookmarkEnd w:id="14"/>
    </w:p>
    <w:p>
      <w:pPr>
        <w:pStyle w:val="4"/>
        <w:rPr>
          <w:rFonts w:ascii="Times New Roman" w:hAnsi="Times New Roman" w:eastAsia="宋体"/>
        </w:rPr>
      </w:pPr>
      <w:bookmarkStart w:id="19" w:name="_Toc332713881"/>
      <w:bookmarkStart w:id="20" w:name="_Toc100742921"/>
      <w:r>
        <w:rPr>
          <w:rFonts w:ascii="Times New Roman" w:hAnsi="Times New Roman" w:eastAsia="宋体"/>
        </w:rPr>
        <w:t>建设</w:t>
      </w:r>
      <w:bookmarkEnd w:id="15"/>
      <w:bookmarkEnd w:id="16"/>
      <w:bookmarkEnd w:id="17"/>
      <w:bookmarkEnd w:id="19"/>
      <w:r>
        <w:rPr>
          <w:rFonts w:ascii="Times New Roman" w:hAnsi="Times New Roman" w:eastAsia="宋体"/>
        </w:rPr>
        <w:t>目标</w:t>
      </w:r>
      <w:bookmarkEnd w:id="20"/>
    </w:p>
    <w:p>
      <w:pPr>
        <w:pStyle w:val="73"/>
        <w:ind w:firstLine="480"/>
        <w:rPr>
          <w:color w:val="auto"/>
          <w:kern w:val="0"/>
          <w:sz w:val="24"/>
          <w:szCs w:val="24"/>
        </w:rPr>
      </w:pPr>
      <w:r>
        <w:rPr>
          <w:rFonts w:hint="eastAsia"/>
          <w:color w:val="auto"/>
          <w:kern w:val="0"/>
          <w:sz w:val="24"/>
          <w:szCs w:val="24"/>
        </w:rPr>
        <w:t>建设全新的AIS/ASM国产数据中心，建设具备收发功能的AIS/ASM核心网系统，并在各辖区中心及海区中心部署，从而向不同类型用户就近提供整合AIS进口基站、国产AIS基站和新一代AIS基站数据的信息接口，实现AIS国产数据中心服务能力和可靠性全面提升，逐步实现SAAB系统的更新替代。</w:t>
      </w:r>
    </w:p>
    <w:p>
      <w:pPr>
        <w:pStyle w:val="4"/>
        <w:rPr>
          <w:rFonts w:ascii="Times New Roman" w:hAnsi="Times New Roman" w:eastAsia="宋体"/>
        </w:rPr>
      </w:pPr>
      <w:bookmarkStart w:id="21" w:name="_Toc100742922"/>
      <w:r>
        <w:rPr>
          <w:rFonts w:ascii="Times New Roman" w:hAnsi="Times New Roman" w:eastAsia="宋体"/>
        </w:rPr>
        <w:t>招标内容</w:t>
      </w:r>
      <w:bookmarkEnd w:id="21"/>
    </w:p>
    <w:p>
      <w:pPr>
        <w:spacing w:before="156" w:beforeLines="50" w:line="360" w:lineRule="auto"/>
        <w:ind w:firstLine="482"/>
        <w:rPr>
          <w:sz w:val="24"/>
        </w:rPr>
      </w:pPr>
      <w:r>
        <w:rPr>
          <w:sz w:val="24"/>
        </w:rPr>
        <w:t>本次招标具体内容如下：</w:t>
      </w:r>
    </w:p>
    <w:p>
      <w:pPr>
        <w:spacing w:before="156" w:beforeLines="50" w:line="360" w:lineRule="auto"/>
        <w:jc w:val="center"/>
        <w:rPr>
          <w:rFonts w:hAnsi="黑体"/>
          <w:szCs w:val="21"/>
        </w:rPr>
      </w:pPr>
      <w:r>
        <w:rPr>
          <w:rFonts w:hAnsi="黑体"/>
          <w:szCs w:val="21"/>
        </w:rPr>
        <w:t>表</w:t>
      </w:r>
      <w:r>
        <w:rPr>
          <w:szCs w:val="21"/>
        </w:rPr>
        <w:t xml:space="preserve">1-1  </w:t>
      </w:r>
      <w:r>
        <w:rPr>
          <w:rFonts w:hint="eastAsia"/>
        </w:rPr>
        <w:t>硬件设备</w:t>
      </w:r>
      <w:r>
        <w:rPr>
          <w:rFonts w:hint="eastAsia" w:hAnsi="黑体"/>
          <w:szCs w:val="21"/>
        </w:rPr>
        <w:t>购置</w:t>
      </w:r>
      <w:r>
        <w:rPr>
          <w:rFonts w:hAnsi="黑体"/>
          <w:szCs w:val="21"/>
        </w:rPr>
        <w:t>一览表</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2700"/>
        <w:gridCol w:w="995"/>
        <w:gridCol w:w="852"/>
        <w:gridCol w:w="3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1" w:type="pct"/>
            <w:vAlign w:val="center"/>
          </w:tcPr>
          <w:p>
            <w:pPr>
              <w:jc w:val="center"/>
              <w:rPr>
                <w:color w:val="000000"/>
              </w:rPr>
            </w:pPr>
            <w:r>
              <w:rPr>
                <w:rFonts w:hint="eastAsia"/>
                <w:color w:val="000000"/>
              </w:rPr>
              <w:t>序号</w:t>
            </w:r>
          </w:p>
        </w:tc>
        <w:tc>
          <w:tcPr>
            <w:tcW w:w="1584" w:type="pct"/>
            <w:vAlign w:val="center"/>
          </w:tcPr>
          <w:p>
            <w:pPr>
              <w:jc w:val="center"/>
              <w:rPr>
                <w:color w:val="000000"/>
              </w:rPr>
            </w:pPr>
            <w:r>
              <w:rPr>
                <w:color w:val="000000"/>
              </w:rPr>
              <w:t>名称</w:t>
            </w:r>
          </w:p>
        </w:tc>
        <w:tc>
          <w:tcPr>
            <w:tcW w:w="584" w:type="pct"/>
            <w:vAlign w:val="center"/>
          </w:tcPr>
          <w:p>
            <w:pPr>
              <w:jc w:val="center"/>
              <w:rPr>
                <w:color w:val="000000"/>
              </w:rPr>
            </w:pPr>
            <w:r>
              <w:rPr>
                <w:color w:val="000000"/>
              </w:rPr>
              <w:t>单位</w:t>
            </w:r>
          </w:p>
        </w:tc>
        <w:tc>
          <w:tcPr>
            <w:tcW w:w="500" w:type="pct"/>
            <w:vAlign w:val="center"/>
          </w:tcPr>
          <w:p>
            <w:pPr>
              <w:jc w:val="center"/>
              <w:rPr>
                <w:color w:val="000000"/>
              </w:rPr>
            </w:pPr>
            <w:r>
              <w:rPr>
                <w:color w:val="000000"/>
              </w:rPr>
              <w:t>数量</w:t>
            </w:r>
          </w:p>
        </w:tc>
        <w:tc>
          <w:tcPr>
            <w:tcW w:w="1851" w:type="pct"/>
            <w:vAlign w:val="center"/>
          </w:tcPr>
          <w:p>
            <w:pPr>
              <w:jc w:val="center"/>
              <w:rPr>
                <w:color w:val="000000"/>
              </w:rPr>
            </w:pPr>
            <w:r>
              <w:rPr>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1" w:type="pct"/>
            <w:vAlign w:val="center"/>
          </w:tcPr>
          <w:p>
            <w:pPr>
              <w:jc w:val="center"/>
              <w:rPr>
                <w:color w:val="000000"/>
              </w:rPr>
            </w:pPr>
            <w:r>
              <w:rPr>
                <w:color w:val="000000"/>
              </w:rPr>
              <w:t>1</w:t>
            </w:r>
          </w:p>
        </w:tc>
        <w:tc>
          <w:tcPr>
            <w:tcW w:w="1584" w:type="pct"/>
            <w:vAlign w:val="center"/>
          </w:tcPr>
          <w:p>
            <w:pPr>
              <w:jc w:val="center"/>
              <w:rPr>
                <w:color w:val="000000"/>
              </w:rPr>
            </w:pPr>
            <w:r>
              <w:rPr>
                <w:color w:val="000000"/>
              </w:rPr>
              <w:t>服务器（海区）</w:t>
            </w:r>
          </w:p>
        </w:tc>
        <w:tc>
          <w:tcPr>
            <w:tcW w:w="584" w:type="pct"/>
            <w:vAlign w:val="center"/>
          </w:tcPr>
          <w:p>
            <w:pPr>
              <w:jc w:val="center"/>
              <w:rPr>
                <w:color w:val="000000"/>
              </w:rPr>
            </w:pPr>
            <w:r>
              <w:rPr>
                <w:color w:val="000000"/>
              </w:rPr>
              <w:t>台</w:t>
            </w:r>
          </w:p>
        </w:tc>
        <w:tc>
          <w:tcPr>
            <w:tcW w:w="500" w:type="pct"/>
            <w:vAlign w:val="center"/>
          </w:tcPr>
          <w:p>
            <w:pPr>
              <w:jc w:val="center"/>
              <w:rPr>
                <w:color w:val="000000"/>
              </w:rPr>
            </w:pPr>
            <w:r>
              <w:rPr>
                <w:color w:val="000000"/>
              </w:rPr>
              <w:t>1</w:t>
            </w:r>
          </w:p>
        </w:tc>
        <w:tc>
          <w:tcPr>
            <w:tcW w:w="1851" w:type="pct"/>
            <w:vAlign w:val="center"/>
          </w:tcPr>
          <w:p>
            <w:pPr>
              <w:jc w:val="center"/>
              <w:rPr>
                <w:color w:val="000000"/>
              </w:rPr>
            </w:pPr>
            <w:r>
              <w:rPr>
                <w:color w:val="000000"/>
              </w:rPr>
              <w:t>海区中心1台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1" w:type="pct"/>
            <w:vAlign w:val="center"/>
          </w:tcPr>
          <w:p>
            <w:pPr>
              <w:jc w:val="center"/>
              <w:rPr>
                <w:color w:val="000000"/>
              </w:rPr>
            </w:pPr>
            <w:r>
              <w:rPr>
                <w:color w:val="000000"/>
              </w:rPr>
              <w:t>2</w:t>
            </w:r>
          </w:p>
        </w:tc>
        <w:tc>
          <w:tcPr>
            <w:tcW w:w="1584" w:type="pct"/>
            <w:vAlign w:val="center"/>
          </w:tcPr>
          <w:p>
            <w:pPr>
              <w:jc w:val="center"/>
              <w:rPr>
                <w:color w:val="000000"/>
              </w:rPr>
            </w:pPr>
            <w:r>
              <w:rPr>
                <w:color w:val="000000"/>
              </w:rPr>
              <w:t>服务器（辖区）</w:t>
            </w:r>
          </w:p>
        </w:tc>
        <w:tc>
          <w:tcPr>
            <w:tcW w:w="584" w:type="pct"/>
            <w:vAlign w:val="center"/>
          </w:tcPr>
          <w:p>
            <w:pPr>
              <w:jc w:val="center"/>
              <w:rPr>
                <w:color w:val="000000"/>
              </w:rPr>
            </w:pPr>
            <w:r>
              <w:rPr>
                <w:color w:val="000000"/>
              </w:rPr>
              <w:t>台</w:t>
            </w:r>
          </w:p>
        </w:tc>
        <w:tc>
          <w:tcPr>
            <w:tcW w:w="500" w:type="pct"/>
            <w:vAlign w:val="center"/>
          </w:tcPr>
          <w:p>
            <w:pPr>
              <w:jc w:val="center"/>
              <w:rPr>
                <w:color w:val="000000"/>
              </w:rPr>
            </w:pPr>
            <w:r>
              <w:rPr>
                <w:color w:val="000000"/>
              </w:rPr>
              <w:t>18</w:t>
            </w:r>
          </w:p>
        </w:tc>
        <w:tc>
          <w:tcPr>
            <w:tcW w:w="1851" w:type="pct"/>
            <w:vAlign w:val="center"/>
          </w:tcPr>
          <w:p>
            <w:pPr>
              <w:jc w:val="center"/>
              <w:rPr>
                <w:color w:val="000000"/>
              </w:rPr>
            </w:pPr>
            <w:r>
              <w:rPr>
                <w:color w:val="000000"/>
              </w:rPr>
              <w:t>6辖区中心，每辖区3台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1" w:type="pct"/>
            <w:vAlign w:val="center"/>
          </w:tcPr>
          <w:p>
            <w:pPr>
              <w:jc w:val="center"/>
              <w:rPr>
                <w:color w:val="000000"/>
              </w:rPr>
            </w:pPr>
            <w:r>
              <w:rPr>
                <w:color w:val="000000"/>
              </w:rPr>
              <w:t>3</w:t>
            </w:r>
          </w:p>
        </w:tc>
        <w:tc>
          <w:tcPr>
            <w:tcW w:w="1584" w:type="pct"/>
            <w:vAlign w:val="center"/>
          </w:tcPr>
          <w:p>
            <w:pPr>
              <w:jc w:val="center"/>
              <w:rPr>
                <w:color w:val="000000"/>
              </w:rPr>
            </w:pPr>
            <w:r>
              <w:rPr>
                <w:color w:val="000000"/>
              </w:rPr>
              <w:t>交换机（辖区）</w:t>
            </w:r>
          </w:p>
        </w:tc>
        <w:tc>
          <w:tcPr>
            <w:tcW w:w="584" w:type="pct"/>
            <w:vAlign w:val="center"/>
          </w:tcPr>
          <w:p>
            <w:pPr>
              <w:jc w:val="center"/>
              <w:rPr>
                <w:color w:val="000000"/>
              </w:rPr>
            </w:pPr>
            <w:r>
              <w:rPr>
                <w:color w:val="000000"/>
              </w:rPr>
              <w:t>台</w:t>
            </w:r>
          </w:p>
        </w:tc>
        <w:tc>
          <w:tcPr>
            <w:tcW w:w="500" w:type="pct"/>
            <w:vAlign w:val="center"/>
          </w:tcPr>
          <w:p>
            <w:pPr>
              <w:jc w:val="center"/>
              <w:rPr>
                <w:color w:val="000000"/>
              </w:rPr>
            </w:pPr>
            <w:r>
              <w:rPr>
                <w:color w:val="000000"/>
              </w:rPr>
              <w:t>6</w:t>
            </w:r>
          </w:p>
        </w:tc>
        <w:tc>
          <w:tcPr>
            <w:tcW w:w="1851" w:type="pct"/>
            <w:vAlign w:val="center"/>
          </w:tcPr>
          <w:p>
            <w:pPr>
              <w:jc w:val="center"/>
              <w:rPr>
                <w:color w:val="000000"/>
              </w:rPr>
            </w:pPr>
            <w:r>
              <w:rPr>
                <w:color w:val="000000"/>
              </w:rPr>
              <w:t>6辖区中心，每辖区1台</w:t>
            </w:r>
          </w:p>
        </w:tc>
      </w:tr>
    </w:tbl>
    <w:p>
      <w:pPr>
        <w:spacing w:before="156" w:beforeLines="50" w:line="360" w:lineRule="auto"/>
        <w:jc w:val="center"/>
        <w:rPr>
          <w:szCs w:val="21"/>
        </w:rPr>
      </w:pPr>
      <w:bookmarkStart w:id="22" w:name="_Toc454875893"/>
      <w:r>
        <w:rPr>
          <w:rFonts w:hint="eastAsia" w:hAnsi="黑体"/>
          <w:szCs w:val="21"/>
        </w:rPr>
        <w:t>表</w:t>
      </w:r>
      <w:r>
        <w:rPr>
          <w:rFonts w:hint="eastAsia"/>
          <w:szCs w:val="21"/>
        </w:rPr>
        <w:t xml:space="preserve">1-2 </w:t>
      </w:r>
      <w:bookmarkEnd w:id="22"/>
      <w:r>
        <w:rPr>
          <w:rFonts w:hint="eastAsia"/>
          <w:szCs w:val="21"/>
        </w:rPr>
        <w:t>软件系统开发一览表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585"/>
        <w:gridCol w:w="1984"/>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
                <w:bCs/>
                <w:color w:val="000000"/>
                <w:sz w:val="20"/>
                <w:szCs w:val="20"/>
              </w:rPr>
            </w:pPr>
            <w:r>
              <w:rPr>
                <w:rFonts w:hint="eastAsia" w:cs="宋体"/>
                <w:b/>
                <w:bCs/>
                <w:color w:val="000000"/>
                <w:sz w:val="20"/>
                <w:szCs w:val="20"/>
              </w:rPr>
              <w:t>序号</w:t>
            </w:r>
          </w:p>
        </w:tc>
        <w:tc>
          <w:tcPr>
            <w:tcW w:w="3585" w:type="dxa"/>
            <w:vAlign w:val="center"/>
          </w:tcPr>
          <w:p>
            <w:pPr>
              <w:jc w:val="center"/>
              <w:rPr>
                <w:rFonts w:cs="宋体"/>
                <w:b/>
                <w:bCs/>
                <w:color w:val="000000"/>
                <w:sz w:val="20"/>
                <w:szCs w:val="20"/>
              </w:rPr>
            </w:pPr>
            <w:r>
              <w:rPr>
                <w:rFonts w:hint="eastAsia"/>
                <w:b/>
                <w:bCs/>
                <w:color w:val="000000"/>
                <w:sz w:val="20"/>
                <w:szCs w:val="20"/>
              </w:rPr>
              <w:t>子系统</w:t>
            </w:r>
          </w:p>
        </w:tc>
        <w:tc>
          <w:tcPr>
            <w:tcW w:w="1984" w:type="dxa"/>
            <w:vAlign w:val="center"/>
          </w:tcPr>
          <w:p>
            <w:pPr>
              <w:jc w:val="center"/>
              <w:rPr>
                <w:rFonts w:cs="宋体"/>
                <w:b/>
                <w:bCs/>
                <w:color w:val="000000"/>
                <w:sz w:val="20"/>
                <w:szCs w:val="20"/>
              </w:rPr>
            </w:pPr>
            <w:r>
              <w:rPr>
                <w:rFonts w:hint="eastAsia"/>
                <w:b/>
                <w:bCs/>
                <w:color w:val="000000"/>
                <w:sz w:val="20"/>
                <w:szCs w:val="20"/>
              </w:rPr>
              <w:t>数量</w:t>
            </w:r>
          </w:p>
        </w:tc>
        <w:tc>
          <w:tcPr>
            <w:tcW w:w="2013" w:type="dxa"/>
            <w:vAlign w:val="center"/>
          </w:tcPr>
          <w:p>
            <w:pPr>
              <w:jc w:val="center"/>
              <w:rPr>
                <w:rFonts w:cs="宋体"/>
                <w:b/>
                <w:bCs/>
                <w:color w:val="000000"/>
                <w:sz w:val="20"/>
                <w:szCs w:val="20"/>
              </w:rPr>
            </w:pPr>
            <w:r>
              <w:rPr>
                <w:rFonts w:hint="eastAsia" w:cs="宋体"/>
                <w:b/>
                <w:bCs/>
                <w:color w:val="00000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1</w:t>
            </w:r>
          </w:p>
        </w:tc>
        <w:tc>
          <w:tcPr>
            <w:tcW w:w="3585" w:type="dxa"/>
            <w:vAlign w:val="center"/>
          </w:tcPr>
          <w:p>
            <w:pPr>
              <w:jc w:val="center"/>
              <w:rPr>
                <w:rFonts w:cs="宋体"/>
                <w:bCs/>
                <w:color w:val="000000"/>
                <w:sz w:val="20"/>
                <w:szCs w:val="20"/>
              </w:rPr>
            </w:pPr>
            <w:r>
              <w:rPr>
                <w:rFonts w:hint="eastAsia" w:cs="宋体"/>
                <w:bCs/>
                <w:color w:val="000000"/>
                <w:sz w:val="20"/>
                <w:szCs w:val="20"/>
              </w:rPr>
              <w:t>AIS</w:t>
            </w:r>
            <w:r>
              <w:rPr>
                <w:rFonts w:cs="宋体"/>
                <w:bCs/>
                <w:color w:val="000000"/>
                <w:sz w:val="20"/>
                <w:szCs w:val="20"/>
              </w:rPr>
              <w:t>/ASM</w:t>
            </w:r>
            <w:r>
              <w:rPr>
                <w:rFonts w:hint="eastAsia" w:cs="宋体"/>
                <w:bCs/>
                <w:color w:val="000000"/>
                <w:sz w:val="20"/>
                <w:szCs w:val="20"/>
              </w:rPr>
              <w:t>国产化核心网系统</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cs="宋体"/>
                <w:bCs/>
                <w:color w:val="000000"/>
                <w:sz w:val="20"/>
                <w:szCs w:val="20"/>
              </w:rPr>
              <w:t>1.1</w:t>
            </w:r>
          </w:p>
        </w:tc>
        <w:tc>
          <w:tcPr>
            <w:tcW w:w="3585" w:type="dxa"/>
            <w:vAlign w:val="center"/>
          </w:tcPr>
          <w:p>
            <w:pPr>
              <w:jc w:val="center"/>
              <w:rPr>
                <w:rFonts w:cs="宋体"/>
                <w:bCs/>
                <w:color w:val="000000"/>
                <w:sz w:val="20"/>
                <w:szCs w:val="20"/>
              </w:rPr>
            </w:pPr>
            <w:r>
              <w:rPr>
                <w:rFonts w:hint="eastAsia" w:cs="宋体"/>
                <w:bCs/>
                <w:color w:val="000000"/>
                <w:sz w:val="20"/>
                <w:szCs w:val="20"/>
              </w:rPr>
              <w:t>接口服务子系统</w:t>
            </w:r>
          </w:p>
        </w:tc>
        <w:tc>
          <w:tcPr>
            <w:tcW w:w="1984" w:type="dxa"/>
            <w:vAlign w:val="center"/>
          </w:tcPr>
          <w:p>
            <w:pPr>
              <w:jc w:val="center"/>
              <w:rPr>
                <w:rFonts w:cs="宋体"/>
                <w:bCs/>
                <w:color w:val="000000"/>
                <w:sz w:val="20"/>
                <w:szCs w:val="20"/>
              </w:rPr>
            </w:pPr>
            <w:r>
              <w:rPr>
                <w:color w:val="000000"/>
                <w:sz w:val="20"/>
                <w:szCs w:val="20"/>
              </w:rPr>
              <w:t>1</w:t>
            </w:r>
          </w:p>
        </w:tc>
        <w:tc>
          <w:tcPr>
            <w:tcW w:w="2013" w:type="dxa"/>
            <w:vAlign w:val="center"/>
          </w:tcPr>
          <w:p>
            <w:pPr>
              <w:jc w:val="center"/>
              <w:rPr>
                <w:rFonts w:cs="宋体"/>
                <w:bCs/>
                <w:color w:val="000000"/>
                <w:sz w:val="20"/>
                <w:szCs w:val="20"/>
              </w:rPr>
            </w:pPr>
            <w:r>
              <w:rPr>
                <w:rFonts w:hint="eastAsia" w:cs="宋体"/>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cs="宋体"/>
                <w:bCs/>
                <w:color w:val="000000"/>
                <w:sz w:val="20"/>
                <w:szCs w:val="20"/>
              </w:rPr>
              <w:t>1.2</w:t>
            </w:r>
          </w:p>
        </w:tc>
        <w:tc>
          <w:tcPr>
            <w:tcW w:w="3585" w:type="dxa"/>
            <w:vAlign w:val="center"/>
          </w:tcPr>
          <w:p>
            <w:pPr>
              <w:jc w:val="center"/>
              <w:rPr>
                <w:rFonts w:cs="宋体"/>
                <w:bCs/>
                <w:color w:val="000000"/>
                <w:sz w:val="20"/>
                <w:szCs w:val="20"/>
              </w:rPr>
            </w:pPr>
            <w:r>
              <w:rPr>
                <w:rFonts w:hint="eastAsia"/>
                <w:color w:val="000000"/>
                <w:sz w:val="20"/>
                <w:szCs w:val="20"/>
              </w:rPr>
              <w:t>核心网管理服务子系统</w:t>
            </w:r>
          </w:p>
        </w:tc>
        <w:tc>
          <w:tcPr>
            <w:tcW w:w="1984" w:type="dxa"/>
            <w:vAlign w:val="center"/>
          </w:tcPr>
          <w:p>
            <w:pPr>
              <w:jc w:val="center"/>
              <w:rPr>
                <w:rFonts w:cs="宋体"/>
                <w:bCs/>
                <w:color w:val="000000"/>
                <w:sz w:val="20"/>
                <w:szCs w:val="20"/>
              </w:rPr>
            </w:pPr>
            <w:r>
              <w:rPr>
                <w:color w:val="000000"/>
                <w:sz w:val="20"/>
                <w:szCs w:val="20"/>
              </w:rPr>
              <w:t>1</w:t>
            </w:r>
          </w:p>
        </w:tc>
        <w:tc>
          <w:tcPr>
            <w:tcW w:w="2013" w:type="dxa"/>
            <w:vAlign w:val="center"/>
          </w:tcPr>
          <w:p>
            <w:pPr>
              <w:jc w:val="center"/>
              <w:rPr>
                <w:rFonts w:cs="宋体"/>
                <w:bCs/>
                <w:color w:val="000000"/>
                <w:sz w:val="20"/>
                <w:szCs w:val="20"/>
              </w:rPr>
            </w:pPr>
            <w:r>
              <w:rPr>
                <w:rFonts w:hint="eastAsia" w:cs="宋体"/>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cs="宋体"/>
                <w:bCs/>
                <w:color w:val="000000"/>
                <w:sz w:val="20"/>
                <w:szCs w:val="20"/>
              </w:rPr>
              <w:t>1.3</w:t>
            </w:r>
          </w:p>
        </w:tc>
        <w:tc>
          <w:tcPr>
            <w:tcW w:w="3585" w:type="dxa"/>
            <w:vAlign w:val="center"/>
          </w:tcPr>
          <w:p>
            <w:pPr>
              <w:jc w:val="center"/>
              <w:rPr>
                <w:rFonts w:cs="宋体"/>
                <w:bCs/>
                <w:color w:val="000000"/>
                <w:sz w:val="20"/>
                <w:szCs w:val="20"/>
              </w:rPr>
            </w:pPr>
            <w:r>
              <w:rPr>
                <w:rFonts w:hint="eastAsia" w:cs="宋体"/>
                <w:bCs/>
                <w:color w:val="000000"/>
                <w:sz w:val="20"/>
                <w:szCs w:val="20"/>
              </w:rPr>
              <w:t>基站驱动服务子系统</w:t>
            </w:r>
          </w:p>
        </w:tc>
        <w:tc>
          <w:tcPr>
            <w:tcW w:w="1984" w:type="dxa"/>
            <w:vAlign w:val="center"/>
          </w:tcPr>
          <w:p>
            <w:pPr>
              <w:jc w:val="center"/>
              <w:rPr>
                <w:rFonts w:cs="宋体"/>
                <w:bCs/>
                <w:color w:val="000000"/>
                <w:sz w:val="20"/>
                <w:szCs w:val="20"/>
              </w:rPr>
            </w:pPr>
            <w:r>
              <w:rPr>
                <w:rFonts w:hint="eastAsia" w:cs="宋体"/>
                <w:bCs/>
                <w:color w:val="000000"/>
                <w:sz w:val="20"/>
                <w:szCs w:val="20"/>
              </w:rPr>
              <w:t>1</w:t>
            </w:r>
          </w:p>
        </w:tc>
        <w:tc>
          <w:tcPr>
            <w:tcW w:w="2013" w:type="dxa"/>
            <w:vAlign w:val="center"/>
          </w:tcPr>
          <w:p>
            <w:pPr>
              <w:jc w:val="center"/>
              <w:rPr>
                <w:rFonts w:cs="宋体"/>
                <w:bCs/>
                <w:color w:val="000000"/>
                <w:sz w:val="20"/>
                <w:szCs w:val="20"/>
              </w:rPr>
            </w:pPr>
            <w:r>
              <w:rPr>
                <w:rFonts w:hint="eastAsia" w:cs="宋体"/>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cs="宋体"/>
                <w:bCs/>
                <w:color w:val="000000"/>
                <w:sz w:val="20"/>
                <w:szCs w:val="20"/>
              </w:rPr>
              <w:t>1.4</w:t>
            </w:r>
          </w:p>
        </w:tc>
        <w:tc>
          <w:tcPr>
            <w:tcW w:w="3585" w:type="dxa"/>
            <w:vAlign w:val="center"/>
          </w:tcPr>
          <w:p>
            <w:pPr>
              <w:jc w:val="center"/>
              <w:rPr>
                <w:rFonts w:cs="宋体"/>
                <w:bCs/>
                <w:color w:val="000000"/>
                <w:sz w:val="20"/>
                <w:szCs w:val="20"/>
              </w:rPr>
            </w:pPr>
            <w:r>
              <w:rPr>
                <w:rFonts w:hint="eastAsia" w:cs="宋体"/>
                <w:bCs/>
                <w:color w:val="000000"/>
                <w:sz w:val="20"/>
                <w:szCs w:val="20"/>
              </w:rPr>
              <w:t>数据对比测试子系统</w:t>
            </w:r>
          </w:p>
        </w:tc>
        <w:tc>
          <w:tcPr>
            <w:tcW w:w="1984" w:type="dxa"/>
            <w:vAlign w:val="center"/>
          </w:tcPr>
          <w:p>
            <w:pPr>
              <w:jc w:val="center"/>
              <w:rPr>
                <w:rFonts w:cs="宋体"/>
                <w:bCs/>
                <w:color w:val="000000"/>
                <w:sz w:val="20"/>
                <w:szCs w:val="20"/>
              </w:rPr>
            </w:pPr>
            <w:r>
              <w:rPr>
                <w:rFonts w:hint="eastAsia" w:cs="宋体"/>
                <w:bCs/>
                <w:color w:val="000000"/>
                <w:sz w:val="20"/>
                <w:szCs w:val="20"/>
              </w:rPr>
              <w:t>1</w:t>
            </w:r>
          </w:p>
        </w:tc>
        <w:tc>
          <w:tcPr>
            <w:tcW w:w="2013" w:type="dxa"/>
            <w:vAlign w:val="center"/>
          </w:tcPr>
          <w:p>
            <w:pPr>
              <w:jc w:val="center"/>
              <w:rPr>
                <w:rFonts w:cs="宋体"/>
                <w:bCs/>
                <w:color w:val="000000"/>
                <w:sz w:val="20"/>
                <w:szCs w:val="20"/>
              </w:rPr>
            </w:pPr>
            <w:r>
              <w:rPr>
                <w:rFonts w:hint="eastAsia" w:cs="宋体"/>
                <w:bCs/>
                <w:color w:val="000000"/>
                <w:sz w:val="20"/>
                <w:szCs w:val="20"/>
              </w:rPr>
              <w:t>项</w:t>
            </w:r>
          </w:p>
        </w:tc>
      </w:tr>
    </w:tbl>
    <w:p>
      <w:pPr>
        <w:spacing w:before="156" w:beforeLines="50" w:line="360" w:lineRule="auto"/>
        <w:rPr>
          <w:kern w:val="0"/>
          <w:sz w:val="24"/>
        </w:rPr>
      </w:pPr>
      <w:r>
        <w:rPr>
          <w:kern w:val="0"/>
          <w:sz w:val="24"/>
        </w:rPr>
        <w:t>具体内容包括：</w:t>
      </w:r>
    </w:p>
    <w:p>
      <w:pPr>
        <w:pStyle w:val="73"/>
        <w:ind w:firstLine="482"/>
        <w:rPr>
          <w:b/>
          <w:color w:val="auto"/>
          <w:kern w:val="0"/>
          <w:sz w:val="24"/>
          <w:szCs w:val="24"/>
        </w:rPr>
      </w:pPr>
      <w:r>
        <w:rPr>
          <w:rFonts w:hint="eastAsia"/>
          <w:b/>
          <w:color w:val="auto"/>
          <w:kern w:val="0"/>
          <w:sz w:val="24"/>
          <w:szCs w:val="24"/>
        </w:rPr>
        <w:t>（1</w:t>
      </w:r>
      <w:r>
        <w:rPr>
          <w:b/>
          <w:color w:val="auto"/>
          <w:kern w:val="0"/>
          <w:sz w:val="24"/>
          <w:szCs w:val="24"/>
        </w:rPr>
        <w:t>）</w:t>
      </w:r>
      <w:r>
        <w:rPr>
          <w:rFonts w:hint="eastAsia"/>
          <w:b/>
          <w:color w:val="auto"/>
          <w:kern w:val="0"/>
          <w:sz w:val="24"/>
          <w:szCs w:val="24"/>
        </w:rPr>
        <w:t>国产数据中心硬件设备</w:t>
      </w:r>
    </w:p>
    <w:p>
      <w:pPr>
        <w:pStyle w:val="73"/>
        <w:ind w:firstLine="480"/>
        <w:rPr>
          <w:color w:val="auto"/>
          <w:kern w:val="0"/>
          <w:sz w:val="24"/>
          <w:szCs w:val="24"/>
        </w:rPr>
      </w:pPr>
      <w:r>
        <w:rPr>
          <w:rFonts w:hint="eastAsia"/>
          <w:color w:val="auto"/>
          <w:kern w:val="0"/>
          <w:sz w:val="24"/>
          <w:szCs w:val="24"/>
        </w:rPr>
        <w:t>在AIS辖区中心部署国产数据中心服务系统，实现对国产基站和进口基站的全部接入。辖区国产数据中心采集的数据经过整合、过滤和清洗，送至海区国产数据中心服务器，实现对全海区数据的整合，并提供给海事用户使用。在此阶段，基站同时向SAAB系统和国产数据中心传送数据，SAAB进口数据中心并行运行，SAAB系统仍然拥有所有基站的AIS数据，可在几分钟内上线提供服务。两套系统同时保持服务能力，可使得系统建设的风险降到最低，确保AIS系统运行的连续性和可靠性。拟在海区新增服务器1台，在辖区新增服务器1</w:t>
      </w:r>
      <w:r>
        <w:rPr>
          <w:color w:val="auto"/>
          <w:kern w:val="0"/>
          <w:sz w:val="24"/>
          <w:szCs w:val="24"/>
        </w:rPr>
        <w:t>8</w:t>
      </w:r>
      <w:r>
        <w:rPr>
          <w:rFonts w:hint="eastAsia"/>
          <w:color w:val="auto"/>
          <w:kern w:val="0"/>
          <w:sz w:val="24"/>
          <w:szCs w:val="24"/>
        </w:rPr>
        <w:t>台，在辖区新增交换机6台。</w:t>
      </w:r>
    </w:p>
    <w:p>
      <w:pPr>
        <w:pStyle w:val="73"/>
        <w:ind w:firstLine="482"/>
        <w:rPr>
          <w:b/>
          <w:color w:val="auto"/>
          <w:kern w:val="0"/>
          <w:sz w:val="24"/>
          <w:szCs w:val="24"/>
        </w:rPr>
      </w:pPr>
      <w:r>
        <w:rPr>
          <w:rFonts w:hint="eastAsia"/>
          <w:b/>
          <w:color w:val="auto"/>
          <w:kern w:val="0"/>
          <w:sz w:val="24"/>
          <w:szCs w:val="24"/>
        </w:rPr>
        <w:t>（2）AIS</w:t>
      </w:r>
      <w:r>
        <w:rPr>
          <w:b/>
          <w:color w:val="auto"/>
          <w:kern w:val="0"/>
          <w:sz w:val="24"/>
          <w:szCs w:val="24"/>
        </w:rPr>
        <w:t>/</w:t>
      </w:r>
      <w:r>
        <w:rPr>
          <w:rFonts w:hint="eastAsia"/>
          <w:b/>
          <w:color w:val="auto"/>
          <w:kern w:val="0"/>
          <w:sz w:val="24"/>
          <w:szCs w:val="24"/>
        </w:rPr>
        <w:t>ASM国产化核心网系统</w:t>
      </w:r>
    </w:p>
    <w:p>
      <w:pPr>
        <w:pStyle w:val="73"/>
        <w:ind w:firstLine="482"/>
        <w:rPr>
          <w:b/>
          <w:color w:val="auto"/>
          <w:kern w:val="0"/>
          <w:sz w:val="24"/>
          <w:szCs w:val="24"/>
        </w:rPr>
      </w:pPr>
      <w:r>
        <w:rPr>
          <w:rFonts w:hint="eastAsia"/>
          <w:b/>
          <w:color w:val="auto"/>
          <w:kern w:val="0"/>
          <w:sz w:val="24"/>
          <w:szCs w:val="24"/>
        </w:rPr>
        <w:t>一、接口服务子系统</w:t>
      </w:r>
    </w:p>
    <w:p>
      <w:pPr>
        <w:pStyle w:val="73"/>
        <w:ind w:firstLine="480"/>
        <w:rPr>
          <w:color w:val="auto"/>
          <w:kern w:val="0"/>
          <w:sz w:val="24"/>
          <w:szCs w:val="24"/>
        </w:rPr>
      </w:pPr>
      <w:r>
        <w:rPr>
          <w:color w:val="auto"/>
          <w:kern w:val="0"/>
          <w:sz w:val="24"/>
          <w:szCs w:val="24"/>
        </w:rPr>
        <w:t>开发</w:t>
      </w:r>
      <w:r>
        <w:rPr>
          <w:rFonts w:hint="eastAsia"/>
          <w:color w:val="auto"/>
          <w:kern w:val="0"/>
          <w:sz w:val="24"/>
          <w:szCs w:val="24"/>
        </w:rPr>
        <w:t>接口服务子系统，提供人机交互和用户接口服务功能。人机交互服务提供了人机交互操作界面（UI）、二进制数据收发操作、数据展示界面以及相应的配置管理。人机交互服务实现系统管理员与AIS/ASM国产化核心网系统之间的交互，主要包含基站可视化管理，用户可视化管理，AIS船舶数据可视化管理等功能。用户接口服务为不同的系统用户提供数据服务，除了现有的AIS数据服务外，同时扩展ASM数据服务。</w:t>
      </w:r>
    </w:p>
    <w:p>
      <w:pPr>
        <w:pStyle w:val="73"/>
        <w:ind w:firstLine="482"/>
        <w:rPr>
          <w:b/>
          <w:color w:val="auto"/>
          <w:kern w:val="0"/>
          <w:sz w:val="24"/>
          <w:szCs w:val="24"/>
        </w:rPr>
      </w:pPr>
      <w:r>
        <w:rPr>
          <w:rFonts w:hint="eastAsia"/>
          <w:b/>
          <w:color w:val="auto"/>
          <w:kern w:val="0"/>
          <w:sz w:val="24"/>
          <w:szCs w:val="24"/>
        </w:rPr>
        <w:t>二、核心网管理服务子系统</w:t>
      </w:r>
    </w:p>
    <w:p>
      <w:pPr>
        <w:pStyle w:val="73"/>
        <w:ind w:firstLine="480"/>
        <w:rPr>
          <w:color w:val="auto"/>
          <w:kern w:val="0"/>
          <w:sz w:val="24"/>
          <w:szCs w:val="24"/>
        </w:rPr>
      </w:pPr>
      <w:r>
        <w:rPr>
          <w:rFonts w:hint="eastAsia"/>
          <w:color w:val="auto"/>
          <w:kern w:val="0"/>
          <w:sz w:val="24"/>
          <w:szCs w:val="24"/>
        </w:rPr>
        <w:t>开发核心网管理服务子系统，实现核心网的基础管理功能。包括业务数据接口服务、驱动数据接口服务、语句生成服务、语句解析及清洗服务、数据存储服务、数据流监控服务、QoS控制服务、基站资源协调服务、安全网关服务、核心网路由服务、核心网间交换服务、数据对比测试服务。</w:t>
      </w:r>
    </w:p>
    <w:p>
      <w:pPr>
        <w:pStyle w:val="73"/>
        <w:ind w:firstLine="482"/>
        <w:rPr>
          <w:b/>
          <w:color w:val="auto"/>
          <w:kern w:val="0"/>
          <w:sz w:val="24"/>
          <w:szCs w:val="24"/>
        </w:rPr>
      </w:pPr>
      <w:r>
        <w:rPr>
          <w:rFonts w:hint="eastAsia"/>
          <w:b/>
          <w:color w:val="auto"/>
          <w:kern w:val="0"/>
          <w:sz w:val="24"/>
          <w:szCs w:val="24"/>
        </w:rPr>
        <w:t>三、基站驱动子系统</w:t>
      </w:r>
    </w:p>
    <w:p>
      <w:pPr>
        <w:pStyle w:val="73"/>
        <w:ind w:firstLine="480"/>
        <w:rPr>
          <w:color w:val="auto"/>
          <w:kern w:val="0"/>
          <w:sz w:val="24"/>
          <w:szCs w:val="24"/>
        </w:rPr>
      </w:pPr>
      <w:r>
        <w:rPr>
          <w:rFonts w:hint="eastAsia"/>
          <w:color w:val="auto"/>
          <w:kern w:val="0"/>
          <w:sz w:val="24"/>
          <w:szCs w:val="24"/>
        </w:rPr>
        <w:t>开发基站驱动子系统，实现与基站终端的数据连接、消息收发功能。包括AIS信道消息处理服务、ASM信道消息处理服务、基站管理消息处理服务、消息格式适配服务、基站消息格式管理服务、终端连接服务。</w:t>
      </w:r>
    </w:p>
    <w:p>
      <w:pPr>
        <w:pStyle w:val="73"/>
        <w:ind w:firstLine="482"/>
        <w:rPr>
          <w:b/>
          <w:color w:val="auto"/>
          <w:kern w:val="0"/>
          <w:sz w:val="24"/>
          <w:szCs w:val="24"/>
        </w:rPr>
      </w:pPr>
      <w:r>
        <w:rPr>
          <w:rFonts w:hint="eastAsia"/>
          <w:b/>
          <w:color w:val="auto"/>
          <w:kern w:val="0"/>
          <w:sz w:val="24"/>
          <w:szCs w:val="24"/>
        </w:rPr>
        <w:t>四、数据对比测试子系统</w:t>
      </w:r>
    </w:p>
    <w:p>
      <w:pPr>
        <w:pStyle w:val="73"/>
        <w:ind w:firstLine="480"/>
        <w:rPr>
          <w:color w:val="auto"/>
          <w:kern w:val="0"/>
          <w:sz w:val="24"/>
          <w:szCs w:val="24"/>
        </w:rPr>
      </w:pPr>
      <w:r>
        <w:rPr>
          <w:rFonts w:hint="eastAsia"/>
          <w:color w:val="auto"/>
          <w:kern w:val="0"/>
          <w:sz w:val="24"/>
          <w:szCs w:val="24"/>
        </w:rPr>
        <w:t>开发数据对比测试子系统，实现系统间数据对比测试、验证核心网数据库性能是否可满足当前数量的基站或辖区中心运行要求。验证核心网系统的用户应用接口承载能力。</w:t>
      </w:r>
    </w:p>
    <w:p>
      <w:pPr>
        <w:pStyle w:val="4"/>
        <w:rPr>
          <w:rFonts w:ascii="Times New Roman" w:hAnsi="Times New Roman" w:eastAsia="宋体"/>
        </w:rPr>
      </w:pPr>
      <w:bookmarkStart w:id="23" w:name="_Toc338059593"/>
      <w:bookmarkEnd w:id="23"/>
      <w:bookmarkStart w:id="24" w:name="_Toc338059934"/>
      <w:bookmarkEnd w:id="24"/>
      <w:bookmarkStart w:id="25" w:name="_Toc338059493"/>
      <w:bookmarkEnd w:id="25"/>
      <w:bookmarkStart w:id="26" w:name="_Toc100742923"/>
      <w:r>
        <w:rPr>
          <w:rFonts w:ascii="Times New Roman" w:hAnsi="Times New Roman" w:eastAsia="宋体"/>
        </w:rPr>
        <w:t>建设原则</w:t>
      </w:r>
      <w:bookmarkEnd w:id="26"/>
    </w:p>
    <w:p>
      <w:pPr>
        <w:pStyle w:val="73"/>
        <w:ind w:firstLine="480"/>
        <w:rPr>
          <w:color w:val="auto"/>
          <w:kern w:val="0"/>
          <w:sz w:val="24"/>
          <w:szCs w:val="24"/>
        </w:rPr>
      </w:pPr>
      <w:r>
        <w:rPr>
          <w:rFonts w:hint="eastAsia"/>
          <w:color w:val="auto"/>
          <w:kern w:val="0"/>
          <w:sz w:val="24"/>
          <w:szCs w:val="24"/>
        </w:rPr>
        <w:t>（1）系统兼容性</w:t>
      </w:r>
    </w:p>
    <w:p>
      <w:pPr>
        <w:pStyle w:val="73"/>
        <w:ind w:firstLine="480"/>
        <w:rPr>
          <w:color w:val="auto"/>
          <w:kern w:val="0"/>
          <w:sz w:val="24"/>
          <w:szCs w:val="24"/>
        </w:rPr>
      </w:pPr>
      <w:r>
        <w:rPr>
          <w:rFonts w:hint="eastAsia"/>
          <w:color w:val="auto"/>
          <w:kern w:val="0"/>
          <w:sz w:val="24"/>
          <w:szCs w:val="24"/>
        </w:rPr>
        <w:t>系统的兼容性是本项目建设的最重要原则，系统的兼容性要求升级后的国产数据中心能够实现与所有现有进口和国产基站的全面兼容，还要实现与现有数据用户的完全兼容，保证系统在从进口数据中心向国产AIS核心网切换过程中用户完全无感知，现有AIS数据应用系统不需要进行任何升级和调整。</w:t>
      </w:r>
    </w:p>
    <w:p>
      <w:pPr>
        <w:pStyle w:val="73"/>
        <w:ind w:firstLine="480"/>
        <w:rPr>
          <w:color w:val="auto"/>
          <w:kern w:val="0"/>
          <w:sz w:val="24"/>
          <w:szCs w:val="24"/>
        </w:rPr>
      </w:pPr>
      <w:r>
        <w:rPr>
          <w:rFonts w:hint="eastAsia"/>
          <w:color w:val="auto"/>
          <w:kern w:val="0"/>
          <w:sz w:val="24"/>
          <w:szCs w:val="24"/>
        </w:rPr>
        <w:t>（2）系统可扩展性</w:t>
      </w:r>
    </w:p>
    <w:p>
      <w:pPr>
        <w:pStyle w:val="73"/>
        <w:ind w:firstLine="480"/>
        <w:rPr>
          <w:color w:val="auto"/>
          <w:kern w:val="0"/>
          <w:sz w:val="24"/>
          <w:szCs w:val="24"/>
        </w:rPr>
      </w:pPr>
      <w:r>
        <w:rPr>
          <w:rFonts w:hint="eastAsia"/>
          <w:color w:val="auto"/>
          <w:kern w:val="0"/>
          <w:sz w:val="24"/>
          <w:szCs w:val="24"/>
        </w:rPr>
        <w:t>在进行系统结构、容量、通讯和处理等方面建设时，充分考虑工程需求和目标。软件系统应尽量采用模块化、微服务化及松耦合方式，充分满足后续AIS核心网向VDES核心网升级的需求。系统采用分层建设和构件化开发方法，为今后系统扩展和集成留有扩充余量。系统建成后要能够在适应目前需求的基础上，满足近期、中期甚至长期业务需要，充分地为将来可预见的性能扩充留有余地，并具备方便地扩展系统处理能力和支功能的能力。</w:t>
      </w:r>
    </w:p>
    <w:p>
      <w:pPr>
        <w:pStyle w:val="73"/>
        <w:ind w:firstLine="480"/>
        <w:rPr>
          <w:color w:val="auto"/>
          <w:kern w:val="0"/>
          <w:sz w:val="24"/>
          <w:szCs w:val="24"/>
        </w:rPr>
      </w:pPr>
      <w:r>
        <w:rPr>
          <w:rFonts w:hint="eastAsia"/>
          <w:color w:val="auto"/>
          <w:kern w:val="0"/>
          <w:sz w:val="24"/>
          <w:szCs w:val="24"/>
        </w:rPr>
        <w:t>软件系统结构采用模块化、可插拔的软件构架，坚持以数据流程为中心，梳理数据对系统的软件模块、处理工具的依赖关系，理清数据在实体中的传输方向和存储位置，以及处理数据的输出方向；深入分析系统的子流程，各系统功能模块之间的接口关系。</w:t>
      </w:r>
    </w:p>
    <w:p>
      <w:pPr>
        <w:pStyle w:val="73"/>
        <w:ind w:firstLine="480"/>
        <w:rPr>
          <w:color w:val="auto"/>
          <w:kern w:val="0"/>
          <w:sz w:val="24"/>
          <w:szCs w:val="24"/>
        </w:rPr>
      </w:pPr>
      <w:r>
        <w:rPr>
          <w:rFonts w:hint="eastAsia"/>
          <w:color w:val="auto"/>
          <w:kern w:val="0"/>
          <w:sz w:val="24"/>
          <w:szCs w:val="24"/>
        </w:rPr>
        <w:t>（3）系统可操作性</w:t>
      </w:r>
    </w:p>
    <w:p>
      <w:pPr>
        <w:pStyle w:val="73"/>
        <w:ind w:firstLine="480"/>
        <w:rPr>
          <w:color w:val="auto"/>
          <w:kern w:val="0"/>
          <w:sz w:val="24"/>
          <w:szCs w:val="24"/>
        </w:rPr>
      </w:pPr>
      <w:r>
        <w:rPr>
          <w:rFonts w:hint="eastAsia"/>
          <w:color w:val="auto"/>
          <w:kern w:val="0"/>
          <w:sz w:val="24"/>
          <w:szCs w:val="24"/>
        </w:rPr>
        <w:t>系统软件功能丰富，操作简洁、方便，操作人机界面友好，有帮助功能；具备自动故障判别、告警等功能。此外，还有充分考虑用户对现有进口AIS系统的操作习惯，降低上手难度，从而提升管理人员的操作体验和运维管理效率。</w:t>
      </w:r>
    </w:p>
    <w:p>
      <w:pPr>
        <w:pStyle w:val="73"/>
        <w:ind w:firstLine="480"/>
        <w:rPr>
          <w:color w:val="auto"/>
          <w:kern w:val="0"/>
          <w:sz w:val="24"/>
          <w:szCs w:val="24"/>
        </w:rPr>
      </w:pPr>
      <w:r>
        <w:rPr>
          <w:rFonts w:hint="eastAsia"/>
          <w:color w:val="auto"/>
          <w:kern w:val="0"/>
          <w:sz w:val="24"/>
          <w:szCs w:val="24"/>
        </w:rPr>
        <w:t>（4）系统容错性</w:t>
      </w:r>
    </w:p>
    <w:p>
      <w:pPr>
        <w:pStyle w:val="73"/>
        <w:ind w:firstLine="480"/>
        <w:rPr>
          <w:color w:val="auto"/>
          <w:kern w:val="0"/>
          <w:sz w:val="24"/>
          <w:szCs w:val="24"/>
        </w:rPr>
      </w:pPr>
      <w:r>
        <w:rPr>
          <w:rFonts w:hint="eastAsia"/>
          <w:color w:val="auto"/>
          <w:kern w:val="0"/>
          <w:sz w:val="24"/>
          <w:szCs w:val="24"/>
        </w:rPr>
        <w:t>软件对任何不符合业务逻辑和内在限制的操作提供必要的保护措施，尤其是对AIS核心网进行关键功能配置过程中，系统必须具备识别和阻止可能影响系统功能的错误输入的能力。</w:t>
      </w:r>
    </w:p>
    <w:p>
      <w:pPr>
        <w:pStyle w:val="73"/>
        <w:ind w:firstLine="480"/>
        <w:rPr>
          <w:color w:val="auto"/>
          <w:kern w:val="0"/>
          <w:sz w:val="24"/>
          <w:szCs w:val="24"/>
        </w:rPr>
      </w:pPr>
      <w:r>
        <w:rPr>
          <w:rFonts w:hint="eastAsia"/>
          <w:color w:val="auto"/>
          <w:kern w:val="0"/>
          <w:sz w:val="24"/>
          <w:szCs w:val="24"/>
        </w:rPr>
        <w:t>（5）系统可靠性和安全性</w:t>
      </w:r>
    </w:p>
    <w:p>
      <w:pPr>
        <w:pStyle w:val="73"/>
        <w:ind w:firstLine="480"/>
        <w:rPr>
          <w:color w:val="auto"/>
          <w:kern w:val="0"/>
          <w:sz w:val="24"/>
          <w:szCs w:val="24"/>
        </w:rPr>
      </w:pPr>
      <w:r>
        <w:rPr>
          <w:rFonts w:hint="eastAsia"/>
          <w:color w:val="auto"/>
          <w:kern w:val="0"/>
          <w:sz w:val="24"/>
          <w:szCs w:val="24"/>
        </w:rPr>
        <w:t>AIS系统作为重要的基础设施，一个重要的出发点就是系统的健壮、安全与高可靠性。通过对关键业务部件的集群建设，能够避免单点故障导致系统整体或重要功能的丧失，保证系统平稳运行。在采用硬件备份、冗余等可靠性技术的基础上，采用相关的软件技术提供较强的管理机制和控制手段，建立便于故障排查、恢复和日常的运行维护机制，以提高整个系统和数据的安全可靠性。</w:t>
      </w:r>
    </w:p>
    <w:p>
      <w:pPr>
        <w:pStyle w:val="73"/>
        <w:ind w:firstLine="480"/>
        <w:rPr>
          <w:color w:val="auto"/>
          <w:kern w:val="0"/>
          <w:sz w:val="24"/>
          <w:szCs w:val="24"/>
        </w:rPr>
      </w:pPr>
      <w:r>
        <w:rPr>
          <w:rFonts w:hint="eastAsia"/>
          <w:color w:val="auto"/>
          <w:kern w:val="0"/>
          <w:sz w:val="24"/>
          <w:szCs w:val="24"/>
        </w:rPr>
        <w:t>在保证系统健壮性的同时，还必须保证系统和信息的高安全性，数据在采集、存储、传输和处理的过程中，始终保持完整性和一致性。为保证系统的可靠正常运行、采取系统定期自测和数据定期备份来保证系统的可靠性。</w:t>
      </w:r>
    </w:p>
    <w:p>
      <w:pPr>
        <w:pStyle w:val="73"/>
        <w:ind w:firstLine="480"/>
        <w:rPr>
          <w:color w:val="auto"/>
          <w:kern w:val="0"/>
          <w:sz w:val="24"/>
          <w:szCs w:val="24"/>
        </w:rPr>
      </w:pPr>
      <w:r>
        <w:rPr>
          <w:rFonts w:hint="eastAsia"/>
          <w:color w:val="auto"/>
          <w:kern w:val="0"/>
          <w:sz w:val="24"/>
          <w:szCs w:val="24"/>
        </w:rPr>
        <w:t>本系统在软件的实现上要考虑系统长期运行的安全性和可靠性。AIS核心网系统针对任何一个重要操作，都必须具有判断错误的能力，必要时可以进行恢复性操作，否则要发出报警消息，以便于人工干预。系统在进入长期业务运行状态后，无论是计算机硬件系统还是软件系统都必须具有较高的可靠性和故障后快速恢复的能力。应用软件开发应严格遵循软件工程的开发、测试和集成规范，制定合理的存储调度接口，采用作业自动恢复和作业人工补做等措施。</w:t>
      </w:r>
    </w:p>
    <w:p>
      <w:pPr>
        <w:pStyle w:val="4"/>
        <w:rPr>
          <w:rFonts w:ascii="Times New Roman" w:hAnsi="Times New Roman" w:eastAsia="宋体"/>
        </w:rPr>
      </w:pPr>
      <w:bookmarkStart w:id="27" w:name="_Toc100742924"/>
      <w:bookmarkStart w:id="28" w:name="_Toc321818292"/>
      <w:bookmarkStart w:id="29" w:name="_Toc337381216"/>
      <w:r>
        <w:rPr>
          <w:rFonts w:ascii="Times New Roman" w:hAnsi="Times New Roman" w:eastAsia="宋体"/>
        </w:rPr>
        <w:t>一般要求</w:t>
      </w:r>
      <w:bookmarkEnd w:id="27"/>
      <w:bookmarkEnd w:id="28"/>
      <w:bookmarkEnd w:id="29"/>
    </w:p>
    <w:p>
      <w:pPr>
        <w:pStyle w:val="5"/>
        <w:rPr>
          <w:sz w:val="24"/>
          <w:szCs w:val="24"/>
        </w:rPr>
      </w:pPr>
      <w:bookmarkStart w:id="30" w:name="_Toc337381217"/>
      <w:bookmarkStart w:id="31" w:name="_Toc100742925"/>
      <w:bookmarkStart w:id="32" w:name="_Toc321818293"/>
      <w:bookmarkStart w:id="33" w:name="_Toc338059596"/>
      <w:bookmarkStart w:id="34" w:name="_Toc338059496"/>
      <w:bookmarkStart w:id="35" w:name="_Toc338059937"/>
      <w:bookmarkStart w:id="36" w:name="_Toc381270350"/>
      <w:bookmarkStart w:id="37" w:name="_Toc432756594"/>
      <w:bookmarkStart w:id="38" w:name="_Toc380732040"/>
      <w:r>
        <w:rPr>
          <w:rFonts w:hint="eastAsia"/>
          <w:sz w:val="24"/>
          <w:szCs w:val="24"/>
        </w:rPr>
        <w:t>1.4.1</w:t>
      </w:r>
      <w:r>
        <w:rPr>
          <w:sz w:val="24"/>
          <w:szCs w:val="24"/>
        </w:rPr>
        <w:t>供应方一般要求</w:t>
      </w:r>
      <w:bookmarkEnd w:id="30"/>
      <w:bookmarkEnd w:id="31"/>
      <w:bookmarkEnd w:id="32"/>
      <w:bookmarkEnd w:id="33"/>
      <w:bookmarkEnd w:id="34"/>
      <w:bookmarkEnd w:id="35"/>
      <w:bookmarkEnd w:id="36"/>
      <w:bookmarkEnd w:id="37"/>
      <w:bookmarkEnd w:id="38"/>
      <w:r>
        <w:rPr>
          <w:rFonts w:hint="eastAsia"/>
          <w:sz w:val="24"/>
          <w:szCs w:val="24"/>
        </w:rPr>
        <w:t>：</w:t>
      </w:r>
    </w:p>
    <w:p>
      <w:pPr>
        <w:pStyle w:val="74"/>
        <w:numPr>
          <w:ilvl w:val="0"/>
          <w:numId w:val="8"/>
        </w:numPr>
        <w:spacing w:line="360" w:lineRule="auto"/>
        <w:ind w:left="0" w:firstLine="480"/>
        <w:rPr>
          <w:rFonts w:eastAsia="宋体"/>
          <w:szCs w:val="24"/>
        </w:rPr>
      </w:pPr>
      <w:r>
        <w:rPr>
          <w:rFonts w:eastAsia="宋体"/>
          <w:szCs w:val="24"/>
        </w:rPr>
        <w:t>供应方应认真阅读本</w:t>
      </w:r>
      <w:r>
        <w:rPr>
          <w:rFonts w:hint="eastAsia" w:eastAsia="宋体"/>
          <w:szCs w:val="24"/>
        </w:rPr>
        <w:t>项目需求书</w:t>
      </w:r>
      <w:r>
        <w:rPr>
          <w:rFonts w:eastAsia="宋体"/>
          <w:szCs w:val="24"/>
        </w:rPr>
        <w:t>，并对本</w:t>
      </w:r>
      <w:r>
        <w:rPr>
          <w:rFonts w:hint="eastAsia" w:eastAsia="宋体"/>
          <w:szCs w:val="24"/>
        </w:rPr>
        <w:t>项目需求书</w:t>
      </w:r>
      <w:r>
        <w:rPr>
          <w:rFonts w:eastAsia="宋体"/>
          <w:szCs w:val="24"/>
        </w:rPr>
        <w:t>所提各项要求逐项做出应答和说明，本</w:t>
      </w:r>
      <w:r>
        <w:rPr>
          <w:rFonts w:hint="eastAsia" w:eastAsia="宋体"/>
          <w:szCs w:val="24"/>
        </w:rPr>
        <w:t>项目需求书</w:t>
      </w:r>
      <w:r>
        <w:rPr>
          <w:rFonts w:eastAsia="宋体"/>
          <w:szCs w:val="24"/>
        </w:rPr>
        <w:t>作为合同的重要组成部分以及工程验收的依据。</w:t>
      </w:r>
    </w:p>
    <w:p>
      <w:pPr>
        <w:pStyle w:val="74"/>
        <w:numPr>
          <w:ilvl w:val="0"/>
          <w:numId w:val="8"/>
        </w:numPr>
        <w:spacing w:line="360" w:lineRule="auto"/>
        <w:ind w:left="0" w:firstLine="480"/>
        <w:rPr>
          <w:rFonts w:eastAsia="宋体"/>
          <w:szCs w:val="24"/>
        </w:rPr>
      </w:pPr>
      <w:r>
        <w:rPr>
          <w:rFonts w:eastAsia="宋体"/>
          <w:szCs w:val="24"/>
        </w:rPr>
        <w:t>供应方应采用通用性强、可靠性高、技术先进、并经过实际检验的定型设备和软件，所有设备型号和技术指标符合本</w:t>
      </w:r>
      <w:r>
        <w:rPr>
          <w:rFonts w:hint="eastAsia" w:eastAsia="宋体"/>
          <w:szCs w:val="24"/>
        </w:rPr>
        <w:t>需求书</w:t>
      </w:r>
      <w:r>
        <w:rPr>
          <w:rFonts w:eastAsia="宋体"/>
          <w:szCs w:val="24"/>
        </w:rPr>
        <w:t>的规定。</w:t>
      </w:r>
    </w:p>
    <w:p>
      <w:pPr>
        <w:pStyle w:val="74"/>
        <w:numPr>
          <w:ilvl w:val="0"/>
          <w:numId w:val="8"/>
        </w:numPr>
        <w:spacing w:line="360" w:lineRule="auto"/>
        <w:ind w:left="0" w:firstLine="480"/>
        <w:rPr>
          <w:rFonts w:eastAsia="宋体"/>
          <w:szCs w:val="24"/>
        </w:rPr>
      </w:pPr>
      <w:r>
        <w:rPr>
          <w:rFonts w:hint="eastAsia" w:eastAsia="宋体"/>
          <w:szCs w:val="24"/>
        </w:rPr>
        <w:t>供应方应在设计方案基础上，根据自身对本系统的理解，提出更优化的方案。</w:t>
      </w:r>
    </w:p>
    <w:p>
      <w:pPr>
        <w:pStyle w:val="74"/>
        <w:numPr>
          <w:ilvl w:val="0"/>
          <w:numId w:val="8"/>
        </w:numPr>
        <w:spacing w:line="360" w:lineRule="auto"/>
        <w:ind w:left="0" w:firstLine="480"/>
        <w:rPr>
          <w:rFonts w:eastAsia="宋体"/>
        </w:rPr>
      </w:pPr>
      <w:r>
        <w:rPr>
          <w:rFonts w:eastAsia="宋体"/>
        </w:rPr>
        <w:t>供应方应具有</w:t>
      </w:r>
      <w:r>
        <w:rPr>
          <w:rFonts w:hint="eastAsia" w:eastAsia="宋体"/>
        </w:rPr>
        <w:t>核心网系统建设和应用软件开发的技术、财力、物力保证。</w:t>
      </w:r>
      <w:r>
        <w:rPr>
          <w:rFonts w:eastAsia="宋体"/>
        </w:rPr>
        <w:t xml:space="preserve"> </w:t>
      </w:r>
    </w:p>
    <w:p>
      <w:pPr>
        <w:pStyle w:val="74"/>
        <w:numPr>
          <w:ilvl w:val="0"/>
          <w:numId w:val="8"/>
        </w:numPr>
        <w:spacing w:line="360" w:lineRule="auto"/>
        <w:ind w:left="0" w:firstLine="480"/>
        <w:rPr>
          <w:rFonts w:eastAsia="宋体"/>
        </w:rPr>
      </w:pPr>
      <w:r>
        <w:rPr>
          <w:rFonts w:eastAsia="宋体"/>
        </w:rPr>
        <w:t>供应方责任：</w:t>
      </w:r>
    </w:p>
    <w:p>
      <w:pPr>
        <w:pStyle w:val="74"/>
        <w:numPr>
          <w:ilvl w:val="1"/>
          <w:numId w:val="8"/>
        </w:numPr>
        <w:spacing w:line="360" w:lineRule="auto"/>
        <w:ind w:left="0" w:firstLine="480"/>
        <w:rPr>
          <w:rFonts w:eastAsia="宋体"/>
          <w:szCs w:val="24"/>
        </w:rPr>
      </w:pPr>
      <w:r>
        <w:rPr>
          <w:rFonts w:eastAsia="宋体"/>
          <w:szCs w:val="24"/>
        </w:rPr>
        <w:t>供应方可在现有技术方案基础上，优化配置。</w:t>
      </w:r>
    </w:p>
    <w:p>
      <w:pPr>
        <w:pStyle w:val="74"/>
        <w:numPr>
          <w:ilvl w:val="1"/>
          <w:numId w:val="8"/>
        </w:numPr>
        <w:spacing w:line="360" w:lineRule="auto"/>
        <w:ind w:left="0" w:firstLine="480"/>
        <w:contextualSpacing/>
        <w:rPr>
          <w:rFonts w:eastAsia="宋体"/>
          <w:szCs w:val="24"/>
        </w:rPr>
      </w:pPr>
      <w:r>
        <w:rPr>
          <w:rFonts w:eastAsia="宋体"/>
          <w:szCs w:val="24"/>
        </w:rPr>
        <w:t>供应方应提供充分的证明，表明自身具备在本项目规定的时间内完成设备供货、安装调试的能力。</w:t>
      </w:r>
    </w:p>
    <w:p>
      <w:pPr>
        <w:pStyle w:val="74"/>
        <w:numPr>
          <w:ilvl w:val="1"/>
          <w:numId w:val="8"/>
        </w:numPr>
        <w:spacing w:line="360" w:lineRule="auto"/>
        <w:ind w:left="0" w:firstLine="480"/>
        <w:contextualSpacing/>
        <w:rPr>
          <w:rFonts w:eastAsia="宋体"/>
          <w:szCs w:val="24"/>
        </w:rPr>
      </w:pPr>
      <w:r>
        <w:rPr>
          <w:rFonts w:eastAsia="宋体"/>
          <w:szCs w:val="24"/>
        </w:rPr>
        <w:t>供应方保证所提供的所有主要设备必须有原厂商完整的授权、证明文件。</w:t>
      </w:r>
    </w:p>
    <w:p>
      <w:pPr>
        <w:pStyle w:val="74"/>
        <w:numPr>
          <w:ilvl w:val="1"/>
          <w:numId w:val="8"/>
        </w:numPr>
        <w:spacing w:line="360" w:lineRule="auto"/>
        <w:ind w:left="0" w:firstLine="480"/>
        <w:contextualSpacing/>
        <w:rPr>
          <w:rFonts w:eastAsia="宋体"/>
          <w:szCs w:val="24"/>
        </w:rPr>
      </w:pPr>
      <w:r>
        <w:rPr>
          <w:rFonts w:eastAsia="宋体"/>
          <w:szCs w:val="24"/>
        </w:rPr>
        <w:t>供应方保证所提供主要设备须为国际或国内知名品牌并有成功应用案例，须提供该设备的用户清单，并在设备性能及质量方面提供用户的可靠证明。</w:t>
      </w:r>
    </w:p>
    <w:p>
      <w:pPr>
        <w:pStyle w:val="74"/>
        <w:numPr>
          <w:ilvl w:val="1"/>
          <w:numId w:val="8"/>
        </w:numPr>
        <w:spacing w:line="360" w:lineRule="auto"/>
        <w:ind w:left="0" w:firstLine="480"/>
        <w:contextualSpacing/>
        <w:rPr>
          <w:rFonts w:eastAsia="宋体"/>
          <w:szCs w:val="24"/>
        </w:rPr>
      </w:pPr>
      <w:r>
        <w:rPr>
          <w:rFonts w:eastAsia="宋体"/>
          <w:szCs w:val="24"/>
        </w:rPr>
        <w:t>供应方必须提供设备的详细部件清单及有关子部件的品质及说明。供应方必须保证交付的产品为全新、完整、未使用的出厂设备。</w:t>
      </w:r>
    </w:p>
    <w:p>
      <w:pPr>
        <w:pStyle w:val="74"/>
        <w:numPr>
          <w:ilvl w:val="1"/>
          <w:numId w:val="8"/>
        </w:numPr>
        <w:spacing w:line="360" w:lineRule="auto"/>
        <w:ind w:left="0" w:firstLine="480"/>
        <w:contextualSpacing/>
        <w:rPr>
          <w:rFonts w:eastAsia="宋体"/>
          <w:szCs w:val="24"/>
        </w:rPr>
      </w:pPr>
      <w:r>
        <w:rPr>
          <w:rFonts w:eastAsia="宋体"/>
          <w:szCs w:val="24"/>
        </w:rPr>
        <w:t>供应方必须保证所有设备以整机方式交付采购方验收，任何作为一套子部件提交的设备均将被拒绝。</w:t>
      </w:r>
    </w:p>
    <w:p>
      <w:pPr>
        <w:pStyle w:val="74"/>
        <w:numPr>
          <w:ilvl w:val="1"/>
          <w:numId w:val="8"/>
        </w:numPr>
        <w:spacing w:line="360" w:lineRule="auto"/>
        <w:ind w:left="0" w:firstLine="480"/>
        <w:rPr>
          <w:rFonts w:eastAsia="宋体"/>
          <w:szCs w:val="24"/>
        </w:rPr>
      </w:pPr>
      <w:r>
        <w:rPr>
          <w:rFonts w:eastAsia="宋体"/>
          <w:szCs w:val="24"/>
        </w:rPr>
        <w:t>供应方必须保证在保修期后5年内能够提供备品、备件及扩展模块，违反上述原则将被认为没有正确响应。</w:t>
      </w:r>
    </w:p>
    <w:p>
      <w:pPr>
        <w:pStyle w:val="74"/>
        <w:numPr>
          <w:ilvl w:val="1"/>
          <w:numId w:val="8"/>
        </w:numPr>
        <w:spacing w:line="360" w:lineRule="auto"/>
        <w:ind w:left="0" w:firstLine="480"/>
        <w:rPr>
          <w:rFonts w:eastAsia="宋体"/>
          <w:szCs w:val="24"/>
        </w:rPr>
      </w:pPr>
      <w:r>
        <w:rPr>
          <w:rFonts w:eastAsia="宋体"/>
          <w:szCs w:val="24"/>
        </w:rPr>
        <w:t>供应方在中标并签订合同后，应完成招标文件中所规定的各项任务，包括设备到货安装、调试、用户培训，并完成验收前期的各项准备工作。</w:t>
      </w:r>
    </w:p>
    <w:p>
      <w:pPr>
        <w:pStyle w:val="74"/>
        <w:numPr>
          <w:ilvl w:val="1"/>
          <w:numId w:val="8"/>
        </w:numPr>
        <w:spacing w:line="360" w:lineRule="auto"/>
        <w:ind w:left="0" w:firstLine="480"/>
        <w:rPr>
          <w:rFonts w:eastAsia="宋体"/>
          <w:szCs w:val="24"/>
        </w:rPr>
      </w:pPr>
      <w:r>
        <w:rPr>
          <w:rFonts w:eastAsia="宋体"/>
          <w:szCs w:val="24"/>
        </w:rPr>
        <w:t>项目实施过程中无论设备出现问题，还是接入环节出现问题，全部由供应方负责解决。招标文件中的设备、软件产品等方面的配置或要求中出现不合理或不完整的问题时，供应方有责任和义务提出补充修改方案并征得采购方的同意后实施。</w:t>
      </w:r>
    </w:p>
    <w:p>
      <w:pPr>
        <w:pStyle w:val="74"/>
        <w:numPr>
          <w:ilvl w:val="1"/>
          <w:numId w:val="8"/>
        </w:numPr>
        <w:spacing w:line="360" w:lineRule="auto"/>
        <w:ind w:left="0" w:firstLine="480"/>
        <w:rPr>
          <w:rFonts w:eastAsia="宋体"/>
          <w:szCs w:val="24"/>
        </w:rPr>
      </w:pPr>
      <w:r>
        <w:rPr>
          <w:rFonts w:eastAsia="宋体"/>
          <w:szCs w:val="24"/>
        </w:rPr>
        <w:t>供应方所提供的各类设备如需使用接头、插座、线缆等，由供应方提供。另外所投设备的用电保护如果超过一般线路保护，保护设备也由供应方提供。</w:t>
      </w:r>
    </w:p>
    <w:p>
      <w:pPr>
        <w:pStyle w:val="74"/>
        <w:numPr>
          <w:ilvl w:val="1"/>
          <w:numId w:val="8"/>
        </w:numPr>
        <w:spacing w:line="360" w:lineRule="auto"/>
        <w:ind w:left="0" w:firstLine="480"/>
        <w:rPr>
          <w:rFonts w:eastAsia="宋体"/>
          <w:szCs w:val="24"/>
        </w:rPr>
      </w:pPr>
      <w:r>
        <w:rPr>
          <w:rFonts w:eastAsia="宋体"/>
          <w:szCs w:val="24"/>
        </w:rPr>
        <w:t>供应方需提供所有设备的连接示意图、各独立设备的关系、重要</w:t>
      </w:r>
      <w:r>
        <w:rPr>
          <w:rFonts w:hint="eastAsia" w:eastAsia="宋体"/>
          <w:szCs w:val="24"/>
        </w:rPr>
        <w:t>设备</w:t>
      </w:r>
      <w:r>
        <w:rPr>
          <w:rFonts w:eastAsia="宋体"/>
          <w:szCs w:val="24"/>
        </w:rPr>
        <w:t>接口的</w:t>
      </w:r>
      <w:r>
        <w:rPr>
          <w:rFonts w:hint="eastAsia" w:eastAsia="宋体"/>
          <w:szCs w:val="24"/>
        </w:rPr>
        <w:t>定义</w:t>
      </w:r>
      <w:r>
        <w:rPr>
          <w:rFonts w:eastAsia="宋体"/>
          <w:szCs w:val="24"/>
        </w:rPr>
        <w:t>或说明</w:t>
      </w:r>
      <w:r>
        <w:rPr>
          <w:rFonts w:hint="eastAsia" w:eastAsia="宋体"/>
          <w:szCs w:val="24"/>
        </w:rPr>
        <w:t>（服务器、万兆交换机）</w:t>
      </w:r>
      <w:r>
        <w:rPr>
          <w:rFonts w:eastAsia="宋体"/>
          <w:szCs w:val="24"/>
        </w:rPr>
        <w:t>。</w:t>
      </w:r>
    </w:p>
    <w:p>
      <w:pPr>
        <w:pStyle w:val="74"/>
        <w:numPr>
          <w:ilvl w:val="1"/>
          <w:numId w:val="8"/>
        </w:numPr>
        <w:spacing w:line="360" w:lineRule="auto"/>
        <w:ind w:left="0" w:firstLine="480"/>
        <w:rPr>
          <w:rFonts w:eastAsia="宋体"/>
          <w:szCs w:val="24"/>
        </w:rPr>
      </w:pPr>
      <w:r>
        <w:rPr>
          <w:rFonts w:eastAsia="宋体"/>
          <w:szCs w:val="24"/>
        </w:rPr>
        <w:t>供应方必须提供投标设备的详细配置清单及分项细项报价，性能应答必须与报价中的详细配置完全一致，否则将导致严重后果。</w:t>
      </w:r>
    </w:p>
    <w:p>
      <w:pPr>
        <w:pStyle w:val="74"/>
        <w:numPr>
          <w:ilvl w:val="1"/>
          <w:numId w:val="8"/>
        </w:numPr>
        <w:spacing w:line="360" w:lineRule="auto"/>
        <w:ind w:left="0" w:firstLine="480"/>
        <w:rPr>
          <w:rFonts w:eastAsia="宋体"/>
          <w:szCs w:val="24"/>
        </w:rPr>
      </w:pPr>
      <w:r>
        <w:rPr>
          <w:rFonts w:eastAsia="宋体"/>
          <w:szCs w:val="24"/>
        </w:rPr>
        <w:t>供应方必须保证对所提供所有设备在保修期内进行维修、更换等保修服务。</w:t>
      </w:r>
    </w:p>
    <w:p>
      <w:pPr>
        <w:pStyle w:val="74"/>
        <w:numPr>
          <w:ilvl w:val="1"/>
          <w:numId w:val="8"/>
        </w:numPr>
        <w:spacing w:line="360" w:lineRule="auto"/>
        <w:ind w:left="0" w:firstLine="480"/>
        <w:rPr>
          <w:rFonts w:eastAsia="宋体"/>
          <w:szCs w:val="24"/>
        </w:rPr>
      </w:pPr>
      <w:r>
        <w:rPr>
          <w:rFonts w:hint="eastAsia" w:eastAsia="宋体"/>
          <w:szCs w:val="24"/>
        </w:rPr>
        <w:t>供应方必须承诺保证提供的所有软件产品为最新正式版本，并提供有关软件版本的证明材料。</w:t>
      </w:r>
    </w:p>
    <w:p>
      <w:pPr>
        <w:pStyle w:val="74"/>
        <w:numPr>
          <w:ilvl w:val="1"/>
          <w:numId w:val="8"/>
        </w:numPr>
        <w:spacing w:line="360" w:lineRule="auto"/>
        <w:ind w:left="0" w:firstLine="480"/>
        <w:rPr>
          <w:rFonts w:eastAsia="宋体"/>
          <w:szCs w:val="24"/>
        </w:rPr>
      </w:pPr>
      <w:r>
        <w:rPr>
          <w:rFonts w:hint="eastAsia" w:eastAsia="宋体"/>
          <w:szCs w:val="24"/>
        </w:rPr>
        <w:t>供应方必须承诺保证提供的所有软件产品都具有在中国境内的正式合法使用权，提供相应授权书。</w:t>
      </w:r>
    </w:p>
    <w:p>
      <w:pPr>
        <w:pStyle w:val="74"/>
        <w:numPr>
          <w:ilvl w:val="1"/>
          <w:numId w:val="8"/>
        </w:numPr>
        <w:spacing w:line="360" w:lineRule="auto"/>
        <w:ind w:left="0" w:firstLine="480"/>
        <w:rPr>
          <w:rFonts w:eastAsia="宋体"/>
          <w:szCs w:val="24"/>
        </w:rPr>
      </w:pPr>
      <w:r>
        <w:rPr>
          <w:rFonts w:hint="eastAsia" w:eastAsia="宋体"/>
          <w:szCs w:val="24"/>
        </w:rPr>
        <w:t>供应方必须承诺保证提供的所有软件产品都具有完整的技术资料和介绍。</w:t>
      </w:r>
    </w:p>
    <w:p>
      <w:pPr>
        <w:pStyle w:val="74"/>
        <w:numPr>
          <w:ilvl w:val="1"/>
          <w:numId w:val="8"/>
        </w:numPr>
        <w:spacing w:line="360" w:lineRule="auto"/>
        <w:ind w:left="0" w:firstLine="480"/>
        <w:rPr>
          <w:rFonts w:eastAsia="宋体"/>
          <w:szCs w:val="24"/>
        </w:rPr>
      </w:pPr>
      <w:r>
        <w:rPr>
          <w:rFonts w:hint="eastAsia" w:eastAsia="宋体"/>
          <w:szCs w:val="24"/>
        </w:rPr>
        <w:t>供应方必须对软件产品的技术指标要求给予明确响应，并写明所提供软件产品的各个模块名称。</w:t>
      </w:r>
    </w:p>
    <w:p>
      <w:pPr>
        <w:pStyle w:val="74"/>
        <w:numPr>
          <w:ilvl w:val="1"/>
          <w:numId w:val="8"/>
        </w:numPr>
        <w:spacing w:line="360" w:lineRule="auto"/>
        <w:ind w:left="0" w:firstLine="480"/>
        <w:rPr>
          <w:rFonts w:eastAsia="宋体"/>
          <w:szCs w:val="24"/>
        </w:rPr>
      </w:pPr>
      <w:r>
        <w:rPr>
          <w:rFonts w:hint="eastAsia" w:eastAsia="宋体"/>
          <w:szCs w:val="24"/>
        </w:rPr>
        <w:t>供应方必须给出所有软件产品的价格（或使用权的价格），并给出所有软件产品模块的详细分项报价。如提供的某些技术资料或介质不含在基本报价中，需另外单独列出报价。</w:t>
      </w:r>
    </w:p>
    <w:p>
      <w:pPr>
        <w:pStyle w:val="74"/>
        <w:numPr>
          <w:ilvl w:val="1"/>
          <w:numId w:val="8"/>
        </w:numPr>
        <w:spacing w:line="360" w:lineRule="auto"/>
        <w:ind w:left="0" w:firstLine="480"/>
        <w:rPr>
          <w:rFonts w:eastAsia="宋体"/>
          <w:szCs w:val="24"/>
        </w:rPr>
      </w:pPr>
      <w:r>
        <w:rPr>
          <w:rFonts w:hint="eastAsia" w:eastAsia="宋体"/>
          <w:szCs w:val="24"/>
        </w:rPr>
        <w:t>供应商应承诺开发的软件产品须进行软件产品登记。</w:t>
      </w:r>
    </w:p>
    <w:p>
      <w:pPr>
        <w:pStyle w:val="74"/>
        <w:numPr>
          <w:ilvl w:val="1"/>
          <w:numId w:val="8"/>
        </w:numPr>
        <w:spacing w:line="360" w:lineRule="auto"/>
        <w:ind w:left="0" w:firstLine="480"/>
        <w:rPr>
          <w:rFonts w:eastAsia="宋体"/>
          <w:szCs w:val="24"/>
        </w:rPr>
      </w:pPr>
      <w:r>
        <w:rPr>
          <w:rFonts w:hint="eastAsia" w:eastAsia="宋体"/>
          <w:szCs w:val="24"/>
        </w:rPr>
        <w:t>供应商应承诺开发的软件产品著作权归交通运输部北海航海保障中心所有。</w:t>
      </w:r>
    </w:p>
    <w:p>
      <w:pPr>
        <w:pStyle w:val="74"/>
        <w:numPr>
          <w:ilvl w:val="1"/>
          <w:numId w:val="8"/>
        </w:numPr>
        <w:spacing w:line="360" w:lineRule="auto"/>
        <w:ind w:left="0" w:firstLine="480"/>
        <w:rPr>
          <w:rFonts w:eastAsia="宋体"/>
          <w:szCs w:val="24"/>
        </w:rPr>
      </w:pPr>
      <w:r>
        <w:rPr>
          <w:rFonts w:hint="eastAsia" w:eastAsia="宋体"/>
          <w:szCs w:val="24"/>
        </w:rPr>
        <w:t>供应商应承诺按照交通运输部北海航海保障中心的要求提供相关文档。</w:t>
      </w:r>
    </w:p>
    <w:p>
      <w:pPr>
        <w:pStyle w:val="74"/>
        <w:numPr>
          <w:ilvl w:val="0"/>
          <w:numId w:val="8"/>
        </w:numPr>
        <w:spacing w:line="360" w:lineRule="auto"/>
        <w:ind w:left="0" w:firstLine="480"/>
        <w:rPr>
          <w:rFonts w:eastAsia="宋体"/>
        </w:rPr>
      </w:pPr>
      <w:r>
        <w:rPr>
          <w:rFonts w:eastAsia="宋体"/>
        </w:rPr>
        <w:t>供应方应满足以下要求：</w:t>
      </w:r>
    </w:p>
    <w:p>
      <w:pPr>
        <w:pStyle w:val="74"/>
        <w:numPr>
          <w:ilvl w:val="1"/>
          <w:numId w:val="8"/>
        </w:numPr>
        <w:spacing w:line="360" w:lineRule="auto"/>
        <w:ind w:left="0" w:firstLine="480"/>
        <w:rPr>
          <w:rFonts w:eastAsia="宋体"/>
          <w:szCs w:val="24"/>
        </w:rPr>
      </w:pPr>
      <w:r>
        <w:rPr>
          <w:rFonts w:eastAsia="宋体"/>
          <w:szCs w:val="24"/>
        </w:rPr>
        <w:t>承担设备硬件和软件的供货、安装调试、人员培训、技术支持与服务、系统集成等工作，并对所提供的设备、软件及其所构成的系统总体质量负责；</w:t>
      </w:r>
    </w:p>
    <w:p>
      <w:pPr>
        <w:pStyle w:val="74"/>
        <w:numPr>
          <w:ilvl w:val="1"/>
          <w:numId w:val="8"/>
        </w:numPr>
        <w:spacing w:line="360" w:lineRule="auto"/>
        <w:ind w:left="0" w:firstLine="480"/>
        <w:rPr>
          <w:rFonts w:eastAsia="宋体"/>
          <w:szCs w:val="24"/>
        </w:rPr>
      </w:pPr>
      <w:r>
        <w:rPr>
          <w:rFonts w:eastAsia="宋体"/>
          <w:szCs w:val="24"/>
        </w:rPr>
        <w:t>根据</w:t>
      </w:r>
      <w:r>
        <w:rPr>
          <w:rFonts w:hint="eastAsia" w:eastAsia="宋体"/>
          <w:szCs w:val="24"/>
        </w:rPr>
        <w:t>项目需求书</w:t>
      </w:r>
      <w:r>
        <w:rPr>
          <w:rFonts w:eastAsia="宋体"/>
          <w:szCs w:val="24"/>
        </w:rPr>
        <w:t>的要求和系统设备的技术水平和特点进行系统配置、功能描述和系统技术规格说明，提供使用、安装、维护等手册或文件；</w:t>
      </w:r>
    </w:p>
    <w:p>
      <w:pPr>
        <w:pStyle w:val="74"/>
        <w:numPr>
          <w:ilvl w:val="1"/>
          <w:numId w:val="8"/>
        </w:numPr>
        <w:spacing w:line="360" w:lineRule="auto"/>
        <w:ind w:left="0" w:firstLine="480"/>
        <w:rPr>
          <w:rFonts w:eastAsia="宋体"/>
          <w:szCs w:val="24"/>
        </w:rPr>
      </w:pPr>
      <w:r>
        <w:rPr>
          <w:rFonts w:eastAsia="宋体"/>
          <w:szCs w:val="24"/>
        </w:rPr>
        <w:t>供应方如因满足本规格要求，需要提供</w:t>
      </w:r>
      <w:r>
        <w:rPr>
          <w:rFonts w:hint="eastAsia" w:eastAsia="宋体"/>
          <w:szCs w:val="24"/>
        </w:rPr>
        <w:t>项目需求书</w:t>
      </w:r>
      <w:r>
        <w:rPr>
          <w:rFonts w:eastAsia="宋体"/>
          <w:szCs w:val="24"/>
        </w:rPr>
        <w:t>中没有提到的设备，应在投标书中声明，并提供相关设备（含系统所有的附属设备）的名称、型号、功能及详细技术数据，以便采购方对供应方提供的设备的性能和功能进行全面的了解；</w:t>
      </w:r>
    </w:p>
    <w:p>
      <w:pPr>
        <w:pStyle w:val="74"/>
        <w:numPr>
          <w:ilvl w:val="1"/>
          <w:numId w:val="8"/>
        </w:numPr>
        <w:spacing w:line="360" w:lineRule="auto"/>
        <w:ind w:left="0" w:firstLine="480"/>
        <w:rPr>
          <w:rFonts w:eastAsia="宋体"/>
          <w:szCs w:val="24"/>
        </w:rPr>
      </w:pPr>
      <w:r>
        <w:rPr>
          <w:rFonts w:eastAsia="宋体"/>
          <w:szCs w:val="24"/>
        </w:rPr>
        <w:t>提供设备、备品备件、安装材料等清单；</w:t>
      </w:r>
    </w:p>
    <w:p>
      <w:pPr>
        <w:pStyle w:val="74"/>
        <w:numPr>
          <w:ilvl w:val="1"/>
          <w:numId w:val="8"/>
        </w:numPr>
        <w:spacing w:line="360" w:lineRule="auto"/>
        <w:ind w:left="0" w:firstLine="480"/>
        <w:rPr>
          <w:rFonts w:eastAsia="宋体"/>
          <w:szCs w:val="24"/>
        </w:rPr>
      </w:pPr>
      <w:r>
        <w:rPr>
          <w:rFonts w:eastAsia="宋体"/>
          <w:szCs w:val="24"/>
        </w:rPr>
        <w:t>提供设备安装调试方案，并确保在本工程的安装调试过程中对现有其他系统运行的影响减至最小；</w:t>
      </w:r>
    </w:p>
    <w:p>
      <w:pPr>
        <w:pStyle w:val="74"/>
        <w:numPr>
          <w:ilvl w:val="1"/>
          <w:numId w:val="8"/>
        </w:numPr>
        <w:spacing w:line="360" w:lineRule="auto"/>
        <w:ind w:left="0" w:firstLine="480"/>
        <w:rPr>
          <w:rFonts w:eastAsia="宋体"/>
          <w:szCs w:val="24"/>
        </w:rPr>
      </w:pPr>
      <w:r>
        <w:rPr>
          <w:rFonts w:eastAsia="宋体"/>
          <w:szCs w:val="24"/>
        </w:rPr>
        <w:t>提供测试和验收的标准、验收方法和文件，由双方共同确认；</w:t>
      </w:r>
    </w:p>
    <w:p>
      <w:pPr>
        <w:pStyle w:val="74"/>
        <w:numPr>
          <w:ilvl w:val="1"/>
          <w:numId w:val="8"/>
        </w:numPr>
        <w:spacing w:line="360" w:lineRule="auto"/>
        <w:ind w:left="0" w:firstLine="480"/>
        <w:rPr>
          <w:rFonts w:eastAsia="宋体"/>
          <w:szCs w:val="24"/>
        </w:rPr>
      </w:pPr>
      <w:r>
        <w:rPr>
          <w:rFonts w:eastAsia="宋体"/>
          <w:szCs w:val="24"/>
        </w:rPr>
        <w:t>应有售后服务、设备保证期以及技术培训的相关文件</w:t>
      </w:r>
      <w:r>
        <w:rPr>
          <w:rFonts w:hint="eastAsia" w:eastAsia="宋体"/>
          <w:szCs w:val="24"/>
        </w:rPr>
        <w:t>；</w:t>
      </w:r>
    </w:p>
    <w:p>
      <w:pPr>
        <w:pStyle w:val="74"/>
        <w:numPr>
          <w:ilvl w:val="1"/>
          <w:numId w:val="8"/>
        </w:numPr>
        <w:spacing w:line="360" w:lineRule="auto"/>
        <w:ind w:left="0" w:firstLine="480"/>
        <w:rPr>
          <w:rFonts w:eastAsia="宋体"/>
          <w:szCs w:val="24"/>
        </w:rPr>
      </w:pPr>
      <w:r>
        <w:rPr>
          <w:rFonts w:eastAsia="宋体"/>
          <w:szCs w:val="24"/>
        </w:rPr>
        <w:t>供应方所提供的各类设备必须符合下述标准或同等乃至更好的工业标准：</w:t>
      </w:r>
    </w:p>
    <w:p>
      <w:pPr>
        <w:pStyle w:val="30"/>
        <w:numPr>
          <w:ilvl w:val="2"/>
          <w:numId w:val="8"/>
        </w:numPr>
        <w:adjustRightInd/>
        <w:ind w:left="0" w:firstLine="480"/>
        <w:textAlignment w:val="auto"/>
        <w:rPr>
          <w:b/>
          <w:bCs/>
          <w:sz w:val="24"/>
        </w:rPr>
      </w:pPr>
      <w:r>
        <w:rPr>
          <w:sz w:val="24"/>
        </w:rPr>
        <w:t>符合有关标准(如IEC、ISO、ITU-T、CCC)，</w:t>
      </w:r>
      <w:r>
        <w:rPr>
          <w:rFonts w:hint="eastAsia"/>
          <w:b/>
          <w:bCs/>
          <w:sz w:val="24"/>
        </w:rPr>
        <w:t>供应方应在投标书中具体说明，并附上相应的详细技术资料；</w:t>
      </w:r>
    </w:p>
    <w:p>
      <w:pPr>
        <w:pStyle w:val="74"/>
        <w:numPr>
          <w:ilvl w:val="2"/>
          <w:numId w:val="8"/>
        </w:numPr>
        <w:spacing w:line="360" w:lineRule="auto"/>
        <w:ind w:left="0" w:firstLine="480"/>
        <w:rPr>
          <w:rFonts w:eastAsia="宋体"/>
          <w:b/>
          <w:bCs/>
          <w:szCs w:val="24"/>
        </w:rPr>
      </w:pPr>
      <w:r>
        <w:rPr>
          <w:rFonts w:eastAsia="宋体"/>
          <w:szCs w:val="24"/>
        </w:rPr>
        <w:t>若供应方的设备和系统包含自己的专用标准，</w:t>
      </w:r>
      <w:r>
        <w:rPr>
          <w:rFonts w:hint="eastAsia" w:eastAsia="宋体"/>
          <w:b/>
          <w:bCs/>
          <w:szCs w:val="24"/>
        </w:rPr>
        <w:t>应在投标书中具体说明，并附上相应的详细技术资料。</w:t>
      </w:r>
    </w:p>
    <w:p>
      <w:pPr>
        <w:pStyle w:val="74"/>
        <w:numPr>
          <w:ilvl w:val="1"/>
          <w:numId w:val="8"/>
        </w:numPr>
        <w:spacing w:line="360" w:lineRule="auto"/>
        <w:ind w:left="0" w:firstLine="480"/>
        <w:rPr>
          <w:rFonts w:eastAsia="宋体"/>
          <w:szCs w:val="24"/>
        </w:rPr>
      </w:pPr>
      <w:r>
        <w:rPr>
          <w:rFonts w:hint="eastAsia" w:eastAsia="宋体"/>
          <w:szCs w:val="24"/>
        </w:rPr>
        <w:t>新建应用系统软件之间、以及与现有应用系统之间应保证数据共享。新建应用系统取代现有应用系统时，需保证电子化的数据的完整导入。开发的应用系统应提供与外部系统进行数据交换的接口，并提供接口应用说明。</w:t>
      </w:r>
    </w:p>
    <w:p>
      <w:pPr>
        <w:pStyle w:val="74"/>
        <w:numPr>
          <w:ilvl w:val="1"/>
          <w:numId w:val="8"/>
        </w:numPr>
        <w:spacing w:line="360" w:lineRule="auto"/>
        <w:ind w:left="0" w:firstLine="480"/>
        <w:rPr>
          <w:rFonts w:eastAsia="宋体"/>
          <w:szCs w:val="24"/>
        </w:rPr>
      </w:pPr>
      <w:r>
        <w:rPr>
          <w:rFonts w:eastAsia="宋体"/>
          <w:szCs w:val="24"/>
        </w:rPr>
        <w:t>根据</w:t>
      </w:r>
      <w:r>
        <w:rPr>
          <w:rFonts w:hint="eastAsia" w:eastAsia="宋体"/>
          <w:szCs w:val="24"/>
        </w:rPr>
        <w:t>项目需求书</w:t>
      </w:r>
      <w:r>
        <w:rPr>
          <w:rFonts w:eastAsia="宋体"/>
          <w:szCs w:val="24"/>
        </w:rPr>
        <w:t>的要求和系统设备的技术水平和特点进行</w:t>
      </w:r>
      <w:r>
        <w:rPr>
          <w:rFonts w:hint="eastAsia" w:eastAsia="宋体"/>
          <w:szCs w:val="24"/>
        </w:rPr>
        <w:t>相应数据库建模</w:t>
      </w:r>
      <w:r>
        <w:rPr>
          <w:rFonts w:eastAsia="宋体"/>
          <w:szCs w:val="24"/>
        </w:rPr>
        <w:t>、功能描述和系统技术规格说明，提供使用、安装、维护等手册或文件</w:t>
      </w:r>
      <w:r>
        <w:rPr>
          <w:rFonts w:hint="eastAsia" w:eastAsia="宋体"/>
          <w:szCs w:val="24"/>
        </w:rPr>
        <w:t>。</w:t>
      </w:r>
    </w:p>
    <w:p>
      <w:pPr>
        <w:pStyle w:val="74"/>
        <w:numPr>
          <w:ilvl w:val="1"/>
          <w:numId w:val="8"/>
        </w:numPr>
        <w:spacing w:line="360" w:lineRule="auto"/>
        <w:ind w:left="0" w:firstLine="480"/>
        <w:rPr>
          <w:rFonts w:eastAsia="宋体"/>
          <w:szCs w:val="24"/>
        </w:rPr>
      </w:pPr>
      <w:r>
        <w:rPr>
          <w:rFonts w:hint="eastAsia" w:eastAsia="宋体"/>
          <w:szCs w:val="24"/>
        </w:rPr>
        <w:t>供应方所提供的软件产品需构成一套实用系统。如果供应方签署合同后，在系统集成时出现因自身软、硬件的遗漏导致系统无法运行，相关部分均必须由供应方免费提供，采购方将不再支付任何费用，造成的损失由供应方承担。</w:t>
      </w:r>
    </w:p>
    <w:p>
      <w:pPr>
        <w:pStyle w:val="74"/>
        <w:numPr>
          <w:ilvl w:val="1"/>
          <w:numId w:val="8"/>
        </w:numPr>
        <w:spacing w:line="360" w:lineRule="auto"/>
        <w:ind w:left="0" w:firstLine="480"/>
        <w:rPr>
          <w:rFonts w:eastAsia="宋体"/>
          <w:szCs w:val="24"/>
        </w:rPr>
      </w:pPr>
      <w:r>
        <w:rPr>
          <w:rFonts w:hint="eastAsia" w:eastAsia="宋体"/>
          <w:szCs w:val="24"/>
        </w:rPr>
        <w:t>对于工程实施方案，投标方应详细描述在本次项目实施的具体管理内容和措施，应包括但不限于以下内容：</w:t>
      </w:r>
    </w:p>
    <w:p>
      <w:pPr>
        <w:numPr>
          <w:ilvl w:val="0"/>
          <w:numId w:val="9"/>
        </w:numPr>
        <w:snapToGrid w:val="0"/>
        <w:spacing w:before="50" w:line="360" w:lineRule="auto"/>
        <w:rPr>
          <w:rFonts w:cs="宋体"/>
          <w:bCs/>
          <w:color w:val="000000"/>
          <w:kern w:val="0"/>
          <w:sz w:val="24"/>
        </w:rPr>
      </w:pPr>
      <w:r>
        <w:rPr>
          <w:rFonts w:hint="eastAsia" w:cs="宋体"/>
          <w:bCs/>
          <w:color w:val="000000"/>
          <w:kern w:val="0"/>
          <w:sz w:val="24"/>
        </w:rPr>
        <w:t>实施计划及策略；</w:t>
      </w:r>
    </w:p>
    <w:p>
      <w:pPr>
        <w:numPr>
          <w:ilvl w:val="0"/>
          <w:numId w:val="9"/>
        </w:numPr>
        <w:snapToGrid w:val="0"/>
        <w:spacing w:before="50" w:line="360" w:lineRule="auto"/>
        <w:rPr>
          <w:rFonts w:cs="宋体"/>
          <w:bCs/>
          <w:color w:val="000000"/>
          <w:kern w:val="0"/>
          <w:sz w:val="24"/>
        </w:rPr>
      </w:pPr>
      <w:r>
        <w:rPr>
          <w:rFonts w:hint="eastAsia" w:cs="宋体"/>
          <w:bCs/>
          <w:color w:val="000000"/>
          <w:kern w:val="0"/>
          <w:sz w:val="24"/>
        </w:rPr>
        <w:t>质量控制方案；</w:t>
      </w:r>
    </w:p>
    <w:p>
      <w:pPr>
        <w:numPr>
          <w:ilvl w:val="0"/>
          <w:numId w:val="9"/>
        </w:numPr>
        <w:snapToGrid w:val="0"/>
        <w:spacing w:before="50" w:line="360" w:lineRule="auto"/>
        <w:rPr>
          <w:rFonts w:cs="宋体"/>
          <w:bCs/>
          <w:color w:val="000000"/>
          <w:kern w:val="0"/>
          <w:sz w:val="24"/>
        </w:rPr>
      </w:pPr>
      <w:r>
        <w:rPr>
          <w:rFonts w:hint="eastAsia" w:cs="宋体"/>
          <w:bCs/>
          <w:color w:val="000000"/>
          <w:kern w:val="0"/>
          <w:sz w:val="24"/>
        </w:rPr>
        <w:t>测试验收方案。</w:t>
      </w:r>
    </w:p>
    <w:p>
      <w:pPr>
        <w:pStyle w:val="74"/>
        <w:numPr>
          <w:ilvl w:val="1"/>
          <w:numId w:val="8"/>
        </w:numPr>
        <w:spacing w:line="360" w:lineRule="auto"/>
        <w:ind w:left="0" w:firstLine="480"/>
        <w:rPr>
          <w:rFonts w:eastAsia="宋体"/>
          <w:szCs w:val="24"/>
        </w:rPr>
      </w:pPr>
      <w:r>
        <w:rPr>
          <w:rFonts w:hint="eastAsia" w:eastAsia="宋体"/>
          <w:szCs w:val="24"/>
        </w:rPr>
        <w:t>供应方</w:t>
      </w:r>
      <w:r>
        <w:rPr>
          <w:rFonts w:eastAsia="宋体"/>
          <w:szCs w:val="24"/>
        </w:rPr>
        <w:t>提供测试和验收的标准</w:t>
      </w:r>
      <w:r>
        <w:rPr>
          <w:rFonts w:hint="eastAsia" w:eastAsia="宋体"/>
          <w:szCs w:val="24"/>
        </w:rPr>
        <w:t>、</w:t>
      </w:r>
      <w:r>
        <w:rPr>
          <w:rFonts w:eastAsia="宋体"/>
          <w:szCs w:val="24"/>
        </w:rPr>
        <w:t>验收方法和文件</w:t>
      </w:r>
      <w:r>
        <w:rPr>
          <w:rFonts w:hint="eastAsia" w:eastAsia="宋体"/>
          <w:szCs w:val="24"/>
        </w:rPr>
        <w:t>。</w:t>
      </w:r>
    </w:p>
    <w:p>
      <w:pPr>
        <w:pStyle w:val="74"/>
        <w:numPr>
          <w:ilvl w:val="1"/>
          <w:numId w:val="8"/>
        </w:numPr>
        <w:spacing w:line="360" w:lineRule="auto"/>
        <w:ind w:left="0" w:firstLine="480"/>
        <w:rPr>
          <w:rFonts w:eastAsia="宋体"/>
          <w:szCs w:val="24"/>
        </w:rPr>
      </w:pPr>
      <w:r>
        <w:rPr>
          <w:rFonts w:hint="eastAsia" w:eastAsia="宋体"/>
          <w:szCs w:val="24"/>
        </w:rPr>
        <w:t>供应方如因满足本需求书要求，需要提供项目需求书中没有提到的设备，应在投标书中声明，并提供相关设备（含系统所有的附属设备）的名称、型号、功能及详细技术数据，以便采购方对供应方提供的设备的性能和功能进行全面的了解。</w:t>
      </w:r>
    </w:p>
    <w:p>
      <w:pPr>
        <w:pStyle w:val="74"/>
        <w:numPr>
          <w:ilvl w:val="1"/>
          <w:numId w:val="8"/>
        </w:numPr>
        <w:spacing w:line="360" w:lineRule="auto"/>
        <w:ind w:left="0" w:firstLine="480"/>
        <w:rPr>
          <w:rFonts w:eastAsia="宋体"/>
          <w:szCs w:val="24"/>
        </w:rPr>
      </w:pPr>
      <w:r>
        <w:rPr>
          <w:rFonts w:eastAsia="宋体"/>
          <w:szCs w:val="24"/>
        </w:rPr>
        <w:t>本工程所提供的软件</w:t>
      </w:r>
      <w:r>
        <w:rPr>
          <w:rFonts w:hint="eastAsia" w:eastAsia="宋体"/>
          <w:szCs w:val="24"/>
        </w:rPr>
        <w:t>产品</w:t>
      </w:r>
      <w:r>
        <w:rPr>
          <w:rFonts w:eastAsia="宋体"/>
          <w:szCs w:val="24"/>
        </w:rPr>
        <w:t>应</w:t>
      </w:r>
      <w:r>
        <w:rPr>
          <w:rFonts w:hint="eastAsia" w:eastAsia="宋体"/>
          <w:szCs w:val="24"/>
        </w:rPr>
        <w:t>参照</w:t>
      </w:r>
      <w:r>
        <w:rPr>
          <w:rFonts w:eastAsia="宋体"/>
          <w:szCs w:val="24"/>
        </w:rPr>
        <w:t>以下的技术标准与建议：</w:t>
      </w:r>
    </w:p>
    <w:p>
      <w:pPr>
        <w:numPr>
          <w:ilvl w:val="0"/>
          <w:numId w:val="9"/>
        </w:numPr>
        <w:snapToGrid w:val="0"/>
        <w:spacing w:before="50" w:line="360" w:lineRule="auto"/>
        <w:rPr>
          <w:rFonts w:cs="宋体"/>
          <w:bCs/>
          <w:color w:val="000000"/>
          <w:kern w:val="0"/>
          <w:sz w:val="24"/>
        </w:rPr>
      </w:pPr>
      <w:r>
        <w:rPr>
          <w:rFonts w:cs="宋体"/>
          <w:bCs/>
          <w:color w:val="000000"/>
          <w:kern w:val="0"/>
          <w:sz w:val="24"/>
        </w:rPr>
        <w:t>《计算机软件文档编制规范》（GB/T 8567-2006 ）</w:t>
      </w:r>
      <w:r>
        <w:rPr>
          <w:rFonts w:hint="eastAsia" w:cs="宋体"/>
          <w:bCs/>
          <w:color w:val="000000"/>
          <w:kern w:val="0"/>
          <w:sz w:val="24"/>
        </w:rPr>
        <w:t>;</w:t>
      </w:r>
    </w:p>
    <w:p>
      <w:pPr>
        <w:pStyle w:val="74"/>
        <w:numPr>
          <w:ilvl w:val="0"/>
          <w:numId w:val="8"/>
        </w:numPr>
        <w:spacing w:line="360" w:lineRule="auto"/>
        <w:ind w:left="0" w:firstLine="480"/>
        <w:rPr>
          <w:rFonts w:eastAsia="宋体"/>
          <w:szCs w:val="24"/>
        </w:rPr>
      </w:pPr>
      <w:r>
        <w:rPr>
          <w:rFonts w:hint="eastAsia" w:eastAsia="宋体"/>
          <w:szCs w:val="24"/>
        </w:rPr>
        <w:t>采购方</w:t>
      </w:r>
      <w:r>
        <w:rPr>
          <w:rFonts w:eastAsia="宋体"/>
          <w:szCs w:val="24"/>
        </w:rPr>
        <w:t>具有如下权利：</w:t>
      </w:r>
    </w:p>
    <w:p>
      <w:pPr>
        <w:pStyle w:val="74"/>
        <w:numPr>
          <w:ilvl w:val="1"/>
          <w:numId w:val="8"/>
        </w:numPr>
        <w:spacing w:line="360" w:lineRule="auto"/>
        <w:ind w:left="0" w:firstLine="480"/>
        <w:rPr>
          <w:rFonts w:eastAsia="宋体"/>
          <w:szCs w:val="24"/>
        </w:rPr>
      </w:pPr>
      <w:r>
        <w:rPr>
          <w:rFonts w:eastAsia="宋体"/>
          <w:szCs w:val="24"/>
        </w:rPr>
        <w:t>采购方拥有对本</w:t>
      </w:r>
      <w:r>
        <w:rPr>
          <w:rFonts w:hint="eastAsia" w:eastAsia="宋体"/>
          <w:szCs w:val="24"/>
        </w:rPr>
        <w:t>项目需求书</w:t>
      </w:r>
      <w:r>
        <w:rPr>
          <w:rFonts w:eastAsia="宋体"/>
          <w:szCs w:val="24"/>
        </w:rPr>
        <w:t>的解析、补充和局部修改权；</w:t>
      </w:r>
    </w:p>
    <w:p>
      <w:pPr>
        <w:pStyle w:val="74"/>
        <w:numPr>
          <w:ilvl w:val="1"/>
          <w:numId w:val="8"/>
        </w:numPr>
        <w:spacing w:line="360" w:lineRule="auto"/>
        <w:ind w:left="0" w:firstLine="480"/>
        <w:rPr>
          <w:rFonts w:eastAsia="宋体"/>
          <w:szCs w:val="24"/>
        </w:rPr>
      </w:pPr>
      <w:r>
        <w:rPr>
          <w:rFonts w:eastAsia="宋体"/>
          <w:szCs w:val="24"/>
        </w:rPr>
        <w:t>采购方对供应方就本次招标的设备的供货、安装调试、人员培训、技术支持与服务、系统集成等内容进行最终验收；</w:t>
      </w:r>
    </w:p>
    <w:p>
      <w:pPr>
        <w:pStyle w:val="74"/>
        <w:numPr>
          <w:ilvl w:val="1"/>
          <w:numId w:val="8"/>
        </w:numPr>
        <w:spacing w:line="360" w:lineRule="auto"/>
        <w:ind w:left="0" w:firstLine="480"/>
        <w:rPr>
          <w:rFonts w:eastAsia="宋体"/>
          <w:szCs w:val="24"/>
        </w:rPr>
      </w:pPr>
      <w:r>
        <w:rPr>
          <w:rFonts w:eastAsia="宋体"/>
          <w:szCs w:val="24"/>
        </w:rPr>
        <w:t>采购方保留对采购设备的规格和数量进行调整的权利。供应方应承诺当所购置设备种类、数量发生变化时，保证所提供的价格折扣水平、技术服务等方面的各种优惠条件不变；</w:t>
      </w:r>
      <w:r>
        <w:rPr>
          <w:rFonts w:hint="eastAsia" w:eastAsia="宋体"/>
          <w:szCs w:val="24"/>
        </w:rPr>
        <w:t>软件系统需按</w:t>
      </w:r>
      <w:r>
        <w:rPr>
          <w:rFonts w:eastAsia="宋体" w:cs="宋体"/>
          <w:bCs/>
          <w:color w:val="000000"/>
          <w:kern w:val="0"/>
          <w:szCs w:val="24"/>
        </w:rPr>
        <w:t>规定的日期和要求完成</w:t>
      </w:r>
      <w:r>
        <w:rPr>
          <w:rFonts w:hint="eastAsia" w:eastAsia="宋体" w:cs="宋体"/>
          <w:bCs/>
          <w:color w:val="000000"/>
          <w:kern w:val="0"/>
          <w:szCs w:val="24"/>
        </w:rPr>
        <w:t>项目策划</w:t>
      </w:r>
      <w:r>
        <w:rPr>
          <w:rFonts w:eastAsia="宋体" w:cs="宋体"/>
          <w:bCs/>
          <w:color w:val="000000"/>
          <w:kern w:val="0"/>
          <w:szCs w:val="24"/>
        </w:rPr>
        <w:t>、</w:t>
      </w:r>
      <w:r>
        <w:rPr>
          <w:rFonts w:hint="eastAsia" w:eastAsia="宋体" w:cs="宋体"/>
          <w:bCs/>
          <w:color w:val="000000"/>
          <w:kern w:val="0"/>
          <w:szCs w:val="24"/>
        </w:rPr>
        <w:t>需求分析和详细设计、软件采购及开发、导助航数据入库和建模、测试</w:t>
      </w:r>
      <w:r>
        <w:rPr>
          <w:rFonts w:eastAsia="宋体" w:cs="宋体"/>
          <w:bCs/>
          <w:color w:val="000000"/>
          <w:kern w:val="0"/>
          <w:szCs w:val="24"/>
        </w:rPr>
        <w:t>和验收阶段的全部工作。</w:t>
      </w:r>
    </w:p>
    <w:p>
      <w:pPr>
        <w:pStyle w:val="74"/>
        <w:numPr>
          <w:ilvl w:val="1"/>
          <w:numId w:val="8"/>
        </w:numPr>
        <w:spacing w:line="360" w:lineRule="auto"/>
        <w:ind w:left="0" w:firstLine="480"/>
        <w:rPr>
          <w:rFonts w:eastAsia="宋体"/>
          <w:szCs w:val="24"/>
        </w:rPr>
      </w:pPr>
      <w:r>
        <w:rPr>
          <w:rFonts w:eastAsia="宋体"/>
          <w:szCs w:val="24"/>
        </w:rPr>
        <w:t>本工程建设双方应按规定的日期和要求完成所有设备的制造、装运、现场安装、调试和验收阶段的全部工作。</w:t>
      </w:r>
    </w:p>
    <w:p>
      <w:pPr>
        <w:pStyle w:val="74"/>
        <w:numPr>
          <w:ilvl w:val="0"/>
          <w:numId w:val="8"/>
        </w:numPr>
        <w:spacing w:line="360" w:lineRule="auto"/>
        <w:ind w:left="0" w:firstLine="480"/>
        <w:rPr>
          <w:rFonts w:eastAsia="宋体"/>
          <w:szCs w:val="24"/>
        </w:rPr>
      </w:pPr>
      <w:r>
        <w:rPr>
          <w:rFonts w:eastAsia="宋体"/>
          <w:szCs w:val="24"/>
        </w:rPr>
        <w:t>供应方提供的系统方案和技术参数作为合同的重要附件，如与本</w:t>
      </w:r>
      <w:r>
        <w:rPr>
          <w:rFonts w:hint="eastAsia" w:eastAsia="宋体"/>
          <w:szCs w:val="24"/>
        </w:rPr>
        <w:t>需求书</w:t>
      </w:r>
      <w:r>
        <w:rPr>
          <w:rFonts w:eastAsia="宋体"/>
          <w:szCs w:val="24"/>
        </w:rPr>
        <w:t>冲突，以本</w:t>
      </w:r>
      <w:r>
        <w:rPr>
          <w:rFonts w:hint="eastAsia" w:eastAsia="宋体"/>
          <w:szCs w:val="24"/>
        </w:rPr>
        <w:t>需求书</w:t>
      </w:r>
      <w:r>
        <w:rPr>
          <w:rFonts w:eastAsia="宋体"/>
          <w:szCs w:val="24"/>
        </w:rPr>
        <w:t>为准。</w:t>
      </w:r>
    </w:p>
    <w:p>
      <w:pPr>
        <w:pStyle w:val="5"/>
        <w:rPr>
          <w:sz w:val="24"/>
          <w:szCs w:val="24"/>
        </w:rPr>
      </w:pPr>
      <w:bookmarkStart w:id="39" w:name="_Toc100742926"/>
      <w:bookmarkStart w:id="40" w:name="_Toc381270351"/>
      <w:bookmarkStart w:id="41" w:name="_Toc337381218"/>
      <w:bookmarkStart w:id="42" w:name="_Toc380732041"/>
      <w:bookmarkStart w:id="43" w:name="_Toc338059938"/>
      <w:bookmarkStart w:id="44" w:name="_Toc338059597"/>
      <w:bookmarkStart w:id="45" w:name="_Toc309718940"/>
      <w:bookmarkStart w:id="46" w:name="_Toc432756595"/>
      <w:bookmarkStart w:id="47" w:name="_Toc338059497"/>
      <w:r>
        <w:rPr>
          <w:rFonts w:hint="eastAsia"/>
          <w:sz w:val="24"/>
          <w:szCs w:val="24"/>
        </w:rPr>
        <w:t>1.4.2</w:t>
      </w:r>
      <w:r>
        <w:rPr>
          <w:sz w:val="24"/>
          <w:szCs w:val="24"/>
        </w:rPr>
        <w:t>实施进度要求</w:t>
      </w:r>
      <w:bookmarkEnd w:id="39"/>
      <w:bookmarkEnd w:id="40"/>
      <w:bookmarkEnd w:id="41"/>
      <w:bookmarkEnd w:id="42"/>
      <w:bookmarkEnd w:id="43"/>
      <w:bookmarkEnd w:id="44"/>
      <w:bookmarkEnd w:id="45"/>
      <w:bookmarkEnd w:id="46"/>
      <w:bookmarkEnd w:id="47"/>
    </w:p>
    <w:p>
      <w:pPr>
        <w:spacing w:line="360" w:lineRule="auto"/>
        <w:ind w:firstLine="600" w:firstLineChars="250"/>
        <w:rPr>
          <w:sz w:val="28"/>
          <w:szCs w:val="28"/>
        </w:rPr>
      </w:pPr>
      <w:bookmarkStart w:id="48" w:name="_Toc306536403"/>
      <w:bookmarkStart w:id="49" w:name="_Toc309719388"/>
      <w:bookmarkStart w:id="50" w:name="_Toc139429200"/>
      <w:bookmarkStart w:id="51" w:name="_Toc163897918"/>
      <w:bookmarkStart w:id="52" w:name="_Toc172866233"/>
      <w:bookmarkStart w:id="53" w:name="_Toc115497090"/>
      <w:bookmarkStart w:id="54" w:name="_Toc332713974"/>
      <w:bookmarkStart w:id="55" w:name="_Toc323200253"/>
      <w:bookmarkStart w:id="56" w:name="_Toc115496944"/>
      <w:r>
        <w:rPr>
          <w:rFonts w:hint="eastAsia" w:eastAsia="宋体"/>
          <w:sz w:val="24"/>
          <w:szCs w:val="24"/>
        </w:rPr>
        <w:t>供应商应在签订合同后</w:t>
      </w:r>
      <w:r>
        <w:rPr>
          <w:rFonts w:eastAsia="宋体"/>
          <w:sz w:val="24"/>
          <w:szCs w:val="24"/>
        </w:rPr>
        <w:t>2</w:t>
      </w:r>
      <w:r>
        <w:rPr>
          <w:rFonts w:hint="eastAsia" w:eastAsia="宋体"/>
          <w:sz w:val="24"/>
          <w:szCs w:val="24"/>
        </w:rPr>
        <w:t>个月内完成项目《详细设计方案》并提交甲方，于</w:t>
      </w:r>
      <w:r>
        <w:rPr>
          <w:rFonts w:eastAsia="宋体"/>
          <w:sz w:val="24"/>
          <w:szCs w:val="24"/>
        </w:rPr>
        <w:t>4</w:t>
      </w:r>
      <w:r>
        <w:rPr>
          <w:rFonts w:hint="eastAsia" w:eastAsia="宋体"/>
          <w:sz w:val="24"/>
          <w:szCs w:val="24"/>
        </w:rPr>
        <w:t>个月内完成硬件到货点验，于</w:t>
      </w:r>
      <w:r>
        <w:rPr>
          <w:rFonts w:eastAsia="宋体"/>
          <w:sz w:val="24"/>
          <w:szCs w:val="24"/>
        </w:rPr>
        <w:t>5</w:t>
      </w:r>
      <w:r>
        <w:rPr>
          <w:rFonts w:hint="eastAsia" w:eastAsia="宋体"/>
          <w:sz w:val="24"/>
          <w:szCs w:val="24"/>
        </w:rPr>
        <w:t>个月内完成功能确认，于</w:t>
      </w:r>
      <w:r>
        <w:rPr>
          <w:rFonts w:eastAsia="宋体"/>
          <w:sz w:val="24"/>
          <w:szCs w:val="24"/>
        </w:rPr>
        <w:t>12</w:t>
      </w:r>
      <w:r>
        <w:rPr>
          <w:rFonts w:hint="eastAsia" w:eastAsia="宋体"/>
          <w:sz w:val="24"/>
          <w:szCs w:val="24"/>
        </w:rPr>
        <w:t>个月内完成现场验收，于2023年底前根据甲方工作安排完成最终验收。</w:t>
      </w:r>
      <w:bookmarkStart w:id="57" w:name="_Toc100742927"/>
    </w:p>
    <w:p>
      <w:pPr>
        <w:pStyle w:val="2"/>
        <w:rPr>
          <w:sz w:val="28"/>
          <w:szCs w:val="28"/>
        </w:rPr>
      </w:pPr>
      <w:r>
        <w:rPr>
          <w:rFonts w:hint="eastAsia"/>
          <w:sz w:val="28"/>
          <w:szCs w:val="28"/>
        </w:rPr>
        <w:t>二、</w:t>
      </w:r>
      <w:r>
        <w:rPr>
          <w:sz w:val="28"/>
          <w:szCs w:val="28"/>
        </w:rPr>
        <w:t>工程概要</w:t>
      </w:r>
      <w:bookmarkEnd w:id="57"/>
    </w:p>
    <w:p>
      <w:pPr>
        <w:pStyle w:val="4"/>
        <w:numPr>
          <w:ilvl w:val="1"/>
          <w:numId w:val="0"/>
        </w:numPr>
        <w:rPr>
          <w:rFonts w:ascii="Times New Roman" w:hAnsi="Times New Roman" w:eastAsia="宋体"/>
        </w:rPr>
      </w:pPr>
      <w:bookmarkStart w:id="58" w:name="_Toc100742928"/>
      <w:bookmarkStart w:id="59" w:name="_Toc86693987"/>
      <w:r>
        <w:rPr>
          <w:rFonts w:hint="eastAsia" w:ascii="Times New Roman" w:hAnsi="Times New Roman" w:eastAsia="宋体"/>
        </w:rPr>
        <w:t>2.1</w:t>
      </w:r>
      <w:r>
        <w:rPr>
          <w:rFonts w:ascii="Times New Roman" w:hAnsi="Times New Roman" w:eastAsia="宋体"/>
        </w:rPr>
        <w:t>系统总体构成</w:t>
      </w:r>
      <w:bookmarkEnd w:id="58"/>
      <w:bookmarkEnd w:id="59"/>
    </w:p>
    <w:p>
      <w:pPr>
        <w:snapToGrid w:val="0"/>
        <w:spacing w:line="360" w:lineRule="auto"/>
        <w:ind w:firstLine="480" w:firstLineChars="200"/>
        <w:rPr>
          <w:sz w:val="24"/>
          <w:szCs w:val="32"/>
        </w:rPr>
      </w:pPr>
      <w:r>
        <w:rPr>
          <w:sz w:val="24"/>
          <w:szCs w:val="32"/>
        </w:rPr>
        <w:t>核心网管理系统由接口服务、核心网管理服务、基站驱动服务和数据比对与测试四大子系统构成。主要功能是实现人机交互、向外部用户提供服务接口并接收服务请求、与其他核心网进行数据交换（辖区——海区、海区——海区、海区——国家）、数据收发处理（含语句生成与解析、接收数据的清洗、去重、数据存储、数据流监控等）、系统QoS控制、路由控制、网关服务等功能，以及实现与同级SAAB数据中心生成数据的数据比对功能。</w:t>
      </w:r>
    </w:p>
    <w:p>
      <w:pPr>
        <w:pStyle w:val="4"/>
        <w:numPr>
          <w:ilvl w:val="1"/>
          <w:numId w:val="0"/>
        </w:numPr>
      </w:pPr>
      <w:bookmarkStart w:id="60" w:name="_Toc100742929"/>
      <w:bookmarkStart w:id="61" w:name="_Toc86693988"/>
      <w:r>
        <w:rPr>
          <w:rFonts w:hint="eastAsia" w:ascii="Times New Roman" w:hAnsi="Times New Roman" w:eastAsia="宋体"/>
        </w:rPr>
        <w:t>2.2</w:t>
      </w:r>
      <w:r>
        <w:rPr>
          <w:rFonts w:ascii="Times New Roman" w:hAnsi="Times New Roman" w:eastAsia="宋体"/>
        </w:rPr>
        <w:t>接口服务子系统</w:t>
      </w:r>
      <w:bookmarkEnd w:id="60"/>
      <w:bookmarkEnd w:id="61"/>
    </w:p>
    <w:p>
      <w:pPr>
        <w:snapToGrid w:val="0"/>
        <w:spacing w:line="360" w:lineRule="auto"/>
        <w:ind w:firstLine="480" w:firstLineChars="200"/>
        <w:rPr>
          <w:sz w:val="24"/>
          <w:szCs w:val="32"/>
        </w:rPr>
      </w:pPr>
      <w:r>
        <w:rPr>
          <w:sz w:val="24"/>
          <w:szCs w:val="32"/>
        </w:rPr>
        <w:t>接口服务子系统提供人机交互和用户接口服务功能。</w:t>
      </w:r>
    </w:p>
    <w:p>
      <w:pPr>
        <w:snapToGrid w:val="0"/>
        <w:spacing w:line="360" w:lineRule="auto"/>
        <w:ind w:firstLine="480" w:firstLineChars="200"/>
        <w:rPr>
          <w:sz w:val="24"/>
          <w:szCs w:val="32"/>
        </w:rPr>
      </w:pPr>
      <w:r>
        <w:rPr>
          <w:rFonts w:hint="eastAsia"/>
          <w:sz w:val="24"/>
          <w:szCs w:val="32"/>
        </w:rPr>
        <w:t>（1）</w:t>
      </w:r>
      <w:r>
        <w:rPr>
          <w:sz w:val="24"/>
          <w:szCs w:val="32"/>
        </w:rPr>
        <w:t>人机交互服务</w:t>
      </w:r>
    </w:p>
    <w:p>
      <w:pPr>
        <w:snapToGrid w:val="0"/>
        <w:spacing w:line="360" w:lineRule="auto"/>
        <w:ind w:firstLine="480" w:firstLineChars="200"/>
        <w:rPr>
          <w:sz w:val="24"/>
          <w:szCs w:val="32"/>
        </w:rPr>
      </w:pPr>
      <w:r>
        <w:rPr>
          <w:sz w:val="24"/>
          <w:szCs w:val="32"/>
        </w:rPr>
        <w:t>包括基站数据可视化、基站状态可视化、用户数据可视化、数据流状态可视化、拓扑结构可视化、船舶数据可视化、基站船舶数量统计、基站时隙显示、辖区/海区船舶数据统计、辖区/海区负载显示、基站VDL负载显示等。</w:t>
      </w:r>
    </w:p>
    <w:p>
      <w:pPr>
        <w:pStyle w:val="59"/>
        <w:numPr>
          <w:ilvl w:val="0"/>
          <w:numId w:val="6"/>
        </w:numPr>
        <w:snapToGrid w:val="0"/>
        <w:spacing w:line="360" w:lineRule="auto"/>
        <w:ind w:firstLineChars="0"/>
        <w:rPr>
          <w:sz w:val="24"/>
          <w:szCs w:val="32"/>
        </w:rPr>
      </w:pPr>
      <w:r>
        <w:rPr>
          <w:sz w:val="24"/>
          <w:szCs w:val="32"/>
        </w:rPr>
        <w:t>用户接口服务</w:t>
      </w:r>
    </w:p>
    <w:p>
      <w:pPr>
        <w:pStyle w:val="59"/>
        <w:numPr>
          <w:ilvl w:val="0"/>
          <w:numId w:val="6"/>
        </w:numPr>
        <w:snapToGrid w:val="0"/>
        <w:spacing w:line="360" w:lineRule="auto"/>
        <w:ind w:firstLineChars="0"/>
        <w:rPr>
          <w:sz w:val="24"/>
          <w:szCs w:val="32"/>
        </w:rPr>
      </w:pPr>
      <w:r>
        <w:rPr>
          <w:sz w:val="24"/>
          <w:szCs w:val="32"/>
        </w:rPr>
        <w:t>包括标准数据流接口、扩展数据流接口、用户API接口、AIS数据接口格式兼容、AIS裸报文适配、时戳报文头适配、Comment Block报文头适配、TAG Block适配、用户数据收发管理、用户异常行为识别、用户接口防火墙管理、用户登录权限控制、用户并发权限控制、目标服务器连接控制、连接接口类型控制、用户虚拟MMSI管理、数据来源适配、目标类型适配、报文类型适配、清洗状态适配、数据范围适配、数据字段适配等。</w:t>
      </w:r>
    </w:p>
    <w:p>
      <w:pPr>
        <w:pStyle w:val="4"/>
        <w:numPr>
          <w:ilvl w:val="1"/>
          <w:numId w:val="0"/>
        </w:numPr>
      </w:pPr>
      <w:bookmarkStart w:id="62" w:name="_Toc100742930"/>
      <w:bookmarkStart w:id="63" w:name="_Toc86693989"/>
      <w:r>
        <w:rPr>
          <w:rFonts w:hint="eastAsia" w:ascii="Times New Roman" w:hAnsi="Times New Roman" w:eastAsia="宋体"/>
        </w:rPr>
        <w:t>2.3</w:t>
      </w:r>
      <w:r>
        <w:rPr>
          <w:rFonts w:ascii="Times New Roman" w:hAnsi="Times New Roman" w:eastAsia="宋体"/>
        </w:rPr>
        <w:t>核心网管理服务子系统</w:t>
      </w:r>
      <w:bookmarkEnd w:id="62"/>
      <w:bookmarkEnd w:id="63"/>
    </w:p>
    <w:p>
      <w:pPr>
        <w:snapToGrid w:val="0"/>
        <w:spacing w:line="360" w:lineRule="auto"/>
        <w:ind w:firstLine="480" w:firstLineChars="200"/>
        <w:rPr>
          <w:sz w:val="24"/>
          <w:szCs w:val="32"/>
        </w:rPr>
      </w:pPr>
      <w:r>
        <w:rPr>
          <w:sz w:val="24"/>
          <w:szCs w:val="32"/>
        </w:rPr>
        <w:t>核心网管理服务子系统实现核心网的基础管理功能。包括业务数据接口服务、驱动数据接口服务、语句生成服务、语句解析及清洗服务、数据存储服务、数据流监控服务、QoS控制服务、基站资源协调服务、安全网关服务、核心网路由服务、核心网间交换服务、数据对比测试服务。</w:t>
      </w:r>
    </w:p>
    <w:p>
      <w:pPr>
        <w:snapToGrid w:val="0"/>
        <w:spacing w:line="360" w:lineRule="auto"/>
        <w:ind w:firstLine="480" w:firstLineChars="200"/>
        <w:rPr>
          <w:sz w:val="24"/>
          <w:szCs w:val="32"/>
        </w:rPr>
      </w:pPr>
      <w:r>
        <w:rPr>
          <w:sz w:val="24"/>
          <w:szCs w:val="32"/>
        </w:rPr>
        <w:t>根据辖区与海区数据中心在功能上的差异，辖区核心网管理服务子系统和海区核心网管理服务子系统在功能框架上也有所不同。</w:t>
      </w:r>
    </w:p>
    <w:p>
      <w:pPr>
        <w:snapToGrid w:val="0"/>
        <w:spacing w:line="360" w:lineRule="auto"/>
        <w:ind w:firstLine="480" w:firstLineChars="200"/>
        <w:rPr>
          <w:sz w:val="24"/>
          <w:szCs w:val="32"/>
        </w:rPr>
      </w:pPr>
      <w:r>
        <w:rPr>
          <w:rFonts w:hint="eastAsia"/>
          <w:sz w:val="24"/>
          <w:szCs w:val="32"/>
        </w:rPr>
        <w:t>（1）</w:t>
      </w:r>
      <w:r>
        <w:rPr>
          <w:sz w:val="24"/>
          <w:szCs w:val="32"/>
        </w:rPr>
        <w:t>业务数据接口服务</w:t>
      </w:r>
    </w:p>
    <w:p>
      <w:pPr>
        <w:snapToGrid w:val="0"/>
        <w:spacing w:line="360" w:lineRule="auto"/>
        <w:ind w:firstLine="480" w:firstLineChars="200"/>
        <w:rPr>
          <w:sz w:val="24"/>
          <w:szCs w:val="32"/>
        </w:rPr>
      </w:pPr>
      <w:r>
        <w:rPr>
          <w:rFonts w:hint="eastAsia"/>
          <w:sz w:val="24"/>
          <w:szCs w:val="32"/>
        </w:rPr>
        <w:t>（2）</w:t>
      </w:r>
      <w:r>
        <w:rPr>
          <w:sz w:val="24"/>
          <w:szCs w:val="32"/>
        </w:rPr>
        <w:t>驱动数据接口服务</w:t>
      </w:r>
    </w:p>
    <w:p>
      <w:pPr>
        <w:snapToGrid w:val="0"/>
        <w:spacing w:line="360" w:lineRule="auto"/>
        <w:ind w:firstLine="480" w:firstLineChars="200"/>
        <w:rPr>
          <w:sz w:val="24"/>
        </w:rPr>
      </w:pPr>
      <w:r>
        <w:rPr>
          <w:rFonts w:hint="eastAsia"/>
          <w:sz w:val="24"/>
        </w:rPr>
        <w:t>（3）</w:t>
      </w:r>
      <w:r>
        <w:rPr>
          <w:sz w:val="24"/>
        </w:rPr>
        <w:t>语句生成服务</w:t>
      </w:r>
    </w:p>
    <w:p>
      <w:pPr>
        <w:snapToGrid w:val="0"/>
        <w:spacing w:line="360" w:lineRule="auto"/>
        <w:ind w:firstLine="480" w:firstLineChars="200"/>
        <w:rPr>
          <w:sz w:val="24"/>
        </w:rPr>
      </w:pPr>
      <w:r>
        <w:rPr>
          <w:rFonts w:hint="eastAsia"/>
          <w:sz w:val="24"/>
        </w:rPr>
        <w:t>（4）</w:t>
      </w:r>
      <w:r>
        <w:rPr>
          <w:sz w:val="24"/>
        </w:rPr>
        <w:t>数据分析及清洗服务</w:t>
      </w:r>
    </w:p>
    <w:p>
      <w:pPr>
        <w:snapToGrid w:val="0"/>
        <w:spacing w:line="360" w:lineRule="auto"/>
        <w:ind w:firstLine="480" w:firstLineChars="200"/>
        <w:rPr>
          <w:sz w:val="24"/>
        </w:rPr>
      </w:pPr>
      <w:r>
        <w:rPr>
          <w:sz w:val="24"/>
        </w:rPr>
        <w:t>（5）数据流监控服务</w:t>
      </w:r>
    </w:p>
    <w:p>
      <w:pPr>
        <w:snapToGrid w:val="0"/>
        <w:spacing w:line="360" w:lineRule="auto"/>
        <w:ind w:firstLine="480" w:firstLineChars="200"/>
        <w:rPr>
          <w:sz w:val="24"/>
        </w:rPr>
      </w:pPr>
      <w:r>
        <w:rPr>
          <w:sz w:val="24"/>
        </w:rPr>
        <w:t>（</w:t>
      </w:r>
      <w:r>
        <w:rPr>
          <w:rFonts w:hint="eastAsia"/>
          <w:sz w:val="24"/>
        </w:rPr>
        <w:t>6</w:t>
      </w:r>
      <w:r>
        <w:rPr>
          <w:sz w:val="24"/>
        </w:rPr>
        <w:t>）QoS控制服务</w:t>
      </w:r>
    </w:p>
    <w:p>
      <w:pPr>
        <w:snapToGrid w:val="0"/>
        <w:spacing w:line="360" w:lineRule="auto"/>
        <w:ind w:firstLine="480" w:firstLineChars="200"/>
        <w:rPr>
          <w:sz w:val="24"/>
        </w:rPr>
      </w:pPr>
      <w:r>
        <w:rPr>
          <w:rFonts w:hint="eastAsia"/>
          <w:sz w:val="24"/>
        </w:rPr>
        <w:t>（7）</w:t>
      </w:r>
      <w:r>
        <w:rPr>
          <w:sz w:val="24"/>
        </w:rPr>
        <w:t>安全网关服务</w:t>
      </w:r>
    </w:p>
    <w:p>
      <w:pPr>
        <w:snapToGrid w:val="0"/>
        <w:spacing w:line="360" w:lineRule="auto"/>
        <w:ind w:firstLine="480" w:firstLineChars="200"/>
        <w:rPr>
          <w:sz w:val="24"/>
        </w:rPr>
      </w:pPr>
      <w:r>
        <w:rPr>
          <w:sz w:val="24"/>
        </w:rPr>
        <w:t>（8）核心网路由服务</w:t>
      </w:r>
    </w:p>
    <w:p>
      <w:pPr>
        <w:snapToGrid w:val="0"/>
        <w:spacing w:line="360" w:lineRule="auto"/>
        <w:ind w:firstLine="480" w:firstLineChars="200"/>
        <w:rPr>
          <w:sz w:val="24"/>
        </w:rPr>
      </w:pPr>
      <w:r>
        <w:rPr>
          <w:sz w:val="24"/>
        </w:rPr>
        <w:t>（9）核心网间交换服务</w:t>
      </w:r>
    </w:p>
    <w:p>
      <w:pPr>
        <w:pStyle w:val="4"/>
        <w:numPr>
          <w:ilvl w:val="1"/>
          <w:numId w:val="0"/>
        </w:numPr>
      </w:pPr>
      <w:bookmarkStart w:id="64" w:name="_Toc86693990"/>
      <w:bookmarkStart w:id="65" w:name="_Toc100742931"/>
      <w:r>
        <w:rPr>
          <w:rFonts w:hint="eastAsia" w:ascii="Times New Roman" w:hAnsi="Times New Roman" w:eastAsia="宋体"/>
        </w:rPr>
        <w:t>2.4</w:t>
      </w:r>
      <w:r>
        <w:rPr>
          <w:rFonts w:ascii="Times New Roman" w:hAnsi="Times New Roman" w:eastAsia="宋体"/>
        </w:rPr>
        <w:t>基站驱动服务子系统</w:t>
      </w:r>
      <w:bookmarkEnd w:id="64"/>
      <w:bookmarkEnd w:id="65"/>
    </w:p>
    <w:p>
      <w:pPr>
        <w:snapToGrid w:val="0"/>
        <w:spacing w:line="360" w:lineRule="auto"/>
        <w:ind w:firstLine="480" w:firstLineChars="200"/>
        <w:rPr>
          <w:sz w:val="24"/>
        </w:rPr>
      </w:pPr>
      <w:r>
        <w:rPr>
          <w:sz w:val="24"/>
        </w:rPr>
        <w:t>基站驱动服务子系统实现与基站终端的数据连接、消息收发功能。包括AIS信道消息处理服务、ASM信道消息处理服务、基站管理消息处理服务、消息格式适配服务、基站消息格式管理服务、终端连接服务。</w:t>
      </w:r>
    </w:p>
    <w:p>
      <w:pPr>
        <w:pStyle w:val="4"/>
        <w:numPr>
          <w:ilvl w:val="1"/>
          <w:numId w:val="0"/>
        </w:numPr>
        <w:tabs>
          <w:tab w:val="clear" w:pos="0"/>
        </w:tabs>
      </w:pPr>
      <w:bookmarkStart w:id="66" w:name="_Toc100742932"/>
      <w:bookmarkStart w:id="67" w:name="_Toc86693991"/>
      <w:r>
        <w:rPr>
          <w:rFonts w:hint="eastAsia" w:ascii="Times New Roman" w:hAnsi="Times New Roman" w:eastAsia="宋体"/>
        </w:rPr>
        <w:t>2.5</w:t>
      </w:r>
      <w:r>
        <w:rPr>
          <w:rFonts w:ascii="Times New Roman" w:hAnsi="Times New Roman" w:eastAsia="宋体"/>
        </w:rPr>
        <w:t>数据对比与测试子系统</w:t>
      </w:r>
      <w:bookmarkEnd w:id="66"/>
      <w:bookmarkEnd w:id="67"/>
    </w:p>
    <w:p>
      <w:pPr>
        <w:tabs>
          <w:tab w:val="left" w:pos="312"/>
        </w:tabs>
        <w:snapToGrid w:val="0"/>
        <w:spacing w:line="360" w:lineRule="auto"/>
        <w:ind w:left="480"/>
        <w:textAlignment w:val="center"/>
        <w:rPr>
          <w:rStyle w:val="80"/>
          <w:rFonts w:hint="default"/>
          <w:sz w:val="24"/>
          <w:szCs w:val="24"/>
          <w:lang w:bidi="ar"/>
        </w:rPr>
      </w:pPr>
      <w:r>
        <w:rPr>
          <w:rStyle w:val="80"/>
          <w:rFonts w:hint="default"/>
          <w:sz w:val="24"/>
          <w:szCs w:val="24"/>
          <w:lang w:bidi="ar"/>
        </w:rPr>
        <w:t>（1）系统内数据对比测试模块</w:t>
      </w:r>
    </w:p>
    <w:p>
      <w:pPr>
        <w:snapToGrid w:val="0"/>
        <w:spacing w:line="360" w:lineRule="auto"/>
        <w:ind w:firstLine="480" w:firstLineChars="200"/>
        <w:rPr>
          <w:rStyle w:val="80"/>
          <w:rFonts w:hint="default"/>
          <w:sz w:val="24"/>
          <w:szCs w:val="24"/>
          <w:lang w:bidi="ar"/>
        </w:rPr>
      </w:pPr>
      <w:r>
        <w:rPr>
          <w:rStyle w:val="80"/>
          <w:rFonts w:hint="default"/>
          <w:sz w:val="24"/>
          <w:szCs w:val="24"/>
          <w:lang w:bidi="ar"/>
        </w:rPr>
        <w:t>包含</w:t>
      </w:r>
      <w:r>
        <w:rPr>
          <w:sz w:val="24"/>
          <w:lang w:bidi="ar"/>
        </w:rPr>
        <w:t>数据到达率测试模块</w:t>
      </w:r>
      <w:r>
        <w:rPr>
          <w:rStyle w:val="80"/>
          <w:rFonts w:hint="default"/>
          <w:sz w:val="24"/>
          <w:szCs w:val="24"/>
          <w:lang w:bidi="ar"/>
        </w:rPr>
        <w:t>、</w:t>
      </w:r>
      <w:r>
        <w:rPr>
          <w:sz w:val="24"/>
          <w:lang w:bidi="ar"/>
        </w:rPr>
        <w:t>延迟测试模块</w:t>
      </w:r>
      <w:r>
        <w:rPr>
          <w:rStyle w:val="80"/>
          <w:rFonts w:hint="default"/>
          <w:sz w:val="24"/>
          <w:szCs w:val="24"/>
          <w:lang w:bidi="ar"/>
        </w:rPr>
        <w:t>、</w:t>
      </w:r>
      <w:r>
        <w:rPr>
          <w:sz w:val="24"/>
          <w:lang w:bidi="ar"/>
        </w:rPr>
        <w:t>抖动测试模块</w:t>
      </w:r>
      <w:r>
        <w:rPr>
          <w:rStyle w:val="80"/>
          <w:rFonts w:hint="default"/>
          <w:sz w:val="24"/>
          <w:szCs w:val="24"/>
          <w:lang w:bidi="ar"/>
        </w:rPr>
        <w:t>、</w:t>
      </w:r>
      <w:r>
        <w:rPr>
          <w:sz w:val="24"/>
          <w:lang w:bidi="ar"/>
        </w:rPr>
        <w:t>误帧测试模块</w:t>
      </w:r>
      <w:r>
        <w:rPr>
          <w:rStyle w:val="80"/>
          <w:rFonts w:hint="default"/>
          <w:sz w:val="24"/>
          <w:szCs w:val="24"/>
          <w:lang w:bidi="ar"/>
        </w:rPr>
        <w:t>等。</w:t>
      </w:r>
    </w:p>
    <w:p>
      <w:pPr>
        <w:tabs>
          <w:tab w:val="left" w:pos="312"/>
        </w:tabs>
        <w:snapToGrid w:val="0"/>
        <w:spacing w:line="360" w:lineRule="auto"/>
        <w:ind w:left="480"/>
        <w:textAlignment w:val="center"/>
        <w:rPr>
          <w:rStyle w:val="80"/>
          <w:rFonts w:hint="default"/>
          <w:sz w:val="24"/>
          <w:szCs w:val="24"/>
          <w:lang w:bidi="ar"/>
        </w:rPr>
      </w:pPr>
      <w:r>
        <w:rPr>
          <w:rStyle w:val="80"/>
          <w:rFonts w:hint="default"/>
          <w:sz w:val="24"/>
          <w:szCs w:val="24"/>
          <w:lang w:bidi="ar"/>
        </w:rPr>
        <w:t>（2）系统间数据对比测试模块</w:t>
      </w:r>
    </w:p>
    <w:p>
      <w:pPr>
        <w:snapToGrid w:val="0"/>
        <w:spacing w:line="360" w:lineRule="auto"/>
        <w:ind w:firstLine="480" w:firstLineChars="200"/>
        <w:rPr>
          <w:rStyle w:val="80"/>
          <w:rFonts w:hint="default"/>
          <w:sz w:val="24"/>
          <w:szCs w:val="24"/>
          <w:lang w:bidi="ar"/>
        </w:rPr>
      </w:pPr>
      <w:r>
        <w:rPr>
          <w:rStyle w:val="80"/>
          <w:rFonts w:hint="default"/>
          <w:sz w:val="24"/>
          <w:szCs w:val="24"/>
          <w:lang w:bidi="ar"/>
        </w:rPr>
        <w:t>包含</w:t>
      </w:r>
      <w:r>
        <w:rPr>
          <w:sz w:val="24"/>
          <w:lang w:bidi="ar"/>
        </w:rPr>
        <w:t>数据流量测试模块</w:t>
      </w:r>
      <w:r>
        <w:rPr>
          <w:rStyle w:val="80"/>
          <w:rFonts w:hint="default"/>
          <w:sz w:val="24"/>
          <w:szCs w:val="24"/>
          <w:lang w:bidi="ar"/>
        </w:rPr>
        <w:t>、</w:t>
      </w:r>
      <w:r>
        <w:rPr>
          <w:sz w:val="24"/>
          <w:lang w:bidi="ar"/>
        </w:rPr>
        <w:t>数据一致性测试模块</w:t>
      </w:r>
      <w:r>
        <w:rPr>
          <w:rStyle w:val="80"/>
          <w:rFonts w:hint="default"/>
          <w:sz w:val="24"/>
          <w:szCs w:val="24"/>
          <w:lang w:bidi="ar"/>
        </w:rPr>
        <w:t>、</w:t>
      </w:r>
      <w:r>
        <w:rPr>
          <w:sz w:val="24"/>
          <w:lang w:bidi="ar"/>
        </w:rPr>
        <w:t>时延测试模块</w:t>
      </w:r>
      <w:r>
        <w:rPr>
          <w:rStyle w:val="80"/>
          <w:rFonts w:hint="default"/>
          <w:sz w:val="24"/>
          <w:szCs w:val="24"/>
          <w:lang w:bidi="ar"/>
        </w:rPr>
        <w:t>、</w:t>
      </w:r>
      <w:r>
        <w:rPr>
          <w:sz w:val="24"/>
          <w:lang w:bidi="ar"/>
        </w:rPr>
        <w:t>时间戳测试模块</w:t>
      </w:r>
      <w:r>
        <w:rPr>
          <w:rStyle w:val="80"/>
          <w:rFonts w:hint="default"/>
          <w:sz w:val="24"/>
          <w:szCs w:val="24"/>
          <w:lang w:bidi="ar"/>
        </w:rPr>
        <w:t>等。</w:t>
      </w:r>
    </w:p>
    <w:p>
      <w:pPr>
        <w:tabs>
          <w:tab w:val="left" w:pos="312"/>
        </w:tabs>
        <w:snapToGrid w:val="0"/>
        <w:spacing w:line="360" w:lineRule="auto"/>
        <w:ind w:left="480"/>
        <w:textAlignment w:val="center"/>
        <w:rPr>
          <w:rStyle w:val="80"/>
          <w:rFonts w:hint="default"/>
          <w:sz w:val="24"/>
          <w:szCs w:val="24"/>
          <w:lang w:bidi="ar"/>
        </w:rPr>
      </w:pPr>
      <w:r>
        <w:rPr>
          <w:rStyle w:val="80"/>
          <w:rFonts w:hint="default"/>
          <w:sz w:val="24"/>
          <w:szCs w:val="24"/>
          <w:lang w:bidi="ar"/>
        </w:rPr>
        <w:t>（3）数据库吞吐性能测试模块</w:t>
      </w:r>
    </w:p>
    <w:p>
      <w:pPr>
        <w:snapToGrid w:val="0"/>
        <w:spacing w:line="360" w:lineRule="auto"/>
        <w:ind w:firstLine="480" w:firstLineChars="200"/>
        <w:rPr>
          <w:rStyle w:val="80"/>
          <w:rFonts w:hint="default"/>
          <w:sz w:val="24"/>
          <w:szCs w:val="24"/>
          <w:lang w:bidi="ar"/>
        </w:rPr>
      </w:pPr>
      <w:r>
        <w:rPr>
          <w:rStyle w:val="80"/>
          <w:rFonts w:hint="default"/>
          <w:sz w:val="24"/>
          <w:szCs w:val="24"/>
          <w:lang w:bidi="ar"/>
        </w:rPr>
        <w:t>包含</w:t>
      </w:r>
      <w:r>
        <w:rPr>
          <w:sz w:val="24"/>
          <w:lang w:bidi="ar"/>
        </w:rPr>
        <w:t>实时数据测试模块</w:t>
      </w:r>
      <w:r>
        <w:rPr>
          <w:rStyle w:val="80"/>
          <w:rFonts w:hint="default"/>
          <w:sz w:val="24"/>
          <w:szCs w:val="24"/>
          <w:lang w:bidi="ar"/>
        </w:rPr>
        <w:t>、</w:t>
      </w:r>
      <w:r>
        <w:rPr>
          <w:sz w:val="24"/>
          <w:lang w:bidi="ar"/>
        </w:rPr>
        <w:t>重传数据测试模块</w:t>
      </w:r>
      <w:r>
        <w:rPr>
          <w:rStyle w:val="80"/>
          <w:rFonts w:hint="default"/>
          <w:sz w:val="24"/>
          <w:szCs w:val="24"/>
          <w:lang w:bidi="ar"/>
        </w:rPr>
        <w:t>、</w:t>
      </w:r>
      <w:r>
        <w:rPr>
          <w:sz w:val="24"/>
          <w:lang w:bidi="ar"/>
        </w:rPr>
        <w:t>二进制数据测试模块</w:t>
      </w:r>
      <w:r>
        <w:rPr>
          <w:rStyle w:val="80"/>
          <w:rFonts w:hint="default"/>
          <w:sz w:val="24"/>
          <w:szCs w:val="24"/>
          <w:lang w:bidi="ar"/>
        </w:rPr>
        <w:t>、</w:t>
      </w:r>
      <w:r>
        <w:rPr>
          <w:sz w:val="24"/>
          <w:lang w:bidi="ar"/>
        </w:rPr>
        <w:t>ASM数据测试模块</w:t>
      </w:r>
      <w:r>
        <w:rPr>
          <w:rStyle w:val="80"/>
          <w:rFonts w:hint="default"/>
          <w:sz w:val="24"/>
          <w:szCs w:val="24"/>
          <w:lang w:bidi="ar"/>
        </w:rPr>
        <w:t>等。</w:t>
      </w:r>
    </w:p>
    <w:p>
      <w:pPr>
        <w:tabs>
          <w:tab w:val="left" w:pos="312"/>
        </w:tabs>
        <w:snapToGrid w:val="0"/>
        <w:spacing w:line="360" w:lineRule="auto"/>
        <w:ind w:left="480"/>
        <w:textAlignment w:val="center"/>
        <w:rPr>
          <w:rStyle w:val="80"/>
          <w:rFonts w:hint="default"/>
          <w:sz w:val="24"/>
          <w:szCs w:val="24"/>
          <w:lang w:bidi="ar"/>
        </w:rPr>
      </w:pPr>
      <w:r>
        <w:rPr>
          <w:rStyle w:val="80"/>
          <w:rFonts w:hint="default"/>
          <w:sz w:val="24"/>
          <w:szCs w:val="24"/>
          <w:lang w:bidi="ar"/>
        </w:rPr>
        <w:t>（4）数据检索性能测试模块</w:t>
      </w:r>
    </w:p>
    <w:p>
      <w:pPr>
        <w:snapToGrid w:val="0"/>
        <w:spacing w:line="360" w:lineRule="auto"/>
        <w:ind w:firstLine="480" w:firstLineChars="200"/>
        <w:rPr>
          <w:rStyle w:val="80"/>
          <w:rFonts w:hint="default"/>
          <w:sz w:val="24"/>
          <w:szCs w:val="24"/>
          <w:lang w:bidi="ar"/>
        </w:rPr>
      </w:pPr>
      <w:r>
        <w:rPr>
          <w:rStyle w:val="80"/>
          <w:rFonts w:hint="default"/>
          <w:sz w:val="24"/>
          <w:szCs w:val="24"/>
          <w:lang w:bidi="ar"/>
        </w:rPr>
        <w:t>包含</w:t>
      </w:r>
      <w:r>
        <w:rPr>
          <w:sz w:val="24"/>
          <w:lang w:bidi="ar"/>
        </w:rPr>
        <w:t>时段数据测试模块</w:t>
      </w:r>
      <w:r>
        <w:rPr>
          <w:rStyle w:val="80"/>
          <w:rFonts w:hint="default"/>
          <w:sz w:val="24"/>
          <w:szCs w:val="24"/>
          <w:lang w:bidi="ar"/>
        </w:rPr>
        <w:t>、</w:t>
      </w:r>
      <w:r>
        <w:rPr>
          <w:sz w:val="24"/>
          <w:lang w:bidi="ar"/>
        </w:rPr>
        <w:t>因素过滤数据测试模块</w:t>
      </w:r>
      <w:r>
        <w:rPr>
          <w:rStyle w:val="80"/>
          <w:rFonts w:hint="default"/>
          <w:sz w:val="24"/>
          <w:szCs w:val="24"/>
          <w:lang w:bidi="ar"/>
        </w:rPr>
        <w:t>、</w:t>
      </w:r>
      <w:r>
        <w:rPr>
          <w:sz w:val="24"/>
          <w:lang w:bidi="ar"/>
        </w:rPr>
        <w:t>多任务数据测试模块</w:t>
      </w:r>
      <w:r>
        <w:rPr>
          <w:rStyle w:val="80"/>
          <w:rFonts w:hint="default"/>
          <w:sz w:val="24"/>
          <w:szCs w:val="24"/>
          <w:lang w:bidi="ar"/>
        </w:rPr>
        <w:t>、</w:t>
      </w:r>
      <w:r>
        <w:rPr>
          <w:sz w:val="24"/>
          <w:lang w:bidi="ar"/>
        </w:rPr>
        <w:t>报文头适配速度测试</w:t>
      </w:r>
      <w:r>
        <w:rPr>
          <w:rStyle w:val="80"/>
          <w:rFonts w:hint="default"/>
          <w:sz w:val="24"/>
          <w:szCs w:val="24"/>
          <w:lang w:bidi="ar"/>
        </w:rPr>
        <w:t>等。</w:t>
      </w:r>
    </w:p>
    <w:p>
      <w:pPr>
        <w:tabs>
          <w:tab w:val="left" w:pos="312"/>
        </w:tabs>
        <w:snapToGrid w:val="0"/>
        <w:spacing w:line="360" w:lineRule="auto"/>
        <w:ind w:left="480"/>
        <w:textAlignment w:val="center"/>
        <w:rPr>
          <w:rStyle w:val="80"/>
          <w:rFonts w:hint="default"/>
          <w:sz w:val="24"/>
          <w:szCs w:val="24"/>
          <w:lang w:bidi="ar"/>
        </w:rPr>
      </w:pPr>
      <w:r>
        <w:rPr>
          <w:rStyle w:val="80"/>
          <w:rFonts w:hint="default"/>
          <w:sz w:val="24"/>
          <w:szCs w:val="24"/>
          <w:lang w:bidi="ar"/>
        </w:rPr>
        <w:t>（5）数据接口压力测试模块</w:t>
      </w:r>
    </w:p>
    <w:p>
      <w:pPr>
        <w:snapToGrid w:val="0"/>
        <w:spacing w:line="360" w:lineRule="auto"/>
        <w:ind w:firstLine="480" w:firstLineChars="200"/>
        <w:rPr>
          <w:rStyle w:val="80"/>
          <w:rFonts w:hint="default"/>
          <w:sz w:val="24"/>
          <w:szCs w:val="24"/>
          <w:lang w:bidi="ar"/>
        </w:rPr>
      </w:pPr>
      <w:r>
        <w:rPr>
          <w:rStyle w:val="80"/>
          <w:rFonts w:hint="default"/>
          <w:sz w:val="24"/>
          <w:szCs w:val="24"/>
          <w:lang w:bidi="ar"/>
        </w:rPr>
        <w:t>包含</w:t>
      </w:r>
      <w:r>
        <w:rPr>
          <w:sz w:val="24"/>
          <w:lang w:bidi="ar"/>
        </w:rPr>
        <w:t>数据过滤压力测试模块</w:t>
      </w:r>
      <w:r>
        <w:rPr>
          <w:rStyle w:val="80"/>
          <w:rFonts w:hint="default"/>
          <w:sz w:val="24"/>
          <w:szCs w:val="24"/>
          <w:lang w:bidi="ar"/>
        </w:rPr>
        <w:t>、</w:t>
      </w:r>
      <w:r>
        <w:rPr>
          <w:sz w:val="24"/>
          <w:lang w:bidi="ar"/>
        </w:rPr>
        <w:t>并发鉴权压力测试模块</w:t>
      </w:r>
      <w:r>
        <w:rPr>
          <w:rStyle w:val="80"/>
          <w:rFonts w:hint="default"/>
          <w:sz w:val="24"/>
          <w:szCs w:val="24"/>
          <w:lang w:bidi="ar"/>
        </w:rPr>
        <w:t>等。</w:t>
      </w:r>
    </w:p>
    <w:p>
      <w:pPr>
        <w:tabs>
          <w:tab w:val="left" w:pos="312"/>
        </w:tabs>
        <w:snapToGrid w:val="0"/>
        <w:spacing w:line="360" w:lineRule="auto"/>
        <w:ind w:left="480"/>
        <w:textAlignment w:val="center"/>
        <w:rPr>
          <w:rStyle w:val="80"/>
          <w:rFonts w:hint="default"/>
          <w:sz w:val="24"/>
          <w:szCs w:val="24"/>
          <w:lang w:bidi="ar"/>
        </w:rPr>
      </w:pPr>
      <w:r>
        <w:rPr>
          <w:rStyle w:val="80"/>
          <w:rFonts w:hint="default"/>
          <w:sz w:val="24"/>
          <w:szCs w:val="24"/>
          <w:lang w:bidi="ar"/>
        </w:rPr>
        <w:t>（6）数据接口安全性能测试模块</w:t>
      </w:r>
    </w:p>
    <w:p>
      <w:pPr>
        <w:snapToGrid w:val="0"/>
        <w:spacing w:line="360" w:lineRule="auto"/>
        <w:ind w:firstLine="480" w:firstLineChars="200"/>
        <w:rPr>
          <w:rStyle w:val="80"/>
          <w:rFonts w:hint="default"/>
          <w:sz w:val="24"/>
          <w:szCs w:val="24"/>
          <w:lang w:bidi="ar"/>
        </w:rPr>
      </w:pPr>
      <w:r>
        <w:rPr>
          <w:rStyle w:val="80"/>
          <w:rFonts w:hint="default"/>
          <w:sz w:val="24"/>
          <w:szCs w:val="24"/>
          <w:lang w:bidi="ar"/>
        </w:rPr>
        <w:t>包含</w:t>
      </w:r>
      <w:r>
        <w:rPr>
          <w:sz w:val="24"/>
          <w:lang w:bidi="ar"/>
        </w:rPr>
        <w:t>DDOS攻击测试模块</w:t>
      </w:r>
      <w:r>
        <w:rPr>
          <w:rStyle w:val="80"/>
          <w:rFonts w:hint="default"/>
          <w:sz w:val="24"/>
          <w:szCs w:val="24"/>
          <w:lang w:bidi="ar"/>
        </w:rPr>
        <w:t>、</w:t>
      </w:r>
      <w:r>
        <w:rPr>
          <w:sz w:val="24"/>
          <w:lang w:bidi="ar"/>
        </w:rPr>
        <w:t>数据代理安全性测试模块</w:t>
      </w:r>
      <w:r>
        <w:rPr>
          <w:rStyle w:val="80"/>
          <w:rFonts w:hint="default"/>
          <w:sz w:val="24"/>
          <w:szCs w:val="24"/>
          <w:lang w:bidi="ar"/>
        </w:rPr>
        <w:t>等。</w:t>
      </w:r>
    </w:p>
    <w:p>
      <w:pPr>
        <w:pStyle w:val="3"/>
        <w:jc w:val="left"/>
        <w:rPr>
          <w:sz w:val="28"/>
          <w:szCs w:val="28"/>
        </w:rPr>
      </w:pPr>
      <w:bookmarkStart w:id="68" w:name="_Toc4060"/>
      <w:bookmarkStart w:id="69" w:name="_Toc8155"/>
      <w:bookmarkStart w:id="70" w:name="_Toc100742933"/>
      <w:r>
        <w:rPr>
          <w:rFonts w:hint="eastAsia"/>
          <w:sz w:val="28"/>
          <w:szCs w:val="28"/>
        </w:rPr>
        <w:t>三、</w:t>
      </w:r>
      <w:r>
        <w:rPr>
          <w:sz w:val="28"/>
          <w:szCs w:val="28"/>
        </w:rPr>
        <w:t>设备清单及规格</w:t>
      </w:r>
      <w:bookmarkEnd w:id="68"/>
      <w:bookmarkEnd w:id="69"/>
      <w:bookmarkEnd w:id="70"/>
    </w:p>
    <w:p>
      <w:pPr>
        <w:pStyle w:val="4"/>
        <w:numPr>
          <w:ilvl w:val="1"/>
          <w:numId w:val="0"/>
        </w:numPr>
        <w:tabs>
          <w:tab w:val="clear" w:pos="0"/>
        </w:tabs>
        <w:rPr>
          <w:rFonts w:ascii="Times New Roman" w:hAnsi="Times New Roman" w:eastAsia="宋体"/>
        </w:rPr>
      </w:pPr>
      <w:bookmarkStart w:id="71" w:name="_Toc100742934"/>
      <w:r>
        <w:rPr>
          <w:rFonts w:hint="eastAsia" w:ascii="Times New Roman" w:hAnsi="Times New Roman" w:eastAsia="宋体"/>
        </w:rPr>
        <w:t>3.1</w:t>
      </w:r>
      <w:r>
        <w:rPr>
          <w:rFonts w:ascii="Times New Roman" w:hAnsi="Times New Roman" w:eastAsia="宋体"/>
        </w:rPr>
        <w:t>设备清单</w:t>
      </w:r>
      <w:bookmarkEnd w:id="71"/>
    </w:p>
    <w:p>
      <w:pPr>
        <w:pStyle w:val="5"/>
        <w:rPr>
          <w:sz w:val="24"/>
          <w:szCs w:val="24"/>
        </w:rPr>
      </w:pPr>
      <w:bookmarkStart w:id="72" w:name="_Toc100742935"/>
      <w:r>
        <w:rPr>
          <w:rFonts w:hint="eastAsia"/>
          <w:sz w:val="24"/>
          <w:szCs w:val="24"/>
        </w:rPr>
        <w:t>3.1.1硬件设备清单</w:t>
      </w:r>
      <w:bookmarkEnd w:id="72"/>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2700"/>
        <w:gridCol w:w="995"/>
        <w:gridCol w:w="852"/>
        <w:gridCol w:w="3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1" w:type="pct"/>
            <w:vAlign w:val="center"/>
          </w:tcPr>
          <w:p>
            <w:pPr>
              <w:jc w:val="center"/>
              <w:rPr>
                <w:color w:val="000000"/>
              </w:rPr>
            </w:pPr>
            <w:r>
              <w:rPr>
                <w:rFonts w:hint="eastAsia"/>
                <w:color w:val="000000"/>
              </w:rPr>
              <w:t>序号</w:t>
            </w:r>
          </w:p>
        </w:tc>
        <w:tc>
          <w:tcPr>
            <w:tcW w:w="1584" w:type="pct"/>
            <w:vAlign w:val="center"/>
          </w:tcPr>
          <w:p>
            <w:pPr>
              <w:jc w:val="center"/>
              <w:rPr>
                <w:color w:val="000000"/>
              </w:rPr>
            </w:pPr>
            <w:r>
              <w:rPr>
                <w:color w:val="000000"/>
              </w:rPr>
              <w:t>名称</w:t>
            </w:r>
          </w:p>
        </w:tc>
        <w:tc>
          <w:tcPr>
            <w:tcW w:w="584" w:type="pct"/>
            <w:vAlign w:val="center"/>
          </w:tcPr>
          <w:p>
            <w:pPr>
              <w:jc w:val="center"/>
              <w:rPr>
                <w:color w:val="000000"/>
              </w:rPr>
            </w:pPr>
            <w:r>
              <w:rPr>
                <w:color w:val="000000"/>
              </w:rPr>
              <w:t>单位</w:t>
            </w:r>
          </w:p>
        </w:tc>
        <w:tc>
          <w:tcPr>
            <w:tcW w:w="500" w:type="pct"/>
            <w:vAlign w:val="center"/>
          </w:tcPr>
          <w:p>
            <w:pPr>
              <w:jc w:val="center"/>
              <w:rPr>
                <w:color w:val="000000"/>
              </w:rPr>
            </w:pPr>
            <w:r>
              <w:rPr>
                <w:color w:val="000000"/>
              </w:rPr>
              <w:t>数量</w:t>
            </w:r>
          </w:p>
        </w:tc>
        <w:tc>
          <w:tcPr>
            <w:tcW w:w="1851" w:type="pct"/>
            <w:vAlign w:val="center"/>
          </w:tcPr>
          <w:p>
            <w:pPr>
              <w:jc w:val="center"/>
              <w:rPr>
                <w:color w:val="000000"/>
              </w:rPr>
            </w:pPr>
            <w:r>
              <w:rPr>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1" w:type="pct"/>
            <w:vAlign w:val="center"/>
          </w:tcPr>
          <w:p>
            <w:pPr>
              <w:jc w:val="center"/>
              <w:rPr>
                <w:color w:val="000000"/>
              </w:rPr>
            </w:pPr>
            <w:r>
              <w:rPr>
                <w:color w:val="000000"/>
              </w:rPr>
              <w:t>1</w:t>
            </w:r>
          </w:p>
        </w:tc>
        <w:tc>
          <w:tcPr>
            <w:tcW w:w="1584" w:type="pct"/>
            <w:vAlign w:val="center"/>
          </w:tcPr>
          <w:p>
            <w:pPr>
              <w:jc w:val="center"/>
              <w:rPr>
                <w:color w:val="000000"/>
              </w:rPr>
            </w:pPr>
            <w:r>
              <w:rPr>
                <w:color w:val="000000"/>
              </w:rPr>
              <w:t>服务器（海区）</w:t>
            </w:r>
          </w:p>
        </w:tc>
        <w:tc>
          <w:tcPr>
            <w:tcW w:w="584" w:type="pct"/>
            <w:vAlign w:val="center"/>
          </w:tcPr>
          <w:p>
            <w:pPr>
              <w:jc w:val="center"/>
              <w:rPr>
                <w:color w:val="000000"/>
              </w:rPr>
            </w:pPr>
            <w:r>
              <w:rPr>
                <w:color w:val="000000"/>
              </w:rPr>
              <w:t>台</w:t>
            </w:r>
          </w:p>
        </w:tc>
        <w:tc>
          <w:tcPr>
            <w:tcW w:w="500" w:type="pct"/>
            <w:vAlign w:val="center"/>
          </w:tcPr>
          <w:p>
            <w:pPr>
              <w:jc w:val="center"/>
              <w:rPr>
                <w:color w:val="000000"/>
              </w:rPr>
            </w:pPr>
            <w:r>
              <w:rPr>
                <w:color w:val="000000"/>
              </w:rPr>
              <w:t>1</w:t>
            </w:r>
          </w:p>
        </w:tc>
        <w:tc>
          <w:tcPr>
            <w:tcW w:w="1851" w:type="pct"/>
            <w:vAlign w:val="center"/>
          </w:tcPr>
          <w:p>
            <w:pPr>
              <w:jc w:val="center"/>
              <w:rPr>
                <w:color w:val="000000"/>
              </w:rPr>
            </w:pPr>
            <w:r>
              <w:rPr>
                <w:color w:val="000000"/>
              </w:rPr>
              <w:t>海区中心1台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1" w:type="pct"/>
            <w:vAlign w:val="center"/>
          </w:tcPr>
          <w:p>
            <w:pPr>
              <w:jc w:val="center"/>
              <w:rPr>
                <w:color w:val="000000"/>
              </w:rPr>
            </w:pPr>
            <w:r>
              <w:rPr>
                <w:color w:val="000000"/>
              </w:rPr>
              <w:t>2</w:t>
            </w:r>
          </w:p>
        </w:tc>
        <w:tc>
          <w:tcPr>
            <w:tcW w:w="1584" w:type="pct"/>
            <w:vAlign w:val="center"/>
          </w:tcPr>
          <w:p>
            <w:pPr>
              <w:jc w:val="center"/>
              <w:rPr>
                <w:color w:val="000000"/>
              </w:rPr>
            </w:pPr>
            <w:r>
              <w:rPr>
                <w:color w:val="000000"/>
              </w:rPr>
              <w:t>服务器（辖区）</w:t>
            </w:r>
          </w:p>
        </w:tc>
        <w:tc>
          <w:tcPr>
            <w:tcW w:w="584" w:type="pct"/>
            <w:vAlign w:val="center"/>
          </w:tcPr>
          <w:p>
            <w:pPr>
              <w:jc w:val="center"/>
              <w:rPr>
                <w:color w:val="000000"/>
              </w:rPr>
            </w:pPr>
            <w:r>
              <w:rPr>
                <w:color w:val="000000"/>
              </w:rPr>
              <w:t>台</w:t>
            </w:r>
          </w:p>
        </w:tc>
        <w:tc>
          <w:tcPr>
            <w:tcW w:w="500" w:type="pct"/>
            <w:vAlign w:val="center"/>
          </w:tcPr>
          <w:p>
            <w:pPr>
              <w:jc w:val="center"/>
              <w:rPr>
                <w:color w:val="000000"/>
              </w:rPr>
            </w:pPr>
            <w:r>
              <w:rPr>
                <w:color w:val="000000"/>
              </w:rPr>
              <w:t>18</w:t>
            </w:r>
          </w:p>
        </w:tc>
        <w:tc>
          <w:tcPr>
            <w:tcW w:w="1851" w:type="pct"/>
            <w:vAlign w:val="center"/>
          </w:tcPr>
          <w:p>
            <w:pPr>
              <w:jc w:val="center"/>
              <w:rPr>
                <w:color w:val="000000"/>
              </w:rPr>
            </w:pPr>
            <w:r>
              <w:rPr>
                <w:color w:val="000000"/>
              </w:rPr>
              <w:t>6辖区中心，每辖区3台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1" w:type="pct"/>
            <w:vAlign w:val="center"/>
          </w:tcPr>
          <w:p>
            <w:pPr>
              <w:jc w:val="center"/>
              <w:rPr>
                <w:color w:val="000000"/>
              </w:rPr>
            </w:pPr>
            <w:r>
              <w:rPr>
                <w:color w:val="000000"/>
              </w:rPr>
              <w:t>3</w:t>
            </w:r>
          </w:p>
        </w:tc>
        <w:tc>
          <w:tcPr>
            <w:tcW w:w="1584" w:type="pct"/>
            <w:vAlign w:val="center"/>
          </w:tcPr>
          <w:p>
            <w:pPr>
              <w:jc w:val="center"/>
              <w:rPr>
                <w:color w:val="000000"/>
              </w:rPr>
            </w:pPr>
            <w:r>
              <w:rPr>
                <w:color w:val="000000"/>
              </w:rPr>
              <w:t>交换机（辖区）</w:t>
            </w:r>
          </w:p>
        </w:tc>
        <w:tc>
          <w:tcPr>
            <w:tcW w:w="584" w:type="pct"/>
            <w:vAlign w:val="center"/>
          </w:tcPr>
          <w:p>
            <w:pPr>
              <w:jc w:val="center"/>
              <w:rPr>
                <w:color w:val="000000"/>
              </w:rPr>
            </w:pPr>
            <w:r>
              <w:rPr>
                <w:color w:val="000000"/>
              </w:rPr>
              <w:t>台</w:t>
            </w:r>
          </w:p>
        </w:tc>
        <w:tc>
          <w:tcPr>
            <w:tcW w:w="500" w:type="pct"/>
            <w:vAlign w:val="center"/>
          </w:tcPr>
          <w:p>
            <w:pPr>
              <w:jc w:val="center"/>
              <w:rPr>
                <w:color w:val="000000"/>
              </w:rPr>
            </w:pPr>
            <w:r>
              <w:rPr>
                <w:color w:val="000000"/>
              </w:rPr>
              <w:t>6</w:t>
            </w:r>
          </w:p>
        </w:tc>
        <w:tc>
          <w:tcPr>
            <w:tcW w:w="1851" w:type="pct"/>
            <w:vAlign w:val="center"/>
          </w:tcPr>
          <w:p>
            <w:pPr>
              <w:jc w:val="center"/>
              <w:rPr>
                <w:color w:val="000000"/>
              </w:rPr>
            </w:pPr>
            <w:r>
              <w:rPr>
                <w:color w:val="000000"/>
              </w:rPr>
              <w:t>6辖区中心，每辖区1台</w:t>
            </w:r>
          </w:p>
        </w:tc>
      </w:tr>
    </w:tbl>
    <w:p/>
    <w:p>
      <w:pPr>
        <w:pStyle w:val="5"/>
        <w:rPr>
          <w:sz w:val="24"/>
          <w:szCs w:val="24"/>
        </w:rPr>
      </w:pPr>
      <w:bookmarkStart w:id="73" w:name="_Toc100742936"/>
      <w:r>
        <w:rPr>
          <w:rFonts w:hint="eastAsia"/>
          <w:sz w:val="24"/>
          <w:szCs w:val="24"/>
        </w:rPr>
        <w:t>3.1.2AIS/ASM国产化核心网系统</w:t>
      </w:r>
      <w:bookmarkEnd w:id="73"/>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585"/>
        <w:gridCol w:w="1984"/>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
                <w:bCs/>
                <w:color w:val="000000"/>
                <w:sz w:val="20"/>
                <w:szCs w:val="20"/>
              </w:rPr>
            </w:pPr>
            <w:r>
              <w:rPr>
                <w:rFonts w:hint="eastAsia" w:cs="宋体"/>
                <w:b/>
                <w:bCs/>
                <w:color w:val="000000"/>
                <w:sz w:val="20"/>
                <w:szCs w:val="20"/>
              </w:rPr>
              <w:t>序号</w:t>
            </w:r>
          </w:p>
        </w:tc>
        <w:tc>
          <w:tcPr>
            <w:tcW w:w="3585" w:type="dxa"/>
            <w:vAlign w:val="center"/>
          </w:tcPr>
          <w:p>
            <w:pPr>
              <w:jc w:val="center"/>
              <w:rPr>
                <w:rFonts w:cs="宋体"/>
                <w:b/>
                <w:bCs/>
                <w:color w:val="000000"/>
                <w:sz w:val="20"/>
                <w:szCs w:val="20"/>
              </w:rPr>
            </w:pPr>
            <w:r>
              <w:rPr>
                <w:rFonts w:hint="eastAsia"/>
                <w:b/>
                <w:bCs/>
                <w:color w:val="000000"/>
                <w:sz w:val="20"/>
                <w:szCs w:val="20"/>
              </w:rPr>
              <w:t>子系统</w:t>
            </w:r>
          </w:p>
        </w:tc>
        <w:tc>
          <w:tcPr>
            <w:tcW w:w="1984" w:type="dxa"/>
            <w:vAlign w:val="center"/>
          </w:tcPr>
          <w:p>
            <w:pPr>
              <w:jc w:val="center"/>
              <w:rPr>
                <w:rFonts w:cs="宋体"/>
                <w:b/>
                <w:bCs/>
                <w:color w:val="000000"/>
                <w:sz w:val="20"/>
                <w:szCs w:val="20"/>
              </w:rPr>
            </w:pPr>
            <w:r>
              <w:rPr>
                <w:rFonts w:hint="eastAsia"/>
                <w:b/>
                <w:bCs/>
                <w:color w:val="000000"/>
                <w:sz w:val="20"/>
                <w:szCs w:val="20"/>
              </w:rPr>
              <w:t>数量</w:t>
            </w:r>
          </w:p>
        </w:tc>
        <w:tc>
          <w:tcPr>
            <w:tcW w:w="2013" w:type="dxa"/>
            <w:vAlign w:val="center"/>
          </w:tcPr>
          <w:p>
            <w:pPr>
              <w:jc w:val="center"/>
              <w:rPr>
                <w:rFonts w:cs="宋体"/>
                <w:b/>
                <w:bCs/>
                <w:color w:val="000000"/>
                <w:sz w:val="20"/>
                <w:szCs w:val="20"/>
              </w:rPr>
            </w:pPr>
            <w:r>
              <w:rPr>
                <w:rFonts w:hint="eastAsia" w:cs="宋体"/>
                <w:b/>
                <w:bCs/>
                <w:color w:val="00000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1</w:t>
            </w:r>
          </w:p>
        </w:tc>
        <w:tc>
          <w:tcPr>
            <w:tcW w:w="3585" w:type="dxa"/>
            <w:vAlign w:val="center"/>
          </w:tcPr>
          <w:p>
            <w:pPr>
              <w:jc w:val="center"/>
              <w:rPr>
                <w:rFonts w:cs="宋体"/>
                <w:bCs/>
                <w:color w:val="000000"/>
                <w:sz w:val="20"/>
                <w:szCs w:val="20"/>
              </w:rPr>
            </w:pPr>
            <w:r>
              <w:rPr>
                <w:rFonts w:hint="eastAsia" w:cs="宋体"/>
                <w:bCs/>
                <w:color w:val="000000"/>
                <w:sz w:val="20"/>
                <w:szCs w:val="20"/>
              </w:rPr>
              <w:t>接口服务子系统</w:t>
            </w:r>
          </w:p>
        </w:tc>
        <w:tc>
          <w:tcPr>
            <w:tcW w:w="1984" w:type="dxa"/>
            <w:vAlign w:val="center"/>
          </w:tcPr>
          <w:p>
            <w:pPr>
              <w:jc w:val="center"/>
              <w:rPr>
                <w:rFonts w:cs="宋体"/>
                <w:bCs/>
                <w:color w:val="000000"/>
                <w:sz w:val="20"/>
                <w:szCs w:val="20"/>
              </w:rPr>
            </w:pPr>
            <w:r>
              <w:rPr>
                <w:color w:val="000000"/>
                <w:sz w:val="20"/>
                <w:szCs w:val="20"/>
              </w:rPr>
              <w:t>1</w:t>
            </w:r>
          </w:p>
        </w:tc>
        <w:tc>
          <w:tcPr>
            <w:tcW w:w="2013" w:type="dxa"/>
            <w:vAlign w:val="center"/>
          </w:tcPr>
          <w:p>
            <w:pPr>
              <w:jc w:val="center"/>
              <w:rPr>
                <w:rFonts w:cs="宋体"/>
                <w:bCs/>
                <w:color w:val="000000"/>
                <w:sz w:val="20"/>
                <w:szCs w:val="20"/>
              </w:rPr>
            </w:pPr>
            <w:r>
              <w:rPr>
                <w:rFonts w:hint="eastAsia" w:cs="宋体"/>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2</w:t>
            </w:r>
          </w:p>
        </w:tc>
        <w:tc>
          <w:tcPr>
            <w:tcW w:w="3585" w:type="dxa"/>
            <w:vAlign w:val="center"/>
          </w:tcPr>
          <w:p>
            <w:pPr>
              <w:jc w:val="center"/>
              <w:rPr>
                <w:rFonts w:cs="宋体"/>
                <w:bCs/>
                <w:color w:val="000000"/>
                <w:sz w:val="20"/>
                <w:szCs w:val="20"/>
              </w:rPr>
            </w:pPr>
            <w:r>
              <w:rPr>
                <w:rFonts w:hint="eastAsia"/>
                <w:color w:val="000000"/>
                <w:sz w:val="20"/>
                <w:szCs w:val="20"/>
              </w:rPr>
              <w:t>核心网管理服务子系统</w:t>
            </w:r>
          </w:p>
        </w:tc>
        <w:tc>
          <w:tcPr>
            <w:tcW w:w="1984" w:type="dxa"/>
            <w:vAlign w:val="center"/>
          </w:tcPr>
          <w:p>
            <w:pPr>
              <w:jc w:val="center"/>
              <w:rPr>
                <w:rFonts w:cs="宋体"/>
                <w:bCs/>
                <w:color w:val="000000"/>
                <w:sz w:val="20"/>
                <w:szCs w:val="20"/>
              </w:rPr>
            </w:pPr>
            <w:r>
              <w:rPr>
                <w:color w:val="000000"/>
                <w:sz w:val="20"/>
                <w:szCs w:val="20"/>
              </w:rPr>
              <w:t>1</w:t>
            </w:r>
          </w:p>
        </w:tc>
        <w:tc>
          <w:tcPr>
            <w:tcW w:w="2013" w:type="dxa"/>
            <w:vAlign w:val="center"/>
          </w:tcPr>
          <w:p>
            <w:pPr>
              <w:jc w:val="center"/>
              <w:rPr>
                <w:rFonts w:cs="宋体"/>
                <w:bCs/>
                <w:color w:val="000000"/>
                <w:sz w:val="20"/>
                <w:szCs w:val="20"/>
              </w:rPr>
            </w:pPr>
            <w:r>
              <w:rPr>
                <w:rFonts w:hint="eastAsia" w:cs="宋体"/>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3</w:t>
            </w:r>
          </w:p>
        </w:tc>
        <w:tc>
          <w:tcPr>
            <w:tcW w:w="3585" w:type="dxa"/>
            <w:vAlign w:val="center"/>
          </w:tcPr>
          <w:p>
            <w:pPr>
              <w:jc w:val="center"/>
              <w:rPr>
                <w:color w:val="000000"/>
                <w:sz w:val="20"/>
                <w:szCs w:val="20"/>
              </w:rPr>
            </w:pPr>
            <w:r>
              <w:rPr>
                <w:rFonts w:hint="eastAsia"/>
                <w:color w:val="000000"/>
                <w:sz w:val="20"/>
                <w:szCs w:val="20"/>
              </w:rPr>
              <w:t>基站驱动服务子系统</w:t>
            </w:r>
          </w:p>
        </w:tc>
        <w:tc>
          <w:tcPr>
            <w:tcW w:w="1984" w:type="dxa"/>
            <w:vAlign w:val="center"/>
          </w:tcPr>
          <w:p>
            <w:pPr>
              <w:jc w:val="center"/>
              <w:rPr>
                <w:color w:val="000000"/>
                <w:sz w:val="20"/>
                <w:szCs w:val="20"/>
              </w:rPr>
            </w:pPr>
            <w:r>
              <w:rPr>
                <w:rFonts w:hint="eastAsia"/>
                <w:color w:val="000000"/>
                <w:sz w:val="20"/>
                <w:szCs w:val="20"/>
              </w:rPr>
              <w:t>1</w:t>
            </w:r>
          </w:p>
        </w:tc>
        <w:tc>
          <w:tcPr>
            <w:tcW w:w="2013" w:type="dxa"/>
            <w:vAlign w:val="center"/>
          </w:tcPr>
          <w:p>
            <w:pPr>
              <w:jc w:val="center"/>
              <w:rPr>
                <w:rFonts w:cs="宋体"/>
                <w:b/>
                <w:color w:val="000000"/>
                <w:sz w:val="20"/>
                <w:szCs w:val="20"/>
              </w:rPr>
            </w:pPr>
            <w:r>
              <w:rPr>
                <w:rFonts w:hint="eastAsia" w:cs="宋体"/>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4</w:t>
            </w:r>
          </w:p>
        </w:tc>
        <w:tc>
          <w:tcPr>
            <w:tcW w:w="3585" w:type="dxa"/>
            <w:vAlign w:val="center"/>
          </w:tcPr>
          <w:p>
            <w:pPr>
              <w:jc w:val="center"/>
              <w:rPr>
                <w:color w:val="000000"/>
                <w:sz w:val="20"/>
                <w:szCs w:val="20"/>
              </w:rPr>
            </w:pPr>
            <w:r>
              <w:rPr>
                <w:rFonts w:hint="eastAsia"/>
                <w:color w:val="000000"/>
                <w:sz w:val="20"/>
                <w:szCs w:val="20"/>
              </w:rPr>
              <w:t>数据对比测试子系统</w:t>
            </w:r>
          </w:p>
        </w:tc>
        <w:tc>
          <w:tcPr>
            <w:tcW w:w="1984" w:type="dxa"/>
            <w:vAlign w:val="center"/>
          </w:tcPr>
          <w:p>
            <w:pPr>
              <w:jc w:val="center"/>
              <w:rPr>
                <w:color w:val="000000"/>
                <w:sz w:val="20"/>
                <w:szCs w:val="20"/>
              </w:rPr>
            </w:pPr>
            <w:r>
              <w:rPr>
                <w:rFonts w:hint="eastAsia"/>
                <w:color w:val="000000"/>
                <w:sz w:val="20"/>
                <w:szCs w:val="20"/>
              </w:rPr>
              <w:t>1</w:t>
            </w:r>
          </w:p>
        </w:tc>
        <w:tc>
          <w:tcPr>
            <w:tcW w:w="2013" w:type="dxa"/>
            <w:vAlign w:val="center"/>
          </w:tcPr>
          <w:p>
            <w:pPr>
              <w:jc w:val="center"/>
              <w:rPr>
                <w:rFonts w:cs="宋体"/>
                <w:bCs/>
                <w:color w:val="000000"/>
                <w:sz w:val="20"/>
                <w:szCs w:val="20"/>
              </w:rPr>
            </w:pPr>
            <w:r>
              <w:rPr>
                <w:rFonts w:hint="eastAsia" w:cs="宋体"/>
                <w:bCs/>
                <w:color w:val="000000"/>
                <w:sz w:val="20"/>
                <w:szCs w:val="20"/>
              </w:rPr>
              <w:t>项</w:t>
            </w:r>
          </w:p>
        </w:tc>
      </w:tr>
    </w:tbl>
    <w:p>
      <w:pPr>
        <w:pStyle w:val="6"/>
        <w:numPr>
          <w:ilvl w:val="3"/>
          <w:numId w:val="0"/>
        </w:numPr>
        <w:tabs>
          <w:tab w:val="clear" w:pos="567"/>
        </w:tabs>
      </w:pPr>
      <w:r>
        <w:rPr>
          <w:rFonts w:hint="eastAsia"/>
          <w:szCs w:val="24"/>
        </w:rPr>
        <w:t>3.1.2.1</w:t>
      </w:r>
      <w:r>
        <w:rPr>
          <w:rFonts w:hint="eastAsia"/>
        </w:rPr>
        <w:t>接口服务子系统</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585"/>
        <w:gridCol w:w="1984"/>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
                <w:bCs/>
                <w:color w:val="000000"/>
                <w:sz w:val="20"/>
                <w:szCs w:val="20"/>
              </w:rPr>
            </w:pPr>
            <w:r>
              <w:rPr>
                <w:rFonts w:hint="eastAsia" w:cs="宋体"/>
                <w:b/>
                <w:bCs/>
                <w:color w:val="000000"/>
                <w:sz w:val="20"/>
                <w:szCs w:val="20"/>
              </w:rPr>
              <w:t>序号</w:t>
            </w:r>
          </w:p>
        </w:tc>
        <w:tc>
          <w:tcPr>
            <w:tcW w:w="3585" w:type="dxa"/>
            <w:vAlign w:val="center"/>
          </w:tcPr>
          <w:p>
            <w:pPr>
              <w:jc w:val="center"/>
              <w:rPr>
                <w:rFonts w:cs="宋体"/>
                <w:b/>
                <w:bCs/>
                <w:color w:val="000000"/>
                <w:sz w:val="20"/>
                <w:szCs w:val="20"/>
              </w:rPr>
            </w:pPr>
            <w:r>
              <w:rPr>
                <w:rFonts w:hint="eastAsia"/>
                <w:b/>
                <w:bCs/>
                <w:color w:val="000000"/>
                <w:sz w:val="20"/>
                <w:szCs w:val="20"/>
              </w:rPr>
              <w:t>功能名称</w:t>
            </w:r>
          </w:p>
        </w:tc>
        <w:tc>
          <w:tcPr>
            <w:tcW w:w="1984" w:type="dxa"/>
            <w:vAlign w:val="center"/>
          </w:tcPr>
          <w:p>
            <w:pPr>
              <w:jc w:val="center"/>
              <w:rPr>
                <w:rFonts w:cs="宋体"/>
                <w:b/>
                <w:bCs/>
                <w:color w:val="000000"/>
                <w:sz w:val="20"/>
                <w:szCs w:val="20"/>
              </w:rPr>
            </w:pPr>
            <w:r>
              <w:rPr>
                <w:rFonts w:hint="eastAsia"/>
                <w:b/>
                <w:bCs/>
                <w:color w:val="000000"/>
                <w:sz w:val="20"/>
                <w:szCs w:val="20"/>
              </w:rPr>
              <w:t>功能点</w:t>
            </w:r>
          </w:p>
        </w:tc>
        <w:tc>
          <w:tcPr>
            <w:tcW w:w="2013" w:type="dxa"/>
            <w:vAlign w:val="center"/>
          </w:tcPr>
          <w:p>
            <w:pPr>
              <w:jc w:val="center"/>
              <w:rPr>
                <w:rFonts w:cs="宋体"/>
                <w:b/>
                <w:bCs/>
                <w:color w:val="000000"/>
                <w:sz w:val="20"/>
                <w:szCs w:val="20"/>
              </w:rPr>
            </w:pPr>
            <w:r>
              <w:rPr>
                <w:rFonts w:hint="eastAsia" w:cs="宋体"/>
                <w:b/>
                <w:bCs/>
                <w:color w:val="00000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
                <w:color w:val="000000"/>
                <w:sz w:val="20"/>
                <w:szCs w:val="20"/>
              </w:rPr>
            </w:pPr>
            <w:r>
              <w:rPr>
                <w:rFonts w:hint="eastAsia" w:cs="宋体"/>
                <w:b/>
                <w:color w:val="000000"/>
                <w:sz w:val="20"/>
                <w:szCs w:val="20"/>
              </w:rPr>
              <w:t>1</w:t>
            </w:r>
          </w:p>
        </w:tc>
        <w:tc>
          <w:tcPr>
            <w:tcW w:w="3585" w:type="dxa"/>
            <w:vAlign w:val="center"/>
          </w:tcPr>
          <w:p>
            <w:pPr>
              <w:jc w:val="center"/>
              <w:rPr>
                <w:rFonts w:cs="宋体"/>
                <w:b/>
                <w:color w:val="000000"/>
                <w:sz w:val="20"/>
                <w:szCs w:val="20"/>
              </w:rPr>
            </w:pPr>
            <w:r>
              <w:rPr>
                <w:rFonts w:hint="eastAsia" w:cs="宋体"/>
                <w:b/>
                <w:color w:val="000000"/>
                <w:sz w:val="20"/>
                <w:szCs w:val="20"/>
              </w:rPr>
              <w:t>人机交互服务</w:t>
            </w:r>
          </w:p>
        </w:tc>
        <w:tc>
          <w:tcPr>
            <w:tcW w:w="1984" w:type="dxa"/>
            <w:vAlign w:val="center"/>
          </w:tcPr>
          <w:p>
            <w:pPr>
              <w:jc w:val="center"/>
              <w:rPr>
                <w:rFonts w:cs="宋体"/>
                <w:b/>
                <w:color w:val="000000"/>
                <w:sz w:val="20"/>
                <w:szCs w:val="20"/>
              </w:rPr>
            </w:pPr>
            <w:r>
              <w:rPr>
                <w:b/>
                <w:color w:val="000000"/>
                <w:sz w:val="20"/>
                <w:szCs w:val="20"/>
              </w:rPr>
              <w:t>11</w:t>
            </w:r>
          </w:p>
        </w:tc>
        <w:tc>
          <w:tcPr>
            <w:tcW w:w="2013" w:type="dxa"/>
            <w:vAlign w:val="center"/>
          </w:tcPr>
          <w:p>
            <w:pPr>
              <w:jc w:val="center"/>
              <w:rPr>
                <w:rFonts w:cs="宋体"/>
                <w:b/>
                <w:color w:val="000000"/>
                <w:sz w:val="20"/>
                <w:szCs w:val="20"/>
              </w:rPr>
            </w:pPr>
            <w:r>
              <w:rPr>
                <w:rFonts w:hint="eastAsia" w:cs="宋体"/>
                <w:b/>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1</w:t>
            </w:r>
            <w:r>
              <w:rPr>
                <w:rFonts w:cs="宋体"/>
                <w:bCs/>
                <w:color w:val="000000"/>
                <w:sz w:val="20"/>
                <w:szCs w:val="20"/>
              </w:rPr>
              <w:t>.1</w:t>
            </w:r>
          </w:p>
        </w:tc>
        <w:tc>
          <w:tcPr>
            <w:tcW w:w="3585" w:type="dxa"/>
            <w:vAlign w:val="center"/>
          </w:tcPr>
          <w:p>
            <w:pPr>
              <w:jc w:val="center"/>
              <w:rPr>
                <w:color w:val="000000"/>
                <w:sz w:val="20"/>
                <w:szCs w:val="20"/>
              </w:rPr>
            </w:pPr>
            <w:r>
              <w:rPr>
                <w:color w:val="000000"/>
                <w:kern w:val="0"/>
                <w:szCs w:val="21"/>
                <w:lang w:bidi="ar"/>
              </w:rPr>
              <w:t>基站数据可视化</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1</w:t>
            </w:r>
            <w:r>
              <w:rPr>
                <w:rFonts w:cs="宋体"/>
                <w:bCs/>
                <w:color w:val="000000"/>
                <w:sz w:val="20"/>
                <w:szCs w:val="20"/>
              </w:rPr>
              <w:t>.2</w:t>
            </w:r>
          </w:p>
        </w:tc>
        <w:tc>
          <w:tcPr>
            <w:tcW w:w="3585" w:type="dxa"/>
            <w:vAlign w:val="center"/>
          </w:tcPr>
          <w:p>
            <w:pPr>
              <w:jc w:val="center"/>
              <w:rPr>
                <w:color w:val="000000"/>
                <w:sz w:val="20"/>
                <w:szCs w:val="20"/>
              </w:rPr>
            </w:pPr>
            <w:r>
              <w:rPr>
                <w:color w:val="000000"/>
                <w:kern w:val="0"/>
                <w:szCs w:val="21"/>
                <w:lang w:bidi="ar"/>
              </w:rPr>
              <w:t>基站状态可视化</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1</w:t>
            </w:r>
            <w:r>
              <w:rPr>
                <w:rFonts w:cs="宋体"/>
                <w:bCs/>
                <w:color w:val="000000"/>
                <w:sz w:val="20"/>
                <w:szCs w:val="20"/>
              </w:rPr>
              <w:t>.3</w:t>
            </w:r>
          </w:p>
        </w:tc>
        <w:tc>
          <w:tcPr>
            <w:tcW w:w="3585" w:type="dxa"/>
            <w:vAlign w:val="center"/>
          </w:tcPr>
          <w:p>
            <w:pPr>
              <w:jc w:val="center"/>
              <w:rPr>
                <w:rFonts w:cs="宋体"/>
                <w:bCs/>
                <w:color w:val="000000"/>
                <w:sz w:val="20"/>
                <w:szCs w:val="20"/>
              </w:rPr>
            </w:pPr>
            <w:r>
              <w:rPr>
                <w:color w:val="000000"/>
                <w:kern w:val="0"/>
                <w:szCs w:val="21"/>
                <w:lang w:bidi="ar"/>
              </w:rPr>
              <w:t>用户数据可视化</w:t>
            </w:r>
          </w:p>
        </w:tc>
        <w:tc>
          <w:tcPr>
            <w:tcW w:w="1984" w:type="dxa"/>
            <w:vAlign w:val="center"/>
          </w:tcPr>
          <w:p>
            <w:pPr>
              <w:jc w:val="center"/>
              <w:rPr>
                <w:rFonts w:cs="宋体"/>
                <w:bCs/>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1</w:t>
            </w:r>
            <w:r>
              <w:rPr>
                <w:rFonts w:cs="宋体"/>
                <w:bCs/>
                <w:color w:val="000000"/>
                <w:sz w:val="20"/>
                <w:szCs w:val="20"/>
              </w:rPr>
              <w:t>.4</w:t>
            </w:r>
          </w:p>
        </w:tc>
        <w:tc>
          <w:tcPr>
            <w:tcW w:w="3585" w:type="dxa"/>
            <w:vAlign w:val="center"/>
          </w:tcPr>
          <w:p>
            <w:pPr>
              <w:jc w:val="center"/>
              <w:rPr>
                <w:color w:val="000000"/>
                <w:sz w:val="20"/>
                <w:szCs w:val="20"/>
              </w:rPr>
            </w:pPr>
            <w:r>
              <w:rPr>
                <w:color w:val="000000"/>
                <w:kern w:val="0"/>
                <w:szCs w:val="21"/>
                <w:lang w:bidi="ar"/>
              </w:rPr>
              <w:t>数据流状态可视化</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1</w:t>
            </w:r>
            <w:r>
              <w:rPr>
                <w:rFonts w:cs="宋体"/>
                <w:bCs/>
                <w:color w:val="000000"/>
                <w:sz w:val="20"/>
                <w:szCs w:val="20"/>
              </w:rPr>
              <w:t>.5</w:t>
            </w:r>
          </w:p>
        </w:tc>
        <w:tc>
          <w:tcPr>
            <w:tcW w:w="3585" w:type="dxa"/>
            <w:vAlign w:val="center"/>
          </w:tcPr>
          <w:p>
            <w:pPr>
              <w:jc w:val="center"/>
              <w:rPr>
                <w:color w:val="000000"/>
                <w:sz w:val="20"/>
                <w:szCs w:val="20"/>
              </w:rPr>
            </w:pPr>
            <w:r>
              <w:rPr>
                <w:color w:val="000000"/>
                <w:kern w:val="0"/>
                <w:szCs w:val="21"/>
                <w:lang w:bidi="ar"/>
              </w:rPr>
              <w:t>拓扑结构可视化</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1</w:t>
            </w:r>
            <w:r>
              <w:rPr>
                <w:rFonts w:cs="宋体"/>
                <w:bCs/>
                <w:color w:val="000000"/>
                <w:sz w:val="20"/>
                <w:szCs w:val="20"/>
              </w:rPr>
              <w:t>.6</w:t>
            </w:r>
          </w:p>
        </w:tc>
        <w:tc>
          <w:tcPr>
            <w:tcW w:w="3585" w:type="dxa"/>
            <w:vAlign w:val="center"/>
          </w:tcPr>
          <w:p>
            <w:pPr>
              <w:jc w:val="center"/>
              <w:rPr>
                <w:color w:val="000000"/>
                <w:sz w:val="20"/>
                <w:szCs w:val="20"/>
              </w:rPr>
            </w:pPr>
            <w:r>
              <w:rPr>
                <w:color w:val="000000"/>
                <w:kern w:val="0"/>
                <w:szCs w:val="21"/>
                <w:lang w:bidi="ar"/>
              </w:rPr>
              <w:t>船舶数据可视化</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1</w:t>
            </w:r>
            <w:r>
              <w:rPr>
                <w:rFonts w:cs="宋体"/>
                <w:bCs/>
                <w:color w:val="000000"/>
                <w:sz w:val="20"/>
                <w:szCs w:val="20"/>
              </w:rPr>
              <w:t>.7</w:t>
            </w:r>
          </w:p>
        </w:tc>
        <w:tc>
          <w:tcPr>
            <w:tcW w:w="3585" w:type="dxa"/>
            <w:vAlign w:val="center"/>
          </w:tcPr>
          <w:p>
            <w:pPr>
              <w:jc w:val="center"/>
              <w:rPr>
                <w:color w:val="000000"/>
                <w:sz w:val="20"/>
                <w:szCs w:val="20"/>
              </w:rPr>
            </w:pPr>
            <w:r>
              <w:rPr>
                <w:color w:val="000000"/>
                <w:kern w:val="0"/>
                <w:szCs w:val="21"/>
                <w:lang w:bidi="ar"/>
              </w:rPr>
              <w:t>基站船舶数量统计</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1</w:t>
            </w:r>
            <w:r>
              <w:rPr>
                <w:rFonts w:cs="宋体"/>
                <w:bCs/>
                <w:color w:val="000000"/>
                <w:sz w:val="20"/>
                <w:szCs w:val="20"/>
              </w:rPr>
              <w:t>.8</w:t>
            </w:r>
          </w:p>
        </w:tc>
        <w:tc>
          <w:tcPr>
            <w:tcW w:w="3585" w:type="dxa"/>
            <w:vAlign w:val="center"/>
          </w:tcPr>
          <w:p>
            <w:pPr>
              <w:jc w:val="center"/>
              <w:rPr>
                <w:color w:val="000000"/>
                <w:sz w:val="20"/>
                <w:szCs w:val="20"/>
              </w:rPr>
            </w:pPr>
            <w:r>
              <w:rPr>
                <w:color w:val="000000"/>
                <w:kern w:val="0"/>
                <w:szCs w:val="21"/>
                <w:lang w:bidi="ar"/>
              </w:rPr>
              <w:t>基站时隙显示</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1</w:t>
            </w:r>
            <w:r>
              <w:rPr>
                <w:rFonts w:cs="宋体"/>
                <w:bCs/>
                <w:color w:val="000000"/>
                <w:sz w:val="20"/>
                <w:szCs w:val="20"/>
              </w:rPr>
              <w:t>.9</w:t>
            </w:r>
          </w:p>
        </w:tc>
        <w:tc>
          <w:tcPr>
            <w:tcW w:w="3585" w:type="dxa"/>
            <w:vAlign w:val="center"/>
          </w:tcPr>
          <w:p>
            <w:pPr>
              <w:jc w:val="center"/>
              <w:rPr>
                <w:color w:val="000000"/>
                <w:sz w:val="20"/>
                <w:szCs w:val="20"/>
              </w:rPr>
            </w:pPr>
            <w:r>
              <w:rPr>
                <w:color w:val="000000"/>
                <w:kern w:val="0"/>
                <w:szCs w:val="21"/>
                <w:lang w:bidi="ar"/>
              </w:rPr>
              <w:t>辖区/海区船舶数据统计</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1</w:t>
            </w:r>
            <w:r>
              <w:rPr>
                <w:rFonts w:cs="宋体"/>
                <w:bCs/>
                <w:color w:val="000000"/>
                <w:sz w:val="20"/>
                <w:szCs w:val="20"/>
              </w:rPr>
              <w:t>.10</w:t>
            </w:r>
          </w:p>
        </w:tc>
        <w:tc>
          <w:tcPr>
            <w:tcW w:w="3585" w:type="dxa"/>
            <w:vAlign w:val="center"/>
          </w:tcPr>
          <w:p>
            <w:pPr>
              <w:jc w:val="center"/>
              <w:rPr>
                <w:color w:val="000000"/>
                <w:sz w:val="20"/>
                <w:szCs w:val="20"/>
              </w:rPr>
            </w:pPr>
            <w:r>
              <w:rPr>
                <w:color w:val="000000"/>
                <w:kern w:val="0"/>
                <w:szCs w:val="21"/>
                <w:lang w:bidi="ar"/>
              </w:rPr>
              <w:t>辖区/海区负载显示</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1</w:t>
            </w:r>
            <w:r>
              <w:rPr>
                <w:rFonts w:cs="宋体"/>
                <w:bCs/>
                <w:color w:val="000000"/>
                <w:sz w:val="20"/>
                <w:szCs w:val="20"/>
              </w:rPr>
              <w:t>.11</w:t>
            </w:r>
          </w:p>
        </w:tc>
        <w:tc>
          <w:tcPr>
            <w:tcW w:w="3585" w:type="dxa"/>
            <w:vAlign w:val="center"/>
          </w:tcPr>
          <w:p>
            <w:pPr>
              <w:jc w:val="center"/>
              <w:rPr>
                <w:color w:val="000000"/>
                <w:sz w:val="20"/>
                <w:szCs w:val="20"/>
              </w:rPr>
            </w:pPr>
            <w:r>
              <w:rPr>
                <w:rStyle w:val="81"/>
                <w:rFonts w:hint="default"/>
                <w:szCs w:val="21"/>
                <w:lang w:bidi="ar"/>
              </w:rPr>
              <w:t>基站</w:t>
            </w:r>
            <w:r>
              <w:rPr>
                <w:color w:val="000000"/>
                <w:kern w:val="0"/>
                <w:szCs w:val="21"/>
                <w:lang w:bidi="ar"/>
              </w:rPr>
              <w:t>VDL</w:t>
            </w:r>
            <w:r>
              <w:rPr>
                <w:rStyle w:val="81"/>
                <w:rFonts w:hint="default"/>
                <w:szCs w:val="21"/>
                <w:lang w:bidi="ar"/>
              </w:rPr>
              <w:t>负载显示</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
                <w:color w:val="000000"/>
                <w:sz w:val="20"/>
                <w:szCs w:val="20"/>
              </w:rPr>
            </w:pPr>
            <w:r>
              <w:rPr>
                <w:rFonts w:hint="eastAsia" w:cs="宋体"/>
                <w:b/>
                <w:color w:val="000000"/>
                <w:sz w:val="20"/>
                <w:szCs w:val="20"/>
              </w:rPr>
              <w:t>2</w:t>
            </w:r>
          </w:p>
        </w:tc>
        <w:tc>
          <w:tcPr>
            <w:tcW w:w="3585" w:type="dxa"/>
            <w:vAlign w:val="center"/>
          </w:tcPr>
          <w:p>
            <w:pPr>
              <w:jc w:val="center"/>
              <w:rPr>
                <w:b/>
                <w:color w:val="000000"/>
                <w:sz w:val="20"/>
                <w:szCs w:val="20"/>
              </w:rPr>
            </w:pPr>
            <w:r>
              <w:rPr>
                <w:rFonts w:hint="eastAsia"/>
                <w:b/>
                <w:color w:val="000000"/>
                <w:sz w:val="20"/>
                <w:szCs w:val="20"/>
              </w:rPr>
              <w:t>用户接口服务</w:t>
            </w:r>
          </w:p>
        </w:tc>
        <w:tc>
          <w:tcPr>
            <w:tcW w:w="1984" w:type="dxa"/>
            <w:vAlign w:val="center"/>
          </w:tcPr>
          <w:p>
            <w:pPr>
              <w:jc w:val="center"/>
              <w:rPr>
                <w:b/>
                <w:color w:val="000000"/>
                <w:sz w:val="20"/>
                <w:szCs w:val="20"/>
              </w:rPr>
            </w:pPr>
            <w:r>
              <w:rPr>
                <w:b/>
                <w:color w:val="000000"/>
                <w:sz w:val="20"/>
                <w:szCs w:val="20"/>
              </w:rPr>
              <w:t>22</w:t>
            </w:r>
          </w:p>
        </w:tc>
        <w:tc>
          <w:tcPr>
            <w:tcW w:w="2013" w:type="dxa"/>
            <w:vAlign w:val="center"/>
          </w:tcPr>
          <w:p>
            <w:pPr>
              <w:jc w:val="center"/>
              <w:rPr>
                <w:rFonts w:cs="宋体"/>
                <w:b/>
                <w:color w:val="000000"/>
                <w:sz w:val="20"/>
                <w:szCs w:val="20"/>
              </w:rPr>
            </w:pPr>
            <w:r>
              <w:rPr>
                <w:rFonts w:hint="eastAsia" w:cs="宋体"/>
                <w:b/>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2</w:t>
            </w:r>
            <w:r>
              <w:rPr>
                <w:rFonts w:cs="宋体"/>
                <w:bCs/>
                <w:color w:val="000000"/>
                <w:sz w:val="20"/>
                <w:szCs w:val="20"/>
              </w:rPr>
              <w:t>.1</w:t>
            </w:r>
          </w:p>
        </w:tc>
        <w:tc>
          <w:tcPr>
            <w:tcW w:w="3585" w:type="dxa"/>
            <w:vAlign w:val="center"/>
          </w:tcPr>
          <w:p>
            <w:pPr>
              <w:jc w:val="center"/>
              <w:rPr>
                <w:color w:val="000000"/>
                <w:sz w:val="20"/>
                <w:szCs w:val="20"/>
              </w:rPr>
            </w:pPr>
            <w:r>
              <w:rPr>
                <w:color w:val="000000"/>
                <w:kern w:val="0"/>
                <w:szCs w:val="21"/>
                <w:lang w:bidi="ar"/>
              </w:rPr>
              <w:t>标准数据流接口</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2</w:t>
            </w:r>
            <w:r>
              <w:rPr>
                <w:rFonts w:cs="宋体"/>
                <w:bCs/>
                <w:color w:val="000000"/>
                <w:sz w:val="20"/>
                <w:szCs w:val="20"/>
              </w:rPr>
              <w:t>.2</w:t>
            </w:r>
          </w:p>
        </w:tc>
        <w:tc>
          <w:tcPr>
            <w:tcW w:w="3585" w:type="dxa"/>
            <w:vAlign w:val="center"/>
          </w:tcPr>
          <w:p>
            <w:pPr>
              <w:jc w:val="center"/>
              <w:rPr>
                <w:color w:val="000000"/>
                <w:sz w:val="20"/>
                <w:szCs w:val="20"/>
              </w:rPr>
            </w:pPr>
            <w:r>
              <w:rPr>
                <w:color w:val="000000"/>
                <w:kern w:val="0"/>
                <w:szCs w:val="21"/>
                <w:lang w:bidi="ar"/>
              </w:rPr>
              <w:t>扩展数据流接口</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2</w:t>
            </w:r>
            <w:r>
              <w:rPr>
                <w:rFonts w:cs="宋体"/>
                <w:bCs/>
                <w:color w:val="000000"/>
                <w:sz w:val="20"/>
                <w:szCs w:val="20"/>
              </w:rPr>
              <w:t>.3</w:t>
            </w:r>
          </w:p>
        </w:tc>
        <w:tc>
          <w:tcPr>
            <w:tcW w:w="3585" w:type="dxa"/>
            <w:vAlign w:val="center"/>
          </w:tcPr>
          <w:p>
            <w:pPr>
              <w:jc w:val="center"/>
              <w:rPr>
                <w:color w:val="000000"/>
                <w:sz w:val="20"/>
                <w:szCs w:val="20"/>
              </w:rPr>
            </w:pPr>
            <w:r>
              <w:rPr>
                <w:rStyle w:val="81"/>
                <w:rFonts w:hint="default"/>
                <w:szCs w:val="21"/>
                <w:lang w:bidi="ar"/>
              </w:rPr>
              <w:t>用户</w:t>
            </w:r>
            <w:r>
              <w:rPr>
                <w:color w:val="000000"/>
                <w:kern w:val="0"/>
                <w:szCs w:val="21"/>
                <w:lang w:bidi="ar"/>
              </w:rPr>
              <w:t>API</w:t>
            </w:r>
            <w:r>
              <w:rPr>
                <w:rStyle w:val="81"/>
                <w:rFonts w:hint="default"/>
                <w:szCs w:val="21"/>
                <w:lang w:bidi="ar"/>
              </w:rPr>
              <w:t>接口</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2</w:t>
            </w:r>
            <w:r>
              <w:rPr>
                <w:rFonts w:cs="宋体"/>
                <w:bCs/>
                <w:color w:val="000000"/>
                <w:sz w:val="20"/>
                <w:szCs w:val="20"/>
              </w:rPr>
              <w:t>.4</w:t>
            </w:r>
          </w:p>
        </w:tc>
        <w:tc>
          <w:tcPr>
            <w:tcW w:w="3585" w:type="dxa"/>
            <w:vAlign w:val="center"/>
          </w:tcPr>
          <w:p>
            <w:pPr>
              <w:jc w:val="center"/>
              <w:rPr>
                <w:color w:val="000000"/>
                <w:sz w:val="20"/>
                <w:szCs w:val="20"/>
              </w:rPr>
            </w:pPr>
            <w:r>
              <w:rPr>
                <w:color w:val="000000"/>
                <w:kern w:val="0"/>
                <w:szCs w:val="21"/>
                <w:lang w:bidi="ar"/>
              </w:rPr>
              <w:t>AIS</w:t>
            </w:r>
            <w:r>
              <w:rPr>
                <w:rStyle w:val="81"/>
                <w:rFonts w:hint="default"/>
                <w:szCs w:val="21"/>
                <w:lang w:bidi="ar"/>
              </w:rPr>
              <w:t>数据接口格式兼容</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2</w:t>
            </w:r>
            <w:r>
              <w:rPr>
                <w:rFonts w:cs="宋体"/>
                <w:bCs/>
                <w:color w:val="000000"/>
                <w:sz w:val="20"/>
                <w:szCs w:val="20"/>
              </w:rPr>
              <w:t>.5</w:t>
            </w:r>
          </w:p>
        </w:tc>
        <w:tc>
          <w:tcPr>
            <w:tcW w:w="3585" w:type="dxa"/>
            <w:vAlign w:val="center"/>
          </w:tcPr>
          <w:p>
            <w:pPr>
              <w:jc w:val="center"/>
              <w:rPr>
                <w:color w:val="000000"/>
                <w:sz w:val="20"/>
                <w:szCs w:val="20"/>
              </w:rPr>
            </w:pPr>
            <w:r>
              <w:rPr>
                <w:color w:val="000000"/>
                <w:kern w:val="0"/>
                <w:szCs w:val="21"/>
                <w:lang w:bidi="ar"/>
              </w:rPr>
              <w:t>AIS裸报文适配</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2</w:t>
            </w:r>
            <w:r>
              <w:rPr>
                <w:rFonts w:cs="宋体"/>
                <w:bCs/>
                <w:color w:val="000000"/>
                <w:sz w:val="20"/>
                <w:szCs w:val="20"/>
              </w:rPr>
              <w:t>.6</w:t>
            </w:r>
          </w:p>
        </w:tc>
        <w:tc>
          <w:tcPr>
            <w:tcW w:w="3585" w:type="dxa"/>
            <w:vAlign w:val="center"/>
          </w:tcPr>
          <w:p>
            <w:pPr>
              <w:jc w:val="center"/>
              <w:rPr>
                <w:color w:val="000000"/>
                <w:sz w:val="20"/>
                <w:szCs w:val="20"/>
              </w:rPr>
            </w:pPr>
            <w:r>
              <w:rPr>
                <w:color w:val="000000"/>
                <w:kern w:val="0"/>
                <w:szCs w:val="21"/>
                <w:lang w:bidi="ar"/>
              </w:rPr>
              <w:t>时戳报文头适配</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2</w:t>
            </w:r>
            <w:r>
              <w:rPr>
                <w:rFonts w:cs="宋体"/>
                <w:bCs/>
                <w:color w:val="000000"/>
                <w:sz w:val="20"/>
                <w:szCs w:val="20"/>
              </w:rPr>
              <w:t>.7</w:t>
            </w:r>
          </w:p>
        </w:tc>
        <w:tc>
          <w:tcPr>
            <w:tcW w:w="3585" w:type="dxa"/>
            <w:vAlign w:val="center"/>
          </w:tcPr>
          <w:p>
            <w:pPr>
              <w:jc w:val="center"/>
              <w:rPr>
                <w:color w:val="000000"/>
                <w:sz w:val="20"/>
                <w:szCs w:val="20"/>
              </w:rPr>
            </w:pPr>
            <w:r>
              <w:rPr>
                <w:color w:val="000000"/>
                <w:kern w:val="0"/>
                <w:szCs w:val="21"/>
                <w:lang w:bidi="ar"/>
              </w:rPr>
              <w:t>CommentBlock报文头适配</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2</w:t>
            </w:r>
            <w:r>
              <w:rPr>
                <w:rFonts w:cs="宋体"/>
                <w:bCs/>
                <w:color w:val="000000"/>
                <w:sz w:val="20"/>
                <w:szCs w:val="20"/>
              </w:rPr>
              <w:t>.8</w:t>
            </w:r>
          </w:p>
        </w:tc>
        <w:tc>
          <w:tcPr>
            <w:tcW w:w="3585" w:type="dxa"/>
            <w:vAlign w:val="center"/>
          </w:tcPr>
          <w:p>
            <w:pPr>
              <w:jc w:val="center"/>
              <w:rPr>
                <w:color w:val="000000"/>
                <w:sz w:val="20"/>
                <w:szCs w:val="20"/>
              </w:rPr>
            </w:pPr>
            <w:r>
              <w:rPr>
                <w:color w:val="000000"/>
                <w:kern w:val="0"/>
                <w:szCs w:val="21"/>
                <w:lang w:bidi="ar"/>
              </w:rPr>
              <w:t>TAGBlock适配</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2</w:t>
            </w:r>
            <w:r>
              <w:rPr>
                <w:rFonts w:cs="宋体"/>
                <w:bCs/>
                <w:color w:val="000000"/>
                <w:sz w:val="20"/>
                <w:szCs w:val="20"/>
              </w:rPr>
              <w:t>.9</w:t>
            </w:r>
          </w:p>
        </w:tc>
        <w:tc>
          <w:tcPr>
            <w:tcW w:w="3585" w:type="dxa"/>
            <w:vAlign w:val="center"/>
          </w:tcPr>
          <w:p>
            <w:pPr>
              <w:jc w:val="center"/>
              <w:rPr>
                <w:color w:val="000000"/>
                <w:sz w:val="20"/>
                <w:szCs w:val="20"/>
              </w:rPr>
            </w:pPr>
            <w:r>
              <w:rPr>
                <w:color w:val="000000"/>
                <w:kern w:val="0"/>
                <w:szCs w:val="21"/>
                <w:lang w:bidi="ar"/>
              </w:rPr>
              <w:t>用户数据收发管理</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2</w:t>
            </w:r>
            <w:r>
              <w:rPr>
                <w:rFonts w:cs="宋体"/>
                <w:bCs/>
                <w:color w:val="000000"/>
                <w:sz w:val="20"/>
                <w:szCs w:val="20"/>
              </w:rPr>
              <w:t>.10</w:t>
            </w:r>
          </w:p>
        </w:tc>
        <w:tc>
          <w:tcPr>
            <w:tcW w:w="3585" w:type="dxa"/>
            <w:vAlign w:val="center"/>
          </w:tcPr>
          <w:p>
            <w:pPr>
              <w:jc w:val="center"/>
              <w:rPr>
                <w:color w:val="000000"/>
                <w:sz w:val="20"/>
                <w:szCs w:val="20"/>
              </w:rPr>
            </w:pPr>
            <w:r>
              <w:rPr>
                <w:color w:val="000000"/>
                <w:kern w:val="0"/>
                <w:szCs w:val="21"/>
                <w:lang w:bidi="ar"/>
              </w:rPr>
              <w:t>用户异常行为识别</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2</w:t>
            </w:r>
            <w:r>
              <w:rPr>
                <w:rFonts w:cs="宋体"/>
                <w:bCs/>
                <w:color w:val="000000"/>
                <w:sz w:val="20"/>
                <w:szCs w:val="20"/>
              </w:rPr>
              <w:t>.11</w:t>
            </w:r>
          </w:p>
        </w:tc>
        <w:tc>
          <w:tcPr>
            <w:tcW w:w="3585" w:type="dxa"/>
            <w:vAlign w:val="center"/>
          </w:tcPr>
          <w:p>
            <w:pPr>
              <w:jc w:val="center"/>
              <w:rPr>
                <w:color w:val="000000"/>
                <w:sz w:val="20"/>
                <w:szCs w:val="20"/>
              </w:rPr>
            </w:pPr>
            <w:r>
              <w:rPr>
                <w:color w:val="000000"/>
                <w:kern w:val="0"/>
                <w:szCs w:val="21"/>
                <w:lang w:bidi="ar"/>
              </w:rPr>
              <w:t>用户接口防火墙管理</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2</w:t>
            </w:r>
            <w:r>
              <w:rPr>
                <w:rFonts w:cs="宋体"/>
                <w:bCs/>
                <w:color w:val="000000"/>
                <w:sz w:val="20"/>
                <w:szCs w:val="20"/>
              </w:rPr>
              <w:t>.12</w:t>
            </w:r>
          </w:p>
        </w:tc>
        <w:tc>
          <w:tcPr>
            <w:tcW w:w="3585" w:type="dxa"/>
            <w:vAlign w:val="center"/>
          </w:tcPr>
          <w:p>
            <w:pPr>
              <w:jc w:val="center"/>
              <w:rPr>
                <w:color w:val="000000"/>
                <w:sz w:val="20"/>
                <w:szCs w:val="20"/>
              </w:rPr>
            </w:pPr>
            <w:r>
              <w:rPr>
                <w:color w:val="000000"/>
                <w:kern w:val="0"/>
                <w:szCs w:val="21"/>
                <w:lang w:bidi="ar"/>
              </w:rPr>
              <w:t>用户登录权限控制</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2</w:t>
            </w:r>
            <w:r>
              <w:rPr>
                <w:rFonts w:cs="宋体"/>
                <w:bCs/>
                <w:color w:val="000000"/>
                <w:sz w:val="20"/>
                <w:szCs w:val="20"/>
              </w:rPr>
              <w:t>.13</w:t>
            </w:r>
          </w:p>
        </w:tc>
        <w:tc>
          <w:tcPr>
            <w:tcW w:w="3585" w:type="dxa"/>
            <w:vAlign w:val="center"/>
          </w:tcPr>
          <w:p>
            <w:pPr>
              <w:jc w:val="center"/>
              <w:rPr>
                <w:color w:val="000000"/>
                <w:sz w:val="20"/>
                <w:szCs w:val="20"/>
              </w:rPr>
            </w:pPr>
            <w:r>
              <w:rPr>
                <w:color w:val="000000"/>
                <w:kern w:val="0"/>
                <w:szCs w:val="21"/>
                <w:lang w:bidi="ar"/>
              </w:rPr>
              <w:t>用户并发权限控制</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2</w:t>
            </w:r>
            <w:r>
              <w:rPr>
                <w:rFonts w:cs="宋体"/>
                <w:bCs/>
                <w:color w:val="000000"/>
                <w:sz w:val="20"/>
                <w:szCs w:val="20"/>
              </w:rPr>
              <w:t>.14</w:t>
            </w:r>
          </w:p>
        </w:tc>
        <w:tc>
          <w:tcPr>
            <w:tcW w:w="3585" w:type="dxa"/>
            <w:vAlign w:val="center"/>
          </w:tcPr>
          <w:p>
            <w:pPr>
              <w:jc w:val="center"/>
              <w:rPr>
                <w:color w:val="000000"/>
                <w:sz w:val="20"/>
                <w:szCs w:val="20"/>
              </w:rPr>
            </w:pPr>
            <w:r>
              <w:rPr>
                <w:color w:val="000000"/>
                <w:kern w:val="0"/>
                <w:szCs w:val="21"/>
                <w:lang w:bidi="ar"/>
              </w:rPr>
              <w:t>目标服务器连接控制</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2</w:t>
            </w:r>
            <w:r>
              <w:rPr>
                <w:rFonts w:cs="宋体"/>
                <w:bCs/>
                <w:color w:val="000000"/>
                <w:sz w:val="20"/>
                <w:szCs w:val="20"/>
              </w:rPr>
              <w:t>.15</w:t>
            </w:r>
          </w:p>
        </w:tc>
        <w:tc>
          <w:tcPr>
            <w:tcW w:w="3585" w:type="dxa"/>
            <w:vAlign w:val="center"/>
          </w:tcPr>
          <w:p>
            <w:pPr>
              <w:jc w:val="center"/>
              <w:rPr>
                <w:color w:val="000000"/>
                <w:sz w:val="20"/>
                <w:szCs w:val="20"/>
              </w:rPr>
            </w:pPr>
            <w:r>
              <w:rPr>
                <w:color w:val="000000"/>
                <w:kern w:val="0"/>
                <w:szCs w:val="21"/>
                <w:lang w:bidi="ar"/>
              </w:rPr>
              <w:t>连接接口类型控制</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2</w:t>
            </w:r>
            <w:r>
              <w:rPr>
                <w:rFonts w:cs="宋体"/>
                <w:bCs/>
                <w:color w:val="000000"/>
                <w:sz w:val="20"/>
                <w:szCs w:val="20"/>
              </w:rPr>
              <w:t>.16</w:t>
            </w:r>
          </w:p>
        </w:tc>
        <w:tc>
          <w:tcPr>
            <w:tcW w:w="3585" w:type="dxa"/>
            <w:vAlign w:val="center"/>
          </w:tcPr>
          <w:p>
            <w:pPr>
              <w:jc w:val="center"/>
              <w:rPr>
                <w:color w:val="000000"/>
                <w:sz w:val="20"/>
                <w:szCs w:val="20"/>
              </w:rPr>
            </w:pPr>
            <w:r>
              <w:rPr>
                <w:color w:val="000000"/>
                <w:kern w:val="0"/>
                <w:szCs w:val="21"/>
                <w:lang w:bidi="ar"/>
              </w:rPr>
              <w:t>用户虚拟MMSI管理</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2</w:t>
            </w:r>
            <w:r>
              <w:rPr>
                <w:rFonts w:cs="宋体"/>
                <w:bCs/>
                <w:color w:val="000000"/>
                <w:sz w:val="20"/>
                <w:szCs w:val="20"/>
              </w:rPr>
              <w:t>.17</w:t>
            </w:r>
          </w:p>
        </w:tc>
        <w:tc>
          <w:tcPr>
            <w:tcW w:w="3585" w:type="dxa"/>
            <w:vAlign w:val="center"/>
          </w:tcPr>
          <w:p>
            <w:pPr>
              <w:jc w:val="center"/>
              <w:rPr>
                <w:color w:val="000000"/>
                <w:sz w:val="20"/>
                <w:szCs w:val="20"/>
              </w:rPr>
            </w:pPr>
            <w:r>
              <w:rPr>
                <w:color w:val="000000"/>
                <w:kern w:val="0"/>
                <w:szCs w:val="21"/>
                <w:lang w:bidi="ar"/>
              </w:rPr>
              <w:t>数据来源适配</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2</w:t>
            </w:r>
            <w:r>
              <w:rPr>
                <w:rFonts w:cs="宋体"/>
                <w:bCs/>
                <w:color w:val="000000"/>
                <w:sz w:val="20"/>
                <w:szCs w:val="20"/>
              </w:rPr>
              <w:t>.18</w:t>
            </w:r>
          </w:p>
        </w:tc>
        <w:tc>
          <w:tcPr>
            <w:tcW w:w="3585" w:type="dxa"/>
            <w:vAlign w:val="center"/>
          </w:tcPr>
          <w:p>
            <w:pPr>
              <w:jc w:val="center"/>
              <w:rPr>
                <w:color w:val="000000"/>
                <w:sz w:val="20"/>
                <w:szCs w:val="20"/>
              </w:rPr>
            </w:pPr>
            <w:r>
              <w:rPr>
                <w:color w:val="000000"/>
                <w:kern w:val="0"/>
                <w:szCs w:val="21"/>
                <w:lang w:bidi="ar"/>
              </w:rPr>
              <w:t>目标类型适配</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2</w:t>
            </w:r>
            <w:r>
              <w:rPr>
                <w:rFonts w:cs="宋体"/>
                <w:bCs/>
                <w:color w:val="000000"/>
                <w:sz w:val="20"/>
                <w:szCs w:val="20"/>
              </w:rPr>
              <w:t>.19</w:t>
            </w:r>
          </w:p>
        </w:tc>
        <w:tc>
          <w:tcPr>
            <w:tcW w:w="3585" w:type="dxa"/>
            <w:vAlign w:val="center"/>
          </w:tcPr>
          <w:p>
            <w:pPr>
              <w:jc w:val="center"/>
              <w:rPr>
                <w:color w:val="000000"/>
                <w:sz w:val="20"/>
                <w:szCs w:val="20"/>
              </w:rPr>
            </w:pPr>
            <w:r>
              <w:rPr>
                <w:color w:val="000000"/>
                <w:kern w:val="0"/>
                <w:szCs w:val="21"/>
                <w:lang w:bidi="ar"/>
              </w:rPr>
              <w:t>报文类型适配</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2</w:t>
            </w:r>
            <w:r>
              <w:rPr>
                <w:rFonts w:cs="宋体"/>
                <w:bCs/>
                <w:color w:val="000000"/>
                <w:sz w:val="20"/>
                <w:szCs w:val="20"/>
              </w:rPr>
              <w:t>.20</w:t>
            </w:r>
          </w:p>
        </w:tc>
        <w:tc>
          <w:tcPr>
            <w:tcW w:w="3585" w:type="dxa"/>
            <w:vAlign w:val="center"/>
          </w:tcPr>
          <w:p>
            <w:pPr>
              <w:jc w:val="center"/>
              <w:rPr>
                <w:color w:val="000000"/>
                <w:sz w:val="20"/>
                <w:szCs w:val="20"/>
              </w:rPr>
            </w:pPr>
            <w:r>
              <w:rPr>
                <w:color w:val="000000"/>
                <w:kern w:val="0"/>
                <w:szCs w:val="21"/>
                <w:lang w:bidi="ar"/>
              </w:rPr>
              <w:t>清洗状态适配</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2</w:t>
            </w:r>
            <w:r>
              <w:rPr>
                <w:rFonts w:cs="宋体"/>
                <w:bCs/>
                <w:color w:val="000000"/>
                <w:sz w:val="20"/>
                <w:szCs w:val="20"/>
              </w:rPr>
              <w:t>.21</w:t>
            </w:r>
          </w:p>
        </w:tc>
        <w:tc>
          <w:tcPr>
            <w:tcW w:w="3585" w:type="dxa"/>
            <w:vAlign w:val="center"/>
          </w:tcPr>
          <w:p>
            <w:pPr>
              <w:jc w:val="center"/>
              <w:rPr>
                <w:color w:val="000000"/>
                <w:sz w:val="20"/>
                <w:szCs w:val="20"/>
              </w:rPr>
            </w:pPr>
            <w:r>
              <w:rPr>
                <w:color w:val="000000"/>
                <w:kern w:val="0"/>
                <w:szCs w:val="21"/>
                <w:lang w:bidi="ar"/>
              </w:rPr>
              <w:t>数据范围适配</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7" w:type="dxa"/>
            <w:vAlign w:val="center"/>
          </w:tcPr>
          <w:p>
            <w:pPr>
              <w:jc w:val="center"/>
              <w:rPr>
                <w:rFonts w:cs="宋体"/>
                <w:bCs/>
                <w:color w:val="000000"/>
                <w:sz w:val="20"/>
                <w:szCs w:val="20"/>
              </w:rPr>
            </w:pPr>
            <w:r>
              <w:rPr>
                <w:rFonts w:hint="eastAsia" w:cs="宋体"/>
                <w:bCs/>
                <w:color w:val="000000"/>
                <w:sz w:val="20"/>
                <w:szCs w:val="20"/>
              </w:rPr>
              <w:t>2</w:t>
            </w:r>
            <w:r>
              <w:rPr>
                <w:rFonts w:cs="宋体"/>
                <w:bCs/>
                <w:color w:val="000000"/>
                <w:sz w:val="20"/>
                <w:szCs w:val="20"/>
              </w:rPr>
              <w:t>.22</w:t>
            </w:r>
          </w:p>
        </w:tc>
        <w:tc>
          <w:tcPr>
            <w:tcW w:w="3585" w:type="dxa"/>
            <w:vAlign w:val="center"/>
          </w:tcPr>
          <w:p>
            <w:pPr>
              <w:jc w:val="center"/>
              <w:rPr>
                <w:color w:val="000000"/>
                <w:sz w:val="20"/>
                <w:szCs w:val="20"/>
              </w:rPr>
            </w:pPr>
            <w:r>
              <w:rPr>
                <w:color w:val="000000"/>
                <w:kern w:val="0"/>
                <w:szCs w:val="21"/>
                <w:lang w:bidi="ar"/>
              </w:rPr>
              <w:t>数据字段适配</w:t>
            </w:r>
          </w:p>
        </w:tc>
        <w:tc>
          <w:tcPr>
            <w:tcW w:w="1984" w:type="dxa"/>
            <w:vAlign w:val="center"/>
          </w:tcPr>
          <w:p>
            <w:pPr>
              <w:jc w:val="center"/>
              <w:rPr>
                <w:color w:val="000000"/>
                <w:sz w:val="20"/>
                <w:szCs w:val="20"/>
              </w:rPr>
            </w:pPr>
          </w:p>
        </w:tc>
        <w:tc>
          <w:tcPr>
            <w:tcW w:w="2013" w:type="dxa"/>
            <w:vAlign w:val="center"/>
          </w:tcPr>
          <w:p>
            <w:pPr>
              <w:jc w:val="center"/>
              <w:rPr>
                <w:rFonts w:cs="宋体"/>
                <w:bCs/>
                <w:color w:val="000000"/>
                <w:sz w:val="20"/>
                <w:szCs w:val="20"/>
              </w:rPr>
            </w:pPr>
          </w:p>
        </w:tc>
      </w:tr>
    </w:tbl>
    <w:p/>
    <w:p>
      <w:pPr>
        <w:pStyle w:val="6"/>
        <w:numPr>
          <w:ilvl w:val="3"/>
          <w:numId w:val="0"/>
        </w:numPr>
        <w:tabs>
          <w:tab w:val="clear" w:pos="567"/>
        </w:tabs>
      </w:pPr>
      <w:r>
        <w:rPr>
          <w:rFonts w:hint="eastAsia"/>
          <w:szCs w:val="24"/>
        </w:rPr>
        <w:t>3.1.2.2</w:t>
      </w:r>
      <w:r>
        <w:rPr>
          <w:rFonts w:hint="eastAsia"/>
        </w:rPr>
        <w:t>核心网管理服务子系统</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3301"/>
        <w:gridCol w:w="2054"/>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rFonts w:cs="宋体"/>
                <w:color w:val="000000"/>
                <w:sz w:val="20"/>
                <w:szCs w:val="20"/>
              </w:rPr>
            </w:pPr>
            <w:r>
              <w:rPr>
                <w:rFonts w:hint="eastAsia" w:cs="宋体"/>
                <w:b/>
                <w:bCs/>
                <w:color w:val="000000"/>
                <w:sz w:val="20"/>
                <w:szCs w:val="20"/>
              </w:rPr>
              <w:t>序号</w:t>
            </w:r>
          </w:p>
        </w:tc>
        <w:tc>
          <w:tcPr>
            <w:tcW w:w="1937" w:type="pct"/>
            <w:vAlign w:val="center"/>
          </w:tcPr>
          <w:p>
            <w:pPr>
              <w:jc w:val="center"/>
              <w:rPr>
                <w:rFonts w:cs="宋体"/>
                <w:color w:val="000000"/>
                <w:sz w:val="20"/>
                <w:szCs w:val="20"/>
              </w:rPr>
            </w:pPr>
            <w:r>
              <w:rPr>
                <w:rFonts w:hint="eastAsia" w:cs="宋体"/>
                <w:b/>
                <w:bCs/>
                <w:color w:val="000000"/>
                <w:sz w:val="20"/>
                <w:szCs w:val="20"/>
              </w:rPr>
              <w:t>功能名称</w:t>
            </w:r>
          </w:p>
        </w:tc>
        <w:tc>
          <w:tcPr>
            <w:tcW w:w="1205" w:type="pct"/>
            <w:vAlign w:val="center"/>
          </w:tcPr>
          <w:p>
            <w:pPr>
              <w:jc w:val="center"/>
              <w:rPr>
                <w:color w:val="000000"/>
                <w:sz w:val="20"/>
                <w:szCs w:val="20"/>
              </w:rPr>
            </w:pPr>
            <w:r>
              <w:rPr>
                <w:rFonts w:hint="eastAsia" w:cs="宋体"/>
                <w:b/>
                <w:bCs/>
                <w:color w:val="000000"/>
                <w:sz w:val="20"/>
                <w:szCs w:val="20"/>
              </w:rPr>
              <w:t>功能点</w:t>
            </w:r>
          </w:p>
        </w:tc>
        <w:tc>
          <w:tcPr>
            <w:tcW w:w="1149" w:type="pct"/>
            <w:vAlign w:val="center"/>
          </w:tcPr>
          <w:p>
            <w:pPr>
              <w:jc w:val="center"/>
              <w:rPr>
                <w:rFonts w:cs="宋体"/>
                <w:b/>
                <w:bCs/>
                <w:color w:val="000000"/>
                <w:sz w:val="20"/>
                <w:szCs w:val="20"/>
              </w:rPr>
            </w:pPr>
            <w:r>
              <w:rPr>
                <w:rFonts w:hint="eastAsia" w:cs="宋体"/>
                <w:b/>
                <w:bCs/>
                <w:color w:val="00000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rFonts w:cs="宋体"/>
                <w:b/>
                <w:bCs/>
                <w:color w:val="000000"/>
                <w:sz w:val="20"/>
                <w:szCs w:val="20"/>
              </w:rPr>
            </w:pPr>
            <w:r>
              <w:rPr>
                <w:rFonts w:hint="eastAsia"/>
                <w:b/>
                <w:bCs/>
                <w:color w:val="000000"/>
                <w:sz w:val="20"/>
                <w:szCs w:val="20"/>
              </w:rPr>
              <w:t>1</w:t>
            </w:r>
          </w:p>
        </w:tc>
        <w:tc>
          <w:tcPr>
            <w:tcW w:w="1937" w:type="pct"/>
            <w:vAlign w:val="center"/>
          </w:tcPr>
          <w:p>
            <w:pPr>
              <w:jc w:val="center"/>
              <w:rPr>
                <w:rFonts w:cs="宋体"/>
                <w:b/>
                <w:bCs/>
                <w:color w:val="000000"/>
                <w:sz w:val="20"/>
                <w:szCs w:val="20"/>
              </w:rPr>
            </w:pPr>
            <w:r>
              <w:rPr>
                <w:rFonts w:hint="eastAsia" w:cs="宋体"/>
                <w:b/>
                <w:bCs/>
                <w:color w:val="000000"/>
                <w:sz w:val="20"/>
                <w:szCs w:val="20"/>
              </w:rPr>
              <w:t>业务数据接口服务</w:t>
            </w:r>
          </w:p>
        </w:tc>
        <w:tc>
          <w:tcPr>
            <w:tcW w:w="1205" w:type="pct"/>
            <w:vAlign w:val="center"/>
          </w:tcPr>
          <w:p>
            <w:pPr>
              <w:jc w:val="center"/>
              <w:rPr>
                <w:b/>
                <w:bCs/>
                <w:color w:val="000000"/>
                <w:sz w:val="20"/>
                <w:szCs w:val="20"/>
              </w:rPr>
            </w:pPr>
            <w:r>
              <w:rPr>
                <w:rFonts w:hint="eastAsia"/>
                <w:b/>
                <w:bCs/>
                <w:color w:val="000000"/>
                <w:sz w:val="20"/>
                <w:szCs w:val="20"/>
              </w:rPr>
              <w:t>7</w:t>
            </w:r>
          </w:p>
        </w:tc>
        <w:tc>
          <w:tcPr>
            <w:tcW w:w="1149" w:type="pct"/>
            <w:vAlign w:val="center"/>
          </w:tcPr>
          <w:p>
            <w:pPr>
              <w:jc w:val="center"/>
              <w:rPr>
                <w:b/>
                <w:bCs/>
                <w:color w:val="000000"/>
                <w:sz w:val="20"/>
                <w:szCs w:val="20"/>
              </w:rPr>
            </w:pPr>
            <w:r>
              <w:rPr>
                <w:rFonts w:hint="eastAsia"/>
                <w:b/>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rFonts w:cs="宋体"/>
                <w:color w:val="000000"/>
                <w:sz w:val="20"/>
                <w:szCs w:val="20"/>
              </w:rPr>
            </w:pPr>
            <w:r>
              <w:rPr>
                <w:rFonts w:hint="eastAsia" w:cs="宋体"/>
                <w:color w:val="000000"/>
                <w:sz w:val="20"/>
                <w:szCs w:val="20"/>
              </w:rPr>
              <w:t>1</w:t>
            </w:r>
            <w:r>
              <w:rPr>
                <w:rFonts w:cs="宋体"/>
                <w:color w:val="000000"/>
                <w:sz w:val="20"/>
                <w:szCs w:val="20"/>
              </w:rPr>
              <w:t>.1</w:t>
            </w:r>
          </w:p>
        </w:tc>
        <w:tc>
          <w:tcPr>
            <w:tcW w:w="1937" w:type="pct"/>
            <w:vAlign w:val="center"/>
          </w:tcPr>
          <w:p>
            <w:pPr>
              <w:jc w:val="center"/>
              <w:rPr>
                <w:rFonts w:cs="宋体"/>
                <w:color w:val="000000"/>
                <w:sz w:val="20"/>
                <w:szCs w:val="20"/>
              </w:rPr>
            </w:pPr>
            <w:r>
              <w:rPr>
                <w:rStyle w:val="81"/>
                <w:rFonts w:hint="default"/>
                <w:szCs w:val="21"/>
                <w:lang w:bidi="ar"/>
              </w:rPr>
              <w:t>SAAB系统数据输入接口</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rFonts w:cs="宋体"/>
                <w:color w:val="000000"/>
                <w:sz w:val="20"/>
                <w:szCs w:val="20"/>
              </w:rPr>
            </w:pPr>
            <w:r>
              <w:rPr>
                <w:rFonts w:hint="eastAsia" w:cs="宋体"/>
                <w:color w:val="000000"/>
                <w:sz w:val="20"/>
                <w:szCs w:val="20"/>
              </w:rPr>
              <w:t>1</w:t>
            </w:r>
            <w:r>
              <w:rPr>
                <w:rFonts w:cs="宋体"/>
                <w:color w:val="000000"/>
                <w:sz w:val="20"/>
                <w:szCs w:val="20"/>
              </w:rPr>
              <w:t>.2</w:t>
            </w:r>
          </w:p>
        </w:tc>
        <w:tc>
          <w:tcPr>
            <w:tcW w:w="1937" w:type="pct"/>
            <w:vAlign w:val="center"/>
          </w:tcPr>
          <w:p>
            <w:pPr>
              <w:jc w:val="center"/>
              <w:rPr>
                <w:rFonts w:cs="宋体"/>
                <w:color w:val="000000"/>
                <w:sz w:val="20"/>
                <w:szCs w:val="20"/>
              </w:rPr>
            </w:pPr>
            <w:r>
              <w:rPr>
                <w:color w:val="000000"/>
                <w:kern w:val="0"/>
                <w:szCs w:val="21"/>
                <w:lang w:bidi="ar"/>
              </w:rPr>
              <w:t>外部数据源数据输出接口</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rFonts w:cs="宋体"/>
                <w:color w:val="000000"/>
                <w:sz w:val="20"/>
                <w:szCs w:val="20"/>
              </w:rPr>
            </w:pPr>
            <w:r>
              <w:rPr>
                <w:rFonts w:hint="eastAsia" w:cs="宋体"/>
                <w:color w:val="000000"/>
                <w:sz w:val="20"/>
                <w:szCs w:val="20"/>
              </w:rPr>
              <w:t>1</w:t>
            </w:r>
            <w:r>
              <w:rPr>
                <w:rFonts w:cs="宋体"/>
                <w:color w:val="000000"/>
                <w:sz w:val="20"/>
                <w:szCs w:val="20"/>
              </w:rPr>
              <w:t>.3</w:t>
            </w:r>
          </w:p>
        </w:tc>
        <w:tc>
          <w:tcPr>
            <w:tcW w:w="1937" w:type="pct"/>
            <w:vAlign w:val="center"/>
          </w:tcPr>
          <w:p>
            <w:pPr>
              <w:jc w:val="center"/>
              <w:rPr>
                <w:rFonts w:cs="宋体"/>
                <w:color w:val="000000"/>
                <w:sz w:val="20"/>
                <w:szCs w:val="20"/>
              </w:rPr>
            </w:pPr>
            <w:r>
              <w:rPr>
                <w:color w:val="000000"/>
                <w:kern w:val="0"/>
                <w:szCs w:val="21"/>
                <w:lang w:bidi="ar"/>
              </w:rPr>
              <w:t>基于基站ID的数据源过滤</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rFonts w:cs="宋体"/>
                <w:color w:val="000000"/>
                <w:sz w:val="20"/>
                <w:szCs w:val="20"/>
              </w:rPr>
            </w:pPr>
            <w:r>
              <w:rPr>
                <w:rFonts w:hint="eastAsia" w:cs="宋体"/>
                <w:color w:val="000000"/>
                <w:sz w:val="20"/>
                <w:szCs w:val="20"/>
              </w:rPr>
              <w:t>1</w:t>
            </w:r>
            <w:r>
              <w:rPr>
                <w:rFonts w:cs="宋体"/>
                <w:color w:val="000000"/>
                <w:sz w:val="20"/>
                <w:szCs w:val="20"/>
              </w:rPr>
              <w:t>.4</w:t>
            </w:r>
          </w:p>
        </w:tc>
        <w:tc>
          <w:tcPr>
            <w:tcW w:w="1937" w:type="pct"/>
            <w:vAlign w:val="center"/>
          </w:tcPr>
          <w:p>
            <w:pPr>
              <w:jc w:val="center"/>
              <w:rPr>
                <w:rFonts w:cs="宋体"/>
                <w:color w:val="000000"/>
                <w:sz w:val="20"/>
                <w:szCs w:val="20"/>
              </w:rPr>
            </w:pPr>
            <w:r>
              <w:rPr>
                <w:color w:val="000000"/>
                <w:kern w:val="0"/>
                <w:szCs w:val="21"/>
                <w:lang w:bidi="ar"/>
              </w:rPr>
              <w:t>报文格式适配</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rFonts w:cs="宋体"/>
                <w:color w:val="000000"/>
                <w:sz w:val="20"/>
                <w:szCs w:val="20"/>
              </w:rPr>
            </w:pPr>
            <w:r>
              <w:rPr>
                <w:rFonts w:hint="eastAsia" w:cs="宋体"/>
                <w:color w:val="000000"/>
                <w:sz w:val="20"/>
                <w:szCs w:val="20"/>
              </w:rPr>
              <w:t>1</w:t>
            </w:r>
            <w:r>
              <w:rPr>
                <w:rFonts w:cs="宋体"/>
                <w:color w:val="000000"/>
                <w:sz w:val="20"/>
                <w:szCs w:val="20"/>
              </w:rPr>
              <w:t>.5</w:t>
            </w:r>
          </w:p>
        </w:tc>
        <w:tc>
          <w:tcPr>
            <w:tcW w:w="1937" w:type="pct"/>
            <w:vAlign w:val="center"/>
          </w:tcPr>
          <w:p>
            <w:pPr>
              <w:jc w:val="center"/>
              <w:rPr>
                <w:rFonts w:cs="宋体"/>
                <w:color w:val="000000"/>
                <w:sz w:val="20"/>
                <w:szCs w:val="20"/>
              </w:rPr>
            </w:pPr>
            <w:r>
              <w:rPr>
                <w:color w:val="000000"/>
                <w:kern w:val="0"/>
                <w:szCs w:val="21"/>
                <w:lang w:bidi="ar"/>
              </w:rPr>
              <w:t>报文区域适配</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rFonts w:cs="宋体"/>
                <w:color w:val="000000"/>
                <w:sz w:val="20"/>
                <w:szCs w:val="20"/>
              </w:rPr>
            </w:pPr>
            <w:r>
              <w:rPr>
                <w:rFonts w:hint="eastAsia" w:cs="宋体"/>
                <w:color w:val="000000"/>
                <w:sz w:val="20"/>
                <w:szCs w:val="20"/>
              </w:rPr>
              <w:t>1</w:t>
            </w:r>
            <w:r>
              <w:rPr>
                <w:rFonts w:cs="宋体"/>
                <w:color w:val="000000"/>
                <w:sz w:val="20"/>
                <w:szCs w:val="20"/>
              </w:rPr>
              <w:t>.6</w:t>
            </w:r>
          </w:p>
        </w:tc>
        <w:tc>
          <w:tcPr>
            <w:tcW w:w="1937" w:type="pct"/>
            <w:vAlign w:val="center"/>
          </w:tcPr>
          <w:p>
            <w:pPr>
              <w:jc w:val="center"/>
              <w:rPr>
                <w:rFonts w:cs="宋体"/>
                <w:color w:val="000000"/>
                <w:sz w:val="20"/>
                <w:szCs w:val="20"/>
              </w:rPr>
            </w:pPr>
            <w:r>
              <w:rPr>
                <w:color w:val="000000"/>
                <w:kern w:val="0"/>
                <w:szCs w:val="21"/>
                <w:lang w:bidi="ar"/>
              </w:rPr>
              <w:t>接口流量统计</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rFonts w:cs="宋体"/>
                <w:color w:val="000000"/>
                <w:sz w:val="20"/>
                <w:szCs w:val="20"/>
              </w:rPr>
            </w:pPr>
            <w:r>
              <w:rPr>
                <w:rFonts w:hint="eastAsia" w:cs="宋体"/>
                <w:color w:val="000000"/>
                <w:sz w:val="20"/>
                <w:szCs w:val="20"/>
              </w:rPr>
              <w:t>1</w:t>
            </w:r>
            <w:r>
              <w:rPr>
                <w:rFonts w:cs="宋体"/>
                <w:color w:val="000000"/>
                <w:sz w:val="20"/>
                <w:szCs w:val="20"/>
              </w:rPr>
              <w:t>.7</w:t>
            </w:r>
          </w:p>
        </w:tc>
        <w:tc>
          <w:tcPr>
            <w:tcW w:w="1937" w:type="pct"/>
            <w:vAlign w:val="center"/>
          </w:tcPr>
          <w:p>
            <w:pPr>
              <w:jc w:val="center"/>
              <w:rPr>
                <w:rFonts w:cs="宋体"/>
                <w:color w:val="000000"/>
                <w:sz w:val="20"/>
                <w:szCs w:val="20"/>
              </w:rPr>
            </w:pPr>
            <w:r>
              <w:rPr>
                <w:color w:val="000000"/>
                <w:kern w:val="0"/>
                <w:szCs w:val="21"/>
                <w:lang w:bidi="ar"/>
              </w:rPr>
              <w:t>连接状态监测</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b/>
                <w:bCs/>
                <w:color w:val="000000"/>
                <w:sz w:val="20"/>
                <w:szCs w:val="20"/>
              </w:rPr>
            </w:pPr>
            <w:r>
              <w:rPr>
                <w:rFonts w:hint="eastAsia"/>
                <w:b/>
                <w:bCs/>
                <w:color w:val="000000"/>
                <w:sz w:val="20"/>
                <w:szCs w:val="20"/>
              </w:rPr>
              <w:t>2</w:t>
            </w:r>
          </w:p>
        </w:tc>
        <w:tc>
          <w:tcPr>
            <w:tcW w:w="1937" w:type="pct"/>
            <w:vAlign w:val="center"/>
          </w:tcPr>
          <w:p>
            <w:pPr>
              <w:jc w:val="center"/>
              <w:rPr>
                <w:rFonts w:cs="宋体"/>
                <w:b/>
                <w:bCs/>
                <w:color w:val="000000"/>
                <w:sz w:val="20"/>
                <w:szCs w:val="20"/>
              </w:rPr>
            </w:pPr>
            <w:r>
              <w:rPr>
                <w:rFonts w:hint="eastAsia" w:cs="宋体"/>
                <w:b/>
                <w:bCs/>
                <w:color w:val="000000"/>
                <w:sz w:val="20"/>
                <w:szCs w:val="20"/>
              </w:rPr>
              <w:t>驱动数据接口</w:t>
            </w:r>
          </w:p>
        </w:tc>
        <w:tc>
          <w:tcPr>
            <w:tcW w:w="1205" w:type="pct"/>
            <w:vAlign w:val="center"/>
          </w:tcPr>
          <w:p>
            <w:pPr>
              <w:jc w:val="center"/>
              <w:rPr>
                <w:b/>
                <w:bCs/>
                <w:color w:val="000000"/>
                <w:sz w:val="20"/>
                <w:szCs w:val="20"/>
              </w:rPr>
            </w:pPr>
            <w:r>
              <w:rPr>
                <w:rFonts w:hint="eastAsia"/>
                <w:b/>
                <w:bCs/>
                <w:color w:val="000000"/>
                <w:sz w:val="20"/>
                <w:szCs w:val="20"/>
              </w:rPr>
              <w:t>8</w:t>
            </w:r>
          </w:p>
        </w:tc>
        <w:tc>
          <w:tcPr>
            <w:tcW w:w="1149" w:type="pct"/>
          </w:tcPr>
          <w:p>
            <w:pPr>
              <w:jc w:val="center"/>
              <w:rPr>
                <w:b/>
                <w:bCs/>
                <w:color w:val="000000"/>
                <w:sz w:val="20"/>
                <w:szCs w:val="20"/>
              </w:rPr>
            </w:pPr>
            <w:r>
              <w:rPr>
                <w:rFonts w:hint="eastAsia"/>
                <w:b/>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2</w:t>
            </w:r>
            <w:r>
              <w:rPr>
                <w:color w:val="000000"/>
                <w:sz w:val="20"/>
                <w:szCs w:val="20"/>
              </w:rPr>
              <w:t>.1</w:t>
            </w:r>
          </w:p>
        </w:tc>
        <w:tc>
          <w:tcPr>
            <w:tcW w:w="1937" w:type="pct"/>
            <w:vAlign w:val="center"/>
          </w:tcPr>
          <w:p>
            <w:pPr>
              <w:jc w:val="center"/>
              <w:rPr>
                <w:rFonts w:cs="宋体"/>
                <w:color w:val="000000"/>
                <w:sz w:val="20"/>
                <w:szCs w:val="20"/>
              </w:rPr>
            </w:pPr>
            <w:r>
              <w:rPr>
                <w:color w:val="000000"/>
                <w:kern w:val="0"/>
                <w:szCs w:val="21"/>
                <w:lang w:bidi="ar"/>
              </w:rPr>
              <w:t>国产基站数据驱动</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2</w:t>
            </w:r>
            <w:r>
              <w:rPr>
                <w:color w:val="000000"/>
                <w:sz w:val="20"/>
                <w:szCs w:val="20"/>
              </w:rPr>
              <w:t>.2</w:t>
            </w:r>
          </w:p>
        </w:tc>
        <w:tc>
          <w:tcPr>
            <w:tcW w:w="1937" w:type="pct"/>
            <w:vAlign w:val="center"/>
          </w:tcPr>
          <w:p>
            <w:pPr>
              <w:jc w:val="center"/>
              <w:rPr>
                <w:rFonts w:cs="宋体"/>
                <w:color w:val="000000"/>
                <w:sz w:val="20"/>
                <w:szCs w:val="20"/>
              </w:rPr>
            </w:pPr>
            <w:r>
              <w:rPr>
                <w:rStyle w:val="81"/>
                <w:rFonts w:hint="default"/>
                <w:szCs w:val="21"/>
                <w:lang w:bidi="ar"/>
              </w:rPr>
              <w:t>SAAB基站数据驱动</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2</w:t>
            </w:r>
            <w:r>
              <w:rPr>
                <w:color w:val="000000"/>
                <w:sz w:val="20"/>
                <w:szCs w:val="20"/>
              </w:rPr>
              <w:t>.3</w:t>
            </w:r>
          </w:p>
        </w:tc>
        <w:tc>
          <w:tcPr>
            <w:tcW w:w="1937" w:type="pct"/>
            <w:vAlign w:val="center"/>
          </w:tcPr>
          <w:p>
            <w:pPr>
              <w:jc w:val="center"/>
              <w:rPr>
                <w:rFonts w:cs="宋体"/>
                <w:color w:val="000000"/>
                <w:sz w:val="20"/>
                <w:szCs w:val="20"/>
              </w:rPr>
            </w:pPr>
            <w:r>
              <w:rPr>
                <w:color w:val="000000"/>
                <w:kern w:val="0"/>
                <w:szCs w:val="21"/>
                <w:lang w:bidi="ar"/>
              </w:rPr>
              <w:t>核心网网元数据流配置</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2</w:t>
            </w:r>
            <w:r>
              <w:rPr>
                <w:color w:val="000000"/>
                <w:sz w:val="20"/>
                <w:szCs w:val="20"/>
              </w:rPr>
              <w:t>.4</w:t>
            </w:r>
          </w:p>
        </w:tc>
        <w:tc>
          <w:tcPr>
            <w:tcW w:w="1937" w:type="pct"/>
            <w:vAlign w:val="center"/>
          </w:tcPr>
          <w:p>
            <w:pPr>
              <w:jc w:val="center"/>
              <w:rPr>
                <w:rFonts w:cs="宋体"/>
                <w:color w:val="000000"/>
                <w:sz w:val="20"/>
                <w:szCs w:val="20"/>
              </w:rPr>
            </w:pPr>
            <w:r>
              <w:rPr>
                <w:color w:val="000000"/>
                <w:kern w:val="0"/>
                <w:szCs w:val="21"/>
                <w:lang w:bidi="ar"/>
              </w:rPr>
              <w:t>通用基站数据驱动</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2</w:t>
            </w:r>
            <w:r>
              <w:rPr>
                <w:color w:val="000000"/>
                <w:sz w:val="20"/>
                <w:szCs w:val="20"/>
              </w:rPr>
              <w:t>.5</w:t>
            </w:r>
          </w:p>
        </w:tc>
        <w:tc>
          <w:tcPr>
            <w:tcW w:w="1937" w:type="pct"/>
            <w:vAlign w:val="center"/>
          </w:tcPr>
          <w:p>
            <w:pPr>
              <w:jc w:val="center"/>
              <w:rPr>
                <w:rFonts w:cs="宋体"/>
                <w:color w:val="000000"/>
                <w:sz w:val="20"/>
                <w:szCs w:val="20"/>
              </w:rPr>
            </w:pPr>
            <w:r>
              <w:rPr>
                <w:color w:val="000000"/>
                <w:kern w:val="0"/>
                <w:szCs w:val="21"/>
                <w:lang w:bidi="ar"/>
              </w:rPr>
              <w:t>转发站数据驱动</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2</w:t>
            </w:r>
            <w:r>
              <w:rPr>
                <w:color w:val="000000"/>
                <w:sz w:val="20"/>
                <w:szCs w:val="20"/>
              </w:rPr>
              <w:t>.6</w:t>
            </w:r>
          </w:p>
        </w:tc>
        <w:tc>
          <w:tcPr>
            <w:tcW w:w="1937" w:type="pct"/>
            <w:vAlign w:val="center"/>
          </w:tcPr>
          <w:p>
            <w:pPr>
              <w:jc w:val="center"/>
              <w:rPr>
                <w:rFonts w:cs="宋体"/>
                <w:color w:val="000000"/>
                <w:sz w:val="20"/>
                <w:szCs w:val="20"/>
              </w:rPr>
            </w:pPr>
            <w:r>
              <w:rPr>
                <w:color w:val="000000"/>
                <w:kern w:val="0"/>
                <w:szCs w:val="21"/>
                <w:lang w:bidi="ar"/>
              </w:rPr>
              <w:t>进口基站控制协议适配</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2</w:t>
            </w:r>
            <w:r>
              <w:rPr>
                <w:color w:val="000000"/>
                <w:sz w:val="20"/>
                <w:szCs w:val="20"/>
              </w:rPr>
              <w:t>.7</w:t>
            </w:r>
          </w:p>
        </w:tc>
        <w:tc>
          <w:tcPr>
            <w:tcW w:w="1937" w:type="pct"/>
            <w:vAlign w:val="center"/>
          </w:tcPr>
          <w:p>
            <w:pPr>
              <w:jc w:val="center"/>
              <w:rPr>
                <w:rFonts w:cs="宋体"/>
                <w:color w:val="000000"/>
                <w:sz w:val="20"/>
                <w:szCs w:val="20"/>
              </w:rPr>
            </w:pPr>
            <w:r>
              <w:rPr>
                <w:color w:val="000000"/>
                <w:kern w:val="0"/>
                <w:szCs w:val="21"/>
                <w:lang w:bidi="ar"/>
              </w:rPr>
              <w:t>国产基站控制协议适配</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2</w:t>
            </w:r>
            <w:r>
              <w:rPr>
                <w:color w:val="000000"/>
                <w:sz w:val="20"/>
                <w:szCs w:val="20"/>
              </w:rPr>
              <w:t>.8</w:t>
            </w:r>
          </w:p>
        </w:tc>
        <w:tc>
          <w:tcPr>
            <w:tcW w:w="1937" w:type="pct"/>
            <w:vAlign w:val="center"/>
          </w:tcPr>
          <w:p>
            <w:pPr>
              <w:jc w:val="center"/>
              <w:rPr>
                <w:rFonts w:cs="宋体"/>
                <w:color w:val="000000"/>
                <w:sz w:val="20"/>
                <w:szCs w:val="20"/>
              </w:rPr>
            </w:pPr>
            <w:r>
              <w:rPr>
                <w:color w:val="000000"/>
                <w:kern w:val="0"/>
                <w:szCs w:val="21"/>
                <w:lang w:bidi="ar"/>
              </w:rPr>
              <w:t>基站AIS航标配置</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b/>
                <w:bCs/>
                <w:color w:val="000000"/>
                <w:sz w:val="20"/>
                <w:szCs w:val="20"/>
              </w:rPr>
            </w:pPr>
            <w:r>
              <w:rPr>
                <w:rFonts w:hint="eastAsia"/>
                <w:b/>
                <w:bCs/>
                <w:color w:val="000000"/>
                <w:sz w:val="20"/>
                <w:szCs w:val="20"/>
              </w:rPr>
              <w:t>3</w:t>
            </w:r>
          </w:p>
        </w:tc>
        <w:tc>
          <w:tcPr>
            <w:tcW w:w="1937" w:type="pct"/>
            <w:vAlign w:val="center"/>
          </w:tcPr>
          <w:p>
            <w:pPr>
              <w:jc w:val="center"/>
              <w:rPr>
                <w:rFonts w:cs="宋体"/>
                <w:b/>
                <w:bCs/>
                <w:color w:val="000000"/>
                <w:sz w:val="20"/>
                <w:szCs w:val="20"/>
              </w:rPr>
            </w:pPr>
            <w:r>
              <w:rPr>
                <w:rFonts w:hint="eastAsia" w:cs="宋体"/>
                <w:b/>
                <w:bCs/>
                <w:color w:val="000000"/>
                <w:sz w:val="20"/>
                <w:szCs w:val="20"/>
              </w:rPr>
              <w:t>语句生成服务</w:t>
            </w:r>
          </w:p>
        </w:tc>
        <w:tc>
          <w:tcPr>
            <w:tcW w:w="1205" w:type="pct"/>
            <w:vAlign w:val="center"/>
          </w:tcPr>
          <w:p>
            <w:pPr>
              <w:jc w:val="center"/>
              <w:rPr>
                <w:b/>
                <w:bCs/>
                <w:color w:val="000000"/>
                <w:sz w:val="20"/>
                <w:szCs w:val="20"/>
              </w:rPr>
            </w:pPr>
            <w:r>
              <w:rPr>
                <w:rFonts w:hint="eastAsia"/>
                <w:b/>
                <w:bCs/>
                <w:color w:val="000000"/>
                <w:sz w:val="20"/>
                <w:szCs w:val="20"/>
              </w:rPr>
              <w:t>8</w:t>
            </w:r>
          </w:p>
        </w:tc>
        <w:tc>
          <w:tcPr>
            <w:tcW w:w="1149" w:type="pct"/>
          </w:tcPr>
          <w:p>
            <w:pPr>
              <w:jc w:val="center"/>
              <w:rPr>
                <w:b/>
                <w:bCs/>
                <w:color w:val="000000"/>
                <w:sz w:val="20"/>
                <w:szCs w:val="20"/>
              </w:rPr>
            </w:pPr>
            <w:r>
              <w:rPr>
                <w:rFonts w:hint="eastAsia"/>
                <w:b/>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3</w:t>
            </w:r>
            <w:r>
              <w:rPr>
                <w:color w:val="000000"/>
                <w:sz w:val="20"/>
                <w:szCs w:val="20"/>
              </w:rPr>
              <w:t>.1</w:t>
            </w:r>
          </w:p>
        </w:tc>
        <w:tc>
          <w:tcPr>
            <w:tcW w:w="1937" w:type="pct"/>
            <w:vAlign w:val="center"/>
          </w:tcPr>
          <w:p>
            <w:pPr>
              <w:jc w:val="center"/>
              <w:rPr>
                <w:rFonts w:cs="宋体"/>
                <w:color w:val="000000"/>
                <w:sz w:val="20"/>
                <w:szCs w:val="20"/>
              </w:rPr>
            </w:pPr>
            <w:r>
              <w:rPr>
                <w:color w:val="000000"/>
                <w:kern w:val="0"/>
                <w:szCs w:val="21"/>
                <w:lang w:bidi="ar"/>
              </w:rPr>
              <w:t>基站语句生成服务</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3</w:t>
            </w:r>
            <w:r>
              <w:rPr>
                <w:color w:val="000000"/>
                <w:sz w:val="20"/>
                <w:szCs w:val="20"/>
              </w:rPr>
              <w:t>.2</w:t>
            </w:r>
          </w:p>
        </w:tc>
        <w:tc>
          <w:tcPr>
            <w:tcW w:w="1937" w:type="pct"/>
            <w:vAlign w:val="center"/>
          </w:tcPr>
          <w:p>
            <w:pPr>
              <w:jc w:val="center"/>
              <w:rPr>
                <w:rFonts w:cs="宋体"/>
                <w:color w:val="000000"/>
                <w:sz w:val="20"/>
                <w:szCs w:val="20"/>
              </w:rPr>
            </w:pPr>
            <w:r>
              <w:rPr>
                <w:color w:val="000000"/>
                <w:kern w:val="0"/>
                <w:szCs w:val="21"/>
                <w:lang w:bidi="ar"/>
              </w:rPr>
              <w:t>核心网语句服务</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3</w:t>
            </w:r>
            <w:r>
              <w:rPr>
                <w:color w:val="000000"/>
                <w:sz w:val="20"/>
                <w:szCs w:val="20"/>
              </w:rPr>
              <w:t>.3</w:t>
            </w:r>
          </w:p>
        </w:tc>
        <w:tc>
          <w:tcPr>
            <w:tcW w:w="1937" w:type="pct"/>
            <w:vAlign w:val="center"/>
          </w:tcPr>
          <w:p>
            <w:pPr>
              <w:jc w:val="center"/>
              <w:rPr>
                <w:rFonts w:cs="宋体"/>
                <w:color w:val="000000"/>
                <w:sz w:val="20"/>
                <w:szCs w:val="20"/>
              </w:rPr>
            </w:pPr>
            <w:r>
              <w:rPr>
                <w:color w:val="000000"/>
                <w:kern w:val="0"/>
                <w:szCs w:val="21"/>
                <w:lang w:bidi="ar"/>
              </w:rPr>
              <w:t>配置语句生成服务</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3</w:t>
            </w:r>
            <w:r>
              <w:rPr>
                <w:color w:val="000000"/>
                <w:sz w:val="20"/>
                <w:szCs w:val="20"/>
              </w:rPr>
              <w:t>.4</w:t>
            </w:r>
          </w:p>
        </w:tc>
        <w:tc>
          <w:tcPr>
            <w:tcW w:w="1937" w:type="pct"/>
            <w:vAlign w:val="center"/>
          </w:tcPr>
          <w:p>
            <w:pPr>
              <w:jc w:val="center"/>
              <w:rPr>
                <w:rFonts w:cs="宋体"/>
                <w:color w:val="000000"/>
                <w:sz w:val="20"/>
                <w:szCs w:val="20"/>
              </w:rPr>
            </w:pPr>
            <w:r>
              <w:rPr>
                <w:color w:val="000000"/>
                <w:kern w:val="0"/>
                <w:szCs w:val="21"/>
                <w:lang w:bidi="ar"/>
              </w:rPr>
              <w:t>控制语句生成服务</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3</w:t>
            </w:r>
            <w:r>
              <w:rPr>
                <w:color w:val="000000"/>
                <w:sz w:val="20"/>
                <w:szCs w:val="20"/>
              </w:rPr>
              <w:t>.5</w:t>
            </w:r>
          </w:p>
        </w:tc>
        <w:tc>
          <w:tcPr>
            <w:tcW w:w="1937" w:type="pct"/>
            <w:vAlign w:val="center"/>
          </w:tcPr>
          <w:p>
            <w:pPr>
              <w:jc w:val="center"/>
              <w:rPr>
                <w:rFonts w:cs="宋体"/>
                <w:color w:val="000000"/>
                <w:sz w:val="20"/>
                <w:szCs w:val="20"/>
              </w:rPr>
            </w:pPr>
            <w:r>
              <w:rPr>
                <w:color w:val="000000"/>
                <w:kern w:val="0"/>
                <w:szCs w:val="21"/>
                <w:lang w:bidi="ar"/>
              </w:rPr>
              <w:t>发射语句生成服务</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3</w:t>
            </w:r>
            <w:r>
              <w:rPr>
                <w:color w:val="000000"/>
                <w:sz w:val="20"/>
                <w:szCs w:val="20"/>
              </w:rPr>
              <w:t>.6</w:t>
            </w:r>
          </w:p>
        </w:tc>
        <w:tc>
          <w:tcPr>
            <w:tcW w:w="1937" w:type="pct"/>
            <w:vAlign w:val="center"/>
          </w:tcPr>
          <w:p>
            <w:pPr>
              <w:jc w:val="center"/>
              <w:rPr>
                <w:rFonts w:cs="宋体"/>
                <w:color w:val="000000"/>
                <w:sz w:val="20"/>
                <w:szCs w:val="20"/>
              </w:rPr>
            </w:pPr>
            <w:r>
              <w:rPr>
                <w:color w:val="000000"/>
                <w:kern w:val="0"/>
                <w:szCs w:val="21"/>
                <w:lang w:bidi="ar"/>
              </w:rPr>
              <w:t>安全相关语句生成服务</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3</w:t>
            </w:r>
            <w:r>
              <w:rPr>
                <w:color w:val="000000"/>
                <w:sz w:val="20"/>
                <w:szCs w:val="20"/>
              </w:rPr>
              <w:t>.7</w:t>
            </w:r>
          </w:p>
        </w:tc>
        <w:tc>
          <w:tcPr>
            <w:tcW w:w="1937" w:type="pct"/>
            <w:vAlign w:val="center"/>
          </w:tcPr>
          <w:p>
            <w:pPr>
              <w:jc w:val="center"/>
              <w:rPr>
                <w:rFonts w:cs="宋体"/>
                <w:color w:val="000000"/>
                <w:sz w:val="20"/>
                <w:szCs w:val="20"/>
              </w:rPr>
            </w:pPr>
            <w:r>
              <w:rPr>
                <w:color w:val="000000"/>
                <w:kern w:val="0"/>
                <w:szCs w:val="21"/>
                <w:lang w:bidi="ar"/>
              </w:rPr>
              <w:t>二进制信息语句生成服务</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3</w:t>
            </w:r>
            <w:r>
              <w:rPr>
                <w:color w:val="000000"/>
                <w:sz w:val="20"/>
                <w:szCs w:val="20"/>
              </w:rPr>
              <w:t>.8</w:t>
            </w:r>
          </w:p>
        </w:tc>
        <w:tc>
          <w:tcPr>
            <w:tcW w:w="1937" w:type="pct"/>
            <w:vAlign w:val="center"/>
          </w:tcPr>
          <w:p>
            <w:pPr>
              <w:jc w:val="center"/>
              <w:rPr>
                <w:rFonts w:cs="宋体"/>
                <w:color w:val="000000"/>
                <w:sz w:val="20"/>
                <w:szCs w:val="20"/>
              </w:rPr>
            </w:pPr>
            <w:r>
              <w:rPr>
                <w:rStyle w:val="81"/>
                <w:rFonts w:hint="default"/>
                <w:szCs w:val="21"/>
                <w:lang w:bidi="ar"/>
              </w:rPr>
              <w:t>ASM语句生成服务</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b/>
                <w:bCs/>
                <w:color w:val="000000"/>
                <w:sz w:val="20"/>
                <w:szCs w:val="20"/>
              </w:rPr>
            </w:pPr>
            <w:r>
              <w:rPr>
                <w:rFonts w:hint="eastAsia"/>
                <w:b/>
                <w:bCs/>
                <w:color w:val="000000"/>
                <w:sz w:val="20"/>
                <w:szCs w:val="20"/>
              </w:rPr>
              <w:t>4</w:t>
            </w:r>
          </w:p>
        </w:tc>
        <w:tc>
          <w:tcPr>
            <w:tcW w:w="1937" w:type="pct"/>
            <w:vAlign w:val="center"/>
          </w:tcPr>
          <w:p>
            <w:pPr>
              <w:jc w:val="center"/>
              <w:rPr>
                <w:rFonts w:cs="宋体"/>
                <w:b/>
                <w:bCs/>
                <w:color w:val="000000"/>
                <w:sz w:val="20"/>
                <w:szCs w:val="20"/>
              </w:rPr>
            </w:pPr>
            <w:r>
              <w:rPr>
                <w:rFonts w:hint="eastAsia" w:cs="宋体"/>
                <w:b/>
                <w:bCs/>
                <w:color w:val="000000"/>
                <w:sz w:val="20"/>
                <w:szCs w:val="20"/>
              </w:rPr>
              <w:t>数据分析及清洗服务</w:t>
            </w:r>
          </w:p>
        </w:tc>
        <w:tc>
          <w:tcPr>
            <w:tcW w:w="1205" w:type="pct"/>
            <w:vAlign w:val="center"/>
          </w:tcPr>
          <w:p>
            <w:pPr>
              <w:jc w:val="center"/>
              <w:rPr>
                <w:b/>
                <w:bCs/>
                <w:color w:val="000000"/>
                <w:sz w:val="20"/>
                <w:szCs w:val="20"/>
              </w:rPr>
            </w:pPr>
            <w:r>
              <w:rPr>
                <w:rFonts w:hint="eastAsia"/>
                <w:b/>
                <w:bCs/>
                <w:color w:val="000000"/>
                <w:sz w:val="20"/>
                <w:szCs w:val="20"/>
              </w:rPr>
              <w:t>1</w:t>
            </w:r>
            <w:r>
              <w:rPr>
                <w:b/>
                <w:bCs/>
                <w:color w:val="000000"/>
                <w:sz w:val="20"/>
                <w:szCs w:val="20"/>
              </w:rPr>
              <w:t>3</w:t>
            </w:r>
          </w:p>
        </w:tc>
        <w:tc>
          <w:tcPr>
            <w:tcW w:w="1149" w:type="pct"/>
          </w:tcPr>
          <w:p>
            <w:pPr>
              <w:jc w:val="center"/>
              <w:rPr>
                <w:b/>
                <w:bCs/>
                <w:color w:val="000000"/>
                <w:sz w:val="20"/>
                <w:szCs w:val="20"/>
              </w:rPr>
            </w:pPr>
            <w:r>
              <w:rPr>
                <w:rFonts w:hint="eastAsia"/>
                <w:b/>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4</w:t>
            </w:r>
            <w:r>
              <w:rPr>
                <w:color w:val="000000"/>
                <w:sz w:val="20"/>
                <w:szCs w:val="20"/>
              </w:rPr>
              <w:t>.1</w:t>
            </w:r>
          </w:p>
        </w:tc>
        <w:tc>
          <w:tcPr>
            <w:tcW w:w="1937" w:type="pct"/>
            <w:vAlign w:val="center"/>
          </w:tcPr>
          <w:p>
            <w:pPr>
              <w:jc w:val="center"/>
              <w:rPr>
                <w:rFonts w:cs="宋体"/>
                <w:color w:val="000000"/>
                <w:sz w:val="20"/>
                <w:szCs w:val="20"/>
              </w:rPr>
            </w:pPr>
            <w:r>
              <w:rPr>
                <w:color w:val="000000"/>
                <w:kern w:val="0"/>
                <w:szCs w:val="21"/>
                <w:lang w:bidi="ar"/>
              </w:rPr>
              <w:t>数据去重清洗</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4</w:t>
            </w:r>
            <w:r>
              <w:rPr>
                <w:color w:val="000000"/>
                <w:sz w:val="20"/>
                <w:szCs w:val="20"/>
              </w:rPr>
              <w:t>.2</w:t>
            </w:r>
          </w:p>
        </w:tc>
        <w:tc>
          <w:tcPr>
            <w:tcW w:w="1937" w:type="pct"/>
            <w:vAlign w:val="center"/>
          </w:tcPr>
          <w:p>
            <w:pPr>
              <w:jc w:val="center"/>
              <w:rPr>
                <w:rFonts w:cs="宋体"/>
                <w:color w:val="000000"/>
                <w:sz w:val="20"/>
                <w:szCs w:val="20"/>
              </w:rPr>
            </w:pPr>
            <w:r>
              <w:rPr>
                <w:rStyle w:val="81"/>
                <w:rFonts w:hint="default"/>
                <w:szCs w:val="21"/>
                <w:lang w:bidi="ar"/>
              </w:rPr>
              <w:t>CRC异常清洗</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4</w:t>
            </w:r>
            <w:r>
              <w:rPr>
                <w:color w:val="000000"/>
                <w:sz w:val="20"/>
                <w:szCs w:val="20"/>
              </w:rPr>
              <w:t>.3</w:t>
            </w:r>
          </w:p>
        </w:tc>
        <w:tc>
          <w:tcPr>
            <w:tcW w:w="1937" w:type="pct"/>
            <w:vAlign w:val="center"/>
          </w:tcPr>
          <w:p>
            <w:pPr>
              <w:jc w:val="center"/>
              <w:rPr>
                <w:rFonts w:cs="宋体"/>
                <w:color w:val="000000"/>
                <w:sz w:val="20"/>
                <w:szCs w:val="20"/>
              </w:rPr>
            </w:pPr>
            <w:r>
              <w:rPr>
                <w:color w:val="000000"/>
                <w:kern w:val="0"/>
                <w:szCs w:val="21"/>
                <w:lang w:bidi="ar"/>
              </w:rPr>
              <w:t>核心网数据分析</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4</w:t>
            </w:r>
            <w:r>
              <w:rPr>
                <w:color w:val="000000"/>
                <w:sz w:val="20"/>
                <w:szCs w:val="20"/>
              </w:rPr>
              <w:t>.4</w:t>
            </w:r>
          </w:p>
        </w:tc>
        <w:tc>
          <w:tcPr>
            <w:tcW w:w="1937" w:type="pct"/>
            <w:vAlign w:val="center"/>
          </w:tcPr>
          <w:p>
            <w:pPr>
              <w:jc w:val="center"/>
              <w:rPr>
                <w:rFonts w:cs="宋体"/>
                <w:color w:val="000000"/>
                <w:sz w:val="20"/>
                <w:szCs w:val="20"/>
              </w:rPr>
            </w:pPr>
            <w:r>
              <w:rPr>
                <w:color w:val="000000"/>
                <w:kern w:val="0"/>
                <w:szCs w:val="21"/>
                <w:lang w:bidi="ar"/>
              </w:rPr>
              <w:t>基站数据分析</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4</w:t>
            </w:r>
            <w:r>
              <w:rPr>
                <w:color w:val="000000"/>
                <w:sz w:val="20"/>
                <w:szCs w:val="20"/>
              </w:rPr>
              <w:t>.5</w:t>
            </w:r>
          </w:p>
        </w:tc>
        <w:tc>
          <w:tcPr>
            <w:tcW w:w="1937" w:type="pct"/>
            <w:vAlign w:val="center"/>
          </w:tcPr>
          <w:p>
            <w:pPr>
              <w:jc w:val="center"/>
              <w:rPr>
                <w:rFonts w:cs="宋体"/>
                <w:color w:val="000000"/>
                <w:sz w:val="20"/>
                <w:szCs w:val="20"/>
              </w:rPr>
            </w:pPr>
            <w:r>
              <w:rPr>
                <w:color w:val="000000"/>
                <w:kern w:val="0"/>
                <w:szCs w:val="21"/>
                <w:lang w:bidi="ar"/>
              </w:rPr>
              <w:t>AIS实时数据流清洗</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4</w:t>
            </w:r>
            <w:r>
              <w:rPr>
                <w:color w:val="000000"/>
                <w:sz w:val="20"/>
                <w:szCs w:val="20"/>
              </w:rPr>
              <w:t>.6</w:t>
            </w:r>
          </w:p>
        </w:tc>
        <w:tc>
          <w:tcPr>
            <w:tcW w:w="1937" w:type="pct"/>
            <w:vAlign w:val="center"/>
          </w:tcPr>
          <w:p>
            <w:pPr>
              <w:jc w:val="center"/>
              <w:rPr>
                <w:rFonts w:cs="宋体"/>
                <w:color w:val="000000"/>
                <w:sz w:val="20"/>
                <w:szCs w:val="20"/>
              </w:rPr>
            </w:pPr>
            <w:r>
              <w:rPr>
                <w:color w:val="000000"/>
                <w:kern w:val="0"/>
                <w:szCs w:val="21"/>
                <w:lang w:bidi="ar"/>
              </w:rPr>
              <w:t>AIS历史数据流清洗</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4</w:t>
            </w:r>
            <w:r>
              <w:rPr>
                <w:color w:val="000000"/>
                <w:sz w:val="20"/>
                <w:szCs w:val="20"/>
              </w:rPr>
              <w:t>.7</w:t>
            </w:r>
          </w:p>
        </w:tc>
        <w:tc>
          <w:tcPr>
            <w:tcW w:w="1937" w:type="pct"/>
            <w:vAlign w:val="center"/>
          </w:tcPr>
          <w:p>
            <w:pPr>
              <w:jc w:val="center"/>
              <w:rPr>
                <w:rFonts w:cs="宋体"/>
                <w:color w:val="000000"/>
                <w:sz w:val="20"/>
                <w:szCs w:val="20"/>
              </w:rPr>
            </w:pPr>
            <w:r>
              <w:rPr>
                <w:color w:val="000000"/>
                <w:kern w:val="0"/>
                <w:szCs w:val="21"/>
                <w:lang w:bidi="ar"/>
              </w:rPr>
              <w:t>报文长度异常清洗</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4</w:t>
            </w:r>
            <w:r>
              <w:rPr>
                <w:color w:val="000000"/>
                <w:sz w:val="20"/>
                <w:szCs w:val="20"/>
              </w:rPr>
              <w:t>.8</w:t>
            </w:r>
          </w:p>
        </w:tc>
        <w:tc>
          <w:tcPr>
            <w:tcW w:w="1937" w:type="pct"/>
            <w:vAlign w:val="center"/>
          </w:tcPr>
          <w:p>
            <w:pPr>
              <w:jc w:val="center"/>
              <w:rPr>
                <w:rFonts w:cs="宋体"/>
                <w:color w:val="000000"/>
                <w:sz w:val="20"/>
                <w:szCs w:val="20"/>
              </w:rPr>
            </w:pPr>
            <w:r>
              <w:rPr>
                <w:color w:val="000000"/>
                <w:kern w:val="0"/>
                <w:szCs w:val="21"/>
                <w:lang w:bidi="ar"/>
              </w:rPr>
              <w:t>字段缺失清洗</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4</w:t>
            </w:r>
            <w:r>
              <w:rPr>
                <w:color w:val="000000"/>
                <w:sz w:val="20"/>
                <w:szCs w:val="20"/>
              </w:rPr>
              <w:t>.9</w:t>
            </w:r>
          </w:p>
        </w:tc>
        <w:tc>
          <w:tcPr>
            <w:tcW w:w="1937" w:type="pct"/>
            <w:vAlign w:val="center"/>
          </w:tcPr>
          <w:p>
            <w:pPr>
              <w:jc w:val="center"/>
              <w:rPr>
                <w:rFonts w:cs="宋体"/>
                <w:color w:val="000000"/>
                <w:sz w:val="20"/>
                <w:szCs w:val="20"/>
              </w:rPr>
            </w:pPr>
            <w:r>
              <w:rPr>
                <w:color w:val="000000"/>
                <w:kern w:val="0"/>
                <w:szCs w:val="21"/>
                <w:lang w:bidi="ar"/>
              </w:rPr>
              <w:t>值域异常清洗</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4</w:t>
            </w:r>
            <w:r>
              <w:rPr>
                <w:color w:val="000000"/>
                <w:sz w:val="20"/>
                <w:szCs w:val="20"/>
              </w:rPr>
              <w:t>.10</w:t>
            </w:r>
          </w:p>
        </w:tc>
        <w:tc>
          <w:tcPr>
            <w:tcW w:w="1937" w:type="pct"/>
            <w:vAlign w:val="center"/>
          </w:tcPr>
          <w:p>
            <w:pPr>
              <w:jc w:val="center"/>
              <w:rPr>
                <w:rFonts w:cs="宋体"/>
                <w:color w:val="000000"/>
                <w:sz w:val="20"/>
                <w:szCs w:val="20"/>
              </w:rPr>
            </w:pPr>
            <w:r>
              <w:rPr>
                <w:color w:val="000000"/>
                <w:kern w:val="0"/>
                <w:szCs w:val="21"/>
                <w:lang w:bidi="ar"/>
              </w:rPr>
              <w:t>清洗流程管理</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4</w:t>
            </w:r>
            <w:r>
              <w:rPr>
                <w:color w:val="000000"/>
                <w:sz w:val="20"/>
                <w:szCs w:val="20"/>
              </w:rPr>
              <w:t>.11</w:t>
            </w:r>
          </w:p>
        </w:tc>
        <w:tc>
          <w:tcPr>
            <w:tcW w:w="1937" w:type="pct"/>
            <w:vAlign w:val="center"/>
          </w:tcPr>
          <w:p>
            <w:pPr>
              <w:jc w:val="center"/>
              <w:rPr>
                <w:rFonts w:cs="宋体"/>
                <w:color w:val="000000"/>
                <w:sz w:val="20"/>
                <w:szCs w:val="20"/>
              </w:rPr>
            </w:pPr>
            <w:r>
              <w:rPr>
                <w:color w:val="000000"/>
                <w:kern w:val="0"/>
                <w:szCs w:val="21"/>
                <w:lang w:bidi="ar"/>
              </w:rPr>
              <w:t>未清洗报文存储</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4</w:t>
            </w:r>
            <w:r>
              <w:rPr>
                <w:color w:val="000000"/>
                <w:sz w:val="20"/>
                <w:szCs w:val="20"/>
              </w:rPr>
              <w:t>.12</w:t>
            </w:r>
          </w:p>
        </w:tc>
        <w:tc>
          <w:tcPr>
            <w:tcW w:w="1937" w:type="pct"/>
            <w:vAlign w:val="center"/>
          </w:tcPr>
          <w:p>
            <w:pPr>
              <w:jc w:val="center"/>
              <w:rPr>
                <w:rFonts w:cs="宋体"/>
                <w:color w:val="000000"/>
                <w:sz w:val="20"/>
                <w:szCs w:val="20"/>
              </w:rPr>
            </w:pPr>
            <w:r>
              <w:rPr>
                <w:color w:val="000000"/>
                <w:kern w:val="0"/>
                <w:szCs w:val="21"/>
                <w:lang w:bidi="ar"/>
              </w:rPr>
              <w:t>未清洗报文输出</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4</w:t>
            </w:r>
            <w:r>
              <w:rPr>
                <w:color w:val="000000"/>
                <w:sz w:val="20"/>
                <w:szCs w:val="20"/>
              </w:rPr>
              <w:t>.13</w:t>
            </w:r>
          </w:p>
        </w:tc>
        <w:tc>
          <w:tcPr>
            <w:tcW w:w="1937" w:type="pct"/>
            <w:vAlign w:val="center"/>
          </w:tcPr>
          <w:p>
            <w:pPr>
              <w:jc w:val="center"/>
              <w:rPr>
                <w:rFonts w:cs="宋体"/>
                <w:color w:val="000000"/>
                <w:sz w:val="20"/>
                <w:szCs w:val="20"/>
              </w:rPr>
            </w:pPr>
            <w:r>
              <w:rPr>
                <w:color w:val="000000"/>
                <w:kern w:val="0"/>
                <w:szCs w:val="21"/>
                <w:lang w:bidi="ar"/>
              </w:rPr>
              <w:t>基站语句分析</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b/>
                <w:bCs/>
                <w:color w:val="000000"/>
                <w:sz w:val="20"/>
                <w:szCs w:val="20"/>
              </w:rPr>
            </w:pPr>
            <w:r>
              <w:rPr>
                <w:rFonts w:hint="eastAsia"/>
                <w:b/>
                <w:bCs/>
                <w:color w:val="000000"/>
                <w:sz w:val="20"/>
                <w:szCs w:val="20"/>
              </w:rPr>
              <w:t>5</w:t>
            </w:r>
          </w:p>
        </w:tc>
        <w:tc>
          <w:tcPr>
            <w:tcW w:w="1937" w:type="pct"/>
            <w:vAlign w:val="center"/>
          </w:tcPr>
          <w:p>
            <w:pPr>
              <w:jc w:val="center"/>
              <w:rPr>
                <w:rFonts w:cs="宋体"/>
                <w:b/>
                <w:bCs/>
                <w:color w:val="000000"/>
                <w:sz w:val="20"/>
                <w:szCs w:val="20"/>
              </w:rPr>
            </w:pPr>
            <w:r>
              <w:rPr>
                <w:rFonts w:hint="eastAsia" w:cs="宋体"/>
                <w:b/>
                <w:bCs/>
                <w:color w:val="000000"/>
                <w:sz w:val="20"/>
                <w:szCs w:val="20"/>
              </w:rPr>
              <w:t>数据流监控服务</w:t>
            </w:r>
          </w:p>
        </w:tc>
        <w:tc>
          <w:tcPr>
            <w:tcW w:w="1205" w:type="pct"/>
            <w:vAlign w:val="center"/>
          </w:tcPr>
          <w:p>
            <w:pPr>
              <w:jc w:val="center"/>
              <w:rPr>
                <w:b/>
                <w:bCs/>
                <w:color w:val="000000"/>
                <w:sz w:val="20"/>
                <w:szCs w:val="20"/>
              </w:rPr>
            </w:pPr>
            <w:r>
              <w:rPr>
                <w:rFonts w:hint="eastAsia"/>
                <w:b/>
                <w:bCs/>
                <w:color w:val="000000"/>
                <w:sz w:val="20"/>
                <w:szCs w:val="20"/>
              </w:rPr>
              <w:t>1</w:t>
            </w:r>
            <w:r>
              <w:rPr>
                <w:b/>
                <w:bCs/>
                <w:color w:val="000000"/>
                <w:sz w:val="20"/>
                <w:szCs w:val="20"/>
              </w:rPr>
              <w:t>3</w:t>
            </w:r>
          </w:p>
        </w:tc>
        <w:tc>
          <w:tcPr>
            <w:tcW w:w="1149" w:type="pct"/>
          </w:tcPr>
          <w:p>
            <w:pPr>
              <w:jc w:val="center"/>
              <w:rPr>
                <w:b/>
                <w:bCs/>
                <w:color w:val="000000"/>
                <w:sz w:val="20"/>
                <w:szCs w:val="20"/>
              </w:rPr>
            </w:pPr>
            <w:r>
              <w:rPr>
                <w:rFonts w:hint="eastAsia"/>
                <w:b/>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color w:val="000000"/>
                <w:sz w:val="20"/>
                <w:szCs w:val="20"/>
              </w:rPr>
              <w:t>5.1</w:t>
            </w:r>
          </w:p>
        </w:tc>
        <w:tc>
          <w:tcPr>
            <w:tcW w:w="1937" w:type="pct"/>
            <w:vAlign w:val="center"/>
          </w:tcPr>
          <w:p>
            <w:pPr>
              <w:jc w:val="center"/>
              <w:rPr>
                <w:rFonts w:cs="宋体"/>
                <w:color w:val="000000"/>
                <w:sz w:val="20"/>
                <w:szCs w:val="20"/>
              </w:rPr>
            </w:pPr>
            <w:r>
              <w:rPr>
                <w:color w:val="000000"/>
                <w:kern w:val="0"/>
                <w:szCs w:val="21"/>
                <w:lang w:bidi="ar"/>
              </w:rPr>
              <w:t>基站内部数据流监控</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color w:val="000000"/>
                <w:sz w:val="20"/>
                <w:szCs w:val="20"/>
              </w:rPr>
              <w:t>5.2</w:t>
            </w:r>
          </w:p>
        </w:tc>
        <w:tc>
          <w:tcPr>
            <w:tcW w:w="1937" w:type="pct"/>
            <w:vAlign w:val="center"/>
          </w:tcPr>
          <w:p>
            <w:pPr>
              <w:jc w:val="center"/>
              <w:rPr>
                <w:rFonts w:cs="宋体"/>
                <w:color w:val="000000"/>
                <w:sz w:val="20"/>
                <w:szCs w:val="20"/>
              </w:rPr>
            </w:pPr>
            <w:r>
              <w:rPr>
                <w:color w:val="000000"/>
                <w:kern w:val="0"/>
                <w:szCs w:val="21"/>
                <w:lang w:bidi="ar"/>
              </w:rPr>
              <w:t>船-岸数据流监控</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color w:val="000000"/>
                <w:sz w:val="20"/>
                <w:szCs w:val="20"/>
              </w:rPr>
              <w:t>5.3</w:t>
            </w:r>
          </w:p>
        </w:tc>
        <w:tc>
          <w:tcPr>
            <w:tcW w:w="1937" w:type="pct"/>
            <w:vAlign w:val="center"/>
          </w:tcPr>
          <w:p>
            <w:pPr>
              <w:jc w:val="center"/>
              <w:rPr>
                <w:rFonts w:cs="宋体"/>
                <w:color w:val="000000"/>
                <w:sz w:val="20"/>
                <w:szCs w:val="20"/>
              </w:rPr>
            </w:pPr>
            <w:r>
              <w:rPr>
                <w:color w:val="000000"/>
                <w:kern w:val="0"/>
                <w:szCs w:val="21"/>
                <w:lang w:bidi="ar"/>
              </w:rPr>
              <w:t>辖区数据流监控</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color w:val="000000"/>
                <w:sz w:val="20"/>
                <w:szCs w:val="20"/>
              </w:rPr>
              <w:t>5.4</w:t>
            </w:r>
          </w:p>
        </w:tc>
        <w:tc>
          <w:tcPr>
            <w:tcW w:w="1937" w:type="pct"/>
            <w:vAlign w:val="center"/>
          </w:tcPr>
          <w:p>
            <w:pPr>
              <w:jc w:val="center"/>
              <w:rPr>
                <w:rFonts w:cs="宋体"/>
                <w:color w:val="000000"/>
                <w:sz w:val="20"/>
                <w:szCs w:val="20"/>
              </w:rPr>
            </w:pPr>
            <w:r>
              <w:rPr>
                <w:color w:val="000000"/>
                <w:kern w:val="0"/>
                <w:szCs w:val="21"/>
                <w:lang w:bidi="ar"/>
              </w:rPr>
              <w:t>用户数据流监控</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color w:val="000000"/>
                <w:sz w:val="20"/>
                <w:szCs w:val="20"/>
              </w:rPr>
              <w:t>5.5</w:t>
            </w:r>
          </w:p>
        </w:tc>
        <w:tc>
          <w:tcPr>
            <w:tcW w:w="1937" w:type="pct"/>
            <w:vAlign w:val="center"/>
          </w:tcPr>
          <w:p>
            <w:pPr>
              <w:jc w:val="center"/>
              <w:rPr>
                <w:rFonts w:cs="宋体"/>
                <w:color w:val="000000"/>
                <w:sz w:val="20"/>
                <w:szCs w:val="20"/>
              </w:rPr>
            </w:pPr>
            <w:r>
              <w:rPr>
                <w:color w:val="000000"/>
                <w:kern w:val="0"/>
                <w:szCs w:val="21"/>
                <w:lang w:bidi="ar"/>
              </w:rPr>
              <w:t>核心网间数据流监控</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color w:val="000000"/>
                <w:sz w:val="20"/>
                <w:szCs w:val="20"/>
              </w:rPr>
              <w:t>5.6</w:t>
            </w:r>
          </w:p>
        </w:tc>
        <w:tc>
          <w:tcPr>
            <w:tcW w:w="1937" w:type="pct"/>
            <w:vAlign w:val="center"/>
          </w:tcPr>
          <w:p>
            <w:pPr>
              <w:jc w:val="center"/>
              <w:rPr>
                <w:rFonts w:cs="宋体"/>
                <w:color w:val="000000"/>
                <w:sz w:val="20"/>
                <w:szCs w:val="20"/>
              </w:rPr>
            </w:pPr>
            <w:r>
              <w:rPr>
                <w:color w:val="000000"/>
                <w:kern w:val="0"/>
                <w:szCs w:val="21"/>
                <w:lang w:bidi="ar"/>
              </w:rPr>
              <w:t>外部数据源监控</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color w:val="000000"/>
                <w:sz w:val="20"/>
                <w:szCs w:val="20"/>
              </w:rPr>
              <w:t>5.7</w:t>
            </w:r>
          </w:p>
        </w:tc>
        <w:tc>
          <w:tcPr>
            <w:tcW w:w="1937" w:type="pct"/>
            <w:vAlign w:val="center"/>
          </w:tcPr>
          <w:p>
            <w:pPr>
              <w:jc w:val="center"/>
              <w:rPr>
                <w:rFonts w:cs="宋体"/>
                <w:color w:val="000000"/>
                <w:sz w:val="20"/>
                <w:szCs w:val="20"/>
              </w:rPr>
            </w:pPr>
            <w:r>
              <w:rPr>
                <w:color w:val="000000"/>
                <w:kern w:val="0"/>
                <w:szCs w:val="21"/>
                <w:lang w:bidi="ar"/>
              </w:rPr>
              <w:t>异构系统数据源监控</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color w:val="000000"/>
                <w:sz w:val="20"/>
                <w:szCs w:val="20"/>
              </w:rPr>
              <w:t>5.8</w:t>
            </w:r>
          </w:p>
        </w:tc>
        <w:tc>
          <w:tcPr>
            <w:tcW w:w="1937" w:type="pct"/>
            <w:vAlign w:val="center"/>
          </w:tcPr>
          <w:p>
            <w:pPr>
              <w:jc w:val="center"/>
              <w:rPr>
                <w:rFonts w:cs="宋体"/>
                <w:color w:val="000000"/>
                <w:sz w:val="20"/>
                <w:szCs w:val="20"/>
              </w:rPr>
            </w:pPr>
            <w:r>
              <w:rPr>
                <w:rStyle w:val="81"/>
                <w:rFonts w:hint="default"/>
                <w:szCs w:val="21"/>
                <w:lang w:bidi="ar"/>
              </w:rPr>
              <w:t>AIS卫星数据源监控</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color w:val="000000"/>
                <w:sz w:val="20"/>
                <w:szCs w:val="20"/>
              </w:rPr>
              <w:t>5.9</w:t>
            </w:r>
          </w:p>
        </w:tc>
        <w:tc>
          <w:tcPr>
            <w:tcW w:w="1937" w:type="pct"/>
            <w:vAlign w:val="center"/>
          </w:tcPr>
          <w:p>
            <w:pPr>
              <w:jc w:val="center"/>
              <w:rPr>
                <w:rFonts w:cs="宋体"/>
                <w:color w:val="000000"/>
                <w:sz w:val="20"/>
                <w:szCs w:val="20"/>
              </w:rPr>
            </w:pPr>
            <w:r>
              <w:rPr>
                <w:color w:val="000000"/>
                <w:kern w:val="0"/>
                <w:szCs w:val="21"/>
                <w:lang w:bidi="ar"/>
              </w:rPr>
              <w:t>AIS实时数据流量监控</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color w:val="000000"/>
                <w:sz w:val="20"/>
                <w:szCs w:val="20"/>
              </w:rPr>
              <w:t>5.10</w:t>
            </w:r>
          </w:p>
        </w:tc>
        <w:tc>
          <w:tcPr>
            <w:tcW w:w="1937" w:type="pct"/>
            <w:vAlign w:val="center"/>
          </w:tcPr>
          <w:p>
            <w:pPr>
              <w:jc w:val="center"/>
              <w:rPr>
                <w:rFonts w:cs="宋体"/>
                <w:color w:val="000000"/>
                <w:sz w:val="20"/>
                <w:szCs w:val="20"/>
              </w:rPr>
            </w:pPr>
            <w:r>
              <w:rPr>
                <w:color w:val="000000"/>
                <w:kern w:val="0"/>
                <w:szCs w:val="21"/>
                <w:lang w:bidi="ar"/>
              </w:rPr>
              <w:t>AIS实时数据VDM比例监控</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color w:val="000000"/>
                <w:sz w:val="20"/>
                <w:szCs w:val="20"/>
              </w:rPr>
              <w:t>5.11</w:t>
            </w:r>
          </w:p>
        </w:tc>
        <w:tc>
          <w:tcPr>
            <w:tcW w:w="1937" w:type="pct"/>
            <w:vAlign w:val="center"/>
          </w:tcPr>
          <w:p>
            <w:pPr>
              <w:jc w:val="center"/>
              <w:rPr>
                <w:rFonts w:cs="宋体"/>
                <w:color w:val="000000"/>
                <w:sz w:val="20"/>
                <w:szCs w:val="20"/>
              </w:rPr>
            </w:pPr>
            <w:r>
              <w:rPr>
                <w:color w:val="000000"/>
                <w:kern w:val="0"/>
                <w:szCs w:val="21"/>
                <w:lang w:bidi="ar"/>
              </w:rPr>
              <w:t>AIS基站运行报警监控</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color w:val="000000"/>
                <w:sz w:val="20"/>
                <w:szCs w:val="20"/>
              </w:rPr>
              <w:t>5.12</w:t>
            </w:r>
          </w:p>
        </w:tc>
        <w:tc>
          <w:tcPr>
            <w:tcW w:w="1937" w:type="pct"/>
            <w:vAlign w:val="center"/>
          </w:tcPr>
          <w:p>
            <w:pPr>
              <w:jc w:val="center"/>
              <w:rPr>
                <w:rFonts w:cs="宋体"/>
                <w:color w:val="000000"/>
                <w:sz w:val="20"/>
                <w:szCs w:val="20"/>
              </w:rPr>
            </w:pPr>
            <w:r>
              <w:rPr>
                <w:color w:val="000000"/>
                <w:kern w:val="0"/>
                <w:szCs w:val="21"/>
                <w:lang w:bidi="ar"/>
              </w:rPr>
              <w:t>辖区数据存储状态监控</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color w:val="000000"/>
                <w:sz w:val="20"/>
                <w:szCs w:val="20"/>
              </w:rPr>
              <w:t>5.13</w:t>
            </w:r>
          </w:p>
        </w:tc>
        <w:tc>
          <w:tcPr>
            <w:tcW w:w="1937" w:type="pct"/>
            <w:vAlign w:val="center"/>
          </w:tcPr>
          <w:p>
            <w:pPr>
              <w:jc w:val="center"/>
              <w:rPr>
                <w:rFonts w:cs="宋体"/>
                <w:color w:val="000000"/>
                <w:sz w:val="20"/>
                <w:szCs w:val="20"/>
              </w:rPr>
            </w:pPr>
            <w:r>
              <w:rPr>
                <w:color w:val="000000"/>
                <w:kern w:val="0"/>
                <w:szCs w:val="21"/>
                <w:lang w:bidi="ar"/>
              </w:rPr>
              <w:t>海区数据存储状态监控</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b/>
                <w:bCs/>
                <w:color w:val="000000"/>
                <w:sz w:val="20"/>
                <w:szCs w:val="20"/>
              </w:rPr>
            </w:pPr>
            <w:r>
              <w:rPr>
                <w:rFonts w:hint="eastAsia"/>
                <w:b/>
                <w:bCs/>
                <w:color w:val="000000"/>
                <w:sz w:val="20"/>
                <w:szCs w:val="20"/>
              </w:rPr>
              <w:t>6</w:t>
            </w:r>
          </w:p>
        </w:tc>
        <w:tc>
          <w:tcPr>
            <w:tcW w:w="1937" w:type="pct"/>
            <w:vAlign w:val="center"/>
          </w:tcPr>
          <w:p>
            <w:pPr>
              <w:jc w:val="center"/>
              <w:rPr>
                <w:rFonts w:cs="宋体"/>
                <w:b/>
                <w:bCs/>
                <w:color w:val="000000"/>
                <w:sz w:val="20"/>
                <w:szCs w:val="20"/>
              </w:rPr>
            </w:pPr>
            <w:r>
              <w:rPr>
                <w:rFonts w:hint="eastAsia" w:cs="宋体"/>
                <w:b/>
                <w:bCs/>
                <w:color w:val="000000"/>
                <w:sz w:val="20"/>
                <w:szCs w:val="20"/>
              </w:rPr>
              <w:t>QoS控制服务</w:t>
            </w:r>
          </w:p>
        </w:tc>
        <w:tc>
          <w:tcPr>
            <w:tcW w:w="1205" w:type="pct"/>
            <w:vAlign w:val="center"/>
          </w:tcPr>
          <w:p>
            <w:pPr>
              <w:jc w:val="center"/>
              <w:rPr>
                <w:b/>
                <w:bCs/>
                <w:color w:val="000000"/>
                <w:sz w:val="20"/>
                <w:szCs w:val="20"/>
              </w:rPr>
            </w:pPr>
            <w:r>
              <w:rPr>
                <w:rFonts w:hint="eastAsia"/>
                <w:b/>
                <w:bCs/>
                <w:color w:val="000000"/>
                <w:sz w:val="20"/>
                <w:szCs w:val="20"/>
              </w:rPr>
              <w:t>7</w:t>
            </w:r>
          </w:p>
        </w:tc>
        <w:tc>
          <w:tcPr>
            <w:tcW w:w="1149" w:type="pct"/>
          </w:tcPr>
          <w:p>
            <w:pPr>
              <w:jc w:val="center"/>
              <w:rPr>
                <w:b/>
                <w:bCs/>
                <w:color w:val="000000"/>
                <w:sz w:val="20"/>
                <w:szCs w:val="20"/>
              </w:rPr>
            </w:pPr>
            <w:r>
              <w:rPr>
                <w:rFonts w:hint="eastAsia"/>
                <w:b/>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6</w:t>
            </w:r>
            <w:r>
              <w:rPr>
                <w:color w:val="000000"/>
                <w:sz w:val="20"/>
                <w:szCs w:val="20"/>
              </w:rPr>
              <w:t>.1</w:t>
            </w:r>
          </w:p>
        </w:tc>
        <w:tc>
          <w:tcPr>
            <w:tcW w:w="1937" w:type="pct"/>
            <w:vAlign w:val="center"/>
          </w:tcPr>
          <w:p>
            <w:pPr>
              <w:jc w:val="center"/>
              <w:rPr>
                <w:rFonts w:cs="宋体"/>
                <w:color w:val="000000"/>
                <w:sz w:val="20"/>
                <w:szCs w:val="20"/>
              </w:rPr>
            </w:pPr>
            <w:r>
              <w:rPr>
                <w:rStyle w:val="81"/>
                <w:rFonts w:hint="default"/>
                <w:szCs w:val="21"/>
                <w:lang w:bidi="ar"/>
              </w:rPr>
              <w:t>数据</w:t>
            </w:r>
            <w:r>
              <w:rPr>
                <w:color w:val="000000"/>
                <w:kern w:val="0"/>
                <w:szCs w:val="21"/>
                <w:lang w:bidi="ar"/>
              </w:rPr>
              <w:t>QoS</w:t>
            </w:r>
            <w:r>
              <w:rPr>
                <w:rStyle w:val="81"/>
                <w:rFonts w:hint="default"/>
                <w:szCs w:val="21"/>
                <w:lang w:bidi="ar"/>
              </w:rPr>
              <w:t>标识服务</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6</w:t>
            </w:r>
            <w:r>
              <w:rPr>
                <w:color w:val="000000"/>
                <w:sz w:val="20"/>
                <w:szCs w:val="20"/>
              </w:rPr>
              <w:t>.2</w:t>
            </w:r>
          </w:p>
        </w:tc>
        <w:tc>
          <w:tcPr>
            <w:tcW w:w="1937" w:type="pct"/>
            <w:vAlign w:val="center"/>
          </w:tcPr>
          <w:p>
            <w:pPr>
              <w:jc w:val="center"/>
              <w:rPr>
                <w:rFonts w:cs="宋体"/>
                <w:color w:val="000000"/>
                <w:sz w:val="20"/>
                <w:szCs w:val="20"/>
              </w:rPr>
            </w:pPr>
            <w:r>
              <w:rPr>
                <w:color w:val="000000"/>
                <w:kern w:val="0"/>
                <w:szCs w:val="21"/>
                <w:lang w:bidi="ar"/>
              </w:rPr>
              <w:t>报文端端成功率监测</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6</w:t>
            </w:r>
            <w:r>
              <w:rPr>
                <w:color w:val="000000"/>
                <w:sz w:val="20"/>
                <w:szCs w:val="20"/>
              </w:rPr>
              <w:t>.3</w:t>
            </w:r>
          </w:p>
        </w:tc>
        <w:tc>
          <w:tcPr>
            <w:tcW w:w="1937" w:type="pct"/>
            <w:vAlign w:val="center"/>
          </w:tcPr>
          <w:p>
            <w:pPr>
              <w:jc w:val="center"/>
              <w:rPr>
                <w:rFonts w:cs="宋体"/>
                <w:color w:val="000000"/>
                <w:sz w:val="20"/>
                <w:szCs w:val="20"/>
              </w:rPr>
            </w:pPr>
            <w:r>
              <w:rPr>
                <w:color w:val="000000"/>
                <w:kern w:val="0"/>
                <w:szCs w:val="21"/>
                <w:lang w:bidi="ar"/>
              </w:rPr>
              <w:t>数据重发服务</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6</w:t>
            </w:r>
            <w:r>
              <w:rPr>
                <w:color w:val="000000"/>
                <w:sz w:val="20"/>
                <w:szCs w:val="20"/>
              </w:rPr>
              <w:t>.4</w:t>
            </w:r>
          </w:p>
        </w:tc>
        <w:tc>
          <w:tcPr>
            <w:tcW w:w="1937" w:type="pct"/>
            <w:vAlign w:val="center"/>
          </w:tcPr>
          <w:p>
            <w:pPr>
              <w:jc w:val="center"/>
              <w:rPr>
                <w:rFonts w:cs="宋体"/>
                <w:color w:val="000000"/>
                <w:sz w:val="20"/>
                <w:szCs w:val="20"/>
              </w:rPr>
            </w:pPr>
            <w:r>
              <w:rPr>
                <w:color w:val="000000"/>
                <w:kern w:val="0"/>
                <w:szCs w:val="21"/>
                <w:lang w:bidi="ar"/>
              </w:rPr>
              <w:t>报文优先级控制</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6</w:t>
            </w:r>
            <w:r>
              <w:rPr>
                <w:color w:val="000000"/>
                <w:sz w:val="20"/>
                <w:szCs w:val="20"/>
              </w:rPr>
              <w:t>.5</w:t>
            </w:r>
          </w:p>
        </w:tc>
        <w:tc>
          <w:tcPr>
            <w:tcW w:w="1937" w:type="pct"/>
            <w:vAlign w:val="center"/>
          </w:tcPr>
          <w:p>
            <w:pPr>
              <w:jc w:val="center"/>
              <w:rPr>
                <w:rFonts w:cs="宋体"/>
                <w:color w:val="000000"/>
                <w:sz w:val="20"/>
                <w:szCs w:val="20"/>
              </w:rPr>
            </w:pPr>
            <w:r>
              <w:rPr>
                <w:color w:val="000000"/>
                <w:kern w:val="0"/>
                <w:szCs w:val="21"/>
                <w:lang w:bidi="ar"/>
              </w:rPr>
              <w:t>传输抖动控制</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6</w:t>
            </w:r>
            <w:r>
              <w:rPr>
                <w:color w:val="000000"/>
                <w:sz w:val="20"/>
                <w:szCs w:val="20"/>
              </w:rPr>
              <w:t>.6</w:t>
            </w:r>
          </w:p>
        </w:tc>
        <w:tc>
          <w:tcPr>
            <w:tcW w:w="1937" w:type="pct"/>
            <w:vAlign w:val="center"/>
          </w:tcPr>
          <w:p>
            <w:pPr>
              <w:jc w:val="center"/>
              <w:rPr>
                <w:rFonts w:cs="宋体"/>
                <w:color w:val="000000"/>
                <w:sz w:val="20"/>
                <w:szCs w:val="20"/>
              </w:rPr>
            </w:pPr>
            <w:r>
              <w:rPr>
                <w:color w:val="000000"/>
                <w:kern w:val="0"/>
                <w:szCs w:val="21"/>
                <w:lang w:bidi="ar"/>
              </w:rPr>
              <w:t>传输延迟控制</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6</w:t>
            </w:r>
            <w:r>
              <w:rPr>
                <w:color w:val="000000"/>
                <w:sz w:val="20"/>
                <w:szCs w:val="20"/>
              </w:rPr>
              <w:t>.7</w:t>
            </w:r>
          </w:p>
        </w:tc>
        <w:tc>
          <w:tcPr>
            <w:tcW w:w="1937" w:type="pct"/>
            <w:vAlign w:val="center"/>
          </w:tcPr>
          <w:p>
            <w:pPr>
              <w:jc w:val="center"/>
              <w:rPr>
                <w:rFonts w:cs="宋体"/>
                <w:color w:val="000000"/>
                <w:sz w:val="20"/>
                <w:szCs w:val="20"/>
              </w:rPr>
            </w:pPr>
            <w:r>
              <w:rPr>
                <w:color w:val="000000"/>
                <w:kern w:val="0"/>
                <w:szCs w:val="21"/>
                <w:lang w:bidi="ar"/>
              </w:rPr>
              <w:t>基站队列控制</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b/>
                <w:bCs/>
                <w:color w:val="000000"/>
                <w:sz w:val="20"/>
                <w:szCs w:val="20"/>
              </w:rPr>
            </w:pPr>
            <w:r>
              <w:rPr>
                <w:rFonts w:hint="eastAsia"/>
                <w:b/>
                <w:bCs/>
                <w:color w:val="000000"/>
                <w:sz w:val="20"/>
                <w:szCs w:val="20"/>
              </w:rPr>
              <w:t>7</w:t>
            </w:r>
          </w:p>
        </w:tc>
        <w:tc>
          <w:tcPr>
            <w:tcW w:w="1937" w:type="pct"/>
            <w:vAlign w:val="center"/>
          </w:tcPr>
          <w:p>
            <w:pPr>
              <w:jc w:val="center"/>
              <w:rPr>
                <w:rFonts w:cs="宋体"/>
                <w:b/>
                <w:bCs/>
                <w:color w:val="000000"/>
                <w:sz w:val="20"/>
                <w:szCs w:val="20"/>
              </w:rPr>
            </w:pPr>
            <w:r>
              <w:rPr>
                <w:rFonts w:hint="eastAsia" w:cs="宋体"/>
                <w:b/>
                <w:bCs/>
                <w:color w:val="000000"/>
                <w:sz w:val="20"/>
                <w:szCs w:val="20"/>
              </w:rPr>
              <w:t>安全网关服务</w:t>
            </w:r>
          </w:p>
        </w:tc>
        <w:tc>
          <w:tcPr>
            <w:tcW w:w="1205" w:type="pct"/>
            <w:vAlign w:val="center"/>
          </w:tcPr>
          <w:p>
            <w:pPr>
              <w:jc w:val="center"/>
              <w:rPr>
                <w:b/>
                <w:bCs/>
                <w:color w:val="000000"/>
                <w:sz w:val="20"/>
                <w:szCs w:val="20"/>
              </w:rPr>
            </w:pPr>
            <w:r>
              <w:rPr>
                <w:rFonts w:hint="eastAsia"/>
                <w:b/>
                <w:bCs/>
                <w:color w:val="000000"/>
                <w:sz w:val="20"/>
                <w:szCs w:val="20"/>
              </w:rPr>
              <w:t>5</w:t>
            </w:r>
          </w:p>
        </w:tc>
        <w:tc>
          <w:tcPr>
            <w:tcW w:w="1149" w:type="pct"/>
          </w:tcPr>
          <w:p>
            <w:pPr>
              <w:jc w:val="center"/>
              <w:rPr>
                <w:b/>
                <w:bCs/>
                <w:color w:val="000000"/>
                <w:sz w:val="20"/>
                <w:szCs w:val="20"/>
              </w:rPr>
            </w:pPr>
            <w:r>
              <w:rPr>
                <w:rFonts w:hint="eastAsia"/>
                <w:b/>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7</w:t>
            </w:r>
            <w:r>
              <w:rPr>
                <w:color w:val="000000"/>
                <w:sz w:val="20"/>
                <w:szCs w:val="20"/>
              </w:rPr>
              <w:t>.1</w:t>
            </w:r>
          </w:p>
        </w:tc>
        <w:tc>
          <w:tcPr>
            <w:tcW w:w="1937" w:type="pct"/>
            <w:vAlign w:val="center"/>
          </w:tcPr>
          <w:p>
            <w:pPr>
              <w:jc w:val="center"/>
              <w:rPr>
                <w:rFonts w:cs="宋体"/>
                <w:color w:val="000000"/>
                <w:sz w:val="20"/>
                <w:szCs w:val="20"/>
              </w:rPr>
            </w:pPr>
            <w:r>
              <w:rPr>
                <w:color w:val="000000"/>
                <w:kern w:val="0"/>
                <w:szCs w:val="21"/>
                <w:lang w:bidi="ar"/>
              </w:rPr>
              <w:t>端口安全服务</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7</w:t>
            </w:r>
            <w:r>
              <w:rPr>
                <w:color w:val="000000"/>
                <w:sz w:val="20"/>
                <w:szCs w:val="20"/>
              </w:rPr>
              <w:t>.2</w:t>
            </w:r>
          </w:p>
        </w:tc>
        <w:tc>
          <w:tcPr>
            <w:tcW w:w="1937" w:type="pct"/>
            <w:vAlign w:val="center"/>
          </w:tcPr>
          <w:p>
            <w:pPr>
              <w:jc w:val="center"/>
              <w:rPr>
                <w:rFonts w:cs="宋体"/>
                <w:color w:val="000000"/>
                <w:sz w:val="20"/>
                <w:szCs w:val="20"/>
              </w:rPr>
            </w:pPr>
            <w:r>
              <w:rPr>
                <w:color w:val="000000"/>
                <w:kern w:val="0"/>
                <w:szCs w:val="21"/>
                <w:lang w:bidi="ar"/>
              </w:rPr>
              <w:t>地址安全服务</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7</w:t>
            </w:r>
            <w:r>
              <w:rPr>
                <w:color w:val="000000"/>
                <w:sz w:val="20"/>
                <w:szCs w:val="20"/>
              </w:rPr>
              <w:t>.3</w:t>
            </w:r>
          </w:p>
        </w:tc>
        <w:tc>
          <w:tcPr>
            <w:tcW w:w="1937" w:type="pct"/>
            <w:vAlign w:val="center"/>
          </w:tcPr>
          <w:p>
            <w:pPr>
              <w:jc w:val="center"/>
              <w:rPr>
                <w:rFonts w:cs="宋体"/>
                <w:color w:val="000000"/>
                <w:sz w:val="20"/>
                <w:szCs w:val="20"/>
              </w:rPr>
            </w:pPr>
            <w:r>
              <w:rPr>
                <w:color w:val="000000"/>
                <w:kern w:val="0"/>
                <w:szCs w:val="21"/>
                <w:lang w:bidi="ar"/>
              </w:rPr>
              <w:t>数据代理服务</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7</w:t>
            </w:r>
            <w:r>
              <w:rPr>
                <w:color w:val="000000"/>
                <w:sz w:val="20"/>
                <w:szCs w:val="20"/>
              </w:rPr>
              <w:t>.4</w:t>
            </w:r>
          </w:p>
        </w:tc>
        <w:tc>
          <w:tcPr>
            <w:tcW w:w="1937" w:type="pct"/>
            <w:vAlign w:val="center"/>
          </w:tcPr>
          <w:p>
            <w:pPr>
              <w:jc w:val="center"/>
              <w:rPr>
                <w:rFonts w:cs="宋体"/>
                <w:color w:val="000000"/>
                <w:sz w:val="20"/>
                <w:szCs w:val="20"/>
              </w:rPr>
            </w:pPr>
            <w:r>
              <w:rPr>
                <w:color w:val="000000"/>
                <w:kern w:val="0"/>
                <w:szCs w:val="21"/>
                <w:lang w:bidi="ar"/>
              </w:rPr>
              <w:t>端口异常监测</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7</w:t>
            </w:r>
            <w:r>
              <w:rPr>
                <w:color w:val="000000"/>
                <w:sz w:val="20"/>
                <w:szCs w:val="20"/>
              </w:rPr>
              <w:t>.5</w:t>
            </w:r>
          </w:p>
        </w:tc>
        <w:tc>
          <w:tcPr>
            <w:tcW w:w="1937" w:type="pct"/>
            <w:vAlign w:val="center"/>
          </w:tcPr>
          <w:p>
            <w:pPr>
              <w:jc w:val="center"/>
              <w:rPr>
                <w:rFonts w:cs="宋体"/>
                <w:color w:val="000000"/>
                <w:sz w:val="20"/>
                <w:szCs w:val="20"/>
              </w:rPr>
            </w:pPr>
            <w:r>
              <w:rPr>
                <w:color w:val="000000"/>
                <w:kern w:val="0"/>
                <w:szCs w:val="21"/>
                <w:lang w:bidi="ar"/>
              </w:rPr>
              <w:t>自动安全策略</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b/>
                <w:bCs/>
                <w:color w:val="000000"/>
                <w:sz w:val="20"/>
                <w:szCs w:val="20"/>
              </w:rPr>
            </w:pPr>
            <w:r>
              <w:rPr>
                <w:rFonts w:hint="eastAsia"/>
                <w:b/>
                <w:bCs/>
                <w:color w:val="000000"/>
                <w:sz w:val="20"/>
                <w:szCs w:val="20"/>
              </w:rPr>
              <w:t>8</w:t>
            </w:r>
          </w:p>
        </w:tc>
        <w:tc>
          <w:tcPr>
            <w:tcW w:w="1937" w:type="pct"/>
            <w:vAlign w:val="center"/>
          </w:tcPr>
          <w:p>
            <w:pPr>
              <w:jc w:val="center"/>
              <w:rPr>
                <w:rFonts w:cs="宋体"/>
                <w:b/>
                <w:bCs/>
                <w:color w:val="000000"/>
                <w:sz w:val="20"/>
                <w:szCs w:val="20"/>
              </w:rPr>
            </w:pPr>
            <w:r>
              <w:rPr>
                <w:rFonts w:hint="eastAsia" w:cs="宋体"/>
                <w:b/>
                <w:bCs/>
                <w:color w:val="000000"/>
                <w:sz w:val="20"/>
                <w:szCs w:val="20"/>
              </w:rPr>
              <w:t>核心网路由服务</w:t>
            </w:r>
          </w:p>
        </w:tc>
        <w:tc>
          <w:tcPr>
            <w:tcW w:w="1205" w:type="pct"/>
            <w:vAlign w:val="center"/>
          </w:tcPr>
          <w:p>
            <w:pPr>
              <w:jc w:val="center"/>
              <w:rPr>
                <w:b/>
                <w:bCs/>
                <w:color w:val="000000"/>
                <w:sz w:val="20"/>
                <w:szCs w:val="20"/>
              </w:rPr>
            </w:pPr>
            <w:r>
              <w:rPr>
                <w:rFonts w:hint="eastAsia"/>
                <w:b/>
                <w:bCs/>
                <w:color w:val="000000"/>
                <w:sz w:val="20"/>
                <w:szCs w:val="20"/>
              </w:rPr>
              <w:t>6</w:t>
            </w:r>
          </w:p>
        </w:tc>
        <w:tc>
          <w:tcPr>
            <w:tcW w:w="1149" w:type="pct"/>
          </w:tcPr>
          <w:p>
            <w:pPr>
              <w:jc w:val="center"/>
              <w:rPr>
                <w:b/>
                <w:bCs/>
                <w:color w:val="000000"/>
                <w:sz w:val="20"/>
                <w:szCs w:val="20"/>
              </w:rPr>
            </w:pPr>
            <w:r>
              <w:rPr>
                <w:rFonts w:hint="eastAsia"/>
                <w:b/>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8</w:t>
            </w:r>
            <w:r>
              <w:rPr>
                <w:color w:val="000000"/>
                <w:sz w:val="20"/>
                <w:szCs w:val="20"/>
              </w:rPr>
              <w:t>.1</w:t>
            </w:r>
          </w:p>
        </w:tc>
        <w:tc>
          <w:tcPr>
            <w:tcW w:w="1937" w:type="pct"/>
            <w:vAlign w:val="center"/>
          </w:tcPr>
          <w:p>
            <w:pPr>
              <w:jc w:val="center"/>
              <w:rPr>
                <w:rFonts w:cs="宋体"/>
                <w:color w:val="000000"/>
                <w:sz w:val="20"/>
                <w:szCs w:val="20"/>
              </w:rPr>
            </w:pPr>
            <w:r>
              <w:rPr>
                <w:color w:val="000000"/>
                <w:kern w:val="0"/>
                <w:szCs w:val="21"/>
                <w:lang w:bidi="ar"/>
              </w:rPr>
              <w:t>用户位置寄存器</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8</w:t>
            </w:r>
            <w:r>
              <w:rPr>
                <w:color w:val="000000"/>
                <w:sz w:val="20"/>
                <w:szCs w:val="20"/>
              </w:rPr>
              <w:t>.2</w:t>
            </w:r>
          </w:p>
        </w:tc>
        <w:tc>
          <w:tcPr>
            <w:tcW w:w="1937" w:type="pct"/>
            <w:vAlign w:val="center"/>
          </w:tcPr>
          <w:p>
            <w:pPr>
              <w:jc w:val="center"/>
              <w:rPr>
                <w:rFonts w:cs="宋体"/>
                <w:color w:val="000000"/>
                <w:sz w:val="20"/>
                <w:szCs w:val="20"/>
              </w:rPr>
            </w:pPr>
            <w:r>
              <w:rPr>
                <w:color w:val="000000"/>
                <w:kern w:val="0"/>
                <w:szCs w:val="21"/>
                <w:lang w:bidi="ar"/>
              </w:rPr>
              <w:t>系统拓扑生成服务</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8</w:t>
            </w:r>
            <w:r>
              <w:rPr>
                <w:color w:val="000000"/>
                <w:sz w:val="20"/>
                <w:szCs w:val="20"/>
              </w:rPr>
              <w:t>.3</w:t>
            </w:r>
          </w:p>
        </w:tc>
        <w:tc>
          <w:tcPr>
            <w:tcW w:w="1937" w:type="pct"/>
            <w:vAlign w:val="center"/>
          </w:tcPr>
          <w:p>
            <w:pPr>
              <w:jc w:val="center"/>
              <w:rPr>
                <w:rFonts w:cs="宋体"/>
                <w:color w:val="000000"/>
                <w:sz w:val="20"/>
                <w:szCs w:val="20"/>
              </w:rPr>
            </w:pPr>
            <w:r>
              <w:rPr>
                <w:color w:val="000000"/>
                <w:kern w:val="0"/>
                <w:szCs w:val="21"/>
                <w:lang w:bidi="ar"/>
              </w:rPr>
              <w:t>链路开销计算服务</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8</w:t>
            </w:r>
            <w:r>
              <w:rPr>
                <w:color w:val="000000"/>
                <w:sz w:val="20"/>
                <w:szCs w:val="20"/>
              </w:rPr>
              <w:t>.4</w:t>
            </w:r>
          </w:p>
        </w:tc>
        <w:tc>
          <w:tcPr>
            <w:tcW w:w="1937" w:type="pct"/>
            <w:vAlign w:val="center"/>
          </w:tcPr>
          <w:p>
            <w:pPr>
              <w:jc w:val="center"/>
              <w:rPr>
                <w:rFonts w:cs="宋体"/>
                <w:color w:val="000000"/>
                <w:sz w:val="20"/>
                <w:szCs w:val="20"/>
              </w:rPr>
            </w:pPr>
            <w:r>
              <w:rPr>
                <w:color w:val="000000"/>
                <w:kern w:val="0"/>
                <w:szCs w:val="21"/>
                <w:lang w:bidi="ar"/>
              </w:rPr>
              <w:t>用户路由计算服务</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8</w:t>
            </w:r>
            <w:r>
              <w:rPr>
                <w:color w:val="000000"/>
                <w:sz w:val="20"/>
                <w:szCs w:val="20"/>
              </w:rPr>
              <w:t>.5</w:t>
            </w:r>
          </w:p>
        </w:tc>
        <w:tc>
          <w:tcPr>
            <w:tcW w:w="1937" w:type="pct"/>
            <w:vAlign w:val="center"/>
          </w:tcPr>
          <w:p>
            <w:pPr>
              <w:jc w:val="center"/>
              <w:rPr>
                <w:rFonts w:cs="宋体"/>
                <w:color w:val="000000"/>
                <w:sz w:val="20"/>
                <w:szCs w:val="20"/>
              </w:rPr>
            </w:pPr>
            <w:r>
              <w:rPr>
                <w:color w:val="000000"/>
                <w:kern w:val="0"/>
                <w:szCs w:val="21"/>
                <w:lang w:bidi="ar"/>
              </w:rPr>
              <w:t>数据路由追踪服务</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8</w:t>
            </w:r>
            <w:r>
              <w:rPr>
                <w:color w:val="000000"/>
                <w:sz w:val="20"/>
                <w:szCs w:val="20"/>
              </w:rPr>
              <w:t>.6</w:t>
            </w:r>
          </w:p>
        </w:tc>
        <w:tc>
          <w:tcPr>
            <w:tcW w:w="1937" w:type="pct"/>
            <w:vAlign w:val="center"/>
          </w:tcPr>
          <w:p>
            <w:pPr>
              <w:jc w:val="center"/>
              <w:rPr>
                <w:rFonts w:cs="宋体"/>
                <w:color w:val="000000"/>
                <w:sz w:val="20"/>
                <w:szCs w:val="20"/>
              </w:rPr>
            </w:pPr>
            <w:r>
              <w:rPr>
                <w:color w:val="000000"/>
                <w:kern w:val="0"/>
                <w:szCs w:val="21"/>
                <w:lang w:bidi="ar"/>
              </w:rPr>
              <w:t>边界路由服务</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b/>
                <w:bCs/>
                <w:color w:val="000000"/>
                <w:sz w:val="20"/>
                <w:szCs w:val="20"/>
              </w:rPr>
            </w:pPr>
            <w:r>
              <w:rPr>
                <w:rFonts w:hint="eastAsia"/>
                <w:b/>
                <w:bCs/>
                <w:color w:val="000000"/>
                <w:sz w:val="20"/>
                <w:szCs w:val="20"/>
              </w:rPr>
              <w:t>9</w:t>
            </w:r>
          </w:p>
        </w:tc>
        <w:tc>
          <w:tcPr>
            <w:tcW w:w="1937" w:type="pct"/>
            <w:vAlign w:val="center"/>
          </w:tcPr>
          <w:p>
            <w:pPr>
              <w:jc w:val="center"/>
              <w:rPr>
                <w:rFonts w:cs="宋体"/>
                <w:b/>
                <w:bCs/>
                <w:color w:val="000000"/>
                <w:sz w:val="20"/>
                <w:szCs w:val="20"/>
              </w:rPr>
            </w:pPr>
            <w:r>
              <w:rPr>
                <w:rFonts w:hint="eastAsia" w:cs="宋体"/>
                <w:b/>
                <w:bCs/>
                <w:color w:val="000000"/>
                <w:sz w:val="20"/>
                <w:szCs w:val="20"/>
              </w:rPr>
              <w:t>核心网交换服务</w:t>
            </w:r>
          </w:p>
        </w:tc>
        <w:tc>
          <w:tcPr>
            <w:tcW w:w="1205" w:type="pct"/>
            <w:vAlign w:val="center"/>
          </w:tcPr>
          <w:p>
            <w:pPr>
              <w:jc w:val="center"/>
              <w:rPr>
                <w:b/>
                <w:bCs/>
                <w:color w:val="000000"/>
                <w:sz w:val="20"/>
                <w:szCs w:val="20"/>
              </w:rPr>
            </w:pPr>
            <w:r>
              <w:rPr>
                <w:rFonts w:hint="eastAsia"/>
                <w:b/>
                <w:bCs/>
                <w:color w:val="000000"/>
                <w:sz w:val="20"/>
                <w:szCs w:val="20"/>
              </w:rPr>
              <w:t>4</w:t>
            </w:r>
          </w:p>
        </w:tc>
        <w:tc>
          <w:tcPr>
            <w:tcW w:w="1149" w:type="pct"/>
          </w:tcPr>
          <w:p>
            <w:pPr>
              <w:jc w:val="center"/>
              <w:rPr>
                <w:b/>
                <w:bCs/>
                <w:color w:val="000000"/>
                <w:sz w:val="20"/>
                <w:szCs w:val="20"/>
              </w:rPr>
            </w:pPr>
            <w:r>
              <w:rPr>
                <w:rFonts w:hint="eastAsia"/>
                <w:b/>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9</w:t>
            </w:r>
            <w:r>
              <w:rPr>
                <w:color w:val="000000"/>
                <w:sz w:val="20"/>
                <w:szCs w:val="20"/>
              </w:rPr>
              <w:t>.1</w:t>
            </w:r>
          </w:p>
        </w:tc>
        <w:tc>
          <w:tcPr>
            <w:tcW w:w="1937" w:type="pct"/>
            <w:vAlign w:val="center"/>
          </w:tcPr>
          <w:p>
            <w:pPr>
              <w:jc w:val="center"/>
              <w:rPr>
                <w:rFonts w:cs="宋体"/>
                <w:color w:val="000000"/>
                <w:sz w:val="20"/>
                <w:szCs w:val="20"/>
              </w:rPr>
            </w:pPr>
            <w:r>
              <w:rPr>
                <w:color w:val="000000"/>
                <w:kern w:val="0"/>
                <w:szCs w:val="21"/>
                <w:lang w:bidi="ar"/>
              </w:rPr>
              <w:t>核心网间数据接入</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9</w:t>
            </w:r>
            <w:r>
              <w:rPr>
                <w:color w:val="000000"/>
                <w:sz w:val="20"/>
                <w:szCs w:val="20"/>
              </w:rPr>
              <w:t>.2</w:t>
            </w:r>
          </w:p>
        </w:tc>
        <w:tc>
          <w:tcPr>
            <w:tcW w:w="1937" w:type="pct"/>
            <w:vAlign w:val="center"/>
          </w:tcPr>
          <w:p>
            <w:pPr>
              <w:jc w:val="center"/>
              <w:rPr>
                <w:rFonts w:cs="宋体"/>
                <w:color w:val="000000"/>
                <w:sz w:val="20"/>
                <w:szCs w:val="20"/>
              </w:rPr>
            </w:pPr>
            <w:r>
              <w:rPr>
                <w:color w:val="000000"/>
                <w:kern w:val="0"/>
                <w:szCs w:val="21"/>
                <w:lang w:bidi="ar"/>
              </w:rPr>
              <w:t>核心网间数据输出</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9</w:t>
            </w:r>
            <w:r>
              <w:rPr>
                <w:color w:val="000000"/>
                <w:sz w:val="20"/>
                <w:szCs w:val="20"/>
              </w:rPr>
              <w:t>.3</w:t>
            </w:r>
          </w:p>
        </w:tc>
        <w:tc>
          <w:tcPr>
            <w:tcW w:w="1937" w:type="pct"/>
            <w:vAlign w:val="center"/>
          </w:tcPr>
          <w:p>
            <w:pPr>
              <w:jc w:val="center"/>
              <w:rPr>
                <w:rFonts w:cs="宋体"/>
                <w:color w:val="000000"/>
                <w:sz w:val="20"/>
                <w:szCs w:val="20"/>
              </w:rPr>
            </w:pPr>
            <w:r>
              <w:rPr>
                <w:color w:val="000000"/>
                <w:kern w:val="0"/>
                <w:szCs w:val="21"/>
                <w:lang w:bidi="ar"/>
              </w:rPr>
              <w:t>网间鉴权服务</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Align w:val="center"/>
          </w:tcPr>
          <w:p>
            <w:pPr>
              <w:jc w:val="center"/>
              <w:rPr>
                <w:color w:val="000000"/>
                <w:sz w:val="20"/>
                <w:szCs w:val="20"/>
              </w:rPr>
            </w:pPr>
            <w:r>
              <w:rPr>
                <w:rFonts w:hint="eastAsia"/>
                <w:color w:val="000000"/>
                <w:sz w:val="20"/>
                <w:szCs w:val="20"/>
              </w:rPr>
              <w:t>9</w:t>
            </w:r>
            <w:r>
              <w:rPr>
                <w:color w:val="000000"/>
                <w:sz w:val="20"/>
                <w:szCs w:val="20"/>
              </w:rPr>
              <w:t>.4</w:t>
            </w:r>
          </w:p>
        </w:tc>
        <w:tc>
          <w:tcPr>
            <w:tcW w:w="1937" w:type="pct"/>
            <w:vAlign w:val="center"/>
          </w:tcPr>
          <w:p>
            <w:pPr>
              <w:jc w:val="center"/>
              <w:rPr>
                <w:rFonts w:cs="宋体"/>
                <w:color w:val="000000"/>
                <w:sz w:val="20"/>
                <w:szCs w:val="20"/>
              </w:rPr>
            </w:pPr>
            <w:r>
              <w:rPr>
                <w:color w:val="000000"/>
                <w:kern w:val="0"/>
                <w:szCs w:val="21"/>
                <w:lang w:bidi="ar"/>
              </w:rPr>
              <w:t>网间结算服务</w:t>
            </w:r>
          </w:p>
        </w:tc>
        <w:tc>
          <w:tcPr>
            <w:tcW w:w="1205" w:type="pct"/>
            <w:vAlign w:val="center"/>
          </w:tcPr>
          <w:p>
            <w:pPr>
              <w:jc w:val="center"/>
              <w:rPr>
                <w:color w:val="000000"/>
                <w:sz w:val="20"/>
                <w:szCs w:val="20"/>
              </w:rPr>
            </w:pPr>
          </w:p>
        </w:tc>
        <w:tc>
          <w:tcPr>
            <w:tcW w:w="1149" w:type="pct"/>
          </w:tcPr>
          <w:p>
            <w:pPr>
              <w:jc w:val="center"/>
              <w:rPr>
                <w:color w:val="000000"/>
                <w:sz w:val="20"/>
                <w:szCs w:val="20"/>
              </w:rPr>
            </w:pPr>
          </w:p>
        </w:tc>
      </w:tr>
    </w:tbl>
    <w:p/>
    <w:p>
      <w:pPr>
        <w:pStyle w:val="6"/>
        <w:numPr>
          <w:ilvl w:val="3"/>
          <w:numId w:val="0"/>
        </w:numPr>
        <w:tabs>
          <w:tab w:val="clear" w:pos="567"/>
        </w:tabs>
      </w:pPr>
      <w:r>
        <w:rPr>
          <w:rFonts w:hint="eastAsia"/>
          <w:szCs w:val="24"/>
        </w:rPr>
        <w:t>3.1.2.3</w:t>
      </w:r>
      <w:r>
        <w:rPr>
          <w:rFonts w:hint="eastAsia"/>
        </w:rPr>
        <w:t>基站驱动服务子系统</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3342"/>
        <w:gridCol w:w="2033"/>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b/>
                <w:bCs/>
                <w:color w:val="000000"/>
                <w:sz w:val="20"/>
                <w:szCs w:val="20"/>
              </w:rPr>
              <w:t>序号</w:t>
            </w:r>
          </w:p>
        </w:tc>
        <w:tc>
          <w:tcPr>
            <w:tcW w:w="3342" w:type="dxa"/>
            <w:vAlign w:val="center"/>
          </w:tcPr>
          <w:p>
            <w:pPr>
              <w:jc w:val="center"/>
              <w:rPr>
                <w:color w:val="000000"/>
                <w:sz w:val="20"/>
                <w:szCs w:val="20"/>
              </w:rPr>
            </w:pPr>
            <w:r>
              <w:rPr>
                <w:rFonts w:hint="eastAsia" w:cs="宋体"/>
                <w:b/>
                <w:bCs/>
                <w:color w:val="000000"/>
                <w:sz w:val="20"/>
                <w:szCs w:val="20"/>
              </w:rPr>
              <w:t>功能名称</w:t>
            </w:r>
          </w:p>
        </w:tc>
        <w:tc>
          <w:tcPr>
            <w:tcW w:w="2033" w:type="dxa"/>
            <w:vAlign w:val="center"/>
          </w:tcPr>
          <w:p>
            <w:pPr>
              <w:jc w:val="center"/>
              <w:rPr>
                <w:color w:val="000000"/>
                <w:sz w:val="20"/>
                <w:szCs w:val="20"/>
              </w:rPr>
            </w:pPr>
            <w:r>
              <w:rPr>
                <w:rFonts w:hint="eastAsia" w:cs="宋体"/>
                <w:b/>
                <w:bCs/>
                <w:color w:val="000000"/>
                <w:sz w:val="20"/>
                <w:szCs w:val="20"/>
              </w:rPr>
              <w:t>功能点</w:t>
            </w:r>
          </w:p>
        </w:tc>
        <w:tc>
          <w:tcPr>
            <w:tcW w:w="1967" w:type="dxa"/>
            <w:vAlign w:val="center"/>
          </w:tcPr>
          <w:p>
            <w:pPr>
              <w:jc w:val="center"/>
              <w:rPr>
                <w:color w:val="000000"/>
                <w:sz w:val="20"/>
                <w:szCs w:val="20"/>
              </w:rPr>
            </w:pPr>
            <w:r>
              <w:rPr>
                <w:rFonts w:hint="eastAsia" w:cs="宋体"/>
                <w:b/>
                <w:bCs/>
                <w:color w:val="00000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b/>
                <w:bCs/>
                <w:color w:val="000000"/>
                <w:sz w:val="20"/>
                <w:szCs w:val="20"/>
              </w:rPr>
            </w:pPr>
            <w:r>
              <w:rPr>
                <w:rFonts w:hint="eastAsia" w:cs="宋体"/>
                <w:b/>
                <w:bCs/>
                <w:color w:val="000000"/>
                <w:sz w:val="20"/>
                <w:szCs w:val="20"/>
              </w:rPr>
              <w:t>1</w:t>
            </w:r>
          </w:p>
        </w:tc>
        <w:tc>
          <w:tcPr>
            <w:tcW w:w="3342" w:type="dxa"/>
            <w:vAlign w:val="center"/>
          </w:tcPr>
          <w:p>
            <w:pPr>
              <w:jc w:val="center"/>
              <w:rPr>
                <w:b/>
                <w:bCs/>
                <w:color w:val="000000"/>
                <w:sz w:val="20"/>
                <w:szCs w:val="20"/>
              </w:rPr>
            </w:pPr>
            <w:r>
              <w:rPr>
                <w:rStyle w:val="82"/>
                <w:b/>
                <w:bCs/>
                <w:szCs w:val="21"/>
                <w:lang w:bidi="ar"/>
              </w:rPr>
              <w:t>AIS</w:t>
            </w:r>
            <w:r>
              <w:rPr>
                <w:rStyle w:val="81"/>
                <w:rFonts w:hint="default"/>
                <w:b/>
                <w:bCs/>
                <w:szCs w:val="21"/>
                <w:lang w:bidi="ar"/>
              </w:rPr>
              <w:t>信道消息处理服务</w:t>
            </w:r>
          </w:p>
        </w:tc>
        <w:tc>
          <w:tcPr>
            <w:tcW w:w="2033" w:type="dxa"/>
            <w:vAlign w:val="center"/>
          </w:tcPr>
          <w:p>
            <w:pPr>
              <w:jc w:val="center"/>
              <w:rPr>
                <w:b/>
                <w:bCs/>
                <w:color w:val="000000"/>
                <w:sz w:val="20"/>
                <w:szCs w:val="20"/>
              </w:rPr>
            </w:pPr>
            <w:r>
              <w:rPr>
                <w:b/>
                <w:bCs/>
                <w:color w:val="000000"/>
                <w:sz w:val="20"/>
                <w:szCs w:val="20"/>
              </w:rPr>
              <w:t>4</w:t>
            </w:r>
          </w:p>
        </w:tc>
        <w:tc>
          <w:tcPr>
            <w:tcW w:w="1967" w:type="dxa"/>
            <w:vAlign w:val="center"/>
          </w:tcPr>
          <w:p>
            <w:pPr>
              <w:jc w:val="center"/>
              <w:rPr>
                <w:b/>
                <w:bCs/>
                <w:color w:val="000000"/>
                <w:sz w:val="20"/>
                <w:szCs w:val="20"/>
              </w:rPr>
            </w:pPr>
            <w:r>
              <w:rPr>
                <w:rFonts w:hint="eastAsia"/>
                <w:b/>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1</w:t>
            </w:r>
            <w:r>
              <w:rPr>
                <w:rFonts w:cs="宋体"/>
                <w:color w:val="000000"/>
                <w:sz w:val="20"/>
                <w:szCs w:val="20"/>
              </w:rPr>
              <w:t>.1</w:t>
            </w:r>
          </w:p>
        </w:tc>
        <w:tc>
          <w:tcPr>
            <w:tcW w:w="3342" w:type="dxa"/>
            <w:vAlign w:val="center"/>
          </w:tcPr>
          <w:p>
            <w:pPr>
              <w:jc w:val="center"/>
              <w:rPr>
                <w:color w:val="000000"/>
                <w:sz w:val="20"/>
                <w:szCs w:val="20"/>
              </w:rPr>
            </w:pPr>
            <w:r>
              <w:rPr>
                <w:rStyle w:val="81"/>
                <w:rFonts w:hint="default"/>
                <w:szCs w:val="21"/>
                <w:lang w:bidi="ar"/>
              </w:rPr>
              <w:t>AIS消息处理</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1</w:t>
            </w:r>
            <w:r>
              <w:rPr>
                <w:rFonts w:cs="宋体"/>
                <w:color w:val="000000"/>
                <w:sz w:val="20"/>
                <w:szCs w:val="20"/>
              </w:rPr>
              <w:t>.2</w:t>
            </w:r>
          </w:p>
        </w:tc>
        <w:tc>
          <w:tcPr>
            <w:tcW w:w="3342" w:type="dxa"/>
            <w:vAlign w:val="center"/>
          </w:tcPr>
          <w:p>
            <w:pPr>
              <w:jc w:val="center"/>
              <w:rPr>
                <w:color w:val="000000"/>
                <w:sz w:val="20"/>
                <w:szCs w:val="20"/>
              </w:rPr>
            </w:pPr>
            <w:r>
              <w:rPr>
                <w:color w:val="000000"/>
                <w:kern w:val="0"/>
                <w:szCs w:val="21"/>
                <w:lang w:bidi="ar"/>
              </w:rPr>
              <w:t>AIS消息生成</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1</w:t>
            </w:r>
            <w:r>
              <w:rPr>
                <w:rFonts w:cs="宋体"/>
                <w:color w:val="000000"/>
                <w:sz w:val="20"/>
                <w:szCs w:val="20"/>
              </w:rPr>
              <w:t>.3</w:t>
            </w:r>
          </w:p>
        </w:tc>
        <w:tc>
          <w:tcPr>
            <w:tcW w:w="3342" w:type="dxa"/>
            <w:vAlign w:val="center"/>
          </w:tcPr>
          <w:p>
            <w:pPr>
              <w:jc w:val="center"/>
              <w:rPr>
                <w:color w:val="000000"/>
                <w:sz w:val="20"/>
                <w:szCs w:val="20"/>
              </w:rPr>
            </w:pPr>
            <w:r>
              <w:rPr>
                <w:color w:val="000000"/>
                <w:kern w:val="0"/>
                <w:szCs w:val="21"/>
                <w:lang w:bidi="ar"/>
              </w:rPr>
              <w:t>安全相关消息处理</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1</w:t>
            </w:r>
            <w:r>
              <w:rPr>
                <w:rFonts w:cs="宋体"/>
                <w:color w:val="000000"/>
                <w:sz w:val="20"/>
                <w:szCs w:val="20"/>
              </w:rPr>
              <w:t>.4</w:t>
            </w:r>
          </w:p>
        </w:tc>
        <w:tc>
          <w:tcPr>
            <w:tcW w:w="3342" w:type="dxa"/>
            <w:vAlign w:val="center"/>
          </w:tcPr>
          <w:p>
            <w:pPr>
              <w:jc w:val="center"/>
              <w:rPr>
                <w:color w:val="000000"/>
                <w:sz w:val="20"/>
                <w:szCs w:val="20"/>
              </w:rPr>
            </w:pPr>
            <w:r>
              <w:rPr>
                <w:color w:val="000000"/>
                <w:kern w:val="0"/>
                <w:szCs w:val="21"/>
                <w:lang w:bidi="ar"/>
              </w:rPr>
              <w:t>二进制消息处理</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b/>
                <w:bCs/>
                <w:color w:val="000000"/>
                <w:sz w:val="20"/>
                <w:szCs w:val="20"/>
              </w:rPr>
            </w:pPr>
            <w:r>
              <w:rPr>
                <w:rFonts w:hint="eastAsia" w:cs="宋体"/>
                <w:b/>
                <w:bCs/>
                <w:color w:val="000000"/>
                <w:sz w:val="20"/>
                <w:szCs w:val="20"/>
              </w:rPr>
              <w:t>2</w:t>
            </w:r>
          </w:p>
        </w:tc>
        <w:tc>
          <w:tcPr>
            <w:tcW w:w="3342" w:type="dxa"/>
            <w:vAlign w:val="center"/>
          </w:tcPr>
          <w:p>
            <w:pPr>
              <w:jc w:val="center"/>
              <w:rPr>
                <w:rStyle w:val="80"/>
                <w:rFonts w:hint="default"/>
                <w:b/>
                <w:bCs/>
                <w:szCs w:val="21"/>
                <w:lang w:bidi="ar"/>
              </w:rPr>
            </w:pPr>
            <w:r>
              <w:rPr>
                <w:rStyle w:val="82"/>
                <w:b/>
                <w:bCs/>
                <w:szCs w:val="21"/>
                <w:lang w:bidi="ar"/>
              </w:rPr>
              <w:t>ASM</w:t>
            </w:r>
            <w:r>
              <w:rPr>
                <w:rStyle w:val="81"/>
                <w:rFonts w:hint="default"/>
                <w:b/>
                <w:bCs/>
                <w:szCs w:val="21"/>
                <w:lang w:bidi="ar"/>
              </w:rPr>
              <w:t>信道消息处理服务</w:t>
            </w:r>
          </w:p>
        </w:tc>
        <w:tc>
          <w:tcPr>
            <w:tcW w:w="2033" w:type="dxa"/>
            <w:vAlign w:val="center"/>
          </w:tcPr>
          <w:p>
            <w:pPr>
              <w:jc w:val="center"/>
              <w:rPr>
                <w:b/>
                <w:bCs/>
                <w:color w:val="000000"/>
                <w:sz w:val="20"/>
                <w:szCs w:val="20"/>
              </w:rPr>
            </w:pPr>
            <w:r>
              <w:rPr>
                <w:b/>
                <w:bCs/>
                <w:color w:val="000000"/>
                <w:sz w:val="20"/>
                <w:szCs w:val="20"/>
              </w:rPr>
              <w:t>4</w:t>
            </w:r>
          </w:p>
        </w:tc>
        <w:tc>
          <w:tcPr>
            <w:tcW w:w="1967" w:type="dxa"/>
            <w:vAlign w:val="center"/>
          </w:tcPr>
          <w:p>
            <w:pPr>
              <w:jc w:val="center"/>
              <w:rPr>
                <w:b/>
                <w:bCs/>
                <w:color w:val="000000"/>
                <w:sz w:val="20"/>
                <w:szCs w:val="20"/>
              </w:rPr>
            </w:pPr>
            <w:r>
              <w:rPr>
                <w:rFonts w:hint="eastAsia"/>
                <w:b/>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2</w:t>
            </w:r>
            <w:r>
              <w:rPr>
                <w:rFonts w:cs="宋体"/>
                <w:color w:val="000000"/>
                <w:sz w:val="20"/>
                <w:szCs w:val="20"/>
              </w:rPr>
              <w:t>.1</w:t>
            </w:r>
          </w:p>
        </w:tc>
        <w:tc>
          <w:tcPr>
            <w:tcW w:w="3342" w:type="dxa"/>
            <w:vAlign w:val="center"/>
          </w:tcPr>
          <w:p>
            <w:pPr>
              <w:jc w:val="center"/>
              <w:rPr>
                <w:rStyle w:val="80"/>
                <w:rFonts w:hint="default"/>
                <w:szCs w:val="21"/>
                <w:lang w:bidi="ar"/>
              </w:rPr>
            </w:pPr>
            <w:r>
              <w:rPr>
                <w:rStyle w:val="81"/>
                <w:rFonts w:hint="default"/>
                <w:szCs w:val="21"/>
                <w:lang w:bidi="ar"/>
              </w:rPr>
              <w:t>ASM消息处理</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2</w:t>
            </w:r>
            <w:r>
              <w:rPr>
                <w:rFonts w:cs="宋体"/>
                <w:color w:val="000000"/>
                <w:sz w:val="20"/>
                <w:szCs w:val="20"/>
              </w:rPr>
              <w:t>.2</w:t>
            </w:r>
          </w:p>
        </w:tc>
        <w:tc>
          <w:tcPr>
            <w:tcW w:w="3342" w:type="dxa"/>
            <w:vAlign w:val="center"/>
          </w:tcPr>
          <w:p>
            <w:pPr>
              <w:jc w:val="center"/>
              <w:rPr>
                <w:rStyle w:val="80"/>
                <w:rFonts w:hint="default"/>
                <w:szCs w:val="21"/>
                <w:lang w:bidi="ar"/>
              </w:rPr>
            </w:pPr>
            <w:r>
              <w:rPr>
                <w:rStyle w:val="81"/>
                <w:rFonts w:hint="default"/>
                <w:szCs w:val="21"/>
                <w:lang w:bidi="ar"/>
              </w:rPr>
              <w:t>ASM消息生成</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2</w:t>
            </w:r>
            <w:r>
              <w:rPr>
                <w:rFonts w:cs="宋体"/>
                <w:color w:val="000000"/>
                <w:sz w:val="20"/>
                <w:szCs w:val="20"/>
              </w:rPr>
              <w:t>.3</w:t>
            </w:r>
          </w:p>
        </w:tc>
        <w:tc>
          <w:tcPr>
            <w:tcW w:w="3342" w:type="dxa"/>
            <w:vAlign w:val="center"/>
          </w:tcPr>
          <w:p>
            <w:pPr>
              <w:jc w:val="center"/>
              <w:rPr>
                <w:rStyle w:val="80"/>
                <w:rFonts w:hint="default"/>
                <w:szCs w:val="21"/>
                <w:lang w:bidi="ar"/>
              </w:rPr>
            </w:pPr>
            <w:r>
              <w:rPr>
                <w:rStyle w:val="81"/>
                <w:rFonts w:hint="default"/>
                <w:szCs w:val="21"/>
                <w:lang w:bidi="ar"/>
              </w:rPr>
              <w:t>ASM消息适配</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2</w:t>
            </w:r>
            <w:r>
              <w:rPr>
                <w:rFonts w:cs="宋体"/>
                <w:color w:val="000000"/>
                <w:sz w:val="20"/>
                <w:szCs w:val="20"/>
              </w:rPr>
              <w:t>.4</w:t>
            </w:r>
          </w:p>
        </w:tc>
        <w:tc>
          <w:tcPr>
            <w:tcW w:w="3342" w:type="dxa"/>
            <w:vAlign w:val="center"/>
          </w:tcPr>
          <w:p>
            <w:pPr>
              <w:jc w:val="center"/>
              <w:rPr>
                <w:rStyle w:val="80"/>
                <w:rFonts w:hint="default"/>
                <w:szCs w:val="21"/>
                <w:lang w:bidi="ar"/>
              </w:rPr>
            </w:pPr>
            <w:r>
              <w:rPr>
                <w:rStyle w:val="81"/>
                <w:rFonts w:hint="default"/>
                <w:szCs w:val="21"/>
                <w:lang w:bidi="ar"/>
              </w:rPr>
              <w:t>ASM/AIS消息转换</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b/>
                <w:bCs/>
                <w:color w:val="000000"/>
                <w:sz w:val="20"/>
                <w:szCs w:val="20"/>
              </w:rPr>
            </w:pPr>
            <w:r>
              <w:rPr>
                <w:rFonts w:hint="eastAsia" w:cs="宋体"/>
                <w:b/>
                <w:bCs/>
                <w:color w:val="000000"/>
                <w:sz w:val="20"/>
                <w:szCs w:val="20"/>
              </w:rPr>
              <w:t>3</w:t>
            </w:r>
          </w:p>
        </w:tc>
        <w:tc>
          <w:tcPr>
            <w:tcW w:w="3342" w:type="dxa"/>
            <w:vAlign w:val="center"/>
          </w:tcPr>
          <w:p>
            <w:pPr>
              <w:jc w:val="center"/>
              <w:rPr>
                <w:rStyle w:val="80"/>
                <w:rFonts w:hint="default"/>
                <w:b/>
                <w:bCs/>
                <w:szCs w:val="21"/>
                <w:lang w:bidi="ar"/>
              </w:rPr>
            </w:pPr>
            <w:r>
              <w:rPr>
                <w:rStyle w:val="82"/>
                <w:b/>
                <w:bCs/>
                <w:szCs w:val="21"/>
                <w:lang w:bidi="ar"/>
              </w:rPr>
              <w:t>VDE</w:t>
            </w:r>
            <w:r>
              <w:rPr>
                <w:rStyle w:val="81"/>
                <w:rFonts w:hint="default"/>
                <w:b/>
                <w:bCs/>
                <w:szCs w:val="21"/>
                <w:lang w:bidi="ar"/>
              </w:rPr>
              <w:t>信道消息处理服务</w:t>
            </w:r>
          </w:p>
        </w:tc>
        <w:tc>
          <w:tcPr>
            <w:tcW w:w="2033" w:type="dxa"/>
            <w:vAlign w:val="center"/>
          </w:tcPr>
          <w:p>
            <w:pPr>
              <w:jc w:val="center"/>
              <w:rPr>
                <w:b/>
                <w:bCs/>
                <w:color w:val="000000"/>
                <w:sz w:val="20"/>
                <w:szCs w:val="20"/>
              </w:rPr>
            </w:pPr>
            <w:r>
              <w:rPr>
                <w:b/>
                <w:bCs/>
                <w:color w:val="000000"/>
                <w:sz w:val="20"/>
                <w:szCs w:val="20"/>
              </w:rPr>
              <w:t>1</w:t>
            </w:r>
          </w:p>
        </w:tc>
        <w:tc>
          <w:tcPr>
            <w:tcW w:w="1967" w:type="dxa"/>
            <w:vAlign w:val="center"/>
          </w:tcPr>
          <w:p>
            <w:pPr>
              <w:jc w:val="center"/>
              <w:rPr>
                <w:b/>
                <w:bCs/>
                <w:color w:val="000000"/>
                <w:sz w:val="20"/>
                <w:szCs w:val="20"/>
              </w:rPr>
            </w:pPr>
            <w:r>
              <w:rPr>
                <w:rFonts w:hint="eastAsia"/>
                <w:b/>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3</w:t>
            </w:r>
            <w:r>
              <w:rPr>
                <w:rFonts w:cs="宋体"/>
                <w:color w:val="000000"/>
                <w:sz w:val="20"/>
                <w:szCs w:val="20"/>
              </w:rPr>
              <w:t>.1</w:t>
            </w:r>
          </w:p>
        </w:tc>
        <w:tc>
          <w:tcPr>
            <w:tcW w:w="3342" w:type="dxa"/>
            <w:vAlign w:val="center"/>
          </w:tcPr>
          <w:p>
            <w:pPr>
              <w:jc w:val="center"/>
              <w:rPr>
                <w:rStyle w:val="80"/>
                <w:rFonts w:hint="default"/>
                <w:szCs w:val="21"/>
                <w:lang w:bidi="ar"/>
              </w:rPr>
            </w:pPr>
            <w:r>
              <w:rPr>
                <w:color w:val="000000"/>
                <w:kern w:val="0"/>
                <w:szCs w:val="21"/>
                <w:lang w:bidi="ar"/>
              </w:rPr>
              <w:t>VDE消息测试服务</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b/>
                <w:bCs/>
                <w:color w:val="000000"/>
                <w:sz w:val="20"/>
                <w:szCs w:val="20"/>
              </w:rPr>
            </w:pPr>
            <w:r>
              <w:rPr>
                <w:rFonts w:hint="eastAsia" w:cs="宋体"/>
                <w:b/>
                <w:bCs/>
                <w:color w:val="000000"/>
                <w:sz w:val="20"/>
                <w:szCs w:val="20"/>
              </w:rPr>
              <w:t>4</w:t>
            </w:r>
          </w:p>
        </w:tc>
        <w:tc>
          <w:tcPr>
            <w:tcW w:w="3342" w:type="dxa"/>
            <w:vAlign w:val="center"/>
          </w:tcPr>
          <w:p>
            <w:pPr>
              <w:jc w:val="center"/>
              <w:rPr>
                <w:rStyle w:val="80"/>
                <w:rFonts w:hint="default"/>
                <w:b/>
                <w:bCs/>
                <w:szCs w:val="21"/>
                <w:lang w:bidi="ar"/>
              </w:rPr>
            </w:pPr>
            <w:r>
              <w:rPr>
                <w:rStyle w:val="80"/>
                <w:rFonts w:hint="default"/>
                <w:b/>
                <w:bCs/>
                <w:szCs w:val="21"/>
                <w:lang w:bidi="ar"/>
              </w:rPr>
              <w:t>基站管理消息处理服务</w:t>
            </w:r>
          </w:p>
        </w:tc>
        <w:tc>
          <w:tcPr>
            <w:tcW w:w="2033" w:type="dxa"/>
            <w:vAlign w:val="center"/>
          </w:tcPr>
          <w:p>
            <w:pPr>
              <w:jc w:val="center"/>
              <w:rPr>
                <w:b/>
                <w:bCs/>
                <w:color w:val="000000"/>
                <w:sz w:val="20"/>
                <w:szCs w:val="20"/>
              </w:rPr>
            </w:pPr>
            <w:r>
              <w:rPr>
                <w:b/>
                <w:bCs/>
                <w:color w:val="000000"/>
                <w:sz w:val="20"/>
                <w:szCs w:val="20"/>
              </w:rPr>
              <w:t>6</w:t>
            </w:r>
          </w:p>
        </w:tc>
        <w:tc>
          <w:tcPr>
            <w:tcW w:w="1967" w:type="dxa"/>
            <w:vAlign w:val="center"/>
          </w:tcPr>
          <w:p>
            <w:pPr>
              <w:jc w:val="center"/>
              <w:rPr>
                <w:b/>
                <w:bCs/>
                <w:color w:val="000000"/>
                <w:sz w:val="20"/>
                <w:szCs w:val="20"/>
              </w:rPr>
            </w:pPr>
            <w:r>
              <w:rPr>
                <w:rFonts w:hint="eastAsia"/>
                <w:b/>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4</w:t>
            </w:r>
            <w:r>
              <w:rPr>
                <w:rFonts w:cs="宋体"/>
                <w:color w:val="000000"/>
                <w:sz w:val="20"/>
                <w:szCs w:val="20"/>
              </w:rPr>
              <w:t>.1</w:t>
            </w:r>
          </w:p>
        </w:tc>
        <w:tc>
          <w:tcPr>
            <w:tcW w:w="3342" w:type="dxa"/>
            <w:vAlign w:val="center"/>
          </w:tcPr>
          <w:p>
            <w:pPr>
              <w:jc w:val="center"/>
              <w:rPr>
                <w:rStyle w:val="80"/>
                <w:rFonts w:hint="default"/>
                <w:szCs w:val="21"/>
                <w:lang w:bidi="ar"/>
              </w:rPr>
            </w:pPr>
            <w:r>
              <w:rPr>
                <w:color w:val="000000"/>
                <w:kern w:val="0"/>
                <w:szCs w:val="21"/>
                <w:lang w:bidi="ar"/>
              </w:rPr>
              <w:t>指配消息处理</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4</w:t>
            </w:r>
            <w:r>
              <w:rPr>
                <w:rFonts w:cs="宋体"/>
                <w:color w:val="000000"/>
                <w:sz w:val="20"/>
                <w:szCs w:val="20"/>
              </w:rPr>
              <w:t>.2</w:t>
            </w:r>
          </w:p>
        </w:tc>
        <w:tc>
          <w:tcPr>
            <w:tcW w:w="3342" w:type="dxa"/>
            <w:vAlign w:val="center"/>
          </w:tcPr>
          <w:p>
            <w:pPr>
              <w:jc w:val="center"/>
              <w:rPr>
                <w:rStyle w:val="80"/>
                <w:rFonts w:hint="default"/>
                <w:szCs w:val="21"/>
                <w:lang w:bidi="ar"/>
              </w:rPr>
            </w:pPr>
            <w:r>
              <w:rPr>
                <w:color w:val="000000"/>
                <w:kern w:val="0"/>
                <w:szCs w:val="21"/>
                <w:lang w:bidi="ar"/>
              </w:rPr>
              <w:t>轮询消息处理</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4</w:t>
            </w:r>
            <w:r>
              <w:rPr>
                <w:rFonts w:cs="宋体"/>
                <w:color w:val="000000"/>
                <w:sz w:val="20"/>
                <w:szCs w:val="20"/>
              </w:rPr>
              <w:t>.3</w:t>
            </w:r>
          </w:p>
        </w:tc>
        <w:tc>
          <w:tcPr>
            <w:tcW w:w="3342" w:type="dxa"/>
            <w:vAlign w:val="center"/>
          </w:tcPr>
          <w:p>
            <w:pPr>
              <w:jc w:val="center"/>
              <w:rPr>
                <w:rStyle w:val="80"/>
                <w:rFonts w:hint="default"/>
                <w:szCs w:val="21"/>
                <w:lang w:bidi="ar"/>
              </w:rPr>
            </w:pPr>
            <w:r>
              <w:rPr>
                <w:color w:val="000000"/>
                <w:kern w:val="0"/>
                <w:szCs w:val="21"/>
                <w:lang w:bidi="ar"/>
              </w:rPr>
              <w:t>信道管理消息处理</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4</w:t>
            </w:r>
            <w:r>
              <w:rPr>
                <w:rFonts w:cs="宋体"/>
                <w:color w:val="000000"/>
                <w:sz w:val="20"/>
                <w:szCs w:val="20"/>
              </w:rPr>
              <w:t>.4</w:t>
            </w:r>
          </w:p>
        </w:tc>
        <w:tc>
          <w:tcPr>
            <w:tcW w:w="3342" w:type="dxa"/>
            <w:vAlign w:val="center"/>
          </w:tcPr>
          <w:p>
            <w:pPr>
              <w:jc w:val="center"/>
              <w:rPr>
                <w:rStyle w:val="80"/>
                <w:rFonts w:hint="default"/>
                <w:szCs w:val="21"/>
                <w:lang w:bidi="ar"/>
              </w:rPr>
            </w:pPr>
            <w:r>
              <w:rPr>
                <w:color w:val="000000"/>
                <w:kern w:val="0"/>
                <w:szCs w:val="21"/>
                <w:lang w:bidi="ar"/>
              </w:rPr>
              <w:t>基站报告消息处理</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4</w:t>
            </w:r>
            <w:r>
              <w:rPr>
                <w:rFonts w:cs="宋体"/>
                <w:color w:val="000000"/>
                <w:sz w:val="20"/>
                <w:szCs w:val="20"/>
              </w:rPr>
              <w:t>.5</w:t>
            </w:r>
          </w:p>
        </w:tc>
        <w:tc>
          <w:tcPr>
            <w:tcW w:w="3342" w:type="dxa"/>
            <w:vAlign w:val="center"/>
          </w:tcPr>
          <w:p>
            <w:pPr>
              <w:jc w:val="center"/>
              <w:rPr>
                <w:rStyle w:val="80"/>
                <w:rFonts w:hint="default"/>
                <w:szCs w:val="21"/>
                <w:lang w:bidi="ar"/>
              </w:rPr>
            </w:pPr>
            <w:r>
              <w:rPr>
                <w:color w:val="000000"/>
                <w:kern w:val="0"/>
                <w:szCs w:val="21"/>
                <w:lang w:bidi="ar"/>
              </w:rPr>
              <w:t>群组指配消息处理</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4</w:t>
            </w:r>
            <w:r>
              <w:rPr>
                <w:rFonts w:cs="宋体"/>
                <w:color w:val="000000"/>
                <w:sz w:val="20"/>
                <w:szCs w:val="20"/>
              </w:rPr>
              <w:t>.6</w:t>
            </w:r>
          </w:p>
        </w:tc>
        <w:tc>
          <w:tcPr>
            <w:tcW w:w="3342" w:type="dxa"/>
            <w:vAlign w:val="center"/>
          </w:tcPr>
          <w:p>
            <w:pPr>
              <w:jc w:val="center"/>
              <w:rPr>
                <w:rStyle w:val="80"/>
                <w:rFonts w:hint="default"/>
                <w:szCs w:val="21"/>
                <w:lang w:bidi="ar"/>
              </w:rPr>
            </w:pPr>
            <w:r>
              <w:rPr>
                <w:rStyle w:val="81"/>
                <w:rFonts w:hint="default"/>
                <w:szCs w:val="21"/>
                <w:lang w:bidi="ar"/>
              </w:rPr>
              <w:t>VDL管理消息处理</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b/>
                <w:bCs/>
                <w:color w:val="000000"/>
                <w:sz w:val="20"/>
                <w:szCs w:val="20"/>
              </w:rPr>
            </w:pPr>
            <w:r>
              <w:rPr>
                <w:rFonts w:hint="eastAsia" w:cs="宋体"/>
                <w:b/>
                <w:bCs/>
                <w:color w:val="000000"/>
                <w:sz w:val="20"/>
                <w:szCs w:val="20"/>
              </w:rPr>
              <w:t>5</w:t>
            </w:r>
          </w:p>
        </w:tc>
        <w:tc>
          <w:tcPr>
            <w:tcW w:w="3342" w:type="dxa"/>
            <w:vAlign w:val="center"/>
          </w:tcPr>
          <w:p>
            <w:pPr>
              <w:jc w:val="center"/>
              <w:rPr>
                <w:rStyle w:val="80"/>
                <w:rFonts w:hint="default"/>
                <w:b/>
                <w:bCs/>
                <w:szCs w:val="21"/>
                <w:lang w:bidi="ar"/>
              </w:rPr>
            </w:pPr>
            <w:r>
              <w:rPr>
                <w:rStyle w:val="80"/>
                <w:rFonts w:hint="default"/>
                <w:b/>
                <w:bCs/>
                <w:szCs w:val="21"/>
                <w:lang w:bidi="ar"/>
              </w:rPr>
              <w:t>消息格式适配服务</w:t>
            </w:r>
          </w:p>
        </w:tc>
        <w:tc>
          <w:tcPr>
            <w:tcW w:w="2033" w:type="dxa"/>
            <w:vAlign w:val="center"/>
          </w:tcPr>
          <w:p>
            <w:pPr>
              <w:jc w:val="center"/>
              <w:rPr>
                <w:b/>
                <w:bCs/>
                <w:color w:val="000000"/>
                <w:sz w:val="20"/>
                <w:szCs w:val="20"/>
              </w:rPr>
            </w:pPr>
            <w:r>
              <w:rPr>
                <w:b/>
                <w:bCs/>
                <w:color w:val="000000"/>
                <w:sz w:val="20"/>
                <w:szCs w:val="20"/>
              </w:rPr>
              <w:t>5</w:t>
            </w:r>
          </w:p>
        </w:tc>
        <w:tc>
          <w:tcPr>
            <w:tcW w:w="1967" w:type="dxa"/>
            <w:vAlign w:val="center"/>
          </w:tcPr>
          <w:p>
            <w:pPr>
              <w:jc w:val="center"/>
              <w:rPr>
                <w:b/>
                <w:bCs/>
                <w:color w:val="000000"/>
                <w:sz w:val="20"/>
                <w:szCs w:val="20"/>
              </w:rPr>
            </w:pPr>
            <w:r>
              <w:rPr>
                <w:rFonts w:hint="eastAsia"/>
                <w:b/>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5</w:t>
            </w:r>
            <w:r>
              <w:rPr>
                <w:rFonts w:cs="宋体"/>
                <w:color w:val="000000"/>
                <w:sz w:val="20"/>
                <w:szCs w:val="20"/>
              </w:rPr>
              <w:t>.1</w:t>
            </w:r>
          </w:p>
        </w:tc>
        <w:tc>
          <w:tcPr>
            <w:tcW w:w="3342" w:type="dxa"/>
            <w:vAlign w:val="center"/>
          </w:tcPr>
          <w:p>
            <w:pPr>
              <w:jc w:val="center"/>
              <w:rPr>
                <w:rStyle w:val="80"/>
                <w:rFonts w:hint="default"/>
                <w:szCs w:val="21"/>
                <w:lang w:bidi="ar"/>
              </w:rPr>
            </w:pPr>
            <w:r>
              <w:rPr>
                <w:color w:val="000000"/>
                <w:kern w:val="0"/>
                <w:szCs w:val="21"/>
                <w:lang w:bidi="ar"/>
              </w:rPr>
              <w:t>进口基站消息格式适配</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5</w:t>
            </w:r>
            <w:r>
              <w:rPr>
                <w:rFonts w:cs="宋体"/>
                <w:color w:val="000000"/>
                <w:sz w:val="20"/>
                <w:szCs w:val="20"/>
              </w:rPr>
              <w:t>.2</w:t>
            </w:r>
          </w:p>
        </w:tc>
        <w:tc>
          <w:tcPr>
            <w:tcW w:w="3342" w:type="dxa"/>
            <w:vAlign w:val="center"/>
          </w:tcPr>
          <w:p>
            <w:pPr>
              <w:jc w:val="center"/>
              <w:rPr>
                <w:rStyle w:val="80"/>
                <w:rFonts w:hint="default"/>
                <w:szCs w:val="21"/>
                <w:lang w:bidi="ar"/>
              </w:rPr>
            </w:pPr>
            <w:r>
              <w:rPr>
                <w:color w:val="000000"/>
                <w:kern w:val="0"/>
                <w:szCs w:val="21"/>
                <w:lang w:bidi="ar"/>
              </w:rPr>
              <w:t>国产基站消息格式适配</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5</w:t>
            </w:r>
            <w:r>
              <w:rPr>
                <w:rFonts w:cs="宋体"/>
                <w:color w:val="000000"/>
                <w:sz w:val="20"/>
                <w:szCs w:val="20"/>
              </w:rPr>
              <w:t>.3</w:t>
            </w:r>
          </w:p>
        </w:tc>
        <w:tc>
          <w:tcPr>
            <w:tcW w:w="3342" w:type="dxa"/>
            <w:vAlign w:val="center"/>
          </w:tcPr>
          <w:p>
            <w:pPr>
              <w:jc w:val="center"/>
              <w:rPr>
                <w:rStyle w:val="80"/>
                <w:rFonts w:hint="default"/>
                <w:szCs w:val="21"/>
                <w:lang w:bidi="ar"/>
              </w:rPr>
            </w:pPr>
            <w:r>
              <w:rPr>
                <w:color w:val="000000"/>
                <w:kern w:val="0"/>
                <w:szCs w:val="21"/>
                <w:lang w:bidi="ar"/>
              </w:rPr>
              <w:t>外部数据源格式适配</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5</w:t>
            </w:r>
            <w:r>
              <w:rPr>
                <w:rFonts w:cs="宋体"/>
                <w:color w:val="000000"/>
                <w:sz w:val="20"/>
                <w:szCs w:val="20"/>
              </w:rPr>
              <w:t>.4</w:t>
            </w:r>
          </w:p>
        </w:tc>
        <w:tc>
          <w:tcPr>
            <w:tcW w:w="3342" w:type="dxa"/>
            <w:vAlign w:val="center"/>
          </w:tcPr>
          <w:p>
            <w:pPr>
              <w:jc w:val="center"/>
              <w:rPr>
                <w:rStyle w:val="80"/>
                <w:rFonts w:hint="default"/>
                <w:szCs w:val="21"/>
                <w:lang w:bidi="ar"/>
              </w:rPr>
            </w:pPr>
            <w:r>
              <w:rPr>
                <w:color w:val="000000"/>
                <w:kern w:val="0"/>
                <w:szCs w:val="21"/>
                <w:lang w:bidi="ar"/>
              </w:rPr>
              <w:t>异构系统消息格式适配</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5</w:t>
            </w:r>
            <w:r>
              <w:rPr>
                <w:rFonts w:cs="宋体"/>
                <w:color w:val="000000"/>
                <w:sz w:val="20"/>
                <w:szCs w:val="20"/>
              </w:rPr>
              <w:t>.5</w:t>
            </w:r>
          </w:p>
        </w:tc>
        <w:tc>
          <w:tcPr>
            <w:tcW w:w="3342" w:type="dxa"/>
            <w:vAlign w:val="center"/>
          </w:tcPr>
          <w:p>
            <w:pPr>
              <w:jc w:val="center"/>
              <w:rPr>
                <w:rStyle w:val="80"/>
                <w:rFonts w:hint="default"/>
                <w:szCs w:val="21"/>
                <w:lang w:bidi="ar"/>
              </w:rPr>
            </w:pPr>
            <w:r>
              <w:rPr>
                <w:rStyle w:val="81"/>
                <w:rFonts w:hint="default"/>
                <w:szCs w:val="21"/>
                <w:lang w:bidi="ar"/>
              </w:rPr>
              <w:t>AIS 卫星消息格式适配</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b/>
                <w:bCs/>
                <w:color w:val="000000"/>
                <w:sz w:val="20"/>
                <w:szCs w:val="20"/>
              </w:rPr>
            </w:pPr>
            <w:r>
              <w:rPr>
                <w:rFonts w:hint="eastAsia" w:cs="宋体"/>
                <w:b/>
                <w:bCs/>
                <w:color w:val="000000"/>
                <w:sz w:val="20"/>
                <w:szCs w:val="20"/>
              </w:rPr>
              <w:t>6</w:t>
            </w:r>
          </w:p>
        </w:tc>
        <w:tc>
          <w:tcPr>
            <w:tcW w:w="3342" w:type="dxa"/>
            <w:vAlign w:val="center"/>
          </w:tcPr>
          <w:p>
            <w:pPr>
              <w:jc w:val="center"/>
              <w:rPr>
                <w:rStyle w:val="80"/>
                <w:rFonts w:hint="default"/>
                <w:b/>
                <w:bCs/>
                <w:szCs w:val="21"/>
                <w:lang w:bidi="ar"/>
              </w:rPr>
            </w:pPr>
            <w:r>
              <w:rPr>
                <w:rStyle w:val="80"/>
                <w:rFonts w:hint="default"/>
                <w:b/>
                <w:bCs/>
                <w:szCs w:val="21"/>
                <w:lang w:bidi="ar"/>
              </w:rPr>
              <w:t>基站消息格式管理</w:t>
            </w:r>
          </w:p>
        </w:tc>
        <w:tc>
          <w:tcPr>
            <w:tcW w:w="2033" w:type="dxa"/>
            <w:vAlign w:val="center"/>
          </w:tcPr>
          <w:p>
            <w:pPr>
              <w:jc w:val="center"/>
              <w:rPr>
                <w:b/>
                <w:bCs/>
                <w:color w:val="000000"/>
                <w:sz w:val="20"/>
                <w:szCs w:val="20"/>
              </w:rPr>
            </w:pPr>
            <w:r>
              <w:rPr>
                <w:rFonts w:hint="eastAsia"/>
                <w:b/>
                <w:bCs/>
                <w:color w:val="000000"/>
                <w:sz w:val="20"/>
                <w:szCs w:val="20"/>
              </w:rPr>
              <w:t>4</w:t>
            </w:r>
          </w:p>
        </w:tc>
        <w:tc>
          <w:tcPr>
            <w:tcW w:w="1967" w:type="dxa"/>
            <w:vAlign w:val="center"/>
          </w:tcPr>
          <w:p>
            <w:pPr>
              <w:jc w:val="center"/>
              <w:rPr>
                <w:b/>
                <w:bCs/>
                <w:color w:val="000000"/>
                <w:sz w:val="20"/>
                <w:szCs w:val="20"/>
              </w:rPr>
            </w:pPr>
            <w:r>
              <w:rPr>
                <w:rFonts w:hint="eastAsia"/>
                <w:b/>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6</w:t>
            </w:r>
            <w:r>
              <w:rPr>
                <w:rFonts w:cs="宋体"/>
                <w:color w:val="000000"/>
                <w:sz w:val="20"/>
                <w:szCs w:val="20"/>
              </w:rPr>
              <w:t>.1</w:t>
            </w:r>
          </w:p>
        </w:tc>
        <w:tc>
          <w:tcPr>
            <w:tcW w:w="3342" w:type="dxa"/>
            <w:vAlign w:val="center"/>
          </w:tcPr>
          <w:p>
            <w:pPr>
              <w:jc w:val="center"/>
              <w:rPr>
                <w:rStyle w:val="80"/>
                <w:rFonts w:hint="default"/>
                <w:szCs w:val="21"/>
                <w:lang w:bidi="ar"/>
              </w:rPr>
            </w:pPr>
            <w:r>
              <w:rPr>
                <w:color w:val="000000"/>
                <w:kern w:val="0"/>
                <w:szCs w:val="21"/>
                <w:lang w:bidi="ar"/>
              </w:rPr>
              <w:t>基站数据格式字典</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6</w:t>
            </w:r>
            <w:r>
              <w:rPr>
                <w:rFonts w:cs="宋体"/>
                <w:color w:val="000000"/>
                <w:sz w:val="20"/>
                <w:szCs w:val="20"/>
              </w:rPr>
              <w:t>.2</w:t>
            </w:r>
          </w:p>
        </w:tc>
        <w:tc>
          <w:tcPr>
            <w:tcW w:w="3342" w:type="dxa"/>
            <w:vAlign w:val="center"/>
          </w:tcPr>
          <w:p>
            <w:pPr>
              <w:jc w:val="center"/>
              <w:rPr>
                <w:rStyle w:val="80"/>
                <w:rFonts w:hint="default"/>
                <w:szCs w:val="21"/>
                <w:lang w:bidi="ar"/>
              </w:rPr>
            </w:pPr>
            <w:r>
              <w:rPr>
                <w:rStyle w:val="81"/>
                <w:rFonts w:hint="default"/>
                <w:szCs w:val="21"/>
                <w:lang w:bidi="ar"/>
              </w:rPr>
              <w:t>IP/基站格式映射服务</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6</w:t>
            </w:r>
            <w:r>
              <w:rPr>
                <w:rFonts w:cs="宋体"/>
                <w:color w:val="000000"/>
                <w:sz w:val="20"/>
                <w:szCs w:val="20"/>
              </w:rPr>
              <w:t>.3</w:t>
            </w:r>
          </w:p>
        </w:tc>
        <w:tc>
          <w:tcPr>
            <w:tcW w:w="3342" w:type="dxa"/>
            <w:vAlign w:val="center"/>
          </w:tcPr>
          <w:p>
            <w:pPr>
              <w:jc w:val="center"/>
              <w:rPr>
                <w:rStyle w:val="80"/>
                <w:rFonts w:hint="default"/>
                <w:szCs w:val="21"/>
                <w:lang w:bidi="ar"/>
              </w:rPr>
            </w:pPr>
            <w:r>
              <w:rPr>
                <w:color w:val="000000"/>
                <w:kern w:val="0"/>
                <w:szCs w:val="21"/>
                <w:lang w:bidi="ar"/>
              </w:rPr>
              <w:t>自适应映射更新服务</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6</w:t>
            </w:r>
            <w:r>
              <w:rPr>
                <w:rFonts w:cs="宋体"/>
                <w:color w:val="000000"/>
                <w:sz w:val="20"/>
                <w:szCs w:val="20"/>
              </w:rPr>
              <w:t>.4</w:t>
            </w:r>
          </w:p>
        </w:tc>
        <w:tc>
          <w:tcPr>
            <w:tcW w:w="3342" w:type="dxa"/>
            <w:vAlign w:val="center"/>
          </w:tcPr>
          <w:p>
            <w:pPr>
              <w:jc w:val="center"/>
              <w:rPr>
                <w:rStyle w:val="80"/>
                <w:rFonts w:hint="default"/>
                <w:szCs w:val="21"/>
                <w:lang w:bidi="ar"/>
              </w:rPr>
            </w:pPr>
            <w:r>
              <w:rPr>
                <w:color w:val="000000"/>
                <w:kern w:val="0"/>
                <w:szCs w:val="21"/>
                <w:lang w:bidi="ar"/>
              </w:rPr>
              <w:t>格式智能配置服务</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b/>
                <w:bCs/>
                <w:color w:val="000000"/>
                <w:sz w:val="20"/>
                <w:szCs w:val="20"/>
              </w:rPr>
            </w:pPr>
            <w:r>
              <w:rPr>
                <w:rFonts w:hint="eastAsia" w:cs="宋体"/>
                <w:b/>
                <w:bCs/>
                <w:color w:val="000000"/>
                <w:sz w:val="20"/>
                <w:szCs w:val="20"/>
              </w:rPr>
              <w:t>7</w:t>
            </w:r>
          </w:p>
        </w:tc>
        <w:tc>
          <w:tcPr>
            <w:tcW w:w="3342" w:type="dxa"/>
            <w:vAlign w:val="center"/>
          </w:tcPr>
          <w:p>
            <w:pPr>
              <w:jc w:val="center"/>
              <w:rPr>
                <w:rStyle w:val="80"/>
                <w:rFonts w:hint="default"/>
                <w:b/>
                <w:bCs/>
                <w:szCs w:val="21"/>
                <w:lang w:bidi="ar"/>
              </w:rPr>
            </w:pPr>
            <w:r>
              <w:rPr>
                <w:rStyle w:val="80"/>
                <w:rFonts w:hint="default"/>
                <w:b/>
                <w:bCs/>
                <w:szCs w:val="21"/>
                <w:lang w:bidi="ar"/>
              </w:rPr>
              <w:t>终端连接服务</w:t>
            </w:r>
          </w:p>
        </w:tc>
        <w:tc>
          <w:tcPr>
            <w:tcW w:w="2033" w:type="dxa"/>
            <w:vAlign w:val="center"/>
          </w:tcPr>
          <w:p>
            <w:pPr>
              <w:jc w:val="center"/>
              <w:rPr>
                <w:b/>
                <w:bCs/>
                <w:color w:val="000000"/>
                <w:sz w:val="20"/>
                <w:szCs w:val="20"/>
              </w:rPr>
            </w:pPr>
            <w:r>
              <w:rPr>
                <w:rFonts w:hint="eastAsia"/>
                <w:b/>
                <w:bCs/>
                <w:color w:val="000000"/>
                <w:sz w:val="20"/>
                <w:szCs w:val="20"/>
              </w:rPr>
              <w:t>6</w:t>
            </w:r>
          </w:p>
        </w:tc>
        <w:tc>
          <w:tcPr>
            <w:tcW w:w="1967" w:type="dxa"/>
            <w:vAlign w:val="center"/>
          </w:tcPr>
          <w:p>
            <w:pPr>
              <w:jc w:val="center"/>
              <w:rPr>
                <w:b/>
                <w:bCs/>
                <w:color w:val="000000"/>
                <w:sz w:val="20"/>
                <w:szCs w:val="20"/>
              </w:rPr>
            </w:pPr>
            <w:r>
              <w:rPr>
                <w:rFonts w:hint="eastAsia"/>
                <w:b/>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7</w:t>
            </w:r>
            <w:r>
              <w:rPr>
                <w:rFonts w:cs="宋体"/>
                <w:color w:val="000000"/>
                <w:sz w:val="20"/>
                <w:szCs w:val="20"/>
              </w:rPr>
              <w:t>.1</w:t>
            </w:r>
          </w:p>
        </w:tc>
        <w:tc>
          <w:tcPr>
            <w:tcW w:w="3342" w:type="dxa"/>
            <w:vAlign w:val="center"/>
          </w:tcPr>
          <w:p>
            <w:pPr>
              <w:jc w:val="center"/>
              <w:rPr>
                <w:rStyle w:val="80"/>
                <w:rFonts w:hint="default"/>
                <w:szCs w:val="21"/>
                <w:lang w:bidi="ar"/>
              </w:rPr>
            </w:pPr>
            <w:r>
              <w:rPr>
                <w:color w:val="000000"/>
                <w:kern w:val="0"/>
                <w:szCs w:val="21"/>
                <w:lang w:bidi="ar"/>
              </w:rPr>
              <w:t>连接保持服务</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7</w:t>
            </w:r>
            <w:r>
              <w:rPr>
                <w:rFonts w:cs="宋体"/>
                <w:color w:val="000000"/>
                <w:sz w:val="20"/>
                <w:szCs w:val="20"/>
              </w:rPr>
              <w:t>.2</w:t>
            </w:r>
          </w:p>
        </w:tc>
        <w:tc>
          <w:tcPr>
            <w:tcW w:w="3342" w:type="dxa"/>
            <w:vAlign w:val="center"/>
          </w:tcPr>
          <w:p>
            <w:pPr>
              <w:jc w:val="center"/>
              <w:rPr>
                <w:rStyle w:val="80"/>
                <w:rFonts w:hint="default"/>
                <w:szCs w:val="21"/>
                <w:lang w:bidi="ar"/>
              </w:rPr>
            </w:pPr>
            <w:r>
              <w:rPr>
                <w:color w:val="000000"/>
                <w:kern w:val="0"/>
                <w:szCs w:val="21"/>
                <w:lang w:bidi="ar"/>
              </w:rPr>
              <w:t>断连检测服务</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7</w:t>
            </w:r>
            <w:r>
              <w:rPr>
                <w:rFonts w:cs="宋体"/>
                <w:color w:val="000000"/>
                <w:sz w:val="20"/>
                <w:szCs w:val="20"/>
              </w:rPr>
              <w:t>.3</w:t>
            </w:r>
          </w:p>
        </w:tc>
        <w:tc>
          <w:tcPr>
            <w:tcW w:w="3342" w:type="dxa"/>
            <w:vAlign w:val="center"/>
          </w:tcPr>
          <w:p>
            <w:pPr>
              <w:jc w:val="center"/>
              <w:rPr>
                <w:rStyle w:val="80"/>
                <w:rFonts w:hint="default"/>
                <w:szCs w:val="21"/>
                <w:lang w:bidi="ar"/>
              </w:rPr>
            </w:pPr>
            <w:r>
              <w:rPr>
                <w:color w:val="000000"/>
                <w:kern w:val="0"/>
                <w:szCs w:val="21"/>
                <w:lang w:bidi="ar"/>
              </w:rPr>
              <w:t>远程重启服务</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7</w:t>
            </w:r>
            <w:r>
              <w:rPr>
                <w:rFonts w:cs="宋体"/>
                <w:color w:val="000000"/>
                <w:sz w:val="20"/>
                <w:szCs w:val="20"/>
              </w:rPr>
              <w:t>.4</w:t>
            </w:r>
          </w:p>
        </w:tc>
        <w:tc>
          <w:tcPr>
            <w:tcW w:w="3342" w:type="dxa"/>
            <w:vAlign w:val="center"/>
          </w:tcPr>
          <w:p>
            <w:pPr>
              <w:jc w:val="center"/>
              <w:rPr>
                <w:rStyle w:val="80"/>
                <w:rFonts w:hint="default"/>
                <w:szCs w:val="21"/>
                <w:lang w:bidi="ar"/>
              </w:rPr>
            </w:pPr>
            <w:r>
              <w:rPr>
                <w:color w:val="000000"/>
                <w:kern w:val="0"/>
                <w:szCs w:val="21"/>
                <w:lang w:bidi="ar"/>
              </w:rPr>
              <w:t>路由查找服务</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7</w:t>
            </w:r>
            <w:r>
              <w:rPr>
                <w:rFonts w:cs="宋体"/>
                <w:color w:val="000000"/>
                <w:sz w:val="20"/>
                <w:szCs w:val="20"/>
              </w:rPr>
              <w:t>.5</w:t>
            </w:r>
          </w:p>
        </w:tc>
        <w:tc>
          <w:tcPr>
            <w:tcW w:w="3342" w:type="dxa"/>
            <w:vAlign w:val="center"/>
          </w:tcPr>
          <w:p>
            <w:pPr>
              <w:jc w:val="center"/>
              <w:rPr>
                <w:rStyle w:val="80"/>
                <w:rFonts w:hint="default"/>
                <w:szCs w:val="21"/>
                <w:lang w:bidi="ar"/>
              </w:rPr>
            </w:pPr>
            <w:r>
              <w:rPr>
                <w:color w:val="000000"/>
                <w:kern w:val="0"/>
                <w:szCs w:val="21"/>
                <w:lang w:bidi="ar"/>
              </w:rPr>
              <w:t>信息发送服务</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7</w:t>
            </w:r>
            <w:r>
              <w:rPr>
                <w:rFonts w:cs="宋体"/>
                <w:color w:val="000000"/>
                <w:sz w:val="20"/>
                <w:szCs w:val="20"/>
              </w:rPr>
              <w:t>.6</w:t>
            </w:r>
          </w:p>
        </w:tc>
        <w:tc>
          <w:tcPr>
            <w:tcW w:w="3342" w:type="dxa"/>
            <w:vAlign w:val="center"/>
          </w:tcPr>
          <w:p>
            <w:pPr>
              <w:jc w:val="center"/>
              <w:rPr>
                <w:rStyle w:val="80"/>
                <w:rFonts w:hint="default"/>
                <w:szCs w:val="21"/>
                <w:lang w:bidi="ar"/>
              </w:rPr>
            </w:pPr>
            <w:r>
              <w:rPr>
                <w:color w:val="000000"/>
                <w:kern w:val="0"/>
                <w:szCs w:val="21"/>
                <w:lang w:bidi="ar"/>
              </w:rPr>
              <w:t>接收确认服务</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b/>
                <w:bCs/>
                <w:color w:val="000000"/>
                <w:sz w:val="20"/>
                <w:szCs w:val="20"/>
              </w:rPr>
            </w:pPr>
            <w:r>
              <w:rPr>
                <w:rFonts w:hint="eastAsia" w:cs="宋体"/>
                <w:b/>
                <w:bCs/>
                <w:color w:val="000000"/>
                <w:sz w:val="20"/>
                <w:szCs w:val="20"/>
              </w:rPr>
              <w:t>8</w:t>
            </w:r>
          </w:p>
        </w:tc>
        <w:tc>
          <w:tcPr>
            <w:tcW w:w="3342" w:type="dxa"/>
            <w:vAlign w:val="center"/>
          </w:tcPr>
          <w:p>
            <w:pPr>
              <w:jc w:val="center"/>
              <w:rPr>
                <w:rStyle w:val="80"/>
                <w:rFonts w:hint="default"/>
                <w:b/>
                <w:bCs/>
                <w:szCs w:val="21"/>
                <w:lang w:bidi="ar"/>
              </w:rPr>
            </w:pPr>
            <w:r>
              <w:rPr>
                <w:rStyle w:val="80"/>
                <w:rFonts w:hint="default"/>
                <w:b/>
                <w:bCs/>
                <w:szCs w:val="21"/>
                <w:lang w:bidi="ar"/>
              </w:rPr>
              <w:t>终端路由服务</w:t>
            </w:r>
          </w:p>
        </w:tc>
        <w:tc>
          <w:tcPr>
            <w:tcW w:w="2033" w:type="dxa"/>
            <w:vAlign w:val="center"/>
          </w:tcPr>
          <w:p>
            <w:pPr>
              <w:jc w:val="center"/>
              <w:rPr>
                <w:b/>
                <w:bCs/>
                <w:color w:val="000000"/>
                <w:sz w:val="20"/>
                <w:szCs w:val="20"/>
              </w:rPr>
            </w:pPr>
            <w:r>
              <w:rPr>
                <w:rFonts w:hint="eastAsia"/>
                <w:b/>
                <w:bCs/>
                <w:color w:val="000000"/>
                <w:sz w:val="20"/>
                <w:szCs w:val="20"/>
              </w:rPr>
              <w:t>3</w:t>
            </w:r>
          </w:p>
        </w:tc>
        <w:tc>
          <w:tcPr>
            <w:tcW w:w="1967" w:type="dxa"/>
            <w:vAlign w:val="center"/>
          </w:tcPr>
          <w:p>
            <w:pPr>
              <w:jc w:val="center"/>
              <w:rPr>
                <w:b/>
                <w:bCs/>
                <w:color w:val="000000"/>
                <w:sz w:val="20"/>
                <w:szCs w:val="20"/>
              </w:rPr>
            </w:pPr>
            <w:r>
              <w:rPr>
                <w:rFonts w:hint="eastAsia"/>
                <w:b/>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8</w:t>
            </w:r>
            <w:r>
              <w:rPr>
                <w:rFonts w:cs="宋体"/>
                <w:color w:val="000000"/>
                <w:sz w:val="20"/>
                <w:szCs w:val="20"/>
              </w:rPr>
              <w:t>.1</w:t>
            </w:r>
          </w:p>
        </w:tc>
        <w:tc>
          <w:tcPr>
            <w:tcW w:w="3342" w:type="dxa"/>
            <w:vAlign w:val="center"/>
          </w:tcPr>
          <w:p>
            <w:pPr>
              <w:jc w:val="center"/>
              <w:rPr>
                <w:rStyle w:val="80"/>
                <w:rFonts w:hint="default"/>
                <w:szCs w:val="21"/>
                <w:lang w:bidi="ar"/>
              </w:rPr>
            </w:pPr>
            <w:r>
              <w:rPr>
                <w:rStyle w:val="81"/>
                <w:rFonts w:hint="default"/>
                <w:szCs w:val="21"/>
                <w:lang w:bidi="ar"/>
              </w:rPr>
              <w:t>MMSI/IP映射服务</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8</w:t>
            </w:r>
            <w:r>
              <w:rPr>
                <w:rFonts w:cs="宋体"/>
                <w:color w:val="000000"/>
                <w:sz w:val="20"/>
                <w:szCs w:val="20"/>
              </w:rPr>
              <w:t>.2</w:t>
            </w:r>
          </w:p>
        </w:tc>
        <w:tc>
          <w:tcPr>
            <w:tcW w:w="3342" w:type="dxa"/>
            <w:vAlign w:val="center"/>
          </w:tcPr>
          <w:p>
            <w:pPr>
              <w:jc w:val="center"/>
              <w:rPr>
                <w:rStyle w:val="80"/>
                <w:rFonts w:hint="default"/>
                <w:szCs w:val="21"/>
                <w:lang w:bidi="ar"/>
              </w:rPr>
            </w:pPr>
            <w:r>
              <w:rPr>
                <w:color w:val="000000"/>
                <w:kern w:val="0"/>
                <w:szCs w:val="21"/>
                <w:lang w:bidi="ar"/>
              </w:rPr>
              <w:t>映射更新服务</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8</w:t>
            </w:r>
            <w:r>
              <w:rPr>
                <w:rFonts w:cs="宋体"/>
                <w:color w:val="000000"/>
                <w:sz w:val="20"/>
                <w:szCs w:val="20"/>
              </w:rPr>
              <w:t>.3</w:t>
            </w:r>
          </w:p>
        </w:tc>
        <w:tc>
          <w:tcPr>
            <w:tcW w:w="3342" w:type="dxa"/>
            <w:vAlign w:val="center"/>
          </w:tcPr>
          <w:p>
            <w:pPr>
              <w:jc w:val="center"/>
              <w:rPr>
                <w:rStyle w:val="80"/>
                <w:rFonts w:hint="default"/>
                <w:szCs w:val="21"/>
                <w:lang w:bidi="ar"/>
              </w:rPr>
            </w:pPr>
            <w:r>
              <w:rPr>
                <w:color w:val="000000"/>
                <w:kern w:val="0"/>
                <w:szCs w:val="21"/>
                <w:lang w:bidi="ar"/>
              </w:rPr>
              <w:t>应用映射服务</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bl>
    <w:p>
      <w:pPr>
        <w:pStyle w:val="6"/>
        <w:numPr>
          <w:ilvl w:val="3"/>
          <w:numId w:val="0"/>
        </w:numPr>
        <w:tabs>
          <w:tab w:val="clear" w:pos="567"/>
        </w:tabs>
      </w:pPr>
      <w:r>
        <w:rPr>
          <w:rFonts w:hint="eastAsia"/>
          <w:szCs w:val="24"/>
        </w:rPr>
        <w:t>3.1.2.4</w:t>
      </w:r>
      <w:r>
        <w:rPr>
          <w:rFonts w:hint="eastAsia"/>
        </w:rPr>
        <w:t>数据对比测试子系统</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3342"/>
        <w:gridCol w:w="2033"/>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b/>
                <w:bCs/>
                <w:color w:val="000000"/>
                <w:sz w:val="20"/>
                <w:szCs w:val="20"/>
              </w:rPr>
              <w:t>序号</w:t>
            </w:r>
          </w:p>
        </w:tc>
        <w:tc>
          <w:tcPr>
            <w:tcW w:w="3342" w:type="dxa"/>
            <w:vAlign w:val="center"/>
          </w:tcPr>
          <w:p>
            <w:pPr>
              <w:jc w:val="center"/>
              <w:rPr>
                <w:color w:val="000000"/>
                <w:sz w:val="20"/>
                <w:szCs w:val="20"/>
              </w:rPr>
            </w:pPr>
            <w:r>
              <w:rPr>
                <w:rFonts w:hint="eastAsia" w:cs="宋体"/>
                <w:b/>
                <w:bCs/>
                <w:color w:val="000000"/>
                <w:sz w:val="20"/>
                <w:szCs w:val="20"/>
              </w:rPr>
              <w:t>功能名称</w:t>
            </w:r>
          </w:p>
        </w:tc>
        <w:tc>
          <w:tcPr>
            <w:tcW w:w="2033" w:type="dxa"/>
            <w:vAlign w:val="center"/>
          </w:tcPr>
          <w:p>
            <w:pPr>
              <w:jc w:val="center"/>
              <w:rPr>
                <w:color w:val="000000"/>
                <w:sz w:val="20"/>
                <w:szCs w:val="20"/>
              </w:rPr>
            </w:pPr>
            <w:r>
              <w:rPr>
                <w:rFonts w:hint="eastAsia" w:cs="宋体"/>
                <w:b/>
                <w:bCs/>
                <w:color w:val="000000"/>
                <w:sz w:val="20"/>
                <w:szCs w:val="20"/>
              </w:rPr>
              <w:t>功能点</w:t>
            </w:r>
          </w:p>
        </w:tc>
        <w:tc>
          <w:tcPr>
            <w:tcW w:w="1967" w:type="dxa"/>
            <w:vAlign w:val="center"/>
          </w:tcPr>
          <w:p>
            <w:pPr>
              <w:jc w:val="center"/>
              <w:rPr>
                <w:color w:val="000000"/>
                <w:sz w:val="20"/>
                <w:szCs w:val="20"/>
              </w:rPr>
            </w:pPr>
            <w:r>
              <w:rPr>
                <w:rFonts w:hint="eastAsia" w:cs="宋体"/>
                <w:b/>
                <w:bCs/>
                <w:color w:val="00000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b/>
                <w:bCs/>
                <w:color w:val="000000"/>
                <w:sz w:val="20"/>
                <w:szCs w:val="20"/>
              </w:rPr>
            </w:pPr>
            <w:r>
              <w:rPr>
                <w:rFonts w:hint="eastAsia" w:cs="宋体"/>
                <w:b/>
                <w:bCs/>
                <w:color w:val="000000"/>
                <w:sz w:val="20"/>
                <w:szCs w:val="20"/>
              </w:rPr>
              <w:t>1</w:t>
            </w:r>
          </w:p>
        </w:tc>
        <w:tc>
          <w:tcPr>
            <w:tcW w:w="3342" w:type="dxa"/>
            <w:vAlign w:val="center"/>
          </w:tcPr>
          <w:p>
            <w:pPr>
              <w:jc w:val="center"/>
              <w:rPr>
                <w:b/>
                <w:bCs/>
                <w:color w:val="000000"/>
                <w:sz w:val="20"/>
                <w:szCs w:val="20"/>
              </w:rPr>
            </w:pPr>
            <w:r>
              <w:rPr>
                <w:rStyle w:val="80"/>
                <w:rFonts w:hint="default"/>
                <w:b/>
                <w:bCs/>
                <w:szCs w:val="21"/>
                <w:lang w:bidi="ar"/>
              </w:rPr>
              <w:t>系统内数据对比测试模块</w:t>
            </w:r>
          </w:p>
        </w:tc>
        <w:tc>
          <w:tcPr>
            <w:tcW w:w="2033" w:type="dxa"/>
            <w:vAlign w:val="center"/>
          </w:tcPr>
          <w:p>
            <w:pPr>
              <w:jc w:val="center"/>
              <w:rPr>
                <w:b/>
                <w:bCs/>
                <w:color w:val="000000"/>
                <w:sz w:val="20"/>
                <w:szCs w:val="20"/>
              </w:rPr>
            </w:pPr>
            <w:r>
              <w:rPr>
                <w:rFonts w:hint="eastAsia"/>
                <w:b/>
                <w:bCs/>
                <w:color w:val="000000"/>
                <w:sz w:val="20"/>
                <w:szCs w:val="20"/>
              </w:rPr>
              <w:t>4</w:t>
            </w:r>
          </w:p>
        </w:tc>
        <w:tc>
          <w:tcPr>
            <w:tcW w:w="1967" w:type="dxa"/>
            <w:vAlign w:val="center"/>
          </w:tcPr>
          <w:p>
            <w:pPr>
              <w:jc w:val="center"/>
              <w:rPr>
                <w:b/>
                <w:bCs/>
                <w:color w:val="000000"/>
                <w:sz w:val="20"/>
                <w:szCs w:val="20"/>
              </w:rPr>
            </w:pPr>
            <w:r>
              <w:rPr>
                <w:rFonts w:hint="eastAsia"/>
                <w:b/>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1</w:t>
            </w:r>
            <w:r>
              <w:rPr>
                <w:rFonts w:cs="宋体"/>
                <w:color w:val="000000"/>
                <w:sz w:val="20"/>
                <w:szCs w:val="20"/>
              </w:rPr>
              <w:t>.1</w:t>
            </w:r>
          </w:p>
        </w:tc>
        <w:tc>
          <w:tcPr>
            <w:tcW w:w="3342" w:type="dxa"/>
            <w:vAlign w:val="center"/>
          </w:tcPr>
          <w:p>
            <w:pPr>
              <w:jc w:val="center"/>
              <w:rPr>
                <w:color w:val="000000"/>
                <w:sz w:val="20"/>
                <w:szCs w:val="20"/>
              </w:rPr>
            </w:pPr>
            <w:r>
              <w:rPr>
                <w:color w:val="000000"/>
                <w:kern w:val="0"/>
                <w:szCs w:val="21"/>
                <w:lang w:bidi="ar"/>
              </w:rPr>
              <w:t>数据到达率测试模块</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1</w:t>
            </w:r>
            <w:r>
              <w:rPr>
                <w:rFonts w:cs="宋体"/>
                <w:color w:val="000000"/>
                <w:sz w:val="20"/>
                <w:szCs w:val="20"/>
              </w:rPr>
              <w:t>.2</w:t>
            </w:r>
          </w:p>
        </w:tc>
        <w:tc>
          <w:tcPr>
            <w:tcW w:w="3342" w:type="dxa"/>
            <w:vAlign w:val="center"/>
          </w:tcPr>
          <w:p>
            <w:pPr>
              <w:jc w:val="center"/>
              <w:rPr>
                <w:color w:val="000000"/>
                <w:sz w:val="20"/>
                <w:szCs w:val="20"/>
              </w:rPr>
            </w:pPr>
            <w:r>
              <w:rPr>
                <w:color w:val="000000"/>
                <w:kern w:val="0"/>
                <w:szCs w:val="21"/>
                <w:lang w:bidi="ar"/>
              </w:rPr>
              <w:t>延迟测试模块</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1</w:t>
            </w:r>
            <w:r>
              <w:rPr>
                <w:rFonts w:cs="宋体"/>
                <w:color w:val="000000"/>
                <w:sz w:val="20"/>
                <w:szCs w:val="20"/>
              </w:rPr>
              <w:t>.3</w:t>
            </w:r>
          </w:p>
        </w:tc>
        <w:tc>
          <w:tcPr>
            <w:tcW w:w="3342" w:type="dxa"/>
            <w:vAlign w:val="center"/>
          </w:tcPr>
          <w:p>
            <w:pPr>
              <w:jc w:val="center"/>
              <w:rPr>
                <w:color w:val="000000"/>
                <w:sz w:val="20"/>
                <w:szCs w:val="20"/>
              </w:rPr>
            </w:pPr>
            <w:r>
              <w:rPr>
                <w:color w:val="000000"/>
                <w:kern w:val="0"/>
                <w:szCs w:val="21"/>
                <w:lang w:bidi="ar"/>
              </w:rPr>
              <w:t>抖动测试模块</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1</w:t>
            </w:r>
            <w:r>
              <w:rPr>
                <w:rFonts w:cs="宋体"/>
                <w:color w:val="000000"/>
                <w:sz w:val="20"/>
                <w:szCs w:val="20"/>
              </w:rPr>
              <w:t>.4</w:t>
            </w:r>
          </w:p>
        </w:tc>
        <w:tc>
          <w:tcPr>
            <w:tcW w:w="3342" w:type="dxa"/>
            <w:vAlign w:val="center"/>
          </w:tcPr>
          <w:p>
            <w:pPr>
              <w:jc w:val="center"/>
              <w:rPr>
                <w:color w:val="000000"/>
                <w:sz w:val="20"/>
                <w:szCs w:val="20"/>
              </w:rPr>
            </w:pPr>
            <w:r>
              <w:rPr>
                <w:color w:val="000000"/>
                <w:kern w:val="0"/>
                <w:szCs w:val="21"/>
                <w:lang w:bidi="ar"/>
              </w:rPr>
              <w:t>误帧测试模块</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b/>
                <w:bCs/>
                <w:color w:val="000000"/>
                <w:sz w:val="20"/>
                <w:szCs w:val="20"/>
              </w:rPr>
            </w:pPr>
            <w:r>
              <w:rPr>
                <w:rFonts w:hint="eastAsia" w:cs="宋体"/>
                <w:b/>
                <w:bCs/>
                <w:color w:val="000000"/>
                <w:sz w:val="20"/>
                <w:szCs w:val="20"/>
              </w:rPr>
              <w:t>2</w:t>
            </w:r>
          </w:p>
        </w:tc>
        <w:tc>
          <w:tcPr>
            <w:tcW w:w="3342" w:type="dxa"/>
            <w:vAlign w:val="center"/>
          </w:tcPr>
          <w:p>
            <w:pPr>
              <w:jc w:val="center"/>
              <w:rPr>
                <w:b/>
                <w:bCs/>
                <w:color w:val="000000"/>
                <w:sz w:val="20"/>
                <w:szCs w:val="20"/>
              </w:rPr>
            </w:pPr>
            <w:r>
              <w:rPr>
                <w:rStyle w:val="80"/>
                <w:rFonts w:hint="default"/>
                <w:b/>
                <w:bCs/>
                <w:szCs w:val="21"/>
                <w:lang w:bidi="ar"/>
              </w:rPr>
              <w:t>系统间数据对比测试模块</w:t>
            </w:r>
          </w:p>
        </w:tc>
        <w:tc>
          <w:tcPr>
            <w:tcW w:w="2033" w:type="dxa"/>
            <w:vAlign w:val="center"/>
          </w:tcPr>
          <w:p>
            <w:pPr>
              <w:jc w:val="center"/>
              <w:rPr>
                <w:b/>
                <w:bCs/>
                <w:color w:val="000000"/>
                <w:sz w:val="20"/>
                <w:szCs w:val="20"/>
              </w:rPr>
            </w:pPr>
            <w:r>
              <w:rPr>
                <w:rFonts w:hint="eastAsia"/>
                <w:b/>
                <w:bCs/>
                <w:color w:val="000000"/>
                <w:sz w:val="20"/>
                <w:szCs w:val="20"/>
              </w:rPr>
              <w:t>4</w:t>
            </w:r>
          </w:p>
        </w:tc>
        <w:tc>
          <w:tcPr>
            <w:tcW w:w="1967" w:type="dxa"/>
            <w:vAlign w:val="center"/>
          </w:tcPr>
          <w:p>
            <w:pPr>
              <w:jc w:val="center"/>
              <w:rPr>
                <w:b/>
                <w:bCs/>
                <w:color w:val="000000"/>
                <w:sz w:val="20"/>
                <w:szCs w:val="20"/>
              </w:rPr>
            </w:pPr>
            <w:r>
              <w:rPr>
                <w:rFonts w:hint="eastAsia"/>
                <w:b/>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2</w:t>
            </w:r>
            <w:r>
              <w:rPr>
                <w:rFonts w:cs="宋体"/>
                <w:color w:val="000000"/>
                <w:sz w:val="20"/>
                <w:szCs w:val="20"/>
              </w:rPr>
              <w:t>.1</w:t>
            </w:r>
          </w:p>
        </w:tc>
        <w:tc>
          <w:tcPr>
            <w:tcW w:w="3342" w:type="dxa"/>
            <w:vAlign w:val="center"/>
          </w:tcPr>
          <w:p>
            <w:pPr>
              <w:jc w:val="center"/>
              <w:rPr>
                <w:rStyle w:val="80"/>
                <w:rFonts w:hint="default"/>
                <w:szCs w:val="21"/>
                <w:lang w:bidi="ar"/>
              </w:rPr>
            </w:pPr>
            <w:r>
              <w:rPr>
                <w:color w:val="000000"/>
                <w:kern w:val="0"/>
                <w:szCs w:val="21"/>
                <w:lang w:bidi="ar"/>
              </w:rPr>
              <w:t>数据流量测试模块</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2</w:t>
            </w:r>
            <w:r>
              <w:rPr>
                <w:rFonts w:cs="宋体"/>
                <w:color w:val="000000"/>
                <w:sz w:val="20"/>
                <w:szCs w:val="20"/>
              </w:rPr>
              <w:t>.2</w:t>
            </w:r>
          </w:p>
        </w:tc>
        <w:tc>
          <w:tcPr>
            <w:tcW w:w="3342" w:type="dxa"/>
            <w:vAlign w:val="center"/>
          </w:tcPr>
          <w:p>
            <w:pPr>
              <w:jc w:val="center"/>
              <w:rPr>
                <w:rStyle w:val="80"/>
                <w:rFonts w:hint="default"/>
                <w:szCs w:val="21"/>
                <w:lang w:bidi="ar"/>
              </w:rPr>
            </w:pPr>
            <w:r>
              <w:rPr>
                <w:color w:val="000000"/>
                <w:kern w:val="0"/>
                <w:szCs w:val="21"/>
                <w:lang w:bidi="ar"/>
              </w:rPr>
              <w:t>数据一致性测试模块</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2</w:t>
            </w:r>
            <w:r>
              <w:rPr>
                <w:rFonts w:cs="宋体"/>
                <w:color w:val="000000"/>
                <w:sz w:val="20"/>
                <w:szCs w:val="20"/>
              </w:rPr>
              <w:t>.3</w:t>
            </w:r>
          </w:p>
        </w:tc>
        <w:tc>
          <w:tcPr>
            <w:tcW w:w="3342" w:type="dxa"/>
            <w:vAlign w:val="center"/>
          </w:tcPr>
          <w:p>
            <w:pPr>
              <w:jc w:val="center"/>
              <w:rPr>
                <w:rStyle w:val="80"/>
                <w:rFonts w:hint="default"/>
                <w:szCs w:val="21"/>
                <w:lang w:bidi="ar"/>
              </w:rPr>
            </w:pPr>
            <w:r>
              <w:rPr>
                <w:color w:val="000000"/>
                <w:kern w:val="0"/>
                <w:szCs w:val="21"/>
                <w:lang w:bidi="ar"/>
              </w:rPr>
              <w:t>时延测试模块</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2</w:t>
            </w:r>
            <w:r>
              <w:rPr>
                <w:rFonts w:cs="宋体"/>
                <w:color w:val="000000"/>
                <w:sz w:val="20"/>
                <w:szCs w:val="20"/>
              </w:rPr>
              <w:t>.4</w:t>
            </w:r>
          </w:p>
        </w:tc>
        <w:tc>
          <w:tcPr>
            <w:tcW w:w="3342" w:type="dxa"/>
            <w:vAlign w:val="center"/>
          </w:tcPr>
          <w:p>
            <w:pPr>
              <w:jc w:val="center"/>
              <w:rPr>
                <w:rStyle w:val="80"/>
                <w:rFonts w:hint="default"/>
                <w:szCs w:val="21"/>
                <w:lang w:bidi="ar"/>
              </w:rPr>
            </w:pPr>
            <w:r>
              <w:rPr>
                <w:color w:val="000000"/>
                <w:kern w:val="0"/>
                <w:szCs w:val="21"/>
                <w:lang w:bidi="ar"/>
              </w:rPr>
              <w:t>时间戳测试模块</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b/>
                <w:bCs/>
                <w:color w:val="000000"/>
                <w:sz w:val="20"/>
                <w:szCs w:val="20"/>
              </w:rPr>
            </w:pPr>
            <w:r>
              <w:rPr>
                <w:rFonts w:hint="eastAsia" w:cs="宋体"/>
                <w:b/>
                <w:bCs/>
                <w:color w:val="000000"/>
                <w:sz w:val="20"/>
                <w:szCs w:val="20"/>
              </w:rPr>
              <w:t>3</w:t>
            </w:r>
          </w:p>
        </w:tc>
        <w:tc>
          <w:tcPr>
            <w:tcW w:w="3342" w:type="dxa"/>
            <w:vAlign w:val="center"/>
          </w:tcPr>
          <w:p>
            <w:pPr>
              <w:jc w:val="center"/>
              <w:rPr>
                <w:rStyle w:val="80"/>
                <w:rFonts w:hint="default"/>
                <w:b/>
                <w:bCs/>
                <w:szCs w:val="21"/>
                <w:lang w:bidi="ar"/>
              </w:rPr>
            </w:pPr>
            <w:r>
              <w:rPr>
                <w:rStyle w:val="80"/>
                <w:rFonts w:hint="default"/>
                <w:b/>
                <w:bCs/>
                <w:szCs w:val="21"/>
                <w:lang w:bidi="ar"/>
              </w:rPr>
              <w:t>数据库吞吐性能测试模块</w:t>
            </w:r>
          </w:p>
        </w:tc>
        <w:tc>
          <w:tcPr>
            <w:tcW w:w="2033" w:type="dxa"/>
            <w:vAlign w:val="center"/>
          </w:tcPr>
          <w:p>
            <w:pPr>
              <w:jc w:val="center"/>
              <w:rPr>
                <w:b/>
                <w:bCs/>
                <w:color w:val="000000"/>
                <w:sz w:val="20"/>
                <w:szCs w:val="20"/>
              </w:rPr>
            </w:pPr>
            <w:r>
              <w:rPr>
                <w:rFonts w:hint="eastAsia"/>
                <w:b/>
                <w:bCs/>
                <w:color w:val="000000"/>
                <w:sz w:val="20"/>
                <w:szCs w:val="20"/>
              </w:rPr>
              <w:t>4</w:t>
            </w:r>
          </w:p>
        </w:tc>
        <w:tc>
          <w:tcPr>
            <w:tcW w:w="1967" w:type="dxa"/>
            <w:vAlign w:val="center"/>
          </w:tcPr>
          <w:p>
            <w:pPr>
              <w:jc w:val="center"/>
              <w:rPr>
                <w:b/>
                <w:bCs/>
                <w:color w:val="000000"/>
                <w:sz w:val="20"/>
                <w:szCs w:val="20"/>
              </w:rPr>
            </w:pPr>
            <w:r>
              <w:rPr>
                <w:rFonts w:hint="eastAsia"/>
                <w:b/>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3</w:t>
            </w:r>
            <w:r>
              <w:rPr>
                <w:rFonts w:cs="宋体"/>
                <w:color w:val="000000"/>
                <w:sz w:val="20"/>
                <w:szCs w:val="20"/>
              </w:rPr>
              <w:t>.1</w:t>
            </w:r>
          </w:p>
        </w:tc>
        <w:tc>
          <w:tcPr>
            <w:tcW w:w="3342" w:type="dxa"/>
            <w:vAlign w:val="center"/>
          </w:tcPr>
          <w:p>
            <w:pPr>
              <w:jc w:val="center"/>
              <w:rPr>
                <w:rStyle w:val="80"/>
                <w:rFonts w:hint="default"/>
                <w:szCs w:val="21"/>
                <w:lang w:bidi="ar"/>
              </w:rPr>
            </w:pPr>
            <w:r>
              <w:rPr>
                <w:color w:val="000000"/>
                <w:kern w:val="0"/>
                <w:szCs w:val="21"/>
                <w:lang w:bidi="ar"/>
              </w:rPr>
              <w:t>实时数据测试模块</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3</w:t>
            </w:r>
            <w:r>
              <w:rPr>
                <w:rFonts w:cs="宋体"/>
                <w:color w:val="000000"/>
                <w:sz w:val="20"/>
                <w:szCs w:val="20"/>
              </w:rPr>
              <w:t>.2</w:t>
            </w:r>
          </w:p>
        </w:tc>
        <w:tc>
          <w:tcPr>
            <w:tcW w:w="3342" w:type="dxa"/>
            <w:vAlign w:val="center"/>
          </w:tcPr>
          <w:p>
            <w:pPr>
              <w:jc w:val="center"/>
              <w:rPr>
                <w:rStyle w:val="80"/>
                <w:rFonts w:hint="default"/>
                <w:szCs w:val="21"/>
                <w:lang w:bidi="ar"/>
              </w:rPr>
            </w:pPr>
            <w:r>
              <w:rPr>
                <w:color w:val="000000"/>
                <w:kern w:val="0"/>
                <w:szCs w:val="21"/>
                <w:lang w:bidi="ar"/>
              </w:rPr>
              <w:t>重传数据测试模块</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3</w:t>
            </w:r>
            <w:r>
              <w:rPr>
                <w:rFonts w:cs="宋体"/>
                <w:color w:val="000000"/>
                <w:sz w:val="20"/>
                <w:szCs w:val="20"/>
              </w:rPr>
              <w:t>.3</w:t>
            </w:r>
          </w:p>
        </w:tc>
        <w:tc>
          <w:tcPr>
            <w:tcW w:w="3342" w:type="dxa"/>
            <w:vAlign w:val="center"/>
          </w:tcPr>
          <w:p>
            <w:pPr>
              <w:jc w:val="center"/>
              <w:rPr>
                <w:rStyle w:val="80"/>
                <w:rFonts w:hint="default"/>
                <w:szCs w:val="21"/>
                <w:lang w:bidi="ar"/>
              </w:rPr>
            </w:pPr>
            <w:r>
              <w:rPr>
                <w:color w:val="000000"/>
                <w:kern w:val="0"/>
                <w:szCs w:val="21"/>
                <w:lang w:bidi="ar"/>
              </w:rPr>
              <w:t>二进制数据测试模块</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3</w:t>
            </w:r>
            <w:r>
              <w:rPr>
                <w:rFonts w:cs="宋体"/>
                <w:color w:val="000000"/>
                <w:sz w:val="20"/>
                <w:szCs w:val="20"/>
              </w:rPr>
              <w:t>.4</w:t>
            </w:r>
          </w:p>
        </w:tc>
        <w:tc>
          <w:tcPr>
            <w:tcW w:w="3342" w:type="dxa"/>
            <w:vAlign w:val="center"/>
          </w:tcPr>
          <w:p>
            <w:pPr>
              <w:jc w:val="center"/>
              <w:rPr>
                <w:rStyle w:val="80"/>
                <w:rFonts w:hint="default"/>
                <w:szCs w:val="21"/>
                <w:lang w:bidi="ar"/>
              </w:rPr>
            </w:pPr>
            <w:r>
              <w:rPr>
                <w:rStyle w:val="81"/>
                <w:rFonts w:hint="default"/>
                <w:szCs w:val="21"/>
                <w:lang w:bidi="ar"/>
              </w:rPr>
              <w:t>ASM数据测试模块</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b/>
                <w:bCs/>
                <w:color w:val="000000"/>
                <w:sz w:val="20"/>
                <w:szCs w:val="20"/>
              </w:rPr>
            </w:pPr>
            <w:r>
              <w:rPr>
                <w:rFonts w:hint="eastAsia" w:cs="宋体"/>
                <w:b/>
                <w:bCs/>
                <w:color w:val="000000"/>
                <w:sz w:val="20"/>
                <w:szCs w:val="20"/>
              </w:rPr>
              <w:t>4</w:t>
            </w:r>
          </w:p>
        </w:tc>
        <w:tc>
          <w:tcPr>
            <w:tcW w:w="3342" w:type="dxa"/>
            <w:vAlign w:val="center"/>
          </w:tcPr>
          <w:p>
            <w:pPr>
              <w:jc w:val="center"/>
              <w:rPr>
                <w:rStyle w:val="80"/>
                <w:rFonts w:hint="default"/>
                <w:b/>
                <w:bCs/>
                <w:szCs w:val="21"/>
                <w:lang w:bidi="ar"/>
              </w:rPr>
            </w:pPr>
            <w:r>
              <w:rPr>
                <w:rStyle w:val="80"/>
                <w:rFonts w:hint="default"/>
                <w:b/>
                <w:bCs/>
                <w:szCs w:val="21"/>
                <w:lang w:bidi="ar"/>
              </w:rPr>
              <w:t>数据检索性能测试模块</w:t>
            </w:r>
          </w:p>
        </w:tc>
        <w:tc>
          <w:tcPr>
            <w:tcW w:w="2033" w:type="dxa"/>
            <w:vAlign w:val="center"/>
          </w:tcPr>
          <w:p>
            <w:pPr>
              <w:jc w:val="center"/>
              <w:rPr>
                <w:b/>
                <w:bCs/>
                <w:color w:val="000000"/>
                <w:sz w:val="20"/>
                <w:szCs w:val="20"/>
              </w:rPr>
            </w:pPr>
            <w:r>
              <w:rPr>
                <w:rFonts w:hint="eastAsia"/>
                <w:b/>
                <w:bCs/>
                <w:color w:val="000000"/>
                <w:sz w:val="20"/>
                <w:szCs w:val="20"/>
              </w:rPr>
              <w:t>4</w:t>
            </w:r>
          </w:p>
        </w:tc>
        <w:tc>
          <w:tcPr>
            <w:tcW w:w="1967" w:type="dxa"/>
            <w:vAlign w:val="center"/>
          </w:tcPr>
          <w:p>
            <w:pPr>
              <w:jc w:val="center"/>
              <w:rPr>
                <w:b/>
                <w:bCs/>
                <w:color w:val="000000"/>
                <w:sz w:val="20"/>
                <w:szCs w:val="20"/>
              </w:rPr>
            </w:pPr>
            <w:r>
              <w:rPr>
                <w:rFonts w:hint="eastAsia"/>
                <w:b/>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4</w:t>
            </w:r>
            <w:r>
              <w:rPr>
                <w:rFonts w:cs="宋体"/>
                <w:color w:val="000000"/>
                <w:sz w:val="20"/>
                <w:szCs w:val="20"/>
              </w:rPr>
              <w:t>.1</w:t>
            </w:r>
          </w:p>
        </w:tc>
        <w:tc>
          <w:tcPr>
            <w:tcW w:w="3342" w:type="dxa"/>
            <w:vAlign w:val="center"/>
          </w:tcPr>
          <w:p>
            <w:pPr>
              <w:jc w:val="center"/>
              <w:rPr>
                <w:rStyle w:val="80"/>
                <w:rFonts w:hint="default"/>
                <w:szCs w:val="21"/>
                <w:lang w:bidi="ar"/>
              </w:rPr>
            </w:pPr>
            <w:r>
              <w:rPr>
                <w:color w:val="000000"/>
                <w:kern w:val="0"/>
                <w:szCs w:val="21"/>
                <w:lang w:bidi="ar"/>
              </w:rPr>
              <w:t>时段数据测试模块</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4</w:t>
            </w:r>
            <w:r>
              <w:rPr>
                <w:rFonts w:cs="宋体"/>
                <w:color w:val="000000"/>
                <w:sz w:val="20"/>
                <w:szCs w:val="20"/>
              </w:rPr>
              <w:t>.2</w:t>
            </w:r>
          </w:p>
        </w:tc>
        <w:tc>
          <w:tcPr>
            <w:tcW w:w="3342" w:type="dxa"/>
            <w:vAlign w:val="center"/>
          </w:tcPr>
          <w:p>
            <w:pPr>
              <w:jc w:val="center"/>
              <w:rPr>
                <w:rStyle w:val="80"/>
                <w:rFonts w:hint="default"/>
                <w:szCs w:val="21"/>
                <w:lang w:bidi="ar"/>
              </w:rPr>
            </w:pPr>
            <w:r>
              <w:rPr>
                <w:color w:val="000000"/>
                <w:kern w:val="0"/>
                <w:szCs w:val="21"/>
                <w:lang w:bidi="ar"/>
              </w:rPr>
              <w:t>因素过滤数据测试模块</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4</w:t>
            </w:r>
            <w:r>
              <w:rPr>
                <w:rFonts w:cs="宋体"/>
                <w:color w:val="000000"/>
                <w:sz w:val="20"/>
                <w:szCs w:val="20"/>
              </w:rPr>
              <w:t>.3</w:t>
            </w:r>
          </w:p>
        </w:tc>
        <w:tc>
          <w:tcPr>
            <w:tcW w:w="3342" w:type="dxa"/>
            <w:vAlign w:val="center"/>
          </w:tcPr>
          <w:p>
            <w:pPr>
              <w:jc w:val="center"/>
              <w:rPr>
                <w:rStyle w:val="80"/>
                <w:rFonts w:hint="default"/>
                <w:szCs w:val="21"/>
                <w:lang w:bidi="ar"/>
              </w:rPr>
            </w:pPr>
            <w:r>
              <w:rPr>
                <w:color w:val="000000"/>
                <w:kern w:val="0"/>
                <w:szCs w:val="21"/>
                <w:lang w:bidi="ar"/>
              </w:rPr>
              <w:t>多任务数据测试模块</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4</w:t>
            </w:r>
            <w:r>
              <w:rPr>
                <w:rFonts w:cs="宋体"/>
                <w:color w:val="000000"/>
                <w:sz w:val="20"/>
                <w:szCs w:val="20"/>
              </w:rPr>
              <w:t>.4</w:t>
            </w:r>
          </w:p>
        </w:tc>
        <w:tc>
          <w:tcPr>
            <w:tcW w:w="3342" w:type="dxa"/>
            <w:vAlign w:val="center"/>
          </w:tcPr>
          <w:p>
            <w:pPr>
              <w:jc w:val="center"/>
              <w:rPr>
                <w:rStyle w:val="80"/>
                <w:rFonts w:hint="default"/>
                <w:szCs w:val="21"/>
                <w:lang w:bidi="ar"/>
              </w:rPr>
            </w:pPr>
            <w:r>
              <w:rPr>
                <w:color w:val="000000"/>
                <w:kern w:val="0"/>
                <w:szCs w:val="21"/>
                <w:lang w:bidi="ar"/>
              </w:rPr>
              <w:t>报文头适配速度测试</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b/>
                <w:bCs/>
                <w:color w:val="000000"/>
                <w:sz w:val="20"/>
                <w:szCs w:val="20"/>
              </w:rPr>
            </w:pPr>
            <w:r>
              <w:rPr>
                <w:rFonts w:hint="eastAsia" w:cs="宋体"/>
                <w:b/>
                <w:bCs/>
                <w:color w:val="000000"/>
                <w:sz w:val="20"/>
                <w:szCs w:val="20"/>
              </w:rPr>
              <w:t>5</w:t>
            </w:r>
          </w:p>
        </w:tc>
        <w:tc>
          <w:tcPr>
            <w:tcW w:w="3342" w:type="dxa"/>
            <w:vAlign w:val="center"/>
          </w:tcPr>
          <w:p>
            <w:pPr>
              <w:jc w:val="center"/>
              <w:rPr>
                <w:rStyle w:val="80"/>
                <w:rFonts w:hint="default"/>
                <w:b/>
                <w:bCs/>
                <w:szCs w:val="21"/>
                <w:lang w:bidi="ar"/>
              </w:rPr>
            </w:pPr>
            <w:r>
              <w:rPr>
                <w:rStyle w:val="80"/>
                <w:rFonts w:hint="default"/>
                <w:b/>
                <w:bCs/>
                <w:szCs w:val="21"/>
                <w:lang w:bidi="ar"/>
              </w:rPr>
              <w:t>数据接口压力测试模块</w:t>
            </w:r>
          </w:p>
        </w:tc>
        <w:tc>
          <w:tcPr>
            <w:tcW w:w="2033" w:type="dxa"/>
            <w:vAlign w:val="center"/>
          </w:tcPr>
          <w:p>
            <w:pPr>
              <w:jc w:val="center"/>
              <w:rPr>
                <w:b/>
                <w:bCs/>
                <w:color w:val="000000"/>
                <w:sz w:val="20"/>
                <w:szCs w:val="20"/>
              </w:rPr>
            </w:pPr>
            <w:r>
              <w:rPr>
                <w:rFonts w:hint="eastAsia"/>
                <w:b/>
                <w:bCs/>
                <w:color w:val="000000"/>
                <w:sz w:val="20"/>
                <w:szCs w:val="20"/>
              </w:rPr>
              <w:t>3</w:t>
            </w:r>
          </w:p>
        </w:tc>
        <w:tc>
          <w:tcPr>
            <w:tcW w:w="1967" w:type="dxa"/>
            <w:vAlign w:val="center"/>
          </w:tcPr>
          <w:p>
            <w:pPr>
              <w:jc w:val="center"/>
              <w:rPr>
                <w:b/>
                <w:bCs/>
                <w:color w:val="000000"/>
                <w:sz w:val="20"/>
                <w:szCs w:val="20"/>
              </w:rPr>
            </w:pPr>
            <w:r>
              <w:rPr>
                <w:rFonts w:hint="eastAsia"/>
                <w:b/>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5</w:t>
            </w:r>
            <w:r>
              <w:rPr>
                <w:rFonts w:cs="宋体"/>
                <w:color w:val="000000"/>
                <w:sz w:val="20"/>
                <w:szCs w:val="20"/>
              </w:rPr>
              <w:t>.1</w:t>
            </w:r>
          </w:p>
        </w:tc>
        <w:tc>
          <w:tcPr>
            <w:tcW w:w="3342" w:type="dxa"/>
            <w:vAlign w:val="center"/>
          </w:tcPr>
          <w:p>
            <w:pPr>
              <w:jc w:val="center"/>
              <w:rPr>
                <w:rStyle w:val="80"/>
                <w:rFonts w:hint="default"/>
                <w:szCs w:val="21"/>
                <w:lang w:bidi="ar"/>
              </w:rPr>
            </w:pPr>
            <w:r>
              <w:rPr>
                <w:color w:val="000000"/>
                <w:kern w:val="0"/>
                <w:szCs w:val="21"/>
                <w:lang w:bidi="ar"/>
              </w:rPr>
              <w:t>用户压力测试模块</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5</w:t>
            </w:r>
            <w:r>
              <w:rPr>
                <w:rFonts w:cs="宋体"/>
                <w:color w:val="000000"/>
                <w:sz w:val="20"/>
                <w:szCs w:val="20"/>
              </w:rPr>
              <w:t>.2</w:t>
            </w:r>
          </w:p>
        </w:tc>
        <w:tc>
          <w:tcPr>
            <w:tcW w:w="3342" w:type="dxa"/>
            <w:vAlign w:val="center"/>
          </w:tcPr>
          <w:p>
            <w:pPr>
              <w:jc w:val="center"/>
              <w:rPr>
                <w:rStyle w:val="80"/>
                <w:rFonts w:hint="default"/>
                <w:szCs w:val="21"/>
                <w:lang w:bidi="ar"/>
              </w:rPr>
            </w:pPr>
            <w:r>
              <w:rPr>
                <w:color w:val="000000"/>
                <w:kern w:val="0"/>
                <w:szCs w:val="21"/>
                <w:lang w:bidi="ar"/>
              </w:rPr>
              <w:t>数据过滤压力测试模块</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5</w:t>
            </w:r>
            <w:r>
              <w:rPr>
                <w:rFonts w:cs="宋体"/>
                <w:color w:val="000000"/>
                <w:sz w:val="20"/>
                <w:szCs w:val="20"/>
              </w:rPr>
              <w:t>.3</w:t>
            </w:r>
          </w:p>
        </w:tc>
        <w:tc>
          <w:tcPr>
            <w:tcW w:w="3342" w:type="dxa"/>
            <w:vAlign w:val="center"/>
          </w:tcPr>
          <w:p>
            <w:pPr>
              <w:jc w:val="center"/>
              <w:rPr>
                <w:rStyle w:val="80"/>
                <w:rFonts w:hint="default"/>
                <w:szCs w:val="21"/>
                <w:lang w:bidi="ar"/>
              </w:rPr>
            </w:pPr>
            <w:r>
              <w:rPr>
                <w:color w:val="000000"/>
                <w:kern w:val="0"/>
                <w:szCs w:val="21"/>
                <w:lang w:bidi="ar"/>
              </w:rPr>
              <w:t>并发鉴权压力测试模块</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b/>
                <w:bCs/>
                <w:color w:val="000000"/>
                <w:sz w:val="20"/>
                <w:szCs w:val="20"/>
              </w:rPr>
            </w:pPr>
            <w:r>
              <w:rPr>
                <w:rFonts w:hint="eastAsia" w:cs="宋体"/>
                <w:b/>
                <w:bCs/>
                <w:color w:val="000000"/>
                <w:sz w:val="20"/>
                <w:szCs w:val="20"/>
              </w:rPr>
              <w:t>6</w:t>
            </w:r>
          </w:p>
        </w:tc>
        <w:tc>
          <w:tcPr>
            <w:tcW w:w="3342" w:type="dxa"/>
            <w:vAlign w:val="center"/>
          </w:tcPr>
          <w:p>
            <w:pPr>
              <w:jc w:val="center"/>
              <w:rPr>
                <w:rStyle w:val="80"/>
                <w:rFonts w:hint="default"/>
                <w:b/>
                <w:bCs/>
                <w:szCs w:val="21"/>
                <w:lang w:bidi="ar"/>
              </w:rPr>
            </w:pPr>
            <w:r>
              <w:rPr>
                <w:rStyle w:val="80"/>
                <w:rFonts w:hint="default"/>
                <w:b/>
                <w:bCs/>
                <w:szCs w:val="21"/>
                <w:lang w:bidi="ar"/>
              </w:rPr>
              <w:t>数据接口安全性能测试模块</w:t>
            </w:r>
          </w:p>
        </w:tc>
        <w:tc>
          <w:tcPr>
            <w:tcW w:w="2033" w:type="dxa"/>
            <w:vAlign w:val="center"/>
          </w:tcPr>
          <w:p>
            <w:pPr>
              <w:jc w:val="center"/>
              <w:rPr>
                <w:b/>
                <w:bCs/>
                <w:color w:val="000000"/>
                <w:sz w:val="20"/>
                <w:szCs w:val="20"/>
              </w:rPr>
            </w:pPr>
            <w:r>
              <w:rPr>
                <w:rFonts w:hint="eastAsia"/>
                <w:b/>
                <w:bCs/>
                <w:color w:val="000000"/>
                <w:sz w:val="20"/>
                <w:szCs w:val="20"/>
              </w:rPr>
              <w:t>2</w:t>
            </w:r>
          </w:p>
        </w:tc>
        <w:tc>
          <w:tcPr>
            <w:tcW w:w="1967" w:type="dxa"/>
            <w:vAlign w:val="center"/>
          </w:tcPr>
          <w:p>
            <w:pPr>
              <w:jc w:val="center"/>
              <w:rPr>
                <w:b/>
                <w:bCs/>
                <w:color w:val="000000"/>
                <w:sz w:val="20"/>
                <w:szCs w:val="20"/>
              </w:rPr>
            </w:pPr>
            <w:r>
              <w:rPr>
                <w:rFonts w:hint="eastAsia"/>
                <w:b/>
                <w:bCs/>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6</w:t>
            </w:r>
            <w:r>
              <w:rPr>
                <w:rFonts w:cs="宋体"/>
                <w:color w:val="000000"/>
                <w:sz w:val="20"/>
                <w:szCs w:val="20"/>
              </w:rPr>
              <w:t>.1</w:t>
            </w:r>
          </w:p>
        </w:tc>
        <w:tc>
          <w:tcPr>
            <w:tcW w:w="3342" w:type="dxa"/>
            <w:vAlign w:val="center"/>
          </w:tcPr>
          <w:p>
            <w:pPr>
              <w:jc w:val="center"/>
              <w:rPr>
                <w:rStyle w:val="80"/>
                <w:rFonts w:hint="default"/>
                <w:szCs w:val="21"/>
                <w:lang w:bidi="ar"/>
              </w:rPr>
            </w:pPr>
            <w:r>
              <w:rPr>
                <w:rStyle w:val="81"/>
                <w:rFonts w:hint="default"/>
                <w:szCs w:val="21"/>
                <w:lang w:bidi="ar"/>
              </w:rPr>
              <w:t>DDOS攻击测试模块</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7" w:type="dxa"/>
            <w:vAlign w:val="center"/>
          </w:tcPr>
          <w:p>
            <w:pPr>
              <w:jc w:val="center"/>
              <w:rPr>
                <w:rFonts w:cs="宋体"/>
                <w:color w:val="000000"/>
                <w:sz w:val="20"/>
                <w:szCs w:val="20"/>
              </w:rPr>
            </w:pPr>
            <w:r>
              <w:rPr>
                <w:rFonts w:hint="eastAsia" w:cs="宋体"/>
                <w:color w:val="000000"/>
                <w:sz w:val="20"/>
                <w:szCs w:val="20"/>
              </w:rPr>
              <w:t>6</w:t>
            </w:r>
            <w:r>
              <w:rPr>
                <w:rFonts w:cs="宋体"/>
                <w:color w:val="000000"/>
                <w:sz w:val="20"/>
                <w:szCs w:val="20"/>
              </w:rPr>
              <w:t>.2</w:t>
            </w:r>
          </w:p>
        </w:tc>
        <w:tc>
          <w:tcPr>
            <w:tcW w:w="3342" w:type="dxa"/>
            <w:vAlign w:val="center"/>
          </w:tcPr>
          <w:p>
            <w:pPr>
              <w:jc w:val="center"/>
              <w:rPr>
                <w:rStyle w:val="80"/>
                <w:rFonts w:hint="default"/>
                <w:szCs w:val="21"/>
                <w:lang w:bidi="ar"/>
              </w:rPr>
            </w:pPr>
            <w:r>
              <w:rPr>
                <w:color w:val="000000"/>
                <w:kern w:val="0"/>
                <w:szCs w:val="21"/>
                <w:lang w:bidi="ar"/>
              </w:rPr>
              <w:t>数据代理安全性测试模块</w:t>
            </w:r>
          </w:p>
        </w:tc>
        <w:tc>
          <w:tcPr>
            <w:tcW w:w="2033" w:type="dxa"/>
            <w:vAlign w:val="center"/>
          </w:tcPr>
          <w:p>
            <w:pPr>
              <w:jc w:val="center"/>
              <w:rPr>
                <w:color w:val="000000"/>
                <w:sz w:val="20"/>
                <w:szCs w:val="20"/>
              </w:rPr>
            </w:pPr>
          </w:p>
        </w:tc>
        <w:tc>
          <w:tcPr>
            <w:tcW w:w="1967" w:type="dxa"/>
            <w:vAlign w:val="center"/>
          </w:tcPr>
          <w:p>
            <w:pPr>
              <w:jc w:val="center"/>
              <w:rPr>
                <w:color w:val="000000"/>
                <w:sz w:val="20"/>
                <w:szCs w:val="20"/>
              </w:rPr>
            </w:pPr>
          </w:p>
        </w:tc>
      </w:tr>
    </w:tbl>
    <w:p/>
    <w:p>
      <w:pPr>
        <w:pStyle w:val="4"/>
        <w:numPr>
          <w:ilvl w:val="1"/>
          <w:numId w:val="0"/>
        </w:numPr>
        <w:tabs>
          <w:tab w:val="clear" w:pos="0"/>
        </w:tabs>
        <w:rPr>
          <w:rFonts w:ascii="Times New Roman" w:hAnsi="Times New Roman" w:eastAsia="宋体"/>
          <w:sz w:val="24"/>
          <w:szCs w:val="24"/>
        </w:rPr>
      </w:pPr>
      <w:bookmarkStart w:id="74" w:name="_Toc100742937"/>
      <w:r>
        <w:rPr>
          <w:rFonts w:hint="eastAsia" w:ascii="Times New Roman" w:hAnsi="Times New Roman" w:eastAsia="宋体"/>
          <w:sz w:val="24"/>
          <w:szCs w:val="24"/>
        </w:rPr>
        <w:t>3.2硬件</w:t>
      </w:r>
      <w:r>
        <w:rPr>
          <w:rFonts w:ascii="Times New Roman" w:hAnsi="Times New Roman" w:eastAsia="宋体"/>
          <w:sz w:val="24"/>
          <w:szCs w:val="24"/>
        </w:rPr>
        <w:t>设备</w:t>
      </w:r>
      <w:r>
        <w:rPr>
          <w:rFonts w:hint="eastAsia" w:ascii="Times New Roman" w:hAnsi="Times New Roman" w:eastAsia="宋体"/>
          <w:sz w:val="24"/>
          <w:szCs w:val="24"/>
        </w:rPr>
        <w:t>技术要求</w:t>
      </w:r>
      <w:bookmarkEnd w:id="74"/>
    </w:p>
    <w:p>
      <w:pPr>
        <w:pStyle w:val="5"/>
        <w:rPr>
          <w:sz w:val="24"/>
          <w:szCs w:val="24"/>
        </w:rPr>
      </w:pPr>
      <w:bookmarkStart w:id="75" w:name="_Toc100742938"/>
      <w:bookmarkStart w:id="76" w:name="_Toc454875906"/>
      <w:r>
        <w:rPr>
          <w:rFonts w:hint="eastAsia"/>
          <w:sz w:val="24"/>
          <w:szCs w:val="24"/>
        </w:rPr>
        <w:t>3.2.1服务器（海区）</w:t>
      </w:r>
      <w:bookmarkEnd w:id="75"/>
    </w:p>
    <w:tbl>
      <w:tblPr>
        <w:tblStyle w:val="32"/>
        <w:tblW w:w="85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851"/>
        <w:gridCol w:w="1701"/>
        <w:gridCol w:w="5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675" w:type="dxa"/>
            <w:vAlign w:val="center"/>
          </w:tcPr>
          <w:p>
            <w:pPr>
              <w:pStyle w:val="26"/>
              <w:snapToGrid w:val="0"/>
              <w:spacing w:after="0" w:line="240" w:lineRule="auto"/>
              <w:jc w:val="left"/>
            </w:pPr>
            <w:r>
              <w:t>序号</w:t>
            </w:r>
          </w:p>
        </w:tc>
        <w:tc>
          <w:tcPr>
            <w:tcW w:w="851" w:type="dxa"/>
            <w:vAlign w:val="center"/>
          </w:tcPr>
          <w:p>
            <w:pPr>
              <w:pStyle w:val="26"/>
              <w:snapToGrid w:val="0"/>
              <w:spacing w:after="0" w:line="240" w:lineRule="auto"/>
              <w:jc w:val="left"/>
            </w:pPr>
            <w:r>
              <w:t>指标</w:t>
            </w:r>
          </w:p>
        </w:tc>
        <w:tc>
          <w:tcPr>
            <w:tcW w:w="1701" w:type="dxa"/>
            <w:vAlign w:val="center"/>
          </w:tcPr>
          <w:p>
            <w:pPr>
              <w:pStyle w:val="26"/>
              <w:snapToGrid w:val="0"/>
              <w:spacing w:after="0" w:line="240" w:lineRule="auto"/>
              <w:jc w:val="left"/>
            </w:pPr>
            <w:r>
              <w:t>指标项</w:t>
            </w:r>
          </w:p>
        </w:tc>
        <w:tc>
          <w:tcPr>
            <w:tcW w:w="5296" w:type="dxa"/>
            <w:vAlign w:val="center"/>
          </w:tcPr>
          <w:p>
            <w:pPr>
              <w:pStyle w:val="26"/>
              <w:snapToGrid w:val="0"/>
              <w:spacing w:after="0" w:line="240" w:lineRule="auto"/>
              <w:jc w:val="left"/>
            </w:pPr>
            <w:r>
              <w:t>技术规格要求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675" w:type="dxa"/>
            <w:vMerge w:val="restart"/>
            <w:vAlign w:val="center"/>
          </w:tcPr>
          <w:p>
            <w:pPr>
              <w:pStyle w:val="26"/>
              <w:snapToGrid w:val="0"/>
              <w:spacing w:after="0" w:line="240" w:lineRule="auto"/>
              <w:jc w:val="left"/>
            </w:pPr>
            <w:r>
              <w:t>1</w:t>
            </w:r>
          </w:p>
        </w:tc>
        <w:tc>
          <w:tcPr>
            <w:tcW w:w="851" w:type="dxa"/>
            <w:vMerge w:val="restart"/>
            <w:vAlign w:val="center"/>
          </w:tcPr>
          <w:p>
            <w:pPr>
              <w:pStyle w:val="26"/>
              <w:snapToGrid w:val="0"/>
              <w:spacing w:after="0" w:line="240" w:lineRule="auto"/>
              <w:jc w:val="left"/>
            </w:pPr>
            <w:r>
              <w:t>外观</w:t>
            </w:r>
          </w:p>
        </w:tc>
        <w:tc>
          <w:tcPr>
            <w:tcW w:w="1701" w:type="dxa"/>
            <w:vAlign w:val="center"/>
          </w:tcPr>
          <w:p>
            <w:pPr>
              <w:pStyle w:val="26"/>
              <w:snapToGrid w:val="0"/>
              <w:spacing w:after="0" w:line="240" w:lineRule="auto"/>
              <w:jc w:val="left"/>
            </w:pPr>
            <w:r>
              <w:t>服务器外观</w:t>
            </w:r>
          </w:p>
        </w:tc>
        <w:tc>
          <w:tcPr>
            <w:tcW w:w="5296" w:type="dxa"/>
          </w:tcPr>
          <w:p>
            <w:pPr>
              <w:pStyle w:val="26"/>
              <w:snapToGrid w:val="0"/>
              <w:spacing w:after="0" w:line="240" w:lineRule="auto"/>
              <w:jc w:val="left"/>
            </w:pPr>
            <w:r>
              <w:t>机架式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75" w:type="dxa"/>
            <w:vMerge w:val="continue"/>
            <w:vAlign w:val="center"/>
          </w:tcPr>
          <w:p>
            <w:pPr>
              <w:pStyle w:val="26"/>
              <w:snapToGrid w:val="0"/>
              <w:spacing w:after="0" w:line="240" w:lineRule="auto"/>
              <w:jc w:val="left"/>
            </w:pPr>
          </w:p>
        </w:tc>
        <w:tc>
          <w:tcPr>
            <w:tcW w:w="851" w:type="dxa"/>
            <w:vMerge w:val="continue"/>
            <w:vAlign w:val="center"/>
          </w:tcPr>
          <w:p>
            <w:pPr>
              <w:pStyle w:val="26"/>
              <w:snapToGrid w:val="0"/>
              <w:spacing w:after="0" w:line="240" w:lineRule="auto"/>
              <w:jc w:val="left"/>
            </w:pPr>
          </w:p>
        </w:tc>
        <w:tc>
          <w:tcPr>
            <w:tcW w:w="1701" w:type="dxa"/>
            <w:vAlign w:val="center"/>
          </w:tcPr>
          <w:p>
            <w:pPr>
              <w:pStyle w:val="26"/>
              <w:snapToGrid w:val="0"/>
              <w:spacing w:after="0" w:line="240" w:lineRule="auto"/>
              <w:jc w:val="left"/>
            </w:pPr>
            <w:r>
              <w:t>服务器高度</w:t>
            </w:r>
          </w:p>
        </w:tc>
        <w:tc>
          <w:tcPr>
            <w:tcW w:w="5296" w:type="dxa"/>
          </w:tcPr>
          <w:p>
            <w:pPr>
              <w:pStyle w:val="26"/>
              <w:snapToGrid w:val="0"/>
              <w:spacing w:after="0" w:line="240" w:lineRule="auto"/>
              <w:jc w:val="left"/>
            </w:pPr>
            <w:r>
              <w:t>2U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675" w:type="dxa"/>
            <w:vMerge w:val="restart"/>
            <w:vAlign w:val="center"/>
          </w:tcPr>
          <w:p>
            <w:pPr>
              <w:pStyle w:val="26"/>
              <w:snapToGrid w:val="0"/>
              <w:spacing w:after="0" w:line="240" w:lineRule="auto"/>
              <w:jc w:val="left"/>
            </w:pPr>
            <w:r>
              <w:t>2.</w:t>
            </w:r>
          </w:p>
        </w:tc>
        <w:tc>
          <w:tcPr>
            <w:tcW w:w="851" w:type="dxa"/>
            <w:vMerge w:val="restart"/>
            <w:vAlign w:val="center"/>
          </w:tcPr>
          <w:p>
            <w:pPr>
              <w:pStyle w:val="26"/>
              <w:snapToGrid w:val="0"/>
              <w:spacing w:after="0" w:line="240" w:lineRule="auto"/>
              <w:jc w:val="left"/>
            </w:pPr>
            <w:r>
              <w:t>处理器</w:t>
            </w:r>
          </w:p>
        </w:tc>
        <w:tc>
          <w:tcPr>
            <w:tcW w:w="1701" w:type="dxa"/>
            <w:vAlign w:val="center"/>
          </w:tcPr>
          <w:p>
            <w:pPr>
              <w:pStyle w:val="26"/>
              <w:snapToGrid w:val="0"/>
              <w:spacing w:after="0" w:line="240" w:lineRule="auto"/>
              <w:jc w:val="left"/>
            </w:pPr>
            <w:r>
              <w:t>支持扩展选项</w:t>
            </w:r>
          </w:p>
        </w:tc>
        <w:tc>
          <w:tcPr>
            <w:tcW w:w="5296" w:type="dxa"/>
          </w:tcPr>
          <w:p>
            <w:pPr>
              <w:pStyle w:val="26"/>
              <w:snapToGrid w:val="0"/>
              <w:spacing w:after="0" w:line="240" w:lineRule="auto"/>
              <w:jc w:val="left"/>
            </w:pPr>
            <w:r>
              <w:t>支持扩展至2颗CPU 24core (处理器1+1设计)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75" w:type="dxa"/>
            <w:vMerge w:val="continue"/>
            <w:vAlign w:val="center"/>
          </w:tcPr>
          <w:p>
            <w:pPr>
              <w:pStyle w:val="26"/>
              <w:snapToGrid w:val="0"/>
              <w:spacing w:after="0" w:line="240" w:lineRule="auto"/>
              <w:jc w:val="left"/>
            </w:pPr>
          </w:p>
        </w:tc>
        <w:tc>
          <w:tcPr>
            <w:tcW w:w="851" w:type="dxa"/>
            <w:vMerge w:val="continue"/>
            <w:vAlign w:val="center"/>
          </w:tcPr>
          <w:p>
            <w:pPr>
              <w:pStyle w:val="26"/>
              <w:snapToGrid w:val="0"/>
              <w:spacing w:after="0" w:line="240" w:lineRule="auto"/>
              <w:jc w:val="left"/>
            </w:pPr>
          </w:p>
        </w:tc>
        <w:tc>
          <w:tcPr>
            <w:tcW w:w="1701" w:type="dxa"/>
            <w:vAlign w:val="center"/>
          </w:tcPr>
          <w:p>
            <w:pPr>
              <w:pStyle w:val="26"/>
              <w:snapToGrid w:val="0"/>
              <w:spacing w:after="0" w:line="240" w:lineRule="auto"/>
              <w:jc w:val="left"/>
            </w:pPr>
            <w:r>
              <w:t>处理器类型</w:t>
            </w:r>
          </w:p>
        </w:tc>
        <w:tc>
          <w:tcPr>
            <w:tcW w:w="5296" w:type="dxa"/>
            <w:vAlign w:val="bottom"/>
          </w:tcPr>
          <w:p>
            <w:pPr>
              <w:pStyle w:val="26"/>
              <w:snapToGrid w:val="0"/>
              <w:spacing w:after="0" w:line="240" w:lineRule="auto"/>
              <w:jc w:val="left"/>
            </w:pPr>
            <w:r>
              <w:t>2颗 Intel 24核或更高至强处理器/AMD EPYC 48核或更高处理器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675" w:type="dxa"/>
            <w:vMerge w:val="continue"/>
            <w:vAlign w:val="center"/>
          </w:tcPr>
          <w:p>
            <w:pPr>
              <w:pStyle w:val="26"/>
              <w:snapToGrid w:val="0"/>
              <w:spacing w:after="0" w:line="240" w:lineRule="auto"/>
              <w:jc w:val="left"/>
            </w:pPr>
          </w:p>
        </w:tc>
        <w:tc>
          <w:tcPr>
            <w:tcW w:w="851" w:type="dxa"/>
            <w:vMerge w:val="continue"/>
            <w:vAlign w:val="center"/>
          </w:tcPr>
          <w:p>
            <w:pPr>
              <w:pStyle w:val="26"/>
              <w:snapToGrid w:val="0"/>
              <w:spacing w:after="0" w:line="240" w:lineRule="auto"/>
              <w:jc w:val="left"/>
            </w:pPr>
          </w:p>
        </w:tc>
        <w:tc>
          <w:tcPr>
            <w:tcW w:w="1701" w:type="dxa"/>
            <w:vAlign w:val="center"/>
          </w:tcPr>
          <w:p>
            <w:pPr>
              <w:pStyle w:val="26"/>
              <w:snapToGrid w:val="0"/>
              <w:spacing w:after="0" w:line="240" w:lineRule="auto"/>
              <w:jc w:val="left"/>
            </w:pPr>
            <w:r>
              <w:t>处理器主频</w:t>
            </w:r>
          </w:p>
        </w:tc>
        <w:tc>
          <w:tcPr>
            <w:tcW w:w="5296" w:type="dxa"/>
            <w:vAlign w:val="bottom"/>
          </w:tcPr>
          <w:p>
            <w:pPr>
              <w:pStyle w:val="26"/>
              <w:snapToGrid w:val="0"/>
              <w:spacing w:after="0" w:line="240" w:lineRule="auto"/>
              <w:jc w:val="left"/>
            </w:pPr>
            <w:r>
              <w:t>≥2.4GHz（全核突发频率）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675" w:type="dxa"/>
            <w:vMerge w:val="continue"/>
            <w:vAlign w:val="center"/>
          </w:tcPr>
          <w:p>
            <w:pPr>
              <w:pStyle w:val="26"/>
              <w:snapToGrid w:val="0"/>
              <w:spacing w:after="0" w:line="240" w:lineRule="auto"/>
              <w:jc w:val="left"/>
            </w:pPr>
          </w:p>
        </w:tc>
        <w:tc>
          <w:tcPr>
            <w:tcW w:w="851" w:type="dxa"/>
            <w:vMerge w:val="continue"/>
            <w:vAlign w:val="center"/>
          </w:tcPr>
          <w:p>
            <w:pPr>
              <w:pStyle w:val="26"/>
              <w:snapToGrid w:val="0"/>
              <w:spacing w:after="0" w:line="240" w:lineRule="auto"/>
              <w:jc w:val="left"/>
            </w:pPr>
          </w:p>
        </w:tc>
        <w:tc>
          <w:tcPr>
            <w:tcW w:w="1701" w:type="dxa"/>
            <w:vAlign w:val="center"/>
          </w:tcPr>
          <w:p>
            <w:pPr>
              <w:pStyle w:val="26"/>
              <w:snapToGrid w:val="0"/>
              <w:spacing w:after="0" w:line="240" w:lineRule="auto"/>
              <w:jc w:val="left"/>
            </w:pPr>
            <w:r>
              <w:t>处理器高速缓存</w:t>
            </w:r>
          </w:p>
        </w:tc>
        <w:tc>
          <w:tcPr>
            <w:tcW w:w="5296" w:type="dxa"/>
            <w:vAlign w:val="bottom"/>
          </w:tcPr>
          <w:p>
            <w:pPr>
              <w:pStyle w:val="26"/>
              <w:snapToGrid w:val="0"/>
              <w:spacing w:after="0" w:line="240" w:lineRule="auto"/>
              <w:jc w:val="left"/>
            </w:pPr>
            <w:r>
              <w:t xml:space="preserve">三级高速缓存≥33MB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675" w:type="dxa"/>
            <w:vMerge w:val="continue"/>
            <w:vAlign w:val="center"/>
          </w:tcPr>
          <w:p>
            <w:pPr>
              <w:pStyle w:val="26"/>
              <w:snapToGrid w:val="0"/>
              <w:spacing w:after="0" w:line="240" w:lineRule="auto"/>
              <w:jc w:val="left"/>
            </w:pPr>
          </w:p>
        </w:tc>
        <w:tc>
          <w:tcPr>
            <w:tcW w:w="851" w:type="dxa"/>
            <w:vMerge w:val="continue"/>
            <w:vAlign w:val="center"/>
          </w:tcPr>
          <w:p>
            <w:pPr>
              <w:pStyle w:val="26"/>
              <w:snapToGrid w:val="0"/>
              <w:spacing w:after="0" w:line="240" w:lineRule="auto"/>
              <w:jc w:val="left"/>
            </w:pPr>
          </w:p>
        </w:tc>
        <w:tc>
          <w:tcPr>
            <w:tcW w:w="1701" w:type="dxa"/>
            <w:vAlign w:val="center"/>
          </w:tcPr>
          <w:p>
            <w:pPr>
              <w:pStyle w:val="26"/>
              <w:snapToGrid w:val="0"/>
              <w:spacing w:after="0" w:line="240" w:lineRule="auto"/>
              <w:jc w:val="left"/>
            </w:pPr>
            <w:r>
              <w:t>处理器配置数目</w:t>
            </w:r>
          </w:p>
        </w:tc>
        <w:tc>
          <w:tcPr>
            <w:tcW w:w="5296" w:type="dxa"/>
            <w:vAlign w:val="bottom"/>
          </w:tcPr>
          <w:p>
            <w:pPr>
              <w:pStyle w:val="26"/>
              <w:snapToGrid w:val="0"/>
              <w:spacing w:after="0" w:line="240" w:lineRule="auto"/>
              <w:jc w:val="left"/>
            </w:pPr>
            <w:r>
              <w:t>配置2个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75" w:type="dxa"/>
            <w:vAlign w:val="center"/>
          </w:tcPr>
          <w:p>
            <w:pPr>
              <w:pStyle w:val="26"/>
              <w:snapToGrid w:val="0"/>
              <w:spacing w:after="0" w:line="240" w:lineRule="auto"/>
              <w:jc w:val="left"/>
            </w:pPr>
            <w:r>
              <w:t>3.</w:t>
            </w:r>
          </w:p>
        </w:tc>
        <w:tc>
          <w:tcPr>
            <w:tcW w:w="851" w:type="dxa"/>
            <w:vAlign w:val="center"/>
          </w:tcPr>
          <w:p>
            <w:pPr>
              <w:pStyle w:val="26"/>
              <w:snapToGrid w:val="0"/>
              <w:spacing w:after="0" w:line="240" w:lineRule="auto"/>
              <w:jc w:val="left"/>
            </w:pPr>
            <w:r>
              <w:t>性能</w:t>
            </w:r>
          </w:p>
        </w:tc>
        <w:tc>
          <w:tcPr>
            <w:tcW w:w="1701" w:type="dxa"/>
            <w:vAlign w:val="center"/>
          </w:tcPr>
          <w:p>
            <w:pPr>
              <w:pStyle w:val="26"/>
              <w:snapToGrid w:val="0"/>
              <w:spacing w:after="0" w:line="240" w:lineRule="auto"/>
              <w:jc w:val="left"/>
            </w:pPr>
            <w:r>
              <w:t>TPCC 高配峰值</w:t>
            </w:r>
          </w:p>
        </w:tc>
        <w:tc>
          <w:tcPr>
            <w:tcW w:w="5296" w:type="dxa"/>
            <w:vAlign w:val="center"/>
          </w:tcPr>
          <w:p>
            <w:pPr>
              <w:pStyle w:val="26"/>
              <w:snapToGrid w:val="0"/>
              <w:spacing w:after="0" w:line="240" w:lineRule="auto"/>
              <w:jc w:val="left"/>
            </w:pPr>
            <w:r>
              <w:t>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75" w:type="dxa"/>
            <w:vMerge w:val="restart"/>
            <w:vAlign w:val="center"/>
          </w:tcPr>
          <w:p>
            <w:pPr>
              <w:pStyle w:val="26"/>
              <w:snapToGrid w:val="0"/>
              <w:spacing w:after="0" w:line="240" w:lineRule="auto"/>
              <w:jc w:val="left"/>
            </w:pPr>
            <w:r>
              <w:t>4.</w:t>
            </w:r>
          </w:p>
        </w:tc>
        <w:tc>
          <w:tcPr>
            <w:tcW w:w="851" w:type="dxa"/>
            <w:vMerge w:val="restart"/>
            <w:vAlign w:val="center"/>
          </w:tcPr>
          <w:p>
            <w:pPr>
              <w:pStyle w:val="26"/>
              <w:snapToGrid w:val="0"/>
              <w:spacing w:after="0" w:line="240" w:lineRule="auto"/>
              <w:jc w:val="left"/>
            </w:pPr>
            <w:r>
              <w:t>内存</w:t>
            </w:r>
          </w:p>
        </w:tc>
        <w:tc>
          <w:tcPr>
            <w:tcW w:w="1701" w:type="dxa"/>
            <w:vAlign w:val="center"/>
          </w:tcPr>
          <w:p>
            <w:pPr>
              <w:pStyle w:val="26"/>
              <w:snapToGrid w:val="0"/>
              <w:spacing w:after="0" w:line="240" w:lineRule="auto"/>
              <w:jc w:val="left"/>
            </w:pPr>
            <w:r>
              <w:t>内存类型</w:t>
            </w:r>
          </w:p>
        </w:tc>
        <w:tc>
          <w:tcPr>
            <w:tcW w:w="5296" w:type="dxa"/>
            <w:vAlign w:val="center"/>
          </w:tcPr>
          <w:p>
            <w:pPr>
              <w:pStyle w:val="26"/>
              <w:snapToGrid w:val="0"/>
              <w:spacing w:after="0" w:line="240" w:lineRule="auto"/>
              <w:jc w:val="left"/>
            </w:pPr>
            <w:r>
              <w:t xml:space="preserve">支持2400Mhz或以上DDR4，配置192GB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75" w:type="dxa"/>
            <w:vMerge w:val="continue"/>
            <w:vAlign w:val="center"/>
          </w:tcPr>
          <w:p>
            <w:pPr>
              <w:pStyle w:val="26"/>
              <w:snapToGrid w:val="0"/>
              <w:spacing w:after="0" w:line="240" w:lineRule="auto"/>
              <w:jc w:val="left"/>
            </w:pPr>
          </w:p>
        </w:tc>
        <w:tc>
          <w:tcPr>
            <w:tcW w:w="851" w:type="dxa"/>
            <w:vMerge w:val="continue"/>
            <w:vAlign w:val="center"/>
          </w:tcPr>
          <w:p>
            <w:pPr>
              <w:pStyle w:val="26"/>
              <w:snapToGrid w:val="0"/>
              <w:spacing w:after="0" w:line="240" w:lineRule="auto"/>
              <w:jc w:val="left"/>
            </w:pPr>
          </w:p>
        </w:tc>
        <w:tc>
          <w:tcPr>
            <w:tcW w:w="1701" w:type="dxa"/>
            <w:vAlign w:val="center"/>
          </w:tcPr>
          <w:p>
            <w:pPr>
              <w:pStyle w:val="26"/>
              <w:snapToGrid w:val="0"/>
              <w:spacing w:after="0" w:line="240" w:lineRule="auto"/>
              <w:jc w:val="left"/>
            </w:pPr>
            <w:r>
              <w:t>内存配置数目</w:t>
            </w:r>
          </w:p>
        </w:tc>
        <w:tc>
          <w:tcPr>
            <w:tcW w:w="5296" w:type="dxa"/>
            <w:vAlign w:val="center"/>
          </w:tcPr>
          <w:p>
            <w:pPr>
              <w:pStyle w:val="26"/>
              <w:snapToGrid w:val="0"/>
              <w:spacing w:after="0" w:line="240" w:lineRule="auto"/>
              <w:jc w:val="left"/>
            </w:pPr>
            <w:r>
              <w:t>可扩展至12个DIMM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675" w:type="dxa"/>
            <w:vMerge w:val="continue"/>
            <w:vAlign w:val="center"/>
          </w:tcPr>
          <w:p>
            <w:pPr>
              <w:pStyle w:val="26"/>
              <w:snapToGrid w:val="0"/>
              <w:spacing w:after="0" w:line="240" w:lineRule="auto"/>
              <w:jc w:val="left"/>
            </w:pPr>
          </w:p>
        </w:tc>
        <w:tc>
          <w:tcPr>
            <w:tcW w:w="851" w:type="dxa"/>
            <w:vMerge w:val="continue"/>
            <w:vAlign w:val="center"/>
          </w:tcPr>
          <w:p>
            <w:pPr>
              <w:pStyle w:val="26"/>
              <w:snapToGrid w:val="0"/>
              <w:spacing w:after="0" w:line="240" w:lineRule="auto"/>
              <w:jc w:val="left"/>
            </w:pPr>
          </w:p>
        </w:tc>
        <w:tc>
          <w:tcPr>
            <w:tcW w:w="1701" w:type="dxa"/>
            <w:vAlign w:val="center"/>
          </w:tcPr>
          <w:p>
            <w:pPr>
              <w:pStyle w:val="26"/>
              <w:snapToGrid w:val="0"/>
              <w:spacing w:after="0" w:line="240" w:lineRule="auto"/>
              <w:jc w:val="left"/>
            </w:pPr>
            <w:r>
              <w:t>内存数目</w:t>
            </w:r>
          </w:p>
        </w:tc>
        <w:tc>
          <w:tcPr>
            <w:tcW w:w="5296" w:type="dxa"/>
            <w:vAlign w:val="center"/>
          </w:tcPr>
          <w:p>
            <w:pPr>
              <w:pStyle w:val="26"/>
              <w:snapToGrid w:val="0"/>
              <w:spacing w:after="0" w:line="240" w:lineRule="auto"/>
              <w:jc w:val="left"/>
            </w:pPr>
            <w:r>
              <w:t>配置≥192GB DIMM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75" w:type="dxa"/>
            <w:vMerge w:val="continue"/>
            <w:vAlign w:val="center"/>
          </w:tcPr>
          <w:p>
            <w:pPr>
              <w:pStyle w:val="26"/>
              <w:snapToGrid w:val="0"/>
              <w:spacing w:after="0" w:line="240" w:lineRule="auto"/>
              <w:jc w:val="left"/>
            </w:pPr>
          </w:p>
        </w:tc>
        <w:tc>
          <w:tcPr>
            <w:tcW w:w="851" w:type="dxa"/>
            <w:vMerge w:val="continue"/>
            <w:vAlign w:val="center"/>
          </w:tcPr>
          <w:p>
            <w:pPr>
              <w:pStyle w:val="26"/>
              <w:snapToGrid w:val="0"/>
              <w:spacing w:after="0" w:line="240" w:lineRule="auto"/>
              <w:jc w:val="left"/>
            </w:pPr>
          </w:p>
        </w:tc>
        <w:tc>
          <w:tcPr>
            <w:tcW w:w="1701" w:type="dxa"/>
            <w:vAlign w:val="center"/>
          </w:tcPr>
          <w:p>
            <w:pPr>
              <w:pStyle w:val="26"/>
              <w:snapToGrid w:val="0"/>
              <w:spacing w:after="0" w:line="240" w:lineRule="auto"/>
              <w:jc w:val="left"/>
            </w:pPr>
            <w:r>
              <w:t>内存保护技术</w:t>
            </w:r>
          </w:p>
        </w:tc>
        <w:tc>
          <w:tcPr>
            <w:tcW w:w="5296" w:type="dxa"/>
            <w:vAlign w:val="center"/>
          </w:tcPr>
          <w:p>
            <w:pPr>
              <w:pStyle w:val="26"/>
              <w:snapToGrid w:val="0"/>
              <w:spacing w:after="0" w:line="240" w:lineRule="auto"/>
              <w:jc w:val="left"/>
            </w:pPr>
            <w:r>
              <w:t>支持四位纠错(Chipkill)、内存镜像、ECC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75" w:type="dxa"/>
            <w:vMerge w:val="restart"/>
            <w:vAlign w:val="center"/>
          </w:tcPr>
          <w:p>
            <w:pPr>
              <w:pStyle w:val="26"/>
              <w:snapToGrid w:val="0"/>
              <w:spacing w:after="0" w:line="240" w:lineRule="auto"/>
              <w:jc w:val="left"/>
            </w:pPr>
            <w:r>
              <w:t>5.</w:t>
            </w:r>
          </w:p>
        </w:tc>
        <w:tc>
          <w:tcPr>
            <w:tcW w:w="851" w:type="dxa"/>
            <w:vMerge w:val="restart"/>
            <w:vAlign w:val="center"/>
          </w:tcPr>
          <w:p>
            <w:pPr>
              <w:pStyle w:val="26"/>
              <w:snapToGrid w:val="0"/>
              <w:spacing w:after="0" w:line="240" w:lineRule="auto"/>
              <w:jc w:val="left"/>
            </w:pPr>
            <w:r>
              <w:t>磁盘I/O</w:t>
            </w:r>
          </w:p>
        </w:tc>
        <w:tc>
          <w:tcPr>
            <w:tcW w:w="1701" w:type="dxa"/>
            <w:vAlign w:val="center"/>
          </w:tcPr>
          <w:p>
            <w:pPr>
              <w:pStyle w:val="26"/>
              <w:snapToGrid w:val="0"/>
              <w:spacing w:after="0" w:line="240" w:lineRule="auto"/>
              <w:jc w:val="left"/>
            </w:pPr>
            <w:r>
              <w:t>内置硬盘类型</w:t>
            </w:r>
          </w:p>
        </w:tc>
        <w:tc>
          <w:tcPr>
            <w:tcW w:w="5296" w:type="dxa"/>
            <w:vAlign w:val="center"/>
          </w:tcPr>
          <w:p>
            <w:pPr>
              <w:pStyle w:val="26"/>
              <w:snapToGrid w:val="0"/>
              <w:spacing w:after="0" w:line="240" w:lineRule="auto"/>
              <w:jc w:val="left"/>
            </w:pPr>
            <w:r>
              <w:t>热插拔SAS、NLSAS、NLSATA硬盘/支持SSD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675" w:type="dxa"/>
            <w:vMerge w:val="continue"/>
            <w:vAlign w:val="center"/>
          </w:tcPr>
          <w:p>
            <w:pPr>
              <w:pStyle w:val="26"/>
              <w:snapToGrid w:val="0"/>
              <w:spacing w:after="0" w:line="240" w:lineRule="auto"/>
              <w:jc w:val="left"/>
            </w:pPr>
          </w:p>
        </w:tc>
        <w:tc>
          <w:tcPr>
            <w:tcW w:w="851" w:type="dxa"/>
            <w:vMerge w:val="continue"/>
            <w:vAlign w:val="center"/>
          </w:tcPr>
          <w:p>
            <w:pPr>
              <w:pStyle w:val="26"/>
              <w:snapToGrid w:val="0"/>
              <w:spacing w:after="0" w:line="240" w:lineRule="auto"/>
              <w:jc w:val="left"/>
            </w:pPr>
          </w:p>
        </w:tc>
        <w:tc>
          <w:tcPr>
            <w:tcW w:w="1701" w:type="dxa"/>
            <w:vAlign w:val="center"/>
          </w:tcPr>
          <w:p>
            <w:pPr>
              <w:pStyle w:val="26"/>
              <w:snapToGrid w:val="0"/>
              <w:spacing w:after="0" w:line="240" w:lineRule="auto"/>
              <w:jc w:val="left"/>
            </w:pPr>
            <w:r>
              <w:t>内置硬盘容量及数目</w:t>
            </w:r>
          </w:p>
        </w:tc>
        <w:tc>
          <w:tcPr>
            <w:tcW w:w="5296" w:type="dxa"/>
            <w:vAlign w:val="center"/>
          </w:tcPr>
          <w:p>
            <w:pPr>
              <w:pStyle w:val="26"/>
              <w:snapToGrid w:val="0"/>
              <w:spacing w:after="0" w:line="240" w:lineRule="auto"/>
              <w:jc w:val="left"/>
            </w:pPr>
            <w:r>
              <w:t>6块3.5英寸16TB SATA热插拔硬盘，2块2TB U.2/M.2/SATA SSD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75" w:type="dxa"/>
            <w:vMerge w:val="continue"/>
            <w:vAlign w:val="center"/>
          </w:tcPr>
          <w:p>
            <w:pPr>
              <w:pStyle w:val="26"/>
              <w:snapToGrid w:val="0"/>
              <w:spacing w:after="0" w:line="240" w:lineRule="auto"/>
              <w:jc w:val="left"/>
            </w:pPr>
          </w:p>
        </w:tc>
        <w:tc>
          <w:tcPr>
            <w:tcW w:w="851" w:type="dxa"/>
            <w:vMerge w:val="continue"/>
            <w:vAlign w:val="center"/>
          </w:tcPr>
          <w:p>
            <w:pPr>
              <w:pStyle w:val="26"/>
              <w:snapToGrid w:val="0"/>
              <w:spacing w:after="0" w:line="240" w:lineRule="auto"/>
              <w:jc w:val="left"/>
            </w:pPr>
          </w:p>
        </w:tc>
        <w:tc>
          <w:tcPr>
            <w:tcW w:w="1701" w:type="dxa"/>
            <w:vAlign w:val="center"/>
          </w:tcPr>
          <w:p>
            <w:pPr>
              <w:pStyle w:val="26"/>
              <w:snapToGrid w:val="0"/>
              <w:spacing w:after="0" w:line="240" w:lineRule="auto"/>
              <w:jc w:val="left"/>
            </w:pPr>
            <w:r>
              <w:t>阵列控制器</w:t>
            </w:r>
          </w:p>
        </w:tc>
        <w:tc>
          <w:tcPr>
            <w:tcW w:w="5296" w:type="dxa"/>
            <w:vAlign w:val="center"/>
          </w:tcPr>
          <w:p>
            <w:pPr>
              <w:pStyle w:val="26"/>
              <w:snapToGrid w:val="0"/>
              <w:spacing w:after="0" w:line="240" w:lineRule="auto"/>
              <w:jc w:val="left"/>
            </w:pPr>
            <w:r>
              <w:t>6GbsRAID0/1/10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675" w:type="dxa"/>
            <w:vAlign w:val="center"/>
          </w:tcPr>
          <w:p>
            <w:pPr>
              <w:pStyle w:val="26"/>
              <w:snapToGrid w:val="0"/>
              <w:spacing w:after="0" w:line="240" w:lineRule="auto"/>
              <w:jc w:val="left"/>
            </w:pPr>
            <w:r>
              <w:t>6.</w:t>
            </w:r>
          </w:p>
        </w:tc>
        <w:tc>
          <w:tcPr>
            <w:tcW w:w="851" w:type="dxa"/>
            <w:vAlign w:val="center"/>
          </w:tcPr>
          <w:p>
            <w:pPr>
              <w:pStyle w:val="26"/>
              <w:snapToGrid w:val="0"/>
              <w:spacing w:after="0" w:line="240" w:lineRule="auto"/>
              <w:jc w:val="left"/>
            </w:pPr>
            <w:r>
              <w:t>I/O扩展</w:t>
            </w:r>
          </w:p>
        </w:tc>
        <w:tc>
          <w:tcPr>
            <w:tcW w:w="1701" w:type="dxa"/>
            <w:vAlign w:val="center"/>
          </w:tcPr>
          <w:p>
            <w:pPr>
              <w:pStyle w:val="26"/>
              <w:snapToGrid w:val="0"/>
              <w:spacing w:after="0" w:line="240" w:lineRule="auto"/>
              <w:jc w:val="left"/>
            </w:pPr>
            <w:r>
              <w:t>PCI I/O插槽</w:t>
            </w:r>
          </w:p>
        </w:tc>
        <w:tc>
          <w:tcPr>
            <w:tcW w:w="5296" w:type="dxa"/>
            <w:vAlign w:val="center"/>
          </w:tcPr>
          <w:p>
            <w:pPr>
              <w:pStyle w:val="26"/>
              <w:snapToGrid w:val="0"/>
              <w:spacing w:after="0" w:line="240" w:lineRule="auto"/>
              <w:jc w:val="left"/>
            </w:pPr>
            <w:r>
              <w:t>8个PCI-E插槽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75" w:type="dxa"/>
            <w:vMerge w:val="restart"/>
            <w:vAlign w:val="center"/>
          </w:tcPr>
          <w:p>
            <w:pPr>
              <w:pStyle w:val="26"/>
              <w:snapToGrid w:val="0"/>
              <w:spacing w:after="0" w:line="240" w:lineRule="auto"/>
              <w:jc w:val="left"/>
            </w:pPr>
            <w:r>
              <w:t>7.</w:t>
            </w:r>
          </w:p>
        </w:tc>
        <w:tc>
          <w:tcPr>
            <w:tcW w:w="851" w:type="dxa"/>
            <w:vAlign w:val="center"/>
          </w:tcPr>
          <w:p>
            <w:pPr>
              <w:pStyle w:val="26"/>
              <w:snapToGrid w:val="0"/>
              <w:spacing w:after="0" w:line="240" w:lineRule="auto"/>
              <w:jc w:val="left"/>
            </w:pPr>
            <w:r>
              <w:t>网络</w:t>
            </w:r>
          </w:p>
        </w:tc>
        <w:tc>
          <w:tcPr>
            <w:tcW w:w="1701" w:type="dxa"/>
            <w:vAlign w:val="center"/>
          </w:tcPr>
          <w:p>
            <w:pPr>
              <w:pStyle w:val="26"/>
              <w:snapToGrid w:val="0"/>
              <w:spacing w:after="0" w:line="240" w:lineRule="auto"/>
              <w:jc w:val="left"/>
            </w:pPr>
            <w:r>
              <w:t>网卡</w:t>
            </w:r>
          </w:p>
        </w:tc>
        <w:tc>
          <w:tcPr>
            <w:tcW w:w="5296" w:type="dxa"/>
            <w:vAlign w:val="center"/>
          </w:tcPr>
          <w:p>
            <w:pPr>
              <w:pStyle w:val="26"/>
              <w:snapToGrid w:val="0"/>
              <w:spacing w:after="0" w:line="240" w:lineRule="auto"/>
              <w:jc w:val="left"/>
            </w:pPr>
            <w:r>
              <w:t>标配4个千兆以太网端口，2个万兆以太网端口（SFP PLUS）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75" w:type="dxa"/>
            <w:vMerge w:val="continue"/>
            <w:vAlign w:val="center"/>
          </w:tcPr>
          <w:p>
            <w:pPr>
              <w:pStyle w:val="26"/>
              <w:snapToGrid w:val="0"/>
              <w:spacing w:after="0" w:line="240" w:lineRule="auto"/>
              <w:jc w:val="left"/>
            </w:pPr>
          </w:p>
        </w:tc>
        <w:tc>
          <w:tcPr>
            <w:tcW w:w="851" w:type="dxa"/>
            <w:vAlign w:val="center"/>
          </w:tcPr>
          <w:p>
            <w:pPr>
              <w:pStyle w:val="26"/>
              <w:snapToGrid w:val="0"/>
              <w:spacing w:after="0" w:line="240" w:lineRule="auto"/>
              <w:jc w:val="left"/>
            </w:pPr>
            <w:r>
              <w:t>电源</w:t>
            </w:r>
          </w:p>
        </w:tc>
        <w:tc>
          <w:tcPr>
            <w:tcW w:w="1701" w:type="dxa"/>
            <w:vAlign w:val="center"/>
          </w:tcPr>
          <w:p>
            <w:pPr>
              <w:pStyle w:val="26"/>
              <w:snapToGrid w:val="0"/>
              <w:spacing w:after="0" w:line="240" w:lineRule="auto"/>
              <w:jc w:val="left"/>
            </w:pPr>
            <w:r>
              <w:t>电源</w:t>
            </w:r>
          </w:p>
        </w:tc>
        <w:tc>
          <w:tcPr>
            <w:tcW w:w="5296" w:type="dxa"/>
            <w:vAlign w:val="center"/>
          </w:tcPr>
          <w:p>
            <w:pPr>
              <w:pStyle w:val="26"/>
              <w:snapToGrid w:val="0"/>
              <w:spacing w:after="0" w:line="240" w:lineRule="auto"/>
              <w:jc w:val="left"/>
            </w:pPr>
            <w:r>
              <w:t>冗余1400W电源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75" w:type="dxa"/>
            <w:vMerge w:val="continue"/>
            <w:vAlign w:val="center"/>
          </w:tcPr>
          <w:p>
            <w:pPr>
              <w:pStyle w:val="26"/>
              <w:snapToGrid w:val="0"/>
              <w:spacing w:after="0" w:line="240" w:lineRule="auto"/>
              <w:jc w:val="left"/>
            </w:pPr>
          </w:p>
        </w:tc>
        <w:tc>
          <w:tcPr>
            <w:tcW w:w="851" w:type="dxa"/>
            <w:vAlign w:val="center"/>
          </w:tcPr>
          <w:p>
            <w:pPr>
              <w:pStyle w:val="26"/>
              <w:snapToGrid w:val="0"/>
              <w:spacing w:after="0" w:line="240" w:lineRule="auto"/>
              <w:jc w:val="left"/>
            </w:pPr>
            <w:r>
              <w:t>输入输出</w:t>
            </w:r>
          </w:p>
        </w:tc>
        <w:tc>
          <w:tcPr>
            <w:tcW w:w="1701" w:type="dxa"/>
            <w:vAlign w:val="center"/>
          </w:tcPr>
          <w:p>
            <w:pPr>
              <w:pStyle w:val="26"/>
              <w:snapToGrid w:val="0"/>
              <w:spacing w:after="0" w:line="240" w:lineRule="auto"/>
              <w:jc w:val="left"/>
            </w:pPr>
            <w:r>
              <w:t>输入输出部件</w:t>
            </w:r>
          </w:p>
        </w:tc>
        <w:tc>
          <w:tcPr>
            <w:tcW w:w="5296" w:type="dxa"/>
            <w:vAlign w:val="center"/>
          </w:tcPr>
          <w:p>
            <w:pPr>
              <w:pStyle w:val="26"/>
              <w:snapToGrid w:val="0"/>
              <w:spacing w:after="0" w:line="240" w:lineRule="auto"/>
              <w:jc w:val="left"/>
            </w:pPr>
            <w:r>
              <w:t xml:space="preserve">内置超薄DVD ROM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675" w:type="dxa"/>
            <w:vMerge w:val="continue"/>
            <w:vAlign w:val="center"/>
          </w:tcPr>
          <w:p>
            <w:pPr>
              <w:pStyle w:val="26"/>
              <w:snapToGrid w:val="0"/>
              <w:spacing w:after="0" w:line="240" w:lineRule="auto"/>
              <w:jc w:val="left"/>
            </w:pPr>
          </w:p>
        </w:tc>
        <w:tc>
          <w:tcPr>
            <w:tcW w:w="851" w:type="dxa"/>
            <w:vMerge w:val="restart"/>
            <w:vAlign w:val="center"/>
          </w:tcPr>
          <w:p>
            <w:pPr>
              <w:pStyle w:val="26"/>
              <w:snapToGrid w:val="0"/>
              <w:spacing w:after="0" w:line="240" w:lineRule="auto"/>
              <w:jc w:val="left"/>
            </w:pPr>
            <w:r>
              <w:t>可靠性</w:t>
            </w:r>
          </w:p>
        </w:tc>
        <w:tc>
          <w:tcPr>
            <w:tcW w:w="1701" w:type="dxa"/>
            <w:vAlign w:val="center"/>
          </w:tcPr>
          <w:p>
            <w:pPr>
              <w:pStyle w:val="26"/>
              <w:snapToGrid w:val="0"/>
              <w:spacing w:after="0" w:line="240" w:lineRule="auto"/>
              <w:jc w:val="left"/>
            </w:pPr>
            <w:r>
              <w:t>热插拔组件</w:t>
            </w:r>
          </w:p>
        </w:tc>
        <w:tc>
          <w:tcPr>
            <w:tcW w:w="5296" w:type="dxa"/>
            <w:vAlign w:val="center"/>
          </w:tcPr>
          <w:p>
            <w:pPr>
              <w:pStyle w:val="26"/>
              <w:snapToGrid w:val="0"/>
              <w:spacing w:after="0" w:line="240" w:lineRule="auto"/>
              <w:jc w:val="left"/>
            </w:pPr>
            <w:r>
              <w:t>电源、风扇、硬盘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75" w:type="dxa"/>
            <w:vMerge w:val="continue"/>
            <w:vAlign w:val="center"/>
          </w:tcPr>
          <w:p>
            <w:pPr>
              <w:pStyle w:val="26"/>
              <w:snapToGrid w:val="0"/>
              <w:spacing w:after="0" w:line="240" w:lineRule="auto"/>
              <w:jc w:val="left"/>
            </w:pPr>
          </w:p>
        </w:tc>
        <w:tc>
          <w:tcPr>
            <w:tcW w:w="851" w:type="dxa"/>
            <w:vMerge w:val="continue"/>
            <w:vAlign w:val="center"/>
          </w:tcPr>
          <w:p>
            <w:pPr>
              <w:pStyle w:val="26"/>
              <w:snapToGrid w:val="0"/>
              <w:spacing w:after="0" w:line="240" w:lineRule="auto"/>
              <w:jc w:val="left"/>
            </w:pPr>
          </w:p>
        </w:tc>
        <w:tc>
          <w:tcPr>
            <w:tcW w:w="1701" w:type="dxa"/>
            <w:vAlign w:val="center"/>
          </w:tcPr>
          <w:p>
            <w:pPr>
              <w:pStyle w:val="26"/>
              <w:snapToGrid w:val="0"/>
              <w:spacing w:after="0" w:line="240" w:lineRule="auto"/>
              <w:jc w:val="left"/>
            </w:pPr>
            <w:r>
              <w:t>风扇</w:t>
            </w:r>
          </w:p>
        </w:tc>
        <w:tc>
          <w:tcPr>
            <w:tcW w:w="5296" w:type="dxa"/>
            <w:vAlign w:val="center"/>
          </w:tcPr>
          <w:p>
            <w:pPr>
              <w:pStyle w:val="26"/>
              <w:snapToGrid w:val="0"/>
              <w:spacing w:after="0" w:line="240" w:lineRule="auto"/>
              <w:jc w:val="left"/>
            </w:pPr>
            <w:r>
              <w:t>N+N冗余(双转子风扇)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trPr>
        <w:tc>
          <w:tcPr>
            <w:tcW w:w="675" w:type="dxa"/>
            <w:vAlign w:val="center"/>
          </w:tcPr>
          <w:p>
            <w:pPr>
              <w:pStyle w:val="26"/>
              <w:snapToGrid w:val="0"/>
              <w:spacing w:after="0" w:line="240" w:lineRule="auto"/>
              <w:jc w:val="left"/>
            </w:pPr>
            <w:r>
              <w:t>8</w:t>
            </w:r>
          </w:p>
        </w:tc>
        <w:tc>
          <w:tcPr>
            <w:tcW w:w="851" w:type="dxa"/>
            <w:vAlign w:val="center"/>
          </w:tcPr>
          <w:p>
            <w:pPr>
              <w:pStyle w:val="26"/>
              <w:snapToGrid w:val="0"/>
              <w:spacing w:after="0" w:line="240" w:lineRule="auto"/>
              <w:jc w:val="left"/>
            </w:pPr>
            <w:r>
              <w:t>管理维护</w:t>
            </w:r>
          </w:p>
        </w:tc>
        <w:tc>
          <w:tcPr>
            <w:tcW w:w="1701" w:type="dxa"/>
            <w:vAlign w:val="center"/>
          </w:tcPr>
          <w:p>
            <w:pPr>
              <w:pStyle w:val="26"/>
              <w:snapToGrid w:val="0"/>
              <w:spacing w:after="0" w:line="240" w:lineRule="auto"/>
              <w:jc w:val="left"/>
            </w:pPr>
            <w:r>
              <w:t>可管理和维护性</w:t>
            </w:r>
          </w:p>
        </w:tc>
        <w:tc>
          <w:tcPr>
            <w:tcW w:w="5296" w:type="dxa"/>
            <w:vAlign w:val="center"/>
          </w:tcPr>
          <w:p>
            <w:pPr>
              <w:pStyle w:val="26"/>
              <w:snapToGrid w:val="0"/>
              <w:spacing w:after="0" w:line="240" w:lineRule="auto"/>
              <w:jc w:val="left"/>
            </w:pPr>
            <w:r>
              <w:t>1. 集成系统管理处理器IMM2支持：自动服务器重启、风扇监视和控制、电源监控、温度监控、启动/关闭、按序重启、LED控制、本地固件更新、错误日志，LED面板提供系统未来状况的可视显示；2. 对CPU、内存、硬盘驱动器、电源及风扇等关键部分的潜在的故障具有提前预警能力； 3.故障部件的快速诊断功能 ： 在断电的情况下，能够通过诊断板快速定位故障的部件，提高维修速度。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675" w:type="dxa"/>
            <w:vAlign w:val="center"/>
          </w:tcPr>
          <w:p>
            <w:pPr>
              <w:pStyle w:val="26"/>
              <w:snapToGrid w:val="0"/>
              <w:spacing w:after="0" w:line="240" w:lineRule="auto"/>
              <w:jc w:val="left"/>
            </w:pPr>
            <w:r>
              <w:t>9</w:t>
            </w:r>
          </w:p>
        </w:tc>
        <w:tc>
          <w:tcPr>
            <w:tcW w:w="851" w:type="dxa"/>
            <w:vAlign w:val="center"/>
          </w:tcPr>
          <w:p>
            <w:pPr>
              <w:pStyle w:val="26"/>
              <w:snapToGrid w:val="0"/>
              <w:spacing w:after="0" w:line="240" w:lineRule="auto"/>
              <w:jc w:val="left"/>
            </w:pPr>
            <w:r>
              <w:t>系统</w:t>
            </w:r>
          </w:p>
        </w:tc>
        <w:tc>
          <w:tcPr>
            <w:tcW w:w="1701" w:type="dxa"/>
            <w:vAlign w:val="center"/>
          </w:tcPr>
          <w:p>
            <w:pPr>
              <w:pStyle w:val="26"/>
              <w:snapToGrid w:val="0"/>
              <w:spacing w:after="0" w:line="240" w:lineRule="auto"/>
              <w:jc w:val="left"/>
            </w:pPr>
            <w:r>
              <w:t>支持的操作系统</w:t>
            </w:r>
          </w:p>
        </w:tc>
        <w:tc>
          <w:tcPr>
            <w:tcW w:w="5296" w:type="dxa"/>
            <w:vAlign w:val="center"/>
          </w:tcPr>
          <w:p>
            <w:pPr>
              <w:pStyle w:val="26"/>
              <w:snapToGrid w:val="0"/>
              <w:spacing w:after="0" w:line="240" w:lineRule="auto"/>
              <w:jc w:val="left"/>
            </w:pPr>
            <w:r>
              <w:t>MS Windows Sever 2012 Red Hat Enterprise Linux(RHEL) 和 SUSE Enterprise Linux 、Vmware ESX Server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75" w:type="dxa"/>
            <w:vAlign w:val="center"/>
          </w:tcPr>
          <w:p>
            <w:pPr>
              <w:pStyle w:val="26"/>
              <w:snapToGrid w:val="0"/>
              <w:spacing w:after="0" w:line="240" w:lineRule="auto"/>
              <w:jc w:val="left"/>
            </w:pPr>
            <w:r>
              <w:t>10</w:t>
            </w:r>
          </w:p>
        </w:tc>
        <w:tc>
          <w:tcPr>
            <w:tcW w:w="851" w:type="dxa"/>
            <w:vAlign w:val="center"/>
          </w:tcPr>
          <w:p>
            <w:pPr>
              <w:pStyle w:val="26"/>
              <w:snapToGrid w:val="0"/>
              <w:spacing w:after="0" w:line="240" w:lineRule="auto"/>
              <w:jc w:val="left"/>
            </w:pPr>
            <w:r>
              <w:t>服务</w:t>
            </w:r>
          </w:p>
        </w:tc>
        <w:tc>
          <w:tcPr>
            <w:tcW w:w="1701" w:type="dxa"/>
            <w:vAlign w:val="center"/>
          </w:tcPr>
          <w:p>
            <w:pPr>
              <w:pStyle w:val="26"/>
              <w:snapToGrid w:val="0"/>
              <w:spacing w:after="0" w:line="240" w:lineRule="auto"/>
              <w:jc w:val="left"/>
            </w:pPr>
            <w:r>
              <w:t>售后服务</w:t>
            </w:r>
          </w:p>
        </w:tc>
        <w:tc>
          <w:tcPr>
            <w:tcW w:w="5296" w:type="dxa"/>
            <w:vAlign w:val="center"/>
          </w:tcPr>
          <w:p>
            <w:pPr>
              <w:pStyle w:val="26"/>
              <w:snapToGrid w:val="0"/>
              <w:spacing w:after="0" w:line="240" w:lineRule="auto"/>
              <w:jc w:val="left"/>
            </w:pPr>
            <w:r>
              <w:t>提供3年免费人工、部件(x3750M4已升级到3年7x24x4)</w:t>
            </w:r>
          </w:p>
        </w:tc>
      </w:tr>
    </w:tbl>
    <w:p/>
    <w:p>
      <w:pPr>
        <w:pStyle w:val="5"/>
        <w:rPr>
          <w:sz w:val="24"/>
          <w:szCs w:val="24"/>
        </w:rPr>
      </w:pPr>
      <w:bookmarkStart w:id="77" w:name="_Toc100742939"/>
      <w:r>
        <w:rPr>
          <w:rFonts w:hint="eastAsia"/>
          <w:sz w:val="24"/>
          <w:szCs w:val="24"/>
        </w:rPr>
        <w:t>3.2.2服务器（辖区）</w:t>
      </w:r>
      <w:bookmarkEnd w:id="77"/>
    </w:p>
    <w:tbl>
      <w:tblPr>
        <w:tblStyle w:val="3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7"/>
        <w:gridCol w:w="712"/>
        <w:gridCol w:w="1704"/>
        <w:gridCol w:w="5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397" w:type="pct"/>
            <w:vAlign w:val="center"/>
          </w:tcPr>
          <w:p>
            <w:pPr>
              <w:pStyle w:val="26"/>
              <w:snapToGrid w:val="0"/>
              <w:spacing w:after="0" w:line="240" w:lineRule="auto"/>
              <w:jc w:val="left"/>
            </w:pPr>
            <w:r>
              <w:t>序号</w:t>
            </w:r>
          </w:p>
        </w:tc>
        <w:tc>
          <w:tcPr>
            <w:tcW w:w="418" w:type="pct"/>
            <w:vAlign w:val="center"/>
          </w:tcPr>
          <w:p>
            <w:pPr>
              <w:pStyle w:val="26"/>
              <w:snapToGrid w:val="0"/>
              <w:spacing w:after="0" w:line="240" w:lineRule="auto"/>
              <w:jc w:val="left"/>
            </w:pPr>
            <w:r>
              <w:t>指标</w:t>
            </w:r>
          </w:p>
        </w:tc>
        <w:tc>
          <w:tcPr>
            <w:tcW w:w="1000" w:type="pct"/>
            <w:noWrap/>
            <w:vAlign w:val="center"/>
          </w:tcPr>
          <w:p>
            <w:pPr>
              <w:pStyle w:val="26"/>
              <w:snapToGrid w:val="0"/>
              <w:spacing w:after="0" w:line="240" w:lineRule="auto"/>
              <w:jc w:val="left"/>
            </w:pPr>
            <w:r>
              <w:t>指标项</w:t>
            </w:r>
          </w:p>
        </w:tc>
        <w:tc>
          <w:tcPr>
            <w:tcW w:w="3185" w:type="pct"/>
            <w:noWrap/>
            <w:vAlign w:val="center"/>
          </w:tcPr>
          <w:p>
            <w:pPr>
              <w:pStyle w:val="26"/>
              <w:snapToGrid w:val="0"/>
              <w:spacing w:after="0" w:line="240" w:lineRule="auto"/>
              <w:jc w:val="left"/>
            </w:pPr>
            <w:r>
              <w:t>技术规格要求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trPr>
        <w:tc>
          <w:tcPr>
            <w:tcW w:w="397" w:type="pct"/>
            <w:vMerge w:val="restart"/>
            <w:vAlign w:val="center"/>
          </w:tcPr>
          <w:p>
            <w:pPr>
              <w:pStyle w:val="26"/>
              <w:snapToGrid w:val="0"/>
              <w:spacing w:after="0" w:line="240" w:lineRule="auto"/>
              <w:jc w:val="left"/>
            </w:pPr>
            <w:r>
              <w:t>1</w:t>
            </w:r>
          </w:p>
        </w:tc>
        <w:tc>
          <w:tcPr>
            <w:tcW w:w="418" w:type="pct"/>
            <w:vMerge w:val="restart"/>
            <w:vAlign w:val="center"/>
          </w:tcPr>
          <w:p>
            <w:pPr>
              <w:pStyle w:val="26"/>
              <w:snapToGrid w:val="0"/>
              <w:spacing w:after="0" w:line="240" w:lineRule="auto"/>
              <w:jc w:val="left"/>
            </w:pPr>
            <w:r>
              <w:t>外观</w:t>
            </w:r>
          </w:p>
        </w:tc>
        <w:tc>
          <w:tcPr>
            <w:tcW w:w="1000" w:type="pct"/>
            <w:noWrap/>
            <w:vAlign w:val="center"/>
          </w:tcPr>
          <w:p>
            <w:pPr>
              <w:pStyle w:val="26"/>
              <w:snapToGrid w:val="0"/>
              <w:spacing w:after="0" w:line="240" w:lineRule="auto"/>
              <w:jc w:val="left"/>
            </w:pPr>
            <w:r>
              <w:t>服务器外观</w:t>
            </w:r>
          </w:p>
        </w:tc>
        <w:tc>
          <w:tcPr>
            <w:tcW w:w="3185" w:type="pct"/>
            <w:noWrap/>
          </w:tcPr>
          <w:p>
            <w:pPr>
              <w:pStyle w:val="26"/>
              <w:snapToGrid w:val="0"/>
              <w:spacing w:after="0" w:line="240" w:lineRule="auto"/>
              <w:jc w:val="left"/>
            </w:pPr>
            <w:r>
              <w:t>机架式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397" w:type="pct"/>
            <w:vMerge w:val="continue"/>
            <w:vAlign w:val="center"/>
          </w:tcPr>
          <w:p>
            <w:pPr>
              <w:pStyle w:val="26"/>
              <w:snapToGrid w:val="0"/>
              <w:spacing w:after="0" w:line="240" w:lineRule="auto"/>
              <w:jc w:val="left"/>
            </w:pPr>
          </w:p>
        </w:tc>
        <w:tc>
          <w:tcPr>
            <w:tcW w:w="418" w:type="pct"/>
            <w:vMerge w:val="continue"/>
            <w:vAlign w:val="center"/>
          </w:tcPr>
          <w:p>
            <w:pPr>
              <w:pStyle w:val="26"/>
              <w:snapToGrid w:val="0"/>
              <w:spacing w:after="0" w:line="240" w:lineRule="auto"/>
              <w:jc w:val="left"/>
            </w:pPr>
          </w:p>
        </w:tc>
        <w:tc>
          <w:tcPr>
            <w:tcW w:w="1000" w:type="pct"/>
            <w:noWrap/>
            <w:vAlign w:val="center"/>
          </w:tcPr>
          <w:p>
            <w:pPr>
              <w:pStyle w:val="26"/>
              <w:snapToGrid w:val="0"/>
              <w:spacing w:after="0" w:line="240" w:lineRule="auto"/>
              <w:jc w:val="left"/>
            </w:pPr>
            <w:r>
              <w:t>服务器高度</w:t>
            </w:r>
          </w:p>
        </w:tc>
        <w:tc>
          <w:tcPr>
            <w:tcW w:w="3185" w:type="pct"/>
            <w:noWrap/>
          </w:tcPr>
          <w:p>
            <w:pPr>
              <w:pStyle w:val="26"/>
              <w:snapToGrid w:val="0"/>
              <w:spacing w:after="0" w:line="240" w:lineRule="auto"/>
              <w:jc w:val="left"/>
            </w:pPr>
            <w:r>
              <w:t>2U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trPr>
        <w:tc>
          <w:tcPr>
            <w:tcW w:w="397" w:type="pct"/>
            <w:vMerge w:val="restart"/>
            <w:vAlign w:val="center"/>
          </w:tcPr>
          <w:p>
            <w:pPr>
              <w:pStyle w:val="26"/>
              <w:snapToGrid w:val="0"/>
              <w:spacing w:after="0" w:line="240" w:lineRule="auto"/>
              <w:jc w:val="left"/>
            </w:pPr>
            <w:r>
              <w:t>2.</w:t>
            </w:r>
          </w:p>
        </w:tc>
        <w:tc>
          <w:tcPr>
            <w:tcW w:w="418" w:type="pct"/>
            <w:vMerge w:val="restart"/>
            <w:vAlign w:val="center"/>
          </w:tcPr>
          <w:p>
            <w:pPr>
              <w:pStyle w:val="26"/>
              <w:snapToGrid w:val="0"/>
              <w:spacing w:after="0" w:line="240" w:lineRule="auto"/>
              <w:jc w:val="left"/>
            </w:pPr>
            <w:r>
              <w:t>处理器</w:t>
            </w:r>
          </w:p>
        </w:tc>
        <w:tc>
          <w:tcPr>
            <w:tcW w:w="1000" w:type="pct"/>
            <w:noWrap/>
            <w:vAlign w:val="center"/>
          </w:tcPr>
          <w:p>
            <w:pPr>
              <w:pStyle w:val="26"/>
              <w:snapToGrid w:val="0"/>
              <w:spacing w:after="0" w:line="240" w:lineRule="auto"/>
              <w:jc w:val="left"/>
            </w:pPr>
            <w:r>
              <w:t>支持扩展选项</w:t>
            </w:r>
          </w:p>
        </w:tc>
        <w:tc>
          <w:tcPr>
            <w:tcW w:w="3185" w:type="pct"/>
            <w:noWrap/>
          </w:tcPr>
          <w:p>
            <w:pPr>
              <w:pStyle w:val="26"/>
              <w:snapToGrid w:val="0"/>
              <w:spacing w:after="0" w:line="240" w:lineRule="auto"/>
              <w:jc w:val="left"/>
            </w:pPr>
            <w:r>
              <w:t>支持扩展至2颗CPU 8core (处理器1+1设计)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397" w:type="pct"/>
            <w:vMerge w:val="continue"/>
            <w:vAlign w:val="center"/>
          </w:tcPr>
          <w:p>
            <w:pPr>
              <w:pStyle w:val="26"/>
              <w:snapToGrid w:val="0"/>
              <w:spacing w:after="0" w:line="240" w:lineRule="auto"/>
              <w:jc w:val="left"/>
            </w:pPr>
          </w:p>
        </w:tc>
        <w:tc>
          <w:tcPr>
            <w:tcW w:w="418" w:type="pct"/>
            <w:vMerge w:val="continue"/>
            <w:vAlign w:val="center"/>
          </w:tcPr>
          <w:p>
            <w:pPr>
              <w:pStyle w:val="26"/>
              <w:snapToGrid w:val="0"/>
              <w:spacing w:after="0" w:line="240" w:lineRule="auto"/>
              <w:jc w:val="left"/>
            </w:pPr>
          </w:p>
        </w:tc>
        <w:tc>
          <w:tcPr>
            <w:tcW w:w="1000" w:type="pct"/>
            <w:noWrap/>
            <w:vAlign w:val="center"/>
          </w:tcPr>
          <w:p>
            <w:pPr>
              <w:pStyle w:val="26"/>
              <w:snapToGrid w:val="0"/>
              <w:spacing w:after="0" w:line="240" w:lineRule="auto"/>
              <w:jc w:val="left"/>
            </w:pPr>
            <w:r>
              <w:t>处理器类型</w:t>
            </w:r>
          </w:p>
        </w:tc>
        <w:tc>
          <w:tcPr>
            <w:tcW w:w="3185" w:type="pct"/>
            <w:noWrap/>
            <w:vAlign w:val="bottom"/>
          </w:tcPr>
          <w:p>
            <w:pPr>
              <w:pStyle w:val="26"/>
              <w:snapToGrid w:val="0"/>
              <w:spacing w:after="0" w:line="240" w:lineRule="auto"/>
              <w:jc w:val="left"/>
            </w:pPr>
            <w:r>
              <w:t>Intel 12核 至强处理器/AMD 24核 EPYC处理器或更高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trPr>
        <w:tc>
          <w:tcPr>
            <w:tcW w:w="397" w:type="pct"/>
            <w:vMerge w:val="continue"/>
            <w:vAlign w:val="center"/>
          </w:tcPr>
          <w:p>
            <w:pPr>
              <w:pStyle w:val="26"/>
              <w:snapToGrid w:val="0"/>
              <w:spacing w:after="0" w:line="240" w:lineRule="auto"/>
              <w:jc w:val="left"/>
            </w:pPr>
          </w:p>
        </w:tc>
        <w:tc>
          <w:tcPr>
            <w:tcW w:w="418" w:type="pct"/>
            <w:vMerge w:val="continue"/>
            <w:vAlign w:val="center"/>
          </w:tcPr>
          <w:p>
            <w:pPr>
              <w:pStyle w:val="26"/>
              <w:snapToGrid w:val="0"/>
              <w:spacing w:after="0" w:line="240" w:lineRule="auto"/>
              <w:jc w:val="left"/>
            </w:pPr>
          </w:p>
        </w:tc>
        <w:tc>
          <w:tcPr>
            <w:tcW w:w="1000" w:type="pct"/>
            <w:noWrap/>
            <w:vAlign w:val="center"/>
          </w:tcPr>
          <w:p>
            <w:pPr>
              <w:pStyle w:val="26"/>
              <w:snapToGrid w:val="0"/>
              <w:spacing w:after="0" w:line="240" w:lineRule="auto"/>
              <w:jc w:val="left"/>
            </w:pPr>
            <w:r>
              <w:t>处理器主频</w:t>
            </w:r>
          </w:p>
        </w:tc>
        <w:tc>
          <w:tcPr>
            <w:tcW w:w="3185" w:type="pct"/>
            <w:noWrap/>
            <w:vAlign w:val="bottom"/>
          </w:tcPr>
          <w:p>
            <w:pPr>
              <w:pStyle w:val="26"/>
              <w:snapToGrid w:val="0"/>
              <w:spacing w:after="0" w:line="240" w:lineRule="auto"/>
              <w:jc w:val="left"/>
            </w:pPr>
            <w:r>
              <w:t>≥2.4GHz（基础频率）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trPr>
        <w:tc>
          <w:tcPr>
            <w:tcW w:w="397" w:type="pct"/>
            <w:vMerge w:val="continue"/>
            <w:vAlign w:val="center"/>
          </w:tcPr>
          <w:p>
            <w:pPr>
              <w:pStyle w:val="26"/>
              <w:snapToGrid w:val="0"/>
              <w:spacing w:after="0" w:line="240" w:lineRule="auto"/>
              <w:jc w:val="left"/>
            </w:pPr>
          </w:p>
        </w:tc>
        <w:tc>
          <w:tcPr>
            <w:tcW w:w="418" w:type="pct"/>
            <w:vMerge w:val="continue"/>
            <w:vAlign w:val="center"/>
          </w:tcPr>
          <w:p>
            <w:pPr>
              <w:pStyle w:val="26"/>
              <w:snapToGrid w:val="0"/>
              <w:spacing w:after="0" w:line="240" w:lineRule="auto"/>
              <w:jc w:val="left"/>
            </w:pPr>
          </w:p>
        </w:tc>
        <w:tc>
          <w:tcPr>
            <w:tcW w:w="1000" w:type="pct"/>
            <w:noWrap/>
            <w:vAlign w:val="center"/>
          </w:tcPr>
          <w:p>
            <w:pPr>
              <w:pStyle w:val="26"/>
              <w:snapToGrid w:val="0"/>
              <w:spacing w:after="0" w:line="240" w:lineRule="auto"/>
              <w:jc w:val="left"/>
            </w:pPr>
            <w:r>
              <w:t>处理器高速缓存</w:t>
            </w:r>
          </w:p>
        </w:tc>
        <w:tc>
          <w:tcPr>
            <w:tcW w:w="3185" w:type="pct"/>
            <w:noWrap/>
            <w:vAlign w:val="bottom"/>
          </w:tcPr>
          <w:p>
            <w:pPr>
              <w:pStyle w:val="26"/>
              <w:snapToGrid w:val="0"/>
              <w:spacing w:after="0" w:line="240" w:lineRule="auto"/>
              <w:jc w:val="left"/>
            </w:pPr>
            <w:r>
              <w:t xml:space="preserve">三级高速缓存≥10MB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trPr>
        <w:tc>
          <w:tcPr>
            <w:tcW w:w="397" w:type="pct"/>
            <w:vMerge w:val="continue"/>
            <w:vAlign w:val="center"/>
          </w:tcPr>
          <w:p>
            <w:pPr>
              <w:pStyle w:val="26"/>
              <w:snapToGrid w:val="0"/>
              <w:spacing w:after="0" w:line="240" w:lineRule="auto"/>
              <w:jc w:val="left"/>
            </w:pPr>
          </w:p>
        </w:tc>
        <w:tc>
          <w:tcPr>
            <w:tcW w:w="418" w:type="pct"/>
            <w:vMerge w:val="continue"/>
            <w:vAlign w:val="center"/>
          </w:tcPr>
          <w:p>
            <w:pPr>
              <w:pStyle w:val="26"/>
              <w:snapToGrid w:val="0"/>
              <w:spacing w:after="0" w:line="240" w:lineRule="auto"/>
              <w:jc w:val="left"/>
            </w:pPr>
          </w:p>
        </w:tc>
        <w:tc>
          <w:tcPr>
            <w:tcW w:w="1000" w:type="pct"/>
            <w:noWrap/>
            <w:vAlign w:val="center"/>
          </w:tcPr>
          <w:p>
            <w:pPr>
              <w:pStyle w:val="26"/>
              <w:snapToGrid w:val="0"/>
              <w:spacing w:after="0" w:line="240" w:lineRule="auto"/>
              <w:jc w:val="left"/>
            </w:pPr>
            <w:r>
              <w:t>处理器配置数目</w:t>
            </w:r>
          </w:p>
        </w:tc>
        <w:tc>
          <w:tcPr>
            <w:tcW w:w="3185" w:type="pct"/>
            <w:noWrap/>
            <w:vAlign w:val="bottom"/>
          </w:tcPr>
          <w:p>
            <w:pPr>
              <w:pStyle w:val="26"/>
              <w:snapToGrid w:val="0"/>
              <w:spacing w:after="0" w:line="240" w:lineRule="auto"/>
              <w:jc w:val="left"/>
            </w:pPr>
            <w:r>
              <w:t>配置2个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397" w:type="pct"/>
            <w:vAlign w:val="center"/>
          </w:tcPr>
          <w:p>
            <w:pPr>
              <w:pStyle w:val="26"/>
              <w:snapToGrid w:val="0"/>
              <w:spacing w:after="0" w:line="240" w:lineRule="auto"/>
              <w:jc w:val="left"/>
            </w:pPr>
            <w:r>
              <w:t>3.</w:t>
            </w:r>
          </w:p>
        </w:tc>
        <w:tc>
          <w:tcPr>
            <w:tcW w:w="418" w:type="pct"/>
            <w:vAlign w:val="center"/>
          </w:tcPr>
          <w:p>
            <w:pPr>
              <w:pStyle w:val="26"/>
              <w:snapToGrid w:val="0"/>
              <w:spacing w:after="0" w:line="240" w:lineRule="auto"/>
              <w:jc w:val="left"/>
            </w:pPr>
            <w:r>
              <w:t>性能</w:t>
            </w:r>
          </w:p>
        </w:tc>
        <w:tc>
          <w:tcPr>
            <w:tcW w:w="1000" w:type="pct"/>
            <w:noWrap/>
            <w:vAlign w:val="center"/>
          </w:tcPr>
          <w:p>
            <w:pPr>
              <w:pStyle w:val="26"/>
              <w:snapToGrid w:val="0"/>
              <w:spacing w:after="0" w:line="240" w:lineRule="auto"/>
              <w:jc w:val="left"/>
            </w:pPr>
            <w:r>
              <w:t>TPCC 高配峰值</w:t>
            </w:r>
          </w:p>
        </w:tc>
        <w:tc>
          <w:tcPr>
            <w:tcW w:w="3185" w:type="pct"/>
            <w:noWrap/>
            <w:vAlign w:val="center"/>
          </w:tcPr>
          <w:p>
            <w:pPr>
              <w:pStyle w:val="26"/>
              <w:snapToGrid w:val="0"/>
              <w:spacing w:after="0" w:line="240" w:lineRule="auto"/>
              <w:jc w:val="left"/>
            </w:pPr>
            <w:r>
              <w:t>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397" w:type="pct"/>
            <w:vMerge w:val="restart"/>
            <w:vAlign w:val="center"/>
          </w:tcPr>
          <w:p>
            <w:pPr>
              <w:pStyle w:val="26"/>
              <w:snapToGrid w:val="0"/>
              <w:spacing w:after="0" w:line="240" w:lineRule="auto"/>
              <w:jc w:val="left"/>
            </w:pPr>
            <w:r>
              <w:t>4.</w:t>
            </w:r>
          </w:p>
        </w:tc>
        <w:tc>
          <w:tcPr>
            <w:tcW w:w="418" w:type="pct"/>
            <w:vMerge w:val="restart"/>
            <w:vAlign w:val="center"/>
          </w:tcPr>
          <w:p>
            <w:pPr>
              <w:pStyle w:val="26"/>
              <w:snapToGrid w:val="0"/>
              <w:spacing w:after="0" w:line="240" w:lineRule="auto"/>
              <w:jc w:val="left"/>
            </w:pPr>
            <w:r>
              <w:t>内存</w:t>
            </w:r>
          </w:p>
        </w:tc>
        <w:tc>
          <w:tcPr>
            <w:tcW w:w="1000" w:type="pct"/>
            <w:noWrap/>
            <w:vAlign w:val="center"/>
          </w:tcPr>
          <w:p>
            <w:pPr>
              <w:pStyle w:val="26"/>
              <w:snapToGrid w:val="0"/>
              <w:spacing w:after="0" w:line="240" w:lineRule="auto"/>
              <w:jc w:val="left"/>
            </w:pPr>
            <w:r>
              <w:t>内存类型</w:t>
            </w:r>
          </w:p>
        </w:tc>
        <w:tc>
          <w:tcPr>
            <w:tcW w:w="3185" w:type="pct"/>
            <w:vAlign w:val="bottom"/>
          </w:tcPr>
          <w:p>
            <w:pPr>
              <w:pStyle w:val="26"/>
              <w:snapToGrid w:val="0"/>
              <w:spacing w:after="0" w:line="240" w:lineRule="auto"/>
              <w:jc w:val="left"/>
            </w:pPr>
            <w:r>
              <w:t xml:space="preserve">支持2400Mhz或以上DDR4，配置128GB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397" w:type="pct"/>
            <w:vMerge w:val="continue"/>
            <w:vAlign w:val="center"/>
          </w:tcPr>
          <w:p>
            <w:pPr>
              <w:pStyle w:val="26"/>
              <w:snapToGrid w:val="0"/>
              <w:spacing w:after="0" w:line="240" w:lineRule="auto"/>
              <w:jc w:val="left"/>
            </w:pPr>
          </w:p>
        </w:tc>
        <w:tc>
          <w:tcPr>
            <w:tcW w:w="418" w:type="pct"/>
            <w:vMerge w:val="continue"/>
            <w:vAlign w:val="center"/>
          </w:tcPr>
          <w:p>
            <w:pPr>
              <w:pStyle w:val="26"/>
              <w:snapToGrid w:val="0"/>
              <w:spacing w:after="0" w:line="240" w:lineRule="auto"/>
              <w:jc w:val="left"/>
            </w:pPr>
          </w:p>
        </w:tc>
        <w:tc>
          <w:tcPr>
            <w:tcW w:w="1000" w:type="pct"/>
            <w:noWrap/>
            <w:vAlign w:val="center"/>
          </w:tcPr>
          <w:p>
            <w:pPr>
              <w:pStyle w:val="26"/>
              <w:snapToGrid w:val="0"/>
              <w:spacing w:after="0" w:line="240" w:lineRule="auto"/>
              <w:jc w:val="left"/>
            </w:pPr>
            <w:r>
              <w:t>内存配置数目</w:t>
            </w:r>
          </w:p>
        </w:tc>
        <w:tc>
          <w:tcPr>
            <w:tcW w:w="3185" w:type="pct"/>
            <w:noWrap/>
            <w:vAlign w:val="bottom"/>
          </w:tcPr>
          <w:p>
            <w:pPr>
              <w:pStyle w:val="26"/>
              <w:snapToGrid w:val="0"/>
              <w:spacing w:after="0" w:line="240" w:lineRule="auto"/>
              <w:jc w:val="left"/>
            </w:pPr>
            <w:r>
              <w:t>可扩展至24个DIMM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trPr>
        <w:tc>
          <w:tcPr>
            <w:tcW w:w="397" w:type="pct"/>
            <w:vMerge w:val="continue"/>
            <w:vAlign w:val="center"/>
          </w:tcPr>
          <w:p>
            <w:pPr>
              <w:pStyle w:val="26"/>
              <w:snapToGrid w:val="0"/>
              <w:spacing w:after="0" w:line="240" w:lineRule="auto"/>
              <w:jc w:val="left"/>
            </w:pPr>
          </w:p>
        </w:tc>
        <w:tc>
          <w:tcPr>
            <w:tcW w:w="418" w:type="pct"/>
            <w:vMerge w:val="continue"/>
            <w:vAlign w:val="center"/>
          </w:tcPr>
          <w:p>
            <w:pPr>
              <w:pStyle w:val="26"/>
              <w:snapToGrid w:val="0"/>
              <w:spacing w:after="0" w:line="240" w:lineRule="auto"/>
              <w:jc w:val="left"/>
            </w:pPr>
          </w:p>
        </w:tc>
        <w:tc>
          <w:tcPr>
            <w:tcW w:w="1000" w:type="pct"/>
            <w:noWrap/>
            <w:vAlign w:val="center"/>
          </w:tcPr>
          <w:p>
            <w:pPr>
              <w:pStyle w:val="26"/>
              <w:snapToGrid w:val="0"/>
              <w:spacing w:after="0" w:line="240" w:lineRule="auto"/>
              <w:jc w:val="left"/>
            </w:pPr>
            <w:r>
              <w:t>内存最大支持数目</w:t>
            </w:r>
          </w:p>
        </w:tc>
        <w:tc>
          <w:tcPr>
            <w:tcW w:w="3185" w:type="pct"/>
            <w:noWrap/>
            <w:vAlign w:val="bottom"/>
          </w:tcPr>
          <w:p>
            <w:pPr>
              <w:pStyle w:val="26"/>
              <w:snapToGrid w:val="0"/>
              <w:spacing w:after="0" w:line="240" w:lineRule="auto"/>
              <w:jc w:val="left"/>
            </w:pPr>
            <w:r>
              <w:t>配置≥128GB DIMM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397" w:type="pct"/>
            <w:vMerge w:val="continue"/>
            <w:vAlign w:val="center"/>
          </w:tcPr>
          <w:p>
            <w:pPr>
              <w:pStyle w:val="26"/>
              <w:snapToGrid w:val="0"/>
              <w:spacing w:after="0" w:line="240" w:lineRule="auto"/>
              <w:jc w:val="left"/>
            </w:pPr>
          </w:p>
        </w:tc>
        <w:tc>
          <w:tcPr>
            <w:tcW w:w="418" w:type="pct"/>
            <w:vMerge w:val="continue"/>
            <w:vAlign w:val="center"/>
          </w:tcPr>
          <w:p>
            <w:pPr>
              <w:pStyle w:val="26"/>
              <w:snapToGrid w:val="0"/>
              <w:spacing w:after="0" w:line="240" w:lineRule="auto"/>
              <w:jc w:val="left"/>
            </w:pPr>
          </w:p>
        </w:tc>
        <w:tc>
          <w:tcPr>
            <w:tcW w:w="1000" w:type="pct"/>
            <w:noWrap/>
            <w:vAlign w:val="center"/>
          </w:tcPr>
          <w:p>
            <w:pPr>
              <w:pStyle w:val="26"/>
              <w:snapToGrid w:val="0"/>
              <w:spacing w:after="0" w:line="240" w:lineRule="auto"/>
              <w:jc w:val="left"/>
            </w:pPr>
            <w:r>
              <w:t>内存保护技术</w:t>
            </w:r>
          </w:p>
        </w:tc>
        <w:tc>
          <w:tcPr>
            <w:tcW w:w="3185" w:type="pct"/>
            <w:vAlign w:val="bottom"/>
          </w:tcPr>
          <w:p>
            <w:pPr>
              <w:pStyle w:val="26"/>
              <w:snapToGrid w:val="0"/>
              <w:spacing w:after="0" w:line="240" w:lineRule="auto"/>
              <w:jc w:val="left"/>
            </w:pPr>
            <w:r>
              <w:t>支持四位纠错(Chipkill)、内存镜像、ECC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397" w:type="pct"/>
            <w:vMerge w:val="restart"/>
            <w:vAlign w:val="center"/>
          </w:tcPr>
          <w:p>
            <w:pPr>
              <w:pStyle w:val="26"/>
              <w:snapToGrid w:val="0"/>
              <w:spacing w:after="0" w:line="240" w:lineRule="auto"/>
              <w:jc w:val="left"/>
            </w:pPr>
            <w:r>
              <w:t>5.</w:t>
            </w:r>
          </w:p>
        </w:tc>
        <w:tc>
          <w:tcPr>
            <w:tcW w:w="418" w:type="pct"/>
            <w:vMerge w:val="restart"/>
            <w:vAlign w:val="center"/>
          </w:tcPr>
          <w:p>
            <w:pPr>
              <w:pStyle w:val="26"/>
              <w:snapToGrid w:val="0"/>
              <w:spacing w:after="0" w:line="240" w:lineRule="auto"/>
              <w:jc w:val="left"/>
            </w:pPr>
            <w:r>
              <w:t>磁盘I/O</w:t>
            </w:r>
          </w:p>
        </w:tc>
        <w:tc>
          <w:tcPr>
            <w:tcW w:w="1000" w:type="pct"/>
            <w:noWrap/>
            <w:vAlign w:val="center"/>
          </w:tcPr>
          <w:p>
            <w:pPr>
              <w:pStyle w:val="26"/>
              <w:snapToGrid w:val="0"/>
              <w:spacing w:after="0" w:line="240" w:lineRule="auto"/>
              <w:jc w:val="left"/>
            </w:pPr>
            <w:r>
              <w:t>内置硬盘类型</w:t>
            </w:r>
          </w:p>
        </w:tc>
        <w:tc>
          <w:tcPr>
            <w:tcW w:w="3185" w:type="pct"/>
            <w:noWrap/>
            <w:vAlign w:val="bottom"/>
          </w:tcPr>
          <w:p>
            <w:pPr>
              <w:pStyle w:val="26"/>
              <w:snapToGrid w:val="0"/>
              <w:spacing w:after="0" w:line="240" w:lineRule="auto"/>
              <w:jc w:val="left"/>
            </w:pPr>
            <w:r>
              <w:t>热插拔SAS、NLSAS、NLSATA硬盘/支持SSD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397" w:type="pct"/>
            <w:vMerge w:val="continue"/>
            <w:vAlign w:val="center"/>
          </w:tcPr>
          <w:p>
            <w:pPr>
              <w:pStyle w:val="26"/>
              <w:snapToGrid w:val="0"/>
              <w:spacing w:after="0" w:line="240" w:lineRule="auto"/>
              <w:jc w:val="left"/>
            </w:pPr>
          </w:p>
        </w:tc>
        <w:tc>
          <w:tcPr>
            <w:tcW w:w="418" w:type="pct"/>
            <w:vMerge w:val="continue"/>
            <w:vAlign w:val="center"/>
          </w:tcPr>
          <w:p>
            <w:pPr>
              <w:pStyle w:val="26"/>
              <w:snapToGrid w:val="0"/>
              <w:spacing w:after="0" w:line="240" w:lineRule="auto"/>
              <w:jc w:val="left"/>
            </w:pPr>
          </w:p>
        </w:tc>
        <w:tc>
          <w:tcPr>
            <w:tcW w:w="1000" w:type="pct"/>
            <w:noWrap/>
            <w:vAlign w:val="center"/>
          </w:tcPr>
          <w:p>
            <w:pPr>
              <w:pStyle w:val="26"/>
              <w:snapToGrid w:val="0"/>
              <w:spacing w:after="0" w:line="240" w:lineRule="auto"/>
              <w:jc w:val="left"/>
            </w:pPr>
            <w:r>
              <w:t>内置硬盘容量及数目</w:t>
            </w:r>
          </w:p>
        </w:tc>
        <w:tc>
          <w:tcPr>
            <w:tcW w:w="3185" w:type="pct"/>
            <w:vAlign w:val="bottom"/>
          </w:tcPr>
          <w:p>
            <w:pPr>
              <w:pStyle w:val="26"/>
              <w:snapToGrid w:val="0"/>
              <w:spacing w:after="0" w:line="240" w:lineRule="auto"/>
              <w:jc w:val="left"/>
            </w:pPr>
            <w:r>
              <w:t>4块2.5英寸2TB 6Gbps带宽SAS热插拔硬盘，最多支持16块2.5英寸6Gbps带宽SAS热插拔硬盘或32块1.8英寸SSD固态闪存盘(eXFlash)。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397" w:type="pct"/>
            <w:vMerge w:val="continue"/>
            <w:vAlign w:val="center"/>
          </w:tcPr>
          <w:p>
            <w:pPr>
              <w:pStyle w:val="26"/>
              <w:snapToGrid w:val="0"/>
              <w:spacing w:after="0" w:line="240" w:lineRule="auto"/>
              <w:jc w:val="left"/>
            </w:pPr>
          </w:p>
        </w:tc>
        <w:tc>
          <w:tcPr>
            <w:tcW w:w="418" w:type="pct"/>
            <w:vMerge w:val="continue"/>
            <w:vAlign w:val="center"/>
          </w:tcPr>
          <w:p>
            <w:pPr>
              <w:pStyle w:val="26"/>
              <w:snapToGrid w:val="0"/>
              <w:spacing w:after="0" w:line="240" w:lineRule="auto"/>
              <w:jc w:val="left"/>
            </w:pPr>
          </w:p>
        </w:tc>
        <w:tc>
          <w:tcPr>
            <w:tcW w:w="1000" w:type="pct"/>
            <w:noWrap/>
            <w:vAlign w:val="center"/>
          </w:tcPr>
          <w:p>
            <w:pPr>
              <w:pStyle w:val="26"/>
              <w:snapToGrid w:val="0"/>
              <w:spacing w:after="0" w:line="240" w:lineRule="auto"/>
              <w:jc w:val="left"/>
            </w:pPr>
            <w:r>
              <w:t>阵列控制器</w:t>
            </w:r>
          </w:p>
        </w:tc>
        <w:tc>
          <w:tcPr>
            <w:tcW w:w="3185" w:type="pct"/>
            <w:vAlign w:val="center"/>
          </w:tcPr>
          <w:p>
            <w:pPr>
              <w:pStyle w:val="26"/>
              <w:snapToGrid w:val="0"/>
              <w:spacing w:after="0" w:line="240" w:lineRule="auto"/>
              <w:jc w:val="left"/>
            </w:pPr>
            <w:r>
              <w:t>6GbsRAID0/1/5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397" w:type="pct"/>
            <w:vAlign w:val="center"/>
          </w:tcPr>
          <w:p>
            <w:pPr>
              <w:pStyle w:val="26"/>
              <w:snapToGrid w:val="0"/>
              <w:spacing w:after="0" w:line="240" w:lineRule="auto"/>
              <w:jc w:val="left"/>
            </w:pPr>
            <w:r>
              <w:t>6.</w:t>
            </w:r>
          </w:p>
        </w:tc>
        <w:tc>
          <w:tcPr>
            <w:tcW w:w="418" w:type="pct"/>
            <w:vAlign w:val="center"/>
          </w:tcPr>
          <w:p>
            <w:pPr>
              <w:pStyle w:val="26"/>
              <w:snapToGrid w:val="0"/>
              <w:spacing w:after="0" w:line="240" w:lineRule="auto"/>
              <w:jc w:val="left"/>
            </w:pPr>
            <w:r>
              <w:t>I/O扩展</w:t>
            </w:r>
          </w:p>
        </w:tc>
        <w:tc>
          <w:tcPr>
            <w:tcW w:w="1000" w:type="pct"/>
            <w:noWrap/>
            <w:vAlign w:val="center"/>
          </w:tcPr>
          <w:p>
            <w:pPr>
              <w:pStyle w:val="26"/>
              <w:snapToGrid w:val="0"/>
              <w:spacing w:after="0" w:line="240" w:lineRule="auto"/>
              <w:jc w:val="left"/>
            </w:pPr>
            <w:r>
              <w:t>PCI I/O插槽</w:t>
            </w:r>
          </w:p>
        </w:tc>
        <w:tc>
          <w:tcPr>
            <w:tcW w:w="3185" w:type="pct"/>
            <w:vAlign w:val="center"/>
          </w:tcPr>
          <w:p>
            <w:pPr>
              <w:pStyle w:val="26"/>
              <w:snapToGrid w:val="0"/>
              <w:spacing w:after="0" w:line="240" w:lineRule="auto"/>
              <w:jc w:val="left"/>
            </w:pPr>
            <w:r>
              <w:t>8个PCI-E插槽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397" w:type="pct"/>
            <w:vMerge w:val="restart"/>
            <w:vAlign w:val="center"/>
          </w:tcPr>
          <w:p>
            <w:pPr>
              <w:pStyle w:val="26"/>
              <w:snapToGrid w:val="0"/>
              <w:spacing w:after="0" w:line="240" w:lineRule="auto"/>
              <w:jc w:val="left"/>
            </w:pPr>
            <w:r>
              <w:t>7.</w:t>
            </w:r>
          </w:p>
        </w:tc>
        <w:tc>
          <w:tcPr>
            <w:tcW w:w="418" w:type="pct"/>
            <w:vAlign w:val="center"/>
          </w:tcPr>
          <w:p>
            <w:pPr>
              <w:pStyle w:val="26"/>
              <w:snapToGrid w:val="0"/>
              <w:spacing w:after="0" w:line="240" w:lineRule="auto"/>
              <w:jc w:val="left"/>
            </w:pPr>
            <w:r>
              <w:t>网络</w:t>
            </w:r>
          </w:p>
        </w:tc>
        <w:tc>
          <w:tcPr>
            <w:tcW w:w="1000" w:type="pct"/>
            <w:noWrap/>
            <w:vAlign w:val="center"/>
          </w:tcPr>
          <w:p>
            <w:pPr>
              <w:pStyle w:val="26"/>
              <w:snapToGrid w:val="0"/>
              <w:spacing w:after="0" w:line="240" w:lineRule="auto"/>
              <w:jc w:val="left"/>
            </w:pPr>
            <w:r>
              <w:t>网卡</w:t>
            </w:r>
          </w:p>
        </w:tc>
        <w:tc>
          <w:tcPr>
            <w:tcW w:w="3185" w:type="pct"/>
            <w:vAlign w:val="center"/>
          </w:tcPr>
          <w:p>
            <w:pPr>
              <w:pStyle w:val="26"/>
              <w:snapToGrid w:val="0"/>
              <w:spacing w:after="0" w:line="240" w:lineRule="auto"/>
              <w:jc w:val="left"/>
            </w:pPr>
            <w:r>
              <w:t>标配4个千兆以太网端口，2个万兆以太网端口（SFP PLUS）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397" w:type="pct"/>
            <w:vMerge w:val="continue"/>
            <w:vAlign w:val="center"/>
          </w:tcPr>
          <w:p>
            <w:pPr>
              <w:pStyle w:val="26"/>
              <w:snapToGrid w:val="0"/>
              <w:spacing w:after="0" w:line="240" w:lineRule="auto"/>
              <w:jc w:val="left"/>
            </w:pPr>
          </w:p>
        </w:tc>
        <w:tc>
          <w:tcPr>
            <w:tcW w:w="418" w:type="pct"/>
            <w:vAlign w:val="center"/>
          </w:tcPr>
          <w:p>
            <w:pPr>
              <w:pStyle w:val="26"/>
              <w:snapToGrid w:val="0"/>
              <w:spacing w:after="0" w:line="240" w:lineRule="auto"/>
              <w:jc w:val="left"/>
            </w:pPr>
            <w:r>
              <w:t>电源</w:t>
            </w:r>
          </w:p>
        </w:tc>
        <w:tc>
          <w:tcPr>
            <w:tcW w:w="1000" w:type="pct"/>
            <w:noWrap/>
            <w:vAlign w:val="center"/>
          </w:tcPr>
          <w:p>
            <w:pPr>
              <w:pStyle w:val="26"/>
              <w:snapToGrid w:val="0"/>
              <w:spacing w:after="0" w:line="240" w:lineRule="auto"/>
              <w:jc w:val="left"/>
            </w:pPr>
            <w:r>
              <w:t>电源</w:t>
            </w:r>
          </w:p>
        </w:tc>
        <w:tc>
          <w:tcPr>
            <w:tcW w:w="3185" w:type="pct"/>
            <w:noWrap/>
            <w:vAlign w:val="center"/>
          </w:tcPr>
          <w:p>
            <w:pPr>
              <w:pStyle w:val="26"/>
              <w:snapToGrid w:val="0"/>
              <w:spacing w:after="0" w:line="240" w:lineRule="auto"/>
              <w:jc w:val="left"/>
            </w:pPr>
            <w:r>
              <w:t>冗余750W电源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397" w:type="pct"/>
            <w:vMerge w:val="continue"/>
            <w:vAlign w:val="center"/>
          </w:tcPr>
          <w:p>
            <w:pPr>
              <w:pStyle w:val="26"/>
              <w:snapToGrid w:val="0"/>
              <w:spacing w:after="0" w:line="240" w:lineRule="auto"/>
              <w:jc w:val="left"/>
            </w:pPr>
          </w:p>
        </w:tc>
        <w:tc>
          <w:tcPr>
            <w:tcW w:w="418" w:type="pct"/>
            <w:vAlign w:val="center"/>
          </w:tcPr>
          <w:p>
            <w:pPr>
              <w:pStyle w:val="26"/>
              <w:snapToGrid w:val="0"/>
              <w:spacing w:after="0" w:line="240" w:lineRule="auto"/>
              <w:jc w:val="left"/>
            </w:pPr>
            <w:r>
              <w:t>输入输出</w:t>
            </w:r>
          </w:p>
        </w:tc>
        <w:tc>
          <w:tcPr>
            <w:tcW w:w="1000" w:type="pct"/>
            <w:vAlign w:val="center"/>
          </w:tcPr>
          <w:p>
            <w:pPr>
              <w:pStyle w:val="26"/>
              <w:snapToGrid w:val="0"/>
              <w:spacing w:after="0" w:line="240" w:lineRule="auto"/>
              <w:jc w:val="left"/>
            </w:pPr>
            <w:r>
              <w:t>输入输出部件</w:t>
            </w:r>
          </w:p>
        </w:tc>
        <w:tc>
          <w:tcPr>
            <w:tcW w:w="3185" w:type="pct"/>
            <w:vAlign w:val="center"/>
          </w:tcPr>
          <w:p>
            <w:pPr>
              <w:pStyle w:val="26"/>
              <w:snapToGrid w:val="0"/>
              <w:spacing w:after="0" w:line="240" w:lineRule="auto"/>
              <w:jc w:val="left"/>
            </w:pPr>
            <w:r>
              <w:t xml:space="preserve">内置超薄DVD ROM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trPr>
        <w:tc>
          <w:tcPr>
            <w:tcW w:w="397" w:type="pct"/>
            <w:vMerge w:val="continue"/>
            <w:vAlign w:val="center"/>
          </w:tcPr>
          <w:p>
            <w:pPr>
              <w:pStyle w:val="26"/>
              <w:snapToGrid w:val="0"/>
              <w:spacing w:after="0" w:line="240" w:lineRule="auto"/>
              <w:jc w:val="left"/>
            </w:pPr>
          </w:p>
        </w:tc>
        <w:tc>
          <w:tcPr>
            <w:tcW w:w="418" w:type="pct"/>
            <w:vMerge w:val="restart"/>
            <w:vAlign w:val="center"/>
          </w:tcPr>
          <w:p>
            <w:pPr>
              <w:pStyle w:val="26"/>
              <w:snapToGrid w:val="0"/>
              <w:spacing w:after="0" w:line="240" w:lineRule="auto"/>
              <w:jc w:val="left"/>
            </w:pPr>
            <w:r>
              <w:t>可靠性</w:t>
            </w:r>
          </w:p>
        </w:tc>
        <w:tc>
          <w:tcPr>
            <w:tcW w:w="1000" w:type="pct"/>
            <w:noWrap/>
            <w:vAlign w:val="center"/>
          </w:tcPr>
          <w:p>
            <w:pPr>
              <w:pStyle w:val="26"/>
              <w:snapToGrid w:val="0"/>
              <w:spacing w:after="0" w:line="240" w:lineRule="auto"/>
              <w:jc w:val="left"/>
            </w:pPr>
            <w:r>
              <w:t>热插拔组件</w:t>
            </w:r>
          </w:p>
        </w:tc>
        <w:tc>
          <w:tcPr>
            <w:tcW w:w="3185" w:type="pct"/>
            <w:noWrap/>
            <w:vAlign w:val="center"/>
          </w:tcPr>
          <w:p>
            <w:pPr>
              <w:pStyle w:val="26"/>
              <w:snapToGrid w:val="0"/>
              <w:spacing w:after="0" w:line="240" w:lineRule="auto"/>
              <w:jc w:val="left"/>
            </w:pPr>
            <w:r>
              <w:t>电源、风扇、硬盘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397" w:type="pct"/>
            <w:vMerge w:val="continue"/>
            <w:vAlign w:val="center"/>
          </w:tcPr>
          <w:p>
            <w:pPr>
              <w:pStyle w:val="26"/>
              <w:snapToGrid w:val="0"/>
              <w:spacing w:after="0" w:line="240" w:lineRule="auto"/>
              <w:jc w:val="left"/>
            </w:pPr>
          </w:p>
        </w:tc>
        <w:tc>
          <w:tcPr>
            <w:tcW w:w="418" w:type="pct"/>
            <w:vMerge w:val="continue"/>
            <w:vAlign w:val="center"/>
          </w:tcPr>
          <w:p>
            <w:pPr>
              <w:pStyle w:val="26"/>
              <w:snapToGrid w:val="0"/>
              <w:spacing w:after="0" w:line="240" w:lineRule="auto"/>
              <w:jc w:val="left"/>
            </w:pPr>
          </w:p>
        </w:tc>
        <w:tc>
          <w:tcPr>
            <w:tcW w:w="1000" w:type="pct"/>
            <w:noWrap/>
            <w:vAlign w:val="center"/>
          </w:tcPr>
          <w:p>
            <w:pPr>
              <w:pStyle w:val="26"/>
              <w:snapToGrid w:val="0"/>
              <w:spacing w:after="0" w:line="240" w:lineRule="auto"/>
              <w:jc w:val="left"/>
            </w:pPr>
            <w:r>
              <w:t>风扇</w:t>
            </w:r>
          </w:p>
        </w:tc>
        <w:tc>
          <w:tcPr>
            <w:tcW w:w="3185" w:type="pct"/>
            <w:noWrap/>
            <w:vAlign w:val="center"/>
          </w:tcPr>
          <w:p>
            <w:pPr>
              <w:pStyle w:val="26"/>
              <w:snapToGrid w:val="0"/>
              <w:spacing w:after="0" w:line="240" w:lineRule="auto"/>
              <w:jc w:val="left"/>
            </w:pPr>
            <w:r>
              <w:t>N+N冗余(双转子风扇)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3" w:hRule="atLeast"/>
        </w:trPr>
        <w:tc>
          <w:tcPr>
            <w:tcW w:w="397" w:type="pct"/>
            <w:vAlign w:val="center"/>
          </w:tcPr>
          <w:p>
            <w:pPr>
              <w:pStyle w:val="26"/>
              <w:snapToGrid w:val="0"/>
              <w:spacing w:after="0" w:line="240" w:lineRule="auto"/>
              <w:jc w:val="left"/>
            </w:pPr>
            <w:r>
              <w:t>8</w:t>
            </w:r>
          </w:p>
        </w:tc>
        <w:tc>
          <w:tcPr>
            <w:tcW w:w="418" w:type="pct"/>
            <w:vAlign w:val="center"/>
          </w:tcPr>
          <w:p>
            <w:pPr>
              <w:pStyle w:val="26"/>
              <w:snapToGrid w:val="0"/>
              <w:spacing w:after="0" w:line="240" w:lineRule="auto"/>
              <w:jc w:val="left"/>
            </w:pPr>
            <w:r>
              <w:t>管理维护</w:t>
            </w:r>
          </w:p>
        </w:tc>
        <w:tc>
          <w:tcPr>
            <w:tcW w:w="1000" w:type="pct"/>
            <w:noWrap/>
            <w:vAlign w:val="center"/>
          </w:tcPr>
          <w:p>
            <w:pPr>
              <w:pStyle w:val="26"/>
              <w:snapToGrid w:val="0"/>
              <w:spacing w:after="0" w:line="240" w:lineRule="auto"/>
              <w:jc w:val="left"/>
            </w:pPr>
            <w:r>
              <w:t>可管理和维护性</w:t>
            </w:r>
          </w:p>
        </w:tc>
        <w:tc>
          <w:tcPr>
            <w:tcW w:w="3185" w:type="pct"/>
            <w:vAlign w:val="center"/>
          </w:tcPr>
          <w:p>
            <w:pPr>
              <w:pStyle w:val="26"/>
              <w:snapToGrid w:val="0"/>
              <w:spacing w:after="0" w:line="240" w:lineRule="auto"/>
              <w:jc w:val="left"/>
            </w:pPr>
            <w:r>
              <w:t>1. 集成系统管理处理器IMM2支持：自动服务器重启、风扇监视和控制、电源监控、温度监控、启动/关闭、按序重启、LED控制、本地固件更新、错误日志，LED面板提供系统未来状况的可视显示；2. 对CPU、内存、硬盘驱动器、电源及风扇等关键部分的潜在的故障具有提前预警能力； 3.故障部件的快速诊断功能 ： 在断电的情况下，能够通过诊断板快速定位故障的部件，提高维修速度。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397" w:type="pct"/>
            <w:vAlign w:val="center"/>
          </w:tcPr>
          <w:p>
            <w:pPr>
              <w:pStyle w:val="26"/>
              <w:snapToGrid w:val="0"/>
              <w:spacing w:after="0" w:line="240" w:lineRule="auto"/>
              <w:jc w:val="left"/>
            </w:pPr>
            <w:r>
              <w:t>9</w:t>
            </w:r>
          </w:p>
        </w:tc>
        <w:tc>
          <w:tcPr>
            <w:tcW w:w="418" w:type="pct"/>
            <w:vAlign w:val="center"/>
          </w:tcPr>
          <w:p>
            <w:pPr>
              <w:pStyle w:val="26"/>
              <w:snapToGrid w:val="0"/>
              <w:spacing w:after="0" w:line="240" w:lineRule="auto"/>
              <w:jc w:val="left"/>
            </w:pPr>
            <w:r>
              <w:t>系统</w:t>
            </w:r>
          </w:p>
        </w:tc>
        <w:tc>
          <w:tcPr>
            <w:tcW w:w="1000" w:type="pct"/>
            <w:noWrap/>
            <w:vAlign w:val="center"/>
          </w:tcPr>
          <w:p>
            <w:pPr>
              <w:pStyle w:val="26"/>
              <w:snapToGrid w:val="0"/>
              <w:spacing w:after="0" w:line="240" w:lineRule="auto"/>
              <w:jc w:val="left"/>
            </w:pPr>
            <w:r>
              <w:t>支持的操作系统</w:t>
            </w:r>
          </w:p>
        </w:tc>
        <w:tc>
          <w:tcPr>
            <w:tcW w:w="3185" w:type="pct"/>
            <w:vAlign w:val="center"/>
          </w:tcPr>
          <w:p>
            <w:pPr>
              <w:pStyle w:val="26"/>
              <w:snapToGrid w:val="0"/>
              <w:spacing w:after="0" w:line="240" w:lineRule="auto"/>
              <w:jc w:val="left"/>
            </w:pPr>
            <w:r>
              <w:t>MS Windows Sever 2012 Red Hat Enterprise Linux(RHEL) 和 SUSE Enterprise Linux 、Vmware ESX Server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397" w:type="pct"/>
            <w:vAlign w:val="center"/>
          </w:tcPr>
          <w:p>
            <w:pPr>
              <w:pStyle w:val="26"/>
              <w:snapToGrid w:val="0"/>
              <w:spacing w:after="0" w:line="240" w:lineRule="auto"/>
              <w:jc w:val="left"/>
            </w:pPr>
            <w:r>
              <w:t>10</w:t>
            </w:r>
          </w:p>
        </w:tc>
        <w:tc>
          <w:tcPr>
            <w:tcW w:w="418" w:type="pct"/>
            <w:vAlign w:val="center"/>
          </w:tcPr>
          <w:p>
            <w:pPr>
              <w:pStyle w:val="26"/>
              <w:snapToGrid w:val="0"/>
              <w:spacing w:after="0" w:line="240" w:lineRule="auto"/>
              <w:jc w:val="left"/>
            </w:pPr>
            <w:r>
              <w:t>服务</w:t>
            </w:r>
          </w:p>
        </w:tc>
        <w:tc>
          <w:tcPr>
            <w:tcW w:w="1000" w:type="pct"/>
            <w:noWrap/>
            <w:vAlign w:val="center"/>
          </w:tcPr>
          <w:p>
            <w:pPr>
              <w:pStyle w:val="26"/>
              <w:snapToGrid w:val="0"/>
              <w:spacing w:after="0" w:line="240" w:lineRule="auto"/>
              <w:jc w:val="left"/>
            </w:pPr>
            <w:r>
              <w:t>售后服务</w:t>
            </w:r>
          </w:p>
        </w:tc>
        <w:tc>
          <w:tcPr>
            <w:tcW w:w="3185" w:type="pct"/>
            <w:noWrap/>
            <w:vAlign w:val="center"/>
          </w:tcPr>
          <w:p>
            <w:pPr>
              <w:pStyle w:val="26"/>
              <w:snapToGrid w:val="0"/>
              <w:spacing w:after="0" w:line="240" w:lineRule="auto"/>
              <w:jc w:val="left"/>
            </w:pPr>
            <w:r>
              <w:t>提供3年免费人工、部件(x3750M4已升级到3年7x24x4)</w:t>
            </w:r>
          </w:p>
        </w:tc>
      </w:tr>
    </w:tbl>
    <w:p/>
    <w:p>
      <w:pPr>
        <w:pStyle w:val="5"/>
        <w:rPr>
          <w:sz w:val="24"/>
          <w:szCs w:val="24"/>
        </w:rPr>
      </w:pPr>
      <w:bookmarkStart w:id="78" w:name="_Toc100742940"/>
      <w:bookmarkStart w:id="79" w:name="_Toc531158196"/>
      <w:r>
        <w:rPr>
          <w:rFonts w:hint="eastAsia"/>
          <w:sz w:val="24"/>
          <w:szCs w:val="24"/>
        </w:rPr>
        <w:t>3.2.3交换机规格要求</w:t>
      </w:r>
      <w:bookmarkEnd w:id="78"/>
    </w:p>
    <w:p/>
    <w:tbl>
      <w:tblPr>
        <w:tblStyle w:val="3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3"/>
        <w:gridCol w:w="701"/>
        <w:gridCol w:w="2479"/>
        <w:gridCol w:w="4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97" w:type="pct"/>
            <w:vAlign w:val="center"/>
          </w:tcPr>
          <w:p>
            <w:pPr>
              <w:pStyle w:val="26"/>
              <w:snapToGrid w:val="0"/>
              <w:spacing w:after="0" w:line="240" w:lineRule="auto"/>
              <w:jc w:val="left"/>
            </w:pPr>
            <w:r>
              <w:t>序号</w:t>
            </w:r>
          </w:p>
        </w:tc>
        <w:tc>
          <w:tcPr>
            <w:tcW w:w="419" w:type="pct"/>
            <w:vAlign w:val="center"/>
          </w:tcPr>
          <w:p>
            <w:pPr>
              <w:pStyle w:val="26"/>
              <w:snapToGrid w:val="0"/>
              <w:spacing w:after="0" w:line="240" w:lineRule="auto"/>
              <w:jc w:val="left"/>
            </w:pPr>
            <w:r>
              <w:t>指标</w:t>
            </w:r>
          </w:p>
        </w:tc>
        <w:tc>
          <w:tcPr>
            <w:tcW w:w="1431" w:type="pct"/>
            <w:noWrap/>
            <w:vAlign w:val="center"/>
          </w:tcPr>
          <w:p>
            <w:pPr>
              <w:pStyle w:val="26"/>
              <w:snapToGrid w:val="0"/>
              <w:spacing w:after="0" w:line="240" w:lineRule="auto"/>
              <w:jc w:val="left"/>
            </w:pPr>
            <w:r>
              <w:t>指标项</w:t>
            </w:r>
          </w:p>
        </w:tc>
        <w:tc>
          <w:tcPr>
            <w:tcW w:w="2753" w:type="pct"/>
            <w:noWrap/>
            <w:vAlign w:val="center"/>
          </w:tcPr>
          <w:p>
            <w:pPr>
              <w:pStyle w:val="26"/>
              <w:snapToGrid w:val="0"/>
              <w:spacing w:after="0" w:line="240" w:lineRule="auto"/>
              <w:jc w:val="left"/>
            </w:pPr>
            <w:r>
              <w:t>技术规格要求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397" w:type="pct"/>
            <w:vMerge w:val="restart"/>
            <w:vAlign w:val="center"/>
          </w:tcPr>
          <w:p>
            <w:pPr>
              <w:pStyle w:val="26"/>
              <w:snapToGrid w:val="0"/>
              <w:spacing w:after="0" w:line="240" w:lineRule="auto"/>
              <w:jc w:val="left"/>
            </w:pPr>
            <w:r>
              <w:t>1</w:t>
            </w:r>
          </w:p>
        </w:tc>
        <w:tc>
          <w:tcPr>
            <w:tcW w:w="419" w:type="pct"/>
            <w:vMerge w:val="restart"/>
            <w:vAlign w:val="center"/>
          </w:tcPr>
          <w:p>
            <w:pPr>
              <w:pStyle w:val="26"/>
              <w:snapToGrid w:val="0"/>
              <w:spacing w:after="0" w:line="240" w:lineRule="auto"/>
              <w:jc w:val="left"/>
            </w:pPr>
            <w:r>
              <w:t>外观</w:t>
            </w:r>
          </w:p>
        </w:tc>
        <w:tc>
          <w:tcPr>
            <w:tcW w:w="1431" w:type="pct"/>
            <w:noWrap/>
            <w:vAlign w:val="center"/>
          </w:tcPr>
          <w:p>
            <w:pPr>
              <w:pStyle w:val="26"/>
              <w:snapToGrid w:val="0"/>
              <w:spacing w:after="0" w:line="240" w:lineRule="auto"/>
              <w:jc w:val="left"/>
            </w:pPr>
            <w:r>
              <w:t>交换机外观</w:t>
            </w:r>
          </w:p>
        </w:tc>
        <w:tc>
          <w:tcPr>
            <w:tcW w:w="2753" w:type="pct"/>
            <w:noWrap/>
          </w:tcPr>
          <w:p>
            <w:pPr>
              <w:pStyle w:val="26"/>
              <w:snapToGrid w:val="0"/>
              <w:spacing w:after="0" w:line="240" w:lineRule="auto"/>
              <w:jc w:val="left"/>
            </w:pPr>
            <w:r>
              <w:t>机架式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97" w:type="pct"/>
            <w:vMerge w:val="continue"/>
            <w:vAlign w:val="center"/>
          </w:tcPr>
          <w:p>
            <w:pPr>
              <w:pStyle w:val="26"/>
              <w:snapToGrid w:val="0"/>
              <w:spacing w:after="0" w:line="240" w:lineRule="auto"/>
              <w:jc w:val="left"/>
            </w:pPr>
          </w:p>
        </w:tc>
        <w:tc>
          <w:tcPr>
            <w:tcW w:w="419" w:type="pct"/>
            <w:vMerge w:val="continue"/>
            <w:vAlign w:val="center"/>
          </w:tcPr>
          <w:p>
            <w:pPr>
              <w:pStyle w:val="26"/>
              <w:snapToGrid w:val="0"/>
              <w:spacing w:after="0" w:line="240" w:lineRule="auto"/>
              <w:jc w:val="left"/>
            </w:pPr>
          </w:p>
        </w:tc>
        <w:tc>
          <w:tcPr>
            <w:tcW w:w="1431" w:type="pct"/>
            <w:noWrap/>
            <w:vAlign w:val="center"/>
          </w:tcPr>
          <w:p>
            <w:pPr>
              <w:pStyle w:val="26"/>
              <w:snapToGrid w:val="0"/>
              <w:spacing w:after="0" w:line="240" w:lineRule="auto"/>
              <w:jc w:val="left"/>
            </w:pPr>
            <w:r>
              <w:t>交换机高度</w:t>
            </w:r>
          </w:p>
        </w:tc>
        <w:tc>
          <w:tcPr>
            <w:tcW w:w="2753" w:type="pct"/>
            <w:noWrap/>
          </w:tcPr>
          <w:p>
            <w:pPr>
              <w:pStyle w:val="26"/>
              <w:snapToGrid w:val="0"/>
              <w:spacing w:after="0" w:line="240" w:lineRule="auto"/>
              <w:jc w:val="left"/>
            </w:pPr>
            <w:r>
              <w:t>1U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97" w:type="pct"/>
            <w:vMerge w:val="restart"/>
            <w:vAlign w:val="center"/>
          </w:tcPr>
          <w:p>
            <w:pPr>
              <w:pStyle w:val="26"/>
              <w:snapToGrid w:val="0"/>
              <w:spacing w:after="0" w:line="240" w:lineRule="auto"/>
              <w:jc w:val="left"/>
            </w:pPr>
            <w:r>
              <w:t>2</w:t>
            </w:r>
          </w:p>
        </w:tc>
        <w:tc>
          <w:tcPr>
            <w:tcW w:w="419" w:type="pct"/>
            <w:vMerge w:val="restart"/>
            <w:vAlign w:val="center"/>
          </w:tcPr>
          <w:p>
            <w:pPr>
              <w:pStyle w:val="26"/>
              <w:snapToGrid w:val="0"/>
              <w:spacing w:after="0" w:line="240" w:lineRule="auto"/>
              <w:jc w:val="left"/>
            </w:pPr>
            <w:r>
              <w:t>性能</w:t>
            </w:r>
          </w:p>
        </w:tc>
        <w:tc>
          <w:tcPr>
            <w:tcW w:w="1431" w:type="pct"/>
            <w:noWrap/>
            <w:vAlign w:val="center"/>
          </w:tcPr>
          <w:p>
            <w:pPr>
              <w:pStyle w:val="26"/>
              <w:snapToGrid w:val="0"/>
              <w:spacing w:after="0" w:line="240" w:lineRule="auto"/>
              <w:jc w:val="left"/>
            </w:pPr>
            <w:r>
              <w:t>交换容量（全双工）</w:t>
            </w:r>
          </w:p>
        </w:tc>
        <w:tc>
          <w:tcPr>
            <w:tcW w:w="2753" w:type="pct"/>
            <w:noWrap/>
            <w:vAlign w:val="center"/>
          </w:tcPr>
          <w:p>
            <w:pPr>
              <w:pStyle w:val="26"/>
              <w:snapToGrid w:val="0"/>
              <w:spacing w:after="0" w:line="240" w:lineRule="auto"/>
              <w:jc w:val="left"/>
            </w:pPr>
            <w:r>
              <w:t>680Gbps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97" w:type="pct"/>
            <w:vMerge w:val="continue"/>
            <w:vAlign w:val="center"/>
          </w:tcPr>
          <w:p>
            <w:pPr>
              <w:pStyle w:val="26"/>
              <w:snapToGrid w:val="0"/>
              <w:spacing w:after="0" w:line="240" w:lineRule="auto"/>
              <w:jc w:val="left"/>
            </w:pPr>
          </w:p>
        </w:tc>
        <w:tc>
          <w:tcPr>
            <w:tcW w:w="419" w:type="pct"/>
            <w:vMerge w:val="continue"/>
            <w:vAlign w:val="center"/>
          </w:tcPr>
          <w:p>
            <w:pPr>
              <w:pStyle w:val="26"/>
              <w:snapToGrid w:val="0"/>
              <w:spacing w:after="0" w:line="240" w:lineRule="auto"/>
              <w:jc w:val="left"/>
            </w:pPr>
          </w:p>
        </w:tc>
        <w:tc>
          <w:tcPr>
            <w:tcW w:w="1431" w:type="pct"/>
            <w:tcBorders>
              <w:bottom w:val="single" w:color="auto" w:sz="4" w:space="0"/>
            </w:tcBorders>
            <w:noWrap/>
            <w:vAlign w:val="center"/>
          </w:tcPr>
          <w:p>
            <w:pPr>
              <w:pStyle w:val="26"/>
              <w:snapToGrid w:val="0"/>
              <w:spacing w:after="0" w:line="240" w:lineRule="auto"/>
              <w:jc w:val="left"/>
            </w:pPr>
            <w:r>
              <w:t>包转发率（整机）</w:t>
            </w:r>
          </w:p>
        </w:tc>
        <w:tc>
          <w:tcPr>
            <w:tcW w:w="2753" w:type="pct"/>
            <w:tcBorders>
              <w:bottom w:val="single" w:color="auto" w:sz="4" w:space="0"/>
            </w:tcBorders>
            <w:noWrap/>
            <w:vAlign w:val="center"/>
          </w:tcPr>
          <w:p>
            <w:pPr>
              <w:pStyle w:val="26"/>
              <w:snapToGrid w:val="0"/>
              <w:spacing w:after="0" w:line="240" w:lineRule="auto"/>
              <w:jc w:val="left"/>
            </w:pPr>
            <w:r>
              <w:t>240Mpps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7" w:type="pct"/>
            <w:vAlign w:val="center"/>
          </w:tcPr>
          <w:p>
            <w:pPr>
              <w:pStyle w:val="26"/>
              <w:snapToGrid w:val="0"/>
              <w:spacing w:after="0" w:line="240" w:lineRule="auto"/>
              <w:jc w:val="left"/>
            </w:pPr>
            <w:r>
              <w:t>3</w:t>
            </w:r>
          </w:p>
        </w:tc>
        <w:tc>
          <w:tcPr>
            <w:tcW w:w="419" w:type="pct"/>
            <w:tcBorders>
              <w:right w:val="single" w:color="auto" w:sz="4" w:space="0"/>
            </w:tcBorders>
            <w:vAlign w:val="center"/>
          </w:tcPr>
          <w:p>
            <w:pPr>
              <w:pStyle w:val="26"/>
              <w:snapToGrid w:val="0"/>
              <w:spacing w:after="0" w:line="240" w:lineRule="auto"/>
              <w:jc w:val="left"/>
            </w:pPr>
            <w:r>
              <w:t>端口</w:t>
            </w:r>
          </w:p>
        </w:tc>
        <w:tc>
          <w:tcPr>
            <w:tcW w:w="1431" w:type="pct"/>
            <w:tcBorders>
              <w:top w:val="single" w:color="auto" w:sz="4" w:space="0"/>
              <w:left w:val="single" w:color="auto" w:sz="4" w:space="0"/>
              <w:bottom w:val="single" w:color="auto" w:sz="4" w:space="0"/>
              <w:right w:val="single" w:color="auto" w:sz="4" w:space="0"/>
            </w:tcBorders>
            <w:noWrap/>
            <w:vAlign w:val="center"/>
          </w:tcPr>
          <w:p>
            <w:pPr>
              <w:pStyle w:val="26"/>
              <w:snapToGrid w:val="0"/>
              <w:spacing w:after="0" w:line="240" w:lineRule="auto"/>
              <w:jc w:val="left"/>
            </w:pPr>
            <w:r>
              <w:t>端口描述</w:t>
            </w:r>
          </w:p>
        </w:tc>
        <w:tc>
          <w:tcPr>
            <w:tcW w:w="2753" w:type="pct"/>
            <w:tcBorders>
              <w:top w:val="single" w:color="auto" w:sz="4" w:space="0"/>
              <w:left w:val="single" w:color="auto" w:sz="4" w:space="0"/>
              <w:bottom w:val="single" w:color="auto" w:sz="4" w:space="0"/>
              <w:right w:val="single" w:color="auto" w:sz="4" w:space="0"/>
            </w:tcBorders>
            <w:vAlign w:val="center"/>
          </w:tcPr>
          <w:p>
            <w:pPr>
              <w:pStyle w:val="26"/>
              <w:snapToGrid w:val="0"/>
              <w:spacing w:after="0" w:line="240" w:lineRule="auto"/>
              <w:jc w:val="left"/>
            </w:pPr>
            <w:r>
              <w:t>1*管理口+ 16 *SFP Plus端口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7" w:type="pct"/>
            <w:vMerge w:val="restart"/>
            <w:vAlign w:val="center"/>
          </w:tcPr>
          <w:p>
            <w:pPr>
              <w:pStyle w:val="26"/>
              <w:snapToGrid w:val="0"/>
              <w:spacing w:after="0" w:line="240" w:lineRule="auto"/>
              <w:jc w:val="left"/>
            </w:pPr>
            <w:r>
              <w:t>4</w:t>
            </w:r>
          </w:p>
        </w:tc>
        <w:tc>
          <w:tcPr>
            <w:tcW w:w="419" w:type="pct"/>
            <w:vMerge w:val="restart"/>
            <w:tcBorders>
              <w:right w:val="single" w:color="auto" w:sz="4" w:space="0"/>
            </w:tcBorders>
            <w:vAlign w:val="center"/>
          </w:tcPr>
          <w:p>
            <w:pPr>
              <w:pStyle w:val="26"/>
              <w:snapToGrid w:val="0"/>
              <w:spacing w:after="0" w:line="240" w:lineRule="auto"/>
              <w:jc w:val="left"/>
            </w:pPr>
            <w:r>
              <w:t>功能</w:t>
            </w:r>
          </w:p>
        </w:tc>
        <w:tc>
          <w:tcPr>
            <w:tcW w:w="1431" w:type="pct"/>
            <w:tcBorders>
              <w:top w:val="single" w:color="auto" w:sz="4" w:space="0"/>
              <w:left w:val="single" w:color="auto" w:sz="4" w:space="0"/>
              <w:bottom w:val="single" w:color="auto" w:sz="4" w:space="0"/>
              <w:right w:val="single" w:color="auto" w:sz="4" w:space="0"/>
            </w:tcBorders>
            <w:noWrap/>
          </w:tcPr>
          <w:p>
            <w:pPr>
              <w:pStyle w:val="26"/>
              <w:snapToGrid w:val="0"/>
              <w:spacing w:after="0" w:line="240" w:lineRule="auto"/>
              <w:jc w:val="left"/>
            </w:pPr>
            <w:r>
              <w:t>以太网功能</w:t>
            </w:r>
          </w:p>
        </w:tc>
        <w:tc>
          <w:tcPr>
            <w:tcW w:w="2753" w:type="pct"/>
            <w:tcBorders>
              <w:top w:val="single" w:color="auto" w:sz="4" w:space="0"/>
              <w:left w:val="single" w:color="auto" w:sz="4" w:space="0"/>
              <w:bottom w:val="single" w:color="auto" w:sz="4" w:space="0"/>
              <w:right w:val="single" w:color="auto" w:sz="4" w:space="0"/>
            </w:tcBorders>
          </w:tcPr>
          <w:p>
            <w:pPr>
              <w:pStyle w:val="26"/>
              <w:snapToGrid w:val="0"/>
              <w:spacing w:after="0" w:line="240" w:lineRule="auto"/>
              <w:jc w:val="left"/>
            </w:pPr>
            <w:r>
              <w:t>IRF2</w:t>
            </w:r>
          </w:p>
          <w:p>
            <w:pPr>
              <w:pStyle w:val="26"/>
              <w:snapToGrid w:val="0"/>
              <w:spacing w:after="0" w:line="240" w:lineRule="auto"/>
              <w:jc w:val="left"/>
            </w:pPr>
            <w:r>
              <w:t>32K Mac地址表</w:t>
            </w:r>
          </w:p>
          <w:p>
            <w:pPr>
              <w:pStyle w:val="26"/>
              <w:snapToGrid w:val="0"/>
              <w:spacing w:after="0" w:line="240" w:lineRule="auto"/>
              <w:jc w:val="left"/>
            </w:pPr>
            <w:r>
              <w:t>支持端口镜像和流镜像功能</w:t>
            </w:r>
          </w:p>
          <w:p>
            <w:pPr>
              <w:pStyle w:val="26"/>
              <w:snapToGrid w:val="0"/>
              <w:spacing w:after="0" w:line="240" w:lineRule="auto"/>
              <w:jc w:val="left"/>
            </w:pPr>
            <w:r>
              <w:t>支持端口聚合(聚合组端口最大8个端口)</w:t>
            </w:r>
          </w:p>
          <w:p>
            <w:pPr>
              <w:pStyle w:val="26"/>
              <w:snapToGrid w:val="0"/>
              <w:spacing w:after="0" w:line="240" w:lineRule="auto"/>
              <w:jc w:val="left"/>
            </w:pPr>
            <w:r>
              <w:t>支持10GE口聚合</w:t>
            </w:r>
          </w:p>
          <w:p>
            <w:pPr>
              <w:pStyle w:val="26"/>
              <w:snapToGrid w:val="0"/>
              <w:spacing w:after="0" w:line="240" w:lineRule="auto"/>
              <w:jc w:val="left"/>
            </w:pPr>
            <w:r>
              <w:t>支持端口隔离</w:t>
            </w:r>
          </w:p>
          <w:p>
            <w:pPr>
              <w:pStyle w:val="26"/>
              <w:snapToGrid w:val="0"/>
              <w:spacing w:after="0" w:line="240" w:lineRule="auto"/>
              <w:jc w:val="left"/>
            </w:pPr>
            <w:r>
              <w:t>支持STP/RSTP/MSTP</w:t>
            </w:r>
          </w:p>
          <w:p>
            <w:pPr>
              <w:pStyle w:val="26"/>
              <w:snapToGrid w:val="0"/>
              <w:spacing w:after="0" w:line="240" w:lineRule="auto"/>
              <w:jc w:val="left"/>
            </w:pPr>
            <w:r>
              <w:t>支持IEEE 802.3ad（动态链路聚合）、静态端口聚合</w:t>
            </w:r>
          </w:p>
          <w:p>
            <w:pPr>
              <w:pStyle w:val="26"/>
              <w:snapToGrid w:val="0"/>
              <w:spacing w:after="0" w:line="240" w:lineRule="auto"/>
              <w:jc w:val="left"/>
            </w:pPr>
            <w:r>
              <w:t>支持Jumbo Frame</w:t>
            </w:r>
          </w:p>
          <w:p>
            <w:pPr>
              <w:pStyle w:val="26"/>
              <w:snapToGrid w:val="0"/>
              <w:spacing w:after="0" w:line="240" w:lineRule="auto"/>
              <w:jc w:val="left"/>
            </w:pPr>
            <w:r>
              <w:t>支持RRPP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7" w:type="pct"/>
            <w:vMerge w:val="continue"/>
            <w:vAlign w:val="center"/>
          </w:tcPr>
          <w:p>
            <w:pPr>
              <w:pStyle w:val="26"/>
              <w:snapToGrid w:val="0"/>
              <w:spacing w:after="0" w:line="240" w:lineRule="auto"/>
              <w:jc w:val="left"/>
            </w:pPr>
          </w:p>
        </w:tc>
        <w:tc>
          <w:tcPr>
            <w:tcW w:w="419" w:type="pct"/>
            <w:vMerge w:val="continue"/>
            <w:tcBorders>
              <w:right w:val="single" w:color="auto" w:sz="4" w:space="0"/>
            </w:tcBorders>
            <w:vAlign w:val="center"/>
          </w:tcPr>
          <w:p>
            <w:pPr>
              <w:pStyle w:val="26"/>
              <w:snapToGrid w:val="0"/>
              <w:spacing w:after="0" w:line="240" w:lineRule="auto"/>
              <w:jc w:val="left"/>
            </w:pPr>
          </w:p>
        </w:tc>
        <w:tc>
          <w:tcPr>
            <w:tcW w:w="1431" w:type="pct"/>
            <w:tcBorders>
              <w:top w:val="single" w:color="auto" w:sz="4" w:space="0"/>
              <w:left w:val="single" w:color="auto" w:sz="4" w:space="0"/>
              <w:bottom w:val="single" w:color="auto" w:sz="4" w:space="0"/>
              <w:right w:val="single" w:color="auto" w:sz="4" w:space="0"/>
            </w:tcBorders>
            <w:noWrap/>
          </w:tcPr>
          <w:p>
            <w:pPr>
              <w:pStyle w:val="26"/>
              <w:snapToGrid w:val="0"/>
              <w:spacing w:after="0" w:line="240" w:lineRule="auto"/>
              <w:jc w:val="left"/>
            </w:pPr>
            <w:r>
              <w:t>VLAN</w:t>
            </w:r>
          </w:p>
        </w:tc>
        <w:tc>
          <w:tcPr>
            <w:tcW w:w="2753" w:type="pct"/>
            <w:tcBorders>
              <w:top w:val="single" w:color="auto" w:sz="4" w:space="0"/>
              <w:left w:val="single" w:color="auto" w:sz="4" w:space="0"/>
              <w:bottom w:val="single" w:color="auto" w:sz="4" w:space="0"/>
              <w:right w:val="single" w:color="auto" w:sz="4" w:space="0"/>
            </w:tcBorders>
          </w:tcPr>
          <w:p>
            <w:pPr>
              <w:pStyle w:val="26"/>
              <w:snapToGrid w:val="0"/>
              <w:spacing w:after="0" w:line="240" w:lineRule="auto"/>
              <w:jc w:val="left"/>
            </w:pPr>
            <w:r>
              <w:t>支持基于端口的VLAN</w:t>
            </w:r>
          </w:p>
          <w:p>
            <w:pPr>
              <w:pStyle w:val="26"/>
              <w:snapToGrid w:val="0"/>
              <w:spacing w:after="0" w:line="240" w:lineRule="auto"/>
              <w:jc w:val="left"/>
            </w:pPr>
            <w:r>
              <w:t>支持QinQ</w:t>
            </w:r>
          </w:p>
          <w:p>
            <w:pPr>
              <w:pStyle w:val="26"/>
              <w:snapToGrid w:val="0"/>
              <w:spacing w:after="0" w:line="240" w:lineRule="auto"/>
              <w:jc w:val="left"/>
            </w:pPr>
            <w:r>
              <w:t>支持Voice VLAN</w:t>
            </w:r>
          </w:p>
          <w:p>
            <w:pPr>
              <w:pStyle w:val="26"/>
              <w:snapToGrid w:val="0"/>
              <w:spacing w:after="0" w:line="240" w:lineRule="auto"/>
              <w:jc w:val="left"/>
            </w:pPr>
            <w:r>
              <w:t>支持协议VLAN</w:t>
            </w:r>
          </w:p>
          <w:p>
            <w:pPr>
              <w:pStyle w:val="26"/>
              <w:snapToGrid w:val="0"/>
              <w:spacing w:after="0" w:line="240" w:lineRule="auto"/>
              <w:jc w:val="left"/>
            </w:pPr>
            <w:r>
              <w:t>支持MAC VLAN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7" w:type="pct"/>
            <w:vMerge w:val="continue"/>
            <w:vAlign w:val="center"/>
          </w:tcPr>
          <w:p>
            <w:pPr>
              <w:pStyle w:val="26"/>
              <w:snapToGrid w:val="0"/>
              <w:spacing w:after="0" w:line="240" w:lineRule="auto"/>
              <w:jc w:val="left"/>
            </w:pPr>
          </w:p>
        </w:tc>
        <w:tc>
          <w:tcPr>
            <w:tcW w:w="419" w:type="pct"/>
            <w:vMerge w:val="continue"/>
            <w:tcBorders>
              <w:right w:val="single" w:color="auto" w:sz="4" w:space="0"/>
            </w:tcBorders>
            <w:vAlign w:val="center"/>
          </w:tcPr>
          <w:p>
            <w:pPr>
              <w:pStyle w:val="26"/>
              <w:snapToGrid w:val="0"/>
              <w:spacing w:after="0" w:line="240" w:lineRule="auto"/>
              <w:jc w:val="left"/>
            </w:pPr>
          </w:p>
        </w:tc>
        <w:tc>
          <w:tcPr>
            <w:tcW w:w="1431" w:type="pct"/>
            <w:tcBorders>
              <w:top w:val="single" w:color="auto" w:sz="4" w:space="0"/>
              <w:left w:val="single" w:color="auto" w:sz="4" w:space="0"/>
              <w:bottom w:val="single" w:color="auto" w:sz="4" w:space="0"/>
              <w:right w:val="single" w:color="auto" w:sz="4" w:space="0"/>
            </w:tcBorders>
            <w:noWrap/>
          </w:tcPr>
          <w:p>
            <w:pPr>
              <w:pStyle w:val="26"/>
              <w:snapToGrid w:val="0"/>
              <w:spacing w:after="0" w:line="240" w:lineRule="auto"/>
              <w:jc w:val="left"/>
            </w:pPr>
            <w:r>
              <w:t>ARP</w:t>
            </w:r>
          </w:p>
        </w:tc>
        <w:tc>
          <w:tcPr>
            <w:tcW w:w="2753" w:type="pct"/>
            <w:tcBorders>
              <w:top w:val="single" w:color="auto" w:sz="4" w:space="0"/>
              <w:left w:val="single" w:color="auto" w:sz="4" w:space="0"/>
              <w:bottom w:val="single" w:color="auto" w:sz="4" w:space="0"/>
              <w:right w:val="single" w:color="auto" w:sz="4" w:space="0"/>
            </w:tcBorders>
          </w:tcPr>
          <w:p>
            <w:pPr>
              <w:pStyle w:val="26"/>
              <w:snapToGrid w:val="0"/>
              <w:spacing w:after="0" w:line="240" w:lineRule="auto"/>
              <w:jc w:val="left"/>
            </w:pPr>
            <w:r>
              <w:t>支持ARP Detection功能</w:t>
            </w:r>
          </w:p>
          <w:p>
            <w:pPr>
              <w:pStyle w:val="26"/>
              <w:snapToGrid w:val="0"/>
              <w:spacing w:after="0" w:line="240" w:lineRule="auto"/>
              <w:jc w:val="left"/>
            </w:pPr>
            <w:r>
              <w:t>支持ARP限速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7" w:type="pct"/>
            <w:vMerge w:val="continue"/>
            <w:vAlign w:val="center"/>
          </w:tcPr>
          <w:p>
            <w:pPr>
              <w:pStyle w:val="26"/>
              <w:snapToGrid w:val="0"/>
              <w:spacing w:after="0" w:line="240" w:lineRule="auto"/>
              <w:jc w:val="left"/>
            </w:pPr>
          </w:p>
        </w:tc>
        <w:tc>
          <w:tcPr>
            <w:tcW w:w="419" w:type="pct"/>
            <w:vMerge w:val="continue"/>
            <w:tcBorders>
              <w:right w:val="single" w:color="auto" w:sz="4" w:space="0"/>
            </w:tcBorders>
            <w:vAlign w:val="center"/>
          </w:tcPr>
          <w:p>
            <w:pPr>
              <w:pStyle w:val="26"/>
              <w:snapToGrid w:val="0"/>
              <w:spacing w:after="0" w:line="240" w:lineRule="auto"/>
              <w:jc w:val="left"/>
            </w:pPr>
          </w:p>
        </w:tc>
        <w:tc>
          <w:tcPr>
            <w:tcW w:w="1431" w:type="pct"/>
            <w:tcBorders>
              <w:top w:val="single" w:color="auto" w:sz="4" w:space="0"/>
              <w:left w:val="single" w:color="auto" w:sz="4" w:space="0"/>
              <w:bottom w:val="single" w:color="auto" w:sz="4" w:space="0"/>
              <w:right w:val="single" w:color="auto" w:sz="4" w:space="0"/>
            </w:tcBorders>
            <w:noWrap/>
          </w:tcPr>
          <w:p>
            <w:pPr>
              <w:pStyle w:val="26"/>
              <w:snapToGrid w:val="0"/>
              <w:spacing w:after="0" w:line="240" w:lineRule="auto"/>
              <w:jc w:val="left"/>
            </w:pPr>
            <w:r>
              <w:t>IPv6</w:t>
            </w:r>
          </w:p>
        </w:tc>
        <w:tc>
          <w:tcPr>
            <w:tcW w:w="2753" w:type="pct"/>
            <w:tcBorders>
              <w:top w:val="single" w:color="auto" w:sz="4" w:space="0"/>
              <w:left w:val="single" w:color="auto" w:sz="4" w:space="0"/>
              <w:bottom w:val="single" w:color="auto" w:sz="4" w:space="0"/>
              <w:right w:val="single" w:color="auto" w:sz="4" w:space="0"/>
            </w:tcBorders>
          </w:tcPr>
          <w:p>
            <w:pPr>
              <w:pStyle w:val="26"/>
              <w:snapToGrid w:val="0"/>
              <w:spacing w:after="0" w:line="240" w:lineRule="auto"/>
              <w:jc w:val="left"/>
            </w:pPr>
            <w:r>
              <w:t>支持IPv6静态路由、双协议栈</w:t>
            </w:r>
          </w:p>
          <w:p>
            <w:pPr>
              <w:pStyle w:val="26"/>
              <w:snapToGrid w:val="0"/>
              <w:spacing w:after="0" w:line="240" w:lineRule="auto"/>
              <w:jc w:val="left"/>
            </w:pPr>
            <w:r>
              <w:t>支持DHCPv6 Client、DHCPv6 Snooping</w:t>
            </w:r>
          </w:p>
          <w:p>
            <w:pPr>
              <w:pStyle w:val="26"/>
              <w:snapToGrid w:val="0"/>
              <w:spacing w:after="0" w:line="240" w:lineRule="auto"/>
              <w:jc w:val="left"/>
            </w:pPr>
            <w:r>
              <w:t>支持ND、PMTU</w:t>
            </w:r>
          </w:p>
          <w:p>
            <w:pPr>
              <w:pStyle w:val="26"/>
              <w:snapToGrid w:val="0"/>
              <w:spacing w:after="0" w:line="240" w:lineRule="auto"/>
              <w:jc w:val="left"/>
            </w:pPr>
            <w:r>
              <w:t>支持IPv6 Ping、IPv6 Telnet、IPv6 SSHv2、IPv6域名解析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7" w:type="pct"/>
            <w:vMerge w:val="continue"/>
            <w:vAlign w:val="center"/>
          </w:tcPr>
          <w:p>
            <w:pPr>
              <w:pStyle w:val="26"/>
              <w:snapToGrid w:val="0"/>
              <w:spacing w:after="0" w:line="240" w:lineRule="auto"/>
              <w:jc w:val="left"/>
            </w:pPr>
          </w:p>
        </w:tc>
        <w:tc>
          <w:tcPr>
            <w:tcW w:w="419" w:type="pct"/>
            <w:vMerge w:val="continue"/>
            <w:tcBorders>
              <w:right w:val="single" w:color="auto" w:sz="4" w:space="0"/>
            </w:tcBorders>
            <w:vAlign w:val="center"/>
          </w:tcPr>
          <w:p>
            <w:pPr>
              <w:pStyle w:val="26"/>
              <w:snapToGrid w:val="0"/>
              <w:spacing w:after="0" w:line="240" w:lineRule="auto"/>
              <w:jc w:val="left"/>
            </w:pPr>
          </w:p>
        </w:tc>
        <w:tc>
          <w:tcPr>
            <w:tcW w:w="1431" w:type="pct"/>
            <w:tcBorders>
              <w:top w:val="single" w:color="auto" w:sz="4" w:space="0"/>
              <w:left w:val="single" w:color="auto" w:sz="4" w:space="0"/>
              <w:bottom w:val="single" w:color="auto" w:sz="4" w:space="0"/>
              <w:right w:val="single" w:color="auto" w:sz="4" w:space="0"/>
            </w:tcBorders>
            <w:noWrap/>
          </w:tcPr>
          <w:p>
            <w:pPr>
              <w:pStyle w:val="26"/>
              <w:snapToGrid w:val="0"/>
              <w:spacing w:after="0" w:line="240" w:lineRule="auto"/>
              <w:jc w:val="left"/>
            </w:pPr>
            <w:r>
              <w:t>DHCP</w:t>
            </w:r>
          </w:p>
        </w:tc>
        <w:tc>
          <w:tcPr>
            <w:tcW w:w="2753" w:type="pct"/>
            <w:tcBorders>
              <w:top w:val="single" w:color="auto" w:sz="4" w:space="0"/>
              <w:left w:val="single" w:color="auto" w:sz="4" w:space="0"/>
              <w:bottom w:val="single" w:color="auto" w:sz="4" w:space="0"/>
              <w:right w:val="single" w:color="auto" w:sz="4" w:space="0"/>
            </w:tcBorders>
          </w:tcPr>
          <w:p>
            <w:pPr>
              <w:pStyle w:val="26"/>
              <w:snapToGrid w:val="0"/>
              <w:spacing w:after="0" w:line="240" w:lineRule="auto"/>
              <w:jc w:val="left"/>
            </w:pPr>
            <w:r>
              <w:t>支持DHCP Client</w:t>
            </w:r>
          </w:p>
          <w:p>
            <w:pPr>
              <w:pStyle w:val="26"/>
              <w:snapToGrid w:val="0"/>
              <w:spacing w:after="0" w:line="240" w:lineRule="auto"/>
              <w:jc w:val="left"/>
            </w:pPr>
            <w:r>
              <w:t>支持DHCP Snooping</w:t>
            </w:r>
          </w:p>
          <w:p>
            <w:pPr>
              <w:pStyle w:val="26"/>
              <w:snapToGrid w:val="0"/>
              <w:spacing w:after="0" w:line="240" w:lineRule="auto"/>
              <w:jc w:val="left"/>
            </w:pPr>
            <w:r>
              <w:t>支持 DHCP Relay</w:t>
            </w:r>
          </w:p>
          <w:p>
            <w:pPr>
              <w:pStyle w:val="26"/>
              <w:snapToGrid w:val="0"/>
              <w:spacing w:after="0" w:line="240" w:lineRule="auto"/>
              <w:jc w:val="left"/>
            </w:pPr>
            <w:r>
              <w:t>支持DHCP Option82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7" w:type="pct"/>
            <w:vMerge w:val="continue"/>
            <w:vAlign w:val="center"/>
          </w:tcPr>
          <w:p>
            <w:pPr>
              <w:pStyle w:val="26"/>
              <w:snapToGrid w:val="0"/>
              <w:spacing w:after="0" w:line="240" w:lineRule="auto"/>
              <w:jc w:val="left"/>
            </w:pPr>
          </w:p>
        </w:tc>
        <w:tc>
          <w:tcPr>
            <w:tcW w:w="419" w:type="pct"/>
            <w:vMerge w:val="continue"/>
            <w:tcBorders>
              <w:right w:val="single" w:color="auto" w:sz="4" w:space="0"/>
            </w:tcBorders>
            <w:vAlign w:val="center"/>
          </w:tcPr>
          <w:p>
            <w:pPr>
              <w:pStyle w:val="26"/>
              <w:snapToGrid w:val="0"/>
              <w:spacing w:after="0" w:line="240" w:lineRule="auto"/>
              <w:jc w:val="left"/>
            </w:pPr>
          </w:p>
        </w:tc>
        <w:tc>
          <w:tcPr>
            <w:tcW w:w="1431" w:type="pct"/>
            <w:tcBorders>
              <w:top w:val="single" w:color="auto" w:sz="4" w:space="0"/>
              <w:left w:val="single" w:color="auto" w:sz="4" w:space="0"/>
              <w:bottom w:val="single" w:color="auto" w:sz="4" w:space="0"/>
              <w:right w:val="single" w:color="auto" w:sz="4" w:space="0"/>
            </w:tcBorders>
            <w:noWrap/>
          </w:tcPr>
          <w:p>
            <w:pPr>
              <w:pStyle w:val="26"/>
              <w:snapToGrid w:val="0"/>
              <w:spacing w:after="0" w:line="240" w:lineRule="auto"/>
              <w:jc w:val="left"/>
            </w:pPr>
            <w:r>
              <w:t>DNS</w:t>
            </w:r>
          </w:p>
        </w:tc>
        <w:tc>
          <w:tcPr>
            <w:tcW w:w="2753" w:type="pct"/>
            <w:tcBorders>
              <w:top w:val="single" w:color="auto" w:sz="4" w:space="0"/>
              <w:left w:val="single" w:color="auto" w:sz="4" w:space="0"/>
              <w:bottom w:val="single" w:color="auto" w:sz="4" w:space="0"/>
              <w:right w:val="single" w:color="auto" w:sz="4" w:space="0"/>
            </w:tcBorders>
          </w:tcPr>
          <w:p>
            <w:pPr>
              <w:pStyle w:val="26"/>
              <w:snapToGrid w:val="0"/>
              <w:spacing w:after="0" w:line="240" w:lineRule="auto"/>
              <w:jc w:val="left"/>
            </w:pPr>
            <w:r>
              <w:t>支持静态域名解析</w:t>
            </w:r>
          </w:p>
          <w:p>
            <w:pPr>
              <w:pStyle w:val="26"/>
              <w:snapToGrid w:val="0"/>
              <w:spacing w:after="0" w:line="240" w:lineRule="auto"/>
              <w:jc w:val="left"/>
            </w:pPr>
            <w:r>
              <w:t>支持动态域名解析客户端</w:t>
            </w:r>
          </w:p>
          <w:p>
            <w:pPr>
              <w:pStyle w:val="26"/>
              <w:snapToGrid w:val="0"/>
              <w:spacing w:after="0" w:line="240" w:lineRule="auto"/>
              <w:jc w:val="left"/>
            </w:pPr>
            <w:r>
              <w:t>支持IPv4和IPv6地址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7" w:type="pct"/>
            <w:vMerge w:val="continue"/>
            <w:vAlign w:val="center"/>
          </w:tcPr>
          <w:p>
            <w:pPr>
              <w:pStyle w:val="26"/>
              <w:snapToGrid w:val="0"/>
              <w:spacing w:after="0" w:line="240" w:lineRule="auto"/>
              <w:jc w:val="left"/>
            </w:pPr>
          </w:p>
        </w:tc>
        <w:tc>
          <w:tcPr>
            <w:tcW w:w="419" w:type="pct"/>
            <w:vMerge w:val="continue"/>
            <w:tcBorders>
              <w:right w:val="single" w:color="auto" w:sz="4" w:space="0"/>
            </w:tcBorders>
            <w:vAlign w:val="center"/>
          </w:tcPr>
          <w:p>
            <w:pPr>
              <w:pStyle w:val="26"/>
              <w:snapToGrid w:val="0"/>
              <w:spacing w:after="0" w:line="240" w:lineRule="auto"/>
              <w:jc w:val="left"/>
            </w:pPr>
          </w:p>
        </w:tc>
        <w:tc>
          <w:tcPr>
            <w:tcW w:w="1431" w:type="pct"/>
            <w:tcBorders>
              <w:top w:val="single" w:color="auto" w:sz="4" w:space="0"/>
              <w:left w:val="single" w:color="auto" w:sz="4" w:space="0"/>
              <w:bottom w:val="single" w:color="auto" w:sz="4" w:space="0"/>
              <w:right w:val="single" w:color="auto" w:sz="4" w:space="0"/>
            </w:tcBorders>
            <w:noWrap/>
          </w:tcPr>
          <w:p>
            <w:pPr>
              <w:pStyle w:val="26"/>
              <w:snapToGrid w:val="0"/>
              <w:spacing w:after="0" w:line="240" w:lineRule="auto"/>
              <w:jc w:val="left"/>
            </w:pPr>
            <w:r>
              <w:t>路由协议</w:t>
            </w:r>
          </w:p>
        </w:tc>
        <w:tc>
          <w:tcPr>
            <w:tcW w:w="2753" w:type="pct"/>
            <w:tcBorders>
              <w:top w:val="single" w:color="auto" w:sz="4" w:space="0"/>
              <w:left w:val="single" w:color="auto" w:sz="4" w:space="0"/>
              <w:bottom w:val="single" w:color="auto" w:sz="4" w:space="0"/>
              <w:right w:val="single" w:color="auto" w:sz="4" w:space="0"/>
            </w:tcBorders>
          </w:tcPr>
          <w:p>
            <w:pPr>
              <w:pStyle w:val="26"/>
              <w:snapToGrid w:val="0"/>
              <w:spacing w:after="0" w:line="240" w:lineRule="auto"/>
              <w:jc w:val="left"/>
            </w:pPr>
            <w:r>
              <w:t>支持IPv4/IPv6静态路由</w:t>
            </w:r>
          </w:p>
          <w:p>
            <w:pPr>
              <w:pStyle w:val="26"/>
              <w:snapToGrid w:val="0"/>
              <w:spacing w:after="0" w:line="240" w:lineRule="auto"/>
              <w:jc w:val="left"/>
            </w:pPr>
            <w:r>
              <w:t>支持RIP/RIPng，OSPFV1/V2/V3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7" w:type="pct"/>
            <w:vMerge w:val="continue"/>
            <w:vAlign w:val="center"/>
          </w:tcPr>
          <w:p>
            <w:pPr>
              <w:pStyle w:val="26"/>
              <w:snapToGrid w:val="0"/>
              <w:spacing w:after="0" w:line="240" w:lineRule="auto"/>
              <w:jc w:val="left"/>
            </w:pPr>
          </w:p>
        </w:tc>
        <w:tc>
          <w:tcPr>
            <w:tcW w:w="419" w:type="pct"/>
            <w:vMerge w:val="continue"/>
            <w:tcBorders>
              <w:right w:val="single" w:color="auto" w:sz="4" w:space="0"/>
            </w:tcBorders>
            <w:vAlign w:val="center"/>
          </w:tcPr>
          <w:p>
            <w:pPr>
              <w:pStyle w:val="26"/>
              <w:snapToGrid w:val="0"/>
              <w:spacing w:after="0" w:line="240" w:lineRule="auto"/>
              <w:jc w:val="left"/>
            </w:pPr>
          </w:p>
        </w:tc>
        <w:tc>
          <w:tcPr>
            <w:tcW w:w="1431" w:type="pct"/>
            <w:tcBorders>
              <w:top w:val="single" w:color="auto" w:sz="4" w:space="0"/>
              <w:left w:val="single" w:color="auto" w:sz="4" w:space="0"/>
              <w:bottom w:val="single" w:color="auto" w:sz="4" w:space="0"/>
              <w:right w:val="single" w:color="auto" w:sz="4" w:space="0"/>
            </w:tcBorders>
            <w:noWrap/>
          </w:tcPr>
          <w:p>
            <w:pPr>
              <w:pStyle w:val="26"/>
              <w:snapToGrid w:val="0"/>
              <w:spacing w:after="0" w:line="240" w:lineRule="auto"/>
              <w:jc w:val="left"/>
            </w:pPr>
            <w:r>
              <w:t>广播/多播/单播风暴抑制</w:t>
            </w:r>
          </w:p>
        </w:tc>
        <w:tc>
          <w:tcPr>
            <w:tcW w:w="2753" w:type="pct"/>
            <w:tcBorders>
              <w:top w:val="single" w:color="auto" w:sz="4" w:space="0"/>
              <w:left w:val="single" w:color="auto" w:sz="4" w:space="0"/>
              <w:bottom w:val="single" w:color="auto" w:sz="4" w:space="0"/>
              <w:right w:val="single" w:color="auto" w:sz="4" w:space="0"/>
            </w:tcBorders>
          </w:tcPr>
          <w:p>
            <w:pPr>
              <w:pStyle w:val="26"/>
              <w:snapToGrid w:val="0"/>
              <w:spacing w:after="0" w:line="240" w:lineRule="auto"/>
              <w:jc w:val="left"/>
            </w:pPr>
            <w:r>
              <w:t>支持基于端口速率百分比的风暴抑制</w:t>
            </w:r>
          </w:p>
          <w:p>
            <w:pPr>
              <w:pStyle w:val="26"/>
              <w:snapToGrid w:val="0"/>
              <w:spacing w:after="0" w:line="240" w:lineRule="auto"/>
              <w:jc w:val="left"/>
            </w:pPr>
            <w:r>
              <w:t>支持基于PPS的风暴抑制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7" w:type="pct"/>
            <w:vMerge w:val="continue"/>
            <w:vAlign w:val="center"/>
          </w:tcPr>
          <w:p>
            <w:pPr>
              <w:pStyle w:val="26"/>
              <w:snapToGrid w:val="0"/>
              <w:spacing w:after="0" w:line="240" w:lineRule="auto"/>
              <w:jc w:val="left"/>
            </w:pPr>
          </w:p>
        </w:tc>
        <w:tc>
          <w:tcPr>
            <w:tcW w:w="419" w:type="pct"/>
            <w:vMerge w:val="continue"/>
            <w:tcBorders>
              <w:right w:val="single" w:color="auto" w:sz="4" w:space="0"/>
            </w:tcBorders>
            <w:vAlign w:val="center"/>
          </w:tcPr>
          <w:p>
            <w:pPr>
              <w:pStyle w:val="26"/>
              <w:snapToGrid w:val="0"/>
              <w:spacing w:after="0" w:line="240" w:lineRule="auto"/>
              <w:jc w:val="left"/>
            </w:pPr>
          </w:p>
        </w:tc>
        <w:tc>
          <w:tcPr>
            <w:tcW w:w="1431" w:type="pct"/>
            <w:tcBorders>
              <w:top w:val="single" w:color="auto" w:sz="4" w:space="0"/>
              <w:left w:val="single" w:color="auto" w:sz="4" w:space="0"/>
              <w:bottom w:val="single" w:color="auto" w:sz="4" w:space="0"/>
              <w:right w:val="single" w:color="auto" w:sz="4" w:space="0"/>
            </w:tcBorders>
            <w:noWrap/>
          </w:tcPr>
          <w:p>
            <w:pPr>
              <w:pStyle w:val="26"/>
              <w:snapToGrid w:val="0"/>
              <w:spacing w:after="0" w:line="240" w:lineRule="auto"/>
              <w:jc w:val="left"/>
            </w:pPr>
            <w:r>
              <w:t>QoS/ACL</w:t>
            </w:r>
          </w:p>
        </w:tc>
        <w:tc>
          <w:tcPr>
            <w:tcW w:w="2753" w:type="pct"/>
            <w:tcBorders>
              <w:top w:val="single" w:color="auto" w:sz="4" w:space="0"/>
              <w:left w:val="single" w:color="auto" w:sz="4" w:space="0"/>
              <w:bottom w:val="single" w:color="auto" w:sz="4" w:space="0"/>
              <w:right w:val="single" w:color="auto" w:sz="4" w:space="0"/>
            </w:tcBorders>
          </w:tcPr>
          <w:p>
            <w:pPr>
              <w:pStyle w:val="26"/>
              <w:snapToGrid w:val="0"/>
              <w:spacing w:after="0" w:line="240" w:lineRule="auto"/>
              <w:jc w:val="left"/>
            </w:pPr>
            <w:r>
              <w:t>支持包过滤功能</w:t>
            </w:r>
          </w:p>
          <w:p>
            <w:pPr>
              <w:pStyle w:val="26"/>
              <w:snapToGrid w:val="0"/>
              <w:spacing w:after="0" w:line="240" w:lineRule="auto"/>
              <w:jc w:val="left"/>
            </w:pPr>
            <w:r>
              <w:t>支持SP/WRR/SP+WRR队列调度</w:t>
            </w:r>
          </w:p>
          <w:p>
            <w:pPr>
              <w:pStyle w:val="26"/>
              <w:snapToGrid w:val="0"/>
              <w:spacing w:after="0" w:line="240" w:lineRule="auto"/>
              <w:jc w:val="left"/>
            </w:pPr>
            <w:r>
              <w:t>支持双向ACL</w:t>
            </w:r>
          </w:p>
          <w:p>
            <w:pPr>
              <w:pStyle w:val="26"/>
              <w:snapToGrid w:val="0"/>
              <w:spacing w:after="0" w:line="240" w:lineRule="auto"/>
              <w:jc w:val="left"/>
            </w:pPr>
            <w:r>
              <w:t>支持基于端口的限速</w:t>
            </w:r>
          </w:p>
          <w:p>
            <w:pPr>
              <w:pStyle w:val="26"/>
              <w:snapToGrid w:val="0"/>
              <w:spacing w:after="0" w:line="240" w:lineRule="auto"/>
              <w:jc w:val="left"/>
            </w:pPr>
            <w:r>
              <w:t>支持基于流的重定向</w:t>
            </w:r>
          </w:p>
          <w:p>
            <w:pPr>
              <w:pStyle w:val="26"/>
              <w:snapToGrid w:val="0"/>
              <w:spacing w:after="0" w:line="240" w:lineRule="auto"/>
              <w:jc w:val="left"/>
            </w:pPr>
            <w:r>
              <w:t>支持时间段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7" w:type="pct"/>
            <w:vMerge w:val="continue"/>
            <w:vAlign w:val="center"/>
          </w:tcPr>
          <w:p>
            <w:pPr>
              <w:pStyle w:val="26"/>
              <w:snapToGrid w:val="0"/>
              <w:spacing w:after="0" w:line="240" w:lineRule="auto"/>
              <w:jc w:val="left"/>
            </w:pPr>
          </w:p>
        </w:tc>
        <w:tc>
          <w:tcPr>
            <w:tcW w:w="419" w:type="pct"/>
            <w:vMerge w:val="continue"/>
            <w:tcBorders>
              <w:right w:val="single" w:color="auto" w:sz="4" w:space="0"/>
            </w:tcBorders>
            <w:vAlign w:val="center"/>
          </w:tcPr>
          <w:p>
            <w:pPr>
              <w:pStyle w:val="26"/>
              <w:snapToGrid w:val="0"/>
              <w:spacing w:after="0" w:line="240" w:lineRule="auto"/>
              <w:jc w:val="left"/>
            </w:pPr>
          </w:p>
        </w:tc>
        <w:tc>
          <w:tcPr>
            <w:tcW w:w="1431" w:type="pct"/>
            <w:tcBorders>
              <w:top w:val="single" w:color="auto" w:sz="4" w:space="0"/>
              <w:left w:val="single" w:color="auto" w:sz="4" w:space="0"/>
              <w:bottom w:val="single" w:color="auto" w:sz="4" w:space="0"/>
              <w:right w:val="single" w:color="auto" w:sz="4" w:space="0"/>
            </w:tcBorders>
            <w:noWrap/>
          </w:tcPr>
          <w:p>
            <w:pPr>
              <w:pStyle w:val="26"/>
              <w:snapToGrid w:val="0"/>
              <w:spacing w:after="0" w:line="240" w:lineRule="auto"/>
              <w:jc w:val="left"/>
            </w:pPr>
            <w:r>
              <w:t>镜像</w:t>
            </w:r>
          </w:p>
        </w:tc>
        <w:tc>
          <w:tcPr>
            <w:tcW w:w="2753" w:type="pct"/>
            <w:tcBorders>
              <w:top w:val="single" w:color="auto" w:sz="4" w:space="0"/>
              <w:left w:val="single" w:color="auto" w:sz="4" w:space="0"/>
              <w:bottom w:val="single" w:color="auto" w:sz="4" w:space="0"/>
              <w:right w:val="single" w:color="auto" w:sz="4" w:space="0"/>
            </w:tcBorders>
          </w:tcPr>
          <w:p>
            <w:pPr>
              <w:pStyle w:val="26"/>
              <w:snapToGrid w:val="0"/>
              <w:spacing w:after="0" w:line="240" w:lineRule="auto"/>
              <w:jc w:val="left"/>
            </w:pPr>
            <w:r>
              <w:t>支持端口镜像</w:t>
            </w:r>
          </w:p>
          <w:p>
            <w:pPr>
              <w:pStyle w:val="26"/>
              <w:snapToGrid w:val="0"/>
              <w:spacing w:after="0" w:line="240" w:lineRule="auto"/>
              <w:jc w:val="left"/>
            </w:pPr>
            <w:r>
              <w:t>支持流镜像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7" w:type="pct"/>
            <w:vMerge w:val="continue"/>
            <w:vAlign w:val="center"/>
          </w:tcPr>
          <w:p>
            <w:pPr>
              <w:pStyle w:val="26"/>
              <w:snapToGrid w:val="0"/>
              <w:spacing w:after="0" w:line="240" w:lineRule="auto"/>
              <w:jc w:val="left"/>
            </w:pPr>
          </w:p>
        </w:tc>
        <w:tc>
          <w:tcPr>
            <w:tcW w:w="419" w:type="pct"/>
            <w:vMerge w:val="continue"/>
            <w:tcBorders>
              <w:right w:val="single" w:color="auto" w:sz="4" w:space="0"/>
            </w:tcBorders>
            <w:vAlign w:val="center"/>
          </w:tcPr>
          <w:p>
            <w:pPr>
              <w:pStyle w:val="26"/>
              <w:snapToGrid w:val="0"/>
              <w:spacing w:after="0" w:line="240" w:lineRule="auto"/>
              <w:jc w:val="left"/>
            </w:pPr>
          </w:p>
        </w:tc>
        <w:tc>
          <w:tcPr>
            <w:tcW w:w="1431" w:type="pct"/>
            <w:tcBorders>
              <w:top w:val="single" w:color="auto" w:sz="4" w:space="0"/>
              <w:left w:val="single" w:color="auto" w:sz="4" w:space="0"/>
              <w:bottom w:val="single" w:color="auto" w:sz="4" w:space="0"/>
              <w:right w:val="single" w:color="auto" w:sz="4" w:space="0"/>
            </w:tcBorders>
            <w:noWrap/>
          </w:tcPr>
          <w:p>
            <w:pPr>
              <w:pStyle w:val="26"/>
              <w:snapToGrid w:val="0"/>
              <w:spacing w:after="0" w:line="240" w:lineRule="auto"/>
              <w:jc w:val="left"/>
            </w:pPr>
            <w:r>
              <w:t>安全特性</w:t>
            </w:r>
          </w:p>
        </w:tc>
        <w:tc>
          <w:tcPr>
            <w:tcW w:w="2753" w:type="pct"/>
            <w:tcBorders>
              <w:top w:val="single" w:color="auto" w:sz="4" w:space="0"/>
              <w:left w:val="single" w:color="auto" w:sz="4" w:space="0"/>
              <w:bottom w:val="single" w:color="auto" w:sz="4" w:space="0"/>
              <w:right w:val="single" w:color="auto" w:sz="4" w:space="0"/>
            </w:tcBorders>
          </w:tcPr>
          <w:p>
            <w:pPr>
              <w:pStyle w:val="26"/>
              <w:snapToGrid w:val="0"/>
              <w:spacing w:after="0" w:line="240" w:lineRule="auto"/>
              <w:jc w:val="left"/>
            </w:pPr>
            <w:r>
              <w:t>支持用户分级管理和口令保护</w:t>
            </w:r>
          </w:p>
          <w:p>
            <w:pPr>
              <w:pStyle w:val="26"/>
              <w:snapToGrid w:val="0"/>
              <w:spacing w:after="0" w:line="240" w:lineRule="auto"/>
              <w:jc w:val="left"/>
            </w:pPr>
            <w:r>
              <w:t>支持SSH2.0</w:t>
            </w:r>
          </w:p>
          <w:p>
            <w:pPr>
              <w:pStyle w:val="26"/>
              <w:snapToGrid w:val="0"/>
              <w:spacing w:after="0" w:line="240" w:lineRule="auto"/>
              <w:jc w:val="left"/>
            </w:pPr>
            <w:r>
              <w:t>支持端口隔离</w:t>
            </w:r>
          </w:p>
          <w:p>
            <w:pPr>
              <w:pStyle w:val="26"/>
              <w:snapToGrid w:val="0"/>
              <w:spacing w:after="0" w:line="240" w:lineRule="auto"/>
              <w:jc w:val="left"/>
            </w:pPr>
            <w:r>
              <w:t>支持 802.1X</w:t>
            </w:r>
          </w:p>
          <w:p>
            <w:pPr>
              <w:pStyle w:val="26"/>
              <w:snapToGrid w:val="0"/>
              <w:spacing w:after="0" w:line="240" w:lineRule="auto"/>
              <w:jc w:val="left"/>
            </w:pPr>
            <w:r>
              <w:t>支持端口安全</w:t>
            </w:r>
          </w:p>
          <w:p>
            <w:pPr>
              <w:pStyle w:val="26"/>
              <w:snapToGrid w:val="0"/>
              <w:spacing w:after="0" w:line="240" w:lineRule="auto"/>
              <w:jc w:val="left"/>
            </w:pPr>
            <w:r>
              <w:t>支持MAC地址认证</w:t>
            </w:r>
          </w:p>
          <w:p>
            <w:pPr>
              <w:pStyle w:val="26"/>
              <w:snapToGrid w:val="0"/>
              <w:spacing w:after="0" w:line="240" w:lineRule="auto"/>
              <w:jc w:val="left"/>
            </w:pPr>
            <w:r>
              <w:t>支持IP Source Guard</w:t>
            </w:r>
          </w:p>
          <w:p>
            <w:pPr>
              <w:pStyle w:val="26"/>
              <w:snapToGrid w:val="0"/>
              <w:spacing w:after="0" w:line="240" w:lineRule="auto"/>
              <w:jc w:val="left"/>
            </w:pPr>
            <w:r>
              <w:t>支持HTTPs</w:t>
            </w:r>
          </w:p>
          <w:p>
            <w:pPr>
              <w:pStyle w:val="26"/>
              <w:snapToGrid w:val="0"/>
              <w:spacing w:after="0" w:line="240" w:lineRule="auto"/>
              <w:jc w:val="left"/>
            </w:pPr>
            <w:r>
              <w:t>支持EAD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7" w:type="pct"/>
            <w:vMerge w:val="continue"/>
            <w:vAlign w:val="center"/>
          </w:tcPr>
          <w:p>
            <w:pPr>
              <w:pStyle w:val="26"/>
              <w:snapToGrid w:val="0"/>
              <w:spacing w:after="0" w:line="240" w:lineRule="auto"/>
              <w:jc w:val="left"/>
            </w:pPr>
          </w:p>
        </w:tc>
        <w:tc>
          <w:tcPr>
            <w:tcW w:w="419" w:type="pct"/>
            <w:vMerge w:val="continue"/>
            <w:tcBorders>
              <w:right w:val="single" w:color="auto" w:sz="4" w:space="0"/>
            </w:tcBorders>
            <w:vAlign w:val="center"/>
          </w:tcPr>
          <w:p>
            <w:pPr>
              <w:pStyle w:val="26"/>
              <w:snapToGrid w:val="0"/>
              <w:spacing w:after="0" w:line="240" w:lineRule="auto"/>
              <w:jc w:val="left"/>
            </w:pPr>
          </w:p>
        </w:tc>
        <w:tc>
          <w:tcPr>
            <w:tcW w:w="1431" w:type="pct"/>
            <w:tcBorders>
              <w:top w:val="single" w:color="auto" w:sz="4" w:space="0"/>
              <w:left w:val="single" w:color="auto" w:sz="4" w:space="0"/>
              <w:bottom w:val="single" w:color="auto" w:sz="4" w:space="0"/>
              <w:right w:val="single" w:color="auto" w:sz="4" w:space="0"/>
            </w:tcBorders>
            <w:noWrap/>
          </w:tcPr>
          <w:p>
            <w:pPr>
              <w:pStyle w:val="26"/>
              <w:snapToGrid w:val="0"/>
              <w:spacing w:after="0" w:line="240" w:lineRule="auto"/>
              <w:jc w:val="left"/>
            </w:pPr>
            <w:r>
              <w:t>加载与升级</w:t>
            </w:r>
          </w:p>
        </w:tc>
        <w:tc>
          <w:tcPr>
            <w:tcW w:w="2753" w:type="pct"/>
            <w:tcBorders>
              <w:top w:val="single" w:color="auto" w:sz="4" w:space="0"/>
              <w:left w:val="single" w:color="auto" w:sz="4" w:space="0"/>
              <w:bottom w:val="single" w:color="auto" w:sz="4" w:space="0"/>
              <w:right w:val="single" w:color="auto" w:sz="4" w:space="0"/>
            </w:tcBorders>
          </w:tcPr>
          <w:p>
            <w:pPr>
              <w:pStyle w:val="26"/>
              <w:snapToGrid w:val="0"/>
              <w:spacing w:after="0" w:line="240" w:lineRule="auto"/>
              <w:jc w:val="left"/>
            </w:pPr>
            <w:r>
              <w:t>支持FTP（File Transfer Protocol）加载升级</w:t>
            </w:r>
          </w:p>
          <w:p>
            <w:pPr>
              <w:pStyle w:val="26"/>
              <w:snapToGrid w:val="0"/>
              <w:spacing w:after="0" w:line="240" w:lineRule="auto"/>
              <w:jc w:val="left"/>
            </w:pPr>
            <w:r>
              <w:t>支持TFTP（Trivial File Transfer Protocol）加载升级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7" w:type="pct"/>
            <w:vMerge w:val="continue"/>
            <w:vAlign w:val="center"/>
          </w:tcPr>
          <w:p>
            <w:pPr>
              <w:pStyle w:val="26"/>
              <w:snapToGrid w:val="0"/>
              <w:spacing w:after="0" w:line="240" w:lineRule="auto"/>
              <w:jc w:val="left"/>
            </w:pPr>
          </w:p>
        </w:tc>
        <w:tc>
          <w:tcPr>
            <w:tcW w:w="419" w:type="pct"/>
            <w:vMerge w:val="continue"/>
            <w:tcBorders>
              <w:right w:val="single" w:color="auto" w:sz="4" w:space="0"/>
            </w:tcBorders>
            <w:vAlign w:val="center"/>
          </w:tcPr>
          <w:p>
            <w:pPr>
              <w:pStyle w:val="26"/>
              <w:snapToGrid w:val="0"/>
              <w:spacing w:after="0" w:line="240" w:lineRule="auto"/>
              <w:jc w:val="left"/>
            </w:pPr>
          </w:p>
        </w:tc>
        <w:tc>
          <w:tcPr>
            <w:tcW w:w="1431" w:type="pct"/>
            <w:tcBorders>
              <w:top w:val="single" w:color="auto" w:sz="4" w:space="0"/>
              <w:left w:val="single" w:color="auto" w:sz="4" w:space="0"/>
              <w:bottom w:val="single" w:color="auto" w:sz="4" w:space="0"/>
              <w:right w:val="single" w:color="auto" w:sz="4" w:space="0"/>
            </w:tcBorders>
            <w:noWrap/>
          </w:tcPr>
          <w:p>
            <w:pPr>
              <w:pStyle w:val="26"/>
              <w:snapToGrid w:val="0"/>
              <w:spacing w:after="0" w:line="240" w:lineRule="auto"/>
              <w:jc w:val="left"/>
            </w:pPr>
            <w:r>
              <w:t>管理</w:t>
            </w:r>
          </w:p>
        </w:tc>
        <w:tc>
          <w:tcPr>
            <w:tcW w:w="2753" w:type="pct"/>
            <w:tcBorders>
              <w:top w:val="single" w:color="auto" w:sz="4" w:space="0"/>
              <w:left w:val="single" w:color="auto" w:sz="4" w:space="0"/>
              <w:bottom w:val="single" w:color="auto" w:sz="4" w:space="0"/>
              <w:right w:val="single" w:color="auto" w:sz="4" w:space="0"/>
            </w:tcBorders>
          </w:tcPr>
          <w:p>
            <w:pPr>
              <w:pStyle w:val="26"/>
              <w:snapToGrid w:val="0"/>
              <w:spacing w:after="0" w:line="240" w:lineRule="auto"/>
              <w:jc w:val="left"/>
            </w:pPr>
            <w:r>
              <w:t>支持命令行接口（CLI）配置</w:t>
            </w:r>
          </w:p>
          <w:p>
            <w:pPr>
              <w:pStyle w:val="26"/>
              <w:snapToGrid w:val="0"/>
              <w:spacing w:after="0" w:line="240" w:lineRule="auto"/>
              <w:jc w:val="left"/>
            </w:pPr>
            <w:r>
              <w:t>支持Telnet远程配置</w:t>
            </w:r>
          </w:p>
          <w:p>
            <w:pPr>
              <w:pStyle w:val="26"/>
              <w:snapToGrid w:val="0"/>
              <w:spacing w:after="0" w:line="240" w:lineRule="auto"/>
              <w:jc w:val="left"/>
            </w:pPr>
            <w:r>
              <w:t>支持SNMP（EImple Network Management Protocol）</w:t>
            </w:r>
          </w:p>
          <w:p>
            <w:pPr>
              <w:pStyle w:val="26"/>
              <w:snapToGrid w:val="0"/>
              <w:spacing w:after="0" w:line="240" w:lineRule="auto"/>
              <w:jc w:val="left"/>
            </w:pPr>
            <w:r>
              <w:t>支持WEB网管</w:t>
            </w:r>
          </w:p>
          <w:p>
            <w:pPr>
              <w:pStyle w:val="26"/>
              <w:snapToGrid w:val="0"/>
              <w:spacing w:after="0" w:line="240" w:lineRule="auto"/>
              <w:jc w:val="left"/>
            </w:pPr>
            <w:r>
              <w:t>支持系统日志</w:t>
            </w:r>
          </w:p>
          <w:p>
            <w:pPr>
              <w:pStyle w:val="26"/>
              <w:snapToGrid w:val="0"/>
              <w:spacing w:after="0" w:line="240" w:lineRule="auto"/>
              <w:jc w:val="left"/>
            </w:pPr>
            <w:r>
              <w:t>支持分级告警</w:t>
            </w:r>
          </w:p>
          <w:p>
            <w:pPr>
              <w:pStyle w:val="26"/>
              <w:snapToGrid w:val="0"/>
              <w:spacing w:after="0" w:line="240" w:lineRule="auto"/>
              <w:jc w:val="left"/>
            </w:pPr>
            <w:r>
              <w:t>支持IRF</w:t>
            </w:r>
          </w:p>
          <w:p>
            <w:pPr>
              <w:pStyle w:val="26"/>
              <w:snapToGrid w:val="0"/>
              <w:spacing w:after="0" w:line="240" w:lineRule="auto"/>
              <w:jc w:val="left"/>
            </w:pPr>
            <w:r>
              <w:t>支持NTP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7" w:type="pct"/>
            <w:vMerge w:val="continue"/>
            <w:vAlign w:val="center"/>
          </w:tcPr>
          <w:p>
            <w:pPr>
              <w:pStyle w:val="26"/>
              <w:snapToGrid w:val="0"/>
              <w:spacing w:after="0" w:line="240" w:lineRule="auto"/>
              <w:jc w:val="left"/>
            </w:pPr>
          </w:p>
        </w:tc>
        <w:tc>
          <w:tcPr>
            <w:tcW w:w="419" w:type="pct"/>
            <w:vMerge w:val="continue"/>
            <w:tcBorders>
              <w:right w:val="single" w:color="auto" w:sz="4" w:space="0"/>
            </w:tcBorders>
            <w:vAlign w:val="center"/>
          </w:tcPr>
          <w:p>
            <w:pPr>
              <w:pStyle w:val="26"/>
              <w:snapToGrid w:val="0"/>
              <w:spacing w:after="0" w:line="240" w:lineRule="auto"/>
              <w:jc w:val="left"/>
            </w:pPr>
          </w:p>
        </w:tc>
        <w:tc>
          <w:tcPr>
            <w:tcW w:w="1431" w:type="pct"/>
            <w:tcBorders>
              <w:top w:val="single" w:color="auto" w:sz="4" w:space="0"/>
              <w:left w:val="single" w:color="auto" w:sz="4" w:space="0"/>
              <w:bottom w:val="single" w:color="auto" w:sz="4" w:space="0"/>
              <w:right w:val="single" w:color="auto" w:sz="4" w:space="0"/>
            </w:tcBorders>
            <w:noWrap/>
          </w:tcPr>
          <w:p>
            <w:pPr>
              <w:pStyle w:val="26"/>
              <w:snapToGrid w:val="0"/>
              <w:spacing w:after="0" w:line="240" w:lineRule="auto"/>
              <w:jc w:val="left"/>
            </w:pPr>
            <w:r>
              <w:t>维护</w:t>
            </w:r>
          </w:p>
        </w:tc>
        <w:tc>
          <w:tcPr>
            <w:tcW w:w="2753" w:type="pct"/>
            <w:tcBorders>
              <w:top w:val="single" w:color="auto" w:sz="4" w:space="0"/>
              <w:left w:val="single" w:color="auto" w:sz="4" w:space="0"/>
              <w:bottom w:val="single" w:color="auto" w:sz="4" w:space="0"/>
              <w:right w:val="single" w:color="auto" w:sz="4" w:space="0"/>
            </w:tcBorders>
          </w:tcPr>
          <w:p>
            <w:pPr>
              <w:pStyle w:val="26"/>
              <w:snapToGrid w:val="0"/>
              <w:spacing w:after="0" w:line="240" w:lineRule="auto"/>
              <w:jc w:val="left"/>
            </w:pPr>
            <w:r>
              <w:t>支持调试信息输出</w:t>
            </w:r>
          </w:p>
          <w:p>
            <w:pPr>
              <w:pStyle w:val="26"/>
              <w:snapToGrid w:val="0"/>
              <w:spacing w:after="0" w:line="240" w:lineRule="auto"/>
              <w:jc w:val="left"/>
            </w:pPr>
            <w:r>
              <w:t>支持Ping、Tracert</w:t>
            </w:r>
          </w:p>
          <w:p>
            <w:pPr>
              <w:pStyle w:val="26"/>
              <w:snapToGrid w:val="0"/>
              <w:spacing w:after="0" w:line="240" w:lineRule="auto"/>
              <w:jc w:val="left"/>
            </w:pPr>
            <w:r>
              <w:t>支持Telnet远程维护</w:t>
            </w:r>
          </w:p>
          <w:p>
            <w:pPr>
              <w:pStyle w:val="26"/>
              <w:snapToGrid w:val="0"/>
              <w:spacing w:after="0" w:line="240" w:lineRule="auto"/>
              <w:jc w:val="left"/>
            </w:pPr>
            <w:r>
              <w:t>支持NQA</w:t>
            </w:r>
          </w:p>
          <w:p>
            <w:pPr>
              <w:pStyle w:val="26"/>
              <w:snapToGrid w:val="0"/>
              <w:spacing w:after="0" w:line="240" w:lineRule="auto"/>
              <w:jc w:val="left"/>
            </w:pPr>
            <w:r>
              <w:t>支持DLDP</w:t>
            </w:r>
          </w:p>
          <w:p>
            <w:pPr>
              <w:pStyle w:val="26"/>
              <w:snapToGrid w:val="0"/>
              <w:spacing w:after="0" w:line="240" w:lineRule="auto"/>
              <w:jc w:val="left"/>
            </w:pPr>
            <w:r>
              <w:t>支持虚拟电缆检测(Virtual Cable Test)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7" w:type="pct"/>
            <w:vAlign w:val="center"/>
          </w:tcPr>
          <w:p>
            <w:pPr>
              <w:pStyle w:val="26"/>
              <w:snapToGrid w:val="0"/>
              <w:spacing w:after="0" w:line="240" w:lineRule="auto"/>
              <w:jc w:val="left"/>
            </w:pPr>
            <w:r>
              <w:t>5</w:t>
            </w:r>
          </w:p>
        </w:tc>
        <w:tc>
          <w:tcPr>
            <w:tcW w:w="419" w:type="pct"/>
            <w:tcBorders>
              <w:right w:val="single" w:color="auto" w:sz="4" w:space="0"/>
            </w:tcBorders>
            <w:vAlign w:val="center"/>
          </w:tcPr>
          <w:p>
            <w:pPr>
              <w:pStyle w:val="26"/>
              <w:snapToGrid w:val="0"/>
              <w:spacing w:after="0" w:line="240" w:lineRule="auto"/>
              <w:jc w:val="left"/>
            </w:pPr>
            <w:r>
              <w:t>模块</w:t>
            </w:r>
          </w:p>
        </w:tc>
        <w:tc>
          <w:tcPr>
            <w:tcW w:w="1431" w:type="pct"/>
            <w:tcBorders>
              <w:top w:val="single" w:color="auto" w:sz="4" w:space="0"/>
              <w:left w:val="single" w:color="auto" w:sz="4" w:space="0"/>
              <w:bottom w:val="single" w:color="auto" w:sz="4" w:space="0"/>
              <w:right w:val="single" w:color="auto" w:sz="4" w:space="0"/>
            </w:tcBorders>
            <w:noWrap/>
            <w:vAlign w:val="center"/>
          </w:tcPr>
          <w:p>
            <w:pPr>
              <w:pStyle w:val="26"/>
              <w:snapToGrid w:val="0"/>
              <w:spacing w:after="0" w:line="240" w:lineRule="auto"/>
              <w:jc w:val="left"/>
            </w:pPr>
            <w:r>
              <w:t>多模万兆模块</w:t>
            </w:r>
          </w:p>
        </w:tc>
        <w:tc>
          <w:tcPr>
            <w:tcW w:w="2753" w:type="pct"/>
            <w:tcBorders>
              <w:top w:val="single" w:color="auto" w:sz="4" w:space="0"/>
              <w:left w:val="single" w:color="auto" w:sz="4" w:space="0"/>
              <w:bottom w:val="single" w:color="auto" w:sz="4" w:space="0"/>
              <w:right w:val="single" w:color="auto" w:sz="4" w:space="0"/>
            </w:tcBorders>
            <w:vAlign w:val="center"/>
          </w:tcPr>
          <w:p>
            <w:pPr>
              <w:pStyle w:val="26"/>
              <w:snapToGrid w:val="0"/>
              <w:spacing w:after="0" w:line="240" w:lineRule="auto"/>
              <w:jc w:val="left"/>
            </w:pPr>
            <w:r>
              <w:t>6*多模万兆模块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7" w:type="pct"/>
            <w:vAlign w:val="center"/>
          </w:tcPr>
          <w:p>
            <w:pPr>
              <w:pStyle w:val="26"/>
              <w:snapToGrid w:val="0"/>
              <w:spacing w:after="0" w:line="240" w:lineRule="auto"/>
              <w:jc w:val="left"/>
            </w:pPr>
            <w:r>
              <w:t>6</w:t>
            </w:r>
          </w:p>
        </w:tc>
        <w:tc>
          <w:tcPr>
            <w:tcW w:w="419" w:type="pct"/>
            <w:tcBorders>
              <w:right w:val="single" w:color="auto" w:sz="4" w:space="0"/>
            </w:tcBorders>
            <w:vAlign w:val="center"/>
          </w:tcPr>
          <w:p>
            <w:pPr>
              <w:pStyle w:val="26"/>
              <w:snapToGrid w:val="0"/>
              <w:spacing w:after="0" w:line="240" w:lineRule="auto"/>
              <w:jc w:val="left"/>
            </w:pPr>
            <w:r>
              <w:t>连接线</w:t>
            </w:r>
          </w:p>
        </w:tc>
        <w:tc>
          <w:tcPr>
            <w:tcW w:w="1431" w:type="pct"/>
            <w:tcBorders>
              <w:top w:val="single" w:color="auto" w:sz="4" w:space="0"/>
              <w:left w:val="single" w:color="auto" w:sz="4" w:space="0"/>
              <w:bottom w:val="single" w:color="auto" w:sz="4" w:space="0"/>
              <w:right w:val="single" w:color="auto" w:sz="4" w:space="0"/>
            </w:tcBorders>
            <w:noWrap/>
            <w:vAlign w:val="center"/>
          </w:tcPr>
          <w:p>
            <w:pPr>
              <w:pStyle w:val="26"/>
              <w:snapToGrid w:val="0"/>
              <w:spacing w:after="0" w:line="240" w:lineRule="auto"/>
              <w:jc w:val="left"/>
            </w:pPr>
            <w:r>
              <w:t>多模光纤跳线</w:t>
            </w:r>
          </w:p>
        </w:tc>
        <w:tc>
          <w:tcPr>
            <w:tcW w:w="2753" w:type="pct"/>
            <w:tcBorders>
              <w:top w:val="single" w:color="auto" w:sz="4" w:space="0"/>
              <w:left w:val="single" w:color="auto" w:sz="4" w:space="0"/>
              <w:bottom w:val="single" w:color="auto" w:sz="4" w:space="0"/>
              <w:right w:val="single" w:color="auto" w:sz="4" w:space="0"/>
            </w:tcBorders>
            <w:vAlign w:val="center"/>
          </w:tcPr>
          <w:p>
            <w:pPr>
              <w:pStyle w:val="26"/>
              <w:snapToGrid w:val="0"/>
              <w:spacing w:after="0" w:line="240" w:lineRule="auto"/>
              <w:jc w:val="left"/>
            </w:pPr>
            <w:r>
              <w:t>6*多模光纤跳线</w:t>
            </w:r>
          </w:p>
        </w:tc>
      </w:tr>
      <w:bookmarkEnd w:id="76"/>
      <w:bookmarkEnd w:id="79"/>
    </w:tbl>
    <w:p>
      <w:pPr>
        <w:pStyle w:val="4"/>
        <w:numPr>
          <w:ilvl w:val="1"/>
          <w:numId w:val="0"/>
        </w:numPr>
        <w:tabs>
          <w:tab w:val="clear" w:pos="0"/>
        </w:tabs>
        <w:rPr>
          <w:rFonts w:ascii="Times New Roman" w:hAnsi="Times New Roman" w:eastAsia="宋体"/>
          <w:sz w:val="24"/>
          <w:szCs w:val="24"/>
        </w:rPr>
      </w:pPr>
      <w:bookmarkStart w:id="80" w:name="_Toc454875914"/>
      <w:bookmarkStart w:id="81" w:name="_Toc100742941"/>
      <w:r>
        <w:rPr>
          <w:rFonts w:hint="eastAsia" w:ascii="Times New Roman" w:hAnsi="Times New Roman" w:eastAsia="宋体"/>
          <w:sz w:val="24"/>
          <w:szCs w:val="24"/>
        </w:rPr>
        <w:t>3.3软件系统技术要求</w:t>
      </w:r>
      <w:bookmarkEnd w:id="80"/>
      <w:bookmarkEnd w:id="81"/>
    </w:p>
    <w:p>
      <w:pPr>
        <w:ind w:firstLine="480" w:firstLineChars="200"/>
        <w:rPr>
          <w:sz w:val="24"/>
          <w:szCs w:val="32"/>
        </w:rPr>
      </w:pPr>
      <w:r>
        <w:rPr>
          <w:rFonts w:hint="eastAsia"/>
          <w:sz w:val="24"/>
          <w:szCs w:val="32"/>
        </w:rPr>
        <w:t>核心网管理系统由接口服务、核心网管理服务、基站驱动服务和数据比对与测试四大子系统构成。主要功能是实现人机交互、向外部用户提供服务接口并接收服务请求、与其他核心网进行数据交换（辖区——海区、海区——海区、海区——国家）、数据收发处理（含语句生成与解析、接收数据的清洗、去重、数据存储、数据流监控等）、系统QoS控制、路由控制、网关服务等功能，以及实现与同级SAAB数据中心生成数据的数据比对功能。</w:t>
      </w:r>
    </w:p>
    <w:p>
      <w:pPr>
        <w:pStyle w:val="5"/>
        <w:rPr>
          <w:sz w:val="24"/>
          <w:szCs w:val="24"/>
        </w:rPr>
      </w:pPr>
      <w:bookmarkStart w:id="82" w:name="_Toc100742942"/>
      <w:r>
        <w:rPr>
          <w:rFonts w:hint="eastAsia"/>
          <w:sz w:val="24"/>
          <w:szCs w:val="24"/>
        </w:rPr>
        <w:t>3.3.1性能要求</w:t>
      </w:r>
      <w:bookmarkEnd w:id="82"/>
    </w:p>
    <w:p>
      <w:pPr>
        <w:ind w:firstLine="480"/>
        <w:rPr>
          <w:sz w:val="24"/>
        </w:rPr>
      </w:pPr>
      <w:bookmarkStart w:id="83" w:name="_Toc463768212"/>
      <w:bookmarkStart w:id="84" w:name="_Toc371672243"/>
      <w:bookmarkStart w:id="85" w:name="_Toc454875915"/>
      <w:r>
        <w:rPr>
          <w:sz w:val="24"/>
        </w:rPr>
        <w:t>（1）节点容量</w:t>
      </w:r>
    </w:p>
    <w:p>
      <w:pPr>
        <w:numPr>
          <w:ilvl w:val="0"/>
          <w:numId w:val="10"/>
        </w:numPr>
        <w:snapToGrid w:val="0"/>
        <w:spacing w:line="360" w:lineRule="auto"/>
        <w:textAlignment w:val="center"/>
        <w:rPr>
          <w:sz w:val="24"/>
        </w:rPr>
      </w:pPr>
      <w:r>
        <w:rPr>
          <w:sz w:val="24"/>
        </w:rPr>
        <w:t>对于“基站——辖区——海区”三层拓扑结构</w:t>
      </w:r>
    </w:p>
    <w:p>
      <w:pPr>
        <w:ind w:firstLine="480"/>
        <w:rPr>
          <w:sz w:val="24"/>
        </w:rPr>
      </w:pPr>
      <w:r>
        <w:rPr>
          <w:sz w:val="24"/>
        </w:rPr>
        <w:t>基站——辖区：每个辖区支持接入的基站硬件设备数量 &gt;=500台</w:t>
      </w:r>
    </w:p>
    <w:p>
      <w:pPr>
        <w:ind w:firstLine="480"/>
        <w:rPr>
          <w:sz w:val="24"/>
        </w:rPr>
      </w:pPr>
      <w:r>
        <w:rPr>
          <w:sz w:val="24"/>
        </w:rPr>
        <w:t>辖区——海区：每个海区支持接入的辖区数量 &gt;=20个</w:t>
      </w:r>
    </w:p>
    <w:p>
      <w:pPr>
        <w:numPr>
          <w:ilvl w:val="0"/>
          <w:numId w:val="10"/>
        </w:numPr>
        <w:snapToGrid w:val="0"/>
        <w:spacing w:line="360" w:lineRule="auto"/>
        <w:textAlignment w:val="center"/>
        <w:rPr>
          <w:sz w:val="24"/>
        </w:rPr>
      </w:pPr>
      <w:r>
        <w:rPr>
          <w:sz w:val="24"/>
        </w:rPr>
        <w:t>对于“基站——海区”二层拓扑结构</w:t>
      </w:r>
    </w:p>
    <w:p>
      <w:pPr>
        <w:ind w:firstLine="480"/>
        <w:rPr>
          <w:sz w:val="24"/>
        </w:rPr>
      </w:pPr>
      <w:r>
        <w:rPr>
          <w:sz w:val="24"/>
        </w:rPr>
        <w:t>基站——海区：每个海区支持接入的基站硬件设备数量 &gt;=1000台</w:t>
      </w:r>
    </w:p>
    <w:p>
      <w:pPr>
        <w:ind w:firstLine="480"/>
        <w:rPr>
          <w:sz w:val="24"/>
        </w:rPr>
      </w:pPr>
      <w:r>
        <w:rPr>
          <w:sz w:val="24"/>
        </w:rPr>
        <w:t>二层、三层混合接入的海区：接入辖区数量 &gt;=20个，接入基站硬件设备总数（含辖区子节点下的基站总数） &gt;=1000台</w:t>
      </w:r>
    </w:p>
    <w:p>
      <w:pPr>
        <w:ind w:firstLine="480"/>
        <w:rPr>
          <w:sz w:val="24"/>
        </w:rPr>
      </w:pPr>
      <w:r>
        <w:rPr>
          <w:sz w:val="24"/>
        </w:rPr>
        <w:t>（2）数据用户并发性能</w:t>
      </w:r>
    </w:p>
    <w:p>
      <w:pPr>
        <w:numPr>
          <w:ilvl w:val="0"/>
          <w:numId w:val="10"/>
        </w:numPr>
        <w:snapToGrid w:val="0"/>
        <w:spacing w:line="360" w:lineRule="auto"/>
        <w:textAlignment w:val="center"/>
        <w:rPr>
          <w:sz w:val="24"/>
        </w:rPr>
      </w:pPr>
      <w:r>
        <w:rPr>
          <w:sz w:val="24"/>
        </w:rPr>
        <w:t>辖区AIS实时数据用户网络访问并发数量：&gt;=2000</w:t>
      </w:r>
    </w:p>
    <w:p>
      <w:pPr>
        <w:numPr>
          <w:ilvl w:val="0"/>
          <w:numId w:val="10"/>
        </w:numPr>
        <w:snapToGrid w:val="0"/>
        <w:spacing w:line="360" w:lineRule="auto"/>
        <w:textAlignment w:val="center"/>
        <w:rPr>
          <w:sz w:val="24"/>
        </w:rPr>
      </w:pPr>
      <w:r>
        <w:rPr>
          <w:sz w:val="24"/>
        </w:rPr>
        <w:t>海区AIS实时数据用户网络访问并发数量：&gt;=3000</w:t>
      </w:r>
    </w:p>
    <w:p>
      <w:pPr>
        <w:numPr>
          <w:ilvl w:val="0"/>
          <w:numId w:val="10"/>
        </w:numPr>
        <w:snapToGrid w:val="0"/>
        <w:spacing w:line="360" w:lineRule="auto"/>
        <w:textAlignment w:val="center"/>
        <w:rPr>
          <w:sz w:val="24"/>
        </w:rPr>
      </w:pPr>
      <w:r>
        <w:rPr>
          <w:sz w:val="24"/>
        </w:rPr>
        <w:t>辖区AIS历史数据检索并发数量（全区12小时）：&gt;=200</w:t>
      </w:r>
    </w:p>
    <w:p>
      <w:pPr>
        <w:numPr>
          <w:ilvl w:val="0"/>
          <w:numId w:val="10"/>
        </w:numPr>
        <w:snapToGrid w:val="0"/>
        <w:spacing w:line="360" w:lineRule="auto"/>
        <w:textAlignment w:val="center"/>
        <w:rPr>
          <w:sz w:val="24"/>
        </w:rPr>
      </w:pPr>
      <w:r>
        <w:rPr>
          <w:sz w:val="24"/>
        </w:rPr>
        <w:t>海区AIS历史数据检索并发数量（全区12小时）：&gt;=300</w:t>
      </w:r>
    </w:p>
    <w:p>
      <w:pPr>
        <w:ind w:firstLine="480"/>
        <w:rPr>
          <w:sz w:val="24"/>
        </w:rPr>
      </w:pPr>
      <w:r>
        <w:rPr>
          <w:sz w:val="24"/>
        </w:rPr>
        <w:t>（3）数据存储时效</w:t>
      </w:r>
    </w:p>
    <w:p>
      <w:pPr>
        <w:numPr>
          <w:ilvl w:val="0"/>
          <w:numId w:val="11"/>
        </w:numPr>
        <w:snapToGrid w:val="0"/>
        <w:spacing w:line="360" w:lineRule="auto"/>
        <w:textAlignment w:val="center"/>
        <w:rPr>
          <w:sz w:val="24"/>
        </w:rPr>
      </w:pPr>
      <w:r>
        <w:rPr>
          <w:sz w:val="24"/>
        </w:rPr>
        <w:t>辖区AIS历史数据存储：&gt;=12个月</w:t>
      </w:r>
    </w:p>
    <w:p>
      <w:pPr>
        <w:numPr>
          <w:ilvl w:val="0"/>
          <w:numId w:val="11"/>
        </w:numPr>
        <w:snapToGrid w:val="0"/>
        <w:spacing w:line="360" w:lineRule="auto"/>
        <w:textAlignment w:val="center"/>
        <w:rPr>
          <w:sz w:val="24"/>
        </w:rPr>
      </w:pPr>
      <w:r>
        <w:rPr>
          <w:sz w:val="24"/>
        </w:rPr>
        <w:t>海区AIS历史数据存储：&gt;=36个月</w:t>
      </w:r>
    </w:p>
    <w:p>
      <w:pPr>
        <w:ind w:firstLine="480"/>
        <w:rPr>
          <w:sz w:val="24"/>
        </w:rPr>
      </w:pPr>
      <w:r>
        <w:rPr>
          <w:sz w:val="24"/>
        </w:rPr>
        <w:t>（4）实时数据延时（扣除网络链路延时）</w:t>
      </w:r>
    </w:p>
    <w:p>
      <w:pPr>
        <w:numPr>
          <w:ilvl w:val="0"/>
          <w:numId w:val="12"/>
        </w:numPr>
        <w:snapToGrid w:val="0"/>
        <w:spacing w:line="360" w:lineRule="auto"/>
        <w:textAlignment w:val="center"/>
        <w:rPr>
          <w:sz w:val="24"/>
        </w:rPr>
      </w:pPr>
      <w:r>
        <w:rPr>
          <w:sz w:val="24"/>
        </w:rPr>
        <w:t>基站——辖区AIS实时数据用户（无清洗）：&lt;=100ms</w:t>
      </w:r>
    </w:p>
    <w:p>
      <w:pPr>
        <w:numPr>
          <w:ilvl w:val="0"/>
          <w:numId w:val="12"/>
        </w:numPr>
        <w:snapToGrid w:val="0"/>
        <w:spacing w:line="360" w:lineRule="auto"/>
        <w:textAlignment w:val="center"/>
        <w:rPr>
          <w:sz w:val="24"/>
        </w:rPr>
      </w:pPr>
      <w:r>
        <w:rPr>
          <w:sz w:val="24"/>
        </w:rPr>
        <w:t>基站——海区AIS实时数据用户（无清洗）：&lt;=300ms</w:t>
      </w:r>
    </w:p>
    <w:p>
      <w:pPr>
        <w:numPr>
          <w:ilvl w:val="0"/>
          <w:numId w:val="12"/>
        </w:numPr>
        <w:snapToGrid w:val="0"/>
        <w:spacing w:line="360" w:lineRule="auto"/>
        <w:textAlignment w:val="center"/>
        <w:rPr>
          <w:sz w:val="24"/>
        </w:rPr>
      </w:pPr>
      <w:r>
        <w:rPr>
          <w:sz w:val="24"/>
        </w:rPr>
        <w:t>基站——辖区AIS实时数据用户（清洗后）：&lt;=3s</w:t>
      </w:r>
    </w:p>
    <w:p>
      <w:pPr>
        <w:numPr>
          <w:ilvl w:val="0"/>
          <w:numId w:val="12"/>
        </w:numPr>
        <w:snapToGrid w:val="0"/>
        <w:spacing w:line="360" w:lineRule="auto"/>
        <w:textAlignment w:val="center"/>
        <w:rPr>
          <w:sz w:val="24"/>
        </w:rPr>
      </w:pPr>
      <w:r>
        <w:rPr>
          <w:sz w:val="24"/>
        </w:rPr>
        <w:t>基站——海区AIS实时数据用户（清洗后）：&lt;=5s</w:t>
      </w:r>
    </w:p>
    <w:p>
      <w:pPr>
        <w:ind w:firstLine="480"/>
        <w:rPr>
          <w:sz w:val="24"/>
        </w:rPr>
      </w:pPr>
      <w:r>
        <w:rPr>
          <w:sz w:val="24"/>
        </w:rPr>
        <w:t>（5）历史数据检索响应时间</w:t>
      </w:r>
    </w:p>
    <w:p>
      <w:pPr>
        <w:numPr>
          <w:ilvl w:val="0"/>
          <w:numId w:val="13"/>
        </w:numPr>
        <w:snapToGrid w:val="0"/>
        <w:spacing w:line="360" w:lineRule="auto"/>
        <w:textAlignment w:val="center"/>
        <w:rPr>
          <w:sz w:val="24"/>
        </w:rPr>
      </w:pPr>
      <w:r>
        <w:rPr>
          <w:sz w:val="24"/>
        </w:rPr>
        <w:t>辖区全区12小时数据：&lt;=1000ms，导出速率：&gt;=10Mbps</w:t>
      </w:r>
    </w:p>
    <w:p>
      <w:pPr>
        <w:numPr>
          <w:ilvl w:val="0"/>
          <w:numId w:val="13"/>
        </w:numPr>
        <w:snapToGrid w:val="0"/>
        <w:spacing w:line="360" w:lineRule="auto"/>
        <w:textAlignment w:val="center"/>
        <w:rPr>
          <w:sz w:val="24"/>
        </w:rPr>
      </w:pPr>
      <w:r>
        <w:rPr>
          <w:sz w:val="24"/>
        </w:rPr>
        <w:t>海区全区12小时数据：&lt;=2000ms，导出速率：&gt;=10Mbps</w:t>
      </w:r>
    </w:p>
    <w:p>
      <w:pPr>
        <w:ind w:firstLine="480"/>
        <w:rPr>
          <w:sz w:val="24"/>
        </w:rPr>
      </w:pPr>
      <w:r>
        <w:rPr>
          <w:sz w:val="24"/>
        </w:rPr>
        <w:t>（6）AIS数据业务质量</w:t>
      </w:r>
    </w:p>
    <w:p>
      <w:pPr>
        <w:numPr>
          <w:ilvl w:val="0"/>
          <w:numId w:val="14"/>
        </w:numPr>
        <w:snapToGrid w:val="0"/>
        <w:spacing w:line="360" w:lineRule="auto"/>
        <w:textAlignment w:val="center"/>
        <w:rPr>
          <w:sz w:val="24"/>
        </w:rPr>
      </w:pPr>
      <w:r>
        <w:rPr>
          <w:sz w:val="24"/>
        </w:rPr>
        <w:t>数据完整性：&gt;=99.999%（数据流转过程无丢失）</w:t>
      </w:r>
    </w:p>
    <w:p>
      <w:pPr>
        <w:numPr>
          <w:ilvl w:val="0"/>
          <w:numId w:val="14"/>
        </w:numPr>
        <w:snapToGrid w:val="0"/>
        <w:spacing w:line="360" w:lineRule="auto"/>
        <w:textAlignment w:val="center"/>
        <w:rPr>
          <w:sz w:val="24"/>
        </w:rPr>
      </w:pPr>
      <w:r>
        <w:rPr>
          <w:sz w:val="24"/>
        </w:rPr>
        <w:t>数据一致性：&gt;=99.999%（数据流转过程无更改）</w:t>
      </w:r>
    </w:p>
    <w:p>
      <w:pPr>
        <w:numPr>
          <w:ilvl w:val="0"/>
          <w:numId w:val="14"/>
        </w:numPr>
        <w:snapToGrid w:val="0"/>
        <w:spacing w:line="360" w:lineRule="auto"/>
        <w:textAlignment w:val="center"/>
        <w:rPr>
          <w:sz w:val="24"/>
        </w:rPr>
      </w:pPr>
      <w:r>
        <w:rPr>
          <w:sz w:val="24"/>
        </w:rPr>
        <w:t>数据清洗识别率：&gt;=99.9%（对重复、错误数据的识别）</w:t>
      </w:r>
    </w:p>
    <w:p>
      <w:pPr>
        <w:numPr>
          <w:ilvl w:val="0"/>
          <w:numId w:val="14"/>
        </w:numPr>
        <w:snapToGrid w:val="0"/>
        <w:spacing w:line="360" w:lineRule="auto"/>
        <w:textAlignment w:val="center"/>
        <w:rPr>
          <w:sz w:val="24"/>
        </w:rPr>
      </w:pPr>
      <w:r>
        <w:rPr>
          <w:sz w:val="24"/>
        </w:rPr>
        <w:t>数据过滤有效性：&gt;=99.9%（实时数据服务和历史检索服务对过滤条件的准确程度）</w:t>
      </w:r>
    </w:p>
    <w:p>
      <w:pPr>
        <w:ind w:firstLine="480"/>
        <w:rPr>
          <w:sz w:val="24"/>
        </w:rPr>
      </w:pPr>
      <w:r>
        <w:rPr>
          <w:sz w:val="24"/>
        </w:rPr>
        <w:t>（7）播发业务质量</w:t>
      </w:r>
    </w:p>
    <w:p>
      <w:pPr>
        <w:numPr>
          <w:ilvl w:val="0"/>
          <w:numId w:val="15"/>
        </w:numPr>
        <w:snapToGrid w:val="0"/>
        <w:spacing w:line="360" w:lineRule="auto"/>
        <w:textAlignment w:val="center"/>
        <w:rPr>
          <w:sz w:val="24"/>
        </w:rPr>
      </w:pPr>
      <w:r>
        <w:rPr>
          <w:sz w:val="24"/>
        </w:rPr>
        <w:t>播发报文完整性：&gt;=99.99%（播发报文无丢失）</w:t>
      </w:r>
    </w:p>
    <w:p>
      <w:pPr>
        <w:rPr>
          <w:sz w:val="28"/>
          <w:szCs w:val="28"/>
        </w:rPr>
      </w:pPr>
      <w:r>
        <w:rPr>
          <w:sz w:val="24"/>
        </w:rPr>
        <w:t>播发内容一致性：&gt;=99.99%（播发报文收发内容）</w:t>
      </w:r>
      <w:bookmarkEnd w:id="83"/>
      <w:bookmarkEnd w:id="84"/>
      <w:bookmarkEnd w:id="85"/>
      <w:bookmarkStart w:id="86" w:name="_Toc100742943"/>
      <w:bookmarkStart w:id="87" w:name="_Toc432756627"/>
      <w:r>
        <w:rPr>
          <w:rFonts w:hint="eastAsia"/>
          <w:sz w:val="28"/>
          <w:szCs w:val="28"/>
        </w:rPr>
        <w:br w:type="page"/>
      </w:r>
    </w:p>
    <w:p>
      <w:pPr>
        <w:numPr>
          <w:ilvl w:val="255"/>
          <w:numId w:val="0"/>
        </w:numPr>
        <w:snapToGrid w:val="0"/>
        <w:spacing w:line="360" w:lineRule="auto"/>
        <w:textAlignment w:val="center"/>
        <w:rPr>
          <w:sz w:val="28"/>
          <w:szCs w:val="28"/>
        </w:rPr>
      </w:pPr>
      <w:r>
        <w:rPr>
          <w:rFonts w:hint="eastAsia"/>
          <w:sz w:val="28"/>
          <w:szCs w:val="28"/>
        </w:rPr>
        <w:t>3.3.2功能要求</w:t>
      </w:r>
      <w:bookmarkEnd w:id="86"/>
    </w:p>
    <w:p>
      <w:pPr>
        <w:pStyle w:val="6"/>
        <w:numPr>
          <w:ilvl w:val="3"/>
          <w:numId w:val="0"/>
        </w:numPr>
        <w:tabs>
          <w:tab w:val="clear" w:pos="567"/>
        </w:tabs>
      </w:pPr>
      <w:r>
        <w:rPr>
          <w:rFonts w:hint="eastAsia"/>
          <w:sz w:val="28"/>
        </w:rPr>
        <w:t>3.3.2.1</w:t>
      </w:r>
      <w:r>
        <w:rPr>
          <w:rFonts w:hint="eastAsia"/>
        </w:rPr>
        <w:t>接口服务子系统</w:t>
      </w:r>
    </w:p>
    <w:p>
      <w:pPr>
        <w:pStyle w:val="83"/>
        <w:snapToGrid w:val="0"/>
        <w:spacing w:line="360" w:lineRule="auto"/>
      </w:pPr>
      <w:r>
        <w:rPr>
          <w:rFonts w:hint="eastAsia"/>
        </w:rPr>
        <w:t>系统功能：</w:t>
      </w:r>
    </w:p>
    <w:p>
      <w:pPr>
        <w:snapToGrid w:val="0"/>
        <w:spacing w:line="360" w:lineRule="auto"/>
        <w:ind w:firstLine="480" w:firstLineChars="200"/>
        <w:rPr>
          <w:rStyle w:val="80"/>
          <w:rFonts w:hint="default"/>
          <w:sz w:val="24"/>
          <w:szCs w:val="22"/>
          <w:lang w:bidi="ar"/>
        </w:rPr>
      </w:pPr>
      <w:r>
        <w:rPr>
          <w:rStyle w:val="80"/>
          <w:rFonts w:hint="default"/>
          <w:sz w:val="24"/>
          <w:szCs w:val="22"/>
          <w:lang w:bidi="ar"/>
        </w:rPr>
        <w:t>（1）人机交互服务</w:t>
      </w:r>
    </w:p>
    <w:p>
      <w:pPr>
        <w:snapToGrid w:val="0"/>
        <w:spacing w:line="360" w:lineRule="auto"/>
        <w:ind w:left="400"/>
        <w:textAlignment w:val="center"/>
        <w:rPr>
          <w:rStyle w:val="80"/>
          <w:rFonts w:hint="default"/>
          <w:sz w:val="24"/>
          <w:lang w:bidi="ar"/>
        </w:rPr>
      </w:pPr>
      <w:r>
        <w:rPr>
          <w:rStyle w:val="80"/>
          <w:rFonts w:hint="default"/>
          <w:sz w:val="24"/>
          <w:lang w:bidi="ar"/>
        </w:rPr>
        <w:t>1）基站数据可视化</w:t>
      </w:r>
    </w:p>
    <w:p>
      <w:pPr>
        <w:snapToGrid w:val="0"/>
        <w:spacing w:line="360" w:lineRule="auto"/>
        <w:ind w:left="420" w:leftChars="200" w:firstLine="419"/>
        <w:rPr>
          <w:rStyle w:val="80"/>
          <w:rFonts w:hint="default"/>
          <w:sz w:val="24"/>
          <w:lang w:bidi="ar"/>
        </w:rPr>
      </w:pPr>
      <w:r>
        <w:rPr>
          <w:rStyle w:val="80"/>
          <w:rFonts w:hint="default"/>
          <w:sz w:val="24"/>
          <w:lang w:bidi="ar"/>
        </w:rPr>
        <w:t>在海图上显示基站的位置和图标，在基站列表选中某一基站，显示目标基站的基本资料信息，包含型号、MMSI、IP地址、名称等。</w:t>
      </w:r>
    </w:p>
    <w:p>
      <w:pPr>
        <w:snapToGrid w:val="0"/>
        <w:spacing w:line="360" w:lineRule="auto"/>
        <w:ind w:left="400"/>
        <w:textAlignment w:val="center"/>
        <w:rPr>
          <w:rStyle w:val="80"/>
          <w:rFonts w:hint="default"/>
          <w:sz w:val="24"/>
          <w:lang w:bidi="ar"/>
        </w:rPr>
      </w:pPr>
      <w:r>
        <w:rPr>
          <w:rStyle w:val="80"/>
          <w:rFonts w:hint="default"/>
          <w:sz w:val="24"/>
          <w:lang w:bidi="ar"/>
        </w:rPr>
        <w:t>2）基站状态可视化</w:t>
      </w:r>
    </w:p>
    <w:p>
      <w:pPr>
        <w:snapToGrid w:val="0"/>
        <w:spacing w:line="360" w:lineRule="auto"/>
        <w:ind w:left="420" w:leftChars="200" w:firstLine="419"/>
        <w:rPr>
          <w:rStyle w:val="80"/>
          <w:rFonts w:hint="default"/>
          <w:sz w:val="24"/>
          <w:lang w:bidi="ar"/>
        </w:rPr>
      </w:pPr>
      <w:r>
        <w:rPr>
          <w:rStyle w:val="80"/>
          <w:rFonts w:hint="default"/>
          <w:sz w:val="24"/>
          <w:lang w:bidi="ar"/>
        </w:rPr>
        <w:t>显示选中基站的运行状态。</w:t>
      </w:r>
    </w:p>
    <w:p>
      <w:pPr>
        <w:snapToGrid w:val="0"/>
        <w:spacing w:line="360" w:lineRule="auto"/>
        <w:ind w:firstLine="480" w:firstLineChars="200"/>
        <w:rPr>
          <w:rStyle w:val="80"/>
          <w:rFonts w:hint="default"/>
          <w:sz w:val="24"/>
          <w:lang w:bidi="ar"/>
        </w:rPr>
      </w:pPr>
      <w:r>
        <w:rPr>
          <w:rStyle w:val="80"/>
          <w:rFonts w:hint="default"/>
          <w:sz w:val="24"/>
          <w:lang w:bidi="ar"/>
        </w:rPr>
        <w:t>3）用户数据可视化</w:t>
      </w:r>
    </w:p>
    <w:p>
      <w:pPr>
        <w:snapToGrid w:val="0"/>
        <w:spacing w:line="360" w:lineRule="auto"/>
        <w:ind w:left="420" w:leftChars="200" w:firstLine="419"/>
        <w:rPr>
          <w:rStyle w:val="80"/>
          <w:rFonts w:hint="default"/>
          <w:sz w:val="24"/>
          <w:lang w:bidi="ar"/>
        </w:rPr>
      </w:pPr>
      <w:r>
        <w:rPr>
          <w:rStyle w:val="80"/>
          <w:rFonts w:hint="default"/>
          <w:sz w:val="24"/>
          <w:lang w:bidi="ar"/>
        </w:rPr>
        <w:t>显示用户列表，可以按用户关键资料内容进行排序。在列表中选择用户，可以显示目标用户的基本资料信息。</w:t>
      </w:r>
    </w:p>
    <w:p>
      <w:pPr>
        <w:snapToGrid w:val="0"/>
        <w:spacing w:line="360" w:lineRule="auto"/>
        <w:ind w:left="400"/>
        <w:textAlignment w:val="center"/>
        <w:rPr>
          <w:rStyle w:val="80"/>
          <w:rFonts w:hint="default"/>
          <w:sz w:val="24"/>
          <w:lang w:bidi="ar"/>
        </w:rPr>
      </w:pPr>
      <w:r>
        <w:rPr>
          <w:rStyle w:val="80"/>
          <w:rFonts w:hint="default"/>
          <w:sz w:val="24"/>
          <w:lang w:bidi="ar"/>
        </w:rPr>
        <w:t>4）数据流状态可视化</w:t>
      </w:r>
    </w:p>
    <w:p>
      <w:pPr>
        <w:snapToGrid w:val="0"/>
        <w:spacing w:line="360" w:lineRule="auto"/>
        <w:ind w:left="420" w:leftChars="200" w:firstLine="419"/>
        <w:rPr>
          <w:rStyle w:val="80"/>
          <w:rFonts w:hint="default"/>
          <w:sz w:val="24"/>
          <w:lang w:bidi="ar"/>
        </w:rPr>
      </w:pPr>
      <w:r>
        <w:rPr>
          <w:rStyle w:val="80"/>
          <w:rFonts w:hint="default"/>
          <w:sz w:val="24"/>
          <w:lang w:bidi="ar"/>
        </w:rPr>
        <w:t>在海图上显示各个节点和连接的数据流状态，在列表中选中节点可以显示该节点的具体状态信息。</w:t>
      </w:r>
    </w:p>
    <w:p>
      <w:pPr>
        <w:snapToGrid w:val="0"/>
        <w:spacing w:line="360" w:lineRule="auto"/>
        <w:ind w:left="400"/>
        <w:textAlignment w:val="center"/>
        <w:rPr>
          <w:rStyle w:val="80"/>
          <w:rFonts w:hint="default"/>
          <w:sz w:val="24"/>
          <w:lang w:bidi="ar"/>
        </w:rPr>
      </w:pPr>
      <w:r>
        <w:rPr>
          <w:rStyle w:val="80"/>
          <w:rFonts w:hint="default"/>
          <w:sz w:val="24"/>
          <w:lang w:bidi="ar"/>
        </w:rPr>
        <w:t>5）拓扑结构可视化</w:t>
      </w:r>
    </w:p>
    <w:p>
      <w:pPr>
        <w:snapToGrid w:val="0"/>
        <w:spacing w:line="360" w:lineRule="auto"/>
        <w:ind w:left="420" w:leftChars="200" w:firstLine="419"/>
        <w:rPr>
          <w:rStyle w:val="80"/>
          <w:rFonts w:hint="default"/>
          <w:sz w:val="24"/>
          <w:lang w:bidi="ar"/>
        </w:rPr>
      </w:pPr>
      <w:r>
        <w:rPr>
          <w:rStyle w:val="80"/>
          <w:rFonts w:hint="default"/>
          <w:sz w:val="24"/>
          <w:lang w:bidi="ar"/>
        </w:rPr>
        <w:t>在海图上显示各个节点的位置和图标，以及节点之间的拓扑结构。在列表中，可以树形显示对应的拓扑关系，并支持多种方式查询和定位。</w:t>
      </w:r>
    </w:p>
    <w:p>
      <w:pPr>
        <w:snapToGrid w:val="0"/>
        <w:spacing w:line="360" w:lineRule="auto"/>
        <w:ind w:left="400"/>
        <w:textAlignment w:val="center"/>
        <w:rPr>
          <w:rStyle w:val="80"/>
          <w:rFonts w:hint="default"/>
          <w:sz w:val="24"/>
          <w:lang w:bidi="ar"/>
        </w:rPr>
      </w:pPr>
      <w:r>
        <w:rPr>
          <w:rStyle w:val="80"/>
          <w:rFonts w:hint="default"/>
          <w:sz w:val="24"/>
          <w:lang w:bidi="ar"/>
        </w:rPr>
        <w:t>6）船舶数据可视化</w:t>
      </w:r>
    </w:p>
    <w:p>
      <w:pPr>
        <w:snapToGrid w:val="0"/>
        <w:spacing w:line="360" w:lineRule="auto"/>
        <w:ind w:left="420" w:leftChars="200" w:firstLine="419"/>
        <w:rPr>
          <w:rStyle w:val="80"/>
          <w:rFonts w:hint="default"/>
          <w:sz w:val="24"/>
          <w:lang w:bidi="ar"/>
        </w:rPr>
      </w:pPr>
      <w:r>
        <w:rPr>
          <w:rStyle w:val="80"/>
          <w:rFonts w:hint="default"/>
          <w:sz w:val="24"/>
          <w:lang w:bidi="ar"/>
        </w:rPr>
        <w:t>选中基站、辖区中心或海区中心节点时，可以显示对应节点的AIS船舶数据，并以列表或雷达图的方式展现。</w:t>
      </w:r>
    </w:p>
    <w:p>
      <w:pPr>
        <w:snapToGrid w:val="0"/>
        <w:spacing w:line="360" w:lineRule="auto"/>
        <w:ind w:left="400"/>
        <w:textAlignment w:val="center"/>
        <w:rPr>
          <w:rStyle w:val="80"/>
          <w:rFonts w:hint="default"/>
          <w:sz w:val="24"/>
          <w:lang w:bidi="ar"/>
        </w:rPr>
      </w:pPr>
      <w:r>
        <w:rPr>
          <w:rStyle w:val="80"/>
          <w:rFonts w:hint="default"/>
          <w:sz w:val="24"/>
          <w:lang w:bidi="ar"/>
        </w:rPr>
        <w:t>7）基站船舶数量统计</w:t>
      </w:r>
    </w:p>
    <w:p>
      <w:pPr>
        <w:snapToGrid w:val="0"/>
        <w:spacing w:line="360" w:lineRule="auto"/>
        <w:ind w:left="420" w:leftChars="200" w:firstLine="419"/>
        <w:rPr>
          <w:rStyle w:val="80"/>
          <w:rFonts w:hint="default"/>
          <w:sz w:val="24"/>
          <w:lang w:bidi="ar"/>
        </w:rPr>
      </w:pPr>
      <w:r>
        <w:rPr>
          <w:rStyle w:val="80"/>
          <w:rFonts w:hint="default"/>
          <w:sz w:val="24"/>
          <w:lang w:bidi="ar"/>
        </w:rPr>
        <w:t>选中基站时，可以显示对应基站收到的AIS船舶数量统计数值。统计数值应避免遗漏。数据统计可以按照多种单位统计最近时段的船舶数量。</w:t>
      </w:r>
    </w:p>
    <w:p>
      <w:pPr>
        <w:snapToGrid w:val="0"/>
        <w:spacing w:line="360" w:lineRule="auto"/>
        <w:ind w:left="480"/>
        <w:textAlignment w:val="center"/>
        <w:rPr>
          <w:rStyle w:val="80"/>
          <w:rFonts w:hint="default"/>
          <w:sz w:val="24"/>
          <w:lang w:bidi="ar"/>
        </w:rPr>
      </w:pPr>
      <w:r>
        <w:rPr>
          <w:rStyle w:val="80"/>
          <w:rFonts w:hint="default"/>
          <w:sz w:val="24"/>
          <w:lang w:bidi="ar"/>
        </w:rPr>
        <w:t>8）基站时隙显示</w:t>
      </w:r>
    </w:p>
    <w:p>
      <w:pPr>
        <w:snapToGrid w:val="0"/>
        <w:spacing w:line="360" w:lineRule="auto"/>
        <w:ind w:left="420" w:leftChars="200" w:firstLine="419"/>
        <w:rPr>
          <w:rStyle w:val="80"/>
          <w:rFonts w:hint="default"/>
          <w:sz w:val="24"/>
          <w:lang w:bidi="ar"/>
        </w:rPr>
      </w:pPr>
      <w:r>
        <w:rPr>
          <w:rStyle w:val="80"/>
          <w:rFonts w:hint="default"/>
          <w:sz w:val="24"/>
          <w:lang w:bidi="ar"/>
        </w:rPr>
        <w:t>选中基站节点时，显示基站在信道的实时时隙使用情况。</w:t>
      </w:r>
    </w:p>
    <w:p>
      <w:pPr>
        <w:snapToGrid w:val="0"/>
        <w:spacing w:line="360" w:lineRule="auto"/>
        <w:ind w:left="400"/>
        <w:textAlignment w:val="center"/>
        <w:rPr>
          <w:rStyle w:val="80"/>
          <w:rFonts w:hint="default"/>
          <w:sz w:val="24"/>
          <w:lang w:bidi="ar"/>
        </w:rPr>
      </w:pPr>
      <w:r>
        <w:rPr>
          <w:rStyle w:val="80"/>
          <w:rFonts w:hint="default"/>
          <w:sz w:val="24"/>
          <w:lang w:bidi="ar"/>
        </w:rPr>
        <w:t>9）辖区/海区船舶数据统计</w:t>
      </w:r>
    </w:p>
    <w:p>
      <w:pPr>
        <w:snapToGrid w:val="0"/>
        <w:spacing w:line="360" w:lineRule="auto"/>
        <w:ind w:left="420" w:leftChars="200" w:firstLine="419"/>
        <w:rPr>
          <w:rStyle w:val="80"/>
          <w:rFonts w:hint="default"/>
          <w:sz w:val="24"/>
          <w:lang w:bidi="ar"/>
        </w:rPr>
      </w:pPr>
      <w:r>
        <w:rPr>
          <w:rStyle w:val="80"/>
          <w:rFonts w:hint="default"/>
          <w:sz w:val="24"/>
          <w:lang w:bidi="ar"/>
        </w:rPr>
        <w:t>选中辖区中心或海区中心节点时，显示对应节点汇总的AIS船舶数量统计数值。统计数值应避免遗漏。数据统计可以按多种时长单位统计最近时段的船舶数量。</w:t>
      </w:r>
    </w:p>
    <w:p>
      <w:pPr>
        <w:snapToGrid w:val="0"/>
        <w:spacing w:line="360" w:lineRule="auto"/>
        <w:ind w:left="400"/>
        <w:textAlignment w:val="center"/>
        <w:rPr>
          <w:rStyle w:val="80"/>
          <w:rFonts w:hint="default"/>
          <w:sz w:val="24"/>
          <w:lang w:bidi="ar"/>
        </w:rPr>
      </w:pPr>
      <w:r>
        <w:rPr>
          <w:rStyle w:val="80"/>
          <w:rFonts w:hint="default"/>
          <w:sz w:val="24"/>
          <w:lang w:bidi="ar"/>
        </w:rPr>
        <w:t>10）辖区/海区负载显示</w:t>
      </w:r>
    </w:p>
    <w:p>
      <w:pPr>
        <w:snapToGrid w:val="0"/>
        <w:spacing w:line="360" w:lineRule="auto"/>
        <w:ind w:left="420" w:leftChars="200" w:firstLine="419"/>
        <w:rPr>
          <w:rStyle w:val="80"/>
          <w:rFonts w:hint="default"/>
          <w:sz w:val="24"/>
          <w:lang w:bidi="ar"/>
        </w:rPr>
      </w:pPr>
      <w:r>
        <w:rPr>
          <w:rStyle w:val="80"/>
          <w:rFonts w:hint="default"/>
          <w:sz w:val="24"/>
          <w:lang w:bidi="ar"/>
        </w:rPr>
        <w:t>能够分析辖区中心、海区中心的负载情况。管理部门可以根据负载情况决定是否对网络、时隙进行调整，或者适时增加基站部署。</w:t>
      </w:r>
    </w:p>
    <w:p>
      <w:pPr>
        <w:snapToGrid w:val="0"/>
        <w:spacing w:line="360" w:lineRule="auto"/>
        <w:ind w:left="400"/>
        <w:textAlignment w:val="center"/>
        <w:rPr>
          <w:rStyle w:val="80"/>
          <w:rFonts w:hint="default"/>
          <w:sz w:val="24"/>
          <w:lang w:bidi="ar"/>
        </w:rPr>
      </w:pPr>
      <w:r>
        <w:rPr>
          <w:rStyle w:val="80"/>
          <w:rFonts w:hint="default"/>
          <w:sz w:val="24"/>
          <w:lang w:bidi="ar"/>
        </w:rPr>
        <w:t>11）基站VDL负载显示</w:t>
      </w:r>
    </w:p>
    <w:p>
      <w:pPr>
        <w:snapToGrid w:val="0"/>
        <w:spacing w:line="360" w:lineRule="auto"/>
        <w:ind w:left="420" w:leftChars="200" w:firstLine="419"/>
        <w:rPr>
          <w:rStyle w:val="80"/>
          <w:rFonts w:hint="default"/>
          <w:sz w:val="24"/>
        </w:rPr>
      </w:pPr>
      <w:r>
        <w:rPr>
          <w:rStyle w:val="80"/>
          <w:rFonts w:hint="default"/>
          <w:sz w:val="24"/>
        </w:rPr>
        <w:t>能够分析AIS基站在AIS-A/AIS-B/ASM-A/ASM-B信道的台站目标数量、时隙占用率、工作模式、预约时隙安排等情况，计算基站VDL的综合负载。</w:t>
      </w:r>
    </w:p>
    <w:p>
      <w:pPr>
        <w:snapToGrid w:val="0"/>
        <w:spacing w:line="360" w:lineRule="auto"/>
        <w:ind w:firstLine="480" w:firstLineChars="200"/>
        <w:rPr>
          <w:rStyle w:val="80"/>
          <w:rFonts w:hint="default"/>
          <w:sz w:val="24"/>
        </w:rPr>
      </w:pPr>
      <w:r>
        <w:rPr>
          <w:rStyle w:val="80"/>
          <w:rFonts w:hint="default"/>
          <w:sz w:val="24"/>
        </w:rPr>
        <w:t>（2）用户接口服务</w:t>
      </w:r>
    </w:p>
    <w:p>
      <w:pPr>
        <w:snapToGrid w:val="0"/>
        <w:spacing w:line="360" w:lineRule="auto"/>
        <w:ind w:firstLine="480" w:firstLineChars="200"/>
        <w:rPr>
          <w:rStyle w:val="80"/>
          <w:rFonts w:hint="default"/>
          <w:sz w:val="24"/>
        </w:rPr>
      </w:pPr>
      <w:r>
        <w:rPr>
          <w:rStyle w:val="80"/>
          <w:rFonts w:hint="default"/>
          <w:sz w:val="24"/>
        </w:rPr>
        <w:t>1）标准数据流接口</w:t>
      </w:r>
    </w:p>
    <w:p>
      <w:pPr>
        <w:snapToGrid w:val="0"/>
        <w:spacing w:line="360" w:lineRule="auto"/>
        <w:ind w:firstLine="480"/>
        <w:rPr>
          <w:rStyle w:val="80"/>
          <w:rFonts w:hint="default"/>
          <w:sz w:val="24"/>
        </w:rPr>
      </w:pPr>
      <w:r>
        <w:rPr>
          <w:rStyle w:val="80"/>
          <w:rFonts w:hint="default"/>
          <w:sz w:val="24"/>
        </w:rPr>
        <w:t>提供TCP接口服务，向接入的用户推送AIS实时数据，并提供AIS播发功能及标准数据。。</w:t>
      </w:r>
    </w:p>
    <w:p>
      <w:pPr>
        <w:snapToGrid w:val="0"/>
        <w:spacing w:line="360" w:lineRule="auto"/>
        <w:ind w:firstLine="480"/>
        <w:rPr>
          <w:rStyle w:val="80"/>
          <w:rFonts w:hint="default"/>
          <w:sz w:val="24"/>
        </w:rPr>
      </w:pPr>
      <w:r>
        <w:rPr>
          <w:rStyle w:val="80"/>
          <w:rFonts w:hint="default"/>
          <w:sz w:val="24"/>
        </w:rPr>
        <w:t>2）扩展数据流接口</w:t>
      </w:r>
    </w:p>
    <w:p>
      <w:pPr>
        <w:snapToGrid w:val="0"/>
        <w:spacing w:line="360" w:lineRule="auto"/>
        <w:ind w:firstLine="480"/>
        <w:rPr>
          <w:rStyle w:val="80"/>
          <w:rFonts w:hint="default"/>
          <w:sz w:val="24"/>
        </w:rPr>
      </w:pPr>
      <w:r>
        <w:rPr>
          <w:rStyle w:val="80"/>
          <w:rFonts w:hint="default"/>
          <w:sz w:val="24"/>
        </w:rPr>
        <w:t>提供拓展的ASM数据流服务。</w:t>
      </w:r>
    </w:p>
    <w:p>
      <w:pPr>
        <w:snapToGrid w:val="0"/>
        <w:spacing w:line="360" w:lineRule="auto"/>
        <w:ind w:firstLine="480"/>
        <w:rPr>
          <w:rStyle w:val="80"/>
          <w:rFonts w:hint="default"/>
          <w:sz w:val="24"/>
        </w:rPr>
      </w:pPr>
      <w:r>
        <w:rPr>
          <w:rStyle w:val="80"/>
          <w:rFonts w:hint="default"/>
          <w:sz w:val="24"/>
        </w:rPr>
        <w:t>3）用户API接口</w:t>
      </w:r>
    </w:p>
    <w:p>
      <w:pPr>
        <w:snapToGrid w:val="0"/>
        <w:spacing w:line="360" w:lineRule="auto"/>
        <w:ind w:firstLine="480"/>
        <w:rPr>
          <w:rStyle w:val="80"/>
          <w:rFonts w:hint="default"/>
          <w:sz w:val="24"/>
        </w:rPr>
      </w:pPr>
      <w:r>
        <w:rPr>
          <w:rStyle w:val="80"/>
          <w:rFonts w:hint="default"/>
          <w:sz w:val="24"/>
        </w:rPr>
        <w:t>提供API数据接口，用户可以通过多种方式从核心网获取AIS数据。</w:t>
      </w:r>
    </w:p>
    <w:p>
      <w:pPr>
        <w:snapToGrid w:val="0"/>
        <w:spacing w:line="360" w:lineRule="auto"/>
        <w:ind w:firstLine="480"/>
        <w:rPr>
          <w:rStyle w:val="80"/>
          <w:rFonts w:hint="default"/>
          <w:sz w:val="24"/>
        </w:rPr>
      </w:pPr>
      <w:r>
        <w:rPr>
          <w:rStyle w:val="80"/>
          <w:rFonts w:hint="default"/>
          <w:sz w:val="24"/>
        </w:rPr>
        <w:t>4）AIS数据接口格式兼容</w:t>
      </w:r>
    </w:p>
    <w:p>
      <w:pPr>
        <w:snapToGrid w:val="0"/>
        <w:spacing w:line="360" w:lineRule="auto"/>
        <w:ind w:firstLine="480"/>
        <w:rPr>
          <w:rStyle w:val="80"/>
          <w:rFonts w:hint="default"/>
          <w:sz w:val="24"/>
        </w:rPr>
      </w:pPr>
      <w:r>
        <w:rPr>
          <w:rStyle w:val="80"/>
          <w:rFonts w:hint="default"/>
          <w:sz w:val="24"/>
        </w:rPr>
        <w:t>根据用户要求，实现AIS数据接口的格式兼容，按照不同数据格式输出数据。</w:t>
      </w:r>
    </w:p>
    <w:p>
      <w:pPr>
        <w:snapToGrid w:val="0"/>
        <w:spacing w:line="360" w:lineRule="auto"/>
        <w:ind w:firstLine="480"/>
        <w:rPr>
          <w:rStyle w:val="80"/>
          <w:rFonts w:hint="default"/>
          <w:sz w:val="24"/>
        </w:rPr>
      </w:pPr>
      <w:r>
        <w:rPr>
          <w:rStyle w:val="80"/>
          <w:rFonts w:hint="default"/>
          <w:sz w:val="24"/>
        </w:rPr>
        <w:t>5）AIS裸报文适配</w:t>
      </w:r>
    </w:p>
    <w:p>
      <w:pPr>
        <w:snapToGrid w:val="0"/>
        <w:spacing w:line="360" w:lineRule="auto"/>
        <w:ind w:firstLine="480"/>
        <w:rPr>
          <w:rStyle w:val="80"/>
          <w:rFonts w:hint="default"/>
          <w:sz w:val="24"/>
        </w:rPr>
      </w:pPr>
      <w:r>
        <w:rPr>
          <w:rStyle w:val="80"/>
          <w:rFonts w:hint="default"/>
          <w:sz w:val="24"/>
        </w:rPr>
        <w:t>根据数据格式适配，可输出AIS裸报文，除了原始的VDM/VDO报文外，不带任何的标签或注释块。</w:t>
      </w:r>
    </w:p>
    <w:p>
      <w:pPr>
        <w:snapToGrid w:val="0"/>
        <w:spacing w:line="360" w:lineRule="auto"/>
        <w:ind w:left="480"/>
        <w:rPr>
          <w:rStyle w:val="80"/>
          <w:rFonts w:hint="default"/>
          <w:sz w:val="24"/>
        </w:rPr>
      </w:pPr>
      <w:r>
        <w:rPr>
          <w:rStyle w:val="80"/>
          <w:rFonts w:hint="default"/>
          <w:sz w:val="24"/>
        </w:rPr>
        <w:t>6）时戳报文头适配</w:t>
      </w:r>
    </w:p>
    <w:p>
      <w:pPr>
        <w:snapToGrid w:val="0"/>
        <w:spacing w:line="360" w:lineRule="auto"/>
        <w:ind w:firstLine="480"/>
        <w:rPr>
          <w:rStyle w:val="80"/>
          <w:rFonts w:hint="default"/>
          <w:sz w:val="24"/>
        </w:rPr>
      </w:pPr>
      <w:r>
        <w:rPr>
          <w:rStyle w:val="80"/>
          <w:rFonts w:hint="default"/>
          <w:sz w:val="24"/>
        </w:rPr>
        <w:t>根据数据格式适配，输出带时戳的AIS报文，包含各类时间戳格式等</w:t>
      </w:r>
      <w:r>
        <w:t>。</w:t>
      </w:r>
    </w:p>
    <w:p>
      <w:pPr>
        <w:snapToGrid w:val="0"/>
        <w:spacing w:line="360" w:lineRule="auto"/>
        <w:ind w:firstLine="480"/>
        <w:rPr>
          <w:rStyle w:val="80"/>
          <w:rFonts w:hint="default"/>
          <w:sz w:val="24"/>
        </w:rPr>
      </w:pPr>
      <w:r>
        <w:rPr>
          <w:rStyle w:val="80"/>
          <w:rFonts w:hint="default"/>
          <w:sz w:val="24"/>
        </w:rPr>
        <w:t>7）Comment Block报文头适配</w:t>
      </w:r>
    </w:p>
    <w:p>
      <w:pPr>
        <w:snapToGrid w:val="0"/>
        <w:spacing w:line="360" w:lineRule="auto"/>
        <w:ind w:firstLine="480"/>
        <w:rPr>
          <w:rStyle w:val="80"/>
          <w:rFonts w:hint="default"/>
          <w:sz w:val="24"/>
        </w:rPr>
      </w:pPr>
      <w:r>
        <w:rPr>
          <w:rStyle w:val="80"/>
          <w:rFonts w:hint="default"/>
          <w:sz w:val="24"/>
        </w:rPr>
        <w:t>根据数据格式适配，输出带Comment Block（注释块）的AIS报文。</w:t>
      </w:r>
    </w:p>
    <w:p>
      <w:pPr>
        <w:snapToGrid w:val="0"/>
        <w:spacing w:line="360" w:lineRule="auto"/>
        <w:ind w:firstLine="480"/>
        <w:rPr>
          <w:rStyle w:val="80"/>
          <w:rFonts w:hint="default"/>
          <w:sz w:val="24"/>
        </w:rPr>
      </w:pPr>
      <w:r>
        <w:rPr>
          <w:rStyle w:val="80"/>
          <w:rFonts w:hint="default"/>
          <w:sz w:val="24"/>
        </w:rPr>
        <w:t>8）TAG Block适配</w:t>
      </w:r>
    </w:p>
    <w:p>
      <w:pPr>
        <w:snapToGrid w:val="0"/>
        <w:spacing w:line="360" w:lineRule="auto"/>
        <w:ind w:firstLine="480"/>
        <w:rPr>
          <w:rStyle w:val="80"/>
          <w:rFonts w:hint="default"/>
          <w:sz w:val="24"/>
        </w:rPr>
      </w:pPr>
      <w:r>
        <w:rPr>
          <w:rStyle w:val="80"/>
          <w:rFonts w:hint="default"/>
          <w:sz w:val="24"/>
        </w:rPr>
        <w:t>根据数据格式适配，输出带TAG Block（传输、注释和分组块）的AIS报文。</w:t>
      </w:r>
    </w:p>
    <w:p>
      <w:pPr>
        <w:snapToGrid w:val="0"/>
        <w:spacing w:line="360" w:lineRule="auto"/>
        <w:ind w:left="480"/>
        <w:rPr>
          <w:rStyle w:val="80"/>
          <w:rFonts w:hint="default"/>
          <w:sz w:val="24"/>
        </w:rPr>
      </w:pPr>
      <w:r>
        <w:rPr>
          <w:rStyle w:val="80"/>
          <w:rFonts w:hint="default"/>
          <w:sz w:val="24"/>
        </w:rPr>
        <w:t>9）用户数据收发管理</w:t>
      </w:r>
    </w:p>
    <w:p>
      <w:pPr>
        <w:snapToGrid w:val="0"/>
        <w:spacing w:line="360" w:lineRule="auto"/>
        <w:ind w:firstLine="480"/>
        <w:rPr>
          <w:rStyle w:val="80"/>
          <w:rFonts w:hint="default"/>
          <w:sz w:val="24"/>
        </w:rPr>
      </w:pPr>
      <w:r>
        <w:rPr>
          <w:rStyle w:val="80"/>
          <w:rFonts w:hint="default"/>
          <w:sz w:val="24"/>
        </w:rPr>
        <w:t>在数据接口处，管理用户数据的收发行为，限定用户是否能接收或发送AIS/ASM报文。</w:t>
      </w:r>
    </w:p>
    <w:p>
      <w:pPr>
        <w:snapToGrid w:val="0"/>
        <w:spacing w:line="360" w:lineRule="auto"/>
        <w:ind w:firstLine="480"/>
        <w:rPr>
          <w:rStyle w:val="80"/>
          <w:rFonts w:hint="default"/>
          <w:sz w:val="24"/>
        </w:rPr>
      </w:pPr>
      <w:r>
        <w:rPr>
          <w:rStyle w:val="80"/>
          <w:rFonts w:hint="default"/>
          <w:sz w:val="24"/>
        </w:rPr>
        <w:t>10）用户异常行为识别</w:t>
      </w:r>
    </w:p>
    <w:p>
      <w:pPr>
        <w:snapToGrid w:val="0"/>
        <w:spacing w:line="360" w:lineRule="auto"/>
        <w:ind w:firstLine="480"/>
        <w:rPr>
          <w:rStyle w:val="80"/>
          <w:rFonts w:hint="default"/>
          <w:sz w:val="24"/>
        </w:rPr>
      </w:pPr>
      <w:r>
        <w:rPr>
          <w:rStyle w:val="80"/>
          <w:rFonts w:hint="default"/>
          <w:sz w:val="24"/>
        </w:rPr>
        <w:t>识别数据用户的异常行为。对异常行为进行日志记录，发出系统告警，管理员可以设置自动或手动封禁异常用户。</w:t>
      </w:r>
    </w:p>
    <w:p>
      <w:pPr>
        <w:snapToGrid w:val="0"/>
        <w:spacing w:line="360" w:lineRule="auto"/>
        <w:ind w:firstLine="480"/>
        <w:rPr>
          <w:rStyle w:val="80"/>
          <w:rFonts w:hint="default"/>
          <w:sz w:val="24"/>
        </w:rPr>
      </w:pPr>
      <w:r>
        <w:rPr>
          <w:rStyle w:val="80"/>
          <w:rFonts w:hint="default"/>
          <w:sz w:val="24"/>
        </w:rPr>
        <w:t>11）用户接口防火墙管理</w:t>
      </w:r>
    </w:p>
    <w:p>
      <w:pPr>
        <w:snapToGrid w:val="0"/>
        <w:spacing w:line="360" w:lineRule="auto"/>
        <w:ind w:firstLine="480"/>
        <w:rPr>
          <w:rStyle w:val="80"/>
          <w:rFonts w:hint="default"/>
          <w:sz w:val="24"/>
        </w:rPr>
      </w:pPr>
      <w:r>
        <w:rPr>
          <w:rStyle w:val="80"/>
          <w:rFonts w:hint="default"/>
          <w:sz w:val="24"/>
        </w:rPr>
        <w:t>可以绑定每个用户登录的IP地址和端口自动或手动封禁用户。</w:t>
      </w:r>
    </w:p>
    <w:p>
      <w:pPr>
        <w:snapToGrid w:val="0"/>
        <w:spacing w:line="360" w:lineRule="auto"/>
        <w:ind w:firstLine="480"/>
        <w:rPr>
          <w:rStyle w:val="80"/>
          <w:rFonts w:hint="default"/>
          <w:sz w:val="24"/>
        </w:rPr>
      </w:pPr>
      <w:r>
        <w:rPr>
          <w:rStyle w:val="80"/>
          <w:rFonts w:hint="default"/>
          <w:sz w:val="24"/>
        </w:rPr>
        <w:t>12）用户登录权限控制</w:t>
      </w:r>
    </w:p>
    <w:p>
      <w:pPr>
        <w:snapToGrid w:val="0"/>
        <w:spacing w:line="360" w:lineRule="auto"/>
        <w:ind w:firstLine="480"/>
        <w:rPr>
          <w:rStyle w:val="80"/>
          <w:rFonts w:hint="default"/>
          <w:sz w:val="24"/>
        </w:rPr>
      </w:pPr>
      <w:r>
        <w:rPr>
          <w:rStyle w:val="80"/>
          <w:rFonts w:hint="default"/>
          <w:sz w:val="24"/>
        </w:rPr>
        <w:t>对数据用户进行用户名、密码验证，并控制用户登录权限。</w:t>
      </w:r>
    </w:p>
    <w:p>
      <w:pPr>
        <w:snapToGrid w:val="0"/>
        <w:spacing w:line="360" w:lineRule="auto"/>
        <w:ind w:firstLine="480"/>
        <w:rPr>
          <w:rStyle w:val="80"/>
          <w:rFonts w:hint="default"/>
          <w:sz w:val="24"/>
        </w:rPr>
      </w:pPr>
      <w:r>
        <w:rPr>
          <w:rStyle w:val="80"/>
          <w:rFonts w:hint="default"/>
          <w:sz w:val="24"/>
        </w:rPr>
        <w:t>13）用户并发权限控制</w:t>
      </w:r>
    </w:p>
    <w:p>
      <w:pPr>
        <w:snapToGrid w:val="0"/>
        <w:spacing w:line="360" w:lineRule="auto"/>
        <w:ind w:firstLine="480"/>
        <w:rPr>
          <w:rStyle w:val="80"/>
          <w:rFonts w:hint="default"/>
          <w:sz w:val="24"/>
        </w:rPr>
      </w:pPr>
      <w:r>
        <w:rPr>
          <w:rStyle w:val="80"/>
          <w:rFonts w:hint="default"/>
          <w:sz w:val="24"/>
        </w:rPr>
        <w:t>对登录系统的数据用户设置最大并发连接数量，同一个账户允许在不同中断同时登录系统，超过限定的最大并发连接数量时，新的登录行为会被拒绝。</w:t>
      </w:r>
    </w:p>
    <w:p>
      <w:pPr>
        <w:snapToGrid w:val="0"/>
        <w:spacing w:line="360" w:lineRule="auto"/>
        <w:ind w:firstLine="480"/>
        <w:rPr>
          <w:rStyle w:val="80"/>
          <w:rFonts w:hint="default"/>
          <w:sz w:val="24"/>
        </w:rPr>
      </w:pPr>
      <w:r>
        <w:rPr>
          <w:rStyle w:val="80"/>
          <w:rFonts w:hint="default"/>
          <w:sz w:val="24"/>
        </w:rPr>
        <w:t>14）目标服务器连接控制</w:t>
      </w:r>
    </w:p>
    <w:p>
      <w:pPr>
        <w:snapToGrid w:val="0"/>
        <w:spacing w:line="360" w:lineRule="auto"/>
        <w:ind w:firstLine="480"/>
        <w:rPr>
          <w:rStyle w:val="80"/>
          <w:rFonts w:hint="default"/>
          <w:sz w:val="24"/>
        </w:rPr>
      </w:pPr>
      <w:r>
        <w:rPr>
          <w:rStyle w:val="80"/>
          <w:rFonts w:hint="default"/>
          <w:sz w:val="24"/>
        </w:rPr>
        <w:t>限制数据用户允许访问的目标服务器，允许用户访问海区级数据服务器或某个/某几个辖区级数据服务器，不在许可范围内的服务器则禁止该用户访问。</w:t>
      </w:r>
    </w:p>
    <w:p>
      <w:pPr>
        <w:snapToGrid w:val="0"/>
        <w:spacing w:line="360" w:lineRule="auto"/>
        <w:ind w:firstLine="480"/>
        <w:rPr>
          <w:rStyle w:val="80"/>
          <w:rFonts w:hint="default"/>
          <w:sz w:val="24"/>
        </w:rPr>
      </w:pPr>
      <w:r>
        <w:rPr>
          <w:rStyle w:val="80"/>
          <w:rFonts w:hint="default"/>
          <w:sz w:val="24"/>
        </w:rPr>
        <w:t>15）连接接口类型控制</w:t>
      </w:r>
    </w:p>
    <w:p>
      <w:pPr>
        <w:snapToGrid w:val="0"/>
        <w:spacing w:line="360" w:lineRule="auto"/>
        <w:ind w:firstLine="480"/>
        <w:rPr>
          <w:rStyle w:val="80"/>
          <w:rFonts w:hint="default"/>
          <w:sz w:val="24"/>
        </w:rPr>
      </w:pPr>
      <w:r>
        <w:rPr>
          <w:rStyle w:val="80"/>
          <w:rFonts w:hint="default"/>
          <w:sz w:val="24"/>
        </w:rPr>
        <w:t>用户可以使用的数据接口，系统可以为每个用户设置允许访问的连接接口类型，用户只能从允许的接口类型连接并访问数据，禁止的接口类型拒绝访问。</w:t>
      </w:r>
    </w:p>
    <w:p>
      <w:pPr>
        <w:snapToGrid w:val="0"/>
        <w:spacing w:line="360" w:lineRule="auto"/>
        <w:ind w:firstLine="480"/>
        <w:rPr>
          <w:rStyle w:val="80"/>
          <w:rFonts w:hint="default"/>
          <w:sz w:val="24"/>
        </w:rPr>
      </w:pPr>
      <w:r>
        <w:rPr>
          <w:rStyle w:val="80"/>
          <w:rFonts w:hint="default"/>
          <w:sz w:val="24"/>
        </w:rPr>
        <w:t>16）用户虚拟MMSI管理</w:t>
      </w:r>
    </w:p>
    <w:p>
      <w:pPr>
        <w:snapToGrid w:val="0"/>
        <w:spacing w:line="360" w:lineRule="auto"/>
        <w:ind w:firstLine="480"/>
        <w:rPr>
          <w:rStyle w:val="80"/>
          <w:rFonts w:hint="default"/>
          <w:sz w:val="24"/>
        </w:rPr>
      </w:pPr>
      <w:r>
        <w:rPr>
          <w:rStyle w:val="80"/>
          <w:rFonts w:hint="default"/>
          <w:sz w:val="24"/>
        </w:rPr>
        <w:t>为每个数据用户分配一个虚拟MMSI，用户向物理船台发送消息时，船台显示的消息发送源为该用户的虚拟MMSI，而不是基站的MMSI。</w:t>
      </w:r>
    </w:p>
    <w:p>
      <w:pPr>
        <w:snapToGrid w:val="0"/>
        <w:spacing w:line="360" w:lineRule="auto"/>
        <w:ind w:firstLine="480"/>
        <w:rPr>
          <w:rStyle w:val="80"/>
          <w:rFonts w:hint="default"/>
          <w:sz w:val="24"/>
        </w:rPr>
      </w:pPr>
      <w:r>
        <w:rPr>
          <w:rStyle w:val="80"/>
          <w:rFonts w:hint="default"/>
          <w:sz w:val="24"/>
        </w:rPr>
        <w:t>17）数据来源适配</w:t>
      </w:r>
    </w:p>
    <w:p>
      <w:pPr>
        <w:snapToGrid w:val="0"/>
        <w:spacing w:line="360" w:lineRule="auto"/>
        <w:ind w:firstLine="480"/>
        <w:rPr>
          <w:rStyle w:val="80"/>
          <w:rFonts w:hint="default"/>
          <w:sz w:val="24"/>
        </w:rPr>
      </w:pPr>
      <w:r>
        <w:rPr>
          <w:rStyle w:val="80"/>
          <w:rFonts w:hint="default"/>
          <w:sz w:val="24"/>
        </w:rPr>
        <w:t>为数据用户推送数据时，可以设置每个用户的数据来源，只为用户推送指定来源的数据。</w:t>
      </w:r>
    </w:p>
    <w:p>
      <w:pPr>
        <w:snapToGrid w:val="0"/>
        <w:spacing w:line="360" w:lineRule="auto"/>
        <w:ind w:firstLine="480"/>
        <w:rPr>
          <w:rStyle w:val="80"/>
          <w:rFonts w:hint="default"/>
          <w:sz w:val="24"/>
        </w:rPr>
      </w:pPr>
      <w:r>
        <w:rPr>
          <w:rStyle w:val="80"/>
          <w:rFonts w:hint="default"/>
          <w:sz w:val="24"/>
        </w:rPr>
        <w:t>18）目标类型适配</w:t>
      </w:r>
    </w:p>
    <w:p>
      <w:pPr>
        <w:snapToGrid w:val="0"/>
        <w:spacing w:line="360" w:lineRule="auto"/>
        <w:ind w:firstLine="480"/>
        <w:rPr>
          <w:rStyle w:val="80"/>
          <w:rFonts w:hint="default"/>
          <w:sz w:val="24"/>
        </w:rPr>
      </w:pPr>
      <w:r>
        <w:rPr>
          <w:rStyle w:val="80"/>
          <w:rFonts w:hint="default"/>
          <w:sz w:val="24"/>
        </w:rPr>
        <w:t>可以设置每个数据用户允许接收的目标类型，只为用户推送指定目标类型的数据。</w:t>
      </w:r>
    </w:p>
    <w:p>
      <w:pPr>
        <w:snapToGrid w:val="0"/>
        <w:spacing w:line="360" w:lineRule="auto"/>
        <w:ind w:firstLine="480"/>
        <w:rPr>
          <w:rStyle w:val="80"/>
          <w:rFonts w:hint="default"/>
          <w:sz w:val="24"/>
        </w:rPr>
      </w:pPr>
      <w:r>
        <w:rPr>
          <w:rStyle w:val="80"/>
          <w:rFonts w:hint="default"/>
          <w:sz w:val="24"/>
        </w:rPr>
        <w:t>19）报文类型适配</w:t>
      </w:r>
    </w:p>
    <w:p>
      <w:pPr>
        <w:snapToGrid w:val="0"/>
        <w:spacing w:line="360" w:lineRule="auto"/>
        <w:ind w:firstLine="480"/>
        <w:rPr>
          <w:rStyle w:val="80"/>
          <w:rFonts w:hint="default"/>
          <w:sz w:val="24"/>
        </w:rPr>
      </w:pPr>
      <w:r>
        <w:rPr>
          <w:rStyle w:val="80"/>
          <w:rFonts w:hint="default"/>
          <w:sz w:val="24"/>
        </w:rPr>
        <w:t>可以设置每个数据用户允许接收的报文类型，只为用户推送指定报文类型的数据。</w:t>
      </w:r>
    </w:p>
    <w:p>
      <w:pPr>
        <w:snapToGrid w:val="0"/>
        <w:spacing w:line="360" w:lineRule="auto"/>
        <w:ind w:firstLine="480"/>
        <w:rPr>
          <w:rStyle w:val="80"/>
          <w:rFonts w:hint="default"/>
          <w:sz w:val="24"/>
        </w:rPr>
      </w:pPr>
      <w:r>
        <w:rPr>
          <w:rStyle w:val="80"/>
          <w:rFonts w:hint="default"/>
          <w:sz w:val="24"/>
        </w:rPr>
        <w:t>20）清洗状态适配</w:t>
      </w:r>
    </w:p>
    <w:p>
      <w:pPr>
        <w:snapToGrid w:val="0"/>
        <w:spacing w:line="360" w:lineRule="auto"/>
        <w:ind w:firstLine="480"/>
        <w:rPr>
          <w:rStyle w:val="80"/>
          <w:rFonts w:hint="default"/>
          <w:sz w:val="24"/>
        </w:rPr>
      </w:pPr>
      <w:r>
        <w:rPr>
          <w:rStyle w:val="80"/>
          <w:rFonts w:hint="default"/>
          <w:sz w:val="24"/>
        </w:rPr>
        <w:t>可以设置每个数据用户允许接收的清洗状态报文，为用户推送数据清洗前或数据清洗后的报文。</w:t>
      </w:r>
    </w:p>
    <w:p>
      <w:pPr>
        <w:snapToGrid w:val="0"/>
        <w:spacing w:line="360" w:lineRule="auto"/>
        <w:ind w:left="480"/>
        <w:rPr>
          <w:rStyle w:val="80"/>
          <w:rFonts w:hint="default"/>
          <w:sz w:val="24"/>
        </w:rPr>
      </w:pPr>
      <w:r>
        <w:rPr>
          <w:rStyle w:val="80"/>
          <w:rFonts w:hint="default"/>
          <w:sz w:val="24"/>
        </w:rPr>
        <w:t>21）数据范围适配</w:t>
      </w:r>
    </w:p>
    <w:p>
      <w:pPr>
        <w:snapToGrid w:val="0"/>
        <w:spacing w:line="360" w:lineRule="auto"/>
        <w:ind w:firstLine="480"/>
        <w:rPr>
          <w:rStyle w:val="80"/>
          <w:rFonts w:hint="default"/>
          <w:sz w:val="24"/>
        </w:rPr>
      </w:pPr>
      <w:r>
        <w:rPr>
          <w:rStyle w:val="80"/>
          <w:rFonts w:hint="default"/>
          <w:sz w:val="24"/>
        </w:rPr>
        <w:t>可以设置每个数据用户允许接收的数据地理区域范围，只为用户推送指定区域范围内的数据。</w:t>
      </w:r>
    </w:p>
    <w:p>
      <w:pPr>
        <w:snapToGrid w:val="0"/>
        <w:spacing w:line="360" w:lineRule="auto"/>
        <w:ind w:firstLine="480"/>
        <w:rPr>
          <w:rStyle w:val="80"/>
          <w:rFonts w:hint="default"/>
          <w:sz w:val="24"/>
        </w:rPr>
      </w:pPr>
      <w:r>
        <w:rPr>
          <w:rStyle w:val="80"/>
          <w:rFonts w:hint="default"/>
          <w:sz w:val="24"/>
        </w:rPr>
        <w:t>22）数据字段适配</w:t>
      </w:r>
    </w:p>
    <w:p>
      <w:pPr>
        <w:snapToGrid w:val="0"/>
        <w:spacing w:line="360" w:lineRule="auto"/>
        <w:ind w:firstLine="480"/>
        <w:rPr>
          <w:rStyle w:val="80"/>
          <w:rFonts w:hint="default"/>
          <w:b/>
          <w:bCs/>
          <w:sz w:val="24"/>
        </w:rPr>
      </w:pPr>
      <w:r>
        <w:rPr>
          <w:rStyle w:val="80"/>
          <w:rFonts w:hint="default"/>
          <w:sz w:val="24"/>
        </w:rPr>
        <w:t>可以设置每个数据用户允许接收的数据字段条件。</w:t>
      </w:r>
    </w:p>
    <w:bookmarkEnd w:id="87"/>
    <w:p>
      <w:pPr>
        <w:pStyle w:val="6"/>
        <w:numPr>
          <w:ilvl w:val="3"/>
          <w:numId w:val="0"/>
        </w:numPr>
        <w:tabs>
          <w:tab w:val="clear" w:pos="567"/>
        </w:tabs>
      </w:pPr>
      <w:r>
        <w:rPr>
          <w:rFonts w:hint="eastAsia"/>
          <w:sz w:val="28"/>
        </w:rPr>
        <w:t>3.3.2.2</w:t>
      </w:r>
      <w:r>
        <w:rPr>
          <w:rFonts w:hint="eastAsia"/>
        </w:rPr>
        <w:t>核心网管理服务子系统</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系统功能：</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（1）业务数据接口服务</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1）SAAB系统数据输入接口</w:t>
      </w:r>
    </w:p>
    <w:p>
      <w:pPr>
        <w:snapToGrid w:val="0"/>
        <w:spacing w:line="360" w:lineRule="auto"/>
        <w:ind w:firstLine="480" w:firstLineChars="200"/>
        <w:rPr>
          <w:rStyle w:val="80"/>
          <w:rFonts w:hint="default"/>
          <w:sz w:val="24"/>
          <w:lang w:bidi="ar"/>
        </w:rPr>
      </w:pPr>
      <w:r>
        <w:rPr>
          <w:rStyle w:val="80"/>
          <w:rFonts w:hint="default"/>
          <w:sz w:val="24"/>
          <w:lang w:bidi="ar"/>
        </w:rPr>
        <w:t>核心网系统需要支持SAAB系统数据的输入，支持把SAAB系统的数据汇入本系统中。</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2）外部数据源数据输出接口</w:t>
      </w:r>
    </w:p>
    <w:p>
      <w:pPr>
        <w:snapToGrid w:val="0"/>
        <w:spacing w:line="360" w:lineRule="auto"/>
        <w:ind w:firstLine="480" w:firstLineChars="200"/>
        <w:rPr>
          <w:rStyle w:val="80"/>
          <w:rFonts w:hint="default"/>
          <w:sz w:val="24"/>
          <w:lang w:bidi="ar"/>
        </w:rPr>
      </w:pPr>
      <w:r>
        <w:rPr>
          <w:rStyle w:val="80"/>
          <w:rFonts w:hint="default"/>
          <w:sz w:val="24"/>
          <w:lang w:bidi="ar"/>
        </w:rPr>
        <w:t>系统支持把内部数据作为其他系统的外部数据源输出，汇入其他系统中。</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3）基于基站ID的数据源过滤</w:t>
      </w:r>
    </w:p>
    <w:p>
      <w:pPr>
        <w:snapToGrid w:val="0"/>
        <w:spacing w:line="360" w:lineRule="auto"/>
        <w:ind w:firstLine="480" w:firstLineChars="200"/>
        <w:rPr>
          <w:rStyle w:val="80"/>
          <w:rFonts w:hint="default"/>
          <w:sz w:val="24"/>
          <w:lang w:bidi="ar"/>
        </w:rPr>
      </w:pPr>
      <w:r>
        <w:rPr>
          <w:rStyle w:val="80"/>
          <w:rFonts w:hint="default"/>
          <w:sz w:val="24"/>
          <w:lang w:bidi="ar"/>
        </w:rPr>
        <w:t>支持为数据用户提供数据服务时，可以根据基站ID进行过滤。</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4）报文格式适配</w:t>
      </w:r>
    </w:p>
    <w:p>
      <w:pPr>
        <w:snapToGrid w:val="0"/>
        <w:spacing w:line="360" w:lineRule="auto"/>
        <w:ind w:firstLine="480" w:firstLineChars="200"/>
        <w:rPr>
          <w:rStyle w:val="80"/>
          <w:rFonts w:hint="default"/>
          <w:sz w:val="24"/>
          <w:lang w:bidi="ar"/>
        </w:rPr>
      </w:pPr>
      <w:r>
        <w:rPr>
          <w:rStyle w:val="80"/>
          <w:rFonts w:hint="default"/>
          <w:sz w:val="24"/>
          <w:lang w:bidi="ar"/>
        </w:rPr>
        <w:t>系统支持适配各种格式的基站数据，也支持为用户提供不同格式的数据。</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5）报文区域适配</w:t>
      </w:r>
    </w:p>
    <w:p>
      <w:pPr>
        <w:snapToGrid w:val="0"/>
        <w:spacing w:line="360" w:lineRule="auto"/>
        <w:ind w:firstLine="480" w:firstLineChars="200"/>
        <w:rPr>
          <w:rStyle w:val="80"/>
          <w:rFonts w:hint="default"/>
          <w:sz w:val="24"/>
          <w:lang w:bidi="ar"/>
        </w:rPr>
      </w:pPr>
      <w:r>
        <w:rPr>
          <w:rStyle w:val="80"/>
          <w:rFonts w:hint="default"/>
          <w:sz w:val="24"/>
          <w:lang w:bidi="ar"/>
        </w:rPr>
        <w:t>在数据采集环节，支持数据按照地理位置区域进行分区管理和适配，对其他子系统提供指定区域的数据。</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6）接口流量统计</w:t>
      </w:r>
    </w:p>
    <w:p>
      <w:pPr>
        <w:snapToGrid w:val="0"/>
        <w:spacing w:line="360" w:lineRule="auto"/>
        <w:ind w:firstLine="480" w:firstLineChars="200"/>
        <w:rPr>
          <w:rStyle w:val="80"/>
          <w:rFonts w:hint="default"/>
          <w:sz w:val="24"/>
          <w:lang w:bidi="ar"/>
        </w:rPr>
      </w:pPr>
      <w:r>
        <w:rPr>
          <w:rStyle w:val="80"/>
          <w:rFonts w:hint="default"/>
          <w:sz w:val="24"/>
          <w:lang w:bidi="ar"/>
        </w:rPr>
        <w:t>在各个子系统间进行流量统计，统计AIS数据节点之间流转的上行、下行的流量。</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7）连接状态监测</w:t>
      </w:r>
    </w:p>
    <w:p>
      <w:pPr>
        <w:snapToGrid w:val="0"/>
        <w:spacing w:line="360" w:lineRule="auto"/>
        <w:ind w:firstLine="480" w:firstLineChars="200"/>
        <w:rPr>
          <w:rStyle w:val="80"/>
          <w:rFonts w:hint="default"/>
          <w:sz w:val="24"/>
          <w:lang w:bidi="ar"/>
        </w:rPr>
      </w:pPr>
      <w:r>
        <w:rPr>
          <w:rStyle w:val="80"/>
          <w:rFonts w:hint="default"/>
          <w:sz w:val="24"/>
          <w:lang w:bidi="ar"/>
        </w:rPr>
        <w:t>监测系统内部各个节点之间的连接状态，监测数据流，出现异常情况时及时记录事件、发出告警并通知管理员。</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（2）驱动数据接口服务</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1）国产基站数据驱动</w:t>
      </w:r>
    </w:p>
    <w:p>
      <w:pPr>
        <w:snapToGrid w:val="0"/>
        <w:spacing w:line="360" w:lineRule="auto"/>
        <w:ind w:firstLine="480" w:firstLineChars="200"/>
        <w:rPr>
          <w:rStyle w:val="80"/>
          <w:rFonts w:hint="default"/>
          <w:sz w:val="24"/>
          <w:lang w:bidi="ar"/>
        </w:rPr>
      </w:pPr>
      <w:r>
        <w:rPr>
          <w:rStyle w:val="80"/>
          <w:rFonts w:hint="default"/>
          <w:sz w:val="24"/>
          <w:lang w:bidi="ar"/>
        </w:rPr>
        <w:t>兼容所有国产基站的数据格式，实现国产基站顺利并网，完整无误地采集国产基站数据。对于具备相应功能的基站，还可实现数据的双向传输。</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2）SAAB基站数据驱动</w:t>
      </w:r>
    </w:p>
    <w:p>
      <w:pPr>
        <w:snapToGrid w:val="0"/>
        <w:spacing w:line="360" w:lineRule="auto"/>
        <w:ind w:firstLine="480" w:firstLineChars="200"/>
        <w:rPr>
          <w:rStyle w:val="80"/>
          <w:rFonts w:hint="default"/>
          <w:sz w:val="24"/>
          <w:lang w:bidi="ar"/>
        </w:rPr>
      </w:pPr>
      <w:r>
        <w:rPr>
          <w:rStyle w:val="80"/>
          <w:rFonts w:hint="default"/>
          <w:sz w:val="24"/>
          <w:lang w:bidi="ar"/>
        </w:rPr>
        <w:t>兼容SAAB基站数据格式，实现SAAB基站与国产基站同时并网，正确采集SAAB基站数据，实现数双向传输。</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3）核心网网元数据流配置</w:t>
      </w:r>
    </w:p>
    <w:p>
      <w:pPr>
        <w:snapToGrid w:val="0"/>
        <w:spacing w:line="360" w:lineRule="auto"/>
        <w:ind w:firstLine="480" w:firstLineChars="200"/>
        <w:rPr>
          <w:rStyle w:val="80"/>
          <w:rFonts w:hint="default"/>
          <w:sz w:val="24"/>
          <w:lang w:bidi="ar"/>
        </w:rPr>
      </w:pPr>
      <w:r>
        <w:rPr>
          <w:rStyle w:val="80"/>
          <w:rFonts w:hint="default"/>
          <w:sz w:val="24"/>
          <w:lang w:bidi="ar"/>
        </w:rPr>
        <w:t>对核心网各个节点服务器、各个模块之间的数据流进行配置管理，完成一个整体的数据系统功能。</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4）通用基站数据驱动</w:t>
      </w:r>
    </w:p>
    <w:p>
      <w:pPr>
        <w:snapToGrid w:val="0"/>
        <w:spacing w:line="360" w:lineRule="auto"/>
        <w:ind w:firstLine="480" w:firstLineChars="200"/>
        <w:rPr>
          <w:rStyle w:val="80"/>
          <w:rFonts w:hint="default"/>
          <w:sz w:val="24"/>
          <w:lang w:bidi="ar"/>
        </w:rPr>
      </w:pPr>
      <w:r>
        <w:rPr>
          <w:rStyle w:val="80"/>
          <w:rFonts w:hint="default"/>
          <w:sz w:val="24"/>
          <w:lang w:bidi="ar"/>
        </w:rPr>
        <w:t>支持多品牌基站差异化适配，兼容各种格式的数据。</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5）转发站数据驱动</w:t>
      </w:r>
    </w:p>
    <w:p>
      <w:pPr>
        <w:snapToGrid w:val="0"/>
        <w:spacing w:line="360" w:lineRule="auto"/>
        <w:ind w:firstLine="480" w:firstLineChars="200"/>
        <w:rPr>
          <w:rStyle w:val="80"/>
          <w:rFonts w:hint="default"/>
          <w:sz w:val="24"/>
          <w:lang w:bidi="ar"/>
        </w:rPr>
      </w:pPr>
      <w:r>
        <w:rPr>
          <w:rStyle w:val="80"/>
          <w:rFonts w:hint="default"/>
          <w:sz w:val="24"/>
          <w:lang w:bidi="ar"/>
        </w:rPr>
        <w:t>支持转发站的数据驱动功能，实现对转发站数据的采集、传输等管理功能</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6）进口基站控制协议适配</w:t>
      </w:r>
    </w:p>
    <w:p>
      <w:pPr>
        <w:snapToGrid w:val="0"/>
        <w:spacing w:line="360" w:lineRule="auto"/>
        <w:ind w:firstLine="480" w:firstLineChars="200"/>
        <w:rPr>
          <w:rStyle w:val="80"/>
          <w:rFonts w:hint="default"/>
          <w:sz w:val="24"/>
          <w:lang w:bidi="ar"/>
        </w:rPr>
      </w:pPr>
      <w:r>
        <w:rPr>
          <w:rStyle w:val="80"/>
          <w:rFonts w:hint="default"/>
          <w:sz w:val="24"/>
          <w:lang w:bidi="ar"/>
        </w:rPr>
        <w:t>支持对进口基站进行控制协议适配，实现对进口基站的管理控制。</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7）国产基站控制协议适配</w:t>
      </w:r>
    </w:p>
    <w:p>
      <w:pPr>
        <w:snapToGrid w:val="0"/>
        <w:spacing w:line="360" w:lineRule="auto"/>
        <w:ind w:firstLine="480" w:firstLineChars="200"/>
        <w:rPr>
          <w:rStyle w:val="80"/>
          <w:rFonts w:hint="default"/>
          <w:sz w:val="24"/>
          <w:lang w:bidi="ar"/>
        </w:rPr>
      </w:pPr>
      <w:r>
        <w:rPr>
          <w:rStyle w:val="80"/>
          <w:rFonts w:hint="default"/>
          <w:sz w:val="24"/>
          <w:lang w:bidi="ar"/>
        </w:rPr>
        <w:t>支持对国产基站进行控制协议适配，实现对国产基站的管理控制。</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8）基站AIS航标配置</w:t>
      </w:r>
    </w:p>
    <w:p>
      <w:pPr>
        <w:snapToGrid w:val="0"/>
        <w:spacing w:line="360" w:lineRule="auto"/>
        <w:ind w:firstLine="480" w:firstLineChars="200"/>
        <w:rPr>
          <w:rStyle w:val="80"/>
          <w:rFonts w:hint="default"/>
          <w:sz w:val="24"/>
        </w:rPr>
      </w:pPr>
      <w:r>
        <w:rPr>
          <w:rStyle w:val="80"/>
          <w:rFonts w:hint="default"/>
          <w:sz w:val="24"/>
        </w:rPr>
        <w:t>适配各个品牌型号的AIS/ASM基站对AIS航标的配置协议，实现在基站上配置和管理AIS航标，使用基站播发AIS航标。</w:t>
      </w:r>
    </w:p>
    <w:p>
      <w:pPr>
        <w:snapToGrid w:val="0"/>
        <w:spacing w:line="360" w:lineRule="auto"/>
        <w:ind w:firstLine="480" w:firstLineChars="200"/>
        <w:rPr>
          <w:rStyle w:val="80"/>
          <w:rFonts w:hint="default"/>
          <w:sz w:val="24"/>
        </w:rPr>
      </w:pPr>
      <w:r>
        <w:rPr>
          <w:rStyle w:val="80"/>
          <w:rFonts w:hint="default"/>
          <w:sz w:val="24"/>
        </w:rPr>
        <w:t>（3）</w:t>
      </w:r>
      <w:r>
        <w:rPr>
          <w:rStyle w:val="80"/>
          <w:rFonts w:hint="default"/>
          <w:sz w:val="24"/>
          <w:lang w:bidi="ar"/>
        </w:rPr>
        <w:t>语句生成服务</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1）基站语句生成服务</w:t>
      </w:r>
    </w:p>
    <w:p>
      <w:pPr>
        <w:snapToGrid w:val="0"/>
        <w:spacing w:line="360" w:lineRule="auto"/>
        <w:ind w:firstLine="480" w:firstLineChars="200"/>
        <w:rPr>
          <w:rStyle w:val="80"/>
          <w:rFonts w:hint="default"/>
          <w:sz w:val="24"/>
          <w:lang w:bidi="ar"/>
        </w:rPr>
      </w:pPr>
      <w:r>
        <w:rPr>
          <w:rStyle w:val="80"/>
          <w:rFonts w:hint="default"/>
          <w:sz w:val="24"/>
          <w:lang w:bidi="ar"/>
        </w:rPr>
        <w:t>生成基站服务调度相关的语句，调用指定基站实现数据传输、基站业务处理等功能。</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2）核心网语句生成服务</w:t>
      </w:r>
    </w:p>
    <w:p>
      <w:pPr>
        <w:snapToGrid w:val="0"/>
        <w:spacing w:line="360" w:lineRule="auto"/>
        <w:ind w:firstLine="480" w:firstLineChars="200"/>
        <w:rPr>
          <w:rStyle w:val="80"/>
          <w:rFonts w:hint="default"/>
          <w:sz w:val="24"/>
          <w:lang w:bidi="ar"/>
        </w:rPr>
      </w:pPr>
      <w:r>
        <w:rPr>
          <w:rStyle w:val="80"/>
          <w:rFonts w:hint="default"/>
          <w:sz w:val="24"/>
          <w:lang w:bidi="ar"/>
        </w:rPr>
        <w:t>生成核心网服务调度相关的语句，调用指定节点服务器实现数据传输、核心网业务处理等功能。</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3）配置语句生成服务</w:t>
      </w:r>
    </w:p>
    <w:p>
      <w:pPr>
        <w:snapToGrid w:val="0"/>
        <w:spacing w:line="360" w:lineRule="auto"/>
        <w:ind w:firstLine="480" w:firstLineChars="200"/>
        <w:rPr>
          <w:rStyle w:val="80"/>
          <w:rFonts w:hint="default"/>
          <w:sz w:val="24"/>
          <w:lang w:bidi="ar"/>
        </w:rPr>
      </w:pPr>
      <w:r>
        <w:rPr>
          <w:rStyle w:val="80"/>
          <w:rFonts w:hint="default"/>
          <w:sz w:val="24"/>
          <w:lang w:bidi="ar"/>
        </w:rPr>
        <w:t>生成配置语句，对基站进行配置。</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4）控制语句生成服务</w:t>
      </w:r>
    </w:p>
    <w:p>
      <w:pPr>
        <w:snapToGrid w:val="0"/>
        <w:spacing w:line="360" w:lineRule="auto"/>
        <w:ind w:firstLine="480" w:firstLineChars="200"/>
        <w:rPr>
          <w:rStyle w:val="80"/>
          <w:rFonts w:hint="default"/>
          <w:sz w:val="24"/>
          <w:lang w:bidi="ar"/>
        </w:rPr>
      </w:pPr>
      <w:r>
        <w:rPr>
          <w:rStyle w:val="80"/>
          <w:rFonts w:hint="default"/>
          <w:sz w:val="24"/>
          <w:lang w:bidi="ar"/>
        </w:rPr>
        <w:t>生成控制语句，对基站进行控制。</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5）发射语句生成服务</w:t>
      </w:r>
    </w:p>
    <w:p>
      <w:pPr>
        <w:snapToGrid w:val="0"/>
        <w:spacing w:line="360" w:lineRule="auto"/>
        <w:ind w:firstLine="480" w:firstLineChars="200"/>
        <w:rPr>
          <w:rStyle w:val="80"/>
          <w:rFonts w:hint="default"/>
          <w:sz w:val="24"/>
          <w:lang w:bidi="ar"/>
        </w:rPr>
      </w:pPr>
      <w:r>
        <w:rPr>
          <w:rStyle w:val="80"/>
          <w:rFonts w:hint="default"/>
          <w:sz w:val="24"/>
          <w:lang w:bidi="ar"/>
        </w:rPr>
        <w:t>生成发射语句，命令指定基站按照指定方式发射指定的消息。</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6）安全相关语句生成服务</w:t>
      </w:r>
    </w:p>
    <w:p>
      <w:pPr>
        <w:snapToGrid w:val="0"/>
        <w:spacing w:line="360" w:lineRule="auto"/>
        <w:ind w:firstLine="480" w:firstLineChars="200"/>
        <w:rPr>
          <w:rStyle w:val="80"/>
          <w:rFonts w:hint="default"/>
          <w:sz w:val="24"/>
          <w:lang w:bidi="ar"/>
        </w:rPr>
      </w:pPr>
      <w:r>
        <w:rPr>
          <w:rStyle w:val="80"/>
          <w:rFonts w:hint="default"/>
          <w:sz w:val="24"/>
          <w:lang w:bidi="ar"/>
        </w:rPr>
        <w:t>生成安全相关语句，命令基站播发安全相关消息。</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7）二进制信息语句生成服务</w:t>
      </w:r>
    </w:p>
    <w:p>
      <w:pPr>
        <w:snapToGrid w:val="0"/>
        <w:spacing w:line="360" w:lineRule="auto"/>
        <w:ind w:firstLine="480" w:firstLineChars="200"/>
        <w:rPr>
          <w:rStyle w:val="80"/>
          <w:rFonts w:hint="default"/>
          <w:sz w:val="24"/>
          <w:lang w:bidi="ar"/>
        </w:rPr>
      </w:pPr>
      <w:r>
        <w:rPr>
          <w:rStyle w:val="80"/>
          <w:rFonts w:hint="default"/>
          <w:sz w:val="24"/>
          <w:lang w:bidi="ar"/>
        </w:rPr>
        <w:t>生成二进制信息语句，命令基站播发二进制消息。</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8）ASM语句生成服务</w:t>
      </w:r>
    </w:p>
    <w:p>
      <w:pPr>
        <w:snapToGrid w:val="0"/>
        <w:spacing w:line="360" w:lineRule="auto"/>
        <w:ind w:firstLine="480" w:firstLineChars="200"/>
        <w:rPr>
          <w:rStyle w:val="80"/>
          <w:rFonts w:hint="default"/>
          <w:sz w:val="24"/>
          <w:lang w:bidi="ar"/>
        </w:rPr>
      </w:pPr>
      <w:r>
        <w:rPr>
          <w:rStyle w:val="80"/>
          <w:rFonts w:hint="default"/>
          <w:sz w:val="24"/>
          <w:lang w:bidi="ar"/>
        </w:rPr>
        <w:t>生成ASM语句，命令基站播发ASM消息。</w:t>
      </w:r>
    </w:p>
    <w:p>
      <w:pPr>
        <w:snapToGrid w:val="0"/>
        <w:spacing w:line="360" w:lineRule="auto"/>
        <w:ind w:left="480"/>
        <w:textAlignment w:val="center"/>
        <w:rPr>
          <w:rStyle w:val="80"/>
          <w:rFonts w:hint="default"/>
          <w:sz w:val="24"/>
          <w:lang w:bidi="ar"/>
        </w:rPr>
      </w:pPr>
      <w:r>
        <w:rPr>
          <w:rStyle w:val="80"/>
          <w:rFonts w:hint="default"/>
          <w:sz w:val="24"/>
          <w:lang w:bidi="ar"/>
        </w:rPr>
        <w:t>（4）数据分析及清洗服务</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1）数据去重清洗</w:t>
      </w:r>
    </w:p>
    <w:p>
      <w:pPr>
        <w:snapToGrid w:val="0"/>
        <w:spacing w:line="360" w:lineRule="auto"/>
        <w:ind w:firstLine="480" w:firstLineChars="200"/>
        <w:rPr>
          <w:rStyle w:val="80"/>
          <w:rFonts w:hint="default"/>
          <w:sz w:val="24"/>
          <w:lang w:bidi="ar"/>
        </w:rPr>
      </w:pPr>
      <w:r>
        <w:rPr>
          <w:rStyle w:val="80"/>
          <w:rFonts w:hint="default"/>
          <w:sz w:val="24"/>
          <w:lang w:bidi="ar"/>
        </w:rPr>
        <w:t>支持重复的数据删减，错误的数据剔除。在数据出口环节，用户可以收到没有重复或错误的数据。</w:t>
      </w:r>
    </w:p>
    <w:p>
      <w:pPr>
        <w:snapToGrid w:val="0"/>
        <w:spacing w:line="360" w:lineRule="auto"/>
        <w:ind w:firstLine="480" w:firstLineChars="200"/>
        <w:rPr>
          <w:rStyle w:val="80"/>
          <w:rFonts w:hint="default"/>
          <w:sz w:val="24"/>
          <w:lang w:bidi="ar"/>
        </w:rPr>
      </w:pPr>
      <w:r>
        <w:rPr>
          <w:rStyle w:val="80"/>
          <w:rFonts w:hint="default"/>
          <w:sz w:val="24"/>
          <w:lang w:bidi="ar"/>
        </w:rPr>
        <w:t>2）CRC异常清洗</w:t>
      </w:r>
    </w:p>
    <w:p>
      <w:pPr>
        <w:snapToGrid w:val="0"/>
        <w:spacing w:line="360" w:lineRule="auto"/>
        <w:ind w:firstLine="480" w:firstLineChars="200"/>
        <w:rPr>
          <w:rStyle w:val="80"/>
          <w:rFonts w:hint="default"/>
          <w:sz w:val="24"/>
          <w:lang w:bidi="ar"/>
        </w:rPr>
      </w:pPr>
      <w:r>
        <w:rPr>
          <w:rStyle w:val="80"/>
          <w:rFonts w:hint="default"/>
          <w:sz w:val="24"/>
          <w:lang w:bidi="ar"/>
        </w:rPr>
        <w:t>计算每条数据的CRC，支持去除CRC比对异常的数据。</w:t>
      </w:r>
    </w:p>
    <w:p>
      <w:pPr>
        <w:snapToGrid w:val="0"/>
        <w:spacing w:line="360" w:lineRule="auto"/>
        <w:ind w:firstLine="480" w:firstLineChars="200"/>
        <w:rPr>
          <w:rStyle w:val="80"/>
          <w:rFonts w:hint="default"/>
          <w:sz w:val="24"/>
          <w:lang w:bidi="ar"/>
        </w:rPr>
      </w:pPr>
      <w:r>
        <w:rPr>
          <w:rStyle w:val="80"/>
          <w:rFonts w:hint="default"/>
          <w:sz w:val="24"/>
          <w:lang w:bidi="ar"/>
        </w:rPr>
        <w:t>3）核心网数据分析</w:t>
      </w:r>
    </w:p>
    <w:p>
      <w:pPr>
        <w:snapToGrid w:val="0"/>
        <w:spacing w:line="360" w:lineRule="auto"/>
        <w:ind w:firstLine="480" w:firstLineChars="200"/>
        <w:rPr>
          <w:rStyle w:val="80"/>
          <w:rFonts w:hint="default"/>
          <w:sz w:val="24"/>
          <w:lang w:bidi="ar"/>
        </w:rPr>
      </w:pPr>
      <w:r>
        <w:rPr>
          <w:rStyle w:val="80"/>
          <w:rFonts w:hint="default"/>
          <w:sz w:val="24"/>
          <w:lang w:bidi="ar"/>
        </w:rPr>
        <w:t>支持对核心网内的数据进行分析</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4）基站数据分析</w:t>
      </w:r>
    </w:p>
    <w:p>
      <w:pPr>
        <w:snapToGrid w:val="0"/>
        <w:spacing w:line="360" w:lineRule="auto"/>
        <w:ind w:left="420" w:leftChars="200"/>
        <w:rPr>
          <w:rStyle w:val="80"/>
          <w:rFonts w:hint="default"/>
          <w:sz w:val="24"/>
          <w:lang w:bidi="ar"/>
        </w:rPr>
      </w:pPr>
      <w:r>
        <w:rPr>
          <w:rStyle w:val="80"/>
          <w:rFonts w:hint="default"/>
          <w:sz w:val="24"/>
          <w:lang w:bidi="ar"/>
        </w:rPr>
        <w:t>支持对指定基站的数据进行分析。</w:t>
      </w:r>
    </w:p>
    <w:p>
      <w:pPr>
        <w:snapToGrid w:val="0"/>
        <w:spacing w:line="360" w:lineRule="auto"/>
        <w:ind w:left="420" w:leftChars="200"/>
        <w:rPr>
          <w:rStyle w:val="80"/>
          <w:rFonts w:hint="default"/>
          <w:sz w:val="24"/>
          <w:lang w:bidi="ar"/>
        </w:rPr>
      </w:pPr>
      <w:r>
        <w:rPr>
          <w:rStyle w:val="80"/>
          <w:rFonts w:hint="default"/>
          <w:sz w:val="24"/>
          <w:lang w:bidi="ar"/>
        </w:rPr>
        <w:t>5）AIS实时数据流清洗</w:t>
      </w:r>
    </w:p>
    <w:p>
      <w:pPr>
        <w:snapToGrid w:val="0"/>
        <w:spacing w:line="360" w:lineRule="auto"/>
        <w:ind w:firstLine="480" w:firstLineChars="200"/>
        <w:rPr>
          <w:rStyle w:val="80"/>
          <w:rFonts w:hint="default"/>
          <w:sz w:val="24"/>
          <w:lang w:bidi="ar"/>
        </w:rPr>
      </w:pPr>
      <w:r>
        <w:rPr>
          <w:rStyle w:val="80"/>
          <w:rFonts w:hint="default"/>
          <w:sz w:val="24"/>
          <w:lang w:bidi="ar"/>
        </w:rPr>
        <w:t>支持对AIS实时数据流进行清洗，保证实时性优先，避免较长时间的延迟。</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6）AIS历史数据流清洗</w:t>
      </w:r>
    </w:p>
    <w:p>
      <w:pPr>
        <w:snapToGrid w:val="0"/>
        <w:spacing w:line="360" w:lineRule="auto"/>
        <w:ind w:firstLine="480" w:firstLineChars="200"/>
        <w:rPr>
          <w:rStyle w:val="80"/>
          <w:rFonts w:hint="default"/>
          <w:sz w:val="24"/>
          <w:lang w:bidi="ar"/>
        </w:rPr>
      </w:pPr>
      <w:r>
        <w:rPr>
          <w:rStyle w:val="80"/>
          <w:rFonts w:hint="default"/>
          <w:sz w:val="24"/>
          <w:lang w:bidi="ar"/>
        </w:rPr>
        <w:t>支持对AIS历史数据流清洗，保证深度优先，完全筛除异常数据。</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7）报文长度异常清洗</w:t>
      </w:r>
    </w:p>
    <w:p>
      <w:pPr>
        <w:snapToGrid w:val="0"/>
        <w:spacing w:line="360" w:lineRule="auto"/>
        <w:ind w:firstLine="480" w:firstLineChars="200"/>
        <w:rPr>
          <w:rStyle w:val="80"/>
          <w:rFonts w:hint="default"/>
          <w:sz w:val="24"/>
          <w:lang w:bidi="ar"/>
        </w:rPr>
      </w:pPr>
      <w:r>
        <w:rPr>
          <w:rStyle w:val="80"/>
          <w:rFonts w:hint="default"/>
          <w:sz w:val="24"/>
          <w:lang w:bidi="ar"/>
        </w:rPr>
        <w:t>支持挑出不符合规范长度的报文。</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8）字段缺失清洗</w:t>
      </w:r>
    </w:p>
    <w:p>
      <w:pPr>
        <w:snapToGrid w:val="0"/>
        <w:spacing w:line="360" w:lineRule="auto"/>
        <w:ind w:firstLine="480" w:firstLineChars="200"/>
        <w:rPr>
          <w:rStyle w:val="80"/>
          <w:rFonts w:hint="default"/>
          <w:sz w:val="24"/>
          <w:lang w:bidi="ar"/>
        </w:rPr>
      </w:pPr>
      <w:r>
        <w:rPr>
          <w:rStyle w:val="80"/>
          <w:rFonts w:hint="default"/>
          <w:sz w:val="24"/>
          <w:lang w:bidi="ar"/>
        </w:rPr>
        <w:t>支持挑出字段缺失的报文。</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9）值域异常清洗</w:t>
      </w:r>
    </w:p>
    <w:p>
      <w:pPr>
        <w:snapToGrid w:val="0"/>
        <w:spacing w:line="360" w:lineRule="auto"/>
        <w:ind w:firstLine="480" w:firstLineChars="200"/>
        <w:rPr>
          <w:rStyle w:val="80"/>
          <w:rFonts w:hint="default"/>
          <w:sz w:val="24"/>
          <w:lang w:bidi="ar"/>
        </w:rPr>
      </w:pPr>
      <w:r>
        <w:rPr>
          <w:rStyle w:val="80"/>
          <w:rFonts w:hint="default"/>
          <w:sz w:val="24"/>
          <w:lang w:bidi="ar"/>
        </w:rPr>
        <w:t>支持挑出各项数据未在一定的有效范围内的报文。</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10）清洗流程管理</w:t>
      </w:r>
    </w:p>
    <w:p>
      <w:pPr>
        <w:snapToGrid w:val="0"/>
        <w:spacing w:line="360" w:lineRule="auto"/>
        <w:ind w:firstLine="480" w:firstLineChars="200"/>
        <w:rPr>
          <w:rStyle w:val="80"/>
          <w:rFonts w:hint="default"/>
          <w:sz w:val="24"/>
          <w:lang w:bidi="ar"/>
        </w:rPr>
      </w:pPr>
      <w:r>
        <w:rPr>
          <w:rStyle w:val="80"/>
          <w:rFonts w:hint="default"/>
          <w:sz w:val="24"/>
          <w:lang w:bidi="ar"/>
        </w:rPr>
        <w:t>支持流程管理，以符合不断增长地数据以及业务需要。</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11）未清洗报文存储</w:t>
      </w:r>
    </w:p>
    <w:p>
      <w:pPr>
        <w:snapToGrid w:val="0"/>
        <w:spacing w:line="360" w:lineRule="auto"/>
        <w:ind w:firstLine="480" w:firstLineChars="200"/>
        <w:rPr>
          <w:rStyle w:val="80"/>
          <w:rFonts w:hint="default"/>
          <w:sz w:val="24"/>
          <w:lang w:bidi="ar"/>
        </w:rPr>
      </w:pPr>
      <w:r>
        <w:rPr>
          <w:rStyle w:val="80"/>
          <w:rFonts w:hint="default"/>
          <w:sz w:val="24"/>
          <w:lang w:bidi="ar"/>
        </w:rPr>
        <w:t>支持尚未进行清洗地报文存储。。</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12）未清洗报文输出</w:t>
      </w:r>
    </w:p>
    <w:p>
      <w:pPr>
        <w:snapToGrid w:val="0"/>
        <w:spacing w:line="360" w:lineRule="auto"/>
        <w:ind w:firstLine="480" w:firstLineChars="200"/>
        <w:rPr>
          <w:rStyle w:val="80"/>
          <w:rFonts w:hint="default"/>
          <w:sz w:val="24"/>
          <w:lang w:bidi="ar"/>
        </w:rPr>
      </w:pPr>
      <w:r>
        <w:rPr>
          <w:rStyle w:val="80"/>
          <w:rFonts w:hint="default"/>
          <w:sz w:val="24"/>
          <w:lang w:bidi="ar"/>
        </w:rPr>
        <w:t>支持为特殊用户或者测试子系统提供未作清洗地原始报文。</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13）基站语句分析</w:t>
      </w:r>
    </w:p>
    <w:p>
      <w:pPr>
        <w:snapToGrid w:val="0"/>
        <w:spacing w:line="360" w:lineRule="auto"/>
        <w:ind w:firstLine="480" w:firstLineChars="200"/>
        <w:rPr>
          <w:rStyle w:val="80"/>
          <w:rFonts w:hint="default"/>
          <w:sz w:val="24"/>
          <w:lang w:bidi="ar"/>
        </w:rPr>
      </w:pPr>
      <w:r>
        <w:rPr>
          <w:rStyle w:val="80"/>
          <w:rFonts w:hint="default"/>
          <w:sz w:val="24"/>
          <w:lang w:bidi="ar"/>
        </w:rPr>
        <w:t>支持基站语句进行分析，检验基站的基本工作状况和播发状况。</w:t>
      </w:r>
    </w:p>
    <w:p>
      <w:pPr>
        <w:snapToGrid w:val="0"/>
        <w:spacing w:line="360" w:lineRule="auto"/>
        <w:ind w:left="480"/>
        <w:textAlignment w:val="center"/>
        <w:rPr>
          <w:rStyle w:val="80"/>
          <w:rFonts w:hint="default"/>
          <w:sz w:val="24"/>
          <w:lang w:bidi="ar"/>
        </w:rPr>
      </w:pPr>
      <w:r>
        <w:rPr>
          <w:rStyle w:val="80"/>
          <w:rFonts w:hint="default"/>
          <w:sz w:val="24"/>
          <w:lang w:bidi="ar"/>
        </w:rPr>
        <w:t>（4）数据流监控服务</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1）基站内部数据流监控</w:t>
      </w:r>
    </w:p>
    <w:p>
      <w:pPr>
        <w:snapToGrid w:val="0"/>
        <w:spacing w:line="360" w:lineRule="auto"/>
        <w:ind w:firstLine="480" w:firstLineChars="200"/>
        <w:rPr>
          <w:rStyle w:val="80"/>
          <w:rFonts w:hint="default"/>
          <w:sz w:val="24"/>
          <w:lang w:bidi="ar"/>
        </w:rPr>
      </w:pPr>
      <w:r>
        <w:rPr>
          <w:rStyle w:val="80"/>
          <w:rFonts w:hint="default"/>
          <w:sz w:val="24"/>
          <w:lang w:bidi="ar"/>
        </w:rPr>
        <w:t>监控基站的内部数据流，反映基站数据流的状况。</w:t>
      </w:r>
    </w:p>
    <w:p>
      <w:pPr>
        <w:snapToGrid w:val="0"/>
        <w:spacing w:line="360" w:lineRule="auto"/>
        <w:ind w:left="480"/>
        <w:textAlignment w:val="center"/>
        <w:rPr>
          <w:rStyle w:val="80"/>
          <w:rFonts w:hint="default"/>
          <w:sz w:val="24"/>
          <w:lang w:bidi="ar"/>
        </w:rPr>
      </w:pPr>
      <w:r>
        <w:rPr>
          <w:rStyle w:val="80"/>
          <w:rFonts w:hint="default"/>
          <w:sz w:val="24"/>
          <w:lang w:bidi="ar"/>
        </w:rPr>
        <w:t>2）船-岸数据流监控</w:t>
      </w:r>
    </w:p>
    <w:p>
      <w:pPr>
        <w:snapToGrid w:val="0"/>
        <w:spacing w:line="360" w:lineRule="auto"/>
        <w:ind w:firstLine="480" w:firstLineChars="200"/>
        <w:rPr>
          <w:rStyle w:val="80"/>
          <w:rFonts w:hint="default"/>
          <w:sz w:val="24"/>
          <w:lang w:bidi="ar"/>
        </w:rPr>
      </w:pPr>
      <w:r>
        <w:rPr>
          <w:rStyle w:val="80"/>
          <w:rFonts w:hint="default"/>
          <w:sz w:val="24"/>
          <w:lang w:bidi="ar"/>
        </w:rPr>
        <w:t>监控“AIS船台——AIS基站——AIS辖区中心——AIS海区中心——AIS数据用户”等一系列环节中数据流情况，保证船——岸之间的数据流正常。</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3）辖区数据流监控</w:t>
      </w:r>
    </w:p>
    <w:p>
      <w:pPr>
        <w:snapToGrid w:val="0"/>
        <w:spacing w:line="360" w:lineRule="auto"/>
        <w:ind w:firstLine="480" w:firstLineChars="200"/>
        <w:rPr>
          <w:rStyle w:val="80"/>
          <w:rFonts w:hint="default"/>
          <w:sz w:val="24"/>
          <w:lang w:bidi="ar"/>
        </w:rPr>
      </w:pPr>
      <w:r>
        <w:rPr>
          <w:rStyle w:val="80"/>
          <w:rFonts w:hint="default"/>
          <w:sz w:val="24"/>
          <w:lang w:bidi="ar"/>
        </w:rPr>
        <w:t>分别监控“AIS基站——AIS辖区中心”和“AIS辖区中心——AIS海区中心”两级数据流情况。</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4）用户数据流监控</w:t>
      </w:r>
    </w:p>
    <w:p>
      <w:pPr>
        <w:snapToGrid w:val="0"/>
        <w:spacing w:line="360" w:lineRule="auto"/>
        <w:ind w:firstLine="480" w:firstLineChars="200"/>
        <w:rPr>
          <w:rStyle w:val="80"/>
          <w:rFonts w:hint="default"/>
          <w:sz w:val="24"/>
          <w:lang w:bidi="ar"/>
        </w:rPr>
      </w:pPr>
      <w:r>
        <w:rPr>
          <w:rStyle w:val="80"/>
          <w:rFonts w:hint="default"/>
          <w:sz w:val="24"/>
          <w:lang w:bidi="ar"/>
        </w:rPr>
        <w:t>监控数据用户与系统之间双向的数据流情况。</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5）核心网间数据流监控</w:t>
      </w:r>
    </w:p>
    <w:p>
      <w:pPr>
        <w:snapToGrid w:val="0"/>
        <w:spacing w:line="360" w:lineRule="auto"/>
        <w:ind w:firstLine="480" w:firstLineChars="200"/>
        <w:rPr>
          <w:rStyle w:val="80"/>
          <w:rFonts w:hint="default"/>
          <w:sz w:val="24"/>
          <w:lang w:bidi="ar"/>
        </w:rPr>
      </w:pPr>
      <w:r>
        <w:rPr>
          <w:rStyle w:val="80"/>
          <w:rFonts w:hint="default"/>
          <w:sz w:val="24"/>
          <w:lang w:bidi="ar"/>
        </w:rPr>
        <w:t>考虑到当前架构的弊端，实现核心网间数据流的监控功能。</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6）外部数据源监控</w:t>
      </w:r>
    </w:p>
    <w:p>
      <w:pPr>
        <w:snapToGrid w:val="0"/>
        <w:spacing w:line="360" w:lineRule="auto"/>
        <w:ind w:firstLine="480" w:firstLineChars="200"/>
        <w:rPr>
          <w:rStyle w:val="80"/>
          <w:rFonts w:hint="default"/>
          <w:sz w:val="24"/>
          <w:lang w:bidi="ar"/>
        </w:rPr>
      </w:pPr>
      <w:r>
        <w:rPr>
          <w:rStyle w:val="80"/>
          <w:rFonts w:hint="default"/>
          <w:sz w:val="24"/>
          <w:lang w:bidi="ar"/>
        </w:rPr>
        <w:t>系统允许将外部数据源纳入到系统数据管理范畴中来，并提供对外部数据源的监控功能。</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7）异构系统数据源监控</w:t>
      </w:r>
    </w:p>
    <w:p>
      <w:pPr>
        <w:snapToGrid w:val="0"/>
        <w:spacing w:line="360" w:lineRule="auto"/>
        <w:ind w:firstLine="480" w:firstLineChars="200"/>
        <w:rPr>
          <w:rStyle w:val="80"/>
          <w:rFonts w:hint="default"/>
          <w:sz w:val="24"/>
          <w:lang w:bidi="ar"/>
        </w:rPr>
      </w:pPr>
      <w:r>
        <w:rPr>
          <w:rStyle w:val="80"/>
          <w:rFonts w:hint="default"/>
          <w:sz w:val="24"/>
          <w:lang w:bidi="ar"/>
        </w:rPr>
        <w:t>实现对异构系统的数据源监控，包含出入异构系统接口数据流量、传输速率、阻塞情况、连通情况等内容。</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8）AIS卫星数据源监控</w:t>
      </w:r>
    </w:p>
    <w:p>
      <w:pPr>
        <w:snapToGrid w:val="0"/>
        <w:spacing w:line="360" w:lineRule="auto"/>
        <w:ind w:firstLine="200"/>
        <w:rPr>
          <w:rStyle w:val="80"/>
          <w:rFonts w:hint="default"/>
          <w:sz w:val="24"/>
          <w:lang w:bidi="ar"/>
        </w:rPr>
      </w:pPr>
      <w:r>
        <w:rPr>
          <w:rStyle w:val="80"/>
          <w:rFonts w:hint="default"/>
          <w:sz w:val="24"/>
          <w:lang w:bidi="ar"/>
        </w:rPr>
        <w:t>具备对AIS卫星数据源的监控功能，包含出入异构系统接口数据流量、传输速率、阻塞情况、连通情况等内容。</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9）AIS实时数据流量监控</w:t>
      </w:r>
    </w:p>
    <w:p>
      <w:pPr>
        <w:snapToGrid w:val="0"/>
        <w:spacing w:line="360" w:lineRule="auto"/>
        <w:ind w:firstLine="480" w:firstLineChars="200"/>
        <w:rPr>
          <w:rStyle w:val="80"/>
          <w:rFonts w:hint="default"/>
          <w:sz w:val="24"/>
          <w:lang w:bidi="ar"/>
        </w:rPr>
      </w:pPr>
      <w:r>
        <w:rPr>
          <w:rStyle w:val="80"/>
          <w:rFonts w:hint="default"/>
          <w:sz w:val="24"/>
          <w:lang w:bidi="ar"/>
        </w:rPr>
        <w:t>实现对AIS实时数据流量的监控，包含出入系统接口双向的数据流量、传输速率、阻塞情况、连通情况等内容。</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10）AIS实时数据VDM比例监控</w:t>
      </w:r>
    </w:p>
    <w:p>
      <w:pPr>
        <w:snapToGrid w:val="0"/>
        <w:spacing w:line="360" w:lineRule="auto"/>
        <w:ind w:firstLine="480" w:firstLineChars="200"/>
        <w:rPr>
          <w:rStyle w:val="80"/>
          <w:rFonts w:hint="default"/>
          <w:sz w:val="24"/>
          <w:lang w:bidi="ar"/>
        </w:rPr>
      </w:pPr>
      <w:r>
        <w:rPr>
          <w:rStyle w:val="80"/>
          <w:rFonts w:hint="default"/>
          <w:sz w:val="24"/>
          <w:lang w:bidi="ar"/>
        </w:rPr>
        <w:t>实现对VDM比例的监控，包含接收的VDM数量总比例、信道占比、基站数据占比等。</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11）AIS基站运行报警监控</w:t>
      </w:r>
    </w:p>
    <w:p>
      <w:pPr>
        <w:snapToGrid w:val="0"/>
        <w:spacing w:line="360" w:lineRule="auto"/>
        <w:ind w:firstLine="480" w:firstLineChars="200"/>
        <w:rPr>
          <w:rStyle w:val="80"/>
          <w:rFonts w:hint="default"/>
          <w:sz w:val="24"/>
          <w:lang w:bidi="ar"/>
        </w:rPr>
      </w:pPr>
      <w:r>
        <w:rPr>
          <w:rStyle w:val="80"/>
          <w:rFonts w:hint="default"/>
          <w:sz w:val="24"/>
          <w:lang w:bidi="ar"/>
        </w:rPr>
        <w:t>对AIS基站运行报警进行监控，出现报警时记录事件日志并在监控界面上及时通知管理人员进行处理。监控内容全面、可行。</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12）辖区数据存储状态监控</w:t>
      </w:r>
    </w:p>
    <w:p>
      <w:pPr>
        <w:snapToGrid w:val="0"/>
        <w:spacing w:line="360" w:lineRule="auto"/>
        <w:ind w:firstLine="480" w:firstLineChars="200"/>
        <w:rPr>
          <w:rStyle w:val="80"/>
          <w:rFonts w:hint="default"/>
          <w:sz w:val="24"/>
          <w:lang w:bidi="ar"/>
        </w:rPr>
      </w:pPr>
      <w:r>
        <w:rPr>
          <w:rStyle w:val="80"/>
          <w:rFonts w:hint="default"/>
          <w:sz w:val="24"/>
          <w:lang w:bidi="ar"/>
        </w:rPr>
        <w:t>对辖区数据中心的存储状态进行监控，例如数据存储系统健康状态、总的存储空间等监控要素全面、有效、可行。</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13）海区数据存储状态监控</w:t>
      </w:r>
    </w:p>
    <w:p>
      <w:pPr>
        <w:snapToGrid w:val="0"/>
        <w:spacing w:line="360" w:lineRule="auto"/>
        <w:ind w:firstLine="480" w:firstLineChars="200"/>
        <w:rPr>
          <w:rStyle w:val="80"/>
          <w:rFonts w:hint="default"/>
          <w:sz w:val="24"/>
          <w:lang w:bidi="ar"/>
        </w:rPr>
      </w:pPr>
      <w:r>
        <w:rPr>
          <w:rStyle w:val="80"/>
          <w:rFonts w:hint="default"/>
          <w:sz w:val="24"/>
          <w:lang w:bidi="ar"/>
        </w:rPr>
        <w:t>对海区数据中心的存储状态进行监控，如数据存储系统健康状态、总的存储空间、当前数据总量等，监控要素全面、有效、可行。</w:t>
      </w:r>
    </w:p>
    <w:p>
      <w:pPr>
        <w:snapToGrid w:val="0"/>
        <w:spacing w:line="360" w:lineRule="auto"/>
        <w:ind w:left="480"/>
        <w:textAlignment w:val="center"/>
        <w:rPr>
          <w:rStyle w:val="80"/>
          <w:rFonts w:hint="default"/>
          <w:sz w:val="24"/>
          <w:lang w:bidi="ar"/>
        </w:rPr>
      </w:pPr>
      <w:r>
        <w:rPr>
          <w:rStyle w:val="80"/>
          <w:rFonts w:hint="default"/>
          <w:sz w:val="24"/>
          <w:lang w:bidi="ar"/>
        </w:rPr>
        <w:t>（6）QoS控制服务</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1）数据QoS标识服务</w:t>
      </w:r>
    </w:p>
    <w:p>
      <w:pPr>
        <w:snapToGrid w:val="0"/>
        <w:spacing w:line="360" w:lineRule="auto"/>
        <w:ind w:firstLine="480" w:firstLineChars="200"/>
        <w:rPr>
          <w:rStyle w:val="80"/>
          <w:rFonts w:hint="default"/>
          <w:sz w:val="24"/>
          <w:lang w:bidi="ar"/>
        </w:rPr>
      </w:pPr>
      <w:r>
        <w:rPr>
          <w:rStyle w:val="80"/>
          <w:rFonts w:hint="default"/>
          <w:sz w:val="24"/>
          <w:lang w:bidi="ar"/>
        </w:rPr>
        <w:t>对数据进行QoS标识，为数据做好控制标签，提供对应的QoS控制服务。</w:t>
      </w:r>
    </w:p>
    <w:p>
      <w:pPr>
        <w:snapToGrid w:val="0"/>
        <w:spacing w:line="360" w:lineRule="auto"/>
        <w:ind w:left="480"/>
        <w:textAlignment w:val="center"/>
        <w:rPr>
          <w:rStyle w:val="80"/>
          <w:rFonts w:hint="default"/>
          <w:sz w:val="24"/>
          <w:lang w:bidi="ar"/>
        </w:rPr>
      </w:pPr>
      <w:r>
        <w:rPr>
          <w:rStyle w:val="80"/>
          <w:rFonts w:hint="default"/>
          <w:sz w:val="24"/>
          <w:lang w:bidi="ar"/>
        </w:rPr>
        <w:t>2）报文端端成功率监测</w:t>
      </w:r>
    </w:p>
    <w:p>
      <w:pPr>
        <w:snapToGrid w:val="0"/>
        <w:spacing w:line="360" w:lineRule="auto"/>
        <w:ind w:firstLine="480" w:firstLineChars="200"/>
        <w:rPr>
          <w:rStyle w:val="80"/>
          <w:rFonts w:hint="default"/>
          <w:sz w:val="24"/>
          <w:lang w:bidi="ar"/>
        </w:rPr>
      </w:pPr>
      <w:r>
        <w:rPr>
          <w:rStyle w:val="80"/>
          <w:rFonts w:hint="default"/>
          <w:sz w:val="24"/>
          <w:lang w:bidi="ar"/>
        </w:rPr>
        <w:t>检测报文在系统模块到基站两个端点间传送的状态，可统计报文传送的成功率、重传次数、延迟等数据。</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3）数据重发服务</w:t>
      </w:r>
    </w:p>
    <w:p>
      <w:pPr>
        <w:snapToGrid w:val="0"/>
        <w:spacing w:line="360" w:lineRule="auto"/>
        <w:ind w:firstLine="480" w:firstLineChars="200"/>
        <w:rPr>
          <w:rStyle w:val="80"/>
          <w:rFonts w:hint="default"/>
          <w:sz w:val="24"/>
          <w:lang w:bidi="ar"/>
        </w:rPr>
      </w:pPr>
      <w:r>
        <w:rPr>
          <w:rStyle w:val="80"/>
          <w:rFonts w:hint="default"/>
          <w:sz w:val="24"/>
          <w:lang w:bidi="ar"/>
        </w:rPr>
        <w:t>提供数据缓存和重传机制，对方没有收到数据时，己方按要求重新传送，直到对方收妥为止。</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4）报文优先级控制</w:t>
      </w:r>
    </w:p>
    <w:p>
      <w:pPr>
        <w:snapToGrid w:val="0"/>
        <w:spacing w:line="360" w:lineRule="auto"/>
        <w:ind w:firstLine="480" w:firstLineChars="200"/>
        <w:rPr>
          <w:rStyle w:val="80"/>
          <w:rFonts w:hint="default"/>
          <w:sz w:val="24"/>
          <w:lang w:bidi="ar"/>
        </w:rPr>
      </w:pPr>
      <w:r>
        <w:rPr>
          <w:rStyle w:val="80"/>
          <w:rFonts w:hint="default"/>
          <w:sz w:val="24"/>
          <w:lang w:bidi="ar"/>
        </w:rPr>
        <w:t>保证高实时、高优先的数据以较低延时的方式传输，而低优先的数据传输在出现拥堵时耗时会相应延长，但不影响系统核心组件的正常运行。</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5）传输抖动控制</w:t>
      </w:r>
    </w:p>
    <w:p>
      <w:pPr>
        <w:snapToGrid w:val="0"/>
        <w:spacing w:line="360" w:lineRule="auto"/>
        <w:ind w:firstLine="480" w:firstLineChars="200"/>
        <w:rPr>
          <w:rStyle w:val="80"/>
          <w:rFonts w:hint="default"/>
          <w:sz w:val="24"/>
          <w:lang w:bidi="ar"/>
        </w:rPr>
      </w:pPr>
      <w:r>
        <w:rPr>
          <w:rStyle w:val="80"/>
          <w:rFonts w:hint="default"/>
          <w:sz w:val="24"/>
          <w:lang w:bidi="ar"/>
        </w:rPr>
        <w:t>具备传输抖动控制功能，实现削峰填谷，避免数据高峰到来时出现异常现象。</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6）传输延迟控制</w:t>
      </w:r>
    </w:p>
    <w:p>
      <w:pPr>
        <w:snapToGrid w:val="0"/>
        <w:spacing w:line="360" w:lineRule="auto"/>
        <w:ind w:firstLine="480" w:firstLineChars="200"/>
        <w:rPr>
          <w:rStyle w:val="80"/>
          <w:rFonts w:hint="default"/>
          <w:sz w:val="24"/>
          <w:lang w:bidi="ar"/>
        </w:rPr>
      </w:pPr>
      <w:r>
        <w:rPr>
          <w:rStyle w:val="80"/>
          <w:rFonts w:hint="default"/>
          <w:sz w:val="24"/>
          <w:lang w:bidi="ar"/>
        </w:rPr>
        <w:t>支持设置延迟时间，在限制时间内完成数据传输。</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7）基站队列控制</w:t>
      </w:r>
    </w:p>
    <w:p>
      <w:pPr>
        <w:snapToGrid w:val="0"/>
        <w:spacing w:line="360" w:lineRule="auto"/>
        <w:ind w:firstLine="480" w:firstLineChars="200"/>
        <w:rPr>
          <w:rStyle w:val="80"/>
          <w:rFonts w:hint="default"/>
          <w:sz w:val="24"/>
          <w:lang w:bidi="ar"/>
        </w:rPr>
      </w:pPr>
      <w:r>
        <w:rPr>
          <w:rStyle w:val="80"/>
          <w:rFonts w:hint="default"/>
          <w:sz w:val="24"/>
          <w:lang w:bidi="ar"/>
        </w:rPr>
        <w:t>系统各个模块向同一基站发送不同数据时，支持数据队列控制排序。</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（7）安全网关服务</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1）端口安全服务</w:t>
      </w:r>
    </w:p>
    <w:p>
      <w:pPr>
        <w:snapToGrid w:val="0"/>
        <w:spacing w:line="360" w:lineRule="auto"/>
        <w:ind w:firstLine="480" w:firstLineChars="200"/>
        <w:rPr>
          <w:rStyle w:val="80"/>
          <w:rFonts w:hint="default"/>
          <w:sz w:val="24"/>
          <w:lang w:bidi="ar"/>
        </w:rPr>
      </w:pPr>
      <w:r>
        <w:rPr>
          <w:rStyle w:val="80"/>
          <w:rFonts w:hint="default"/>
          <w:sz w:val="24"/>
          <w:lang w:bidi="ar"/>
        </w:rPr>
        <w:t>允许或禁止来自指定网络端口的连接。</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2）地址安全服务</w:t>
      </w:r>
    </w:p>
    <w:p>
      <w:pPr>
        <w:snapToGrid w:val="0"/>
        <w:spacing w:line="360" w:lineRule="auto"/>
        <w:ind w:firstLine="480" w:firstLineChars="200"/>
        <w:rPr>
          <w:rStyle w:val="80"/>
          <w:rFonts w:hint="default"/>
          <w:sz w:val="24"/>
          <w:lang w:bidi="ar"/>
        </w:rPr>
      </w:pPr>
      <w:r>
        <w:rPr>
          <w:rStyle w:val="80"/>
          <w:rFonts w:hint="default"/>
          <w:sz w:val="24"/>
          <w:lang w:bidi="ar"/>
        </w:rPr>
        <w:t>允许或禁止来自指定网络IP地址的连接。</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3）数据代理服务</w:t>
      </w:r>
    </w:p>
    <w:p>
      <w:pPr>
        <w:snapToGrid w:val="0"/>
        <w:spacing w:line="360" w:lineRule="auto"/>
        <w:ind w:firstLine="480" w:firstLineChars="200"/>
        <w:rPr>
          <w:rStyle w:val="80"/>
          <w:rFonts w:hint="default"/>
          <w:sz w:val="24"/>
          <w:lang w:bidi="ar"/>
        </w:rPr>
      </w:pPr>
      <w:r>
        <w:rPr>
          <w:rStyle w:val="80"/>
          <w:rFonts w:hint="default"/>
          <w:sz w:val="24"/>
          <w:lang w:bidi="ar"/>
        </w:rPr>
        <w:t>对数据代理行为的监测和防范，出现疑似行为时及时告警和阻止。</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4）端口异常监测</w:t>
      </w:r>
    </w:p>
    <w:p>
      <w:pPr>
        <w:snapToGrid w:val="0"/>
        <w:spacing w:line="360" w:lineRule="auto"/>
        <w:ind w:firstLine="480" w:firstLineChars="200"/>
        <w:rPr>
          <w:rStyle w:val="80"/>
          <w:rFonts w:hint="default"/>
          <w:sz w:val="24"/>
          <w:lang w:bidi="ar"/>
        </w:rPr>
      </w:pPr>
      <w:r>
        <w:rPr>
          <w:rStyle w:val="80"/>
          <w:rFonts w:hint="default"/>
          <w:sz w:val="24"/>
          <w:lang w:bidi="ar"/>
        </w:rPr>
        <w:t>对重复尝试登陆、短时超量数据流入等行为监测，出现疑似行为时及时告警和阻止。</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5）自动安全策略</w:t>
      </w:r>
    </w:p>
    <w:p>
      <w:pPr>
        <w:snapToGrid w:val="0"/>
        <w:spacing w:line="360" w:lineRule="auto"/>
        <w:ind w:firstLine="480" w:firstLineChars="200"/>
        <w:rPr>
          <w:rStyle w:val="80"/>
          <w:rFonts w:hint="default"/>
          <w:sz w:val="24"/>
          <w:lang w:bidi="ar"/>
        </w:rPr>
      </w:pPr>
      <w:r>
        <w:rPr>
          <w:rStyle w:val="80"/>
          <w:rFonts w:hint="default"/>
          <w:sz w:val="24"/>
          <w:lang w:bidi="ar"/>
        </w:rPr>
        <w:t>异常行为用户自动封禁/限流，自动调整对应的操作系统防火墙规则。</w:t>
      </w:r>
    </w:p>
    <w:p>
      <w:pPr>
        <w:numPr>
          <w:ilvl w:val="0"/>
          <w:numId w:val="16"/>
        </w:numPr>
        <w:snapToGrid w:val="0"/>
        <w:spacing w:line="360" w:lineRule="auto"/>
        <w:textAlignment w:val="center"/>
        <w:rPr>
          <w:rStyle w:val="80"/>
          <w:rFonts w:hint="default"/>
          <w:sz w:val="24"/>
          <w:lang w:bidi="ar"/>
        </w:rPr>
      </w:pPr>
      <w:bookmarkStart w:id="88" w:name="OLE_LINK1"/>
      <w:r>
        <w:rPr>
          <w:rStyle w:val="80"/>
          <w:rFonts w:hint="default"/>
          <w:sz w:val="24"/>
          <w:lang w:bidi="ar"/>
        </w:rPr>
        <w:t>核心网路由服务</w:t>
      </w:r>
      <w:bookmarkEnd w:id="88"/>
    </w:p>
    <w:p>
      <w:pPr>
        <w:snapToGrid w:val="0"/>
        <w:spacing w:line="360" w:lineRule="auto"/>
        <w:ind w:firstLine="480" w:firstLineChars="200"/>
        <w:textAlignment w:val="center"/>
        <w:rPr>
          <w:rStyle w:val="80"/>
          <w:rFonts w:hint="default"/>
          <w:sz w:val="24"/>
          <w:lang w:bidi="ar"/>
        </w:rPr>
      </w:pPr>
      <w:r>
        <w:rPr>
          <w:rStyle w:val="80"/>
          <w:rFonts w:hint="default"/>
          <w:sz w:val="24"/>
          <w:lang w:bidi="ar"/>
        </w:rPr>
        <w:t>1）用户位置寄存器</w:t>
      </w:r>
    </w:p>
    <w:p>
      <w:pPr>
        <w:snapToGrid w:val="0"/>
        <w:spacing w:line="360" w:lineRule="auto"/>
        <w:ind w:firstLine="480" w:firstLineChars="200"/>
        <w:rPr>
          <w:rStyle w:val="80"/>
          <w:rFonts w:hint="default"/>
          <w:sz w:val="24"/>
          <w:lang w:bidi="ar"/>
        </w:rPr>
      </w:pPr>
      <w:r>
        <w:rPr>
          <w:rStyle w:val="80"/>
          <w:rFonts w:hint="default"/>
          <w:sz w:val="24"/>
          <w:lang w:bidi="ar"/>
        </w:rPr>
        <w:t>缓存并维护接收到的AIS设备的位置表，实时更新定位。</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2）系统拓扑生成服务</w:t>
      </w:r>
    </w:p>
    <w:p>
      <w:pPr>
        <w:snapToGrid w:val="0"/>
        <w:spacing w:line="360" w:lineRule="auto"/>
        <w:ind w:firstLine="480" w:firstLineChars="200"/>
        <w:rPr>
          <w:rStyle w:val="80"/>
          <w:rFonts w:hint="default"/>
          <w:sz w:val="24"/>
          <w:lang w:bidi="ar"/>
        </w:rPr>
      </w:pPr>
      <w:r>
        <w:rPr>
          <w:rStyle w:val="80"/>
          <w:rFonts w:hint="default"/>
          <w:sz w:val="24"/>
          <w:lang w:bidi="ar"/>
        </w:rPr>
        <w:t>根据系统配置，在海图上生成系统各个服务器、管理分支、基站的拓扑图，显示关联节点间的数据流通状态。</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3）链路开销计算服务</w:t>
      </w:r>
    </w:p>
    <w:p>
      <w:pPr>
        <w:snapToGrid w:val="0"/>
        <w:spacing w:line="360" w:lineRule="auto"/>
        <w:ind w:firstLine="480" w:firstLineChars="200"/>
        <w:rPr>
          <w:rStyle w:val="80"/>
          <w:rFonts w:hint="default"/>
          <w:sz w:val="24"/>
          <w:lang w:bidi="ar"/>
        </w:rPr>
      </w:pPr>
      <w:r>
        <w:rPr>
          <w:rStyle w:val="80"/>
          <w:rFonts w:hint="default"/>
          <w:sz w:val="24"/>
          <w:lang w:bidi="ar"/>
        </w:rPr>
        <w:t>计算任意两个节点间，数据传输在链路上的额外开销。</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4）用户路由计算服务</w:t>
      </w:r>
    </w:p>
    <w:p>
      <w:pPr>
        <w:snapToGrid w:val="0"/>
        <w:spacing w:line="360" w:lineRule="auto"/>
        <w:ind w:firstLine="480" w:firstLineChars="200"/>
        <w:rPr>
          <w:rStyle w:val="80"/>
          <w:rFonts w:hint="default"/>
          <w:sz w:val="24"/>
          <w:lang w:bidi="ar"/>
        </w:rPr>
      </w:pPr>
      <w:r>
        <w:rPr>
          <w:rStyle w:val="80"/>
          <w:rFonts w:hint="default"/>
          <w:sz w:val="24"/>
          <w:lang w:bidi="ar"/>
        </w:rPr>
        <w:t>用户需要调用某项服务时，系统根据服务所处节点层级和服务器位置，自动为用户提供路由，保证用户顺利访问到指定的服务接口。</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5）数据路由追踪服务</w:t>
      </w:r>
    </w:p>
    <w:p>
      <w:pPr>
        <w:snapToGrid w:val="0"/>
        <w:spacing w:line="360" w:lineRule="auto"/>
        <w:ind w:firstLine="480" w:firstLineChars="200"/>
        <w:rPr>
          <w:rStyle w:val="80"/>
          <w:rFonts w:hint="default"/>
          <w:sz w:val="24"/>
          <w:lang w:bidi="ar"/>
        </w:rPr>
      </w:pPr>
      <w:r>
        <w:rPr>
          <w:rStyle w:val="80"/>
          <w:rFonts w:hint="default"/>
          <w:sz w:val="24"/>
          <w:lang w:bidi="ar"/>
        </w:rPr>
        <w:t>追踪数据从一个节点到目的节点之间途径的路由，统计跳数、延迟、中间节点等情况。</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6）边界路由服务</w:t>
      </w:r>
    </w:p>
    <w:p>
      <w:pPr>
        <w:snapToGrid w:val="0"/>
        <w:spacing w:line="360" w:lineRule="auto"/>
        <w:ind w:firstLine="480" w:firstLineChars="200"/>
        <w:rPr>
          <w:rStyle w:val="80"/>
          <w:rFonts w:hint="default"/>
          <w:sz w:val="24"/>
          <w:lang w:bidi="ar"/>
        </w:rPr>
      </w:pPr>
      <w:r>
        <w:rPr>
          <w:rStyle w:val="80"/>
          <w:rFonts w:hint="default"/>
          <w:sz w:val="24"/>
          <w:lang w:bidi="ar"/>
        </w:rPr>
        <w:t>在核心网系统与其他系统的边界处，提供交互接口以及边界路由，支持其他系统与本系统的数据和服务交互。</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（9）核心网间交换服务</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1）核心网间数据接入</w:t>
      </w:r>
    </w:p>
    <w:p>
      <w:pPr>
        <w:snapToGrid w:val="0"/>
        <w:spacing w:line="360" w:lineRule="auto"/>
        <w:ind w:firstLine="480" w:firstLineChars="200"/>
        <w:rPr>
          <w:rStyle w:val="80"/>
          <w:rFonts w:hint="default"/>
          <w:sz w:val="24"/>
          <w:lang w:bidi="ar"/>
        </w:rPr>
      </w:pPr>
      <w:r>
        <w:rPr>
          <w:rStyle w:val="80"/>
          <w:rFonts w:hint="default"/>
          <w:sz w:val="24"/>
          <w:lang w:bidi="ar"/>
        </w:rPr>
        <w:t>提供核心网间数据采集接口，从其他核心网接入数据，并与本系统数据融合。</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2）核心网间数据输出</w:t>
      </w:r>
    </w:p>
    <w:p>
      <w:pPr>
        <w:snapToGrid w:val="0"/>
        <w:spacing w:line="360" w:lineRule="auto"/>
        <w:ind w:firstLine="480" w:firstLineChars="200"/>
        <w:rPr>
          <w:rStyle w:val="80"/>
          <w:rFonts w:hint="default"/>
          <w:sz w:val="24"/>
          <w:lang w:bidi="ar"/>
        </w:rPr>
      </w:pPr>
      <w:r>
        <w:rPr>
          <w:rStyle w:val="80"/>
          <w:rFonts w:hint="default"/>
          <w:sz w:val="24"/>
          <w:lang w:bidi="ar"/>
        </w:rPr>
        <w:t>提供核心网间数据共享接口，从本系统对其他核心网系统输出数据。</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3）网间鉴权服务</w:t>
      </w:r>
    </w:p>
    <w:p>
      <w:pPr>
        <w:snapToGrid w:val="0"/>
        <w:spacing w:line="360" w:lineRule="auto"/>
        <w:ind w:firstLine="480" w:firstLineChars="200"/>
        <w:rPr>
          <w:rStyle w:val="80"/>
          <w:rFonts w:hint="default"/>
          <w:sz w:val="24"/>
          <w:lang w:bidi="ar"/>
        </w:rPr>
      </w:pPr>
      <w:r>
        <w:rPr>
          <w:rStyle w:val="80"/>
          <w:rFonts w:hint="default"/>
          <w:sz w:val="24"/>
          <w:lang w:bidi="ar"/>
        </w:rPr>
        <w:t>实现不同核心网之间互访的鉴权服务，包含用户名密码验证、接口权限、数据权限等。</w:t>
      </w:r>
    </w:p>
    <w:p>
      <w:pPr>
        <w:snapToGrid w:val="0"/>
        <w:spacing w:line="360" w:lineRule="auto"/>
        <w:ind w:firstLine="480" w:firstLineChars="200"/>
        <w:textAlignment w:val="center"/>
        <w:rPr>
          <w:rStyle w:val="80"/>
          <w:rFonts w:hint="default"/>
          <w:sz w:val="24"/>
          <w:lang w:bidi="ar"/>
        </w:rPr>
      </w:pPr>
      <w:r>
        <w:rPr>
          <w:rStyle w:val="80"/>
          <w:rFonts w:hint="default"/>
          <w:sz w:val="24"/>
          <w:lang w:bidi="ar"/>
        </w:rPr>
        <w:t>4）网间结算服务</w:t>
      </w:r>
    </w:p>
    <w:p>
      <w:pPr>
        <w:snapToGrid w:val="0"/>
        <w:spacing w:line="360" w:lineRule="auto"/>
        <w:ind w:firstLine="480" w:firstLineChars="200"/>
        <w:rPr>
          <w:b/>
          <w:bCs/>
          <w:sz w:val="28"/>
          <w:szCs w:val="32"/>
        </w:rPr>
      </w:pPr>
      <w:r>
        <w:rPr>
          <w:rStyle w:val="80"/>
          <w:rFonts w:hint="default"/>
          <w:sz w:val="24"/>
          <w:lang w:bidi="ar"/>
        </w:rPr>
        <w:t>实现不同核心网之间互访的结算功能，包含数据流量、服务次数、接入时常、服务类型等计费方式。</w:t>
      </w:r>
    </w:p>
    <w:p>
      <w:pPr>
        <w:pStyle w:val="6"/>
        <w:numPr>
          <w:ilvl w:val="3"/>
          <w:numId w:val="0"/>
        </w:numPr>
        <w:tabs>
          <w:tab w:val="clear" w:pos="567"/>
        </w:tabs>
      </w:pPr>
      <w:r>
        <w:rPr>
          <w:rFonts w:hint="eastAsia"/>
          <w:sz w:val="28"/>
        </w:rPr>
        <w:t>3.3.2.3</w:t>
      </w:r>
      <w:r>
        <w:rPr>
          <w:rFonts w:hint="eastAsia"/>
        </w:rPr>
        <w:t>基站驱动服务子系统</w:t>
      </w:r>
    </w:p>
    <w:p>
      <w:pPr>
        <w:pStyle w:val="83"/>
        <w:snapToGrid w:val="0"/>
        <w:spacing w:line="360" w:lineRule="auto"/>
        <w:ind w:firstLine="480" w:firstLineChars="200"/>
        <w:rPr>
          <w:szCs w:val="24"/>
        </w:rPr>
      </w:pPr>
      <w:r>
        <w:rPr>
          <w:rFonts w:hint="eastAsia"/>
          <w:szCs w:val="24"/>
        </w:rPr>
        <w:t>系统功能：</w:t>
      </w:r>
    </w:p>
    <w:p>
      <w:pPr>
        <w:snapToGrid w:val="0"/>
        <w:spacing w:line="360" w:lineRule="auto"/>
        <w:ind w:firstLine="480" w:firstLineChars="200"/>
        <w:textAlignment w:val="center"/>
        <w:rPr>
          <w:sz w:val="24"/>
        </w:rPr>
      </w:pPr>
      <w:r>
        <w:rPr>
          <w:rFonts w:hint="eastAsia"/>
          <w:sz w:val="24"/>
        </w:rPr>
        <w:t>（1）</w:t>
      </w:r>
      <w:r>
        <w:rPr>
          <w:sz w:val="24"/>
        </w:rPr>
        <w:t>AIS信道消息处理服务</w:t>
      </w:r>
    </w:p>
    <w:p>
      <w:pPr>
        <w:snapToGrid w:val="0"/>
        <w:spacing w:line="360" w:lineRule="auto"/>
        <w:ind w:left="420"/>
        <w:textAlignment w:val="center"/>
        <w:rPr>
          <w:sz w:val="24"/>
        </w:rPr>
      </w:pPr>
      <w:r>
        <w:rPr>
          <w:sz w:val="24"/>
        </w:rPr>
        <w:t>1</w:t>
      </w:r>
      <w:r>
        <w:rPr>
          <w:rFonts w:hint="eastAsia"/>
          <w:sz w:val="24"/>
        </w:rPr>
        <w:t>）</w:t>
      </w:r>
      <w:r>
        <w:rPr>
          <w:sz w:val="24"/>
        </w:rPr>
        <w:t>AIS消息处理</w:t>
      </w:r>
    </w:p>
    <w:p>
      <w:pPr>
        <w:snapToGrid w:val="0"/>
        <w:spacing w:line="360" w:lineRule="auto"/>
        <w:ind w:firstLine="480" w:firstLineChars="200"/>
        <w:rPr>
          <w:sz w:val="24"/>
        </w:rPr>
      </w:pPr>
      <w:r>
        <w:rPr>
          <w:sz w:val="24"/>
        </w:rPr>
        <w:t>支持处理AIS信道的各种消息。</w:t>
      </w:r>
    </w:p>
    <w:p>
      <w:pPr>
        <w:snapToGrid w:val="0"/>
        <w:spacing w:line="360" w:lineRule="auto"/>
        <w:ind w:left="400"/>
        <w:textAlignment w:val="center"/>
        <w:rPr>
          <w:sz w:val="24"/>
        </w:rPr>
      </w:pPr>
      <w:r>
        <w:rPr>
          <w:rFonts w:hint="eastAsia"/>
          <w:sz w:val="24"/>
        </w:rPr>
        <w:t>2）</w:t>
      </w:r>
      <w:r>
        <w:rPr>
          <w:sz w:val="24"/>
        </w:rPr>
        <w:t>AIS消息生成</w:t>
      </w:r>
    </w:p>
    <w:p>
      <w:pPr>
        <w:snapToGrid w:val="0"/>
        <w:spacing w:line="360" w:lineRule="auto"/>
        <w:ind w:firstLine="480" w:firstLineChars="200"/>
        <w:rPr>
          <w:sz w:val="24"/>
        </w:rPr>
      </w:pPr>
      <w:r>
        <w:rPr>
          <w:sz w:val="24"/>
        </w:rPr>
        <w:t>支持生成AIS消息，并命令基站发射。。</w:t>
      </w:r>
    </w:p>
    <w:p>
      <w:pPr>
        <w:snapToGrid w:val="0"/>
        <w:spacing w:line="360" w:lineRule="auto"/>
        <w:ind w:left="400"/>
        <w:textAlignment w:val="center"/>
        <w:rPr>
          <w:sz w:val="24"/>
        </w:rPr>
      </w:pPr>
      <w:r>
        <w:rPr>
          <w:rFonts w:hint="eastAsia"/>
          <w:sz w:val="24"/>
        </w:rPr>
        <w:t>3）</w:t>
      </w:r>
      <w:r>
        <w:rPr>
          <w:sz w:val="24"/>
        </w:rPr>
        <w:t>安全相关消息处理</w:t>
      </w:r>
    </w:p>
    <w:p>
      <w:pPr>
        <w:snapToGrid w:val="0"/>
        <w:spacing w:line="360" w:lineRule="auto"/>
        <w:ind w:firstLine="480" w:firstLineChars="200"/>
        <w:rPr>
          <w:sz w:val="24"/>
        </w:rPr>
      </w:pPr>
      <w:r>
        <w:rPr>
          <w:sz w:val="24"/>
        </w:rPr>
        <w:t>支持处理安全相关消息。</w:t>
      </w:r>
      <w:r>
        <w:rPr>
          <w:rFonts w:hint="eastAsia"/>
          <w:sz w:val="24"/>
        </w:rPr>
        <w:t>能够对收到的安全相关消息正确识别和解码；能够处理用户播发请求，实现播发功能。</w:t>
      </w:r>
    </w:p>
    <w:p>
      <w:pPr>
        <w:snapToGrid w:val="0"/>
        <w:spacing w:line="360" w:lineRule="auto"/>
        <w:ind w:left="400"/>
        <w:textAlignment w:val="center"/>
        <w:rPr>
          <w:sz w:val="24"/>
        </w:rPr>
      </w:pPr>
      <w:r>
        <w:rPr>
          <w:rFonts w:hint="eastAsia"/>
          <w:sz w:val="24"/>
        </w:rPr>
        <w:t>4）</w:t>
      </w:r>
      <w:r>
        <w:rPr>
          <w:sz w:val="24"/>
        </w:rPr>
        <w:t>二进制消息处理</w:t>
      </w:r>
    </w:p>
    <w:p>
      <w:pPr>
        <w:snapToGrid w:val="0"/>
        <w:spacing w:line="360" w:lineRule="auto"/>
        <w:ind w:firstLine="480" w:firstLineChars="200"/>
        <w:rPr>
          <w:sz w:val="24"/>
        </w:rPr>
      </w:pPr>
      <w:r>
        <w:rPr>
          <w:sz w:val="24"/>
        </w:rPr>
        <w:t>支持处理二进制消息。能够对收到的二进制消息，正确识别和解码；</w:t>
      </w:r>
      <w:r>
        <w:rPr>
          <w:rFonts w:hint="eastAsia"/>
          <w:sz w:val="24"/>
        </w:rPr>
        <w:t>能够</w:t>
      </w:r>
      <w:r>
        <w:rPr>
          <w:sz w:val="24"/>
        </w:rPr>
        <w:t>处理用户播发请求，实现播发功能。</w:t>
      </w:r>
    </w:p>
    <w:p>
      <w:pPr>
        <w:snapToGrid w:val="0"/>
        <w:spacing w:line="360" w:lineRule="auto"/>
        <w:ind w:left="420"/>
        <w:textAlignment w:val="center"/>
        <w:rPr>
          <w:sz w:val="24"/>
        </w:rPr>
      </w:pPr>
      <w:r>
        <w:rPr>
          <w:rFonts w:hint="eastAsia"/>
          <w:sz w:val="24"/>
        </w:rPr>
        <w:t>（2）</w:t>
      </w:r>
      <w:r>
        <w:rPr>
          <w:sz w:val="24"/>
        </w:rPr>
        <w:t>ASM信道消息处理服务</w:t>
      </w:r>
    </w:p>
    <w:p>
      <w:pPr>
        <w:snapToGrid w:val="0"/>
        <w:spacing w:line="360" w:lineRule="auto"/>
        <w:ind w:left="400"/>
        <w:textAlignment w:val="center"/>
        <w:rPr>
          <w:sz w:val="24"/>
        </w:rPr>
      </w:pPr>
      <w:r>
        <w:rPr>
          <w:sz w:val="24"/>
        </w:rPr>
        <w:t>1</w:t>
      </w:r>
      <w:r>
        <w:rPr>
          <w:rFonts w:hint="eastAsia"/>
          <w:sz w:val="24"/>
        </w:rPr>
        <w:t>）</w:t>
      </w:r>
      <w:r>
        <w:rPr>
          <w:sz w:val="24"/>
        </w:rPr>
        <w:t>ASM消息处理</w:t>
      </w:r>
    </w:p>
    <w:p>
      <w:pPr>
        <w:snapToGrid w:val="0"/>
        <w:spacing w:line="360" w:lineRule="auto"/>
        <w:ind w:firstLine="480" w:firstLineChars="200"/>
        <w:rPr>
          <w:sz w:val="24"/>
        </w:rPr>
      </w:pPr>
      <w:r>
        <w:rPr>
          <w:sz w:val="24"/>
        </w:rPr>
        <w:t>支持处理ASM消息</w:t>
      </w:r>
      <w:r>
        <w:rPr>
          <w:rFonts w:hint="eastAsia"/>
          <w:sz w:val="24"/>
        </w:rPr>
        <w:t>，</w:t>
      </w:r>
      <w:r>
        <w:rPr>
          <w:sz w:val="24"/>
        </w:rPr>
        <w:t>实现ASM消息的接收、清洗、解析、存储、查询等功能。</w:t>
      </w:r>
    </w:p>
    <w:p>
      <w:pPr>
        <w:snapToGrid w:val="0"/>
        <w:spacing w:line="360" w:lineRule="auto"/>
        <w:ind w:left="400"/>
        <w:textAlignment w:val="center"/>
        <w:rPr>
          <w:sz w:val="24"/>
        </w:rPr>
      </w:pPr>
      <w:r>
        <w:rPr>
          <w:sz w:val="24"/>
        </w:rPr>
        <w:t>2</w:t>
      </w:r>
      <w:r>
        <w:rPr>
          <w:rFonts w:hint="eastAsia"/>
          <w:sz w:val="24"/>
        </w:rPr>
        <w:t>）</w:t>
      </w:r>
      <w:r>
        <w:rPr>
          <w:sz w:val="24"/>
        </w:rPr>
        <w:t>ASM消息生成</w:t>
      </w:r>
    </w:p>
    <w:p>
      <w:pPr>
        <w:snapToGrid w:val="0"/>
        <w:spacing w:line="360" w:lineRule="auto"/>
        <w:ind w:firstLine="480" w:firstLineChars="200"/>
        <w:rPr>
          <w:sz w:val="24"/>
        </w:rPr>
      </w:pPr>
      <w:r>
        <w:rPr>
          <w:sz w:val="24"/>
        </w:rPr>
        <w:t>支持生成ASM消息，命令基站发射。生成处理主要是根据用户请求来封装ASM消息</w:t>
      </w:r>
      <w:r>
        <w:rPr>
          <w:rFonts w:hint="eastAsia"/>
          <w:sz w:val="24"/>
        </w:rPr>
        <w:t>，</w:t>
      </w:r>
      <w:r>
        <w:rPr>
          <w:sz w:val="24"/>
        </w:rPr>
        <w:t>推送到目的节点。</w:t>
      </w:r>
    </w:p>
    <w:p>
      <w:pPr>
        <w:snapToGrid w:val="0"/>
        <w:spacing w:line="360" w:lineRule="auto"/>
        <w:ind w:left="420"/>
        <w:textAlignment w:val="center"/>
        <w:rPr>
          <w:sz w:val="24"/>
        </w:rPr>
      </w:pPr>
      <w:r>
        <w:rPr>
          <w:sz w:val="24"/>
        </w:rPr>
        <w:t>3</w:t>
      </w:r>
      <w:r>
        <w:rPr>
          <w:rFonts w:hint="eastAsia"/>
          <w:sz w:val="24"/>
        </w:rPr>
        <w:t>）</w:t>
      </w:r>
      <w:r>
        <w:rPr>
          <w:sz w:val="24"/>
        </w:rPr>
        <w:t>ASM消息适配</w:t>
      </w:r>
    </w:p>
    <w:p>
      <w:pPr>
        <w:snapToGrid w:val="0"/>
        <w:spacing w:line="360" w:lineRule="auto"/>
        <w:ind w:firstLine="480" w:firstLineChars="200"/>
        <w:rPr>
          <w:sz w:val="24"/>
        </w:rPr>
      </w:pPr>
      <w:r>
        <w:rPr>
          <w:rFonts w:hint="eastAsia"/>
          <w:sz w:val="24"/>
        </w:rPr>
        <w:t>支持</w:t>
      </w:r>
      <w:r>
        <w:rPr>
          <w:sz w:val="24"/>
        </w:rPr>
        <w:t>使用过程中还要跟随协议的升级而不断补充和修订，以保证系统对ASM消息的正确识别和处理。</w:t>
      </w:r>
    </w:p>
    <w:p>
      <w:pPr>
        <w:snapToGrid w:val="0"/>
        <w:spacing w:line="360" w:lineRule="auto"/>
        <w:ind w:left="400"/>
        <w:textAlignment w:val="center"/>
        <w:rPr>
          <w:sz w:val="24"/>
        </w:rPr>
      </w:pPr>
      <w:r>
        <w:rPr>
          <w:sz w:val="24"/>
        </w:rPr>
        <w:t>4</w:t>
      </w:r>
      <w:r>
        <w:rPr>
          <w:rFonts w:hint="eastAsia"/>
          <w:sz w:val="24"/>
        </w:rPr>
        <w:t>）</w:t>
      </w:r>
      <w:r>
        <w:rPr>
          <w:sz w:val="24"/>
        </w:rPr>
        <w:t>ASM/AIS消息转换</w:t>
      </w:r>
    </w:p>
    <w:p>
      <w:pPr>
        <w:snapToGrid w:val="0"/>
        <w:spacing w:line="360" w:lineRule="auto"/>
        <w:ind w:firstLine="480" w:firstLineChars="200"/>
        <w:rPr>
          <w:sz w:val="24"/>
        </w:rPr>
      </w:pPr>
      <w:r>
        <w:rPr>
          <w:sz w:val="24"/>
        </w:rPr>
        <w:t>系统支持把AIS消息向ASM消息的转换，可使原有AIS信道的二进制信息在ASM信道上播发。</w:t>
      </w:r>
    </w:p>
    <w:p>
      <w:pPr>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VDE信道消息处理服务</w:t>
      </w:r>
    </w:p>
    <w:p>
      <w:pPr>
        <w:snapToGrid w:val="0"/>
        <w:spacing w:line="360" w:lineRule="auto"/>
        <w:ind w:firstLine="480" w:firstLineChars="200"/>
        <w:rPr>
          <w:sz w:val="24"/>
        </w:rPr>
      </w:pPr>
      <w:r>
        <w:rPr>
          <w:sz w:val="24"/>
        </w:rPr>
        <w:t>1</w:t>
      </w:r>
      <w:r>
        <w:rPr>
          <w:rFonts w:hint="eastAsia"/>
          <w:sz w:val="24"/>
        </w:rPr>
        <w:t>）</w:t>
      </w:r>
      <w:r>
        <w:rPr>
          <w:sz w:val="24"/>
        </w:rPr>
        <w:t>VDE消息测试服务</w:t>
      </w:r>
    </w:p>
    <w:p>
      <w:pPr>
        <w:snapToGrid w:val="0"/>
        <w:spacing w:line="360" w:lineRule="auto"/>
        <w:ind w:firstLine="480" w:firstLineChars="200"/>
        <w:rPr>
          <w:sz w:val="24"/>
        </w:rPr>
      </w:pPr>
      <w:r>
        <w:rPr>
          <w:sz w:val="24"/>
        </w:rPr>
        <w:t>系统支持根据</w:t>
      </w:r>
      <w:r>
        <w:rPr>
          <w:rFonts w:hint="eastAsia"/>
          <w:sz w:val="24"/>
        </w:rPr>
        <w:t>V</w:t>
      </w:r>
      <w:r>
        <w:rPr>
          <w:sz w:val="24"/>
        </w:rPr>
        <w:t>DE相关标准规范雏形进行VDE消息测试工作，为今后VDE正式落地做好升级准备。测试成功后，将来系统可以比较快地升级VDE功能。。</w:t>
      </w:r>
    </w:p>
    <w:p>
      <w:pPr>
        <w:snapToGrid w:val="0"/>
        <w:spacing w:line="360" w:lineRule="auto"/>
        <w:ind w:left="420"/>
        <w:textAlignment w:val="center"/>
        <w:rPr>
          <w:sz w:val="24"/>
        </w:rPr>
      </w:pPr>
      <w:r>
        <w:rPr>
          <w:rFonts w:hint="eastAsia"/>
          <w:sz w:val="24"/>
        </w:rPr>
        <w:t>（4）</w:t>
      </w:r>
      <w:r>
        <w:rPr>
          <w:sz w:val="24"/>
        </w:rPr>
        <w:t>基站管理消息处理服务</w:t>
      </w:r>
    </w:p>
    <w:p>
      <w:pPr>
        <w:snapToGrid w:val="0"/>
        <w:spacing w:line="360" w:lineRule="auto"/>
        <w:ind w:left="420"/>
        <w:textAlignment w:val="center"/>
        <w:rPr>
          <w:sz w:val="24"/>
        </w:rPr>
      </w:pPr>
      <w:r>
        <w:rPr>
          <w:sz w:val="24"/>
        </w:rPr>
        <w:t>1</w:t>
      </w:r>
      <w:r>
        <w:rPr>
          <w:rFonts w:hint="eastAsia"/>
          <w:sz w:val="24"/>
        </w:rPr>
        <w:t>）</w:t>
      </w:r>
      <w:r>
        <w:rPr>
          <w:sz w:val="24"/>
        </w:rPr>
        <w:t>指配消息处理</w:t>
      </w:r>
    </w:p>
    <w:p>
      <w:pPr>
        <w:snapToGrid w:val="0"/>
        <w:spacing w:line="360" w:lineRule="auto"/>
        <w:ind w:left="400"/>
        <w:textAlignment w:val="center"/>
        <w:rPr>
          <w:sz w:val="24"/>
        </w:rPr>
      </w:pPr>
      <w:r>
        <w:rPr>
          <w:rFonts w:hint="eastAsia"/>
          <w:sz w:val="24"/>
        </w:rPr>
        <w:t>2）</w:t>
      </w:r>
      <w:r>
        <w:rPr>
          <w:sz w:val="24"/>
        </w:rPr>
        <w:t>轮询消息处理</w:t>
      </w:r>
    </w:p>
    <w:p>
      <w:pPr>
        <w:snapToGrid w:val="0"/>
        <w:spacing w:line="360" w:lineRule="auto"/>
        <w:ind w:left="420"/>
        <w:textAlignment w:val="center"/>
        <w:rPr>
          <w:sz w:val="24"/>
        </w:rPr>
      </w:pPr>
      <w:r>
        <w:rPr>
          <w:rFonts w:hint="eastAsia"/>
          <w:sz w:val="24"/>
        </w:rPr>
        <w:t>3）</w:t>
      </w:r>
      <w:r>
        <w:rPr>
          <w:sz w:val="24"/>
        </w:rPr>
        <w:t>信道管理消息处理</w:t>
      </w:r>
    </w:p>
    <w:p>
      <w:pPr>
        <w:snapToGrid w:val="0"/>
        <w:spacing w:line="360" w:lineRule="auto"/>
        <w:ind w:left="400"/>
        <w:textAlignment w:val="center"/>
        <w:rPr>
          <w:sz w:val="24"/>
        </w:rPr>
      </w:pPr>
      <w:r>
        <w:rPr>
          <w:rFonts w:hint="eastAsia"/>
          <w:sz w:val="24"/>
        </w:rPr>
        <w:t>4）</w:t>
      </w:r>
      <w:r>
        <w:rPr>
          <w:sz w:val="24"/>
        </w:rPr>
        <w:t>基站报告消息处理</w:t>
      </w:r>
    </w:p>
    <w:p>
      <w:pPr>
        <w:snapToGrid w:val="0"/>
        <w:spacing w:line="360" w:lineRule="auto"/>
        <w:ind w:left="400"/>
        <w:textAlignment w:val="center"/>
        <w:rPr>
          <w:sz w:val="24"/>
        </w:rPr>
      </w:pPr>
      <w:r>
        <w:rPr>
          <w:rFonts w:hint="eastAsia"/>
          <w:sz w:val="24"/>
        </w:rPr>
        <w:t>5）</w:t>
      </w:r>
      <w:r>
        <w:rPr>
          <w:sz w:val="24"/>
        </w:rPr>
        <w:t>群组指配消息处理</w:t>
      </w:r>
    </w:p>
    <w:p>
      <w:pPr>
        <w:snapToGrid w:val="0"/>
        <w:spacing w:line="360" w:lineRule="auto"/>
        <w:ind w:left="420"/>
        <w:textAlignment w:val="center"/>
        <w:rPr>
          <w:sz w:val="24"/>
        </w:rPr>
      </w:pPr>
      <w:r>
        <w:rPr>
          <w:sz w:val="24"/>
        </w:rPr>
        <w:t>6</w:t>
      </w:r>
      <w:r>
        <w:rPr>
          <w:rFonts w:hint="eastAsia"/>
          <w:sz w:val="24"/>
        </w:rPr>
        <w:t>）</w:t>
      </w:r>
      <w:r>
        <w:rPr>
          <w:sz w:val="24"/>
        </w:rPr>
        <w:t>VDL管理消息处理</w:t>
      </w:r>
    </w:p>
    <w:p>
      <w:pPr>
        <w:snapToGrid w:val="0"/>
        <w:spacing w:line="360" w:lineRule="auto"/>
        <w:ind w:left="420"/>
        <w:textAlignment w:val="center"/>
        <w:rPr>
          <w:sz w:val="24"/>
        </w:rPr>
      </w:pPr>
      <w:r>
        <w:rPr>
          <w:rFonts w:hint="eastAsia"/>
          <w:sz w:val="24"/>
        </w:rPr>
        <w:t>（5）</w:t>
      </w:r>
      <w:r>
        <w:rPr>
          <w:sz w:val="24"/>
        </w:rPr>
        <w:t>消息格式适配服务</w:t>
      </w:r>
    </w:p>
    <w:p>
      <w:pPr>
        <w:snapToGrid w:val="0"/>
        <w:spacing w:line="360" w:lineRule="auto"/>
        <w:ind w:left="420"/>
        <w:textAlignment w:val="center"/>
        <w:rPr>
          <w:sz w:val="24"/>
        </w:rPr>
      </w:pPr>
      <w:r>
        <w:rPr>
          <w:sz w:val="24"/>
        </w:rPr>
        <w:t>1</w:t>
      </w:r>
      <w:r>
        <w:rPr>
          <w:rFonts w:hint="eastAsia"/>
          <w:sz w:val="24"/>
        </w:rPr>
        <w:t>）</w:t>
      </w:r>
      <w:r>
        <w:rPr>
          <w:sz w:val="24"/>
        </w:rPr>
        <w:t>进口基站消息格式适配</w:t>
      </w:r>
    </w:p>
    <w:p>
      <w:pPr>
        <w:snapToGrid w:val="0"/>
        <w:spacing w:line="360" w:lineRule="auto"/>
        <w:ind w:firstLine="480" w:firstLineChars="200"/>
        <w:rPr>
          <w:sz w:val="24"/>
        </w:rPr>
      </w:pPr>
      <w:r>
        <w:rPr>
          <w:sz w:val="24"/>
        </w:rPr>
        <w:t>对进口基站的消息格式、通信协议适配，实现正常入网。</w:t>
      </w:r>
    </w:p>
    <w:p>
      <w:pPr>
        <w:snapToGrid w:val="0"/>
        <w:spacing w:line="360" w:lineRule="auto"/>
        <w:ind w:left="420"/>
        <w:textAlignment w:val="center"/>
        <w:rPr>
          <w:sz w:val="24"/>
        </w:rPr>
      </w:pPr>
      <w:r>
        <w:rPr>
          <w:rFonts w:hint="eastAsia"/>
          <w:sz w:val="24"/>
        </w:rPr>
        <w:t>2）</w:t>
      </w:r>
      <w:r>
        <w:rPr>
          <w:sz w:val="24"/>
        </w:rPr>
        <w:t>国产基站消息格式适配</w:t>
      </w:r>
    </w:p>
    <w:p>
      <w:pPr>
        <w:snapToGrid w:val="0"/>
        <w:spacing w:line="360" w:lineRule="auto"/>
        <w:ind w:firstLine="480" w:firstLineChars="200"/>
        <w:rPr>
          <w:sz w:val="24"/>
        </w:rPr>
      </w:pPr>
      <w:r>
        <w:rPr>
          <w:sz w:val="24"/>
        </w:rPr>
        <w:t>对不同国产品牌型号基站的消息格式、通信协议适配，实现正常入网。</w:t>
      </w:r>
    </w:p>
    <w:p>
      <w:pPr>
        <w:snapToGrid w:val="0"/>
        <w:spacing w:line="360" w:lineRule="auto"/>
        <w:ind w:left="420"/>
        <w:textAlignment w:val="center"/>
        <w:rPr>
          <w:sz w:val="24"/>
        </w:rPr>
      </w:pPr>
      <w:r>
        <w:rPr>
          <w:rFonts w:hint="eastAsia"/>
          <w:sz w:val="24"/>
        </w:rPr>
        <w:t>3）</w:t>
      </w:r>
      <w:r>
        <w:rPr>
          <w:sz w:val="24"/>
        </w:rPr>
        <w:t>外部数据源格式适配</w:t>
      </w:r>
    </w:p>
    <w:p>
      <w:pPr>
        <w:snapToGrid w:val="0"/>
        <w:spacing w:line="360" w:lineRule="auto"/>
        <w:ind w:firstLine="480" w:firstLineChars="200"/>
        <w:rPr>
          <w:sz w:val="24"/>
        </w:rPr>
      </w:pPr>
      <w:r>
        <w:rPr>
          <w:sz w:val="24"/>
        </w:rPr>
        <w:t>对外部数据源的消息格式、通信协议适配，实现数据入网融合。</w:t>
      </w:r>
    </w:p>
    <w:p>
      <w:pPr>
        <w:snapToGrid w:val="0"/>
        <w:spacing w:line="360" w:lineRule="auto"/>
        <w:ind w:left="420"/>
        <w:textAlignment w:val="center"/>
        <w:rPr>
          <w:sz w:val="24"/>
        </w:rPr>
      </w:pPr>
      <w:r>
        <w:rPr>
          <w:rFonts w:hint="eastAsia"/>
          <w:sz w:val="24"/>
        </w:rPr>
        <w:t>4）</w:t>
      </w:r>
      <w:r>
        <w:rPr>
          <w:sz w:val="24"/>
        </w:rPr>
        <w:t>异构系统消息格式适配</w:t>
      </w:r>
    </w:p>
    <w:p>
      <w:pPr>
        <w:snapToGrid w:val="0"/>
        <w:spacing w:line="360" w:lineRule="auto"/>
        <w:ind w:firstLine="480" w:firstLineChars="200"/>
        <w:rPr>
          <w:sz w:val="24"/>
        </w:rPr>
      </w:pPr>
      <w:r>
        <w:rPr>
          <w:sz w:val="24"/>
        </w:rPr>
        <w:t>对异构系统的消息格式、通信协议适配，实现双向数据业务服务交换。</w:t>
      </w:r>
    </w:p>
    <w:p>
      <w:pPr>
        <w:snapToGrid w:val="0"/>
        <w:spacing w:line="360" w:lineRule="auto"/>
        <w:ind w:left="420"/>
        <w:textAlignment w:val="center"/>
        <w:rPr>
          <w:sz w:val="24"/>
        </w:rPr>
      </w:pPr>
      <w:r>
        <w:rPr>
          <w:sz w:val="24"/>
        </w:rPr>
        <w:t>5</w:t>
      </w:r>
      <w:r>
        <w:rPr>
          <w:rFonts w:hint="eastAsia"/>
          <w:sz w:val="24"/>
        </w:rPr>
        <w:t>）</w:t>
      </w:r>
      <w:r>
        <w:rPr>
          <w:sz w:val="24"/>
        </w:rPr>
        <w:t>AIS 卫星消息格式适配</w:t>
      </w:r>
    </w:p>
    <w:p>
      <w:pPr>
        <w:snapToGrid w:val="0"/>
        <w:spacing w:line="360" w:lineRule="auto"/>
        <w:ind w:firstLine="480" w:firstLineChars="200"/>
        <w:rPr>
          <w:sz w:val="24"/>
        </w:rPr>
      </w:pPr>
      <w:r>
        <w:rPr>
          <w:sz w:val="24"/>
        </w:rPr>
        <w:t>对AIS 卫星消息格式、通信协议适配，实现数据交换。</w:t>
      </w:r>
    </w:p>
    <w:p>
      <w:pPr>
        <w:snapToGrid w:val="0"/>
        <w:spacing w:line="360" w:lineRule="auto"/>
        <w:ind w:firstLine="480" w:firstLineChars="200"/>
        <w:textAlignment w:val="center"/>
        <w:rPr>
          <w:sz w:val="24"/>
        </w:rPr>
      </w:pPr>
      <w:r>
        <w:rPr>
          <w:rFonts w:hint="eastAsia"/>
          <w:sz w:val="24"/>
        </w:rPr>
        <w:t>（6）</w:t>
      </w:r>
      <w:r>
        <w:rPr>
          <w:sz w:val="24"/>
        </w:rPr>
        <w:t>基站消息格式管理</w:t>
      </w:r>
    </w:p>
    <w:p>
      <w:pPr>
        <w:snapToGrid w:val="0"/>
        <w:spacing w:line="360" w:lineRule="auto"/>
        <w:ind w:left="400"/>
        <w:textAlignment w:val="center"/>
        <w:rPr>
          <w:sz w:val="24"/>
        </w:rPr>
      </w:pPr>
      <w:r>
        <w:rPr>
          <w:rFonts w:hint="eastAsia"/>
          <w:sz w:val="24"/>
        </w:rPr>
        <w:t>1）</w:t>
      </w:r>
      <w:r>
        <w:rPr>
          <w:sz w:val="24"/>
        </w:rPr>
        <w:t>基站数据格式字典</w:t>
      </w:r>
    </w:p>
    <w:p>
      <w:pPr>
        <w:snapToGrid w:val="0"/>
        <w:spacing w:line="360" w:lineRule="auto"/>
        <w:ind w:firstLine="480" w:firstLineChars="200"/>
        <w:rPr>
          <w:sz w:val="24"/>
        </w:rPr>
      </w:pPr>
      <w:r>
        <w:rPr>
          <w:sz w:val="24"/>
        </w:rPr>
        <w:t>完成不同品牌型号的基站做数据格式字典设计，实现基站数据格式管理。</w:t>
      </w:r>
    </w:p>
    <w:p>
      <w:pPr>
        <w:snapToGrid w:val="0"/>
        <w:spacing w:line="360" w:lineRule="auto"/>
        <w:ind w:left="420"/>
        <w:textAlignment w:val="center"/>
        <w:rPr>
          <w:sz w:val="24"/>
        </w:rPr>
      </w:pPr>
      <w:r>
        <w:rPr>
          <w:sz w:val="24"/>
        </w:rPr>
        <w:t>2</w:t>
      </w:r>
      <w:r>
        <w:rPr>
          <w:rFonts w:hint="eastAsia"/>
          <w:sz w:val="24"/>
        </w:rPr>
        <w:t>）</w:t>
      </w:r>
      <w:r>
        <w:rPr>
          <w:sz w:val="24"/>
        </w:rPr>
        <w:t>IP/基站格式映射服务</w:t>
      </w:r>
    </w:p>
    <w:p>
      <w:pPr>
        <w:snapToGrid w:val="0"/>
        <w:spacing w:line="360" w:lineRule="auto"/>
        <w:ind w:firstLine="480" w:firstLineChars="200"/>
        <w:rPr>
          <w:sz w:val="24"/>
        </w:rPr>
      </w:pPr>
      <w:r>
        <w:rPr>
          <w:sz w:val="24"/>
        </w:rPr>
        <w:t>根据基站IP地址、名称、MMSI等确定基站使用的协议版本。</w:t>
      </w:r>
    </w:p>
    <w:p>
      <w:pPr>
        <w:snapToGrid w:val="0"/>
        <w:spacing w:line="360" w:lineRule="auto"/>
        <w:ind w:left="420"/>
        <w:textAlignment w:val="center"/>
        <w:rPr>
          <w:sz w:val="24"/>
        </w:rPr>
      </w:pPr>
      <w:r>
        <w:rPr>
          <w:rFonts w:hint="eastAsia"/>
          <w:sz w:val="24"/>
        </w:rPr>
        <w:t>3）</w:t>
      </w:r>
      <w:r>
        <w:rPr>
          <w:sz w:val="24"/>
        </w:rPr>
        <w:t>自适应映射更新服务</w:t>
      </w:r>
    </w:p>
    <w:p>
      <w:pPr>
        <w:snapToGrid w:val="0"/>
        <w:spacing w:line="360" w:lineRule="auto"/>
        <w:ind w:firstLine="480" w:firstLineChars="200"/>
        <w:rPr>
          <w:sz w:val="24"/>
        </w:rPr>
      </w:pPr>
      <w:r>
        <w:rPr>
          <w:sz w:val="24"/>
        </w:rPr>
        <w:t>当某站点更换基站、新增基站时，系统能同步更新对应的协议版本，实现自适应映射更新。</w:t>
      </w:r>
    </w:p>
    <w:p>
      <w:pPr>
        <w:snapToGrid w:val="0"/>
        <w:spacing w:line="360" w:lineRule="auto"/>
        <w:ind w:left="420"/>
        <w:textAlignment w:val="center"/>
        <w:rPr>
          <w:sz w:val="24"/>
        </w:rPr>
      </w:pPr>
      <w:r>
        <w:rPr>
          <w:rFonts w:hint="eastAsia"/>
          <w:sz w:val="24"/>
        </w:rPr>
        <w:t>4）</w:t>
      </w:r>
      <w:r>
        <w:rPr>
          <w:sz w:val="24"/>
        </w:rPr>
        <w:t>格式智能配置服务</w:t>
      </w:r>
    </w:p>
    <w:p>
      <w:pPr>
        <w:snapToGrid w:val="0"/>
        <w:spacing w:line="360" w:lineRule="auto"/>
        <w:ind w:firstLine="480" w:firstLineChars="200"/>
        <w:rPr>
          <w:sz w:val="24"/>
        </w:rPr>
      </w:pPr>
      <w:r>
        <w:rPr>
          <w:sz w:val="24"/>
        </w:rPr>
        <w:t>对新增或特殊格式的基站消息，能自定义智能化配置，使系统能够识别。</w:t>
      </w:r>
    </w:p>
    <w:p>
      <w:pPr>
        <w:snapToGrid w:val="0"/>
        <w:spacing w:line="360" w:lineRule="auto"/>
        <w:ind w:left="480"/>
        <w:textAlignment w:val="center"/>
        <w:rPr>
          <w:sz w:val="24"/>
        </w:rPr>
      </w:pPr>
      <w:r>
        <w:rPr>
          <w:rFonts w:hint="eastAsia"/>
          <w:sz w:val="24"/>
        </w:rPr>
        <w:t>（</w:t>
      </w:r>
      <w:r>
        <w:rPr>
          <w:sz w:val="24"/>
        </w:rPr>
        <w:t>7</w:t>
      </w:r>
      <w:r>
        <w:rPr>
          <w:rFonts w:hint="eastAsia"/>
          <w:sz w:val="24"/>
        </w:rPr>
        <w:t>）</w:t>
      </w:r>
      <w:r>
        <w:rPr>
          <w:sz w:val="24"/>
        </w:rPr>
        <w:t>终端连接服务</w:t>
      </w:r>
    </w:p>
    <w:p>
      <w:pPr>
        <w:snapToGrid w:val="0"/>
        <w:spacing w:line="360" w:lineRule="auto"/>
        <w:ind w:left="420"/>
        <w:textAlignment w:val="center"/>
        <w:rPr>
          <w:sz w:val="24"/>
        </w:rPr>
      </w:pPr>
      <w:r>
        <w:rPr>
          <w:rFonts w:hint="eastAsia"/>
          <w:sz w:val="24"/>
        </w:rPr>
        <w:t>1）</w:t>
      </w:r>
      <w:r>
        <w:rPr>
          <w:sz w:val="24"/>
        </w:rPr>
        <w:t>连接保持服务</w:t>
      </w:r>
    </w:p>
    <w:p>
      <w:pPr>
        <w:snapToGrid w:val="0"/>
        <w:spacing w:line="360" w:lineRule="auto"/>
        <w:ind w:firstLine="480" w:firstLineChars="200"/>
        <w:rPr>
          <w:sz w:val="24"/>
        </w:rPr>
      </w:pPr>
      <w:r>
        <w:rPr>
          <w:sz w:val="24"/>
        </w:rPr>
        <w:t>提供可靠的TCP/IP连接，维持基站正常的通信。</w:t>
      </w:r>
    </w:p>
    <w:p>
      <w:pPr>
        <w:snapToGrid w:val="0"/>
        <w:spacing w:line="360" w:lineRule="auto"/>
        <w:ind w:left="420"/>
        <w:textAlignment w:val="center"/>
        <w:rPr>
          <w:sz w:val="24"/>
        </w:rPr>
      </w:pPr>
      <w:r>
        <w:rPr>
          <w:rFonts w:hint="eastAsia"/>
          <w:sz w:val="24"/>
        </w:rPr>
        <w:t>2）</w:t>
      </w:r>
      <w:r>
        <w:rPr>
          <w:sz w:val="24"/>
        </w:rPr>
        <w:t>断连检测服务</w:t>
      </w:r>
    </w:p>
    <w:p>
      <w:pPr>
        <w:snapToGrid w:val="0"/>
        <w:spacing w:line="360" w:lineRule="auto"/>
        <w:ind w:firstLine="480" w:firstLineChars="200"/>
        <w:rPr>
          <w:sz w:val="24"/>
        </w:rPr>
      </w:pPr>
      <w:r>
        <w:rPr>
          <w:sz w:val="24"/>
        </w:rPr>
        <w:t>与基站通信过程中，</w:t>
      </w:r>
      <w:r>
        <w:rPr>
          <w:rFonts w:hint="eastAsia"/>
          <w:sz w:val="24"/>
        </w:rPr>
        <w:t>实现</w:t>
      </w:r>
      <w:r>
        <w:rPr>
          <w:sz w:val="24"/>
        </w:rPr>
        <w:t>断连检测并可超时重连。</w:t>
      </w:r>
    </w:p>
    <w:p>
      <w:pPr>
        <w:snapToGrid w:val="0"/>
        <w:spacing w:line="360" w:lineRule="auto"/>
        <w:ind w:left="420"/>
        <w:textAlignment w:val="center"/>
        <w:rPr>
          <w:sz w:val="24"/>
        </w:rPr>
      </w:pPr>
      <w:r>
        <w:rPr>
          <w:rFonts w:hint="eastAsia"/>
          <w:sz w:val="24"/>
        </w:rPr>
        <w:t>3）</w:t>
      </w:r>
      <w:r>
        <w:rPr>
          <w:sz w:val="24"/>
        </w:rPr>
        <w:t>远程重启服务</w:t>
      </w:r>
    </w:p>
    <w:p>
      <w:pPr>
        <w:snapToGrid w:val="0"/>
        <w:spacing w:line="360" w:lineRule="auto"/>
        <w:ind w:firstLine="480" w:firstLineChars="200"/>
        <w:rPr>
          <w:sz w:val="24"/>
        </w:rPr>
      </w:pPr>
      <w:r>
        <w:rPr>
          <w:sz w:val="24"/>
        </w:rPr>
        <w:t>对基站发送相关命令，实现远程重启基站。</w:t>
      </w:r>
    </w:p>
    <w:p>
      <w:pPr>
        <w:snapToGrid w:val="0"/>
        <w:spacing w:line="360" w:lineRule="auto"/>
        <w:ind w:left="420"/>
        <w:textAlignment w:val="center"/>
        <w:rPr>
          <w:sz w:val="24"/>
        </w:rPr>
      </w:pPr>
      <w:r>
        <w:rPr>
          <w:rFonts w:hint="eastAsia"/>
          <w:sz w:val="24"/>
        </w:rPr>
        <w:t>4）</w:t>
      </w:r>
      <w:r>
        <w:rPr>
          <w:sz w:val="24"/>
        </w:rPr>
        <w:t>路由查找服务</w:t>
      </w:r>
    </w:p>
    <w:p>
      <w:pPr>
        <w:snapToGrid w:val="0"/>
        <w:spacing w:line="360" w:lineRule="auto"/>
        <w:ind w:firstLine="480" w:firstLineChars="200"/>
        <w:rPr>
          <w:sz w:val="24"/>
        </w:rPr>
      </w:pPr>
      <w:r>
        <w:rPr>
          <w:sz w:val="24"/>
        </w:rPr>
        <w:t>实现基站ID-MMSI-IP映射，为基站调度提供路由查找服务。</w:t>
      </w:r>
    </w:p>
    <w:p>
      <w:pPr>
        <w:snapToGrid w:val="0"/>
        <w:spacing w:line="360" w:lineRule="auto"/>
        <w:ind w:left="420"/>
        <w:textAlignment w:val="center"/>
        <w:rPr>
          <w:sz w:val="24"/>
        </w:rPr>
      </w:pPr>
      <w:r>
        <w:rPr>
          <w:rFonts w:hint="eastAsia"/>
          <w:sz w:val="24"/>
        </w:rPr>
        <w:t>5）</w:t>
      </w:r>
      <w:r>
        <w:rPr>
          <w:sz w:val="24"/>
        </w:rPr>
        <w:t>信息发送服务</w:t>
      </w:r>
    </w:p>
    <w:p>
      <w:pPr>
        <w:snapToGrid w:val="0"/>
        <w:spacing w:line="360" w:lineRule="auto"/>
        <w:ind w:firstLine="480" w:firstLineChars="200"/>
        <w:rPr>
          <w:sz w:val="24"/>
        </w:rPr>
      </w:pPr>
      <w:r>
        <w:rPr>
          <w:sz w:val="24"/>
        </w:rPr>
        <w:t>指定MMSI或IP向基站发送信息。</w:t>
      </w:r>
    </w:p>
    <w:p>
      <w:pPr>
        <w:snapToGrid w:val="0"/>
        <w:spacing w:line="360" w:lineRule="auto"/>
        <w:ind w:left="420"/>
        <w:textAlignment w:val="center"/>
        <w:rPr>
          <w:sz w:val="24"/>
        </w:rPr>
      </w:pPr>
      <w:r>
        <w:rPr>
          <w:rFonts w:hint="eastAsia"/>
          <w:sz w:val="24"/>
        </w:rPr>
        <w:t>6）</w:t>
      </w:r>
      <w:r>
        <w:rPr>
          <w:sz w:val="24"/>
        </w:rPr>
        <w:t>接收确认服务</w:t>
      </w:r>
    </w:p>
    <w:p>
      <w:pPr>
        <w:snapToGrid w:val="0"/>
        <w:spacing w:line="360" w:lineRule="auto"/>
        <w:ind w:firstLine="480" w:firstLineChars="200"/>
        <w:rPr>
          <w:sz w:val="24"/>
        </w:rPr>
      </w:pPr>
      <w:r>
        <w:rPr>
          <w:rFonts w:hint="eastAsia"/>
          <w:sz w:val="24"/>
        </w:rPr>
        <w:t>支持</w:t>
      </w:r>
      <w:r>
        <w:rPr>
          <w:sz w:val="24"/>
        </w:rPr>
        <w:t>消息确认是否收妥。</w:t>
      </w:r>
    </w:p>
    <w:p>
      <w:pPr>
        <w:snapToGrid w:val="0"/>
        <w:spacing w:line="360" w:lineRule="auto"/>
        <w:ind w:left="480"/>
        <w:textAlignment w:val="center"/>
        <w:rPr>
          <w:sz w:val="24"/>
        </w:rPr>
      </w:pPr>
      <w:r>
        <w:rPr>
          <w:rFonts w:hint="eastAsia"/>
          <w:sz w:val="24"/>
        </w:rPr>
        <w:t>（</w:t>
      </w:r>
      <w:r>
        <w:rPr>
          <w:sz w:val="24"/>
        </w:rPr>
        <w:t>8</w:t>
      </w:r>
      <w:r>
        <w:rPr>
          <w:rFonts w:hint="eastAsia"/>
          <w:sz w:val="24"/>
        </w:rPr>
        <w:t>）</w:t>
      </w:r>
      <w:r>
        <w:rPr>
          <w:sz w:val="24"/>
        </w:rPr>
        <w:t>终端路由服务</w:t>
      </w:r>
    </w:p>
    <w:p>
      <w:pPr>
        <w:snapToGrid w:val="0"/>
        <w:spacing w:line="360" w:lineRule="auto"/>
        <w:ind w:left="420"/>
        <w:textAlignment w:val="center"/>
        <w:rPr>
          <w:sz w:val="24"/>
        </w:rPr>
      </w:pPr>
      <w:r>
        <w:rPr>
          <w:sz w:val="24"/>
        </w:rPr>
        <w:t>1</w:t>
      </w:r>
      <w:r>
        <w:rPr>
          <w:rFonts w:hint="eastAsia"/>
          <w:sz w:val="24"/>
        </w:rPr>
        <w:t>）</w:t>
      </w:r>
      <w:r>
        <w:rPr>
          <w:sz w:val="24"/>
        </w:rPr>
        <w:t>MMSI/IP映射服务</w:t>
      </w:r>
    </w:p>
    <w:p>
      <w:pPr>
        <w:snapToGrid w:val="0"/>
        <w:spacing w:line="360" w:lineRule="auto"/>
        <w:ind w:firstLine="480" w:firstLineChars="200"/>
        <w:rPr>
          <w:sz w:val="24"/>
        </w:rPr>
      </w:pPr>
      <w:r>
        <w:rPr>
          <w:sz w:val="24"/>
        </w:rPr>
        <w:t>实现基站MMSI与IP的映射服务，通过IP路由到指定MMSI的基站。</w:t>
      </w:r>
    </w:p>
    <w:p>
      <w:pPr>
        <w:snapToGrid w:val="0"/>
        <w:spacing w:line="360" w:lineRule="auto"/>
        <w:ind w:left="420"/>
        <w:textAlignment w:val="center"/>
        <w:rPr>
          <w:sz w:val="24"/>
        </w:rPr>
      </w:pPr>
      <w:r>
        <w:rPr>
          <w:rFonts w:hint="eastAsia"/>
          <w:sz w:val="24"/>
        </w:rPr>
        <w:t>2）</w:t>
      </w:r>
      <w:r>
        <w:rPr>
          <w:sz w:val="24"/>
        </w:rPr>
        <w:t>映射更新服务</w:t>
      </w:r>
    </w:p>
    <w:p>
      <w:pPr>
        <w:snapToGrid w:val="0"/>
        <w:spacing w:line="360" w:lineRule="auto"/>
        <w:ind w:firstLine="480" w:firstLineChars="200"/>
        <w:rPr>
          <w:sz w:val="24"/>
        </w:rPr>
      </w:pPr>
      <w:r>
        <w:rPr>
          <w:sz w:val="24"/>
        </w:rPr>
        <w:t>站点更换IP或新增基站时，同步更新对应的MMSI/IP映射。</w:t>
      </w:r>
    </w:p>
    <w:p>
      <w:pPr>
        <w:snapToGrid w:val="0"/>
        <w:spacing w:line="360" w:lineRule="auto"/>
        <w:ind w:left="420"/>
        <w:textAlignment w:val="center"/>
        <w:rPr>
          <w:sz w:val="24"/>
        </w:rPr>
      </w:pPr>
      <w:r>
        <w:rPr>
          <w:rFonts w:hint="eastAsia"/>
          <w:sz w:val="24"/>
        </w:rPr>
        <w:t>3）</w:t>
      </w:r>
      <w:r>
        <w:rPr>
          <w:sz w:val="24"/>
        </w:rPr>
        <w:t>应用映射服务</w:t>
      </w:r>
    </w:p>
    <w:p>
      <w:pPr>
        <w:snapToGrid w:val="0"/>
        <w:spacing w:line="360" w:lineRule="auto"/>
        <w:ind w:firstLine="480" w:firstLineChars="200"/>
        <w:rPr>
          <w:sz w:val="24"/>
        </w:rPr>
      </w:pPr>
      <w:r>
        <w:rPr>
          <w:sz w:val="24"/>
        </w:rPr>
        <w:t>系统与其他核心网系统或异构系统进行应用服务交换时，在接口和系统内提供该应用的路由映射服务。</w:t>
      </w:r>
    </w:p>
    <w:p>
      <w:pPr>
        <w:pStyle w:val="6"/>
        <w:numPr>
          <w:ilvl w:val="3"/>
          <w:numId w:val="0"/>
        </w:numPr>
        <w:tabs>
          <w:tab w:val="clear" w:pos="567"/>
        </w:tabs>
      </w:pPr>
      <w:r>
        <w:rPr>
          <w:rFonts w:hint="eastAsia"/>
          <w:sz w:val="28"/>
        </w:rPr>
        <w:t>3.3.2.4</w:t>
      </w:r>
      <w:r>
        <w:rPr>
          <w:rFonts w:hint="eastAsia"/>
        </w:rPr>
        <w:t>数据对比测试子系统</w:t>
      </w:r>
    </w:p>
    <w:p>
      <w:pPr>
        <w:snapToGrid w:val="0"/>
        <w:spacing w:line="360" w:lineRule="auto"/>
        <w:ind w:firstLine="480" w:firstLineChars="200"/>
        <w:rPr>
          <w:sz w:val="24"/>
          <w:szCs w:val="32"/>
        </w:rPr>
      </w:pPr>
      <w:r>
        <w:rPr>
          <w:rFonts w:hint="eastAsia"/>
          <w:sz w:val="24"/>
          <w:szCs w:val="32"/>
        </w:rPr>
        <w:t>系统功能：</w:t>
      </w:r>
    </w:p>
    <w:p>
      <w:pPr>
        <w:snapToGrid w:val="0"/>
        <w:spacing w:line="360" w:lineRule="auto"/>
        <w:ind w:firstLine="480" w:firstLineChars="200"/>
        <w:rPr>
          <w:sz w:val="24"/>
          <w:szCs w:val="32"/>
        </w:rPr>
      </w:pPr>
      <w:r>
        <w:rPr>
          <w:rFonts w:hint="eastAsia"/>
          <w:sz w:val="24"/>
          <w:szCs w:val="32"/>
        </w:rPr>
        <w:t>（1）</w:t>
      </w:r>
      <w:r>
        <w:rPr>
          <w:sz w:val="24"/>
          <w:szCs w:val="32"/>
        </w:rPr>
        <w:t>系统内数据对比测试模块</w:t>
      </w:r>
    </w:p>
    <w:p>
      <w:pPr>
        <w:snapToGrid w:val="0"/>
        <w:spacing w:line="360" w:lineRule="auto"/>
        <w:ind w:firstLine="480" w:firstLineChars="200"/>
        <w:textAlignment w:val="center"/>
        <w:rPr>
          <w:sz w:val="24"/>
          <w:szCs w:val="32"/>
        </w:rPr>
      </w:pPr>
      <w:r>
        <w:rPr>
          <w:rFonts w:hint="eastAsia"/>
          <w:sz w:val="24"/>
          <w:szCs w:val="32"/>
        </w:rPr>
        <w:t>1）</w:t>
      </w:r>
      <w:r>
        <w:rPr>
          <w:sz w:val="24"/>
          <w:szCs w:val="32"/>
        </w:rPr>
        <w:t>数据到达率测试模块</w:t>
      </w:r>
    </w:p>
    <w:p>
      <w:pPr>
        <w:snapToGrid w:val="0"/>
        <w:spacing w:line="360" w:lineRule="auto"/>
        <w:ind w:firstLine="480" w:firstLineChars="200"/>
        <w:rPr>
          <w:sz w:val="24"/>
          <w:szCs w:val="32"/>
        </w:rPr>
      </w:pPr>
      <w:r>
        <w:rPr>
          <w:sz w:val="24"/>
          <w:szCs w:val="32"/>
        </w:rPr>
        <w:t>支持比对基站本地接口</w:t>
      </w:r>
      <w:r>
        <w:rPr>
          <w:rFonts w:hint="eastAsia"/>
          <w:sz w:val="24"/>
          <w:szCs w:val="32"/>
        </w:rPr>
        <w:t>、</w:t>
      </w:r>
      <w:r>
        <w:rPr>
          <w:sz w:val="24"/>
          <w:szCs w:val="32"/>
        </w:rPr>
        <w:t>出口数据，评估报文到达率。</w:t>
      </w:r>
    </w:p>
    <w:p>
      <w:pPr>
        <w:snapToGrid w:val="0"/>
        <w:spacing w:line="360" w:lineRule="auto"/>
        <w:ind w:firstLine="480" w:firstLineChars="200"/>
        <w:textAlignment w:val="center"/>
        <w:rPr>
          <w:sz w:val="24"/>
          <w:szCs w:val="32"/>
        </w:rPr>
      </w:pPr>
      <w:r>
        <w:rPr>
          <w:rFonts w:hint="eastAsia"/>
          <w:sz w:val="24"/>
          <w:szCs w:val="32"/>
        </w:rPr>
        <w:t>2）</w:t>
      </w:r>
      <w:r>
        <w:rPr>
          <w:sz w:val="24"/>
          <w:szCs w:val="32"/>
        </w:rPr>
        <w:t>延迟测试模块</w:t>
      </w:r>
    </w:p>
    <w:p>
      <w:pPr>
        <w:snapToGrid w:val="0"/>
        <w:spacing w:line="360" w:lineRule="auto"/>
        <w:ind w:firstLine="480" w:firstLineChars="200"/>
        <w:rPr>
          <w:sz w:val="24"/>
          <w:szCs w:val="32"/>
        </w:rPr>
      </w:pPr>
      <w:r>
        <w:rPr>
          <w:sz w:val="24"/>
          <w:szCs w:val="32"/>
        </w:rPr>
        <w:t>支持比对基站原始时间标签数据出口的时间标签，评估延迟。</w:t>
      </w:r>
    </w:p>
    <w:p>
      <w:pPr>
        <w:snapToGrid w:val="0"/>
        <w:spacing w:line="360" w:lineRule="auto"/>
        <w:ind w:firstLine="480" w:firstLineChars="200"/>
        <w:textAlignment w:val="center"/>
        <w:rPr>
          <w:sz w:val="24"/>
          <w:szCs w:val="32"/>
        </w:rPr>
      </w:pPr>
      <w:r>
        <w:rPr>
          <w:rFonts w:hint="eastAsia"/>
          <w:sz w:val="24"/>
          <w:szCs w:val="32"/>
        </w:rPr>
        <w:t>3）</w:t>
      </w:r>
      <w:r>
        <w:rPr>
          <w:sz w:val="24"/>
          <w:szCs w:val="32"/>
        </w:rPr>
        <w:t>抖动测试模块</w:t>
      </w:r>
    </w:p>
    <w:p>
      <w:pPr>
        <w:snapToGrid w:val="0"/>
        <w:spacing w:line="360" w:lineRule="auto"/>
        <w:ind w:firstLine="480" w:firstLineChars="200"/>
        <w:rPr>
          <w:sz w:val="24"/>
          <w:szCs w:val="32"/>
        </w:rPr>
      </w:pPr>
      <w:r>
        <w:rPr>
          <w:sz w:val="24"/>
          <w:szCs w:val="32"/>
        </w:rPr>
        <w:t>支持监测数据流在各个环节传输的抖动情况，比对系统的抖动状态。</w:t>
      </w:r>
    </w:p>
    <w:p>
      <w:pPr>
        <w:snapToGrid w:val="0"/>
        <w:spacing w:line="360" w:lineRule="auto"/>
        <w:ind w:firstLine="480" w:firstLineChars="200"/>
        <w:textAlignment w:val="center"/>
        <w:rPr>
          <w:sz w:val="24"/>
          <w:szCs w:val="32"/>
        </w:rPr>
      </w:pPr>
      <w:r>
        <w:rPr>
          <w:rFonts w:hint="eastAsia"/>
          <w:sz w:val="24"/>
          <w:szCs w:val="32"/>
        </w:rPr>
        <w:t>4）</w:t>
      </w:r>
      <w:r>
        <w:rPr>
          <w:sz w:val="24"/>
          <w:szCs w:val="32"/>
        </w:rPr>
        <w:t>误帧测试模块</w:t>
      </w:r>
    </w:p>
    <w:p>
      <w:pPr>
        <w:snapToGrid w:val="0"/>
        <w:spacing w:line="360" w:lineRule="auto"/>
        <w:ind w:firstLine="480" w:firstLineChars="200"/>
        <w:rPr>
          <w:sz w:val="24"/>
          <w:szCs w:val="32"/>
        </w:rPr>
      </w:pPr>
      <w:r>
        <w:rPr>
          <w:sz w:val="24"/>
          <w:szCs w:val="32"/>
        </w:rPr>
        <w:t>支持通过报文校验以及FSR等统计，测试系统数据的误码情况。</w:t>
      </w:r>
    </w:p>
    <w:p>
      <w:pPr>
        <w:snapToGrid w:val="0"/>
        <w:spacing w:line="360" w:lineRule="auto"/>
        <w:ind w:firstLine="480" w:firstLineChars="200"/>
        <w:textAlignment w:val="center"/>
        <w:rPr>
          <w:sz w:val="24"/>
          <w:szCs w:val="32"/>
        </w:rPr>
      </w:pPr>
      <w:r>
        <w:rPr>
          <w:rFonts w:hint="eastAsia"/>
          <w:sz w:val="24"/>
          <w:szCs w:val="32"/>
        </w:rPr>
        <w:t>（2）</w:t>
      </w:r>
      <w:r>
        <w:rPr>
          <w:sz w:val="24"/>
          <w:szCs w:val="32"/>
        </w:rPr>
        <w:t>系统间数据对比测试模块</w:t>
      </w:r>
    </w:p>
    <w:p>
      <w:pPr>
        <w:snapToGrid w:val="0"/>
        <w:spacing w:line="360" w:lineRule="auto"/>
        <w:ind w:left="420"/>
        <w:textAlignment w:val="center"/>
        <w:rPr>
          <w:sz w:val="24"/>
          <w:szCs w:val="32"/>
        </w:rPr>
      </w:pPr>
      <w:r>
        <w:rPr>
          <w:rFonts w:hint="eastAsia"/>
          <w:sz w:val="24"/>
          <w:szCs w:val="32"/>
        </w:rPr>
        <w:t>1）</w:t>
      </w:r>
      <w:r>
        <w:rPr>
          <w:sz w:val="24"/>
          <w:szCs w:val="32"/>
        </w:rPr>
        <w:t>数据流量测试模块</w:t>
      </w:r>
    </w:p>
    <w:p>
      <w:pPr>
        <w:snapToGrid w:val="0"/>
        <w:spacing w:line="360" w:lineRule="auto"/>
        <w:ind w:left="400"/>
        <w:textAlignment w:val="center"/>
        <w:rPr>
          <w:sz w:val="24"/>
          <w:szCs w:val="32"/>
        </w:rPr>
      </w:pPr>
      <w:r>
        <w:rPr>
          <w:rFonts w:hint="eastAsia"/>
          <w:sz w:val="24"/>
          <w:szCs w:val="32"/>
        </w:rPr>
        <w:t>2）</w:t>
      </w:r>
      <w:r>
        <w:rPr>
          <w:sz w:val="24"/>
          <w:szCs w:val="32"/>
        </w:rPr>
        <w:t>数据一致性测试模块</w:t>
      </w:r>
    </w:p>
    <w:p>
      <w:pPr>
        <w:snapToGrid w:val="0"/>
        <w:spacing w:line="360" w:lineRule="auto"/>
        <w:ind w:left="400"/>
        <w:textAlignment w:val="center"/>
        <w:rPr>
          <w:sz w:val="24"/>
          <w:szCs w:val="32"/>
        </w:rPr>
      </w:pPr>
      <w:r>
        <w:rPr>
          <w:rFonts w:hint="eastAsia"/>
          <w:sz w:val="24"/>
          <w:szCs w:val="32"/>
        </w:rPr>
        <w:t>3）</w:t>
      </w:r>
      <w:r>
        <w:rPr>
          <w:sz w:val="24"/>
          <w:szCs w:val="32"/>
        </w:rPr>
        <w:t>时延测试模块</w:t>
      </w:r>
    </w:p>
    <w:p>
      <w:pPr>
        <w:snapToGrid w:val="0"/>
        <w:spacing w:line="360" w:lineRule="auto"/>
        <w:ind w:left="420"/>
        <w:textAlignment w:val="center"/>
        <w:rPr>
          <w:sz w:val="24"/>
          <w:szCs w:val="32"/>
        </w:rPr>
      </w:pPr>
      <w:r>
        <w:rPr>
          <w:rFonts w:hint="eastAsia"/>
          <w:sz w:val="24"/>
          <w:szCs w:val="32"/>
        </w:rPr>
        <w:t>4）</w:t>
      </w:r>
      <w:r>
        <w:rPr>
          <w:sz w:val="24"/>
          <w:szCs w:val="32"/>
        </w:rPr>
        <w:t>时间戳测试模块</w:t>
      </w:r>
    </w:p>
    <w:p>
      <w:pPr>
        <w:snapToGrid w:val="0"/>
        <w:spacing w:line="360" w:lineRule="auto"/>
        <w:ind w:left="200"/>
        <w:textAlignment w:val="center"/>
        <w:rPr>
          <w:sz w:val="24"/>
          <w:szCs w:val="32"/>
        </w:rPr>
      </w:pPr>
      <w:r>
        <w:rPr>
          <w:rFonts w:hint="eastAsia"/>
          <w:sz w:val="24"/>
          <w:szCs w:val="32"/>
        </w:rPr>
        <w:t>（</w:t>
      </w:r>
      <w:r>
        <w:rPr>
          <w:sz w:val="24"/>
          <w:szCs w:val="32"/>
        </w:rPr>
        <w:t>3</w:t>
      </w:r>
      <w:r>
        <w:rPr>
          <w:rFonts w:hint="eastAsia"/>
          <w:sz w:val="24"/>
          <w:szCs w:val="32"/>
        </w:rPr>
        <w:t>）</w:t>
      </w:r>
      <w:r>
        <w:rPr>
          <w:sz w:val="24"/>
          <w:szCs w:val="32"/>
        </w:rPr>
        <w:t>数据库吞吐性能测试模块</w:t>
      </w:r>
    </w:p>
    <w:p>
      <w:pPr>
        <w:snapToGrid w:val="0"/>
        <w:spacing w:line="360" w:lineRule="auto"/>
        <w:ind w:left="400"/>
        <w:textAlignment w:val="center"/>
        <w:rPr>
          <w:sz w:val="24"/>
          <w:szCs w:val="32"/>
        </w:rPr>
      </w:pPr>
      <w:r>
        <w:rPr>
          <w:rFonts w:hint="eastAsia"/>
          <w:sz w:val="24"/>
          <w:szCs w:val="32"/>
        </w:rPr>
        <w:t>1）</w:t>
      </w:r>
      <w:r>
        <w:rPr>
          <w:sz w:val="24"/>
          <w:szCs w:val="32"/>
        </w:rPr>
        <w:t>实时数据测试模块</w:t>
      </w:r>
    </w:p>
    <w:p>
      <w:pPr>
        <w:snapToGrid w:val="0"/>
        <w:spacing w:line="360" w:lineRule="auto"/>
        <w:ind w:firstLine="200"/>
        <w:rPr>
          <w:sz w:val="24"/>
          <w:szCs w:val="32"/>
        </w:rPr>
      </w:pPr>
      <w:r>
        <w:rPr>
          <w:sz w:val="24"/>
          <w:szCs w:val="32"/>
        </w:rPr>
        <w:t>支持测试实时数据处理能力。</w:t>
      </w:r>
    </w:p>
    <w:p>
      <w:pPr>
        <w:snapToGrid w:val="0"/>
        <w:spacing w:line="360" w:lineRule="auto"/>
        <w:ind w:left="400"/>
        <w:textAlignment w:val="center"/>
        <w:rPr>
          <w:sz w:val="24"/>
          <w:szCs w:val="32"/>
        </w:rPr>
      </w:pPr>
      <w:r>
        <w:rPr>
          <w:rFonts w:hint="eastAsia"/>
          <w:sz w:val="24"/>
          <w:szCs w:val="32"/>
        </w:rPr>
        <w:t>2）</w:t>
      </w:r>
      <w:r>
        <w:rPr>
          <w:sz w:val="24"/>
          <w:szCs w:val="32"/>
        </w:rPr>
        <w:t>重传数据测试模块</w:t>
      </w:r>
    </w:p>
    <w:p>
      <w:pPr>
        <w:snapToGrid w:val="0"/>
        <w:spacing w:line="360" w:lineRule="auto"/>
        <w:ind w:firstLine="200"/>
        <w:rPr>
          <w:sz w:val="24"/>
          <w:szCs w:val="32"/>
        </w:rPr>
      </w:pPr>
      <w:r>
        <w:rPr>
          <w:sz w:val="24"/>
          <w:szCs w:val="32"/>
        </w:rPr>
        <w:t>支持测试数据重传功能。</w:t>
      </w:r>
    </w:p>
    <w:p>
      <w:pPr>
        <w:snapToGrid w:val="0"/>
        <w:spacing w:line="360" w:lineRule="auto"/>
        <w:ind w:left="400"/>
        <w:textAlignment w:val="center"/>
        <w:rPr>
          <w:sz w:val="24"/>
          <w:szCs w:val="32"/>
        </w:rPr>
      </w:pPr>
      <w:r>
        <w:rPr>
          <w:rFonts w:hint="eastAsia"/>
          <w:sz w:val="24"/>
          <w:szCs w:val="32"/>
        </w:rPr>
        <w:t>3）</w:t>
      </w:r>
      <w:r>
        <w:rPr>
          <w:sz w:val="24"/>
          <w:szCs w:val="32"/>
        </w:rPr>
        <w:t>二进制数据测试模块</w:t>
      </w:r>
    </w:p>
    <w:p>
      <w:pPr>
        <w:snapToGrid w:val="0"/>
        <w:spacing w:line="360" w:lineRule="auto"/>
        <w:ind w:firstLine="200"/>
        <w:rPr>
          <w:sz w:val="24"/>
          <w:szCs w:val="32"/>
        </w:rPr>
      </w:pPr>
      <w:r>
        <w:rPr>
          <w:rFonts w:hint="eastAsia"/>
          <w:sz w:val="24"/>
          <w:szCs w:val="32"/>
        </w:rPr>
        <w:t>支持</w:t>
      </w:r>
      <w:r>
        <w:rPr>
          <w:sz w:val="24"/>
          <w:szCs w:val="32"/>
        </w:rPr>
        <w:t>测试对应模块对二进制数据接收、识别、解码、存储、检索等功能。</w:t>
      </w:r>
    </w:p>
    <w:p>
      <w:pPr>
        <w:snapToGrid w:val="0"/>
        <w:spacing w:line="360" w:lineRule="auto"/>
        <w:ind w:left="400"/>
        <w:textAlignment w:val="center"/>
        <w:rPr>
          <w:sz w:val="24"/>
          <w:szCs w:val="32"/>
        </w:rPr>
      </w:pPr>
      <w:r>
        <w:rPr>
          <w:sz w:val="24"/>
          <w:szCs w:val="32"/>
        </w:rPr>
        <w:t>4</w:t>
      </w:r>
      <w:r>
        <w:rPr>
          <w:rFonts w:hint="eastAsia"/>
          <w:sz w:val="24"/>
          <w:szCs w:val="32"/>
        </w:rPr>
        <w:t>）</w:t>
      </w:r>
      <w:r>
        <w:rPr>
          <w:sz w:val="24"/>
          <w:szCs w:val="32"/>
        </w:rPr>
        <w:t>ASM数据测试模块</w:t>
      </w:r>
    </w:p>
    <w:p>
      <w:pPr>
        <w:snapToGrid w:val="0"/>
        <w:spacing w:line="360" w:lineRule="auto"/>
        <w:ind w:firstLine="200"/>
        <w:rPr>
          <w:sz w:val="24"/>
          <w:szCs w:val="32"/>
        </w:rPr>
      </w:pPr>
      <w:r>
        <w:rPr>
          <w:rFonts w:hint="eastAsia"/>
          <w:sz w:val="24"/>
          <w:szCs w:val="32"/>
        </w:rPr>
        <w:t>支持</w:t>
      </w:r>
      <w:r>
        <w:rPr>
          <w:sz w:val="24"/>
          <w:szCs w:val="32"/>
        </w:rPr>
        <w:t>测试对应模块对ASM数据接收、识别、解码、存储、检索等功能。</w:t>
      </w:r>
    </w:p>
    <w:p>
      <w:pPr>
        <w:snapToGrid w:val="0"/>
        <w:spacing w:line="360" w:lineRule="auto"/>
        <w:ind w:firstLine="480" w:firstLineChars="200"/>
        <w:textAlignment w:val="center"/>
        <w:rPr>
          <w:sz w:val="24"/>
          <w:szCs w:val="32"/>
        </w:rPr>
      </w:pPr>
      <w:r>
        <w:rPr>
          <w:rFonts w:hint="eastAsia"/>
          <w:sz w:val="24"/>
          <w:szCs w:val="32"/>
        </w:rPr>
        <w:t>（4）</w:t>
      </w:r>
      <w:r>
        <w:rPr>
          <w:sz w:val="24"/>
          <w:szCs w:val="32"/>
        </w:rPr>
        <w:t>数据检索性能测试模块</w:t>
      </w:r>
    </w:p>
    <w:p>
      <w:pPr>
        <w:snapToGrid w:val="0"/>
        <w:spacing w:line="360" w:lineRule="auto"/>
        <w:ind w:left="400"/>
        <w:textAlignment w:val="center"/>
        <w:rPr>
          <w:sz w:val="24"/>
          <w:szCs w:val="32"/>
        </w:rPr>
      </w:pPr>
      <w:r>
        <w:rPr>
          <w:rFonts w:hint="eastAsia"/>
          <w:sz w:val="24"/>
          <w:szCs w:val="32"/>
        </w:rPr>
        <w:t>1）</w:t>
      </w:r>
      <w:r>
        <w:rPr>
          <w:sz w:val="24"/>
          <w:szCs w:val="32"/>
        </w:rPr>
        <w:t>时段数据测试模块</w:t>
      </w:r>
    </w:p>
    <w:p>
      <w:pPr>
        <w:snapToGrid w:val="0"/>
        <w:spacing w:line="360" w:lineRule="auto"/>
        <w:ind w:firstLine="480" w:firstLineChars="200"/>
        <w:rPr>
          <w:sz w:val="24"/>
          <w:szCs w:val="32"/>
        </w:rPr>
      </w:pPr>
      <w:r>
        <w:rPr>
          <w:rFonts w:hint="eastAsia"/>
          <w:sz w:val="24"/>
          <w:szCs w:val="32"/>
        </w:rPr>
        <w:t>支持</w:t>
      </w:r>
      <w:r>
        <w:rPr>
          <w:sz w:val="24"/>
          <w:szCs w:val="32"/>
        </w:rPr>
        <w:t>测试检索的反馈速度和数据准确性。</w:t>
      </w:r>
    </w:p>
    <w:p>
      <w:pPr>
        <w:snapToGrid w:val="0"/>
        <w:spacing w:line="360" w:lineRule="auto"/>
        <w:ind w:firstLine="480" w:firstLineChars="200"/>
        <w:textAlignment w:val="center"/>
        <w:rPr>
          <w:sz w:val="24"/>
          <w:szCs w:val="32"/>
        </w:rPr>
      </w:pPr>
      <w:r>
        <w:rPr>
          <w:rFonts w:hint="eastAsia"/>
          <w:sz w:val="24"/>
          <w:szCs w:val="32"/>
        </w:rPr>
        <w:t>2）</w:t>
      </w:r>
      <w:r>
        <w:rPr>
          <w:sz w:val="24"/>
          <w:szCs w:val="32"/>
        </w:rPr>
        <w:t>因素过滤数据测试模块</w:t>
      </w:r>
    </w:p>
    <w:p>
      <w:pPr>
        <w:snapToGrid w:val="0"/>
        <w:spacing w:line="360" w:lineRule="auto"/>
        <w:ind w:firstLine="708" w:firstLineChars="295"/>
        <w:rPr>
          <w:sz w:val="24"/>
          <w:szCs w:val="32"/>
        </w:rPr>
      </w:pPr>
      <w:r>
        <w:rPr>
          <w:rFonts w:hint="eastAsia"/>
          <w:sz w:val="24"/>
          <w:szCs w:val="32"/>
        </w:rPr>
        <w:t>保证</w:t>
      </w:r>
      <w:r>
        <w:rPr>
          <w:sz w:val="24"/>
          <w:szCs w:val="32"/>
        </w:rPr>
        <w:t>支持测试检索的反馈速度和数据准确性。</w:t>
      </w:r>
    </w:p>
    <w:p>
      <w:pPr>
        <w:snapToGrid w:val="0"/>
        <w:spacing w:line="360" w:lineRule="auto"/>
        <w:ind w:firstLine="480" w:firstLineChars="200"/>
        <w:textAlignment w:val="center"/>
        <w:rPr>
          <w:sz w:val="24"/>
          <w:szCs w:val="32"/>
        </w:rPr>
      </w:pPr>
      <w:r>
        <w:rPr>
          <w:rFonts w:hint="eastAsia"/>
          <w:sz w:val="24"/>
          <w:szCs w:val="32"/>
        </w:rPr>
        <w:t>3）</w:t>
      </w:r>
      <w:r>
        <w:rPr>
          <w:sz w:val="24"/>
          <w:szCs w:val="32"/>
        </w:rPr>
        <w:t>多任务数据测试模块</w:t>
      </w:r>
    </w:p>
    <w:p>
      <w:pPr>
        <w:snapToGrid w:val="0"/>
        <w:spacing w:line="360" w:lineRule="auto"/>
        <w:ind w:firstLine="480" w:firstLineChars="200"/>
        <w:rPr>
          <w:sz w:val="24"/>
          <w:szCs w:val="32"/>
        </w:rPr>
      </w:pPr>
      <w:r>
        <w:rPr>
          <w:rFonts w:hint="eastAsia"/>
          <w:sz w:val="24"/>
          <w:szCs w:val="32"/>
        </w:rPr>
        <w:t>支持</w:t>
      </w:r>
      <w:r>
        <w:rPr>
          <w:sz w:val="24"/>
          <w:szCs w:val="32"/>
        </w:rPr>
        <w:t>测试数据检索模块的多任务并发处理性能。</w:t>
      </w:r>
    </w:p>
    <w:p>
      <w:pPr>
        <w:snapToGrid w:val="0"/>
        <w:spacing w:line="360" w:lineRule="auto"/>
        <w:ind w:firstLine="480" w:firstLineChars="200"/>
        <w:textAlignment w:val="center"/>
        <w:rPr>
          <w:sz w:val="24"/>
          <w:szCs w:val="32"/>
        </w:rPr>
      </w:pPr>
      <w:r>
        <w:rPr>
          <w:rFonts w:hint="eastAsia"/>
          <w:sz w:val="24"/>
          <w:szCs w:val="32"/>
        </w:rPr>
        <w:t>4）</w:t>
      </w:r>
      <w:r>
        <w:rPr>
          <w:sz w:val="24"/>
          <w:szCs w:val="32"/>
        </w:rPr>
        <w:t>报文头适配速度测试</w:t>
      </w:r>
    </w:p>
    <w:p>
      <w:pPr>
        <w:snapToGrid w:val="0"/>
        <w:spacing w:line="360" w:lineRule="auto"/>
        <w:ind w:firstLine="480" w:firstLineChars="200"/>
        <w:rPr>
          <w:sz w:val="24"/>
          <w:szCs w:val="32"/>
        </w:rPr>
      </w:pPr>
      <w:r>
        <w:rPr>
          <w:rFonts w:hint="eastAsia"/>
          <w:sz w:val="24"/>
          <w:szCs w:val="32"/>
        </w:rPr>
        <w:t>支持</w:t>
      </w:r>
      <w:r>
        <w:rPr>
          <w:sz w:val="24"/>
          <w:szCs w:val="32"/>
        </w:rPr>
        <w:t>测试数据检索模块对不同报文头的适配功能。</w:t>
      </w:r>
    </w:p>
    <w:p>
      <w:pPr>
        <w:snapToGrid w:val="0"/>
        <w:spacing w:line="360" w:lineRule="auto"/>
        <w:ind w:firstLine="200"/>
        <w:textAlignment w:val="center"/>
        <w:rPr>
          <w:sz w:val="24"/>
          <w:szCs w:val="32"/>
        </w:rPr>
      </w:pPr>
      <w:r>
        <w:rPr>
          <w:rFonts w:hint="eastAsia"/>
          <w:sz w:val="24"/>
          <w:szCs w:val="32"/>
        </w:rPr>
        <w:t>（5）</w:t>
      </w:r>
      <w:r>
        <w:rPr>
          <w:sz w:val="24"/>
          <w:szCs w:val="32"/>
        </w:rPr>
        <w:t>数据接口压力测试模块</w:t>
      </w:r>
    </w:p>
    <w:p>
      <w:pPr>
        <w:snapToGrid w:val="0"/>
        <w:spacing w:line="360" w:lineRule="auto"/>
        <w:ind w:firstLine="480" w:firstLineChars="200"/>
        <w:textAlignment w:val="center"/>
        <w:rPr>
          <w:sz w:val="24"/>
          <w:szCs w:val="32"/>
        </w:rPr>
      </w:pPr>
      <w:r>
        <w:rPr>
          <w:rFonts w:hint="eastAsia"/>
          <w:sz w:val="24"/>
          <w:szCs w:val="32"/>
        </w:rPr>
        <w:t>1）</w:t>
      </w:r>
      <w:r>
        <w:rPr>
          <w:sz w:val="24"/>
          <w:szCs w:val="32"/>
        </w:rPr>
        <w:t>用户压力测试模块</w:t>
      </w:r>
    </w:p>
    <w:p>
      <w:pPr>
        <w:snapToGrid w:val="0"/>
        <w:spacing w:line="360" w:lineRule="auto"/>
        <w:ind w:firstLine="480" w:firstLineChars="200"/>
        <w:rPr>
          <w:sz w:val="24"/>
          <w:szCs w:val="32"/>
        </w:rPr>
      </w:pPr>
      <w:r>
        <w:rPr>
          <w:rFonts w:hint="eastAsia"/>
          <w:sz w:val="24"/>
          <w:szCs w:val="32"/>
        </w:rPr>
        <w:t>支持</w:t>
      </w:r>
      <w:r>
        <w:rPr>
          <w:sz w:val="24"/>
          <w:szCs w:val="32"/>
        </w:rPr>
        <w:t>测试数据接口服务的多用户处理性能。</w:t>
      </w:r>
    </w:p>
    <w:p>
      <w:pPr>
        <w:snapToGrid w:val="0"/>
        <w:spacing w:line="360" w:lineRule="auto"/>
        <w:ind w:firstLine="480" w:firstLineChars="200"/>
        <w:textAlignment w:val="center"/>
        <w:rPr>
          <w:sz w:val="24"/>
          <w:szCs w:val="32"/>
        </w:rPr>
      </w:pPr>
      <w:r>
        <w:rPr>
          <w:rFonts w:hint="eastAsia"/>
          <w:sz w:val="24"/>
          <w:szCs w:val="32"/>
        </w:rPr>
        <w:t>2）</w:t>
      </w:r>
      <w:r>
        <w:rPr>
          <w:sz w:val="24"/>
          <w:szCs w:val="32"/>
        </w:rPr>
        <w:t>数据过滤压力测试模块</w:t>
      </w:r>
    </w:p>
    <w:p>
      <w:pPr>
        <w:snapToGrid w:val="0"/>
        <w:spacing w:line="360" w:lineRule="auto"/>
        <w:ind w:firstLine="480" w:firstLineChars="200"/>
        <w:rPr>
          <w:sz w:val="24"/>
          <w:szCs w:val="32"/>
        </w:rPr>
      </w:pPr>
      <w:r>
        <w:rPr>
          <w:rFonts w:hint="eastAsia"/>
          <w:sz w:val="24"/>
          <w:szCs w:val="32"/>
        </w:rPr>
        <w:t>支持</w:t>
      </w:r>
      <w:r>
        <w:rPr>
          <w:sz w:val="24"/>
          <w:szCs w:val="32"/>
        </w:rPr>
        <w:t>测试数据接口服务对过滤条件的处理性能。</w:t>
      </w:r>
    </w:p>
    <w:p>
      <w:pPr>
        <w:snapToGrid w:val="0"/>
        <w:spacing w:line="360" w:lineRule="auto"/>
        <w:ind w:left="400"/>
        <w:textAlignment w:val="center"/>
        <w:rPr>
          <w:sz w:val="24"/>
          <w:szCs w:val="32"/>
        </w:rPr>
      </w:pPr>
      <w:r>
        <w:rPr>
          <w:rFonts w:hint="eastAsia"/>
          <w:sz w:val="24"/>
          <w:szCs w:val="32"/>
        </w:rPr>
        <w:t>3）</w:t>
      </w:r>
      <w:r>
        <w:rPr>
          <w:sz w:val="24"/>
          <w:szCs w:val="32"/>
        </w:rPr>
        <w:t>并发鉴权压力测试模块</w:t>
      </w:r>
    </w:p>
    <w:p>
      <w:pPr>
        <w:snapToGrid w:val="0"/>
        <w:spacing w:line="360" w:lineRule="auto"/>
        <w:ind w:firstLine="480" w:firstLineChars="200"/>
        <w:rPr>
          <w:sz w:val="24"/>
          <w:szCs w:val="32"/>
        </w:rPr>
      </w:pPr>
      <w:r>
        <w:rPr>
          <w:rFonts w:hint="eastAsia"/>
          <w:sz w:val="24"/>
          <w:szCs w:val="32"/>
        </w:rPr>
        <w:t>支持</w:t>
      </w:r>
      <w:r>
        <w:rPr>
          <w:sz w:val="24"/>
          <w:szCs w:val="32"/>
        </w:rPr>
        <w:t>测试数据接口服务对并发鉴权的处理性能。</w:t>
      </w:r>
    </w:p>
    <w:p>
      <w:pPr>
        <w:snapToGrid w:val="0"/>
        <w:spacing w:line="360" w:lineRule="auto"/>
        <w:ind w:firstLine="480" w:firstLineChars="200"/>
        <w:textAlignment w:val="center"/>
        <w:rPr>
          <w:sz w:val="24"/>
          <w:szCs w:val="32"/>
        </w:rPr>
      </w:pPr>
      <w:r>
        <w:rPr>
          <w:rFonts w:hint="eastAsia"/>
          <w:sz w:val="24"/>
          <w:szCs w:val="32"/>
        </w:rPr>
        <w:t>（6）</w:t>
      </w:r>
      <w:r>
        <w:rPr>
          <w:sz w:val="24"/>
          <w:szCs w:val="32"/>
        </w:rPr>
        <w:t>数据接口安全性能测试模块</w:t>
      </w:r>
    </w:p>
    <w:p>
      <w:pPr>
        <w:snapToGrid w:val="0"/>
        <w:spacing w:line="360" w:lineRule="auto"/>
        <w:ind w:firstLine="480" w:firstLineChars="200"/>
        <w:textAlignment w:val="center"/>
        <w:rPr>
          <w:sz w:val="24"/>
          <w:szCs w:val="32"/>
        </w:rPr>
      </w:pPr>
      <w:r>
        <w:rPr>
          <w:sz w:val="24"/>
          <w:szCs w:val="32"/>
        </w:rPr>
        <w:t>1</w:t>
      </w:r>
      <w:r>
        <w:rPr>
          <w:rFonts w:hint="eastAsia"/>
          <w:sz w:val="24"/>
          <w:szCs w:val="32"/>
        </w:rPr>
        <w:t>）</w:t>
      </w:r>
      <w:r>
        <w:rPr>
          <w:sz w:val="24"/>
          <w:szCs w:val="32"/>
        </w:rPr>
        <w:t>DDOS攻击测试模块</w:t>
      </w:r>
    </w:p>
    <w:p>
      <w:pPr>
        <w:tabs>
          <w:tab w:val="left" w:pos="6779"/>
        </w:tabs>
        <w:snapToGrid w:val="0"/>
        <w:spacing w:line="360" w:lineRule="auto"/>
        <w:ind w:firstLine="480" w:firstLineChars="200"/>
        <w:rPr>
          <w:sz w:val="24"/>
          <w:szCs w:val="32"/>
        </w:rPr>
      </w:pPr>
      <w:r>
        <w:rPr>
          <w:rFonts w:hint="eastAsia"/>
          <w:sz w:val="24"/>
          <w:szCs w:val="32"/>
        </w:rPr>
        <w:t>支持</w:t>
      </w:r>
      <w:r>
        <w:rPr>
          <w:sz w:val="24"/>
          <w:szCs w:val="32"/>
        </w:rPr>
        <w:t>测试接口对DDOS攻击的响应能力。</w:t>
      </w:r>
      <w:r>
        <w:rPr>
          <w:sz w:val="24"/>
          <w:szCs w:val="32"/>
        </w:rPr>
        <w:tab/>
      </w:r>
    </w:p>
    <w:p>
      <w:pPr>
        <w:snapToGrid w:val="0"/>
        <w:spacing w:line="360" w:lineRule="auto"/>
        <w:ind w:firstLine="480" w:firstLineChars="200"/>
        <w:textAlignment w:val="center"/>
        <w:rPr>
          <w:sz w:val="24"/>
          <w:szCs w:val="32"/>
        </w:rPr>
      </w:pPr>
      <w:r>
        <w:rPr>
          <w:rFonts w:hint="eastAsia"/>
          <w:sz w:val="24"/>
          <w:szCs w:val="32"/>
        </w:rPr>
        <w:t>2）</w:t>
      </w:r>
      <w:r>
        <w:rPr>
          <w:sz w:val="24"/>
          <w:szCs w:val="32"/>
        </w:rPr>
        <w:t>数据代理安全性测试模块</w:t>
      </w:r>
    </w:p>
    <w:p>
      <w:pPr>
        <w:tabs>
          <w:tab w:val="left" w:pos="6779"/>
        </w:tabs>
        <w:snapToGrid w:val="0"/>
        <w:spacing w:line="360" w:lineRule="auto"/>
        <w:ind w:firstLine="480" w:firstLineChars="200"/>
        <w:rPr>
          <w:sz w:val="24"/>
          <w:szCs w:val="32"/>
        </w:rPr>
      </w:pPr>
      <w:r>
        <w:rPr>
          <w:rFonts w:hint="eastAsia"/>
          <w:sz w:val="24"/>
          <w:szCs w:val="32"/>
        </w:rPr>
        <w:t>支持</w:t>
      </w:r>
      <w:r>
        <w:rPr>
          <w:sz w:val="24"/>
          <w:szCs w:val="32"/>
        </w:rPr>
        <w:t>测试接口对攻击的响应能力。</w:t>
      </w:r>
      <w:bookmarkEnd w:id="48"/>
      <w:bookmarkEnd w:id="49"/>
      <w:bookmarkStart w:id="89" w:name="_Toc100742944"/>
      <w:bookmarkStart w:id="90" w:name="_Toc337477393"/>
      <w:bookmarkStart w:id="91" w:name="_Toc309719397"/>
      <w:bookmarkStart w:id="92" w:name="_Toc306536419"/>
      <w:bookmarkStart w:id="93" w:name="_Toc308636188"/>
    </w:p>
    <w:p>
      <w:pPr>
        <w:pStyle w:val="3"/>
        <w:jc w:val="left"/>
        <w:rPr>
          <w:sz w:val="28"/>
          <w:szCs w:val="28"/>
        </w:rPr>
      </w:pPr>
      <w:bookmarkStart w:id="94" w:name="_Toc16163"/>
      <w:bookmarkStart w:id="95" w:name="_Toc5644"/>
      <w:r>
        <w:rPr>
          <w:rFonts w:hint="eastAsia"/>
          <w:sz w:val="28"/>
          <w:szCs w:val="28"/>
        </w:rPr>
        <w:t>四、实施组织</w:t>
      </w:r>
      <w:bookmarkEnd w:id="89"/>
      <w:bookmarkEnd w:id="90"/>
      <w:bookmarkEnd w:id="94"/>
      <w:bookmarkEnd w:id="95"/>
    </w:p>
    <w:p>
      <w:pPr>
        <w:pStyle w:val="4"/>
        <w:numPr>
          <w:ilvl w:val="1"/>
          <w:numId w:val="0"/>
        </w:numPr>
        <w:tabs>
          <w:tab w:val="left" w:pos="280"/>
          <w:tab w:val="clear" w:pos="0"/>
        </w:tabs>
        <w:rPr>
          <w:rFonts w:ascii="Times New Roman" w:hAnsi="Times New Roman" w:eastAsia="宋体"/>
        </w:rPr>
      </w:pPr>
      <w:bookmarkStart w:id="96" w:name="_Toc337477394"/>
      <w:bookmarkStart w:id="97" w:name="_Toc100742945"/>
      <w:r>
        <w:rPr>
          <w:rFonts w:hint="eastAsia" w:ascii="Times New Roman" w:hAnsi="Times New Roman" w:eastAsia="宋体"/>
        </w:rPr>
        <w:t>4.1</w:t>
      </w:r>
      <w:r>
        <w:rPr>
          <w:rFonts w:ascii="Times New Roman" w:hAnsi="Times New Roman" w:eastAsia="宋体"/>
        </w:rPr>
        <w:t>项目管理</w:t>
      </w:r>
      <w:bookmarkEnd w:id="96"/>
      <w:bookmarkEnd w:id="97"/>
    </w:p>
    <w:p>
      <w:pPr>
        <w:pStyle w:val="83"/>
        <w:spacing w:line="360" w:lineRule="auto"/>
      </w:pPr>
      <w:r>
        <w:t>1、供应方在工程实施过程中，需对项目进行规范化管理，要有项目管理组织、项目管理计划、项目进度计划、项目验收计划等方案，确保工程实施质量。</w:t>
      </w:r>
    </w:p>
    <w:p>
      <w:pPr>
        <w:pStyle w:val="83"/>
        <w:spacing w:line="360" w:lineRule="auto"/>
      </w:pPr>
      <w:r>
        <w:t>2、供应方对提供的所有软件和服务及其它保证系统完整性的相应工作和工程质量负责。在履行合同的全过程中（从项目策划、数据库建模、验收直至售后服务）严格执行合同中有关技术、商务条款。</w:t>
      </w:r>
    </w:p>
    <w:p>
      <w:pPr>
        <w:pStyle w:val="83"/>
        <w:spacing w:line="360" w:lineRule="auto"/>
      </w:pPr>
      <w:r>
        <w:t>3、供应方应成立相应的项目小组，向采购方提出项目小组组织结构，并指定专职的项目经理，听从采购方的工程协调和工程调度工作，中途不得随意变更。</w:t>
      </w:r>
    </w:p>
    <w:p>
      <w:pPr>
        <w:pStyle w:val="83"/>
        <w:spacing w:line="360" w:lineRule="auto"/>
      </w:pPr>
      <w:r>
        <w:t>4、供应方成立包括专职项目经理在内的至少5人组成的技术支持小组，负责对参与项目实施的各方技术人员进行产品、技术培训，提供项目整体实施的技术方案，对工程实施过程中出现的疑难问题提供技术支持。</w:t>
      </w:r>
    </w:p>
    <w:p>
      <w:pPr>
        <w:pStyle w:val="4"/>
        <w:numPr>
          <w:ilvl w:val="1"/>
          <w:numId w:val="0"/>
        </w:numPr>
        <w:tabs>
          <w:tab w:val="left" w:pos="280"/>
          <w:tab w:val="clear" w:pos="0"/>
        </w:tabs>
        <w:rPr>
          <w:rFonts w:ascii="Times New Roman" w:hAnsi="Times New Roman" w:eastAsia="宋体"/>
        </w:rPr>
      </w:pPr>
      <w:bookmarkStart w:id="98" w:name="_Toc100742946"/>
      <w:bookmarkStart w:id="99" w:name="_Toc337477395"/>
      <w:r>
        <w:rPr>
          <w:rFonts w:hint="eastAsia" w:ascii="Times New Roman" w:hAnsi="Times New Roman" w:eastAsia="宋体"/>
        </w:rPr>
        <w:t>4.2</w:t>
      </w:r>
      <w:r>
        <w:rPr>
          <w:rFonts w:ascii="Times New Roman" w:hAnsi="Times New Roman" w:eastAsia="宋体"/>
        </w:rPr>
        <w:t>系统测试</w:t>
      </w:r>
      <w:bookmarkEnd w:id="98"/>
      <w:bookmarkEnd w:id="99"/>
    </w:p>
    <w:p>
      <w:pPr>
        <w:spacing w:line="360" w:lineRule="auto"/>
        <w:ind w:firstLine="480" w:firstLineChars="200"/>
        <w:rPr>
          <w:sz w:val="24"/>
        </w:rPr>
      </w:pPr>
      <w:r>
        <w:rPr>
          <w:sz w:val="24"/>
        </w:rPr>
        <w:t>1、供应方需依标书要求，提供测试方案，并经采购方确认。</w:t>
      </w:r>
    </w:p>
    <w:p>
      <w:pPr>
        <w:spacing w:line="360" w:lineRule="auto"/>
        <w:ind w:firstLine="480" w:firstLineChars="200"/>
        <w:rPr>
          <w:sz w:val="24"/>
        </w:rPr>
      </w:pPr>
      <w:r>
        <w:rPr>
          <w:sz w:val="24"/>
        </w:rPr>
        <w:t>2、在测试过程中，供应方有责任对采购方的技术人员提出的问题做出解答。测试过程应进行详细记录，系统测试结束后，由供应方技术人员签字后交给采购方验收。</w:t>
      </w:r>
    </w:p>
    <w:p>
      <w:pPr>
        <w:spacing w:line="360" w:lineRule="auto"/>
        <w:ind w:firstLine="480" w:firstLineChars="200"/>
        <w:rPr>
          <w:sz w:val="24"/>
        </w:rPr>
      </w:pPr>
      <w:r>
        <w:rPr>
          <w:sz w:val="24"/>
        </w:rPr>
        <w:t>3、供应方需向采购方提交测试方案和测试报告。采购方在验收前应有一份完整的检验报告和测试数据。</w:t>
      </w:r>
    </w:p>
    <w:p>
      <w:pPr>
        <w:spacing w:line="360" w:lineRule="auto"/>
        <w:ind w:firstLine="480" w:firstLineChars="200"/>
        <w:rPr>
          <w:sz w:val="24"/>
        </w:rPr>
      </w:pPr>
      <w:r>
        <w:rPr>
          <w:sz w:val="24"/>
        </w:rPr>
        <w:t>4、设备测试中出现性能指标或功能上不符合合同要求时，采购方有拒收的权利。</w:t>
      </w:r>
    </w:p>
    <w:p>
      <w:pPr>
        <w:pStyle w:val="4"/>
        <w:numPr>
          <w:ilvl w:val="1"/>
          <w:numId w:val="0"/>
        </w:numPr>
        <w:tabs>
          <w:tab w:val="left" w:pos="280"/>
          <w:tab w:val="clear" w:pos="0"/>
        </w:tabs>
        <w:rPr>
          <w:rFonts w:ascii="Times New Roman" w:hAnsi="Times New Roman" w:eastAsia="宋体"/>
        </w:rPr>
      </w:pPr>
      <w:bookmarkStart w:id="100" w:name="_Toc337477396"/>
      <w:bookmarkStart w:id="101" w:name="_Toc100742947"/>
      <w:r>
        <w:rPr>
          <w:rFonts w:hint="eastAsia" w:ascii="Times New Roman" w:hAnsi="Times New Roman" w:eastAsia="宋体"/>
        </w:rPr>
        <w:t>4.3</w:t>
      </w:r>
      <w:r>
        <w:rPr>
          <w:rFonts w:ascii="Times New Roman" w:hAnsi="Times New Roman" w:eastAsia="宋体"/>
        </w:rPr>
        <w:t>系统验收</w:t>
      </w:r>
      <w:bookmarkEnd w:id="100"/>
      <w:bookmarkEnd w:id="101"/>
    </w:p>
    <w:p>
      <w:pPr>
        <w:spacing w:line="360" w:lineRule="auto"/>
        <w:ind w:firstLine="480" w:firstLineChars="200"/>
        <w:rPr>
          <w:sz w:val="24"/>
        </w:rPr>
      </w:pPr>
      <w:r>
        <w:rPr>
          <w:rFonts w:hint="eastAsia"/>
          <w:sz w:val="24"/>
        </w:rPr>
        <w:t>系统验收包含用户功能确认、现场验收、系统试运行、最终验收四部分。</w:t>
      </w:r>
    </w:p>
    <w:p>
      <w:pPr>
        <w:pStyle w:val="5"/>
        <w:rPr>
          <w:sz w:val="24"/>
          <w:szCs w:val="24"/>
        </w:rPr>
      </w:pPr>
      <w:bookmarkStart w:id="102" w:name="_Toc432756632"/>
      <w:bookmarkStart w:id="103" w:name="_Toc100742948"/>
      <w:bookmarkStart w:id="104" w:name="_Toc338059964"/>
      <w:bookmarkStart w:id="105" w:name="_Toc338059622"/>
      <w:bookmarkStart w:id="106" w:name="_Toc380732070"/>
      <w:bookmarkStart w:id="107" w:name="_Toc337477397"/>
      <w:bookmarkStart w:id="108" w:name="_Toc381270385"/>
      <w:r>
        <w:rPr>
          <w:sz w:val="24"/>
          <w:szCs w:val="24"/>
        </w:rPr>
        <w:t>4.3.1</w:t>
      </w:r>
      <w:r>
        <w:rPr>
          <w:rFonts w:hint="eastAsia"/>
          <w:sz w:val="24"/>
          <w:szCs w:val="24"/>
        </w:rPr>
        <w:t>用户功能确认</w:t>
      </w:r>
      <w:bookmarkEnd w:id="102"/>
      <w:bookmarkEnd w:id="103"/>
      <w:bookmarkEnd w:id="104"/>
      <w:bookmarkEnd w:id="105"/>
      <w:bookmarkEnd w:id="106"/>
      <w:bookmarkEnd w:id="107"/>
      <w:bookmarkEnd w:id="108"/>
    </w:p>
    <w:p>
      <w:pPr>
        <w:spacing w:line="360" w:lineRule="auto"/>
        <w:ind w:firstLine="480" w:firstLineChars="200"/>
        <w:rPr>
          <w:sz w:val="24"/>
        </w:rPr>
      </w:pPr>
      <w:r>
        <w:rPr>
          <w:sz w:val="24"/>
        </w:rPr>
        <w:t>为了保证系统功能能够满足采购方的实际需求，由供应方组织采购方对系统功能进行用户功能确认。确认无误后, 可进行现场验收。</w:t>
      </w:r>
    </w:p>
    <w:p>
      <w:pPr>
        <w:pStyle w:val="5"/>
        <w:rPr>
          <w:sz w:val="24"/>
          <w:szCs w:val="24"/>
        </w:rPr>
      </w:pPr>
      <w:bookmarkStart w:id="109" w:name="_Toc381270386"/>
      <w:bookmarkStart w:id="110" w:name="_Toc380732071"/>
      <w:bookmarkStart w:id="111" w:name="_Toc338059965"/>
      <w:bookmarkStart w:id="112" w:name="_Toc338059623"/>
      <w:bookmarkStart w:id="113" w:name="_Toc337477398"/>
      <w:bookmarkStart w:id="114" w:name="_Toc432756633"/>
      <w:bookmarkStart w:id="115" w:name="_Toc100742949"/>
      <w:r>
        <w:rPr>
          <w:rFonts w:hint="eastAsia"/>
          <w:sz w:val="24"/>
          <w:szCs w:val="24"/>
        </w:rPr>
        <w:t>4.3.2</w:t>
      </w:r>
      <w:r>
        <w:rPr>
          <w:sz w:val="24"/>
          <w:szCs w:val="24"/>
        </w:rPr>
        <w:t>现场验收</w:t>
      </w:r>
      <w:bookmarkEnd w:id="109"/>
      <w:bookmarkEnd w:id="110"/>
      <w:bookmarkEnd w:id="111"/>
      <w:bookmarkEnd w:id="112"/>
      <w:bookmarkEnd w:id="113"/>
      <w:bookmarkEnd w:id="114"/>
      <w:bookmarkEnd w:id="115"/>
    </w:p>
    <w:p>
      <w:pPr>
        <w:pStyle w:val="83"/>
        <w:spacing w:line="360" w:lineRule="auto"/>
      </w:pPr>
      <w:r>
        <w:t>现场验收的参加人员由采购方组织。按照项目合同规定的内容，对项目建设的相关材料进行审核。</w:t>
      </w:r>
    </w:p>
    <w:p>
      <w:pPr>
        <w:pStyle w:val="83"/>
        <w:spacing w:line="360" w:lineRule="auto"/>
      </w:pPr>
      <w:r>
        <w:t>目的：验证工程是否全面达到设计要求和项目建设要求。</w:t>
      </w:r>
    </w:p>
    <w:p>
      <w:pPr>
        <w:pStyle w:val="83"/>
        <w:spacing w:line="360" w:lineRule="auto"/>
      </w:pPr>
      <w:r>
        <w:t>检查：核对技术文档的完整性。</w:t>
      </w:r>
    </w:p>
    <w:p>
      <w:pPr>
        <w:pStyle w:val="83"/>
        <w:spacing w:line="360" w:lineRule="auto"/>
      </w:pPr>
      <w:r>
        <w:t>测试：根据工程需求分析、技术方案及其他设计文档，逐项测试各供应方各分项功能是否达到设计要求，核对实际运行效果与技术文档中描述的符合程度。测试内容有功能测试、性能测试、联调测试、连续负荷运行测试。连续负荷运行测试需对整个系统进行240小时连续不间断总体负荷运行测试。系统测试不合格，由供应方组织免费修复后立即进行下一次测试。</w:t>
      </w:r>
    </w:p>
    <w:p>
      <w:pPr>
        <w:pStyle w:val="83"/>
        <w:spacing w:line="360" w:lineRule="auto"/>
      </w:pPr>
      <w:r>
        <w:t>现场验收合格后，各方签署《系统现场验收报告》，可进行下一步系统试运行。</w:t>
      </w:r>
    </w:p>
    <w:p>
      <w:pPr>
        <w:pStyle w:val="5"/>
        <w:rPr>
          <w:sz w:val="24"/>
          <w:szCs w:val="24"/>
        </w:rPr>
      </w:pPr>
      <w:bookmarkStart w:id="116" w:name="_Toc380732072"/>
      <w:bookmarkStart w:id="117" w:name="_Toc338059624"/>
      <w:bookmarkStart w:id="118" w:name="_Toc338059966"/>
      <w:bookmarkStart w:id="119" w:name="_Toc432756634"/>
      <w:bookmarkStart w:id="120" w:name="_Toc381270387"/>
      <w:bookmarkStart w:id="121" w:name="_Toc100742950"/>
      <w:r>
        <w:rPr>
          <w:rFonts w:hint="eastAsia"/>
          <w:sz w:val="24"/>
          <w:szCs w:val="24"/>
        </w:rPr>
        <w:t>4.3.3</w:t>
      </w:r>
      <w:r>
        <w:rPr>
          <w:sz w:val="24"/>
          <w:szCs w:val="24"/>
        </w:rPr>
        <w:t>系统试运行</w:t>
      </w:r>
      <w:bookmarkEnd w:id="116"/>
      <w:bookmarkEnd w:id="117"/>
      <w:bookmarkEnd w:id="118"/>
      <w:bookmarkEnd w:id="119"/>
      <w:bookmarkEnd w:id="120"/>
      <w:bookmarkEnd w:id="121"/>
    </w:p>
    <w:p>
      <w:pPr>
        <w:spacing w:line="360" w:lineRule="auto"/>
        <w:ind w:firstLine="480" w:firstLineChars="200"/>
        <w:rPr>
          <w:sz w:val="24"/>
        </w:rPr>
      </w:pPr>
      <w:r>
        <w:rPr>
          <w:sz w:val="24"/>
        </w:rPr>
        <w:t>1、系统开通投入试运行前，供应方须按照采购方的要求开展系统的联调和测试工作，对整个系统进行总体功能和性能测试，系统测试结果必须满足本</w:t>
      </w:r>
      <w:r>
        <w:rPr>
          <w:rFonts w:hint="eastAsia"/>
          <w:sz w:val="24"/>
        </w:rPr>
        <w:t>项目需求书</w:t>
      </w:r>
      <w:r>
        <w:rPr>
          <w:sz w:val="24"/>
        </w:rPr>
        <w:t>所规定的技术和功能要求。测试计划、测试内容和测试方法由供应方提出，并经采购方确认。</w:t>
      </w:r>
    </w:p>
    <w:p>
      <w:pPr>
        <w:spacing w:line="360" w:lineRule="auto"/>
        <w:ind w:firstLine="480" w:firstLineChars="200"/>
        <w:rPr>
          <w:sz w:val="24"/>
        </w:rPr>
      </w:pPr>
      <w:r>
        <w:rPr>
          <w:sz w:val="24"/>
        </w:rPr>
        <w:t>2、试运行期间，测试不合格，由供应方组织修复。</w:t>
      </w:r>
    </w:p>
    <w:p>
      <w:pPr>
        <w:spacing w:line="360" w:lineRule="auto"/>
        <w:ind w:firstLine="480" w:firstLineChars="200"/>
        <w:rPr>
          <w:sz w:val="24"/>
        </w:rPr>
      </w:pPr>
      <w:r>
        <w:rPr>
          <w:sz w:val="24"/>
        </w:rPr>
        <w:t>3、在试运行期间，出现非采购方因素导致的严重系统故障的，试运行期顺延。</w:t>
      </w:r>
    </w:p>
    <w:p>
      <w:pPr>
        <w:spacing w:line="360" w:lineRule="auto"/>
        <w:ind w:firstLine="480" w:firstLineChars="200"/>
        <w:rPr>
          <w:sz w:val="24"/>
        </w:rPr>
      </w:pPr>
      <w:r>
        <w:rPr>
          <w:sz w:val="24"/>
        </w:rPr>
        <w:t>4、在试运行期间，系统出现问题时，供应方应指定有经验的技术人员24小时内修复。</w:t>
      </w:r>
    </w:p>
    <w:p>
      <w:pPr>
        <w:spacing w:line="360" w:lineRule="auto"/>
        <w:ind w:firstLine="480" w:firstLineChars="200"/>
        <w:rPr>
          <w:sz w:val="24"/>
        </w:rPr>
      </w:pPr>
      <w:r>
        <w:rPr>
          <w:sz w:val="24"/>
        </w:rPr>
        <w:t>系统试运行期结束，可进行最终验收。</w:t>
      </w:r>
    </w:p>
    <w:p>
      <w:pPr>
        <w:pStyle w:val="5"/>
        <w:rPr>
          <w:sz w:val="24"/>
          <w:szCs w:val="24"/>
        </w:rPr>
      </w:pPr>
      <w:bookmarkStart w:id="122" w:name="_Toc337477399"/>
      <w:bookmarkStart w:id="123" w:name="_Toc380732073"/>
      <w:bookmarkStart w:id="124" w:name="_Toc432756635"/>
      <w:bookmarkStart w:id="125" w:name="_Toc338059967"/>
      <w:bookmarkStart w:id="126" w:name="_Toc381270388"/>
      <w:bookmarkStart w:id="127" w:name="_Toc338059625"/>
      <w:bookmarkStart w:id="128" w:name="_Toc100742951"/>
      <w:r>
        <w:rPr>
          <w:rFonts w:hint="eastAsia"/>
          <w:sz w:val="24"/>
          <w:szCs w:val="24"/>
        </w:rPr>
        <w:t>4.3.4</w:t>
      </w:r>
      <w:r>
        <w:rPr>
          <w:sz w:val="24"/>
          <w:szCs w:val="24"/>
        </w:rPr>
        <w:t>最终验收</w:t>
      </w:r>
      <w:bookmarkEnd w:id="122"/>
      <w:bookmarkEnd w:id="123"/>
      <w:bookmarkEnd w:id="124"/>
      <w:bookmarkEnd w:id="125"/>
      <w:bookmarkEnd w:id="126"/>
      <w:bookmarkEnd w:id="127"/>
      <w:bookmarkEnd w:id="128"/>
    </w:p>
    <w:p>
      <w:pPr>
        <w:spacing w:line="360" w:lineRule="auto"/>
        <w:ind w:firstLine="480" w:firstLineChars="200"/>
        <w:rPr>
          <w:sz w:val="24"/>
        </w:rPr>
      </w:pPr>
      <w:r>
        <w:rPr>
          <w:sz w:val="24"/>
        </w:rPr>
        <w:t>系统试运行通过后，供应方向采购方提交最终验收申请，由采购方组织进行工程的最终验收，验收计划由供应方制定，并报采购方批准。</w:t>
      </w:r>
    </w:p>
    <w:p>
      <w:pPr>
        <w:spacing w:line="360" w:lineRule="auto"/>
        <w:ind w:firstLine="480" w:firstLineChars="200"/>
        <w:rPr>
          <w:sz w:val="24"/>
        </w:rPr>
      </w:pPr>
      <w:r>
        <w:rPr>
          <w:sz w:val="24"/>
        </w:rPr>
        <w:t>目的：验证工程是否全面达到设计要求和项目建设要求。</w:t>
      </w:r>
    </w:p>
    <w:p>
      <w:pPr>
        <w:spacing w:line="360" w:lineRule="auto"/>
        <w:ind w:firstLine="480" w:firstLineChars="200"/>
        <w:rPr>
          <w:sz w:val="24"/>
        </w:rPr>
      </w:pPr>
      <w:r>
        <w:rPr>
          <w:sz w:val="24"/>
        </w:rPr>
        <w:t>检查：核对技术文档的完整性。</w:t>
      </w:r>
    </w:p>
    <w:p>
      <w:pPr>
        <w:spacing w:line="360" w:lineRule="auto"/>
        <w:ind w:firstLine="480" w:firstLineChars="200"/>
        <w:rPr>
          <w:sz w:val="24"/>
        </w:rPr>
      </w:pPr>
      <w:r>
        <w:rPr>
          <w:sz w:val="24"/>
        </w:rPr>
        <w:t>测试：根据工程需求分析、技术方案及其他设计文档，逐项测试各分项功能是否达到设计要求，核对实际运行效果与技术文档中描述的符合程度。</w:t>
      </w:r>
    </w:p>
    <w:p>
      <w:pPr>
        <w:spacing w:line="360" w:lineRule="auto"/>
        <w:ind w:firstLine="480" w:firstLineChars="200"/>
        <w:rPr>
          <w:sz w:val="24"/>
        </w:rPr>
      </w:pPr>
      <w:r>
        <w:rPr>
          <w:sz w:val="24"/>
        </w:rPr>
        <w:t>召开项目验收专家评审会。召开验收组全体成员参加的项目验收评审会，全面细致审核项目有关材料及项目验收小组提交的终验报告，最后给出最终的验收意见。系统最终验收合格后，组织方出具《最终验收报告》，各相关方签字盖章。</w:t>
      </w:r>
    </w:p>
    <w:p>
      <w:pPr>
        <w:spacing w:line="360" w:lineRule="auto"/>
        <w:ind w:firstLine="480" w:firstLineChars="200"/>
        <w:rPr>
          <w:sz w:val="24"/>
        </w:rPr>
      </w:pPr>
      <w:r>
        <w:rPr>
          <w:sz w:val="24"/>
        </w:rPr>
        <w:t>工程终验通过后，全部系统</w:t>
      </w:r>
      <w:r>
        <w:rPr>
          <w:rFonts w:hint="eastAsia"/>
          <w:sz w:val="24"/>
        </w:rPr>
        <w:t>完成</w:t>
      </w:r>
      <w:r>
        <w:rPr>
          <w:sz w:val="24"/>
        </w:rPr>
        <w:t>。</w:t>
      </w:r>
    </w:p>
    <w:p>
      <w:pPr>
        <w:spacing w:line="360" w:lineRule="auto"/>
        <w:ind w:firstLine="480" w:firstLineChars="200"/>
        <w:rPr>
          <w:sz w:val="24"/>
        </w:rPr>
      </w:pPr>
      <w:r>
        <w:rPr>
          <w:sz w:val="24"/>
        </w:rPr>
        <w:t>终验时，供应方需向采购方提交全部系统文档资料。</w:t>
      </w:r>
    </w:p>
    <w:p>
      <w:pPr>
        <w:pStyle w:val="3"/>
        <w:jc w:val="left"/>
        <w:rPr>
          <w:sz w:val="28"/>
          <w:szCs w:val="28"/>
        </w:rPr>
      </w:pPr>
      <w:bookmarkStart w:id="129" w:name="_Toc100742952"/>
      <w:bookmarkStart w:id="130" w:name="_Toc14850"/>
      <w:bookmarkStart w:id="131" w:name="_Toc21915"/>
      <w:r>
        <w:rPr>
          <w:rFonts w:hint="eastAsia"/>
          <w:sz w:val="28"/>
          <w:szCs w:val="28"/>
        </w:rPr>
        <w:t>五、</w:t>
      </w:r>
      <w:r>
        <w:rPr>
          <w:sz w:val="28"/>
          <w:szCs w:val="28"/>
        </w:rPr>
        <w:t>技术服务</w:t>
      </w:r>
      <w:bookmarkEnd w:id="91"/>
      <w:bookmarkEnd w:id="92"/>
      <w:bookmarkEnd w:id="93"/>
      <w:bookmarkEnd w:id="129"/>
      <w:bookmarkEnd w:id="130"/>
      <w:bookmarkEnd w:id="131"/>
    </w:p>
    <w:p>
      <w:pPr>
        <w:pStyle w:val="4"/>
        <w:numPr>
          <w:ilvl w:val="1"/>
          <w:numId w:val="0"/>
        </w:numPr>
        <w:tabs>
          <w:tab w:val="clear" w:pos="0"/>
        </w:tabs>
        <w:rPr>
          <w:rFonts w:ascii="Times New Roman" w:hAnsi="Times New Roman" w:eastAsia="宋体"/>
          <w:kern w:val="0"/>
        </w:rPr>
      </w:pPr>
      <w:bookmarkStart w:id="132" w:name="_Toc100742953"/>
      <w:bookmarkStart w:id="133" w:name="_Toc205728313"/>
      <w:bookmarkStart w:id="134" w:name="_Toc321818332"/>
      <w:bookmarkStart w:id="135" w:name="_Toc309719398"/>
      <w:bookmarkStart w:id="136" w:name="_Toc308636189"/>
      <w:bookmarkStart w:id="137" w:name="_Toc306536420"/>
      <w:r>
        <w:rPr>
          <w:rFonts w:hint="eastAsia" w:ascii="Times New Roman" w:hAnsi="Times New Roman" w:eastAsia="宋体"/>
          <w:kern w:val="0"/>
        </w:rPr>
        <w:t>5.1</w:t>
      </w:r>
      <w:r>
        <w:rPr>
          <w:rFonts w:ascii="Times New Roman" w:hAnsi="Times New Roman" w:eastAsia="宋体"/>
          <w:kern w:val="0"/>
        </w:rPr>
        <w:t>技术支持</w:t>
      </w:r>
      <w:bookmarkEnd w:id="132"/>
      <w:bookmarkEnd w:id="133"/>
      <w:bookmarkEnd w:id="134"/>
    </w:p>
    <w:p>
      <w:pPr>
        <w:spacing w:line="360" w:lineRule="auto"/>
        <w:ind w:firstLine="480" w:firstLineChars="200"/>
        <w:rPr>
          <w:sz w:val="24"/>
        </w:rPr>
      </w:pPr>
      <w:r>
        <w:rPr>
          <w:sz w:val="24"/>
        </w:rPr>
        <w:t>供应方须承诺提供主要设备原厂商3年技术支持，要求原厂商有稳定的服务队伍；提供其它设备的3年技术支持，供应方必须自身拥有稳定的服务队伍。供应方在应答时应详细阐述技术支持的内容、范围、响应时间和解决问题时间。</w:t>
      </w:r>
    </w:p>
    <w:p>
      <w:pPr>
        <w:pStyle w:val="5"/>
      </w:pPr>
      <w:bookmarkStart w:id="138" w:name="_Toc338059629"/>
      <w:bookmarkStart w:id="139" w:name="_Toc205728314"/>
      <w:bookmarkStart w:id="140" w:name="_Toc432756638"/>
      <w:bookmarkStart w:id="141" w:name="_Toc321818333"/>
      <w:bookmarkStart w:id="142" w:name="_Toc381270392"/>
      <w:bookmarkStart w:id="143" w:name="_Toc338059971"/>
      <w:bookmarkStart w:id="144" w:name="_Toc380732077"/>
      <w:bookmarkStart w:id="145" w:name="_Toc100742954"/>
      <w:r>
        <w:rPr>
          <w:rFonts w:hint="eastAsia"/>
        </w:rPr>
        <w:t>5.1.1质保</w:t>
      </w:r>
      <w:r>
        <w:t>服务</w:t>
      </w:r>
      <w:bookmarkEnd w:id="138"/>
      <w:bookmarkEnd w:id="139"/>
      <w:bookmarkEnd w:id="140"/>
      <w:bookmarkEnd w:id="141"/>
      <w:bookmarkEnd w:id="142"/>
      <w:bookmarkEnd w:id="143"/>
      <w:bookmarkEnd w:id="144"/>
      <w:bookmarkEnd w:id="145"/>
    </w:p>
    <w:p>
      <w:pPr>
        <w:pStyle w:val="6"/>
        <w:numPr>
          <w:ilvl w:val="3"/>
          <w:numId w:val="0"/>
        </w:numPr>
        <w:tabs>
          <w:tab w:val="clear" w:pos="567"/>
        </w:tabs>
      </w:pPr>
      <w:r>
        <w:rPr>
          <w:rFonts w:hint="eastAsia"/>
        </w:rPr>
        <w:t>5.1.1.1软件质保服务</w:t>
      </w:r>
    </w:p>
    <w:p>
      <w:pPr>
        <w:spacing w:line="360" w:lineRule="auto"/>
        <w:ind w:firstLine="480" w:firstLineChars="200"/>
        <w:rPr>
          <w:sz w:val="24"/>
        </w:rPr>
      </w:pPr>
      <w:r>
        <w:rPr>
          <w:sz w:val="24"/>
        </w:rPr>
        <w:t>（1）从现场验收签字之日起开始保证期，软件保证期不少于5年。</w:t>
      </w:r>
    </w:p>
    <w:p>
      <w:pPr>
        <w:spacing w:line="360" w:lineRule="auto"/>
        <w:ind w:firstLine="480" w:firstLineChars="200"/>
        <w:rPr>
          <w:sz w:val="24"/>
        </w:rPr>
      </w:pPr>
      <w:r>
        <w:rPr>
          <w:sz w:val="24"/>
        </w:rPr>
        <w:t>（2）在软件保证期内，供应方有责任免费保证系统正常运行。</w:t>
      </w:r>
    </w:p>
    <w:p>
      <w:pPr>
        <w:spacing w:line="360" w:lineRule="auto"/>
        <w:ind w:firstLine="480" w:firstLineChars="200"/>
        <w:rPr>
          <w:sz w:val="24"/>
        </w:rPr>
      </w:pPr>
      <w:r>
        <w:rPr>
          <w:sz w:val="24"/>
        </w:rPr>
        <w:t>（3）在保证期内，如供应方被兼并或收购，应保证兼并或收购方继续对采购方履行服务。</w:t>
      </w:r>
    </w:p>
    <w:p>
      <w:pPr>
        <w:pStyle w:val="6"/>
        <w:numPr>
          <w:ilvl w:val="3"/>
          <w:numId w:val="0"/>
        </w:numPr>
        <w:tabs>
          <w:tab w:val="clear" w:pos="567"/>
        </w:tabs>
      </w:pPr>
      <w:r>
        <w:rPr>
          <w:rFonts w:hint="eastAsia"/>
        </w:rPr>
        <w:t>5.1.1.2硬件质保服务</w:t>
      </w:r>
    </w:p>
    <w:p>
      <w:pPr>
        <w:spacing w:line="360" w:lineRule="auto"/>
        <w:ind w:firstLine="480" w:firstLineChars="200"/>
        <w:rPr>
          <w:sz w:val="24"/>
        </w:rPr>
      </w:pPr>
      <w:r>
        <w:rPr>
          <w:sz w:val="24"/>
        </w:rPr>
        <w:t>为了确保最终用户的利益，供应方对售出产品提供质保服务，硬件设备提供三年免费质保，时间自验收合格后开始计算。在质保期内，如果发现由于设备本身的原因造成故障，供应方将对该设备进行免费修理或更换。</w:t>
      </w:r>
    </w:p>
    <w:p>
      <w:pPr>
        <w:numPr>
          <w:ilvl w:val="0"/>
          <w:numId w:val="17"/>
        </w:numPr>
        <w:spacing w:line="360" w:lineRule="auto"/>
        <w:rPr>
          <w:sz w:val="24"/>
        </w:rPr>
      </w:pPr>
      <w:r>
        <w:rPr>
          <w:sz w:val="24"/>
        </w:rPr>
        <w:t>产品安装服务，提供所有合同硬件和软件的现场安装配置服务。</w:t>
      </w:r>
    </w:p>
    <w:p>
      <w:pPr>
        <w:numPr>
          <w:ilvl w:val="0"/>
          <w:numId w:val="17"/>
        </w:numPr>
        <w:spacing w:line="360" w:lineRule="auto"/>
        <w:rPr>
          <w:sz w:val="24"/>
        </w:rPr>
      </w:pPr>
      <w:r>
        <w:rPr>
          <w:sz w:val="24"/>
        </w:rPr>
        <w:t>对设备提供3年免费保修、维护、软件升级和备品备件更换等服务。</w:t>
      </w:r>
    </w:p>
    <w:p>
      <w:pPr>
        <w:numPr>
          <w:ilvl w:val="0"/>
          <w:numId w:val="17"/>
        </w:numPr>
        <w:spacing w:line="360" w:lineRule="auto"/>
        <w:rPr>
          <w:sz w:val="24"/>
        </w:rPr>
      </w:pPr>
      <w:r>
        <w:rPr>
          <w:sz w:val="24"/>
        </w:rPr>
        <w:t>3年紧急现场支持服务，系统进入保修期后，提供三年7*24小时紧急现场支持服务，2小时内到达现场，不限次数。</w:t>
      </w:r>
    </w:p>
    <w:p>
      <w:pPr>
        <w:numPr>
          <w:ilvl w:val="0"/>
          <w:numId w:val="18"/>
        </w:numPr>
        <w:spacing w:line="360" w:lineRule="auto"/>
        <w:rPr>
          <w:sz w:val="24"/>
        </w:rPr>
      </w:pPr>
      <w:r>
        <w:rPr>
          <w:sz w:val="24"/>
        </w:rPr>
        <w:t>设备在运行过程中如果出现技术性故障，供应方应保证48小时内解决问题（以报修时间算起）。</w:t>
      </w:r>
    </w:p>
    <w:p>
      <w:pPr>
        <w:numPr>
          <w:ilvl w:val="0"/>
          <w:numId w:val="17"/>
        </w:numPr>
        <w:spacing w:line="360" w:lineRule="auto"/>
        <w:rPr>
          <w:sz w:val="24"/>
        </w:rPr>
      </w:pPr>
      <w:r>
        <w:rPr>
          <w:sz w:val="24"/>
        </w:rPr>
        <w:t>保证期内供应方如果不能在本标书规定的时间内</w:t>
      </w:r>
      <w:r>
        <w:rPr>
          <w:rFonts w:hint="eastAsia"/>
          <w:sz w:val="24"/>
        </w:rPr>
        <w:t>做出</w:t>
      </w:r>
      <w:r>
        <w:rPr>
          <w:sz w:val="24"/>
        </w:rPr>
        <w:t>反应和修复故障，每超出1天按合同总价的0.1％对供应方罚款。</w:t>
      </w:r>
    </w:p>
    <w:p>
      <w:pPr>
        <w:numPr>
          <w:ilvl w:val="0"/>
          <w:numId w:val="17"/>
        </w:numPr>
        <w:spacing w:line="360" w:lineRule="auto"/>
        <w:rPr>
          <w:sz w:val="24"/>
        </w:rPr>
      </w:pPr>
      <w:r>
        <w:rPr>
          <w:sz w:val="24"/>
        </w:rPr>
        <w:t>设备如发生硬件故障，无法在48小时故障解决时间内排除故障，供应方必须保证采购方在48小时内得到无故障设备（以报修时间算起）。</w:t>
      </w:r>
    </w:p>
    <w:p>
      <w:pPr>
        <w:numPr>
          <w:ilvl w:val="0"/>
          <w:numId w:val="17"/>
        </w:numPr>
        <w:spacing w:line="360" w:lineRule="auto"/>
        <w:rPr>
          <w:sz w:val="24"/>
        </w:rPr>
      </w:pPr>
      <w:r>
        <w:rPr>
          <w:sz w:val="24"/>
        </w:rPr>
        <w:t>若因供应方设计、安装原因而造成故障，则保证期由此故障修复之日重新开始。</w:t>
      </w:r>
    </w:p>
    <w:p>
      <w:pPr>
        <w:numPr>
          <w:ilvl w:val="0"/>
          <w:numId w:val="17"/>
        </w:numPr>
        <w:spacing w:line="360" w:lineRule="auto"/>
        <w:rPr>
          <w:sz w:val="24"/>
        </w:rPr>
      </w:pPr>
      <w:r>
        <w:rPr>
          <w:sz w:val="24"/>
        </w:rPr>
        <w:t>供应方须认真理解上述保修要求，详细列出保修方案和相应的系统应急方案，一经应答将作为合同的一部分。</w:t>
      </w:r>
    </w:p>
    <w:p>
      <w:pPr>
        <w:numPr>
          <w:ilvl w:val="0"/>
          <w:numId w:val="17"/>
        </w:numPr>
        <w:spacing w:line="360" w:lineRule="auto"/>
        <w:rPr>
          <w:sz w:val="24"/>
        </w:rPr>
      </w:pPr>
      <w:r>
        <w:rPr>
          <w:sz w:val="24"/>
        </w:rPr>
        <w:t>供应方必须提供对本项目正式服务承诺说明的原件（至少包括服务内容、期限、费用等），该承诺将同供应方在标书中相关部分所列费用一起作为评判应答方案合理性的关键性依据。</w:t>
      </w:r>
    </w:p>
    <w:p>
      <w:pPr>
        <w:numPr>
          <w:ilvl w:val="0"/>
          <w:numId w:val="17"/>
        </w:numPr>
        <w:spacing w:line="360" w:lineRule="auto"/>
        <w:rPr>
          <w:sz w:val="24"/>
        </w:rPr>
      </w:pPr>
      <w:r>
        <w:rPr>
          <w:sz w:val="24"/>
        </w:rPr>
        <w:t>供应方应说明保证期结束后的技术支持与服务的内容、方式和收费标准。</w:t>
      </w:r>
    </w:p>
    <w:p>
      <w:pPr>
        <w:pStyle w:val="5"/>
        <w:rPr>
          <w:sz w:val="28"/>
          <w:szCs w:val="28"/>
        </w:rPr>
      </w:pPr>
      <w:bookmarkStart w:id="146" w:name="_Toc338059972"/>
      <w:bookmarkStart w:id="147" w:name="_Toc321818334"/>
      <w:bookmarkStart w:id="148" w:name="_Toc380732078"/>
      <w:bookmarkStart w:id="149" w:name="_Toc432756639"/>
      <w:bookmarkStart w:id="150" w:name="_Toc100742955"/>
      <w:bookmarkStart w:id="151" w:name="_Toc205728315"/>
      <w:bookmarkStart w:id="152" w:name="_Toc338059630"/>
      <w:bookmarkStart w:id="153" w:name="_Toc381270393"/>
      <w:r>
        <w:rPr>
          <w:rFonts w:hint="eastAsia"/>
          <w:sz w:val="28"/>
          <w:szCs w:val="28"/>
        </w:rPr>
        <w:t>5.1.2</w:t>
      </w:r>
      <w:r>
        <w:rPr>
          <w:sz w:val="28"/>
          <w:szCs w:val="28"/>
        </w:rPr>
        <w:t>系统维护服务保证</w:t>
      </w:r>
      <w:bookmarkEnd w:id="146"/>
      <w:bookmarkEnd w:id="147"/>
      <w:bookmarkEnd w:id="148"/>
      <w:bookmarkEnd w:id="149"/>
      <w:bookmarkEnd w:id="150"/>
      <w:bookmarkEnd w:id="151"/>
      <w:bookmarkEnd w:id="152"/>
      <w:bookmarkEnd w:id="153"/>
    </w:p>
    <w:p>
      <w:pPr>
        <w:spacing w:line="360" w:lineRule="auto"/>
        <w:ind w:firstLine="480" w:firstLineChars="200"/>
        <w:rPr>
          <w:sz w:val="24"/>
        </w:rPr>
      </w:pPr>
      <w:r>
        <w:rPr>
          <w:sz w:val="24"/>
        </w:rPr>
        <w:t>供应方应在保修期内及保修期后向采购方提供旨在提高用户的系统可用性的持续支持服务。具体的技术支持与服务方式如下：</w:t>
      </w:r>
    </w:p>
    <w:p>
      <w:pPr>
        <w:numPr>
          <w:ilvl w:val="0"/>
          <w:numId w:val="17"/>
        </w:numPr>
        <w:spacing w:line="360" w:lineRule="auto"/>
        <w:rPr>
          <w:sz w:val="24"/>
        </w:rPr>
      </w:pPr>
      <w:r>
        <w:rPr>
          <w:sz w:val="24"/>
        </w:rPr>
        <w:t>电话支持服务：7*24小时</w:t>
      </w:r>
    </w:p>
    <w:p>
      <w:pPr>
        <w:numPr>
          <w:ilvl w:val="0"/>
          <w:numId w:val="17"/>
        </w:numPr>
        <w:spacing w:line="360" w:lineRule="auto"/>
        <w:rPr>
          <w:sz w:val="24"/>
        </w:rPr>
      </w:pPr>
      <w:r>
        <w:rPr>
          <w:sz w:val="24"/>
        </w:rPr>
        <w:t>远程诊断服务：7*24小时</w:t>
      </w:r>
    </w:p>
    <w:p>
      <w:pPr>
        <w:numPr>
          <w:ilvl w:val="0"/>
          <w:numId w:val="17"/>
        </w:numPr>
        <w:spacing w:line="360" w:lineRule="auto"/>
        <w:rPr>
          <w:sz w:val="24"/>
        </w:rPr>
      </w:pPr>
      <w:r>
        <w:rPr>
          <w:sz w:val="24"/>
        </w:rPr>
        <w:t>定期巡检服务：在免费服务期内，供应方应向采购方提供一季一次巡检服务，向其它实施地点一年一次的系统巡检服务，供应方应列出巡检方案</w:t>
      </w:r>
    </w:p>
    <w:p>
      <w:pPr>
        <w:numPr>
          <w:ilvl w:val="0"/>
          <w:numId w:val="17"/>
        </w:numPr>
        <w:spacing w:line="360" w:lineRule="auto"/>
        <w:rPr>
          <w:sz w:val="24"/>
        </w:rPr>
      </w:pPr>
      <w:r>
        <w:rPr>
          <w:sz w:val="24"/>
        </w:rPr>
        <w:t>现场支持服务：在免费服务期内，系统出现故障，或通过电话、远程诊断等技术支持服务方式仍无法解决问题时，供应方应提供7*24小时现场支持服务，</w:t>
      </w:r>
      <w:r>
        <w:rPr>
          <w:rFonts w:hint="eastAsia"/>
          <w:sz w:val="24"/>
        </w:rPr>
        <w:t>6</w:t>
      </w:r>
      <w:r>
        <w:rPr>
          <w:sz w:val="24"/>
        </w:rPr>
        <w:t>小时内到达</w:t>
      </w:r>
      <w:r>
        <w:rPr>
          <w:rFonts w:hint="eastAsia"/>
          <w:sz w:val="24"/>
        </w:rPr>
        <w:t>天津</w:t>
      </w:r>
      <w:r>
        <w:rPr>
          <w:sz w:val="24"/>
        </w:rPr>
        <w:t>用户现场。</w:t>
      </w:r>
    </w:p>
    <w:p>
      <w:pPr>
        <w:numPr>
          <w:ilvl w:val="0"/>
          <w:numId w:val="17"/>
        </w:numPr>
        <w:spacing w:line="360" w:lineRule="auto"/>
        <w:rPr>
          <w:sz w:val="24"/>
        </w:rPr>
      </w:pPr>
      <w:r>
        <w:rPr>
          <w:sz w:val="24"/>
        </w:rPr>
        <w:t>紧急现场支持服务：在免费服务期内，系统出现严重故障，通过其他技术支持服务方式无法解决问题时，供应方应提供7*24小时，2小时紧急现场支持服务，不限次数。</w:t>
      </w:r>
    </w:p>
    <w:p>
      <w:pPr>
        <w:spacing w:line="360" w:lineRule="auto"/>
        <w:ind w:firstLine="480" w:firstLineChars="200"/>
        <w:rPr>
          <w:sz w:val="24"/>
        </w:rPr>
      </w:pPr>
      <w:r>
        <w:rPr>
          <w:sz w:val="24"/>
        </w:rPr>
        <w:t>供应方应承诺将来提供的服务完全符合标书中的承诺，若实际提供服务达不到标书要求，采购方有权采取相应惩罚措施直至退货。若供应方提供的设备在正式使用后3个月内故障率超过10%，采购方有权退货。供应方应详细规定相关的条款，对任何一项服务详细说明最低承诺和服务的先决条件。</w:t>
      </w:r>
    </w:p>
    <w:p>
      <w:pPr>
        <w:spacing w:line="360" w:lineRule="auto"/>
        <w:ind w:firstLine="480" w:firstLineChars="200"/>
        <w:rPr>
          <w:sz w:val="24"/>
        </w:rPr>
      </w:pPr>
      <w:r>
        <w:rPr>
          <w:sz w:val="24"/>
        </w:rPr>
        <w:t>供应方必须详细说明下列系统维护服务内容：</w:t>
      </w:r>
    </w:p>
    <w:p>
      <w:pPr>
        <w:spacing w:line="360" w:lineRule="auto"/>
        <w:ind w:firstLine="480" w:firstLineChars="200"/>
        <w:rPr>
          <w:sz w:val="24"/>
        </w:rPr>
      </w:pPr>
      <w:r>
        <w:rPr>
          <w:sz w:val="24"/>
        </w:rPr>
        <w:t>保证期内服务的方式、范围（包括产品和技术等）。</w:t>
      </w:r>
    </w:p>
    <w:p>
      <w:pPr>
        <w:spacing w:line="360" w:lineRule="auto"/>
        <w:ind w:firstLine="480" w:firstLineChars="200"/>
        <w:rPr>
          <w:sz w:val="24"/>
        </w:rPr>
      </w:pPr>
      <w:r>
        <w:rPr>
          <w:sz w:val="24"/>
        </w:rPr>
        <w:t>保证期后服务的方式、范围及费用（包括产品和技术等）。</w:t>
      </w:r>
    </w:p>
    <w:p>
      <w:pPr>
        <w:pStyle w:val="5"/>
        <w:rPr>
          <w:sz w:val="28"/>
          <w:szCs w:val="28"/>
        </w:rPr>
      </w:pPr>
      <w:bookmarkStart w:id="154" w:name="_Toc321818335"/>
      <w:bookmarkStart w:id="155" w:name="_Toc338059631"/>
      <w:bookmarkStart w:id="156" w:name="_Toc381270394"/>
      <w:bookmarkStart w:id="157" w:name="_Toc432756640"/>
      <w:bookmarkStart w:id="158" w:name="_Toc380732079"/>
      <w:bookmarkStart w:id="159" w:name="_Toc338059973"/>
      <w:bookmarkStart w:id="160" w:name="_Toc205728316"/>
      <w:bookmarkStart w:id="161" w:name="_Toc100742956"/>
      <w:r>
        <w:rPr>
          <w:rFonts w:hint="eastAsia"/>
          <w:sz w:val="28"/>
          <w:szCs w:val="28"/>
        </w:rPr>
        <w:t>5.1.3</w:t>
      </w:r>
      <w:r>
        <w:rPr>
          <w:sz w:val="28"/>
          <w:szCs w:val="28"/>
        </w:rPr>
        <w:t>备品备件</w:t>
      </w:r>
      <w:bookmarkEnd w:id="154"/>
      <w:bookmarkEnd w:id="155"/>
      <w:bookmarkEnd w:id="156"/>
      <w:bookmarkEnd w:id="157"/>
      <w:bookmarkEnd w:id="158"/>
      <w:bookmarkEnd w:id="159"/>
      <w:bookmarkEnd w:id="160"/>
      <w:bookmarkEnd w:id="161"/>
    </w:p>
    <w:p>
      <w:pPr>
        <w:spacing w:line="360" w:lineRule="auto"/>
        <w:ind w:firstLine="480" w:firstLineChars="200"/>
        <w:rPr>
          <w:sz w:val="24"/>
        </w:rPr>
      </w:pPr>
      <w:r>
        <w:rPr>
          <w:sz w:val="24"/>
        </w:rPr>
        <w:t>供应方应根据所投设备情况、采购方服务要求等需求制定备品、备件及消耗品方案，并详细列出名称、类型、性能、品种数量、提供地点、放置地点、服务条款及使用所发生的费用、报价等内容。该方案作为评判整体解决方案优劣的因素之一。</w:t>
      </w:r>
    </w:p>
    <w:p>
      <w:pPr>
        <w:spacing w:line="360" w:lineRule="auto"/>
        <w:ind w:firstLine="480" w:firstLineChars="200"/>
        <w:rPr>
          <w:sz w:val="24"/>
        </w:rPr>
      </w:pPr>
      <w:r>
        <w:rPr>
          <w:sz w:val="24"/>
        </w:rPr>
        <w:t>供应方应承诺至少向采购方提供各设备3年的备件和消耗品。</w:t>
      </w:r>
    </w:p>
    <w:p>
      <w:pPr>
        <w:spacing w:line="360" w:lineRule="auto"/>
        <w:ind w:firstLine="480" w:firstLineChars="200"/>
        <w:rPr>
          <w:sz w:val="24"/>
        </w:rPr>
      </w:pPr>
      <w:r>
        <w:rPr>
          <w:sz w:val="24"/>
        </w:rPr>
        <w:t>供应方应承诺备品备件的响应时间小于48小时。</w:t>
      </w:r>
    </w:p>
    <w:p>
      <w:pPr>
        <w:pStyle w:val="5"/>
        <w:rPr>
          <w:sz w:val="28"/>
          <w:szCs w:val="28"/>
        </w:rPr>
      </w:pPr>
      <w:bookmarkStart w:id="162" w:name="_Toc338059974"/>
      <w:bookmarkStart w:id="163" w:name="_Toc321818336"/>
      <w:bookmarkStart w:id="164" w:name="_Toc105752950"/>
      <w:bookmarkStart w:id="165" w:name="_Toc100742957"/>
      <w:bookmarkStart w:id="166" w:name="_Toc381270395"/>
      <w:bookmarkStart w:id="167" w:name="_Toc205728317"/>
      <w:bookmarkStart w:id="168" w:name="_Toc380732080"/>
      <w:bookmarkStart w:id="169" w:name="_Toc338059632"/>
      <w:bookmarkStart w:id="170" w:name="_Toc432756641"/>
      <w:r>
        <w:rPr>
          <w:rFonts w:hint="eastAsia"/>
          <w:sz w:val="28"/>
          <w:szCs w:val="28"/>
        </w:rPr>
        <w:t>5.1.4</w:t>
      </w:r>
      <w:r>
        <w:rPr>
          <w:sz w:val="28"/>
          <w:szCs w:val="28"/>
        </w:rPr>
        <w:t>扩充设备</w:t>
      </w:r>
      <w:bookmarkEnd w:id="162"/>
      <w:bookmarkEnd w:id="163"/>
      <w:bookmarkEnd w:id="164"/>
      <w:bookmarkEnd w:id="165"/>
      <w:bookmarkEnd w:id="166"/>
      <w:bookmarkEnd w:id="167"/>
      <w:bookmarkEnd w:id="168"/>
      <w:bookmarkEnd w:id="169"/>
      <w:bookmarkEnd w:id="170"/>
    </w:p>
    <w:p>
      <w:pPr>
        <w:spacing w:line="360" w:lineRule="auto"/>
        <w:ind w:firstLine="480" w:firstLineChars="200"/>
        <w:rPr>
          <w:sz w:val="24"/>
        </w:rPr>
      </w:pPr>
      <w:r>
        <w:rPr>
          <w:sz w:val="24"/>
        </w:rPr>
        <w:t>供应方应对有扩充能力的设备提供有关扩充部件或模块的名称、型号及报价（单价），同时要注明采购方另外购买时，是否需购买额外的部件（如扩展板、新节点等）及价格，承诺将来3年内采购方有扩充需求时，供应方按此价格或折扣比率（报价降低时）提供扩充设备。</w:t>
      </w:r>
    </w:p>
    <w:p>
      <w:pPr>
        <w:pStyle w:val="5"/>
        <w:rPr>
          <w:sz w:val="28"/>
          <w:szCs w:val="28"/>
        </w:rPr>
      </w:pPr>
      <w:bookmarkStart w:id="171" w:name="_Toc380732081"/>
      <w:bookmarkStart w:id="172" w:name="_Toc381270396"/>
      <w:bookmarkStart w:id="173" w:name="_Toc100742958"/>
      <w:bookmarkStart w:id="174" w:name="_Toc321818337"/>
      <w:bookmarkStart w:id="175" w:name="_Toc205728318"/>
      <w:bookmarkStart w:id="176" w:name="_Toc432756642"/>
      <w:bookmarkStart w:id="177" w:name="_Toc338059633"/>
      <w:bookmarkStart w:id="178" w:name="_Toc338059975"/>
      <w:r>
        <w:rPr>
          <w:rFonts w:hint="eastAsia"/>
          <w:sz w:val="28"/>
          <w:szCs w:val="28"/>
        </w:rPr>
        <w:t>5.1.5</w:t>
      </w:r>
      <w:r>
        <w:rPr>
          <w:sz w:val="28"/>
          <w:szCs w:val="28"/>
        </w:rPr>
        <w:t>技术服务费用</w:t>
      </w:r>
      <w:bookmarkEnd w:id="171"/>
      <w:bookmarkEnd w:id="172"/>
      <w:bookmarkEnd w:id="173"/>
      <w:bookmarkEnd w:id="174"/>
      <w:bookmarkEnd w:id="175"/>
      <w:bookmarkEnd w:id="176"/>
      <w:bookmarkEnd w:id="177"/>
      <w:bookmarkEnd w:id="178"/>
    </w:p>
    <w:p>
      <w:pPr>
        <w:spacing w:line="360" w:lineRule="auto"/>
        <w:ind w:firstLine="480" w:firstLineChars="200"/>
        <w:rPr>
          <w:sz w:val="24"/>
        </w:rPr>
      </w:pPr>
      <w:r>
        <w:rPr>
          <w:sz w:val="24"/>
        </w:rPr>
        <w:t>技术支持与售后保修、服务费用应单列，并计入总投标价之内。该费用必须分年度独立列出（至少应分别列出第一年、第二年和第三年的费用，并对三年后的服务提供参考价），不合理的费用或费用未分项列出均将在评标中导致严重的后果。</w:t>
      </w:r>
    </w:p>
    <w:p>
      <w:pPr>
        <w:spacing w:line="360" w:lineRule="auto"/>
        <w:ind w:firstLine="480" w:firstLineChars="200"/>
        <w:rPr>
          <w:sz w:val="24"/>
        </w:rPr>
      </w:pPr>
      <w:r>
        <w:rPr>
          <w:sz w:val="24"/>
        </w:rPr>
        <w:t>备品与备件费用应单列，不计入总投标价之内。扩充设备费用应单列，不计入总投标价之内。</w:t>
      </w:r>
    </w:p>
    <w:p>
      <w:pPr>
        <w:pStyle w:val="4"/>
        <w:numPr>
          <w:ilvl w:val="1"/>
          <w:numId w:val="0"/>
        </w:numPr>
        <w:tabs>
          <w:tab w:val="clear" w:pos="0"/>
        </w:tabs>
        <w:rPr>
          <w:rFonts w:ascii="Times New Roman" w:hAnsi="Times New Roman" w:eastAsia="宋体"/>
        </w:rPr>
      </w:pPr>
      <w:bookmarkStart w:id="179" w:name="_Toc100742959"/>
      <w:r>
        <w:rPr>
          <w:rFonts w:hint="eastAsia" w:ascii="Times New Roman" w:hAnsi="Times New Roman" w:eastAsia="宋体"/>
        </w:rPr>
        <w:t>5.2</w:t>
      </w:r>
      <w:r>
        <w:rPr>
          <w:rFonts w:ascii="Times New Roman" w:hAnsi="Times New Roman" w:eastAsia="宋体"/>
        </w:rPr>
        <w:t>技术协调</w:t>
      </w:r>
      <w:bookmarkEnd w:id="135"/>
      <w:bookmarkEnd w:id="136"/>
      <w:bookmarkEnd w:id="137"/>
      <w:bookmarkEnd w:id="179"/>
    </w:p>
    <w:p>
      <w:pPr>
        <w:spacing w:line="360" w:lineRule="auto"/>
        <w:ind w:firstLine="480" w:firstLineChars="200"/>
        <w:rPr>
          <w:sz w:val="24"/>
        </w:rPr>
      </w:pPr>
      <w:r>
        <w:rPr>
          <w:sz w:val="24"/>
        </w:rPr>
        <w:t>采购方与供应方签订合同后，供应方应将详细的系统设计文件提交给采购方，并派人进行技术协调。</w:t>
      </w:r>
    </w:p>
    <w:p>
      <w:pPr>
        <w:spacing w:line="360" w:lineRule="auto"/>
        <w:ind w:firstLine="480" w:firstLineChars="200"/>
        <w:rPr>
          <w:sz w:val="24"/>
        </w:rPr>
      </w:pPr>
      <w:r>
        <w:rPr>
          <w:sz w:val="24"/>
        </w:rPr>
        <w:t>在技术协调过程中，供应方应详细介绍系统设计文件。供应方和采购方就具体问题进行协商，形成的备忘录可作为合同的附件。</w:t>
      </w:r>
    </w:p>
    <w:p>
      <w:pPr>
        <w:pStyle w:val="4"/>
        <w:numPr>
          <w:ilvl w:val="1"/>
          <w:numId w:val="0"/>
        </w:numPr>
        <w:tabs>
          <w:tab w:val="clear" w:pos="0"/>
        </w:tabs>
        <w:rPr>
          <w:rFonts w:ascii="Times New Roman" w:hAnsi="Times New Roman" w:eastAsia="宋体"/>
        </w:rPr>
      </w:pPr>
      <w:bookmarkStart w:id="180" w:name="_Toc309719399"/>
      <w:bookmarkStart w:id="181" w:name="_Toc100742960"/>
      <w:bookmarkStart w:id="182" w:name="_Toc308636190"/>
      <w:bookmarkStart w:id="183" w:name="_Toc306536421"/>
      <w:r>
        <w:rPr>
          <w:rFonts w:hint="eastAsia" w:ascii="Times New Roman" w:hAnsi="Times New Roman" w:eastAsia="宋体"/>
        </w:rPr>
        <w:t>5.3</w:t>
      </w:r>
      <w:r>
        <w:rPr>
          <w:rFonts w:ascii="Times New Roman" w:hAnsi="Times New Roman" w:eastAsia="宋体"/>
        </w:rPr>
        <w:t>技术培训</w:t>
      </w:r>
      <w:bookmarkEnd w:id="180"/>
      <w:bookmarkEnd w:id="181"/>
      <w:bookmarkEnd w:id="182"/>
      <w:bookmarkEnd w:id="183"/>
    </w:p>
    <w:p>
      <w:pPr>
        <w:spacing w:line="360" w:lineRule="auto"/>
        <w:ind w:firstLine="460" w:firstLineChars="192"/>
        <w:rPr>
          <w:sz w:val="24"/>
        </w:rPr>
      </w:pPr>
      <w:r>
        <w:rPr>
          <w:sz w:val="24"/>
        </w:rPr>
        <w:t>供应方负责采购方技术管理、操作和维修人员的培训工作。</w:t>
      </w:r>
    </w:p>
    <w:p>
      <w:pPr>
        <w:spacing w:line="360" w:lineRule="auto"/>
        <w:ind w:firstLine="460" w:firstLineChars="192"/>
        <w:rPr>
          <w:sz w:val="24"/>
        </w:rPr>
      </w:pPr>
      <w:r>
        <w:rPr>
          <w:sz w:val="24"/>
        </w:rPr>
        <w:t>供应方应安排采购方人员进行技术培训，人数和时间双方商定（包括系统原理及操作、软件维护等)。操作员和维护人员的培训应各有侧重。</w:t>
      </w:r>
    </w:p>
    <w:p>
      <w:pPr>
        <w:spacing w:line="360" w:lineRule="auto"/>
        <w:ind w:firstLine="460" w:firstLineChars="192"/>
        <w:rPr>
          <w:sz w:val="24"/>
        </w:rPr>
      </w:pPr>
      <w:r>
        <w:rPr>
          <w:sz w:val="24"/>
        </w:rPr>
        <w:t>供应方应指派有经验的技术人员向学员传授设备的原理、维修和使用方法。</w:t>
      </w:r>
    </w:p>
    <w:p>
      <w:pPr>
        <w:spacing w:line="360" w:lineRule="auto"/>
        <w:ind w:firstLine="460" w:firstLineChars="192"/>
        <w:rPr>
          <w:sz w:val="24"/>
        </w:rPr>
      </w:pPr>
      <w:r>
        <w:rPr>
          <w:sz w:val="24"/>
        </w:rPr>
        <w:t>供应方应拟定详细的培训大纲，在培训前两个月提交采购方，并征得采购方的同意。</w:t>
      </w:r>
    </w:p>
    <w:p>
      <w:pPr>
        <w:spacing w:line="360" w:lineRule="auto"/>
        <w:ind w:firstLine="460" w:firstLineChars="192"/>
        <w:rPr>
          <w:sz w:val="24"/>
        </w:rPr>
      </w:pPr>
      <w:r>
        <w:rPr>
          <w:sz w:val="24"/>
        </w:rPr>
        <w:t>培训期间供应方应为采购方人员提供实操培训。</w:t>
      </w:r>
    </w:p>
    <w:p>
      <w:pPr>
        <w:spacing w:line="360" w:lineRule="auto"/>
        <w:ind w:firstLine="460" w:firstLineChars="192"/>
        <w:rPr>
          <w:sz w:val="24"/>
        </w:rPr>
      </w:pPr>
      <w:r>
        <w:rPr>
          <w:sz w:val="24"/>
        </w:rPr>
        <w:t>设备安装现场的培训主要是讲解操作方法和故障检测技能，并辅导学员进行操作培训。</w:t>
      </w:r>
    </w:p>
    <w:p>
      <w:pPr>
        <w:spacing w:line="360" w:lineRule="auto"/>
        <w:ind w:firstLine="460" w:firstLineChars="192"/>
        <w:rPr>
          <w:sz w:val="24"/>
        </w:rPr>
      </w:pPr>
      <w:r>
        <w:rPr>
          <w:sz w:val="24"/>
        </w:rPr>
        <w:t>会议培训期间发生的除交通费、住宿费外的会务费、教材费、培训费等费用由供应方支付。</w:t>
      </w:r>
    </w:p>
    <w:p>
      <w:pPr>
        <w:pStyle w:val="4"/>
        <w:numPr>
          <w:ilvl w:val="1"/>
          <w:numId w:val="0"/>
        </w:numPr>
        <w:tabs>
          <w:tab w:val="clear" w:pos="0"/>
        </w:tabs>
        <w:rPr>
          <w:rFonts w:ascii="Times New Roman" w:hAnsi="Times New Roman" w:eastAsia="宋体"/>
        </w:rPr>
      </w:pPr>
      <w:bookmarkStart w:id="184" w:name="_Toc100742961"/>
      <w:bookmarkStart w:id="185" w:name="_Toc308636191"/>
      <w:bookmarkStart w:id="186" w:name="_Toc309719400"/>
      <w:bookmarkStart w:id="187" w:name="_Toc306536422"/>
      <w:r>
        <w:rPr>
          <w:rFonts w:hint="eastAsia" w:ascii="Times New Roman" w:hAnsi="Times New Roman" w:eastAsia="宋体"/>
        </w:rPr>
        <w:t>5.4</w:t>
      </w:r>
      <w:r>
        <w:rPr>
          <w:rFonts w:ascii="Times New Roman" w:hAnsi="Times New Roman" w:eastAsia="宋体"/>
        </w:rPr>
        <w:t>技术文件</w:t>
      </w:r>
      <w:bookmarkEnd w:id="184"/>
      <w:bookmarkEnd w:id="185"/>
      <w:bookmarkEnd w:id="186"/>
      <w:bookmarkEnd w:id="187"/>
    </w:p>
    <w:p>
      <w:pPr>
        <w:pStyle w:val="74"/>
        <w:numPr>
          <w:ilvl w:val="0"/>
          <w:numId w:val="19"/>
        </w:numPr>
        <w:spacing w:line="360" w:lineRule="auto"/>
        <w:ind w:firstLineChars="0"/>
        <w:rPr>
          <w:rFonts w:eastAsia="宋体"/>
        </w:rPr>
      </w:pPr>
      <w:r>
        <w:rPr>
          <w:rFonts w:eastAsia="宋体"/>
        </w:rPr>
        <w:t>所有供应方提供的文件应用中文或者中英文对照书写，编号、日期清楚，文件数量至少3套。</w:t>
      </w:r>
    </w:p>
    <w:p>
      <w:pPr>
        <w:pStyle w:val="74"/>
        <w:numPr>
          <w:ilvl w:val="0"/>
          <w:numId w:val="19"/>
        </w:numPr>
        <w:spacing w:line="360" w:lineRule="auto"/>
        <w:ind w:firstLineChars="0"/>
        <w:rPr>
          <w:rFonts w:eastAsia="宋体"/>
        </w:rPr>
      </w:pPr>
      <w:r>
        <w:rPr>
          <w:rFonts w:eastAsia="宋体"/>
        </w:rPr>
        <w:t>第三供货方的文件资料应完整齐全。</w:t>
      </w:r>
    </w:p>
    <w:p>
      <w:pPr>
        <w:pStyle w:val="74"/>
        <w:numPr>
          <w:ilvl w:val="0"/>
          <w:numId w:val="19"/>
        </w:numPr>
        <w:spacing w:line="360" w:lineRule="auto"/>
        <w:ind w:firstLineChars="0"/>
        <w:rPr>
          <w:rFonts w:eastAsia="宋体"/>
        </w:rPr>
      </w:pPr>
      <w:r>
        <w:rPr>
          <w:rFonts w:eastAsia="宋体"/>
        </w:rPr>
        <w:t>供应方应向采购方提供下述文件：</w:t>
      </w:r>
    </w:p>
    <w:p>
      <w:pPr>
        <w:pStyle w:val="74"/>
        <w:spacing w:line="360" w:lineRule="auto"/>
        <w:ind w:left="480" w:firstLine="0" w:firstLineChars="0"/>
        <w:rPr>
          <w:rFonts w:eastAsia="宋体"/>
        </w:rPr>
      </w:pPr>
      <w:r>
        <w:rPr>
          <w:rFonts w:hint="eastAsia" w:eastAsia="宋体"/>
        </w:rPr>
        <w:t>硬件系统：</w:t>
      </w:r>
    </w:p>
    <w:p>
      <w:pPr>
        <w:spacing w:line="360" w:lineRule="auto"/>
        <w:ind w:firstLine="1132" w:firstLineChars="472"/>
        <w:rPr>
          <w:sz w:val="24"/>
        </w:rPr>
      </w:pPr>
      <w:r>
        <w:rPr>
          <w:sz w:val="24"/>
        </w:rPr>
        <w:t>—设备操作手册</w:t>
      </w:r>
    </w:p>
    <w:p>
      <w:pPr>
        <w:spacing w:line="360" w:lineRule="auto"/>
        <w:ind w:firstLine="1132" w:firstLineChars="472"/>
        <w:rPr>
          <w:sz w:val="24"/>
        </w:rPr>
      </w:pPr>
      <w:r>
        <w:rPr>
          <w:sz w:val="24"/>
        </w:rPr>
        <w:t>—设备维护手册</w:t>
      </w:r>
    </w:p>
    <w:p>
      <w:pPr>
        <w:spacing w:line="360" w:lineRule="auto"/>
        <w:ind w:firstLine="1132" w:firstLineChars="472"/>
        <w:rPr>
          <w:sz w:val="24"/>
        </w:rPr>
      </w:pPr>
      <w:r>
        <w:rPr>
          <w:sz w:val="24"/>
        </w:rPr>
        <w:t>—设备安装手册</w:t>
      </w:r>
    </w:p>
    <w:p>
      <w:pPr>
        <w:spacing w:line="360" w:lineRule="auto"/>
        <w:ind w:firstLine="1132" w:firstLineChars="472"/>
        <w:rPr>
          <w:sz w:val="24"/>
        </w:rPr>
      </w:pPr>
      <w:r>
        <w:rPr>
          <w:sz w:val="24"/>
        </w:rPr>
        <w:t>—现场验收文件</w:t>
      </w:r>
    </w:p>
    <w:p>
      <w:pPr>
        <w:spacing w:line="360" w:lineRule="auto"/>
        <w:ind w:firstLine="1132" w:firstLineChars="472"/>
        <w:rPr>
          <w:sz w:val="24"/>
        </w:rPr>
      </w:pPr>
      <w:r>
        <w:rPr>
          <w:sz w:val="24"/>
        </w:rPr>
        <w:t>—培训教材和培训计划</w:t>
      </w:r>
    </w:p>
    <w:p>
      <w:pPr>
        <w:spacing w:line="360" w:lineRule="auto"/>
        <w:ind w:firstLine="1132" w:firstLineChars="472"/>
        <w:rPr>
          <w:sz w:val="24"/>
        </w:rPr>
      </w:pPr>
      <w:r>
        <w:rPr>
          <w:sz w:val="24"/>
        </w:rPr>
        <w:t>—软件备份盘</w:t>
      </w:r>
    </w:p>
    <w:p>
      <w:pPr>
        <w:spacing w:line="360" w:lineRule="auto"/>
        <w:ind w:firstLine="1132" w:firstLineChars="472"/>
        <w:rPr>
          <w:sz w:val="24"/>
        </w:rPr>
      </w:pPr>
      <w:r>
        <w:rPr>
          <w:sz w:val="24"/>
        </w:rPr>
        <w:t>—系统联调报告</w:t>
      </w:r>
    </w:p>
    <w:p>
      <w:pPr>
        <w:spacing w:line="360" w:lineRule="auto"/>
        <w:ind w:firstLine="1132" w:firstLineChars="472"/>
        <w:rPr>
          <w:sz w:val="24"/>
        </w:rPr>
      </w:pPr>
      <w:r>
        <w:rPr>
          <w:sz w:val="24"/>
        </w:rPr>
        <w:t>—系统测试报告</w:t>
      </w:r>
    </w:p>
    <w:p>
      <w:pPr>
        <w:spacing w:line="360" w:lineRule="auto"/>
        <w:ind w:firstLine="1132" w:firstLineChars="472"/>
        <w:rPr>
          <w:sz w:val="24"/>
        </w:rPr>
      </w:pPr>
      <w:r>
        <w:rPr>
          <w:sz w:val="24"/>
        </w:rPr>
        <w:t>—系统试运行报告</w:t>
      </w:r>
    </w:p>
    <w:p>
      <w:pPr>
        <w:spacing w:line="360" w:lineRule="auto"/>
        <w:ind w:firstLine="1132" w:firstLineChars="472"/>
        <w:rPr>
          <w:sz w:val="24"/>
        </w:rPr>
      </w:pPr>
      <w:r>
        <w:rPr>
          <w:sz w:val="24"/>
        </w:rPr>
        <w:t>—系统验收报告</w:t>
      </w:r>
    </w:p>
    <w:p>
      <w:pPr>
        <w:spacing w:line="360" w:lineRule="auto"/>
        <w:ind w:firstLine="1132" w:firstLineChars="472"/>
        <w:rPr>
          <w:sz w:val="24"/>
        </w:rPr>
      </w:pPr>
      <w:r>
        <w:rPr>
          <w:sz w:val="24"/>
        </w:rPr>
        <w:t>—采购方要求提供的其他文档</w:t>
      </w:r>
    </w:p>
    <w:p>
      <w:pPr>
        <w:pStyle w:val="74"/>
        <w:spacing w:line="360" w:lineRule="auto"/>
        <w:ind w:left="480" w:firstLine="0" w:firstLineChars="0"/>
        <w:rPr>
          <w:rFonts w:eastAsia="宋体"/>
        </w:rPr>
      </w:pPr>
      <w:r>
        <w:rPr>
          <w:rFonts w:hint="eastAsia" w:eastAsia="宋体"/>
        </w:rPr>
        <w:t>软件系统：</w:t>
      </w:r>
    </w:p>
    <w:p>
      <w:pPr>
        <w:spacing w:line="360" w:lineRule="auto"/>
        <w:ind w:firstLine="1132" w:firstLineChars="472"/>
        <w:rPr>
          <w:sz w:val="24"/>
        </w:rPr>
      </w:pPr>
      <w:r>
        <w:rPr>
          <w:sz w:val="24"/>
        </w:rPr>
        <w:t>—</w:t>
      </w:r>
      <w:r>
        <w:rPr>
          <w:rFonts w:hint="eastAsia"/>
          <w:sz w:val="24"/>
        </w:rPr>
        <w:t>软件</w:t>
      </w:r>
      <w:r>
        <w:rPr>
          <w:sz w:val="24"/>
        </w:rPr>
        <w:t>详细设计文件</w:t>
      </w:r>
    </w:p>
    <w:p>
      <w:pPr>
        <w:spacing w:line="360" w:lineRule="auto"/>
        <w:ind w:firstLine="1132" w:firstLineChars="472"/>
        <w:rPr>
          <w:sz w:val="24"/>
        </w:rPr>
      </w:pPr>
      <w:r>
        <w:rPr>
          <w:sz w:val="24"/>
        </w:rPr>
        <w:t>—</w:t>
      </w:r>
      <w:r>
        <w:rPr>
          <w:rFonts w:hint="eastAsia"/>
          <w:sz w:val="24"/>
        </w:rPr>
        <w:t>软件源代码</w:t>
      </w:r>
    </w:p>
    <w:p>
      <w:pPr>
        <w:spacing w:line="360" w:lineRule="auto"/>
        <w:ind w:firstLine="1132" w:firstLineChars="472"/>
        <w:rPr>
          <w:sz w:val="24"/>
        </w:rPr>
      </w:pPr>
      <w:r>
        <w:rPr>
          <w:sz w:val="24"/>
        </w:rPr>
        <w:t>—</w:t>
      </w:r>
      <w:r>
        <w:rPr>
          <w:rFonts w:hint="eastAsia"/>
          <w:sz w:val="24"/>
        </w:rPr>
        <w:t>软件</w:t>
      </w:r>
      <w:r>
        <w:rPr>
          <w:sz w:val="24"/>
        </w:rPr>
        <w:t>操作手册</w:t>
      </w:r>
    </w:p>
    <w:p>
      <w:pPr>
        <w:spacing w:line="360" w:lineRule="auto"/>
        <w:ind w:firstLine="1132" w:firstLineChars="472"/>
        <w:rPr>
          <w:sz w:val="24"/>
        </w:rPr>
      </w:pPr>
      <w:r>
        <w:rPr>
          <w:sz w:val="24"/>
        </w:rPr>
        <w:t>—</w:t>
      </w:r>
      <w:r>
        <w:rPr>
          <w:rFonts w:hint="eastAsia"/>
          <w:sz w:val="24"/>
        </w:rPr>
        <w:t>软件测试报告</w:t>
      </w:r>
    </w:p>
    <w:p>
      <w:pPr>
        <w:spacing w:line="360" w:lineRule="auto"/>
        <w:ind w:firstLine="1132" w:firstLineChars="472"/>
        <w:rPr>
          <w:sz w:val="24"/>
        </w:rPr>
      </w:pPr>
      <w:r>
        <w:rPr>
          <w:sz w:val="24"/>
        </w:rPr>
        <w:t>—现场验收文件</w:t>
      </w:r>
    </w:p>
    <w:p>
      <w:pPr>
        <w:spacing w:line="360" w:lineRule="auto"/>
        <w:ind w:firstLine="1132" w:firstLineChars="472"/>
        <w:rPr>
          <w:sz w:val="24"/>
        </w:rPr>
      </w:pPr>
      <w:r>
        <w:rPr>
          <w:sz w:val="24"/>
        </w:rPr>
        <w:t>—</w:t>
      </w:r>
      <w:r>
        <w:rPr>
          <w:rFonts w:hint="eastAsia"/>
          <w:sz w:val="24"/>
        </w:rPr>
        <w:t>系统验收报告</w:t>
      </w:r>
    </w:p>
    <w:p>
      <w:pPr>
        <w:spacing w:line="360" w:lineRule="auto"/>
        <w:ind w:firstLine="1132" w:firstLineChars="472"/>
        <w:rPr>
          <w:sz w:val="24"/>
        </w:rPr>
      </w:pPr>
      <w:r>
        <w:rPr>
          <w:sz w:val="24"/>
        </w:rPr>
        <w:t>—培训教材和培训计划</w:t>
      </w:r>
    </w:p>
    <w:p>
      <w:pPr>
        <w:spacing w:line="360" w:lineRule="auto"/>
        <w:ind w:firstLine="1132" w:firstLineChars="472"/>
        <w:rPr>
          <w:sz w:val="24"/>
        </w:rPr>
      </w:pPr>
      <w:r>
        <w:rPr>
          <w:sz w:val="24"/>
        </w:rPr>
        <w:t>—</w:t>
      </w:r>
      <w:r>
        <w:rPr>
          <w:rFonts w:hint="eastAsia"/>
          <w:sz w:val="24"/>
        </w:rPr>
        <w:t>采购方要求提供的其他文档</w:t>
      </w:r>
    </w:p>
    <w:p>
      <w:pPr>
        <w:pStyle w:val="74"/>
        <w:numPr>
          <w:ilvl w:val="0"/>
          <w:numId w:val="19"/>
        </w:numPr>
        <w:spacing w:line="360" w:lineRule="auto"/>
        <w:ind w:firstLineChars="0"/>
        <w:rPr>
          <w:rFonts w:eastAsia="宋体"/>
        </w:rPr>
      </w:pPr>
      <w:r>
        <w:rPr>
          <w:rFonts w:eastAsia="宋体"/>
        </w:rPr>
        <w:t>系统详细设计文件应包括下列内容：</w:t>
      </w:r>
    </w:p>
    <w:p>
      <w:pPr>
        <w:spacing w:line="360" w:lineRule="auto"/>
        <w:ind w:firstLine="960" w:firstLineChars="400"/>
        <w:rPr>
          <w:sz w:val="24"/>
        </w:rPr>
      </w:pPr>
      <w:r>
        <w:rPr>
          <w:sz w:val="24"/>
        </w:rPr>
        <w:t>提供系统结构图，描述系统的原理；</w:t>
      </w:r>
    </w:p>
    <w:p>
      <w:pPr>
        <w:spacing w:line="360" w:lineRule="auto"/>
        <w:ind w:firstLine="960" w:firstLineChars="400"/>
        <w:rPr>
          <w:sz w:val="24"/>
        </w:rPr>
      </w:pPr>
      <w:r>
        <w:rPr>
          <w:sz w:val="24"/>
        </w:rPr>
        <w:t>提供完整的系统装配图，包括设备尺寸、设备重量、相关接口、安装位置及空间、线缆走向等。</w:t>
      </w:r>
    </w:p>
    <w:p>
      <w:pPr>
        <w:pStyle w:val="74"/>
        <w:numPr>
          <w:ilvl w:val="0"/>
          <w:numId w:val="19"/>
        </w:numPr>
        <w:spacing w:line="360" w:lineRule="auto"/>
        <w:ind w:firstLineChars="0"/>
        <w:rPr>
          <w:rFonts w:eastAsia="宋体"/>
        </w:rPr>
      </w:pPr>
      <w:r>
        <w:rPr>
          <w:rFonts w:eastAsia="宋体"/>
        </w:rPr>
        <w:t>设备操作手册应包括以下内容：</w:t>
      </w:r>
    </w:p>
    <w:p>
      <w:pPr>
        <w:spacing w:line="360" w:lineRule="auto"/>
        <w:ind w:firstLine="960" w:firstLineChars="400"/>
        <w:rPr>
          <w:sz w:val="24"/>
        </w:rPr>
      </w:pPr>
      <w:r>
        <w:rPr>
          <w:sz w:val="24"/>
        </w:rPr>
        <w:t>每个设备的操作方法；</w:t>
      </w:r>
    </w:p>
    <w:p>
      <w:pPr>
        <w:spacing w:line="360" w:lineRule="auto"/>
        <w:ind w:firstLine="960" w:firstLineChars="400"/>
        <w:rPr>
          <w:sz w:val="24"/>
        </w:rPr>
      </w:pPr>
      <w:r>
        <w:rPr>
          <w:sz w:val="24"/>
        </w:rPr>
        <w:t>系统的联机调试程序、操作程序；</w:t>
      </w:r>
    </w:p>
    <w:p>
      <w:pPr>
        <w:spacing w:line="360" w:lineRule="auto"/>
        <w:ind w:firstLine="960" w:firstLineChars="400"/>
        <w:rPr>
          <w:sz w:val="24"/>
        </w:rPr>
      </w:pPr>
      <w:r>
        <w:rPr>
          <w:sz w:val="24"/>
        </w:rPr>
        <w:t>每一功能操作的描述及举例；</w:t>
      </w:r>
    </w:p>
    <w:p>
      <w:pPr>
        <w:spacing w:line="360" w:lineRule="auto"/>
        <w:ind w:firstLine="960" w:firstLineChars="400"/>
        <w:rPr>
          <w:sz w:val="24"/>
        </w:rPr>
      </w:pPr>
      <w:r>
        <w:rPr>
          <w:sz w:val="24"/>
        </w:rPr>
        <w:t>操作技巧及使用注意事项。</w:t>
      </w:r>
    </w:p>
    <w:p>
      <w:pPr>
        <w:pStyle w:val="74"/>
        <w:numPr>
          <w:ilvl w:val="0"/>
          <w:numId w:val="19"/>
        </w:numPr>
        <w:spacing w:line="360" w:lineRule="auto"/>
        <w:ind w:firstLineChars="0"/>
        <w:rPr>
          <w:rFonts w:eastAsia="宋体"/>
        </w:rPr>
      </w:pPr>
      <w:r>
        <w:rPr>
          <w:rFonts w:eastAsia="宋体"/>
        </w:rPr>
        <w:t>专用设备维护手册应包括以下内容：</w:t>
      </w:r>
    </w:p>
    <w:p>
      <w:pPr>
        <w:spacing w:line="360" w:lineRule="auto"/>
        <w:ind w:firstLine="960" w:firstLineChars="400"/>
        <w:rPr>
          <w:sz w:val="24"/>
        </w:rPr>
      </w:pPr>
      <w:r>
        <w:rPr>
          <w:sz w:val="24"/>
        </w:rPr>
        <w:t>每个设备都应有必要的维护内容；</w:t>
      </w:r>
    </w:p>
    <w:p>
      <w:pPr>
        <w:spacing w:line="360" w:lineRule="auto"/>
        <w:ind w:firstLine="960" w:firstLineChars="400"/>
        <w:rPr>
          <w:sz w:val="24"/>
        </w:rPr>
      </w:pPr>
      <w:r>
        <w:rPr>
          <w:sz w:val="24"/>
        </w:rPr>
        <w:t>所有设备厂家名称、地址、设备类型及系列号；</w:t>
      </w:r>
    </w:p>
    <w:p>
      <w:pPr>
        <w:spacing w:line="360" w:lineRule="auto"/>
        <w:ind w:firstLine="960" w:firstLineChars="400"/>
        <w:rPr>
          <w:sz w:val="24"/>
        </w:rPr>
      </w:pPr>
      <w:r>
        <w:rPr>
          <w:sz w:val="24"/>
        </w:rPr>
        <w:t>维修所需的器件、工具及测试设备清单，说明其型号及厂家联系方式；</w:t>
      </w:r>
    </w:p>
    <w:p>
      <w:pPr>
        <w:spacing w:line="360" w:lineRule="auto"/>
        <w:ind w:firstLine="960" w:firstLineChars="400"/>
        <w:rPr>
          <w:sz w:val="24"/>
        </w:rPr>
      </w:pPr>
      <w:r>
        <w:rPr>
          <w:sz w:val="24"/>
        </w:rPr>
        <w:t>提供专用软件的安装及检测方法。</w:t>
      </w:r>
    </w:p>
    <w:p>
      <w:pPr>
        <w:pStyle w:val="74"/>
        <w:numPr>
          <w:ilvl w:val="0"/>
          <w:numId w:val="19"/>
        </w:numPr>
        <w:spacing w:line="360" w:lineRule="auto"/>
        <w:ind w:firstLineChars="0"/>
        <w:rPr>
          <w:rFonts w:eastAsia="宋体"/>
        </w:rPr>
      </w:pPr>
      <w:r>
        <w:rPr>
          <w:rFonts w:eastAsia="宋体"/>
        </w:rPr>
        <w:t>设备安装手册应包括以下内容：</w:t>
      </w:r>
    </w:p>
    <w:p>
      <w:pPr>
        <w:spacing w:line="360" w:lineRule="auto"/>
        <w:ind w:firstLine="960" w:firstLineChars="400"/>
        <w:rPr>
          <w:sz w:val="24"/>
        </w:rPr>
      </w:pPr>
      <w:r>
        <w:rPr>
          <w:sz w:val="24"/>
        </w:rPr>
        <w:t>设备的安装要求、方法；</w:t>
      </w:r>
    </w:p>
    <w:p>
      <w:pPr>
        <w:spacing w:line="360" w:lineRule="auto"/>
        <w:ind w:firstLine="960" w:firstLineChars="400"/>
        <w:rPr>
          <w:sz w:val="24"/>
        </w:rPr>
      </w:pPr>
      <w:r>
        <w:rPr>
          <w:sz w:val="24"/>
        </w:rPr>
        <w:t>设备及器件间的连接图和走线编号；</w:t>
      </w:r>
    </w:p>
    <w:p>
      <w:pPr>
        <w:spacing w:line="360" w:lineRule="auto"/>
        <w:ind w:firstLine="960" w:firstLineChars="400"/>
        <w:rPr>
          <w:sz w:val="24"/>
        </w:rPr>
      </w:pPr>
      <w:r>
        <w:rPr>
          <w:sz w:val="24"/>
        </w:rPr>
        <w:t>完整的安装手册。</w:t>
      </w:r>
    </w:p>
    <w:p>
      <w:pPr>
        <w:pStyle w:val="74"/>
        <w:numPr>
          <w:ilvl w:val="0"/>
          <w:numId w:val="19"/>
        </w:numPr>
        <w:spacing w:line="360" w:lineRule="auto"/>
        <w:ind w:firstLineChars="0"/>
        <w:rPr>
          <w:rFonts w:eastAsia="宋体"/>
        </w:rPr>
      </w:pPr>
      <w:r>
        <w:rPr>
          <w:rFonts w:hint="eastAsia" w:eastAsia="宋体"/>
        </w:rPr>
        <w:t>软件</w:t>
      </w:r>
      <w:r>
        <w:rPr>
          <w:rFonts w:eastAsia="宋体"/>
        </w:rPr>
        <w:t>操作手册应包括以下内容：</w:t>
      </w:r>
    </w:p>
    <w:p>
      <w:pPr>
        <w:spacing w:line="360" w:lineRule="auto"/>
        <w:ind w:firstLine="960" w:firstLineChars="400"/>
        <w:rPr>
          <w:sz w:val="24"/>
        </w:rPr>
      </w:pPr>
      <w:r>
        <w:rPr>
          <w:sz w:val="24"/>
        </w:rPr>
        <w:t>每个单机的操作方法；</w:t>
      </w:r>
    </w:p>
    <w:p>
      <w:pPr>
        <w:spacing w:line="360" w:lineRule="auto"/>
        <w:ind w:firstLine="960" w:firstLineChars="400"/>
        <w:rPr>
          <w:sz w:val="24"/>
        </w:rPr>
      </w:pPr>
      <w:r>
        <w:rPr>
          <w:sz w:val="24"/>
        </w:rPr>
        <w:t>每一功能操作的描述及举例；</w:t>
      </w:r>
    </w:p>
    <w:p>
      <w:pPr>
        <w:spacing w:line="360" w:lineRule="auto"/>
        <w:ind w:firstLine="960" w:firstLineChars="400"/>
        <w:rPr>
          <w:sz w:val="24"/>
        </w:rPr>
      </w:pPr>
      <w:r>
        <w:rPr>
          <w:sz w:val="24"/>
        </w:rPr>
        <w:t>操作技巧及使用注意事项。</w:t>
      </w:r>
    </w:p>
    <w:p>
      <w:pPr>
        <w:pStyle w:val="74"/>
        <w:numPr>
          <w:ilvl w:val="0"/>
          <w:numId w:val="19"/>
        </w:numPr>
        <w:spacing w:line="360" w:lineRule="auto"/>
        <w:ind w:firstLineChars="0"/>
        <w:rPr>
          <w:rFonts w:eastAsia="宋体"/>
        </w:rPr>
      </w:pPr>
      <w:r>
        <w:rPr>
          <w:rFonts w:hint="eastAsia" w:eastAsia="宋体"/>
        </w:rPr>
        <w:t>软件测试报告</w:t>
      </w:r>
      <w:r>
        <w:rPr>
          <w:rFonts w:eastAsia="宋体"/>
        </w:rPr>
        <w:t>应包括以下内容：</w:t>
      </w:r>
    </w:p>
    <w:p>
      <w:pPr>
        <w:spacing w:line="360" w:lineRule="auto"/>
        <w:ind w:firstLine="960" w:firstLineChars="400"/>
        <w:rPr>
          <w:sz w:val="24"/>
        </w:rPr>
      </w:pPr>
      <w:r>
        <w:rPr>
          <w:sz w:val="24"/>
        </w:rPr>
        <w:t>经</w:t>
      </w:r>
      <w:r>
        <w:rPr>
          <w:rFonts w:hint="eastAsia"/>
          <w:sz w:val="24"/>
        </w:rPr>
        <w:t>采购方</w:t>
      </w:r>
      <w:r>
        <w:rPr>
          <w:sz w:val="24"/>
        </w:rPr>
        <w:t>确认的程序和报告格式。</w:t>
      </w:r>
    </w:p>
    <w:p>
      <w:pPr>
        <w:spacing w:line="360" w:lineRule="auto"/>
        <w:ind w:firstLine="960" w:firstLineChars="400"/>
        <w:rPr>
          <w:sz w:val="24"/>
        </w:rPr>
      </w:pPr>
      <w:r>
        <w:rPr>
          <w:sz w:val="24"/>
        </w:rPr>
        <w:t>所有测试数据需填写在报告格式上，并经买卖双方确认签字。</w:t>
      </w:r>
    </w:p>
    <w:p>
      <w:pPr>
        <w:pStyle w:val="74"/>
        <w:numPr>
          <w:ilvl w:val="0"/>
          <w:numId w:val="19"/>
        </w:numPr>
        <w:spacing w:line="360" w:lineRule="auto"/>
        <w:ind w:firstLineChars="0"/>
        <w:rPr>
          <w:rFonts w:eastAsia="宋体"/>
        </w:rPr>
      </w:pPr>
      <w:r>
        <w:rPr>
          <w:rFonts w:eastAsia="宋体"/>
        </w:rPr>
        <w:t>现场验收文件应包括以下内容和要求：</w:t>
      </w:r>
    </w:p>
    <w:p>
      <w:pPr>
        <w:spacing w:line="360" w:lineRule="auto"/>
        <w:ind w:firstLine="960" w:firstLineChars="400"/>
        <w:rPr>
          <w:sz w:val="24"/>
        </w:rPr>
      </w:pPr>
      <w:r>
        <w:rPr>
          <w:sz w:val="24"/>
        </w:rPr>
        <w:t>经买卖双方确认的程序和报告。</w:t>
      </w:r>
    </w:p>
    <w:p>
      <w:pPr>
        <w:spacing w:line="360" w:lineRule="auto"/>
        <w:ind w:firstLine="960" w:firstLineChars="400"/>
        <w:rPr>
          <w:sz w:val="24"/>
        </w:rPr>
      </w:pPr>
      <w:r>
        <w:rPr>
          <w:sz w:val="24"/>
        </w:rPr>
        <w:t>所有测试数据需填写在报告上，并经买卖双方确认签字。</w:t>
      </w:r>
    </w:p>
    <w:p>
      <w:pPr>
        <w:spacing w:line="360" w:lineRule="auto"/>
        <w:ind w:firstLine="960" w:firstLineChars="400"/>
        <w:rPr>
          <w:sz w:val="24"/>
        </w:rPr>
      </w:pPr>
      <w:r>
        <w:rPr>
          <w:sz w:val="24"/>
        </w:rPr>
        <w:t>现场验收过程中，经修改的内容和相关备忘文件，作为合同的附件。</w:t>
      </w:r>
    </w:p>
    <w:p>
      <w:pPr>
        <w:pStyle w:val="74"/>
        <w:numPr>
          <w:ilvl w:val="0"/>
          <w:numId w:val="19"/>
        </w:numPr>
        <w:spacing w:line="360" w:lineRule="auto"/>
        <w:ind w:firstLineChars="0"/>
        <w:rPr>
          <w:rFonts w:eastAsia="宋体"/>
        </w:rPr>
      </w:pPr>
      <w:r>
        <w:rPr>
          <w:rFonts w:eastAsia="宋体"/>
        </w:rPr>
        <w:t>培训教材和培训计划应包括以下内容：</w:t>
      </w:r>
    </w:p>
    <w:p>
      <w:pPr>
        <w:spacing w:line="360" w:lineRule="auto"/>
        <w:ind w:firstLine="960" w:firstLineChars="400"/>
        <w:rPr>
          <w:sz w:val="24"/>
        </w:rPr>
      </w:pPr>
      <w:r>
        <w:rPr>
          <w:sz w:val="24"/>
        </w:rPr>
        <w:t>培训的时间和内容安排；</w:t>
      </w:r>
    </w:p>
    <w:p>
      <w:pPr>
        <w:spacing w:line="360" w:lineRule="auto"/>
        <w:ind w:firstLine="960" w:firstLineChars="400"/>
        <w:rPr>
          <w:sz w:val="24"/>
        </w:rPr>
      </w:pPr>
      <w:r>
        <w:rPr>
          <w:sz w:val="24"/>
        </w:rPr>
        <w:t>培训中涉及的讲课内容和操作使用手册。</w:t>
      </w:r>
    </w:p>
    <w:p>
      <w:pPr>
        <w:pStyle w:val="74"/>
        <w:numPr>
          <w:ilvl w:val="0"/>
          <w:numId w:val="19"/>
        </w:numPr>
        <w:spacing w:line="360" w:lineRule="auto"/>
        <w:ind w:firstLineChars="0"/>
        <w:rPr>
          <w:rFonts w:eastAsia="宋体"/>
        </w:rPr>
      </w:pPr>
      <w:r>
        <w:rPr>
          <w:rFonts w:eastAsia="宋体"/>
        </w:rPr>
        <w:t>软件备份盘</w:t>
      </w:r>
    </w:p>
    <w:p>
      <w:pPr>
        <w:spacing w:line="360" w:lineRule="auto"/>
        <w:ind w:firstLine="960" w:firstLineChars="400"/>
        <w:rPr>
          <w:sz w:val="24"/>
        </w:rPr>
      </w:pPr>
      <w:r>
        <w:rPr>
          <w:sz w:val="24"/>
        </w:rPr>
        <w:t>商用设备的随机系统盘及通用应用软件；</w:t>
      </w:r>
    </w:p>
    <w:p>
      <w:pPr>
        <w:spacing w:line="360" w:lineRule="auto"/>
        <w:ind w:firstLine="960" w:firstLineChars="400"/>
        <w:rPr>
          <w:sz w:val="24"/>
        </w:rPr>
      </w:pPr>
      <w:r>
        <w:rPr>
          <w:sz w:val="24"/>
        </w:rPr>
        <w:t>提供所有专用软件和应用软件备份光盘，包括安装程序和安装说明书。</w:t>
      </w:r>
      <w:bookmarkEnd w:id="50"/>
      <w:bookmarkEnd w:id="51"/>
      <w:bookmarkEnd w:id="52"/>
      <w:bookmarkEnd w:id="53"/>
      <w:bookmarkEnd w:id="54"/>
      <w:bookmarkEnd w:id="55"/>
      <w:bookmarkEnd w:id="56"/>
    </w:p>
    <w:p>
      <w:pPr>
        <w:pStyle w:val="2"/>
        <w:rPr>
          <w:b/>
          <w:bCs/>
          <w:sz w:val="24"/>
        </w:rPr>
      </w:pPr>
      <w:r>
        <w:rPr>
          <w:rFonts w:hint="eastAsia"/>
          <w:b/>
          <w:bCs/>
          <w:sz w:val="24"/>
        </w:rPr>
        <w:t>六、其他</w:t>
      </w:r>
    </w:p>
    <w:p>
      <w:pPr>
        <w:spacing w:line="360" w:lineRule="auto"/>
        <w:rPr>
          <w:sz w:val="24"/>
        </w:rPr>
      </w:pPr>
      <w:r>
        <w:rPr>
          <w:rFonts w:hint="eastAsia"/>
          <w:sz w:val="24"/>
        </w:rPr>
        <w:t>1、交通运输部北海航海保障中心天津航标处为本项目的建设主体单位，交通运输部北海航海保障中心为出资人，投标单位中标后需要签订三方合同。</w:t>
      </w:r>
    </w:p>
    <w:p>
      <w:pPr>
        <w:spacing w:line="360" w:lineRule="auto"/>
        <w:ind w:firstLine="960" w:firstLineChars="400"/>
        <w:rPr>
          <w:sz w:val="24"/>
        </w:rPr>
      </w:pPr>
      <w:r>
        <w:rPr>
          <w:sz w:val="24"/>
        </w:rPr>
        <w:br w:type="page"/>
      </w:r>
    </w:p>
    <w:p>
      <w:pPr>
        <w:pStyle w:val="3"/>
        <w:rPr>
          <w:szCs w:val="32"/>
        </w:rPr>
      </w:pPr>
      <w:bookmarkStart w:id="188" w:name="_Toc27888"/>
      <w:bookmarkStart w:id="189" w:name="_Toc3831"/>
      <w:r>
        <w:rPr>
          <w:rFonts w:hint="eastAsia"/>
          <w:szCs w:val="32"/>
        </w:rPr>
        <w:t>第三部分：供应商须知</w:t>
      </w:r>
      <w:bookmarkEnd w:id="18"/>
      <w:bookmarkEnd w:id="188"/>
      <w:bookmarkEnd w:id="189"/>
    </w:p>
    <w:p>
      <w:pPr>
        <w:spacing w:line="560" w:lineRule="exact"/>
        <w:jc w:val="center"/>
        <w:rPr>
          <w:sz w:val="24"/>
        </w:rPr>
      </w:pPr>
      <w:r>
        <w:rPr>
          <w:sz w:val="24"/>
        </w:rPr>
        <w:t>A  说明</w:t>
      </w:r>
    </w:p>
    <w:p>
      <w:pPr>
        <w:spacing w:line="560" w:lineRule="exact"/>
        <w:rPr>
          <w:sz w:val="24"/>
        </w:rPr>
      </w:pPr>
      <w:r>
        <w:rPr>
          <w:sz w:val="24"/>
        </w:rPr>
        <w:t>1. 适用范围</w:t>
      </w:r>
    </w:p>
    <w:p>
      <w:pPr>
        <w:spacing w:line="560" w:lineRule="exact"/>
        <w:ind w:firstLine="480" w:firstLineChars="200"/>
        <w:outlineLvl w:val="0"/>
        <w:rPr>
          <w:sz w:val="24"/>
        </w:rPr>
      </w:pPr>
      <w:bookmarkStart w:id="190" w:name="_Toc28552"/>
      <w:bookmarkStart w:id="191" w:name="_Toc8287"/>
      <w:r>
        <w:rPr>
          <w:sz w:val="24"/>
        </w:rPr>
        <w:t>本招标文件仅适用于投标邀请函中所叙述项目货物和服务的采购。</w:t>
      </w:r>
      <w:bookmarkEnd w:id="190"/>
      <w:bookmarkEnd w:id="191"/>
    </w:p>
    <w:p>
      <w:pPr>
        <w:spacing w:line="560" w:lineRule="exact"/>
        <w:rPr>
          <w:sz w:val="24"/>
        </w:rPr>
      </w:pPr>
      <w:r>
        <w:rPr>
          <w:sz w:val="24"/>
        </w:rPr>
        <w:t xml:space="preserve">2. 定义 </w:t>
      </w:r>
    </w:p>
    <w:p>
      <w:pPr>
        <w:spacing w:line="560" w:lineRule="exact"/>
        <w:ind w:firstLine="480" w:firstLineChars="200"/>
        <w:outlineLvl w:val="0"/>
        <w:rPr>
          <w:sz w:val="24"/>
        </w:rPr>
      </w:pPr>
      <w:bookmarkStart w:id="192" w:name="_Toc26456"/>
      <w:bookmarkStart w:id="193" w:name="_Toc24346"/>
      <w:r>
        <w:rPr>
          <w:sz w:val="24"/>
        </w:rPr>
        <w:t xml:space="preserve">2.1 </w:t>
      </w:r>
      <w:r>
        <w:rPr>
          <w:rFonts w:hint="eastAsia"/>
          <w:sz w:val="24"/>
        </w:rPr>
        <w:t>“</w:t>
      </w:r>
      <w:r>
        <w:rPr>
          <w:sz w:val="24"/>
        </w:rPr>
        <w:t>采购人</w:t>
      </w:r>
      <w:r>
        <w:rPr>
          <w:rFonts w:hint="eastAsia"/>
          <w:sz w:val="24"/>
        </w:rPr>
        <w:t>”</w:t>
      </w:r>
      <w:r>
        <w:rPr>
          <w:sz w:val="24"/>
        </w:rPr>
        <w:t>系指本次招标活动的采购单位。</w:t>
      </w:r>
      <w:r>
        <w:rPr>
          <w:rFonts w:hint="eastAsia"/>
          <w:sz w:val="24"/>
        </w:rPr>
        <w:t>“</w:t>
      </w:r>
      <w:r>
        <w:rPr>
          <w:sz w:val="24"/>
        </w:rPr>
        <w:t>采购代理机构</w:t>
      </w:r>
      <w:r>
        <w:rPr>
          <w:rFonts w:hint="eastAsia"/>
          <w:sz w:val="24"/>
        </w:rPr>
        <w:t>”</w:t>
      </w:r>
      <w:r>
        <w:rPr>
          <w:sz w:val="24"/>
        </w:rPr>
        <w:t>系指组织本次招标活动的机构，即“</w:t>
      </w:r>
      <w:r>
        <w:rPr>
          <w:rFonts w:hint="eastAsia"/>
          <w:sz w:val="24"/>
        </w:rPr>
        <w:t>天津泰达工程管理咨询有限公司</w:t>
      </w:r>
      <w:r>
        <w:rPr>
          <w:sz w:val="24"/>
        </w:rPr>
        <w:t>”。</w:t>
      </w:r>
      <w:bookmarkEnd w:id="192"/>
      <w:bookmarkEnd w:id="193"/>
    </w:p>
    <w:p>
      <w:pPr>
        <w:spacing w:line="560" w:lineRule="exact"/>
        <w:ind w:firstLine="480" w:firstLineChars="200"/>
        <w:outlineLvl w:val="0"/>
        <w:rPr>
          <w:sz w:val="24"/>
        </w:rPr>
      </w:pPr>
      <w:bookmarkStart w:id="194" w:name="_Toc30471"/>
      <w:bookmarkStart w:id="195" w:name="_Toc23757"/>
      <w:r>
        <w:rPr>
          <w:sz w:val="24"/>
        </w:rPr>
        <w:t>2.2</w:t>
      </w:r>
      <w:r>
        <w:rPr>
          <w:rFonts w:hint="eastAsia"/>
          <w:sz w:val="24"/>
        </w:rPr>
        <w:t>“</w:t>
      </w:r>
      <w:r>
        <w:rPr>
          <w:sz w:val="24"/>
        </w:rPr>
        <w:t>投标人</w:t>
      </w:r>
      <w:r>
        <w:rPr>
          <w:rFonts w:hint="eastAsia"/>
          <w:sz w:val="24"/>
        </w:rPr>
        <w:t>”</w:t>
      </w:r>
      <w:r>
        <w:rPr>
          <w:sz w:val="24"/>
        </w:rPr>
        <w:t>系指</w:t>
      </w:r>
      <w:r>
        <w:rPr>
          <w:rFonts w:hint="eastAsia"/>
          <w:sz w:val="24"/>
        </w:rPr>
        <w:t>响应招标、</w:t>
      </w:r>
      <w:r>
        <w:rPr>
          <w:sz w:val="24"/>
        </w:rPr>
        <w:t>参加投标竞争的法人</w:t>
      </w:r>
      <w:r>
        <w:rPr>
          <w:rFonts w:hint="eastAsia"/>
          <w:sz w:val="24"/>
        </w:rPr>
        <w:t>、</w:t>
      </w:r>
      <w:r>
        <w:rPr>
          <w:sz w:val="24"/>
        </w:rPr>
        <w:t>其他组织或者自然人。</w:t>
      </w:r>
      <w:bookmarkEnd w:id="194"/>
      <w:bookmarkEnd w:id="195"/>
    </w:p>
    <w:p>
      <w:pPr>
        <w:pStyle w:val="2"/>
        <w:spacing w:line="560" w:lineRule="exact"/>
        <w:rPr>
          <w:sz w:val="24"/>
        </w:rPr>
      </w:pPr>
      <w:r>
        <w:rPr>
          <w:sz w:val="24"/>
        </w:rPr>
        <w:t xml:space="preserve">    2.3</w:t>
      </w:r>
      <w:r>
        <w:rPr>
          <w:rFonts w:hint="eastAsia"/>
          <w:sz w:val="24"/>
        </w:rPr>
        <w:t>“货物”</w:t>
      </w:r>
      <w:r>
        <w:rPr>
          <w:sz w:val="24"/>
        </w:rPr>
        <w:t>系指供应商按招标文件规定，须向采购人提供的各种形态和种类的物品（包括原材料、燃料、设备、产品等）、备品备件、工具、手册及其它有关技术资料和材料。</w:t>
      </w:r>
    </w:p>
    <w:p>
      <w:pPr>
        <w:pStyle w:val="2"/>
        <w:spacing w:line="560" w:lineRule="exact"/>
        <w:ind w:firstLine="450"/>
        <w:rPr>
          <w:sz w:val="24"/>
        </w:rPr>
      </w:pPr>
      <w:r>
        <w:rPr>
          <w:sz w:val="24"/>
        </w:rPr>
        <w:t xml:space="preserve">2.4 </w:t>
      </w:r>
      <w:r>
        <w:rPr>
          <w:rFonts w:hint="eastAsia"/>
          <w:sz w:val="24"/>
        </w:rPr>
        <w:t>“服务”</w:t>
      </w:r>
      <w:r>
        <w:rPr>
          <w:sz w:val="24"/>
        </w:rPr>
        <w:t>系指招标文件规定供应商须承担的运输、安装、调试、技术协助、校准、培训、维修以及其它类似的义务。</w:t>
      </w:r>
    </w:p>
    <w:p>
      <w:pPr>
        <w:spacing w:line="560" w:lineRule="exact"/>
        <w:rPr>
          <w:sz w:val="24"/>
        </w:rPr>
      </w:pPr>
      <w:r>
        <w:rPr>
          <w:sz w:val="24"/>
        </w:rPr>
        <w:t>3. 解释权</w:t>
      </w:r>
    </w:p>
    <w:p>
      <w:pPr>
        <w:spacing w:line="560" w:lineRule="exact"/>
        <w:jc w:val="left"/>
        <w:rPr>
          <w:sz w:val="24"/>
        </w:rPr>
      </w:pPr>
      <w:r>
        <w:rPr>
          <w:sz w:val="24"/>
        </w:rPr>
        <w:t xml:space="preserve">    3.1本次招投标的最终解释权归为采购人。当对一个问题有多种解释时</w:t>
      </w:r>
      <w:r>
        <w:rPr>
          <w:rFonts w:hint="eastAsia"/>
          <w:sz w:val="24"/>
        </w:rPr>
        <w:t>，</w:t>
      </w:r>
      <w:r>
        <w:rPr>
          <w:sz w:val="24"/>
        </w:rPr>
        <w:t>以采购人解释为准。</w:t>
      </w:r>
    </w:p>
    <w:p>
      <w:pPr>
        <w:spacing w:line="560" w:lineRule="exact"/>
        <w:rPr>
          <w:sz w:val="24"/>
        </w:rPr>
      </w:pPr>
      <w:r>
        <w:rPr>
          <w:sz w:val="24"/>
        </w:rPr>
        <w:t xml:space="preserve">    3.2 本文件未作须知明示，而又有相关法律、法规规定的，采购代理机构将对此解释为依据有关法律、法规的规定。 </w:t>
      </w:r>
    </w:p>
    <w:p>
      <w:pPr>
        <w:spacing w:line="560" w:lineRule="exact"/>
        <w:rPr>
          <w:sz w:val="24"/>
        </w:rPr>
      </w:pPr>
      <w:r>
        <w:rPr>
          <w:sz w:val="24"/>
        </w:rPr>
        <w:t>4. 合格的投标人</w:t>
      </w:r>
    </w:p>
    <w:p>
      <w:pPr>
        <w:pStyle w:val="15"/>
        <w:spacing w:line="560" w:lineRule="exact"/>
        <w:ind w:firstLine="480" w:firstLineChars="200"/>
        <w:rPr>
          <w:sz w:val="24"/>
        </w:rPr>
      </w:pPr>
      <w:r>
        <w:rPr>
          <w:sz w:val="24"/>
        </w:rPr>
        <w:t>4.1符合《中华人民共和国招标投标法》和《中华人民共和国政府采购法》第二十二条供应商参加政府采购活动应当具备的条件及其他有关法律、法规关于供应商的有关规定，有能力提供招标采购货物及服务的制造商或供应商。</w:t>
      </w:r>
    </w:p>
    <w:p>
      <w:pPr>
        <w:spacing w:line="560" w:lineRule="exact"/>
        <w:ind w:firstLine="495"/>
        <w:rPr>
          <w:sz w:val="24"/>
        </w:rPr>
      </w:pPr>
      <w:r>
        <w:rPr>
          <w:sz w:val="24"/>
        </w:rPr>
        <w:t>4.2符合招标文件第二部分关于投标人的规定。</w:t>
      </w:r>
    </w:p>
    <w:p>
      <w:pPr>
        <w:spacing w:line="560" w:lineRule="exact"/>
        <w:ind w:firstLine="495"/>
        <w:rPr>
          <w:sz w:val="24"/>
        </w:rPr>
      </w:pPr>
      <w:r>
        <w:rPr>
          <w:sz w:val="24"/>
        </w:rPr>
        <w:t>4.3两个以上自然人、法人或者其他组织可以组成一个联合体，以一个投标人的身份共同参加政府采购</w:t>
      </w:r>
      <w:r>
        <w:rPr>
          <w:rFonts w:hint="eastAsia"/>
          <w:sz w:val="24"/>
        </w:rPr>
        <w:t>（除特殊约定外不接受联合体投标）</w:t>
      </w:r>
      <w:r>
        <w:rPr>
          <w:sz w:val="24"/>
        </w:rPr>
        <w:t>。</w:t>
      </w:r>
    </w:p>
    <w:p>
      <w:pPr>
        <w:spacing w:line="560" w:lineRule="exact"/>
        <w:ind w:firstLine="495"/>
        <w:rPr>
          <w:sz w:val="24"/>
        </w:rPr>
      </w:pPr>
      <w:r>
        <w:rPr>
          <w:sz w:val="24"/>
        </w:rPr>
        <w:t>4.3.1联合体各方均应当具备《中华人民共和国政府采购法》第二十二条规定的条件。</w:t>
      </w:r>
    </w:p>
    <w:p>
      <w:pPr>
        <w:spacing w:line="560" w:lineRule="exact"/>
        <w:ind w:firstLine="495"/>
        <w:rPr>
          <w:sz w:val="24"/>
        </w:rPr>
      </w:pPr>
      <w:r>
        <w:rPr>
          <w:sz w:val="24"/>
        </w:rPr>
        <w:t>4.3.2联合体应当向招标采购单位提交联合协议。</w:t>
      </w:r>
    </w:p>
    <w:p>
      <w:pPr>
        <w:spacing w:line="560" w:lineRule="exact"/>
        <w:ind w:firstLine="495"/>
        <w:rPr>
          <w:sz w:val="24"/>
        </w:rPr>
      </w:pPr>
      <w:r>
        <w:rPr>
          <w:sz w:val="24"/>
        </w:rPr>
        <w:t>4.3.3联合体各方应当共同与采购人订立合同并履约。</w:t>
      </w:r>
    </w:p>
    <w:p>
      <w:pPr>
        <w:spacing w:line="560" w:lineRule="exact"/>
        <w:outlineLvl w:val="0"/>
        <w:rPr>
          <w:sz w:val="24"/>
        </w:rPr>
      </w:pPr>
      <w:bookmarkStart w:id="196" w:name="_Toc4801"/>
      <w:bookmarkStart w:id="197" w:name="_Toc27652"/>
      <w:r>
        <w:rPr>
          <w:sz w:val="24"/>
        </w:rPr>
        <w:t>5. 投标费用</w:t>
      </w:r>
      <w:bookmarkEnd w:id="196"/>
      <w:bookmarkEnd w:id="197"/>
    </w:p>
    <w:p>
      <w:pPr>
        <w:spacing w:line="560" w:lineRule="exact"/>
        <w:ind w:firstLine="495"/>
        <w:rPr>
          <w:sz w:val="24"/>
        </w:rPr>
      </w:pPr>
      <w:r>
        <w:rPr>
          <w:sz w:val="24"/>
        </w:rPr>
        <w:t>无论投标过程中的做法和结果如何，投标人自行承担所有与参加投标有关的全部费用。</w:t>
      </w:r>
    </w:p>
    <w:p>
      <w:pPr>
        <w:spacing w:line="560" w:lineRule="exact"/>
        <w:jc w:val="center"/>
        <w:rPr>
          <w:sz w:val="24"/>
        </w:rPr>
      </w:pPr>
      <w:r>
        <w:rPr>
          <w:sz w:val="24"/>
        </w:rPr>
        <w:t>B   招标文件说明</w:t>
      </w:r>
    </w:p>
    <w:p>
      <w:pPr>
        <w:spacing w:line="560" w:lineRule="exact"/>
        <w:outlineLvl w:val="0"/>
        <w:rPr>
          <w:sz w:val="24"/>
        </w:rPr>
      </w:pPr>
      <w:bookmarkStart w:id="198" w:name="_Toc3480"/>
      <w:bookmarkStart w:id="199" w:name="_Toc17588"/>
      <w:r>
        <w:rPr>
          <w:sz w:val="24"/>
        </w:rPr>
        <w:t>6. 招标文件的构成</w:t>
      </w:r>
      <w:bookmarkEnd w:id="198"/>
      <w:bookmarkEnd w:id="199"/>
    </w:p>
    <w:p>
      <w:pPr>
        <w:spacing w:line="560" w:lineRule="exact"/>
        <w:ind w:firstLine="495"/>
        <w:rPr>
          <w:sz w:val="24"/>
        </w:rPr>
      </w:pPr>
      <w:r>
        <w:rPr>
          <w:sz w:val="24"/>
        </w:rPr>
        <w:t>6.1 招标文件用以阐明所需货物及服务、招标投标程序和合同条款。招标文件由下述部分组成：</w:t>
      </w:r>
    </w:p>
    <w:p>
      <w:pPr>
        <w:spacing w:line="560" w:lineRule="exact"/>
        <w:ind w:firstLine="480" w:firstLineChars="200"/>
        <w:rPr>
          <w:sz w:val="24"/>
        </w:rPr>
      </w:pPr>
      <w:r>
        <w:rPr>
          <w:sz w:val="24"/>
        </w:rPr>
        <w:t>（1）邀请函；</w:t>
      </w:r>
    </w:p>
    <w:p>
      <w:pPr>
        <w:spacing w:line="560" w:lineRule="exact"/>
        <w:ind w:firstLine="495"/>
        <w:rPr>
          <w:sz w:val="24"/>
        </w:rPr>
      </w:pPr>
      <w:r>
        <w:rPr>
          <w:sz w:val="24"/>
        </w:rPr>
        <w:t>（2）项目要求；</w:t>
      </w:r>
    </w:p>
    <w:p>
      <w:pPr>
        <w:spacing w:line="560" w:lineRule="exact"/>
        <w:rPr>
          <w:sz w:val="24"/>
        </w:rPr>
      </w:pPr>
      <w:r>
        <w:rPr>
          <w:sz w:val="24"/>
        </w:rPr>
        <w:t xml:space="preserve">    （3）供应商须知；</w:t>
      </w:r>
    </w:p>
    <w:p>
      <w:pPr>
        <w:spacing w:line="560" w:lineRule="exact"/>
        <w:rPr>
          <w:sz w:val="24"/>
        </w:rPr>
      </w:pPr>
      <w:r>
        <w:rPr>
          <w:sz w:val="24"/>
        </w:rPr>
        <w:t xml:space="preserve">    （4）拟用合同条款；</w:t>
      </w:r>
    </w:p>
    <w:p>
      <w:pPr>
        <w:spacing w:line="560" w:lineRule="exact"/>
        <w:rPr>
          <w:sz w:val="24"/>
        </w:rPr>
      </w:pPr>
      <w:r>
        <w:rPr>
          <w:sz w:val="24"/>
        </w:rPr>
        <w:t xml:space="preserve">    （5）附件——投标文件格式。</w:t>
      </w:r>
    </w:p>
    <w:p>
      <w:pPr>
        <w:spacing w:line="560" w:lineRule="exact"/>
        <w:rPr>
          <w:sz w:val="24"/>
        </w:rPr>
      </w:pPr>
      <w:r>
        <w:rPr>
          <w:sz w:val="24"/>
        </w:rPr>
        <w:t xml:space="preserve">    6.2 招标文件以中文编印。</w:t>
      </w:r>
    </w:p>
    <w:p>
      <w:pPr>
        <w:spacing w:line="560" w:lineRule="exact"/>
        <w:rPr>
          <w:sz w:val="24"/>
        </w:rPr>
      </w:pPr>
      <w:r>
        <w:rPr>
          <w:sz w:val="24"/>
        </w:rPr>
        <w:t xml:space="preserve">    6.3 除非有特殊要求，招标文件不单独提供招标项目使用地的自然环境、气候条件、公用设施等情况，投标人被视为熟悉上述与履行合同有关的一切情况。</w:t>
      </w:r>
    </w:p>
    <w:p>
      <w:pPr>
        <w:spacing w:line="560" w:lineRule="exact"/>
        <w:outlineLvl w:val="0"/>
        <w:rPr>
          <w:sz w:val="24"/>
        </w:rPr>
      </w:pPr>
      <w:bookmarkStart w:id="200" w:name="_Toc26601"/>
      <w:bookmarkStart w:id="201" w:name="_Toc2525"/>
      <w:r>
        <w:rPr>
          <w:sz w:val="24"/>
        </w:rPr>
        <w:t xml:space="preserve">7. </w:t>
      </w:r>
      <w:r>
        <w:rPr>
          <w:rFonts w:hint="eastAsia"/>
          <w:sz w:val="24"/>
        </w:rPr>
        <w:t>关于答疑会和现场踏勘</w:t>
      </w:r>
      <w:bookmarkEnd w:id="200"/>
      <w:bookmarkEnd w:id="201"/>
    </w:p>
    <w:p>
      <w:pPr>
        <w:spacing w:line="560" w:lineRule="exact"/>
        <w:ind w:firstLine="221"/>
        <w:rPr>
          <w:sz w:val="24"/>
        </w:rPr>
      </w:pPr>
      <w:r>
        <w:rPr>
          <w:sz w:val="24"/>
        </w:rPr>
        <w:t xml:space="preserve">  </w:t>
      </w:r>
      <w:r>
        <w:rPr>
          <w:rFonts w:hint="eastAsia"/>
          <w:sz w:val="24"/>
        </w:rPr>
        <w:t>投标人有选择出席或不出席答疑会和踏勘现场的权利，有在会上提出各项涉及招标文件内容问题的权利；未在答疑会和踏勘现场召开之时到达现场视为知悉答疑会举行并自愿缺席；无论是否参加答疑会和踏勘现场及提何问题，投标人必须自行承担缺席答疑会和踏勘现场可能产生的风险。</w:t>
      </w:r>
    </w:p>
    <w:p>
      <w:pPr>
        <w:spacing w:line="560" w:lineRule="exact"/>
        <w:ind w:firstLine="450"/>
        <w:rPr>
          <w:sz w:val="24"/>
        </w:rPr>
      </w:pPr>
      <w:r>
        <w:rPr>
          <w:rFonts w:hint="eastAsia"/>
          <w:sz w:val="24"/>
        </w:rPr>
        <w:t>如有需要，采购人将统一组织供应商对项目现场及周围环境进行踏勘。供应商踏勘现场发生的费用自理。除采购人的原因外，供应商自行负责在踏勘现场中所发生的人员伤亡和财产损失。采购人在踏勘现场中介绍的项目场地和相关的周边环境情况，为供应商在编制投标文件时提供参考，采购人不对供应商据此作出的判断和决策负责。</w:t>
      </w:r>
    </w:p>
    <w:p>
      <w:pPr>
        <w:spacing w:line="560" w:lineRule="exact"/>
        <w:ind w:firstLine="450"/>
        <w:rPr>
          <w:sz w:val="24"/>
        </w:rPr>
      </w:pPr>
      <w:r>
        <w:rPr>
          <w:rFonts w:hint="eastAsia"/>
          <w:sz w:val="24"/>
        </w:rPr>
        <w:t>供应商到项目场地踏勘以充分了解项目位置、情况、道路、储存空间、装卸限制及任何其他足以影响报价的情况，任何因忽视或误解项目场地情况而导致的索赔或服务时间延长申请将不被批准。</w:t>
      </w:r>
    </w:p>
    <w:p>
      <w:pPr>
        <w:tabs>
          <w:tab w:val="left" w:pos="540"/>
        </w:tabs>
        <w:spacing w:line="560" w:lineRule="exact"/>
        <w:rPr>
          <w:sz w:val="24"/>
        </w:rPr>
      </w:pPr>
      <w:r>
        <w:rPr>
          <w:sz w:val="24"/>
        </w:rPr>
        <w:t>8. 招标文件的澄清</w:t>
      </w:r>
    </w:p>
    <w:p>
      <w:pPr>
        <w:spacing w:line="560" w:lineRule="exact"/>
        <w:ind w:firstLine="480" w:firstLineChars="200"/>
        <w:rPr>
          <w:sz w:val="24"/>
        </w:rPr>
      </w:pPr>
      <w:r>
        <w:rPr>
          <w:rFonts w:hint="eastAsia"/>
          <w:sz w:val="24"/>
        </w:rPr>
        <w:t>8.1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pacing w:line="560" w:lineRule="exact"/>
        <w:ind w:firstLine="480" w:firstLineChars="200"/>
        <w:rPr>
          <w:sz w:val="24"/>
        </w:rPr>
      </w:pPr>
      <w:r>
        <w:rPr>
          <w:rFonts w:hint="eastAsia"/>
          <w:sz w:val="24"/>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sz w:val="24"/>
        </w:rPr>
        <w:t>。</w:t>
      </w:r>
    </w:p>
    <w:p>
      <w:pPr>
        <w:spacing w:line="560" w:lineRule="exact"/>
        <w:ind w:firstLine="480" w:firstLineChars="200"/>
        <w:rPr>
          <w:sz w:val="24"/>
        </w:rPr>
      </w:pPr>
      <w:r>
        <w:rPr>
          <w:sz w:val="24"/>
        </w:rPr>
        <w:t>8.2</w:t>
      </w:r>
      <w:r>
        <w:rPr>
          <w:rFonts w:cs="Times New Roman" w:asciiTheme="minorEastAsia" w:hAnsiTheme="minorEastAsia"/>
          <w:sz w:val="24"/>
          <w:szCs w:val="24"/>
        </w:rPr>
        <w:t>请投标人在开标前随时关注本项目</w:t>
      </w:r>
      <w:r>
        <w:rPr>
          <w:rFonts w:hint="eastAsia" w:cs="Times New Roman" w:asciiTheme="minorEastAsia" w:hAnsiTheme="minorEastAsia"/>
          <w:sz w:val="24"/>
          <w:szCs w:val="24"/>
        </w:rPr>
        <w:t>信息</w:t>
      </w:r>
      <w:r>
        <w:rPr>
          <w:rFonts w:cs="Times New Roman" w:asciiTheme="minorEastAsia" w:hAnsiTheme="minorEastAsia"/>
          <w:sz w:val="24"/>
          <w:szCs w:val="24"/>
        </w:rPr>
        <w:t>发布媒体。若有</w:t>
      </w:r>
      <w:r>
        <w:rPr>
          <w:rFonts w:hint="eastAsia" w:cs="Times New Roman" w:asciiTheme="minorEastAsia" w:hAnsiTheme="minorEastAsia"/>
          <w:sz w:val="24"/>
          <w:szCs w:val="24"/>
        </w:rPr>
        <w:t>更正公告</w:t>
      </w:r>
      <w:r>
        <w:rPr>
          <w:rFonts w:cs="Times New Roman" w:asciiTheme="minorEastAsia" w:hAnsiTheme="minorEastAsia"/>
          <w:sz w:val="24"/>
          <w:szCs w:val="24"/>
        </w:rPr>
        <w:t>，</w:t>
      </w:r>
      <w:r>
        <w:rPr>
          <w:rFonts w:ascii="宋体" w:hAnsi="宋体"/>
          <w:sz w:val="24"/>
          <w:szCs w:val="24"/>
          <w:shd w:val="clear" w:color="auto" w:fill="FFFFFF"/>
        </w:rPr>
        <w:t>更正</w:t>
      </w:r>
      <w:r>
        <w:rPr>
          <w:rFonts w:ascii="宋体" w:hAnsi="宋体"/>
          <w:color w:val="000000"/>
          <w:sz w:val="24"/>
          <w:szCs w:val="24"/>
          <w:shd w:val="clear" w:color="auto" w:fill="FFFFFF"/>
        </w:rPr>
        <w:t>公告内容为</w:t>
      </w:r>
      <w:r>
        <w:rPr>
          <w:rFonts w:hint="eastAsia" w:ascii="宋体" w:hAnsi="宋体"/>
          <w:color w:val="000000"/>
          <w:sz w:val="24"/>
          <w:szCs w:val="24"/>
          <w:shd w:val="clear" w:color="auto" w:fill="FFFFFF"/>
        </w:rPr>
        <w:t>招标</w:t>
      </w:r>
      <w:r>
        <w:rPr>
          <w:rFonts w:ascii="宋体" w:hAnsi="宋体"/>
          <w:color w:val="000000"/>
          <w:sz w:val="24"/>
          <w:szCs w:val="24"/>
          <w:shd w:val="clear" w:color="auto" w:fill="FFFFFF"/>
        </w:rPr>
        <w:t>文件的组成部分，与</w:t>
      </w:r>
      <w:r>
        <w:rPr>
          <w:rFonts w:hint="eastAsia" w:ascii="宋体" w:hAnsi="宋体"/>
          <w:color w:val="000000"/>
          <w:sz w:val="24"/>
          <w:szCs w:val="24"/>
          <w:shd w:val="clear" w:color="auto" w:fill="FFFFFF"/>
        </w:rPr>
        <w:t>招标</w:t>
      </w:r>
      <w:r>
        <w:rPr>
          <w:rFonts w:ascii="宋体" w:hAnsi="宋体"/>
          <w:color w:val="000000"/>
          <w:sz w:val="24"/>
          <w:szCs w:val="24"/>
          <w:shd w:val="clear" w:color="auto" w:fill="FFFFFF"/>
        </w:rPr>
        <w:t>文件具有同等的法律效力。</w:t>
      </w:r>
      <w:r>
        <w:rPr>
          <w:rFonts w:hint="eastAsia" w:ascii="宋体" w:hAnsi="宋体"/>
          <w:color w:val="000000"/>
          <w:sz w:val="24"/>
          <w:szCs w:val="24"/>
          <w:shd w:val="clear" w:color="auto" w:fill="FFFFFF"/>
        </w:rPr>
        <w:t>投标人自行承担因未及时查看更正公告所产生的风险</w:t>
      </w:r>
      <w:r>
        <w:rPr>
          <w:rFonts w:hint="eastAsia" w:cs="Times New Roman" w:asciiTheme="minorEastAsia" w:hAnsiTheme="minorEastAsia"/>
        </w:rPr>
        <w:t>。</w:t>
      </w:r>
    </w:p>
    <w:p>
      <w:pPr>
        <w:spacing w:line="560" w:lineRule="exact"/>
        <w:ind w:firstLine="480" w:firstLineChars="200"/>
        <w:rPr>
          <w:sz w:val="24"/>
        </w:rPr>
      </w:pPr>
    </w:p>
    <w:p>
      <w:pPr>
        <w:spacing w:line="560" w:lineRule="exact"/>
        <w:jc w:val="center"/>
        <w:rPr>
          <w:sz w:val="24"/>
        </w:rPr>
      </w:pPr>
      <w:r>
        <w:rPr>
          <w:sz w:val="24"/>
        </w:rPr>
        <w:t>C   投标文件的编写</w:t>
      </w:r>
    </w:p>
    <w:p>
      <w:pPr>
        <w:spacing w:line="560" w:lineRule="exact"/>
        <w:rPr>
          <w:sz w:val="24"/>
        </w:rPr>
      </w:pPr>
      <w:r>
        <w:rPr>
          <w:sz w:val="24"/>
        </w:rPr>
        <w:t>9. 要求</w:t>
      </w:r>
    </w:p>
    <w:p>
      <w:pPr>
        <w:spacing w:line="560" w:lineRule="exact"/>
        <w:ind w:firstLine="495"/>
        <w:rPr>
          <w:sz w:val="24"/>
        </w:rPr>
      </w:pPr>
      <w:r>
        <w:rPr>
          <w:sz w:val="24"/>
        </w:rPr>
        <w:t>9.1</w:t>
      </w:r>
      <w:r>
        <w:rPr>
          <w:rFonts w:hint="eastAsia"/>
          <w:sz w:val="24"/>
        </w:rPr>
        <w:t>投标人应当按照招标文件的要求编制投标文件。投标文件应当对招标文件提出的要求和条件作出明确响应。</w:t>
      </w:r>
    </w:p>
    <w:p>
      <w:pPr>
        <w:spacing w:line="560" w:lineRule="exact"/>
        <w:ind w:firstLine="495"/>
        <w:rPr>
          <w:sz w:val="24"/>
        </w:rPr>
      </w:pPr>
      <w:r>
        <w:rPr>
          <w:sz w:val="24"/>
        </w:rPr>
        <w:t>9.2投标人应仔细阅读招标文件的所有内容，按招标文件的要求制作投标文件，并保证所提供的全部资料的真实性，以使其投标对招标文件做出实质性响应。否则，其投标文件可能被拒绝，投标人须自行承担由此引起的风险和责任。</w:t>
      </w:r>
    </w:p>
    <w:p>
      <w:pPr>
        <w:spacing w:line="560" w:lineRule="exact"/>
        <w:ind w:firstLine="495"/>
        <w:rPr>
          <w:sz w:val="24"/>
        </w:rPr>
      </w:pPr>
      <w:r>
        <w:rPr>
          <w:sz w:val="24"/>
        </w:rPr>
        <w:t>9.3投标人应认真填写第五部分表格文件，并保证其真实有效，承担相应的法律责任。</w:t>
      </w:r>
    </w:p>
    <w:p>
      <w:pPr>
        <w:spacing w:line="560" w:lineRule="exact"/>
        <w:rPr>
          <w:sz w:val="24"/>
        </w:rPr>
      </w:pPr>
      <w:r>
        <w:rPr>
          <w:sz w:val="24"/>
        </w:rPr>
        <w:t>10. 投标语言及计量单位</w:t>
      </w:r>
    </w:p>
    <w:p>
      <w:pPr>
        <w:spacing w:line="560" w:lineRule="exact"/>
        <w:rPr>
          <w:sz w:val="24"/>
        </w:rPr>
      </w:pPr>
      <w:r>
        <w:rPr>
          <w:sz w:val="24"/>
        </w:rPr>
        <w:t xml:space="preserve">    10.1投标人和采购代理机构就投标交换的文件和来往信件，应以中文书写，全部辅助材料及证明材料均应有中文文本，并以中文文本为准。外文资料必须提供中文译文，并保证与原文内容一致，否则投标人将承担相应法律责任。未按上述规定提供中文文本的，评标委员会有权拒绝其投标。</w:t>
      </w:r>
    </w:p>
    <w:p>
      <w:pPr>
        <w:spacing w:line="560" w:lineRule="exact"/>
        <w:rPr>
          <w:sz w:val="24"/>
        </w:rPr>
      </w:pPr>
      <w:r>
        <w:rPr>
          <w:sz w:val="24"/>
        </w:rPr>
        <w:t xml:space="preserve">    10.2 除在招标文件中另有规定，投标文件所使用的计量单位均应使用中华人民共和国法定计量单位。</w:t>
      </w:r>
    </w:p>
    <w:p>
      <w:pPr>
        <w:spacing w:line="360" w:lineRule="auto"/>
        <w:rPr>
          <w:rFonts w:ascii="宋体" w:hAnsi="宋体" w:cs="宋体"/>
          <w:sz w:val="24"/>
          <w:szCs w:val="24"/>
        </w:rPr>
      </w:pPr>
      <w:r>
        <w:rPr>
          <w:sz w:val="24"/>
        </w:rPr>
        <w:t xml:space="preserve">11. </w:t>
      </w:r>
      <w:r>
        <w:rPr>
          <w:rFonts w:hint="eastAsia" w:ascii="宋体" w:hAnsi="宋体" w:cs="宋体"/>
          <w:sz w:val="24"/>
          <w:szCs w:val="24"/>
        </w:rPr>
        <w:t>投标文件的组成</w:t>
      </w:r>
    </w:p>
    <w:p>
      <w:pPr>
        <w:spacing w:line="360" w:lineRule="auto"/>
        <w:ind w:firstLine="480"/>
        <w:rPr>
          <w:rFonts w:ascii="宋体" w:hAnsi="宋体" w:cs="宋体"/>
          <w:sz w:val="24"/>
          <w:szCs w:val="24"/>
        </w:rPr>
      </w:pPr>
      <w:r>
        <w:rPr>
          <w:rFonts w:hint="eastAsia" w:ascii="宋体" w:hAnsi="宋体" w:cs="宋体"/>
          <w:sz w:val="24"/>
          <w:szCs w:val="24"/>
        </w:rPr>
        <w:t>11.1技术标投标文件应包括以下内容：</w:t>
      </w:r>
    </w:p>
    <w:p>
      <w:pPr>
        <w:spacing w:line="360" w:lineRule="auto"/>
        <w:ind w:firstLine="480"/>
        <w:rPr>
          <w:rFonts w:ascii="宋体" w:hAnsi="宋体" w:cs="宋体"/>
          <w:sz w:val="24"/>
          <w:szCs w:val="24"/>
        </w:rPr>
      </w:pPr>
      <w:r>
        <w:rPr>
          <w:rFonts w:hint="eastAsia" w:ascii="宋体" w:hAnsi="宋体" w:cs="宋体"/>
          <w:sz w:val="24"/>
          <w:szCs w:val="24"/>
        </w:rPr>
        <w:t>1）资格部分：（相关资料文件格式参见第五部分）；</w:t>
      </w:r>
    </w:p>
    <w:p>
      <w:pPr>
        <w:spacing w:line="360" w:lineRule="auto"/>
        <w:ind w:firstLine="480"/>
        <w:rPr>
          <w:rFonts w:ascii="宋体" w:hAnsi="宋体" w:cs="宋体"/>
          <w:sz w:val="24"/>
          <w:szCs w:val="24"/>
        </w:rPr>
      </w:pPr>
      <w:r>
        <w:rPr>
          <w:rFonts w:hint="eastAsia" w:ascii="宋体" w:hAnsi="宋体" w:cs="宋体"/>
          <w:sz w:val="24"/>
          <w:szCs w:val="24"/>
        </w:rPr>
        <w:t>2）技术部分：含技术方案、性能说明、点对点应答等内容（相关资料文件格式参见第五部分）；</w:t>
      </w:r>
    </w:p>
    <w:p>
      <w:pPr>
        <w:spacing w:line="360" w:lineRule="auto"/>
        <w:ind w:firstLine="480"/>
        <w:rPr>
          <w:rFonts w:ascii="宋体" w:hAnsi="宋体" w:cs="宋体"/>
          <w:sz w:val="24"/>
          <w:szCs w:val="24"/>
        </w:rPr>
      </w:pPr>
      <w:r>
        <w:rPr>
          <w:rFonts w:hint="eastAsia" w:ascii="宋体" w:hAnsi="宋体" w:cs="宋体"/>
          <w:sz w:val="24"/>
          <w:szCs w:val="24"/>
        </w:rPr>
        <w:t>3）商务部分（不含报价）：含主要相关项目业绩、售后服务承诺、培训计划等内容（相关资料文件格式参见第五部分）；</w:t>
      </w:r>
    </w:p>
    <w:p>
      <w:pPr>
        <w:spacing w:line="360" w:lineRule="auto"/>
        <w:ind w:firstLine="480"/>
        <w:rPr>
          <w:rFonts w:ascii="宋体" w:hAnsi="宋体" w:cs="宋体"/>
          <w:sz w:val="24"/>
          <w:szCs w:val="24"/>
        </w:rPr>
      </w:pPr>
      <w:r>
        <w:rPr>
          <w:rFonts w:hint="eastAsia" w:ascii="宋体" w:hAnsi="宋体" w:cs="宋体"/>
          <w:sz w:val="24"/>
          <w:szCs w:val="24"/>
        </w:rPr>
        <w:t>4）其他部分：指投标人认为需加以说明的其它内容或</w:t>
      </w:r>
      <w:r>
        <w:rPr>
          <w:rFonts w:hint="eastAsia" w:ascii="宋体" w:hAnsi="宋体" w:cs="Arial"/>
          <w:sz w:val="24"/>
        </w:rPr>
        <w:t>投标人认为有利于中标的其他资料。</w:t>
      </w:r>
      <w:r>
        <w:rPr>
          <w:rFonts w:hint="eastAsia" w:ascii="宋体" w:hAnsi="宋体" w:cs="宋体"/>
          <w:sz w:val="24"/>
          <w:szCs w:val="24"/>
        </w:rPr>
        <w:t>投标人也可以根据文件内容编排到其他相关部分中。</w:t>
      </w:r>
    </w:p>
    <w:p>
      <w:pPr>
        <w:spacing w:line="360" w:lineRule="auto"/>
        <w:ind w:firstLine="480"/>
        <w:rPr>
          <w:rFonts w:ascii="宋体" w:hAnsi="宋体" w:cs="宋体"/>
          <w:sz w:val="24"/>
          <w:szCs w:val="24"/>
        </w:rPr>
      </w:pPr>
      <w:r>
        <w:rPr>
          <w:rFonts w:hint="eastAsia" w:ascii="宋体" w:hAnsi="宋体" w:cs="宋体"/>
          <w:sz w:val="24"/>
          <w:szCs w:val="24"/>
        </w:rPr>
        <w:t>技术标投标文件不得包含任何投标报价内容及暗示投标报价内容的资料，否则将视为无效投标。投标人应将技术标投标文件单独装订成册，并编写“技术标投标文件资料目录”。</w:t>
      </w:r>
    </w:p>
    <w:p>
      <w:pPr>
        <w:spacing w:line="360" w:lineRule="auto"/>
        <w:ind w:firstLine="480"/>
        <w:rPr>
          <w:rFonts w:ascii="宋体" w:hAnsi="宋体" w:cs="宋体"/>
          <w:sz w:val="24"/>
          <w:szCs w:val="24"/>
        </w:rPr>
      </w:pPr>
      <w:r>
        <w:rPr>
          <w:rFonts w:hint="eastAsia" w:ascii="宋体" w:hAnsi="宋体" w:cs="宋体"/>
          <w:sz w:val="24"/>
          <w:szCs w:val="24"/>
        </w:rPr>
        <w:t>11.2商务标投标文件（报价文件）应包括下列部分：</w:t>
      </w:r>
    </w:p>
    <w:p>
      <w:pPr>
        <w:spacing w:line="560" w:lineRule="exact"/>
        <w:ind w:firstLine="480" w:firstLineChars="200"/>
        <w:rPr>
          <w:rFonts w:ascii="宋体" w:hAnsi="宋体" w:cs="宋体"/>
          <w:sz w:val="24"/>
          <w:szCs w:val="24"/>
        </w:rPr>
      </w:pPr>
      <w:r>
        <w:rPr>
          <w:rFonts w:hint="eastAsia" w:ascii="宋体" w:hAnsi="宋体" w:cs="宋体"/>
          <w:sz w:val="24"/>
          <w:szCs w:val="24"/>
        </w:rPr>
        <w:t>开标一览表、报价明细表及投标人认为需加以说明的其它内容（相关资料文件格式参见第五部分）。投标人应将商务标投标文件单独装订成册，并编写“商务标投标文件资料目录”。</w:t>
      </w:r>
    </w:p>
    <w:p>
      <w:pPr>
        <w:spacing w:line="560" w:lineRule="exact"/>
        <w:rPr>
          <w:sz w:val="24"/>
        </w:rPr>
      </w:pPr>
      <w:r>
        <w:rPr>
          <w:sz w:val="24"/>
        </w:rPr>
        <w:t>12. 投标文件格式</w:t>
      </w:r>
    </w:p>
    <w:p>
      <w:pPr>
        <w:spacing w:line="560" w:lineRule="exact"/>
        <w:ind w:firstLine="480"/>
        <w:rPr>
          <w:sz w:val="24"/>
        </w:rPr>
      </w:pPr>
      <w:r>
        <w:rPr>
          <w:sz w:val="24"/>
        </w:rPr>
        <w:t>12.1 投标人应按招标文件中提供的投标文件格式完整地填写。</w:t>
      </w:r>
    </w:p>
    <w:p>
      <w:pPr>
        <w:spacing w:line="560" w:lineRule="exact"/>
        <w:ind w:firstLine="480"/>
        <w:rPr>
          <w:rFonts w:ascii="Times New Roman" w:hAnsi="Times New Roman" w:eastAsia="宋体" w:cs="Times New Roman"/>
          <w:sz w:val="24"/>
          <w:szCs w:val="24"/>
        </w:rPr>
      </w:pPr>
      <w:r>
        <w:rPr>
          <w:sz w:val="24"/>
        </w:rPr>
        <w:t>12.2</w:t>
      </w:r>
      <w:r>
        <w:rPr>
          <w:rFonts w:ascii="Times New Roman" w:hAnsi="Times New Roman" w:eastAsia="宋体" w:cs="Times New Roman"/>
          <w:sz w:val="24"/>
          <w:szCs w:val="24"/>
        </w:rPr>
        <w:t>投标人可对本招标文件</w:t>
      </w:r>
      <w:r>
        <w:rPr>
          <w:rFonts w:hint="eastAsia" w:ascii="Times New Roman" w:hAnsi="Times New Roman" w:eastAsia="宋体" w:cs="Times New Roman"/>
          <w:sz w:val="24"/>
          <w:szCs w:val="24"/>
        </w:rPr>
        <w:t>“项目需求书”</w:t>
      </w:r>
      <w:r>
        <w:rPr>
          <w:rFonts w:ascii="Times New Roman" w:hAnsi="Times New Roman" w:eastAsia="宋体" w:cs="Times New Roman"/>
          <w:sz w:val="24"/>
          <w:szCs w:val="24"/>
        </w:rPr>
        <w:t>所列的所有服务进行投标，也可只对其中一包或几包的服务投标；若无特殊说明，每一包的内容不得分项投标，采购人原则上按照整包确定中标供应商</w:t>
      </w:r>
      <w:r>
        <w:rPr>
          <w:rFonts w:hint="eastAsia" w:ascii="Times New Roman" w:hAnsi="Times New Roman" w:eastAsia="宋体" w:cs="Times New Roman"/>
          <w:sz w:val="24"/>
          <w:szCs w:val="24"/>
        </w:rPr>
        <w:t>。</w:t>
      </w:r>
    </w:p>
    <w:p>
      <w:pPr>
        <w:spacing w:line="560" w:lineRule="exact"/>
        <w:ind w:firstLine="480"/>
        <w:rPr>
          <w:sz w:val="24"/>
          <w:szCs w:val="24"/>
        </w:rPr>
      </w:pPr>
      <w:r>
        <w:rPr>
          <w:rFonts w:hint="eastAsia" w:ascii="Times New Roman" w:hAnsi="Times New Roman" w:eastAsia="宋体" w:cs="Times New Roman"/>
          <w:sz w:val="24"/>
          <w:szCs w:val="24"/>
        </w:rPr>
        <w:t>12.3</w:t>
      </w:r>
      <w:r>
        <w:rPr>
          <w:rFonts w:ascii="Times New Roman" w:hAnsi="Times New Roman" w:eastAsia="宋体" w:cs="Times New Roman"/>
          <w:sz w:val="24"/>
          <w:szCs w:val="24"/>
        </w:rPr>
        <w:t>如投标多个包的，要求按包号分别独立制作投标文件</w:t>
      </w:r>
      <w:r>
        <w:rPr>
          <w:rFonts w:hint="eastAsia" w:ascii="Times New Roman" w:hAnsi="Times New Roman" w:eastAsia="宋体" w:cs="Times New Roman"/>
          <w:sz w:val="24"/>
          <w:szCs w:val="24"/>
        </w:rPr>
        <w:t>。</w:t>
      </w:r>
    </w:p>
    <w:p>
      <w:pPr>
        <w:spacing w:line="560" w:lineRule="exact"/>
        <w:rPr>
          <w:sz w:val="24"/>
        </w:rPr>
      </w:pPr>
      <w:r>
        <w:rPr>
          <w:sz w:val="24"/>
        </w:rPr>
        <w:t>13. 投标报价</w:t>
      </w:r>
    </w:p>
    <w:p>
      <w:pPr>
        <w:spacing w:line="560" w:lineRule="exact"/>
        <w:ind w:firstLine="450"/>
        <w:rPr>
          <w:sz w:val="24"/>
        </w:rPr>
      </w:pPr>
      <w:r>
        <w:rPr>
          <w:sz w:val="24"/>
        </w:rPr>
        <w:t>13.1 投标人对所投标货物或服务应提供分项单价及总价。</w:t>
      </w:r>
    </w:p>
    <w:p>
      <w:pPr>
        <w:spacing w:line="560" w:lineRule="exact"/>
        <w:ind w:firstLine="450"/>
        <w:rPr>
          <w:sz w:val="24"/>
        </w:rPr>
      </w:pPr>
      <w:r>
        <w:rPr>
          <w:sz w:val="24"/>
        </w:rPr>
        <w:t>13.2</w:t>
      </w:r>
      <w:r>
        <w:rPr>
          <w:bCs/>
          <w:sz w:val="24"/>
        </w:rPr>
        <w:t>除特殊要求外，投标人对每种货物或每项服务只允许有一个报价；</w:t>
      </w:r>
      <w:r>
        <w:rPr>
          <w:sz w:val="24"/>
        </w:rPr>
        <w:t>采购代理机构不接受任何选择性的报价。</w:t>
      </w:r>
    </w:p>
    <w:p>
      <w:pPr>
        <w:spacing w:line="560" w:lineRule="exact"/>
        <w:ind w:firstLine="450"/>
        <w:rPr>
          <w:sz w:val="24"/>
        </w:rPr>
      </w:pPr>
      <w:r>
        <w:rPr>
          <w:rFonts w:hint="eastAsia"/>
          <w:sz w:val="24"/>
        </w:rPr>
        <w:t>13.3</w:t>
      </w:r>
      <w:r>
        <w:rPr>
          <w:sz w:val="24"/>
        </w:rPr>
        <w:t>投标报价是为完成招标文件规定的一切工作所需的全部费用的最终优惠价格</w:t>
      </w:r>
      <w:r>
        <w:rPr>
          <w:rFonts w:ascii="Times New Roman" w:hAnsi="Times New Roman" w:cs="Times New Roman"/>
        </w:rPr>
        <w:t>。</w:t>
      </w:r>
    </w:p>
    <w:p>
      <w:pPr>
        <w:spacing w:line="560" w:lineRule="exact"/>
        <w:rPr>
          <w:sz w:val="24"/>
        </w:rPr>
      </w:pPr>
      <w:r>
        <w:rPr>
          <w:sz w:val="24"/>
        </w:rPr>
        <w:t>14. 投标货币</w:t>
      </w:r>
    </w:p>
    <w:p>
      <w:pPr>
        <w:spacing w:line="560" w:lineRule="exact"/>
        <w:ind w:firstLine="480" w:firstLineChars="200"/>
        <w:rPr>
          <w:sz w:val="24"/>
        </w:rPr>
      </w:pPr>
      <w:r>
        <w:rPr>
          <w:sz w:val="24"/>
        </w:rPr>
        <w:t>投标书、开标一览表等各表中的报价，若无特殊说明应采用人民币填报。</w:t>
      </w:r>
    </w:p>
    <w:p>
      <w:pPr>
        <w:spacing w:line="560" w:lineRule="exact"/>
        <w:rPr>
          <w:sz w:val="24"/>
        </w:rPr>
      </w:pPr>
      <w:r>
        <w:rPr>
          <w:sz w:val="24"/>
        </w:rPr>
        <w:t>15. 投标人资格证明文件</w:t>
      </w:r>
    </w:p>
    <w:p>
      <w:pPr>
        <w:spacing w:line="560" w:lineRule="exact"/>
        <w:ind w:firstLine="480" w:firstLineChars="200"/>
        <w:rPr>
          <w:sz w:val="24"/>
        </w:rPr>
      </w:pPr>
      <w:r>
        <w:rPr>
          <w:sz w:val="24"/>
        </w:rPr>
        <w:t>投标人必须提交证明其有资格进行投标和有能力履行合同的文件，作为投标文件的一部分。</w:t>
      </w:r>
    </w:p>
    <w:p>
      <w:pPr>
        <w:spacing w:line="560" w:lineRule="exact"/>
        <w:ind w:firstLine="480" w:firstLineChars="200"/>
        <w:rPr>
          <w:sz w:val="24"/>
        </w:rPr>
      </w:pPr>
      <w:r>
        <w:rPr>
          <w:sz w:val="24"/>
        </w:rPr>
        <w:t>（1）招标文件第二部分规定的资</w:t>
      </w:r>
      <w:r>
        <w:rPr>
          <w:rFonts w:hint="eastAsia"/>
          <w:sz w:val="24"/>
        </w:rPr>
        <w:t>格证明</w:t>
      </w:r>
      <w:r>
        <w:rPr>
          <w:sz w:val="24"/>
        </w:rPr>
        <w:t>文件；</w:t>
      </w:r>
    </w:p>
    <w:p>
      <w:pPr>
        <w:spacing w:line="560" w:lineRule="exact"/>
        <w:ind w:firstLine="480" w:firstLineChars="200"/>
        <w:rPr>
          <w:sz w:val="24"/>
        </w:rPr>
      </w:pPr>
      <w:r>
        <w:rPr>
          <w:sz w:val="24"/>
        </w:rPr>
        <w:t>（2）国家及行业对投标项目规定的特殊资格证明文件；</w:t>
      </w:r>
    </w:p>
    <w:p>
      <w:pPr>
        <w:spacing w:line="560" w:lineRule="exact"/>
        <w:rPr>
          <w:sz w:val="24"/>
        </w:rPr>
      </w:pPr>
      <w:r>
        <w:rPr>
          <w:sz w:val="24"/>
        </w:rPr>
        <w:t xml:space="preserve">    （3）投标人对有能力履行投标文件中合同条款和技术要求规定的由卖方履行的保养、修理、供应备件和其他技术服务和义务所做出的书面承诺；</w:t>
      </w:r>
    </w:p>
    <w:p>
      <w:pPr>
        <w:spacing w:line="560" w:lineRule="exact"/>
        <w:ind w:firstLine="495"/>
        <w:rPr>
          <w:sz w:val="24"/>
        </w:rPr>
      </w:pPr>
      <w:r>
        <w:rPr>
          <w:sz w:val="24"/>
        </w:rPr>
        <w:t>（4）投标人具有履行合同所需的技术和生产能力的证明材料；</w:t>
      </w:r>
    </w:p>
    <w:p>
      <w:pPr>
        <w:spacing w:line="560" w:lineRule="exact"/>
        <w:ind w:firstLine="495"/>
        <w:rPr>
          <w:sz w:val="24"/>
        </w:rPr>
      </w:pPr>
      <w:r>
        <w:rPr>
          <w:sz w:val="24"/>
        </w:rPr>
        <w:t>（</w:t>
      </w:r>
      <w:r>
        <w:rPr>
          <w:rFonts w:hint="eastAsia"/>
          <w:sz w:val="24"/>
        </w:rPr>
        <w:t>5</w:t>
      </w:r>
      <w:r>
        <w:rPr>
          <w:sz w:val="24"/>
        </w:rPr>
        <w:t>）（第五部分附件）。</w:t>
      </w:r>
    </w:p>
    <w:p>
      <w:pPr>
        <w:spacing w:line="560" w:lineRule="exact"/>
        <w:rPr>
          <w:sz w:val="24"/>
        </w:rPr>
      </w:pPr>
      <w:r>
        <w:rPr>
          <w:sz w:val="24"/>
        </w:rPr>
        <w:t xml:space="preserve">16. </w:t>
      </w:r>
      <w:r>
        <w:rPr>
          <w:rFonts w:hint="eastAsia"/>
          <w:sz w:val="24"/>
        </w:rPr>
        <w:t>技术响应</w:t>
      </w:r>
      <w:r>
        <w:rPr>
          <w:sz w:val="24"/>
        </w:rPr>
        <w:t>文件</w:t>
      </w:r>
    </w:p>
    <w:p>
      <w:pPr>
        <w:pStyle w:val="47"/>
        <w:spacing w:line="360" w:lineRule="auto"/>
        <w:ind w:firstLine="480" w:firstLineChars="200"/>
        <w:jc w:val="both"/>
        <w:rPr>
          <w:rFonts w:ascii="Times New Roman" w:hAnsi="Times New Roman" w:eastAsia="宋体" w:cs="Times New Roman"/>
          <w:color w:val="auto"/>
        </w:rPr>
      </w:pPr>
      <w:r>
        <w:t>16.1</w:t>
      </w:r>
      <w:r>
        <w:rPr>
          <w:rFonts w:ascii="Times New Roman" w:hAnsi="Times New Roman" w:eastAsia="宋体" w:cs="Times New Roman"/>
          <w:color w:val="auto"/>
        </w:rPr>
        <w:t>投标人须提交证明其拟提供的服务符合招标文件规定的技术响应文件，作为投标文件的一部分。</w:t>
      </w:r>
    </w:p>
    <w:p>
      <w:pPr>
        <w:spacing w:line="560" w:lineRule="exact"/>
        <w:ind w:firstLine="495"/>
        <w:rPr>
          <w:sz w:val="24"/>
        </w:rPr>
      </w:pPr>
      <w:r>
        <w:rPr>
          <w:rFonts w:ascii="Times New Roman" w:hAnsi="Times New Roman" w:eastAsia="宋体" w:cs="Times New Roman"/>
          <w:kern w:val="0"/>
          <w:sz w:val="24"/>
          <w:szCs w:val="24"/>
        </w:rPr>
        <w:t>16.2 上述技术响应文件可以是文字资料、图纸或数据，其内容应包括但不限于人力、物力等资源的投入以及服务内容、方式、手段、措施、质量保证及建议等</w:t>
      </w:r>
      <w:r>
        <w:rPr>
          <w:rFonts w:hint="eastAsia" w:ascii="Times New Roman" w:hAnsi="Times New Roman" w:eastAsia="宋体" w:cs="Times New Roman"/>
          <w:kern w:val="0"/>
          <w:sz w:val="24"/>
          <w:szCs w:val="24"/>
        </w:rPr>
        <w:t>。</w:t>
      </w:r>
    </w:p>
    <w:p>
      <w:pPr>
        <w:spacing w:line="560" w:lineRule="exact"/>
        <w:rPr>
          <w:sz w:val="24"/>
        </w:rPr>
      </w:pPr>
      <w:r>
        <w:rPr>
          <w:sz w:val="24"/>
        </w:rPr>
        <w:t>17. 投标保证金</w:t>
      </w:r>
    </w:p>
    <w:p>
      <w:pPr>
        <w:spacing w:line="560" w:lineRule="exact"/>
        <w:ind w:firstLine="450"/>
        <w:rPr>
          <w:sz w:val="24"/>
        </w:rPr>
      </w:pPr>
      <w:r>
        <w:rPr>
          <w:sz w:val="24"/>
        </w:rPr>
        <w:t>17.1 投标人应在开标之前向采购代理机构提交投标保证金，并作为其投标的一部分。联合体投标的，可以由联合体中的一方或者共同提交投标保证金，以一方名义提交投标保证金的，对联合体各方均具有约束力。</w:t>
      </w:r>
    </w:p>
    <w:p>
      <w:pPr>
        <w:spacing w:line="560" w:lineRule="exact"/>
        <w:ind w:firstLine="450"/>
        <w:rPr>
          <w:sz w:val="24"/>
        </w:rPr>
      </w:pPr>
      <w:r>
        <w:rPr>
          <w:sz w:val="24"/>
        </w:rPr>
        <w:t>17.2 投标保证金用于保护本次招标免受因投标人的行为而蒙受的损失。投标保证金应用人民币，并采取下列任何一种方式提交：</w:t>
      </w:r>
      <w:r>
        <w:rPr>
          <w:rFonts w:hint="eastAsia"/>
          <w:sz w:val="24"/>
        </w:rPr>
        <w:t>支票、汇票、本票或者金融机构、担保机构出具的保函等非现金形式提交。</w:t>
      </w:r>
    </w:p>
    <w:p>
      <w:pPr>
        <w:spacing w:line="560" w:lineRule="exact"/>
        <w:ind w:firstLine="450"/>
        <w:rPr>
          <w:sz w:val="24"/>
        </w:rPr>
      </w:pPr>
      <w:r>
        <w:rPr>
          <w:sz w:val="24"/>
        </w:rPr>
        <w:t>17.3 投标人如以空头支票支付投标保证金的，投标人将承担相应的法律责任。</w:t>
      </w:r>
    </w:p>
    <w:p>
      <w:pPr>
        <w:spacing w:line="560" w:lineRule="exact"/>
        <w:ind w:firstLine="512"/>
        <w:rPr>
          <w:sz w:val="24"/>
        </w:rPr>
      </w:pPr>
      <w:r>
        <w:rPr>
          <w:sz w:val="24"/>
        </w:rPr>
        <w:t>17.4 投标保证金保函应在投标文件有效期过后30天内继续有效。</w:t>
      </w:r>
    </w:p>
    <w:p>
      <w:pPr>
        <w:spacing w:line="560" w:lineRule="exact"/>
        <w:rPr>
          <w:sz w:val="24"/>
        </w:rPr>
      </w:pPr>
      <w:r>
        <w:rPr>
          <w:sz w:val="24"/>
        </w:rPr>
        <w:t xml:space="preserve">    17.5 未按规定提交投标保证金的投标人，将被视为未在实质上满足招标文件，其投标将被拒绝。</w:t>
      </w:r>
    </w:p>
    <w:p>
      <w:pPr>
        <w:spacing w:line="560" w:lineRule="exact"/>
        <w:ind w:firstLine="495"/>
        <w:rPr>
          <w:sz w:val="24"/>
        </w:rPr>
      </w:pPr>
      <w:r>
        <w:rPr>
          <w:sz w:val="24"/>
        </w:rPr>
        <w:t>17.6 未中标供应商的保证金，可在中标公告发出后五个工作日内无息退回。因投标人的原因，未能及时退回投标保证金的，由投标人自行承担有关损失。</w:t>
      </w:r>
    </w:p>
    <w:p>
      <w:pPr>
        <w:spacing w:line="560" w:lineRule="exact"/>
        <w:ind w:firstLine="495"/>
        <w:rPr>
          <w:sz w:val="24"/>
        </w:rPr>
      </w:pPr>
      <w:r>
        <w:rPr>
          <w:sz w:val="24"/>
        </w:rPr>
        <w:t>17.7 中标供应商的投标保证金，可在合同签订后五个工作日内无息退回或抵作履约保证金的一部分或转为履约保证金。因投标人的原因，未能及时退回投标保证金的，由投标人自行承担有关损失。</w:t>
      </w:r>
    </w:p>
    <w:p>
      <w:pPr>
        <w:spacing w:line="560" w:lineRule="exact"/>
        <w:ind w:firstLine="495"/>
        <w:rPr>
          <w:sz w:val="24"/>
        </w:rPr>
      </w:pPr>
      <w:r>
        <w:rPr>
          <w:sz w:val="24"/>
        </w:rPr>
        <w:t>17.8</w:t>
      </w:r>
      <w:r>
        <w:rPr>
          <w:rFonts w:hint="eastAsia"/>
          <w:sz w:val="24"/>
        </w:rPr>
        <w:t>投标有效期内投标人撤销投标文件的，采购人或者采购代理机构可以不退还投标保证金。</w:t>
      </w:r>
    </w:p>
    <w:p>
      <w:pPr>
        <w:spacing w:line="560" w:lineRule="exact"/>
        <w:rPr>
          <w:sz w:val="24"/>
        </w:rPr>
      </w:pPr>
      <w:r>
        <w:rPr>
          <w:sz w:val="24"/>
        </w:rPr>
        <w:t>18. 投标有效期</w:t>
      </w:r>
    </w:p>
    <w:p>
      <w:pPr>
        <w:spacing w:line="560" w:lineRule="exact"/>
        <w:rPr>
          <w:sz w:val="24"/>
        </w:rPr>
      </w:pPr>
      <w:r>
        <w:rPr>
          <w:sz w:val="24"/>
        </w:rPr>
        <w:t xml:space="preserve">    18.1 投标有效期为提交投标文件的截止之日起</w:t>
      </w:r>
      <w:r>
        <w:rPr>
          <w:rFonts w:hint="eastAsia"/>
          <w:sz w:val="24"/>
        </w:rPr>
        <w:t>50个工作日</w:t>
      </w:r>
      <w:r>
        <w:rPr>
          <w:sz w:val="24"/>
        </w:rPr>
        <w:t>。投标书中规定的有效期短于招标文件规定的，可以视为非响应标予以拒绝。</w:t>
      </w:r>
    </w:p>
    <w:p>
      <w:pPr>
        <w:spacing w:line="560" w:lineRule="exact"/>
        <w:rPr>
          <w:sz w:val="24"/>
        </w:rPr>
      </w:pPr>
      <w:r>
        <w:rPr>
          <w:sz w:val="24"/>
        </w:rPr>
        <w:t xml:space="preserve">    18.2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spacing w:line="560" w:lineRule="exact"/>
        <w:rPr>
          <w:sz w:val="24"/>
        </w:rPr>
      </w:pPr>
      <w:r>
        <w:rPr>
          <w:sz w:val="24"/>
        </w:rPr>
        <w:t>19. 投标文件的签署及规定</w:t>
      </w:r>
    </w:p>
    <w:p>
      <w:pPr>
        <w:spacing w:line="560" w:lineRule="exact"/>
        <w:ind w:firstLine="450"/>
        <w:rPr>
          <w:sz w:val="24"/>
        </w:rPr>
      </w:pPr>
      <w:r>
        <w:rPr>
          <w:sz w:val="24"/>
        </w:rPr>
        <w:t>19.1 投标人的投标文件应按第二、五部分的格式如实编写，未尽事宜可自行补充。</w:t>
      </w:r>
    </w:p>
    <w:p>
      <w:pPr>
        <w:spacing w:line="560" w:lineRule="exact"/>
        <w:ind w:firstLine="450"/>
        <w:rPr>
          <w:sz w:val="24"/>
        </w:rPr>
      </w:pPr>
      <w:r>
        <w:rPr>
          <w:sz w:val="24"/>
        </w:rPr>
        <w:t>19.2 投标人按照投标须知的要求准备纸质投标文件（正本和副本），纸质投标文件装订成册。在每一份投标文件上要明确注明</w:t>
      </w:r>
      <w:r>
        <w:rPr>
          <w:rFonts w:hint="eastAsia"/>
          <w:sz w:val="24"/>
        </w:rPr>
        <w:t>“正本”</w:t>
      </w:r>
      <w:r>
        <w:rPr>
          <w:sz w:val="24"/>
        </w:rPr>
        <w:t>或</w:t>
      </w:r>
      <w:r>
        <w:rPr>
          <w:rFonts w:hint="eastAsia"/>
          <w:sz w:val="24"/>
        </w:rPr>
        <w:t>“副本”</w:t>
      </w:r>
      <w:r>
        <w:rPr>
          <w:sz w:val="24"/>
        </w:rPr>
        <w:t>字样，正本与副本如有差异，以正本为准。</w:t>
      </w:r>
      <w:r>
        <w:rPr>
          <w:rFonts w:hint="eastAsia"/>
          <w:sz w:val="24"/>
        </w:rPr>
        <w:t>建议投标文件采用双面打印，并以胶装方式进行装订。</w:t>
      </w:r>
    </w:p>
    <w:p>
      <w:pPr>
        <w:spacing w:line="560" w:lineRule="exact"/>
        <w:rPr>
          <w:color w:val="FF0000"/>
          <w:sz w:val="24"/>
        </w:rPr>
      </w:pPr>
      <w:r>
        <w:rPr>
          <w:sz w:val="24"/>
        </w:rPr>
        <w:t xml:space="preserve">    19.3投标文件正本和副本须用不褪色的黑色墨水打印</w:t>
      </w:r>
      <w:r>
        <w:rPr>
          <w:rFonts w:hint="eastAsia"/>
          <w:sz w:val="24"/>
        </w:rPr>
        <w:t>，</w:t>
      </w:r>
      <w:r>
        <w:rPr>
          <w:sz w:val="24"/>
        </w:rPr>
        <w:t>并加盖投标单位公章</w:t>
      </w:r>
      <w:r>
        <w:rPr>
          <w:rFonts w:hint="eastAsia"/>
          <w:sz w:val="24"/>
        </w:rPr>
        <w:t>，</w:t>
      </w:r>
      <w:r>
        <w:rPr>
          <w:sz w:val="24"/>
        </w:rPr>
        <w:t>由法定代表人或正式授权的投标人代表签字或盖章。</w:t>
      </w:r>
    </w:p>
    <w:p>
      <w:pPr>
        <w:spacing w:line="560" w:lineRule="exact"/>
        <w:rPr>
          <w:sz w:val="24"/>
        </w:rPr>
      </w:pPr>
      <w:r>
        <w:rPr>
          <w:sz w:val="24"/>
        </w:rPr>
        <w:t xml:space="preserve">    19.4 除投标人对错处作必要修改外，投标文件中不得行间插字、涂抹或增删。若有修改须由签署投标文件的投标人代表签字和盖章。</w:t>
      </w:r>
    </w:p>
    <w:p>
      <w:pPr>
        <w:spacing w:line="560" w:lineRule="exact"/>
        <w:jc w:val="center"/>
        <w:rPr>
          <w:sz w:val="24"/>
        </w:rPr>
      </w:pPr>
      <w:r>
        <w:rPr>
          <w:sz w:val="24"/>
        </w:rPr>
        <w:t>D   投标文件的递交</w:t>
      </w:r>
    </w:p>
    <w:p>
      <w:pPr>
        <w:spacing w:line="560" w:lineRule="exact"/>
        <w:rPr>
          <w:sz w:val="24"/>
        </w:rPr>
      </w:pPr>
      <w:r>
        <w:rPr>
          <w:sz w:val="24"/>
        </w:rPr>
        <w:t>20. 投标文件的密封和标记</w:t>
      </w:r>
    </w:p>
    <w:p>
      <w:pPr>
        <w:spacing w:line="560" w:lineRule="exact"/>
        <w:ind w:firstLine="450"/>
        <w:rPr>
          <w:sz w:val="24"/>
        </w:rPr>
      </w:pPr>
      <w:r>
        <w:rPr>
          <w:sz w:val="24"/>
        </w:rPr>
        <w:t>20.1</w:t>
      </w:r>
      <w:r>
        <w:rPr>
          <w:rFonts w:hint="eastAsia"/>
          <w:sz w:val="24"/>
        </w:rPr>
        <w:t>技术标密封：供应商应将技术标正本、技术标副本、电子版技术标（电子版技术标要注明供应商名称、项目名称、项目编号）密封于一个包封中，份数见“第二部分：项目要求”中的规定。在包封上注明 “技术标”。</w:t>
      </w:r>
    </w:p>
    <w:p>
      <w:pPr>
        <w:spacing w:line="560" w:lineRule="exact"/>
        <w:ind w:firstLine="450"/>
        <w:rPr>
          <w:sz w:val="24"/>
        </w:rPr>
      </w:pPr>
      <w:r>
        <w:rPr>
          <w:rFonts w:hint="eastAsia"/>
          <w:sz w:val="24"/>
        </w:rPr>
        <w:t>商务标密封：供应商应将商务标正本、商务标副本、电子版商务标（电子版商务标要注明供应商名称、项目名称、项目编号）密封于一个包封中，份数见“第二部分：项目要求”中的规定。在包封上注明 “商务标”。</w:t>
      </w:r>
    </w:p>
    <w:p>
      <w:pPr>
        <w:spacing w:line="560" w:lineRule="exact"/>
        <w:ind w:firstLine="450"/>
        <w:rPr>
          <w:sz w:val="24"/>
        </w:rPr>
      </w:pPr>
      <w:r>
        <w:rPr>
          <w:rFonts w:ascii="宋体" w:hAnsi="宋体" w:eastAsia="宋体" w:cs="Arial"/>
          <w:sz w:val="24"/>
        </w:rPr>
        <mc:AlternateContent>
          <mc:Choice Requires="wpg">
            <w:drawing>
              <wp:anchor distT="0" distB="0" distL="114300" distR="114300" simplePos="0" relativeHeight="251664384" behindDoc="0" locked="0" layoutInCell="1" allowOverlap="1">
                <wp:simplePos x="0" y="0"/>
                <wp:positionH relativeFrom="column">
                  <wp:posOffset>289560</wp:posOffset>
                </wp:positionH>
                <wp:positionV relativeFrom="paragraph">
                  <wp:posOffset>86360</wp:posOffset>
                </wp:positionV>
                <wp:extent cx="4846320" cy="1859280"/>
                <wp:effectExtent l="0" t="0" r="0" b="7620"/>
                <wp:wrapNone/>
                <wp:docPr id="22" name="组合 22"/>
                <wp:cNvGraphicFramePr/>
                <a:graphic xmlns:a="http://schemas.openxmlformats.org/drawingml/2006/main">
                  <a:graphicData uri="http://schemas.microsoft.com/office/word/2010/wordprocessingGroup">
                    <wpg:wgp>
                      <wpg:cNvGrpSpPr/>
                      <wpg:grpSpPr>
                        <a:xfrm>
                          <a:off x="0" y="0"/>
                          <a:ext cx="4846320" cy="1859280"/>
                          <a:chOff x="0" y="0"/>
                          <a:chExt cx="9000" cy="4992"/>
                        </a:xfrm>
                      </wpg:grpSpPr>
                      <wps:wsp>
                        <wps:cNvPr id="23" name="Picture 33"/>
                        <wps:cNvSpPr>
                          <a:spLocks noChangeAspect="1" noChangeArrowheads="1" noTextEdit="1"/>
                        </wps:cNvSpPr>
                        <wps:spPr bwMode="auto">
                          <a:xfrm>
                            <a:off x="0" y="0"/>
                            <a:ext cx="9000" cy="4992"/>
                          </a:xfrm>
                          <a:prstGeom prst="rect">
                            <a:avLst/>
                          </a:prstGeom>
                          <a:noFill/>
                          <a:ln>
                            <a:noFill/>
                          </a:ln>
                        </wps:spPr>
                        <wps:bodyPr rot="0" vert="horz" wrap="square" lIns="91440" tIns="45720" rIns="91440" bIns="45720" anchor="t" anchorCtr="0" upright="1">
                          <a:noAutofit/>
                        </wps:bodyPr>
                      </wps:wsp>
                      <wps:wsp>
                        <wps:cNvPr id="24" name="Rectangle 34"/>
                        <wps:cNvSpPr>
                          <a:spLocks noChangeArrowheads="1"/>
                        </wps:cNvSpPr>
                        <wps:spPr bwMode="auto">
                          <a:xfrm>
                            <a:off x="791" y="1545"/>
                            <a:ext cx="2340" cy="2096"/>
                          </a:xfrm>
                          <a:prstGeom prst="rect">
                            <a:avLst/>
                          </a:prstGeom>
                          <a:solidFill>
                            <a:srgbClr val="FFFFFF"/>
                          </a:solidFill>
                          <a:ln w="9525">
                            <a:solidFill>
                              <a:srgbClr val="000000"/>
                            </a:solidFill>
                            <a:miter lim="800000"/>
                          </a:ln>
                        </wps:spPr>
                        <wps:txbx>
                          <w:txbxContent>
                            <w:p>
                              <w:pPr>
                                <w:jc w:val="center"/>
                              </w:pPr>
                              <w:r>
                                <w:rPr>
                                  <w:rFonts w:hint="eastAsia"/>
                                </w:rPr>
                                <w:t>技术标正本</w:t>
                              </w:r>
                            </w:p>
                            <w:p>
                              <w:pPr>
                                <w:jc w:val="center"/>
                              </w:pPr>
                              <w:r>
                                <w:rPr>
                                  <w:rFonts w:hint="eastAsia"/>
                                </w:rPr>
                                <w:t>技术标副本</w:t>
                              </w:r>
                            </w:p>
                            <w:p>
                              <w:pPr>
                                <w:jc w:val="center"/>
                              </w:pPr>
                              <w:r>
                                <w:rPr>
                                  <w:rFonts w:hint="eastAsia"/>
                                </w:rPr>
                                <w:t>技术标电子版</w:t>
                              </w:r>
                            </w:p>
                          </w:txbxContent>
                        </wps:txbx>
                        <wps:bodyPr rot="0" vert="horz" wrap="square" lIns="91440" tIns="45720" rIns="91440" bIns="45720" anchor="t" anchorCtr="0" upright="1">
                          <a:noAutofit/>
                        </wps:bodyPr>
                      </wps:wsp>
                      <wps:wsp>
                        <wps:cNvPr id="25" name="Rectangle 35"/>
                        <wps:cNvSpPr>
                          <a:spLocks noChangeArrowheads="1"/>
                        </wps:cNvSpPr>
                        <wps:spPr bwMode="auto">
                          <a:xfrm>
                            <a:off x="4320" y="1566"/>
                            <a:ext cx="2340" cy="2075"/>
                          </a:xfrm>
                          <a:prstGeom prst="rect">
                            <a:avLst/>
                          </a:prstGeom>
                          <a:solidFill>
                            <a:srgbClr val="FFFFFF"/>
                          </a:solidFill>
                          <a:ln w="9525">
                            <a:solidFill>
                              <a:srgbClr val="000000"/>
                            </a:solidFill>
                            <a:miter lim="800000"/>
                          </a:ln>
                        </wps:spPr>
                        <wps:txbx>
                          <w:txbxContent>
                            <w:p>
                              <w:pPr>
                                <w:jc w:val="center"/>
                              </w:pPr>
                              <w:r>
                                <w:rPr>
                                  <w:rFonts w:hint="eastAsia"/>
                                </w:rPr>
                                <w:t>商务标正本</w:t>
                              </w:r>
                            </w:p>
                            <w:p>
                              <w:pPr>
                                <w:jc w:val="center"/>
                              </w:pPr>
                              <w:r>
                                <w:rPr>
                                  <w:rFonts w:hint="eastAsia"/>
                                </w:rPr>
                                <w:t>商务标副本</w:t>
                              </w:r>
                            </w:p>
                            <w:p>
                              <w:pPr>
                                <w:jc w:val="center"/>
                              </w:pPr>
                              <w:r>
                                <w:rPr>
                                  <w:rFonts w:hint="eastAsia"/>
                                </w:rPr>
                                <w:t>商务标电子版</w:t>
                              </w:r>
                            </w:p>
                          </w:txbxContent>
                        </wps:txbx>
                        <wps:bodyPr rot="0" vert="horz" wrap="square" lIns="91440" tIns="45720" rIns="91440" bIns="45720" anchor="t" anchorCtr="0" upright="1">
                          <a:noAutofit/>
                        </wps:bodyPr>
                      </wps:wsp>
                      <wps:wsp>
                        <wps:cNvPr id="30" name="Rectangle 40"/>
                        <wps:cNvSpPr>
                          <a:spLocks noChangeArrowheads="1"/>
                        </wps:cNvSpPr>
                        <wps:spPr bwMode="auto">
                          <a:xfrm>
                            <a:off x="990" y="340"/>
                            <a:ext cx="1801" cy="949"/>
                          </a:xfrm>
                          <a:prstGeom prst="rect">
                            <a:avLst/>
                          </a:prstGeom>
                          <a:solidFill>
                            <a:srgbClr val="FFFFFF"/>
                          </a:solidFill>
                          <a:ln>
                            <a:noFill/>
                          </a:ln>
                        </wps:spPr>
                        <wps:txbx>
                          <w:txbxContent>
                            <w:p>
                              <w:pPr>
                                <w:jc w:val="center"/>
                                <w:rPr>
                                  <w:sz w:val="24"/>
                                  <w:szCs w:val="24"/>
                                </w:rPr>
                              </w:pPr>
                              <w:r>
                                <w:rPr>
                                  <w:rFonts w:hint="eastAsia"/>
                                  <w:sz w:val="24"/>
                                  <w:szCs w:val="24"/>
                                </w:rPr>
                                <w:t>技术标</w:t>
                              </w:r>
                            </w:p>
                          </w:txbxContent>
                        </wps:txbx>
                        <wps:bodyPr rot="0" vert="horz" wrap="square" lIns="91440" tIns="45720" rIns="91440" bIns="45720" anchor="t" anchorCtr="0" upright="1">
                          <a:noAutofit/>
                        </wps:bodyPr>
                      </wps:wsp>
                      <wps:wsp>
                        <wps:cNvPr id="31" name="Rectangle 41"/>
                        <wps:cNvSpPr>
                          <a:spLocks noChangeArrowheads="1"/>
                        </wps:cNvSpPr>
                        <wps:spPr bwMode="auto">
                          <a:xfrm>
                            <a:off x="4680" y="312"/>
                            <a:ext cx="1439" cy="813"/>
                          </a:xfrm>
                          <a:prstGeom prst="rect">
                            <a:avLst/>
                          </a:prstGeom>
                          <a:solidFill>
                            <a:srgbClr val="FFFFFF"/>
                          </a:solidFill>
                          <a:ln>
                            <a:noFill/>
                          </a:ln>
                        </wps:spPr>
                        <wps:txbx>
                          <w:txbxContent>
                            <w:p>
                              <w:pPr>
                                <w:jc w:val="center"/>
                                <w:rPr>
                                  <w:sz w:val="24"/>
                                  <w:szCs w:val="24"/>
                                </w:rPr>
                              </w:pPr>
                              <w:r>
                                <w:rPr>
                                  <w:rFonts w:hint="eastAsia"/>
                                  <w:sz w:val="24"/>
                                  <w:szCs w:val="24"/>
                                </w:rPr>
                                <w:t>商务标</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2.8pt;margin-top:6.8pt;height:146.4pt;width:381.6pt;z-index:251664384;mso-width-relative:page;mso-height-relative:page;" coordsize="9000,4992" o:gfxdata="UEsDBAoAAAAAAIdO4kAAAAAAAAAAAAAAAAAEAAAAZHJzL1BLAwQUAAAACACHTuJAv7W9n9kAAAAJ&#10;AQAADwAAAGRycy9kb3ducmV2LnhtbE2PQUvDQBCF74L/YRnBm92NaUOI2RQp6qkItoJ4m2anSWh2&#10;N2S3SfvvHU96Gmbe4833yvXF9mKiMXTeaUgWCgS52pvONRo+968POYgQ0RnsvSMNVwqwrm5vSiyM&#10;n90HTbvYCA5xoUANbYxDIWWoW7IYFn4gx9rRjxYjr2MjzYgzh9tePiqVSYud4w8tDrRpqT7tzlbD&#10;24zzc5q8TNvTcXP93q/ev7YJaX1/l6gnEJEu8c8Mv/iMDhUzHfzZmSB6DctVxk6+pzxZz1XOVQ4a&#10;UpUtQVal/N+g+gFQSwMEFAAAAAgAh07iQIV9VQiEAwAAOg8AAA4AAABkcnMvZTJvRG9jLnhtbO1X&#10;y3LTMBTdM8M/aLSnThwnjT11O52+hpkCHVo+QJFlW4MtCUmpU9YsWPI/fA/Db3AlO682dEKBLqBZ&#10;ONbDV+ceHR1JewezukLXTBsuRYr7Oz2MmKAy46JI8bur0xdjjIwlIiOVFCzFN8zgg/3nz/YalbBQ&#10;lrLKmEYQRJikUSkurVVJEBhaspqYHamYgMZc6ppYKOoiyDRpIHpdBWGvNwoaqTOlJWXGQO1x24i7&#10;iHqbgDLPOWXHkk5rJmwbVbOKWEjJlFwZvO/R5jmj9k2eG2ZRlWLI1PonDALvE/cM9vdIUmiiSk47&#10;CGQbCLdyqgkXMOgi1DGxBE01vxOq5lRLI3O7Q2UdtIl4RiCLfu8WN2daTpXPpUiaQi1Ih4m6xfqD&#10;w9LX1xca8SzFYYiRIDXM+Pevn759+YygAthpVJFApzOtLtWF7iqKtuQSnuW6dv+QCpp5Xm8WvLKZ&#10;RRQqo3E0GoRAOYW2/ngYh+OOeVrC9Nz5jpYn3Zdxr9d9FsWxxxPMhwwcsgWQRoEazZIi83sUXZZE&#10;Mc+8cdnPKRrMKbrg1E41Q4NBy5Hv5QhyVBh1Lul7g4Q8Koko2KFRoEPIHL6eV2ktm5KRDHD66ivg&#10;6iTjvheQDMmthHQFA8HRpHklM5ghMrXSy20b9u/hkCRKG3vGZI3cS4o1APWByfW5sQ7IsotLTchT&#10;XlVQT5JKrFVAR1fjgTusTjkmmcjsBnBrCbFhIsF24KWU+iNGDSy6FJsPU6IZRtVLAVTE/SiCbtYX&#10;ouGu04xebZmsthBBIVSKLUbt65FtV/ZUaV6UnssW4yHwlXOfzxJVBxZU02L9+/KJ5vJ5CzSDMioQ&#10;ULSNgNbU8nB57MagNbcEh9HQDUuS+QoNB453tzzDXjxybYt1thTAlhoxsuKZk4kbwOhiclRpdE3A&#10;gE/9r4u+1q0SqIHpH4ZDr761trUQ4AfOElqAa91qbmFfqnid4vFqpw2qtLPJDCIspfAk0HYLGG4Q&#10;qFeKowp88KcO94cEGvldwit05FW4WaG7HtOTQv8/Cx2AS7WHlKWFgnN1i/kRFBrHgAAE6vwSRl3q&#10;sz/ugbk6B42juPOn+e78i5vsmq2tud99BtrudN32vHk3fvK9zee6gTuC+aPviqr6j6iqaAQHYi+r&#10;vj/krsgqGsStrMZ9f9Z8bNf7N2XlLw9wpfLnnO765+5sq2V/Plxeef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L+1vZ/ZAAAACQEAAA8AAAAAAAAAAQAgAAAAIgAAAGRycy9kb3ducmV2LnhtbFBL&#10;AQIUABQAAAAIAIdO4kCFfVUIhAMAADoPAAAOAAAAAAAAAAEAIAAAACgBAABkcnMvZTJvRG9jLnht&#10;bFBLBQYAAAAABgAGAFkBAAAeBwAAAAA=&#10;">
                <o:lock v:ext="edit" aspectratio="f"/>
                <v:rect id="Picture 33" o:spid="_x0000_s1026" o:spt="1" style="position:absolute;left:0;top:0;height:4992;width:9000;" filled="f" stroked="f" coordsize="21600,21600" o:gfxdata="UEsDBAoAAAAAAIdO4kAAAAAAAAAAAAAAAAAEAAAAZHJzL1BLAwQUAAAACACHTuJALoHw2r0AAADb&#10;AAAADwAAAGRycy9kb3ducmV2LnhtbEWPQYvCMBSE7wv+h/CEvSya6oJINXoQxCILYqueH82zLTYv&#10;tYmt++83C4LHYWa+YZbrp6lFR62rLCuYjCMQxLnVFRcKTtl2NAfhPLLG2jIp+CUH69XgY4mxtj0f&#10;qUt9IQKEXYwKSu+bWEqXl2TQjW1DHLyrbQ36INtC6hb7ADe1nEbRTBqsOCyU2NCmpPyWPoyCPj90&#10;l+xnJw9fl8TyPblv0vNeqc/hJFqA8PT07/CrnWgF02/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gfDavQAA&#10;ANsAAAAPAAAAAAAAAAEAIAAAACIAAABkcnMvZG93bnJldi54bWxQSwECFAAUAAAACACHTuJAMy8F&#10;njsAAAA5AAAAEAAAAAAAAAABACAAAAAMAQAAZHJzL3NoYXBleG1sLnhtbFBLBQYAAAAABgAGAFsB&#10;AAC2AwAAAAA=&#10;">
                  <v:fill on="f" focussize="0,0"/>
                  <v:stroke on="f"/>
                  <v:imagedata o:title=""/>
                  <o:lock v:ext="edit" text="t" aspectratio="t"/>
                </v:rect>
                <v:rect id="Rectangle 34" o:spid="_x0000_s1026" o:spt="1" style="position:absolute;left:791;top:1545;height:2096;width:2340;"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技术标正本</w:t>
                        </w:r>
                      </w:p>
                      <w:p>
                        <w:pPr>
                          <w:jc w:val="center"/>
                        </w:pPr>
                        <w:r>
                          <w:rPr>
                            <w:rFonts w:hint="eastAsia"/>
                          </w:rPr>
                          <w:t>技术标副本</w:t>
                        </w:r>
                      </w:p>
                      <w:p>
                        <w:pPr>
                          <w:jc w:val="center"/>
                        </w:pPr>
                        <w:r>
                          <w:rPr>
                            <w:rFonts w:hint="eastAsia"/>
                          </w:rPr>
                          <w:t>技术标电子版</w:t>
                        </w:r>
                      </w:p>
                    </w:txbxContent>
                  </v:textbox>
                </v:rect>
                <v:rect id="Rectangle 35" o:spid="_x0000_s1026" o:spt="1" style="position:absolute;left:4320;top:1566;height:2075;width:2340;"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商务标正本</w:t>
                        </w:r>
                      </w:p>
                      <w:p>
                        <w:pPr>
                          <w:jc w:val="center"/>
                        </w:pPr>
                        <w:r>
                          <w:rPr>
                            <w:rFonts w:hint="eastAsia"/>
                          </w:rPr>
                          <w:t>商务标副本</w:t>
                        </w:r>
                      </w:p>
                      <w:p>
                        <w:pPr>
                          <w:jc w:val="center"/>
                        </w:pPr>
                        <w:r>
                          <w:rPr>
                            <w:rFonts w:hint="eastAsia"/>
                          </w:rPr>
                          <w:t>商务标电子版</w:t>
                        </w:r>
                      </w:p>
                    </w:txbxContent>
                  </v:textbox>
                </v:rect>
                <v:rect id="Rectangle 40" o:spid="_x0000_s1026" o:spt="1" style="position:absolute;left:990;top:340;height:949;width:1801;" fillcolor="#FFFFFF" filled="t" stroked="f" coordsize="21600,21600" o:gfxdata="UEsDBAoAAAAAAIdO4kAAAAAAAAAAAAAAAAAEAAAAZHJzL1BLAwQUAAAACACHTuJA7W6USboAAADb&#10;AAAADwAAAGRycy9kb3ducmV2LnhtbEVPy2rCQBTdF/yH4Ra6a2Y0Gmzq6EIQCq0LH+D2krl50Myd&#10;mBlj+vedheDycN6rzWhbMVDvG8capokCQVw403Cl4XzavS9B+IBssHVMGv7Iw2Y9eVlhbtydDzQc&#10;QyViCPscNdQhdLmUvqjJok9cRxy50vUWQ4R9JU2P9xhuWzlTKpMWG44NNXa0ran4Pd6sBszm5rov&#10;05/T9y3Dj2pUu8VFaf32OlWfIAKN4Sl+uL+MhjSuj1/iD5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bpRJugAAANs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jc w:val="center"/>
                          <w:rPr>
                            <w:sz w:val="24"/>
                            <w:szCs w:val="24"/>
                          </w:rPr>
                        </w:pPr>
                        <w:r>
                          <w:rPr>
                            <w:rFonts w:hint="eastAsia"/>
                            <w:sz w:val="24"/>
                            <w:szCs w:val="24"/>
                          </w:rPr>
                          <w:t>技术标</w:t>
                        </w:r>
                      </w:p>
                    </w:txbxContent>
                  </v:textbox>
                </v:rect>
                <v:rect id="Rectangle 41" o:spid="_x0000_s1026" o:spt="1" style="position:absolute;left:4680;top:312;height:813;width:1439;" fillcolor="#FFFFFF" filled="t" stroked="f" coordsize="21600,21600" o:gfxdata="UEsDBAoAAAAAAIdO4kAAAAAAAAAAAAAAAAAEAAAAZHJzL1BLAwQUAAAACACHTuJAgiIx0rwAAADb&#10;AAAADwAAAGRycy9kb3ducmV2LnhtbEWPQYvCMBSE7wv+h/AEb2tSXYtWowdBEFwP6sJeH82zLTYv&#10;tYna/fcbQfA4zMw3zGLV2VrcqfWVYw3JUIEgzp2puNDwc9p8TkH4gGywdkwa/sjDatn7WGBm3IMP&#10;dD+GQkQI+ww1lCE0mZQ+L8miH7qGOHpn11oMUbaFNC0+ItzWcqRUKi1WHBdKbGhdUn453qwGTL/M&#10;dX8ef592txRnRac2k1+l9aCfqDmIQF14h1/trdEwTu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iMdK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jc w:val="center"/>
                          <w:rPr>
                            <w:sz w:val="24"/>
                            <w:szCs w:val="24"/>
                          </w:rPr>
                        </w:pPr>
                        <w:r>
                          <w:rPr>
                            <w:rFonts w:hint="eastAsia"/>
                            <w:sz w:val="24"/>
                            <w:szCs w:val="24"/>
                          </w:rPr>
                          <w:t>商务标</w:t>
                        </w:r>
                      </w:p>
                    </w:txbxContent>
                  </v:textbox>
                </v:rect>
              </v:group>
            </w:pict>
          </mc:Fallback>
        </mc:AlternateContent>
      </w:r>
    </w:p>
    <w:p>
      <w:pPr>
        <w:spacing w:line="560" w:lineRule="exact"/>
        <w:ind w:firstLine="450"/>
        <w:rPr>
          <w:sz w:val="24"/>
        </w:rPr>
      </w:pPr>
    </w:p>
    <w:p>
      <w:pPr>
        <w:spacing w:line="560" w:lineRule="exact"/>
        <w:ind w:firstLine="450"/>
        <w:rPr>
          <w:sz w:val="24"/>
        </w:rPr>
      </w:pPr>
    </w:p>
    <w:p>
      <w:pPr>
        <w:spacing w:line="560" w:lineRule="exact"/>
        <w:ind w:firstLine="450"/>
        <w:rPr>
          <w:sz w:val="24"/>
        </w:rPr>
      </w:pPr>
    </w:p>
    <w:p>
      <w:pPr>
        <w:spacing w:line="560" w:lineRule="exact"/>
        <w:ind w:firstLine="2160" w:firstLineChars="900"/>
        <w:rPr>
          <w:sz w:val="24"/>
        </w:rPr>
      </w:pPr>
      <w:r>
        <w:rPr>
          <w:rFonts w:hint="eastAsia"/>
          <w:sz w:val="24"/>
        </w:rPr>
        <w:t>（</w:t>
      </w:r>
      <w:r>
        <w:rPr>
          <w:sz w:val="24"/>
        </w:rPr>
        <w:t>以上为包封内容示意图</w:t>
      </w:r>
      <w:r>
        <w:rPr>
          <w:rFonts w:hint="eastAsia"/>
          <w:sz w:val="24"/>
        </w:rPr>
        <w:t>）</w:t>
      </w:r>
    </w:p>
    <w:p>
      <w:pPr>
        <w:spacing w:line="560" w:lineRule="exact"/>
        <w:ind w:firstLine="450"/>
        <w:rPr>
          <w:b/>
          <w:sz w:val="24"/>
        </w:rPr>
      </w:pPr>
      <w:r>
        <w:rPr>
          <w:sz w:val="24"/>
        </w:rPr>
        <w:t>20.2投标人应在技术标及商务标的</w:t>
      </w:r>
      <w:r>
        <w:rPr>
          <w:rFonts w:hint="eastAsia"/>
          <w:sz w:val="24"/>
        </w:rPr>
        <w:t>包</w:t>
      </w:r>
      <w:r>
        <w:rPr>
          <w:sz w:val="24"/>
        </w:rPr>
        <w:t>封上注明</w:t>
      </w:r>
      <w:r>
        <w:rPr>
          <w:rFonts w:hint="eastAsia"/>
          <w:sz w:val="24"/>
        </w:rPr>
        <w:t>：</w:t>
      </w: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sz w:val="24"/>
        </w:rPr>
        <w:t>项目名称</w:t>
      </w:r>
      <w:r>
        <w:rPr>
          <w:rFonts w:hint="eastAsia"/>
          <w:sz w:val="24"/>
        </w:rPr>
        <w:t>、</w:t>
      </w: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sz w:val="24"/>
        </w:rPr>
        <w:t>项目编号</w:t>
      </w:r>
      <w:r>
        <w:rPr>
          <w:rFonts w:hint="eastAsia"/>
          <w:sz w:val="24"/>
        </w:rPr>
        <w:t>、</w:t>
      </w:r>
      <w:r>
        <w:rPr>
          <w:sz w:val="24"/>
        </w:rPr>
        <w:fldChar w:fldCharType="begin"/>
      </w:r>
      <w:r>
        <w:rPr>
          <w:sz w:val="24"/>
        </w:rPr>
        <w:instrText xml:space="preserve"> </w:instrText>
      </w:r>
      <w:r>
        <w:rPr>
          <w:rFonts w:hint="eastAsia"/>
          <w:sz w:val="24"/>
        </w:rPr>
        <w:instrText xml:space="preserve">= 3 \* GB3</w:instrText>
      </w:r>
      <w:r>
        <w:rPr>
          <w:sz w:val="24"/>
        </w:rPr>
        <w:instrText xml:space="preserve"> </w:instrText>
      </w:r>
      <w:r>
        <w:rPr>
          <w:sz w:val="24"/>
        </w:rPr>
        <w:fldChar w:fldCharType="separate"/>
      </w:r>
      <w:r>
        <w:rPr>
          <w:rFonts w:hint="eastAsia"/>
          <w:sz w:val="24"/>
        </w:rPr>
        <w:t>③</w:t>
      </w:r>
      <w:r>
        <w:rPr>
          <w:sz w:val="24"/>
        </w:rPr>
        <w:fldChar w:fldCharType="end"/>
      </w:r>
      <w:r>
        <w:rPr>
          <w:rFonts w:hint="eastAsia"/>
          <w:sz w:val="24"/>
        </w:rPr>
        <w:t>包号（</w:t>
      </w:r>
      <w:r>
        <w:rPr>
          <w:sz w:val="24"/>
        </w:rPr>
        <w:t>如项目分包进行</w:t>
      </w:r>
      <w:r>
        <w:rPr>
          <w:rFonts w:hint="eastAsia"/>
          <w:sz w:val="24"/>
        </w:rPr>
        <w:t>，</w:t>
      </w:r>
      <w:r>
        <w:rPr>
          <w:sz w:val="24"/>
        </w:rPr>
        <w:t>则须在每包包封上标示出包号</w:t>
      </w:r>
      <w:r>
        <w:rPr>
          <w:rFonts w:hint="eastAsia"/>
          <w:sz w:val="24"/>
        </w:rPr>
        <w:t>）、</w:t>
      </w:r>
      <w:r>
        <w:rPr>
          <w:sz w:val="24"/>
        </w:rPr>
        <w:fldChar w:fldCharType="begin"/>
      </w:r>
      <w:r>
        <w:rPr>
          <w:sz w:val="24"/>
        </w:rPr>
        <w:instrText xml:space="preserve"> </w:instrText>
      </w:r>
      <w:r>
        <w:rPr>
          <w:rFonts w:hint="eastAsia"/>
          <w:sz w:val="24"/>
        </w:rPr>
        <w:instrText xml:space="preserve">= 4 \* GB3</w:instrText>
      </w:r>
      <w:r>
        <w:rPr>
          <w:sz w:val="24"/>
        </w:rPr>
        <w:instrText xml:space="preserve"> </w:instrText>
      </w:r>
      <w:r>
        <w:rPr>
          <w:sz w:val="24"/>
        </w:rPr>
        <w:fldChar w:fldCharType="separate"/>
      </w:r>
      <w:r>
        <w:rPr>
          <w:rFonts w:hint="eastAsia"/>
          <w:sz w:val="24"/>
        </w:rPr>
        <w:t>④</w:t>
      </w:r>
      <w:r>
        <w:rPr>
          <w:sz w:val="24"/>
        </w:rPr>
        <w:fldChar w:fldCharType="end"/>
      </w:r>
      <w:r>
        <w:rPr>
          <w:rFonts w:hint="eastAsia"/>
          <w:sz w:val="24"/>
        </w:rPr>
        <w:t>投标人名称、</w:t>
      </w:r>
      <w:r>
        <w:rPr>
          <w:sz w:val="24"/>
        </w:rPr>
        <w:fldChar w:fldCharType="begin"/>
      </w:r>
      <w:r>
        <w:rPr>
          <w:sz w:val="24"/>
        </w:rPr>
        <w:instrText xml:space="preserve"> </w:instrText>
      </w:r>
      <w:r>
        <w:rPr>
          <w:rFonts w:hint="eastAsia"/>
          <w:sz w:val="24"/>
        </w:rPr>
        <w:instrText xml:space="preserve">= 5 \* GB3</w:instrText>
      </w:r>
      <w:r>
        <w:rPr>
          <w:sz w:val="24"/>
        </w:rPr>
        <w:instrText xml:space="preserve"> </w:instrText>
      </w:r>
      <w:r>
        <w:rPr>
          <w:sz w:val="24"/>
        </w:rPr>
        <w:fldChar w:fldCharType="separate"/>
      </w:r>
      <w:r>
        <w:rPr>
          <w:rFonts w:hint="eastAsia"/>
          <w:sz w:val="24"/>
        </w:rPr>
        <w:t>⑤</w:t>
      </w:r>
      <w:r>
        <w:rPr>
          <w:sz w:val="24"/>
        </w:rPr>
        <w:fldChar w:fldCharType="end"/>
      </w:r>
      <w:r>
        <w:rPr>
          <w:sz w:val="24"/>
        </w:rPr>
        <w:t>开标</w:t>
      </w:r>
      <w:r>
        <w:rPr>
          <w:rFonts w:hint="eastAsia"/>
          <w:sz w:val="24"/>
        </w:rPr>
        <w:t>日期（X年X月</w:t>
      </w:r>
      <w:r>
        <w:rPr>
          <w:sz w:val="24"/>
        </w:rPr>
        <w:t>X日</w:t>
      </w:r>
      <w:r>
        <w:rPr>
          <w:rFonts w:hint="eastAsia"/>
          <w:sz w:val="24"/>
        </w:rPr>
        <w:t>）、</w:t>
      </w:r>
      <w:r>
        <w:rPr>
          <w:sz w:val="24"/>
        </w:rPr>
        <w:fldChar w:fldCharType="begin"/>
      </w:r>
      <w:r>
        <w:rPr>
          <w:sz w:val="24"/>
        </w:rPr>
        <w:instrText xml:space="preserve"> </w:instrText>
      </w:r>
      <w:r>
        <w:rPr>
          <w:rFonts w:hint="eastAsia"/>
          <w:sz w:val="24"/>
        </w:rPr>
        <w:instrText xml:space="preserve">= 6 \* GB3</w:instrText>
      </w:r>
      <w:r>
        <w:rPr>
          <w:sz w:val="24"/>
        </w:rPr>
        <w:instrText xml:space="preserve"> </w:instrText>
      </w:r>
      <w:r>
        <w:rPr>
          <w:sz w:val="24"/>
        </w:rPr>
        <w:fldChar w:fldCharType="separate"/>
      </w:r>
      <w:r>
        <w:rPr>
          <w:rFonts w:hint="eastAsia"/>
          <w:sz w:val="24"/>
        </w:rPr>
        <w:t>⑥</w:t>
      </w:r>
      <w:r>
        <w:rPr>
          <w:sz w:val="24"/>
        </w:rPr>
        <w:fldChar w:fldCharType="end"/>
      </w:r>
      <w:r>
        <w:rPr>
          <w:rFonts w:hint="eastAsia"/>
          <w:sz w:val="24"/>
        </w:rPr>
        <w:t>“开标时启封”字样，并在包封上加盖投标人</w:t>
      </w:r>
      <w:r>
        <w:rPr>
          <w:sz w:val="24"/>
        </w:rPr>
        <w:t>公章。</w:t>
      </w:r>
    </w:p>
    <w:p>
      <w:pPr>
        <w:spacing w:line="560" w:lineRule="exact"/>
        <w:ind w:firstLine="422" w:firstLineChars="176"/>
        <w:rPr>
          <w:sz w:val="24"/>
        </w:rPr>
      </w:pPr>
      <w:r>
        <w:rPr>
          <w:sz w:val="24"/>
        </w:rPr>
        <w:t>20.</w:t>
      </w:r>
      <w:r>
        <w:rPr>
          <w:rFonts w:hint="eastAsia"/>
          <w:sz w:val="24"/>
        </w:rPr>
        <w:t>3</w:t>
      </w:r>
      <w:r>
        <w:rPr>
          <w:sz w:val="24"/>
        </w:rPr>
        <w:t xml:space="preserve"> 电报、电话、传真及其它形式的投标概不接受。</w:t>
      </w:r>
    </w:p>
    <w:p>
      <w:pPr>
        <w:spacing w:line="560" w:lineRule="exact"/>
        <w:ind w:firstLine="422" w:firstLineChars="176"/>
        <w:rPr>
          <w:sz w:val="24"/>
        </w:rPr>
      </w:pPr>
      <w:r>
        <w:rPr>
          <w:sz w:val="24"/>
        </w:rPr>
        <w:t>20.</w:t>
      </w:r>
      <w:r>
        <w:rPr>
          <w:rFonts w:hint="eastAsia"/>
          <w:sz w:val="24"/>
        </w:rPr>
        <w:t>4</w:t>
      </w:r>
      <w:r>
        <w:rPr>
          <w:sz w:val="24"/>
        </w:rPr>
        <w:t xml:space="preserve"> 每个投标人须按照招标文件要求提交投标文件，一经投标，无论投标结果如何，其投标文件恕不退还。</w:t>
      </w:r>
    </w:p>
    <w:p>
      <w:pPr>
        <w:tabs>
          <w:tab w:val="left" w:pos="0"/>
        </w:tabs>
        <w:spacing w:line="560" w:lineRule="exact"/>
        <w:rPr>
          <w:sz w:val="24"/>
        </w:rPr>
      </w:pPr>
      <w:r>
        <w:rPr>
          <w:sz w:val="24"/>
        </w:rPr>
        <w:t>21. 递交投标文件的截止时间</w:t>
      </w:r>
    </w:p>
    <w:p>
      <w:pPr>
        <w:spacing w:line="560" w:lineRule="exact"/>
        <w:rPr>
          <w:sz w:val="24"/>
        </w:rPr>
      </w:pPr>
      <w:r>
        <w:rPr>
          <w:sz w:val="24"/>
        </w:rPr>
        <w:t xml:space="preserve">    21.1采购代理机构在投标邀请函中规定的地址收到投标文件的时间应不迟于投标邀请函中规定的截止时间。</w:t>
      </w:r>
    </w:p>
    <w:p>
      <w:pPr>
        <w:spacing w:line="560" w:lineRule="exact"/>
        <w:rPr>
          <w:sz w:val="24"/>
        </w:rPr>
      </w:pPr>
      <w:r>
        <w:rPr>
          <w:sz w:val="24"/>
        </w:rPr>
        <w:t xml:space="preserve">    21.2采购代理机构可根据本须知的规定，通过修改招标文件自行决定酌情延长投标截止日期。在此情况下，采购人和投标人受投标截止日期制约的所有权利和义务均应延长至新的截止日期。</w:t>
      </w:r>
    </w:p>
    <w:p>
      <w:pPr>
        <w:spacing w:line="560" w:lineRule="exact"/>
        <w:ind w:firstLine="480" w:firstLineChars="200"/>
        <w:rPr>
          <w:sz w:val="24"/>
        </w:rPr>
      </w:pPr>
      <w:r>
        <w:rPr>
          <w:sz w:val="24"/>
        </w:rPr>
        <w:t>21.3迟交的投标文件</w:t>
      </w:r>
    </w:p>
    <w:p>
      <w:pPr>
        <w:spacing w:line="560" w:lineRule="exact"/>
        <w:ind w:firstLine="480" w:firstLineChars="200"/>
        <w:rPr>
          <w:sz w:val="24"/>
        </w:rPr>
      </w:pPr>
      <w:r>
        <w:rPr>
          <w:sz w:val="24"/>
        </w:rPr>
        <w:t>按本须知第21条的规定采购代理机构将拒绝并原封退回在其规定的截止时间后收到的任何投标文件以及证明文件等资料。</w:t>
      </w:r>
    </w:p>
    <w:p>
      <w:pPr>
        <w:tabs>
          <w:tab w:val="left" w:pos="360"/>
        </w:tabs>
        <w:adjustRightInd w:val="0"/>
        <w:spacing w:line="560" w:lineRule="exact"/>
        <w:textAlignment w:val="baseline"/>
        <w:rPr>
          <w:sz w:val="24"/>
        </w:rPr>
      </w:pPr>
      <w:r>
        <w:rPr>
          <w:sz w:val="24"/>
        </w:rPr>
        <w:t>22. 投标文件的修改</w:t>
      </w:r>
      <w:r>
        <w:rPr>
          <w:rFonts w:hint="eastAsia"/>
          <w:sz w:val="24"/>
        </w:rPr>
        <w:t>、</w:t>
      </w:r>
      <w:r>
        <w:rPr>
          <w:sz w:val="24"/>
        </w:rPr>
        <w:t>撤回和撤消</w:t>
      </w:r>
    </w:p>
    <w:p>
      <w:pPr>
        <w:spacing w:line="560" w:lineRule="exact"/>
        <w:rPr>
          <w:sz w:val="24"/>
        </w:rPr>
      </w:pPr>
      <w:r>
        <w:rPr>
          <w:sz w:val="24"/>
        </w:rPr>
        <w:t xml:space="preserve">    22.1</w:t>
      </w:r>
      <w:r>
        <w:rPr>
          <w:rFonts w:hint="eastAsia"/>
          <w:sz w:val="24"/>
        </w:rPr>
        <w:t>投标人在投标截止时间前，可以对所递交的投标文件进行补充、修改或者撤回，并书面通知采购人或者采购代理机构。补充、修改的内容应当按照招标文件要求签署、盖章、密封后，作为投标文件的组成部分。</w:t>
      </w:r>
      <w:r>
        <w:rPr>
          <w:sz w:val="24"/>
        </w:rPr>
        <w:t>采购代理机构须在投标截止时间之前收到该修改或撤回的书面通知。</w:t>
      </w:r>
    </w:p>
    <w:p>
      <w:pPr>
        <w:spacing w:line="560" w:lineRule="exact"/>
        <w:rPr>
          <w:sz w:val="24"/>
        </w:rPr>
      </w:pPr>
      <w:r>
        <w:rPr>
          <w:sz w:val="24"/>
        </w:rPr>
        <w:t xml:space="preserve">    22.2投标人的修改或撤回的书面通知应按本须知第19条和第20条的规定进行编制、签署、密封、注上标记和递送，并注明“修改投标文件”或“撤回投标”字样。</w:t>
      </w:r>
    </w:p>
    <w:p>
      <w:pPr>
        <w:spacing w:line="560" w:lineRule="exact"/>
        <w:rPr>
          <w:sz w:val="24"/>
        </w:rPr>
      </w:pPr>
      <w:r>
        <w:rPr>
          <w:sz w:val="24"/>
        </w:rPr>
        <w:t xml:space="preserve">    22.3在投标截止时间之后，投标人不得对其投标文件进行修改。</w:t>
      </w:r>
    </w:p>
    <w:p>
      <w:pPr>
        <w:spacing w:line="560" w:lineRule="exact"/>
        <w:ind w:firstLine="495"/>
        <w:rPr>
          <w:sz w:val="24"/>
        </w:rPr>
      </w:pPr>
      <w:r>
        <w:rPr>
          <w:sz w:val="24"/>
        </w:rPr>
        <w:t>22.4投标人不得在投标截止时间起至投标文件有效期届满前撤消其投标。</w:t>
      </w:r>
    </w:p>
    <w:p>
      <w:pPr>
        <w:spacing w:line="560" w:lineRule="exact"/>
        <w:ind w:firstLine="495"/>
        <w:rPr>
          <w:sz w:val="24"/>
        </w:rPr>
      </w:pPr>
      <w:r>
        <w:rPr>
          <w:sz w:val="24"/>
        </w:rPr>
        <w:t>22.5</w:t>
      </w:r>
      <w:r>
        <w:rPr>
          <w:rFonts w:hint="eastAsia"/>
          <w:sz w:val="24"/>
        </w:rPr>
        <w:t>投标有效期内投标人撤销投标文件的，采购人或者采购代理机构可以不退还投标保证金。</w:t>
      </w:r>
    </w:p>
    <w:p>
      <w:pPr>
        <w:spacing w:line="560" w:lineRule="exact"/>
        <w:jc w:val="center"/>
        <w:rPr>
          <w:sz w:val="24"/>
        </w:rPr>
      </w:pPr>
      <w:r>
        <w:rPr>
          <w:sz w:val="24"/>
        </w:rPr>
        <w:t>E   开标和评标</w:t>
      </w:r>
    </w:p>
    <w:p>
      <w:pPr>
        <w:spacing w:line="560" w:lineRule="exact"/>
        <w:rPr>
          <w:sz w:val="24"/>
        </w:rPr>
      </w:pPr>
      <w:r>
        <w:rPr>
          <w:sz w:val="24"/>
        </w:rPr>
        <w:t>23. 开标</w:t>
      </w:r>
    </w:p>
    <w:p>
      <w:pPr>
        <w:spacing w:line="560" w:lineRule="exact"/>
        <w:ind w:firstLine="450"/>
        <w:rPr>
          <w:sz w:val="24"/>
        </w:rPr>
      </w:pPr>
      <w:r>
        <w:rPr>
          <w:sz w:val="24"/>
        </w:rPr>
        <w:t>23.1</w:t>
      </w:r>
      <w:r>
        <w:rPr>
          <w:rFonts w:hint="eastAsia"/>
          <w:sz w:val="24"/>
        </w:rPr>
        <w:t>开标由采购人或者采购代理机构主持，邀请投标人参加。评标委员会成员不得参加开标活动。</w:t>
      </w:r>
    </w:p>
    <w:p>
      <w:pPr>
        <w:spacing w:line="560" w:lineRule="exact"/>
        <w:ind w:firstLine="450"/>
        <w:rPr>
          <w:sz w:val="24"/>
        </w:rPr>
      </w:pPr>
      <w:r>
        <w:rPr>
          <w:sz w:val="24"/>
        </w:rPr>
        <w:t>23.2</w:t>
      </w:r>
      <w:r>
        <w:rPr>
          <w:rFonts w:hint="eastAsia"/>
          <w:sz w:val="24"/>
        </w:rPr>
        <w:t>开标时，由投标人或者其推选的代表检查投标文件的密封情况；经确认无误后，由采购人或者采购代理机构工作人员当众拆封，宣布投标人名称、投标价格和招标文件规定的需要宣布的其他内容。</w:t>
      </w:r>
    </w:p>
    <w:p>
      <w:pPr>
        <w:spacing w:line="560" w:lineRule="exact"/>
        <w:ind w:firstLine="480" w:firstLineChars="200"/>
        <w:rPr>
          <w:sz w:val="24"/>
        </w:rPr>
      </w:pPr>
      <w:r>
        <w:rPr>
          <w:rFonts w:hint="eastAsia"/>
          <w:sz w:val="24"/>
        </w:rPr>
        <w:t>23.3投标人不足3家的，不得开标。</w:t>
      </w:r>
    </w:p>
    <w:p>
      <w:pPr>
        <w:spacing w:line="560" w:lineRule="exact"/>
        <w:ind w:firstLine="450"/>
        <w:rPr>
          <w:sz w:val="24"/>
        </w:rPr>
      </w:pPr>
      <w:r>
        <w:rPr>
          <w:sz w:val="24"/>
        </w:rPr>
        <w:t>23.</w:t>
      </w:r>
      <w:r>
        <w:rPr>
          <w:rFonts w:hint="eastAsia"/>
          <w:sz w:val="24"/>
        </w:rPr>
        <w:t>4投标人未参加开标的，视同认可开标结果。</w:t>
      </w:r>
    </w:p>
    <w:p>
      <w:pPr>
        <w:spacing w:line="560" w:lineRule="exact"/>
        <w:ind w:firstLine="450"/>
        <w:rPr>
          <w:sz w:val="24"/>
        </w:rPr>
      </w:pPr>
      <w:r>
        <w:rPr>
          <w:rFonts w:hint="eastAsia"/>
          <w:sz w:val="24"/>
        </w:rPr>
        <w:t>23.5</w:t>
      </w:r>
      <w:r>
        <w:rPr>
          <w:sz w:val="24"/>
        </w:rPr>
        <w:t>采购代理机构按规定作开标记录，存档备查。</w:t>
      </w:r>
    </w:p>
    <w:p>
      <w:pPr>
        <w:spacing w:line="560" w:lineRule="exact"/>
        <w:rPr>
          <w:sz w:val="24"/>
        </w:rPr>
      </w:pPr>
      <w:r>
        <w:rPr>
          <w:sz w:val="24"/>
        </w:rPr>
        <w:t>24. 资格性审查</w:t>
      </w:r>
    </w:p>
    <w:p>
      <w:pPr>
        <w:spacing w:line="560" w:lineRule="exact"/>
        <w:ind w:firstLine="480" w:firstLineChars="200"/>
        <w:rPr>
          <w:bCs/>
          <w:sz w:val="24"/>
        </w:rPr>
      </w:pPr>
      <w:r>
        <w:rPr>
          <w:rFonts w:hint="eastAsia"/>
          <w:sz w:val="24"/>
        </w:rPr>
        <w:t>24.1资格性检查。采购人或者采购代理机构依法对投标人的资格进行审查。</w:t>
      </w:r>
      <w:r>
        <w:rPr>
          <w:sz w:val="24"/>
        </w:rPr>
        <w:t>在投标邀请函中规定的时间和地点</w:t>
      </w:r>
      <w:r>
        <w:rPr>
          <w:rFonts w:hint="eastAsia"/>
          <w:sz w:val="24"/>
        </w:rPr>
        <w:t>，采购人或采购代理机构</w:t>
      </w:r>
      <w:r>
        <w:rPr>
          <w:sz w:val="24"/>
        </w:rPr>
        <w:t>对投标人进行资格审查，参加投标的代表应签名报到以证明其出席。</w:t>
      </w:r>
      <w:r>
        <w:rPr>
          <w:bCs/>
          <w:sz w:val="24"/>
        </w:rPr>
        <w:t>投标人须由法定代表人或其代理人到场，并携带身份证或其他与法定代表人或其代理人身份相符的有效证件原件，以备查验。</w:t>
      </w:r>
    </w:p>
    <w:p>
      <w:pPr>
        <w:spacing w:line="560" w:lineRule="exact"/>
        <w:ind w:firstLine="480" w:firstLineChars="200"/>
        <w:rPr>
          <w:sz w:val="24"/>
        </w:rPr>
      </w:pPr>
      <w:r>
        <w:rPr>
          <w:bCs/>
          <w:sz w:val="24"/>
        </w:rPr>
        <w:t>24.2</w:t>
      </w:r>
      <w:r>
        <w:rPr>
          <w:rFonts w:hint="eastAsia"/>
          <w:sz w:val="24"/>
        </w:rPr>
        <w:t>依据法律法规和招标文件的规定，对投标文件中的资格证明、投标保证金等进行审查，以确定投标人是否具备投标资格。</w:t>
      </w:r>
    </w:p>
    <w:p>
      <w:pPr>
        <w:spacing w:line="560" w:lineRule="exact"/>
        <w:ind w:firstLine="480" w:firstLineChars="200"/>
        <w:rPr>
          <w:sz w:val="24"/>
        </w:rPr>
      </w:pPr>
      <w:r>
        <w:rPr>
          <w:sz w:val="24"/>
        </w:rPr>
        <w:t>24.2</w:t>
      </w:r>
      <w:r>
        <w:rPr>
          <w:rFonts w:hint="eastAsia"/>
          <w:sz w:val="24"/>
        </w:rPr>
        <w:t>合格投标人不足3家的，不得评标。</w:t>
      </w:r>
    </w:p>
    <w:p>
      <w:pPr>
        <w:spacing w:line="560" w:lineRule="exact"/>
        <w:rPr>
          <w:sz w:val="24"/>
        </w:rPr>
      </w:pPr>
      <w:r>
        <w:rPr>
          <w:sz w:val="24"/>
        </w:rPr>
        <w:t>25. 评标委员会</w:t>
      </w:r>
    </w:p>
    <w:p>
      <w:pPr>
        <w:spacing w:line="560" w:lineRule="exact"/>
        <w:ind w:firstLine="444"/>
        <w:rPr>
          <w:sz w:val="24"/>
        </w:rPr>
      </w:pPr>
      <w:r>
        <w:rPr>
          <w:sz w:val="24"/>
        </w:rPr>
        <w:t>25.1</w:t>
      </w:r>
      <w:r>
        <w:rPr>
          <w:rFonts w:hint="eastAsia"/>
          <w:sz w:val="24"/>
        </w:rPr>
        <w:t>评标委员会由采购人代表和评审专家组成，成员人数为5人以上单数，其中评审专家不得少于成员总数的三分之二。</w:t>
      </w:r>
    </w:p>
    <w:p>
      <w:pPr>
        <w:spacing w:line="560" w:lineRule="exact"/>
        <w:ind w:firstLine="444"/>
        <w:rPr>
          <w:sz w:val="24"/>
        </w:rPr>
      </w:pPr>
      <w:r>
        <w:rPr>
          <w:rFonts w:hint="eastAsia"/>
          <w:sz w:val="24"/>
        </w:rPr>
        <w:t>采购项目符合下列情形之一的，评标委员会成员人数应当为7人以上单数：</w:t>
      </w:r>
    </w:p>
    <w:p>
      <w:pPr>
        <w:spacing w:line="560" w:lineRule="exact"/>
        <w:ind w:firstLine="444"/>
        <w:rPr>
          <w:sz w:val="24"/>
        </w:rPr>
      </w:pPr>
      <w:r>
        <w:rPr>
          <w:rFonts w:hint="eastAsia"/>
          <w:sz w:val="24"/>
        </w:rPr>
        <w:t>（1）采购预算金额在1000万元以上；</w:t>
      </w:r>
    </w:p>
    <w:p>
      <w:pPr>
        <w:spacing w:line="560" w:lineRule="exact"/>
        <w:ind w:firstLine="444"/>
        <w:rPr>
          <w:sz w:val="24"/>
        </w:rPr>
      </w:pPr>
      <w:r>
        <w:rPr>
          <w:rFonts w:hint="eastAsia"/>
          <w:sz w:val="24"/>
        </w:rPr>
        <w:t>（2）技术复杂；</w:t>
      </w:r>
    </w:p>
    <w:p>
      <w:pPr>
        <w:spacing w:line="560" w:lineRule="exact"/>
        <w:ind w:firstLine="444"/>
        <w:rPr>
          <w:sz w:val="24"/>
        </w:rPr>
      </w:pPr>
      <w:r>
        <w:rPr>
          <w:rFonts w:hint="eastAsia"/>
          <w:sz w:val="24"/>
        </w:rPr>
        <w:t>（3）社会影响较大。</w:t>
      </w:r>
    </w:p>
    <w:p>
      <w:pPr>
        <w:spacing w:line="560" w:lineRule="exact"/>
        <w:ind w:firstLine="444"/>
        <w:rPr>
          <w:rFonts w:ascii="宋体" w:hAnsi="宋体" w:cs="宋体"/>
          <w:kern w:val="0"/>
          <w:sz w:val="24"/>
          <w:szCs w:val="24"/>
        </w:rPr>
      </w:pPr>
      <w:r>
        <w:rPr>
          <w:sz w:val="24"/>
        </w:rPr>
        <w:t>25.2 评标委员会</w:t>
      </w:r>
      <w:r>
        <w:rPr>
          <w:rFonts w:hint="eastAsia" w:ascii="宋体" w:hAnsi="宋体" w:cs="宋体"/>
          <w:kern w:val="0"/>
          <w:sz w:val="24"/>
          <w:szCs w:val="24"/>
        </w:rPr>
        <w:t>负责具体评标事务，并独立履行下列职责：</w:t>
      </w:r>
    </w:p>
    <w:p>
      <w:pPr>
        <w:spacing w:line="560" w:lineRule="exact"/>
        <w:ind w:firstLine="444"/>
        <w:rPr>
          <w:sz w:val="24"/>
        </w:rPr>
      </w:pPr>
      <w:r>
        <w:rPr>
          <w:rFonts w:hint="eastAsia"/>
          <w:sz w:val="24"/>
        </w:rPr>
        <w:t>（1）审查、评价投标文件是否符合招标文件的商务、技术等实质性要求；</w:t>
      </w:r>
    </w:p>
    <w:p>
      <w:pPr>
        <w:spacing w:line="560" w:lineRule="exact"/>
        <w:ind w:firstLine="444"/>
        <w:rPr>
          <w:sz w:val="24"/>
        </w:rPr>
      </w:pPr>
      <w:r>
        <w:rPr>
          <w:rFonts w:hint="eastAsia"/>
          <w:sz w:val="24"/>
        </w:rPr>
        <w:t>（2）要求投标人对投标文件有关事项作出澄清或者说明；</w:t>
      </w:r>
    </w:p>
    <w:p>
      <w:pPr>
        <w:spacing w:line="560" w:lineRule="exact"/>
        <w:ind w:firstLine="444"/>
        <w:rPr>
          <w:sz w:val="24"/>
        </w:rPr>
      </w:pPr>
      <w:r>
        <w:rPr>
          <w:rFonts w:hint="eastAsia"/>
          <w:sz w:val="24"/>
        </w:rPr>
        <w:t>（3）对投标文件进行比较和评价；</w:t>
      </w:r>
    </w:p>
    <w:p>
      <w:pPr>
        <w:spacing w:line="560" w:lineRule="exact"/>
        <w:ind w:firstLine="444"/>
        <w:rPr>
          <w:sz w:val="24"/>
        </w:rPr>
      </w:pPr>
      <w:r>
        <w:rPr>
          <w:rFonts w:hint="eastAsia"/>
          <w:sz w:val="24"/>
        </w:rPr>
        <w:t>（4）确定中标候选人名单，以及根据采购人委托直接确定中标人；</w:t>
      </w:r>
    </w:p>
    <w:p>
      <w:pPr>
        <w:spacing w:line="560" w:lineRule="exact"/>
        <w:ind w:firstLine="444"/>
        <w:rPr>
          <w:sz w:val="24"/>
        </w:rPr>
      </w:pPr>
      <w:r>
        <w:rPr>
          <w:rFonts w:hint="eastAsia"/>
          <w:sz w:val="24"/>
        </w:rPr>
        <w:t>（5）向采购人、采购代理机构或者有关部门报告评标中发现的违法行为。</w:t>
      </w:r>
    </w:p>
    <w:p>
      <w:pPr>
        <w:spacing w:line="560" w:lineRule="exact"/>
        <w:ind w:firstLine="450"/>
        <w:rPr>
          <w:sz w:val="24"/>
        </w:rPr>
      </w:pPr>
      <w:r>
        <w:rPr>
          <w:sz w:val="24"/>
        </w:rPr>
        <w:t>25.3 如果出现投标截止时间后参加投标的供应商不足三家、对招标文件作实质性响应的供应商不足三家，或投标人的报价均超过了采购预算或最高限价，采购人不能支付的情况时，或影响采购公正的违法、违规行为，评标委员会有权宣布废标。</w:t>
      </w:r>
    </w:p>
    <w:p>
      <w:pPr>
        <w:spacing w:line="560" w:lineRule="exact"/>
        <w:ind w:firstLine="444"/>
        <w:rPr>
          <w:sz w:val="24"/>
        </w:rPr>
      </w:pPr>
      <w:r>
        <w:rPr>
          <w:sz w:val="24"/>
        </w:rPr>
        <w:t>25.4 评标委员会负责完成全部评标过程，向采购人提出经评标委员会签字的书面评标报告。</w:t>
      </w:r>
    </w:p>
    <w:p>
      <w:pPr>
        <w:spacing w:line="560" w:lineRule="exact"/>
        <w:ind w:firstLine="444"/>
        <w:rPr>
          <w:rFonts w:cs="Times New Roman" w:asciiTheme="minorEastAsia" w:hAnsiTheme="minorEastAsia"/>
          <w:sz w:val="24"/>
          <w:szCs w:val="24"/>
        </w:rPr>
      </w:pPr>
      <w:r>
        <w:rPr>
          <w:rFonts w:hint="eastAsia"/>
          <w:sz w:val="24"/>
        </w:rPr>
        <w:t>25.5</w:t>
      </w:r>
      <w:r>
        <w:rPr>
          <w:rFonts w:cs="Times New Roman" w:asciiTheme="minorEastAsia" w:hAnsiTheme="minorEastAsia"/>
          <w:sz w:val="24"/>
          <w:szCs w:val="24"/>
        </w:rPr>
        <w:t>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r>
        <w:rPr>
          <w:rFonts w:hint="eastAsia" w:cs="Times New Roman" w:asciiTheme="minorEastAsia" w:hAnsiTheme="minorEastAsia"/>
          <w:sz w:val="24"/>
          <w:szCs w:val="24"/>
        </w:rPr>
        <w:t>。</w:t>
      </w:r>
    </w:p>
    <w:p>
      <w:pPr>
        <w:spacing w:line="560" w:lineRule="exact"/>
        <w:ind w:firstLine="444"/>
        <w:rPr>
          <w:sz w:val="24"/>
          <w:szCs w:val="24"/>
        </w:rPr>
      </w:pPr>
      <w:r>
        <w:rPr>
          <w:rFonts w:hint="eastAsia"/>
          <w:sz w:val="24"/>
        </w:rPr>
        <w:t>25.6</w:t>
      </w:r>
      <w:r>
        <w:rPr>
          <w:rFonts w:hint="eastAsia" w:cs="Times New Roman" w:asciiTheme="minorEastAsia" w:hAnsiTheme="minorEastAsia"/>
          <w:sz w:val="24"/>
          <w:szCs w:val="24"/>
        </w:rPr>
        <w:t>评标委员会审查产品资质或检测报告等相关文件符合性时，应综合考虑行业特点、交易习惯、采购需求最本质原义等情况，而不应以投标文件中产品名称与招标文件产品名称是否一致作为审查的标准。</w:t>
      </w:r>
    </w:p>
    <w:p>
      <w:pPr>
        <w:spacing w:line="560" w:lineRule="exact"/>
        <w:rPr>
          <w:sz w:val="24"/>
        </w:rPr>
      </w:pPr>
      <w:r>
        <w:rPr>
          <w:sz w:val="24"/>
        </w:rPr>
        <w:t>26. 对投标文件的审查</w:t>
      </w:r>
      <w:r>
        <w:rPr>
          <w:rFonts w:hint="eastAsia"/>
          <w:sz w:val="24"/>
        </w:rPr>
        <w:t xml:space="preserve"> </w:t>
      </w:r>
    </w:p>
    <w:p>
      <w:pPr>
        <w:spacing w:line="480" w:lineRule="exact"/>
        <w:ind w:firstLine="422" w:firstLineChars="176"/>
        <w:rPr>
          <w:bCs/>
          <w:sz w:val="24"/>
        </w:rPr>
      </w:pPr>
      <w:r>
        <w:rPr>
          <w:sz w:val="24"/>
        </w:rPr>
        <w:t>26.1</w:t>
      </w:r>
      <w:r>
        <w:rPr>
          <w:bCs/>
          <w:sz w:val="24"/>
        </w:rPr>
        <w:t>符合性检查。</w:t>
      </w:r>
      <w:r>
        <w:rPr>
          <w:rFonts w:hint="eastAsia"/>
          <w:bCs/>
          <w:sz w:val="24"/>
        </w:rPr>
        <w:t>依据招标文件的规定，从投标文件的有效性、完整性和对招标文件的响应程度进行审查，以确定是否对招标文件的实质性要求作出响应。</w:t>
      </w:r>
      <w:r>
        <w:rPr>
          <w:sz w:val="24"/>
        </w:rPr>
        <w:t>实质上响应的投标文件是指经评标委员会认定的无重大偏离或保留的投标文件。</w:t>
      </w:r>
    </w:p>
    <w:p>
      <w:pPr>
        <w:spacing w:line="560" w:lineRule="exact"/>
        <w:ind w:firstLine="495"/>
        <w:rPr>
          <w:sz w:val="24"/>
        </w:rPr>
      </w:pPr>
      <w:r>
        <w:rPr>
          <w:sz w:val="24"/>
        </w:rPr>
        <w:t>26.2</w:t>
      </w:r>
      <w:r>
        <w:rPr>
          <w:rFonts w:hint="eastAsia"/>
          <w:bCs/>
          <w:sz w:val="24"/>
        </w:rPr>
        <w:t>评标委员会对符合资格的投标人的投标文件进行符合性审查，以确定其是否满足招标文件的实质性要求。</w:t>
      </w:r>
    </w:p>
    <w:p>
      <w:pPr>
        <w:spacing w:line="560" w:lineRule="exact"/>
        <w:ind w:firstLine="450"/>
        <w:rPr>
          <w:sz w:val="24"/>
        </w:rPr>
      </w:pPr>
      <w:r>
        <w:rPr>
          <w:sz w:val="24"/>
        </w:rPr>
        <w:t>26.3评标委员会判断投标文件的响应性仅基于投标文件本身而不靠外部证据。</w:t>
      </w:r>
    </w:p>
    <w:p>
      <w:pPr>
        <w:spacing w:line="560" w:lineRule="exact"/>
        <w:ind w:firstLine="495"/>
        <w:rPr>
          <w:sz w:val="24"/>
        </w:rPr>
      </w:pPr>
      <w:r>
        <w:rPr>
          <w:rFonts w:hint="eastAsia"/>
          <w:sz w:val="24"/>
        </w:rPr>
        <w:t>根据财政部《政府采购货物和服务招标投标管理办法》的规定，投标人应当在招标文件要求提交投标文件的截止时间前，将投标文件密封送达投标地点。逾期送达或者未按照招标文件要求密封的投标文件，采购人、采购代理机构应当拒收。</w:t>
      </w:r>
    </w:p>
    <w:p>
      <w:pPr>
        <w:spacing w:line="560" w:lineRule="exact"/>
        <w:ind w:firstLine="495"/>
        <w:rPr>
          <w:sz w:val="24"/>
        </w:rPr>
      </w:pPr>
      <w:r>
        <w:rPr>
          <w:sz w:val="24"/>
        </w:rPr>
        <w:t>26.4实质上没有响应招标文件要求的投标文件，将被拒绝。如出现下列情况之一的，其投标将被拒绝或中标无效：</w:t>
      </w:r>
    </w:p>
    <w:p>
      <w:pPr>
        <w:spacing w:line="560" w:lineRule="exact"/>
        <w:ind w:firstLine="480" w:firstLineChars="200"/>
        <w:rPr>
          <w:sz w:val="24"/>
        </w:rPr>
      </w:pPr>
      <w:r>
        <w:rPr>
          <w:sz w:val="24"/>
        </w:rPr>
        <w:t>（1）投标人未按照招标文件的规定提交投标保证金；</w:t>
      </w:r>
    </w:p>
    <w:p>
      <w:pPr>
        <w:spacing w:line="560" w:lineRule="exact"/>
        <w:ind w:firstLine="495"/>
        <w:rPr>
          <w:sz w:val="24"/>
        </w:rPr>
      </w:pPr>
      <w:r>
        <w:rPr>
          <w:sz w:val="24"/>
        </w:rPr>
        <w:t>（2）</w:t>
      </w:r>
      <w:r>
        <w:rPr>
          <w:rFonts w:hint="eastAsia"/>
          <w:sz w:val="24"/>
        </w:rPr>
        <w:t>投标截止时间以后送达的投标文件；</w:t>
      </w:r>
    </w:p>
    <w:p>
      <w:pPr>
        <w:spacing w:line="560" w:lineRule="exact"/>
        <w:ind w:firstLine="495"/>
        <w:rPr>
          <w:sz w:val="24"/>
        </w:rPr>
      </w:pPr>
      <w:r>
        <w:rPr>
          <w:rFonts w:hint="eastAsia"/>
          <w:sz w:val="24"/>
        </w:rPr>
        <w:t>（3）</w:t>
      </w:r>
      <w:r>
        <w:rPr>
          <w:sz w:val="24"/>
        </w:rPr>
        <w:t>投标文件未按招标文件的要求签署</w:t>
      </w:r>
      <w:r>
        <w:rPr>
          <w:rFonts w:hint="eastAsia"/>
          <w:sz w:val="24"/>
        </w:rPr>
        <w:t>、</w:t>
      </w:r>
      <w:r>
        <w:rPr>
          <w:sz w:val="24"/>
        </w:rPr>
        <w:t>盖章的</w:t>
      </w:r>
      <w:r>
        <w:rPr>
          <w:rFonts w:hint="eastAsia"/>
          <w:sz w:val="24"/>
        </w:rPr>
        <w:t>。</w:t>
      </w:r>
      <w:r>
        <w:rPr>
          <w:sz w:val="24"/>
        </w:rPr>
        <w:t>如</w:t>
      </w:r>
      <w:r>
        <w:rPr>
          <w:rFonts w:hint="eastAsia"/>
          <w:sz w:val="24"/>
        </w:rPr>
        <w:t>：</w:t>
      </w:r>
      <w:r>
        <w:rPr>
          <w:sz w:val="24"/>
        </w:rPr>
        <w:t>投标文件未加盖公章</w:t>
      </w:r>
      <w:r>
        <w:rPr>
          <w:rFonts w:hint="eastAsia"/>
          <w:sz w:val="24"/>
        </w:rPr>
        <w:t>，</w:t>
      </w:r>
      <w:r>
        <w:rPr>
          <w:sz w:val="24"/>
        </w:rPr>
        <w:t>或无法定代表人或其有效委托的授权代理人的签字</w:t>
      </w:r>
      <w:r>
        <w:rPr>
          <w:rFonts w:hint="eastAsia"/>
          <w:sz w:val="24"/>
        </w:rPr>
        <w:t>（或加盖名章）</w:t>
      </w:r>
      <w:r>
        <w:rPr>
          <w:sz w:val="24"/>
        </w:rPr>
        <w:t xml:space="preserve">，或授权期限不符合要求等情形； </w:t>
      </w:r>
    </w:p>
    <w:p>
      <w:pPr>
        <w:spacing w:line="560" w:lineRule="exact"/>
        <w:ind w:firstLine="495"/>
        <w:rPr>
          <w:sz w:val="24"/>
        </w:rPr>
      </w:pPr>
      <w:r>
        <w:rPr>
          <w:sz w:val="24"/>
        </w:rPr>
        <w:t>（4）不符合招标文件中规定的资格性审查的各项要求的</w:t>
      </w:r>
      <w:r>
        <w:rPr>
          <w:rFonts w:hint="eastAsia"/>
          <w:sz w:val="24"/>
        </w:rPr>
        <w:t>，</w:t>
      </w:r>
      <w:r>
        <w:rPr>
          <w:sz w:val="24"/>
        </w:rPr>
        <w:t>或者提供的资格性审查的证明文件模糊不清</w:t>
      </w:r>
      <w:r>
        <w:rPr>
          <w:rFonts w:hint="eastAsia"/>
          <w:sz w:val="24"/>
        </w:rPr>
        <w:t>、</w:t>
      </w:r>
      <w:r>
        <w:rPr>
          <w:sz w:val="24"/>
        </w:rPr>
        <w:t>无法辨识的；</w:t>
      </w:r>
    </w:p>
    <w:p>
      <w:pPr>
        <w:spacing w:line="560" w:lineRule="exact"/>
        <w:ind w:firstLine="495"/>
        <w:rPr>
          <w:sz w:val="24"/>
        </w:rPr>
      </w:pPr>
      <w:r>
        <w:rPr>
          <w:sz w:val="24"/>
        </w:rPr>
        <w:t>（5）</w:t>
      </w:r>
      <w:r>
        <w:rPr>
          <w:rFonts w:hint="eastAsia"/>
          <w:sz w:val="24"/>
        </w:rPr>
        <w:t>报价超过招标文件中规定的预算金额或者最高限价的；</w:t>
      </w:r>
    </w:p>
    <w:p>
      <w:pPr>
        <w:spacing w:line="560" w:lineRule="exact"/>
        <w:ind w:firstLine="495"/>
        <w:rPr>
          <w:sz w:val="24"/>
        </w:rPr>
      </w:pPr>
      <w:r>
        <w:rPr>
          <w:rFonts w:hint="eastAsia"/>
          <w:sz w:val="24"/>
        </w:rPr>
        <w:t>（6）投标文件含有采购人不能接受的附加条件的；</w:t>
      </w:r>
    </w:p>
    <w:p>
      <w:pPr>
        <w:spacing w:line="560" w:lineRule="exact"/>
        <w:ind w:firstLine="495"/>
        <w:rPr>
          <w:sz w:val="24"/>
        </w:rPr>
      </w:pPr>
      <w:r>
        <w:rPr>
          <w:rFonts w:hint="eastAsia"/>
          <w:sz w:val="24"/>
        </w:rPr>
        <w:t>（7）评标委员会认为投标人的报价明显低于其他通过符合性审查投标人的报价，有可能影响产品质量或者不能诚信履约的，应要求其在评标现场合理的时间内提供书面说明，必要时提交相关证明材料，投标人不能证明其报价合理性的；</w:t>
      </w:r>
    </w:p>
    <w:p>
      <w:pPr>
        <w:spacing w:line="560" w:lineRule="exact"/>
        <w:ind w:firstLine="495"/>
        <w:rPr>
          <w:sz w:val="24"/>
        </w:rPr>
      </w:pPr>
      <w:r>
        <w:rPr>
          <w:rFonts w:hint="eastAsia"/>
          <w:sz w:val="24"/>
        </w:rPr>
        <w:t>（8）</w:t>
      </w:r>
      <w:r>
        <w:rPr>
          <w:sz w:val="24"/>
        </w:rPr>
        <w:t>投标文件未按招标文件规定要求密封和标记的</w:t>
      </w:r>
      <w:r>
        <w:rPr>
          <w:rFonts w:hint="eastAsia"/>
          <w:sz w:val="24"/>
        </w:rPr>
        <w:t>；</w:t>
      </w:r>
    </w:p>
    <w:p>
      <w:pPr>
        <w:spacing w:line="560" w:lineRule="exact"/>
        <w:ind w:firstLine="495"/>
        <w:rPr>
          <w:sz w:val="24"/>
        </w:rPr>
      </w:pPr>
      <w:r>
        <w:rPr>
          <w:rFonts w:hint="eastAsia"/>
          <w:sz w:val="24"/>
        </w:rPr>
        <w:t>（9）</w:t>
      </w:r>
      <w:r>
        <w:rPr>
          <w:sz w:val="24"/>
        </w:rPr>
        <w:t>投标文件份数或装订情况不符合招标文件规定的</w:t>
      </w:r>
      <w:r>
        <w:rPr>
          <w:rFonts w:hint="eastAsia"/>
          <w:sz w:val="24"/>
        </w:rPr>
        <w:t>；</w:t>
      </w:r>
    </w:p>
    <w:p>
      <w:pPr>
        <w:spacing w:line="560" w:lineRule="exact"/>
        <w:ind w:firstLine="495"/>
        <w:rPr>
          <w:sz w:val="24"/>
        </w:rPr>
      </w:pPr>
      <w:r>
        <w:rPr>
          <w:sz w:val="24"/>
        </w:rPr>
        <w:t>（10）投标有效期短于招标文件要求的；</w:t>
      </w:r>
    </w:p>
    <w:p>
      <w:pPr>
        <w:spacing w:line="560" w:lineRule="exact"/>
        <w:ind w:firstLine="495"/>
        <w:rPr>
          <w:sz w:val="24"/>
        </w:rPr>
      </w:pPr>
      <w:r>
        <w:rPr>
          <w:sz w:val="24"/>
        </w:rPr>
        <w:t>（11）法人授权委托书不符合招标文件要求的；</w:t>
      </w:r>
    </w:p>
    <w:p>
      <w:pPr>
        <w:spacing w:line="560" w:lineRule="exact"/>
        <w:ind w:firstLine="495"/>
        <w:rPr>
          <w:sz w:val="24"/>
        </w:rPr>
      </w:pPr>
      <w:r>
        <w:rPr>
          <w:rFonts w:hint="eastAsia"/>
          <w:sz w:val="24"/>
        </w:rPr>
        <w:t>（12）</w:t>
      </w:r>
      <w:r>
        <w:rPr>
          <w:sz w:val="24"/>
        </w:rPr>
        <w:t>单位负责人或法定代表人为同一人，或者存在控股、管理关系的不同供应商，参加同一包或者未划分包的同一项目投标的，相关投标均无效；</w:t>
      </w:r>
    </w:p>
    <w:p>
      <w:pPr>
        <w:spacing w:line="560" w:lineRule="exact"/>
        <w:ind w:firstLine="495"/>
        <w:rPr>
          <w:sz w:val="24"/>
        </w:rPr>
      </w:pPr>
      <w:r>
        <w:rPr>
          <w:rFonts w:hint="eastAsia"/>
          <w:sz w:val="24"/>
        </w:rPr>
        <w:t>（13）</w:t>
      </w:r>
      <w:r>
        <w:rPr>
          <w:sz w:val="24"/>
        </w:rPr>
        <w:t>不能满足招标文件中任何一条实质性要求</w:t>
      </w:r>
      <w:r>
        <w:rPr>
          <w:rFonts w:hint="eastAsia"/>
          <w:sz w:val="24"/>
        </w:rPr>
        <w:t>，</w:t>
      </w:r>
      <w:r>
        <w:rPr>
          <w:sz w:val="24"/>
        </w:rPr>
        <w:t>或不能满足加注</w:t>
      </w:r>
      <w:r>
        <w:rPr>
          <w:rFonts w:hint="eastAsia"/>
          <w:sz w:val="24"/>
        </w:rPr>
        <w:t>“</w:t>
      </w:r>
      <w:r>
        <w:rPr>
          <w:rFonts w:hint="eastAsia" w:ascii="宋体" w:hAnsi="宋体" w:eastAsia="宋体"/>
          <w:sz w:val="24"/>
        </w:rPr>
        <w:t>★</w:t>
      </w:r>
      <w:r>
        <w:rPr>
          <w:rFonts w:hint="eastAsia"/>
          <w:sz w:val="24"/>
        </w:rPr>
        <w:t>”</w:t>
      </w:r>
      <w:r>
        <w:rPr>
          <w:sz w:val="24"/>
        </w:rPr>
        <w:t>号条款</w:t>
      </w:r>
      <w:r>
        <w:rPr>
          <w:rFonts w:hint="eastAsia"/>
          <w:sz w:val="24"/>
        </w:rPr>
        <w:t>的</w:t>
      </w:r>
      <w:r>
        <w:rPr>
          <w:sz w:val="24"/>
        </w:rPr>
        <w:t>采购需求的</w:t>
      </w:r>
      <w:r>
        <w:rPr>
          <w:rFonts w:hint="eastAsia"/>
          <w:sz w:val="24"/>
        </w:rPr>
        <w:t>，</w:t>
      </w:r>
      <w:r>
        <w:rPr>
          <w:sz w:val="24"/>
        </w:rPr>
        <w:t>或经评标委员会认定与招标文件需求存在重大偏离的投标文件</w:t>
      </w:r>
      <w:r>
        <w:rPr>
          <w:rFonts w:hint="eastAsia"/>
          <w:sz w:val="24"/>
        </w:rPr>
        <w:t>，</w:t>
      </w:r>
      <w:r>
        <w:rPr>
          <w:sz w:val="24"/>
        </w:rPr>
        <w:t>或投标内容不符合国家相关强制性规定的</w:t>
      </w:r>
      <w:r>
        <w:rPr>
          <w:rFonts w:hint="eastAsia"/>
          <w:sz w:val="24"/>
        </w:rPr>
        <w:t>；</w:t>
      </w:r>
    </w:p>
    <w:p>
      <w:pPr>
        <w:spacing w:line="560" w:lineRule="exact"/>
        <w:ind w:firstLine="495"/>
        <w:rPr>
          <w:sz w:val="24"/>
        </w:rPr>
      </w:pPr>
      <w:r>
        <w:rPr>
          <w:rFonts w:hint="eastAsia"/>
          <w:sz w:val="24"/>
        </w:rPr>
        <w:t>（14）</w:t>
      </w:r>
      <w:r>
        <w:rPr>
          <w:sz w:val="24"/>
        </w:rPr>
        <w:t>除《项目需求书》中说明并允许外，投标的每一个货物、服务的单项报价以及采购项目的投标总价存在多个报价或选择性报价的</w:t>
      </w:r>
      <w:r>
        <w:rPr>
          <w:rFonts w:hint="eastAsia"/>
          <w:sz w:val="24"/>
        </w:rPr>
        <w:t>；</w:t>
      </w:r>
      <w:r>
        <w:rPr>
          <w:sz w:val="24"/>
        </w:rPr>
        <w:t xml:space="preserve"> </w:t>
      </w:r>
    </w:p>
    <w:p>
      <w:pPr>
        <w:spacing w:line="560" w:lineRule="exact"/>
        <w:ind w:firstLine="495"/>
        <w:rPr>
          <w:sz w:val="24"/>
        </w:rPr>
      </w:pPr>
      <w:r>
        <w:rPr>
          <w:rFonts w:hint="eastAsia"/>
          <w:sz w:val="24"/>
        </w:rPr>
        <w:t>（15）投标文件未实质性响应招标文件项目需求书中采购货物清单、服务清单或工程量清单，有缺漏项的；</w:t>
      </w:r>
    </w:p>
    <w:p>
      <w:pPr>
        <w:spacing w:line="560" w:lineRule="exact"/>
        <w:ind w:firstLine="495"/>
        <w:rPr>
          <w:sz w:val="24"/>
        </w:rPr>
      </w:pPr>
      <w:r>
        <w:rPr>
          <w:rFonts w:hint="eastAsia"/>
          <w:sz w:val="24"/>
        </w:rPr>
        <w:t>（16）投标文件未按规定的格式填写，内容不全或字迹模糊辨认不清，无法进行评标工作的；</w:t>
      </w:r>
    </w:p>
    <w:p>
      <w:pPr>
        <w:tabs>
          <w:tab w:val="left" w:pos="6684"/>
        </w:tabs>
        <w:spacing w:line="560" w:lineRule="exact"/>
        <w:ind w:firstLine="495"/>
        <w:rPr>
          <w:sz w:val="24"/>
        </w:rPr>
      </w:pPr>
      <w:r>
        <w:rPr>
          <w:rFonts w:hint="eastAsia"/>
          <w:sz w:val="24"/>
        </w:rPr>
        <w:t>（17）</w:t>
      </w:r>
      <w:r>
        <w:rPr>
          <w:sz w:val="24"/>
        </w:rPr>
        <w:t>投标文件中提供虚假或失实资料的</w:t>
      </w:r>
      <w:r>
        <w:rPr>
          <w:rFonts w:hint="eastAsia"/>
          <w:sz w:val="24"/>
        </w:rPr>
        <w:t>；</w:t>
      </w:r>
    </w:p>
    <w:p>
      <w:pPr>
        <w:spacing w:line="560" w:lineRule="exact"/>
        <w:ind w:firstLine="495"/>
        <w:rPr>
          <w:sz w:val="24"/>
        </w:rPr>
      </w:pPr>
      <w:r>
        <w:rPr>
          <w:rFonts w:hint="eastAsia"/>
          <w:sz w:val="24"/>
        </w:rPr>
        <w:t>（18）</w:t>
      </w:r>
      <w:r>
        <w:rPr>
          <w:sz w:val="24"/>
        </w:rPr>
        <w:t>扰乱评标现场秩序，无理取闹，恶意诽谤的；</w:t>
      </w:r>
    </w:p>
    <w:p>
      <w:pPr>
        <w:spacing w:line="560" w:lineRule="exact"/>
        <w:ind w:firstLine="495"/>
        <w:rPr>
          <w:sz w:val="24"/>
        </w:rPr>
      </w:pPr>
      <w:r>
        <w:rPr>
          <w:rFonts w:hint="eastAsia"/>
          <w:sz w:val="24"/>
        </w:rPr>
        <w:t>（19）有下列情形之一的，视为投标人串通投标，其投标无效：</w:t>
      </w:r>
    </w:p>
    <w:p>
      <w:pPr>
        <w:pStyle w:val="59"/>
        <w:numPr>
          <w:ilvl w:val="0"/>
          <w:numId w:val="20"/>
        </w:numPr>
        <w:spacing w:line="560" w:lineRule="exact"/>
        <w:ind w:firstLineChars="0"/>
        <w:rPr>
          <w:sz w:val="24"/>
        </w:rPr>
      </w:pPr>
      <w:r>
        <w:rPr>
          <w:rFonts w:hint="eastAsia"/>
          <w:sz w:val="24"/>
        </w:rPr>
        <w:t>不同投标人的投标文件由同一单位或者个人编制；</w:t>
      </w:r>
    </w:p>
    <w:p>
      <w:pPr>
        <w:pStyle w:val="59"/>
        <w:numPr>
          <w:ilvl w:val="0"/>
          <w:numId w:val="20"/>
        </w:numPr>
        <w:spacing w:line="560" w:lineRule="exact"/>
        <w:ind w:firstLineChars="0"/>
        <w:rPr>
          <w:sz w:val="24"/>
        </w:rPr>
      </w:pPr>
      <w:r>
        <w:rPr>
          <w:rFonts w:hint="eastAsia"/>
          <w:sz w:val="24"/>
        </w:rPr>
        <w:t>不同投标人委托同一单位或者个人办理投标事宜；</w:t>
      </w:r>
    </w:p>
    <w:p>
      <w:pPr>
        <w:pStyle w:val="59"/>
        <w:numPr>
          <w:ilvl w:val="0"/>
          <w:numId w:val="20"/>
        </w:numPr>
        <w:spacing w:line="560" w:lineRule="exact"/>
        <w:ind w:firstLineChars="0"/>
        <w:rPr>
          <w:sz w:val="24"/>
        </w:rPr>
      </w:pPr>
      <w:r>
        <w:rPr>
          <w:rFonts w:hint="eastAsia"/>
          <w:sz w:val="24"/>
        </w:rPr>
        <w:t>不同投标人的投标文件载明的项目管理成员或者联系人员为同一人；</w:t>
      </w:r>
    </w:p>
    <w:p>
      <w:pPr>
        <w:pStyle w:val="59"/>
        <w:numPr>
          <w:ilvl w:val="0"/>
          <w:numId w:val="20"/>
        </w:numPr>
        <w:spacing w:line="560" w:lineRule="exact"/>
        <w:ind w:firstLineChars="0"/>
        <w:rPr>
          <w:sz w:val="24"/>
        </w:rPr>
      </w:pPr>
      <w:r>
        <w:rPr>
          <w:rFonts w:hint="eastAsia"/>
          <w:sz w:val="24"/>
        </w:rPr>
        <w:t>不同投标人的投标文件异常一致或者投标报价呈规律性差异；</w:t>
      </w:r>
    </w:p>
    <w:p>
      <w:pPr>
        <w:pStyle w:val="59"/>
        <w:numPr>
          <w:ilvl w:val="0"/>
          <w:numId w:val="20"/>
        </w:numPr>
        <w:spacing w:line="560" w:lineRule="exact"/>
        <w:ind w:firstLineChars="0"/>
        <w:rPr>
          <w:sz w:val="24"/>
        </w:rPr>
      </w:pPr>
      <w:r>
        <w:rPr>
          <w:rFonts w:hint="eastAsia"/>
          <w:sz w:val="24"/>
        </w:rPr>
        <w:t>不同投标人的投标文件相互混装；</w:t>
      </w:r>
    </w:p>
    <w:p>
      <w:pPr>
        <w:pStyle w:val="59"/>
        <w:numPr>
          <w:ilvl w:val="0"/>
          <w:numId w:val="20"/>
        </w:numPr>
        <w:spacing w:line="560" w:lineRule="exact"/>
        <w:ind w:firstLineChars="0"/>
        <w:rPr>
          <w:sz w:val="24"/>
        </w:rPr>
      </w:pPr>
      <w:r>
        <w:rPr>
          <w:rFonts w:hint="eastAsia"/>
          <w:sz w:val="24"/>
        </w:rPr>
        <w:t>不同投标人的投标保证金从同一单位或者个人的账户转出。</w:t>
      </w:r>
    </w:p>
    <w:p>
      <w:pPr>
        <w:spacing w:line="560" w:lineRule="exact"/>
        <w:ind w:left="495"/>
        <w:rPr>
          <w:sz w:val="24"/>
        </w:rPr>
      </w:pPr>
      <w:r>
        <w:rPr>
          <w:rFonts w:hint="eastAsia"/>
          <w:sz w:val="24"/>
        </w:rPr>
        <w:t>（20）</w:t>
      </w:r>
      <w:r>
        <w:rPr>
          <w:sz w:val="24"/>
        </w:rPr>
        <w:t>法律法规等规定的其他投标无效的情形</w:t>
      </w:r>
      <w:r>
        <w:rPr>
          <w:rFonts w:hint="eastAsia"/>
          <w:sz w:val="24"/>
        </w:rPr>
        <w:t>。</w:t>
      </w:r>
    </w:p>
    <w:p>
      <w:pPr>
        <w:spacing w:line="560" w:lineRule="exact"/>
        <w:rPr>
          <w:sz w:val="24"/>
        </w:rPr>
      </w:pPr>
      <w:r>
        <w:rPr>
          <w:sz w:val="24"/>
        </w:rPr>
        <w:t xml:space="preserve">    26.5 评标委员会对确定为实质上响应的投标进行审核，看其是否有计算上或累加上的算术错误，修改错误的原则如下：</w:t>
      </w:r>
    </w:p>
    <w:p>
      <w:pPr>
        <w:spacing w:line="560" w:lineRule="exact"/>
        <w:ind w:firstLine="422" w:firstLineChars="176"/>
        <w:rPr>
          <w:sz w:val="24"/>
        </w:rPr>
      </w:pPr>
      <w:r>
        <w:rPr>
          <w:rFonts w:hint="eastAsia"/>
          <w:sz w:val="24"/>
        </w:rPr>
        <w:t>（一）投标文件中开标一览表（报价表）内容与投标文件中相应内容不一致的，以开标一览表（报价表）为准；</w:t>
      </w:r>
    </w:p>
    <w:p>
      <w:pPr>
        <w:spacing w:line="560" w:lineRule="exact"/>
        <w:ind w:firstLine="422" w:firstLineChars="176"/>
        <w:rPr>
          <w:sz w:val="24"/>
        </w:rPr>
      </w:pPr>
      <w:r>
        <w:rPr>
          <w:rFonts w:hint="eastAsia"/>
          <w:sz w:val="24"/>
        </w:rPr>
        <w:t>（二）大写金额和小写金额不一致的，以大写金额为准；</w:t>
      </w:r>
    </w:p>
    <w:p>
      <w:pPr>
        <w:spacing w:line="560" w:lineRule="exact"/>
        <w:ind w:firstLine="422" w:firstLineChars="176"/>
        <w:rPr>
          <w:sz w:val="24"/>
        </w:rPr>
      </w:pPr>
      <w:r>
        <w:rPr>
          <w:rFonts w:hint="eastAsia"/>
          <w:sz w:val="24"/>
        </w:rPr>
        <w:t>（三）单价金额小数点或者百分比有明显错位的，以开标一览表的总价为准，并修改单价；</w:t>
      </w:r>
    </w:p>
    <w:p>
      <w:pPr>
        <w:spacing w:line="560" w:lineRule="exact"/>
        <w:ind w:firstLine="422" w:firstLineChars="176"/>
        <w:rPr>
          <w:sz w:val="24"/>
        </w:rPr>
      </w:pPr>
      <w:r>
        <w:rPr>
          <w:rFonts w:hint="eastAsia"/>
          <w:sz w:val="24"/>
        </w:rPr>
        <w:t>（四）总价金额与按单价汇总金额不一致的，以单价金额计算结果为准。</w:t>
      </w:r>
    </w:p>
    <w:p>
      <w:pPr>
        <w:spacing w:line="560" w:lineRule="exact"/>
        <w:ind w:firstLine="422" w:firstLineChars="176"/>
        <w:rPr>
          <w:sz w:val="24"/>
        </w:rPr>
      </w:pPr>
      <w:r>
        <w:rPr>
          <w:rFonts w:hint="eastAsia"/>
          <w:sz w:val="24"/>
        </w:rPr>
        <w:t>同时出现两种以上不一致的，按照前款规定的顺序修正。修正后的报价按照本部分第27.2条的规定，经投标人确认后产生约束力，投标人不确认的，其投标无效。</w:t>
      </w:r>
    </w:p>
    <w:p>
      <w:pPr>
        <w:spacing w:line="560" w:lineRule="exact"/>
        <w:ind w:firstLine="422" w:firstLineChars="176"/>
        <w:rPr>
          <w:sz w:val="24"/>
        </w:rPr>
      </w:pPr>
      <w:r>
        <w:rPr>
          <w:sz w:val="24"/>
        </w:rPr>
        <w:t>26.6对不同文字文本投标文件的解释发生异议的，以中文文本为准。</w:t>
      </w:r>
    </w:p>
    <w:p>
      <w:pPr>
        <w:spacing w:line="560" w:lineRule="exact"/>
        <w:ind w:firstLine="480"/>
        <w:rPr>
          <w:sz w:val="24"/>
        </w:rPr>
      </w:pPr>
      <w:r>
        <w:rPr>
          <w:sz w:val="24"/>
        </w:rPr>
        <w:t>26.7评标委员会将允许投标人修改投标中不构成重大偏离的微小的、非正规、不一致或不规则的地方，但这些修改不能影响其它投标人的名次排列。</w:t>
      </w:r>
    </w:p>
    <w:p>
      <w:pPr>
        <w:spacing w:line="560" w:lineRule="exact"/>
        <w:ind w:firstLine="480"/>
        <w:rPr>
          <w:sz w:val="24"/>
        </w:rPr>
      </w:pPr>
      <w:r>
        <w:rPr>
          <w:sz w:val="24"/>
        </w:rPr>
        <w:t>26.8</w:t>
      </w:r>
      <w:r>
        <w:rPr>
          <w:rFonts w:hint="eastAsia"/>
          <w:sz w:val="24"/>
        </w:rPr>
        <w:t>如果项目分多包进行评审，则按照第一包评审结束后进行第二包评审的顺序进行，以此类推。</w:t>
      </w:r>
    </w:p>
    <w:p>
      <w:pPr>
        <w:spacing w:line="560" w:lineRule="exact"/>
        <w:ind w:firstLine="480"/>
        <w:rPr>
          <w:sz w:val="24"/>
        </w:rPr>
      </w:pPr>
      <w:r>
        <w:rPr>
          <w:rFonts w:hint="eastAsia"/>
          <w:sz w:val="24"/>
        </w:rPr>
        <w:t>26.9评标委员会认为投标人的报价明显低于其他通过符合性审查投标人的报价，有可能影响产品质量或者不能诚信履约的，应要求其在评标现场合理的时间内提供书面说明，必要时提交相关证明材料；投标人不能证明其报价合理性的，评标委员会应将其作为无效投标处理。</w:t>
      </w:r>
    </w:p>
    <w:p>
      <w:pPr>
        <w:spacing w:line="560" w:lineRule="exact"/>
        <w:ind w:firstLine="480"/>
        <w:rPr>
          <w:rFonts w:ascii="宋体" w:hAnsi="宋体" w:cs="Arial"/>
          <w:sz w:val="24"/>
          <w:szCs w:val="24"/>
        </w:rPr>
      </w:pPr>
      <w:r>
        <w:rPr>
          <w:rFonts w:hint="eastAsia"/>
          <w:sz w:val="24"/>
        </w:rPr>
        <w:t>26.10</w:t>
      </w:r>
      <w:r>
        <w:rPr>
          <w:sz w:val="24"/>
        </w:rPr>
        <w:t>投标文件内容无法辨认的，包括盖章不清楚、印刷不清楚、字迹模糊等情形的，相关内容的有效性和真实性不予认定，</w:t>
      </w:r>
      <w:r>
        <w:rPr>
          <w:rFonts w:hint="eastAsia"/>
          <w:sz w:val="24"/>
        </w:rPr>
        <w:t>评</w:t>
      </w:r>
      <w:r>
        <w:rPr>
          <w:rFonts w:hint="eastAsia" w:ascii="宋体" w:hAnsi="宋体" w:cs="宋体"/>
          <w:sz w:val="24"/>
          <w:szCs w:val="24"/>
        </w:rPr>
        <w:t>标委员会</w:t>
      </w:r>
      <w:r>
        <w:rPr>
          <w:rFonts w:ascii="宋体" w:hAnsi="宋体" w:cs="宋体"/>
          <w:sz w:val="24"/>
          <w:szCs w:val="24"/>
        </w:rPr>
        <w:t>依照评审原则进行评定。</w:t>
      </w:r>
    </w:p>
    <w:p>
      <w:pPr>
        <w:spacing w:line="560" w:lineRule="exact"/>
        <w:rPr>
          <w:sz w:val="24"/>
        </w:rPr>
      </w:pPr>
      <w:r>
        <w:rPr>
          <w:sz w:val="24"/>
        </w:rPr>
        <w:t>27. 投标文件的澄清</w:t>
      </w:r>
    </w:p>
    <w:p>
      <w:pPr>
        <w:spacing w:line="560" w:lineRule="exact"/>
        <w:ind w:firstLine="422" w:firstLineChars="176"/>
        <w:rPr>
          <w:sz w:val="24"/>
        </w:rPr>
      </w:pPr>
      <w:r>
        <w:rPr>
          <w:sz w:val="24"/>
        </w:rPr>
        <w:t>27.1澄清有关问题。为了有助于对投标文件进行审查、评估和比较，评标委员会有权要求投标人</w:t>
      </w:r>
      <w:r>
        <w:rPr>
          <w:rFonts w:hint="eastAsia"/>
          <w:sz w:val="24"/>
        </w:rPr>
        <w:t>对于投标文件中含义不明确、同类问题表述不一致或者有明显文字和计算错误的内容，以书面形式要求投标人作出必要的澄清、说明或者补正。</w:t>
      </w:r>
    </w:p>
    <w:p>
      <w:pPr>
        <w:spacing w:line="560" w:lineRule="exact"/>
        <w:ind w:firstLine="495"/>
        <w:rPr>
          <w:sz w:val="24"/>
        </w:rPr>
      </w:pPr>
      <w:r>
        <w:rPr>
          <w:sz w:val="24"/>
        </w:rPr>
        <w:t>27.2</w:t>
      </w:r>
      <w:r>
        <w:rPr>
          <w:rFonts w:hint="eastAsia"/>
          <w:sz w:val="24"/>
        </w:rPr>
        <w:t>投标人的澄清、说明或者补正应当采用书面形式，并加盖公章，或者由法定代表人或其授权的代表签字。投标人的澄清、说明或者补正</w:t>
      </w:r>
      <w:r>
        <w:rPr>
          <w:sz w:val="24"/>
        </w:rPr>
        <w:t>应在规定的时间内完成，并</w:t>
      </w:r>
      <w:r>
        <w:rPr>
          <w:rFonts w:hint="eastAsia"/>
          <w:sz w:val="24"/>
        </w:rPr>
        <w:t>不得超出投标文件的范围或者改变投标文件的实质性内容。</w:t>
      </w:r>
    </w:p>
    <w:p>
      <w:pPr>
        <w:spacing w:line="560" w:lineRule="exact"/>
        <w:ind w:firstLine="495"/>
        <w:rPr>
          <w:sz w:val="24"/>
        </w:rPr>
      </w:pPr>
      <w:r>
        <w:rPr>
          <w:sz w:val="24"/>
        </w:rPr>
        <w:t>27.3澄清文件将作为投标文件的一部分，与投标文件具有同等的法律效力。</w:t>
      </w:r>
    </w:p>
    <w:p>
      <w:pPr>
        <w:spacing w:line="560" w:lineRule="exact"/>
        <w:rPr>
          <w:sz w:val="24"/>
        </w:rPr>
      </w:pPr>
      <w:r>
        <w:rPr>
          <w:sz w:val="24"/>
        </w:rPr>
        <w:t>28. 投标的评估和比较</w:t>
      </w:r>
    </w:p>
    <w:p>
      <w:pPr>
        <w:spacing w:line="560" w:lineRule="exact"/>
        <w:rPr>
          <w:sz w:val="24"/>
        </w:rPr>
      </w:pPr>
      <w:r>
        <w:rPr>
          <w:sz w:val="24"/>
        </w:rPr>
        <w:t xml:space="preserve">    </w:t>
      </w:r>
      <w:r>
        <w:rPr>
          <w:rFonts w:hint="eastAsia"/>
          <w:sz w:val="24"/>
        </w:rPr>
        <w:t>评标委员会应当按照招标文件中规定的评标方法和标准，对符合性审查合格的投标文件进行商务和技术评估，综合比较与评价。</w:t>
      </w:r>
    </w:p>
    <w:p>
      <w:pPr>
        <w:spacing w:line="560" w:lineRule="exact"/>
        <w:rPr>
          <w:sz w:val="24"/>
        </w:rPr>
      </w:pPr>
      <w:r>
        <w:rPr>
          <w:sz w:val="24"/>
        </w:rPr>
        <w:t>29. 评标原则和评标方法</w:t>
      </w:r>
    </w:p>
    <w:p>
      <w:pPr>
        <w:spacing w:line="560" w:lineRule="exact"/>
        <w:ind w:firstLine="450"/>
        <w:rPr>
          <w:sz w:val="24"/>
        </w:rPr>
      </w:pPr>
      <w:r>
        <w:rPr>
          <w:sz w:val="24"/>
        </w:rPr>
        <w:t>29.1 评标原则</w:t>
      </w:r>
    </w:p>
    <w:p>
      <w:pPr>
        <w:spacing w:line="560" w:lineRule="exact"/>
        <w:ind w:firstLine="240" w:firstLineChars="100"/>
        <w:rPr>
          <w:sz w:val="24"/>
        </w:rPr>
      </w:pPr>
      <w:r>
        <w:rPr>
          <w:sz w:val="24"/>
        </w:rPr>
        <w:t>（1）评标委员会应当按照客观、公正、审慎的原则，根据招标文件规定的评审程序、评审方法和评审标准进行独立评审。</w:t>
      </w:r>
    </w:p>
    <w:p>
      <w:pPr>
        <w:spacing w:line="560" w:lineRule="exact"/>
        <w:ind w:firstLine="240" w:firstLineChars="100"/>
        <w:rPr>
          <w:sz w:val="24"/>
        </w:rPr>
      </w:pPr>
      <w:r>
        <w:rPr>
          <w:sz w:val="24"/>
        </w:rPr>
        <w:t>（2）</w:t>
      </w:r>
      <w:r>
        <w:rPr>
          <w:rFonts w:hint="eastAsia"/>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sz w:val="24"/>
        </w:rPr>
        <w:t>。</w:t>
      </w:r>
    </w:p>
    <w:p>
      <w:pPr>
        <w:spacing w:line="560" w:lineRule="exact"/>
        <w:ind w:firstLine="240" w:firstLineChars="100"/>
        <w:rPr>
          <w:sz w:val="24"/>
        </w:rPr>
      </w:pPr>
      <w:r>
        <w:rPr>
          <w:sz w:val="24"/>
        </w:rPr>
        <w:t>（3）对招标文件中描述有歧义或前后不一致的地方，评标委员会有权进行评判，但对同一条款的评判应适用于每个投标人。</w:t>
      </w:r>
    </w:p>
    <w:p>
      <w:pPr>
        <w:spacing w:line="560" w:lineRule="exact"/>
        <w:ind w:firstLine="495"/>
        <w:rPr>
          <w:sz w:val="24"/>
        </w:rPr>
      </w:pPr>
      <w:r>
        <w:rPr>
          <w:sz w:val="24"/>
        </w:rPr>
        <w:t>29.2评标方法</w:t>
      </w:r>
    </w:p>
    <w:p>
      <w:pPr>
        <w:spacing w:line="560" w:lineRule="exact"/>
        <w:ind w:firstLine="495"/>
        <w:rPr>
          <w:sz w:val="24"/>
        </w:rPr>
      </w:pPr>
      <w:r>
        <w:rPr>
          <w:sz w:val="24"/>
        </w:rPr>
        <w:t>根据项目的实际情况，分别可采用下列评标方法：</w:t>
      </w:r>
    </w:p>
    <w:p>
      <w:pPr>
        <w:spacing w:line="560" w:lineRule="exact"/>
        <w:ind w:firstLine="495"/>
        <w:rPr>
          <w:sz w:val="24"/>
        </w:rPr>
      </w:pPr>
      <w:r>
        <w:rPr>
          <w:sz w:val="24"/>
        </w:rPr>
        <w:t>（1）最低评标价法，</w:t>
      </w:r>
      <w:r>
        <w:rPr>
          <w:rFonts w:hint="eastAsia"/>
          <w:sz w:val="24"/>
        </w:rPr>
        <w:t>是指投标文件满足招标文件全部实质性要求且投标报价最低的投标人为中标候选人的评标方法。</w:t>
      </w:r>
    </w:p>
    <w:p>
      <w:pPr>
        <w:tabs>
          <w:tab w:val="left" w:pos="1105"/>
        </w:tabs>
        <w:spacing w:line="560" w:lineRule="exact"/>
        <w:ind w:firstLine="480" w:firstLineChars="200"/>
        <w:rPr>
          <w:sz w:val="24"/>
        </w:rPr>
      </w:pPr>
      <w:r>
        <w:rPr>
          <w:sz w:val="24"/>
        </w:rPr>
        <w:t>（2）综合评分法，</w:t>
      </w:r>
      <w:r>
        <w:rPr>
          <w:rFonts w:hint="eastAsia"/>
          <w:sz w:val="24"/>
        </w:rPr>
        <w:t>是指投标文件满足招标文件全部实质性要求且按照评审因素的量化指标评审得分最高的投标人为中标候选人的评标方法。</w:t>
      </w:r>
    </w:p>
    <w:p>
      <w:pPr>
        <w:tabs>
          <w:tab w:val="left" w:pos="1105"/>
        </w:tabs>
        <w:spacing w:line="560" w:lineRule="exact"/>
        <w:ind w:firstLine="480" w:firstLineChars="200"/>
        <w:rPr>
          <w:sz w:val="24"/>
        </w:rPr>
      </w:pPr>
      <w:r>
        <w:rPr>
          <w:sz w:val="24"/>
        </w:rPr>
        <w:t>综合评分的主要因素是：</w:t>
      </w:r>
      <w:r>
        <w:rPr>
          <w:rFonts w:hint="eastAsia"/>
          <w:sz w:val="24"/>
        </w:rPr>
        <w:t>投标</w:t>
      </w:r>
      <w:r>
        <w:rPr>
          <w:sz w:val="24"/>
        </w:rPr>
        <w:t>报价</w:t>
      </w:r>
      <w:r>
        <w:rPr>
          <w:rFonts w:hint="eastAsia"/>
          <w:sz w:val="24"/>
        </w:rPr>
        <w:t>、</w:t>
      </w:r>
      <w:r>
        <w:rPr>
          <w:sz w:val="24"/>
        </w:rPr>
        <w:t>技术或者服务水平</w:t>
      </w:r>
      <w:r>
        <w:rPr>
          <w:rFonts w:hint="eastAsia"/>
          <w:sz w:val="24"/>
        </w:rPr>
        <w:t>、</w:t>
      </w:r>
      <w:r>
        <w:rPr>
          <w:sz w:val="24"/>
        </w:rPr>
        <w:t>履约能力</w:t>
      </w:r>
      <w:r>
        <w:rPr>
          <w:rFonts w:hint="eastAsia"/>
          <w:sz w:val="24"/>
        </w:rPr>
        <w:t>、</w:t>
      </w:r>
      <w:r>
        <w:rPr>
          <w:sz w:val="24"/>
        </w:rPr>
        <w:t>售后服务</w:t>
      </w:r>
      <w:r>
        <w:rPr>
          <w:rFonts w:hint="eastAsia"/>
          <w:sz w:val="24"/>
        </w:rPr>
        <w:t>、</w:t>
      </w:r>
      <w:r>
        <w:rPr>
          <w:sz w:val="24"/>
        </w:rPr>
        <w:t>对招标文件的响应程度，以及相应的比重或者权值等。上述因素根据项目情况在招标文件中明确。</w:t>
      </w:r>
    </w:p>
    <w:p>
      <w:pPr>
        <w:tabs>
          <w:tab w:val="left" w:pos="1105"/>
        </w:tabs>
        <w:spacing w:line="560" w:lineRule="exact"/>
        <w:ind w:firstLine="480" w:firstLineChars="200"/>
        <w:rPr>
          <w:sz w:val="24"/>
        </w:rPr>
      </w:pPr>
      <w:r>
        <w:rPr>
          <w:sz w:val="24"/>
        </w:rPr>
        <w:t>评标时，评标委员会各成员应当独立对每个有效投标人的投标文件进行评价</w:t>
      </w:r>
      <w:r>
        <w:rPr>
          <w:rFonts w:hint="eastAsia"/>
          <w:sz w:val="24"/>
        </w:rPr>
        <w:t>，并</w:t>
      </w:r>
      <w:r>
        <w:rPr>
          <w:sz w:val="24"/>
        </w:rPr>
        <w:t>汇总每个投标人的得分：</w:t>
      </w:r>
    </w:p>
    <w:p>
      <w:pPr>
        <w:tabs>
          <w:tab w:val="left" w:pos="1105"/>
        </w:tabs>
        <w:spacing w:line="560" w:lineRule="exact"/>
        <w:ind w:firstLine="480" w:firstLineChars="200"/>
        <w:rPr>
          <w:sz w:val="24"/>
        </w:rPr>
      </w:pPr>
      <w:r>
        <w:rPr>
          <w:rFonts w:hint="eastAsia"/>
          <w:sz w:val="24"/>
        </w:rPr>
        <w:t>价格分应当采用低价优先法计算，即满足招标文件要求且投标价格最低的投标报价为评标基准价，其价格分为满分。其他投标人的价格分统一按照下列公式计算：</w:t>
      </w:r>
    </w:p>
    <w:p>
      <w:pPr>
        <w:tabs>
          <w:tab w:val="left" w:pos="1105"/>
        </w:tabs>
        <w:spacing w:line="560" w:lineRule="exact"/>
        <w:ind w:firstLine="480" w:firstLineChars="200"/>
        <w:rPr>
          <w:sz w:val="24"/>
        </w:rPr>
      </w:pPr>
      <w:r>
        <w:rPr>
          <w:rFonts w:hint="eastAsia"/>
          <w:sz w:val="24"/>
        </w:rPr>
        <w:t>投标报价得分=(评标基准价／投标报价)×100</w:t>
      </w:r>
    </w:p>
    <w:p>
      <w:pPr>
        <w:tabs>
          <w:tab w:val="left" w:pos="1105"/>
        </w:tabs>
        <w:spacing w:line="560" w:lineRule="exact"/>
        <w:ind w:firstLine="480" w:firstLineChars="200"/>
        <w:rPr>
          <w:sz w:val="24"/>
        </w:rPr>
      </w:pPr>
      <w:r>
        <w:rPr>
          <w:rFonts w:hint="eastAsia"/>
          <w:sz w:val="24"/>
        </w:rPr>
        <w:t>评标总得分＝F1×A1＋F2×A2＋……＋Fn×An</w:t>
      </w:r>
    </w:p>
    <w:p>
      <w:pPr>
        <w:tabs>
          <w:tab w:val="left" w:pos="1105"/>
        </w:tabs>
        <w:spacing w:line="560" w:lineRule="exact"/>
        <w:ind w:firstLine="480" w:firstLineChars="200"/>
        <w:rPr>
          <w:sz w:val="24"/>
        </w:rPr>
      </w:pPr>
      <w:r>
        <w:rPr>
          <w:rFonts w:hint="eastAsia"/>
          <w:sz w:val="24"/>
        </w:rPr>
        <w:t>F1、F2……Fn分别为各项评审因素的得分；</w:t>
      </w:r>
    </w:p>
    <w:p>
      <w:pPr>
        <w:tabs>
          <w:tab w:val="left" w:pos="1105"/>
        </w:tabs>
        <w:spacing w:line="560" w:lineRule="exact"/>
        <w:ind w:firstLine="480" w:firstLineChars="200"/>
        <w:rPr>
          <w:sz w:val="24"/>
        </w:rPr>
      </w:pPr>
      <w:r>
        <w:rPr>
          <w:rFonts w:hint="eastAsia"/>
          <w:sz w:val="24"/>
        </w:rPr>
        <w:t>A1、A2、……An 分别为各项评审因素所占的权重(A1＋A2＋……＋An＝1)。</w:t>
      </w:r>
    </w:p>
    <w:p>
      <w:pPr>
        <w:tabs>
          <w:tab w:val="left" w:pos="1105"/>
        </w:tabs>
        <w:spacing w:line="560" w:lineRule="exact"/>
        <w:ind w:firstLine="422" w:firstLineChars="176"/>
        <w:rPr>
          <w:sz w:val="24"/>
        </w:rPr>
      </w:pPr>
      <w:r>
        <w:rPr>
          <w:rFonts w:hint="eastAsia"/>
          <w:sz w:val="24"/>
        </w:rPr>
        <w:t>因落实政府采购政策进行价格调整的，以调整后的价格计算评标基准价和投标报价。</w:t>
      </w:r>
    </w:p>
    <w:p>
      <w:pPr>
        <w:tabs>
          <w:tab w:val="left" w:pos="1105"/>
        </w:tabs>
        <w:spacing w:line="560" w:lineRule="exact"/>
        <w:ind w:firstLine="422" w:firstLineChars="176"/>
        <w:rPr>
          <w:sz w:val="24"/>
        </w:rPr>
      </w:pPr>
      <w:r>
        <w:rPr>
          <w:sz w:val="24"/>
        </w:rPr>
        <w:t>29.3根据《政府采购货物和服务招标投标管理办法》（部长令第</w:t>
      </w:r>
      <w:r>
        <w:rPr>
          <w:rFonts w:hint="eastAsia"/>
          <w:sz w:val="24"/>
        </w:rPr>
        <w:t>87</w:t>
      </w:r>
      <w:r>
        <w:rPr>
          <w:sz w:val="24"/>
        </w:rPr>
        <w:t>号）第43条规定，</w:t>
      </w:r>
      <w:r>
        <w:rPr>
          <w:rFonts w:hint="eastAsia"/>
          <w:sz w:val="24"/>
        </w:rPr>
        <w:t>公开招标数额标准以上的采购项目，投标截止后投标人不足3家或者通过资格审查或符合性审查的投标人不足3家的，除采购任务取消情形外，按照以下方式处理：</w:t>
      </w:r>
    </w:p>
    <w:p>
      <w:pPr>
        <w:tabs>
          <w:tab w:val="left" w:pos="1105"/>
        </w:tabs>
        <w:spacing w:line="560" w:lineRule="exact"/>
        <w:ind w:firstLine="422" w:firstLineChars="176"/>
        <w:rPr>
          <w:sz w:val="24"/>
        </w:rPr>
      </w:pPr>
      <w:r>
        <w:rPr>
          <w:rFonts w:hint="eastAsia"/>
          <w:sz w:val="24"/>
        </w:rPr>
        <w:t>（一）招标文件存在不合理条款或者招标程序不符合规定的，采购人、采购代理机构改正后依法重新招标；</w:t>
      </w:r>
    </w:p>
    <w:p>
      <w:pPr>
        <w:tabs>
          <w:tab w:val="left" w:pos="1105"/>
        </w:tabs>
        <w:spacing w:line="560" w:lineRule="exact"/>
        <w:ind w:firstLine="422" w:firstLineChars="176"/>
        <w:rPr>
          <w:sz w:val="24"/>
        </w:rPr>
      </w:pPr>
      <w:r>
        <w:rPr>
          <w:rFonts w:hint="eastAsia"/>
          <w:sz w:val="24"/>
        </w:rPr>
        <w:t>（二）招标文件没有不合理条款、招标程序符合规定，需要采用其他采购人式采购的，采购人应当依法报财政部门批准。</w:t>
      </w:r>
      <w:r>
        <w:rPr>
          <w:sz w:val="24"/>
        </w:rPr>
        <w:t xml:space="preserve"> </w:t>
      </w:r>
    </w:p>
    <w:p>
      <w:pPr>
        <w:tabs>
          <w:tab w:val="left" w:pos="1105"/>
        </w:tabs>
        <w:spacing w:line="560" w:lineRule="exact"/>
        <w:rPr>
          <w:sz w:val="24"/>
        </w:rPr>
      </w:pPr>
      <w:r>
        <w:rPr>
          <w:sz w:val="24"/>
        </w:rPr>
        <w:t>30 .保密及其他注意事项</w:t>
      </w:r>
    </w:p>
    <w:p>
      <w:pPr>
        <w:tabs>
          <w:tab w:val="left" w:pos="1105"/>
        </w:tabs>
        <w:spacing w:line="560" w:lineRule="exact"/>
        <w:ind w:firstLine="422" w:firstLineChars="176"/>
        <w:rPr>
          <w:sz w:val="24"/>
        </w:rPr>
      </w:pPr>
      <w:r>
        <w:rPr>
          <w:sz w:val="24"/>
        </w:rPr>
        <w:t>30.1在开标、投标期间，投标人不得向评标委员会成员询问评标情况，不得进行旨在影响评标结果的活动，否则将会导致其投标被拒绝。</w:t>
      </w:r>
    </w:p>
    <w:p>
      <w:pPr>
        <w:tabs>
          <w:tab w:val="left" w:pos="1105"/>
        </w:tabs>
        <w:spacing w:line="560" w:lineRule="exact"/>
        <w:ind w:firstLine="422" w:firstLineChars="176"/>
        <w:rPr>
          <w:sz w:val="24"/>
        </w:rPr>
      </w:pPr>
      <w:r>
        <w:rPr>
          <w:sz w:val="24"/>
        </w:rPr>
        <w:t>30.2投标人在开、评标过程中，如试图向采购代理机构施加任何影响，都将会导致其投标被拒绝。</w:t>
      </w:r>
    </w:p>
    <w:p>
      <w:pPr>
        <w:tabs>
          <w:tab w:val="left" w:pos="1105"/>
        </w:tabs>
        <w:spacing w:line="560" w:lineRule="exact"/>
        <w:ind w:firstLine="422" w:firstLineChars="176"/>
        <w:rPr>
          <w:sz w:val="24"/>
        </w:rPr>
      </w:pPr>
      <w:r>
        <w:rPr>
          <w:sz w:val="24"/>
        </w:rPr>
        <w:t>30.3为保证定标的公正性，在评标过程中，评标委员会成员不得与投标人私下交换意见。在开、评标期间及招标工作结束后，凡与评标情况有接触的任何人不得也不应将审查、澄清、评价和比较投标的有关资料以及中标推荐等评标情况向投标人或其它无关的人员透露。</w:t>
      </w:r>
    </w:p>
    <w:p>
      <w:pPr>
        <w:spacing w:line="560" w:lineRule="exact"/>
        <w:ind w:firstLine="495"/>
        <w:rPr>
          <w:sz w:val="24"/>
        </w:rPr>
      </w:pPr>
      <w:r>
        <w:rPr>
          <w:sz w:val="24"/>
        </w:rPr>
        <w:t>30.4不保证所有投标一定有中标结果，如出现招标后没有供应商或者经审查没有合格标的，将会出现全部落标的可能。</w:t>
      </w:r>
    </w:p>
    <w:p>
      <w:pPr>
        <w:spacing w:line="560" w:lineRule="exact"/>
        <w:ind w:firstLine="495"/>
        <w:rPr>
          <w:sz w:val="24"/>
        </w:rPr>
      </w:pPr>
      <w:r>
        <w:rPr>
          <w:rFonts w:hint="eastAsia"/>
          <w:sz w:val="24"/>
        </w:rPr>
        <w:t>30.5有关人员对评标情况以及在评标过程中获悉的国家秘密、商业秘密负有保密责任。</w:t>
      </w:r>
    </w:p>
    <w:p>
      <w:pPr>
        <w:spacing w:line="560" w:lineRule="exact"/>
        <w:ind w:firstLine="495"/>
        <w:jc w:val="center"/>
        <w:rPr>
          <w:sz w:val="24"/>
        </w:rPr>
      </w:pPr>
      <w:r>
        <w:rPr>
          <w:sz w:val="24"/>
        </w:rPr>
        <w:t>F   授予合同</w:t>
      </w:r>
    </w:p>
    <w:p>
      <w:pPr>
        <w:spacing w:line="560" w:lineRule="exact"/>
        <w:rPr>
          <w:sz w:val="24"/>
        </w:rPr>
      </w:pPr>
      <w:r>
        <w:rPr>
          <w:sz w:val="24"/>
        </w:rPr>
        <w:t>31.中标供应商的产生</w:t>
      </w:r>
    </w:p>
    <w:p>
      <w:pPr>
        <w:spacing w:line="560" w:lineRule="exact"/>
        <w:ind w:firstLine="495"/>
        <w:rPr>
          <w:sz w:val="24"/>
        </w:rPr>
      </w:pPr>
      <w:r>
        <w:rPr>
          <w:sz w:val="24"/>
        </w:rPr>
        <w:t>31.1 采购人可以事先授权评标委员会直接确定中标供应商。</w:t>
      </w:r>
    </w:p>
    <w:p>
      <w:pPr>
        <w:spacing w:line="560" w:lineRule="exact"/>
        <w:ind w:firstLine="495"/>
        <w:rPr>
          <w:sz w:val="24"/>
        </w:rPr>
      </w:pPr>
      <w:r>
        <w:rPr>
          <w:sz w:val="24"/>
        </w:rPr>
        <w:t>31.2采购人按照相关法律法规的规定和招标文件的要求确认中标供应商。</w:t>
      </w:r>
    </w:p>
    <w:p>
      <w:pPr>
        <w:spacing w:line="560" w:lineRule="exact"/>
        <w:rPr>
          <w:sz w:val="24"/>
        </w:rPr>
      </w:pPr>
      <w:r>
        <w:rPr>
          <w:sz w:val="24"/>
        </w:rPr>
        <w:t>32. 合同授予标准</w:t>
      </w:r>
    </w:p>
    <w:p>
      <w:pPr>
        <w:spacing w:line="560" w:lineRule="exact"/>
        <w:ind w:firstLine="495"/>
        <w:rPr>
          <w:sz w:val="24"/>
        </w:rPr>
      </w:pPr>
      <w:r>
        <w:rPr>
          <w:sz w:val="24"/>
        </w:rPr>
        <w:t>严格按照招标文件的要求和条件进行评标，择优定标。除第34条规定外，实质上响应招标文件且满足下列条件之一者为中标候选供应商：</w:t>
      </w:r>
    </w:p>
    <w:p>
      <w:pPr>
        <w:spacing w:line="560" w:lineRule="exact"/>
        <w:ind w:firstLine="495"/>
        <w:rPr>
          <w:sz w:val="24"/>
        </w:rPr>
      </w:pPr>
      <w:r>
        <w:rPr>
          <w:sz w:val="24"/>
        </w:rPr>
        <w:t>（1）采用最低评标价法的，</w:t>
      </w:r>
      <w:r>
        <w:rPr>
          <w:rFonts w:hint="eastAsia"/>
          <w:sz w:val="24"/>
        </w:rPr>
        <w:t>评标结果按投标报价由低到高顺序排列。投标报价相同的并列。投标文件满足招标文件全部实质性要求且投标报价最低的投标人为排名第一的中标候选人。</w:t>
      </w:r>
    </w:p>
    <w:p>
      <w:pPr>
        <w:spacing w:line="560" w:lineRule="exact"/>
        <w:ind w:firstLine="495"/>
        <w:rPr>
          <w:sz w:val="24"/>
        </w:rPr>
      </w:pPr>
      <w:r>
        <w:rPr>
          <w:sz w:val="24"/>
        </w:rPr>
        <w:t>（2）采用综合评分法的，</w:t>
      </w:r>
      <w:r>
        <w:rPr>
          <w:rFonts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sz w:val="24"/>
        </w:rPr>
        <w:t>。</w:t>
      </w:r>
    </w:p>
    <w:p>
      <w:pPr>
        <w:spacing w:line="560" w:lineRule="exact"/>
        <w:rPr>
          <w:sz w:val="24"/>
        </w:rPr>
      </w:pPr>
      <w:r>
        <w:rPr>
          <w:sz w:val="24"/>
        </w:rPr>
        <w:t>33.  中标通知</w:t>
      </w:r>
    </w:p>
    <w:p>
      <w:pPr>
        <w:tabs>
          <w:tab w:val="left" w:pos="0"/>
        </w:tabs>
        <w:spacing w:line="560" w:lineRule="exact"/>
        <w:ind w:firstLine="480"/>
        <w:rPr>
          <w:sz w:val="24"/>
        </w:rPr>
      </w:pPr>
      <w:r>
        <w:rPr>
          <w:sz w:val="24"/>
        </w:rPr>
        <w:t>33.1</w:t>
      </w:r>
      <w:r>
        <w:rPr>
          <w:rFonts w:hint="eastAsia"/>
          <w:sz w:val="24"/>
        </w:rPr>
        <w:t>采购人或者采购代理机构应当自中标人确定之日起2个工作日内，在省级以上财政部门指定的媒体上公告中标结果。在公告中标结果的同时，采购人或者采购代理机构应当向中标人发出中标通知书；对未通过资格审查的投标人，应当告知其未通过的原因；采用综合评分法评审的，还应当告知未中标人本人的评审得分与排序。</w:t>
      </w:r>
    </w:p>
    <w:p>
      <w:pPr>
        <w:tabs>
          <w:tab w:val="left" w:pos="0"/>
        </w:tabs>
        <w:spacing w:line="560" w:lineRule="exact"/>
        <w:ind w:firstLine="480"/>
        <w:rPr>
          <w:sz w:val="24"/>
        </w:rPr>
      </w:pPr>
      <w:r>
        <w:rPr>
          <w:sz w:val="24"/>
        </w:rPr>
        <w:t>33.2在投标有效期届满之前，采购代理机构将以书面形式发出《中标通知书》。《中标通知书》一经发出即发生法律效力。《中标通知书》是签订合同的依据，且为合同的组成部分。</w:t>
      </w:r>
      <w:r>
        <w:rPr>
          <w:rFonts w:hint="eastAsia"/>
          <w:sz w:val="24"/>
        </w:rPr>
        <w:t>采购人不得违法改变中标结果，中标人无正当理由不得放弃中标。</w:t>
      </w:r>
    </w:p>
    <w:p>
      <w:pPr>
        <w:spacing w:line="560" w:lineRule="exact"/>
        <w:rPr>
          <w:sz w:val="24"/>
        </w:rPr>
      </w:pPr>
      <w:r>
        <w:rPr>
          <w:sz w:val="24"/>
        </w:rPr>
        <w:t xml:space="preserve">    33.3</w:t>
      </w:r>
      <w:r>
        <w:rPr>
          <w:rFonts w:cs="Times New Roman" w:asciiTheme="minorEastAsia" w:hAnsiTheme="minorEastAsia"/>
          <w:sz w:val="24"/>
          <w:szCs w:val="24"/>
        </w:rPr>
        <w:t>中标供应商须于中标公告发布之日起两个工作日内到</w:t>
      </w:r>
      <w:r>
        <w:rPr>
          <w:rFonts w:hint="eastAsia" w:cs="Times New Roman" w:asciiTheme="minorEastAsia" w:hAnsiTheme="minorEastAsia"/>
          <w:sz w:val="24"/>
          <w:szCs w:val="24"/>
        </w:rPr>
        <w:t>代理机构</w:t>
      </w:r>
      <w:r>
        <w:rPr>
          <w:rFonts w:cs="Times New Roman" w:asciiTheme="minorEastAsia" w:hAnsiTheme="minorEastAsia"/>
          <w:sz w:val="24"/>
          <w:szCs w:val="24"/>
        </w:rPr>
        <w:t>领取中标通知书</w:t>
      </w:r>
      <w:r>
        <w:rPr>
          <w:rFonts w:hint="eastAsia" w:cs="Times New Roman" w:asciiTheme="minorEastAsia" w:hAnsiTheme="minorEastAsia"/>
          <w:sz w:val="24"/>
          <w:szCs w:val="24"/>
        </w:rPr>
        <w:t>。</w:t>
      </w:r>
      <w:r>
        <w:rPr>
          <w:sz w:val="24"/>
        </w:rPr>
        <w:t>采购代理机构在发出《中标通知书》的同时，按本须知第17条的规定退还未中标供应商的投标保证金。</w:t>
      </w:r>
    </w:p>
    <w:p>
      <w:pPr>
        <w:spacing w:line="560" w:lineRule="exact"/>
        <w:rPr>
          <w:sz w:val="24"/>
        </w:rPr>
      </w:pPr>
      <w:r>
        <w:rPr>
          <w:sz w:val="24"/>
        </w:rPr>
        <w:t>34. 签订合同</w:t>
      </w:r>
    </w:p>
    <w:p>
      <w:pPr>
        <w:spacing w:line="560" w:lineRule="exact"/>
        <w:ind w:firstLine="450"/>
        <w:rPr>
          <w:sz w:val="24"/>
        </w:rPr>
      </w:pPr>
      <w:r>
        <w:rPr>
          <w:sz w:val="24"/>
        </w:rPr>
        <w:t>34.1</w:t>
      </w:r>
      <w:r>
        <w:rPr>
          <w:rFonts w:hint="eastAsia"/>
          <w:sz w:val="24"/>
        </w:rPr>
        <w:t>采购人自中标通知书发出之日起30日内，按照招标文件和中标人投标文件的规定，与中标人签订书面合同。所签订的合同不得对招标文件确定的事项和中标人投标文件作实质性修改。</w:t>
      </w:r>
    </w:p>
    <w:p>
      <w:pPr>
        <w:spacing w:line="560" w:lineRule="exact"/>
        <w:ind w:firstLine="450"/>
        <w:rPr>
          <w:sz w:val="24"/>
        </w:rPr>
      </w:pPr>
      <w:r>
        <w:rPr>
          <w:sz w:val="24"/>
        </w:rPr>
        <w:t>34.2 招标文件、中标供应商的投标文件及其澄清文件等，均为签订合同的依据，且为合同的组成部分。</w:t>
      </w:r>
    </w:p>
    <w:p>
      <w:pPr>
        <w:spacing w:line="560" w:lineRule="exact"/>
        <w:ind w:firstLine="450"/>
        <w:rPr>
          <w:sz w:val="24"/>
        </w:rPr>
      </w:pPr>
      <w:r>
        <w:rPr>
          <w:sz w:val="24"/>
        </w:rPr>
        <w:t>34.3中标供应商拒绝与采购人签订合同的，采购人可以按照评审报告推荐的中标候选人名单排序，确定下一候选人为中标供应商，也可以重新开展政府采购活动。</w:t>
      </w:r>
    </w:p>
    <w:p>
      <w:pPr>
        <w:spacing w:line="560" w:lineRule="exact"/>
        <w:ind w:firstLine="450"/>
        <w:rPr>
          <w:sz w:val="24"/>
        </w:rPr>
      </w:pPr>
      <w:r>
        <w:rPr>
          <w:rFonts w:hint="eastAsia"/>
          <w:sz w:val="24"/>
        </w:rPr>
        <w:t>3</w:t>
      </w:r>
      <w:r>
        <w:rPr>
          <w:sz w:val="24"/>
        </w:rPr>
        <w:t>4.4</w:t>
      </w:r>
      <w:r>
        <w:rPr>
          <w:rFonts w:hint="eastAsia"/>
          <w:sz w:val="24"/>
        </w:rPr>
        <w:t>采购人应当自政府采购合同签订之日起2个工作日内，将政府采购合同在省级以上人民政府财政部门指定的媒体上公告，但政府采购合同中涉及国家秘密、商业秘密的内容除外。</w:t>
      </w:r>
    </w:p>
    <w:p>
      <w:pPr>
        <w:spacing w:line="560" w:lineRule="exact"/>
        <w:ind w:firstLine="480" w:firstLineChars="200"/>
        <w:rPr>
          <w:sz w:val="24"/>
        </w:rPr>
      </w:pPr>
      <w:r>
        <w:rPr>
          <w:rFonts w:hint="eastAsia" w:ascii="宋体" w:hAnsi="宋体" w:eastAsia="宋体" w:cs="Arial"/>
          <w:sz w:val="24"/>
          <w:szCs w:val="24"/>
        </w:rPr>
        <w:t>36.</w:t>
      </w:r>
      <w:r>
        <w:rPr>
          <w:sz w:val="24"/>
        </w:rPr>
        <w:t>履约保证金</w:t>
      </w:r>
    </w:p>
    <w:p>
      <w:pPr>
        <w:spacing w:line="560" w:lineRule="exact"/>
        <w:ind w:firstLine="450"/>
        <w:rPr>
          <w:sz w:val="24"/>
        </w:rPr>
      </w:pPr>
      <w:r>
        <w:rPr>
          <w:sz w:val="24"/>
        </w:rPr>
        <w:t>3</w:t>
      </w:r>
      <w:r>
        <w:rPr>
          <w:rFonts w:hint="eastAsia"/>
          <w:sz w:val="24"/>
        </w:rPr>
        <w:t>6</w:t>
      </w:r>
      <w:r>
        <w:rPr>
          <w:sz w:val="24"/>
        </w:rPr>
        <w:t>.1合同签订前，中标供应商须向采购人或采购代理机构提交</w:t>
      </w:r>
      <w:r>
        <w:rPr>
          <w:rFonts w:hint="eastAsia"/>
          <w:sz w:val="24"/>
        </w:rPr>
        <w:t>招标文件规定</w:t>
      </w:r>
      <w:r>
        <w:rPr>
          <w:sz w:val="24"/>
        </w:rPr>
        <w:t>的履约保证金，</w:t>
      </w:r>
      <w:r>
        <w:rPr>
          <w:rFonts w:hint="eastAsia"/>
          <w:sz w:val="24"/>
        </w:rPr>
        <w:t>履约保证金的有效期至货到、服务结束或工程完结</w:t>
      </w:r>
      <w:r>
        <w:rPr>
          <w:sz w:val="24"/>
        </w:rPr>
        <w:t>，并最终验收合格之日。</w:t>
      </w:r>
    </w:p>
    <w:p>
      <w:pPr>
        <w:spacing w:line="560" w:lineRule="exact"/>
        <w:rPr>
          <w:sz w:val="24"/>
        </w:rPr>
      </w:pPr>
      <w:r>
        <w:rPr>
          <w:sz w:val="24"/>
        </w:rPr>
        <w:t xml:space="preserve">    3</w:t>
      </w:r>
      <w:r>
        <w:rPr>
          <w:rFonts w:hint="eastAsia"/>
          <w:sz w:val="24"/>
        </w:rPr>
        <w:t>6</w:t>
      </w:r>
      <w:r>
        <w:rPr>
          <w:sz w:val="24"/>
        </w:rPr>
        <w:t>.2履约保证金应使用人民币，并采取任何一种方式提交：</w:t>
      </w:r>
      <w:r>
        <w:rPr>
          <w:rFonts w:hint="eastAsia"/>
          <w:sz w:val="24"/>
        </w:rPr>
        <w:t>支票、汇票、本票或者金融机构、担保机构出具的保函等非现金形式。</w:t>
      </w:r>
    </w:p>
    <w:p>
      <w:pPr>
        <w:spacing w:line="560" w:lineRule="exact"/>
        <w:rPr>
          <w:sz w:val="24"/>
        </w:rPr>
      </w:pPr>
      <w:r>
        <w:rPr>
          <w:sz w:val="24"/>
        </w:rPr>
        <w:t xml:space="preserve">    3</w:t>
      </w:r>
      <w:r>
        <w:rPr>
          <w:rFonts w:hint="eastAsia"/>
          <w:sz w:val="24"/>
        </w:rPr>
        <w:t>6</w:t>
      </w:r>
      <w:r>
        <w:rPr>
          <w:sz w:val="24"/>
        </w:rPr>
        <w:t>.3中标供应商自行承担与按规定提供履约保证金有关的全部费用。</w:t>
      </w:r>
    </w:p>
    <w:p>
      <w:pPr>
        <w:spacing w:line="560" w:lineRule="exact"/>
        <w:ind w:firstLine="495"/>
        <w:rPr>
          <w:sz w:val="24"/>
        </w:rPr>
      </w:pPr>
      <w:r>
        <w:rPr>
          <w:sz w:val="24"/>
        </w:rPr>
        <w:t>3</w:t>
      </w:r>
      <w:r>
        <w:rPr>
          <w:rFonts w:hint="eastAsia"/>
          <w:sz w:val="24"/>
        </w:rPr>
        <w:t>6</w:t>
      </w:r>
      <w:r>
        <w:rPr>
          <w:sz w:val="24"/>
        </w:rPr>
        <w:t>.4</w:t>
      </w:r>
      <w:r>
        <w:rPr>
          <w:rFonts w:hint="eastAsia"/>
          <w:sz w:val="24"/>
        </w:rPr>
        <w:t>采购人应当加强对中标人的履约管理，</w:t>
      </w:r>
      <w:r>
        <w:rPr>
          <w:sz w:val="24"/>
        </w:rPr>
        <w:t>如果中标供应商未能按合同规定履行其义务，采购人或采购代理机构有权没收履约保证金。</w:t>
      </w:r>
      <w:r>
        <w:rPr>
          <w:rFonts w:hint="eastAsia"/>
          <w:sz w:val="24"/>
        </w:rPr>
        <w:t>对于中标人违反采购合同约定的行为，采购人应当及时处理，依法追究其违约责任。</w:t>
      </w:r>
    </w:p>
    <w:p>
      <w:pPr>
        <w:spacing w:line="560" w:lineRule="exact"/>
        <w:rPr>
          <w:sz w:val="24"/>
        </w:rPr>
      </w:pPr>
      <w:r>
        <w:rPr>
          <w:sz w:val="24"/>
        </w:rPr>
        <w:t>3</w:t>
      </w:r>
      <w:r>
        <w:rPr>
          <w:rFonts w:hint="eastAsia"/>
          <w:sz w:val="24"/>
        </w:rPr>
        <w:t>7</w:t>
      </w:r>
      <w:r>
        <w:rPr>
          <w:sz w:val="24"/>
        </w:rPr>
        <w:t>.</w:t>
      </w:r>
      <w:r>
        <w:rPr>
          <w:rFonts w:hint="eastAsia"/>
          <w:sz w:val="24"/>
        </w:rPr>
        <w:t>撤销</w:t>
      </w:r>
      <w:r>
        <w:rPr>
          <w:sz w:val="24"/>
        </w:rPr>
        <w:t>投标文件</w:t>
      </w:r>
    </w:p>
    <w:p>
      <w:pPr>
        <w:spacing w:line="560" w:lineRule="exact"/>
        <w:ind w:firstLine="480" w:firstLineChars="200"/>
        <w:rPr>
          <w:sz w:val="24"/>
        </w:rPr>
      </w:pPr>
      <w:r>
        <w:rPr>
          <w:rFonts w:hint="eastAsia"/>
          <w:sz w:val="24"/>
        </w:rPr>
        <w:t>投标有效期内投标人撤销投标文件的，采购人或者采购代理机构可以不退还投标保证金。</w:t>
      </w:r>
    </w:p>
    <w:p>
      <w:pPr>
        <w:spacing w:line="560" w:lineRule="exact"/>
        <w:rPr>
          <w:sz w:val="24"/>
        </w:rPr>
      </w:pPr>
      <w:r>
        <w:rPr>
          <w:sz w:val="24"/>
        </w:rPr>
        <w:t>3</w:t>
      </w:r>
      <w:r>
        <w:rPr>
          <w:rFonts w:hint="eastAsia"/>
          <w:sz w:val="24"/>
        </w:rPr>
        <w:t>8</w:t>
      </w:r>
      <w:r>
        <w:rPr>
          <w:sz w:val="24"/>
        </w:rPr>
        <w:t>.合同转让</w:t>
      </w:r>
    </w:p>
    <w:p>
      <w:pPr>
        <w:tabs>
          <w:tab w:val="left" w:pos="1344"/>
        </w:tabs>
        <w:spacing w:line="560" w:lineRule="exact"/>
        <w:rPr>
          <w:sz w:val="24"/>
        </w:rPr>
      </w:pPr>
      <w:r>
        <w:rPr>
          <w:sz w:val="24"/>
        </w:rPr>
        <w:t xml:space="preserve">    3</w:t>
      </w:r>
      <w:r>
        <w:rPr>
          <w:rFonts w:hint="eastAsia"/>
          <w:sz w:val="24"/>
        </w:rPr>
        <w:t>8</w:t>
      </w:r>
      <w:r>
        <w:rPr>
          <w:sz w:val="24"/>
        </w:rPr>
        <w:t>.1</w:t>
      </w:r>
      <w:r>
        <w:rPr>
          <w:rFonts w:hint="eastAsia"/>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560" w:lineRule="exact"/>
        <w:rPr>
          <w:sz w:val="24"/>
        </w:rPr>
      </w:pPr>
      <w:r>
        <w:rPr>
          <w:rFonts w:hint="eastAsia"/>
          <w:sz w:val="24"/>
        </w:rPr>
        <w:t>39．关于质疑投诉</w:t>
      </w:r>
    </w:p>
    <w:p>
      <w:pPr>
        <w:spacing w:line="560" w:lineRule="exact"/>
        <w:ind w:firstLine="480" w:firstLineChars="200"/>
        <w:rPr>
          <w:sz w:val="24"/>
          <w:szCs w:val="24"/>
        </w:rPr>
      </w:pPr>
      <w:r>
        <w:rPr>
          <w:rFonts w:hint="eastAsia" w:cs="Times New Roman" w:asciiTheme="minorEastAsia" w:hAnsiTheme="minorEastAsia"/>
          <w:sz w:val="24"/>
          <w:szCs w:val="24"/>
        </w:rPr>
        <w:t>供应商认为采购文件、采购过程、中标或者成交结果使自己的权益受到损害的，</w:t>
      </w:r>
      <w:r>
        <w:rPr>
          <w:rFonts w:cs="Times New Roman" w:asciiTheme="minorEastAsia" w:hAnsiTheme="minorEastAsia"/>
          <w:sz w:val="24"/>
          <w:szCs w:val="24"/>
        </w:rPr>
        <w:t>可以按照《</w:t>
      </w:r>
      <w:r>
        <w:rPr>
          <w:rFonts w:hint="eastAsia" w:cs="Times New Roman" w:asciiTheme="minorEastAsia" w:hAnsiTheme="minorEastAsia"/>
          <w:sz w:val="24"/>
          <w:szCs w:val="24"/>
        </w:rPr>
        <w:t>政府采购质疑和投诉办法》（财政部令第94号）</w:t>
      </w:r>
      <w:r>
        <w:rPr>
          <w:rFonts w:cs="Times New Roman" w:asciiTheme="minorEastAsia" w:hAnsiTheme="minorEastAsia"/>
          <w:sz w:val="24"/>
          <w:szCs w:val="24"/>
        </w:rPr>
        <w:t>的规定提出质疑</w:t>
      </w:r>
      <w:r>
        <w:rPr>
          <w:rFonts w:hint="eastAsia" w:cs="Times New Roman" w:asciiTheme="minorEastAsia" w:hAnsiTheme="minorEastAsia"/>
          <w:sz w:val="24"/>
          <w:szCs w:val="24"/>
        </w:rPr>
        <w:t>。质疑供应商对采购人、采购代理机构的答复不满意，或者采购人、采购代理机构未在规定时间内作出答复的，可以按照《政府采购质疑和投诉办法》（财政部令第94号）的规定向财政部门提起投诉。</w:t>
      </w:r>
    </w:p>
    <w:p>
      <w:pPr>
        <w:jc w:val="center"/>
      </w:pPr>
      <w:bookmarkStart w:id="202" w:name="_Toc21925"/>
      <w:bookmarkStart w:id="203" w:name="_Toc443612335"/>
      <w:r>
        <w:rPr>
          <w:rFonts w:hint="eastAsia"/>
        </w:rPr>
        <w:br w:type="page"/>
      </w:r>
    </w:p>
    <w:p>
      <w:pPr>
        <w:pStyle w:val="3"/>
      </w:pPr>
      <w:bookmarkStart w:id="204" w:name="_Toc10792"/>
      <w:r>
        <w:rPr>
          <w:rFonts w:hint="eastAsia"/>
        </w:rPr>
        <w:t>第四部分：拟用合同条款</w:t>
      </w:r>
      <w:bookmarkEnd w:id="202"/>
      <w:bookmarkEnd w:id="203"/>
      <w:bookmarkEnd w:id="204"/>
    </w:p>
    <w:p>
      <w:pPr>
        <w:rPr>
          <w:rFonts w:ascii="仿宋_GB2312" w:eastAsia="仿宋_GB2312"/>
          <w:b/>
          <w:bCs/>
          <w:sz w:val="32"/>
        </w:rPr>
      </w:pPr>
      <w:bookmarkStart w:id="205" w:name="_Toc366618887"/>
      <w:bookmarkStart w:id="206" w:name="_Toc369095370"/>
      <w:bookmarkStart w:id="207" w:name="_Toc374908700"/>
      <w:bookmarkStart w:id="208" w:name="_Toc443612336"/>
      <w:r>
        <w:rPr>
          <w:rFonts w:hint="eastAsia" w:ascii="仿宋_GB2312" w:eastAsia="仿宋_GB2312"/>
          <w:b/>
          <w:bCs/>
          <w:sz w:val="32"/>
        </w:rPr>
        <w:t>合同登记编号：</w:t>
      </w:r>
    </w:p>
    <w:tbl>
      <w:tblPr>
        <w:tblStyle w:val="3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414"/>
        <w:gridCol w:w="414"/>
        <w:gridCol w:w="414"/>
        <w:gridCol w:w="314"/>
        <w:gridCol w:w="414"/>
        <w:gridCol w:w="414"/>
        <w:gridCol w:w="414"/>
        <w:gridCol w:w="397"/>
        <w:gridCol w:w="320"/>
        <w:gridCol w:w="415"/>
        <w:gridCol w:w="415"/>
        <w:gridCol w:w="415"/>
        <w:gridCol w:w="415"/>
        <w:gridCol w:w="415"/>
        <w:gridCol w:w="415"/>
        <w:gridCol w:w="415"/>
        <w:gridCol w:w="430"/>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430" w:type="dxa"/>
          </w:tcPr>
          <w:p>
            <w:pPr>
              <w:jc w:val="center"/>
              <w:rPr>
                <w:rFonts w:ascii="仿宋_GB2312" w:eastAsia="仿宋_GB2312"/>
                <w:b/>
                <w:bCs/>
                <w:sz w:val="32"/>
              </w:rPr>
            </w:pPr>
          </w:p>
        </w:tc>
        <w:tc>
          <w:tcPr>
            <w:tcW w:w="414" w:type="dxa"/>
          </w:tcPr>
          <w:p>
            <w:pPr>
              <w:jc w:val="center"/>
              <w:rPr>
                <w:rFonts w:ascii="仿宋_GB2312" w:eastAsia="仿宋_GB2312"/>
                <w:b/>
                <w:bCs/>
                <w:sz w:val="32"/>
              </w:rPr>
            </w:pPr>
          </w:p>
        </w:tc>
        <w:tc>
          <w:tcPr>
            <w:tcW w:w="414" w:type="dxa"/>
          </w:tcPr>
          <w:p>
            <w:pPr>
              <w:jc w:val="center"/>
              <w:rPr>
                <w:rFonts w:ascii="仿宋_GB2312" w:eastAsia="仿宋_GB2312"/>
                <w:b/>
                <w:bCs/>
                <w:sz w:val="32"/>
              </w:rPr>
            </w:pPr>
          </w:p>
        </w:tc>
        <w:tc>
          <w:tcPr>
            <w:tcW w:w="414" w:type="dxa"/>
          </w:tcPr>
          <w:p>
            <w:pPr>
              <w:jc w:val="center"/>
              <w:rPr>
                <w:rFonts w:ascii="仿宋_GB2312" w:eastAsia="仿宋_GB2312"/>
                <w:b/>
                <w:bCs/>
                <w:sz w:val="32"/>
              </w:rPr>
            </w:pPr>
          </w:p>
        </w:tc>
        <w:tc>
          <w:tcPr>
            <w:tcW w:w="314" w:type="dxa"/>
            <w:tcBorders>
              <w:top w:val="nil"/>
              <w:bottom w:val="nil"/>
            </w:tcBorders>
          </w:tcPr>
          <w:p>
            <w:pPr>
              <w:jc w:val="center"/>
              <w:rPr>
                <w:rFonts w:ascii="仿宋_GB2312" w:eastAsia="仿宋_GB2312"/>
                <w:b/>
                <w:bCs/>
                <w:sz w:val="32"/>
              </w:rPr>
            </w:pPr>
          </w:p>
        </w:tc>
        <w:tc>
          <w:tcPr>
            <w:tcW w:w="414" w:type="dxa"/>
          </w:tcPr>
          <w:p>
            <w:pPr>
              <w:jc w:val="center"/>
              <w:rPr>
                <w:rFonts w:ascii="仿宋_GB2312" w:eastAsia="仿宋_GB2312"/>
                <w:b/>
                <w:bCs/>
                <w:sz w:val="32"/>
              </w:rPr>
            </w:pPr>
          </w:p>
        </w:tc>
        <w:tc>
          <w:tcPr>
            <w:tcW w:w="414" w:type="dxa"/>
          </w:tcPr>
          <w:p>
            <w:pPr>
              <w:jc w:val="center"/>
              <w:rPr>
                <w:rFonts w:ascii="仿宋_GB2312" w:eastAsia="仿宋_GB2312"/>
                <w:b/>
                <w:bCs/>
                <w:sz w:val="32"/>
              </w:rPr>
            </w:pPr>
          </w:p>
        </w:tc>
        <w:tc>
          <w:tcPr>
            <w:tcW w:w="414" w:type="dxa"/>
          </w:tcPr>
          <w:p>
            <w:pPr>
              <w:jc w:val="center"/>
              <w:rPr>
                <w:rFonts w:ascii="仿宋_GB2312" w:eastAsia="仿宋_GB2312"/>
                <w:b/>
                <w:bCs/>
                <w:sz w:val="32"/>
              </w:rPr>
            </w:pPr>
          </w:p>
        </w:tc>
        <w:tc>
          <w:tcPr>
            <w:tcW w:w="397" w:type="dxa"/>
            <w:tcBorders>
              <w:top w:val="single" w:color="auto" w:sz="4" w:space="0"/>
              <w:bottom w:val="single" w:color="auto" w:sz="4" w:space="0"/>
            </w:tcBorders>
          </w:tcPr>
          <w:p>
            <w:pPr>
              <w:jc w:val="center"/>
              <w:rPr>
                <w:rFonts w:ascii="仿宋_GB2312" w:eastAsia="仿宋_GB2312"/>
                <w:b/>
                <w:bCs/>
                <w:sz w:val="32"/>
              </w:rPr>
            </w:pPr>
          </w:p>
        </w:tc>
        <w:tc>
          <w:tcPr>
            <w:tcW w:w="320" w:type="dxa"/>
            <w:tcBorders>
              <w:top w:val="nil"/>
              <w:bottom w:val="nil"/>
            </w:tcBorders>
          </w:tcPr>
          <w:p>
            <w:pPr>
              <w:jc w:val="center"/>
              <w:rPr>
                <w:rFonts w:ascii="仿宋_GB2312" w:eastAsia="仿宋_GB2312"/>
                <w:b/>
                <w:bCs/>
                <w:sz w:val="32"/>
              </w:rPr>
            </w:pPr>
          </w:p>
        </w:tc>
        <w:tc>
          <w:tcPr>
            <w:tcW w:w="415" w:type="dxa"/>
            <w:tcBorders>
              <w:top w:val="single" w:color="auto" w:sz="4" w:space="0"/>
            </w:tcBorders>
          </w:tcPr>
          <w:p>
            <w:pPr>
              <w:jc w:val="center"/>
              <w:rPr>
                <w:rFonts w:ascii="仿宋_GB2312" w:eastAsia="仿宋_GB2312"/>
                <w:b/>
                <w:bCs/>
                <w:sz w:val="32"/>
              </w:rPr>
            </w:pPr>
          </w:p>
        </w:tc>
        <w:tc>
          <w:tcPr>
            <w:tcW w:w="415" w:type="dxa"/>
            <w:tcBorders>
              <w:top w:val="single" w:color="auto" w:sz="4" w:space="0"/>
            </w:tcBorders>
          </w:tcPr>
          <w:p>
            <w:pPr>
              <w:jc w:val="center"/>
              <w:rPr>
                <w:rFonts w:ascii="仿宋_GB2312" w:eastAsia="仿宋_GB2312"/>
                <w:b/>
                <w:bCs/>
                <w:sz w:val="32"/>
              </w:rPr>
            </w:pPr>
          </w:p>
        </w:tc>
        <w:tc>
          <w:tcPr>
            <w:tcW w:w="415" w:type="dxa"/>
            <w:tcBorders>
              <w:top w:val="nil"/>
              <w:bottom w:val="nil"/>
            </w:tcBorders>
          </w:tcPr>
          <w:p>
            <w:pPr>
              <w:jc w:val="center"/>
              <w:rPr>
                <w:rFonts w:ascii="仿宋_GB2312" w:eastAsia="仿宋_GB2312"/>
                <w:b/>
                <w:bCs/>
                <w:sz w:val="32"/>
              </w:rPr>
            </w:pPr>
          </w:p>
        </w:tc>
        <w:tc>
          <w:tcPr>
            <w:tcW w:w="415" w:type="dxa"/>
            <w:tcBorders>
              <w:top w:val="single" w:color="auto" w:sz="4" w:space="0"/>
            </w:tcBorders>
          </w:tcPr>
          <w:p>
            <w:pPr>
              <w:jc w:val="center"/>
              <w:rPr>
                <w:rFonts w:ascii="仿宋_GB2312" w:eastAsia="仿宋_GB2312"/>
                <w:b/>
                <w:bCs/>
                <w:sz w:val="32"/>
              </w:rPr>
            </w:pPr>
          </w:p>
        </w:tc>
        <w:tc>
          <w:tcPr>
            <w:tcW w:w="415" w:type="dxa"/>
            <w:tcBorders>
              <w:top w:val="single" w:color="auto" w:sz="4" w:space="0"/>
            </w:tcBorders>
          </w:tcPr>
          <w:p>
            <w:pPr>
              <w:jc w:val="center"/>
              <w:rPr>
                <w:rFonts w:ascii="仿宋_GB2312" w:eastAsia="仿宋_GB2312"/>
                <w:b/>
                <w:bCs/>
                <w:sz w:val="32"/>
              </w:rPr>
            </w:pPr>
          </w:p>
        </w:tc>
        <w:tc>
          <w:tcPr>
            <w:tcW w:w="415" w:type="dxa"/>
          </w:tcPr>
          <w:p>
            <w:pPr>
              <w:rPr>
                <w:rFonts w:ascii="仿宋_GB2312" w:eastAsia="仿宋_GB2312"/>
                <w:b/>
                <w:bCs/>
                <w:sz w:val="32"/>
              </w:rPr>
            </w:pPr>
          </w:p>
        </w:tc>
        <w:tc>
          <w:tcPr>
            <w:tcW w:w="415" w:type="dxa"/>
          </w:tcPr>
          <w:p>
            <w:pPr>
              <w:rPr>
                <w:rFonts w:ascii="仿宋_GB2312" w:eastAsia="仿宋_GB2312"/>
                <w:b/>
                <w:bCs/>
                <w:sz w:val="32"/>
              </w:rPr>
            </w:pPr>
          </w:p>
        </w:tc>
        <w:tc>
          <w:tcPr>
            <w:tcW w:w="430" w:type="dxa"/>
          </w:tcPr>
          <w:p>
            <w:pPr>
              <w:rPr>
                <w:rFonts w:ascii="仿宋_GB2312" w:eastAsia="仿宋_GB2312"/>
                <w:b/>
                <w:bCs/>
                <w:sz w:val="32"/>
              </w:rPr>
            </w:pPr>
          </w:p>
        </w:tc>
        <w:tc>
          <w:tcPr>
            <w:tcW w:w="400" w:type="dxa"/>
          </w:tcPr>
          <w:p>
            <w:pPr>
              <w:rPr>
                <w:rFonts w:ascii="仿宋_GB2312" w:eastAsia="仿宋_GB2312"/>
                <w:b/>
                <w:bCs/>
                <w:sz w:val="32"/>
              </w:rPr>
            </w:pPr>
          </w:p>
        </w:tc>
      </w:tr>
    </w:tbl>
    <w:p>
      <w:pPr>
        <w:jc w:val="center"/>
        <w:rPr>
          <w:rFonts w:ascii="仿宋_GB2312" w:eastAsia="仿宋_GB2312"/>
          <w:sz w:val="32"/>
        </w:rPr>
      </w:pPr>
    </w:p>
    <w:p>
      <w:pPr>
        <w:rPr>
          <w:rFonts w:ascii="仿宋_GB2312" w:eastAsia="仿宋_GB2312"/>
          <w:sz w:val="32"/>
        </w:rPr>
      </w:pPr>
      <w:r>
        <w:rPr>
          <w:rFonts w:hint="eastAsia" w:ascii="仿宋_GB2312" w:eastAsia="仿宋_GB2312"/>
          <w:sz w:val="32"/>
        </w:rPr>
        <w:t xml:space="preserve"> </w:t>
      </w:r>
    </w:p>
    <w:p>
      <w:pPr>
        <w:rPr>
          <w:rFonts w:ascii="仿宋_GB2312" w:eastAsia="仿宋_GB2312"/>
          <w:sz w:val="32"/>
        </w:rPr>
      </w:pPr>
      <w:r>
        <w:rPr>
          <w:rFonts w:hint="eastAsia" w:ascii="仿宋_GB2312" w:eastAsia="仿宋_GB2312"/>
          <w:sz w:val="32"/>
        </w:rPr>
        <w:t xml:space="preserve">                  </w:t>
      </w:r>
    </w:p>
    <w:p>
      <w:pPr>
        <w:jc w:val="center"/>
        <w:rPr>
          <w:rFonts w:ascii="仿宋_GB2312" w:eastAsia="仿宋_GB2312"/>
          <w:b/>
          <w:bCs/>
          <w:spacing w:val="208"/>
          <w:sz w:val="44"/>
        </w:rPr>
      </w:pPr>
      <w:r>
        <w:rPr>
          <w:rFonts w:hint="eastAsia" w:ascii="仿宋_GB2312" w:eastAsia="仿宋_GB2312"/>
          <w:b/>
          <w:bCs/>
          <w:spacing w:val="208"/>
          <w:sz w:val="44"/>
        </w:rPr>
        <w:t>AIS/ASM国产化核心网系统工程合同</w:t>
      </w:r>
    </w:p>
    <w:p>
      <w:pPr>
        <w:jc w:val="center"/>
        <w:rPr>
          <w:rFonts w:ascii="仿宋_GB2312" w:eastAsia="仿宋_GB2312"/>
          <w:spacing w:val="208"/>
          <w:sz w:val="36"/>
        </w:rPr>
      </w:pPr>
    </w:p>
    <w:p>
      <w:pPr>
        <w:rPr>
          <w:rFonts w:ascii="仿宋_GB2312" w:eastAsia="仿宋_GB2312"/>
          <w:sz w:val="32"/>
        </w:rPr>
      </w:pPr>
    </w:p>
    <w:p>
      <w:pPr>
        <w:spacing w:before="156" w:beforeLines="50" w:line="360" w:lineRule="auto"/>
        <w:rPr>
          <w:rFonts w:ascii="仿宋_GB2312" w:eastAsia="仿宋_GB2312"/>
          <w:sz w:val="32"/>
        </w:rPr>
      </w:pPr>
      <w:r>
        <w:rPr>
          <w:rFonts w:ascii="仿宋_GB2312" w:eastAsia="仿宋_GB2312"/>
          <w:sz w:val="32"/>
        </w:rPr>
        <mc:AlternateContent>
          <mc:Choice Requires="wps">
            <w:drawing>
              <wp:anchor distT="0" distB="0" distL="114300" distR="114300" simplePos="0" relativeHeight="251665408" behindDoc="0" locked="0" layoutInCell="1" allowOverlap="1">
                <wp:simplePos x="0" y="0"/>
                <wp:positionH relativeFrom="column">
                  <wp:posOffset>1000125</wp:posOffset>
                </wp:positionH>
                <wp:positionV relativeFrom="paragraph">
                  <wp:posOffset>396240</wp:posOffset>
                </wp:positionV>
                <wp:extent cx="446278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446278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8.75pt;margin-top:31.2pt;height:0pt;width:351.4pt;z-index:251665408;mso-width-relative:page;mso-height-relative:page;" filled="f" stroked="t" coordsize="21600,21600" o:gfxdata="UEsDBAoAAAAAAIdO4kAAAAAAAAAAAAAAAAAEAAAAZHJzL1BLAwQUAAAACACHTuJA0Y9JkNYAAAAJ&#10;AQAADwAAAGRycy9kb3ducmV2LnhtbE2PPU/DQAyGdyT+w8lILFV715SGKuTSAcjGQqFidROTROR8&#10;ae76Ab8eIwYYX/vR68f5+ux6daQxdJ4tzGcGFHHl644bC68v5XQFKkTkGnvPZOGTAqyLy4scs9qf&#10;+JmOm9goKeGQoYU2xiHTOlQtOQwzPxDL7t2PDqPEsdH1iCcpd71OjEm1w47lQosD3bdUfWwOzkIo&#10;t7QvvybVxLwtGk/J/uHpEa29vpqbO1CRzvEPhh99UYdCnHb+wHVQveTl7VJQC2lyA0qAVWoWoHa/&#10;A13k+v8HxTdQSwMEFAAAAAgAh07iQAuG/TntAQAA2gMAAA4AAABkcnMvZTJvRG9jLnhtbK1TzW4T&#10;MRC+I/EOlu9k06gt7SqbHhrKBUEk6ANMbO+uJf/J42aTl+AFkLjBiSN33obyGIy9aQrlkgN78I49&#10;M9/M93k8v9pawzYqovau4SeTKWfKCS+16xp+++HmxQVnmMBJMN6phu8U8qvF82fzIdRq5ntvpIqM&#10;QBzWQ2h4n1KoqwpFryzgxAflyNn6aCHRNnaVjDAQujXVbDo9rwYfZYheKEQ6XY5OvkeMxwD6ttVC&#10;Lb24s8qlETUqA4koYa8D8kXptm2VSO/aFlVipuHENJWVipC9zmu1mEPdRQi9FvsW4JgWnnCyoB0V&#10;PUAtIQG7i/ofKKtF9OjbNBHeViORogixOJk+0eZ9D0EVLiQ1hoPo+P9gxdvNKjItaRJIEgeWbvz+&#10;0/efH7/8+vGZ1vtvXxl5SKYhYE3R124V9zsMq5g5b9to85/YsG2RdneQVm0TE3R4eno+e3lBJcSD&#10;r3pMDBHTa+Uty0bDjXaZNdSweYOJilHoQ0g+No4NDb88m50RHNAItnT1ZNpANNB1JRe90fJGG5Mz&#10;MHbraxPZBvIYlC9TIty/wnKRJWA/xhXXOCC9AvnKSZZ2gfRx9C54bsEqyZlR9IyyRYBQJ9DmmEgq&#10;bRx1kFUddczW2stdkbec05WXHvfjmWfqz33JfnyS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j0mQ1gAAAAkBAAAPAAAAAAAAAAEAIAAAACIAAABkcnMvZG93bnJldi54bWxQSwECFAAUAAAACACH&#10;TuJAC4b9Oe0BAADaAwAADgAAAAAAAAABACAAAAAlAQAAZHJzL2Uyb0RvYy54bWxQSwUGAAAAAAYA&#10;BgBZAQAAhAUAAAAA&#10;">
                <v:fill on="f" focussize="0,0"/>
                <v:stroke color="#000000" joinstyle="round"/>
                <v:imagedata o:title=""/>
                <o:lock v:ext="edit" aspectratio="f"/>
              </v:line>
            </w:pict>
          </mc:Fallback>
        </mc:AlternateContent>
      </w:r>
      <w:r>
        <w:rPr>
          <w:rFonts w:hint="eastAsia" w:ascii="仿宋_GB2312" w:eastAsia="仿宋_GB2312"/>
          <w:sz w:val="32"/>
        </w:rPr>
        <w:t xml:space="preserve">项目名称：    </w:t>
      </w:r>
      <w:r>
        <w:rPr>
          <w:rFonts w:ascii="仿宋_GB2312" w:eastAsia="仿宋_GB2312"/>
          <w:sz w:val="32"/>
        </w:rPr>
        <w:tab/>
      </w:r>
      <w:r>
        <w:rPr>
          <w:rFonts w:hint="eastAsia" w:ascii="仿宋_GB2312" w:eastAsia="仿宋_GB2312"/>
          <w:sz w:val="32"/>
        </w:rPr>
        <w:t>AIS/ASM国产化核心网系统工程</w:t>
      </w:r>
    </w:p>
    <w:p>
      <w:pPr>
        <w:spacing w:line="360" w:lineRule="auto"/>
        <w:rPr>
          <w:rFonts w:ascii="仿宋_GB2312" w:eastAsia="仿宋_GB2312"/>
          <w:spacing w:val="48"/>
          <w:sz w:val="32"/>
        </w:rPr>
      </w:pPr>
      <w:r>
        <w:rPr>
          <w:rFonts w:hint="eastAsia" w:ascii="仿宋_GB2312" w:eastAsia="仿宋_GB2312"/>
          <w:spacing w:val="48"/>
          <w:sz w:val="32"/>
        </w:rPr>
        <w:t>委托人：</w:t>
      </w:r>
    </w:p>
    <w:p>
      <w:pPr>
        <w:tabs>
          <w:tab w:val="left" w:pos="1708"/>
        </w:tabs>
        <w:spacing w:line="360" w:lineRule="auto"/>
        <w:rPr>
          <w:rFonts w:ascii="仿宋_GB2312" w:eastAsia="仿宋_GB2312"/>
          <w:sz w:val="32"/>
        </w:rPr>
      </w:pPr>
      <w:r>
        <w:rPr>
          <w:rFonts w:ascii="仿宋_GB2312" w:eastAsia="仿宋_GB2312"/>
          <w:sz w:val="32"/>
        </w:rPr>
        <mc:AlternateContent>
          <mc:Choice Requires="wps">
            <w:drawing>
              <wp:anchor distT="0" distB="0" distL="114300" distR="114300" simplePos="0" relativeHeight="251666432" behindDoc="0" locked="0" layoutInCell="1" allowOverlap="1">
                <wp:simplePos x="0" y="0"/>
                <wp:positionH relativeFrom="column">
                  <wp:posOffset>939165</wp:posOffset>
                </wp:positionH>
                <wp:positionV relativeFrom="paragraph">
                  <wp:posOffset>273685</wp:posOffset>
                </wp:positionV>
                <wp:extent cx="446278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446278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3.95pt;margin-top:21.55pt;height:0pt;width:351.4pt;z-index:251666432;mso-width-relative:page;mso-height-relative:page;" filled="f" stroked="t" coordsize="21600,21600" o:gfxdata="UEsDBAoAAAAAAIdO4kAAAAAAAAAAAAAAAAAEAAAAZHJzL1BLAwQUAAAACACHTuJAq+HAW9cAAAAJ&#10;AQAADwAAAGRycy9kb3ducmV2LnhtbE2PPU/DQAyGdyT+w8lILFV7l7a0JeTSAcjG0gJidROTROR8&#10;ae76Ab8eIwYYX/vR68fZ+uw6daQhtJ4tJBMDirj0Vcu1hZfnYrwCFSJyhZ1nsvBJAdb55UWGaeVP&#10;vKHjNtZKSjikaKGJsU+1DmVDDsPE98Sye/eDwyhxqHU14EnKXaenxiy0w5blQoM93TdUfmwPzkIo&#10;XmlffI3KkXmb1Z6m+4enR7T2+ioxd6AineMfDD/6og65OO38gaugOsnz5a2gFuazBJQAqxuzBLX7&#10;Heg80/8/yL8BUEsDBBQAAAAIAIdO4kAm5P887gEAANoDAAAOAAAAZHJzL2Uyb0RvYy54bWytU81u&#10;EzEQviPxDpbvZJOoLWWVTQ8N5YIgEvAAE9u7a8l/8rjZ5CV4ASRucOLInbehPAZjb5pCueTAHrxj&#10;z8w3830eL6521rCtiqi9a/hsMuVMOeGldl3DP7y/eXbJGSZwEox3quF7hfxq+fTJYgi1mvveG6ki&#10;IxCH9RAa3qcU6qpC0SsLOPFBOXK2PlpItI1dJSMMhG5NNZ9OL6rBRxmiFwqRTlejkx8Q4ymAvm21&#10;UCsvbq1yaUSNykAiStjrgHxZum1bJdLbtkWVmGk4MU1lpSJkb/JaLRdQdxFCr8WhBTilhUecLGhH&#10;RY9QK0jAbqP+B8pqET36Nk2Et9VIpChCLGbTR9q86yGowoWkxnAUHf8frHizXUemJU3CjDMHlm78&#10;7tP3nx+//Prxmda7b18ZeUimIWBN0dduHQ87DOuYOe/aaPOf2LBdkXZ/lFbtEhN0eHZ2MX9+SaqL&#10;e1/1kBgiplfKW5aNhhvtMmuoYfsaExWj0PuQfGwcGxr+4nx+TnBAI9jS1ZNpA9FA15Vc9EbLG21M&#10;zsDYba5NZFvIY1C+TIlw/wrLRVaA/RhXXOOA9ArkSydZ2gfSx9G74LkFqyRnRtEzyhYBQp1Am1Mi&#10;qbRx1EFWddQxWxsv90Xeck5XXno8jGeeqT/3JfvhS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vhwFvXAAAACQEAAA8AAAAAAAAAAQAgAAAAIgAAAGRycy9kb3ducmV2LnhtbFBLAQIUABQAAAAI&#10;AIdO4kAm5P887gEAANoDAAAOAAAAAAAAAAEAIAAAACYBAABkcnMvZTJvRG9jLnhtbFBLBQYAAAAA&#10;BgAGAFkBAACGBQAAAAA=&#10;">
                <v:fill on="f" focussize="0,0"/>
                <v:stroke color="#000000" joinstyle="round"/>
                <v:imagedata o:title=""/>
                <o:lock v:ext="edit" aspectratio="f"/>
              </v:line>
            </w:pict>
          </mc:Fallback>
        </mc:AlternateContent>
      </w:r>
      <w:r>
        <w:rPr>
          <w:rFonts w:hint="eastAsia" w:ascii="仿宋_GB2312" w:eastAsia="仿宋_GB2312"/>
          <w:sz w:val="32"/>
        </w:rPr>
        <w:t>（甲方）</w:t>
      </w:r>
      <w:r>
        <w:rPr>
          <w:rFonts w:ascii="仿宋_GB2312" w:eastAsia="仿宋_GB2312"/>
          <w:sz w:val="32"/>
        </w:rPr>
        <w:tab/>
      </w:r>
      <w:r>
        <w:rPr>
          <w:rFonts w:ascii="仿宋_GB2312" w:eastAsia="仿宋_GB2312"/>
          <w:sz w:val="32"/>
        </w:rPr>
        <w:tab/>
      </w:r>
      <w:r>
        <w:rPr>
          <w:rFonts w:hint="eastAsia" w:ascii="仿宋_GB2312" w:eastAsia="仿宋_GB2312"/>
          <w:sz w:val="32"/>
        </w:rPr>
        <w:t>交通运输部北海航海保障中心天津航标处</w:t>
      </w:r>
    </w:p>
    <w:p>
      <w:pPr>
        <w:spacing w:line="360" w:lineRule="auto"/>
        <w:rPr>
          <w:rFonts w:ascii="仿宋_GB2312" w:eastAsia="仿宋_GB2312"/>
          <w:spacing w:val="2"/>
          <w:sz w:val="32"/>
        </w:rPr>
      </w:pPr>
      <w:r>
        <w:rPr>
          <w:rFonts w:hint="eastAsia" w:ascii="仿宋_GB2312" w:eastAsia="仿宋_GB2312"/>
          <w:spacing w:val="2"/>
          <w:sz w:val="32"/>
        </w:rPr>
        <w:t>研究开发人</w:t>
      </w:r>
    </w:p>
    <w:p>
      <w:pPr>
        <w:tabs>
          <w:tab w:val="left" w:pos="1576"/>
        </w:tabs>
        <w:spacing w:line="360" w:lineRule="auto"/>
        <w:rPr>
          <w:rFonts w:ascii="仿宋_GB2312" w:eastAsia="仿宋_GB2312"/>
          <w:sz w:val="32"/>
        </w:rPr>
      </w:pPr>
      <w:r>
        <w:rPr>
          <w:rFonts w:ascii="仿宋_GB2312" w:eastAsia="仿宋_GB2312"/>
          <w:sz w:val="32"/>
        </w:rPr>
        <mc:AlternateContent>
          <mc:Choice Requires="wps">
            <w:drawing>
              <wp:anchor distT="0" distB="0" distL="114300" distR="114300" simplePos="0" relativeHeight="251667456" behindDoc="0" locked="0" layoutInCell="1" allowOverlap="1">
                <wp:simplePos x="0" y="0"/>
                <wp:positionH relativeFrom="column">
                  <wp:posOffset>939165</wp:posOffset>
                </wp:positionH>
                <wp:positionV relativeFrom="paragraph">
                  <wp:posOffset>316865</wp:posOffset>
                </wp:positionV>
                <wp:extent cx="446278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446278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3.95pt;margin-top:24.95pt;height:0pt;width:351.4pt;z-index:251667456;mso-width-relative:page;mso-height-relative:page;" filled="f" stroked="t" coordsize="21600,21600" o:gfxdata="UEsDBAoAAAAAAIdO4kAAAAAAAAAAAAAAAAAEAAAAZHJzL1BLAwQUAAAACACHTuJAP2jjc9cAAAAJ&#10;AQAADwAAAGRycy9kb3ducmV2LnhtbE2PT0/DMAzF70h8h8hIXCaWbAy2laY7AL1x2QBx9RrTVjRO&#10;12R/4NNjxAFO1rOfnn8vX518pw40xDawhcnYgCKugmu5tvDyXF4tQMWE7LALTBY+KcKqOD/LMXPh&#10;yGs6bFKtJIRjhhaalPpM61g15DGOQ08st/cweEwih1q7AY8S7js9NeZWe2xZPjTY031D1cdm7y3E&#10;8pV25deoGpm36zrQdPfw9IjWXl5MzB2oRKf0Z4YffEGHQpi2Yc8uqk70bL4Uq4XZUqYYFjdmDmr7&#10;u9BFrv83KL4BUEsDBBQAAAAIAIdO4kBRQvkz7gEAANoDAAAOAAAAZHJzL2Uyb0RvYy54bWytU81u&#10;EzEQviPxDpbvZNOoLe0qmx4aygVBJOgDTGzvriX/yeNmk5fgBZC4wYkjd96G8hiMvWkK5ZIDe/CO&#10;PTPfzPd5PL/aWsM2KqL2ruEnkylnygkvtesafvvh5sUFZ5jASTDeqYbvFPKrxfNn8yHUauZ7b6SK&#10;jEAc1kNoeJ9SqKsKRa8s4MQH5cjZ+mgh0TZ2lYwwELo11Ww6Pa8GH2WIXihEOl2OTr5HjMcA+rbV&#10;Qi29uLPKpRE1KgOJKGGvA/JF6bZtlUjv2hZVYqbhxDSVlYqQvc5rtZhD3UUIvRb7FuCYFp5wsqAd&#10;FT1ALSEBu4v6HyirRfTo2zQR3lYjkaIIsTiZPtHmfQ9BFS4kNYaD6Pj/YMXbzSoyLWkSZpw5sHTj&#10;95++//z45dePz7Tef/vKyEMyDQFrir52q7jfYVjFzHnbRpv/xIZti7S7g7Rqm5igw9PT89nLC1Jd&#10;PPiqx8QQMb1W3rJsNNxol1lDDZs3mKgYhT6E5GPj2NDwy7PZGcEBjWBLV0+mDUQDXVdy0Rstb7Qx&#10;OQNjt742kW0gj0H5MiXC/SssF1kC9mNccY0D0iuQr5xkaRdIH0fvgucWrJKcGUXPKFsECHUCbY6J&#10;pNLGUQdZ1VHHbK293BV5yzldeelxP555pv7cl+zHJ7n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9o43PXAAAACQEAAA8AAAAAAAAAAQAgAAAAIgAAAGRycy9kb3ducmV2LnhtbFBLAQIUABQAAAAI&#10;AIdO4kBRQvkz7gEAANoDAAAOAAAAAAAAAAEAIAAAACYBAABkcnMvZTJvRG9jLnhtbFBLBQYAAAAA&#10;BgAGAFkBAACGBQAAAAA=&#10;">
                <v:fill on="f" focussize="0,0"/>
                <v:stroke color="#000000" joinstyle="round"/>
                <v:imagedata o:title=""/>
                <o:lock v:ext="edit" aspectratio="f"/>
              </v:line>
            </w:pict>
          </mc:Fallback>
        </mc:AlternateContent>
      </w:r>
      <w:r>
        <w:rPr>
          <w:rFonts w:hint="eastAsia" w:ascii="仿宋_GB2312" w:eastAsia="仿宋_GB2312"/>
          <w:sz w:val="32"/>
        </w:rPr>
        <w:t>（乙方）</w:t>
      </w:r>
      <w:r>
        <w:rPr>
          <w:rFonts w:ascii="仿宋_GB2312" w:eastAsia="仿宋_GB2312"/>
          <w:sz w:val="32"/>
        </w:rPr>
        <w:tab/>
      </w:r>
      <w:r>
        <w:rPr>
          <w:rFonts w:ascii="仿宋_GB2312" w:eastAsia="仿宋_GB2312"/>
          <w:sz w:val="32"/>
        </w:rPr>
        <w:tab/>
      </w:r>
      <w:r>
        <w:rPr>
          <w:rFonts w:ascii="仿宋_GB2312" w:eastAsia="仿宋_GB2312"/>
          <w:sz w:val="32"/>
        </w:rPr>
        <w:tab/>
      </w:r>
    </w:p>
    <w:p>
      <w:pPr>
        <w:tabs>
          <w:tab w:val="left" w:pos="1576"/>
        </w:tabs>
        <w:spacing w:line="360" w:lineRule="auto"/>
        <w:rPr>
          <w:rFonts w:ascii="仿宋_GB2312" w:eastAsia="仿宋_GB2312"/>
          <w:sz w:val="32"/>
        </w:rPr>
      </w:pPr>
      <w:r>
        <w:rPr>
          <w:rFonts w:hint="eastAsia" w:ascii="仿宋_GB2312" w:eastAsia="仿宋_GB2312"/>
          <w:sz w:val="32"/>
        </w:rPr>
        <w:t>出资人：</w:t>
      </w:r>
    </w:p>
    <w:p>
      <w:pPr>
        <w:rPr>
          <w:rFonts w:ascii="仿宋_GB2312" w:eastAsia="仿宋_GB2312"/>
          <w:sz w:val="32"/>
        </w:rPr>
      </w:pPr>
      <w:r>
        <w:rPr>
          <w:rFonts w:ascii="仿宋_GB2312" w:eastAsia="仿宋_GB2312"/>
          <w:sz w:val="32"/>
        </w:rPr>
        <mc:AlternateContent>
          <mc:Choice Requires="wps">
            <w:drawing>
              <wp:anchor distT="0" distB="0" distL="114300" distR="114300" simplePos="0" relativeHeight="251668480" behindDoc="0" locked="0" layoutInCell="1" allowOverlap="1">
                <wp:simplePos x="0" y="0"/>
                <wp:positionH relativeFrom="column">
                  <wp:posOffset>939165</wp:posOffset>
                </wp:positionH>
                <wp:positionV relativeFrom="paragraph">
                  <wp:posOffset>311150</wp:posOffset>
                </wp:positionV>
                <wp:extent cx="446278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446278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3.95pt;margin-top:24.5pt;height:0pt;width:351.4pt;z-index:251668480;mso-width-relative:page;mso-height-relative:page;" filled="f" stroked="t" coordsize="21600,21600" o:gfxdata="UEsDBAoAAAAAAIdO4kAAAAAAAAAAAAAAAAAEAAAAZHJzL1BLAwQUAAAACACHTuJAWZBwSNYAAAAJ&#10;AQAADwAAAGRycy9kb3ducmV2LnhtbE2PzU7DMBCE70i8g7VIXCpqtxTahjg9ALlxaQFx3cZLEhGv&#10;09j9gadnEQc4zuyn2Zl8dfKdOtAQ28AWJmMDirgKruXawstzebUAFROywy4wWfikCKvi/CzHzIUj&#10;r+mwSbWSEI4ZWmhS6jOtY9WQxzgOPbHc3sPgMYkcau0GPEq47/TUmFvtsWX50GBP9w1VH5u9txDL&#10;V9qVX6NqZN6u60DT3cPTI1p7eTExd6ASndIfDD/1pToU0mkb9uyi6kTP5ktBLcyWskmAxY2Zg9r+&#10;GrrI9f8FxTdQSwMEFAAAAAgAh07iQHwg+zbuAQAA2gMAAA4AAABkcnMvZTJvRG9jLnhtbK1TzW4T&#10;MRC+I/EOlu9k09CWssqmh4ZyQRAJeICJ7d215D953GzyErwAEjc4ceTet6E8BmNvmkK55MAevGPP&#10;zDfzfR7PL7fWsI2KqL1r+MlkyplywkvtuoZ//HD97IIzTOAkGO9Uw3cK+eXi6ZP5EGo18703UkVG&#10;IA7rITS8TynUVYWiVxZw4oNy5Gx9tJBoG7tKRhgI3ZpqNp2eV4OPMkQvFCKdLkcn3yPGYwB922qh&#10;ll7cWOXSiBqVgUSUsNcB+aJ027ZKpHdtiyox03BimspKRche57VazKHuIoRei30LcEwLjzhZ0I6K&#10;HqCWkIDdRP0PlNUievRtmghvq5FIUYRYnEwfafO+h6AKF5Iaw0F0/H+w4u1mFZmWNAnPOXNg6cbv&#10;Pv/4+enrr9svtN59/8bIQzINAWuKvnKruN9hWMXMedtGm//Ehm2LtLuDtGqbmKDD09Pz2YsLUl3c&#10;+6qHxBAxvVbesmw03GiXWUMNmzeYqBiF3ofkY+PY0PCXZ7MzggMawZaunkwbiAa6ruSiN1pea2Ny&#10;BsZufWUi20Aeg/JlSoT7V1gusgTsx7jiGgekVyBfOcnSLpA+jt4Fzy1YJTkzip5RtggQ6gTaHBNJ&#10;pY2jDrKqo47ZWnu5K/KWc7ry0uN+PPNM/bkv2Q9Pcv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ZBwSNYAAAAJAQAADwAAAAAAAAABACAAAAAiAAAAZHJzL2Rvd25yZXYueG1sUEsBAhQAFAAAAAgA&#10;h07iQHwg+zbuAQAA2gMAAA4AAAAAAAAAAQAgAAAAJQEAAGRycy9lMm9Eb2MueG1sUEsFBgAAAAAG&#10;AAYAWQEAAIUFAAAAAA==&#10;">
                <v:fill on="f" focussize="0,0"/>
                <v:stroke color="#000000" joinstyle="round"/>
                <v:imagedata o:title=""/>
                <o:lock v:ext="edit" aspectratio="f"/>
              </v:line>
            </w:pict>
          </mc:Fallback>
        </mc:AlternateContent>
      </w:r>
      <w:r>
        <w:rPr>
          <w:rFonts w:hint="eastAsia" w:ascii="仿宋_GB2312" w:eastAsia="仿宋_GB2312"/>
          <w:sz w:val="32"/>
        </w:rPr>
        <w:t>（丙方）         交通运输部北海航海保障中心</w:t>
      </w:r>
    </w:p>
    <w:p>
      <w:pPr>
        <w:rPr>
          <w:rFonts w:ascii="仿宋_GB2312" w:eastAsia="仿宋_GB2312"/>
          <w:sz w:val="32"/>
        </w:rPr>
      </w:pPr>
    </w:p>
    <w:p>
      <w:pPr>
        <w:rPr>
          <w:rFonts w:ascii="仿宋_GB2312" w:eastAsia="仿宋_GB2312"/>
          <w:sz w:val="32"/>
        </w:rPr>
      </w:pPr>
      <w:r>
        <w:rPr>
          <w:rFonts w:hint="eastAsia" w:ascii="仿宋_GB2312" w:eastAsia="仿宋_GB2312"/>
          <w:sz w:val="32"/>
        </w:rPr>
        <w:t>签订地点：    天津   省（市）    天津     市、县（区）</w:t>
      </w:r>
    </w:p>
    <w:p>
      <w:pPr>
        <w:rPr>
          <w:rFonts w:ascii="仿宋_GB2312" w:eastAsia="仿宋_GB2312"/>
          <w:sz w:val="32"/>
        </w:rPr>
      </w:pPr>
      <w:r>
        <w:rPr>
          <w:rFonts w:hint="eastAsia" w:ascii="仿宋_GB2312" w:eastAsia="仿宋_GB2312"/>
          <w:sz w:val="32"/>
        </w:rPr>
        <w:t xml:space="preserve">签订日期： </w:t>
      </w:r>
      <w:r>
        <w:rPr>
          <w:rFonts w:ascii="仿宋_GB2312" w:eastAsia="仿宋_GB2312"/>
          <w:sz w:val="32"/>
        </w:rPr>
        <w:t>2</w:t>
      </w:r>
      <w:r>
        <w:rPr>
          <w:rFonts w:hint="eastAsia" w:ascii="仿宋_GB2312" w:eastAsia="仿宋_GB2312"/>
          <w:sz w:val="32"/>
        </w:rPr>
        <w:t>022 年   月</w:t>
      </w:r>
    </w:p>
    <w:p>
      <w:pPr>
        <w:rPr>
          <w:rFonts w:ascii="仿宋_GB2312" w:eastAsia="仿宋_GB2312"/>
          <w:sz w:val="32"/>
        </w:rPr>
      </w:pPr>
      <w:r>
        <w:rPr>
          <w:rFonts w:hint="eastAsia" w:ascii="仿宋_GB2312" w:eastAsia="仿宋_GB2312"/>
          <w:sz w:val="32"/>
        </w:rPr>
        <w:t xml:space="preserve">有效期限： </w:t>
      </w:r>
      <w:r>
        <w:rPr>
          <w:rFonts w:ascii="仿宋_GB2312" w:eastAsia="仿宋_GB2312"/>
          <w:sz w:val="32"/>
        </w:rPr>
        <w:t>20</w:t>
      </w:r>
      <w:r>
        <w:rPr>
          <w:rFonts w:hint="eastAsia" w:ascii="仿宋_GB2312" w:eastAsia="仿宋_GB2312"/>
          <w:sz w:val="32"/>
        </w:rPr>
        <w:t xml:space="preserve">22 年   月 </w:t>
      </w:r>
      <w:r>
        <w:rPr>
          <w:rFonts w:ascii="仿宋_GB2312" w:eastAsia="仿宋_GB2312"/>
          <w:sz w:val="32"/>
        </w:rPr>
        <w:t xml:space="preserve">  </w:t>
      </w:r>
      <w:r>
        <w:rPr>
          <w:rFonts w:hint="eastAsia" w:ascii="仿宋_GB2312" w:eastAsia="仿宋_GB2312"/>
          <w:sz w:val="32"/>
        </w:rPr>
        <w:t xml:space="preserve"> 日至2023年   月  </w:t>
      </w:r>
      <w:r>
        <w:rPr>
          <w:rFonts w:ascii="仿宋_GB2312" w:eastAsia="仿宋_GB2312"/>
          <w:sz w:val="32"/>
        </w:rPr>
        <w:t xml:space="preserve"> </w:t>
      </w:r>
      <w:r>
        <w:rPr>
          <w:rFonts w:hint="eastAsia" w:ascii="仿宋_GB2312" w:eastAsia="仿宋_GB2312"/>
          <w:sz w:val="32"/>
        </w:rPr>
        <w:t xml:space="preserve"> 日</w:t>
      </w:r>
    </w:p>
    <w:p>
      <w:pPr>
        <w:tabs>
          <w:tab w:val="left" w:pos="2280"/>
        </w:tabs>
        <w:rPr>
          <w:rFonts w:ascii="楷体" w:hAnsi="楷体" w:eastAsia="楷体"/>
          <w:b/>
          <w:bCs/>
          <w:sz w:val="32"/>
          <w:szCs w:val="32"/>
        </w:rPr>
      </w:pPr>
      <w:r>
        <w:rPr>
          <w:rFonts w:hint="eastAsia" w:ascii="仿宋_GB2312" w:eastAsia="仿宋_GB2312"/>
          <w:sz w:val="32"/>
        </w:rPr>
        <w:tab/>
      </w:r>
      <w:r>
        <w:rPr>
          <w:rFonts w:ascii="楷体" w:hAnsi="楷体" w:eastAsia="楷体"/>
          <w:b/>
          <w:bCs/>
          <w:sz w:val="32"/>
        </w:rPr>
        <w:br w:type="page"/>
      </w:r>
      <w:r>
        <w:rPr>
          <w:rFonts w:hint="eastAsia" w:ascii="楷体" w:hAnsi="楷体" w:eastAsia="楷体"/>
          <w:b/>
          <w:bCs/>
          <w:sz w:val="32"/>
          <w:szCs w:val="32"/>
        </w:rPr>
        <w:t>合同登记编号：</w:t>
      </w:r>
    </w:p>
    <w:p>
      <w:pPr>
        <w:pStyle w:val="85"/>
        <w:rPr>
          <w:rFonts w:ascii="楷体" w:hAnsi="楷体" w:eastAsia="楷体"/>
          <w:sz w:val="32"/>
          <w:szCs w:val="32"/>
        </w:rPr>
      </w:pPr>
    </w:p>
    <w:p>
      <w:pPr>
        <w:pStyle w:val="85"/>
        <w:rPr>
          <w:rFonts w:ascii="楷体" w:hAnsi="楷体" w:eastAsia="楷体"/>
          <w:b/>
          <w:bCs/>
          <w:spacing w:val="208"/>
          <w:sz w:val="32"/>
          <w:szCs w:val="32"/>
        </w:rPr>
      </w:pPr>
    </w:p>
    <w:p>
      <w:pPr>
        <w:rPr>
          <w:rFonts w:ascii="宋体" w:hAnsi="宋体"/>
          <w:sz w:val="32"/>
          <w:szCs w:val="32"/>
        </w:rPr>
      </w:pPr>
    </w:p>
    <w:p>
      <w:pPr>
        <w:spacing w:before="156" w:beforeLines="50" w:line="360" w:lineRule="auto"/>
        <w:jc w:val="center"/>
        <w:rPr>
          <w:b/>
          <w:sz w:val="32"/>
          <w:szCs w:val="32"/>
        </w:rPr>
      </w:pPr>
      <w:r>
        <w:rPr>
          <w:b/>
          <w:sz w:val="32"/>
          <w:szCs w:val="32"/>
        </w:rPr>
        <w:t>AIS/ASM</w:t>
      </w:r>
      <w:r>
        <w:rPr>
          <w:rFonts w:hint="eastAsia"/>
          <w:b/>
          <w:sz w:val="32"/>
          <w:szCs w:val="32"/>
        </w:rPr>
        <w:t>国产化核心网系统工程合同</w:t>
      </w:r>
    </w:p>
    <w:p>
      <w:pPr>
        <w:pStyle w:val="84"/>
        <w:ind w:firstLine="0" w:firstLineChars="0"/>
        <w:jc w:val="left"/>
        <w:rPr>
          <w:rFonts w:ascii="楷体" w:hAnsi="楷体" w:eastAsia="楷体"/>
          <w:sz w:val="32"/>
          <w:szCs w:val="32"/>
        </w:rPr>
      </w:pPr>
    </w:p>
    <w:p>
      <w:pPr>
        <w:rPr>
          <w:rFonts w:ascii="楷体" w:hAnsi="楷体" w:eastAsia="楷体"/>
          <w:sz w:val="32"/>
          <w:szCs w:val="32"/>
        </w:rPr>
      </w:pPr>
    </w:p>
    <w:tbl>
      <w:tblPr>
        <w:tblStyle w:val="32"/>
        <w:tblpPr w:leftFromText="180" w:rightFromText="180" w:vertAnchor="text" w:horzAnchor="margin" w:tblpY="2510"/>
        <w:tblOverlap w:val="never"/>
        <w:tblW w:w="0" w:type="auto"/>
        <w:tblInd w:w="0" w:type="dxa"/>
        <w:tblLayout w:type="fixed"/>
        <w:tblCellMar>
          <w:top w:w="0" w:type="dxa"/>
          <w:left w:w="108" w:type="dxa"/>
          <w:bottom w:w="0" w:type="dxa"/>
          <w:right w:w="108" w:type="dxa"/>
        </w:tblCellMar>
      </w:tblPr>
      <w:tblGrid>
        <w:gridCol w:w="1981"/>
        <w:gridCol w:w="7051"/>
      </w:tblGrid>
      <w:tr>
        <w:tblPrEx>
          <w:tblCellMar>
            <w:top w:w="0" w:type="dxa"/>
            <w:left w:w="108" w:type="dxa"/>
            <w:bottom w:w="0" w:type="dxa"/>
            <w:right w:w="108" w:type="dxa"/>
          </w:tblCellMar>
        </w:tblPrEx>
        <w:trPr>
          <w:trHeight w:val="716" w:hRule="atLeast"/>
        </w:trPr>
        <w:tc>
          <w:tcPr>
            <w:tcW w:w="1981" w:type="dxa"/>
          </w:tcPr>
          <w:p>
            <w:pPr>
              <w:ind w:firstLine="480" w:firstLineChars="150"/>
              <w:rPr>
                <w:rFonts w:ascii="楷体" w:hAnsi="楷体" w:eastAsia="楷体"/>
                <w:sz w:val="32"/>
                <w:szCs w:val="32"/>
              </w:rPr>
            </w:pPr>
            <w:r>
              <w:rPr>
                <w:rFonts w:hint="eastAsia" w:ascii="楷体" w:hAnsi="楷体" w:eastAsia="楷体"/>
                <w:sz w:val="32"/>
                <w:szCs w:val="32"/>
              </w:rPr>
              <w:t>甲方：</w:t>
            </w:r>
          </w:p>
        </w:tc>
        <w:tc>
          <w:tcPr>
            <w:tcW w:w="7051" w:type="dxa"/>
            <w:vAlign w:val="center"/>
          </w:tcPr>
          <w:p>
            <w:pPr>
              <w:jc w:val="center"/>
              <w:rPr>
                <w:rFonts w:ascii="楷体" w:hAnsi="楷体" w:eastAsia="楷体"/>
                <w:sz w:val="32"/>
                <w:szCs w:val="32"/>
                <w:u w:val="single"/>
              </w:rPr>
            </w:pPr>
            <w:r>
              <w:rPr>
                <w:rFonts w:ascii="楷体" w:hAnsi="楷体" w:eastAsia="楷体"/>
                <w:sz w:val="32"/>
                <w:szCs w:val="32"/>
              </w:rPr>
              <w:t xml:space="preserve">    </w:t>
            </w:r>
            <w:r>
              <w:rPr>
                <w:rFonts w:ascii="楷体" w:hAnsi="楷体" w:eastAsia="楷体"/>
                <w:sz w:val="32"/>
                <w:szCs w:val="32"/>
                <w:u w:val="single"/>
              </w:rPr>
              <w:t xml:space="preserve"> 交通运输部北海航海保障中心天津航标处    </w:t>
            </w:r>
          </w:p>
        </w:tc>
      </w:tr>
      <w:tr>
        <w:tblPrEx>
          <w:tblCellMar>
            <w:top w:w="0" w:type="dxa"/>
            <w:left w:w="108" w:type="dxa"/>
            <w:bottom w:w="0" w:type="dxa"/>
            <w:right w:w="108" w:type="dxa"/>
          </w:tblCellMar>
        </w:tblPrEx>
        <w:trPr>
          <w:trHeight w:val="716" w:hRule="atLeast"/>
        </w:trPr>
        <w:tc>
          <w:tcPr>
            <w:tcW w:w="1981" w:type="dxa"/>
          </w:tcPr>
          <w:p>
            <w:pPr>
              <w:ind w:firstLine="480" w:firstLineChars="150"/>
              <w:rPr>
                <w:rFonts w:ascii="楷体" w:hAnsi="楷体" w:eastAsia="楷体"/>
                <w:sz w:val="32"/>
                <w:szCs w:val="32"/>
              </w:rPr>
            </w:pPr>
            <w:r>
              <w:rPr>
                <w:rFonts w:hint="eastAsia" w:ascii="楷体" w:hAnsi="楷体" w:eastAsia="楷体"/>
                <w:sz w:val="32"/>
                <w:szCs w:val="32"/>
              </w:rPr>
              <w:t>乙方：</w:t>
            </w:r>
          </w:p>
        </w:tc>
        <w:tc>
          <w:tcPr>
            <w:tcW w:w="7051" w:type="dxa"/>
            <w:vAlign w:val="center"/>
          </w:tcPr>
          <w:p>
            <w:pPr>
              <w:ind w:firstLine="800" w:firstLineChars="250"/>
              <w:rPr>
                <w:rFonts w:ascii="楷体" w:hAnsi="楷体" w:eastAsia="楷体"/>
                <w:sz w:val="32"/>
                <w:szCs w:val="32"/>
                <w:u w:val="single"/>
              </w:rPr>
            </w:pPr>
            <w:r>
              <w:rPr>
                <w:rFonts w:ascii="楷体" w:hAnsi="楷体" w:eastAsia="楷体"/>
                <w:sz w:val="32"/>
                <w:szCs w:val="32"/>
                <w:u w:val="single"/>
              </w:rPr>
              <w:t xml:space="preserve">                                     </w:t>
            </w:r>
          </w:p>
        </w:tc>
      </w:tr>
      <w:tr>
        <w:tblPrEx>
          <w:tblCellMar>
            <w:top w:w="0" w:type="dxa"/>
            <w:left w:w="108" w:type="dxa"/>
            <w:bottom w:w="0" w:type="dxa"/>
            <w:right w:w="108" w:type="dxa"/>
          </w:tblCellMar>
        </w:tblPrEx>
        <w:trPr>
          <w:trHeight w:val="698" w:hRule="atLeast"/>
        </w:trPr>
        <w:tc>
          <w:tcPr>
            <w:tcW w:w="1981" w:type="dxa"/>
          </w:tcPr>
          <w:p>
            <w:pPr>
              <w:ind w:firstLine="160" w:firstLineChars="50"/>
              <w:rPr>
                <w:rFonts w:ascii="楷体" w:hAnsi="楷体" w:eastAsia="楷体"/>
                <w:sz w:val="32"/>
                <w:szCs w:val="32"/>
              </w:rPr>
            </w:pPr>
            <w:r>
              <w:rPr>
                <w:rFonts w:ascii="楷体" w:hAnsi="楷体" w:eastAsia="楷体"/>
                <w:sz w:val="32"/>
                <w:szCs w:val="32"/>
              </w:rPr>
              <w:t xml:space="preserve">  丙方：</w:t>
            </w:r>
          </w:p>
          <w:p>
            <w:pPr>
              <w:ind w:firstLine="160" w:firstLineChars="50"/>
              <w:rPr>
                <w:rFonts w:ascii="楷体" w:hAnsi="楷体" w:eastAsia="楷体"/>
                <w:sz w:val="32"/>
                <w:szCs w:val="32"/>
              </w:rPr>
            </w:pPr>
            <w:r>
              <w:rPr>
                <w:rFonts w:hint="eastAsia" w:ascii="楷体" w:hAnsi="楷体" w:eastAsia="楷体"/>
                <w:sz w:val="32"/>
                <w:szCs w:val="32"/>
              </w:rPr>
              <w:t>签订地点：</w:t>
            </w:r>
          </w:p>
        </w:tc>
        <w:tc>
          <w:tcPr>
            <w:tcW w:w="7051" w:type="dxa"/>
            <w:vAlign w:val="center"/>
          </w:tcPr>
          <w:p>
            <w:pPr>
              <w:ind w:firstLine="960" w:firstLineChars="300"/>
              <w:rPr>
                <w:rFonts w:ascii="楷体" w:hAnsi="楷体" w:eastAsia="楷体"/>
                <w:sz w:val="32"/>
                <w:szCs w:val="32"/>
                <w:u w:val="single"/>
              </w:rPr>
            </w:pPr>
            <w:r>
              <w:rPr>
                <w:rFonts w:ascii="楷体" w:hAnsi="楷体" w:eastAsia="楷体"/>
                <w:sz w:val="32"/>
                <w:szCs w:val="32"/>
                <w:u w:val="single"/>
              </w:rPr>
              <w:t xml:space="preserve">     交通运输部北海航海保障中心      </w:t>
            </w:r>
          </w:p>
          <w:p>
            <w:pPr>
              <w:ind w:firstLine="960" w:firstLineChars="300"/>
              <w:rPr>
                <w:rFonts w:ascii="楷体" w:hAnsi="楷体" w:eastAsia="楷体"/>
                <w:sz w:val="32"/>
                <w:szCs w:val="32"/>
                <w:u w:val="single"/>
              </w:rPr>
            </w:pPr>
            <w:r>
              <w:rPr>
                <w:rFonts w:ascii="楷体" w:hAnsi="楷体" w:eastAsia="楷体"/>
                <w:sz w:val="32"/>
                <w:szCs w:val="32"/>
                <w:u w:val="single"/>
              </w:rPr>
              <w:t xml:space="preserve">                 天津               </w:t>
            </w:r>
          </w:p>
        </w:tc>
      </w:tr>
      <w:tr>
        <w:tblPrEx>
          <w:tblCellMar>
            <w:top w:w="0" w:type="dxa"/>
            <w:left w:w="108" w:type="dxa"/>
            <w:bottom w:w="0" w:type="dxa"/>
            <w:right w:w="108" w:type="dxa"/>
          </w:tblCellMar>
        </w:tblPrEx>
        <w:trPr>
          <w:trHeight w:val="716" w:hRule="atLeast"/>
        </w:trPr>
        <w:tc>
          <w:tcPr>
            <w:tcW w:w="1981" w:type="dxa"/>
          </w:tcPr>
          <w:p>
            <w:pPr>
              <w:ind w:firstLine="160" w:firstLineChars="50"/>
              <w:rPr>
                <w:rFonts w:ascii="楷体" w:hAnsi="楷体" w:eastAsia="楷体"/>
                <w:sz w:val="32"/>
                <w:szCs w:val="32"/>
              </w:rPr>
            </w:pPr>
            <w:r>
              <w:rPr>
                <w:rFonts w:hint="eastAsia" w:ascii="楷体" w:hAnsi="楷体" w:eastAsia="楷体"/>
                <w:sz w:val="32"/>
                <w:szCs w:val="32"/>
              </w:rPr>
              <w:t>签订日期：</w:t>
            </w:r>
          </w:p>
        </w:tc>
        <w:tc>
          <w:tcPr>
            <w:tcW w:w="7051" w:type="dxa"/>
            <w:vAlign w:val="center"/>
          </w:tcPr>
          <w:p>
            <w:pPr>
              <w:ind w:firstLine="960" w:firstLineChars="300"/>
              <w:rPr>
                <w:rFonts w:ascii="楷体" w:hAnsi="楷体" w:eastAsia="楷体"/>
                <w:sz w:val="32"/>
                <w:szCs w:val="32"/>
                <w:u w:val="single"/>
              </w:rPr>
            </w:pPr>
            <w:r>
              <w:rPr>
                <w:rFonts w:ascii="楷体" w:hAnsi="楷体" w:eastAsia="楷体"/>
                <w:sz w:val="32"/>
                <w:szCs w:val="32"/>
                <w:u w:val="single"/>
              </w:rPr>
              <w:t xml:space="preserve">              2022</w:t>
            </w:r>
            <w:r>
              <w:rPr>
                <w:rFonts w:hint="eastAsia" w:ascii="楷体" w:hAnsi="楷体" w:eastAsia="楷体"/>
                <w:sz w:val="32"/>
                <w:szCs w:val="32"/>
                <w:u w:val="single"/>
              </w:rPr>
              <w:t>年</w:t>
            </w:r>
            <w:r>
              <w:rPr>
                <w:rFonts w:ascii="楷体" w:hAnsi="楷体" w:eastAsia="楷体"/>
                <w:sz w:val="32"/>
                <w:szCs w:val="32"/>
                <w:u w:val="single"/>
              </w:rPr>
              <w:t xml:space="preserve">  </w:t>
            </w:r>
            <w:r>
              <w:rPr>
                <w:rFonts w:hint="eastAsia" w:ascii="楷体" w:hAnsi="楷体" w:eastAsia="楷体"/>
                <w:sz w:val="32"/>
                <w:szCs w:val="32"/>
                <w:u w:val="single"/>
              </w:rPr>
              <w:t>月</w:t>
            </w:r>
            <w:r>
              <w:rPr>
                <w:rFonts w:ascii="楷体" w:hAnsi="楷体" w:eastAsia="楷体"/>
                <w:sz w:val="32"/>
                <w:szCs w:val="32"/>
                <w:u w:val="single"/>
              </w:rPr>
              <w:t xml:space="preserve">            </w:t>
            </w:r>
          </w:p>
        </w:tc>
      </w:tr>
      <w:tr>
        <w:tblPrEx>
          <w:tblCellMar>
            <w:top w:w="0" w:type="dxa"/>
            <w:left w:w="108" w:type="dxa"/>
            <w:bottom w:w="0" w:type="dxa"/>
            <w:right w:w="108" w:type="dxa"/>
          </w:tblCellMar>
        </w:tblPrEx>
        <w:trPr>
          <w:trHeight w:val="716" w:hRule="atLeast"/>
        </w:trPr>
        <w:tc>
          <w:tcPr>
            <w:tcW w:w="1981" w:type="dxa"/>
          </w:tcPr>
          <w:p>
            <w:pPr>
              <w:ind w:firstLine="160" w:firstLineChars="50"/>
              <w:rPr>
                <w:rFonts w:ascii="楷体" w:hAnsi="楷体" w:eastAsia="楷体"/>
                <w:color w:val="FF0000"/>
                <w:sz w:val="32"/>
              </w:rPr>
            </w:pPr>
          </w:p>
        </w:tc>
        <w:tc>
          <w:tcPr>
            <w:tcW w:w="7051" w:type="dxa"/>
            <w:vAlign w:val="center"/>
          </w:tcPr>
          <w:p>
            <w:pPr>
              <w:ind w:firstLine="960" w:firstLineChars="300"/>
              <w:rPr>
                <w:rFonts w:ascii="楷体" w:hAnsi="楷体" w:eastAsia="楷体"/>
                <w:color w:val="FF0000"/>
                <w:sz w:val="32"/>
                <w:u w:val="single"/>
              </w:rPr>
            </w:pPr>
          </w:p>
        </w:tc>
      </w:tr>
    </w:tbl>
    <w:p>
      <w:pPr>
        <w:rPr>
          <w:rFonts w:ascii="楷体" w:hAnsi="楷体" w:eastAsia="楷体"/>
          <w:sz w:val="32"/>
        </w:rPr>
      </w:pPr>
    </w:p>
    <w:p>
      <w:pPr>
        <w:rPr>
          <w:rFonts w:ascii="楷体" w:hAnsi="楷体" w:eastAsia="楷体"/>
          <w:sz w:val="32"/>
        </w:rPr>
      </w:pPr>
    </w:p>
    <w:p>
      <w:pPr>
        <w:rPr>
          <w:rFonts w:ascii="楷体" w:hAnsi="楷体" w:eastAsia="楷体"/>
          <w:sz w:val="32"/>
        </w:rPr>
      </w:pPr>
    </w:p>
    <w:p>
      <w:pPr>
        <w:rPr>
          <w:rFonts w:ascii="楷体" w:hAnsi="楷体" w:eastAsia="楷体"/>
          <w:sz w:val="32"/>
        </w:rPr>
      </w:pPr>
    </w:p>
    <w:p>
      <w:pPr>
        <w:rPr>
          <w:rFonts w:ascii="楷体" w:hAnsi="楷体" w:eastAsia="楷体"/>
          <w:sz w:val="32"/>
        </w:rPr>
      </w:pPr>
    </w:p>
    <w:p>
      <w:pPr>
        <w:pStyle w:val="28"/>
        <w:spacing w:after="0" w:line="340" w:lineRule="exact"/>
        <w:rPr>
          <w:rFonts w:ascii="黑体" w:hAnsi="黑体" w:eastAsia="黑体" w:cs="宋体"/>
          <w:sz w:val="32"/>
          <w:szCs w:val="32"/>
        </w:rPr>
      </w:pPr>
    </w:p>
    <w:p>
      <w:pPr>
        <w:pStyle w:val="28"/>
        <w:spacing w:after="0" w:line="340" w:lineRule="exact"/>
        <w:rPr>
          <w:rFonts w:ascii="黑体" w:hAnsi="黑体" w:eastAsia="黑体" w:cs="宋体"/>
          <w:sz w:val="32"/>
          <w:szCs w:val="32"/>
        </w:rPr>
      </w:pPr>
    </w:p>
    <w:p>
      <w:pPr>
        <w:rPr>
          <w:rFonts w:ascii="黑体" w:hAnsi="黑体" w:eastAsia="黑体" w:cs="宋体"/>
          <w:sz w:val="32"/>
          <w:szCs w:val="32"/>
        </w:rPr>
      </w:pPr>
      <w:r>
        <w:rPr>
          <w:rFonts w:ascii="黑体" w:hAnsi="黑体" w:eastAsia="黑体" w:cs="宋体"/>
          <w:sz w:val="32"/>
          <w:szCs w:val="32"/>
        </w:rPr>
        <w:br w:type="page"/>
      </w:r>
    </w:p>
    <w:p/>
    <w:p>
      <w:pPr>
        <w:pStyle w:val="28"/>
        <w:spacing w:after="0" w:line="340" w:lineRule="exact"/>
        <w:rPr>
          <w:rFonts w:ascii="黑体" w:hAnsi="黑体" w:eastAsia="黑体" w:cs="宋体"/>
          <w:sz w:val="32"/>
          <w:szCs w:val="32"/>
        </w:rPr>
      </w:pPr>
    </w:p>
    <w:p>
      <w:pPr>
        <w:pStyle w:val="28"/>
        <w:spacing w:after="0" w:line="340" w:lineRule="exact"/>
        <w:jc w:val="center"/>
        <w:rPr>
          <w:rFonts w:ascii="宋体" w:hAnsi="宋体" w:eastAsia="宋体" w:cs="宋体"/>
          <w:b/>
          <w:bCs/>
          <w:sz w:val="28"/>
          <w:szCs w:val="28"/>
        </w:rPr>
      </w:pPr>
      <w:r>
        <w:rPr>
          <w:rFonts w:hint="eastAsia" w:ascii="宋体" w:hAnsi="宋体" w:eastAsia="宋体" w:cs="宋体"/>
          <w:b/>
          <w:bCs/>
          <w:sz w:val="28"/>
          <w:szCs w:val="28"/>
        </w:rPr>
        <w:t>合同条款</w:t>
      </w:r>
    </w:p>
    <w:p>
      <w:pPr>
        <w:adjustRightInd w:val="0"/>
        <w:snapToGrid w:val="0"/>
        <w:spacing w:line="340" w:lineRule="exact"/>
        <w:ind w:firstLine="480" w:firstLineChars="200"/>
        <w:rPr>
          <w:rFonts w:ascii="宋体" w:hAnsi="宋体" w:eastAsia="宋体" w:cs="宋体"/>
          <w:sz w:val="24"/>
          <w:szCs w:val="24"/>
        </w:rPr>
      </w:pP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依据《中华人民共和国民法典》《中华人民共和国招标采购法》及其他法律法规的有关规定，</w:t>
      </w:r>
      <w:r>
        <w:rPr>
          <w:rFonts w:hint="eastAsia" w:ascii="宋体" w:hAnsi="宋体" w:eastAsia="宋体" w:cs="宋体"/>
          <w:sz w:val="24"/>
          <w:szCs w:val="24"/>
          <w:u w:val="single"/>
        </w:rPr>
        <w:t>交通运输部北海航海保障中心天津航标处（甲方）</w:t>
      </w:r>
      <w:r>
        <w:rPr>
          <w:rFonts w:hint="eastAsia" w:ascii="宋体" w:hAnsi="宋体" w:eastAsia="宋体" w:cs="宋体"/>
          <w:sz w:val="24"/>
          <w:szCs w:val="24"/>
        </w:rPr>
        <w:t>、</w:t>
      </w:r>
      <w:r>
        <w:rPr>
          <w:rFonts w:hint="eastAsia" w:ascii="宋体" w:hAnsi="宋体" w:eastAsia="宋体" w:cs="宋体"/>
          <w:sz w:val="24"/>
          <w:szCs w:val="24"/>
          <w:u w:val="single"/>
        </w:rPr>
        <w:t xml:space="preserve">             （乙方）及交通运输部北海航海保障中心（丙方）</w:t>
      </w:r>
      <w:r>
        <w:rPr>
          <w:rFonts w:hint="eastAsia" w:ascii="宋体" w:hAnsi="宋体" w:eastAsia="宋体" w:cs="宋体"/>
          <w:sz w:val="24"/>
          <w:szCs w:val="24"/>
        </w:rPr>
        <w:t>，经协商达成一致，就</w:t>
      </w:r>
      <w:r>
        <w:rPr>
          <w:rFonts w:hint="eastAsia" w:ascii="宋体" w:hAnsi="宋体" w:eastAsia="宋体" w:cs="宋体"/>
          <w:sz w:val="24"/>
          <w:szCs w:val="24"/>
          <w:u w:val="single"/>
        </w:rPr>
        <w:t>AIS/ASM国产化核心网系统工程项目</w:t>
      </w:r>
      <w:r>
        <w:rPr>
          <w:rFonts w:hint="eastAsia" w:ascii="宋体" w:hAnsi="宋体" w:eastAsia="宋体" w:cs="宋体"/>
          <w:sz w:val="24"/>
          <w:szCs w:val="24"/>
        </w:rPr>
        <w:t>，自愿订立本合同，遵循公平原则明确双方的权利、义务，确保三方诚实守信地履行合同。</w:t>
      </w:r>
    </w:p>
    <w:p>
      <w:pPr>
        <w:numPr>
          <w:ilvl w:val="0"/>
          <w:numId w:val="21"/>
        </w:numPr>
        <w:tabs>
          <w:tab w:val="left" w:pos="780"/>
        </w:tabs>
        <w:adjustRightInd w:val="0"/>
        <w:snapToGrid w:val="0"/>
        <w:spacing w:line="360" w:lineRule="auto"/>
        <w:rPr>
          <w:rFonts w:ascii="宋体" w:hAnsi="宋体" w:eastAsia="宋体" w:cs="宋体"/>
          <w:b/>
          <w:bCs/>
          <w:sz w:val="24"/>
          <w:szCs w:val="24"/>
        </w:rPr>
      </w:pPr>
      <w:r>
        <w:rPr>
          <w:rFonts w:hint="eastAsia" w:ascii="宋体" w:hAnsi="宋体" w:eastAsia="宋体" w:cs="宋体"/>
          <w:b/>
          <w:bCs/>
          <w:sz w:val="24"/>
          <w:szCs w:val="24"/>
        </w:rPr>
        <w:t>合同文件</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下列文件构成本合同的组成部分，是一个整体，彼此相互解释，相互补充。</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1.三方商定的补充协议或经三方签署的备忘录（如果有）</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2.合同条款</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3.中标通知书</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4.招投标文件</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5.与本合同有关的其他文件</w:t>
      </w:r>
    </w:p>
    <w:p>
      <w:pPr>
        <w:numPr>
          <w:ilvl w:val="0"/>
          <w:numId w:val="21"/>
        </w:numPr>
        <w:tabs>
          <w:tab w:val="left" w:pos="780"/>
        </w:tabs>
        <w:adjustRightInd w:val="0"/>
        <w:snapToGrid w:val="0"/>
        <w:spacing w:line="360" w:lineRule="auto"/>
        <w:rPr>
          <w:rFonts w:ascii="宋体" w:hAnsi="宋体" w:eastAsia="宋体" w:cs="宋体"/>
          <w:b/>
          <w:bCs/>
          <w:sz w:val="24"/>
          <w:szCs w:val="24"/>
        </w:rPr>
      </w:pPr>
      <w:r>
        <w:rPr>
          <w:rFonts w:hint="eastAsia" w:ascii="宋体" w:hAnsi="宋体" w:eastAsia="宋体" w:cs="宋体"/>
          <w:b/>
          <w:bCs/>
          <w:sz w:val="24"/>
          <w:szCs w:val="24"/>
        </w:rPr>
        <w:t>服务时间及服务地点</w:t>
      </w:r>
    </w:p>
    <w:p>
      <w:pPr>
        <w:numPr>
          <w:ilvl w:val="0"/>
          <w:numId w:val="22"/>
        </w:numPr>
        <w:adjustRightInd w:val="0"/>
        <w:snapToGrid w:val="0"/>
        <w:spacing w:line="360" w:lineRule="auto"/>
        <w:rPr>
          <w:rFonts w:ascii="宋体" w:hAnsi="宋体" w:eastAsia="宋体" w:cs="宋体"/>
          <w:color w:val="FF0000"/>
          <w:sz w:val="24"/>
          <w:szCs w:val="24"/>
        </w:rPr>
      </w:pPr>
      <w:r>
        <w:rPr>
          <w:rFonts w:hint="eastAsia" w:ascii="宋体" w:hAnsi="宋体" w:eastAsia="宋体" w:cs="宋体"/>
          <w:sz w:val="24"/>
          <w:szCs w:val="24"/>
        </w:rPr>
        <w:t>服务时间：</w:t>
      </w:r>
      <w:r>
        <w:rPr>
          <w:rFonts w:hint="eastAsia" w:ascii="宋体" w:hAnsi="宋体" w:eastAsia="宋体" w:cs="宋体"/>
          <w:b/>
          <w:bCs/>
          <w:color w:val="383838"/>
          <w:kern w:val="0"/>
          <w:sz w:val="24"/>
          <w:szCs w:val="24"/>
          <w:lang w:bidi="ar"/>
        </w:rPr>
        <w:t>自</w:t>
      </w:r>
      <w:r>
        <w:rPr>
          <w:rFonts w:hint="eastAsia" w:ascii="宋体" w:hAnsi="宋体"/>
          <w:b/>
          <w:bCs/>
          <w:sz w:val="24"/>
        </w:rPr>
        <w:t>合同</w:t>
      </w:r>
      <w:r>
        <w:rPr>
          <w:rFonts w:hint="eastAsia" w:ascii="宋体" w:hAnsi="宋体"/>
          <w:b/>
          <w:sz w:val="24"/>
        </w:rPr>
        <w:t>签订之日起至</w:t>
      </w:r>
      <w:r>
        <w:rPr>
          <w:rFonts w:ascii="宋体" w:hAnsi="宋体"/>
          <w:b/>
          <w:sz w:val="24"/>
        </w:rPr>
        <w:t>2023年</w:t>
      </w:r>
      <w:r>
        <w:rPr>
          <w:rFonts w:hint="eastAsia" w:ascii="宋体" w:hAnsi="宋体"/>
          <w:b/>
          <w:sz w:val="24"/>
        </w:rPr>
        <w:t>12月31日</w:t>
      </w:r>
      <w:r>
        <w:rPr>
          <w:rFonts w:hint="eastAsia" w:ascii="宋体" w:hAnsi="宋体" w:eastAsia="宋体" w:cs="宋体"/>
          <w:color w:val="383838"/>
          <w:kern w:val="0"/>
          <w:sz w:val="24"/>
          <w:szCs w:val="24"/>
          <w:lang w:bidi="ar"/>
        </w:rPr>
        <w:t>。</w:t>
      </w:r>
    </w:p>
    <w:p>
      <w:pPr>
        <w:numPr>
          <w:ilvl w:val="0"/>
          <w:numId w:val="22"/>
        </w:numPr>
        <w:adjustRightInd w:val="0"/>
        <w:snapToGrid w:val="0"/>
        <w:spacing w:line="360" w:lineRule="auto"/>
        <w:rPr>
          <w:rFonts w:ascii="宋体" w:hAnsi="宋体" w:eastAsia="宋体" w:cs="宋体"/>
          <w:color w:val="FF0000"/>
          <w:sz w:val="24"/>
          <w:szCs w:val="24"/>
        </w:rPr>
      </w:pPr>
      <w:r>
        <w:rPr>
          <w:rFonts w:hint="eastAsia" w:ascii="宋体" w:hAnsi="宋体" w:eastAsia="宋体" w:cs="宋体"/>
          <w:sz w:val="24"/>
          <w:szCs w:val="24"/>
        </w:rPr>
        <w:t>服务地点：天津、大连、营口、烟台、青岛、秦皇岛</w:t>
      </w:r>
    </w:p>
    <w:p>
      <w:pPr>
        <w:numPr>
          <w:ilvl w:val="0"/>
          <w:numId w:val="21"/>
        </w:numPr>
        <w:tabs>
          <w:tab w:val="left" w:pos="780"/>
        </w:tabs>
        <w:adjustRightInd w:val="0"/>
        <w:snapToGrid w:val="0"/>
        <w:spacing w:line="360" w:lineRule="auto"/>
        <w:rPr>
          <w:rFonts w:ascii="宋体" w:hAnsi="宋体" w:eastAsia="宋体" w:cs="宋体"/>
          <w:b/>
          <w:bCs/>
          <w:sz w:val="24"/>
          <w:szCs w:val="24"/>
        </w:rPr>
      </w:pPr>
      <w:r>
        <w:rPr>
          <w:rFonts w:hint="eastAsia" w:ascii="宋体" w:hAnsi="宋体" w:eastAsia="宋体" w:cs="宋体"/>
          <w:b/>
          <w:bCs/>
          <w:sz w:val="24"/>
          <w:szCs w:val="24"/>
        </w:rPr>
        <w:t>服务内容</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乙方须根据甲方要求，调整现有AIS岸基网络系统数据传输架构，开发AIS/ASM国产化核心网系统，并配置服务器和交换机，将北方区域进口和国产AIS基站数据全部接入国产化核心网系统进行统一管理。系统开发包括：结合AIS系统岸基网络系统现状，对系统功能建设进行详细设计并开展功能开发，包括接口服务、核心网管理、基站驱动服务、数据对比测试四个子系统，实现北方区域AIS岸基系统AIS/ASM的收发能力。同时对硬件设备购置、部署。硬件设备包括：购置19台服务器，6台万兆交换机，其中AIS海区中心部署1台服务器，6个辖区中心每个部署3台服务器和1台万兆交换机。其系统功能要求、硬件性能以及项目进度需满足《项目需求书》。</w:t>
      </w:r>
    </w:p>
    <w:p>
      <w:pPr>
        <w:numPr>
          <w:ilvl w:val="0"/>
          <w:numId w:val="21"/>
        </w:numPr>
        <w:tabs>
          <w:tab w:val="left" w:pos="780"/>
        </w:tabs>
        <w:adjustRightInd w:val="0"/>
        <w:snapToGrid w:val="0"/>
        <w:spacing w:line="360" w:lineRule="auto"/>
        <w:rPr>
          <w:rFonts w:ascii="宋体" w:hAnsi="宋体" w:eastAsia="宋体" w:cs="宋体"/>
          <w:b/>
          <w:bCs/>
          <w:sz w:val="24"/>
          <w:szCs w:val="24"/>
        </w:rPr>
      </w:pPr>
      <w:r>
        <w:rPr>
          <w:rFonts w:hint="eastAsia" w:ascii="宋体" w:hAnsi="宋体" w:eastAsia="宋体" w:cs="宋体"/>
          <w:b/>
          <w:bCs/>
          <w:sz w:val="24"/>
          <w:szCs w:val="24"/>
        </w:rPr>
        <w:t>合同金额及付款方式</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1.合同总价款为</w:t>
      </w:r>
      <w:r>
        <w:rPr>
          <w:rFonts w:hint="eastAsia" w:ascii="宋体" w:hAnsi="宋体" w:eastAsia="宋体" w:cs="宋体"/>
          <w:b/>
          <w:sz w:val="24"/>
          <w:szCs w:val="24"/>
          <w:u w:val="single"/>
        </w:rPr>
        <w:t>人民币￥       元</w:t>
      </w:r>
      <w:r>
        <w:rPr>
          <w:rFonts w:hint="eastAsia" w:ascii="宋体" w:hAnsi="宋体" w:eastAsia="宋体" w:cs="宋体"/>
          <w:sz w:val="24"/>
          <w:szCs w:val="24"/>
        </w:rPr>
        <w:t>（</w:t>
      </w:r>
      <w:r>
        <w:rPr>
          <w:rFonts w:hint="eastAsia" w:ascii="宋体" w:hAnsi="宋体" w:eastAsia="宋体" w:cs="宋体"/>
          <w:b/>
          <w:sz w:val="24"/>
          <w:szCs w:val="24"/>
        </w:rPr>
        <w:t>大写：        元整</w:t>
      </w:r>
      <w:r>
        <w:rPr>
          <w:rFonts w:hint="eastAsia" w:ascii="宋体" w:hAnsi="宋体" w:eastAsia="宋体" w:cs="宋体"/>
          <w:sz w:val="24"/>
          <w:szCs w:val="24"/>
        </w:rPr>
        <w:t>）</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(1)产品价格，包含主产品价格、配件和备件价格、辅助材料价格、运至交货地的保险和装卸、运输费用；</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(2)相关的技术文件费用，包含合同产品、培训的全部技术文件费用；</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(3)合同产品相关的技术支持与服务费用，包含安装、调试及必要的培训费用；</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(4)营业税、增值税、所得税及其他相关税项、关税和费用。</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2.该合同总价为乙方将合同产品运输到合同指定地点并安装调试成功后的最终含税价格。除合同总价外，丙方无须向乙方支付其他任何费用。</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若甲方由于项目需要，另行采购合同约定的同等配置、型号的产品，后续的价格不得超过本合同的约定的单价，若合同项下的产品已经停产，乙方应尽最大努力提供不低于本合同配置的产品，且价格不得高于本合同约定的单价。</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4.支付方式</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（1）项目支付价款以财政专项拨款额度为准，拨款额度不足的，待财政资金到位后支付。</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（2）本项目合同签订后10个工作日内，由丙方向乙方支付合同总价款30%。</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（3）完成本项目详细设计并向甲方提供《详细设计报告》，由丙方向乙方支付合同总价款的15%。</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（4）完成本项目设备的到货点验后10个工作日内，由丙方向乙方支付合同总价款的30%。</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（5）完成本项目软件功能确认后10个工作日内，由丙方向乙方支付合同总价款的15%。</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（6）完成本项目设备安装，经甲方确认合格后10个工作日内，由丙方向乙方支付合同总价款的5%。</w:t>
      </w:r>
    </w:p>
    <w:p>
      <w:pPr>
        <w:pStyle w:val="47"/>
        <w:spacing w:line="360" w:lineRule="auto"/>
        <w:jc w:val="both"/>
        <w:rPr>
          <w:rFonts w:ascii="Times New Roman" w:hAnsi="Times New Roman" w:eastAsia="宋体" w:cs="Times New Roman"/>
          <w:color w:val="auto"/>
          <w:kern w:val="2"/>
        </w:rPr>
      </w:pPr>
      <w:r>
        <w:rPr>
          <w:rFonts w:hint="eastAsia" w:ascii="宋体" w:hAnsi="宋体" w:eastAsia="宋体" w:cs="宋体"/>
        </w:rPr>
        <w:t>（7）项目完成现场验收，并完成项目审计后10个工作日内</w:t>
      </w:r>
      <w:r>
        <w:rPr>
          <w:rFonts w:hint="eastAsia" w:ascii="Times New Roman" w:hAnsi="Times New Roman" w:eastAsia="宋体" w:cs="Times New Roman"/>
          <w:color w:val="auto"/>
          <w:kern w:val="2"/>
        </w:rPr>
        <w:t>按照审计值支付剩余费用，乙方出具9万元的保函。</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六、验收</w:t>
      </w:r>
    </w:p>
    <w:p>
      <w:pPr>
        <w:adjustRightInd w:val="0"/>
        <w:snapToGrid w:val="0"/>
        <w:spacing w:line="360" w:lineRule="auto"/>
        <w:ind w:firstLine="480" w:firstLineChars="200"/>
        <w:rPr>
          <w:rFonts w:ascii="宋体" w:hAnsi="宋体" w:eastAsia="宋体" w:cs="宋体"/>
          <w:bCs/>
          <w:sz w:val="24"/>
          <w:szCs w:val="24"/>
        </w:rPr>
      </w:pPr>
      <w:r>
        <w:rPr>
          <w:rFonts w:hint="eastAsia" w:ascii="宋体" w:hAnsi="宋体"/>
          <w:bCs/>
          <w:sz w:val="24"/>
        </w:rPr>
        <w:t>达到招标文件规定的服务需求，及国家、地方和行业现行规定合格标准。</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七、履约保证金</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不需要。</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八、所有权及风险转移</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合同软硬件产品的所有权自产品交付之日起转移至甲方。</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九、品质保证</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乙方保证其提供的合同软硬件产品符合国家标准、行业标准以及双方认可的乙方产品说明书中所规定的产品功能和性能以及双方约定的其它质量标准。前述产品说明书中包含排除乙方法定或约定义务内容的，或该说明书中承诺的质量标准低于国家或行业推荐性标准的，均属无效；除非甲方明确书面同意接受，否则本合同附属、补充文件及产品支持文件中规定的乙方责任限制条款不适用于甲方。</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2.乙方保证提供的产品能够使甲方实现合同目的并满足甲方的需求。</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3.乙方向甲方做出下列陈述和保证：</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(1)乙方所提供的合同软硬件产品为产品原厂生产和制造，并非乙方以翻新或组装部件等方式所生产，且能够享受到厂商原厂服务；</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(2)合同软硬件产品及其各部件为全新的、未使用过的，无病毒、无明显错误，能够充分实现、提供、具备相关产品说明中描述的功能、特点、内容和标准等；</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(3)合同软硬件产品没有设计或制造上的缺陷，并且根据产品的情况提供了适当的警示说明；</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乙方对本合同的执行不会违反任何相关的法律、法规、行政决定、决议和合同条款，合同软硬件产品符合产品进口、生产、储存、销售地相关法律、法规规定的标准和要求，且产品为正常进口、已办理了合格的海关手续。</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十、权利与义务</w:t>
      </w:r>
    </w:p>
    <w:p>
      <w:pPr>
        <w:numPr>
          <w:ilvl w:val="0"/>
          <w:numId w:val="23"/>
        </w:numPr>
        <w:adjustRightInd w:val="0"/>
        <w:snapToGrid w:val="0"/>
        <w:spacing w:line="360" w:lineRule="auto"/>
        <w:rPr>
          <w:rFonts w:ascii="宋体" w:hAnsi="宋体" w:eastAsia="宋体" w:cs="宋体"/>
          <w:bCs/>
          <w:sz w:val="24"/>
          <w:szCs w:val="24"/>
        </w:rPr>
      </w:pPr>
      <w:r>
        <w:rPr>
          <w:rFonts w:hint="eastAsia" w:ascii="宋体" w:hAnsi="宋体" w:eastAsia="宋体" w:cs="宋体"/>
          <w:bCs/>
          <w:sz w:val="24"/>
          <w:szCs w:val="24"/>
        </w:rPr>
        <w:t>甲方权利与义务</w:t>
      </w:r>
    </w:p>
    <w:p>
      <w:pPr>
        <w:numPr>
          <w:ilvl w:val="1"/>
          <w:numId w:val="23"/>
        </w:numPr>
        <w:adjustRightInd w:val="0"/>
        <w:snapToGrid w:val="0"/>
        <w:spacing w:line="360" w:lineRule="auto"/>
        <w:ind w:left="426" w:firstLine="283"/>
        <w:rPr>
          <w:rFonts w:ascii="宋体" w:hAnsi="宋体" w:eastAsia="宋体" w:cs="宋体"/>
          <w:bCs/>
          <w:sz w:val="24"/>
          <w:szCs w:val="24"/>
        </w:rPr>
      </w:pPr>
      <w:r>
        <w:rPr>
          <w:rFonts w:hint="eastAsia" w:ascii="宋体" w:hAnsi="宋体" w:eastAsia="宋体" w:cs="宋体"/>
          <w:bCs/>
          <w:sz w:val="24"/>
          <w:szCs w:val="24"/>
        </w:rPr>
        <w:t>甲方负责提供工程建设需求资料；</w:t>
      </w:r>
    </w:p>
    <w:p>
      <w:pPr>
        <w:numPr>
          <w:ilvl w:val="1"/>
          <w:numId w:val="23"/>
        </w:numPr>
        <w:adjustRightInd w:val="0"/>
        <w:snapToGrid w:val="0"/>
        <w:spacing w:line="360" w:lineRule="auto"/>
        <w:ind w:left="1276" w:hanging="567"/>
        <w:rPr>
          <w:rFonts w:ascii="宋体" w:hAnsi="宋体" w:eastAsia="宋体" w:cs="宋体"/>
          <w:bCs/>
          <w:sz w:val="24"/>
          <w:szCs w:val="24"/>
        </w:rPr>
      </w:pPr>
      <w:r>
        <w:rPr>
          <w:rFonts w:hint="eastAsia" w:ascii="宋体" w:hAnsi="宋体" w:eastAsia="宋体" w:cs="宋体"/>
          <w:bCs/>
          <w:sz w:val="24"/>
          <w:szCs w:val="24"/>
        </w:rPr>
        <w:t>甲方须确定设备布设位置，联系相关单位，协助乙方开展设备布设工作；</w:t>
      </w:r>
    </w:p>
    <w:p>
      <w:pPr>
        <w:numPr>
          <w:ilvl w:val="1"/>
          <w:numId w:val="23"/>
        </w:numPr>
        <w:adjustRightInd w:val="0"/>
        <w:snapToGrid w:val="0"/>
        <w:spacing w:line="360" w:lineRule="auto"/>
        <w:ind w:left="1418"/>
        <w:rPr>
          <w:rFonts w:ascii="宋体" w:hAnsi="宋体" w:eastAsia="宋体" w:cs="宋体"/>
          <w:bCs/>
          <w:sz w:val="24"/>
          <w:szCs w:val="24"/>
        </w:rPr>
      </w:pPr>
      <w:r>
        <w:rPr>
          <w:rFonts w:hint="eastAsia" w:ascii="宋体" w:hAnsi="宋体" w:eastAsia="宋体" w:cs="宋体"/>
          <w:bCs/>
          <w:sz w:val="24"/>
          <w:szCs w:val="24"/>
        </w:rPr>
        <w:t xml:space="preserve">  甲方须配合乙方对系统进行测试工作，并及时反馈意见给乙方；</w:t>
      </w:r>
    </w:p>
    <w:p>
      <w:pPr>
        <w:numPr>
          <w:ilvl w:val="1"/>
          <w:numId w:val="23"/>
        </w:numPr>
        <w:adjustRightInd w:val="0"/>
        <w:snapToGrid w:val="0"/>
        <w:spacing w:line="360" w:lineRule="auto"/>
        <w:ind w:left="709" w:firstLine="0"/>
        <w:rPr>
          <w:rFonts w:ascii="宋体" w:hAnsi="宋体" w:eastAsia="宋体" w:cs="宋体"/>
          <w:bCs/>
          <w:sz w:val="24"/>
          <w:szCs w:val="24"/>
        </w:rPr>
      </w:pPr>
      <w:r>
        <w:rPr>
          <w:rFonts w:hint="eastAsia" w:ascii="宋体" w:hAnsi="宋体" w:eastAsia="宋体" w:cs="宋体"/>
          <w:bCs/>
          <w:sz w:val="24"/>
          <w:szCs w:val="24"/>
        </w:rPr>
        <w:t>甲方保留在项目关键点对项目进行质量检查的权利，乙方应协助甲方完成质量检查，并提供甲方所需要的材料和信息；</w:t>
      </w:r>
    </w:p>
    <w:p>
      <w:pPr>
        <w:numPr>
          <w:ilvl w:val="0"/>
          <w:numId w:val="23"/>
        </w:numPr>
        <w:adjustRightInd w:val="0"/>
        <w:snapToGrid w:val="0"/>
        <w:spacing w:line="360" w:lineRule="auto"/>
        <w:ind w:left="709" w:hanging="356"/>
        <w:rPr>
          <w:rFonts w:ascii="宋体" w:hAnsi="宋体" w:eastAsia="宋体" w:cs="宋体"/>
          <w:bCs/>
          <w:sz w:val="24"/>
          <w:szCs w:val="24"/>
        </w:rPr>
      </w:pPr>
      <w:r>
        <w:rPr>
          <w:rFonts w:hint="eastAsia" w:ascii="宋体" w:hAnsi="宋体" w:eastAsia="宋体" w:cs="宋体"/>
          <w:bCs/>
          <w:sz w:val="24"/>
          <w:szCs w:val="24"/>
        </w:rPr>
        <w:t xml:space="preserve">   乙方权利与义务</w:t>
      </w:r>
    </w:p>
    <w:p>
      <w:pPr>
        <w:numPr>
          <w:ilvl w:val="0"/>
          <w:numId w:val="24"/>
        </w:numPr>
        <w:adjustRightInd w:val="0"/>
        <w:snapToGrid w:val="0"/>
        <w:spacing w:line="360" w:lineRule="auto"/>
        <w:ind w:hanging="11"/>
        <w:rPr>
          <w:rFonts w:ascii="宋体" w:hAnsi="宋体" w:eastAsia="宋体" w:cs="宋体"/>
          <w:bCs/>
          <w:sz w:val="24"/>
          <w:szCs w:val="24"/>
        </w:rPr>
      </w:pPr>
      <w:r>
        <w:rPr>
          <w:rFonts w:hint="eastAsia" w:ascii="宋体" w:hAnsi="宋体" w:eastAsia="宋体" w:cs="宋体"/>
          <w:bCs/>
          <w:sz w:val="24"/>
          <w:szCs w:val="24"/>
        </w:rPr>
        <w:t>乙方负责根据甲方的具体需求进行设计，并及时与甲方沟通，确保设计的功能符合《项目需求书》要求和实际使用需要；</w:t>
      </w:r>
    </w:p>
    <w:p>
      <w:pPr>
        <w:numPr>
          <w:ilvl w:val="0"/>
          <w:numId w:val="24"/>
        </w:numPr>
        <w:adjustRightInd w:val="0"/>
        <w:snapToGrid w:val="0"/>
        <w:spacing w:line="360" w:lineRule="auto"/>
        <w:ind w:hanging="11"/>
        <w:rPr>
          <w:rFonts w:ascii="宋体" w:hAnsi="宋体" w:eastAsia="宋体" w:cs="宋体"/>
          <w:bCs/>
          <w:sz w:val="24"/>
          <w:szCs w:val="24"/>
        </w:rPr>
      </w:pPr>
      <w:r>
        <w:rPr>
          <w:rFonts w:hint="eastAsia" w:ascii="宋体" w:hAnsi="宋体" w:eastAsia="宋体" w:cs="宋体"/>
          <w:bCs/>
          <w:sz w:val="24"/>
          <w:szCs w:val="24"/>
        </w:rPr>
        <w:t>乙方负责系统代码编写，确保系统质量，提供高质量的系统软件，并确保运行可靠、数据准确、实时、简捷、界面友好；</w:t>
      </w:r>
    </w:p>
    <w:p>
      <w:pPr>
        <w:numPr>
          <w:ilvl w:val="0"/>
          <w:numId w:val="24"/>
        </w:numPr>
        <w:adjustRightInd w:val="0"/>
        <w:snapToGrid w:val="0"/>
        <w:spacing w:line="360" w:lineRule="auto"/>
        <w:ind w:hanging="11"/>
        <w:rPr>
          <w:rFonts w:ascii="宋体" w:hAnsi="宋体" w:eastAsia="宋体" w:cs="宋体"/>
          <w:bCs/>
          <w:sz w:val="24"/>
          <w:szCs w:val="24"/>
        </w:rPr>
      </w:pPr>
      <w:r>
        <w:rPr>
          <w:rFonts w:hint="eastAsia" w:ascii="宋体" w:hAnsi="宋体" w:eastAsia="宋体" w:cs="宋体"/>
          <w:bCs/>
          <w:sz w:val="24"/>
          <w:szCs w:val="24"/>
        </w:rPr>
        <w:t>乙方负责对甲方工作人员进行针对本系统使用的培训，提供操作说明文档；</w:t>
      </w:r>
    </w:p>
    <w:p>
      <w:pPr>
        <w:numPr>
          <w:ilvl w:val="0"/>
          <w:numId w:val="24"/>
        </w:numPr>
        <w:adjustRightInd w:val="0"/>
        <w:snapToGrid w:val="0"/>
        <w:spacing w:line="360" w:lineRule="auto"/>
        <w:ind w:hanging="11"/>
        <w:rPr>
          <w:rFonts w:ascii="宋体" w:hAnsi="宋体" w:eastAsia="宋体" w:cs="宋体"/>
          <w:bCs/>
          <w:sz w:val="24"/>
          <w:szCs w:val="24"/>
        </w:rPr>
      </w:pPr>
      <w:r>
        <w:rPr>
          <w:rFonts w:hint="eastAsia" w:ascii="宋体" w:hAnsi="宋体" w:eastAsia="宋体" w:cs="宋体"/>
          <w:bCs/>
          <w:sz w:val="24"/>
          <w:szCs w:val="24"/>
        </w:rPr>
        <w:t>乙方负责系统建设后的维护工作，并持续跟进系统运行情况，及时解决运行中的问题；</w:t>
      </w:r>
    </w:p>
    <w:p>
      <w:pPr>
        <w:numPr>
          <w:ilvl w:val="0"/>
          <w:numId w:val="24"/>
        </w:numPr>
        <w:adjustRightInd w:val="0"/>
        <w:snapToGrid w:val="0"/>
        <w:spacing w:line="360" w:lineRule="auto"/>
        <w:ind w:hanging="11"/>
        <w:rPr>
          <w:rFonts w:ascii="宋体" w:hAnsi="宋体" w:eastAsia="宋体" w:cs="宋体"/>
          <w:bCs/>
          <w:sz w:val="24"/>
          <w:szCs w:val="24"/>
        </w:rPr>
      </w:pPr>
      <w:r>
        <w:rPr>
          <w:rFonts w:hint="eastAsia" w:ascii="宋体" w:hAnsi="宋体" w:eastAsia="宋体" w:cs="宋体"/>
          <w:bCs/>
          <w:sz w:val="24"/>
          <w:szCs w:val="24"/>
        </w:rPr>
        <w:t>乙方负责根据甲方的需求进行变更，在本合同界定的功能范围内适时进行系统功能的修改、升级工作；</w:t>
      </w:r>
    </w:p>
    <w:p>
      <w:pPr>
        <w:numPr>
          <w:ilvl w:val="0"/>
          <w:numId w:val="24"/>
        </w:numPr>
        <w:adjustRightInd w:val="0"/>
        <w:snapToGrid w:val="0"/>
        <w:spacing w:line="360" w:lineRule="auto"/>
        <w:ind w:hanging="11"/>
        <w:rPr>
          <w:rFonts w:ascii="宋体" w:hAnsi="宋体" w:eastAsia="宋体" w:cs="宋体"/>
          <w:bCs/>
          <w:sz w:val="24"/>
          <w:szCs w:val="24"/>
        </w:rPr>
      </w:pPr>
      <w:r>
        <w:rPr>
          <w:rFonts w:hint="eastAsia" w:ascii="宋体" w:hAnsi="宋体" w:eastAsia="宋体" w:cs="宋体"/>
          <w:bCs/>
          <w:sz w:val="24"/>
          <w:szCs w:val="24"/>
        </w:rPr>
        <w:t>乙方为甲方提供的产品、服务及在乙方范围内进行生产、服务活动必须符合乙方在环保及职业健康安全的管理规定，避免对环境及职业安全造成影响；</w:t>
      </w:r>
    </w:p>
    <w:p>
      <w:pPr>
        <w:numPr>
          <w:ilvl w:val="0"/>
          <w:numId w:val="24"/>
        </w:numPr>
        <w:adjustRightInd w:val="0"/>
        <w:snapToGrid w:val="0"/>
        <w:spacing w:line="360" w:lineRule="auto"/>
        <w:ind w:hanging="11"/>
        <w:rPr>
          <w:rFonts w:ascii="宋体" w:hAnsi="宋体" w:eastAsia="宋体" w:cs="宋体"/>
          <w:bCs/>
          <w:sz w:val="24"/>
          <w:szCs w:val="24"/>
        </w:rPr>
      </w:pPr>
      <w:r>
        <w:rPr>
          <w:rFonts w:hint="eastAsia" w:ascii="宋体" w:hAnsi="宋体" w:eastAsia="宋体" w:cs="宋体"/>
          <w:bCs/>
          <w:sz w:val="24"/>
          <w:szCs w:val="24"/>
        </w:rPr>
        <w:t>乙方提供的系统产品不加密，不限制安装次数和安装终端的数量；</w:t>
      </w:r>
    </w:p>
    <w:p>
      <w:pPr>
        <w:numPr>
          <w:ilvl w:val="0"/>
          <w:numId w:val="24"/>
        </w:numPr>
        <w:adjustRightInd w:val="0"/>
        <w:snapToGrid w:val="0"/>
        <w:spacing w:line="360" w:lineRule="auto"/>
        <w:ind w:left="709" w:hanging="11"/>
        <w:rPr>
          <w:rFonts w:ascii="宋体" w:hAnsi="宋体" w:eastAsia="宋体" w:cs="宋体"/>
          <w:bCs/>
          <w:sz w:val="24"/>
          <w:szCs w:val="24"/>
        </w:rPr>
      </w:pPr>
      <w:r>
        <w:rPr>
          <w:rFonts w:hint="eastAsia" w:ascii="宋体" w:hAnsi="宋体" w:eastAsia="宋体" w:cs="宋体"/>
          <w:bCs/>
          <w:sz w:val="24"/>
          <w:szCs w:val="24"/>
        </w:rPr>
        <w:t>乙方须提供满足本项目正常开展的人员配置，包括(但不限于) :项目经理、测试人员、研发人员等。并须指定一名专业人员作为代表与甲方配合，定期与甲方代表对本项目的进度进行沟通，及时解决项目实施过程中可能出现的问题。乙方应提供如下的项目管理服务:对本项目的所有任务和活动提供全面的管理,有效的沟通:提供项目工作计划。项目工作计划应包括: a) 任务的描述;b)估计需要的工作量,项目人员;c)期望的开始和结束的时间;d)预估本项目的风险,筹划应对策略:提供项目进展报告。乙方保证开发出来的系统完全符合本合同的要求，不能与甲方的信息安全防御体系有任何冲突(包括甲方要求打上的程序补丁以及安装的任何设备)，如发生冲突乙方必须负责完全解决，以适应甲方的信息安全防御体系;在保障期内，乙方有义务对所有不符合要求的部分予以修正。所有这类工作在保障期内都是免费的。(功能重大增加或调整以及安全防御体系与系统终验时发生改变的情况除外)。</w:t>
      </w:r>
    </w:p>
    <w:p>
      <w:pPr>
        <w:numPr>
          <w:ilvl w:val="0"/>
          <w:numId w:val="23"/>
        </w:numPr>
        <w:adjustRightInd w:val="0"/>
        <w:snapToGrid w:val="0"/>
        <w:spacing w:line="360" w:lineRule="auto"/>
        <w:ind w:left="567" w:hanging="73"/>
        <w:rPr>
          <w:rFonts w:ascii="宋体" w:hAnsi="宋体" w:eastAsia="宋体" w:cs="宋体"/>
          <w:bCs/>
          <w:sz w:val="24"/>
          <w:szCs w:val="24"/>
        </w:rPr>
      </w:pPr>
      <w:r>
        <w:rPr>
          <w:rFonts w:hint="eastAsia" w:ascii="宋体" w:hAnsi="宋体" w:eastAsia="宋体" w:cs="宋体"/>
          <w:bCs/>
          <w:sz w:val="24"/>
          <w:szCs w:val="24"/>
        </w:rPr>
        <w:t xml:space="preserve"> 丙方权利与义务</w:t>
      </w:r>
    </w:p>
    <w:p>
      <w:pPr>
        <w:adjustRightInd w:val="0"/>
        <w:snapToGrid w:val="0"/>
        <w:spacing w:line="360" w:lineRule="auto"/>
        <w:ind w:left="782"/>
        <w:rPr>
          <w:rFonts w:ascii="宋体" w:hAnsi="宋体" w:eastAsia="宋体" w:cs="宋体"/>
          <w:bCs/>
          <w:sz w:val="24"/>
          <w:szCs w:val="24"/>
        </w:rPr>
      </w:pPr>
      <w:r>
        <w:rPr>
          <w:rFonts w:hint="eastAsia" w:ascii="宋体" w:hAnsi="宋体" w:eastAsia="宋体" w:cs="宋体"/>
          <w:bCs/>
          <w:sz w:val="24"/>
          <w:szCs w:val="24"/>
        </w:rPr>
        <w:t>丙方应根据合同要求，根据建设进度，在约定时间内向乙方支付费用。</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十一、所有权和知识产权保证</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1.本项目的知识产权归甲方所有。</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2.乙方保证对其依据本合同向甲方所交付的合同软硬件产品拥有合法的所有权、知识产权及其它任何权益，保证不侵犯任何第四方的所有权、知识产权及其它任何权益。</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3.乙方保证其所提供的合同产品中所含计算机软硬件达到下列标准：</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(1)乙方承诺其已是软硬件的权利人或其已取得相关权利人的许可或授权，使其拥有签订本合同的条件和权利。</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(2)乙方承诺本合同软硬件由原厂商供应并完全符合厂商规定的质量、规格、性能及标准，乙方并保证本合同软硬件在正确安装、正常使用和维护的情况下运行良好。</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(3)乙方承诺本合同约定的产品系经严格测试、成熟稳定、无病毒及重大缺陷的软硬件产品，皆为可执行的软硬件产品，未在其中设置任何妨碍软硬件正常运行的限制措施。</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乙方承诺本合同约定的产品无任何著作权等知识产权权属纠纷，且不存在侵犯其他任何第四方权利的情形。如因甲方购买、使用本合同约定的软硬件而被他人主张权利或引起纠纷的，由此引发的一切法律责任由乙方承担，与甲方无关。</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十二、技术服务和保修责任</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1.乙方须承诺提供硬件设备3年原厂商技术支持及保修服务，软件保证期不少于5年。乙方在应答时应详细阐述技术支持的内容、范围、响应时间和解决问题时间。</w:t>
      </w:r>
    </w:p>
    <w:p>
      <w:pPr>
        <w:adjustRightInd w:val="0"/>
        <w:snapToGrid w:val="0"/>
        <w:spacing w:line="360" w:lineRule="auto"/>
        <w:ind w:firstLine="480" w:firstLineChars="200"/>
        <w:rPr>
          <w:rFonts w:ascii="宋体" w:hAnsi="宋体" w:eastAsia="宋体" w:cs="宋体"/>
          <w:b/>
          <w:bCs/>
          <w:color w:val="1552D1"/>
          <w:sz w:val="24"/>
          <w:szCs w:val="24"/>
        </w:rPr>
      </w:pPr>
      <w:r>
        <w:rPr>
          <w:rFonts w:hint="eastAsia" w:ascii="宋体" w:hAnsi="宋体" w:eastAsia="宋体" w:cs="宋体"/>
          <w:sz w:val="24"/>
          <w:szCs w:val="24"/>
        </w:rPr>
        <w:t>2.乙方应对甲方维护、操作人员进行技术培训，通过培训能够使参加培训的学员达到独立使用和基本维护的能力。培训对象为系统的维护管理、操作人员。投标方需组织1期集中培训，培训约为3天，培训人员约45人，具体培训时间、地点视实施情况待定。</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十三、廉政规定</w:t>
      </w:r>
    </w:p>
    <w:p>
      <w:pPr>
        <w:adjustRightInd w:val="0"/>
        <w:snapToGrid w:val="0"/>
        <w:spacing w:line="360" w:lineRule="auto"/>
        <w:ind w:firstLine="640"/>
        <w:rPr>
          <w:rFonts w:ascii="宋体" w:hAnsi="宋体" w:eastAsia="宋体" w:cs="宋体"/>
          <w:sz w:val="24"/>
          <w:szCs w:val="24"/>
        </w:rPr>
      </w:pPr>
      <w:r>
        <w:rPr>
          <w:rFonts w:hint="eastAsia" w:ascii="宋体" w:hAnsi="宋体" w:eastAsia="宋体" w:cs="宋体"/>
          <w:sz w:val="24"/>
          <w:szCs w:val="24"/>
        </w:rPr>
        <w:t>甲、乙、丙三方必须遵从各级廉政工作相关要求和规定，并签署廉政合同。</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十四、保密条款</w:t>
      </w:r>
    </w:p>
    <w:p>
      <w:pPr>
        <w:adjustRightInd w:val="0"/>
        <w:snapToGrid w:val="0"/>
        <w:spacing w:line="360" w:lineRule="auto"/>
        <w:ind w:firstLine="640"/>
        <w:rPr>
          <w:rFonts w:ascii="宋体" w:hAnsi="宋体" w:eastAsia="宋体" w:cs="宋体"/>
          <w:sz w:val="24"/>
          <w:szCs w:val="24"/>
        </w:rPr>
      </w:pPr>
      <w:r>
        <w:rPr>
          <w:rFonts w:hint="eastAsia" w:ascii="宋体" w:hAnsi="宋体" w:eastAsia="宋体" w:cs="宋体"/>
          <w:sz w:val="24"/>
          <w:szCs w:val="24"/>
        </w:rPr>
        <w:t>1.甲、乙、丙三方均应严格保守对方的商业秘密，未事先征得对方书面同意，任何一方不得对本合同之外的任何第四方披露或泄露包括本合同在内的所有合作信息、所有从本合作过程中所获得的对方的商业秘密（无论是口头的还是书面的），也不得将上述信息用于除本合作之外的其他任何目的。信息接收方应妥善保管信息披露方的信息，不论本合同是否变更、解除、终止，保密条款在保密期内均有效。违反上述保密条款造成对方秘密泄露的，守约方可依法追究违约方的法律责任。</w:t>
      </w:r>
    </w:p>
    <w:p>
      <w:pPr>
        <w:adjustRightInd w:val="0"/>
        <w:snapToGrid w:val="0"/>
        <w:spacing w:line="360" w:lineRule="auto"/>
        <w:ind w:firstLine="640"/>
        <w:rPr>
          <w:rFonts w:ascii="宋体" w:hAnsi="宋体" w:eastAsia="宋体" w:cs="宋体"/>
          <w:sz w:val="24"/>
          <w:szCs w:val="24"/>
        </w:rPr>
      </w:pPr>
      <w:r>
        <w:rPr>
          <w:rFonts w:hint="eastAsia" w:ascii="宋体" w:hAnsi="宋体" w:eastAsia="宋体" w:cs="宋体"/>
          <w:sz w:val="24"/>
          <w:szCs w:val="24"/>
        </w:rPr>
        <w:t xml:space="preserve">2.本条所约定的双方承担保密义务的期限：无限期保密，直至甲方依法或自愿公开信息，或放弃对信息的保密要求为止。 </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十五、违约责任</w:t>
      </w:r>
    </w:p>
    <w:p>
      <w:pPr>
        <w:adjustRightInd w:val="0"/>
        <w:snapToGrid w:val="0"/>
        <w:spacing w:line="360" w:lineRule="auto"/>
        <w:ind w:firstLine="640"/>
        <w:rPr>
          <w:rFonts w:ascii="宋体" w:hAnsi="宋体" w:eastAsia="宋体" w:cs="宋体"/>
          <w:sz w:val="24"/>
          <w:szCs w:val="24"/>
        </w:rPr>
      </w:pPr>
      <w:r>
        <w:rPr>
          <w:rFonts w:hint="eastAsia" w:ascii="宋体" w:hAnsi="宋体" w:eastAsia="宋体" w:cs="宋体"/>
          <w:sz w:val="24"/>
          <w:szCs w:val="24"/>
        </w:rPr>
        <w:t xml:space="preserve">1.乙方在合同规定期限内因自身原因不能按时履行义务的，如：工程节点或交付发票，则每迟延一周，乙方向丙方支付迟延履行部分金额 </w:t>
      </w:r>
      <w:r>
        <w:rPr>
          <w:rFonts w:hint="eastAsia" w:ascii="宋体" w:hAnsi="宋体" w:eastAsia="宋体" w:cs="宋体"/>
          <w:sz w:val="24"/>
          <w:szCs w:val="24"/>
          <w:u w:val="single"/>
        </w:rPr>
        <w:t xml:space="preserve">  0.5  </w:t>
      </w:r>
      <w:r>
        <w:rPr>
          <w:rFonts w:hint="eastAsia" w:ascii="宋体" w:hAnsi="宋体" w:eastAsia="宋体" w:cs="宋体"/>
          <w:sz w:val="24"/>
          <w:szCs w:val="24"/>
        </w:rPr>
        <w:t>%的违约金。违约金不足以弥补甲方损失的，乙方应予以补偿。</w:t>
      </w:r>
    </w:p>
    <w:p>
      <w:pPr>
        <w:adjustRightInd w:val="0"/>
        <w:snapToGrid w:val="0"/>
        <w:spacing w:line="360" w:lineRule="auto"/>
        <w:ind w:firstLine="640"/>
        <w:rPr>
          <w:rFonts w:ascii="宋体" w:hAnsi="宋体" w:eastAsia="宋体" w:cs="宋体"/>
          <w:sz w:val="24"/>
          <w:szCs w:val="24"/>
        </w:rPr>
      </w:pPr>
      <w:r>
        <w:rPr>
          <w:rFonts w:hint="eastAsia" w:ascii="宋体" w:hAnsi="宋体" w:eastAsia="宋体" w:cs="宋体"/>
          <w:sz w:val="24"/>
          <w:szCs w:val="24"/>
        </w:rPr>
        <w:t>2.本合同签订后最终验收之日前，乙方发现不能按时提供全部全部服务的，乙方必须立即通知甲方。甲方、丙方一旦接到通知或甲方、丙方确知乙方不能在本合同约定的时间完成全部工程，便有权解除合同，向第四方采购合同工程内容，乙方应在甲方、丙方提出解除合同后</w:t>
      </w:r>
      <w:r>
        <w:rPr>
          <w:rFonts w:hint="eastAsia" w:ascii="宋体" w:hAnsi="宋体" w:eastAsia="宋体" w:cs="宋体"/>
          <w:sz w:val="24"/>
          <w:szCs w:val="24"/>
          <w:u w:val="single"/>
        </w:rPr>
        <w:t xml:space="preserve">  3  </w:t>
      </w:r>
      <w:r>
        <w:rPr>
          <w:rFonts w:hint="eastAsia" w:ascii="宋体" w:hAnsi="宋体" w:eastAsia="宋体" w:cs="宋体"/>
          <w:sz w:val="24"/>
          <w:szCs w:val="24"/>
        </w:rPr>
        <w:t>日内退还丙方已支付合同款，同时应向丙方支付本合同总价的</w:t>
      </w:r>
      <w:r>
        <w:rPr>
          <w:rFonts w:hint="eastAsia" w:ascii="宋体" w:hAnsi="宋体" w:eastAsia="宋体" w:cs="宋体"/>
          <w:sz w:val="24"/>
          <w:szCs w:val="24"/>
          <w:u w:val="single"/>
        </w:rPr>
        <w:t xml:space="preserve"> 15 </w:t>
      </w:r>
      <w:r>
        <w:rPr>
          <w:rFonts w:hint="eastAsia" w:ascii="宋体" w:hAnsi="宋体" w:eastAsia="宋体" w:cs="宋体"/>
          <w:sz w:val="24"/>
          <w:szCs w:val="24"/>
        </w:rPr>
        <w:t>%作为违约金；乙方能够按时提供部分合同软硬件产品的，甲方有权选择接受该部分合同软硬件产品，但合同总价应随即以实际接收的合同软硬件产品数量进行调整和结算。甲方接收乙方提供的部分合同软硬件产品，并不表示其免除乙方延迟履行和不完全履行合同义务的违约责任。</w:t>
      </w:r>
    </w:p>
    <w:p>
      <w:pPr>
        <w:adjustRightInd w:val="0"/>
        <w:snapToGrid w:val="0"/>
        <w:spacing w:line="360" w:lineRule="auto"/>
        <w:ind w:firstLine="640"/>
        <w:rPr>
          <w:rFonts w:ascii="宋体" w:hAnsi="宋体" w:eastAsia="宋体" w:cs="宋体"/>
          <w:sz w:val="24"/>
          <w:szCs w:val="24"/>
        </w:rPr>
      </w:pPr>
      <w:r>
        <w:rPr>
          <w:rFonts w:hint="eastAsia" w:ascii="宋体" w:hAnsi="宋体" w:eastAsia="宋体" w:cs="宋体"/>
          <w:sz w:val="24"/>
          <w:szCs w:val="24"/>
        </w:rPr>
        <w:t>3.乙方因自身原因所提供的硬件质量或系统功能不符合本合同约定标准时，乙方应按照本合同的约定负责及时更换、修理或退货，如因上述原因造成乙方延期交货的，则乙方应按照本条第一款向甲方支付违约金。如对甲方造成损失的，乙方除承担合同金额5%的违约金外，还应承担相应的赔偿责任。</w:t>
      </w:r>
    </w:p>
    <w:p>
      <w:pPr>
        <w:adjustRightInd w:val="0"/>
        <w:snapToGrid w:val="0"/>
        <w:spacing w:line="360" w:lineRule="auto"/>
        <w:ind w:firstLine="640"/>
        <w:rPr>
          <w:rFonts w:ascii="宋体" w:hAnsi="宋体" w:eastAsia="宋体" w:cs="宋体"/>
          <w:sz w:val="24"/>
          <w:szCs w:val="24"/>
        </w:rPr>
      </w:pPr>
      <w:r>
        <w:rPr>
          <w:rFonts w:hint="eastAsia" w:ascii="宋体" w:hAnsi="宋体" w:eastAsia="宋体" w:cs="宋体"/>
          <w:sz w:val="24"/>
          <w:szCs w:val="24"/>
        </w:rPr>
        <w:t>4.若乙方因自身原因所提交的服务或技术文件等不能满足甲方的要求，应予以满足甲方的需要，若因此产生费用的，由乙方承担；若由于乙方的行为致使甲方受到损失的，乙方应承担由此产生的全部责任。</w:t>
      </w:r>
    </w:p>
    <w:p>
      <w:pPr>
        <w:adjustRightInd w:val="0"/>
        <w:snapToGrid w:val="0"/>
        <w:spacing w:line="360" w:lineRule="auto"/>
        <w:ind w:firstLine="640"/>
        <w:rPr>
          <w:rFonts w:ascii="宋体" w:hAnsi="宋体" w:eastAsia="宋体" w:cs="宋体"/>
          <w:sz w:val="24"/>
          <w:szCs w:val="24"/>
        </w:rPr>
      </w:pPr>
      <w:r>
        <w:rPr>
          <w:rFonts w:hint="eastAsia" w:ascii="宋体" w:hAnsi="宋体" w:eastAsia="宋体" w:cs="宋体"/>
          <w:sz w:val="24"/>
          <w:szCs w:val="24"/>
        </w:rPr>
        <w:t>5.丙方应按时履行付款义务，如丙方无正当理由拒不付款，每迟延一周，丙方应向乙方支付延迟支付款项的</w:t>
      </w:r>
      <w:r>
        <w:rPr>
          <w:rFonts w:hint="eastAsia" w:ascii="宋体" w:hAnsi="宋体" w:eastAsia="宋体" w:cs="宋体"/>
          <w:sz w:val="24"/>
          <w:szCs w:val="24"/>
          <w:u w:val="single"/>
        </w:rPr>
        <w:t>0.5</w:t>
      </w:r>
      <w:r>
        <w:rPr>
          <w:rFonts w:hint="eastAsia" w:ascii="宋体" w:hAnsi="宋体" w:eastAsia="宋体" w:cs="宋体"/>
          <w:sz w:val="24"/>
          <w:szCs w:val="24"/>
        </w:rPr>
        <w:t>%作为违约金，丙方因财政部资金分批下达造成不能按项目实际实施进度支付对应进度款的，甲方、丙方不承担责任，乙方应配合甲方、丙方根据资金下达情况分期支付进度款项。</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十六、法律适用与纠纷解决</w:t>
      </w:r>
    </w:p>
    <w:p>
      <w:pPr>
        <w:tabs>
          <w:tab w:val="left" w:pos="2977"/>
        </w:tabs>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本合同及三方当事人的权利义务受中华人民共和国法律的管辖并按照该法律进行解释。</w:t>
      </w:r>
    </w:p>
    <w:p>
      <w:pPr>
        <w:tabs>
          <w:tab w:val="left" w:pos="2977"/>
        </w:tabs>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因履行本合同或与本合同有关的任何争议，双方应首先协商解决。协商不成时，任何一方均可向甲方所在地有管辖权的人民法院提起诉讼解决。</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十七、不可抗力</w:t>
      </w:r>
    </w:p>
    <w:p>
      <w:pPr>
        <w:adjustRightInd w:val="0"/>
        <w:snapToGrid w:val="0"/>
        <w:spacing w:line="360" w:lineRule="auto"/>
        <w:ind w:left="-2" w:leftChars="-1" w:firstLine="480" w:firstLineChars="200"/>
        <w:rPr>
          <w:rFonts w:ascii="宋体" w:hAnsi="宋体" w:eastAsia="宋体" w:cs="宋体"/>
          <w:sz w:val="24"/>
          <w:szCs w:val="24"/>
        </w:rPr>
      </w:pPr>
      <w:r>
        <w:rPr>
          <w:rFonts w:hint="eastAsia" w:ascii="宋体" w:hAnsi="宋体" w:eastAsia="宋体" w:cs="宋体"/>
          <w:sz w:val="24"/>
          <w:szCs w:val="24"/>
        </w:rPr>
        <w:t>1.由于地震、火灾、水灾、战争、政府行为、意外事件或其他非三方所能控制及预见的事件等不可抗力致使合同无法履行时，无法履行合同义务的一方应将不能履行合同的事实通知另一方，经对方同意后，合同自动解除，已经实际发生的费用不再追究。</w:t>
      </w:r>
    </w:p>
    <w:p>
      <w:pPr>
        <w:adjustRightInd w:val="0"/>
        <w:snapToGrid w:val="0"/>
        <w:spacing w:line="360" w:lineRule="auto"/>
        <w:ind w:left="-2" w:leftChars="-1" w:firstLine="480" w:firstLineChars="200"/>
        <w:rPr>
          <w:rFonts w:ascii="宋体" w:hAnsi="宋体" w:eastAsia="宋体" w:cs="宋体"/>
          <w:sz w:val="24"/>
          <w:szCs w:val="24"/>
        </w:rPr>
      </w:pPr>
      <w:r>
        <w:rPr>
          <w:rFonts w:hint="eastAsia" w:ascii="宋体" w:hAnsi="宋体" w:eastAsia="宋体" w:cs="宋体"/>
          <w:sz w:val="24"/>
          <w:szCs w:val="24"/>
        </w:rPr>
        <w:t>2.在履行合同过程中，由于不可抗力原因导致乙方不能按时交付本项目软硬件产品和系统开发等服务，乙方应及时以书面形式将不能按时交付的理由、延误时间通知甲方。甲方在收到乙方通知后，应对情况进行分析，决定是否同意延期、修改合同或终止合同。</w:t>
      </w:r>
    </w:p>
    <w:p>
      <w:pPr>
        <w:adjustRightInd w:val="0"/>
        <w:snapToGrid w:val="0"/>
        <w:spacing w:line="360" w:lineRule="auto"/>
        <w:ind w:left="-2" w:leftChars="-1" w:firstLine="480" w:firstLineChars="200"/>
        <w:rPr>
          <w:rFonts w:ascii="宋体" w:hAnsi="宋体" w:eastAsia="宋体" w:cs="宋体"/>
          <w:b/>
          <w:bCs/>
          <w:sz w:val="24"/>
          <w:szCs w:val="24"/>
        </w:rPr>
      </w:pPr>
      <w:r>
        <w:rPr>
          <w:rFonts w:hint="eastAsia" w:ascii="宋体" w:hAnsi="宋体" w:eastAsia="宋体" w:cs="宋体"/>
          <w:sz w:val="24"/>
          <w:szCs w:val="24"/>
        </w:rPr>
        <w:t>3.受事故影响的一方应在不可抗力发生后尽快以传真、电报通知另一方，并在事故发生之日起14天内，将有关部门出具的证明文件用挂号信寄给另一方。如果不可抗力影响时间延续120天以上时，双方应通过友好协商在合理的时间内达成进一步履行合同的协议。</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十八、合同变更</w:t>
      </w:r>
    </w:p>
    <w:p>
      <w:pPr>
        <w:adjustRightInd w:val="0"/>
        <w:snapToGrid w:val="0"/>
        <w:spacing w:line="360" w:lineRule="auto"/>
        <w:ind w:left="-2" w:leftChars="-1" w:firstLine="480" w:firstLineChars="200"/>
        <w:rPr>
          <w:rFonts w:ascii="宋体" w:hAnsi="宋体" w:eastAsia="宋体" w:cs="宋体"/>
          <w:sz w:val="24"/>
          <w:szCs w:val="24"/>
        </w:rPr>
      </w:pPr>
      <w:r>
        <w:rPr>
          <w:rFonts w:hint="eastAsia" w:ascii="宋体" w:hAnsi="宋体" w:eastAsia="宋体" w:cs="宋体"/>
          <w:sz w:val="24"/>
          <w:szCs w:val="24"/>
        </w:rPr>
        <w:t>1.本合同履行过程中，三方经协商一致达成书面协议可以变更本合同。</w:t>
      </w:r>
    </w:p>
    <w:p>
      <w:pPr>
        <w:adjustRightInd w:val="0"/>
        <w:snapToGrid w:val="0"/>
        <w:spacing w:line="360" w:lineRule="auto"/>
        <w:ind w:left="-2" w:leftChars="-1" w:firstLine="480" w:firstLineChars="200"/>
        <w:rPr>
          <w:rFonts w:ascii="宋体" w:hAnsi="宋体" w:eastAsia="宋体" w:cs="宋体"/>
          <w:sz w:val="24"/>
          <w:szCs w:val="24"/>
        </w:rPr>
      </w:pPr>
      <w:r>
        <w:rPr>
          <w:rFonts w:hint="eastAsia" w:ascii="宋体" w:hAnsi="宋体" w:eastAsia="宋体" w:cs="宋体"/>
          <w:sz w:val="24"/>
          <w:szCs w:val="24"/>
        </w:rPr>
        <w:t>2.凡是涉及到工期或合同金额的变更，应由本合同指定的甲、乙、丙三方负责人参与协商并签署书面协议方可生效。</w:t>
      </w:r>
    </w:p>
    <w:p>
      <w:pPr>
        <w:adjustRightInd w:val="0"/>
        <w:snapToGrid w:val="0"/>
        <w:spacing w:line="360" w:lineRule="auto"/>
        <w:ind w:left="-2" w:leftChars="-1" w:firstLine="480" w:firstLineChars="200"/>
        <w:rPr>
          <w:rFonts w:ascii="宋体" w:hAnsi="宋体" w:eastAsia="宋体" w:cs="宋体"/>
          <w:sz w:val="24"/>
          <w:szCs w:val="24"/>
        </w:rPr>
      </w:pPr>
      <w:r>
        <w:rPr>
          <w:rFonts w:hint="eastAsia" w:ascii="宋体" w:hAnsi="宋体" w:eastAsia="宋体" w:cs="宋体"/>
          <w:sz w:val="24"/>
          <w:szCs w:val="24"/>
        </w:rPr>
        <w:t>3.在本项目正常实施过程中，由于甲方业务和功能需求变更导致的任何实施方案的变化，都必须由本合同指定的甲、乙双方负责人以报告、会议纪要、备忘录等书面形式签署方可生效。</w:t>
      </w:r>
    </w:p>
    <w:p>
      <w:pPr>
        <w:adjustRightInd w:val="0"/>
        <w:snapToGrid w:val="0"/>
        <w:spacing w:line="360" w:lineRule="auto"/>
        <w:ind w:left="-2" w:leftChars="-1" w:firstLine="480" w:firstLineChars="200"/>
        <w:rPr>
          <w:rFonts w:ascii="宋体" w:hAnsi="宋体" w:eastAsia="宋体" w:cs="宋体"/>
          <w:sz w:val="24"/>
          <w:szCs w:val="24"/>
        </w:rPr>
      </w:pPr>
      <w:r>
        <w:rPr>
          <w:rFonts w:hint="eastAsia" w:ascii="宋体" w:hAnsi="宋体" w:eastAsia="宋体" w:cs="宋体"/>
          <w:sz w:val="24"/>
          <w:szCs w:val="24"/>
        </w:rPr>
        <w:t>4.对于违反以上原则的以三方参与项目人员名义作出的任何口头或书面形式的承诺、行为，都不能代表所在方意见，该种行为完全是其个人行为，三方皆同意由此发生的所有法律后果都由其个人承担，无权向其他方主张任何权利。</w:t>
      </w:r>
    </w:p>
    <w:p>
      <w:pPr>
        <w:adjustRightInd w:val="0"/>
        <w:snapToGrid w:val="0"/>
        <w:spacing w:line="360" w:lineRule="auto"/>
        <w:ind w:left="-2" w:leftChars="-1" w:firstLine="480" w:firstLineChars="200"/>
        <w:rPr>
          <w:rFonts w:ascii="宋体" w:hAnsi="宋体" w:eastAsia="宋体" w:cs="宋体"/>
          <w:sz w:val="24"/>
          <w:szCs w:val="24"/>
        </w:rPr>
      </w:pPr>
      <w:r>
        <w:rPr>
          <w:rFonts w:hint="eastAsia" w:ascii="宋体" w:hAnsi="宋体" w:eastAsia="宋体" w:cs="宋体"/>
          <w:sz w:val="24"/>
          <w:szCs w:val="24"/>
        </w:rPr>
        <w:t>5.发生下列情形之一，任何一方有权用书面形式通知对方解除合同：</w:t>
      </w:r>
    </w:p>
    <w:p>
      <w:pPr>
        <w:adjustRightInd w:val="0"/>
        <w:snapToGrid w:val="0"/>
        <w:spacing w:line="360" w:lineRule="auto"/>
        <w:ind w:left="-2" w:leftChars="-1" w:firstLine="480" w:firstLineChars="200"/>
        <w:rPr>
          <w:rFonts w:ascii="宋体" w:hAnsi="宋体" w:eastAsia="宋体" w:cs="宋体"/>
          <w:sz w:val="24"/>
          <w:szCs w:val="24"/>
        </w:rPr>
      </w:pPr>
      <w:r>
        <w:rPr>
          <w:rFonts w:hint="eastAsia" w:ascii="宋体" w:hAnsi="宋体" w:eastAsia="宋体" w:cs="宋体"/>
          <w:sz w:val="24"/>
          <w:szCs w:val="24"/>
        </w:rPr>
        <w:t>(1)一方违反本合同，其他方以书面通知其纠正违约行为，违约方在收到书面通知后15日内仍未能纠正其违约行为的；</w:t>
      </w:r>
    </w:p>
    <w:p>
      <w:pPr>
        <w:adjustRightInd w:val="0"/>
        <w:snapToGrid w:val="0"/>
        <w:spacing w:line="360" w:lineRule="auto"/>
        <w:ind w:left="-2" w:leftChars="-1" w:firstLine="480" w:firstLineChars="200"/>
        <w:rPr>
          <w:rFonts w:ascii="宋体" w:hAnsi="宋体" w:eastAsia="宋体" w:cs="宋体"/>
          <w:sz w:val="24"/>
          <w:szCs w:val="24"/>
        </w:rPr>
      </w:pPr>
      <w:r>
        <w:rPr>
          <w:rFonts w:hint="eastAsia" w:ascii="宋体" w:hAnsi="宋体" w:eastAsia="宋体" w:cs="宋体"/>
          <w:sz w:val="24"/>
          <w:szCs w:val="24"/>
        </w:rPr>
        <w:t>(2)其他方在订立本合同或交付合同中涉及的文件中所做的意思表示不真实或有明显的欺诈行为的；</w:t>
      </w:r>
    </w:p>
    <w:p>
      <w:pPr>
        <w:adjustRightInd w:val="0"/>
        <w:snapToGrid w:val="0"/>
        <w:spacing w:line="360" w:lineRule="auto"/>
        <w:ind w:left="-2" w:leftChars="-1" w:firstLine="480" w:firstLineChars="200"/>
        <w:rPr>
          <w:rFonts w:ascii="宋体" w:hAnsi="宋体" w:eastAsia="宋体" w:cs="宋体"/>
          <w:sz w:val="24"/>
          <w:szCs w:val="24"/>
        </w:rPr>
      </w:pPr>
      <w:r>
        <w:rPr>
          <w:rFonts w:hint="eastAsia" w:ascii="宋体" w:hAnsi="宋体" w:eastAsia="宋体" w:cs="宋体"/>
          <w:sz w:val="24"/>
          <w:szCs w:val="24"/>
        </w:rPr>
        <w:t>(3)其他方停业、关闭或者破产的；</w:t>
      </w:r>
    </w:p>
    <w:p>
      <w:pPr>
        <w:adjustRightInd w:val="0"/>
        <w:snapToGrid w:val="0"/>
        <w:spacing w:line="360" w:lineRule="auto"/>
        <w:ind w:left="-2" w:leftChars="-1" w:firstLine="480" w:firstLineChars="200"/>
        <w:rPr>
          <w:rFonts w:ascii="宋体" w:hAnsi="宋体" w:eastAsia="宋体" w:cs="宋体"/>
          <w:sz w:val="24"/>
          <w:szCs w:val="24"/>
        </w:rPr>
      </w:pPr>
      <w:r>
        <w:rPr>
          <w:rFonts w:hint="eastAsia" w:ascii="宋体" w:hAnsi="宋体" w:eastAsia="宋体" w:cs="宋体"/>
          <w:sz w:val="24"/>
          <w:szCs w:val="24"/>
        </w:rPr>
        <w:t>(4)其他方履行本合同义务不合法或将成为不合法；或者发生不可抗力事件，致使合同义务全部或部分不能履行的；</w:t>
      </w:r>
    </w:p>
    <w:p>
      <w:pPr>
        <w:adjustRightInd w:val="0"/>
        <w:snapToGrid w:val="0"/>
        <w:spacing w:line="360" w:lineRule="auto"/>
        <w:ind w:left="-2" w:leftChars="-1" w:firstLine="480" w:firstLineChars="200"/>
        <w:rPr>
          <w:rFonts w:ascii="宋体" w:hAnsi="宋体" w:eastAsia="宋体" w:cs="宋体"/>
          <w:b/>
          <w:bCs/>
          <w:sz w:val="24"/>
          <w:szCs w:val="24"/>
        </w:rPr>
      </w:pPr>
      <w:r>
        <w:rPr>
          <w:rFonts w:hint="eastAsia" w:ascii="宋体" w:hAnsi="宋体" w:eastAsia="宋体" w:cs="宋体"/>
          <w:sz w:val="24"/>
          <w:szCs w:val="24"/>
        </w:rPr>
        <w:t>(5)因本条原因解除合同，不应损害本合同解除前已履行的部分；同时，合同规定的保密义务不因合同解除而解除。</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十九、送达</w:t>
      </w:r>
    </w:p>
    <w:p>
      <w:pPr>
        <w:adjustRightInd w:val="0"/>
        <w:snapToGrid w:val="0"/>
        <w:spacing w:line="360" w:lineRule="auto"/>
        <w:ind w:left="-2" w:leftChars="-1" w:firstLine="480" w:firstLineChars="200"/>
        <w:rPr>
          <w:rFonts w:ascii="宋体" w:hAnsi="宋体" w:eastAsia="宋体" w:cs="宋体"/>
          <w:sz w:val="24"/>
          <w:szCs w:val="24"/>
        </w:rPr>
      </w:pPr>
      <w:r>
        <w:rPr>
          <w:rFonts w:hint="eastAsia" w:ascii="宋体" w:hAnsi="宋体" w:eastAsia="宋体" w:cs="宋体"/>
          <w:sz w:val="24"/>
          <w:szCs w:val="24"/>
        </w:rPr>
        <w:t>按照本合同发出的任何通知应当采取书面形式，送达方式可以采取下列方式之一：</w:t>
      </w:r>
    </w:p>
    <w:p>
      <w:pPr>
        <w:adjustRightInd w:val="0"/>
        <w:snapToGrid w:val="0"/>
        <w:spacing w:line="360" w:lineRule="auto"/>
        <w:ind w:left="-2" w:leftChars="-1" w:firstLine="480" w:firstLineChars="200"/>
        <w:rPr>
          <w:rFonts w:ascii="宋体" w:hAnsi="宋体" w:eastAsia="宋体" w:cs="宋体"/>
          <w:sz w:val="24"/>
          <w:szCs w:val="24"/>
        </w:rPr>
      </w:pPr>
      <w:r>
        <w:rPr>
          <w:rFonts w:hint="eastAsia" w:ascii="宋体" w:hAnsi="宋体" w:eastAsia="宋体" w:cs="宋体"/>
          <w:sz w:val="24"/>
          <w:szCs w:val="24"/>
        </w:rPr>
        <w:t>1.将通知发送至接收方的传真号。但接收方另行通知发送方的情况除外；</w:t>
      </w:r>
    </w:p>
    <w:p>
      <w:pPr>
        <w:adjustRightInd w:val="0"/>
        <w:snapToGrid w:val="0"/>
        <w:spacing w:line="360" w:lineRule="auto"/>
        <w:ind w:left="-2" w:leftChars="-1" w:firstLine="480" w:firstLineChars="200"/>
        <w:rPr>
          <w:rFonts w:ascii="宋体" w:hAnsi="宋体" w:eastAsia="宋体" w:cs="宋体"/>
          <w:sz w:val="24"/>
          <w:szCs w:val="24"/>
        </w:rPr>
      </w:pPr>
      <w:r>
        <w:rPr>
          <w:rFonts w:hint="eastAsia" w:ascii="宋体" w:hAnsi="宋体" w:eastAsia="宋体" w:cs="宋体"/>
          <w:sz w:val="24"/>
          <w:szCs w:val="24"/>
        </w:rPr>
        <w:t>2.以专人送递或以特快专递方法送至接收方的法定地址或接收方通知发送方的其他地址；</w:t>
      </w:r>
    </w:p>
    <w:p>
      <w:pPr>
        <w:adjustRightInd w:val="0"/>
        <w:snapToGrid w:val="0"/>
        <w:spacing w:line="360" w:lineRule="auto"/>
        <w:ind w:left="-2" w:leftChars="-1" w:firstLine="480" w:firstLineChars="200"/>
        <w:rPr>
          <w:rFonts w:ascii="宋体" w:hAnsi="宋体" w:eastAsia="宋体" w:cs="宋体"/>
          <w:sz w:val="24"/>
          <w:szCs w:val="24"/>
        </w:rPr>
      </w:pPr>
      <w:r>
        <w:rPr>
          <w:rFonts w:hint="eastAsia" w:ascii="宋体" w:hAnsi="宋体" w:eastAsia="宋体" w:cs="宋体"/>
          <w:sz w:val="24"/>
          <w:szCs w:val="24"/>
        </w:rPr>
        <w:t>3.按照本合同发送的解除合同通知，如果以传真方式发送，在传真发出后的24小时内，应当以特快专递方式将通知正本送达接收方，以便加以确认。</w:t>
      </w:r>
    </w:p>
    <w:p>
      <w:pPr>
        <w:adjustRightInd w:val="0"/>
        <w:snapToGrid w:val="0"/>
        <w:spacing w:line="360" w:lineRule="auto"/>
        <w:ind w:left="-2" w:leftChars="-1" w:firstLine="480" w:firstLineChars="200"/>
        <w:rPr>
          <w:rFonts w:ascii="宋体" w:hAnsi="宋体" w:eastAsia="宋体" w:cs="宋体"/>
          <w:sz w:val="24"/>
          <w:szCs w:val="24"/>
        </w:rPr>
      </w:pPr>
      <w:r>
        <w:rPr>
          <w:rFonts w:hint="eastAsia" w:ascii="宋体" w:hAnsi="宋体" w:eastAsia="宋体" w:cs="宋体"/>
          <w:sz w:val="24"/>
          <w:szCs w:val="24"/>
        </w:rPr>
        <w:t>4.本合同任何一方变更地址，应当以书面形式及时通知对方，否则，应承担由此导致的通知不能送达的法律后果。</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二十、合同附件</w:t>
      </w:r>
    </w:p>
    <w:p>
      <w:pPr>
        <w:tabs>
          <w:tab w:val="left" w:pos="2977"/>
        </w:tabs>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合同附件是本合同不可分割的一部分，与本合同有同等效力。本合同的附件为：</w:t>
      </w:r>
    </w:p>
    <w:p>
      <w:pPr>
        <w:tabs>
          <w:tab w:val="left" w:pos="2977"/>
        </w:tabs>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1.附件《项目需求书》</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二十一、合同生效及其他</w:t>
      </w:r>
    </w:p>
    <w:p>
      <w:pPr>
        <w:tabs>
          <w:tab w:val="left" w:pos="2977"/>
        </w:tabs>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本合同自三方签字并加盖公章或合同专用章之日起生效。合同一式陆份，具有相同的法律效力。</w:t>
      </w:r>
    </w:p>
    <w:bookmarkEnd w:id="205"/>
    <w:bookmarkEnd w:id="206"/>
    <w:bookmarkEnd w:id="207"/>
    <w:p>
      <w:pPr>
        <w:tabs>
          <w:tab w:val="left" w:pos="2977"/>
        </w:tabs>
        <w:adjustRightInd w:val="0"/>
        <w:snapToGrid w:val="0"/>
        <w:spacing w:line="360" w:lineRule="auto"/>
        <w:rPr>
          <w:rFonts w:hint="eastAsia" w:ascii="宋体" w:hAnsi="宋体" w:eastAsia="宋体" w:cs="宋体"/>
          <w:sz w:val="24"/>
          <w:szCs w:val="24"/>
          <w:lang w:eastAsia="zh-CN"/>
        </w:rPr>
      </w:pPr>
    </w:p>
    <w:p>
      <w:pPr>
        <w:pStyle w:val="2"/>
        <w:rPr>
          <w:rFonts w:hint="eastAsia"/>
          <w:lang w:eastAsia="zh-CN"/>
        </w:rPr>
        <w:sectPr>
          <w:headerReference r:id="rId8" w:type="default"/>
          <w:footerReference r:id="rId9" w:type="default"/>
          <w:pgSz w:w="11906" w:h="16838"/>
          <w:pgMar w:top="1440" w:right="1800" w:bottom="1440" w:left="1800" w:header="851" w:footer="992" w:gutter="0"/>
          <w:pgNumType w:start="1"/>
          <w:cols w:space="720" w:num="1"/>
          <w:docGrid w:type="lines" w:linePitch="312" w:charSpace="0"/>
        </w:sectPr>
      </w:pPr>
    </w:p>
    <w:tbl>
      <w:tblPr>
        <w:tblStyle w:val="32"/>
        <w:tblpPr w:leftFromText="180" w:rightFromText="180" w:vertAnchor="page" w:horzAnchor="margin" w:tblpX="-601" w:tblpY="1471"/>
        <w:tblW w:w="9923"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72"/>
        <w:gridCol w:w="1517"/>
        <w:gridCol w:w="1597"/>
        <w:gridCol w:w="303"/>
        <w:gridCol w:w="317"/>
        <w:gridCol w:w="656"/>
        <w:gridCol w:w="157"/>
        <w:gridCol w:w="142"/>
        <w:gridCol w:w="1118"/>
        <w:gridCol w:w="244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1672" w:type="dxa"/>
            <w:vMerge w:val="restart"/>
            <w:textDirection w:val="tbRlV"/>
            <w:vAlign w:val="center"/>
          </w:tcPr>
          <w:p>
            <w:pPr>
              <w:spacing w:line="520" w:lineRule="exact"/>
              <w:ind w:left="113" w:right="113"/>
              <w:jc w:val="center"/>
              <w:rPr>
                <w:b/>
                <w:spacing w:val="90"/>
                <w:sz w:val="18"/>
                <w:szCs w:val="18"/>
              </w:rPr>
            </w:pPr>
            <w:r>
              <w:rPr>
                <w:rFonts w:hint="eastAsia"/>
                <w:b/>
                <w:spacing w:val="90"/>
                <w:sz w:val="18"/>
                <w:szCs w:val="18"/>
              </w:rPr>
              <w:t>甲方</w:t>
            </w:r>
          </w:p>
        </w:tc>
        <w:tc>
          <w:tcPr>
            <w:tcW w:w="1517" w:type="dxa"/>
            <w:vAlign w:val="center"/>
          </w:tcPr>
          <w:p>
            <w:pPr>
              <w:spacing w:line="240" w:lineRule="exact"/>
              <w:jc w:val="center"/>
              <w:rPr>
                <w:rFonts w:ascii="楷体" w:hAnsi="楷体" w:eastAsia="楷体"/>
                <w:b/>
                <w:sz w:val="18"/>
                <w:szCs w:val="18"/>
              </w:rPr>
            </w:pPr>
            <w:r>
              <w:rPr>
                <w:rFonts w:hint="eastAsia" w:ascii="楷体" w:hAnsi="楷体" w:eastAsia="楷体"/>
                <w:b/>
                <w:sz w:val="18"/>
                <w:szCs w:val="18"/>
              </w:rPr>
              <w:t>名称（或姓名）</w:t>
            </w:r>
          </w:p>
        </w:tc>
        <w:tc>
          <w:tcPr>
            <w:tcW w:w="4290" w:type="dxa"/>
            <w:gridSpan w:val="7"/>
            <w:vAlign w:val="center"/>
          </w:tcPr>
          <w:p>
            <w:pPr>
              <w:spacing w:line="240" w:lineRule="exact"/>
              <w:jc w:val="center"/>
              <w:rPr>
                <w:rFonts w:ascii="仿宋" w:hAnsi="仿宋" w:eastAsia="仿宋"/>
                <w:szCs w:val="21"/>
              </w:rPr>
            </w:pPr>
            <w:r>
              <w:rPr>
                <w:rFonts w:hint="eastAsia" w:ascii="仿宋" w:hAnsi="仿宋" w:eastAsia="仿宋"/>
                <w:szCs w:val="21"/>
              </w:rPr>
              <w:t>交通运输部北海航海保障中心</w:t>
            </w:r>
          </w:p>
          <w:p>
            <w:pPr>
              <w:spacing w:line="240" w:lineRule="exact"/>
              <w:jc w:val="center"/>
              <w:rPr>
                <w:rFonts w:ascii="仿宋" w:hAnsi="仿宋" w:eastAsia="仿宋"/>
                <w:szCs w:val="21"/>
              </w:rPr>
            </w:pPr>
            <w:r>
              <w:rPr>
                <w:rFonts w:hint="eastAsia" w:ascii="仿宋" w:hAnsi="仿宋" w:eastAsia="仿宋"/>
                <w:szCs w:val="21"/>
              </w:rPr>
              <w:t>天津航标处（签章）</w:t>
            </w:r>
          </w:p>
        </w:tc>
        <w:tc>
          <w:tcPr>
            <w:tcW w:w="2444" w:type="dxa"/>
            <w:vMerge w:val="restart"/>
            <w:vAlign w:val="center"/>
          </w:tcPr>
          <w:p>
            <w:pPr>
              <w:spacing w:line="520" w:lineRule="exact"/>
              <w:ind w:firstLine="404" w:firstLineChars="245"/>
              <w:rPr>
                <w:rFonts w:ascii="楷体" w:hAnsi="楷体" w:eastAsia="楷体"/>
                <w:b/>
                <w:spacing w:val="-8"/>
                <w:sz w:val="18"/>
                <w:szCs w:val="18"/>
              </w:rPr>
            </w:pPr>
            <w:r>
              <w:rPr>
                <w:rFonts w:hint="eastAsia" w:ascii="楷体" w:hAnsi="楷体" w:eastAsia="楷体"/>
                <w:b/>
                <w:spacing w:val="-8"/>
                <w:sz w:val="18"/>
                <w:szCs w:val="18"/>
              </w:rPr>
              <w:t>技术合同专用章</w:t>
            </w:r>
          </w:p>
          <w:p>
            <w:pPr>
              <w:spacing w:line="520" w:lineRule="exact"/>
              <w:jc w:val="center"/>
              <w:rPr>
                <w:rFonts w:ascii="楷体" w:hAnsi="楷体" w:eastAsia="楷体"/>
                <w:b/>
                <w:sz w:val="18"/>
                <w:szCs w:val="18"/>
              </w:rPr>
            </w:pPr>
            <w:r>
              <w:rPr>
                <w:rFonts w:hint="eastAsia" w:ascii="楷体" w:hAnsi="楷体" w:eastAsia="楷体"/>
                <w:b/>
                <w:sz w:val="18"/>
                <w:szCs w:val="18"/>
              </w:rPr>
              <w:t>或</w:t>
            </w:r>
          </w:p>
          <w:p>
            <w:pPr>
              <w:spacing w:line="520" w:lineRule="exact"/>
              <w:ind w:firstLine="803" w:firstLineChars="400"/>
              <w:rPr>
                <w:rFonts w:ascii="楷体" w:hAnsi="楷体" w:eastAsia="楷体"/>
                <w:b/>
                <w:spacing w:val="10"/>
                <w:sz w:val="18"/>
                <w:szCs w:val="18"/>
              </w:rPr>
            </w:pPr>
            <w:r>
              <w:rPr>
                <w:rFonts w:hint="eastAsia" w:ascii="楷体" w:hAnsi="楷体" w:eastAsia="楷体"/>
                <w:b/>
                <w:spacing w:val="10"/>
                <w:sz w:val="18"/>
                <w:szCs w:val="18"/>
              </w:rPr>
              <w:t>单位公章</w:t>
            </w:r>
          </w:p>
          <w:p>
            <w:pPr>
              <w:spacing w:line="520" w:lineRule="exact"/>
              <w:rPr>
                <w:rFonts w:ascii="楷体" w:hAnsi="楷体" w:eastAsia="楷体"/>
                <w:b/>
                <w:spacing w:val="10"/>
                <w:sz w:val="18"/>
                <w:szCs w:val="18"/>
              </w:rPr>
            </w:pPr>
          </w:p>
          <w:p>
            <w:pPr>
              <w:spacing w:line="520" w:lineRule="exact"/>
              <w:ind w:firstLine="844" w:firstLineChars="500"/>
              <w:rPr>
                <w:rFonts w:ascii="楷体" w:hAnsi="楷体" w:eastAsia="楷体"/>
                <w:b/>
                <w:spacing w:val="-6"/>
                <w:sz w:val="18"/>
                <w:szCs w:val="18"/>
              </w:rPr>
            </w:pPr>
            <w:r>
              <w:rPr>
                <w:rFonts w:hint="eastAsia" w:ascii="楷体" w:hAnsi="楷体" w:eastAsia="楷体"/>
                <w:b/>
                <w:spacing w:val="-6"/>
                <w:sz w:val="18"/>
                <w:szCs w:val="18"/>
              </w:rPr>
              <w:t>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70" w:hRule="atLeast"/>
        </w:trPr>
        <w:tc>
          <w:tcPr>
            <w:tcW w:w="1672" w:type="dxa"/>
            <w:vMerge w:val="continue"/>
            <w:vAlign w:val="center"/>
          </w:tcPr>
          <w:p>
            <w:pPr>
              <w:spacing w:line="520" w:lineRule="exact"/>
              <w:jc w:val="center"/>
              <w:rPr>
                <w:b/>
                <w:sz w:val="18"/>
                <w:szCs w:val="18"/>
              </w:rPr>
            </w:pPr>
          </w:p>
        </w:tc>
        <w:tc>
          <w:tcPr>
            <w:tcW w:w="1517" w:type="dxa"/>
            <w:vAlign w:val="center"/>
          </w:tcPr>
          <w:p>
            <w:pPr>
              <w:spacing w:line="240" w:lineRule="exact"/>
              <w:jc w:val="center"/>
              <w:rPr>
                <w:rFonts w:ascii="楷体" w:hAnsi="楷体" w:eastAsia="楷体"/>
                <w:b/>
                <w:sz w:val="18"/>
                <w:szCs w:val="18"/>
              </w:rPr>
            </w:pPr>
            <w:r>
              <w:rPr>
                <w:rFonts w:hint="eastAsia" w:ascii="楷体" w:hAnsi="楷体" w:eastAsia="楷体"/>
                <w:b/>
                <w:sz w:val="18"/>
                <w:szCs w:val="18"/>
              </w:rPr>
              <w:t>法定代表人</w:t>
            </w:r>
          </w:p>
          <w:p>
            <w:pPr>
              <w:spacing w:line="240" w:lineRule="exact"/>
              <w:jc w:val="center"/>
              <w:rPr>
                <w:rFonts w:ascii="楷体" w:hAnsi="楷体" w:eastAsia="楷体"/>
                <w:b/>
                <w:sz w:val="18"/>
                <w:szCs w:val="18"/>
              </w:rPr>
            </w:pPr>
            <w:r>
              <w:rPr>
                <w:rFonts w:hint="eastAsia" w:ascii="楷体" w:hAnsi="楷体" w:eastAsia="楷体"/>
                <w:b/>
                <w:sz w:val="18"/>
                <w:szCs w:val="18"/>
              </w:rPr>
              <w:t>或委托代理人</w:t>
            </w:r>
          </w:p>
        </w:tc>
        <w:tc>
          <w:tcPr>
            <w:tcW w:w="4290" w:type="dxa"/>
            <w:gridSpan w:val="7"/>
            <w:vAlign w:val="center"/>
          </w:tcPr>
          <w:p>
            <w:pPr>
              <w:spacing w:line="240" w:lineRule="exact"/>
              <w:jc w:val="center"/>
              <w:rPr>
                <w:rFonts w:ascii="仿宋" w:hAnsi="仿宋" w:eastAsia="仿宋"/>
                <w:sz w:val="18"/>
                <w:szCs w:val="18"/>
              </w:rPr>
            </w:pPr>
            <w:r>
              <w:rPr>
                <w:rFonts w:hint="eastAsia" w:ascii="仿宋" w:hAnsi="仿宋" w:eastAsia="仿宋"/>
                <w:sz w:val="18"/>
                <w:szCs w:val="18"/>
              </w:rPr>
              <w:t xml:space="preserve"> </w:t>
            </w:r>
          </w:p>
        </w:tc>
        <w:tc>
          <w:tcPr>
            <w:tcW w:w="2444" w:type="dxa"/>
            <w:vMerge w:val="continue"/>
            <w:vAlign w:val="center"/>
          </w:tcPr>
          <w:p>
            <w:pPr>
              <w:spacing w:line="520" w:lineRule="exact"/>
              <w:jc w:val="center"/>
              <w:rPr>
                <w:rFonts w:ascii="楷体" w:hAnsi="楷体" w:eastAsia="楷体"/>
                <w:b/>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4" w:hRule="atLeast"/>
        </w:trPr>
        <w:tc>
          <w:tcPr>
            <w:tcW w:w="1672" w:type="dxa"/>
            <w:vMerge w:val="continue"/>
            <w:vAlign w:val="center"/>
          </w:tcPr>
          <w:p>
            <w:pPr>
              <w:spacing w:line="520" w:lineRule="exact"/>
              <w:jc w:val="center"/>
              <w:rPr>
                <w:b/>
                <w:sz w:val="18"/>
                <w:szCs w:val="18"/>
              </w:rPr>
            </w:pPr>
          </w:p>
        </w:tc>
        <w:tc>
          <w:tcPr>
            <w:tcW w:w="1517" w:type="dxa"/>
            <w:vAlign w:val="center"/>
          </w:tcPr>
          <w:p>
            <w:pPr>
              <w:spacing w:line="240" w:lineRule="exact"/>
              <w:jc w:val="center"/>
              <w:rPr>
                <w:rFonts w:ascii="楷体" w:hAnsi="楷体" w:eastAsia="楷体"/>
                <w:b/>
                <w:sz w:val="18"/>
                <w:szCs w:val="18"/>
              </w:rPr>
            </w:pPr>
            <w:r>
              <w:rPr>
                <w:rFonts w:hint="eastAsia" w:ascii="楷体" w:hAnsi="楷体" w:eastAsia="楷体"/>
                <w:b/>
                <w:sz w:val="18"/>
                <w:szCs w:val="18"/>
              </w:rPr>
              <w:t>联系（经办）人</w:t>
            </w:r>
          </w:p>
        </w:tc>
        <w:tc>
          <w:tcPr>
            <w:tcW w:w="4290" w:type="dxa"/>
            <w:gridSpan w:val="7"/>
            <w:vAlign w:val="center"/>
          </w:tcPr>
          <w:p>
            <w:pPr>
              <w:spacing w:line="240" w:lineRule="exact"/>
              <w:jc w:val="center"/>
              <w:rPr>
                <w:rFonts w:ascii="仿宋" w:hAnsi="仿宋" w:eastAsia="仿宋"/>
                <w:sz w:val="18"/>
                <w:szCs w:val="18"/>
              </w:rPr>
            </w:pPr>
          </w:p>
        </w:tc>
        <w:tc>
          <w:tcPr>
            <w:tcW w:w="2444" w:type="dxa"/>
            <w:vMerge w:val="continue"/>
            <w:vAlign w:val="center"/>
          </w:tcPr>
          <w:p>
            <w:pPr>
              <w:spacing w:line="520" w:lineRule="exact"/>
              <w:jc w:val="center"/>
              <w:rPr>
                <w:rFonts w:ascii="楷体" w:hAnsi="楷体" w:eastAsia="楷体"/>
                <w:b/>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45" w:hRule="atLeast"/>
        </w:trPr>
        <w:tc>
          <w:tcPr>
            <w:tcW w:w="1672" w:type="dxa"/>
            <w:vMerge w:val="continue"/>
            <w:vAlign w:val="center"/>
          </w:tcPr>
          <w:p>
            <w:pPr>
              <w:spacing w:line="520" w:lineRule="exact"/>
              <w:jc w:val="center"/>
              <w:rPr>
                <w:b/>
                <w:sz w:val="18"/>
                <w:szCs w:val="18"/>
              </w:rPr>
            </w:pPr>
          </w:p>
        </w:tc>
        <w:tc>
          <w:tcPr>
            <w:tcW w:w="1517" w:type="dxa"/>
            <w:vAlign w:val="center"/>
          </w:tcPr>
          <w:p>
            <w:pPr>
              <w:spacing w:line="240" w:lineRule="exact"/>
              <w:jc w:val="center"/>
              <w:rPr>
                <w:rFonts w:ascii="楷体" w:hAnsi="楷体" w:eastAsia="楷体"/>
                <w:b/>
                <w:spacing w:val="34"/>
                <w:sz w:val="18"/>
                <w:szCs w:val="18"/>
              </w:rPr>
            </w:pPr>
            <w:r>
              <w:rPr>
                <w:rFonts w:hint="eastAsia" w:ascii="楷体" w:hAnsi="楷体" w:eastAsia="楷体"/>
                <w:b/>
                <w:spacing w:val="34"/>
                <w:sz w:val="18"/>
                <w:szCs w:val="18"/>
              </w:rPr>
              <w:t>住所</w:t>
            </w:r>
          </w:p>
          <w:p>
            <w:pPr>
              <w:spacing w:line="240" w:lineRule="exact"/>
              <w:jc w:val="center"/>
              <w:rPr>
                <w:rFonts w:ascii="楷体" w:hAnsi="楷体" w:eastAsia="楷体"/>
                <w:b/>
                <w:spacing w:val="16"/>
                <w:sz w:val="18"/>
                <w:szCs w:val="18"/>
              </w:rPr>
            </w:pPr>
            <w:r>
              <w:rPr>
                <w:rFonts w:hint="eastAsia" w:ascii="楷体" w:hAnsi="楷体" w:eastAsia="楷体"/>
                <w:b/>
                <w:spacing w:val="16"/>
                <w:sz w:val="18"/>
                <w:szCs w:val="18"/>
              </w:rPr>
              <w:t>（通讯地址）</w:t>
            </w:r>
          </w:p>
        </w:tc>
        <w:tc>
          <w:tcPr>
            <w:tcW w:w="1597" w:type="dxa"/>
            <w:vAlign w:val="center"/>
          </w:tcPr>
          <w:p>
            <w:pPr>
              <w:spacing w:line="240" w:lineRule="exact"/>
              <w:jc w:val="center"/>
              <w:rPr>
                <w:rFonts w:ascii="仿宋" w:hAnsi="仿宋" w:eastAsia="仿宋"/>
                <w:sz w:val="18"/>
                <w:szCs w:val="18"/>
              </w:rPr>
            </w:pPr>
          </w:p>
        </w:tc>
        <w:tc>
          <w:tcPr>
            <w:tcW w:w="1276" w:type="dxa"/>
            <w:gridSpan w:val="3"/>
            <w:vAlign w:val="center"/>
          </w:tcPr>
          <w:p>
            <w:pPr>
              <w:spacing w:line="240" w:lineRule="exact"/>
              <w:jc w:val="center"/>
              <w:rPr>
                <w:rFonts w:ascii="仿宋" w:hAnsi="仿宋" w:eastAsia="仿宋"/>
                <w:sz w:val="18"/>
                <w:szCs w:val="18"/>
              </w:rPr>
            </w:pPr>
            <w:r>
              <w:rPr>
                <w:rFonts w:hint="eastAsia" w:ascii="仿宋" w:hAnsi="仿宋" w:eastAsia="仿宋"/>
                <w:sz w:val="18"/>
                <w:szCs w:val="18"/>
              </w:rPr>
              <w:t>邮政编码</w:t>
            </w:r>
          </w:p>
        </w:tc>
        <w:tc>
          <w:tcPr>
            <w:tcW w:w="1417" w:type="dxa"/>
            <w:gridSpan w:val="3"/>
            <w:vAlign w:val="center"/>
          </w:tcPr>
          <w:p>
            <w:pPr>
              <w:spacing w:line="240" w:lineRule="exact"/>
              <w:jc w:val="center"/>
              <w:rPr>
                <w:rFonts w:ascii="仿宋" w:hAnsi="仿宋" w:eastAsia="仿宋"/>
                <w:sz w:val="18"/>
                <w:szCs w:val="18"/>
              </w:rPr>
            </w:pPr>
          </w:p>
        </w:tc>
        <w:tc>
          <w:tcPr>
            <w:tcW w:w="2444" w:type="dxa"/>
            <w:vMerge w:val="continue"/>
            <w:vAlign w:val="center"/>
          </w:tcPr>
          <w:p>
            <w:pPr>
              <w:spacing w:line="520" w:lineRule="exact"/>
              <w:jc w:val="center"/>
              <w:rPr>
                <w:rFonts w:ascii="楷体" w:hAnsi="楷体" w:eastAsia="楷体"/>
                <w:b/>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672" w:type="dxa"/>
            <w:vMerge w:val="continue"/>
            <w:vAlign w:val="center"/>
          </w:tcPr>
          <w:p>
            <w:pPr>
              <w:spacing w:line="520" w:lineRule="exact"/>
              <w:jc w:val="center"/>
              <w:rPr>
                <w:b/>
                <w:sz w:val="18"/>
                <w:szCs w:val="18"/>
              </w:rPr>
            </w:pPr>
          </w:p>
        </w:tc>
        <w:tc>
          <w:tcPr>
            <w:tcW w:w="1517" w:type="dxa"/>
            <w:vAlign w:val="center"/>
          </w:tcPr>
          <w:p>
            <w:pPr>
              <w:spacing w:line="240" w:lineRule="exact"/>
              <w:jc w:val="center"/>
              <w:rPr>
                <w:rFonts w:ascii="楷体" w:hAnsi="楷体" w:eastAsia="楷体"/>
                <w:b/>
                <w:spacing w:val="28"/>
                <w:sz w:val="18"/>
                <w:szCs w:val="18"/>
              </w:rPr>
            </w:pPr>
            <w:r>
              <w:rPr>
                <w:rFonts w:hint="eastAsia" w:ascii="楷体" w:hAnsi="楷体" w:eastAsia="楷体"/>
                <w:b/>
                <w:sz w:val="18"/>
                <w:szCs w:val="18"/>
              </w:rPr>
              <w:t>电话</w:t>
            </w:r>
          </w:p>
        </w:tc>
        <w:tc>
          <w:tcPr>
            <w:tcW w:w="1597" w:type="dxa"/>
            <w:vAlign w:val="center"/>
          </w:tcPr>
          <w:p>
            <w:pPr>
              <w:spacing w:line="240" w:lineRule="exact"/>
              <w:rPr>
                <w:rFonts w:ascii="仿宋" w:hAnsi="仿宋" w:eastAsia="仿宋"/>
                <w:sz w:val="18"/>
                <w:szCs w:val="18"/>
              </w:rPr>
            </w:pPr>
          </w:p>
        </w:tc>
        <w:tc>
          <w:tcPr>
            <w:tcW w:w="1276" w:type="dxa"/>
            <w:gridSpan w:val="3"/>
            <w:vAlign w:val="center"/>
          </w:tcPr>
          <w:p>
            <w:pPr>
              <w:spacing w:line="240" w:lineRule="exact"/>
              <w:jc w:val="center"/>
              <w:rPr>
                <w:rFonts w:ascii="仿宋" w:hAnsi="仿宋" w:eastAsia="仿宋"/>
                <w:sz w:val="18"/>
                <w:szCs w:val="18"/>
              </w:rPr>
            </w:pPr>
            <w:r>
              <w:rPr>
                <w:rFonts w:hint="eastAsia" w:ascii="仿宋" w:hAnsi="仿宋" w:eastAsia="仿宋"/>
                <w:sz w:val="18"/>
                <w:szCs w:val="18"/>
              </w:rPr>
              <w:t>传真</w:t>
            </w:r>
          </w:p>
        </w:tc>
        <w:tc>
          <w:tcPr>
            <w:tcW w:w="1417" w:type="dxa"/>
            <w:gridSpan w:val="3"/>
            <w:vAlign w:val="center"/>
          </w:tcPr>
          <w:p>
            <w:pPr>
              <w:spacing w:line="240" w:lineRule="exact"/>
              <w:jc w:val="center"/>
              <w:rPr>
                <w:rFonts w:ascii="仿宋" w:hAnsi="仿宋" w:eastAsia="仿宋"/>
                <w:sz w:val="18"/>
                <w:szCs w:val="18"/>
              </w:rPr>
            </w:pPr>
            <w:r>
              <w:rPr>
                <w:rFonts w:hint="eastAsia" w:ascii="仿宋" w:hAnsi="仿宋" w:eastAsia="仿宋"/>
                <w:sz w:val="18"/>
                <w:szCs w:val="18"/>
              </w:rPr>
              <w:t>022-58873958</w:t>
            </w:r>
          </w:p>
        </w:tc>
        <w:tc>
          <w:tcPr>
            <w:tcW w:w="2444" w:type="dxa"/>
            <w:vMerge w:val="continue"/>
            <w:vAlign w:val="center"/>
          </w:tcPr>
          <w:p>
            <w:pPr>
              <w:spacing w:line="520" w:lineRule="exact"/>
              <w:jc w:val="center"/>
              <w:rPr>
                <w:rFonts w:ascii="楷体" w:hAnsi="楷体" w:eastAsia="楷体"/>
                <w:b/>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672" w:type="dxa"/>
            <w:vMerge w:val="continue"/>
            <w:vAlign w:val="center"/>
          </w:tcPr>
          <w:p>
            <w:pPr>
              <w:spacing w:line="520" w:lineRule="exact"/>
              <w:jc w:val="center"/>
              <w:rPr>
                <w:b/>
                <w:sz w:val="18"/>
                <w:szCs w:val="18"/>
              </w:rPr>
            </w:pPr>
          </w:p>
        </w:tc>
        <w:tc>
          <w:tcPr>
            <w:tcW w:w="1517" w:type="dxa"/>
            <w:vAlign w:val="center"/>
          </w:tcPr>
          <w:p>
            <w:pPr>
              <w:spacing w:line="240" w:lineRule="exact"/>
              <w:jc w:val="center"/>
              <w:rPr>
                <w:rFonts w:ascii="楷体" w:hAnsi="楷体" w:eastAsia="楷体"/>
                <w:b/>
                <w:sz w:val="18"/>
                <w:szCs w:val="18"/>
              </w:rPr>
            </w:pPr>
            <w:r>
              <w:rPr>
                <w:rFonts w:hint="eastAsia" w:ascii="楷体" w:hAnsi="楷体" w:eastAsia="楷体"/>
                <w:b/>
                <w:sz w:val="18"/>
                <w:szCs w:val="18"/>
              </w:rPr>
              <w:t>开户银行</w:t>
            </w:r>
          </w:p>
        </w:tc>
        <w:tc>
          <w:tcPr>
            <w:tcW w:w="4290" w:type="dxa"/>
            <w:gridSpan w:val="7"/>
            <w:vAlign w:val="center"/>
          </w:tcPr>
          <w:p>
            <w:pPr>
              <w:spacing w:line="240" w:lineRule="exact"/>
              <w:jc w:val="center"/>
              <w:rPr>
                <w:rFonts w:ascii="仿宋" w:hAnsi="仿宋" w:eastAsia="仿宋"/>
                <w:sz w:val="18"/>
                <w:szCs w:val="18"/>
              </w:rPr>
            </w:pPr>
          </w:p>
        </w:tc>
        <w:tc>
          <w:tcPr>
            <w:tcW w:w="2444" w:type="dxa"/>
            <w:vMerge w:val="continue"/>
            <w:vAlign w:val="center"/>
          </w:tcPr>
          <w:p>
            <w:pPr>
              <w:spacing w:line="520" w:lineRule="exact"/>
              <w:jc w:val="center"/>
              <w:rPr>
                <w:rFonts w:ascii="楷体" w:hAnsi="楷体" w:eastAsia="楷体"/>
                <w:b/>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672" w:type="dxa"/>
            <w:vMerge w:val="continue"/>
            <w:vAlign w:val="center"/>
          </w:tcPr>
          <w:p>
            <w:pPr>
              <w:spacing w:line="520" w:lineRule="exact"/>
              <w:jc w:val="center"/>
              <w:rPr>
                <w:b/>
                <w:sz w:val="18"/>
                <w:szCs w:val="18"/>
              </w:rPr>
            </w:pPr>
          </w:p>
        </w:tc>
        <w:tc>
          <w:tcPr>
            <w:tcW w:w="1517" w:type="dxa"/>
            <w:vAlign w:val="center"/>
          </w:tcPr>
          <w:p>
            <w:pPr>
              <w:spacing w:line="240" w:lineRule="exact"/>
              <w:jc w:val="center"/>
              <w:rPr>
                <w:rFonts w:ascii="楷体" w:hAnsi="楷体" w:eastAsia="楷体"/>
                <w:b/>
                <w:spacing w:val="38"/>
                <w:sz w:val="18"/>
                <w:szCs w:val="18"/>
              </w:rPr>
            </w:pPr>
            <w:r>
              <w:rPr>
                <w:rFonts w:hint="eastAsia" w:ascii="楷体" w:hAnsi="楷体" w:eastAsia="楷体"/>
                <w:b/>
                <w:spacing w:val="38"/>
                <w:sz w:val="18"/>
                <w:szCs w:val="18"/>
              </w:rPr>
              <w:t>帐号</w:t>
            </w:r>
          </w:p>
        </w:tc>
        <w:tc>
          <w:tcPr>
            <w:tcW w:w="4290" w:type="dxa"/>
            <w:gridSpan w:val="7"/>
            <w:vAlign w:val="center"/>
          </w:tcPr>
          <w:p>
            <w:pPr>
              <w:spacing w:line="240" w:lineRule="exact"/>
              <w:jc w:val="center"/>
              <w:rPr>
                <w:rFonts w:ascii="仿宋" w:hAnsi="仿宋" w:eastAsia="仿宋"/>
                <w:sz w:val="18"/>
                <w:szCs w:val="18"/>
              </w:rPr>
            </w:pPr>
          </w:p>
        </w:tc>
        <w:tc>
          <w:tcPr>
            <w:tcW w:w="2444" w:type="dxa"/>
            <w:vMerge w:val="continue"/>
            <w:vAlign w:val="center"/>
          </w:tcPr>
          <w:p>
            <w:pPr>
              <w:spacing w:line="520" w:lineRule="exact"/>
              <w:jc w:val="center"/>
              <w:rPr>
                <w:rFonts w:ascii="楷体" w:hAnsi="楷体" w:eastAsia="楷体"/>
                <w:b/>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672" w:type="dxa"/>
            <w:vMerge w:val="restart"/>
            <w:textDirection w:val="tbRlV"/>
            <w:vAlign w:val="center"/>
          </w:tcPr>
          <w:p>
            <w:pPr>
              <w:spacing w:line="520" w:lineRule="exact"/>
              <w:ind w:left="113" w:right="113"/>
              <w:jc w:val="center"/>
              <w:rPr>
                <w:b/>
                <w:spacing w:val="42"/>
                <w:sz w:val="18"/>
                <w:szCs w:val="18"/>
              </w:rPr>
            </w:pPr>
            <w:r>
              <w:rPr>
                <w:rFonts w:hint="eastAsia"/>
                <w:b/>
                <w:spacing w:val="42"/>
                <w:sz w:val="18"/>
                <w:szCs w:val="18"/>
              </w:rPr>
              <w:t>乙方</w:t>
            </w:r>
          </w:p>
        </w:tc>
        <w:tc>
          <w:tcPr>
            <w:tcW w:w="1517" w:type="dxa"/>
            <w:tcBorders>
              <w:bottom w:val="single" w:color="auto" w:sz="4" w:space="0"/>
            </w:tcBorders>
            <w:vAlign w:val="center"/>
          </w:tcPr>
          <w:p>
            <w:pPr>
              <w:spacing w:line="240" w:lineRule="exact"/>
              <w:jc w:val="center"/>
              <w:rPr>
                <w:rFonts w:ascii="楷体" w:hAnsi="楷体" w:eastAsia="楷体"/>
                <w:b/>
                <w:sz w:val="18"/>
                <w:szCs w:val="18"/>
              </w:rPr>
            </w:pPr>
            <w:r>
              <w:rPr>
                <w:rFonts w:hint="eastAsia" w:ascii="楷体" w:hAnsi="楷体" w:eastAsia="楷体"/>
                <w:b/>
                <w:sz w:val="18"/>
                <w:szCs w:val="18"/>
              </w:rPr>
              <w:t>名称（或姓名）</w:t>
            </w:r>
          </w:p>
        </w:tc>
        <w:tc>
          <w:tcPr>
            <w:tcW w:w="4290" w:type="dxa"/>
            <w:gridSpan w:val="7"/>
            <w:tcBorders>
              <w:bottom w:val="single" w:color="auto" w:sz="4" w:space="0"/>
            </w:tcBorders>
            <w:vAlign w:val="center"/>
          </w:tcPr>
          <w:p>
            <w:pPr>
              <w:spacing w:line="240" w:lineRule="exact"/>
              <w:jc w:val="center"/>
              <w:rPr>
                <w:rFonts w:ascii="仿宋" w:hAnsi="仿宋" w:eastAsia="仿宋"/>
                <w:sz w:val="18"/>
                <w:szCs w:val="18"/>
              </w:rPr>
            </w:pPr>
          </w:p>
        </w:tc>
        <w:tc>
          <w:tcPr>
            <w:tcW w:w="2444" w:type="dxa"/>
            <w:vMerge w:val="restart"/>
            <w:vAlign w:val="center"/>
          </w:tcPr>
          <w:p>
            <w:pPr>
              <w:spacing w:line="520" w:lineRule="exact"/>
              <w:ind w:firstLine="404" w:firstLineChars="245"/>
              <w:rPr>
                <w:rFonts w:ascii="楷体" w:hAnsi="楷体" w:eastAsia="楷体"/>
                <w:b/>
                <w:spacing w:val="-8"/>
                <w:sz w:val="18"/>
                <w:szCs w:val="18"/>
              </w:rPr>
            </w:pPr>
            <w:r>
              <w:rPr>
                <w:rFonts w:hint="eastAsia" w:ascii="楷体" w:hAnsi="楷体" w:eastAsia="楷体"/>
                <w:b/>
                <w:spacing w:val="-8"/>
                <w:sz w:val="18"/>
                <w:szCs w:val="18"/>
              </w:rPr>
              <w:t>技术合同专用章</w:t>
            </w:r>
          </w:p>
          <w:p>
            <w:pPr>
              <w:spacing w:line="520" w:lineRule="exact"/>
              <w:jc w:val="center"/>
              <w:rPr>
                <w:rFonts w:ascii="楷体" w:hAnsi="楷体" w:eastAsia="楷体"/>
                <w:b/>
                <w:sz w:val="18"/>
                <w:szCs w:val="18"/>
              </w:rPr>
            </w:pPr>
            <w:r>
              <w:rPr>
                <w:rFonts w:hint="eastAsia" w:ascii="楷体" w:hAnsi="楷体" w:eastAsia="楷体"/>
                <w:b/>
                <w:sz w:val="18"/>
                <w:szCs w:val="18"/>
              </w:rPr>
              <w:t>或</w:t>
            </w:r>
          </w:p>
          <w:p>
            <w:pPr>
              <w:spacing w:line="520" w:lineRule="exact"/>
              <w:ind w:firstLine="803" w:firstLineChars="400"/>
              <w:rPr>
                <w:rFonts w:ascii="楷体" w:hAnsi="楷体" w:eastAsia="楷体"/>
                <w:b/>
                <w:spacing w:val="10"/>
                <w:sz w:val="18"/>
                <w:szCs w:val="18"/>
              </w:rPr>
            </w:pPr>
            <w:r>
              <w:rPr>
                <w:rFonts w:hint="eastAsia" w:ascii="楷体" w:hAnsi="楷体" w:eastAsia="楷体"/>
                <w:b/>
                <w:spacing w:val="10"/>
                <w:sz w:val="18"/>
                <w:szCs w:val="18"/>
              </w:rPr>
              <w:t>单位公章</w:t>
            </w:r>
          </w:p>
          <w:p>
            <w:pPr>
              <w:spacing w:line="520" w:lineRule="exact"/>
              <w:rPr>
                <w:rFonts w:ascii="楷体" w:hAnsi="楷体" w:eastAsia="楷体"/>
                <w:b/>
                <w:spacing w:val="10"/>
                <w:sz w:val="18"/>
                <w:szCs w:val="18"/>
              </w:rPr>
            </w:pPr>
          </w:p>
          <w:p>
            <w:pPr>
              <w:spacing w:line="520" w:lineRule="exact"/>
              <w:jc w:val="center"/>
              <w:rPr>
                <w:rFonts w:ascii="楷体" w:hAnsi="楷体" w:eastAsia="楷体"/>
                <w:b/>
                <w:spacing w:val="-8"/>
                <w:sz w:val="18"/>
                <w:szCs w:val="18"/>
              </w:rPr>
            </w:pPr>
            <w:r>
              <w:rPr>
                <w:rFonts w:hint="eastAsia" w:ascii="楷体" w:hAnsi="楷体" w:eastAsia="楷体"/>
                <w:b/>
                <w:spacing w:val="-6"/>
                <w:sz w:val="18"/>
                <w:szCs w:val="18"/>
              </w:rPr>
              <w:t>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1672" w:type="dxa"/>
            <w:vMerge w:val="continue"/>
            <w:textDirection w:val="tbRlV"/>
            <w:vAlign w:val="center"/>
          </w:tcPr>
          <w:p>
            <w:pPr>
              <w:spacing w:line="520" w:lineRule="exact"/>
              <w:ind w:left="113" w:right="113"/>
              <w:jc w:val="center"/>
              <w:rPr>
                <w:b/>
                <w:spacing w:val="42"/>
                <w:sz w:val="18"/>
                <w:szCs w:val="18"/>
              </w:rPr>
            </w:pPr>
          </w:p>
        </w:tc>
        <w:tc>
          <w:tcPr>
            <w:tcW w:w="1517" w:type="dxa"/>
            <w:tcBorders>
              <w:top w:val="single" w:color="auto" w:sz="4" w:space="0"/>
              <w:bottom w:val="single" w:color="auto" w:sz="4" w:space="0"/>
            </w:tcBorders>
            <w:vAlign w:val="center"/>
          </w:tcPr>
          <w:p>
            <w:pPr>
              <w:spacing w:line="240" w:lineRule="exact"/>
              <w:jc w:val="center"/>
              <w:rPr>
                <w:rFonts w:ascii="楷体" w:hAnsi="楷体" w:eastAsia="楷体"/>
                <w:b/>
                <w:sz w:val="18"/>
                <w:szCs w:val="18"/>
              </w:rPr>
            </w:pPr>
            <w:r>
              <w:rPr>
                <w:rFonts w:hint="eastAsia" w:ascii="楷体" w:hAnsi="楷体" w:eastAsia="楷体"/>
                <w:b/>
                <w:sz w:val="18"/>
                <w:szCs w:val="18"/>
              </w:rPr>
              <w:t>法定代表人</w:t>
            </w:r>
          </w:p>
          <w:p>
            <w:pPr>
              <w:spacing w:line="240" w:lineRule="exact"/>
              <w:jc w:val="center"/>
              <w:rPr>
                <w:rFonts w:ascii="楷体" w:hAnsi="楷体" w:eastAsia="楷体"/>
                <w:b/>
                <w:sz w:val="18"/>
                <w:szCs w:val="18"/>
              </w:rPr>
            </w:pPr>
            <w:r>
              <w:rPr>
                <w:rFonts w:hint="eastAsia" w:ascii="楷体" w:hAnsi="楷体" w:eastAsia="楷体"/>
                <w:b/>
                <w:sz w:val="18"/>
                <w:szCs w:val="18"/>
              </w:rPr>
              <w:t>或委托代理人</w:t>
            </w:r>
          </w:p>
        </w:tc>
        <w:tc>
          <w:tcPr>
            <w:tcW w:w="4290" w:type="dxa"/>
            <w:gridSpan w:val="7"/>
            <w:tcBorders>
              <w:top w:val="single" w:color="auto" w:sz="4" w:space="0"/>
              <w:bottom w:val="single" w:color="auto" w:sz="4" w:space="0"/>
            </w:tcBorders>
            <w:vAlign w:val="center"/>
          </w:tcPr>
          <w:p>
            <w:pPr>
              <w:spacing w:line="240" w:lineRule="exact"/>
              <w:jc w:val="center"/>
              <w:rPr>
                <w:rFonts w:ascii="仿宋" w:hAnsi="仿宋" w:eastAsia="仿宋"/>
                <w:sz w:val="18"/>
                <w:szCs w:val="18"/>
              </w:rPr>
            </w:pPr>
          </w:p>
        </w:tc>
        <w:tc>
          <w:tcPr>
            <w:tcW w:w="2444" w:type="dxa"/>
            <w:vMerge w:val="continue"/>
            <w:vAlign w:val="center"/>
          </w:tcPr>
          <w:p>
            <w:pPr>
              <w:spacing w:line="520" w:lineRule="exact"/>
              <w:jc w:val="center"/>
              <w:rPr>
                <w:rFonts w:ascii="楷体" w:hAnsi="楷体" w:eastAsia="楷体"/>
                <w:b/>
                <w:spacing w:val="-8"/>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1672" w:type="dxa"/>
            <w:vMerge w:val="continue"/>
            <w:textDirection w:val="tbRlV"/>
            <w:vAlign w:val="center"/>
          </w:tcPr>
          <w:p>
            <w:pPr>
              <w:spacing w:line="520" w:lineRule="exact"/>
              <w:ind w:left="113" w:right="113"/>
              <w:jc w:val="center"/>
              <w:rPr>
                <w:b/>
                <w:spacing w:val="42"/>
                <w:sz w:val="18"/>
                <w:szCs w:val="18"/>
              </w:rPr>
            </w:pPr>
          </w:p>
        </w:tc>
        <w:tc>
          <w:tcPr>
            <w:tcW w:w="1517" w:type="dxa"/>
            <w:tcBorders>
              <w:top w:val="single" w:color="auto" w:sz="4" w:space="0"/>
              <w:bottom w:val="single" w:color="auto" w:sz="4" w:space="0"/>
            </w:tcBorders>
            <w:vAlign w:val="center"/>
          </w:tcPr>
          <w:p>
            <w:pPr>
              <w:spacing w:line="240" w:lineRule="exact"/>
              <w:jc w:val="center"/>
              <w:rPr>
                <w:rFonts w:ascii="楷体" w:hAnsi="楷体" w:eastAsia="楷体"/>
                <w:b/>
                <w:sz w:val="18"/>
                <w:szCs w:val="18"/>
              </w:rPr>
            </w:pPr>
            <w:r>
              <w:rPr>
                <w:rFonts w:hint="eastAsia" w:ascii="楷体" w:hAnsi="楷体" w:eastAsia="楷体"/>
                <w:b/>
                <w:sz w:val="18"/>
                <w:szCs w:val="18"/>
              </w:rPr>
              <w:t>联系（经办）人</w:t>
            </w:r>
          </w:p>
        </w:tc>
        <w:tc>
          <w:tcPr>
            <w:tcW w:w="4290" w:type="dxa"/>
            <w:gridSpan w:val="7"/>
            <w:tcBorders>
              <w:top w:val="single" w:color="auto" w:sz="4" w:space="0"/>
              <w:bottom w:val="single" w:color="auto" w:sz="4" w:space="0"/>
            </w:tcBorders>
            <w:vAlign w:val="center"/>
          </w:tcPr>
          <w:p>
            <w:pPr>
              <w:spacing w:line="240" w:lineRule="exact"/>
              <w:jc w:val="center"/>
              <w:rPr>
                <w:rFonts w:ascii="仿宋" w:hAnsi="仿宋" w:eastAsia="仿宋"/>
                <w:sz w:val="18"/>
                <w:szCs w:val="18"/>
              </w:rPr>
            </w:pPr>
          </w:p>
        </w:tc>
        <w:tc>
          <w:tcPr>
            <w:tcW w:w="2444" w:type="dxa"/>
            <w:vMerge w:val="continue"/>
            <w:vAlign w:val="center"/>
          </w:tcPr>
          <w:p>
            <w:pPr>
              <w:spacing w:line="520" w:lineRule="exact"/>
              <w:jc w:val="center"/>
              <w:rPr>
                <w:rFonts w:ascii="楷体" w:hAnsi="楷体" w:eastAsia="楷体"/>
                <w:b/>
                <w:spacing w:val="-8"/>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672" w:type="dxa"/>
            <w:vMerge w:val="continue"/>
            <w:textDirection w:val="tbRlV"/>
            <w:vAlign w:val="center"/>
          </w:tcPr>
          <w:p>
            <w:pPr>
              <w:spacing w:line="520" w:lineRule="exact"/>
              <w:ind w:left="113" w:right="113"/>
              <w:jc w:val="center"/>
              <w:rPr>
                <w:b/>
                <w:spacing w:val="42"/>
                <w:sz w:val="18"/>
                <w:szCs w:val="18"/>
              </w:rPr>
            </w:pPr>
          </w:p>
        </w:tc>
        <w:tc>
          <w:tcPr>
            <w:tcW w:w="1517" w:type="dxa"/>
            <w:tcBorders>
              <w:top w:val="single" w:color="auto" w:sz="4" w:space="0"/>
              <w:bottom w:val="single" w:color="auto" w:sz="4" w:space="0"/>
            </w:tcBorders>
            <w:vAlign w:val="center"/>
          </w:tcPr>
          <w:p>
            <w:pPr>
              <w:spacing w:line="240" w:lineRule="exact"/>
              <w:jc w:val="center"/>
              <w:rPr>
                <w:rFonts w:ascii="楷体" w:hAnsi="楷体" w:eastAsia="楷体"/>
                <w:b/>
                <w:spacing w:val="34"/>
                <w:sz w:val="18"/>
                <w:szCs w:val="18"/>
              </w:rPr>
            </w:pPr>
            <w:r>
              <w:rPr>
                <w:rFonts w:hint="eastAsia" w:ascii="楷体" w:hAnsi="楷体" w:eastAsia="楷体"/>
                <w:b/>
                <w:spacing w:val="34"/>
                <w:sz w:val="18"/>
                <w:szCs w:val="18"/>
              </w:rPr>
              <w:t>住所</w:t>
            </w:r>
          </w:p>
          <w:p>
            <w:pPr>
              <w:spacing w:line="240" w:lineRule="exact"/>
              <w:jc w:val="center"/>
              <w:rPr>
                <w:rFonts w:ascii="楷体" w:hAnsi="楷体" w:eastAsia="楷体"/>
                <w:b/>
                <w:spacing w:val="16"/>
                <w:sz w:val="18"/>
                <w:szCs w:val="18"/>
              </w:rPr>
            </w:pPr>
            <w:r>
              <w:rPr>
                <w:rFonts w:hint="eastAsia" w:ascii="楷体" w:hAnsi="楷体" w:eastAsia="楷体"/>
                <w:b/>
                <w:spacing w:val="16"/>
                <w:sz w:val="18"/>
                <w:szCs w:val="18"/>
              </w:rPr>
              <w:t>（通讯地址）</w:t>
            </w:r>
          </w:p>
        </w:tc>
        <w:tc>
          <w:tcPr>
            <w:tcW w:w="1900" w:type="dxa"/>
            <w:gridSpan w:val="2"/>
            <w:tcBorders>
              <w:top w:val="single" w:color="auto" w:sz="4" w:space="0"/>
              <w:bottom w:val="single" w:color="auto" w:sz="4" w:space="0"/>
              <w:right w:val="single" w:color="auto" w:sz="4" w:space="0"/>
            </w:tcBorders>
            <w:vAlign w:val="center"/>
          </w:tcPr>
          <w:p>
            <w:pPr>
              <w:spacing w:line="240" w:lineRule="exact"/>
              <w:jc w:val="center"/>
              <w:rPr>
                <w:rFonts w:ascii="仿宋" w:hAnsi="仿宋" w:eastAsia="仿宋"/>
                <w:sz w:val="18"/>
                <w:szCs w:val="18"/>
              </w:rPr>
            </w:pPr>
          </w:p>
        </w:tc>
        <w:tc>
          <w:tcPr>
            <w:tcW w:w="113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 w:val="18"/>
                <w:szCs w:val="18"/>
              </w:rPr>
            </w:pPr>
            <w:r>
              <w:rPr>
                <w:rFonts w:hint="eastAsia" w:ascii="仿宋" w:hAnsi="仿宋" w:eastAsia="仿宋"/>
                <w:sz w:val="18"/>
                <w:szCs w:val="18"/>
              </w:rPr>
              <w:t>邮政编码</w:t>
            </w:r>
          </w:p>
        </w:tc>
        <w:tc>
          <w:tcPr>
            <w:tcW w:w="1260" w:type="dxa"/>
            <w:gridSpan w:val="2"/>
            <w:tcBorders>
              <w:top w:val="single" w:color="auto" w:sz="4" w:space="0"/>
              <w:left w:val="single" w:color="auto" w:sz="4" w:space="0"/>
              <w:bottom w:val="single" w:color="auto" w:sz="4" w:space="0"/>
            </w:tcBorders>
            <w:vAlign w:val="center"/>
          </w:tcPr>
          <w:p>
            <w:pPr>
              <w:spacing w:line="240" w:lineRule="exact"/>
              <w:jc w:val="center"/>
              <w:rPr>
                <w:rFonts w:ascii="仿宋" w:hAnsi="仿宋" w:eastAsia="仿宋"/>
                <w:sz w:val="18"/>
                <w:szCs w:val="18"/>
              </w:rPr>
            </w:pPr>
          </w:p>
        </w:tc>
        <w:tc>
          <w:tcPr>
            <w:tcW w:w="2444" w:type="dxa"/>
            <w:vMerge w:val="continue"/>
            <w:vAlign w:val="center"/>
          </w:tcPr>
          <w:p>
            <w:pPr>
              <w:spacing w:line="520" w:lineRule="exact"/>
              <w:jc w:val="center"/>
              <w:rPr>
                <w:rFonts w:ascii="楷体" w:hAnsi="楷体" w:eastAsia="楷体"/>
                <w:b/>
                <w:spacing w:val="-8"/>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0" w:hRule="atLeast"/>
        </w:trPr>
        <w:tc>
          <w:tcPr>
            <w:tcW w:w="1672" w:type="dxa"/>
            <w:vMerge w:val="continue"/>
            <w:textDirection w:val="tbRlV"/>
            <w:vAlign w:val="center"/>
          </w:tcPr>
          <w:p>
            <w:pPr>
              <w:spacing w:line="520" w:lineRule="exact"/>
              <w:ind w:left="113" w:right="113"/>
              <w:jc w:val="center"/>
              <w:rPr>
                <w:b/>
                <w:spacing w:val="42"/>
                <w:sz w:val="18"/>
                <w:szCs w:val="18"/>
              </w:rPr>
            </w:pPr>
          </w:p>
        </w:tc>
        <w:tc>
          <w:tcPr>
            <w:tcW w:w="1517" w:type="dxa"/>
            <w:tcBorders>
              <w:top w:val="single" w:color="auto" w:sz="4" w:space="0"/>
              <w:bottom w:val="single" w:color="auto" w:sz="4" w:space="0"/>
            </w:tcBorders>
            <w:vAlign w:val="center"/>
          </w:tcPr>
          <w:p>
            <w:pPr>
              <w:spacing w:line="240" w:lineRule="exact"/>
              <w:jc w:val="center"/>
              <w:rPr>
                <w:rFonts w:ascii="楷体" w:hAnsi="楷体" w:eastAsia="楷体"/>
                <w:b/>
                <w:spacing w:val="28"/>
                <w:sz w:val="18"/>
                <w:szCs w:val="18"/>
              </w:rPr>
            </w:pPr>
            <w:r>
              <w:rPr>
                <w:rFonts w:hint="eastAsia" w:ascii="楷体" w:hAnsi="楷体" w:eastAsia="楷体"/>
                <w:b/>
                <w:sz w:val="18"/>
                <w:szCs w:val="18"/>
              </w:rPr>
              <w:t>电话</w:t>
            </w:r>
          </w:p>
        </w:tc>
        <w:tc>
          <w:tcPr>
            <w:tcW w:w="1900" w:type="dxa"/>
            <w:gridSpan w:val="2"/>
            <w:tcBorders>
              <w:top w:val="single" w:color="auto" w:sz="4" w:space="0"/>
              <w:bottom w:val="single" w:color="auto" w:sz="4" w:space="0"/>
              <w:right w:val="single" w:color="auto" w:sz="4" w:space="0"/>
            </w:tcBorders>
            <w:vAlign w:val="center"/>
          </w:tcPr>
          <w:p>
            <w:pPr>
              <w:spacing w:line="240" w:lineRule="exact"/>
              <w:jc w:val="center"/>
              <w:rPr>
                <w:rFonts w:ascii="仿宋" w:hAnsi="仿宋" w:eastAsia="仿宋"/>
                <w:sz w:val="18"/>
                <w:szCs w:val="18"/>
              </w:rPr>
            </w:pPr>
          </w:p>
        </w:tc>
        <w:tc>
          <w:tcPr>
            <w:tcW w:w="113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 w:val="18"/>
                <w:szCs w:val="18"/>
              </w:rPr>
            </w:pPr>
            <w:r>
              <w:rPr>
                <w:rFonts w:hint="eastAsia" w:ascii="仿宋" w:hAnsi="仿宋" w:eastAsia="仿宋"/>
                <w:sz w:val="18"/>
                <w:szCs w:val="18"/>
              </w:rPr>
              <w:t>传真</w:t>
            </w:r>
          </w:p>
        </w:tc>
        <w:tc>
          <w:tcPr>
            <w:tcW w:w="1260" w:type="dxa"/>
            <w:gridSpan w:val="2"/>
            <w:tcBorders>
              <w:top w:val="single" w:color="auto" w:sz="4" w:space="0"/>
              <w:left w:val="single" w:color="auto" w:sz="4" w:space="0"/>
              <w:bottom w:val="single" w:color="auto" w:sz="4" w:space="0"/>
            </w:tcBorders>
            <w:vAlign w:val="center"/>
          </w:tcPr>
          <w:p>
            <w:pPr>
              <w:spacing w:line="240" w:lineRule="exact"/>
              <w:jc w:val="center"/>
              <w:rPr>
                <w:rFonts w:ascii="仿宋" w:hAnsi="仿宋" w:eastAsia="仿宋"/>
                <w:sz w:val="18"/>
                <w:szCs w:val="18"/>
              </w:rPr>
            </w:pPr>
          </w:p>
        </w:tc>
        <w:tc>
          <w:tcPr>
            <w:tcW w:w="2444" w:type="dxa"/>
            <w:vMerge w:val="continue"/>
            <w:vAlign w:val="center"/>
          </w:tcPr>
          <w:p>
            <w:pPr>
              <w:spacing w:line="520" w:lineRule="exact"/>
              <w:jc w:val="center"/>
              <w:rPr>
                <w:rFonts w:ascii="楷体" w:hAnsi="楷体" w:eastAsia="楷体"/>
                <w:b/>
                <w:spacing w:val="-8"/>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0" w:hRule="atLeast"/>
        </w:trPr>
        <w:tc>
          <w:tcPr>
            <w:tcW w:w="1672" w:type="dxa"/>
            <w:vMerge w:val="continue"/>
            <w:textDirection w:val="tbRlV"/>
            <w:vAlign w:val="center"/>
          </w:tcPr>
          <w:p>
            <w:pPr>
              <w:spacing w:line="520" w:lineRule="exact"/>
              <w:ind w:left="113" w:right="113"/>
              <w:jc w:val="center"/>
              <w:rPr>
                <w:b/>
                <w:spacing w:val="42"/>
                <w:sz w:val="18"/>
                <w:szCs w:val="18"/>
              </w:rPr>
            </w:pPr>
          </w:p>
        </w:tc>
        <w:tc>
          <w:tcPr>
            <w:tcW w:w="1517" w:type="dxa"/>
            <w:tcBorders>
              <w:top w:val="single" w:color="auto" w:sz="4" w:space="0"/>
              <w:bottom w:val="single" w:color="auto" w:sz="4" w:space="0"/>
            </w:tcBorders>
            <w:vAlign w:val="center"/>
          </w:tcPr>
          <w:p>
            <w:pPr>
              <w:spacing w:line="240" w:lineRule="exact"/>
              <w:jc w:val="center"/>
              <w:rPr>
                <w:rFonts w:ascii="楷体" w:hAnsi="楷体" w:eastAsia="楷体"/>
                <w:b/>
                <w:sz w:val="18"/>
                <w:szCs w:val="18"/>
              </w:rPr>
            </w:pPr>
            <w:r>
              <w:rPr>
                <w:rFonts w:hint="eastAsia" w:ascii="楷体" w:hAnsi="楷体" w:eastAsia="楷体"/>
                <w:b/>
                <w:sz w:val="18"/>
                <w:szCs w:val="18"/>
              </w:rPr>
              <w:t>开户银行</w:t>
            </w:r>
          </w:p>
        </w:tc>
        <w:tc>
          <w:tcPr>
            <w:tcW w:w="4290" w:type="dxa"/>
            <w:gridSpan w:val="7"/>
            <w:tcBorders>
              <w:top w:val="single" w:color="auto" w:sz="4" w:space="0"/>
              <w:bottom w:val="single" w:color="auto" w:sz="4" w:space="0"/>
            </w:tcBorders>
            <w:vAlign w:val="center"/>
          </w:tcPr>
          <w:p>
            <w:pPr>
              <w:spacing w:line="240" w:lineRule="exact"/>
              <w:jc w:val="center"/>
              <w:rPr>
                <w:rFonts w:ascii="仿宋" w:hAnsi="仿宋" w:eastAsia="仿宋"/>
                <w:sz w:val="18"/>
                <w:szCs w:val="18"/>
              </w:rPr>
            </w:pPr>
          </w:p>
        </w:tc>
        <w:tc>
          <w:tcPr>
            <w:tcW w:w="2444" w:type="dxa"/>
            <w:vMerge w:val="continue"/>
            <w:vAlign w:val="center"/>
          </w:tcPr>
          <w:p>
            <w:pPr>
              <w:spacing w:line="520" w:lineRule="exact"/>
              <w:jc w:val="center"/>
              <w:rPr>
                <w:rFonts w:ascii="楷体" w:hAnsi="楷体" w:eastAsia="楷体"/>
                <w:b/>
                <w:spacing w:val="-8"/>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0" w:hRule="atLeast"/>
        </w:trPr>
        <w:tc>
          <w:tcPr>
            <w:tcW w:w="1672" w:type="dxa"/>
            <w:vMerge w:val="continue"/>
            <w:textDirection w:val="tbRlV"/>
            <w:vAlign w:val="center"/>
          </w:tcPr>
          <w:p>
            <w:pPr>
              <w:spacing w:line="520" w:lineRule="exact"/>
              <w:ind w:left="113" w:right="113"/>
              <w:jc w:val="center"/>
              <w:rPr>
                <w:b/>
                <w:spacing w:val="42"/>
                <w:sz w:val="18"/>
                <w:szCs w:val="18"/>
              </w:rPr>
            </w:pPr>
          </w:p>
        </w:tc>
        <w:tc>
          <w:tcPr>
            <w:tcW w:w="1517" w:type="dxa"/>
            <w:tcBorders>
              <w:top w:val="single" w:color="auto" w:sz="4" w:space="0"/>
            </w:tcBorders>
            <w:vAlign w:val="center"/>
          </w:tcPr>
          <w:p>
            <w:pPr>
              <w:spacing w:line="240" w:lineRule="exact"/>
              <w:jc w:val="center"/>
              <w:rPr>
                <w:rFonts w:ascii="楷体" w:hAnsi="楷体" w:eastAsia="楷体"/>
                <w:b/>
                <w:spacing w:val="38"/>
                <w:sz w:val="18"/>
                <w:szCs w:val="18"/>
              </w:rPr>
            </w:pPr>
            <w:r>
              <w:rPr>
                <w:rFonts w:hint="eastAsia" w:ascii="楷体" w:hAnsi="楷体" w:eastAsia="楷体"/>
                <w:b/>
                <w:spacing w:val="38"/>
                <w:sz w:val="18"/>
                <w:szCs w:val="18"/>
              </w:rPr>
              <w:t>帐号</w:t>
            </w:r>
          </w:p>
        </w:tc>
        <w:tc>
          <w:tcPr>
            <w:tcW w:w="4290" w:type="dxa"/>
            <w:gridSpan w:val="7"/>
            <w:tcBorders>
              <w:top w:val="single" w:color="auto" w:sz="4" w:space="0"/>
            </w:tcBorders>
            <w:vAlign w:val="center"/>
          </w:tcPr>
          <w:p>
            <w:pPr>
              <w:spacing w:line="240" w:lineRule="exact"/>
              <w:jc w:val="center"/>
              <w:rPr>
                <w:rFonts w:ascii="仿宋" w:hAnsi="仿宋" w:eastAsia="仿宋"/>
                <w:sz w:val="18"/>
                <w:szCs w:val="18"/>
              </w:rPr>
            </w:pPr>
          </w:p>
        </w:tc>
        <w:tc>
          <w:tcPr>
            <w:tcW w:w="2444" w:type="dxa"/>
            <w:vMerge w:val="continue"/>
            <w:vAlign w:val="center"/>
          </w:tcPr>
          <w:p>
            <w:pPr>
              <w:spacing w:line="520" w:lineRule="exact"/>
              <w:jc w:val="center"/>
              <w:rPr>
                <w:rFonts w:ascii="楷体" w:hAnsi="楷体" w:eastAsia="楷体"/>
                <w:b/>
                <w:spacing w:val="-8"/>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1" w:hRule="atLeast"/>
        </w:trPr>
        <w:tc>
          <w:tcPr>
            <w:tcW w:w="1672" w:type="dxa"/>
            <w:vMerge w:val="restart"/>
            <w:textDirection w:val="tbRlV"/>
            <w:vAlign w:val="center"/>
          </w:tcPr>
          <w:p>
            <w:pPr>
              <w:spacing w:line="520" w:lineRule="exact"/>
              <w:ind w:left="113" w:right="113"/>
              <w:jc w:val="center"/>
              <w:rPr>
                <w:b/>
                <w:spacing w:val="42"/>
                <w:sz w:val="18"/>
                <w:szCs w:val="18"/>
              </w:rPr>
            </w:pPr>
            <w:r>
              <w:rPr>
                <w:rFonts w:hint="eastAsia"/>
                <w:b/>
                <w:spacing w:val="42"/>
                <w:sz w:val="18"/>
                <w:szCs w:val="18"/>
              </w:rPr>
              <w:t>丙方</w:t>
            </w:r>
          </w:p>
        </w:tc>
        <w:tc>
          <w:tcPr>
            <w:tcW w:w="1517" w:type="dxa"/>
            <w:vAlign w:val="center"/>
          </w:tcPr>
          <w:p>
            <w:pPr>
              <w:spacing w:line="240" w:lineRule="exact"/>
              <w:jc w:val="center"/>
              <w:rPr>
                <w:rFonts w:ascii="楷体" w:hAnsi="楷体" w:eastAsia="楷体"/>
                <w:b/>
                <w:sz w:val="18"/>
                <w:szCs w:val="18"/>
              </w:rPr>
            </w:pPr>
            <w:r>
              <w:rPr>
                <w:rFonts w:hint="eastAsia" w:ascii="楷体" w:hAnsi="楷体" w:eastAsia="楷体"/>
                <w:b/>
                <w:sz w:val="18"/>
                <w:szCs w:val="18"/>
              </w:rPr>
              <w:t>名称（或姓名）</w:t>
            </w:r>
          </w:p>
        </w:tc>
        <w:tc>
          <w:tcPr>
            <w:tcW w:w="4290" w:type="dxa"/>
            <w:gridSpan w:val="7"/>
            <w:vAlign w:val="center"/>
          </w:tcPr>
          <w:p>
            <w:pPr>
              <w:spacing w:line="240" w:lineRule="exact"/>
              <w:jc w:val="center"/>
              <w:rPr>
                <w:rFonts w:ascii="仿宋" w:hAnsi="仿宋" w:eastAsia="仿宋"/>
                <w:sz w:val="18"/>
                <w:szCs w:val="18"/>
              </w:rPr>
            </w:pPr>
          </w:p>
        </w:tc>
        <w:tc>
          <w:tcPr>
            <w:tcW w:w="2444" w:type="dxa"/>
            <w:vMerge w:val="restart"/>
            <w:vAlign w:val="center"/>
          </w:tcPr>
          <w:p>
            <w:pPr>
              <w:spacing w:line="520" w:lineRule="exact"/>
              <w:jc w:val="center"/>
              <w:rPr>
                <w:rFonts w:ascii="楷体" w:hAnsi="楷体" w:eastAsia="楷体"/>
                <w:b/>
                <w:spacing w:val="-8"/>
                <w:sz w:val="18"/>
                <w:szCs w:val="18"/>
              </w:rPr>
            </w:pPr>
            <w:r>
              <w:rPr>
                <w:rFonts w:hint="eastAsia" w:ascii="楷体" w:hAnsi="楷体" w:eastAsia="楷体"/>
                <w:b/>
                <w:spacing w:val="-8"/>
                <w:sz w:val="18"/>
                <w:szCs w:val="18"/>
              </w:rPr>
              <w:t>技术合同专用章</w:t>
            </w:r>
          </w:p>
          <w:p>
            <w:pPr>
              <w:spacing w:line="520" w:lineRule="exact"/>
              <w:jc w:val="center"/>
              <w:rPr>
                <w:rFonts w:ascii="楷体" w:hAnsi="楷体" w:eastAsia="楷体"/>
                <w:b/>
                <w:sz w:val="18"/>
                <w:szCs w:val="18"/>
              </w:rPr>
            </w:pPr>
            <w:r>
              <w:rPr>
                <w:rFonts w:hint="eastAsia" w:ascii="楷体" w:hAnsi="楷体" w:eastAsia="楷体"/>
                <w:b/>
                <w:sz w:val="18"/>
                <w:szCs w:val="18"/>
              </w:rPr>
              <w:t>或</w:t>
            </w:r>
          </w:p>
          <w:p>
            <w:pPr>
              <w:spacing w:line="520" w:lineRule="exact"/>
              <w:jc w:val="center"/>
              <w:rPr>
                <w:rFonts w:ascii="楷体" w:hAnsi="楷体" w:eastAsia="楷体"/>
                <w:b/>
                <w:spacing w:val="10"/>
                <w:sz w:val="18"/>
                <w:szCs w:val="18"/>
              </w:rPr>
            </w:pPr>
            <w:r>
              <w:rPr>
                <w:rFonts w:hint="eastAsia" w:ascii="楷体" w:hAnsi="楷体" w:eastAsia="楷体"/>
                <w:b/>
                <w:spacing w:val="10"/>
                <w:sz w:val="18"/>
                <w:szCs w:val="18"/>
              </w:rPr>
              <w:t>单位公章</w:t>
            </w:r>
          </w:p>
          <w:p>
            <w:pPr>
              <w:spacing w:line="520" w:lineRule="exact"/>
              <w:ind w:firstLine="844" w:firstLineChars="500"/>
              <w:rPr>
                <w:rFonts w:ascii="楷体" w:hAnsi="楷体" w:eastAsia="楷体"/>
                <w:b/>
                <w:sz w:val="18"/>
                <w:szCs w:val="18"/>
              </w:rPr>
            </w:pPr>
            <w:r>
              <w:rPr>
                <w:rFonts w:hint="eastAsia" w:ascii="楷体" w:hAnsi="楷体" w:eastAsia="楷体"/>
                <w:b/>
                <w:spacing w:val="-6"/>
                <w:sz w:val="18"/>
                <w:szCs w:val="18"/>
              </w:rPr>
              <w:t>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672" w:type="dxa"/>
            <w:vMerge w:val="continue"/>
            <w:vAlign w:val="center"/>
          </w:tcPr>
          <w:p>
            <w:pPr>
              <w:spacing w:line="520" w:lineRule="exact"/>
              <w:jc w:val="center"/>
              <w:rPr>
                <w:b/>
                <w:sz w:val="18"/>
                <w:szCs w:val="18"/>
              </w:rPr>
            </w:pPr>
          </w:p>
        </w:tc>
        <w:tc>
          <w:tcPr>
            <w:tcW w:w="1517" w:type="dxa"/>
            <w:vAlign w:val="center"/>
          </w:tcPr>
          <w:p>
            <w:pPr>
              <w:spacing w:line="240" w:lineRule="exact"/>
              <w:jc w:val="center"/>
              <w:rPr>
                <w:rFonts w:ascii="楷体" w:hAnsi="楷体" w:eastAsia="楷体"/>
                <w:b/>
                <w:sz w:val="18"/>
                <w:szCs w:val="18"/>
              </w:rPr>
            </w:pPr>
            <w:r>
              <w:rPr>
                <w:rFonts w:hint="eastAsia" w:ascii="楷体" w:hAnsi="楷体" w:eastAsia="楷体"/>
                <w:b/>
                <w:sz w:val="18"/>
                <w:szCs w:val="18"/>
              </w:rPr>
              <w:t>法定代表人</w:t>
            </w:r>
          </w:p>
        </w:tc>
        <w:tc>
          <w:tcPr>
            <w:tcW w:w="4290" w:type="dxa"/>
            <w:gridSpan w:val="7"/>
            <w:vAlign w:val="center"/>
          </w:tcPr>
          <w:p>
            <w:pPr>
              <w:spacing w:line="240" w:lineRule="exact"/>
              <w:jc w:val="center"/>
              <w:rPr>
                <w:rFonts w:ascii="仿宋" w:hAnsi="仿宋" w:eastAsia="仿宋"/>
                <w:sz w:val="18"/>
                <w:szCs w:val="18"/>
              </w:rPr>
            </w:pPr>
          </w:p>
        </w:tc>
        <w:tc>
          <w:tcPr>
            <w:tcW w:w="2444" w:type="dxa"/>
            <w:vMerge w:val="continue"/>
            <w:vAlign w:val="center"/>
          </w:tcPr>
          <w:p>
            <w:pPr>
              <w:spacing w:line="520" w:lineRule="exact"/>
              <w:jc w:val="center"/>
              <w:rPr>
                <w:rFonts w:ascii="楷体" w:hAnsi="楷体" w:eastAsia="楷体"/>
                <w:b/>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1672" w:type="dxa"/>
            <w:vMerge w:val="continue"/>
            <w:vAlign w:val="center"/>
          </w:tcPr>
          <w:p>
            <w:pPr>
              <w:spacing w:line="520" w:lineRule="exact"/>
              <w:jc w:val="center"/>
              <w:rPr>
                <w:b/>
                <w:sz w:val="18"/>
                <w:szCs w:val="18"/>
              </w:rPr>
            </w:pPr>
          </w:p>
        </w:tc>
        <w:tc>
          <w:tcPr>
            <w:tcW w:w="1517" w:type="dxa"/>
            <w:vAlign w:val="center"/>
          </w:tcPr>
          <w:p>
            <w:pPr>
              <w:spacing w:line="240" w:lineRule="exact"/>
              <w:jc w:val="center"/>
              <w:rPr>
                <w:rFonts w:ascii="楷体" w:hAnsi="楷体" w:eastAsia="楷体"/>
                <w:b/>
                <w:sz w:val="18"/>
                <w:szCs w:val="18"/>
              </w:rPr>
            </w:pPr>
            <w:r>
              <w:rPr>
                <w:rFonts w:hint="eastAsia" w:ascii="楷体" w:hAnsi="楷体" w:eastAsia="楷体"/>
                <w:b/>
                <w:sz w:val="18"/>
                <w:szCs w:val="18"/>
              </w:rPr>
              <w:t>委托代理人</w:t>
            </w:r>
          </w:p>
        </w:tc>
        <w:tc>
          <w:tcPr>
            <w:tcW w:w="4290" w:type="dxa"/>
            <w:gridSpan w:val="7"/>
            <w:vAlign w:val="center"/>
          </w:tcPr>
          <w:p>
            <w:pPr>
              <w:spacing w:line="240" w:lineRule="exact"/>
              <w:jc w:val="center"/>
              <w:rPr>
                <w:rFonts w:ascii="仿宋" w:hAnsi="仿宋" w:eastAsia="仿宋"/>
                <w:sz w:val="18"/>
                <w:szCs w:val="18"/>
              </w:rPr>
            </w:pPr>
          </w:p>
        </w:tc>
        <w:tc>
          <w:tcPr>
            <w:tcW w:w="2444" w:type="dxa"/>
            <w:vMerge w:val="continue"/>
            <w:vAlign w:val="center"/>
          </w:tcPr>
          <w:p>
            <w:pPr>
              <w:spacing w:line="520" w:lineRule="exact"/>
              <w:jc w:val="center"/>
              <w:rPr>
                <w:rFonts w:ascii="楷体" w:hAnsi="楷体" w:eastAsia="楷体"/>
                <w:b/>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46" w:hRule="atLeast"/>
        </w:trPr>
        <w:tc>
          <w:tcPr>
            <w:tcW w:w="1672" w:type="dxa"/>
            <w:vMerge w:val="continue"/>
            <w:vAlign w:val="center"/>
          </w:tcPr>
          <w:p>
            <w:pPr>
              <w:spacing w:line="520" w:lineRule="exact"/>
              <w:jc w:val="center"/>
              <w:rPr>
                <w:b/>
                <w:sz w:val="18"/>
                <w:szCs w:val="18"/>
              </w:rPr>
            </w:pPr>
          </w:p>
        </w:tc>
        <w:tc>
          <w:tcPr>
            <w:tcW w:w="1517" w:type="dxa"/>
            <w:vAlign w:val="center"/>
          </w:tcPr>
          <w:p>
            <w:pPr>
              <w:spacing w:line="240" w:lineRule="exact"/>
              <w:jc w:val="center"/>
              <w:rPr>
                <w:rFonts w:ascii="楷体" w:hAnsi="楷体" w:eastAsia="楷体"/>
                <w:b/>
                <w:sz w:val="18"/>
                <w:szCs w:val="18"/>
              </w:rPr>
            </w:pPr>
            <w:r>
              <w:rPr>
                <w:rFonts w:hint="eastAsia" w:ascii="楷体" w:hAnsi="楷体" w:eastAsia="楷体"/>
                <w:b/>
                <w:sz w:val="18"/>
                <w:szCs w:val="18"/>
              </w:rPr>
              <w:t>联系（经办）人</w:t>
            </w:r>
          </w:p>
        </w:tc>
        <w:tc>
          <w:tcPr>
            <w:tcW w:w="4290" w:type="dxa"/>
            <w:gridSpan w:val="7"/>
            <w:vAlign w:val="center"/>
          </w:tcPr>
          <w:p>
            <w:pPr>
              <w:spacing w:line="240" w:lineRule="exact"/>
              <w:jc w:val="center"/>
              <w:rPr>
                <w:rFonts w:ascii="仿宋" w:hAnsi="仿宋" w:eastAsia="仿宋"/>
                <w:sz w:val="18"/>
                <w:szCs w:val="18"/>
              </w:rPr>
            </w:pPr>
          </w:p>
        </w:tc>
        <w:tc>
          <w:tcPr>
            <w:tcW w:w="2444" w:type="dxa"/>
            <w:vMerge w:val="continue"/>
            <w:vAlign w:val="center"/>
          </w:tcPr>
          <w:p>
            <w:pPr>
              <w:spacing w:line="520" w:lineRule="exact"/>
              <w:jc w:val="center"/>
              <w:rPr>
                <w:rFonts w:ascii="楷体" w:hAnsi="楷体" w:eastAsia="楷体"/>
                <w:b/>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49" w:hRule="atLeast"/>
        </w:trPr>
        <w:tc>
          <w:tcPr>
            <w:tcW w:w="1672" w:type="dxa"/>
            <w:vMerge w:val="continue"/>
            <w:vAlign w:val="center"/>
          </w:tcPr>
          <w:p>
            <w:pPr>
              <w:spacing w:line="520" w:lineRule="exact"/>
              <w:jc w:val="center"/>
              <w:rPr>
                <w:b/>
                <w:sz w:val="18"/>
                <w:szCs w:val="18"/>
              </w:rPr>
            </w:pPr>
          </w:p>
        </w:tc>
        <w:tc>
          <w:tcPr>
            <w:tcW w:w="1517" w:type="dxa"/>
            <w:vAlign w:val="center"/>
          </w:tcPr>
          <w:p>
            <w:pPr>
              <w:spacing w:line="240" w:lineRule="exact"/>
              <w:jc w:val="center"/>
              <w:rPr>
                <w:rFonts w:ascii="楷体" w:hAnsi="楷体" w:eastAsia="楷体"/>
                <w:b/>
                <w:spacing w:val="34"/>
                <w:sz w:val="18"/>
                <w:szCs w:val="18"/>
              </w:rPr>
            </w:pPr>
            <w:r>
              <w:rPr>
                <w:rFonts w:hint="eastAsia" w:ascii="楷体" w:hAnsi="楷体" w:eastAsia="楷体"/>
                <w:b/>
                <w:spacing w:val="34"/>
                <w:sz w:val="18"/>
                <w:szCs w:val="18"/>
              </w:rPr>
              <w:t>住所</w:t>
            </w:r>
          </w:p>
          <w:p>
            <w:pPr>
              <w:spacing w:line="240" w:lineRule="exact"/>
              <w:jc w:val="center"/>
              <w:rPr>
                <w:rFonts w:ascii="楷体" w:hAnsi="楷体" w:eastAsia="楷体"/>
                <w:b/>
                <w:sz w:val="18"/>
                <w:szCs w:val="18"/>
              </w:rPr>
            </w:pPr>
            <w:r>
              <w:rPr>
                <w:rFonts w:hint="eastAsia" w:ascii="楷体" w:hAnsi="楷体" w:eastAsia="楷体"/>
                <w:b/>
                <w:spacing w:val="16"/>
                <w:sz w:val="18"/>
                <w:szCs w:val="18"/>
              </w:rPr>
              <w:t>（通讯地址）</w:t>
            </w:r>
          </w:p>
        </w:tc>
        <w:tc>
          <w:tcPr>
            <w:tcW w:w="2217" w:type="dxa"/>
            <w:gridSpan w:val="3"/>
            <w:vAlign w:val="center"/>
          </w:tcPr>
          <w:p>
            <w:pPr>
              <w:spacing w:line="240" w:lineRule="exact"/>
              <w:jc w:val="center"/>
              <w:rPr>
                <w:rFonts w:ascii="仿宋" w:hAnsi="仿宋" w:eastAsia="仿宋"/>
                <w:sz w:val="18"/>
                <w:szCs w:val="18"/>
              </w:rPr>
            </w:pPr>
          </w:p>
        </w:tc>
        <w:tc>
          <w:tcPr>
            <w:tcW w:w="955" w:type="dxa"/>
            <w:gridSpan w:val="3"/>
            <w:vAlign w:val="center"/>
          </w:tcPr>
          <w:p>
            <w:pPr>
              <w:spacing w:line="240" w:lineRule="exact"/>
              <w:jc w:val="center"/>
              <w:rPr>
                <w:rFonts w:ascii="仿宋" w:hAnsi="仿宋" w:eastAsia="仿宋"/>
                <w:sz w:val="18"/>
                <w:szCs w:val="18"/>
              </w:rPr>
            </w:pPr>
            <w:r>
              <w:rPr>
                <w:rFonts w:hint="eastAsia" w:ascii="仿宋" w:hAnsi="仿宋" w:eastAsia="仿宋"/>
                <w:sz w:val="18"/>
                <w:szCs w:val="18"/>
              </w:rPr>
              <w:t>邮政编码</w:t>
            </w:r>
          </w:p>
        </w:tc>
        <w:tc>
          <w:tcPr>
            <w:tcW w:w="1118" w:type="dxa"/>
            <w:vAlign w:val="center"/>
          </w:tcPr>
          <w:p>
            <w:pPr>
              <w:spacing w:line="240" w:lineRule="exact"/>
              <w:jc w:val="center"/>
              <w:rPr>
                <w:rFonts w:ascii="仿宋" w:hAnsi="仿宋" w:eastAsia="仿宋"/>
                <w:sz w:val="18"/>
                <w:szCs w:val="18"/>
              </w:rPr>
            </w:pPr>
          </w:p>
        </w:tc>
        <w:tc>
          <w:tcPr>
            <w:tcW w:w="2444" w:type="dxa"/>
            <w:vMerge w:val="continue"/>
            <w:vAlign w:val="center"/>
          </w:tcPr>
          <w:p>
            <w:pPr>
              <w:spacing w:line="520" w:lineRule="exact"/>
              <w:jc w:val="center"/>
              <w:rPr>
                <w:rFonts w:ascii="楷体" w:hAnsi="楷体" w:eastAsia="楷体"/>
                <w:b/>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9" w:hRule="atLeast"/>
        </w:trPr>
        <w:tc>
          <w:tcPr>
            <w:tcW w:w="1672" w:type="dxa"/>
            <w:vMerge w:val="continue"/>
            <w:vAlign w:val="center"/>
          </w:tcPr>
          <w:p>
            <w:pPr>
              <w:spacing w:line="520" w:lineRule="exact"/>
              <w:jc w:val="center"/>
              <w:rPr>
                <w:b/>
                <w:sz w:val="18"/>
                <w:szCs w:val="18"/>
              </w:rPr>
            </w:pPr>
          </w:p>
        </w:tc>
        <w:tc>
          <w:tcPr>
            <w:tcW w:w="1517" w:type="dxa"/>
            <w:vAlign w:val="center"/>
          </w:tcPr>
          <w:p>
            <w:pPr>
              <w:spacing w:line="240" w:lineRule="exact"/>
              <w:jc w:val="center"/>
              <w:rPr>
                <w:rFonts w:ascii="楷体" w:hAnsi="楷体" w:eastAsia="楷体"/>
                <w:b/>
                <w:spacing w:val="42"/>
                <w:sz w:val="18"/>
                <w:szCs w:val="18"/>
              </w:rPr>
            </w:pPr>
            <w:r>
              <w:rPr>
                <w:rFonts w:hint="eastAsia" w:ascii="楷体" w:hAnsi="楷体" w:eastAsia="楷体"/>
                <w:b/>
                <w:spacing w:val="42"/>
                <w:sz w:val="18"/>
                <w:szCs w:val="18"/>
              </w:rPr>
              <w:t>电话</w:t>
            </w:r>
          </w:p>
        </w:tc>
        <w:tc>
          <w:tcPr>
            <w:tcW w:w="2217" w:type="dxa"/>
            <w:gridSpan w:val="3"/>
            <w:vAlign w:val="center"/>
          </w:tcPr>
          <w:p>
            <w:pPr>
              <w:spacing w:line="240" w:lineRule="exact"/>
              <w:jc w:val="center"/>
              <w:rPr>
                <w:rFonts w:ascii="仿宋" w:hAnsi="仿宋" w:eastAsia="仿宋"/>
                <w:sz w:val="18"/>
                <w:szCs w:val="18"/>
              </w:rPr>
            </w:pPr>
          </w:p>
        </w:tc>
        <w:tc>
          <w:tcPr>
            <w:tcW w:w="955" w:type="dxa"/>
            <w:gridSpan w:val="3"/>
            <w:vAlign w:val="center"/>
          </w:tcPr>
          <w:p>
            <w:pPr>
              <w:spacing w:line="240" w:lineRule="exact"/>
              <w:jc w:val="center"/>
              <w:rPr>
                <w:rFonts w:ascii="仿宋" w:hAnsi="仿宋" w:eastAsia="仿宋"/>
                <w:sz w:val="18"/>
                <w:szCs w:val="18"/>
              </w:rPr>
            </w:pPr>
            <w:r>
              <w:rPr>
                <w:rFonts w:hint="eastAsia" w:ascii="仿宋" w:hAnsi="仿宋" w:eastAsia="仿宋"/>
                <w:sz w:val="18"/>
                <w:szCs w:val="18"/>
              </w:rPr>
              <w:t>传真</w:t>
            </w:r>
          </w:p>
        </w:tc>
        <w:tc>
          <w:tcPr>
            <w:tcW w:w="1118" w:type="dxa"/>
            <w:vAlign w:val="center"/>
          </w:tcPr>
          <w:p>
            <w:pPr>
              <w:spacing w:line="240" w:lineRule="exact"/>
              <w:jc w:val="center"/>
              <w:rPr>
                <w:rFonts w:ascii="仿宋" w:hAnsi="仿宋" w:eastAsia="仿宋"/>
                <w:sz w:val="18"/>
                <w:szCs w:val="18"/>
              </w:rPr>
            </w:pPr>
          </w:p>
        </w:tc>
        <w:tc>
          <w:tcPr>
            <w:tcW w:w="2444" w:type="dxa"/>
            <w:vMerge w:val="continue"/>
            <w:vAlign w:val="center"/>
          </w:tcPr>
          <w:p>
            <w:pPr>
              <w:spacing w:line="520" w:lineRule="exact"/>
              <w:jc w:val="center"/>
              <w:rPr>
                <w:rFonts w:ascii="楷体" w:hAnsi="楷体" w:eastAsia="楷体"/>
                <w:b/>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672" w:type="dxa"/>
            <w:vMerge w:val="continue"/>
            <w:vAlign w:val="center"/>
          </w:tcPr>
          <w:p>
            <w:pPr>
              <w:spacing w:line="520" w:lineRule="exact"/>
              <w:jc w:val="center"/>
              <w:rPr>
                <w:b/>
                <w:sz w:val="18"/>
                <w:szCs w:val="18"/>
              </w:rPr>
            </w:pPr>
          </w:p>
        </w:tc>
        <w:tc>
          <w:tcPr>
            <w:tcW w:w="1517" w:type="dxa"/>
            <w:vAlign w:val="center"/>
          </w:tcPr>
          <w:p>
            <w:pPr>
              <w:spacing w:line="240" w:lineRule="exact"/>
              <w:jc w:val="center"/>
              <w:rPr>
                <w:rFonts w:ascii="楷体" w:hAnsi="楷体" w:eastAsia="楷体"/>
                <w:b/>
                <w:sz w:val="18"/>
                <w:szCs w:val="18"/>
              </w:rPr>
            </w:pPr>
            <w:r>
              <w:rPr>
                <w:rFonts w:hint="eastAsia" w:ascii="楷体" w:hAnsi="楷体" w:eastAsia="楷体"/>
                <w:b/>
                <w:sz w:val="18"/>
                <w:szCs w:val="18"/>
              </w:rPr>
              <w:t>开户银行</w:t>
            </w:r>
          </w:p>
        </w:tc>
        <w:tc>
          <w:tcPr>
            <w:tcW w:w="4290" w:type="dxa"/>
            <w:gridSpan w:val="7"/>
            <w:vAlign w:val="center"/>
          </w:tcPr>
          <w:p>
            <w:pPr>
              <w:spacing w:line="240" w:lineRule="exact"/>
              <w:jc w:val="center"/>
              <w:rPr>
                <w:rFonts w:ascii="仿宋" w:hAnsi="仿宋" w:eastAsia="仿宋"/>
                <w:sz w:val="18"/>
                <w:szCs w:val="18"/>
              </w:rPr>
            </w:pPr>
          </w:p>
        </w:tc>
        <w:tc>
          <w:tcPr>
            <w:tcW w:w="2444" w:type="dxa"/>
            <w:vMerge w:val="continue"/>
            <w:vAlign w:val="center"/>
          </w:tcPr>
          <w:p>
            <w:pPr>
              <w:spacing w:line="520" w:lineRule="exact"/>
              <w:jc w:val="center"/>
              <w:rPr>
                <w:rFonts w:ascii="楷体" w:hAnsi="楷体" w:eastAsia="楷体"/>
                <w:b/>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00" w:hRule="atLeast"/>
        </w:trPr>
        <w:tc>
          <w:tcPr>
            <w:tcW w:w="1672" w:type="dxa"/>
            <w:vMerge w:val="continue"/>
            <w:vAlign w:val="center"/>
          </w:tcPr>
          <w:p>
            <w:pPr>
              <w:spacing w:line="520" w:lineRule="exact"/>
              <w:jc w:val="center"/>
              <w:rPr>
                <w:b/>
                <w:sz w:val="18"/>
                <w:szCs w:val="18"/>
              </w:rPr>
            </w:pPr>
          </w:p>
        </w:tc>
        <w:tc>
          <w:tcPr>
            <w:tcW w:w="1517" w:type="dxa"/>
            <w:vAlign w:val="center"/>
          </w:tcPr>
          <w:p>
            <w:pPr>
              <w:spacing w:line="240" w:lineRule="exact"/>
              <w:jc w:val="center"/>
              <w:rPr>
                <w:rFonts w:ascii="楷体" w:hAnsi="楷体" w:eastAsia="楷体"/>
                <w:b/>
                <w:sz w:val="18"/>
                <w:szCs w:val="18"/>
              </w:rPr>
            </w:pPr>
            <w:r>
              <w:rPr>
                <w:rFonts w:hint="eastAsia" w:ascii="楷体" w:hAnsi="楷体" w:eastAsia="楷体"/>
                <w:b/>
                <w:spacing w:val="38"/>
                <w:sz w:val="18"/>
                <w:szCs w:val="18"/>
              </w:rPr>
              <w:t>帐号</w:t>
            </w:r>
          </w:p>
        </w:tc>
        <w:tc>
          <w:tcPr>
            <w:tcW w:w="4290" w:type="dxa"/>
            <w:gridSpan w:val="7"/>
            <w:vAlign w:val="center"/>
          </w:tcPr>
          <w:p>
            <w:pPr>
              <w:spacing w:line="240" w:lineRule="exact"/>
              <w:jc w:val="center"/>
              <w:rPr>
                <w:rFonts w:ascii="仿宋" w:hAnsi="仿宋" w:eastAsia="仿宋"/>
                <w:sz w:val="18"/>
                <w:szCs w:val="18"/>
              </w:rPr>
            </w:pPr>
          </w:p>
        </w:tc>
        <w:tc>
          <w:tcPr>
            <w:tcW w:w="2444" w:type="dxa"/>
            <w:vMerge w:val="continue"/>
            <w:vAlign w:val="center"/>
          </w:tcPr>
          <w:p>
            <w:pPr>
              <w:spacing w:line="520" w:lineRule="exact"/>
              <w:jc w:val="center"/>
              <w:rPr>
                <w:rFonts w:ascii="楷体" w:hAnsi="楷体" w:eastAsia="楷体"/>
                <w:b/>
                <w:sz w:val="18"/>
                <w:szCs w:val="18"/>
              </w:rPr>
            </w:pPr>
          </w:p>
        </w:tc>
      </w:tr>
    </w:tbl>
    <w:p>
      <w:pPr>
        <w:spacing w:line="600" w:lineRule="exact"/>
        <w:rPr>
          <w:rFonts w:ascii="仿宋_GB2312" w:hAnsi="仿宋_GB2312" w:eastAsia="仿宋_GB2312" w:cs="宋体"/>
          <w:b/>
          <w:bCs/>
          <w:sz w:val="32"/>
          <w:szCs w:val="32"/>
        </w:rPr>
        <w:sectPr>
          <w:pgSz w:w="11906" w:h="16838"/>
          <w:pgMar w:top="1440" w:right="1800" w:bottom="1440" w:left="1800" w:header="851" w:footer="992" w:gutter="0"/>
          <w:cols w:space="720" w:num="1"/>
          <w:docGrid w:type="lines" w:linePitch="312" w:charSpace="0"/>
        </w:sectPr>
      </w:pPr>
    </w:p>
    <w:p>
      <w:pPr>
        <w:spacing w:line="600" w:lineRule="exact"/>
        <w:rPr>
          <w:rFonts w:ascii="宋体" w:hAnsi="宋体" w:eastAsia="宋体" w:cs="宋体"/>
          <w:sz w:val="24"/>
          <w:szCs w:val="24"/>
        </w:rPr>
      </w:pPr>
      <w:r>
        <w:rPr>
          <w:rFonts w:hint="eastAsia" w:ascii="宋体" w:hAnsi="宋体" w:eastAsia="宋体" w:cs="宋体"/>
          <w:sz w:val="24"/>
          <w:szCs w:val="24"/>
        </w:rPr>
        <w:t>印花税票粘贴处：</w:t>
      </w:r>
    </w:p>
    <w:p>
      <w:pPr>
        <w:spacing w:line="540" w:lineRule="exact"/>
        <w:rPr>
          <w:rFonts w:ascii="宋体" w:hAnsi="宋体" w:eastAsia="宋体" w:cs="宋体"/>
          <w:sz w:val="24"/>
          <w:szCs w:val="24"/>
          <w:u w:val="single"/>
        </w:rPr>
      </w:pPr>
      <w:r>
        <w:rPr>
          <w:rFonts w:hint="eastAsia" w:ascii="宋体" w:hAnsi="宋体" w:eastAsia="宋体" w:cs="宋体"/>
          <w:sz w:val="24"/>
          <w:szCs w:val="24"/>
          <w:u w:val="single"/>
        </w:rPr>
        <w:t xml:space="preserve">                                                               </w:t>
      </w:r>
    </w:p>
    <w:p>
      <w:pPr>
        <w:spacing w:line="540" w:lineRule="exact"/>
        <w:rPr>
          <w:rFonts w:ascii="宋体" w:hAnsi="宋体" w:eastAsia="宋体" w:cs="宋体"/>
          <w:sz w:val="24"/>
          <w:szCs w:val="24"/>
        </w:rPr>
      </w:pPr>
      <w:r>
        <w:rPr>
          <w:rFonts w:hint="eastAsia" w:ascii="宋体" w:hAnsi="宋体" w:eastAsia="宋体" w:cs="宋体"/>
          <w:sz w:val="24"/>
          <w:szCs w:val="24"/>
        </w:rPr>
        <w:t>（以下由技术合同登记机构填写）</w:t>
      </w:r>
    </w:p>
    <w:p>
      <w:pPr>
        <w:spacing w:line="540" w:lineRule="exact"/>
        <w:rPr>
          <w:rFonts w:ascii="宋体" w:hAnsi="宋体" w:eastAsia="宋体" w:cs="宋体"/>
          <w:sz w:val="24"/>
          <w:szCs w:val="24"/>
        </w:rPr>
      </w:pPr>
      <w:r>
        <w:rPr>
          <w:rFonts w:hint="eastAsia" w:ascii="宋体" w:hAnsi="宋体" w:eastAsia="宋体" w:cs="宋体"/>
          <w:sz w:val="24"/>
          <w:szCs w:val="24"/>
        </w:rPr>
        <w:t>合同登记编号：</w:t>
      </w:r>
    </w:p>
    <w:p>
      <w:pPr>
        <w:spacing w:line="540" w:lineRule="exact"/>
        <w:rPr>
          <w:rFonts w:ascii="宋体" w:hAnsi="宋体" w:eastAsia="宋体" w:cs="宋体"/>
          <w:sz w:val="24"/>
          <w:szCs w:val="24"/>
          <w:bdr w:val="single" w:color="auto" w:sz="4" w:space="0"/>
        </w:rPr>
      </w:pPr>
    </w:p>
    <w:tbl>
      <w:tblPr>
        <w:tblStyle w:val="32"/>
        <w:tblW w:w="0" w:type="auto"/>
        <w:tblInd w:w="6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454"/>
        <w:gridCol w:w="454"/>
        <w:gridCol w:w="454"/>
        <w:gridCol w:w="454"/>
        <w:gridCol w:w="454"/>
        <w:gridCol w:w="454"/>
        <w:gridCol w:w="454"/>
        <w:gridCol w:w="454"/>
        <w:gridCol w:w="454"/>
        <w:gridCol w:w="454"/>
        <w:gridCol w:w="454"/>
        <w:gridCol w:w="454"/>
        <w:gridCol w:w="454"/>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4" w:type="dxa"/>
          </w:tcPr>
          <w:p>
            <w:pPr>
              <w:spacing w:line="540" w:lineRule="exact"/>
              <w:rPr>
                <w:rFonts w:ascii="宋体" w:hAnsi="宋体" w:eastAsia="宋体" w:cs="宋体"/>
                <w:sz w:val="24"/>
                <w:szCs w:val="24"/>
                <w:bdr w:val="single" w:color="auto" w:sz="4" w:space="0"/>
              </w:rPr>
            </w:pPr>
          </w:p>
        </w:tc>
        <w:tc>
          <w:tcPr>
            <w:tcW w:w="454" w:type="dxa"/>
          </w:tcPr>
          <w:p>
            <w:pPr>
              <w:spacing w:line="540" w:lineRule="exact"/>
              <w:rPr>
                <w:rFonts w:ascii="宋体" w:hAnsi="宋体" w:eastAsia="宋体" w:cs="宋体"/>
                <w:sz w:val="24"/>
                <w:szCs w:val="24"/>
                <w:bdr w:val="single" w:color="auto" w:sz="4" w:space="0"/>
              </w:rPr>
            </w:pPr>
          </w:p>
        </w:tc>
        <w:tc>
          <w:tcPr>
            <w:tcW w:w="454" w:type="dxa"/>
          </w:tcPr>
          <w:p>
            <w:pPr>
              <w:spacing w:line="540" w:lineRule="exact"/>
              <w:rPr>
                <w:rFonts w:ascii="宋体" w:hAnsi="宋体" w:eastAsia="宋体" w:cs="宋体"/>
                <w:sz w:val="24"/>
                <w:szCs w:val="24"/>
                <w:bdr w:val="single" w:color="auto" w:sz="4" w:space="0"/>
              </w:rPr>
            </w:pPr>
          </w:p>
        </w:tc>
        <w:tc>
          <w:tcPr>
            <w:tcW w:w="454" w:type="dxa"/>
          </w:tcPr>
          <w:p>
            <w:pPr>
              <w:spacing w:line="540" w:lineRule="exact"/>
              <w:rPr>
                <w:rFonts w:ascii="宋体" w:hAnsi="宋体" w:eastAsia="宋体" w:cs="宋体"/>
                <w:sz w:val="24"/>
                <w:szCs w:val="24"/>
                <w:bdr w:val="single" w:color="auto" w:sz="4" w:space="0"/>
              </w:rPr>
            </w:pPr>
          </w:p>
        </w:tc>
        <w:tc>
          <w:tcPr>
            <w:tcW w:w="454" w:type="dxa"/>
          </w:tcPr>
          <w:p>
            <w:pPr>
              <w:spacing w:line="540" w:lineRule="exact"/>
              <w:rPr>
                <w:rFonts w:ascii="宋体" w:hAnsi="宋体" w:eastAsia="宋体" w:cs="宋体"/>
                <w:sz w:val="24"/>
                <w:szCs w:val="24"/>
                <w:bdr w:val="single" w:color="auto" w:sz="4" w:space="0"/>
              </w:rPr>
            </w:pPr>
          </w:p>
        </w:tc>
        <w:tc>
          <w:tcPr>
            <w:tcW w:w="454" w:type="dxa"/>
          </w:tcPr>
          <w:p>
            <w:pPr>
              <w:spacing w:line="540" w:lineRule="exact"/>
              <w:rPr>
                <w:rFonts w:ascii="宋体" w:hAnsi="宋体" w:eastAsia="宋体" w:cs="宋体"/>
                <w:sz w:val="24"/>
                <w:szCs w:val="24"/>
                <w:bdr w:val="single" w:color="auto" w:sz="4" w:space="0"/>
              </w:rPr>
            </w:pPr>
          </w:p>
        </w:tc>
        <w:tc>
          <w:tcPr>
            <w:tcW w:w="454" w:type="dxa"/>
          </w:tcPr>
          <w:p>
            <w:pPr>
              <w:spacing w:line="540" w:lineRule="exact"/>
              <w:rPr>
                <w:rFonts w:ascii="宋体" w:hAnsi="宋体" w:eastAsia="宋体" w:cs="宋体"/>
                <w:sz w:val="24"/>
                <w:szCs w:val="24"/>
                <w:bdr w:val="single" w:color="auto" w:sz="4" w:space="0"/>
              </w:rPr>
            </w:pPr>
          </w:p>
        </w:tc>
        <w:tc>
          <w:tcPr>
            <w:tcW w:w="454" w:type="dxa"/>
          </w:tcPr>
          <w:p>
            <w:pPr>
              <w:spacing w:line="540" w:lineRule="exact"/>
              <w:rPr>
                <w:rFonts w:ascii="宋体" w:hAnsi="宋体" w:eastAsia="宋体" w:cs="宋体"/>
                <w:sz w:val="24"/>
                <w:szCs w:val="24"/>
                <w:bdr w:val="single" w:color="auto" w:sz="4" w:space="0"/>
              </w:rPr>
            </w:pPr>
          </w:p>
        </w:tc>
        <w:tc>
          <w:tcPr>
            <w:tcW w:w="454" w:type="dxa"/>
          </w:tcPr>
          <w:p>
            <w:pPr>
              <w:spacing w:line="540" w:lineRule="exact"/>
              <w:rPr>
                <w:rFonts w:ascii="宋体" w:hAnsi="宋体" w:eastAsia="宋体" w:cs="宋体"/>
                <w:sz w:val="24"/>
                <w:szCs w:val="24"/>
                <w:bdr w:val="single" w:color="auto" w:sz="4" w:space="0"/>
              </w:rPr>
            </w:pPr>
          </w:p>
        </w:tc>
        <w:tc>
          <w:tcPr>
            <w:tcW w:w="454" w:type="dxa"/>
          </w:tcPr>
          <w:p>
            <w:pPr>
              <w:spacing w:line="540" w:lineRule="exact"/>
              <w:rPr>
                <w:rFonts w:ascii="宋体" w:hAnsi="宋体" w:eastAsia="宋体" w:cs="宋体"/>
                <w:sz w:val="24"/>
                <w:szCs w:val="24"/>
                <w:bdr w:val="single" w:color="auto" w:sz="4" w:space="0"/>
              </w:rPr>
            </w:pPr>
          </w:p>
        </w:tc>
        <w:tc>
          <w:tcPr>
            <w:tcW w:w="454" w:type="dxa"/>
          </w:tcPr>
          <w:p>
            <w:pPr>
              <w:spacing w:line="540" w:lineRule="exact"/>
              <w:rPr>
                <w:rFonts w:ascii="宋体" w:hAnsi="宋体" w:eastAsia="宋体" w:cs="宋体"/>
                <w:sz w:val="24"/>
                <w:szCs w:val="24"/>
                <w:bdr w:val="single" w:color="auto" w:sz="4" w:space="0"/>
              </w:rPr>
            </w:pPr>
          </w:p>
        </w:tc>
        <w:tc>
          <w:tcPr>
            <w:tcW w:w="454" w:type="dxa"/>
          </w:tcPr>
          <w:p>
            <w:pPr>
              <w:spacing w:line="540" w:lineRule="exact"/>
              <w:rPr>
                <w:rFonts w:ascii="宋体" w:hAnsi="宋体" w:eastAsia="宋体" w:cs="宋体"/>
                <w:sz w:val="24"/>
                <w:szCs w:val="24"/>
                <w:bdr w:val="single" w:color="auto" w:sz="4" w:space="0"/>
              </w:rPr>
            </w:pPr>
          </w:p>
        </w:tc>
        <w:tc>
          <w:tcPr>
            <w:tcW w:w="454" w:type="dxa"/>
          </w:tcPr>
          <w:p>
            <w:pPr>
              <w:spacing w:line="540" w:lineRule="exact"/>
              <w:rPr>
                <w:rFonts w:ascii="宋体" w:hAnsi="宋体" w:eastAsia="宋体" w:cs="宋体"/>
                <w:sz w:val="24"/>
                <w:szCs w:val="24"/>
                <w:bdr w:val="single" w:color="auto" w:sz="4" w:space="0"/>
              </w:rPr>
            </w:pPr>
          </w:p>
        </w:tc>
        <w:tc>
          <w:tcPr>
            <w:tcW w:w="454" w:type="dxa"/>
          </w:tcPr>
          <w:p>
            <w:pPr>
              <w:spacing w:line="540" w:lineRule="exact"/>
              <w:rPr>
                <w:rFonts w:ascii="宋体" w:hAnsi="宋体" w:eastAsia="宋体" w:cs="宋体"/>
                <w:sz w:val="24"/>
                <w:szCs w:val="24"/>
                <w:bdr w:val="single" w:color="auto" w:sz="4" w:space="0"/>
              </w:rPr>
            </w:pPr>
          </w:p>
        </w:tc>
        <w:tc>
          <w:tcPr>
            <w:tcW w:w="454" w:type="dxa"/>
          </w:tcPr>
          <w:p>
            <w:pPr>
              <w:spacing w:line="540" w:lineRule="exact"/>
              <w:rPr>
                <w:rFonts w:ascii="宋体" w:hAnsi="宋体" w:eastAsia="宋体" w:cs="宋体"/>
                <w:sz w:val="24"/>
                <w:szCs w:val="24"/>
                <w:bdr w:val="single" w:color="auto" w:sz="4" w:space="0"/>
              </w:rPr>
            </w:pPr>
          </w:p>
        </w:tc>
        <w:tc>
          <w:tcPr>
            <w:tcW w:w="454" w:type="dxa"/>
          </w:tcPr>
          <w:p>
            <w:pPr>
              <w:spacing w:line="540" w:lineRule="exact"/>
              <w:rPr>
                <w:rFonts w:ascii="宋体" w:hAnsi="宋体" w:eastAsia="宋体" w:cs="宋体"/>
                <w:sz w:val="24"/>
                <w:szCs w:val="24"/>
                <w:bdr w:val="single" w:color="auto" w:sz="4" w:space="0"/>
              </w:rPr>
            </w:pPr>
          </w:p>
        </w:tc>
      </w:tr>
    </w:tbl>
    <w:p>
      <w:pPr>
        <w:spacing w:line="540" w:lineRule="exact"/>
        <w:rPr>
          <w:rFonts w:ascii="宋体" w:hAnsi="宋体" w:eastAsia="宋体" w:cs="宋体"/>
          <w:sz w:val="24"/>
          <w:szCs w:val="24"/>
          <w:bdr w:val="single" w:color="auto" w:sz="4" w:space="0"/>
        </w:rPr>
      </w:pPr>
    </w:p>
    <w:p>
      <w:pPr>
        <w:numPr>
          <w:ilvl w:val="0"/>
          <w:numId w:val="25"/>
        </w:numPr>
        <w:tabs>
          <w:tab w:val="left" w:pos="1050"/>
        </w:tabs>
        <w:spacing w:line="540" w:lineRule="exact"/>
        <w:ind w:left="1050" w:hanging="450"/>
        <w:rPr>
          <w:rFonts w:ascii="宋体" w:hAnsi="宋体" w:eastAsia="宋体" w:cs="宋体"/>
          <w:sz w:val="24"/>
          <w:szCs w:val="24"/>
          <w:u w:val="single"/>
        </w:rPr>
      </w:pPr>
      <w:r>
        <w:rPr>
          <w:rFonts w:hint="eastAsia" w:ascii="宋体" w:hAnsi="宋体" w:eastAsia="宋体" w:cs="宋体"/>
          <w:sz w:val="24"/>
          <w:szCs w:val="24"/>
        </w:rPr>
        <w:t>申请登记人：</w:t>
      </w:r>
      <w:r>
        <w:rPr>
          <w:rFonts w:hint="eastAsia" w:ascii="宋体" w:hAnsi="宋体" w:eastAsia="宋体" w:cs="宋体"/>
          <w:sz w:val="24"/>
          <w:szCs w:val="24"/>
          <w:u w:val="single"/>
        </w:rPr>
        <w:t xml:space="preserve">                                       </w:t>
      </w:r>
    </w:p>
    <w:p>
      <w:pPr>
        <w:spacing w:line="540" w:lineRule="exact"/>
        <w:rPr>
          <w:rFonts w:ascii="宋体" w:hAnsi="宋体" w:eastAsia="宋体" w:cs="宋体"/>
          <w:sz w:val="24"/>
          <w:szCs w:val="24"/>
          <w:u w:val="single"/>
        </w:rPr>
      </w:pPr>
      <w:r>
        <w:rPr>
          <w:rFonts w:hint="eastAsia" w:ascii="宋体" w:hAnsi="宋体" w:eastAsia="宋体" w:cs="宋体"/>
          <w:sz w:val="24"/>
          <w:szCs w:val="24"/>
        </w:rPr>
        <w:t xml:space="preserve">    2．登记材料：（1）</w:t>
      </w:r>
      <w:r>
        <w:rPr>
          <w:rFonts w:hint="eastAsia" w:ascii="宋体" w:hAnsi="宋体" w:eastAsia="宋体" w:cs="宋体"/>
          <w:sz w:val="24"/>
          <w:szCs w:val="24"/>
          <w:u w:val="single"/>
        </w:rPr>
        <w:t xml:space="preserve">                                      </w:t>
      </w:r>
    </w:p>
    <w:p>
      <w:pPr>
        <w:spacing w:line="540" w:lineRule="exact"/>
        <w:rPr>
          <w:rFonts w:ascii="宋体" w:hAnsi="宋体" w:eastAsia="宋体" w:cs="宋体"/>
          <w:sz w:val="24"/>
          <w:szCs w:val="24"/>
          <w:u w:val="single"/>
        </w:rPr>
      </w:pPr>
      <w:r>
        <w:rPr>
          <w:rFonts w:hint="eastAsia" w:ascii="宋体" w:hAnsi="宋体" w:eastAsia="宋体" w:cs="宋体"/>
          <w:sz w:val="24"/>
          <w:szCs w:val="24"/>
        </w:rPr>
        <w:t xml:space="preserve">                （2）</w:t>
      </w:r>
      <w:r>
        <w:rPr>
          <w:rFonts w:hint="eastAsia" w:ascii="宋体" w:hAnsi="宋体" w:eastAsia="宋体" w:cs="宋体"/>
          <w:sz w:val="24"/>
          <w:szCs w:val="24"/>
          <w:u w:val="single"/>
        </w:rPr>
        <w:t xml:space="preserve">                                      </w:t>
      </w:r>
    </w:p>
    <w:p>
      <w:pPr>
        <w:spacing w:line="540" w:lineRule="exact"/>
        <w:rPr>
          <w:rFonts w:ascii="宋体" w:hAnsi="宋体" w:eastAsia="宋体" w:cs="宋体"/>
          <w:sz w:val="24"/>
          <w:szCs w:val="24"/>
          <w:u w:val="single"/>
        </w:rPr>
      </w:pPr>
      <w:r>
        <w:rPr>
          <w:rFonts w:hint="eastAsia" w:ascii="宋体" w:hAnsi="宋体" w:eastAsia="宋体" w:cs="宋体"/>
          <w:sz w:val="24"/>
          <w:szCs w:val="24"/>
        </w:rPr>
        <w:t xml:space="preserve">                （3）</w:t>
      </w:r>
      <w:r>
        <w:rPr>
          <w:rFonts w:hint="eastAsia" w:ascii="宋体" w:hAnsi="宋体" w:eastAsia="宋体" w:cs="宋体"/>
          <w:sz w:val="24"/>
          <w:szCs w:val="24"/>
          <w:u w:val="single"/>
        </w:rPr>
        <w:t xml:space="preserve">                                      </w:t>
      </w:r>
    </w:p>
    <w:p>
      <w:pPr>
        <w:spacing w:line="540" w:lineRule="exact"/>
        <w:rPr>
          <w:rFonts w:ascii="宋体" w:hAnsi="宋体" w:eastAsia="宋体" w:cs="宋体"/>
          <w:sz w:val="24"/>
          <w:szCs w:val="24"/>
          <w:u w:val="single"/>
        </w:rPr>
      </w:pPr>
      <w:r>
        <w:rPr>
          <w:rFonts w:hint="eastAsia" w:ascii="宋体" w:hAnsi="宋体" w:eastAsia="宋体" w:cs="宋体"/>
          <w:sz w:val="24"/>
          <w:szCs w:val="24"/>
        </w:rPr>
        <w:t xml:space="preserve">    3．合同类型：</w:t>
      </w:r>
      <w:r>
        <w:rPr>
          <w:rFonts w:hint="eastAsia" w:ascii="宋体" w:hAnsi="宋体" w:eastAsia="宋体" w:cs="宋体"/>
          <w:sz w:val="24"/>
          <w:szCs w:val="24"/>
          <w:u w:val="single"/>
        </w:rPr>
        <w:t xml:space="preserve">                                          </w:t>
      </w:r>
    </w:p>
    <w:p>
      <w:pPr>
        <w:spacing w:line="540" w:lineRule="exact"/>
        <w:ind w:firstLine="600"/>
        <w:rPr>
          <w:rFonts w:ascii="宋体" w:hAnsi="宋体" w:eastAsia="宋体" w:cs="宋体"/>
          <w:sz w:val="24"/>
          <w:szCs w:val="24"/>
          <w:u w:val="single"/>
        </w:rPr>
      </w:pPr>
      <w:r>
        <w:rPr>
          <w:rFonts w:hint="eastAsia" w:ascii="宋体" w:hAnsi="宋体" w:eastAsia="宋体" w:cs="宋体"/>
          <w:sz w:val="24"/>
          <w:szCs w:val="24"/>
        </w:rPr>
        <w:t>4．合同交易额：</w:t>
      </w:r>
      <w:r>
        <w:rPr>
          <w:rFonts w:hint="eastAsia" w:ascii="宋体" w:hAnsi="宋体" w:eastAsia="宋体" w:cs="宋体"/>
          <w:sz w:val="24"/>
          <w:szCs w:val="24"/>
          <w:u w:val="single"/>
        </w:rPr>
        <w:t xml:space="preserve">                                        </w:t>
      </w:r>
    </w:p>
    <w:p>
      <w:pPr>
        <w:spacing w:line="540" w:lineRule="exact"/>
        <w:ind w:firstLine="600"/>
        <w:rPr>
          <w:rFonts w:ascii="宋体" w:hAnsi="宋体" w:eastAsia="宋体" w:cs="宋体"/>
          <w:sz w:val="24"/>
          <w:szCs w:val="24"/>
          <w:u w:val="single"/>
        </w:rPr>
      </w:pPr>
      <w:r>
        <w:rPr>
          <w:rFonts w:hint="eastAsia" w:ascii="宋体" w:hAnsi="宋体" w:eastAsia="宋体" w:cs="宋体"/>
          <w:sz w:val="24"/>
          <w:szCs w:val="24"/>
        </w:rPr>
        <w:t>5．技术交易额：</w:t>
      </w:r>
      <w:r>
        <w:rPr>
          <w:rFonts w:hint="eastAsia" w:ascii="宋体" w:hAnsi="宋体" w:eastAsia="宋体" w:cs="宋体"/>
          <w:sz w:val="24"/>
          <w:szCs w:val="24"/>
          <w:u w:val="single"/>
        </w:rPr>
        <w:t xml:space="preserve">                                        </w:t>
      </w:r>
    </w:p>
    <w:p>
      <w:pPr>
        <w:spacing w:line="540" w:lineRule="exact"/>
        <w:rPr>
          <w:rFonts w:ascii="宋体" w:hAnsi="宋体" w:eastAsia="宋体" w:cs="宋体"/>
          <w:sz w:val="24"/>
          <w:szCs w:val="24"/>
        </w:rPr>
      </w:pPr>
    </w:p>
    <w:p>
      <w:pPr>
        <w:spacing w:line="540" w:lineRule="exact"/>
        <w:rPr>
          <w:rFonts w:ascii="宋体" w:hAnsi="宋体" w:eastAsia="宋体" w:cs="宋体"/>
          <w:sz w:val="24"/>
          <w:szCs w:val="24"/>
        </w:rPr>
      </w:pPr>
      <w:r>
        <w:rPr>
          <w:rFonts w:hint="eastAsia" w:ascii="宋体" w:hAnsi="宋体" w:eastAsia="宋体" w:cs="宋体"/>
          <w:sz w:val="24"/>
          <w:szCs w:val="24"/>
        </w:rPr>
        <w:t xml:space="preserve">                              技术合同登记机构（印章）</w:t>
      </w:r>
    </w:p>
    <w:p>
      <w:pPr>
        <w:spacing w:line="540" w:lineRule="exact"/>
        <w:rPr>
          <w:rFonts w:ascii="宋体" w:hAnsi="宋体" w:eastAsia="宋体" w:cs="宋体"/>
          <w:sz w:val="24"/>
          <w:szCs w:val="24"/>
        </w:rPr>
      </w:pPr>
      <w:r>
        <w:rPr>
          <w:rFonts w:hint="eastAsia" w:ascii="宋体" w:hAnsi="宋体" w:eastAsia="宋体" w:cs="宋体"/>
          <w:sz w:val="24"/>
          <w:szCs w:val="24"/>
        </w:rPr>
        <w:t xml:space="preserve">                                 经办人：</w:t>
      </w:r>
    </w:p>
    <w:p>
      <w:pPr>
        <w:rPr>
          <w:rFonts w:ascii="宋体" w:hAnsi="宋体" w:eastAsia="宋体" w:cs="宋体"/>
          <w:sz w:val="24"/>
          <w:szCs w:val="24"/>
        </w:rPr>
      </w:pPr>
      <w:r>
        <w:rPr>
          <w:rFonts w:hint="eastAsia" w:ascii="宋体" w:hAnsi="宋体" w:eastAsia="宋体" w:cs="宋体"/>
          <w:sz w:val="24"/>
          <w:szCs w:val="24"/>
        </w:rPr>
        <w:br w:type="page"/>
      </w:r>
    </w:p>
    <w:p>
      <w:pPr>
        <w:snapToGrid w:val="0"/>
        <w:spacing w:before="156" w:beforeLines="50" w:line="360" w:lineRule="auto"/>
        <w:jc w:val="center"/>
        <w:rPr>
          <w:rFonts w:ascii="宋体" w:hAnsi="宋体" w:eastAsia="宋体"/>
          <w:b/>
          <w:bCs/>
          <w:sz w:val="28"/>
          <w:szCs w:val="28"/>
        </w:rPr>
      </w:pPr>
      <w:r>
        <w:rPr>
          <w:rFonts w:hint="eastAsia" w:ascii="宋体" w:hAnsi="宋体" w:eastAsia="宋体"/>
          <w:b/>
          <w:bCs/>
          <w:sz w:val="28"/>
          <w:szCs w:val="28"/>
        </w:rPr>
        <w:t>AIS／ASM国产化核心网系统工程廉政合同</w:t>
      </w:r>
    </w:p>
    <w:p>
      <w:pPr>
        <w:spacing w:line="360" w:lineRule="auto"/>
        <w:ind w:firstLine="470" w:firstLineChars="196"/>
        <w:rPr>
          <w:rFonts w:ascii="仿宋_GB2312"/>
          <w:color w:val="000000"/>
          <w:sz w:val="24"/>
          <w:szCs w:val="24"/>
        </w:rPr>
      </w:pPr>
      <w:r>
        <w:rPr>
          <w:rFonts w:hint="eastAsia" w:ascii="仿宋_GB2312"/>
          <w:color w:val="000000"/>
          <w:sz w:val="24"/>
          <w:szCs w:val="24"/>
        </w:rPr>
        <w:t>根据交通部《关于在交通基础设施建设中加强廉政建设的若干意见》以及有关工程建设、廉政建设的规定，为搞好工程建设中的廉政建设，保证工程建设高效、优质，保证建设资金的安全、有效使用以及投资效益，经北海航海保障中心天津航标处（建设单位）(以下称为甲方）、项目</w:t>
      </w:r>
      <w:r>
        <w:rPr>
          <w:rFonts w:ascii="仿宋_GB2312"/>
          <w:color w:val="000000"/>
          <w:sz w:val="24"/>
          <w:szCs w:val="24"/>
        </w:rPr>
        <w:t>归口部门</w:t>
      </w:r>
      <w:r>
        <w:rPr>
          <w:rFonts w:hint="eastAsia" w:ascii="仿宋_GB2312"/>
          <w:color w:val="000000"/>
          <w:sz w:val="24"/>
          <w:szCs w:val="24"/>
        </w:rPr>
        <w:t>与</w:t>
      </w:r>
      <w:r>
        <w:rPr>
          <w:rFonts w:hint="eastAsia" w:ascii="仿宋_GB2312"/>
          <w:color w:val="000000"/>
          <w:sz w:val="24"/>
          <w:szCs w:val="24"/>
          <w:u w:val="single"/>
        </w:rPr>
        <w:t>***</w:t>
      </w:r>
      <w:r>
        <w:rPr>
          <w:rFonts w:hint="eastAsia" w:ascii="仿宋_GB2312"/>
          <w:color w:val="000000"/>
          <w:sz w:val="24"/>
          <w:szCs w:val="24"/>
        </w:rPr>
        <w:t>（以下称乙方）协商，特订立如下合同。</w:t>
      </w:r>
    </w:p>
    <w:p>
      <w:pPr>
        <w:spacing w:line="360" w:lineRule="auto"/>
        <w:ind w:firstLine="555"/>
        <w:rPr>
          <w:rFonts w:ascii="仿宋_GB2312"/>
          <w:color w:val="000000"/>
          <w:sz w:val="24"/>
          <w:szCs w:val="24"/>
        </w:rPr>
      </w:pPr>
      <w:r>
        <w:rPr>
          <w:rFonts w:hint="eastAsia" w:ascii="仿宋_GB2312"/>
          <w:color w:val="000000"/>
          <w:sz w:val="24"/>
          <w:szCs w:val="24"/>
        </w:rPr>
        <w:t>第一条  三方的权利和义务</w:t>
      </w:r>
    </w:p>
    <w:p>
      <w:pPr>
        <w:spacing w:line="360" w:lineRule="auto"/>
        <w:ind w:firstLine="555"/>
        <w:rPr>
          <w:rFonts w:ascii="仿宋_GB2312"/>
          <w:color w:val="000000"/>
          <w:sz w:val="24"/>
          <w:szCs w:val="24"/>
        </w:rPr>
      </w:pPr>
      <w:r>
        <w:rPr>
          <w:rFonts w:hint="eastAsia" w:ascii="仿宋_GB2312"/>
          <w:color w:val="000000"/>
          <w:sz w:val="24"/>
          <w:szCs w:val="24"/>
        </w:rPr>
        <w:t xml:space="preserve">（一）严格遵守党和国家有关法律法规及交通部的有关规定。  </w:t>
      </w:r>
    </w:p>
    <w:p>
      <w:pPr>
        <w:spacing w:line="360" w:lineRule="auto"/>
        <w:ind w:firstLine="555"/>
        <w:rPr>
          <w:rFonts w:ascii="仿宋_GB2312"/>
          <w:color w:val="000000"/>
          <w:sz w:val="24"/>
          <w:szCs w:val="24"/>
        </w:rPr>
      </w:pPr>
      <w:r>
        <w:rPr>
          <w:rFonts w:hint="eastAsia" w:ascii="仿宋_GB2312"/>
          <w:color w:val="000000"/>
          <w:sz w:val="24"/>
          <w:szCs w:val="24"/>
        </w:rPr>
        <w:t>（二）严格执行文件，自觉按</w:t>
      </w:r>
      <w:r>
        <w:rPr>
          <w:rFonts w:hint="eastAsia" w:ascii="仿宋_GB2312"/>
          <w:b/>
          <w:bCs/>
          <w:sz w:val="24"/>
          <w:szCs w:val="24"/>
        </w:rPr>
        <w:t>AIS／ASM国产化核心网系统工程合同</w:t>
      </w:r>
      <w:r>
        <w:rPr>
          <w:rFonts w:hint="eastAsia" w:ascii="仿宋_GB2312"/>
          <w:color w:val="000000"/>
          <w:sz w:val="24"/>
          <w:szCs w:val="24"/>
        </w:rPr>
        <w:t>办事</w:t>
      </w:r>
      <w:r>
        <w:rPr>
          <w:rFonts w:hint="eastAsia" w:ascii="仿宋_GB2312"/>
          <w:b/>
          <w:bCs/>
          <w:color w:val="000000"/>
          <w:sz w:val="24"/>
          <w:szCs w:val="24"/>
        </w:rPr>
        <w:t>。</w:t>
      </w:r>
    </w:p>
    <w:p>
      <w:pPr>
        <w:pStyle w:val="11"/>
        <w:spacing w:line="360" w:lineRule="auto"/>
        <w:rPr>
          <w:sz w:val="24"/>
          <w:szCs w:val="24"/>
        </w:rPr>
      </w:pPr>
      <w:r>
        <w:rPr>
          <w:rFonts w:hint="eastAsia"/>
          <w:sz w:val="24"/>
          <w:szCs w:val="24"/>
        </w:rPr>
        <w:t>（三）三方的业务活动坚持公开、公正、诚信、透明的原则（除法律认定的商业秘密和合同文件另有规定之外），不得损害国家和集体的利益，违反工程建设管理规章制度。</w:t>
      </w:r>
    </w:p>
    <w:p>
      <w:pPr>
        <w:spacing w:line="360" w:lineRule="auto"/>
        <w:ind w:firstLine="555"/>
        <w:rPr>
          <w:rFonts w:ascii="仿宋_GB2312"/>
          <w:color w:val="000000"/>
          <w:sz w:val="24"/>
          <w:szCs w:val="24"/>
        </w:rPr>
      </w:pPr>
      <w:r>
        <w:rPr>
          <w:rFonts w:hint="eastAsia" w:ascii="仿宋_GB2312"/>
          <w:color w:val="000000"/>
          <w:sz w:val="24"/>
          <w:szCs w:val="24"/>
        </w:rPr>
        <w:t>（四）建立健全廉政制度，开展廉政教育，设立廉政告示牌，公布举报电话，监督并查处违法违纪行为。</w:t>
      </w:r>
    </w:p>
    <w:p>
      <w:pPr>
        <w:spacing w:line="360" w:lineRule="auto"/>
        <w:ind w:firstLine="555"/>
        <w:rPr>
          <w:rFonts w:ascii="仿宋_GB2312"/>
          <w:color w:val="000000"/>
          <w:sz w:val="24"/>
          <w:szCs w:val="24"/>
        </w:rPr>
      </w:pPr>
      <w:r>
        <w:rPr>
          <w:rFonts w:hint="eastAsia" w:ascii="仿宋_GB2312"/>
          <w:color w:val="000000"/>
          <w:sz w:val="24"/>
          <w:szCs w:val="24"/>
        </w:rPr>
        <w:t>（五）发现在业务活动中有违反廉政规定的行为，有及时提醒纠正的权力和义务。</w:t>
      </w:r>
    </w:p>
    <w:p>
      <w:pPr>
        <w:spacing w:line="360" w:lineRule="auto"/>
        <w:ind w:firstLine="555"/>
        <w:rPr>
          <w:rFonts w:ascii="仿宋_GB2312"/>
          <w:color w:val="000000"/>
          <w:sz w:val="24"/>
          <w:szCs w:val="24"/>
        </w:rPr>
      </w:pPr>
      <w:r>
        <w:rPr>
          <w:rFonts w:hint="eastAsia" w:ascii="仿宋_GB2312"/>
          <w:color w:val="000000"/>
          <w:sz w:val="24"/>
          <w:szCs w:val="24"/>
        </w:rPr>
        <w:t>（六）发现严重违反本合同义务条款的行为，有向其上级有关部门举报，建议给予处理并要求告知处理结果的权力。</w:t>
      </w:r>
    </w:p>
    <w:p>
      <w:pPr>
        <w:spacing w:line="360" w:lineRule="auto"/>
        <w:ind w:firstLine="555"/>
        <w:rPr>
          <w:rFonts w:ascii="仿宋_GB2312"/>
          <w:color w:val="000000"/>
          <w:sz w:val="24"/>
          <w:szCs w:val="24"/>
        </w:rPr>
      </w:pPr>
      <w:r>
        <w:rPr>
          <w:rFonts w:hint="eastAsia" w:ascii="仿宋_GB2312"/>
          <w:color w:val="000000"/>
          <w:sz w:val="24"/>
          <w:szCs w:val="24"/>
        </w:rPr>
        <w:t>第二条  甲方及归口部门义务</w:t>
      </w:r>
    </w:p>
    <w:p>
      <w:pPr>
        <w:spacing w:line="360" w:lineRule="auto"/>
        <w:ind w:firstLine="555"/>
        <w:rPr>
          <w:rFonts w:ascii="仿宋_GB2312"/>
          <w:color w:val="000000"/>
          <w:sz w:val="24"/>
          <w:szCs w:val="24"/>
        </w:rPr>
      </w:pPr>
      <w:r>
        <w:rPr>
          <w:rFonts w:hint="eastAsia" w:ascii="仿宋_GB2312"/>
          <w:color w:val="000000"/>
          <w:sz w:val="24"/>
          <w:szCs w:val="24"/>
        </w:rPr>
        <w:t>（一）甲方及归口部门及其工作人员不得索要或接受乙方的礼金、有价证券和贵重物品，不得在乙方报销任何应由甲方及归口部门或个人支付的费用。</w:t>
      </w:r>
    </w:p>
    <w:p>
      <w:pPr>
        <w:spacing w:line="360" w:lineRule="auto"/>
        <w:ind w:firstLine="555"/>
        <w:rPr>
          <w:rFonts w:ascii="仿宋_GB2312"/>
          <w:color w:val="000000"/>
          <w:sz w:val="24"/>
          <w:szCs w:val="24"/>
        </w:rPr>
      </w:pPr>
      <w:r>
        <w:rPr>
          <w:rFonts w:hint="eastAsia" w:ascii="仿宋_GB2312"/>
          <w:color w:val="000000"/>
          <w:sz w:val="24"/>
          <w:szCs w:val="24"/>
        </w:rPr>
        <w:t>（二）甲方及归口部门工作人员不得参加乙方安排的超标准宴请和娱乐活动；不准接受乙方提供的通讯工具、交通工具和高档办公用品等。</w:t>
      </w:r>
    </w:p>
    <w:p>
      <w:pPr>
        <w:spacing w:line="360" w:lineRule="auto"/>
        <w:ind w:firstLine="555"/>
        <w:rPr>
          <w:rFonts w:ascii="仿宋_GB2312"/>
          <w:color w:val="000000"/>
          <w:sz w:val="24"/>
          <w:szCs w:val="24"/>
        </w:rPr>
      </w:pPr>
      <w:r>
        <w:rPr>
          <w:rFonts w:hint="eastAsia" w:ascii="仿宋_GB2312"/>
          <w:color w:val="000000"/>
          <w:sz w:val="24"/>
          <w:szCs w:val="24"/>
        </w:rPr>
        <w:t>（三）甲方及归口部门及其工作人员不得要求或者接受乙方为其住房装修、婚丧嫁娶活动、配偶子女的工作安排以及出国出境、旅游等提供的方便。</w:t>
      </w:r>
    </w:p>
    <w:p>
      <w:pPr>
        <w:spacing w:line="360" w:lineRule="auto"/>
        <w:ind w:firstLine="555"/>
        <w:rPr>
          <w:rFonts w:ascii="仿宋_GB2312"/>
          <w:color w:val="000000"/>
          <w:sz w:val="24"/>
          <w:szCs w:val="24"/>
        </w:rPr>
      </w:pPr>
      <w:r>
        <w:rPr>
          <w:rFonts w:hint="eastAsia" w:ascii="仿宋_GB2312"/>
          <w:color w:val="000000"/>
          <w:sz w:val="24"/>
          <w:szCs w:val="24"/>
        </w:rPr>
        <w:t>（四）甲方及归口部门工作人员的配偶、子女不得从事与甲方及归口部门工程有关的材料（设备）供应、工程分包、劳务等经济活动。</w:t>
      </w:r>
    </w:p>
    <w:p>
      <w:pPr>
        <w:spacing w:line="360" w:lineRule="auto"/>
        <w:ind w:firstLine="555"/>
        <w:rPr>
          <w:rFonts w:ascii="仿宋_GB2312"/>
          <w:color w:val="000000"/>
          <w:sz w:val="24"/>
          <w:szCs w:val="24"/>
        </w:rPr>
      </w:pPr>
      <w:r>
        <w:rPr>
          <w:rFonts w:hint="eastAsia" w:ascii="仿宋_GB2312"/>
          <w:color w:val="000000"/>
          <w:sz w:val="24"/>
          <w:szCs w:val="24"/>
        </w:rPr>
        <w:t>（五）甲方及归口部门及其工作人员不得以任何理由向乙方推荐分包单位，不得要求乙方购买合同规定外的材料和设备。</w:t>
      </w:r>
    </w:p>
    <w:p>
      <w:pPr>
        <w:spacing w:line="360" w:lineRule="auto"/>
        <w:ind w:firstLine="555"/>
        <w:rPr>
          <w:rFonts w:ascii="仿宋_GB2312"/>
          <w:color w:val="000000"/>
          <w:sz w:val="24"/>
          <w:szCs w:val="24"/>
        </w:rPr>
      </w:pPr>
      <w:r>
        <w:rPr>
          <w:rFonts w:hint="eastAsia" w:ascii="仿宋_GB2312"/>
          <w:color w:val="000000"/>
          <w:sz w:val="24"/>
          <w:szCs w:val="24"/>
        </w:rPr>
        <w:t>第三条  乙方义务</w:t>
      </w:r>
    </w:p>
    <w:p>
      <w:pPr>
        <w:spacing w:line="360" w:lineRule="auto"/>
        <w:ind w:firstLine="555"/>
        <w:rPr>
          <w:rFonts w:ascii="仿宋_GB2312"/>
          <w:color w:val="000000"/>
          <w:sz w:val="24"/>
          <w:szCs w:val="24"/>
        </w:rPr>
      </w:pPr>
      <w:r>
        <w:rPr>
          <w:rFonts w:hint="eastAsia" w:ascii="仿宋_GB2312"/>
          <w:color w:val="000000"/>
          <w:sz w:val="24"/>
          <w:szCs w:val="24"/>
        </w:rPr>
        <w:t>（一）乙方不得以任何理由向甲方及归口部门人员行贿、馈赠礼金、有价证券和贵重物品。</w:t>
      </w:r>
    </w:p>
    <w:p>
      <w:pPr>
        <w:spacing w:line="360" w:lineRule="auto"/>
        <w:ind w:firstLine="555"/>
        <w:rPr>
          <w:rFonts w:ascii="仿宋_GB2312"/>
          <w:color w:val="000000"/>
          <w:sz w:val="24"/>
          <w:szCs w:val="24"/>
        </w:rPr>
      </w:pPr>
      <w:r>
        <w:rPr>
          <w:rFonts w:hint="eastAsia" w:ascii="仿宋_GB2312"/>
          <w:color w:val="000000"/>
          <w:sz w:val="24"/>
          <w:szCs w:val="24"/>
        </w:rPr>
        <w:t>（二）乙方不得以任何名义为甲方及归口部门及其工作人员报销应由甲方及归口部门单位或个人支付的任何费用。</w:t>
      </w:r>
    </w:p>
    <w:p>
      <w:pPr>
        <w:spacing w:line="360" w:lineRule="auto"/>
        <w:ind w:firstLine="555"/>
        <w:rPr>
          <w:rFonts w:ascii="仿宋_GB2312"/>
          <w:color w:val="000000"/>
          <w:sz w:val="24"/>
          <w:szCs w:val="24"/>
        </w:rPr>
      </w:pPr>
      <w:r>
        <w:rPr>
          <w:rFonts w:hint="eastAsia" w:ascii="仿宋_GB2312"/>
          <w:color w:val="000000"/>
          <w:sz w:val="24"/>
          <w:szCs w:val="24"/>
        </w:rPr>
        <w:t>（三）乙方不得以任何理由安排甲方及归口部门工作人员参加超标准宴请及娱乐活动。</w:t>
      </w:r>
    </w:p>
    <w:p>
      <w:pPr>
        <w:spacing w:line="360" w:lineRule="auto"/>
        <w:ind w:firstLine="555"/>
        <w:rPr>
          <w:rFonts w:ascii="仿宋_GB2312"/>
          <w:color w:val="000000"/>
          <w:sz w:val="24"/>
          <w:szCs w:val="24"/>
        </w:rPr>
      </w:pPr>
      <w:r>
        <w:rPr>
          <w:rFonts w:hint="eastAsia" w:ascii="仿宋_GB2312"/>
          <w:color w:val="000000"/>
          <w:sz w:val="24"/>
          <w:szCs w:val="24"/>
        </w:rPr>
        <w:t>（四）乙方不得为甲方及归口部门单位和个人购置或提供通讯工具、交通工具或高档办公用品。</w:t>
      </w:r>
    </w:p>
    <w:p>
      <w:pPr>
        <w:spacing w:line="360" w:lineRule="auto"/>
        <w:ind w:firstLine="555"/>
        <w:rPr>
          <w:rFonts w:ascii="仿宋_GB2312"/>
          <w:color w:val="000000"/>
          <w:sz w:val="24"/>
          <w:szCs w:val="24"/>
        </w:rPr>
      </w:pPr>
      <w:r>
        <w:rPr>
          <w:rFonts w:hint="eastAsia" w:ascii="仿宋_GB2312"/>
          <w:color w:val="000000"/>
          <w:sz w:val="24"/>
          <w:szCs w:val="24"/>
        </w:rPr>
        <w:t>第四条  违约责任</w:t>
      </w:r>
    </w:p>
    <w:p>
      <w:pPr>
        <w:pStyle w:val="11"/>
        <w:spacing w:line="360" w:lineRule="auto"/>
        <w:rPr>
          <w:sz w:val="24"/>
          <w:szCs w:val="24"/>
        </w:rPr>
      </w:pPr>
      <w:r>
        <w:rPr>
          <w:rFonts w:hint="eastAsia"/>
          <w:sz w:val="24"/>
          <w:szCs w:val="24"/>
        </w:rPr>
        <w:t>（一）甲方及归口部门及其工作人员违反本合同第一、二条，按管理权限，依据有关规定，给予党纪政纪或组织处理；涉嫌犯罪的，移交司法机关追究刑事责任；给乙方单位造成经济损失的应予以赔偿。</w:t>
      </w:r>
    </w:p>
    <w:p>
      <w:pPr>
        <w:spacing w:line="360" w:lineRule="auto"/>
        <w:ind w:firstLine="555"/>
        <w:rPr>
          <w:rFonts w:ascii="仿宋_GB2312"/>
          <w:color w:val="000000"/>
          <w:sz w:val="24"/>
          <w:szCs w:val="24"/>
        </w:rPr>
      </w:pPr>
      <w:r>
        <w:rPr>
          <w:rFonts w:hint="eastAsia" w:ascii="仿宋_GB2312"/>
          <w:color w:val="000000"/>
          <w:sz w:val="24"/>
          <w:szCs w:val="24"/>
        </w:rPr>
        <w:t>（二）乙方及其工作人员违反本合同第一、三条，按管理权限，依据有关规定，给予党纪政纪或组织处理，给甲方及归口部门单位造成经济损失的，应予以赔偿；情节严重的，甲方及归口部门有权建议交通工程建设主管部门给予乙方一至三年内不得进入其主管的交通工程建设市场的处罚。</w:t>
      </w:r>
    </w:p>
    <w:p>
      <w:pPr>
        <w:spacing w:line="360" w:lineRule="auto"/>
        <w:ind w:firstLine="555"/>
        <w:rPr>
          <w:rFonts w:ascii="仿宋_GB2312"/>
          <w:color w:val="000000"/>
          <w:sz w:val="24"/>
          <w:szCs w:val="24"/>
        </w:rPr>
      </w:pPr>
      <w:r>
        <w:rPr>
          <w:rFonts w:hint="eastAsia" w:ascii="仿宋_GB2312"/>
          <w:color w:val="000000"/>
          <w:sz w:val="24"/>
          <w:szCs w:val="24"/>
        </w:rPr>
        <w:t>第五条  三方约定：本合同由三方或三方上级单位的纪检监察机关负责监督执行。由甲方及归口部门或甲方及归口部门上级单位的纪检监察机关约请乙方或乙方上级单位纪检监察机关对本合同执行情况进行检查，提出在本合同规定范围内的裁定意见。</w:t>
      </w:r>
    </w:p>
    <w:p>
      <w:pPr>
        <w:spacing w:line="360" w:lineRule="auto"/>
        <w:rPr>
          <w:rFonts w:ascii="宋体" w:hAnsi="宋体" w:eastAsia="宋体"/>
          <w:b/>
          <w:color w:val="000000"/>
          <w:sz w:val="24"/>
          <w:szCs w:val="24"/>
        </w:rPr>
      </w:pPr>
      <w:r>
        <w:rPr>
          <w:rFonts w:hint="eastAsia" w:ascii="仿宋_GB2312"/>
          <w:color w:val="000000"/>
          <w:sz w:val="24"/>
          <w:szCs w:val="24"/>
        </w:rPr>
        <w:t>第六条  本合同作为</w:t>
      </w:r>
      <w:r>
        <w:rPr>
          <w:rFonts w:hint="eastAsia" w:ascii="仿宋_GB2312"/>
          <w:b/>
          <w:bCs/>
          <w:sz w:val="24"/>
          <w:szCs w:val="24"/>
        </w:rPr>
        <w:t>AIS／ASM国产化核心网系统工程合同</w:t>
      </w:r>
      <w:r>
        <w:rPr>
          <w:rFonts w:hint="eastAsia" w:ascii="仿宋_GB2312"/>
          <w:bCs/>
          <w:sz w:val="24"/>
          <w:szCs w:val="24"/>
        </w:rPr>
        <w:t>的</w:t>
      </w:r>
      <w:r>
        <w:rPr>
          <w:rFonts w:hint="eastAsia" w:ascii="仿宋_GB2312"/>
          <w:color w:val="000000"/>
          <w:sz w:val="24"/>
          <w:szCs w:val="24"/>
        </w:rPr>
        <w:t>附件与工程合同具有同等法律效力，经签署后生效。</w:t>
      </w:r>
    </w:p>
    <w:p>
      <w:pPr>
        <w:numPr>
          <w:ilvl w:val="0"/>
          <w:numId w:val="26"/>
        </w:numPr>
        <w:spacing w:line="360" w:lineRule="auto"/>
        <w:rPr>
          <w:rFonts w:ascii="仿宋_GB2312"/>
          <w:b/>
          <w:color w:val="000000"/>
          <w:sz w:val="24"/>
          <w:szCs w:val="24"/>
        </w:rPr>
      </w:pPr>
      <w:r>
        <w:rPr>
          <w:rFonts w:hint="eastAsia" w:ascii="仿宋_GB2312"/>
          <w:b/>
          <w:color w:val="000000"/>
          <w:sz w:val="24"/>
          <w:szCs w:val="24"/>
        </w:rPr>
        <w:t>本合同一式四份，建设单位、归口部门、中心</w:t>
      </w:r>
      <w:r>
        <w:rPr>
          <w:rFonts w:ascii="仿宋_GB2312"/>
          <w:b/>
          <w:color w:val="000000"/>
          <w:sz w:val="24"/>
          <w:szCs w:val="24"/>
        </w:rPr>
        <w:t>纪检</w:t>
      </w:r>
      <w:r>
        <w:rPr>
          <w:rFonts w:hint="eastAsia" w:ascii="仿宋_GB2312"/>
          <w:b/>
          <w:color w:val="000000"/>
          <w:sz w:val="24"/>
          <w:szCs w:val="24"/>
        </w:rPr>
        <w:t>部门、乙方各执一份。</w:t>
      </w:r>
    </w:p>
    <w:p>
      <w:pPr>
        <w:spacing w:line="360" w:lineRule="auto"/>
        <w:rPr>
          <w:rFonts w:ascii="仿宋_GB2312"/>
          <w:color w:val="000000"/>
          <w:sz w:val="24"/>
          <w:szCs w:val="24"/>
        </w:rPr>
      </w:pPr>
      <w:r>
        <w:rPr>
          <w:rFonts w:hint="eastAsia" w:ascii="仿宋_GB2312"/>
          <w:color w:val="000000"/>
          <w:sz w:val="24"/>
          <w:szCs w:val="24"/>
        </w:rPr>
        <w:t xml:space="preserve">   </w:t>
      </w:r>
    </w:p>
    <w:p>
      <w:pPr>
        <w:spacing w:line="360" w:lineRule="auto"/>
        <w:ind w:firstLine="360" w:firstLineChars="150"/>
        <w:rPr>
          <w:rFonts w:ascii="仿宋_GB2312"/>
          <w:color w:val="000000"/>
          <w:sz w:val="24"/>
          <w:szCs w:val="24"/>
        </w:rPr>
      </w:pPr>
      <w:r>
        <w:rPr>
          <w:rFonts w:hint="eastAsia" w:ascii="仿宋_GB2312"/>
          <w:color w:val="000000"/>
          <w:sz w:val="24"/>
          <w:szCs w:val="24"/>
        </w:rPr>
        <w:t xml:space="preserve">甲方（建设单位）：（盖章）      </w:t>
      </w:r>
      <w:r>
        <w:rPr>
          <w:rFonts w:ascii="仿宋_GB2312"/>
          <w:color w:val="000000"/>
          <w:sz w:val="24"/>
          <w:szCs w:val="24"/>
        </w:rPr>
        <w:t xml:space="preserve">         </w:t>
      </w:r>
      <w:r>
        <w:rPr>
          <w:rFonts w:hint="eastAsia" w:ascii="仿宋_GB2312"/>
          <w:color w:val="000000"/>
          <w:sz w:val="24"/>
          <w:szCs w:val="24"/>
        </w:rPr>
        <w:t xml:space="preserve"> 乙方（施工单位）：（盖章）</w:t>
      </w:r>
    </w:p>
    <w:p>
      <w:pPr>
        <w:spacing w:line="360" w:lineRule="auto"/>
        <w:rPr>
          <w:rFonts w:ascii="仿宋_GB2312"/>
          <w:color w:val="000000"/>
          <w:sz w:val="24"/>
          <w:szCs w:val="24"/>
        </w:rPr>
      </w:pPr>
      <w:r>
        <w:rPr>
          <w:rFonts w:hint="eastAsia" w:ascii="仿宋_GB2312"/>
          <w:color w:val="000000"/>
          <w:sz w:val="24"/>
          <w:szCs w:val="24"/>
        </w:rPr>
        <w:t xml:space="preserve">       </w:t>
      </w:r>
    </w:p>
    <w:p>
      <w:pPr>
        <w:spacing w:line="360" w:lineRule="auto"/>
        <w:rPr>
          <w:rFonts w:ascii="仿宋_GB2312"/>
          <w:color w:val="000000"/>
          <w:sz w:val="24"/>
          <w:szCs w:val="24"/>
        </w:rPr>
      </w:pPr>
      <w:r>
        <w:rPr>
          <w:rFonts w:hint="eastAsia" w:ascii="仿宋_GB2312"/>
          <w:color w:val="000000"/>
          <w:sz w:val="24"/>
          <w:szCs w:val="24"/>
        </w:rPr>
        <w:t xml:space="preserve">       项目负责人：                         项目负责人：  </w:t>
      </w:r>
    </w:p>
    <w:p>
      <w:pPr>
        <w:spacing w:line="360" w:lineRule="auto"/>
        <w:rPr>
          <w:rFonts w:ascii="仿宋_GB2312"/>
          <w:color w:val="000000"/>
          <w:sz w:val="24"/>
          <w:szCs w:val="24"/>
        </w:rPr>
      </w:pPr>
      <w:r>
        <w:rPr>
          <w:rFonts w:hint="eastAsia" w:ascii="仿宋_GB2312"/>
          <w:color w:val="000000"/>
          <w:sz w:val="24"/>
          <w:szCs w:val="24"/>
        </w:rPr>
        <w:t xml:space="preserve">      </w:t>
      </w:r>
    </w:p>
    <w:p>
      <w:pPr>
        <w:spacing w:line="360" w:lineRule="auto"/>
        <w:rPr>
          <w:rFonts w:ascii="仿宋_GB2312"/>
          <w:color w:val="000000"/>
          <w:sz w:val="24"/>
          <w:szCs w:val="24"/>
        </w:rPr>
      </w:pPr>
      <w:r>
        <w:rPr>
          <w:rFonts w:hint="eastAsia" w:ascii="仿宋_GB2312"/>
          <w:color w:val="000000"/>
          <w:sz w:val="24"/>
          <w:szCs w:val="24"/>
        </w:rPr>
        <w:t xml:space="preserve">       年    月    日                          年    月    日   </w:t>
      </w:r>
    </w:p>
    <w:p>
      <w:pPr>
        <w:spacing w:line="360" w:lineRule="auto"/>
        <w:ind w:firstLine="493"/>
        <w:rPr>
          <w:rFonts w:ascii="仿宋_GB2312"/>
          <w:color w:val="000000"/>
          <w:sz w:val="24"/>
          <w:szCs w:val="24"/>
        </w:rPr>
      </w:pPr>
    </w:p>
    <w:p>
      <w:pPr>
        <w:spacing w:line="480" w:lineRule="auto"/>
        <w:ind w:firstLine="495"/>
        <w:rPr>
          <w:rFonts w:ascii="仿宋_GB2312"/>
          <w:color w:val="000000"/>
          <w:sz w:val="24"/>
          <w:szCs w:val="24"/>
        </w:rPr>
      </w:pPr>
      <w:r>
        <w:rPr>
          <w:rFonts w:hint="eastAsia" w:ascii="仿宋_GB2312"/>
          <w:color w:val="000000"/>
          <w:sz w:val="24"/>
          <w:szCs w:val="24"/>
        </w:rPr>
        <w:t xml:space="preserve">项目归口部门：（盖章）       </w:t>
      </w:r>
      <w:r>
        <w:rPr>
          <w:rFonts w:ascii="仿宋_GB2312"/>
          <w:color w:val="000000"/>
          <w:sz w:val="24"/>
          <w:szCs w:val="24"/>
        </w:rPr>
        <w:t xml:space="preserve">            </w:t>
      </w:r>
      <w:r>
        <w:rPr>
          <w:rFonts w:hint="eastAsia" w:ascii="仿宋_GB2312"/>
          <w:color w:val="000000"/>
          <w:sz w:val="24"/>
          <w:szCs w:val="24"/>
        </w:rPr>
        <w:t xml:space="preserve"> 中心纪检部门（盖章）                    </w:t>
      </w:r>
    </w:p>
    <w:p>
      <w:pPr>
        <w:spacing w:line="360" w:lineRule="auto"/>
        <w:ind w:firstLine="493"/>
        <w:rPr>
          <w:rFonts w:ascii="仿宋_GB2312"/>
          <w:color w:val="000000"/>
          <w:sz w:val="24"/>
          <w:szCs w:val="24"/>
        </w:rPr>
      </w:pPr>
    </w:p>
    <w:p>
      <w:pPr>
        <w:pStyle w:val="2"/>
      </w:pPr>
      <w:r>
        <w:rPr>
          <w:rFonts w:hint="eastAsia" w:ascii="仿宋_GB2312"/>
          <w:color w:val="000000"/>
          <w:sz w:val="24"/>
          <w:szCs w:val="24"/>
        </w:rPr>
        <w:t xml:space="preserve">年    月    日                            年    月    日 </w:t>
      </w:r>
      <w:r>
        <w:rPr>
          <w:rFonts w:hint="eastAsia" w:ascii="仿宋_GB2312"/>
          <w:color w:val="000000"/>
          <w:sz w:val="28"/>
        </w:rPr>
        <w:t xml:space="preserve">  </w:t>
      </w:r>
    </w:p>
    <w:p>
      <w:pPr>
        <w:rPr>
          <w:rFonts w:ascii="仿宋_GB2312" w:eastAsia="仿宋_GB2312"/>
          <w:sz w:val="28"/>
          <w:szCs w:val="28"/>
        </w:rPr>
      </w:pPr>
      <w:r>
        <w:rPr>
          <w:rFonts w:hint="eastAsia" w:ascii="仿宋_GB2312" w:eastAsia="仿宋_GB2312"/>
          <w:sz w:val="28"/>
          <w:szCs w:val="28"/>
        </w:rPr>
        <w:br w:type="page"/>
      </w:r>
    </w:p>
    <w:p>
      <w:pPr>
        <w:pStyle w:val="2"/>
        <w:sectPr>
          <w:headerReference r:id="rId10" w:type="default"/>
          <w:pgSz w:w="11906" w:h="16838"/>
          <w:pgMar w:top="1440" w:right="1800" w:bottom="1440" w:left="1800" w:header="851" w:footer="992" w:gutter="0"/>
          <w:cols w:space="720" w:num="1"/>
          <w:docGrid w:type="lines" w:linePitch="312" w:charSpace="0"/>
        </w:sectPr>
      </w:pPr>
    </w:p>
    <w:p>
      <w:pPr>
        <w:tabs>
          <w:tab w:val="left" w:pos="2977"/>
        </w:tabs>
        <w:adjustRightInd w:val="0"/>
        <w:snapToGrid w:val="0"/>
        <w:spacing w:line="324" w:lineRule="auto"/>
      </w:pPr>
    </w:p>
    <w:p>
      <w:pPr>
        <w:pStyle w:val="3"/>
      </w:pPr>
      <w:bookmarkStart w:id="209" w:name="_Toc8612"/>
      <w:r>
        <w:t>第</w:t>
      </w:r>
      <w:r>
        <w:rPr>
          <w:rFonts w:hint="eastAsia"/>
        </w:rPr>
        <w:t>五</w:t>
      </w:r>
      <w:r>
        <w:t xml:space="preserve">部分  </w:t>
      </w:r>
      <w:r>
        <w:rPr>
          <w:rFonts w:hint="eastAsia"/>
        </w:rPr>
        <w:t>投标</w:t>
      </w:r>
      <w:r>
        <w:t>文件格式</w:t>
      </w:r>
      <w:bookmarkEnd w:id="209"/>
    </w:p>
    <w:p>
      <w:pPr>
        <w:spacing w:before="156" w:beforeLines="50" w:after="156" w:afterLines="50" w:line="480" w:lineRule="auto"/>
        <w:jc w:val="center"/>
        <w:rPr>
          <w:sz w:val="24"/>
        </w:rPr>
      </w:pPr>
      <w:r>
        <w:rPr>
          <w:rFonts w:hint="eastAsia"/>
          <w:sz w:val="24"/>
        </w:rPr>
        <w:t>一、技术标投标文件格式说明</w:t>
      </w:r>
    </w:p>
    <w:p>
      <w:pPr>
        <w:spacing w:line="360" w:lineRule="auto"/>
        <w:ind w:firstLine="480" w:firstLineChars="200"/>
        <w:rPr>
          <w:sz w:val="24"/>
        </w:rPr>
      </w:pPr>
      <w:r>
        <w:rPr>
          <w:rFonts w:hint="eastAsia"/>
          <w:sz w:val="24"/>
        </w:rPr>
        <w:t>1、技术标投标文件是供应商在投标文件递交截止时间前提交的资格证件、技术等文件。</w:t>
      </w:r>
    </w:p>
    <w:p>
      <w:pPr>
        <w:spacing w:line="360" w:lineRule="auto"/>
        <w:ind w:firstLine="480" w:firstLineChars="200"/>
        <w:rPr>
          <w:sz w:val="24"/>
        </w:rPr>
      </w:pPr>
      <w:r>
        <w:rPr>
          <w:rFonts w:hint="eastAsia"/>
          <w:sz w:val="24"/>
        </w:rPr>
        <w:t>2、技术标投标文件须分正本、副本，且进行装订、密封。</w:t>
      </w:r>
    </w:p>
    <w:p>
      <w:pPr>
        <w:spacing w:line="360" w:lineRule="auto"/>
        <w:ind w:firstLine="480" w:firstLineChars="200"/>
        <w:rPr>
          <w:sz w:val="24"/>
        </w:rPr>
      </w:pPr>
      <w:r>
        <w:rPr>
          <w:sz w:val="24"/>
        </w:rPr>
        <w:t>3</w:t>
      </w:r>
      <w:r>
        <w:rPr>
          <w:rFonts w:hint="eastAsia"/>
          <w:sz w:val="24"/>
        </w:rPr>
        <w:t>、技术标投标文件中不得包含投标价格及任何与投标价格相关的内容或暗示。</w:t>
      </w:r>
    </w:p>
    <w:p>
      <w:pPr>
        <w:spacing w:line="360" w:lineRule="auto"/>
        <w:ind w:firstLine="480" w:firstLineChars="200"/>
        <w:rPr>
          <w:sz w:val="24"/>
        </w:rPr>
      </w:pPr>
      <w:r>
        <w:rPr>
          <w:rFonts w:hint="eastAsia"/>
          <w:sz w:val="24"/>
        </w:rPr>
        <w:t>4、</w:t>
      </w:r>
      <w:r>
        <w:rPr>
          <w:sz w:val="24"/>
        </w:rPr>
        <w:t>下述附件说明</w:t>
      </w:r>
      <w:r>
        <w:rPr>
          <w:rFonts w:hint="eastAsia"/>
          <w:sz w:val="24"/>
        </w:rPr>
        <w:t>：</w:t>
      </w:r>
      <w:r>
        <w:rPr>
          <w:sz w:val="24"/>
        </w:rPr>
        <w:t>除下述附件外</w:t>
      </w:r>
      <w:r>
        <w:rPr>
          <w:rFonts w:hint="eastAsia"/>
          <w:sz w:val="24"/>
        </w:rPr>
        <w:t>，</w:t>
      </w:r>
      <w:r>
        <w:rPr>
          <w:sz w:val="24"/>
        </w:rPr>
        <w:t>投标人还可在投标文件中附有招标文件评分因素及评标标准所要求的各项方案及证明材料以及投标人认为有利于中标的其他资料</w:t>
      </w:r>
      <w:r>
        <w:rPr>
          <w:rFonts w:hint="eastAsia"/>
          <w:sz w:val="24"/>
        </w:rPr>
        <w:t>，由投标人自行编制。</w:t>
      </w:r>
    </w:p>
    <w:p>
      <w:pPr>
        <w:spacing w:line="360" w:lineRule="auto"/>
        <w:ind w:firstLine="480" w:firstLineChars="200"/>
        <w:rPr>
          <w:sz w:val="24"/>
        </w:rPr>
        <w:sectPr>
          <w:headerReference r:id="rId11" w:type="default"/>
          <w:footerReference r:id="rId12" w:type="default"/>
          <w:pgSz w:w="11906" w:h="16838"/>
          <w:pgMar w:top="1440" w:right="1797" w:bottom="1440" w:left="1797" w:header="851" w:footer="992" w:gutter="0"/>
          <w:cols w:space="720" w:num="1"/>
          <w:docGrid w:type="lines" w:linePitch="312" w:charSpace="0"/>
        </w:sectPr>
      </w:pPr>
    </w:p>
    <w:p>
      <w:pPr>
        <w:spacing w:line="360" w:lineRule="auto"/>
        <w:ind w:firstLine="480" w:firstLineChars="200"/>
        <w:rPr>
          <w:sz w:val="24"/>
        </w:rPr>
      </w:pPr>
    </w:p>
    <w:p>
      <w:pPr>
        <w:tabs>
          <w:tab w:val="left" w:pos="360"/>
        </w:tabs>
        <w:ind w:firstLine="600"/>
        <w:jc w:val="right"/>
        <w:rPr>
          <w:rFonts w:ascii="宋体" w:hAnsi="宋体" w:cs="宋体"/>
          <w:b/>
          <w:sz w:val="44"/>
          <w:szCs w:val="44"/>
        </w:rPr>
      </w:pPr>
      <w:r>
        <w:rPr>
          <w:rFonts w:hint="eastAsia" w:ascii="宋体" w:hAnsi="宋体" w:cs="宋体"/>
          <w:b/>
          <w:sz w:val="44"/>
          <w:szCs w:val="44"/>
        </w:rPr>
        <w:t>正本（副本）</w:t>
      </w:r>
    </w:p>
    <w:p>
      <w:pPr>
        <w:tabs>
          <w:tab w:val="left" w:pos="360"/>
        </w:tabs>
        <w:ind w:firstLine="480"/>
        <w:jc w:val="center"/>
        <w:rPr>
          <w:rFonts w:ascii="宋体" w:hAnsi="宋体" w:cs="宋体"/>
        </w:rPr>
      </w:pPr>
    </w:p>
    <w:p>
      <w:pPr>
        <w:tabs>
          <w:tab w:val="left" w:pos="360"/>
        </w:tabs>
        <w:ind w:firstLine="480"/>
        <w:jc w:val="center"/>
        <w:rPr>
          <w:rFonts w:ascii="宋体" w:hAnsi="宋体" w:cs="宋体"/>
        </w:rPr>
      </w:pPr>
    </w:p>
    <w:p>
      <w:pPr>
        <w:tabs>
          <w:tab w:val="left" w:pos="360"/>
        </w:tabs>
        <w:ind w:firstLine="480"/>
        <w:jc w:val="center"/>
        <w:rPr>
          <w:rFonts w:ascii="宋体" w:hAnsi="宋体" w:cs="宋体"/>
        </w:rPr>
      </w:pPr>
    </w:p>
    <w:p>
      <w:pPr>
        <w:tabs>
          <w:tab w:val="left" w:pos="360"/>
        </w:tabs>
        <w:jc w:val="center"/>
        <w:rPr>
          <w:rFonts w:ascii="宋体" w:hAnsi="宋体" w:cs="宋体"/>
          <w:b/>
          <w:bCs/>
          <w:sz w:val="84"/>
          <w:szCs w:val="84"/>
        </w:rPr>
      </w:pPr>
      <w:r>
        <w:rPr>
          <w:rFonts w:hint="eastAsia" w:ascii="宋体" w:hAnsi="宋体" w:cs="宋体"/>
          <w:b/>
          <w:bCs/>
          <w:sz w:val="84"/>
          <w:szCs w:val="84"/>
        </w:rPr>
        <w:t>投标文件</w:t>
      </w:r>
    </w:p>
    <w:p>
      <w:pPr>
        <w:tabs>
          <w:tab w:val="left" w:pos="360"/>
        </w:tabs>
        <w:ind w:firstLine="482"/>
        <w:rPr>
          <w:rFonts w:ascii="宋体" w:hAnsi="宋体" w:cs="宋体"/>
          <w:b/>
          <w:bCs/>
        </w:rPr>
      </w:pPr>
    </w:p>
    <w:p>
      <w:pPr>
        <w:tabs>
          <w:tab w:val="left" w:pos="360"/>
        </w:tabs>
        <w:ind w:firstLine="482"/>
        <w:jc w:val="center"/>
        <w:rPr>
          <w:rFonts w:ascii="宋体" w:hAnsi="宋体" w:cs="宋体"/>
          <w:b/>
          <w:bCs/>
          <w:sz w:val="32"/>
          <w:szCs w:val="32"/>
        </w:rPr>
      </w:pPr>
      <w:r>
        <w:rPr>
          <w:rFonts w:hint="eastAsia" w:ascii="宋体" w:hAnsi="宋体" w:cs="宋体"/>
          <w:b/>
          <w:bCs/>
          <w:sz w:val="32"/>
          <w:szCs w:val="32"/>
        </w:rPr>
        <w:t>（技术标）</w:t>
      </w:r>
    </w:p>
    <w:p>
      <w:pPr>
        <w:tabs>
          <w:tab w:val="left" w:pos="360"/>
        </w:tabs>
        <w:spacing w:line="460" w:lineRule="exact"/>
        <w:ind w:firstLine="480"/>
        <w:rPr>
          <w:rFonts w:ascii="宋体" w:hAnsi="宋体" w:cs="宋体"/>
        </w:rPr>
      </w:pPr>
    </w:p>
    <w:p>
      <w:pPr>
        <w:tabs>
          <w:tab w:val="left" w:pos="360"/>
        </w:tabs>
        <w:spacing w:line="460" w:lineRule="exact"/>
        <w:ind w:firstLine="480"/>
        <w:rPr>
          <w:rFonts w:ascii="宋体" w:hAnsi="宋体" w:cs="宋体"/>
        </w:rPr>
      </w:pPr>
    </w:p>
    <w:p>
      <w:pPr>
        <w:tabs>
          <w:tab w:val="left" w:pos="360"/>
        </w:tabs>
        <w:spacing w:line="460" w:lineRule="exact"/>
        <w:ind w:firstLine="480"/>
        <w:rPr>
          <w:rFonts w:ascii="宋体" w:hAnsi="宋体" w:cs="宋体"/>
        </w:rPr>
      </w:pPr>
    </w:p>
    <w:p>
      <w:pPr>
        <w:tabs>
          <w:tab w:val="left" w:pos="360"/>
        </w:tabs>
        <w:spacing w:line="460" w:lineRule="exact"/>
        <w:ind w:firstLine="480"/>
        <w:rPr>
          <w:rFonts w:ascii="宋体" w:hAnsi="宋体" w:cs="宋体"/>
        </w:rPr>
      </w:pPr>
    </w:p>
    <w:p>
      <w:pPr>
        <w:tabs>
          <w:tab w:val="left" w:pos="360"/>
        </w:tabs>
        <w:spacing w:line="460" w:lineRule="exact"/>
        <w:ind w:firstLine="480"/>
        <w:rPr>
          <w:rFonts w:ascii="宋体" w:hAnsi="宋体" w:cs="宋体"/>
        </w:rPr>
      </w:pPr>
    </w:p>
    <w:p>
      <w:pPr>
        <w:tabs>
          <w:tab w:val="left" w:pos="360"/>
        </w:tabs>
        <w:spacing w:line="460" w:lineRule="exact"/>
        <w:ind w:firstLine="480"/>
        <w:rPr>
          <w:rFonts w:ascii="宋体" w:hAnsi="宋体" w:cs="宋体"/>
        </w:rPr>
      </w:pPr>
    </w:p>
    <w:p>
      <w:pPr>
        <w:tabs>
          <w:tab w:val="left" w:pos="360"/>
        </w:tabs>
        <w:spacing w:line="460" w:lineRule="exact"/>
        <w:ind w:firstLine="480"/>
        <w:rPr>
          <w:rFonts w:ascii="宋体" w:hAnsi="宋体" w:cs="宋体"/>
        </w:rPr>
      </w:pPr>
    </w:p>
    <w:p>
      <w:pPr>
        <w:tabs>
          <w:tab w:val="left" w:pos="360"/>
        </w:tabs>
        <w:ind w:firstLine="560"/>
        <w:rPr>
          <w:rFonts w:ascii="宋体" w:hAnsi="宋体" w:cs="宋体"/>
          <w:sz w:val="28"/>
          <w:szCs w:val="28"/>
        </w:rPr>
      </w:pPr>
      <w:r>
        <w:rPr>
          <w:rFonts w:hint="eastAsia" w:ascii="宋体" w:hAnsi="宋体" w:cs="宋体"/>
          <w:sz w:val="28"/>
          <w:szCs w:val="28"/>
        </w:rPr>
        <w:t>项目名称：</w:t>
      </w:r>
    </w:p>
    <w:p>
      <w:pPr>
        <w:tabs>
          <w:tab w:val="left" w:pos="360"/>
        </w:tabs>
        <w:ind w:firstLine="560"/>
        <w:rPr>
          <w:rFonts w:ascii="宋体" w:hAnsi="宋体" w:cs="宋体"/>
          <w:sz w:val="28"/>
          <w:szCs w:val="28"/>
        </w:rPr>
      </w:pPr>
      <w:r>
        <w:rPr>
          <w:rFonts w:hint="eastAsia" w:ascii="宋体" w:hAnsi="宋体" w:cs="宋体"/>
          <w:sz w:val="28"/>
          <w:szCs w:val="28"/>
        </w:rPr>
        <w:t>项目编号：</w:t>
      </w:r>
    </w:p>
    <w:p>
      <w:pPr>
        <w:tabs>
          <w:tab w:val="left" w:pos="360"/>
        </w:tabs>
        <w:ind w:firstLine="560"/>
        <w:rPr>
          <w:rFonts w:ascii="宋体" w:hAnsi="宋体" w:cs="宋体"/>
          <w:sz w:val="28"/>
          <w:szCs w:val="28"/>
        </w:rPr>
      </w:pPr>
      <w:r>
        <w:rPr>
          <w:rFonts w:hint="eastAsia" w:ascii="宋体" w:hAnsi="宋体" w:cs="宋体"/>
          <w:sz w:val="28"/>
          <w:szCs w:val="28"/>
        </w:rPr>
        <w:t>投标人名称：</w:t>
      </w:r>
    </w:p>
    <w:p>
      <w:pPr>
        <w:tabs>
          <w:tab w:val="left" w:pos="360"/>
        </w:tabs>
        <w:ind w:firstLine="560"/>
        <w:rPr>
          <w:rFonts w:ascii="宋体" w:hAnsi="宋体" w:cs="宋体"/>
          <w:sz w:val="28"/>
          <w:szCs w:val="28"/>
        </w:rPr>
      </w:pPr>
      <w:r>
        <w:rPr>
          <w:rFonts w:hint="eastAsia" w:ascii="宋体" w:hAnsi="宋体" w:cs="宋体"/>
          <w:sz w:val="28"/>
          <w:szCs w:val="28"/>
        </w:rPr>
        <w:t>投标人地址：</w:t>
      </w:r>
    </w:p>
    <w:p>
      <w:pPr>
        <w:tabs>
          <w:tab w:val="left" w:pos="360"/>
        </w:tabs>
        <w:ind w:firstLine="560"/>
        <w:rPr>
          <w:rFonts w:ascii="宋体" w:hAnsi="宋体" w:cs="宋体"/>
          <w:sz w:val="28"/>
          <w:szCs w:val="28"/>
        </w:rPr>
      </w:pPr>
      <w:r>
        <w:rPr>
          <w:rFonts w:hint="eastAsia" w:ascii="宋体" w:hAnsi="宋体" w:cs="宋体"/>
          <w:sz w:val="28"/>
          <w:szCs w:val="28"/>
        </w:rPr>
        <w:t>法定代表人：</w:t>
      </w:r>
    </w:p>
    <w:p>
      <w:pPr>
        <w:tabs>
          <w:tab w:val="left" w:pos="360"/>
        </w:tabs>
        <w:ind w:firstLine="560"/>
        <w:rPr>
          <w:rFonts w:ascii="宋体" w:hAnsi="宋体" w:cs="宋体"/>
          <w:sz w:val="28"/>
          <w:szCs w:val="28"/>
        </w:rPr>
      </w:pPr>
      <w:r>
        <w:rPr>
          <w:rFonts w:hint="eastAsia" w:ascii="宋体" w:hAnsi="宋体" w:cs="宋体"/>
          <w:sz w:val="28"/>
          <w:szCs w:val="28"/>
        </w:rPr>
        <w:t>投标人代表：</w:t>
      </w:r>
    </w:p>
    <w:p>
      <w:pPr>
        <w:tabs>
          <w:tab w:val="left" w:pos="360"/>
        </w:tabs>
        <w:ind w:firstLine="560"/>
        <w:rPr>
          <w:rFonts w:ascii="宋体" w:hAnsi="宋体" w:cs="宋体"/>
          <w:sz w:val="28"/>
          <w:szCs w:val="28"/>
        </w:rPr>
      </w:pPr>
      <w:r>
        <w:rPr>
          <w:rFonts w:hint="eastAsia" w:ascii="宋体" w:hAnsi="宋体" w:cs="宋体"/>
          <w:sz w:val="28"/>
          <w:szCs w:val="28"/>
        </w:rPr>
        <w:t>日期：</w:t>
      </w:r>
    </w:p>
    <w:p>
      <w:pPr>
        <w:tabs>
          <w:tab w:val="left" w:pos="360"/>
        </w:tabs>
        <w:ind w:firstLine="560"/>
        <w:rPr>
          <w:rFonts w:ascii="宋体" w:hAnsi="宋体" w:cs="宋体"/>
          <w:sz w:val="28"/>
          <w:szCs w:val="28"/>
        </w:rPr>
      </w:pPr>
    </w:p>
    <w:p>
      <w:pPr>
        <w:tabs>
          <w:tab w:val="left" w:pos="360"/>
        </w:tabs>
        <w:ind w:firstLine="560"/>
        <w:rPr>
          <w:rFonts w:ascii="宋体" w:hAnsi="宋体" w:cs="宋体"/>
          <w:sz w:val="28"/>
          <w:szCs w:val="28"/>
        </w:rPr>
      </w:pPr>
    </w:p>
    <w:p>
      <w:pPr>
        <w:tabs>
          <w:tab w:val="left" w:pos="360"/>
        </w:tabs>
        <w:ind w:firstLine="560"/>
        <w:rPr>
          <w:rFonts w:ascii="宋体" w:hAnsi="宋体" w:cs="宋体"/>
          <w:b/>
          <w:sz w:val="24"/>
          <w:szCs w:val="24"/>
        </w:rPr>
        <w:sectPr>
          <w:pgSz w:w="11906" w:h="16838"/>
          <w:pgMar w:top="1440" w:right="1797" w:bottom="1440" w:left="1797" w:header="851" w:footer="992" w:gutter="0"/>
          <w:cols w:space="720" w:num="1"/>
          <w:docGrid w:type="lines" w:linePitch="312" w:charSpace="0"/>
        </w:sectPr>
      </w:pPr>
    </w:p>
    <w:p>
      <w:pPr>
        <w:tabs>
          <w:tab w:val="left" w:pos="360"/>
        </w:tabs>
        <w:ind w:firstLine="560"/>
        <w:jc w:val="center"/>
        <w:rPr>
          <w:rFonts w:ascii="宋体" w:hAnsi="宋体" w:cs="宋体"/>
          <w:b/>
          <w:sz w:val="28"/>
          <w:szCs w:val="28"/>
        </w:rPr>
      </w:pPr>
    </w:p>
    <w:p>
      <w:pPr>
        <w:tabs>
          <w:tab w:val="left" w:pos="360"/>
        </w:tabs>
        <w:ind w:firstLine="560"/>
        <w:jc w:val="center"/>
        <w:rPr>
          <w:rFonts w:ascii="宋体" w:hAnsi="宋体" w:cs="宋体"/>
          <w:b/>
          <w:sz w:val="28"/>
          <w:szCs w:val="28"/>
        </w:rPr>
      </w:pPr>
      <w:r>
        <w:rPr>
          <w:rFonts w:hint="eastAsia" w:ascii="宋体" w:hAnsi="宋体" w:cs="宋体"/>
          <w:b/>
          <w:sz w:val="28"/>
          <w:szCs w:val="28"/>
        </w:rPr>
        <w:t>评分项索引表</w:t>
      </w:r>
    </w:p>
    <w:p>
      <w:pPr>
        <w:tabs>
          <w:tab w:val="left" w:pos="360"/>
        </w:tabs>
        <w:ind w:firstLine="560"/>
        <w:jc w:val="center"/>
        <w:rPr>
          <w:rFonts w:ascii="宋体" w:hAnsi="宋体" w:cs="宋体"/>
          <w:b/>
          <w:sz w:val="28"/>
          <w:szCs w:val="28"/>
        </w:rPr>
      </w:pPr>
    </w:p>
    <w:p>
      <w:pPr>
        <w:tabs>
          <w:tab w:val="left" w:pos="360"/>
        </w:tabs>
        <w:spacing w:line="360" w:lineRule="auto"/>
        <w:ind w:firstLine="560"/>
        <w:rPr>
          <w:rFonts w:ascii="宋体" w:hAnsi="宋体" w:cs="宋体"/>
          <w:b/>
          <w:sz w:val="24"/>
          <w:szCs w:val="24"/>
        </w:rPr>
      </w:pPr>
      <w:r>
        <w:rPr>
          <w:rFonts w:hint="eastAsia" w:ascii="宋体" w:hAnsi="宋体" w:cs="宋体"/>
          <w:b/>
          <w:sz w:val="24"/>
          <w:szCs w:val="24"/>
        </w:rPr>
        <w:t>供应商需按照招标文件评分表中每个评分项，逐项列明其在投标文件的页码（评分表涉及价格的评分项除外）。</w:t>
      </w:r>
    </w:p>
    <w:p>
      <w:pPr>
        <w:tabs>
          <w:tab w:val="left" w:pos="360"/>
        </w:tabs>
        <w:ind w:firstLine="560"/>
        <w:rPr>
          <w:rFonts w:ascii="宋体" w:hAnsi="宋体" w:cs="宋体"/>
          <w:b/>
          <w:sz w:val="24"/>
          <w:szCs w:val="24"/>
        </w:rPr>
      </w:pPr>
    </w:p>
    <w:p>
      <w:pPr>
        <w:tabs>
          <w:tab w:val="left" w:pos="360"/>
        </w:tabs>
        <w:ind w:firstLine="560"/>
        <w:rPr>
          <w:rFonts w:ascii="宋体" w:hAnsi="宋体" w:cs="宋体"/>
          <w:b/>
          <w:sz w:val="24"/>
          <w:szCs w:val="24"/>
        </w:rPr>
        <w:sectPr>
          <w:pgSz w:w="11906" w:h="16838"/>
          <w:pgMar w:top="1440" w:right="1797" w:bottom="1440" w:left="1797" w:header="851" w:footer="992" w:gutter="0"/>
          <w:cols w:space="720" w:num="1"/>
          <w:docGrid w:type="lines" w:linePitch="312" w:charSpace="0"/>
        </w:sectPr>
      </w:pPr>
    </w:p>
    <w:p>
      <w:pPr>
        <w:tabs>
          <w:tab w:val="left" w:pos="360"/>
        </w:tabs>
        <w:rPr>
          <w:rFonts w:ascii="宋体" w:hAnsi="宋体" w:cs="宋体"/>
          <w:b/>
          <w:sz w:val="24"/>
          <w:szCs w:val="24"/>
        </w:rPr>
      </w:pPr>
      <w:r>
        <w:rPr>
          <w:rFonts w:hint="eastAsia" w:ascii="宋体" w:hAnsi="宋体" w:cs="宋体"/>
          <w:b/>
          <w:sz w:val="24"/>
          <w:szCs w:val="24"/>
        </w:rPr>
        <w:t>附件1</w:t>
      </w:r>
      <w:r>
        <w:rPr>
          <w:rFonts w:hint="eastAsia" w:ascii="宋体" w:hAnsi="宋体" w:cs="宋体"/>
          <w:sz w:val="24"/>
          <w:szCs w:val="24"/>
        </w:rPr>
        <w:t xml:space="preserve"> </w:t>
      </w:r>
    </w:p>
    <w:p>
      <w:pPr>
        <w:spacing w:line="460" w:lineRule="exact"/>
        <w:jc w:val="center"/>
        <w:rPr>
          <w:rFonts w:ascii="宋体" w:hAnsi="宋体" w:cs="宋体"/>
          <w:b/>
          <w:sz w:val="28"/>
          <w:szCs w:val="28"/>
        </w:rPr>
      </w:pPr>
      <w:r>
        <w:rPr>
          <w:rFonts w:hint="eastAsia" w:ascii="宋体" w:hAnsi="宋体" w:cs="宋体"/>
          <w:b/>
          <w:sz w:val="28"/>
          <w:szCs w:val="28"/>
        </w:rPr>
        <w:t>投标书</w:t>
      </w:r>
    </w:p>
    <w:p>
      <w:pPr>
        <w:spacing w:line="460" w:lineRule="exact"/>
        <w:ind w:firstLine="480"/>
        <w:jc w:val="center"/>
        <w:rPr>
          <w:rFonts w:ascii="宋体" w:hAnsi="宋体" w:cs="宋体"/>
          <w:b/>
          <w:sz w:val="24"/>
          <w:szCs w:val="24"/>
        </w:rPr>
      </w:pPr>
      <w:r>
        <w:rPr>
          <w:rFonts w:hint="eastAsia" w:ascii="宋体" w:hAnsi="宋体" w:cs="宋体"/>
          <w:b/>
          <w:sz w:val="24"/>
          <w:szCs w:val="24"/>
        </w:rPr>
        <w:t xml:space="preserve"> </w:t>
      </w:r>
    </w:p>
    <w:p>
      <w:pPr>
        <w:spacing w:line="460" w:lineRule="exact"/>
        <w:ind w:firstLine="480"/>
        <w:rPr>
          <w:rFonts w:ascii="宋体" w:hAnsi="宋体" w:cs="宋体"/>
          <w:sz w:val="24"/>
          <w:szCs w:val="24"/>
        </w:rPr>
      </w:pPr>
      <w:r>
        <w:rPr>
          <w:rFonts w:hint="eastAsia" w:ascii="宋体" w:hAnsi="宋体" w:cs="宋体"/>
          <w:sz w:val="24"/>
          <w:szCs w:val="24"/>
        </w:rPr>
        <w:t>致：交通运输部北海航海保障中心天津航标处</w:t>
      </w:r>
    </w:p>
    <w:p>
      <w:pPr>
        <w:spacing w:line="460" w:lineRule="exact"/>
        <w:ind w:firstLine="787" w:firstLineChars="328"/>
        <w:rPr>
          <w:rFonts w:ascii="宋体" w:hAnsi="宋体" w:cs="宋体"/>
          <w:sz w:val="24"/>
          <w:szCs w:val="24"/>
        </w:rPr>
      </w:pPr>
      <w:r>
        <w:rPr>
          <w:rFonts w:hint="eastAsia" w:ascii="宋体" w:hAnsi="宋体" w:cs="宋体"/>
          <w:sz w:val="24"/>
          <w:szCs w:val="24"/>
        </w:rPr>
        <w:t>天津泰达工程管理咨询有限公司</w:t>
      </w:r>
    </w:p>
    <w:p>
      <w:pPr>
        <w:tabs>
          <w:tab w:val="left" w:pos="540"/>
          <w:tab w:val="left" w:pos="720"/>
        </w:tabs>
        <w:spacing w:line="460" w:lineRule="exact"/>
        <w:ind w:firstLine="480"/>
        <w:rPr>
          <w:rFonts w:ascii="宋体" w:hAnsi="宋体" w:cs="宋体"/>
          <w:sz w:val="24"/>
          <w:szCs w:val="24"/>
        </w:rPr>
      </w:pPr>
      <w:r>
        <w:rPr>
          <w:rFonts w:hint="eastAsia" w:ascii="宋体" w:hAnsi="宋体" w:cs="宋体"/>
          <w:sz w:val="24"/>
          <w:szCs w:val="24"/>
        </w:rPr>
        <w:t>根据贵方为天津市</w:t>
      </w:r>
      <w:r>
        <w:rPr>
          <w:rFonts w:hint="eastAsia" w:ascii="宋体" w:hAnsi="宋体" w:cs="宋体"/>
          <w:sz w:val="24"/>
          <w:szCs w:val="24"/>
          <w:u w:val="single"/>
        </w:rPr>
        <w:t xml:space="preserve">               </w:t>
      </w:r>
      <w:r>
        <w:rPr>
          <w:rFonts w:hint="eastAsia" w:ascii="宋体" w:hAnsi="宋体" w:cs="宋体"/>
          <w:sz w:val="24"/>
          <w:szCs w:val="24"/>
        </w:rPr>
        <w:t>项目的投标邀请（项目编号：</w:t>
      </w:r>
      <w:r>
        <w:rPr>
          <w:rFonts w:hint="eastAsia" w:ascii="宋体" w:hAnsi="宋体" w:cs="宋体"/>
          <w:sz w:val="24"/>
          <w:szCs w:val="24"/>
          <w:u w:val="single"/>
        </w:rPr>
        <w:t xml:space="preserve">         </w:t>
      </w:r>
      <w:r>
        <w:rPr>
          <w:rFonts w:hint="eastAsia" w:ascii="宋体" w:hAnsi="宋体" w:cs="宋体"/>
          <w:sz w:val="24"/>
          <w:szCs w:val="24"/>
        </w:rPr>
        <w:t>），投标人代表</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（姓名</w:t>
      </w:r>
      <w:r>
        <w:rPr>
          <w:rFonts w:hint="eastAsia" w:ascii="宋体" w:hAnsi="宋体" w:cs="宋体"/>
          <w:sz w:val="24"/>
          <w:szCs w:val="24"/>
          <w:lang w:val="en-GB"/>
        </w:rPr>
        <w:t>/</w:t>
      </w:r>
      <w:r>
        <w:rPr>
          <w:rFonts w:hint="eastAsia" w:ascii="宋体" w:hAnsi="宋体" w:cs="宋体"/>
          <w:sz w:val="24"/>
          <w:szCs w:val="24"/>
        </w:rPr>
        <w:t>职务）经正式授权并代表投标人</w:t>
      </w:r>
      <w:r>
        <w:rPr>
          <w:rFonts w:hint="eastAsia" w:ascii="宋体" w:hAnsi="宋体" w:cs="宋体"/>
          <w:sz w:val="24"/>
          <w:szCs w:val="24"/>
          <w:u w:val="single"/>
        </w:rPr>
        <w:t xml:space="preserve">          </w:t>
      </w:r>
      <w:r>
        <w:rPr>
          <w:rFonts w:hint="eastAsia" w:ascii="宋体" w:hAnsi="宋体" w:cs="宋体"/>
          <w:sz w:val="24"/>
          <w:szCs w:val="24"/>
        </w:rPr>
        <w:t>（投标人名称、地址）提交下述文件正本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份、投标文件电子版</w:t>
      </w:r>
      <w:r>
        <w:rPr>
          <w:rFonts w:hint="eastAsia" w:ascii="宋体" w:hAnsi="宋体" w:cs="宋体"/>
          <w:sz w:val="24"/>
          <w:szCs w:val="24"/>
          <w:u w:val="single"/>
        </w:rPr>
        <w:t xml:space="preserve">   </w:t>
      </w:r>
      <w:r>
        <w:rPr>
          <w:rFonts w:hint="eastAsia" w:ascii="宋体" w:hAnsi="宋体" w:cs="宋体"/>
          <w:sz w:val="24"/>
          <w:szCs w:val="24"/>
        </w:rPr>
        <w:t>份。</w:t>
      </w:r>
    </w:p>
    <w:p>
      <w:pPr>
        <w:tabs>
          <w:tab w:val="left" w:pos="540"/>
          <w:tab w:val="left" w:pos="720"/>
        </w:tabs>
        <w:spacing w:line="460" w:lineRule="exact"/>
        <w:ind w:firstLine="480"/>
        <w:rPr>
          <w:rFonts w:ascii="宋体" w:hAnsi="宋体" w:cs="宋体"/>
          <w:sz w:val="24"/>
          <w:szCs w:val="24"/>
        </w:rPr>
      </w:pPr>
      <w:r>
        <w:rPr>
          <w:rFonts w:hint="eastAsia" w:ascii="宋体" w:hAnsi="宋体" w:cs="宋体"/>
          <w:sz w:val="24"/>
          <w:szCs w:val="24"/>
        </w:rPr>
        <w:t>1. 资格部分</w:t>
      </w:r>
    </w:p>
    <w:p>
      <w:pPr>
        <w:tabs>
          <w:tab w:val="left" w:pos="540"/>
          <w:tab w:val="left" w:pos="720"/>
        </w:tabs>
        <w:spacing w:line="460" w:lineRule="exact"/>
        <w:ind w:firstLine="852" w:firstLineChars="355"/>
        <w:rPr>
          <w:rFonts w:ascii="宋体" w:hAnsi="宋体" w:cs="宋体"/>
          <w:sz w:val="24"/>
          <w:szCs w:val="24"/>
        </w:rPr>
      </w:pPr>
      <w:r>
        <w:rPr>
          <w:rFonts w:hint="eastAsia" w:ascii="宋体" w:hAnsi="宋体" w:cs="宋体"/>
          <w:sz w:val="24"/>
          <w:szCs w:val="24"/>
        </w:rPr>
        <w:t>1.1资格审查所涉及的证明文件</w:t>
      </w:r>
    </w:p>
    <w:p>
      <w:pPr>
        <w:tabs>
          <w:tab w:val="left" w:pos="540"/>
          <w:tab w:val="left" w:pos="720"/>
        </w:tabs>
        <w:spacing w:line="460" w:lineRule="exact"/>
        <w:ind w:firstLine="852" w:firstLineChars="355"/>
        <w:rPr>
          <w:rFonts w:ascii="宋体" w:hAnsi="宋体" w:cs="宋体"/>
          <w:sz w:val="24"/>
          <w:szCs w:val="24"/>
        </w:rPr>
      </w:pPr>
      <w:r>
        <w:rPr>
          <w:rFonts w:hint="eastAsia" w:ascii="宋体" w:hAnsi="宋体" w:cs="宋体"/>
          <w:sz w:val="24"/>
          <w:szCs w:val="24"/>
        </w:rPr>
        <w:t>1.2 法人授权委托书</w:t>
      </w:r>
    </w:p>
    <w:p>
      <w:pPr>
        <w:tabs>
          <w:tab w:val="left" w:pos="540"/>
          <w:tab w:val="left" w:pos="720"/>
        </w:tabs>
        <w:spacing w:line="460" w:lineRule="exact"/>
        <w:ind w:firstLine="852" w:firstLineChars="355"/>
        <w:rPr>
          <w:rFonts w:ascii="宋体" w:hAnsi="宋体" w:cs="宋体"/>
          <w:sz w:val="24"/>
          <w:szCs w:val="24"/>
        </w:rPr>
      </w:pPr>
      <w:r>
        <w:rPr>
          <w:rFonts w:hint="eastAsia" w:ascii="宋体" w:hAnsi="宋体" w:cs="宋体"/>
          <w:sz w:val="24"/>
          <w:szCs w:val="24"/>
        </w:rPr>
        <w:t>…………</w:t>
      </w:r>
    </w:p>
    <w:p>
      <w:pPr>
        <w:tabs>
          <w:tab w:val="left" w:pos="540"/>
          <w:tab w:val="left" w:pos="720"/>
        </w:tabs>
        <w:spacing w:line="460" w:lineRule="exact"/>
        <w:ind w:firstLine="480"/>
        <w:rPr>
          <w:rFonts w:ascii="宋体" w:hAnsi="宋体" w:cs="宋体"/>
          <w:sz w:val="24"/>
          <w:szCs w:val="24"/>
        </w:rPr>
      </w:pPr>
      <w:r>
        <w:rPr>
          <w:rFonts w:hint="eastAsia" w:ascii="宋体" w:hAnsi="宋体" w:cs="宋体"/>
          <w:sz w:val="24"/>
          <w:szCs w:val="24"/>
        </w:rPr>
        <w:t>2. 技术部分</w:t>
      </w:r>
    </w:p>
    <w:p>
      <w:pPr>
        <w:tabs>
          <w:tab w:val="left" w:pos="540"/>
          <w:tab w:val="left" w:pos="720"/>
        </w:tabs>
        <w:spacing w:line="460" w:lineRule="exact"/>
        <w:ind w:firstLine="852" w:firstLineChars="355"/>
        <w:rPr>
          <w:rFonts w:ascii="宋体" w:hAnsi="宋体" w:cs="宋体"/>
          <w:sz w:val="24"/>
          <w:szCs w:val="24"/>
        </w:rPr>
      </w:pPr>
      <w:r>
        <w:rPr>
          <w:rFonts w:hint="eastAsia" w:ascii="宋体" w:hAnsi="宋体" w:cs="宋体"/>
          <w:sz w:val="24"/>
          <w:szCs w:val="24"/>
        </w:rPr>
        <w:t>2.1商务要求点对点应答表</w:t>
      </w:r>
    </w:p>
    <w:p>
      <w:pPr>
        <w:tabs>
          <w:tab w:val="left" w:pos="540"/>
          <w:tab w:val="left" w:pos="720"/>
        </w:tabs>
        <w:spacing w:line="460" w:lineRule="exact"/>
        <w:ind w:firstLine="852" w:firstLineChars="355"/>
        <w:rPr>
          <w:rFonts w:ascii="宋体" w:hAnsi="宋体" w:cs="宋体"/>
          <w:sz w:val="24"/>
          <w:szCs w:val="24"/>
        </w:rPr>
      </w:pPr>
      <w:r>
        <w:rPr>
          <w:rFonts w:hint="eastAsia" w:ascii="宋体" w:hAnsi="宋体" w:cs="宋体"/>
          <w:sz w:val="24"/>
          <w:szCs w:val="24"/>
        </w:rPr>
        <w:t>2.2技术要求点对点应答表</w:t>
      </w:r>
    </w:p>
    <w:p>
      <w:pPr>
        <w:tabs>
          <w:tab w:val="left" w:pos="540"/>
          <w:tab w:val="left" w:pos="720"/>
        </w:tabs>
        <w:spacing w:line="460" w:lineRule="exact"/>
        <w:ind w:firstLine="852" w:firstLineChars="355"/>
        <w:rPr>
          <w:rFonts w:ascii="宋体" w:hAnsi="宋体" w:cs="宋体"/>
          <w:sz w:val="24"/>
          <w:szCs w:val="24"/>
        </w:rPr>
      </w:pPr>
      <w:r>
        <w:rPr>
          <w:rFonts w:ascii="宋体" w:hAnsi="宋体" w:cs="宋体"/>
          <w:sz w:val="24"/>
          <w:szCs w:val="24"/>
        </w:rPr>
        <w:t>2.3项目实施方案</w:t>
      </w:r>
    </w:p>
    <w:p>
      <w:pPr>
        <w:tabs>
          <w:tab w:val="left" w:pos="540"/>
          <w:tab w:val="left" w:pos="720"/>
        </w:tabs>
        <w:spacing w:line="460" w:lineRule="exact"/>
        <w:ind w:firstLine="852" w:firstLineChars="355"/>
        <w:rPr>
          <w:rFonts w:ascii="宋体" w:hAnsi="宋体" w:cs="宋体"/>
          <w:sz w:val="24"/>
          <w:szCs w:val="24"/>
        </w:rPr>
      </w:pPr>
      <w:r>
        <w:rPr>
          <w:rFonts w:hint="eastAsia" w:ascii="宋体" w:hAnsi="宋体" w:cs="宋体"/>
          <w:sz w:val="24"/>
          <w:szCs w:val="24"/>
        </w:rPr>
        <w:t>…………</w:t>
      </w:r>
    </w:p>
    <w:p>
      <w:pPr>
        <w:tabs>
          <w:tab w:val="left" w:pos="540"/>
          <w:tab w:val="left" w:pos="720"/>
        </w:tabs>
        <w:spacing w:line="460" w:lineRule="exact"/>
        <w:ind w:firstLine="480"/>
        <w:rPr>
          <w:rFonts w:ascii="宋体" w:hAnsi="宋体" w:cs="宋体"/>
          <w:sz w:val="24"/>
          <w:szCs w:val="24"/>
        </w:rPr>
      </w:pPr>
      <w:r>
        <w:rPr>
          <w:rFonts w:hint="eastAsia" w:ascii="宋体" w:hAnsi="宋体" w:cs="宋体"/>
          <w:sz w:val="24"/>
          <w:szCs w:val="24"/>
        </w:rPr>
        <w:t>3. 商务部分（不含报价）</w:t>
      </w:r>
    </w:p>
    <w:p>
      <w:pPr>
        <w:tabs>
          <w:tab w:val="left" w:pos="540"/>
          <w:tab w:val="left" w:pos="720"/>
        </w:tabs>
        <w:spacing w:line="460" w:lineRule="exact"/>
        <w:ind w:firstLine="852" w:firstLineChars="355"/>
        <w:rPr>
          <w:rFonts w:ascii="宋体" w:hAnsi="宋体" w:cs="宋体"/>
          <w:sz w:val="24"/>
          <w:szCs w:val="24"/>
        </w:rPr>
      </w:pPr>
      <w:r>
        <w:rPr>
          <w:rFonts w:hint="eastAsia" w:ascii="宋体" w:hAnsi="宋体" w:cs="宋体"/>
          <w:sz w:val="24"/>
          <w:szCs w:val="24"/>
        </w:rPr>
        <w:t>3.1 主要相关项目业绩一览表</w:t>
      </w:r>
    </w:p>
    <w:p>
      <w:pPr>
        <w:tabs>
          <w:tab w:val="left" w:pos="540"/>
          <w:tab w:val="left" w:pos="720"/>
        </w:tabs>
        <w:spacing w:line="460" w:lineRule="exact"/>
        <w:ind w:firstLine="852" w:firstLineChars="355"/>
        <w:rPr>
          <w:rFonts w:ascii="宋体" w:hAnsi="宋体" w:cs="宋体"/>
          <w:sz w:val="24"/>
          <w:szCs w:val="24"/>
        </w:rPr>
      </w:pPr>
      <w:r>
        <w:rPr>
          <w:rFonts w:hint="eastAsia" w:ascii="宋体" w:hAnsi="宋体" w:cs="宋体"/>
          <w:sz w:val="24"/>
          <w:szCs w:val="24"/>
        </w:rPr>
        <w:t>3.2 服务承诺及培训内容</w:t>
      </w:r>
    </w:p>
    <w:p>
      <w:pPr>
        <w:tabs>
          <w:tab w:val="left" w:pos="540"/>
          <w:tab w:val="left" w:pos="720"/>
        </w:tabs>
        <w:spacing w:line="460" w:lineRule="exact"/>
        <w:ind w:firstLine="852" w:firstLineChars="355"/>
        <w:rPr>
          <w:rFonts w:ascii="宋体" w:hAnsi="宋体" w:cs="宋体"/>
          <w:sz w:val="24"/>
          <w:szCs w:val="24"/>
        </w:rPr>
      </w:pPr>
      <w:r>
        <w:rPr>
          <w:rFonts w:hint="eastAsia" w:ascii="宋体" w:hAnsi="宋体" w:cs="宋体"/>
          <w:sz w:val="24"/>
          <w:szCs w:val="24"/>
        </w:rPr>
        <w:t>3.3中小企业声明函</w:t>
      </w:r>
    </w:p>
    <w:p>
      <w:pPr>
        <w:tabs>
          <w:tab w:val="left" w:pos="540"/>
          <w:tab w:val="left" w:pos="720"/>
        </w:tabs>
        <w:spacing w:line="460" w:lineRule="exact"/>
        <w:ind w:firstLine="852" w:firstLineChars="355"/>
        <w:rPr>
          <w:rFonts w:ascii="宋体" w:hAnsi="宋体" w:cs="宋体"/>
          <w:sz w:val="24"/>
          <w:szCs w:val="24"/>
        </w:rPr>
      </w:pPr>
      <w:r>
        <w:rPr>
          <w:rFonts w:hint="eastAsia" w:ascii="宋体" w:hAnsi="宋体" w:cs="宋体"/>
          <w:sz w:val="24"/>
          <w:szCs w:val="24"/>
        </w:rPr>
        <w:t>3.4残疾人福利性单位声明函</w:t>
      </w:r>
    </w:p>
    <w:p>
      <w:pPr>
        <w:tabs>
          <w:tab w:val="left" w:pos="540"/>
          <w:tab w:val="left" w:pos="720"/>
        </w:tabs>
        <w:spacing w:line="460" w:lineRule="exact"/>
        <w:ind w:firstLine="852" w:firstLineChars="355"/>
        <w:rPr>
          <w:rFonts w:ascii="宋体" w:hAnsi="宋体" w:cs="宋体"/>
          <w:sz w:val="24"/>
          <w:szCs w:val="24"/>
        </w:rPr>
      </w:pPr>
      <w:r>
        <w:rPr>
          <w:rFonts w:hint="eastAsia" w:ascii="宋体" w:hAnsi="宋体" w:cs="宋体"/>
          <w:sz w:val="24"/>
          <w:szCs w:val="24"/>
        </w:rPr>
        <w:t>…………</w:t>
      </w:r>
    </w:p>
    <w:p>
      <w:pPr>
        <w:tabs>
          <w:tab w:val="left" w:pos="540"/>
          <w:tab w:val="left" w:pos="720"/>
        </w:tabs>
        <w:spacing w:line="460" w:lineRule="exact"/>
        <w:ind w:firstLine="480"/>
        <w:rPr>
          <w:rFonts w:ascii="宋体" w:hAnsi="宋体" w:cs="宋体"/>
          <w:sz w:val="24"/>
          <w:szCs w:val="24"/>
        </w:rPr>
      </w:pPr>
      <w:r>
        <w:rPr>
          <w:rFonts w:hint="eastAsia" w:ascii="宋体" w:hAnsi="宋体" w:cs="宋体"/>
          <w:sz w:val="24"/>
          <w:szCs w:val="24"/>
        </w:rPr>
        <w:t>4. 其他部分</w:t>
      </w:r>
    </w:p>
    <w:p>
      <w:pPr>
        <w:tabs>
          <w:tab w:val="left" w:pos="540"/>
          <w:tab w:val="left" w:pos="720"/>
        </w:tabs>
        <w:spacing w:line="460" w:lineRule="exact"/>
        <w:ind w:firstLine="852" w:firstLineChars="355"/>
        <w:rPr>
          <w:rFonts w:ascii="宋体" w:hAnsi="宋体" w:cs="宋体"/>
          <w:sz w:val="24"/>
          <w:szCs w:val="24"/>
        </w:rPr>
      </w:pPr>
      <w:r>
        <w:rPr>
          <w:rFonts w:hint="eastAsia" w:ascii="宋体" w:hAnsi="宋体" w:cs="宋体"/>
          <w:sz w:val="24"/>
          <w:szCs w:val="24"/>
        </w:rPr>
        <w:t>4.1真诚投标承诺书</w:t>
      </w:r>
    </w:p>
    <w:p>
      <w:pPr>
        <w:tabs>
          <w:tab w:val="left" w:pos="540"/>
          <w:tab w:val="left" w:pos="720"/>
        </w:tabs>
        <w:spacing w:line="460" w:lineRule="exact"/>
        <w:ind w:firstLine="852" w:firstLineChars="355"/>
        <w:rPr>
          <w:rFonts w:ascii="宋体" w:hAnsi="宋体" w:cs="宋体"/>
          <w:sz w:val="24"/>
          <w:szCs w:val="24"/>
        </w:rPr>
      </w:pPr>
      <w:r>
        <w:rPr>
          <w:rFonts w:hint="eastAsia" w:ascii="宋体" w:hAnsi="宋体" w:cs="宋体"/>
          <w:sz w:val="24"/>
          <w:szCs w:val="24"/>
        </w:rPr>
        <w:t>4.2承诺书</w:t>
      </w:r>
    </w:p>
    <w:p>
      <w:pPr>
        <w:tabs>
          <w:tab w:val="left" w:pos="540"/>
          <w:tab w:val="left" w:pos="720"/>
        </w:tabs>
        <w:spacing w:line="460" w:lineRule="exact"/>
        <w:ind w:firstLine="852" w:firstLineChars="355"/>
        <w:rPr>
          <w:rFonts w:ascii="宋体" w:hAnsi="宋体" w:cs="宋体"/>
          <w:sz w:val="24"/>
          <w:szCs w:val="24"/>
        </w:rPr>
      </w:pPr>
      <w:r>
        <w:rPr>
          <w:rFonts w:hint="eastAsia" w:ascii="宋体" w:hAnsi="宋体" w:cs="宋体"/>
          <w:sz w:val="24"/>
          <w:szCs w:val="24"/>
        </w:rPr>
        <w:t>…………</w:t>
      </w:r>
    </w:p>
    <w:p>
      <w:pPr>
        <w:spacing w:line="460" w:lineRule="exact"/>
        <w:ind w:firstLine="480"/>
        <w:rPr>
          <w:rFonts w:ascii="宋体" w:hAnsi="宋体" w:cs="宋体"/>
          <w:sz w:val="24"/>
          <w:szCs w:val="24"/>
        </w:rPr>
      </w:pPr>
      <w:r>
        <w:rPr>
          <w:rFonts w:hint="eastAsia" w:ascii="宋体" w:hAnsi="宋体" w:cs="宋体"/>
          <w:sz w:val="24"/>
          <w:szCs w:val="24"/>
        </w:rPr>
        <w:t>据此函，签字代表宣布同意如下：</w:t>
      </w:r>
    </w:p>
    <w:p>
      <w:pPr>
        <w:spacing w:line="460" w:lineRule="exact"/>
        <w:ind w:firstLine="480"/>
        <w:rPr>
          <w:rFonts w:ascii="宋体" w:hAnsi="宋体" w:cs="宋体"/>
          <w:sz w:val="24"/>
          <w:szCs w:val="24"/>
        </w:rPr>
      </w:pPr>
      <w:r>
        <w:rPr>
          <w:rFonts w:hint="eastAsia" w:ascii="宋体" w:hAnsi="宋体" w:cs="宋体"/>
          <w:sz w:val="24"/>
          <w:szCs w:val="24"/>
        </w:rPr>
        <w:t>1. 投标人将按招标文件的规定履行合同责任和义务。</w:t>
      </w:r>
    </w:p>
    <w:p>
      <w:pPr>
        <w:spacing w:line="460" w:lineRule="exact"/>
        <w:ind w:firstLine="480"/>
        <w:rPr>
          <w:rFonts w:ascii="宋体" w:hAnsi="宋体" w:cs="宋体"/>
          <w:sz w:val="24"/>
          <w:szCs w:val="24"/>
        </w:rPr>
      </w:pPr>
      <w:r>
        <w:rPr>
          <w:rFonts w:hint="eastAsia" w:ascii="宋体" w:hAnsi="宋体" w:cs="宋体"/>
          <w:sz w:val="24"/>
          <w:szCs w:val="24"/>
        </w:rPr>
        <w:t>2. 投标人已详细审查全部招标文件，包括更正公告以及全部参考资料和所有附件。我们完全理解并认为本招标文件公平、公正，不存在倾向性内容。</w:t>
      </w:r>
    </w:p>
    <w:p>
      <w:pPr>
        <w:spacing w:line="460" w:lineRule="exact"/>
        <w:ind w:firstLine="480"/>
        <w:rPr>
          <w:rFonts w:ascii="宋体" w:hAnsi="宋体" w:cs="宋体"/>
          <w:sz w:val="24"/>
          <w:szCs w:val="24"/>
        </w:rPr>
      </w:pPr>
      <w:r>
        <w:rPr>
          <w:rFonts w:hint="eastAsia" w:ascii="宋体" w:hAnsi="宋体" w:cs="宋体"/>
          <w:sz w:val="24"/>
          <w:szCs w:val="24"/>
        </w:rPr>
        <w:t>3. 本项目自开标之日起有效期为50个工作日。</w:t>
      </w:r>
    </w:p>
    <w:p>
      <w:pPr>
        <w:spacing w:line="460" w:lineRule="exact"/>
        <w:ind w:firstLine="480"/>
        <w:rPr>
          <w:rFonts w:ascii="宋体" w:hAnsi="宋体" w:cs="宋体"/>
          <w:sz w:val="24"/>
          <w:szCs w:val="24"/>
        </w:rPr>
      </w:pPr>
      <w:r>
        <w:rPr>
          <w:rFonts w:hint="eastAsia" w:ascii="宋体" w:hAnsi="宋体" w:cs="宋体"/>
          <w:sz w:val="24"/>
          <w:szCs w:val="24"/>
        </w:rPr>
        <w:t>4. 投标人在投标有效期内撤销投标文件，采购人或采购代理机构可以不退还投标保证金。</w:t>
      </w:r>
    </w:p>
    <w:p>
      <w:pPr>
        <w:spacing w:line="460" w:lineRule="exact"/>
        <w:ind w:firstLine="480"/>
        <w:rPr>
          <w:rFonts w:ascii="宋体" w:hAnsi="宋体" w:cs="宋体"/>
          <w:sz w:val="24"/>
          <w:szCs w:val="24"/>
        </w:rPr>
      </w:pPr>
      <w:r>
        <w:rPr>
          <w:rFonts w:hint="eastAsia" w:ascii="宋体" w:hAnsi="宋体" w:cs="宋体"/>
          <w:sz w:val="24"/>
          <w:szCs w:val="24"/>
        </w:rPr>
        <w:t>5. 投标人同意提供按照采购代理机构可能要求的与招标有关的一切数据或资料，完全理解采购代理机构不一定要接受最低价的投标或参与的任何投标。</w:t>
      </w:r>
    </w:p>
    <w:p>
      <w:pPr>
        <w:spacing w:line="460" w:lineRule="exact"/>
        <w:ind w:firstLine="480"/>
        <w:rPr>
          <w:rFonts w:ascii="宋体" w:hAnsi="宋体" w:cs="宋体"/>
          <w:sz w:val="24"/>
          <w:szCs w:val="24"/>
        </w:rPr>
      </w:pPr>
      <w:r>
        <w:rPr>
          <w:rFonts w:hint="eastAsia" w:ascii="宋体" w:hAnsi="宋体" w:cs="宋体"/>
          <w:sz w:val="24"/>
          <w:szCs w:val="24"/>
        </w:rPr>
        <w:t>6. 与本次招投标有关的一切正式往来通讯请寄：</w:t>
      </w:r>
    </w:p>
    <w:p>
      <w:pPr>
        <w:spacing w:line="460" w:lineRule="exact"/>
        <w:ind w:firstLine="480"/>
        <w:rPr>
          <w:rFonts w:ascii="宋体" w:hAnsi="宋体" w:cs="宋体"/>
          <w:sz w:val="24"/>
          <w:szCs w:val="24"/>
        </w:rPr>
      </w:pPr>
      <w:r>
        <w:rPr>
          <w:rFonts w:hint="eastAsia" w:ascii="宋体" w:hAnsi="宋体" w:cs="宋体"/>
          <w:sz w:val="24"/>
          <w:szCs w:val="24"/>
        </w:rPr>
        <w:t xml:space="preserve">地    址：                        </w:t>
      </w:r>
    </w:p>
    <w:p>
      <w:pPr>
        <w:spacing w:line="460" w:lineRule="exact"/>
        <w:ind w:firstLine="480"/>
        <w:rPr>
          <w:rFonts w:ascii="宋体" w:hAnsi="宋体" w:cs="宋体"/>
          <w:sz w:val="24"/>
          <w:szCs w:val="24"/>
        </w:rPr>
      </w:pPr>
      <w:r>
        <w:rPr>
          <w:rFonts w:hint="eastAsia" w:ascii="宋体" w:hAnsi="宋体" w:cs="宋体"/>
          <w:sz w:val="24"/>
          <w:szCs w:val="24"/>
        </w:rPr>
        <w:t xml:space="preserve">邮政编码：                        </w:t>
      </w:r>
    </w:p>
    <w:p>
      <w:pPr>
        <w:spacing w:line="460" w:lineRule="exact"/>
        <w:ind w:firstLine="480"/>
        <w:rPr>
          <w:rFonts w:ascii="宋体" w:hAnsi="宋体" w:eastAsia="宋体" w:cs="宋体"/>
          <w:sz w:val="24"/>
          <w:szCs w:val="24"/>
        </w:rPr>
      </w:pPr>
      <w:r>
        <w:rPr>
          <w:rFonts w:hint="eastAsia" w:ascii="宋体" w:hAnsi="宋体" w:eastAsia="宋体" w:cs="宋体"/>
          <w:sz w:val="24"/>
          <w:szCs w:val="24"/>
        </w:rPr>
        <w:t xml:space="preserve">办公电话：                         </w:t>
      </w:r>
    </w:p>
    <w:p>
      <w:pPr>
        <w:spacing w:line="460" w:lineRule="exact"/>
        <w:ind w:firstLine="480"/>
        <w:rPr>
          <w:rFonts w:ascii="宋体" w:hAnsi="宋体" w:eastAsia="宋体" w:cs="宋体"/>
          <w:sz w:val="24"/>
          <w:szCs w:val="24"/>
        </w:rPr>
      </w:pPr>
      <w:r>
        <w:rPr>
          <w:rFonts w:hint="eastAsia" w:ascii="宋体" w:hAnsi="宋体" w:eastAsia="宋体" w:cs="宋体"/>
          <w:sz w:val="24"/>
          <w:szCs w:val="24"/>
        </w:rPr>
        <w:t xml:space="preserve">传    真： </w:t>
      </w:r>
    </w:p>
    <w:p>
      <w:pPr>
        <w:spacing w:line="460" w:lineRule="exact"/>
        <w:ind w:firstLine="480"/>
        <w:rPr>
          <w:rFonts w:ascii="宋体" w:hAnsi="宋体" w:eastAsia="宋体" w:cs="宋体"/>
          <w:sz w:val="24"/>
          <w:szCs w:val="24"/>
        </w:rPr>
      </w:pPr>
      <w:r>
        <w:rPr>
          <w:rFonts w:hint="eastAsia" w:ascii="宋体" w:hAnsi="宋体" w:eastAsia="宋体" w:cs="宋体"/>
          <w:sz w:val="24"/>
          <w:szCs w:val="24"/>
        </w:rPr>
        <w:t>开 户 行：</w:t>
      </w:r>
    </w:p>
    <w:p>
      <w:pPr>
        <w:spacing w:line="460" w:lineRule="exact"/>
        <w:ind w:firstLine="480"/>
        <w:rPr>
          <w:rFonts w:ascii="宋体" w:hAnsi="宋体" w:cs="宋体"/>
          <w:sz w:val="24"/>
          <w:szCs w:val="24"/>
        </w:rPr>
      </w:pPr>
      <w:r>
        <w:rPr>
          <w:rFonts w:hint="eastAsia" w:ascii="宋体" w:hAnsi="宋体" w:eastAsia="宋体" w:cs="宋体"/>
          <w:sz w:val="24"/>
          <w:szCs w:val="24"/>
        </w:rPr>
        <w:t>账    号：</w:t>
      </w:r>
      <w:r>
        <w:rPr>
          <w:rFonts w:hint="eastAsia" w:ascii="宋体" w:hAnsi="宋体" w:cs="宋体"/>
          <w:sz w:val="24"/>
          <w:szCs w:val="24"/>
        </w:rPr>
        <w:t xml:space="preserve">                        </w:t>
      </w:r>
    </w:p>
    <w:p>
      <w:pPr>
        <w:spacing w:line="460" w:lineRule="exact"/>
        <w:ind w:firstLine="480"/>
        <w:rPr>
          <w:rFonts w:ascii="宋体" w:hAnsi="宋体" w:cs="宋体"/>
          <w:b/>
          <w:sz w:val="24"/>
          <w:szCs w:val="24"/>
        </w:rPr>
      </w:pPr>
      <w:r>
        <w:rPr>
          <w:rFonts w:hint="eastAsia" w:ascii="宋体" w:hAnsi="宋体" w:cs="宋体"/>
          <w:sz w:val="24"/>
          <w:szCs w:val="24"/>
        </w:rPr>
        <w:t>投标人代表姓名、职务：</w:t>
      </w:r>
    </w:p>
    <w:p>
      <w:pPr>
        <w:spacing w:line="460" w:lineRule="exact"/>
        <w:ind w:firstLine="480"/>
        <w:rPr>
          <w:rFonts w:ascii="宋体" w:hAnsi="宋体" w:cs="宋体"/>
          <w:b/>
          <w:sz w:val="24"/>
          <w:szCs w:val="24"/>
        </w:rPr>
      </w:pPr>
      <w:r>
        <w:rPr>
          <w:rFonts w:hint="eastAsia" w:ascii="宋体" w:hAnsi="宋体" w:cs="宋体"/>
          <w:sz w:val="24"/>
          <w:szCs w:val="24"/>
        </w:rPr>
        <w:t>投标人名称（公章）：</w:t>
      </w:r>
    </w:p>
    <w:p>
      <w:pPr>
        <w:spacing w:line="460" w:lineRule="exact"/>
        <w:ind w:firstLine="480"/>
        <w:rPr>
          <w:rFonts w:ascii="宋体" w:hAnsi="宋体" w:cs="宋体"/>
          <w:b/>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460" w:lineRule="exact"/>
        <w:ind w:firstLine="480"/>
        <w:rPr>
          <w:rFonts w:ascii="宋体" w:hAnsi="宋体" w:cs="宋体"/>
          <w:sz w:val="24"/>
          <w:szCs w:val="24"/>
        </w:rPr>
      </w:pPr>
      <w:r>
        <w:rPr>
          <w:rFonts w:hint="eastAsia" w:ascii="宋体" w:hAnsi="宋体" w:cs="宋体"/>
          <w:sz w:val="24"/>
          <w:szCs w:val="24"/>
        </w:rPr>
        <w:t>投标人代表签字：</w:t>
      </w:r>
    </w:p>
    <w:p>
      <w:pPr>
        <w:spacing w:line="460" w:lineRule="exact"/>
        <w:ind w:firstLine="482"/>
        <w:rPr>
          <w:rFonts w:ascii="宋体" w:hAnsi="宋体" w:cs="宋体"/>
          <w:b/>
          <w:sz w:val="24"/>
          <w:szCs w:val="24"/>
        </w:rPr>
      </w:pPr>
    </w:p>
    <w:p>
      <w:pPr>
        <w:spacing w:line="460" w:lineRule="exact"/>
        <w:ind w:firstLine="482"/>
        <w:rPr>
          <w:rFonts w:ascii="宋体" w:hAnsi="宋体" w:cs="宋体"/>
          <w:b/>
          <w:sz w:val="24"/>
          <w:szCs w:val="24"/>
        </w:rPr>
      </w:pPr>
    </w:p>
    <w:p>
      <w:pPr>
        <w:spacing w:line="460" w:lineRule="exact"/>
        <w:rPr>
          <w:rFonts w:ascii="宋体" w:hAnsi="宋体" w:cs="宋体"/>
          <w:sz w:val="24"/>
          <w:szCs w:val="24"/>
        </w:rPr>
      </w:pPr>
    </w:p>
    <w:p>
      <w:pPr>
        <w:spacing w:line="460" w:lineRule="exact"/>
        <w:ind w:left="420" w:firstLine="482"/>
        <w:rPr>
          <w:rFonts w:ascii="宋体" w:hAnsi="宋体" w:cs="宋体"/>
          <w:b/>
          <w:sz w:val="24"/>
          <w:szCs w:val="24"/>
        </w:rPr>
      </w:pPr>
    </w:p>
    <w:p>
      <w:pPr>
        <w:spacing w:line="460" w:lineRule="exact"/>
        <w:rPr>
          <w:rFonts w:ascii="宋体" w:hAnsi="宋体" w:cs="宋体"/>
          <w:b/>
          <w:sz w:val="24"/>
          <w:szCs w:val="24"/>
        </w:rPr>
      </w:pPr>
      <w:r>
        <w:rPr>
          <w:rFonts w:hint="eastAsia" w:ascii="宋体" w:hAnsi="宋体" w:cs="宋体"/>
          <w:b/>
          <w:sz w:val="24"/>
          <w:szCs w:val="24"/>
        </w:rPr>
        <w:br w:type="page"/>
      </w:r>
      <w:r>
        <w:rPr>
          <w:rFonts w:hint="eastAsia" w:ascii="宋体" w:hAnsi="宋体" w:cs="宋体"/>
          <w:b/>
          <w:sz w:val="24"/>
          <w:szCs w:val="24"/>
        </w:rPr>
        <w:t>附件2</w:t>
      </w:r>
    </w:p>
    <w:p>
      <w:pPr>
        <w:spacing w:line="360" w:lineRule="auto"/>
        <w:jc w:val="center"/>
        <w:rPr>
          <w:rFonts w:ascii="宋体" w:hAnsi="宋体"/>
          <w:b/>
          <w:sz w:val="28"/>
          <w:szCs w:val="28"/>
        </w:rPr>
      </w:pPr>
      <w:r>
        <w:rPr>
          <w:rFonts w:hint="eastAsia" w:ascii="宋体" w:hAnsi="宋体"/>
          <w:b/>
          <w:sz w:val="28"/>
          <w:szCs w:val="28"/>
        </w:rPr>
        <w:t>资格证明文件</w:t>
      </w:r>
    </w:p>
    <w:p>
      <w:pPr>
        <w:spacing w:line="360" w:lineRule="auto"/>
        <w:jc w:val="center"/>
        <w:rPr>
          <w:rFonts w:ascii="宋体" w:hAnsi="宋体"/>
          <w:b/>
          <w:sz w:val="24"/>
        </w:rPr>
      </w:pPr>
    </w:p>
    <w:p>
      <w:pPr>
        <w:spacing w:line="360" w:lineRule="auto"/>
        <w:ind w:firstLine="480" w:firstLineChars="200"/>
        <w:jc w:val="left"/>
        <w:rPr>
          <w:rFonts w:ascii="宋体" w:hAnsi="宋体"/>
          <w:sz w:val="24"/>
        </w:rPr>
      </w:pPr>
      <w:r>
        <w:rPr>
          <w:rFonts w:hint="eastAsia" w:ascii="宋体" w:hAnsi="宋体"/>
          <w:sz w:val="24"/>
        </w:rPr>
        <w:t>1、资格证明文件内容由供应商按照要求自行编制。</w:t>
      </w:r>
    </w:p>
    <w:p>
      <w:pPr>
        <w:spacing w:line="360" w:lineRule="auto"/>
        <w:ind w:firstLine="480" w:firstLineChars="200"/>
        <w:jc w:val="left"/>
        <w:rPr>
          <w:rFonts w:ascii="宋体" w:hAnsi="宋体"/>
          <w:sz w:val="24"/>
        </w:rPr>
      </w:pPr>
      <w:r>
        <w:rPr>
          <w:rFonts w:hint="eastAsia" w:ascii="宋体" w:hAnsi="宋体"/>
          <w:sz w:val="24"/>
        </w:rPr>
        <w:t>2、资格性审查内容详见招标文件第二部分《项目要求》，请将资格审查所涉及到的证明文件集中于本章节中进行制作，并将相关内容标清页码。</w:t>
      </w:r>
    </w:p>
    <w:p>
      <w:pPr>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、复印件须字迹清晰且证件须在年检有效期内，并加盖公章。</w:t>
      </w:r>
    </w:p>
    <w:p>
      <w:pPr>
        <w:spacing w:line="460" w:lineRule="exact"/>
        <w:ind w:firstLine="482"/>
        <w:jc w:val="left"/>
        <w:rPr>
          <w:rFonts w:ascii="宋体" w:hAnsi="宋体" w:cs="宋体"/>
          <w:sz w:val="24"/>
          <w:szCs w:val="24"/>
        </w:rPr>
      </w:pPr>
      <w:r>
        <w:rPr>
          <w:rFonts w:hint="eastAsia" w:ascii="宋体" w:hAnsi="宋体" w:cs="宋体"/>
          <w:b/>
          <w:sz w:val="24"/>
          <w:szCs w:val="24"/>
        </w:rPr>
        <w:t>注：</w:t>
      </w:r>
      <w:r>
        <w:rPr>
          <w:rFonts w:hint="eastAsia" w:ascii="宋体" w:hAnsi="宋体" w:cs="宋体"/>
          <w:sz w:val="24"/>
          <w:szCs w:val="24"/>
        </w:rPr>
        <w:t>供应商资格要求中：提供“</w:t>
      </w:r>
      <w:r>
        <w:rPr>
          <w:rFonts w:hint="eastAsia" w:ascii="宋体" w:hAnsi="宋体" w:eastAsia="宋体" w:cs="宋体"/>
          <w:sz w:val="24"/>
          <w:szCs w:val="24"/>
        </w:rPr>
        <w:t>…</w:t>
      </w:r>
      <w:r>
        <w:rPr>
          <w:rFonts w:hint="eastAsia" w:cs="宋体" w:asciiTheme="minorEastAsia" w:hAnsiTheme="minorEastAsia"/>
          <w:sz w:val="24"/>
          <w:szCs w:val="24"/>
        </w:rPr>
        <w:t>…</w:t>
      </w:r>
      <w:r>
        <w:rPr>
          <w:rFonts w:hint="eastAsia" w:ascii="宋体" w:hAnsi="宋体" w:cs="宋体"/>
          <w:sz w:val="24"/>
          <w:szCs w:val="24"/>
        </w:rPr>
        <w:t>依法缴纳税收和社会保险费的相关证明材料</w:t>
      </w:r>
      <w:r>
        <w:rPr>
          <w:rFonts w:hint="eastAsia" w:ascii="宋体" w:hAnsi="宋体" w:eastAsia="宋体" w:cs="宋体"/>
          <w:sz w:val="24"/>
          <w:szCs w:val="24"/>
        </w:rPr>
        <w:t>…</w:t>
      </w:r>
      <w:r>
        <w:rPr>
          <w:rFonts w:hint="eastAsia" w:cs="宋体" w:asciiTheme="minorEastAsia" w:hAnsiTheme="minorEastAsia"/>
          <w:sz w:val="24"/>
          <w:szCs w:val="24"/>
        </w:rPr>
        <w:t>…</w:t>
      </w:r>
      <w:r>
        <w:rPr>
          <w:rFonts w:hint="eastAsia" w:ascii="宋体" w:hAnsi="宋体" w:cs="宋体"/>
          <w:sz w:val="24"/>
          <w:szCs w:val="24"/>
        </w:rPr>
        <w:t>”，例如：“社会保险缴费通知单”不能作为依法缴纳社会保险费的证明。</w:t>
      </w:r>
    </w:p>
    <w:p>
      <w:pPr>
        <w:spacing w:line="360" w:lineRule="auto"/>
        <w:ind w:firstLine="480" w:firstLineChars="200"/>
        <w:jc w:val="left"/>
        <w:rPr>
          <w:rFonts w:ascii="宋体" w:hAnsi="宋体"/>
          <w:sz w:val="24"/>
        </w:rPr>
      </w:pPr>
    </w:p>
    <w:p>
      <w:pPr>
        <w:spacing w:line="460" w:lineRule="exact"/>
        <w:ind w:left="181" w:firstLine="482"/>
        <w:jc w:val="center"/>
        <w:rPr>
          <w:rFonts w:ascii="宋体" w:hAnsi="宋体" w:cs="宋体"/>
          <w:b/>
          <w:sz w:val="24"/>
          <w:szCs w:val="24"/>
        </w:rPr>
      </w:pPr>
    </w:p>
    <w:p>
      <w:pPr>
        <w:spacing w:line="460" w:lineRule="exact"/>
        <w:ind w:left="181" w:firstLine="482"/>
        <w:jc w:val="center"/>
        <w:rPr>
          <w:rFonts w:ascii="宋体" w:hAnsi="宋体" w:cs="宋体"/>
          <w:b/>
          <w:sz w:val="24"/>
          <w:szCs w:val="24"/>
        </w:rPr>
      </w:pPr>
    </w:p>
    <w:p>
      <w:pPr>
        <w:spacing w:line="460" w:lineRule="exact"/>
        <w:ind w:left="181" w:firstLine="482"/>
        <w:jc w:val="center"/>
        <w:rPr>
          <w:rFonts w:ascii="宋体" w:hAnsi="宋体" w:cs="宋体"/>
          <w:b/>
          <w:sz w:val="24"/>
          <w:szCs w:val="24"/>
        </w:rPr>
      </w:pPr>
    </w:p>
    <w:p>
      <w:pPr>
        <w:spacing w:line="460" w:lineRule="exact"/>
        <w:ind w:left="181" w:firstLine="482"/>
        <w:jc w:val="center"/>
        <w:rPr>
          <w:rFonts w:ascii="宋体" w:hAnsi="宋体" w:cs="宋体"/>
          <w:b/>
          <w:sz w:val="24"/>
          <w:szCs w:val="24"/>
        </w:rPr>
      </w:pPr>
    </w:p>
    <w:p>
      <w:pPr>
        <w:spacing w:line="460" w:lineRule="exact"/>
        <w:ind w:left="181" w:firstLine="482"/>
        <w:jc w:val="center"/>
        <w:rPr>
          <w:rFonts w:ascii="宋体" w:hAnsi="宋体" w:cs="宋体"/>
          <w:b/>
          <w:sz w:val="24"/>
          <w:szCs w:val="24"/>
        </w:rPr>
        <w:sectPr>
          <w:pgSz w:w="11906" w:h="16838"/>
          <w:pgMar w:top="1440" w:right="1797" w:bottom="1440" w:left="1797" w:header="851" w:footer="992" w:gutter="0"/>
          <w:cols w:space="720" w:num="1"/>
          <w:docGrid w:type="lines" w:linePitch="312" w:charSpace="0"/>
        </w:sectPr>
      </w:pPr>
    </w:p>
    <w:p>
      <w:pPr>
        <w:spacing w:line="460" w:lineRule="exact"/>
        <w:rPr>
          <w:rFonts w:ascii="宋体" w:hAnsi="宋体" w:cs="宋体"/>
          <w:sz w:val="24"/>
          <w:szCs w:val="24"/>
        </w:rPr>
      </w:pPr>
      <w:r>
        <w:rPr>
          <w:rFonts w:hint="eastAsia" w:ascii="宋体" w:hAnsi="宋体" w:cs="宋体"/>
          <w:b/>
          <w:sz w:val="24"/>
          <w:szCs w:val="24"/>
        </w:rPr>
        <w:t>附件3</w:t>
      </w:r>
    </w:p>
    <w:p>
      <w:pPr>
        <w:pStyle w:val="27"/>
        <w:widowControl/>
        <w:ind w:firstLine="562"/>
        <w:jc w:val="center"/>
        <w:rPr>
          <w:rFonts w:ascii="宋体" w:hAnsi="宋体" w:cs="宋体"/>
          <w:b/>
          <w:bCs/>
          <w:sz w:val="28"/>
          <w:szCs w:val="28"/>
        </w:rPr>
      </w:pPr>
      <w:r>
        <w:rPr>
          <w:rFonts w:hint="eastAsia" w:ascii="宋体" w:hAnsi="宋体" w:cs="宋体"/>
          <w:b/>
          <w:bCs/>
          <w:sz w:val="28"/>
          <w:szCs w:val="28"/>
        </w:rPr>
        <w:t>法定代表人资格证明书</w:t>
      </w:r>
    </w:p>
    <w:p>
      <w:pPr>
        <w:pStyle w:val="27"/>
        <w:widowControl/>
        <w:ind w:firstLine="480"/>
        <w:jc w:val="center"/>
        <w:rPr>
          <w:rFonts w:ascii="宋体" w:hAnsi="宋体" w:cs="宋体"/>
          <w:szCs w:val="24"/>
        </w:rPr>
      </w:pPr>
      <w:r>
        <w:rPr>
          <w:rFonts w:hint="eastAsia" w:ascii="宋体" w:hAnsi="宋体" w:cs="宋体"/>
          <w:szCs w:val="24"/>
        </w:rPr>
        <w:t>（法定代表人、非法定代表人参加投标时均须提供）</w:t>
      </w:r>
    </w:p>
    <w:p>
      <w:pPr>
        <w:pStyle w:val="27"/>
        <w:widowControl/>
        <w:ind w:firstLine="480"/>
        <w:jc w:val="center"/>
        <w:rPr>
          <w:rFonts w:ascii="宋体" w:hAnsi="宋体" w:cs="宋体"/>
          <w:bCs/>
          <w:szCs w:val="24"/>
        </w:rPr>
      </w:pPr>
    </w:p>
    <w:p>
      <w:pPr>
        <w:pStyle w:val="27"/>
        <w:widowControl/>
        <w:ind w:firstLine="480"/>
        <w:rPr>
          <w:rFonts w:ascii="宋体" w:hAnsi="宋体" w:cs="宋体"/>
          <w:szCs w:val="24"/>
        </w:rPr>
      </w:pPr>
      <w:r>
        <w:rPr>
          <w:rFonts w:hint="eastAsia" w:ascii="宋体" w:hAnsi="宋体" w:cs="宋体"/>
          <w:szCs w:val="24"/>
        </w:rPr>
        <w:t xml:space="preserve"> </w:t>
      </w:r>
    </w:p>
    <w:p>
      <w:pPr>
        <w:pStyle w:val="27"/>
        <w:widowControl/>
        <w:ind w:firstLine="480"/>
        <w:rPr>
          <w:rFonts w:ascii="宋体" w:hAnsi="宋体" w:cs="宋体"/>
          <w:szCs w:val="24"/>
          <w:u w:val="single"/>
        </w:rPr>
      </w:pPr>
      <w:r>
        <w:rPr>
          <w:rFonts w:hint="eastAsia" w:ascii="宋体" w:hAnsi="宋体" w:cs="宋体"/>
          <w:szCs w:val="24"/>
        </w:rPr>
        <w:t>单位名称：</w:t>
      </w:r>
      <w:r>
        <w:rPr>
          <w:rFonts w:hint="eastAsia" w:ascii="宋体" w:hAnsi="宋体" w:cs="宋体"/>
          <w:szCs w:val="24"/>
          <w:u w:val="single"/>
        </w:rPr>
        <w:t xml:space="preserve">                    </w:t>
      </w:r>
      <w:r>
        <w:rPr>
          <w:rFonts w:hint="eastAsia" w:ascii="宋体" w:hAnsi="宋体" w:cs="宋体"/>
          <w:szCs w:val="24"/>
        </w:rPr>
        <w:t>地址：</w:t>
      </w:r>
      <w:r>
        <w:rPr>
          <w:rFonts w:hint="eastAsia" w:ascii="宋体" w:hAnsi="宋体" w:cs="宋体"/>
          <w:szCs w:val="24"/>
          <w:u w:val="single"/>
        </w:rPr>
        <w:t xml:space="preserve">                             </w:t>
      </w:r>
    </w:p>
    <w:p>
      <w:pPr>
        <w:pStyle w:val="27"/>
        <w:widowControl/>
        <w:ind w:firstLine="480"/>
        <w:rPr>
          <w:rFonts w:ascii="宋体" w:hAnsi="宋体" w:cs="宋体"/>
          <w:szCs w:val="24"/>
          <w:u w:val="single"/>
        </w:rPr>
      </w:pPr>
      <w:r>
        <w:rPr>
          <w:rFonts w:hint="eastAsia" w:ascii="宋体" w:hAnsi="宋体" w:cs="宋体"/>
          <w:szCs w:val="24"/>
        </w:rPr>
        <w:t>法定代表人姓名：</w:t>
      </w:r>
      <w:r>
        <w:rPr>
          <w:rFonts w:hint="eastAsia" w:ascii="宋体" w:hAnsi="宋体" w:cs="宋体"/>
          <w:szCs w:val="24"/>
          <w:u w:val="single"/>
        </w:rPr>
        <w:t xml:space="preserve">              </w:t>
      </w:r>
      <w:r>
        <w:rPr>
          <w:rFonts w:hint="eastAsia" w:ascii="宋体" w:hAnsi="宋体" w:cs="宋体"/>
          <w:szCs w:val="24"/>
        </w:rPr>
        <w:t>性别：</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p>
    <w:p>
      <w:pPr>
        <w:pStyle w:val="27"/>
        <w:widowControl/>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系</w:t>
      </w:r>
      <w:r>
        <w:rPr>
          <w:rFonts w:hint="eastAsia" w:ascii="宋体" w:hAnsi="宋体" w:cs="宋体"/>
          <w:szCs w:val="24"/>
          <w:u w:val="single"/>
        </w:rPr>
        <w:t xml:space="preserve">                </w:t>
      </w:r>
      <w:r>
        <w:rPr>
          <w:rFonts w:hint="eastAsia" w:ascii="宋体" w:hAnsi="宋体" w:cs="宋体"/>
          <w:szCs w:val="24"/>
        </w:rPr>
        <w:t>的法定代表人。同意参加</w:t>
      </w:r>
      <w:r>
        <w:rPr>
          <w:rFonts w:ascii="宋体" w:hAnsi="宋体" w:cs="宋体"/>
          <w:szCs w:val="24"/>
          <w:u w:val="single"/>
        </w:rPr>
        <w:t xml:space="preserve">             </w:t>
      </w:r>
      <w:r>
        <w:rPr>
          <w:rFonts w:hint="eastAsia" w:ascii="宋体" w:hAnsi="宋体" w:cs="宋体"/>
          <w:szCs w:val="24"/>
          <w:u w:val="single"/>
        </w:rPr>
        <w:t xml:space="preserve"> </w:t>
      </w:r>
      <w:r>
        <w:rPr>
          <w:rFonts w:hint="eastAsia" w:ascii="宋体" w:hAnsi="宋体" w:cs="宋体"/>
          <w:szCs w:val="24"/>
        </w:rPr>
        <w:t>项目（项目编号：</w:t>
      </w:r>
      <w:r>
        <w:rPr>
          <w:rFonts w:hint="eastAsia" w:ascii="宋体" w:hAnsi="宋体" w:cs="宋体"/>
          <w:szCs w:val="24"/>
          <w:u w:val="single"/>
        </w:rPr>
        <w:t xml:space="preserve">        </w:t>
      </w:r>
      <w:r>
        <w:rPr>
          <w:rFonts w:hint="eastAsia" w:ascii="宋体" w:hAnsi="宋体" w:cs="宋体"/>
          <w:szCs w:val="24"/>
        </w:rPr>
        <w:t>）的投标活动，及签署上述项目的投标文件、进行合同洽谈、签署合同和处理与之有关的一切事务。</w:t>
      </w:r>
    </w:p>
    <w:p>
      <w:pPr>
        <w:pStyle w:val="27"/>
        <w:widowControl/>
        <w:ind w:firstLine="480"/>
        <w:rPr>
          <w:rFonts w:ascii="宋体" w:hAnsi="宋体" w:cs="宋体"/>
          <w:szCs w:val="24"/>
        </w:rPr>
      </w:pPr>
      <w:r>
        <w:rPr>
          <w:rFonts w:hint="eastAsia" w:ascii="宋体" w:hAnsi="宋体" w:cs="宋体"/>
          <w:szCs w:val="24"/>
        </w:rPr>
        <w:t>特此证明。</w:t>
      </w:r>
    </w:p>
    <w:p>
      <w:pPr>
        <w:spacing w:line="360" w:lineRule="auto"/>
        <w:ind w:firstLine="480"/>
        <w:rPr>
          <w:rFonts w:ascii="宋体" w:hAnsi="宋体" w:cs="Arial"/>
          <w:sz w:val="24"/>
          <w:szCs w:val="24"/>
        </w:rPr>
      </w:pPr>
      <w:r>
        <w:rPr>
          <w:rFonts w:hint="eastAsia" w:ascii="宋体" w:hAnsi="宋体" w:cs="宋体"/>
          <w:szCs w:val="24"/>
        </w:rPr>
        <w:t xml:space="preserve"> </w:t>
      </w:r>
    </w:p>
    <w:p>
      <w:pPr>
        <w:spacing w:line="360" w:lineRule="auto"/>
        <w:ind w:firstLine="480"/>
        <w:rPr>
          <w:rFonts w:ascii="宋体" w:hAnsi="宋体" w:cs="Arial"/>
          <w:sz w:val="24"/>
          <w:szCs w:val="24"/>
        </w:rPr>
      </w:pPr>
      <w:r>
        <w:rPr>
          <w:rFonts w:hint="eastAsia" w:ascii="宋体" w:hAnsi="宋体" w:cs="Arial"/>
          <w:sz w:val="24"/>
          <w:szCs w:val="24"/>
        </w:rPr>
        <w:t xml:space="preserve">附：   </w:t>
      </w:r>
    </w:p>
    <w:tbl>
      <w:tblPr>
        <w:tblStyle w:val="33"/>
        <w:tblW w:w="3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3820" w:type="dxa"/>
            <w:vAlign w:val="center"/>
          </w:tcPr>
          <w:p>
            <w:pPr>
              <w:spacing w:line="360" w:lineRule="auto"/>
              <w:jc w:val="center"/>
              <w:rPr>
                <w:rFonts w:ascii="宋体" w:hAnsi="宋体" w:cs="Arial"/>
                <w:sz w:val="24"/>
                <w:szCs w:val="24"/>
              </w:rPr>
            </w:pPr>
            <w:r>
              <w:rPr>
                <w:rFonts w:hint="eastAsia" w:ascii="宋体" w:hAnsi="宋体" w:cs="Arial"/>
                <w:sz w:val="24"/>
                <w:szCs w:val="24"/>
              </w:rPr>
              <w:t>法定代表人身份证正面扫描件</w:t>
            </w:r>
          </w:p>
        </w:tc>
      </w:tr>
    </w:tbl>
    <w:tbl>
      <w:tblPr>
        <w:tblStyle w:val="33"/>
        <w:tblpPr w:leftFromText="180" w:rightFromText="180" w:vertAnchor="text" w:horzAnchor="margin" w:tblpXSpec="right" w:tblpY="-2564"/>
        <w:tblOverlap w:val="never"/>
        <w:tblW w:w="3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3820" w:type="dxa"/>
            <w:vAlign w:val="center"/>
          </w:tcPr>
          <w:p>
            <w:pPr>
              <w:spacing w:line="360" w:lineRule="auto"/>
              <w:jc w:val="center"/>
              <w:rPr>
                <w:rFonts w:ascii="宋体" w:hAnsi="宋体" w:cs="Arial"/>
                <w:sz w:val="24"/>
                <w:szCs w:val="24"/>
              </w:rPr>
            </w:pPr>
            <w:r>
              <w:rPr>
                <w:rFonts w:hint="eastAsia" w:ascii="宋体" w:hAnsi="宋体" w:cs="Arial"/>
                <w:sz w:val="24"/>
                <w:szCs w:val="24"/>
              </w:rPr>
              <w:t>法定代表人身份证反面扫描件</w:t>
            </w:r>
          </w:p>
        </w:tc>
      </w:tr>
    </w:tbl>
    <w:p>
      <w:pPr>
        <w:pStyle w:val="27"/>
        <w:widowControl/>
        <w:ind w:firstLine="480"/>
        <w:rPr>
          <w:rFonts w:ascii="宋体" w:hAnsi="宋体" w:cs="宋体"/>
          <w:szCs w:val="24"/>
        </w:rPr>
      </w:pPr>
    </w:p>
    <w:p>
      <w:pPr>
        <w:pStyle w:val="27"/>
        <w:widowControl/>
        <w:ind w:firstLine="480"/>
        <w:jc w:val="right"/>
        <w:rPr>
          <w:rFonts w:ascii="宋体" w:hAnsi="宋体" w:cs="宋体"/>
          <w:szCs w:val="24"/>
        </w:rPr>
      </w:pPr>
      <w:r>
        <w:rPr>
          <w:rFonts w:hint="eastAsia" w:ascii="宋体" w:hAnsi="宋体" w:cs="宋体"/>
          <w:szCs w:val="24"/>
        </w:rPr>
        <w:t>投标人名称：（盖章）</w:t>
      </w:r>
    </w:p>
    <w:p>
      <w:pPr>
        <w:pStyle w:val="27"/>
        <w:widowControl/>
        <w:ind w:firstLine="480"/>
        <w:jc w:val="right"/>
        <w:rPr>
          <w:rFonts w:ascii="宋体" w:hAnsi="宋体" w:cs="宋体"/>
          <w:szCs w:val="24"/>
        </w:rPr>
      </w:pPr>
      <w:r>
        <w:rPr>
          <w:rFonts w:hint="eastAsia" w:ascii="宋体" w:hAnsi="宋体" w:cs="宋体"/>
          <w:szCs w:val="24"/>
        </w:rPr>
        <w:t xml:space="preserve"> </w:t>
      </w:r>
    </w:p>
    <w:p>
      <w:pPr>
        <w:pStyle w:val="27"/>
        <w:widowControl/>
        <w:ind w:firstLine="480"/>
        <w:jc w:val="right"/>
        <w:rPr>
          <w:rFonts w:ascii="宋体" w:hAnsi="宋体" w:cs="宋体"/>
          <w:szCs w:val="24"/>
        </w:rPr>
      </w:pPr>
      <w:r>
        <w:rPr>
          <w:rFonts w:hint="eastAsia" w:ascii="宋体" w:hAnsi="宋体" w:cs="宋体"/>
          <w:szCs w:val="24"/>
        </w:rPr>
        <w:t>日期：        年    月    日</w:t>
      </w:r>
    </w:p>
    <w:p>
      <w:pPr>
        <w:spacing w:line="560" w:lineRule="exact"/>
        <w:ind w:firstLine="482"/>
        <w:jc w:val="center"/>
        <w:rPr>
          <w:rFonts w:ascii="宋体" w:hAnsi="宋体" w:cs="宋体"/>
          <w:b/>
          <w:sz w:val="24"/>
          <w:szCs w:val="24"/>
        </w:rPr>
        <w:sectPr>
          <w:pgSz w:w="11906" w:h="16838"/>
          <w:pgMar w:top="1440" w:right="1797" w:bottom="1440" w:left="1797" w:header="851" w:footer="992" w:gutter="0"/>
          <w:cols w:space="720" w:num="1"/>
          <w:docGrid w:type="lines" w:linePitch="312" w:charSpace="0"/>
        </w:sectPr>
      </w:pPr>
    </w:p>
    <w:p>
      <w:pPr>
        <w:spacing w:line="460" w:lineRule="exact"/>
        <w:rPr>
          <w:rFonts w:ascii="宋体" w:hAnsi="宋体" w:cs="Arial"/>
          <w:sz w:val="24"/>
          <w:szCs w:val="24"/>
        </w:rPr>
      </w:pPr>
      <w:r>
        <w:rPr>
          <w:rFonts w:hint="eastAsia" w:ascii="宋体" w:hAnsi="宋体" w:cs="宋体"/>
          <w:b/>
          <w:sz w:val="24"/>
          <w:szCs w:val="24"/>
        </w:rPr>
        <w:t>附件4</w:t>
      </w:r>
    </w:p>
    <w:p>
      <w:pPr>
        <w:ind w:firstLine="562"/>
        <w:jc w:val="center"/>
        <w:rPr>
          <w:rFonts w:ascii="宋体" w:hAnsi="宋体" w:cs="Arial"/>
          <w:b/>
          <w:sz w:val="28"/>
          <w:szCs w:val="28"/>
        </w:rPr>
      </w:pPr>
      <w:r>
        <w:rPr>
          <w:rFonts w:hint="eastAsia" w:ascii="宋体" w:hAnsi="宋体" w:cs="Arial"/>
          <w:b/>
          <w:sz w:val="28"/>
          <w:szCs w:val="28"/>
        </w:rPr>
        <w:t>授权委托书</w:t>
      </w:r>
    </w:p>
    <w:p>
      <w:pPr>
        <w:spacing w:after="936" w:afterLines="300"/>
        <w:ind w:firstLine="480"/>
        <w:jc w:val="center"/>
        <w:rPr>
          <w:rFonts w:ascii="宋体" w:hAnsi="宋体" w:cs="Arial"/>
          <w:sz w:val="24"/>
          <w:szCs w:val="24"/>
        </w:rPr>
      </w:pPr>
      <w:r>
        <w:rPr>
          <w:rFonts w:hint="eastAsia" w:ascii="宋体" w:hAnsi="宋体" w:cs="Arial"/>
          <w:sz w:val="24"/>
          <w:szCs w:val="24"/>
        </w:rPr>
        <w:t>（法定代表人参加投标时无须提供）</w:t>
      </w:r>
    </w:p>
    <w:p>
      <w:pPr>
        <w:spacing w:before="240" w:after="624" w:afterLines="200" w:line="360" w:lineRule="auto"/>
        <w:ind w:firstLine="560"/>
        <w:rPr>
          <w:rFonts w:ascii="宋体" w:hAnsi="宋体" w:cs="Arial"/>
          <w:sz w:val="24"/>
          <w:szCs w:val="24"/>
        </w:rPr>
      </w:pPr>
      <w:r>
        <w:rPr>
          <w:rFonts w:hint="eastAsia" w:ascii="宋体" w:hAnsi="宋体" w:cs="Arial"/>
          <w:sz w:val="24"/>
          <w:szCs w:val="24"/>
        </w:rPr>
        <w:t>本授权委托书声明：</w:t>
      </w:r>
    </w:p>
    <w:p>
      <w:pPr>
        <w:widowControl/>
        <w:spacing w:line="360" w:lineRule="auto"/>
        <w:ind w:firstLine="480"/>
        <w:rPr>
          <w:rFonts w:ascii="宋体" w:hAnsi="宋体" w:cs="宋体"/>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cs="Arial"/>
          <w:sz w:val="24"/>
          <w:szCs w:val="24"/>
        </w:rPr>
        <w:t>（姓名）系</w:t>
      </w:r>
      <w:r>
        <w:rPr>
          <w:rFonts w:hint="eastAsia" w:ascii="宋体" w:hAnsi="宋体" w:cs="Arial"/>
          <w:sz w:val="24"/>
          <w:szCs w:val="24"/>
          <w:u w:val="single"/>
        </w:rPr>
        <w:t xml:space="preserve">                            </w:t>
      </w:r>
      <w:r>
        <w:rPr>
          <w:rFonts w:ascii="宋体" w:hAnsi="宋体" w:cs="Arial"/>
          <w:sz w:val="24"/>
          <w:szCs w:val="24"/>
          <w:u w:val="single"/>
        </w:rPr>
        <w:t xml:space="preserve"> </w:t>
      </w:r>
      <w:r>
        <w:rPr>
          <w:rFonts w:hint="eastAsia" w:ascii="宋体" w:hAnsi="宋体" w:cs="Arial"/>
          <w:sz w:val="24"/>
          <w:szCs w:val="24"/>
        </w:rPr>
        <w:t>（投标人名称）的法定代表人，现授权委托</w:t>
      </w:r>
      <w:r>
        <w:rPr>
          <w:rFonts w:hint="eastAsia" w:ascii="宋体" w:hAnsi="宋体" w:cs="Arial"/>
          <w:sz w:val="24"/>
          <w:szCs w:val="24"/>
          <w:u w:val="single"/>
        </w:rPr>
        <w:t xml:space="preserve">                              </w:t>
      </w:r>
      <w:r>
        <w:rPr>
          <w:rFonts w:hint="eastAsia" w:ascii="宋体" w:hAnsi="宋体" w:cs="Arial"/>
          <w:sz w:val="24"/>
          <w:szCs w:val="24"/>
        </w:rPr>
        <w:t>（代理人单位名称）的</w:t>
      </w:r>
      <w:r>
        <w:rPr>
          <w:rFonts w:hint="eastAsia" w:ascii="宋体" w:hAnsi="宋体" w:cs="Arial"/>
          <w:sz w:val="24"/>
          <w:szCs w:val="24"/>
          <w:u w:val="single"/>
        </w:rPr>
        <w:t xml:space="preserve">          </w:t>
      </w:r>
      <w:r>
        <w:rPr>
          <w:rFonts w:hint="eastAsia" w:ascii="宋体" w:hAnsi="宋体" w:cs="Arial"/>
          <w:sz w:val="24"/>
          <w:szCs w:val="24"/>
        </w:rPr>
        <w:t xml:space="preserve">（姓名）为我公司代理人，以本公司名义参加 </w:t>
      </w:r>
      <w:r>
        <w:rPr>
          <w:rFonts w:hint="eastAsia" w:ascii="宋体" w:hAnsi="宋体" w:cs="Arial"/>
          <w:sz w:val="24"/>
          <w:szCs w:val="24"/>
          <w:u w:val="single"/>
        </w:rPr>
        <w:t xml:space="preserve">      </w:t>
      </w:r>
      <w:r>
        <w:rPr>
          <w:rFonts w:hint="eastAsia" w:ascii="宋体" w:hAnsi="宋体" w:cs="Arial"/>
          <w:sz w:val="24"/>
          <w:szCs w:val="24"/>
        </w:rPr>
        <w:t>项目（项目编号：</w:t>
      </w:r>
      <w:r>
        <w:rPr>
          <w:rFonts w:hint="eastAsia" w:ascii="宋体" w:hAnsi="宋体" w:cs="Arial"/>
          <w:sz w:val="24"/>
          <w:szCs w:val="24"/>
          <w:u w:val="single"/>
        </w:rPr>
        <w:t xml:space="preserve">           </w:t>
      </w:r>
      <w:r>
        <w:rPr>
          <w:rFonts w:hint="eastAsia" w:ascii="宋体" w:hAnsi="宋体" w:cs="Arial"/>
          <w:sz w:val="24"/>
          <w:szCs w:val="24"/>
        </w:rPr>
        <w:t>）招标的投标活动。其在投标过程中所签署的一切文件和处理有关的一切事务，我均予以承认。</w:t>
      </w:r>
    </w:p>
    <w:p>
      <w:pPr>
        <w:spacing w:line="360" w:lineRule="auto"/>
        <w:ind w:firstLine="480"/>
        <w:rPr>
          <w:rFonts w:ascii="宋体" w:hAnsi="宋体" w:cs="Arial"/>
          <w:sz w:val="24"/>
          <w:szCs w:val="24"/>
        </w:rPr>
      </w:pPr>
      <w:r>
        <w:rPr>
          <w:rFonts w:hint="eastAsia" w:ascii="宋体" w:hAnsi="宋体" w:cs="Arial"/>
          <w:sz w:val="24"/>
          <w:szCs w:val="24"/>
        </w:rPr>
        <w:t>代理人无转委权。特此委托。</w:t>
      </w:r>
    </w:p>
    <w:p>
      <w:pPr>
        <w:spacing w:line="360" w:lineRule="auto"/>
        <w:ind w:firstLine="480"/>
        <w:rPr>
          <w:rFonts w:ascii="宋体" w:hAnsi="宋体" w:cs="Arial"/>
          <w:sz w:val="24"/>
          <w:szCs w:val="24"/>
        </w:rPr>
      </w:pPr>
    </w:p>
    <w:p>
      <w:pPr>
        <w:spacing w:line="360" w:lineRule="auto"/>
        <w:ind w:firstLine="480"/>
        <w:rPr>
          <w:rFonts w:ascii="宋体" w:hAnsi="宋体" w:cs="Arial"/>
          <w:sz w:val="24"/>
          <w:szCs w:val="24"/>
        </w:rPr>
      </w:pPr>
      <w:r>
        <w:rPr>
          <w:rFonts w:hint="eastAsia" w:ascii="宋体" w:hAnsi="宋体" w:cs="Arial"/>
          <w:sz w:val="24"/>
          <w:szCs w:val="24"/>
        </w:rPr>
        <w:t xml:space="preserve">附：   </w:t>
      </w:r>
    </w:p>
    <w:tbl>
      <w:tblPr>
        <w:tblStyle w:val="33"/>
        <w:tblW w:w="3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3820" w:type="dxa"/>
            <w:vAlign w:val="center"/>
          </w:tcPr>
          <w:p>
            <w:pPr>
              <w:spacing w:line="360" w:lineRule="auto"/>
              <w:jc w:val="center"/>
              <w:rPr>
                <w:rFonts w:ascii="宋体" w:hAnsi="宋体" w:cs="Arial"/>
                <w:sz w:val="24"/>
                <w:szCs w:val="24"/>
              </w:rPr>
            </w:pPr>
            <w:r>
              <w:rPr>
                <w:rFonts w:hint="eastAsia" w:ascii="宋体" w:hAnsi="宋体" w:cs="Arial"/>
                <w:sz w:val="24"/>
                <w:szCs w:val="24"/>
              </w:rPr>
              <w:t>代理人身份证正面扫描件</w:t>
            </w:r>
          </w:p>
        </w:tc>
      </w:tr>
    </w:tbl>
    <w:tbl>
      <w:tblPr>
        <w:tblStyle w:val="33"/>
        <w:tblpPr w:leftFromText="180" w:rightFromText="180" w:vertAnchor="text" w:horzAnchor="margin" w:tblpXSpec="right" w:tblpY="-2564"/>
        <w:tblOverlap w:val="never"/>
        <w:tblW w:w="3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3820" w:type="dxa"/>
            <w:vAlign w:val="center"/>
          </w:tcPr>
          <w:p>
            <w:pPr>
              <w:spacing w:line="360" w:lineRule="auto"/>
              <w:jc w:val="center"/>
              <w:rPr>
                <w:rFonts w:ascii="宋体" w:hAnsi="宋体" w:cs="Arial"/>
                <w:sz w:val="24"/>
                <w:szCs w:val="24"/>
              </w:rPr>
            </w:pPr>
            <w:r>
              <w:rPr>
                <w:rFonts w:hint="eastAsia" w:ascii="宋体" w:hAnsi="宋体" w:cs="Arial"/>
                <w:sz w:val="24"/>
                <w:szCs w:val="24"/>
              </w:rPr>
              <w:t>代理人身份证反面扫描件</w:t>
            </w:r>
          </w:p>
        </w:tc>
      </w:tr>
    </w:tbl>
    <w:p>
      <w:pPr>
        <w:spacing w:line="360" w:lineRule="auto"/>
        <w:ind w:firstLine="480"/>
        <w:rPr>
          <w:rFonts w:ascii="宋体" w:hAnsi="宋体" w:cs="Arial"/>
          <w:sz w:val="24"/>
          <w:szCs w:val="24"/>
        </w:rPr>
      </w:pPr>
      <w:r>
        <w:rPr>
          <w:rFonts w:hint="eastAsia" w:ascii="宋体" w:hAnsi="宋体" w:cs="Arial"/>
          <w:sz w:val="24"/>
          <w:szCs w:val="24"/>
        </w:rPr>
        <w:t xml:space="preserve">   </w:t>
      </w:r>
    </w:p>
    <w:p>
      <w:pPr>
        <w:spacing w:line="360" w:lineRule="auto"/>
        <w:ind w:firstLine="480"/>
        <w:rPr>
          <w:rFonts w:ascii="宋体" w:hAnsi="宋体" w:cs="Arial"/>
          <w:sz w:val="24"/>
          <w:szCs w:val="24"/>
        </w:rPr>
      </w:pPr>
      <w:r>
        <w:rPr>
          <w:rFonts w:hint="eastAsia" w:ascii="宋体" w:hAnsi="宋体" w:cs="Arial"/>
          <w:sz w:val="24"/>
          <w:szCs w:val="24"/>
        </w:rPr>
        <w:t xml:space="preserve">              </w:t>
      </w:r>
      <w:r>
        <w:rPr>
          <w:rFonts w:ascii="宋体" w:hAnsi="宋体" w:cs="Arial"/>
          <w:sz w:val="24"/>
          <w:szCs w:val="24"/>
        </w:rPr>
        <w:t xml:space="preserve">                         </w:t>
      </w:r>
    </w:p>
    <w:p>
      <w:pPr>
        <w:spacing w:line="360" w:lineRule="auto"/>
        <w:ind w:firstLine="480"/>
        <w:jc w:val="center"/>
        <w:rPr>
          <w:rFonts w:ascii="宋体" w:hAnsi="宋体" w:cs="Arial"/>
          <w:sz w:val="24"/>
          <w:szCs w:val="24"/>
        </w:rPr>
      </w:pPr>
      <w:r>
        <w:rPr>
          <w:rFonts w:hint="eastAsia" w:ascii="宋体" w:hAnsi="宋体" w:cs="Arial"/>
          <w:sz w:val="24"/>
          <w:szCs w:val="24"/>
        </w:rPr>
        <w:t xml:space="preserve">                            </w:t>
      </w:r>
      <w:r>
        <w:rPr>
          <w:rFonts w:ascii="宋体" w:hAnsi="宋体" w:cs="Arial"/>
          <w:sz w:val="24"/>
          <w:szCs w:val="24"/>
        </w:rPr>
        <w:t xml:space="preserve">    </w:t>
      </w:r>
      <w:r>
        <w:rPr>
          <w:rFonts w:hint="eastAsia" w:ascii="宋体" w:hAnsi="宋体" w:cs="Arial"/>
          <w:sz w:val="24"/>
          <w:szCs w:val="24"/>
        </w:rPr>
        <w:t>投标人名称：（公章）</w:t>
      </w:r>
    </w:p>
    <w:p>
      <w:pPr>
        <w:spacing w:line="360" w:lineRule="auto"/>
        <w:ind w:firstLine="480"/>
        <w:rPr>
          <w:rFonts w:ascii="宋体" w:hAnsi="宋体" w:cs="Arial"/>
          <w:sz w:val="24"/>
          <w:szCs w:val="24"/>
        </w:rPr>
      </w:pPr>
      <w:r>
        <w:rPr>
          <w:rFonts w:ascii="宋体" w:hAnsi="宋体" w:cs="Arial"/>
          <w:sz w:val="24"/>
          <w:szCs w:val="24"/>
        </w:rPr>
        <w:t xml:space="preserve">          </w:t>
      </w:r>
      <w:r>
        <w:rPr>
          <w:rFonts w:hint="eastAsia" w:ascii="宋体" w:hAnsi="宋体" w:cs="Arial"/>
          <w:sz w:val="24"/>
          <w:szCs w:val="24"/>
        </w:rPr>
        <w:t xml:space="preserve">          </w:t>
      </w:r>
      <w:r>
        <w:rPr>
          <w:rFonts w:ascii="宋体" w:hAnsi="宋体" w:cs="Arial"/>
          <w:sz w:val="24"/>
          <w:szCs w:val="24"/>
        </w:rPr>
        <w:t xml:space="preserve">                   </w:t>
      </w:r>
      <w:r>
        <w:rPr>
          <w:rFonts w:hint="eastAsia" w:ascii="宋体" w:hAnsi="宋体" w:cs="Arial"/>
          <w:sz w:val="24"/>
          <w:szCs w:val="24"/>
        </w:rPr>
        <w:t>法定代表人：（签字或盖章）</w:t>
      </w:r>
    </w:p>
    <w:p>
      <w:pPr>
        <w:spacing w:line="360" w:lineRule="auto"/>
        <w:ind w:firstLine="480"/>
        <w:rPr>
          <w:rFonts w:ascii="宋体" w:hAnsi="宋体" w:cs="宋体"/>
          <w:sz w:val="24"/>
          <w:szCs w:val="24"/>
        </w:rPr>
      </w:pPr>
      <w:r>
        <w:rPr>
          <w:rFonts w:ascii="宋体" w:hAnsi="宋体" w:cs="Arial"/>
          <w:sz w:val="24"/>
          <w:szCs w:val="24"/>
        </w:rPr>
        <w:t xml:space="preserve">                    </w:t>
      </w:r>
      <w:r>
        <w:rPr>
          <w:rFonts w:hint="eastAsia" w:ascii="宋体" w:hAnsi="宋体" w:cs="Arial"/>
          <w:sz w:val="24"/>
          <w:szCs w:val="24"/>
        </w:rPr>
        <w:t xml:space="preserve">          </w:t>
      </w:r>
      <w:r>
        <w:rPr>
          <w:rFonts w:ascii="宋体" w:hAnsi="宋体" w:cs="Arial"/>
          <w:sz w:val="24"/>
          <w:szCs w:val="24"/>
        </w:rPr>
        <w:t xml:space="preserve">         </w:t>
      </w:r>
      <w:r>
        <w:rPr>
          <w:rFonts w:hint="eastAsia" w:ascii="宋体" w:hAnsi="宋体" w:cs="Arial"/>
          <w:sz w:val="24"/>
          <w:szCs w:val="24"/>
        </w:rPr>
        <w:t>日期：        年   月   日</w:t>
      </w:r>
    </w:p>
    <w:p/>
    <w:p>
      <w:pPr>
        <w:spacing w:line="460" w:lineRule="exact"/>
        <w:ind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b/>
          <w:sz w:val="24"/>
        </w:rPr>
      </w:pPr>
    </w:p>
    <w:p>
      <w:pPr>
        <w:spacing w:line="460" w:lineRule="exact"/>
        <w:ind w:firstLine="482"/>
        <w:jc w:val="center"/>
        <w:rPr>
          <w:rFonts w:ascii="宋体" w:hAnsi="宋体" w:cs="宋体"/>
          <w:b/>
          <w:sz w:val="24"/>
          <w:szCs w:val="24"/>
        </w:rPr>
        <w:sectPr>
          <w:pgSz w:w="11906" w:h="16838"/>
          <w:pgMar w:top="1440" w:right="1797" w:bottom="1440" w:left="1797" w:header="851" w:footer="992" w:gutter="0"/>
          <w:cols w:space="720" w:num="1"/>
          <w:docGrid w:type="lines" w:linePitch="312" w:charSpace="0"/>
        </w:sectPr>
      </w:pPr>
    </w:p>
    <w:p>
      <w:pPr>
        <w:spacing w:line="460" w:lineRule="exact"/>
        <w:jc w:val="left"/>
        <w:rPr>
          <w:rFonts w:ascii="宋体" w:hAnsi="宋体" w:cs="宋体"/>
          <w:b/>
          <w:sz w:val="24"/>
          <w:szCs w:val="24"/>
        </w:rPr>
      </w:pPr>
      <w:r>
        <w:rPr>
          <w:rFonts w:hint="eastAsia" w:ascii="宋体" w:hAnsi="宋体" w:cs="宋体"/>
          <w:b/>
          <w:sz w:val="24"/>
          <w:szCs w:val="24"/>
        </w:rPr>
        <w:t>附件5</w:t>
      </w:r>
    </w:p>
    <w:p>
      <w:pPr>
        <w:widowControl/>
        <w:jc w:val="center"/>
        <w:rPr>
          <w:rFonts w:ascii="宋体" w:hAnsi="宋体"/>
          <w:sz w:val="28"/>
          <w:szCs w:val="28"/>
        </w:rPr>
      </w:pPr>
      <w:r>
        <w:rPr>
          <w:rFonts w:hint="eastAsia" w:ascii="宋体" w:hAnsi="宋体"/>
          <w:b/>
          <w:sz w:val="28"/>
          <w:szCs w:val="28"/>
        </w:rPr>
        <w:t>无重大违法记录声明</w:t>
      </w:r>
    </w:p>
    <w:p>
      <w:pPr>
        <w:ind w:firstLine="723"/>
        <w:jc w:val="center"/>
        <w:rPr>
          <w:rFonts w:ascii="宋体" w:hAnsi="宋体"/>
          <w:b/>
          <w:sz w:val="24"/>
          <w:szCs w:val="24"/>
        </w:rPr>
      </w:pPr>
    </w:p>
    <w:p>
      <w:pPr>
        <w:spacing w:line="560" w:lineRule="exact"/>
        <w:ind w:firstLine="480"/>
        <w:rPr>
          <w:rFonts w:ascii="宋体" w:hAnsi="宋体"/>
          <w:sz w:val="24"/>
          <w:szCs w:val="24"/>
        </w:rPr>
      </w:pPr>
      <w:r>
        <w:rPr>
          <w:rFonts w:hint="eastAsia" w:ascii="宋体" w:hAnsi="宋体"/>
          <w:sz w:val="24"/>
          <w:szCs w:val="24"/>
        </w:rPr>
        <w:t xml:space="preserve">我单位现参与 </w:t>
      </w:r>
      <w:r>
        <w:rPr>
          <w:rFonts w:hint="eastAsia" w:ascii="宋体" w:hAnsi="宋体"/>
          <w:sz w:val="24"/>
          <w:szCs w:val="24"/>
          <w:u w:val="single"/>
        </w:rPr>
        <w:t xml:space="preserve">                       </w:t>
      </w:r>
      <w:r>
        <w:rPr>
          <w:rFonts w:hint="eastAsia" w:ascii="宋体" w:hAnsi="宋体"/>
          <w:sz w:val="24"/>
          <w:szCs w:val="24"/>
        </w:rPr>
        <w:t>项目（项目编号：</w:t>
      </w:r>
      <w:r>
        <w:rPr>
          <w:rFonts w:hint="eastAsia" w:ascii="宋体" w:hAnsi="宋体"/>
          <w:sz w:val="24"/>
          <w:szCs w:val="24"/>
          <w:u w:val="single"/>
        </w:rPr>
        <w:t xml:space="preserve">          </w:t>
      </w:r>
      <w:r>
        <w:rPr>
          <w:rFonts w:hint="eastAsia" w:ascii="宋体" w:hAnsi="宋体"/>
          <w:sz w:val="24"/>
          <w:szCs w:val="24"/>
        </w:rPr>
        <w:t>），并作出如下声明：</w:t>
      </w:r>
    </w:p>
    <w:p>
      <w:pPr>
        <w:spacing w:line="560" w:lineRule="exact"/>
        <w:ind w:firstLine="480"/>
        <w:rPr>
          <w:rFonts w:ascii="宋体" w:hAnsi="宋体"/>
          <w:sz w:val="24"/>
          <w:szCs w:val="24"/>
        </w:rPr>
      </w:pPr>
      <w:r>
        <w:rPr>
          <w:rFonts w:hint="eastAsia" w:ascii="宋体" w:hAnsi="宋体"/>
          <w:sz w:val="24"/>
          <w:szCs w:val="24"/>
        </w:rPr>
        <w:t>我单位在参加本次政府采购活动前3年内，在经营活动中没有重大违法记录。</w:t>
      </w:r>
    </w:p>
    <w:p>
      <w:pPr>
        <w:spacing w:line="560" w:lineRule="exact"/>
        <w:ind w:firstLine="480"/>
        <w:rPr>
          <w:rFonts w:ascii="宋体" w:hAnsi="宋体"/>
          <w:sz w:val="24"/>
          <w:szCs w:val="24"/>
        </w:rPr>
      </w:pPr>
    </w:p>
    <w:p>
      <w:pPr>
        <w:spacing w:line="560" w:lineRule="exact"/>
        <w:ind w:firstLine="480"/>
        <w:rPr>
          <w:rFonts w:ascii="宋体" w:hAnsi="宋体"/>
          <w:sz w:val="24"/>
          <w:szCs w:val="24"/>
        </w:rPr>
      </w:pPr>
      <w:r>
        <w:rPr>
          <w:rFonts w:hint="eastAsia" w:ascii="宋体" w:hAnsi="宋体"/>
          <w:sz w:val="24"/>
          <w:szCs w:val="24"/>
        </w:rPr>
        <w:t>特此声明。</w:t>
      </w:r>
    </w:p>
    <w:p>
      <w:pPr>
        <w:spacing w:line="560" w:lineRule="exact"/>
        <w:ind w:firstLine="4320" w:firstLineChars="1800"/>
        <w:rPr>
          <w:rFonts w:ascii="宋体" w:hAnsi="宋体"/>
          <w:sz w:val="24"/>
          <w:szCs w:val="24"/>
        </w:rPr>
      </w:pPr>
      <w:r>
        <w:rPr>
          <w:rFonts w:hint="eastAsia" w:ascii="宋体" w:hAnsi="宋体"/>
          <w:sz w:val="24"/>
          <w:szCs w:val="24"/>
        </w:rPr>
        <w:t>投标人名称（公章）：</w:t>
      </w:r>
    </w:p>
    <w:p>
      <w:pPr>
        <w:spacing w:line="560" w:lineRule="exact"/>
        <w:ind w:firstLine="4320" w:firstLineChars="1800"/>
        <w:rPr>
          <w:rFonts w:ascii="宋体" w:hAnsi="宋体"/>
          <w:sz w:val="24"/>
          <w:szCs w:val="24"/>
        </w:rPr>
      </w:pPr>
      <w:r>
        <w:rPr>
          <w:rFonts w:hint="eastAsia" w:ascii="宋体" w:hAnsi="宋体"/>
          <w:sz w:val="24"/>
          <w:szCs w:val="24"/>
        </w:rPr>
        <w:t>投标人代表签字：</w:t>
      </w:r>
    </w:p>
    <w:p>
      <w:pPr>
        <w:spacing w:line="560" w:lineRule="exact"/>
        <w:ind w:firstLine="4560" w:firstLineChars="1900"/>
        <w:rPr>
          <w:rFonts w:ascii="宋体" w:hAnsi="宋体"/>
          <w:sz w:val="24"/>
          <w:szCs w:val="24"/>
        </w:rPr>
      </w:pPr>
      <w:r>
        <w:rPr>
          <w:rFonts w:hint="eastAsia" w:ascii="宋体" w:hAnsi="宋体"/>
          <w:sz w:val="24"/>
          <w:szCs w:val="24"/>
        </w:rPr>
        <w:t xml:space="preserve">  年   月   日</w:t>
      </w:r>
    </w:p>
    <w:p>
      <w:pPr>
        <w:spacing w:line="560" w:lineRule="exact"/>
        <w:ind w:firstLine="720"/>
        <w:rPr>
          <w:rFonts w:ascii="宋体" w:hAnsi="宋体" w:cs="Arial"/>
          <w:sz w:val="24"/>
          <w:szCs w:val="24"/>
        </w:rPr>
      </w:pPr>
    </w:p>
    <w:p>
      <w:pPr>
        <w:spacing w:line="360" w:lineRule="auto"/>
        <w:ind w:firstLine="480"/>
        <w:rPr>
          <w:rFonts w:ascii="宋体" w:hAnsi="宋体" w:cs="Arial"/>
          <w:sz w:val="24"/>
          <w:szCs w:val="24"/>
        </w:rPr>
      </w:pPr>
      <w:r>
        <w:rPr>
          <w:rFonts w:hint="eastAsia" w:ascii="宋体" w:hAnsi="宋体" w:cs="Arial"/>
          <w:sz w:val="24"/>
          <w:szCs w:val="24"/>
        </w:rPr>
        <w:t>注：1、重大违法记录是指供应商因违法经营受到刑事处罚或者责令停产停业、吊销许可证或者执照、较大数额罚款等行政处罚。</w:t>
      </w:r>
    </w:p>
    <w:p>
      <w:pPr>
        <w:spacing w:line="360" w:lineRule="auto"/>
        <w:ind w:firstLine="960" w:firstLineChars="400"/>
        <w:rPr>
          <w:rFonts w:ascii="宋体" w:hAnsi="宋体" w:cs="Arial"/>
          <w:sz w:val="24"/>
          <w:szCs w:val="24"/>
        </w:rPr>
      </w:pPr>
      <w:r>
        <w:rPr>
          <w:rFonts w:ascii="宋体" w:hAnsi="宋体" w:cs="Arial"/>
          <w:sz w:val="24"/>
          <w:szCs w:val="24"/>
        </w:rPr>
        <w:t>2</w:t>
      </w:r>
      <w:r>
        <w:rPr>
          <w:rFonts w:hint="eastAsia" w:ascii="宋体" w:hAnsi="宋体" w:cs="Arial"/>
          <w:sz w:val="24"/>
          <w:szCs w:val="24"/>
        </w:rPr>
        <w:t>、提交投标文件截止日前3年在经营活动中没有重大违法记录的书面声明函，如果截至提交投标文件截止日成立不足3年的供应商，可提供自成立以来无重大违法记录的书面声明函。</w:t>
      </w:r>
    </w:p>
    <w:p>
      <w:pPr>
        <w:spacing w:line="360" w:lineRule="auto"/>
        <w:ind w:firstLine="480"/>
        <w:rPr>
          <w:rFonts w:ascii="宋体" w:hAnsi="宋体" w:cs="Arial"/>
          <w:sz w:val="24"/>
          <w:szCs w:val="24"/>
        </w:rPr>
        <w:sectPr>
          <w:pgSz w:w="11906" w:h="16838"/>
          <w:pgMar w:top="1440" w:right="1797" w:bottom="1440" w:left="1797" w:header="851" w:footer="992" w:gutter="0"/>
          <w:cols w:space="720" w:num="1"/>
          <w:docGrid w:type="lines" w:linePitch="312" w:charSpace="0"/>
        </w:sectPr>
      </w:pPr>
    </w:p>
    <w:p>
      <w:pPr>
        <w:spacing w:line="460" w:lineRule="exact"/>
        <w:jc w:val="left"/>
        <w:rPr>
          <w:rFonts w:ascii="宋体" w:hAnsi="宋体" w:cs="宋体"/>
          <w:b/>
          <w:sz w:val="24"/>
          <w:szCs w:val="24"/>
        </w:rPr>
      </w:pPr>
      <w:r>
        <w:rPr>
          <w:rFonts w:ascii="宋体" w:hAnsi="宋体" w:cs="宋体"/>
          <w:b/>
          <w:sz w:val="24"/>
          <w:szCs w:val="24"/>
        </w:rPr>
        <w:t>附件</w:t>
      </w:r>
      <w:r>
        <w:rPr>
          <w:rFonts w:hint="eastAsia" w:ascii="宋体" w:hAnsi="宋体" w:cs="宋体"/>
          <w:b/>
          <w:sz w:val="24"/>
          <w:szCs w:val="24"/>
        </w:rPr>
        <w:t>6</w:t>
      </w:r>
    </w:p>
    <w:p>
      <w:pPr>
        <w:spacing w:line="460" w:lineRule="exact"/>
        <w:ind w:left="181" w:firstLine="482"/>
        <w:jc w:val="center"/>
        <w:rPr>
          <w:rFonts w:ascii="宋体" w:hAnsi="宋体" w:cs="宋体"/>
          <w:b/>
          <w:sz w:val="28"/>
          <w:szCs w:val="28"/>
        </w:rPr>
      </w:pPr>
      <w:r>
        <w:rPr>
          <w:rFonts w:hint="eastAsia" w:ascii="宋体" w:hAnsi="宋体" w:cs="宋体"/>
          <w:b/>
          <w:sz w:val="28"/>
          <w:szCs w:val="28"/>
        </w:rPr>
        <w:t>商务要求点对点应答表</w:t>
      </w:r>
    </w:p>
    <w:p>
      <w:pPr>
        <w:spacing w:line="460" w:lineRule="exact"/>
        <w:rPr>
          <w:rFonts w:ascii="宋体" w:hAnsi="宋体" w:cs="宋体"/>
          <w:b/>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pPr>
        <w:spacing w:line="460" w:lineRule="exact"/>
        <w:rPr>
          <w:rFonts w:ascii="宋体" w:hAnsi="宋体" w:cs="宋体"/>
          <w:sz w:val="24"/>
          <w:szCs w:val="24"/>
          <w:u w:val="single"/>
        </w:rPr>
      </w:pPr>
      <w:r>
        <w:rPr>
          <w:rFonts w:hint="eastAsia" w:ascii="宋体" w:hAnsi="宋体" w:cs="宋体"/>
          <w:sz w:val="24"/>
          <w:szCs w:val="24"/>
        </w:rPr>
        <w:t>项目编号：</w:t>
      </w:r>
      <w:r>
        <w:rPr>
          <w:rFonts w:hint="eastAsia" w:ascii="宋体" w:hAnsi="宋体" w:cs="宋体"/>
          <w:sz w:val="24"/>
          <w:szCs w:val="24"/>
          <w:u w:val="single"/>
        </w:rPr>
        <w:t xml:space="preserve">                    </w:t>
      </w:r>
    </w:p>
    <w:p>
      <w:pPr>
        <w:spacing w:line="460" w:lineRule="exact"/>
        <w:ind w:firstLine="480"/>
        <w:rPr>
          <w:rFonts w:ascii="宋体" w:hAnsi="宋体" w:cs="宋体"/>
          <w:sz w:val="24"/>
          <w:szCs w:val="24"/>
        </w:rPr>
      </w:pPr>
    </w:p>
    <w:tbl>
      <w:tblPr>
        <w:tblStyle w:val="3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585"/>
        <w:gridCol w:w="1806"/>
        <w:gridCol w:w="1620"/>
        <w:gridCol w:w="1310"/>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17" w:type="dxa"/>
            <w:vAlign w:val="center"/>
          </w:tcPr>
          <w:p>
            <w:pPr>
              <w:jc w:val="center"/>
              <w:rPr>
                <w:sz w:val="24"/>
              </w:rPr>
            </w:pPr>
            <w:r>
              <w:rPr>
                <w:sz w:val="24"/>
              </w:rPr>
              <w:t>序号</w:t>
            </w:r>
          </w:p>
        </w:tc>
        <w:tc>
          <w:tcPr>
            <w:tcW w:w="1585" w:type="dxa"/>
            <w:vAlign w:val="center"/>
          </w:tcPr>
          <w:p>
            <w:pPr>
              <w:jc w:val="center"/>
              <w:rPr>
                <w:sz w:val="24"/>
              </w:rPr>
            </w:pPr>
            <w:r>
              <w:rPr>
                <w:sz w:val="24"/>
              </w:rPr>
              <w:t>名称</w:t>
            </w:r>
          </w:p>
        </w:tc>
        <w:tc>
          <w:tcPr>
            <w:tcW w:w="1806" w:type="dxa"/>
            <w:vAlign w:val="center"/>
          </w:tcPr>
          <w:p>
            <w:pPr>
              <w:jc w:val="center"/>
              <w:rPr>
                <w:sz w:val="24"/>
              </w:rPr>
            </w:pPr>
            <w:r>
              <w:rPr>
                <w:sz w:val="24"/>
              </w:rPr>
              <w:t>招标要求</w:t>
            </w:r>
          </w:p>
        </w:tc>
        <w:tc>
          <w:tcPr>
            <w:tcW w:w="1620" w:type="dxa"/>
            <w:vAlign w:val="center"/>
          </w:tcPr>
          <w:p>
            <w:pPr>
              <w:jc w:val="center"/>
              <w:rPr>
                <w:sz w:val="24"/>
              </w:rPr>
            </w:pPr>
            <w:r>
              <w:rPr>
                <w:sz w:val="24"/>
              </w:rPr>
              <w:t>投标应答</w:t>
            </w:r>
          </w:p>
        </w:tc>
        <w:tc>
          <w:tcPr>
            <w:tcW w:w="1310" w:type="dxa"/>
            <w:vAlign w:val="center"/>
          </w:tcPr>
          <w:p>
            <w:pPr>
              <w:jc w:val="center"/>
              <w:rPr>
                <w:sz w:val="24"/>
              </w:rPr>
            </w:pPr>
            <w:r>
              <w:rPr>
                <w:sz w:val="24"/>
              </w:rPr>
              <w:t>偏离说明</w:t>
            </w:r>
          </w:p>
        </w:tc>
        <w:tc>
          <w:tcPr>
            <w:tcW w:w="1217" w:type="dxa"/>
            <w:vAlign w:val="center"/>
          </w:tcPr>
          <w:p>
            <w:pPr>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17" w:type="dxa"/>
            <w:vAlign w:val="center"/>
          </w:tcPr>
          <w:p>
            <w:pPr>
              <w:jc w:val="center"/>
              <w:rPr>
                <w:sz w:val="24"/>
              </w:rPr>
            </w:pPr>
            <w:r>
              <w:rPr>
                <w:rFonts w:hint="eastAsia"/>
                <w:sz w:val="24"/>
              </w:rPr>
              <w:t>1</w:t>
            </w:r>
          </w:p>
        </w:tc>
        <w:tc>
          <w:tcPr>
            <w:tcW w:w="1585" w:type="dxa"/>
            <w:vAlign w:val="center"/>
          </w:tcPr>
          <w:p>
            <w:pPr>
              <w:jc w:val="center"/>
              <w:rPr>
                <w:sz w:val="24"/>
              </w:rPr>
            </w:pPr>
            <w:r>
              <w:rPr>
                <w:rFonts w:hint="eastAsia"/>
                <w:sz w:val="24"/>
              </w:rPr>
              <w:t>付款方式</w:t>
            </w:r>
          </w:p>
        </w:tc>
        <w:tc>
          <w:tcPr>
            <w:tcW w:w="1806" w:type="dxa"/>
            <w:vAlign w:val="center"/>
          </w:tcPr>
          <w:p>
            <w:pPr>
              <w:jc w:val="center"/>
              <w:rPr>
                <w:sz w:val="24"/>
              </w:rPr>
            </w:pPr>
          </w:p>
        </w:tc>
        <w:tc>
          <w:tcPr>
            <w:tcW w:w="1620" w:type="dxa"/>
            <w:vAlign w:val="center"/>
          </w:tcPr>
          <w:p>
            <w:pPr>
              <w:jc w:val="center"/>
              <w:rPr>
                <w:sz w:val="24"/>
              </w:rPr>
            </w:pPr>
          </w:p>
        </w:tc>
        <w:tc>
          <w:tcPr>
            <w:tcW w:w="1310" w:type="dxa"/>
            <w:vAlign w:val="center"/>
          </w:tcPr>
          <w:p>
            <w:pPr>
              <w:jc w:val="center"/>
              <w:rPr>
                <w:sz w:val="24"/>
              </w:rPr>
            </w:pPr>
          </w:p>
        </w:tc>
        <w:tc>
          <w:tcPr>
            <w:tcW w:w="121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17" w:type="dxa"/>
            <w:vAlign w:val="center"/>
          </w:tcPr>
          <w:p>
            <w:pPr>
              <w:jc w:val="center"/>
              <w:rPr>
                <w:sz w:val="24"/>
              </w:rPr>
            </w:pPr>
            <w:r>
              <w:rPr>
                <w:sz w:val="24"/>
              </w:rPr>
              <w:t>2</w:t>
            </w:r>
          </w:p>
        </w:tc>
        <w:tc>
          <w:tcPr>
            <w:tcW w:w="1585" w:type="dxa"/>
            <w:vAlign w:val="center"/>
          </w:tcPr>
          <w:p>
            <w:pPr>
              <w:jc w:val="center"/>
              <w:rPr>
                <w:sz w:val="24"/>
              </w:rPr>
            </w:pPr>
            <w:r>
              <w:rPr>
                <w:rFonts w:hint="eastAsia"/>
                <w:sz w:val="24"/>
              </w:rPr>
              <w:t>服务标准</w:t>
            </w:r>
          </w:p>
        </w:tc>
        <w:tc>
          <w:tcPr>
            <w:tcW w:w="1806" w:type="dxa"/>
            <w:vAlign w:val="center"/>
          </w:tcPr>
          <w:p>
            <w:pPr>
              <w:jc w:val="center"/>
              <w:rPr>
                <w:sz w:val="24"/>
              </w:rPr>
            </w:pPr>
          </w:p>
        </w:tc>
        <w:tc>
          <w:tcPr>
            <w:tcW w:w="1620" w:type="dxa"/>
            <w:vAlign w:val="center"/>
          </w:tcPr>
          <w:p>
            <w:pPr>
              <w:jc w:val="center"/>
              <w:rPr>
                <w:sz w:val="24"/>
              </w:rPr>
            </w:pPr>
          </w:p>
        </w:tc>
        <w:tc>
          <w:tcPr>
            <w:tcW w:w="1310" w:type="dxa"/>
            <w:vAlign w:val="center"/>
          </w:tcPr>
          <w:p>
            <w:pPr>
              <w:jc w:val="center"/>
              <w:rPr>
                <w:sz w:val="24"/>
              </w:rPr>
            </w:pPr>
          </w:p>
        </w:tc>
        <w:tc>
          <w:tcPr>
            <w:tcW w:w="121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217" w:type="dxa"/>
            <w:vAlign w:val="center"/>
          </w:tcPr>
          <w:p>
            <w:pPr>
              <w:jc w:val="center"/>
              <w:rPr>
                <w:sz w:val="24"/>
              </w:rPr>
            </w:pPr>
            <w:r>
              <w:rPr>
                <w:sz w:val="24"/>
              </w:rPr>
              <w:t>3</w:t>
            </w:r>
          </w:p>
        </w:tc>
        <w:tc>
          <w:tcPr>
            <w:tcW w:w="1585" w:type="dxa"/>
            <w:vAlign w:val="center"/>
          </w:tcPr>
          <w:p>
            <w:pPr>
              <w:jc w:val="center"/>
              <w:rPr>
                <w:sz w:val="24"/>
              </w:rPr>
            </w:pPr>
            <w:r>
              <w:rPr>
                <w:rFonts w:hint="eastAsia"/>
                <w:sz w:val="24"/>
              </w:rPr>
              <w:t>服务时间</w:t>
            </w:r>
          </w:p>
        </w:tc>
        <w:tc>
          <w:tcPr>
            <w:tcW w:w="1806" w:type="dxa"/>
            <w:vAlign w:val="center"/>
          </w:tcPr>
          <w:p>
            <w:pPr>
              <w:jc w:val="center"/>
              <w:rPr>
                <w:sz w:val="24"/>
              </w:rPr>
            </w:pPr>
          </w:p>
        </w:tc>
        <w:tc>
          <w:tcPr>
            <w:tcW w:w="1620" w:type="dxa"/>
            <w:vAlign w:val="center"/>
          </w:tcPr>
          <w:p>
            <w:pPr>
              <w:jc w:val="center"/>
              <w:rPr>
                <w:sz w:val="24"/>
              </w:rPr>
            </w:pPr>
          </w:p>
        </w:tc>
        <w:tc>
          <w:tcPr>
            <w:tcW w:w="1310" w:type="dxa"/>
            <w:vAlign w:val="center"/>
          </w:tcPr>
          <w:p>
            <w:pPr>
              <w:jc w:val="center"/>
              <w:rPr>
                <w:sz w:val="24"/>
              </w:rPr>
            </w:pPr>
          </w:p>
        </w:tc>
        <w:tc>
          <w:tcPr>
            <w:tcW w:w="121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17" w:type="dxa"/>
            <w:vAlign w:val="center"/>
          </w:tcPr>
          <w:p>
            <w:pPr>
              <w:jc w:val="center"/>
              <w:rPr>
                <w:sz w:val="24"/>
              </w:rPr>
            </w:pPr>
            <w:r>
              <w:rPr>
                <w:sz w:val="24"/>
              </w:rPr>
              <w:t>4</w:t>
            </w:r>
          </w:p>
        </w:tc>
        <w:tc>
          <w:tcPr>
            <w:tcW w:w="1585" w:type="dxa"/>
            <w:vAlign w:val="center"/>
          </w:tcPr>
          <w:p>
            <w:pPr>
              <w:jc w:val="center"/>
              <w:rPr>
                <w:sz w:val="24"/>
              </w:rPr>
            </w:pPr>
            <w:r>
              <w:rPr>
                <w:rFonts w:hint="eastAsia"/>
                <w:sz w:val="24"/>
              </w:rPr>
              <w:t>服务地点</w:t>
            </w:r>
          </w:p>
        </w:tc>
        <w:tc>
          <w:tcPr>
            <w:tcW w:w="1806" w:type="dxa"/>
            <w:vAlign w:val="center"/>
          </w:tcPr>
          <w:p>
            <w:pPr>
              <w:jc w:val="center"/>
              <w:rPr>
                <w:sz w:val="24"/>
              </w:rPr>
            </w:pPr>
          </w:p>
        </w:tc>
        <w:tc>
          <w:tcPr>
            <w:tcW w:w="1620" w:type="dxa"/>
            <w:vAlign w:val="center"/>
          </w:tcPr>
          <w:p>
            <w:pPr>
              <w:jc w:val="center"/>
              <w:rPr>
                <w:sz w:val="24"/>
              </w:rPr>
            </w:pPr>
          </w:p>
        </w:tc>
        <w:tc>
          <w:tcPr>
            <w:tcW w:w="1310" w:type="dxa"/>
            <w:vAlign w:val="center"/>
          </w:tcPr>
          <w:p>
            <w:pPr>
              <w:jc w:val="center"/>
              <w:rPr>
                <w:sz w:val="24"/>
              </w:rPr>
            </w:pPr>
          </w:p>
        </w:tc>
        <w:tc>
          <w:tcPr>
            <w:tcW w:w="121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17" w:type="dxa"/>
            <w:vAlign w:val="center"/>
          </w:tcPr>
          <w:p>
            <w:pPr>
              <w:spacing w:line="360" w:lineRule="auto"/>
              <w:jc w:val="center"/>
              <w:rPr>
                <w:rFonts w:ascii="宋体" w:hAnsi="宋体" w:eastAsia="宋体"/>
                <w:sz w:val="24"/>
              </w:rPr>
            </w:pPr>
            <w:r>
              <w:rPr>
                <w:rFonts w:hint="eastAsia" w:ascii="宋体" w:hAnsi="宋体" w:eastAsia="宋体"/>
                <w:sz w:val="24"/>
              </w:rPr>
              <w:t>5</w:t>
            </w:r>
          </w:p>
        </w:tc>
        <w:tc>
          <w:tcPr>
            <w:tcW w:w="1585" w:type="dxa"/>
            <w:vAlign w:val="center"/>
          </w:tcPr>
          <w:p>
            <w:pPr>
              <w:jc w:val="center"/>
              <w:rPr>
                <w:rFonts w:ascii="宋体" w:hAnsi="宋体" w:eastAsia="宋体"/>
                <w:b/>
                <w:sz w:val="24"/>
              </w:rPr>
            </w:pPr>
            <w:r>
              <w:rPr>
                <w:rFonts w:hint="eastAsia" w:ascii="宋体" w:hAnsi="宋体" w:eastAsia="宋体"/>
                <w:sz w:val="24"/>
              </w:rPr>
              <w:t>服务范围</w:t>
            </w:r>
          </w:p>
        </w:tc>
        <w:tc>
          <w:tcPr>
            <w:tcW w:w="1806" w:type="dxa"/>
            <w:vAlign w:val="center"/>
          </w:tcPr>
          <w:p>
            <w:pPr>
              <w:jc w:val="center"/>
              <w:rPr>
                <w:sz w:val="24"/>
              </w:rPr>
            </w:pPr>
          </w:p>
        </w:tc>
        <w:tc>
          <w:tcPr>
            <w:tcW w:w="1620" w:type="dxa"/>
            <w:vAlign w:val="center"/>
          </w:tcPr>
          <w:p>
            <w:pPr>
              <w:jc w:val="center"/>
              <w:rPr>
                <w:sz w:val="24"/>
              </w:rPr>
            </w:pPr>
          </w:p>
        </w:tc>
        <w:tc>
          <w:tcPr>
            <w:tcW w:w="1310" w:type="dxa"/>
            <w:vAlign w:val="center"/>
          </w:tcPr>
          <w:p>
            <w:pPr>
              <w:jc w:val="center"/>
              <w:rPr>
                <w:sz w:val="24"/>
              </w:rPr>
            </w:pPr>
          </w:p>
        </w:tc>
        <w:tc>
          <w:tcPr>
            <w:tcW w:w="121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spacing w:line="360" w:lineRule="auto"/>
              <w:jc w:val="center"/>
              <w:rPr>
                <w:rFonts w:ascii="宋体" w:hAnsi="宋体" w:eastAsia="宋体"/>
                <w:sz w:val="24"/>
              </w:rPr>
            </w:pPr>
            <w:r>
              <w:rPr>
                <w:rFonts w:hint="eastAsia" w:ascii="宋体" w:hAnsi="宋体" w:eastAsia="宋体"/>
                <w:sz w:val="24"/>
              </w:rPr>
              <w:t>6</w:t>
            </w:r>
          </w:p>
        </w:tc>
        <w:tc>
          <w:tcPr>
            <w:tcW w:w="1585" w:type="dxa"/>
            <w:vAlign w:val="center"/>
          </w:tcPr>
          <w:p>
            <w:pPr>
              <w:spacing w:line="360" w:lineRule="auto"/>
              <w:jc w:val="center"/>
              <w:rPr>
                <w:rFonts w:ascii="宋体" w:hAnsi="宋体" w:eastAsia="宋体"/>
                <w:sz w:val="24"/>
              </w:rPr>
            </w:pPr>
            <w:r>
              <w:rPr>
                <w:rFonts w:hint="eastAsia"/>
                <w:sz w:val="24"/>
              </w:rPr>
              <w:t>投标有效期</w:t>
            </w:r>
          </w:p>
        </w:tc>
        <w:tc>
          <w:tcPr>
            <w:tcW w:w="1806" w:type="dxa"/>
            <w:vAlign w:val="center"/>
          </w:tcPr>
          <w:p>
            <w:pPr>
              <w:jc w:val="center"/>
              <w:rPr>
                <w:sz w:val="24"/>
              </w:rPr>
            </w:pPr>
          </w:p>
        </w:tc>
        <w:tc>
          <w:tcPr>
            <w:tcW w:w="1620" w:type="dxa"/>
            <w:vAlign w:val="center"/>
          </w:tcPr>
          <w:p>
            <w:pPr>
              <w:jc w:val="center"/>
              <w:rPr>
                <w:sz w:val="24"/>
              </w:rPr>
            </w:pPr>
          </w:p>
        </w:tc>
        <w:tc>
          <w:tcPr>
            <w:tcW w:w="1310" w:type="dxa"/>
            <w:vAlign w:val="center"/>
          </w:tcPr>
          <w:p>
            <w:pPr>
              <w:jc w:val="center"/>
              <w:rPr>
                <w:sz w:val="24"/>
              </w:rPr>
            </w:pPr>
          </w:p>
        </w:tc>
        <w:tc>
          <w:tcPr>
            <w:tcW w:w="121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spacing w:line="360" w:lineRule="auto"/>
              <w:jc w:val="center"/>
              <w:rPr>
                <w:rFonts w:ascii="Times New Roman" w:hAnsi="Times New Roman" w:eastAsia="宋体"/>
                <w:sz w:val="24"/>
                <w:szCs w:val="20"/>
              </w:rPr>
            </w:pPr>
            <w:r>
              <w:rPr>
                <w:rFonts w:hint="eastAsia" w:ascii="宋体" w:hAnsi="宋体" w:eastAsia="宋体"/>
                <w:sz w:val="24"/>
              </w:rPr>
              <w:t>…</w:t>
            </w:r>
          </w:p>
        </w:tc>
        <w:tc>
          <w:tcPr>
            <w:tcW w:w="1585" w:type="dxa"/>
            <w:vAlign w:val="center"/>
          </w:tcPr>
          <w:p>
            <w:pPr>
              <w:spacing w:line="360" w:lineRule="auto"/>
              <w:jc w:val="center"/>
              <w:rPr>
                <w:rFonts w:ascii="Times New Roman" w:hAnsi="Times New Roman" w:eastAsia="宋体"/>
                <w:sz w:val="24"/>
              </w:rPr>
            </w:pPr>
            <w:r>
              <w:rPr>
                <w:rFonts w:hint="eastAsia" w:ascii="宋体" w:hAnsi="宋体" w:eastAsia="宋体"/>
                <w:sz w:val="24"/>
              </w:rPr>
              <w:t>…</w:t>
            </w:r>
          </w:p>
        </w:tc>
        <w:tc>
          <w:tcPr>
            <w:tcW w:w="1806" w:type="dxa"/>
            <w:vAlign w:val="center"/>
          </w:tcPr>
          <w:p>
            <w:pPr>
              <w:jc w:val="center"/>
              <w:rPr>
                <w:sz w:val="24"/>
              </w:rPr>
            </w:pPr>
          </w:p>
        </w:tc>
        <w:tc>
          <w:tcPr>
            <w:tcW w:w="1620" w:type="dxa"/>
            <w:vAlign w:val="center"/>
          </w:tcPr>
          <w:p>
            <w:pPr>
              <w:jc w:val="center"/>
              <w:rPr>
                <w:sz w:val="24"/>
              </w:rPr>
            </w:pPr>
          </w:p>
        </w:tc>
        <w:tc>
          <w:tcPr>
            <w:tcW w:w="1310" w:type="dxa"/>
            <w:vAlign w:val="center"/>
          </w:tcPr>
          <w:p>
            <w:pPr>
              <w:jc w:val="center"/>
              <w:rPr>
                <w:sz w:val="24"/>
              </w:rPr>
            </w:pPr>
          </w:p>
        </w:tc>
        <w:tc>
          <w:tcPr>
            <w:tcW w:w="1217" w:type="dxa"/>
            <w:vAlign w:val="center"/>
          </w:tcPr>
          <w:p>
            <w:pPr>
              <w:jc w:val="center"/>
              <w:rPr>
                <w:sz w:val="24"/>
              </w:rPr>
            </w:pPr>
          </w:p>
        </w:tc>
      </w:tr>
    </w:tbl>
    <w:p>
      <w:pPr>
        <w:spacing w:line="460" w:lineRule="exact"/>
        <w:ind w:firstLine="480"/>
        <w:rPr>
          <w:rFonts w:ascii="宋体" w:hAnsi="宋体" w:cs="宋体"/>
          <w:sz w:val="24"/>
          <w:szCs w:val="24"/>
        </w:rPr>
      </w:pPr>
    </w:p>
    <w:p>
      <w:pPr>
        <w:spacing w:line="360" w:lineRule="auto"/>
        <w:ind w:firstLine="480"/>
        <w:rPr>
          <w:rFonts w:ascii="宋体" w:hAnsi="宋体" w:cs="宋体"/>
          <w:sz w:val="24"/>
          <w:szCs w:val="24"/>
        </w:rPr>
      </w:pPr>
      <w:r>
        <w:rPr>
          <w:rFonts w:hint="eastAsia" w:ascii="宋体" w:hAnsi="宋体" w:cs="宋体"/>
          <w:sz w:val="24"/>
          <w:szCs w:val="24"/>
        </w:rPr>
        <w:t>注：</w:t>
      </w:r>
    </w:p>
    <w:p>
      <w:pPr>
        <w:spacing w:line="360" w:lineRule="auto"/>
        <w:ind w:firstLine="480"/>
        <w:rPr>
          <w:rFonts w:ascii="宋体" w:hAnsi="宋体" w:cs="宋体"/>
          <w:sz w:val="24"/>
          <w:szCs w:val="24"/>
        </w:rPr>
      </w:pPr>
      <w:r>
        <w:rPr>
          <w:rFonts w:hint="eastAsia" w:ascii="宋体" w:hAnsi="宋体" w:cs="宋体"/>
          <w:sz w:val="24"/>
          <w:szCs w:val="24"/>
        </w:rPr>
        <w:t>1. 不如实填写偏离情况的投标文件将视为虚假材料。</w:t>
      </w:r>
    </w:p>
    <w:p>
      <w:pPr>
        <w:spacing w:line="360" w:lineRule="auto"/>
        <w:ind w:firstLine="480"/>
        <w:rPr>
          <w:rFonts w:ascii="宋体" w:hAnsi="宋体" w:cs="宋体"/>
          <w:sz w:val="24"/>
          <w:szCs w:val="24"/>
        </w:rPr>
      </w:pPr>
      <w:r>
        <w:rPr>
          <w:rFonts w:hint="eastAsia" w:ascii="宋体" w:hAnsi="宋体" w:cs="宋体"/>
          <w:sz w:val="24"/>
          <w:szCs w:val="24"/>
        </w:rPr>
        <w:t>2. 项目要求指招标文件中规定的具体要求。</w:t>
      </w:r>
    </w:p>
    <w:p>
      <w:pPr>
        <w:spacing w:line="360" w:lineRule="auto"/>
        <w:ind w:firstLine="480"/>
        <w:rPr>
          <w:rFonts w:ascii="宋体" w:hAnsi="宋体" w:cs="宋体"/>
          <w:sz w:val="24"/>
          <w:szCs w:val="24"/>
        </w:rPr>
      </w:pPr>
      <w:r>
        <w:rPr>
          <w:rFonts w:hint="eastAsia" w:ascii="宋体" w:hAnsi="宋体" w:cs="宋体"/>
          <w:sz w:val="24"/>
          <w:szCs w:val="24"/>
        </w:rPr>
        <w:t>3. 投标应答指投标人的实际情况。</w:t>
      </w:r>
    </w:p>
    <w:p>
      <w:pPr>
        <w:spacing w:line="360" w:lineRule="auto"/>
        <w:ind w:firstLine="480"/>
        <w:rPr>
          <w:rFonts w:ascii="宋体" w:hAnsi="宋体" w:cs="宋体"/>
          <w:sz w:val="24"/>
          <w:szCs w:val="24"/>
        </w:rPr>
      </w:pPr>
      <w:r>
        <w:rPr>
          <w:rFonts w:hint="eastAsia" w:ascii="宋体" w:hAnsi="宋体" w:cs="宋体"/>
          <w:sz w:val="24"/>
          <w:szCs w:val="24"/>
        </w:rPr>
        <w:t>4. 偏离说明指项目要求与投标应答之间的不同之处。</w:t>
      </w:r>
    </w:p>
    <w:p>
      <w:pPr>
        <w:tabs>
          <w:tab w:val="left" w:pos="10605"/>
        </w:tabs>
        <w:spacing w:line="460" w:lineRule="exact"/>
        <w:ind w:left="210" w:right="653" w:firstLine="480"/>
        <w:rPr>
          <w:rFonts w:ascii="宋体" w:hAnsi="宋体" w:cs="宋体"/>
          <w:sz w:val="24"/>
          <w:szCs w:val="24"/>
        </w:rPr>
      </w:pPr>
    </w:p>
    <w:p>
      <w:pPr>
        <w:spacing w:line="460" w:lineRule="exact"/>
        <w:ind w:left="192" w:firstLine="3948" w:firstLineChars="1645"/>
        <w:rPr>
          <w:rFonts w:ascii="宋体" w:hAnsi="宋体" w:cs="宋体"/>
          <w:sz w:val="24"/>
          <w:szCs w:val="24"/>
          <w:u w:val="single"/>
        </w:rPr>
      </w:pPr>
      <w:r>
        <w:rPr>
          <w:rFonts w:hint="eastAsia" w:ascii="宋体" w:hAnsi="宋体" w:cs="宋体"/>
          <w:sz w:val="24"/>
          <w:szCs w:val="24"/>
        </w:rPr>
        <w:t>投标人代表签字：</w:t>
      </w:r>
      <w:r>
        <w:rPr>
          <w:rFonts w:hint="eastAsia" w:ascii="宋体" w:hAnsi="宋体" w:cs="宋体"/>
          <w:sz w:val="24"/>
          <w:szCs w:val="24"/>
          <w:u w:val="single"/>
        </w:rPr>
        <w:t xml:space="preserve">                     </w:t>
      </w:r>
    </w:p>
    <w:p>
      <w:pPr>
        <w:spacing w:line="460" w:lineRule="exact"/>
        <w:ind w:left="192" w:firstLine="3948" w:firstLineChars="1645"/>
        <w:rPr>
          <w:rFonts w:ascii="宋体" w:hAnsi="宋体" w:cs="宋体"/>
          <w:sz w:val="24"/>
          <w:szCs w:val="24"/>
        </w:rPr>
      </w:pPr>
      <w:r>
        <w:rPr>
          <w:rFonts w:hint="eastAsia" w:ascii="宋体" w:hAnsi="宋体" w:cs="宋体"/>
          <w:sz w:val="24"/>
          <w:szCs w:val="24"/>
        </w:rPr>
        <w:t>职务：_________日期：</w:t>
      </w:r>
      <w:r>
        <w:rPr>
          <w:rFonts w:hint="eastAsia" w:ascii="宋体" w:hAnsi="宋体" w:cs="宋体"/>
          <w:sz w:val="24"/>
          <w:szCs w:val="24"/>
          <w:u w:val="single"/>
        </w:rPr>
        <w:t xml:space="preserve">                   </w:t>
      </w:r>
    </w:p>
    <w:p>
      <w:pPr>
        <w:spacing w:line="460" w:lineRule="exact"/>
        <w:ind w:left="192" w:firstLine="3948" w:firstLineChars="1645"/>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p>
    <w:p>
      <w:pPr>
        <w:spacing w:line="360" w:lineRule="auto"/>
        <w:ind w:firstLine="480"/>
        <w:jc w:val="center"/>
        <w:rPr>
          <w:rFonts w:ascii="宋体" w:hAnsi="宋体" w:cs="宋体"/>
          <w:b/>
          <w:sz w:val="24"/>
          <w:szCs w:val="24"/>
        </w:rPr>
      </w:pPr>
      <w:r>
        <w:rPr>
          <w:rFonts w:hint="eastAsia" w:ascii="宋体" w:hAnsi="宋体" w:cs="宋体"/>
          <w:sz w:val="24"/>
          <w:szCs w:val="24"/>
        </w:rPr>
        <w:br w:type="page"/>
      </w:r>
    </w:p>
    <w:p>
      <w:pPr>
        <w:spacing w:line="360" w:lineRule="auto"/>
        <w:jc w:val="left"/>
        <w:rPr>
          <w:rFonts w:ascii="宋体" w:hAnsi="宋体" w:cs="宋体"/>
          <w:b/>
          <w:sz w:val="24"/>
          <w:szCs w:val="24"/>
        </w:rPr>
      </w:pPr>
      <w:r>
        <w:rPr>
          <w:rFonts w:hint="eastAsia" w:ascii="宋体" w:hAnsi="宋体" w:cs="宋体"/>
          <w:b/>
          <w:sz w:val="24"/>
          <w:szCs w:val="24"/>
        </w:rPr>
        <w:t>附件7</w:t>
      </w:r>
    </w:p>
    <w:p>
      <w:pPr>
        <w:spacing w:line="360" w:lineRule="auto"/>
        <w:ind w:firstLine="480"/>
        <w:jc w:val="center"/>
        <w:rPr>
          <w:rFonts w:ascii="宋体" w:hAnsi="宋体" w:eastAsia="宋体" w:cs="宋体"/>
          <w:b/>
          <w:bCs/>
          <w:sz w:val="28"/>
          <w:szCs w:val="28"/>
        </w:rPr>
      </w:pPr>
      <w:r>
        <w:rPr>
          <w:rFonts w:ascii="宋体" w:hAnsi="宋体" w:eastAsia="宋体" w:cs="宋体"/>
          <w:b/>
          <w:bCs/>
          <w:sz w:val="28"/>
          <w:szCs w:val="28"/>
        </w:rPr>
        <w:t>技术要求点对点应答表</w:t>
      </w:r>
    </w:p>
    <w:p>
      <w:pPr>
        <w:pStyle w:val="2"/>
        <w:jc w:val="center"/>
        <w:rPr>
          <w:sz w:val="24"/>
          <w:szCs w:val="24"/>
        </w:rPr>
      </w:pPr>
      <w:r>
        <w:rPr>
          <w:rFonts w:hint="eastAsia" w:ascii="宋体" w:hAnsi="宋体" w:cs="宋体"/>
          <w:b/>
          <w:bCs/>
          <w:sz w:val="24"/>
          <w:szCs w:val="24"/>
        </w:rPr>
        <w:t>（限非项目需求书中“三、设备清单及规格”）</w:t>
      </w:r>
    </w:p>
    <w:p>
      <w:pPr>
        <w:spacing w:line="360" w:lineRule="auto"/>
        <w:ind w:firstLine="480"/>
        <w:rPr>
          <w:rFonts w:ascii="宋体" w:hAnsi="宋体" w:eastAsia="宋体" w:cs="宋体"/>
          <w:sz w:val="24"/>
          <w:szCs w:val="24"/>
        </w:rPr>
      </w:pPr>
    </w:p>
    <w:p>
      <w:pPr>
        <w:spacing w:line="360" w:lineRule="auto"/>
        <w:rPr>
          <w:rFonts w:ascii="宋体" w:hAnsi="宋体" w:eastAsia="宋体" w:cs="宋体"/>
          <w:sz w:val="24"/>
          <w:szCs w:val="24"/>
        </w:rPr>
      </w:pPr>
      <w:r>
        <w:rPr>
          <w:rFonts w:ascii="宋体" w:hAnsi="宋体" w:eastAsia="宋体" w:cs="宋体"/>
          <w:sz w:val="24"/>
          <w:szCs w:val="24"/>
        </w:rPr>
        <w:t>项目名称：</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r>
        <w:rPr>
          <w:rFonts w:ascii="宋体" w:hAnsi="宋体" w:eastAsia="宋体" w:cs="宋体"/>
          <w:sz w:val="24"/>
          <w:szCs w:val="24"/>
        </w:rPr>
        <w:t>项目编号：</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spacing w:line="360" w:lineRule="auto"/>
        <w:ind w:firstLine="480"/>
        <w:rPr>
          <w:rFonts w:ascii="宋体" w:hAnsi="宋体" w:eastAsia="宋体" w:cs="宋体"/>
          <w:sz w:val="24"/>
          <w:szCs w:val="24"/>
          <w:u w:val="single"/>
        </w:rPr>
      </w:pPr>
    </w:p>
    <w:tbl>
      <w:tblPr>
        <w:tblStyle w:val="32"/>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712"/>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50" w:type="dxa"/>
            <w:shd w:val="clear" w:color="auto" w:fill="auto"/>
            <w:vAlign w:val="center"/>
          </w:tcPr>
          <w:p>
            <w:pPr>
              <w:spacing w:line="360" w:lineRule="auto"/>
              <w:rPr>
                <w:rFonts w:ascii="宋体" w:hAnsi="宋体" w:eastAsia="宋体" w:cs="宋体"/>
                <w:sz w:val="24"/>
                <w:szCs w:val="24"/>
              </w:rPr>
            </w:pPr>
            <w:r>
              <w:rPr>
                <w:rFonts w:ascii="宋体" w:hAnsi="宋体" w:eastAsia="宋体" w:cs="宋体"/>
                <w:sz w:val="24"/>
                <w:szCs w:val="24"/>
              </w:rPr>
              <w:t>序号</w:t>
            </w:r>
          </w:p>
        </w:tc>
        <w:tc>
          <w:tcPr>
            <w:tcW w:w="2712" w:type="dxa"/>
            <w:shd w:val="clear" w:color="auto" w:fill="auto"/>
            <w:vAlign w:val="center"/>
          </w:tcPr>
          <w:p>
            <w:pPr>
              <w:spacing w:line="360" w:lineRule="auto"/>
              <w:jc w:val="center"/>
              <w:rPr>
                <w:rFonts w:ascii="宋体" w:hAnsi="宋体" w:eastAsia="宋体" w:cs="宋体"/>
                <w:sz w:val="24"/>
                <w:szCs w:val="24"/>
              </w:rPr>
            </w:pPr>
            <w:r>
              <w:rPr>
                <w:rFonts w:ascii="宋体" w:hAnsi="宋体" w:eastAsia="宋体" w:cs="宋体"/>
                <w:sz w:val="24"/>
                <w:szCs w:val="24"/>
              </w:rPr>
              <w:t>招标要求</w:t>
            </w:r>
          </w:p>
        </w:tc>
        <w:tc>
          <w:tcPr>
            <w:tcW w:w="2438" w:type="dxa"/>
            <w:shd w:val="clear" w:color="auto" w:fill="auto"/>
            <w:vAlign w:val="center"/>
          </w:tcPr>
          <w:p>
            <w:pPr>
              <w:spacing w:line="360" w:lineRule="auto"/>
              <w:ind w:firstLine="480"/>
              <w:rPr>
                <w:rFonts w:ascii="宋体" w:hAnsi="宋体" w:eastAsia="宋体" w:cs="宋体"/>
                <w:sz w:val="24"/>
                <w:szCs w:val="24"/>
              </w:rPr>
            </w:pPr>
            <w:r>
              <w:rPr>
                <w:rFonts w:ascii="宋体" w:hAnsi="宋体" w:eastAsia="宋体" w:cs="宋体"/>
                <w:sz w:val="24"/>
                <w:szCs w:val="24"/>
              </w:rPr>
              <w:t>投标应答</w:t>
            </w:r>
          </w:p>
        </w:tc>
        <w:tc>
          <w:tcPr>
            <w:tcW w:w="1289" w:type="dxa"/>
            <w:shd w:val="clear" w:color="auto" w:fill="auto"/>
            <w:vAlign w:val="center"/>
          </w:tcPr>
          <w:p>
            <w:pPr>
              <w:spacing w:line="360" w:lineRule="auto"/>
              <w:rPr>
                <w:rFonts w:ascii="宋体" w:hAnsi="宋体" w:eastAsia="宋体" w:cs="宋体"/>
                <w:sz w:val="24"/>
                <w:szCs w:val="24"/>
              </w:rPr>
            </w:pPr>
            <w:r>
              <w:rPr>
                <w:rFonts w:ascii="宋体" w:hAnsi="宋体" w:eastAsia="宋体" w:cs="宋体"/>
                <w:sz w:val="24"/>
                <w:szCs w:val="24"/>
              </w:rPr>
              <w:t>偏离说明</w:t>
            </w:r>
          </w:p>
        </w:tc>
        <w:tc>
          <w:tcPr>
            <w:tcW w:w="843" w:type="dxa"/>
            <w:shd w:val="clear" w:color="auto" w:fill="auto"/>
            <w:vAlign w:val="center"/>
          </w:tcPr>
          <w:p>
            <w:pPr>
              <w:spacing w:line="360" w:lineRule="auto"/>
              <w:rPr>
                <w:rFonts w:ascii="宋体" w:hAnsi="宋体" w:eastAsia="宋体" w:cs="宋体"/>
                <w:sz w:val="24"/>
                <w:szCs w:val="24"/>
              </w:rPr>
            </w:pPr>
            <w:r>
              <w:rPr>
                <w:rFonts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2712" w:type="dxa"/>
            <w:shd w:val="clear" w:color="auto" w:fill="auto"/>
            <w:vAlign w:val="center"/>
          </w:tcPr>
          <w:p>
            <w:pPr>
              <w:spacing w:line="360" w:lineRule="auto"/>
              <w:jc w:val="left"/>
              <w:rPr>
                <w:rFonts w:ascii="宋体" w:hAnsi="宋体" w:eastAsia="宋体" w:cs="宋体"/>
                <w:sz w:val="24"/>
                <w:szCs w:val="24"/>
              </w:rPr>
            </w:pPr>
          </w:p>
        </w:tc>
        <w:tc>
          <w:tcPr>
            <w:tcW w:w="2438" w:type="dxa"/>
            <w:shd w:val="clear" w:color="auto" w:fill="auto"/>
            <w:vAlign w:val="center"/>
          </w:tcPr>
          <w:p>
            <w:pPr>
              <w:spacing w:line="360" w:lineRule="auto"/>
              <w:ind w:firstLine="480"/>
              <w:rPr>
                <w:rFonts w:ascii="宋体" w:hAnsi="宋体" w:eastAsia="宋体" w:cs="宋体"/>
                <w:sz w:val="24"/>
                <w:szCs w:val="24"/>
              </w:rPr>
            </w:pPr>
          </w:p>
        </w:tc>
        <w:tc>
          <w:tcPr>
            <w:tcW w:w="1289" w:type="dxa"/>
            <w:shd w:val="clear" w:color="auto" w:fill="auto"/>
            <w:vAlign w:val="center"/>
          </w:tcPr>
          <w:p>
            <w:pPr>
              <w:spacing w:line="360" w:lineRule="auto"/>
              <w:ind w:firstLine="480"/>
              <w:rPr>
                <w:rFonts w:ascii="宋体" w:hAnsi="宋体" w:eastAsia="宋体" w:cs="宋体"/>
                <w:sz w:val="24"/>
                <w:szCs w:val="24"/>
              </w:rPr>
            </w:pPr>
          </w:p>
        </w:tc>
        <w:tc>
          <w:tcPr>
            <w:tcW w:w="843" w:type="dxa"/>
            <w:shd w:val="clear" w:color="auto" w:fill="auto"/>
            <w:vAlign w:val="center"/>
          </w:tcPr>
          <w:p>
            <w:pPr>
              <w:spacing w:line="360" w:lineRule="auto"/>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2712" w:type="dxa"/>
            <w:shd w:val="clear" w:color="auto" w:fill="auto"/>
            <w:vAlign w:val="center"/>
          </w:tcPr>
          <w:p>
            <w:pPr>
              <w:spacing w:line="360" w:lineRule="auto"/>
              <w:ind w:firstLine="480"/>
              <w:jc w:val="left"/>
              <w:rPr>
                <w:rFonts w:ascii="宋体" w:hAnsi="宋体" w:eastAsia="宋体" w:cs="宋体"/>
                <w:sz w:val="24"/>
                <w:szCs w:val="24"/>
              </w:rPr>
            </w:pPr>
          </w:p>
        </w:tc>
        <w:tc>
          <w:tcPr>
            <w:tcW w:w="2438" w:type="dxa"/>
            <w:shd w:val="clear" w:color="auto" w:fill="auto"/>
            <w:vAlign w:val="center"/>
          </w:tcPr>
          <w:p>
            <w:pPr>
              <w:spacing w:line="360" w:lineRule="auto"/>
              <w:ind w:firstLine="480"/>
              <w:rPr>
                <w:rFonts w:ascii="宋体" w:hAnsi="宋体" w:eastAsia="宋体" w:cs="宋体"/>
                <w:sz w:val="24"/>
                <w:szCs w:val="24"/>
              </w:rPr>
            </w:pPr>
          </w:p>
        </w:tc>
        <w:tc>
          <w:tcPr>
            <w:tcW w:w="1289" w:type="dxa"/>
            <w:shd w:val="clear" w:color="auto" w:fill="auto"/>
            <w:vAlign w:val="center"/>
          </w:tcPr>
          <w:p>
            <w:pPr>
              <w:spacing w:line="360" w:lineRule="auto"/>
              <w:ind w:firstLine="480"/>
              <w:rPr>
                <w:rFonts w:ascii="宋体" w:hAnsi="宋体" w:eastAsia="宋体" w:cs="宋体"/>
                <w:sz w:val="24"/>
                <w:szCs w:val="24"/>
              </w:rPr>
            </w:pPr>
          </w:p>
        </w:tc>
        <w:tc>
          <w:tcPr>
            <w:tcW w:w="843" w:type="dxa"/>
            <w:shd w:val="clear" w:color="auto" w:fill="auto"/>
            <w:vAlign w:val="center"/>
          </w:tcPr>
          <w:p>
            <w:pPr>
              <w:spacing w:line="360" w:lineRule="auto"/>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0" w:type="dxa"/>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2712" w:type="dxa"/>
            <w:shd w:val="clear" w:color="auto" w:fill="auto"/>
            <w:vAlign w:val="center"/>
          </w:tcPr>
          <w:p>
            <w:pPr>
              <w:spacing w:line="360" w:lineRule="auto"/>
              <w:ind w:firstLine="480"/>
              <w:jc w:val="left"/>
              <w:rPr>
                <w:rFonts w:ascii="宋体" w:hAnsi="宋体" w:eastAsia="宋体" w:cs="宋体"/>
                <w:sz w:val="24"/>
                <w:szCs w:val="24"/>
              </w:rPr>
            </w:pPr>
          </w:p>
        </w:tc>
        <w:tc>
          <w:tcPr>
            <w:tcW w:w="2438" w:type="dxa"/>
            <w:shd w:val="clear" w:color="auto" w:fill="auto"/>
            <w:vAlign w:val="center"/>
          </w:tcPr>
          <w:p>
            <w:pPr>
              <w:spacing w:line="360" w:lineRule="auto"/>
              <w:ind w:firstLine="480"/>
              <w:rPr>
                <w:rFonts w:ascii="宋体" w:hAnsi="宋体" w:eastAsia="宋体" w:cs="宋体"/>
                <w:sz w:val="24"/>
                <w:szCs w:val="24"/>
              </w:rPr>
            </w:pPr>
          </w:p>
        </w:tc>
        <w:tc>
          <w:tcPr>
            <w:tcW w:w="1289" w:type="dxa"/>
            <w:shd w:val="clear" w:color="auto" w:fill="auto"/>
            <w:vAlign w:val="center"/>
          </w:tcPr>
          <w:p>
            <w:pPr>
              <w:spacing w:line="360" w:lineRule="auto"/>
              <w:ind w:firstLine="480"/>
              <w:rPr>
                <w:rFonts w:ascii="宋体" w:hAnsi="宋体" w:eastAsia="宋体" w:cs="宋体"/>
                <w:sz w:val="24"/>
                <w:szCs w:val="24"/>
              </w:rPr>
            </w:pPr>
          </w:p>
        </w:tc>
        <w:tc>
          <w:tcPr>
            <w:tcW w:w="843" w:type="dxa"/>
            <w:shd w:val="clear" w:color="auto" w:fill="auto"/>
            <w:vAlign w:val="center"/>
          </w:tcPr>
          <w:p>
            <w:pPr>
              <w:spacing w:line="360" w:lineRule="auto"/>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shd w:val="clear" w:color="auto" w:fill="auto"/>
            <w:vAlign w:val="center"/>
          </w:tcPr>
          <w:p>
            <w:pPr>
              <w:spacing w:line="360" w:lineRule="auto"/>
              <w:jc w:val="center"/>
              <w:rPr>
                <w:rFonts w:ascii="宋体" w:hAnsi="宋体" w:eastAsia="宋体" w:cs="宋体"/>
                <w:sz w:val="24"/>
                <w:szCs w:val="24"/>
              </w:rPr>
            </w:pPr>
          </w:p>
        </w:tc>
        <w:tc>
          <w:tcPr>
            <w:tcW w:w="2712" w:type="dxa"/>
            <w:shd w:val="clear" w:color="auto" w:fill="auto"/>
            <w:vAlign w:val="center"/>
          </w:tcPr>
          <w:p>
            <w:pPr>
              <w:spacing w:line="360" w:lineRule="auto"/>
              <w:ind w:firstLine="480"/>
              <w:jc w:val="left"/>
              <w:rPr>
                <w:rFonts w:ascii="宋体" w:hAnsi="宋体" w:eastAsia="宋体" w:cs="宋体"/>
                <w:sz w:val="24"/>
                <w:szCs w:val="24"/>
              </w:rPr>
            </w:pPr>
          </w:p>
        </w:tc>
        <w:tc>
          <w:tcPr>
            <w:tcW w:w="2438" w:type="dxa"/>
            <w:shd w:val="clear" w:color="auto" w:fill="auto"/>
            <w:vAlign w:val="center"/>
          </w:tcPr>
          <w:p>
            <w:pPr>
              <w:spacing w:line="360" w:lineRule="auto"/>
              <w:ind w:firstLine="480"/>
              <w:rPr>
                <w:rFonts w:ascii="宋体" w:hAnsi="宋体" w:eastAsia="宋体" w:cs="宋体"/>
                <w:sz w:val="24"/>
                <w:szCs w:val="24"/>
              </w:rPr>
            </w:pPr>
          </w:p>
        </w:tc>
        <w:tc>
          <w:tcPr>
            <w:tcW w:w="1289" w:type="dxa"/>
            <w:shd w:val="clear" w:color="auto" w:fill="auto"/>
            <w:vAlign w:val="center"/>
          </w:tcPr>
          <w:p>
            <w:pPr>
              <w:spacing w:line="360" w:lineRule="auto"/>
              <w:ind w:firstLine="480"/>
              <w:rPr>
                <w:rFonts w:ascii="宋体" w:hAnsi="宋体" w:eastAsia="宋体" w:cs="宋体"/>
                <w:sz w:val="24"/>
                <w:szCs w:val="24"/>
              </w:rPr>
            </w:pPr>
          </w:p>
        </w:tc>
        <w:tc>
          <w:tcPr>
            <w:tcW w:w="843" w:type="dxa"/>
            <w:shd w:val="clear" w:color="auto" w:fill="auto"/>
            <w:vAlign w:val="center"/>
          </w:tcPr>
          <w:p>
            <w:pPr>
              <w:spacing w:line="360" w:lineRule="auto"/>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shd w:val="clear" w:color="auto" w:fill="auto"/>
            <w:vAlign w:val="center"/>
          </w:tcPr>
          <w:p>
            <w:pPr>
              <w:spacing w:line="360" w:lineRule="auto"/>
              <w:jc w:val="center"/>
              <w:rPr>
                <w:rFonts w:ascii="宋体" w:hAnsi="宋体" w:eastAsia="宋体" w:cs="宋体"/>
                <w:sz w:val="24"/>
                <w:szCs w:val="24"/>
              </w:rPr>
            </w:pPr>
          </w:p>
        </w:tc>
        <w:tc>
          <w:tcPr>
            <w:tcW w:w="2712" w:type="dxa"/>
            <w:shd w:val="clear" w:color="auto" w:fill="auto"/>
            <w:vAlign w:val="center"/>
          </w:tcPr>
          <w:p>
            <w:pPr>
              <w:spacing w:line="360" w:lineRule="auto"/>
              <w:ind w:firstLine="480"/>
              <w:jc w:val="left"/>
              <w:rPr>
                <w:rFonts w:ascii="宋体" w:hAnsi="宋体" w:eastAsia="宋体" w:cs="宋体"/>
                <w:sz w:val="24"/>
                <w:szCs w:val="24"/>
              </w:rPr>
            </w:pPr>
          </w:p>
        </w:tc>
        <w:tc>
          <w:tcPr>
            <w:tcW w:w="2438" w:type="dxa"/>
            <w:shd w:val="clear" w:color="auto" w:fill="auto"/>
            <w:vAlign w:val="center"/>
          </w:tcPr>
          <w:p>
            <w:pPr>
              <w:spacing w:line="360" w:lineRule="auto"/>
              <w:ind w:firstLine="480"/>
              <w:rPr>
                <w:rFonts w:ascii="宋体" w:hAnsi="宋体" w:eastAsia="宋体" w:cs="宋体"/>
                <w:sz w:val="24"/>
                <w:szCs w:val="24"/>
              </w:rPr>
            </w:pPr>
          </w:p>
        </w:tc>
        <w:tc>
          <w:tcPr>
            <w:tcW w:w="1289" w:type="dxa"/>
            <w:shd w:val="clear" w:color="auto" w:fill="auto"/>
            <w:vAlign w:val="center"/>
          </w:tcPr>
          <w:p>
            <w:pPr>
              <w:spacing w:line="360" w:lineRule="auto"/>
              <w:ind w:firstLine="480"/>
              <w:rPr>
                <w:rFonts w:ascii="宋体" w:hAnsi="宋体" w:eastAsia="宋体" w:cs="宋体"/>
                <w:sz w:val="24"/>
                <w:szCs w:val="24"/>
              </w:rPr>
            </w:pPr>
          </w:p>
        </w:tc>
        <w:tc>
          <w:tcPr>
            <w:tcW w:w="843" w:type="dxa"/>
            <w:shd w:val="clear" w:color="auto" w:fill="auto"/>
            <w:vAlign w:val="center"/>
          </w:tcPr>
          <w:p>
            <w:pPr>
              <w:spacing w:line="360" w:lineRule="auto"/>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shd w:val="clear" w:color="auto" w:fill="auto"/>
            <w:vAlign w:val="center"/>
          </w:tcPr>
          <w:p>
            <w:pPr>
              <w:spacing w:line="360" w:lineRule="auto"/>
              <w:jc w:val="center"/>
              <w:rPr>
                <w:rFonts w:ascii="宋体" w:hAnsi="宋体" w:eastAsia="宋体" w:cs="宋体"/>
                <w:sz w:val="24"/>
                <w:szCs w:val="24"/>
              </w:rPr>
            </w:pPr>
          </w:p>
        </w:tc>
        <w:tc>
          <w:tcPr>
            <w:tcW w:w="2712" w:type="dxa"/>
            <w:shd w:val="clear" w:color="auto" w:fill="auto"/>
            <w:vAlign w:val="center"/>
          </w:tcPr>
          <w:p>
            <w:pPr>
              <w:spacing w:line="360" w:lineRule="auto"/>
              <w:ind w:firstLine="480"/>
              <w:jc w:val="left"/>
              <w:rPr>
                <w:rFonts w:ascii="宋体" w:hAnsi="宋体" w:eastAsia="宋体" w:cs="宋体"/>
                <w:sz w:val="24"/>
                <w:szCs w:val="24"/>
              </w:rPr>
            </w:pPr>
          </w:p>
        </w:tc>
        <w:tc>
          <w:tcPr>
            <w:tcW w:w="2438" w:type="dxa"/>
            <w:shd w:val="clear" w:color="auto" w:fill="auto"/>
            <w:vAlign w:val="center"/>
          </w:tcPr>
          <w:p>
            <w:pPr>
              <w:spacing w:line="360" w:lineRule="auto"/>
              <w:ind w:firstLine="480"/>
              <w:rPr>
                <w:rFonts w:ascii="宋体" w:hAnsi="宋体" w:eastAsia="宋体" w:cs="宋体"/>
                <w:sz w:val="24"/>
                <w:szCs w:val="24"/>
              </w:rPr>
            </w:pPr>
          </w:p>
        </w:tc>
        <w:tc>
          <w:tcPr>
            <w:tcW w:w="1289" w:type="dxa"/>
            <w:shd w:val="clear" w:color="auto" w:fill="auto"/>
            <w:vAlign w:val="center"/>
          </w:tcPr>
          <w:p>
            <w:pPr>
              <w:spacing w:line="360" w:lineRule="auto"/>
              <w:ind w:firstLine="480"/>
              <w:rPr>
                <w:rFonts w:ascii="宋体" w:hAnsi="宋体" w:eastAsia="宋体" w:cs="宋体"/>
                <w:sz w:val="24"/>
                <w:szCs w:val="24"/>
              </w:rPr>
            </w:pPr>
          </w:p>
        </w:tc>
        <w:tc>
          <w:tcPr>
            <w:tcW w:w="843" w:type="dxa"/>
            <w:shd w:val="clear" w:color="auto" w:fill="auto"/>
            <w:vAlign w:val="center"/>
          </w:tcPr>
          <w:p>
            <w:pPr>
              <w:spacing w:line="360" w:lineRule="auto"/>
              <w:ind w:firstLine="480"/>
              <w:rPr>
                <w:rFonts w:ascii="宋体" w:hAnsi="宋体" w:eastAsia="宋体" w:cs="宋体"/>
                <w:sz w:val="24"/>
                <w:szCs w:val="24"/>
              </w:rPr>
            </w:pPr>
          </w:p>
        </w:tc>
      </w:tr>
    </w:tbl>
    <w:p>
      <w:pPr>
        <w:spacing w:line="360" w:lineRule="auto"/>
        <w:ind w:firstLine="480"/>
        <w:rPr>
          <w:rFonts w:ascii="宋体" w:hAnsi="宋体" w:eastAsia="宋体" w:cs="宋体"/>
          <w:sz w:val="24"/>
          <w:szCs w:val="24"/>
        </w:rPr>
      </w:pPr>
      <w:r>
        <w:rPr>
          <w:rFonts w:ascii="宋体" w:hAnsi="宋体" w:eastAsia="宋体" w:cs="宋体"/>
          <w:sz w:val="24"/>
          <w:szCs w:val="24"/>
        </w:rPr>
        <w:t>注：</w:t>
      </w:r>
    </w:p>
    <w:p>
      <w:pPr>
        <w:spacing w:line="360" w:lineRule="auto"/>
        <w:ind w:firstLine="480"/>
        <w:rPr>
          <w:rFonts w:ascii="宋体" w:hAnsi="宋体" w:eastAsia="宋体" w:cs="宋体"/>
          <w:sz w:val="24"/>
          <w:szCs w:val="24"/>
        </w:rPr>
      </w:pPr>
      <w:r>
        <w:rPr>
          <w:rFonts w:ascii="宋体" w:hAnsi="宋体" w:eastAsia="宋体" w:cs="宋体"/>
          <w:sz w:val="24"/>
          <w:szCs w:val="24"/>
        </w:rPr>
        <w:t>1. 不如实填写偏离情况的投标文件将视为虚假材料。</w:t>
      </w:r>
    </w:p>
    <w:p>
      <w:pPr>
        <w:spacing w:line="360" w:lineRule="auto"/>
        <w:ind w:firstLine="480"/>
        <w:rPr>
          <w:rFonts w:ascii="宋体" w:hAnsi="宋体" w:eastAsia="宋体" w:cs="宋体"/>
          <w:sz w:val="24"/>
          <w:szCs w:val="24"/>
        </w:rPr>
      </w:pPr>
      <w:r>
        <w:rPr>
          <w:rFonts w:ascii="宋体" w:hAnsi="宋体" w:eastAsia="宋体" w:cs="宋体"/>
          <w:sz w:val="24"/>
          <w:szCs w:val="24"/>
        </w:rPr>
        <w:t xml:space="preserve">2.  </w:t>
      </w:r>
      <w:r>
        <w:rPr>
          <w:rFonts w:hint="eastAsia" w:ascii="宋体" w:hAnsi="宋体" w:eastAsia="宋体" w:cs="宋体"/>
          <w:sz w:val="24"/>
          <w:szCs w:val="24"/>
        </w:rPr>
        <w:t>招标</w:t>
      </w:r>
      <w:r>
        <w:rPr>
          <w:rFonts w:ascii="宋体" w:hAnsi="宋体" w:eastAsia="宋体" w:cs="宋体"/>
          <w:sz w:val="24"/>
          <w:szCs w:val="24"/>
        </w:rPr>
        <w:t>要求指</w:t>
      </w:r>
      <w:r>
        <w:rPr>
          <w:rFonts w:hint="eastAsia" w:ascii="宋体" w:hAnsi="宋体" w:eastAsia="宋体" w:cs="宋体"/>
          <w:sz w:val="24"/>
          <w:szCs w:val="24"/>
        </w:rPr>
        <w:t>招标</w:t>
      </w:r>
      <w:r>
        <w:rPr>
          <w:rFonts w:ascii="宋体" w:hAnsi="宋体" w:eastAsia="宋体" w:cs="宋体"/>
          <w:sz w:val="24"/>
          <w:szCs w:val="24"/>
        </w:rPr>
        <w:t>文件中规定的具体要求，</w:t>
      </w:r>
      <w:r>
        <w:rPr>
          <w:rFonts w:hint="eastAsia" w:ascii="宋体" w:hAnsi="宋体" w:eastAsia="宋体" w:cs="宋体"/>
          <w:sz w:val="24"/>
          <w:szCs w:val="24"/>
        </w:rPr>
        <w:t>投标</w:t>
      </w:r>
      <w:r>
        <w:rPr>
          <w:rFonts w:ascii="宋体" w:hAnsi="宋体" w:eastAsia="宋体" w:cs="宋体"/>
          <w:sz w:val="24"/>
          <w:szCs w:val="24"/>
        </w:rPr>
        <w:t>应答指</w:t>
      </w:r>
      <w:r>
        <w:rPr>
          <w:rFonts w:hint="eastAsia" w:ascii="宋体" w:hAnsi="宋体" w:eastAsia="宋体" w:cs="宋体"/>
          <w:sz w:val="24"/>
          <w:szCs w:val="24"/>
        </w:rPr>
        <w:t>投标</w:t>
      </w:r>
      <w:r>
        <w:rPr>
          <w:rFonts w:ascii="宋体" w:hAnsi="宋体" w:eastAsia="宋体" w:cs="宋体"/>
          <w:sz w:val="24"/>
          <w:szCs w:val="24"/>
        </w:rPr>
        <w:t>文件的</w:t>
      </w:r>
      <w:r>
        <w:rPr>
          <w:rFonts w:hint="eastAsia" w:ascii="宋体" w:hAnsi="宋体" w:eastAsia="宋体" w:cs="宋体"/>
          <w:sz w:val="24"/>
          <w:szCs w:val="24"/>
        </w:rPr>
        <w:t>具体内容</w:t>
      </w:r>
      <w:r>
        <w:rPr>
          <w:rFonts w:ascii="宋体" w:hAnsi="宋体" w:eastAsia="宋体" w:cs="宋体"/>
          <w:sz w:val="24"/>
          <w:szCs w:val="24"/>
        </w:rPr>
        <w:t>。</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偏离说明指</w:t>
      </w:r>
      <w:r>
        <w:rPr>
          <w:rFonts w:hint="eastAsia" w:ascii="宋体" w:hAnsi="宋体" w:eastAsia="宋体" w:cs="宋体"/>
          <w:sz w:val="24"/>
          <w:szCs w:val="24"/>
        </w:rPr>
        <w:t>招标</w:t>
      </w:r>
      <w:r>
        <w:rPr>
          <w:rFonts w:ascii="宋体" w:hAnsi="宋体" w:eastAsia="宋体" w:cs="宋体"/>
          <w:sz w:val="24"/>
          <w:szCs w:val="24"/>
        </w:rPr>
        <w:t>要求与</w:t>
      </w:r>
      <w:r>
        <w:rPr>
          <w:rFonts w:hint="eastAsia" w:ascii="宋体" w:hAnsi="宋体" w:eastAsia="宋体" w:cs="宋体"/>
          <w:sz w:val="24"/>
          <w:szCs w:val="24"/>
        </w:rPr>
        <w:t>投标</w:t>
      </w:r>
      <w:r>
        <w:rPr>
          <w:rFonts w:ascii="宋体" w:hAnsi="宋体" w:eastAsia="宋体" w:cs="宋体"/>
          <w:sz w:val="24"/>
          <w:szCs w:val="24"/>
        </w:rPr>
        <w:t>应答之间的不同之处。</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4. 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pPr>
        <w:spacing w:line="360" w:lineRule="auto"/>
        <w:ind w:firstLine="480"/>
        <w:rPr>
          <w:rFonts w:ascii="宋体" w:hAnsi="宋体" w:eastAsia="宋体" w:cs="宋体"/>
          <w:sz w:val="24"/>
          <w:szCs w:val="24"/>
        </w:rPr>
      </w:pPr>
    </w:p>
    <w:p>
      <w:pPr>
        <w:wordWrap w:val="0"/>
        <w:spacing w:line="360" w:lineRule="auto"/>
        <w:ind w:firstLine="480"/>
        <w:jc w:val="right"/>
        <w:rPr>
          <w:rFonts w:ascii="宋体" w:hAnsi="宋体" w:eastAsia="宋体" w:cs="宋体"/>
          <w:sz w:val="24"/>
          <w:szCs w:val="24"/>
          <w:u w:val="single"/>
        </w:rPr>
      </w:pPr>
      <w:r>
        <w:rPr>
          <w:rFonts w:ascii="宋体" w:hAnsi="宋体" w:eastAsia="宋体" w:cs="宋体"/>
          <w:sz w:val="24"/>
          <w:szCs w:val="24"/>
        </w:rPr>
        <w:t>投标人代表签字：</w:t>
      </w:r>
      <w:r>
        <w:rPr>
          <w:rFonts w:hint="eastAsia" w:ascii="宋体" w:hAnsi="宋体" w:eastAsia="宋体" w:cs="宋体"/>
          <w:sz w:val="24"/>
          <w:szCs w:val="24"/>
          <w:u w:val="single"/>
        </w:rPr>
        <w:t xml:space="preserve">                </w:t>
      </w:r>
    </w:p>
    <w:p>
      <w:pPr>
        <w:wordWrap w:val="0"/>
        <w:spacing w:line="360" w:lineRule="auto"/>
        <w:ind w:firstLine="480"/>
        <w:jc w:val="right"/>
        <w:rPr>
          <w:rFonts w:ascii="宋体" w:hAnsi="宋体" w:eastAsia="宋体" w:cs="宋体"/>
          <w:sz w:val="24"/>
          <w:szCs w:val="24"/>
          <w:u w:val="single"/>
        </w:rPr>
      </w:pPr>
      <w:r>
        <w:rPr>
          <w:rFonts w:ascii="宋体" w:hAnsi="宋体" w:eastAsia="宋体" w:cs="宋体"/>
          <w:sz w:val="24"/>
          <w:szCs w:val="24"/>
        </w:rPr>
        <w:t>职务：_________日期：</w:t>
      </w:r>
      <w:r>
        <w:rPr>
          <w:rFonts w:hint="eastAsia" w:ascii="宋体" w:hAnsi="宋体" w:eastAsia="宋体" w:cs="宋体"/>
          <w:sz w:val="24"/>
          <w:szCs w:val="24"/>
          <w:u w:val="single"/>
        </w:rPr>
        <w:t xml:space="preserve">           </w:t>
      </w:r>
    </w:p>
    <w:p>
      <w:pPr>
        <w:wordWrap w:val="0"/>
        <w:spacing w:line="360" w:lineRule="auto"/>
        <w:ind w:firstLine="480"/>
        <w:jc w:val="right"/>
        <w:rPr>
          <w:rFonts w:ascii="宋体" w:hAnsi="宋体" w:eastAsia="宋体" w:cs="宋体"/>
          <w:sz w:val="24"/>
          <w:szCs w:val="24"/>
          <w:u w:val="single"/>
        </w:rPr>
      </w:pPr>
      <w:r>
        <w:rPr>
          <w:rFonts w:ascii="宋体" w:hAnsi="宋体" w:eastAsia="宋体" w:cs="宋体"/>
          <w:sz w:val="24"/>
          <w:szCs w:val="24"/>
        </w:rPr>
        <w:t>投标人名称（公章）：</w:t>
      </w:r>
      <w:r>
        <w:rPr>
          <w:rFonts w:hint="eastAsia" w:ascii="宋体" w:hAnsi="宋体" w:eastAsia="宋体" w:cs="宋体"/>
          <w:sz w:val="24"/>
          <w:szCs w:val="24"/>
          <w:u w:val="single"/>
        </w:rPr>
        <w:t xml:space="preserve">            </w:t>
      </w:r>
    </w:p>
    <w:p>
      <w:pPr>
        <w:spacing w:line="360" w:lineRule="auto"/>
        <w:ind w:firstLine="482"/>
        <w:jc w:val="right"/>
        <w:rPr>
          <w:rFonts w:ascii="宋体" w:hAnsi="宋体" w:eastAsia="宋体" w:cs="宋体"/>
          <w:b/>
          <w:sz w:val="24"/>
          <w:szCs w:val="24"/>
        </w:rPr>
        <w:sectPr>
          <w:pgSz w:w="11906" w:h="16838"/>
          <w:pgMar w:top="1440" w:right="1797" w:bottom="1440" w:left="1797" w:header="851" w:footer="992" w:gutter="0"/>
          <w:cols w:space="720" w:num="1"/>
          <w:docGrid w:type="lines" w:linePitch="312" w:charSpace="0"/>
        </w:sectPr>
      </w:pPr>
    </w:p>
    <w:p>
      <w:pPr>
        <w:spacing w:line="460" w:lineRule="exact"/>
        <w:rPr>
          <w:rFonts w:ascii="宋体" w:hAnsi="宋体" w:cs="宋体"/>
          <w:b/>
          <w:sz w:val="24"/>
          <w:szCs w:val="24"/>
        </w:rPr>
      </w:pPr>
      <w:r>
        <w:rPr>
          <w:rFonts w:hint="eastAsia" w:ascii="宋体" w:hAnsi="宋体" w:cs="宋体"/>
          <w:b/>
          <w:sz w:val="24"/>
          <w:szCs w:val="24"/>
        </w:rPr>
        <w:t>附件8</w:t>
      </w:r>
    </w:p>
    <w:p>
      <w:pPr>
        <w:spacing w:line="360" w:lineRule="auto"/>
        <w:ind w:firstLine="482"/>
        <w:jc w:val="center"/>
        <w:rPr>
          <w:rFonts w:ascii="宋体" w:hAnsi="宋体" w:eastAsia="宋体" w:cs="宋体"/>
          <w:b/>
          <w:sz w:val="24"/>
          <w:szCs w:val="24"/>
        </w:rPr>
      </w:pPr>
    </w:p>
    <w:p>
      <w:pPr>
        <w:spacing w:line="360" w:lineRule="auto"/>
        <w:ind w:firstLine="482"/>
        <w:jc w:val="center"/>
        <w:rPr>
          <w:rFonts w:ascii="宋体" w:hAnsi="宋体" w:eastAsia="宋体" w:cs="宋体"/>
          <w:b/>
          <w:sz w:val="28"/>
          <w:szCs w:val="28"/>
        </w:rPr>
      </w:pPr>
      <w:r>
        <w:rPr>
          <w:rFonts w:hint="eastAsia" w:ascii="宋体" w:hAnsi="宋体" w:eastAsia="宋体" w:cs="宋体"/>
          <w:b/>
          <w:sz w:val="28"/>
          <w:szCs w:val="28"/>
        </w:rPr>
        <w:t>项目实施方案</w:t>
      </w:r>
    </w:p>
    <w:p>
      <w:pPr>
        <w:spacing w:line="360" w:lineRule="auto"/>
        <w:ind w:firstLine="482"/>
        <w:jc w:val="center"/>
        <w:rPr>
          <w:rFonts w:ascii="宋体" w:hAnsi="宋体" w:eastAsia="宋体" w:cs="宋体"/>
          <w:b/>
          <w:sz w:val="24"/>
          <w:szCs w:val="24"/>
        </w:rPr>
      </w:pPr>
    </w:p>
    <w:p>
      <w:pPr>
        <w:spacing w:line="360" w:lineRule="auto"/>
        <w:ind w:firstLine="482"/>
        <w:jc w:val="center"/>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由投标人自行编制</w:t>
      </w:r>
      <w:r>
        <w:rPr>
          <w:rFonts w:hint="eastAsia" w:ascii="宋体" w:hAnsi="宋体" w:eastAsia="宋体" w:cs="宋体"/>
          <w:sz w:val="24"/>
          <w:szCs w:val="24"/>
        </w:rPr>
        <w:t>）</w:t>
      </w:r>
    </w:p>
    <w:p>
      <w:pPr>
        <w:spacing w:line="460" w:lineRule="exact"/>
        <w:ind w:firstLine="480" w:firstLineChars="200"/>
        <w:rPr>
          <w:rFonts w:ascii="宋体" w:hAnsi="宋体" w:cs="宋体"/>
          <w:sz w:val="24"/>
          <w:szCs w:val="24"/>
        </w:rPr>
      </w:pPr>
    </w:p>
    <w:p>
      <w:pPr>
        <w:spacing w:line="360" w:lineRule="auto"/>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br w:type="page"/>
      </w:r>
    </w:p>
    <w:p>
      <w:pPr>
        <w:spacing w:line="460" w:lineRule="exact"/>
        <w:rPr>
          <w:rFonts w:ascii="宋体" w:hAnsi="宋体" w:cs="宋体"/>
          <w:b/>
          <w:sz w:val="24"/>
          <w:szCs w:val="24"/>
        </w:rPr>
      </w:pPr>
      <w:r>
        <w:rPr>
          <w:rFonts w:hint="eastAsia" w:ascii="宋体" w:hAnsi="宋体" w:cs="宋体"/>
          <w:b/>
          <w:sz w:val="24"/>
          <w:szCs w:val="24"/>
        </w:rPr>
        <w:t>附件9</w:t>
      </w:r>
    </w:p>
    <w:p>
      <w:pPr>
        <w:spacing w:line="360" w:lineRule="auto"/>
        <w:ind w:left="181"/>
        <w:jc w:val="center"/>
        <w:rPr>
          <w:b/>
          <w:sz w:val="28"/>
          <w:szCs w:val="28"/>
        </w:rPr>
      </w:pPr>
      <w:r>
        <w:rPr>
          <w:rFonts w:hint="eastAsia"/>
          <w:b/>
          <w:sz w:val="28"/>
          <w:szCs w:val="28"/>
        </w:rPr>
        <w:t>货物</w:t>
      </w:r>
      <w:r>
        <w:rPr>
          <w:b/>
          <w:sz w:val="28"/>
          <w:szCs w:val="28"/>
        </w:rPr>
        <w:t>技术要求点对点应答表</w:t>
      </w:r>
    </w:p>
    <w:p>
      <w:pPr>
        <w:spacing w:line="360" w:lineRule="auto"/>
        <w:ind w:left="181"/>
        <w:jc w:val="center"/>
        <w:rPr>
          <w:b/>
          <w:sz w:val="28"/>
          <w:szCs w:val="28"/>
        </w:rPr>
      </w:pPr>
      <w:r>
        <w:rPr>
          <w:rFonts w:hint="eastAsia" w:ascii="宋体" w:hAnsi="宋体" w:cs="宋体"/>
          <w:b/>
          <w:bCs/>
          <w:szCs w:val="21"/>
        </w:rPr>
        <w:t>（限项目需求书中“三、设备清单及规格”）</w:t>
      </w:r>
    </w:p>
    <w:p>
      <w:pPr>
        <w:spacing w:line="360" w:lineRule="auto"/>
        <w:rPr>
          <w:sz w:val="24"/>
          <w:szCs w:val="24"/>
        </w:rPr>
      </w:pPr>
      <w:r>
        <w:rPr>
          <w:sz w:val="24"/>
          <w:szCs w:val="24"/>
        </w:rPr>
        <w:t>项目名称：</w:t>
      </w:r>
    </w:p>
    <w:p>
      <w:pPr>
        <w:spacing w:line="360" w:lineRule="auto"/>
        <w:rPr>
          <w:b/>
          <w:sz w:val="24"/>
          <w:szCs w:val="24"/>
        </w:rPr>
      </w:pPr>
      <w:r>
        <w:rPr>
          <w:sz w:val="24"/>
          <w:szCs w:val="24"/>
        </w:rPr>
        <w:t>项目编号：</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649"/>
        <w:gridCol w:w="1332"/>
        <w:gridCol w:w="1424"/>
        <w:gridCol w:w="1151"/>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jc w:val="center"/>
              <w:rPr>
                <w:sz w:val="24"/>
                <w:szCs w:val="24"/>
              </w:rPr>
            </w:pPr>
            <w:r>
              <w:rPr>
                <w:sz w:val="24"/>
                <w:szCs w:val="24"/>
              </w:rPr>
              <w:t>序号</w:t>
            </w:r>
          </w:p>
        </w:tc>
        <w:tc>
          <w:tcPr>
            <w:tcW w:w="1649" w:type="dxa"/>
            <w:vAlign w:val="center"/>
          </w:tcPr>
          <w:p>
            <w:pPr>
              <w:jc w:val="center"/>
              <w:rPr>
                <w:sz w:val="24"/>
                <w:szCs w:val="24"/>
              </w:rPr>
            </w:pPr>
            <w:r>
              <w:rPr>
                <w:sz w:val="24"/>
                <w:szCs w:val="24"/>
              </w:rPr>
              <w:t>货物名称</w:t>
            </w:r>
          </w:p>
        </w:tc>
        <w:tc>
          <w:tcPr>
            <w:tcW w:w="1332" w:type="dxa"/>
            <w:vAlign w:val="center"/>
          </w:tcPr>
          <w:p>
            <w:pPr>
              <w:jc w:val="center"/>
              <w:rPr>
                <w:sz w:val="24"/>
                <w:szCs w:val="24"/>
              </w:rPr>
            </w:pPr>
            <w:r>
              <w:rPr>
                <w:rFonts w:hint="eastAsia"/>
                <w:sz w:val="24"/>
                <w:szCs w:val="24"/>
              </w:rPr>
              <w:t>招标</w:t>
            </w:r>
            <w:r>
              <w:rPr>
                <w:sz w:val="24"/>
                <w:szCs w:val="24"/>
              </w:rPr>
              <w:t>要求</w:t>
            </w:r>
          </w:p>
        </w:tc>
        <w:tc>
          <w:tcPr>
            <w:tcW w:w="1424" w:type="dxa"/>
            <w:vAlign w:val="center"/>
          </w:tcPr>
          <w:p>
            <w:pPr>
              <w:jc w:val="center"/>
              <w:rPr>
                <w:sz w:val="24"/>
                <w:szCs w:val="24"/>
              </w:rPr>
            </w:pPr>
            <w:r>
              <w:rPr>
                <w:rFonts w:hint="eastAsia"/>
                <w:sz w:val="24"/>
                <w:szCs w:val="24"/>
              </w:rPr>
              <w:t>投标</w:t>
            </w:r>
            <w:r>
              <w:rPr>
                <w:sz w:val="24"/>
                <w:szCs w:val="24"/>
              </w:rPr>
              <w:t>应答</w:t>
            </w:r>
          </w:p>
        </w:tc>
        <w:tc>
          <w:tcPr>
            <w:tcW w:w="1151" w:type="dxa"/>
            <w:vAlign w:val="center"/>
          </w:tcPr>
          <w:p>
            <w:pPr>
              <w:jc w:val="center"/>
              <w:rPr>
                <w:sz w:val="24"/>
                <w:szCs w:val="24"/>
              </w:rPr>
            </w:pPr>
            <w:r>
              <w:rPr>
                <w:sz w:val="24"/>
                <w:szCs w:val="24"/>
              </w:rPr>
              <w:t>偏离说明</w:t>
            </w:r>
          </w:p>
        </w:tc>
        <w:tc>
          <w:tcPr>
            <w:tcW w:w="1902" w:type="dxa"/>
            <w:vAlign w:val="center"/>
          </w:tcPr>
          <w:p>
            <w:pPr>
              <w:jc w:val="center"/>
              <w:rPr>
                <w:sz w:val="24"/>
                <w:szCs w:val="24"/>
              </w:rPr>
            </w:pPr>
            <w:r>
              <w:rPr>
                <w:sz w:val="24"/>
                <w:szCs w:val="24"/>
              </w:rPr>
              <w:t>技术支撑材料页码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6"/>
            <w:vAlign w:val="center"/>
          </w:tcPr>
          <w:p>
            <w:pPr>
              <w:rPr>
                <w:sz w:val="24"/>
                <w:szCs w:val="24"/>
              </w:rPr>
            </w:pPr>
            <w:r>
              <w:rPr>
                <w:rFonts w:hint="eastAsia"/>
                <w:sz w:val="24"/>
                <w:szCs w:val="24"/>
              </w:rPr>
              <w:t>项目需求书内技术要求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widowControl/>
              <w:snapToGrid w:val="0"/>
              <w:jc w:val="center"/>
              <w:rPr>
                <w:kern w:val="0"/>
                <w:sz w:val="24"/>
                <w:szCs w:val="21"/>
              </w:rPr>
            </w:pPr>
          </w:p>
        </w:tc>
        <w:tc>
          <w:tcPr>
            <w:tcW w:w="1649" w:type="dxa"/>
            <w:vAlign w:val="center"/>
          </w:tcPr>
          <w:p>
            <w:pPr>
              <w:widowControl/>
              <w:snapToGrid w:val="0"/>
              <w:jc w:val="center"/>
              <w:rPr>
                <w:kern w:val="0"/>
                <w:sz w:val="24"/>
                <w:szCs w:val="21"/>
              </w:rPr>
            </w:pPr>
          </w:p>
        </w:tc>
        <w:tc>
          <w:tcPr>
            <w:tcW w:w="1332" w:type="dxa"/>
            <w:vAlign w:val="center"/>
          </w:tcPr>
          <w:p>
            <w:pPr>
              <w:widowControl/>
              <w:snapToGrid w:val="0"/>
              <w:jc w:val="center"/>
              <w:rPr>
                <w:kern w:val="0"/>
                <w:sz w:val="24"/>
                <w:szCs w:val="21"/>
              </w:rPr>
            </w:pPr>
          </w:p>
        </w:tc>
        <w:tc>
          <w:tcPr>
            <w:tcW w:w="1424" w:type="dxa"/>
            <w:vAlign w:val="center"/>
          </w:tcPr>
          <w:p>
            <w:pPr>
              <w:widowControl/>
              <w:snapToGrid w:val="0"/>
              <w:jc w:val="center"/>
              <w:rPr>
                <w:kern w:val="0"/>
                <w:sz w:val="24"/>
                <w:szCs w:val="21"/>
              </w:rPr>
            </w:pPr>
          </w:p>
        </w:tc>
        <w:tc>
          <w:tcPr>
            <w:tcW w:w="1151" w:type="dxa"/>
            <w:vAlign w:val="center"/>
          </w:tcPr>
          <w:p>
            <w:pPr>
              <w:widowControl/>
              <w:snapToGrid w:val="0"/>
              <w:jc w:val="center"/>
              <w:rPr>
                <w:kern w:val="0"/>
                <w:sz w:val="24"/>
                <w:szCs w:val="21"/>
              </w:rPr>
            </w:pPr>
          </w:p>
        </w:tc>
        <w:tc>
          <w:tcPr>
            <w:tcW w:w="1902"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0" w:type="dxa"/>
            <w:vAlign w:val="center"/>
          </w:tcPr>
          <w:p>
            <w:pPr>
              <w:jc w:val="center"/>
              <w:rPr>
                <w:sz w:val="24"/>
                <w:szCs w:val="24"/>
              </w:rPr>
            </w:pPr>
          </w:p>
        </w:tc>
        <w:tc>
          <w:tcPr>
            <w:tcW w:w="1649" w:type="dxa"/>
            <w:vAlign w:val="center"/>
          </w:tcPr>
          <w:p>
            <w:pPr>
              <w:jc w:val="center"/>
              <w:rPr>
                <w:sz w:val="24"/>
                <w:szCs w:val="24"/>
              </w:rPr>
            </w:pPr>
          </w:p>
        </w:tc>
        <w:tc>
          <w:tcPr>
            <w:tcW w:w="1332" w:type="dxa"/>
            <w:vAlign w:val="center"/>
          </w:tcPr>
          <w:p>
            <w:pPr>
              <w:jc w:val="center"/>
              <w:rPr>
                <w:sz w:val="24"/>
                <w:szCs w:val="24"/>
              </w:rPr>
            </w:pPr>
          </w:p>
        </w:tc>
        <w:tc>
          <w:tcPr>
            <w:tcW w:w="1424" w:type="dxa"/>
            <w:vAlign w:val="center"/>
          </w:tcPr>
          <w:p>
            <w:pPr>
              <w:jc w:val="center"/>
              <w:rPr>
                <w:sz w:val="24"/>
                <w:szCs w:val="24"/>
              </w:rPr>
            </w:pPr>
          </w:p>
        </w:tc>
        <w:tc>
          <w:tcPr>
            <w:tcW w:w="1151" w:type="dxa"/>
            <w:vAlign w:val="center"/>
          </w:tcPr>
          <w:p>
            <w:pPr>
              <w:jc w:val="center"/>
              <w:rPr>
                <w:sz w:val="24"/>
                <w:szCs w:val="24"/>
              </w:rPr>
            </w:pPr>
          </w:p>
        </w:tc>
        <w:tc>
          <w:tcPr>
            <w:tcW w:w="1902"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jc w:val="center"/>
              <w:rPr>
                <w:sz w:val="24"/>
                <w:szCs w:val="24"/>
              </w:rPr>
            </w:pPr>
          </w:p>
        </w:tc>
        <w:tc>
          <w:tcPr>
            <w:tcW w:w="1649" w:type="dxa"/>
            <w:vAlign w:val="center"/>
          </w:tcPr>
          <w:p>
            <w:pPr>
              <w:jc w:val="center"/>
              <w:rPr>
                <w:sz w:val="24"/>
                <w:szCs w:val="24"/>
              </w:rPr>
            </w:pPr>
          </w:p>
        </w:tc>
        <w:tc>
          <w:tcPr>
            <w:tcW w:w="1332" w:type="dxa"/>
            <w:vAlign w:val="center"/>
          </w:tcPr>
          <w:p>
            <w:pPr>
              <w:jc w:val="center"/>
              <w:rPr>
                <w:sz w:val="24"/>
                <w:szCs w:val="24"/>
              </w:rPr>
            </w:pPr>
          </w:p>
        </w:tc>
        <w:tc>
          <w:tcPr>
            <w:tcW w:w="1424" w:type="dxa"/>
            <w:vAlign w:val="center"/>
          </w:tcPr>
          <w:p>
            <w:pPr>
              <w:jc w:val="center"/>
              <w:rPr>
                <w:sz w:val="24"/>
                <w:szCs w:val="24"/>
              </w:rPr>
            </w:pPr>
          </w:p>
        </w:tc>
        <w:tc>
          <w:tcPr>
            <w:tcW w:w="1151" w:type="dxa"/>
            <w:vAlign w:val="center"/>
          </w:tcPr>
          <w:p>
            <w:pPr>
              <w:jc w:val="center"/>
              <w:rPr>
                <w:sz w:val="24"/>
                <w:szCs w:val="24"/>
              </w:rPr>
            </w:pPr>
          </w:p>
        </w:tc>
        <w:tc>
          <w:tcPr>
            <w:tcW w:w="1902"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jc w:val="center"/>
              <w:rPr>
                <w:sz w:val="24"/>
                <w:szCs w:val="24"/>
              </w:rPr>
            </w:pPr>
          </w:p>
        </w:tc>
        <w:tc>
          <w:tcPr>
            <w:tcW w:w="1649" w:type="dxa"/>
            <w:vAlign w:val="center"/>
          </w:tcPr>
          <w:p>
            <w:pPr>
              <w:jc w:val="center"/>
              <w:rPr>
                <w:sz w:val="24"/>
                <w:szCs w:val="24"/>
              </w:rPr>
            </w:pPr>
          </w:p>
        </w:tc>
        <w:tc>
          <w:tcPr>
            <w:tcW w:w="1332" w:type="dxa"/>
            <w:vAlign w:val="center"/>
          </w:tcPr>
          <w:p>
            <w:pPr>
              <w:jc w:val="center"/>
              <w:rPr>
                <w:sz w:val="24"/>
                <w:szCs w:val="24"/>
              </w:rPr>
            </w:pPr>
          </w:p>
        </w:tc>
        <w:tc>
          <w:tcPr>
            <w:tcW w:w="1424" w:type="dxa"/>
            <w:vAlign w:val="center"/>
          </w:tcPr>
          <w:p>
            <w:pPr>
              <w:jc w:val="center"/>
              <w:rPr>
                <w:sz w:val="24"/>
                <w:szCs w:val="24"/>
              </w:rPr>
            </w:pPr>
          </w:p>
        </w:tc>
        <w:tc>
          <w:tcPr>
            <w:tcW w:w="1151" w:type="dxa"/>
            <w:vAlign w:val="center"/>
          </w:tcPr>
          <w:p>
            <w:pPr>
              <w:jc w:val="center"/>
              <w:rPr>
                <w:sz w:val="24"/>
                <w:szCs w:val="24"/>
              </w:rPr>
            </w:pPr>
          </w:p>
        </w:tc>
        <w:tc>
          <w:tcPr>
            <w:tcW w:w="1902"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jc w:val="center"/>
              <w:rPr>
                <w:sz w:val="24"/>
                <w:szCs w:val="24"/>
              </w:rPr>
            </w:pPr>
          </w:p>
        </w:tc>
        <w:tc>
          <w:tcPr>
            <w:tcW w:w="1649" w:type="dxa"/>
            <w:vAlign w:val="center"/>
          </w:tcPr>
          <w:p>
            <w:pPr>
              <w:jc w:val="center"/>
              <w:rPr>
                <w:sz w:val="24"/>
                <w:szCs w:val="24"/>
              </w:rPr>
            </w:pPr>
          </w:p>
        </w:tc>
        <w:tc>
          <w:tcPr>
            <w:tcW w:w="1332" w:type="dxa"/>
            <w:vAlign w:val="center"/>
          </w:tcPr>
          <w:p>
            <w:pPr>
              <w:jc w:val="center"/>
              <w:rPr>
                <w:sz w:val="24"/>
                <w:szCs w:val="24"/>
              </w:rPr>
            </w:pPr>
          </w:p>
        </w:tc>
        <w:tc>
          <w:tcPr>
            <w:tcW w:w="1424" w:type="dxa"/>
            <w:vAlign w:val="center"/>
          </w:tcPr>
          <w:p>
            <w:pPr>
              <w:jc w:val="center"/>
              <w:rPr>
                <w:sz w:val="24"/>
                <w:szCs w:val="24"/>
              </w:rPr>
            </w:pPr>
          </w:p>
        </w:tc>
        <w:tc>
          <w:tcPr>
            <w:tcW w:w="1151" w:type="dxa"/>
            <w:vAlign w:val="center"/>
          </w:tcPr>
          <w:p>
            <w:pPr>
              <w:jc w:val="center"/>
              <w:rPr>
                <w:sz w:val="24"/>
                <w:szCs w:val="24"/>
              </w:rPr>
            </w:pPr>
          </w:p>
        </w:tc>
        <w:tc>
          <w:tcPr>
            <w:tcW w:w="1902"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0" w:type="dxa"/>
            <w:vAlign w:val="center"/>
          </w:tcPr>
          <w:p>
            <w:pPr>
              <w:jc w:val="center"/>
              <w:rPr>
                <w:sz w:val="24"/>
                <w:szCs w:val="24"/>
              </w:rPr>
            </w:pPr>
          </w:p>
        </w:tc>
        <w:tc>
          <w:tcPr>
            <w:tcW w:w="1649" w:type="dxa"/>
            <w:vAlign w:val="center"/>
          </w:tcPr>
          <w:p>
            <w:pPr>
              <w:jc w:val="center"/>
              <w:rPr>
                <w:sz w:val="24"/>
                <w:szCs w:val="24"/>
              </w:rPr>
            </w:pPr>
          </w:p>
        </w:tc>
        <w:tc>
          <w:tcPr>
            <w:tcW w:w="1332" w:type="dxa"/>
            <w:vAlign w:val="center"/>
          </w:tcPr>
          <w:p>
            <w:pPr>
              <w:jc w:val="center"/>
              <w:rPr>
                <w:sz w:val="24"/>
                <w:szCs w:val="24"/>
              </w:rPr>
            </w:pPr>
          </w:p>
        </w:tc>
        <w:tc>
          <w:tcPr>
            <w:tcW w:w="1424" w:type="dxa"/>
            <w:vAlign w:val="center"/>
          </w:tcPr>
          <w:p>
            <w:pPr>
              <w:jc w:val="center"/>
              <w:rPr>
                <w:sz w:val="24"/>
                <w:szCs w:val="24"/>
              </w:rPr>
            </w:pPr>
          </w:p>
        </w:tc>
        <w:tc>
          <w:tcPr>
            <w:tcW w:w="1151" w:type="dxa"/>
            <w:vAlign w:val="center"/>
          </w:tcPr>
          <w:p>
            <w:pPr>
              <w:jc w:val="center"/>
              <w:rPr>
                <w:sz w:val="24"/>
                <w:szCs w:val="24"/>
              </w:rPr>
            </w:pPr>
          </w:p>
        </w:tc>
        <w:tc>
          <w:tcPr>
            <w:tcW w:w="1902"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jc w:val="center"/>
              <w:rPr>
                <w:sz w:val="24"/>
                <w:szCs w:val="24"/>
              </w:rPr>
            </w:pPr>
          </w:p>
        </w:tc>
        <w:tc>
          <w:tcPr>
            <w:tcW w:w="1649" w:type="dxa"/>
            <w:vAlign w:val="center"/>
          </w:tcPr>
          <w:p>
            <w:pPr>
              <w:jc w:val="center"/>
              <w:rPr>
                <w:sz w:val="24"/>
                <w:szCs w:val="24"/>
              </w:rPr>
            </w:pPr>
          </w:p>
        </w:tc>
        <w:tc>
          <w:tcPr>
            <w:tcW w:w="1332" w:type="dxa"/>
            <w:vAlign w:val="center"/>
          </w:tcPr>
          <w:p>
            <w:pPr>
              <w:jc w:val="center"/>
              <w:rPr>
                <w:sz w:val="24"/>
                <w:szCs w:val="24"/>
              </w:rPr>
            </w:pPr>
          </w:p>
        </w:tc>
        <w:tc>
          <w:tcPr>
            <w:tcW w:w="1424" w:type="dxa"/>
            <w:vAlign w:val="center"/>
          </w:tcPr>
          <w:p>
            <w:pPr>
              <w:jc w:val="center"/>
              <w:rPr>
                <w:sz w:val="24"/>
                <w:szCs w:val="24"/>
              </w:rPr>
            </w:pPr>
          </w:p>
        </w:tc>
        <w:tc>
          <w:tcPr>
            <w:tcW w:w="1151" w:type="dxa"/>
            <w:vAlign w:val="center"/>
          </w:tcPr>
          <w:p>
            <w:pPr>
              <w:jc w:val="center"/>
              <w:rPr>
                <w:sz w:val="24"/>
                <w:szCs w:val="24"/>
              </w:rPr>
            </w:pPr>
          </w:p>
        </w:tc>
        <w:tc>
          <w:tcPr>
            <w:tcW w:w="1902"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jc w:val="center"/>
              <w:rPr>
                <w:sz w:val="24"/>
                <w:szCs w:val="24"/>
              </w:rPr>
            </w:pPr>
          </w:p>
        </w:tc>
        <w:tc>
          <w:tcPr>
            <w:tcW w:w="1649" w:type="dxa"/>
            <w:vAlign w:val="center"/>
          </w:tcPr>
          <w:p>
            <w:pPr>
              <w:jc w:val="center"/>
              <w:rPr>
                <w:sz w:val="24"/>
                <w:szCs w:val="24"/>
              </w:rPr>
            </w:pPr>
          </w:p>
        </w:tc>
        <w:tc>
          <w:tcPr>
            <w:tcW w:w="1332" w:type="dxa"/>
            <w:vAlign w:val="center"/>
          </w:tcPr>
          <w:p>
            <w:pPr>
              <w:jc w:val="center"/>
              <w:rPr>
                <w:sz w:val="24"/>
                <w:szCs w:val="24"/>
              </w:rPr>
            </w:pPr>
          </w:p>
        </w:tc>
        <w:tc>
          <w:tcPr>
            <w:tcW w:w="1424" w:type="dxa"/>
            <w:vAlign w:val="center"/>
          </w:tcPr>
          <w:p>
            <w:pPr>
              <w:jc w:val="center"/>
              <w:rPr>
                <w:sz w:val="24"/>
                <w:szCs w:val="24"/>
              </w:rPr>
            </w:pPr>
          </w:p>
        </w:tc>
        <w:tc>
          <w:tcPr>
            <w:tcW w:w="1151" w:type="dxa"/>
            <w:vAlign w:val="center"/>
          </w:tcPr>
          <w:p>
            <w:pPr>
              <w:jc w:val="center"/>
              <w:rPr>
                <w:sz w:val="24"/>
                <w:szCs w:val="24"/>
              </w:rPr>
            </w:pPr>
          </w:p>
        </w:tc>
        <w:tc>
          <w:tcPr>
            <w:tcW w:w="1902"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jc w:val="center"/>
              <w:rPr>
                <w:sz w:val="24"/>
                <w:szCs w:val="24"/>
              </w:rPr>
            </w:pPr>
          </w:p>
        </w:tc>
        <w:tc>
          <w:tcPr>
            <w:tcW w:w="1649" w:type="dxa"/>
            <w:vAlign w:val="center"/>
          </w:tcPr>
          <w:p>
            <w:pPr>
              <w:jc w:val="center"/>
              <w:rPr>
                <w:sz w:val="24"/>
                <w:szCs w:val="24"/>
              </w:rPr>
            </w:pPr>
          </w:p>
        </w:tc>
        <w:tc>
          <w:tcPr>
            <w:tcW w:w="1332" w:type="dxa"/>
            <w:vAlign w:val="center"/>
          </w:tcPr>
          <w:p>
            <w:pPr>
              <w:jc w:val="center"/>
              <w:rPr>
                <w:sz w:val="24"/>
                <w:szCs w:val="24"/>
              </w:rPr>
            </w:pPr>
          </w:p>
        </w:tc>
        <w:tc>
          <w:tcPr>
            <w:tcW w:w="1424" w:type="dxa"/>
            <w:vAlign w:val="center"/>
          </w:tcPr>
          <w:p>
            <w:pPr>
              <w:jc w:val="center"/>
              <w:rPr>
                <w:sz w:val="24"/>
                <w:szCs w:val="24"/>
              </w:rPr>
            </w:pPr>
          </w:p>
        </w:tc>
        <w:tc>
          <w:tcPr>
            <w:tcW w:w="1151" w:type="dxa"/>
            <w:vAlign w:val="center"/>
          </w:tcPr>
          <w:p>
            <w:pPr>
              <w:jc w:val="center"/>
              <w:rPr>
                <w:sz w:val="24"/>
                <w:szCs w:val="24"/>
              </w:rPr>
            </w:pPr>
          </w:p>
        </w:tc>
        <w:tc>
          <w:tcPr>
            <w:tcW w:w="1902"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0" w:type="dxa"/>
            <w:vAlign w:val="center"/>
          </w:tcPr>
          <w:p>
            <w:pPr>
              <w:jc w:val="center"/>
              <w:rPr>
                <w:sz w:val="24"/>
                <w:szCs w:val="24"/>
              </w:rPr>
            </w:pPr>
          </w:p>
        </w:tc>
        <w:tc>
          <w:tcPr>
            <w:tcW w:w="1649" w:type="dxa"/>
            <w:vAlign w:val="center"/>
          </w:tcPr>
          <w:p>
            <w:pPr>
              <w:jc w:val="center"/>
              <w:rPr>
                <w:sz w:val="24"/>
                <w:szCs w:val="24"/>
              </w:rPr>
            </w:pPr>
          </w:p>
        </w:tc>
        <w:tc>
          <w:tcPr>
            <w:tcW w:w="1332" w:type="dxa"/>
            <w:vAlign w:val="center"/>
          </w:tcPr>
          <w:p>
            <w:pPr>
              <w:jc w:val="center"/>
              <w:rPr>
                <w:sz w:val="24"/>
                <w:szCs w:val="24"/>
              </w:rPr>
            </w:pPr>
          </w:p>
        </w:tc>
        <w:tc>
          <w:tcPr>
            <w:tcW w:w="1424" w:type="dxa"/>
            <w:vAlign w:val="center"/>
          </w:tcPr>
          <w:p>
            <w:pPr>
              <w:jc w:val="center"/>
              <w:rPr>
                <w:sz w:val="24"/>
                <w:szCs w:val="24"/>
              </w:rPr>
            </w:pPr>
          </w:p>
        </w:tc>
        <w:tc>
          <w:tcPr>
            <w:tcW w:w="1151" w:type="dxa"/>
            <w:vAlign w:val="center"/>
          </w:tcPr>
          <w:p>
            <w:pPr>
              <w:jc w:val="center"/>
              <w:rPr>
                <w:sz w:val="24"/>
                <w:szCs w:val="24"/>
              </w:rPr>
            </w:pPr>
          </w:p>
        </w:tc>
        <w:tc>
          <w:tcPr>
            <w:tcW w:w="1902"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jc w:val="center"/>
              <w:rPr>
                <w:sz w:val="24"/>
                <w:szCs w:val="24"/>
              </w:rPr>
            </w:pPr>
          </w:p>
        </w:tc>
        <w:tc>
          <w:tcPr>
            <w:tcW w:w="1649" w:type="dxa"/>
            <w:vAlign w:val="center"/>
          </w:tcPr>
          <w:p>
            <w:pPr>
              <w:jc w:val="center"/>
              <w:rPr>
                <w:sz w:val="24"/>
                <w:szCs w:val="24"/>
              </w:rPr>
            </w:pPr>
          </w:p>
        </w:tc>
        <w:tc>
          <w:tcPr>
            <w:tcW w:w="1332" w:type="dxa"/>
            <w:vAlign w:val="center"/>
          </w:tcPr>
          <w:p>
            <w:pPr>
              <w:jc w:val="center"/>
              <w:rPr>
                <w:sz w:val="24"/>
                <w:szCs w:val="24"/>
              </w:rPr>
            </w:pPr>
          </w:p>
        </w:tc>
        <w:tc>
          <w:tcPr>
            <w:tcW w:w="1424" w:type="dxa"/>
            <w:vAlign w:val="center"/>
          </w:tcPr>
          <w:p>
            <w:pPr>
              <w:jc w:val="center"/>
              <w:rPr>
                <w:sz w:val="24"/>
                <w:szCs w:val="24"/>
              </w:rPr>
            </w:pPr>
          </w:p>
        </w:tc>
        <w:tc>
          <w:tcPr>
            <w:tcW w:w="1151" w:type="dxa"/>
            <w:vAlign w:val="center"/>
          </w:tcPr>
          <w:p>
            <w:pPr>
              <w:jc w:val="center"/>
              <w:rPr>
                <w:sz w:val="24"/>
                <w:szCs w:val="24"/>
              </w:rPr>
            </w:pPr>
          </w:p>
        </w:tc>
        <w:tc>
          <w:tcPr>
            <w:tcW w:w="1902" w:type="dxa"/>
            <w:vAlign w:val="center"/>
          </w:tcPr>
          <w:p>
            <w:pPr>
              <w:jc w:val="center"/>
              <w:rPr>
                <w:sz w:val="24"/>
                <w:szCs w:val="24"/>
              </w:rPr>
            </w:pPr>
          </w:p>
        </w:tc>
      </w:tr>
    </w:tbl>
    <w:p>
      <w:pPr>
        <w:spacing w:line="620" w:lineRule="exact"/>
        <w:rPr>
          <w:sz w:val="24"/>
          <w:szCs w:val="24"/>
        </w:rPr>
      </w:pPr>
      <w:r>
        <w:rPr>
          <w:sz w:val="24"/>
          <w:szCs w:val="24"/>
        </w:rPr>
        <w:t>注：</w:t>
      </w:r>
    </w:p>
    <w:p>
      <w:pPr>
        <w:spacing w:line="360" w:lineRule="auto"/>
        <w:rPr>
          <w:sz w:val="24"/>
          <w:szCs w:val="24"/>
        </w:rPr>
      </w:pPr>
      <w:r>
        <w:rPr>
          <w:sz w:val="24"/>
          <w:szCs w:val="24"/>
        </w:rPr>
        <w:t>1. 不如实填写偏离情况的响应文件将视为虚假材料。</w:t>
      </w:r>
    </w:p>
    <w:p>
      <w:pPr>
        <w:spacing w:line="360" w:lineRule="auto"/>
        <w:rPr>
          <w:sz w:val="24"/>
          <w:szCs w:val="24"/>
        </w:rPr>
      </w:pPr>
      <w:r>
        <w:rPr>
          <w:sz w:val="24"/>
          <w:szCs w:val="24"/>
        </w:rPr>
        <w:t xml:space="preserve">2. </w:t>
      </w:r>
      <w:r>
        <w:rPr>
          <w:rFonts w:hint="eastAsia"/>
          <w:sz w:val="24"/>
          <w:szCs w:val="24"/>
        </w:rPr>
        <w:t>招标</w:t>
      </w:r>
      <w:r>
        <w:rPr>
          <w:sz w:val="24"/>
          <w:szCs w:val="24"/>
        </w:rPr>
        <w:t>要求指</w:t>
      </w:r>
      <w:r>
        <w:rPr>
          <w:rFonts w:hint="eastAsia"/>
          <w:sz w:val="24"/>
          <w:szCs w:val="24"/>
        </w:rPr>
        <w:t>招标</w:t>
      </w:r>
      <w:r>
        <w:rPr>
          <w:sz w:val="24"/>
          <w:szCs w:val="24"/>
        </w:rPr>
        <w:t>文件中规定的具体要求。</w:t>
      </w:r>
    </w:p>
    <w:p>
      <w:pPr>
        <w:spacing w:line="360" w:lineRule="auto"/>
        <w:rPr>
          <w:sz w:val="24"/>
          <w:szCs w:val="24"/>
        </w:rPr>
      </w:pPr>
      <w:r>
        <w:rPr>
          <w:sz w:val="24"/>
          <w:szCs w:val="24"/>
        </w:rPr>
        <w:t>3. 响应应答指供应商的实际情况。</w:t>
      </w:r>
    </w:p>
    <w:p>
      <w:pPr>
        <w:spacing w:line="360" w:lineRule="auto"/>
        <w:rPr>
          <w:sz w:val="24"/>
          <w:szCs w:val="24"/>
        </w:rPr>
      </w:pPr>
      <w:r>
        <w:rPr>
          <w:sz w:val="24"/>
          <w:szCs w:val="24"/>
        </w:rPr>
        <w:t>4. 偏离说明指</w:t>
      </w:r>
      <w:r>
        <w:rPr>
          <w:rFonts w:hint="eastAsia"/>
          <w:sz w:val="24"/>
          <w:szCs w:val="24"/>
        </w:rPr>
        <w:t>招标</w:t>
      </w:r>
      <w:r>
        <w:rPr>
          <w:sz w:val="24"/>
          <w:szCs w:val="24"/>
        </w:rPr>
        <w:t>要求与响应应答之间的不同之处。</w:t>
      </w:r>
    </w:p>
    <w:p>
      <w:pPr>
        <w:spacing w:line="360" w:lineRule="auto"/>
        <w:rPr>
          <w:sz w:val="24"/>
          <w:szCs w:val="24"/>
        </w:rPr>
      </w:pPr>
      <w:r>
        <w:rPr>
          <w:sz w:val="24"/>
          <w:szCs w:val="24"/>
        </w:rPr>
        <w:t>5. 如有技术支撑材料，请在“技术支撑材料页码”中填写页码，未填写视为无技术支撑材料。</w:t>
      </w:r>
    </w:p>
    <w:p>
      <w:pPr>
        <w:tabs>
          <w:tab w:val="left" w:pos="10605"/>
        </w:tabs>
        <w:spacing w:line="460" w:lineRule="exact"/>
        <w:ind w:left="210" w:right="653"/>
        <w:rPr>
          <w:sz w:val="24"/>
          <w:szCs w:val="24"/>
        </w:rPr>
      </w:pPr>
    </w:p>
    <w:p>
      <w:pPr>
        <w:spacing w:line="460" w:lineRule="exact"/>
        <w:ind w:left="192" w:firstLine="3948" w:firstLineChars="1645"/>
        <w:rPr>
          <w:sz w:val="24"/>
          <w:szCs w:val="24"/>
        </w:rPr>
      </w:pPr>
      <w:r>
        <w:rPr>
          <w:sz w:val="24"/>
          <w:szCs w:val="24"/>
        </w:rPr>
        <w:t>供应商授权代表签字：_______________</w:t>
      </w:r>
    </w:p>
    <w:p>
      <w:pPr>
        <w:spacing w:line="460" w:lineRule="exact"/>
        <w:ind w:left="192" w:firstLine="3948" w:firstLineChars="1645"/>
        <w:rPr>
          <w:sz w:val="24"/>
          <w:szCs w:val="24"/>
        </w:rPr>
      </w:pPr>
      <w:r>
        <w:rPr>
          <w:sz w:val="24"/>
          <w:szCs w:val="24"/>
        </w:rPr>
        <w:t>职务：_________日期：</w:t>
      </w:r>
      <w:r>
        <w:rPr>
          <w:rFonts w:hint="eastAsia" w:ascii="宋体" w:hAnsi="宋体" w:cs="宋体"/>
          <w:sz w:val="24"/>
          <w:szCs w:val="24"/>
        </w:rPr>
        <w:t>_______________</w:t>
      </w:r>
    </w:p>
    <w:p>
      <w:pPr>
        <w:spacing w:line="460" w:lineRule="exact"/>
        <w:ind w:left="192" w:firstLine="3948" w:firstLineChars="1645"/>
        <w:rPr>
          <w:b/>
          <w:sz w:val="24"/>
          <w:szCs w:val="24"/>
        </w:rPr>
      </w:pPr>
      <w:r>
        <w:rPr>
          <w:sz w:val="24"/>
          <w:szCs w:val="24"/>
        </w:rPr>
        <w:t>供应商名称（公章）：</w:t>
      </w:r>
      <w:r>
        <w:rPr>
          <w:rFonts w:hint="eastAsia"/>
          <w:sz w:val="24"/>
          <w:szCs w:val="24"/>
        </w:rPr>
        <w:t xml:space="preserve"> </w:t>
      </w:r>
      <w:r>
        <w:rPr>
          <w:rFonts w:hint="eastAsia" w:ascii="宋体" w:hAnsi="宋体" w:cs="宋体"/>
          <w:sz w:val="24"/>
          <w:szCs w:val="24"/>
        </w:rPr>
        <w:t>_______________</w:t>
      </w:r>
    </w:p>
    <w:p>
      <w:pPr>
        <w:tabs>
          <w:tab w:val="left" w:pos="3780"/>
          <w:tab w:val="left" w:pos="3960"/>
        </w:tabs>
        <w:spacing w:line="360" w:lineRule="auto"/>
        <w:jc w:val="center"/>
        <w:rPr>
          <w:b/>
          <w:sz w:val="24"/>
          <w:szCs w:val="24"/>
        </w:rPr>
        <w:sectPr>
          <w:pgSz w:w="11906" w:h="16838"/>
          <w:pgMar w:top="1440" w:right="1797" w:bottom="1440" w:left="1797" w:header="851" w:footer="992" w:gutter="0"/>
          <w:cols w:space="720" w:num="1"/>
          <w:docGrid w:linePitch="312" w:charSpace="0"/>
        </w:sectPr>
      </w:pPr>
    </w:p>
    <w:p>
      <w:pPr>
        <w:tabs>
          <w:tab w:val="left" w:pos="3780"/>
          <w:tab w:val="left" w:pos="3960"/>
        </w:tabs>
        <w:spacing w:line="360" w:lineRule="auto"/>
        <w:jc w:val="left"/>
        <w:rPr>
          <w:b/>
          <w:sz w:val="24"/>
          <w:szCs w:val="24"/>
        </w:rPr>
      </w:pPr>
      <w:r>
        <w:rPr>
          <w:b/>
          <w:sz w:val="24"/>
          <w:szCs w:val="24"/>
        </w:rPr>
        <w:t>附件</w:t>
      </w:r>
      <w:r>
        <w:rPr>
          <w:rFonts w:hint="eastAsia"/>
          <w:b/>
          <w:sz w:val="24"/>
          <w:szCs w:val="24"/>
        </w:rPr>
        <w:t>10</w:t>
      </w:r>
    </w:p>
    <w:p>
      <w:pPr>
        <w:tabs>
          <w:tab w:val="left" w:pos="3780"/>
          <w:tab w:val="left" w:pos="3960"/>
        </w:tabs>
        <w:spacing w:line="360" w:lineRule="auto"/>
        <w:jc w:val="center"/>
        <w:rPr>
          <w:b/>
          <w:sz w:val="28"/>
          <w:szCs w:val="28"/>
        </w:rPr>
      </w:pPr>
      <w:r>
        <w:rPr>
          <w:rFonts w:hint="eastAsia"/>
          <w:b/>
          <w:sz w:val="28"/>
          <w:szCs w:val="28"/>
        </w:rPr>
        <w:t>货物分项一览表</w:t>
      </w:r>
    </w:p>
    <w:p>
      <w:pPr>
        <w:tabs>
          <w:tab w:val="left" w:pos="3780"/>
          <w:tab w:val="left" w:pos="3960"/>
        </w:tabs>
        <w:spacing w:line="360" w:lineRule="auto"/>
        <w:jc w:val="center"/>
        <w:rPr>
          <w:b/>
          <w:sz w:val="28"/>
          <w:szCs w:val="28"/>
        </w:rPr>
      </w:pPr>
      <w:r>
        <w:rPr>
          <w:rFonts w:hint="eastAsia" w:ascii="宋体" w:hAnsi="宋体" w:cs="宋体"/>
          <w:b/>
          <w:bCs/>
          <w:szCs w:val="21"/>
        </w:rPr>
        <w:t>（限项目需求书中“三、设备清单及规格”）</w:t>
      </w:r>
    </w:p>
    <w:p>
      <w:pPr>
        <w:spacing w:line="360" w:lineRule="auto"/>
        <w:ind w:firstLine="240" w:firstLineChars="100"/>
        <w:rPr>
          <w:sz w:val="24"/>
          <w:szCs w:val="24"/>
        </w:rPr>
      </w:pPr>
      <w:r>
        <w:rPr>
          <w:sz w:val="24"/>
          <w:szCs w:val="24"/>
        </w:rPr>
        <w:t>项目名称：</w:t>
      </w:r>
    </w:p>
    <w:p>
      <w:pPr>
        <w:spacing w:line="360" w:lineRule="auto"/>
        <w:ind w:firstLine="240" w:firstLineChars="100"/>
        <w:rPr>
          <w:b/>
          <w:sz w:val="24"/>
          <w:szCs w:val="24"/>
        </w:rPr>
      </w:pPr>
      <w:r>
        <w:rPr>
          <w:sz w:val="24"/>
          <w:szCs w:val="24"/>
        </w:rPr>
        <w:t>项目编号：</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65"/>
        <w:gridCol w:w="1276"/>
        <w:gridCol w:w="850"/>
        <w:gridCol w:w="709"/>
        <w:gridCol w:w="851"/>
        <w:gridCol w:w="850"/>
        <w:gridCol w:w="70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pPr>
              <w:jc w:val="center"/>
              <w:rPr>
                <w:rFonts w:ascii="宋体"/>
                <w:sz w:val="24"/>
                <w:szCs w:val="24"/>
              </w:rPr>
            </w:pPr>
            <w:r>
              <w:rPr>
                <w:rFonts w:hint="eastAsia" w:ascii="宋体"/>
                <w:sz w:val="24"/>
                <w:szCs w:val="24"/>
              </w:rPr>
              <w:t>序号</w:t>
            </w:r>
          </w:p>
        </w:tc>
        <w:tc>
          <w:tcPr>
            <w:tcW w:w="765" w:type="dxa"/>
            <w:vAlign w:val="center"/>
          </w:tcPr>
          <w:p>
            <w:pPr>
              <w:jc w:val="center"/>
              <w:rPr>
                <w:rFonts w:ascii="宋体"/>
                <w:sz w:val="24"/>
                <w:szCs w:val="24"/>
              </w:rPr>
            </w:pPr>
            <w:r>
              <w:rPr>
                <w:rFonts w:hint="eastAsia" w:ascii="宋体"/>
                <w:sz w:val="24"/>
                <w:szCs w:val="24"/>
              </w:rPr>
              <w:t>货物名称</w:t>
            </w:r>
          </w:p>
        </w:tc>
        <w:tc>
          <w:tcPr>
            <w:tcW w:w="1276" w:type="dxa"/>
            <w:vAlign w:val="center"/>
          </w:tcPr>
          <w:p>
            <w:pPr>
              <w:jc w:val="center"/>
              <w:rPr>
                <w:rFonts w:ascii="宋体"/>
                <w:sz w:val="24"/>
                <w:szCs w:val="24"/>
              </w:rPr>
            </w:pPr>
            <w:r>
              <w:rPr>
                <w:rFonts w:hint="eastAsia" w:ascii="宋体"/>
                <w:sz w:val="24"/>
                <w:szCs w:val="24"/>
              </w:rPr>
              <w:t>品牌</w:t>
            </w:r>
          </w:p>
          <w:p>
            <w:pPr>
              <w:jc w:val="center"/>
              <w:rPr>
                <w:rFonts w:ascii="宋体"/>
                <w:sz w:val="24"/>
                <w:szCs w:val="24"/>
              </w:rPr>
            </w:pPr>
            <w:r>
              <w:rPr>
                <w:rFonts w:hint="eastAsia" w:ascii="宋体"/>
                <w:sz w:val="24"/>
                <w:szCs w:val="24"/>
              </w:rPr>
              <w:t>（如有）</w:t>
            </w:r>
          </w:p>
        </w:tc>
        <w:tc>
          <w:tcPr>
            <w:tcW w:w="850" w:type="dxa"/>
            <w:vAlign w:val="center"/>
          </w:tcPr>
          <w:p>
            <w:pPr>
              <w:jc w:val="center"/>
              <w:rPr>
                <w:rFonts w:ascii="宋体"/>
                <w:sz w:val="24"/>
                <w:szCs w:val="24"/>
              </w:rPr>
            </w:pPr>
            <w:r>
              <w:rPr>
                <w:rFonts w:hint="eastAsia" w:ascii="宋体"/>
                <w:sz w:val="24"/>
                <w:szCs w:val="24"/>
              </w:rPr>
              <w:t>规格型号</w:t>
            </w:r>
          </w:p>
        </w:tc>
        <w:tc>
          <w:tcPr>
            <w:tcW w:w="709" w:type="dxa"/>
            <w:vAlign w:val="center"/>
          </w:tcPr>
          <w:p>
            <w:pPr>
              <w:jc w:val="center"/>
              <w:rPr>
                <w:rFonts w:ascii="宋体"/>
                <w:sz w:val="24"/>
                <w:szCs w:val="24"/>
              </w:rPr>
            </w:pPr>
            <w:r>
              <w:rPr>
                <w:rFonts w:hint="eastAsia" w:ascii="宋体"/>
                <w:sz w:val="24"/>
                <w:szCs w:val="24"/>
              </w:rPr>
              <w:t>生产厂商</w:t>
            </w:r>
          </w:p>
        </w:tc>
        <w:tc>
          <w:tcPr>
            <w:tcW w:w="851" w:type="dxa"/>
            <w:vAlign w:val="center"/>
          </w:tcPr>
          <w:p>
            <w:pPr>
              <w:jc w:val="center"/>
              <w:rPr>
                <w:rFonts w:ascii="宋体"/>
                <w:sz w:val="24"/>
                <w:szCs w:val="24"/>
              </w:rPr>
            </w:pPr>
            <w:r>
              <w:rPr>
                <w:rFonts w:hint="eastAsia" w:ascii="宋体"/>
                <w:sz w:val="24"/>
                <w:szCs w:val="24"/>
              </w:rPr>
              <w:t>产地</w:t>
            </w:r>
          </w:p>
        </w:tc>
        <w:tc>
          <w:tcPr>
            <w:tcW w:w="850" w:type="dxa"/>
            <w:vAlign w:val="center"/>
          </w:tcPr>
          <w:p>
            <w:pPr>
              <w:jc w:val="center"/>
              <w:rPr>
                <w:rFonts w:ascii="宋体"/>
                <w:sz w:val="24"/>
                <w:szCs w:val="24"/>
              </w:rPr>
            </w:pPr>
            <w:r>
              <w:rPr>
                <w:rFonts w:hint="eastAsia" w:ascii="宋体"/>
                <w:sz w:val="24"/>
                <w:szCs w:val="24"/>
              </w:rPr>
              <w:t>数量</w:t>
            </w:r>
          </w:p>
        </w:tc>
        <w:tc>
          <w:tcPr>
            <w:tcW w:w="709" w:type="dxa"/>
            <w:vAlign w:val="center"/>
          </w:tcPr>
          <w:p>
            <w:pPr>
              <w:jc w:val="center"/>
              <w:rPr>
                <w:rFonts w:ascii="宋体"/>
                <w:sz w:val="24"/>
                <w:szCs w:val="24"/>
              </w:rPr>
            </w:pPr>
            <w:r>
              <w:rPr>
                <w:rFonts w:ascii="宋体"/>
                <w:sz w:val="24"/>
                <w:szCs w:val="24"/>
              </w:rPr>
              <w:t>单位</w:t>
            </w:r>
          </w:p>
        </w:tc>
        <w:tc>
          <w:tcPr>
            <w:tcW w:w="843" w:type="dxa"/>
            <w:vAlign w:val="center"/>
          </w:tcPr>
          <w:p>
            <w:pPr>
              <w:jc w:val="center"/>
              <w:rPr>
                <w:rFonts w:ascii="宋体"/>
                <w:sz w:val="24"/>
                <w:szCs w:val="24"/>
              </w:rPr>
            </w:pPr>
            <w:r>
              <w:rPr>
                <w:rFonts w:hint="eastAsia" w:ascii="宋体"/>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98" w:type="dxa"/>
            <w:tcBorders>
              <w:bottom w:val="single" w:color="auto" w:sz="4" w:space="0"/>
            </w:tcBorders>
          </w:tcPr>
          <w:p>
            <w:pPr>
              <w:rPr>
                <w:rFonts w:ascii="宋体"/>
                <w:sz w:val="24"/>
                <w:szCs w:val="24"/>
              </w:rPr>
            </w:pPr>
          </w:p>
        </w:tc>
        <w:tc>
          <w:tcPr>
            <w:tcW w:w="765" w:type="dxa"/>
            <w:tcBorders>
              <w:bottom w:val="single" w:color="auto" w:sz="4" w:space="0"/>
            </w:tcBorders>
            <w:vAlign w:val="center"/>
          </w:tcPr>
          <w:p>
            <w:pPr>
              <w:jc w:val="center"/>
              <w:rPr>
                <w:rFonts w:ascii="宋体"/>
                <w:sz w:val="24"/>
                <w:szCs w:val="24"/>
              </w:rPr>
            </w:pPr>
          </w:p>
        </w:tc>
        <w:tc>
          <w:tcPr>
            <w:tcW w:w="1276" w:type="dxa"/>
            <w:tcBorders>
              <w:bottom w:val="single" w:color="auto" w:sz="4" w:space="0"/>
            </w:tcBorders>
          </w:tcPr>
          <w:p>
            <w:pPr>
              <w:rPr>
                <w:rFonts w:ascii="宋体"/>
                <w:sz w:val="24"/>
                <w:szCs w:val="24"/>
              </w:rPr>
            </w:pPr>
          </w:p>
        </w:tc>
        <w:tc>
          <w:tcPr>
            <w:tcW w:w="850" w:type="dxa"/>
            <w:tcBorders>
              <w:bottom w:val="single" w:color="auto" w:sz="4" w:space="0"/>
            </w:tcBorders>
          </w:tcPr>
          <w:p>
            <w:pPr>
              <w:rPr>
                <w:rFonts w:ascii="宋体"/>
                <w:sz w:val="24"/>
                <w:szCs w:val="24"/>
              </w:rPr>
            </w:pPr>
          </w:p>
        </w:tc>
        <w:tc>
          <w:tcPr>
            <w:tcW w:w="709" w:type="dxa"/>
            <w:tcBorders>
              <w:bottom w:val="single" w:color="auto" w:sz="4" w:space="0"/>
            </w:tcBorders>
          </w:tcPr>
          <w:p>
            <w:pPr>
              <w:rPr>
                <w:rFonts w:ascii="宋体"/>
                <w:sz w:val="24"/>
                <w:szCs w:val="24"/>
              </w:rPr>
            </w:pPr>
          </w:p>
        </w:tc>
        <w:tc>
          <w:tcPr>
            <w:tcW w:w="851" w:type="dxa"/>
            <w:tcBorders>
              <w:bottom w:val="single" w:color="auto" w:sz="4" w:space="0"/>
            </w:tcBorders>
          </w:tcPr>
          <w:p>
            <w:pPr>
              <w:rPr>
                <w:rFonts w:ascii="宋体"/>
                <w:sz w:val="24"/>
                <w:szCs w:val="24"/>
              </w:rPr>
            </w:pPr>
          </w:p>
        </w:tc>
        <w:tc>
          <w:tcPr>
            <w:tcW w:w="850" w:type="dxa"/>
            <w:tcBorders>
              <w:bottom w:val="single" w:color="auto" w:sz="4" w:space="0"/>
            </w:tcBorders>
          </w:tcPr>
          <w:p>
            <w:pPr>
              <w:rPr>
                <w:rFonts w:ascii="宋体"/>
                <w:sz w:val="24"/>
                <w:szCs w:val="24"/>
              </w:rPr>
            </w:pPr>
          </w:p>
        </w:tc>
        <w:tc>
          <w:tcPr>
            <w:tcW w:w="709" w:type="dxa"/>
            <w:tcBorders>
              <w:bottom w:val="single" w:color="auto" w:sz="4" w:space="0"/>
            </w:tcBorders>
          </w:tcPr>
          <w:p>
            <w:pPr>
              <w:rPr>
                <w:rFonts w:ascii="宋体"/>
                <w:sz w:val="24"/>
                <w:szCs w:val="24"/>
              </w:rPr>
            </w:pPr>
          </w:p>
        </w:tc>
        <w:tc>
          <w:tcPr>
            <w:tcW w:w="843" w:type="dxa"/>
            <w:tcBorders>
              <w:bottom w:val="single" w:color="auto" w:sz="4" w:space="0"/>
            </w:tcBorders>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tcBorders>
              <w:bottom w:val="single" w:color="auto" w:sz="4" w:space="0"/>
            </w:tcBorders>
          </w:tcPr>
          <w:p>
            <w:pPr>
              <w:rPr>
                <w:rFonts w:ascii="宋体"/>
                <w:sz w:val="24"/>
                <w:szCs w:val="24"/>
              </w:rPr>
            </w:pPr>
          </w:p>
        </w:tc>
        <w:tc>
          <w:tcPr>
            <w:tcW w:w="765" w:type="dxa"/>
            <w:tcBorders>
              <w:bottom w:val="single" w:color="auto" w:sz="4" w:space="0"/>
            </w:tcBorders>
            <w:vAlign w:val="center"/>
          </w:tcPr>
          <w:p>
            <w:pPr>
              <w:jc w:val="center"/>
              <w:rPr>
                <w:rFonts w:ascii="宋体"/>
                <w:sz w:val="24"/>
                <w:szCs w:val="24"/>
              </w:rPr>
            </w:pPr>
          </w:p>
        </w:tc>
        <w:tc>
          <w:tcPr>
            <w:tcW w:w="1276" w:type="dxa"/>
            <w:tcBorders>
              <w:bottom w:val="single" w:color="auto" w:sz="4" w:space="0"/>
            </w:tcBorders>
          </w:tcPr>
          <w:p>
            <w:pPr>
              <w:rPr>
                <w:rFonts w:ascii="宋体"/>
                <w:sz w:val="24"/>
                <w:szCs w:val="24"/>
              </w:rPr>
            </w:pPr>
          </w:p>
        </w:tc>
        <w:tc>
          <w:tcPr>
            <w:tcW w:w="850" w:type="dxa"/>
            <w:tcBorders>
              <w:bottom w:val="single" w:color="auto" w:sz="4" w:space="0"/>
            </w:tcBorders>
          </w:tcPr>
          <w:p>
            <w:pPr>
              <w:rPr>
                <w:rFonts w:ascii="宋体"/>
                <w:sz w:val="24"/>
                <w:szCs w:val="24"/>
              </w:rPr>
            </w:pPr>
          </w:p>
        </w:tc>
        <w:tc>
          <w:tcPr>
            <w:tcW w:w="709" w:type="dxa"/>
            <w:tcBorders>
              <w:bottom w:val="single" w:color="auto" w:sz="4" w:space="0"/>
            </w:tcBorders>
          </w:tcPr>
          <w:p>
            <w:pPr>
              <w:rPr>
                <w:rFonts w:ascii="宋体"/>
                <w:sz w:val="24"/>
                <w:szCs w:val="24"/>
              </w:rPr>
            </w:pPr>
          </w:p>
        </w:tc>
        <w:tc>
          <w:tcPr>
            <w:tcW w:w="851" w:type="dxa"/>
            <w:tcBorders>
              <w:bottom w:val="single" w:color="auto" w:sz="4" w:space="0"/>
            </w:tcBorders>
          </w:tcPr>
          <w:p>
            <w:pPr>
              <w:rPr>
                <w:rFonts w:ascii="宋体"/>
                <w:sz w:val="24"/>
                <w:szCs w:val="24"/>
              </w:rPr>
            </w:pPr>
          </w:p>
        </w:tc>
        <w:tc>
          <w:tcPr>
            <w:tcW w:w="850" w:type="dxa"/>
            <w:tcBorders>
              <w:bottom w:val="single" w:color="auto" w:sz="4" w:space="0"/>
            </w:tcBorders>
          </w:tcPr>
          <w:p>
            <w:pPr>
              <w:rPr>
                <w:rFonts w:ascii="宋体"/>
                <w:sz w:val="24"/>
                <w:szCs w:val="24"/>
              </w:rPr>
            </w:pPr>
          </w:p>
        </w:tc>
        <w:tc>
          <w:tcPr>
            <w:tcW w:w="709" w:type="dxa"/>
            <w:tcBorders>
              <w:bottom w:val="single" w:color="auto" w:sz="4" w:space="0"/>
            </w:tcBorders>
          </w:tcPr>
          <w:p>
            <w:pPr>
              <w:rPr>
                <w:rFonts w:ascii="宋体"/>
                <w:sz w:val="24"/>
                <w:szCs w:val="24"/>
              </w:rPr>
            </w:pPr>
          </w:p>
        </w:tc>
        <w:tc>
          <w:tcPr>
            <w:tcW w:w="843" w:type="dxa"/>
            <w:tcBorders>
              <w:bottom w:val="single" w:color="auto" w:sz="4" w:space="0"/>
            </w:tcBorders>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98" w:type="dxa"/>
            <w:tcBorders>
              <w:bottom w:val="single" w:color="auto" w:sz="4" w:space="0"/>
            </w:tcBorders>
          </w:tcPr>
          <w:p>
            <w:pPr>
              <w:rPr>
                <w:rFonts w:ascii="宋体"/>
                <w:sz w:val="24"/>
                <w:szCs w:val="24"/>
              </w:rPr>
            </w:pPr>
          </w:p>
        </w:tc>
        <w:tc>
          <w:tcPr>
            <w:tcW w:w="765" w:type="dxa"/>
            <w:tcBorders>
              <w:bottom w:val="single" w:color="auto" w:sz="4" w:space="0"/>
            </w:tcBorders>
            <w:vAlign w:val="center"/>
          </w:tcPr>
          <w:p>
            <w:pPr>
              <w:jc w:val="center"/>
              <w:rPr>
                <w:rFonts w:ascii="宋体"/>
                <w:sz w:val="24"/>
                <w:szCs w:val="24"/>
              </w:rPr>
            </w:pPr>
          </w:p>
        </w:tc>
        <w:tc>
          <w:tcPr>
            <w:tcW w:w="1276" w:type="dxa"/>
            <w:tcBorders>
              <w:bottom w:val="single" w:color="auto" w:sz="4" w:space="0"/>
            </w:tcBorders>
          </w:tcPr>
          <w:p>
            <w:pPr>
              <w:rPr>
                <w:rFonts w:ascii="宋体"/>
                <w:sz w:val="24"/>
                <w:szCs w:val="24"/>
              </w:rPr>
            </w:pPr>
          </w:p>
        </w:tc>
        <w:tc>
          <w:tcPr>
            <w:tcW w:w="850" w:type="dxa"/>
            <w:tcBorders>
              <w:bottom w:val="single" w:color="auto" w:sz="4" w:space="0"/>
            </w:tcBorders>
          </w:tcPr>
          <w:p>
            <w:pPr>
              <w:rPr>
                <w:rFonts w:ascii="宋体"/>
                <w:sz w:val="24"/>
                <w:szCs w:val="24"/>
              </w:rPr>
            </w:pPr>
          </w:p>
        </w:tc>
        <w:tc>
          <w:tcPr>
            <w:tcW w:w="709" w:type="dxa"/>
            <w:tcBorders>
              <w:bottom w:val="single" w:color="auto" w:sz="4" w:space="0"/>
            </w:tcBorders>
          </w:tcPr>
          <w:p>
            <w:pPr>
              <w:rPr>
                <w:rFonts w:ascii="宋体"/>
                <w:sz w:val="24"/>
                <w:szCs w:val="24"/>
              </w:rPr>
            </w:pPr>
          </w:p>
        </w:tc>
        <w:tc>
          <w:tcPr>
            <w:tcW w:w="851" w:type="dxa"/>
            <w:tcBorders>
              <w:bottom w:val="single" w:color="auto" w:sz="4" w:space="0"/>
            </w:tcBorders>
          </w:tcPr>
          <w:p>
            <w:pPr>
              <w:rPr>
                <w:rFonts w:ascii="宋体"/>
                <w:sz w:val="24"/>
                <w:szCs w:val="24"/>
              </w:rPr>
            </w:pPr>
          </w:p>
        </w:tc>
        <w:tc>
          <w:tcPr>
            <w:tcW w:w="850" w:type="dxa"/>
            <w:tcBorders>
              <w:bottom w:val="single" w:color="auto" w:sz="4" w:space="0"/>
            </w:tcBorders>
          </w:tcPr>
          <w:p>
            <w:pPr>
              <w:rPr>
                <w:rFonts w:ascii="宋体"/>
                <w:sz w:val="24"/>
                <w:szCs w:val="24"/>
              </w:rPr>
            </w:pPr>
          </w:p>
        </w:tc>
        <w:tc>
          <w:tcPr>
            <w:tcW w:w="709" w:type="dxa"/>
            <w:tcBorders>
              <w:bottom w:val="single" w:color="auto" w:sz="4" w:space="0"/>
            </w:tcBorders>
          </w:tcPr>
          <w:p>
            <w:pPr>
              <w:rPr>
                <w:rFonts w:ascii="宋体"/>
                <w:sz w:val="24"/>
                <w:szCs w:val="24"/>
              </w:rPr>
            </w:pPr>
          </w:p>
        </w:tc>
        <w:tc>
          <w:tcPr>
            <w:tcW w:w="843" w:type="dxa"/>
            <w:tcBorders>
              <w:bottom w:val="single" w:color="auto" w:sz="4" w:space="0"/>
            </w:tcBorders>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98" w:type="dxa"/>
            <w:tcBorders>
              <w:bottom w:val="single" w:color="auto" w:sz="4" w:space="0"/>
            </w:tcBorders>
          </w:tcPr>
          <w:p>
            <w:pPr>
              <w:rPr>
                <w:rFonts w:ascii="宋体"/>
                <w:sz w:val="24"/>
                <w:szCs w:val="24"/>
              </w:rPr>
            </w:pPr>
          </w:p>
        </w:tc>
        <w:tc>
          <w:tcPr>
            <w:tcW w:w="765" w:type="dxa"/>
            <w:tcBorders>
              <w:bottom w:val="single" w:color="auto" w:sz="4" w:space="0"/>
            </w:tcBorders>
            <w:vAlign w:val="center"/>
          </w:tcPr>
          <w:p>
            <w:pPr>
              <w:jc w:val="center"/>
              <w:rPr>
                <w:rFonts w:ascii="宋体"/>
                <w:sz w:val="24"/>
                <w:szCs w:val="24"/>
              </w:rPr>
            </w:pPr>
          </w:p>
        </w:tc>
        <w:tc>
          <w:tcPr>
            <w:tcW w:w="1276" w:type="dxa"/>
            <w:tcBorders>
              <w:bottom w:val="single" w:color="auto" w:sz="4" w:space="0"/>
            </w:tcBorders>
          </w:tcPr>
          <w:p>
            <w:pPr>
              <w:rPr>
                <w:rFonts w:ascii="宋体"/>
                <w:sz w:val="24"/>
                <w:szCs w:val="24"/>
              </w:rPr>
            </w:pPr>
          </w:p>
        </w:tc>
        <w:tc>
          <w:tcPr>
            <w:tcW w:w="850" w:type="dxa"/>
            <w:tcBorders>
              <w:bottom w:val="single" w:color="auto" w:sz="4" w:space="0"/>
            </w:tcBorders>
          </w:tcPr>
          <w:p>
            <w:pPr>
              <w:rPr>
                <w:rFonts w:ascii="宋体"/>
                <w:sz w:val="24"/>
                <w:szCs w:val="24"/>
              </w:rPr>
            </w:pPr>
          </w:p>
        </w:tc>
        <w:tc>
          <w:tcPr>
            <w:tcW w:w="709" w:type="dxa"/>
            <w:tcBorders>
              <w:bottom w:val="single" w:color="auto" w:sz="4" w:space="0"/>
            </w:tcBorders>
          </w:tcPr>
          <w:p>
            <w:pPr>
              <w:rPr>
                <w:rFonts w:ascii="宋体"/>
                <w:sz w:val="24"/>
                <w:szCs w:val="24"/>
              </w:rPr>
            </w:pPr>
          </w:p>
        </w:tc>
        <w:tc>
          <w:tcPr>
            <w:tcW w:w="851" w:type="dxa"/>
            <w:tcBorders>
              <w:bottom w:val="single" w:color="auto" w:sz="4" w:space="0"/>
            </w:tcBorders>
          </w:tcPr>
          <w:p>
            <w:pPr>
              <w:rPr>
                <w:rFonts w:ascii="宋体"/>
                <w:sz w:val="24"/>
                <w:szCs w:val="24"/>
              </w:rPr>
            </w:pPr>
          </w:p>
        </w:tc>
        <w:tc>
          <w:tcPr>
            <w:tcW w:w="850" w:type="dxa"/>
            <w:tcBorders>
              <w:bottom w:val="single" w:color="auto" w:sz="4" w:space="0"/>
            </w:tcBorders>
          </w:tcPr>
          <w:p>
            <w:pPr>
              <w:rPr>
                <w:rFonts w:ascii="宋体"/>
                <w:sz w:val="24"/>
                <w:szCs w:val="24"/>
              </w:rPr>
            </w:pPr>
          </w:p>
        </w:tc>
        <w:tc>
          <w:tcPr>
            <w:tcW w:w="709" w:type="dxa"/>
            <w:tcBorders>
              <w:bottom w:val="single" w:color="auto" w:sz="4" w:space="0"/>
            </w:tcBorders>
          </w:tcPr>
          <w:p>
            <w:pPr>
              <w:rPr>
                <w:rFonts w:ascii="宋体"/>
                <w:sz w:val="24"/>
                <w:szCs w:val="24"/>
              </w:rPr>
            </w:pPr>
          </w:p>
        </w:tc>
        <w:tc>
          <w:tcPr>
            <w:tcW w:w="843" w:type="dxa"/>
            <w:tcBorders>
              <w:bottom w:val="single" w:color="auto" w:sz="4" w:space="0"/>
            </w:tcBorders>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698" w:type="dxa"/>
            <w:tcBorders>
              <w:bottom w:val="single" w:color="auto" w:sz="4" w:space="0"/>
            </w:tcBorders>
          </w:tcPr>
          <w:p>
            <w:pPr>
              <w:rPr>
                <w:rFonts w:ascii="宋体"/>
                <w:sz w:val="24"/>
                <w:szCs w:val="24"/>
              </w:rPr>
            </w:pPr>
          </w:p>
        </w:tc>
        <w:tc>
          <w:tcPr>
            <w:tcW w:w="765" w:type="dxa"/>
            <w:tcBorders>
              <w:bottom w:val="single" w:color="auto" w:sz="4" w:space="0"/>
            </w:tcBorders>
            <w:vAlign w:val="center"/>
          </w:tcPr>
          <w:p>
            <w:pPr>
              <w:jc w:val="center"/>
              <w:rPr>
                <w:rFonts w:ascii="宋体"/>
                <w:sz w:val="24"/>
                <w:szCs w:val="24"/>
              </w:rPr>
            </w:pPr>
          </w:p>
        </w:tc>
        <w:tc>
          <w:tcPr>
            <w:tcW w:w="1276" w:type="dxa"/>
            <w:tcBorders>
              <w:bottom w:val="single" w:color="auto" w:sz="4" w:space="0"/>
            </w:tcBorders>
          </w:tcPr>
          <w:p>
            <w:pPr>
              <w:rPr>
                <w:rFonts w:ascii="宋体"/>
                <w:sz w:val="24"/>
                <w:szCs w:val="24"/>
              </w:rPr>
            </w:pPr>
          </w:p>
        </w:tc>
        <w:tc>
          <w:tcPr>
            <w:tcW w:w="850" w:type="dxa"/>
            <w:tcBorders>
              <w:bottom w:val="single" w:color="auto" w:sz="4" w:space="0"/>
            </w:tcBorders>
          </w:tcPr>
          <w:p>
            <w:pPr>
              <w:rPr>
                <w:rFonts w:ascii="宋体"/>
                <w:sz w:val="24"/>
                <w:szCs w:val="24"/>
              </w:rPr>
            </w:pPr>
          </w:p>
        </w:tc>
        <w:tc>
          <w:tcPr>
            <w:tcW w:w="709" w:type="dxa"/>
            <w:tcBorders>
              <w:bottom w:val="single" w:color="auto" w:sz="4" w:space="0"/>
            </w:tcBorders>
          </w:tcPr>
          <w:p>
            <w:pPr>
              <w:rPr>
                <w:rFonts w:ascii="宋体"/>
                <w:sz w:val="24"/>
                <w:szCs w:val="24"/>
              </w:rPr>
            </w:pPr>
          </w:p>
        </w:tc>
        <w:tc>
          <w:tcPr>
            <w:tcW w:w="851" w:type="dxa"/>
            <w:tcBorders>
              <w:bottom w:val="single" w:color="auto" w:sz="4" w:space="0"/>
            </w:tcBorders>
          </w:tcPr>
          <w:p>
            <w:pPr>
              <w:rPr>
                <w:rFonts w:ascii="宋体"/>
                <w:sz w:val="24"/>
                <w:szCs w:val="24"/>
              </w:rPr>
            </w:pPr>
          </w:p>
        </w:tc>
        <w:tc>
          <w:tcPr>
            <w:tcW w:w="850" w:type="dxa"/>
            <w:tcBorders>
              <w:bottom w:val="single" w:color="auto" w:sz="4" w:space="0"/>
            </w:tcBorders>
          </w:tcPr>
          <w:p>
            <w:pPr>
              <w:rPr>
                <w:rFonts w:ascii="宋体"/>
                <w:sz w:val="24"/>
                <w:szCs w:val="24"/>
              </w:rPr>
            </w:pPr>
          </w:p>
        </w:tc>
        <w:tc>
          <w:tcPr>
            <w:tcW w:w="709" w:type="dxa"/>
            <w:tcBorders>
              <w:bottom w:val="single" w:color="auto" w:sz="4" w:space="0"/>
            </w:tcBorders>
          </w:tcPr>
          <w:p>
            <w:pPr>
              <w:rPr>
                <w:rFonts w:ascii="宋体"/>
                <w:sz w:val="24"/>
                <w:szCs w:val="24"/>
              </w:rPr>
            </w:pPr>
          </w:p>
        </w:tc>
        <w:tc>
          <w:tcPr>
            <w:tcW w:w="843" w:type="dxa"/>
            <w:tcBorders>
              <w:bottom w:val="single" w:color="auto" w:sz="4" w:space="0"/>
            </w:tcBorders>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698" w:type="dxa"/>
            <w:tcBorders>
              <w:bottom w:val="single" w:color="auto" w:sz="4" w:space="0"/>
            </w:tcBorders>
          </w:tcPr>
          <w:p>
            <w:pPr>
              <w:rPr>
                <w:rFonts w:ascii="宋体"/>
                <w:sz w:val="24"/>
                <w:szCs w:val="24"/>
              </w:rPr>
            </w:pPr>
          </w:p>
        </w:tc>
        <w:tc>
          <w:tcPr>
            <w:tcW w:w="765" w:type="dxa"/>
            <w:tcBorders>
              <w:bottom w:val="single" w:color="auto" w:sz="4" w:space="0"/>
            </w:tcBorders>
            <w:vAlign w:val="center"/>
          </w:tcPr>
          <w:p>
            <w:pPr>
              <w:jc w:val="center"/>
              <w:rPr>
                <w:rFonts w:ascii="宋体"/>
                <w:sz w:val="24"/>
                <w:szCs w:val="24"/>
              </w:rPr>
            </w:pPr>
          </w:p>
        </w:tc>
        <w:tc>
          <w:tcPr>
            <w:tcW w:w="1276" w:type="dxa"/>
            <w:tcBorders>
              <w:bottom w:val="single" w:color="auto" w:sz="4" w:space="0"/>
            </w:tcBorders>
          </w:tcPr>
          <w:p>
            <w:pPr>
              <w:rPr>
                <w:rFonts w:ascii="宋体"/>
                <w:sz w:val="24"/>
                <w:szCs w:val="24"/>
              </w:rPr>
            </w:pPr>
          </w:p>
        </w:tc>
        <w:tc>
          <w:tcPr>
            <w:tcW w:w="850" w:type="dxa"/>
            <w:tcBorders>
              <w:bottom w:val="single" w:color="auto" w:sz="4" w:space="0"/>
            </w:tcBorders>
          </w:tcPr>
          <w:p>
            <w:pPr>
              <w:rPr>
                <w:rFonts w:ascii="宋体"/>
                <w:sz w:val="24"/>
                <w:szCs w:val="24"/>
              </w:rPr>
            </w:pPr>
          </w:p>
        </w:tc>
        <w:tc>
          <w:tcPr>
            <w:tcW w:w="709" w:type="dxa"/>
            <w:tcBorders>
              <w:bottom w:val="single" w:color="auto" w:sz="4" w:space="0"/>
            </w:tcBorders>
          </w:tcPr>
          <w:p>
            <w:pPr>
              <w:rPr>
                <w:rFonts w:ascii="宋体"/>
                <w:sz w:val="24"/>
                <w:szCs w:val="24"/>
              </w:rPr>
            </w:pPr>
          </w:p>
        </w:tc>
        <w:tc>
          <w:tcPr>
            <w:tcW w:w="851" w:type="dxa"/>
            <w:tcBorders>
              <w:bottom w:val="single" w:color="auto" w:sz="4" w:space="0"/>
            </w:tcBorders>
          </w:tcPr>
          <w:p>
            <w:pPr>
              <w:rPr>
                <w:rFonts w:ascii="宋体"/>
                <w:sz w:val="24"/>
                <w:szCs w:val="24"/>
              </w:rPr>
            </w:pPr>
          </w:p>
        </w:tc>
        <w:tc>
          <w:tcPr>
            <w:tcW w:w="850" w:type="dxa"/>
            <w:tcBorders>
              <w:bottom w:val="single" w:color="auto" w:sz="4" w:space="0"/>
            </w:tcBorders>
          </w:tcPr>
          <w:p>
            <w:pPr>
              <w:rPr>
                <w:rFonts w:ascii="宋体"/>
                <w:sz w:val="24"/>
                <w:szCs w:val="24"/>
              </w:rPr>
            </w:pPr>
          </w:p>
        </w:tc>
        <w:tc>
          <w:tcPr>
            <w:tcW w:w="709" w:type="dxa"/>
            <w:tcBorders>
              <w:bottom w:val="single" w:color="auto" w:sz="4" w:space="0"/>
            </w:tcBorders>
          </w:tcPr>
          <w:p>
            <w:pPr>
              <w:rPr>
                <w:rFonts w:ascii="宋体"/>
                <w:sz w:val="24"/>
                <w:szCs w:val="24"/>
              </w:rPr>
            </w:pPr>
          </w:p>
        </w:tc>
        <w:tc>
          <w:tcPr>
            <w:tcW w:w="843" w:type="dxa"/>
            <w:tcBorders>
              <w:bottom w:val="single" w:color="auto" w:sz="4" w:space="0"/>
            </w:tcBorders>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tcPr>
          <w:p>
            <w:pPr>
              <w:rPr>
                <w:rFonts w:ascii="宋体"/>
                <w:sz w:val="24"/>
                <w:szCs w:val="24"/>
              </w:rPr>
            </w:pPr>
          </w:p>
        </w:tc>
        <w:tc>
          <w:tcPr>
            <w:tcW w:w="765" w:type="dxa"/>
            <w:vAlign w:val="center"/>
          </w:tcPr>
          <w:p>
            <w:pPr>
              <w:jc w:val="center"/>
              <w:rPr>
                <w:rFonts w:ascii="宋体"/>
                <w:sz w:val="24"/>
                <w:szCs w:val="24"/>
              </w:rPr>
            </w:pPr>
          </w:p>
        </w:tc>
        <w:tc>
          <w:tcPr>
            <w:tcW w:w="1276" w:type="dxa"/>
          </w:tcPr>
          <w:p>
            <w:pPr>
              <w:rPr>
                <w:rFonts w:ascii="宋体"/>
                <w:sz w:val="24"/>
                <w:szCs w:val="24"/>
              </w:rPr>
            </w:pPr>
          </w:p>
        </w:tc>
        <w:tc>
          <w:tcPr>
            <w:tcW w:w="850" w:type="dxa"/>
          </w:tcPr>
          <w:p>
            <w:pPr>
              <w:rPr>
                <w:rFonts w:ascii="宋体"/>
                <w:sz w:val="24"/>
                <w:szCs w:val="24"/>
              </w:rPr>
            </w:pPr>
          </w:p>
        </w:tc>
        <w:tc>
          <w:tcPr>
            <w:tcW w:w="709" w:type="dxa"/>
          </w:tcPr>
          <w:p>
            <w:pPr>
              <w:rPr>
                <w:rFonts w:ascii="宋体"/>
                <w:sz w:val="24"/>
                <w:szCs w:val="24"/>
              </w:rPr>
            </w:pPr>
          </w:p>
        </w:tc>
        <w:tc>
          <w:tcPr>
            <w:tcW w:w="851" w:type="dxa"/>
          </w:tcPr>
          <w:p>
            <w:pPr>
              <w:rPr>
                <w:rFonts w:ascii="宋体"/>
                <w:sz w:val="24"/>
                <w:szCs w:val="24"/>
              </w:rPr>
            </w:pPr>
          </w:p>
        </w:tc>
        <w:tc>
          <w:tcPr>
            <w:tcW w:w="850" w:type="dxa"/>
          </w:tcPr>
          <w:p>
            <w:pPr>
              <w:rPr>
                <w:rFonts w:ascii="宋体"/>
                <w:sz w:val="24"/>
                <w:szCs w:val="24"/>
              </w:rPr>
            </w:pPr>
          </w:p>
        </w:tc>
        <w:tc>
          <w:tcPr>
            <w:tcW w:w="709" w:type="dxa"/>
          </w:tcPr>
          <w:p>
            <w:pPr>
              <w:rPr>
                <w:rFonts w:ascii="宋体"/>
                <w:sz w:val="24"/>
                <w:szCs w:val="24"/>
              </w:rPr>
            </w:pPr>
          </w:p>
        </w:tc>
        <w:tc>
          <w:tcPr>
            <w:tcW w:w="843"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8" w:type="dxa"/>
          </w:tcPr>
          <w:p>
            <w:pPr>
              <w:rPr>
                <w:rFonts w:ascii="宋体"/>
                <w:sz w:val="24"/>
                <w:szCs w:val="24"/>
              </w:rPr>
            </w:pPr>
          </w:p>
        </w:tc>
        <w:tc>
          <w:tcPr>
            <w:tcW w:w="765" w:type="dxa"/>
            <w:vAlign w:val="center"/>
          </w:tcPr>
          <w:p>
            <w:pPr>
              <w:jc w:val="center"/>
              <w:rPr>
                <w:rFonts w:ascii="宋体"/>
                <w:sz w:val="24"/>
                <w:szCs w:val="24"/>
              </w:rPr>
            </w:pPr>
          </w:p>
        </w:tc>
        <w:tc>
          <w:tcPr>
            <w:tcW w:w="1276" w:type="dxa"/>
          </w:tcPr>
          <w:p>
            <w:pPr>
              <w:rPr>
                <w:rFonts w:ascii="宋体"/>
                <w:sz w:val="24"/>
                <w:szCs w:val="24"/>
              </w:rPr>
            </w:pPr>
          </w:p>
        </w:tc>
        <w:tc>
          <w:tcPr>
            <w:tcW w:w="850" w:type="dxa"/>
          </w:tcPr>
          <w:p>
            <w:pPr>
              <w:rPr>
                <w:rFonts w:ascii="宋体"/>
                <w:sz w:val="24"/>
                <w:szCs w:val="24"/>
              </w:rPr>
            </w:pPr>
          </w:p>
        </w:tc>
        <w:tc>
          <w:tcPr>
            <w:tcW w:w="709" w:type="dxa"/>
          </w:tcPr>
          <w:p>
            <w:pPr>
              <w:rPr>
                <w:rFonts w:ascii="宋体"/>
                <w:sz w:val="24"/>
                <w:szCs w:val="24"/>
              </w:rPr>
            </w:pPr>
          </w:p>
        </w:tc>
        <w:tc>
          <w:tcPr>
            <w:tcW w:w="851" w:type="dxa"/>
          </w:tcPr>
          <w:p>
            <w:pPr>
              <w:rPr>
                <w:rFonts w:ascii="宋体"/>
                <w:sz w:val="24"/>
                <w:szCs w:val="24"/>
              </w:rPr>
            </w:pPr>
          </w:p>
        </w:tc>
        <w:tc>
          <w:tcPr>
            <w:tcW w:w="850" w:type="dxa"/>
          </w:tcPr>
          <w:p>
            <w:pPr>
              <w:rPr>
                <w:rFonts w:ascii="宋体"/>
                <w:sz w:val="24"/>
                <w:szCs w:val="24"/>
              </w:rPr>
            </w:pPr>
          </w:p>
        </w:tc>
        <w:tc>
          <w:tcPr>
            <w:tcW w:w="709" w:type="dxa"/>
          </w:tcPr>
          <w:p>
            <w:pPr>
              <w:rPr>
                <w:rFonts w:ascii="宋体"/>
                <w:sz w:val="24"/>
                <w:szCs w:val="24"/>
              </w:rPr>
            </w:pPr>
          </w:p>
        </w:tc>
        <w:tc>
          <w:tcPr>
            <w:tcW w:w="843" w:type="dxa"/>
          </w:tcPr>
          <w:p>
            <w:pPr>
              <w:rPr>
                <w:rFonts w:ascii="宋体"/>
                <w:sz w:val="24"/>
                <w:szCs w:val="24"/>
              </w:rPr>
            </w:pPr>
          </w:p>
        </w:tc>
      </w:tr>
    </w:tbl>
    <w:p>
      <w:pPr>
        <w:ind w:left="180"/>
        <w:rPr>
          <w:rFonts w:ascii="宋体"/>
          <w:sz w:val="24"/>
          <w:szCs w:val="24"/>
        </w:rPr>
      </w:pPr>
    </w:p>
    <w:p>
      <w:pPr>
        <w:ind w:left="180"/>
        <w:rPr>
          <w:rFonts w:ascii="宋体"/>
          <w:sz w:val="24"/>
          <w:szCs w:val="24"/>
        </w:rPr>
      </w:pPr>
      <w:r>
        <w:rPr>
          <w:rFonts w:hint="eastAsia" w:ascii="宋体"/>
          <w:sz w:val="24"/>
          <w:szCs w:val="24"/>
        </w:rPr>
        <w:t>注：</w:t>
      </w:r>
    </w:p>
    <w:p>
      <w:pPr>
        <w:ind w:left="180"/>
        <w:rPr>
          <w:rFonts w:ascii="宋体"/>
          <w:sz w:val="24"/>
          <w:szCs w:val="24"/>
        </w:rPr>
      </w:pPr>
      <w:r>
        <w:rPr>
          <w:rFonts w:hint="eastAsia" w:ascii="宋体"/>
          <w:sz w:val="24"/>
          <w:szCs w:val="24"/>
        </w:rPr>
        <w:t>1. 商品属性应在“环保产品”、“节能产品”、“无”三个选择项中选择填写。环保产品、节能产品均以是否属于《节能产品政府采购品目清单》或《环境标志产品政府采购品目清单》中产品且具有由国家确定的认证机构出具的、处于有效期之内的产品认证证书为填写依据。</w:t>
      </w:r>
    </w:p>
    <w:p>
      <w:pPr>
        <w:ind w:left="180"/>
        <w:rPr>
          <w:rFonts w:ascii="宋体"/>
          <w:sz w:val="24"/>
          <w:szCs w:val="24"/>
        </w:rPr>
      </w:pPr>
      <w:r>
        <w:rPr>
          <w:rFonts w:hint="eastAsia" w:ascii="宋体"/>
          <w:sz w:val="24"/>
          <w:szCs w:val="24"/>
        </w:rPr>
        <w:t>2. 货物分项一览表中应列明采购清单中的每项产品。</w:t>
      </w:r>
    </w:p>
    <w:p>
      <w:pPr>
        <w:ind w:left="180"/>
        <w:rPr>
          <w:rFonts w:ascii="宋体"/>
          <w:sz w:val="24"/>
          <w:szCs w:val="24"/>
        </w:rPr>
      </w:pPr>
      <w:r>
        <w:rPr>
          <w:rFonts w:hint="eastAsia" w:ascii="宋体"/>
          <w:sz w:val="24"/>
          <w:szCs w:val="24"/>
        </w:rPr>
        <w:t>3. 如国产产品，产地精确到省级行政区域。如进口产品，产地精确到国家。</w:t>
      </w:r>
    </w:p>
    <w:p>
      <w:pPr>
        <w:ind w:left="180"/>
        <w:rPr>
          <w:rFonts w:ascii="宋体"/>
          <w:sz w:val="24"/>
          <w:szCs w:val="24"/>
        </w:rPr>
      </w:pPr>
    </w:p>
    <w:p>
      <w:pPr>
        <w:spacing w:line="460" w:lineRule="exact"/>
        <w:ind w:left="192" w:firstLine="3948" w:firstLineChars="1645"/>
        <w:rPr>
          <w:sz w:val="24"/>
          <w:szCs w:val="24"/>
        </w:rPr>
      </w:pPr>
      <w:r>
        <w:rPr>
          <w:rFonts w:hint="eastAsia"/>
          <w:sz w:val="24"/>
          <w:szCs w:val="24"/>
        </w:rPr>
        <w:t>供应商授权代表签字：_______________</w:t>
      </w:r>
    </w:p>
    <w:p>
      <w:pPr>
        <w:spacing w:line="460" w:lineRule="exact"/>
        <w:ind w:left="192" w:firstLine="3948" w:firstLineChars="1645"/>
        <w:rPr>
          <w:sz w:val="24"/>
          <w:szCs w:val="24"/>
        </w:rPr>
      </w:pPr>
      <w:r>
        <w:rPr>
          <w:rFonts w:hint="eastAsia"/>
          <w:sz w:val="24"/>
          <w:szCs w:val="24"/>
        </w:rPr>
        <w:t>职务：_________日期：</w:t>
      </w:r>
      <w:r>
        <w:rPr>
          <w:rFonts w:hint="eastAsia" w:ascii="宋体" w:hAnsi="宋体" w:cs="宋体"/>
          <w:sz w:val="24"/>
          <w:szCs w:val="24"/>
        </w:rPr>
        <w:t>_______________</w:t>
      </w:r>
    </w:p>
    <w:p>
      <w:pPr>
        <w:spacing w:line="460" w:lineRule="exact"/>
        <w:ind w:left="192" w:firstLine="3948" w:firstLineChars="1645"/>
        <w:rPr>
          <w:sz w:val="24"/>
          <w:szCs w:val="24"/>
        </w:rPr>
      </w:pPr>
      <w:r>
        <w:rPr>
          <w:rFonts w:hint="eastAsia"/>
          <w:sz w:val="24"/>
          <w:szCs w:val="24"/>
        </w:rPr>
        <w:t xml:space="preserve">供应商名称（公章）： </w:t>
      </w:r>
      <w:r>
        <w:rPr>
          <w:rFonts w:hint="eastAsia" w:ascii="宋体" w:hAnsi="宋体" w:cs="宋体"/>
          <w:sz w:val="24"/>
          <w:szCs w:val="24"/>
        </w:rPr>
        <w:t>_______________</w:t>
      </w:r>
    </w:p>
    <w:p>
      <w:pPr>
        <w:spacing w:line="460" w:lineRule="exact"/>
        <w:ind w:left="420" w:firstLine="480"/>
        <w:rPr>
          <w:rFonts w:ascii="宋体" w:hAnsi="宋体"/>
          <w:b/>
        </w:rPr>
      </w:pPr>
    </w:p>
    <w:p>
      <w:pPr>
        <w:spacing w:line="460" w:lineRule="exact"/>
        <w:rPr>
          <w:rFonts w:ascii="宋体" w:hAnsi="宋体" w:cs="宋体"/>
          <w:sz w:val="24"/>
          <w:szCs w:val="24"/>
        </w:rPr>
      </w:pPr>
      <w:r>
        <w:rPr>
          <w:rFonts w:hint="eastAsia" w:ascii="宋体" w:hAnsi="宋体" w:cs="宋体"/>
          <w:sz w:val="24"/>
          <w:szCs w:val="24"/>
        </w:rPr>
        <w:br w:type="page"/>
      </w:r>
      <w:r>
        <w:rPr>
          <w:rFonts w:hint="eastAsia" w:ascii="宋体" w:hAnsi="宋体" w:cs="宋体"/>
          <w:b/>
          <w:sz w:val="24"/>
          <w:szCs w:val="24"/>
        </w:rPr>
        <w:t>附件11</w:t>
      </w:r>
    </w:p>
    <w:p>
      <w:pPr>
        <w:spacing w:line="360" w:lineRule="auto"/>
        <w:ind w:firstLine="480"/>
        <w:rPr>
          <w:rFonts w:ascii="宋体" w:hAnsi="宋体" w:cs="宋体"/>
          <w:sz w:val="24"/>
          <w:szCs w:val="24"/>
        </w:rPr>
      </w:pPr>
    </w:p>
    <w:p>
      <w:pPr>
        <w:spacing w:line="560" w:lineRule="exact"/>
        <w:ind w:firstLine="482"/>
        <w:jc w:val="center"/>
        <w:rPr>
          <w:rFonts w:ascii="宋体" w:hAnsi="宋体" w:cs="宋体"/>
          <w:b/>
          <w:sz w:val="28"/>
          <w:szCs w:val="28"/>
        </w:rPr>
      </w:pPr>
      <w:r>
        <w:rPr>
          <w:rFonts w:hint="eastAsia" w:ascii="宋体" w:hAnsi="宋体" w:cs="宋体"/>
          <w:b/>
          <w:sz w:val="28"/>
          <w:szCs w:val="28"/>
        </w:rPr>
        <w:t>主要相关项目业绩一览表</w:t>
      </w:r>
    </w:p>
    <w:p>
      <w:pPr>
        <w:spacing w:line="460" w:lineRule="exact"/>
        <w:rPr>
          <w:rFonts w:ascii="宋体" w:hAnsi="宋体" w:cs="宋体"/>
          <w:b/>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b/>
          <w:sz w:val="24"/>
          <w:szCs w:val="24"/>
        </w:rPr>
        <w:t xml:space="preserve">            </w:t>
      </w:r>
    </w:p>
    <w:p>
      <w:pPr>
        <w:spacing w:line="460" w:lineRule="exact"/>
        <w:rPr>
          <w:rFonts w:ascii="宋体" w:hAnsi="宋体" w:cs="宋体"/>
          <w:b/>
          <w:sz w:val="24"/>
          <w:szCs w:val="24"/>
        </w:rPr>
      </w:pP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b/>
          <w:sz w:val="24"/>
          <w:szCs w:val="24"/>
        </w:rPr>
        <w:t xml:space="preserve">            </w:t>
      </w:r>
    </w:p>
    <w:p>
      <w:pPr>
        <w:spacing w:line="460" w:lineRule="exact"/>
        <w:ind w:firstLine="482"/>
        <w:rPr>
          <w:rFonts w:ascii="宋体" w:hAnsi="宋体" w:cs="宋体"/>
          <w:b/>
          <w:sz w:val="24"/>
          <w:szCs w:val="24"/>
        </w:rPr>
      </w:pPr>
    </w:p>
    <w:tbl>
      <w:tblPr>
        <w:tblStyle w:val="32"/>
        <w:tblW w:w="8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715"/>
        <w:gridCol w:w="1500"/>
        <w:gridCol w:w="1230"/>
        <w:gridCol w:w="1335"/>
        <w:gridCol w:w="1170"/>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序号</w:t>
            </w:r>
          </w:p>
        </w:tc>
        <w:tc>
          <w:tcPr>
            <w:tcW w:w="171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用户单位名称</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项目内容</w:t>
            </w:r>
          </w:p>
        </w:tc>
        <w:tc>
          <w:tcPr>
            <w:tcW w:w="12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实施地点</w:t>
            </w: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联系人及联系方式</w:t>
            </w:r>
          </w:p>
        </w:tc>
        <w:tc>
          <w:tcPr>
            <w:tcW w:w="11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项目起止时间</w:t>
            </w:r>
          </w:p>
        </w:tc>
        <w:tc>
          <w:tcPr>
            <w:tcW w:w="71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ind w:firstLine="482"/>
              <w:jc w:val="center"/>
              <w:rPr>
                <w:rFonts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pPr>
              <w:ind w:firstLine="482"/>
              <w:jc w:val="center"/>
              <w:rPr>
                <w:rFonts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pPr>
              <w:ind w:firstLine="482"/>
              <w:jc w:val="center"/>
              <w:rPr>
                <w:rFonts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tcBorders>
              <w:top w:val="single" w:color="auto" w:sz="4" w:space="0"/>
              <w:left w:val="single" w:color="auto" w:sz="4" w:space="0"/>
              <w:bottom w:val="single" w:color="auto" w:sz="4" w:space="0"/>
              <w:right w:val="single" w:color="auto" w:sz="4" w:space="0"/>
            </w:tcBorders>
            <w:vAlign w:val="center"/>
          </w:tcPr>
          <w:p>
            <w:pPr>
              <w:ind w:firstLine="482"/>
              <w:jc w:val="center"/>
              <w:rPr>
                <w:rFonts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pPr>
              <w:ind w:firstLine="482"/>
              <w:jc w:val="center"/>
              <w:rPr>
                <w:rFonts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pPr>
              <w:ind w:firstLine="482"/>
              <w:jc w:val="center"/>
              <w:rPr>
                <w:rFonts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pPr>
              <w:ind w:firstLine="482"/>
              <w:jc w:val="center"/>
              <w:rPr>
                <w:rFonts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tcBorders>
              <w:top w:val="single" w:color="auto" w:sz="4" w:space="0"/>
              <w:left w:val="single" w:color="auto" w:sz="4" w:space="0"/>
              <w:bottom w:val="single" w:color="auto" w:sz="4" w:space="0"/>
              <w:right w:val="single" w:color="auto" w:sz="4" w:space="0"/>
            </w:tcBorders>
            <w:vAlign w:val="center"/>
          </w:tcPr>
          <w:p>
            <w:pPr>
              <w:ind w:firstLine="482"/>
              <w:jc w:val="center"/>
              <w:rPr>
                <w:rFonts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pPr>
              <w:ind w:firstLine="482"/>
              <w:jc w:val="center"/>
              <w:rPr>
                <w:rFonts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pPr>
              <w:ind w:firstLine="482"/>
              <w:jc w:val="center"/>
              <w:rPr>
                <w:rFonts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pPr>
              <w:ind w:firstLine="482"/>
              <w:jc w:val="center"/>
              <w:rPr>
                <w:rFonts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tcPr>
          <w:p>
            <w:pPr>
              <w:ind w:firstLine="482"/>
              <w:jc w:val="center"/>
              <w:rPr>
                <w:rFonts w:ascii="宋体" w:hAnsi="宋体" w:cs="宋体"/>
                <w:b/>
                <w:sz w:val="24"/>
                <w:szCs w:val="24"/>
              </w:rPr>
            </w:pPr>
          </w:p>
        </w:tc>
      </w:tr>
    </w:tbl>
    <w:p>
      <w:pPr>
        <w:spacing w:line="560" w:lineRule="exact"/>
        <w:ind w:firstLine="482"/>
        <w:jc w:val="center"/>
        <w:rPr>
          <w:rFonts w:ascii="宋体" w:hAnsi="宋体" w:cs="宋体"/>
          <w:b/>
          <w:sz w:val="24"/>
          <w:szCs w:val="24"/>
        </w:rPr>
      </w:pPr>
    </w:p>
    <w:p>
      <w:pPr>
        <w:spacing w:line="560" w:lineRule="exact"/>
        <w:ind w:firstLine="480"/>
        <w:rPr>
          <w:rFonts w:ascii="宋体" w:hAnsi="宋体" w:cs="宋体"/>
          <w:sz w:val="24"/>
          <w:szCs w:val="24"/>
        </w:rPr>
      </w:pPr>
      <w:r>
        <w:rPr>
          <w:rFonts w:hint="eastAsia" w:ascii="宋体" w:hAnsi="宋体" w:cs="宋体"/>
          <w:sz w:val="24"/>
          <w:szCs w:val="24"/>
        </w:rPr>
        <w:t>备注：若招标文件第二部分要求提供投标人实施能力的，投标人所列业绩应按其要求将证明材料按顺序附后。</w:t>
      </w:r>
    </w:p>
    <w:p>
      <w:pPr>
        <w:spacing w:line="460" w:lineRule="exact"/>
        <w:ind w:left="192" w:firstLine="3948" w:firstLineChars="1645"/>
        <w:jc w:val="right"/>
        <w:rPr>
          <w:rFonts w:ascii="宋体" w:hAnsi="宋体" w:cs="宋体"/>
          <w:sz w:val="24"/>
          <w:szCs w:val="24"/>
        </w:rPr>
      </w:pPr>
    </w:p>
    <w:p>
      <w:pPr>
        <w:spacing w:line="460" w:lineRule="exact"/>
        <w:jc w:val="center"/>
        <w:rPr>
          <w:rFonts w:ascii="宋体" w:hAnsi="宋体" w:cs="宋体"/>
          <w:sz w:val="24"/>
          <w:szCs w:val="24"/>
          <w:u w:val="single"/>
        </w:rPr>
      </w:pPr>
      <w:r>
        <w:rPr>
          <w:rFonts w:hint="eastAsia" w:ascii="宋体" w:hAnsi="宋体" w:cs="宋体"/>
          <w:sz w:val="24"/>
          <w:szCs w:val="24"/>
        </w:rPr>
        <w:t xml:space="preserve">       投标人代表签字：</w:t>
      </w:r>
      <w:r>
        <w:rPr>
          <w:rFonts w:hint="eastAsia" w:ascii="宋体" w:hAnsi="宋体" w:cs="宋体"/>
          <w:sz w:val="24"/>
          <w:szCs w:val="24"/>
          <w:u w:val="single"/>
        </w:rPr>
        <w:t xml:space="preserve">                        </w:t>
      </w:r>
    </w:p>
    <w:p>
      <w:pPr>
        <w:spacing w:line="460" w:lineRule="exact"/>
        <w:jc w:val="center"/>
        <w:rPr>
          <w:rFonts w:ascii="宋体" w:hAnsi="宋体" w:cs="宋体"/>
          <w:sz w:val="24"/>
          <w:szCs w:val="24"/>
          <w:u w:val="single"/>
        </w:rPr>
      </w:pPr>
      <w:r>
        <w:rPr>
          <w:rFonts w:hint="eastAsia" w:ascii="宋体" w:hAnsi="宋体" w:cs="宋体"/>
          <w:sz w:val="24"/>
          <w:szCs w:val="24"/>
        </w:rPr>
        <w:t xml:space="preserve">            职务：_________日期：</w:t>
      </w:r>
      <w:r>
        <w:rPr>
          <w:rFonts w:hint="eastAsia" w:ascii="宋体" w:hAnsi="宋体" w:cs="宋体"/>
          <w:sz w:val="24"/>
          <w:szCs w:val="24"/>
          <w:u w:val="single"/>
        </w:rPr>
        <w:t xml:space="preserve">                   </w:t>
      </w:r>
    </w:p>
    <w:p>
      <w:pPr>
        <w:spacing w:line="460" w:lineRule="exact"/>
        <w:jc w:val="center"/>
        <w:rPr>
          <w:rFonts w:ascii="宋体" w:hAnsi="宋体" w:cs="宋体"/>
          <w:b/>
          <w:sz w:val="24"/>
          <w:szCs w:val="24"/>
          <w:u w:val="single"/>
        </w:rPr>
        <w:sectPr>
          <w:pgSz w:w="11906" w:h="16838"/>
          <w:pgMar w:top="1440" w:right="1797" w:bottom="1440" w:left="1797" w:header="851" w:footer="992" w:gutter="0"/>
          <w:cols w:space="720" w:num="1"/>
          <w:docGrid w:type="lines" w:linePitch="312" w:charSpace="0"/>
        </w:sectPr>
      </w:pPr>
      <w:r>
        <w:rPr>
          <w:rFonts w:hint="eastAsia" w:ascii="宋体" w:hAnsi="宋体" w:cs="宋体"/>
          <w:sz w:val="24"/>
          <w:szCs w:val="24"/>
        </w:rPr>
        <w:t xml:space="preserve">         投标人名称（公章）  </w:t>
      </w:r>
      <w:r>
        <w:rPr>
          <w:rFonts w:hint="eastAsia" w:ascii="宋体" w:hAnsi="宋体" w:cs="宋体"/>
          <w:sz w:val="24"/>
          <w:szCs w:val="24"/>
          <w:u w:val="single"/>
        </w:rPr>
        <w:t xml:space="preserve">                    </w:t>
      </w:r>
    </w:p>
    <w:p>
      <w:pPr>
        <w:spacing w:line="460" w:lineRule="exact"/>
        <w:jc w:val="left"/>
        <w:rPr>
          <w:rFonts w:ascii="宋体" w:hAnsi="宋体" w:cs="宋体"/>
          <w:b/>
          <w:sz w:val="24"/>
          <w:szCs w:val="24"/>
        </w:rPr>
      </w:pPr>
      <w:r>
        <w:rPr>
          <w:rFonts w:hint="eastAsia" w:ascii="宋体" w:hAnsi="宋体" w:cs="宋体"/>
          <w:b/>
          <w:sz w:val="24"/>
          <w:szCs w:val="24"/>
        </w:rPr>
        <w:t>附件12</w:t>
      </w:r>
    </w:p>
    <w:p>
      <w:pPr>
        <w:spacing w:line="460" w:lineRule="exact"/>
        <w:ind w:firstLine="482"/>
        <w:jc w:val="center"/>
        <w:rPr>
          <w:rFonts w:ascii="宋体" w:hAnsi="宋体" w:cs="宋体"/>
          <w:b/>
          <w:sz w:val="24"/>
          <w:szCs w:val="24"/>
        </w:rPr>
      </w:pPr>
    </w:p>
    <w:p>
      <w:pPr>
        <w:spacing w:line="460" w:lineRule="exact"/>
        <w:ind w:firstLine="482"/>
        <w:jc w:val="center"/>
        <w:rPr>
          <w:rFonts w:ascii="宋体" w:hAnsi="宋体" w:cs="宋体"/>
          <w:b/>
          <w:sz w:val="28"/>
          <w:szCs w:val="28"/>
        </w:rPr>
      </w:pPr>
      <w:r>
        <w:rPr>
          <w:rFonts w:hint="eastAsia" w:ascii="宋体" w:hAnsi="宋体" w:cs="宋体"/>
          <w:b/>
          <w:sz w:val="28"/>
          <w:szCs w:val="28"/>
        </w:rPr>
        <w:t>服务承诺</w:t>
      </w:r>
    </w:p>
    <w:p>
      <w:pPr>
        <w:spacing w:line="460" w:lineRule="exact"/>
        <w:ind w:firstLine="480"/>
        <w:rPr>
          <w:rFonts w:ascii="宋体" w:hAnsi="宋体" w:cs="宋体"/>
          <w:sz w:val="24"/>
          <w:szCs w:val="24"/>
        </w:rPr>
      </w:pPr>
      <w:r>
        <w:rPr>
          <w:rFonts w:hint="eastAsia" w:ascii="宋体" w:hAnsi="宋体" w:cs="宋体"/>
          <w:sz w:val="24"/>
          <w:szCs w:val="24"/>
        </w:rPr>
        <w:t>（服务承诺由投标人提供，如项目涉及到投标人提供培训，则还应将培训内容附于技术标内）</w:t>
      </w:r>
    </w:p>
    <w:p>
      <w:pPr>
        <w:spacing w:line="460" w:lineRule="exact"/>
        <w:ind w:firstLine="482"/>
        <w:rPr>
          <w:rFonts w:ascii="宋体" w:hAnsi="宋体" w:cs="宋体"/>
          <w:b/>
          <w:sz w:val="24"/>
          <w:szCs w:val="24"/>
        </w:rPr>
      </w:pPr>
    </w:p>
    <w:p>
      <w:pPr>
        <w:spacing w:line="460" w:lineRule="exact"/>
        <w:ind w:firstLine="482"/>
        <w:rPr>
          <w:rFonts w:ascii="宋体" w:hAnsi="宋体" w:cs="宋体"/>
          <w:b/>
          <w:sz w:val="24"/>
          <w:szCs w:val="24"/>
        </w:rPr>
      </w:pPr>
    </w:p>
    <w:p>
      <w:pPr>
        <w:spacing w:line="460" w:lineRule="exact"/>
        <w:ind w:firstLine="482"/>
        <w:rPr>
          <w:rFonts w:ascii="宋体" w:hAnsi="宋体" w:cs="宋体"/>
          <w:b/>
          <w:sz w:val="24"/>
          <w:szCs w:val="24"/>
        </w:rPr>
      </w:pPr>
    </w:p>
    <w:p>
      <w:pPr>
        <w:spacing w:line="460" w:lineRule="exact"/>
        <w:ind w:firstLine="482"/>
        <w:rPr>
          <w:rFonts w:ascii="宋体" w:hAnsi="宋体" w:cs="宋体"/>
          <w:b/>
          <w:sz w:val="24"/>
          <w:szCs w:val="24"/>
        </w:rPr>
      </w:pPr>
    </w:p>
    <w:p>
      <w:pPr>
        <w:spacing w:line="460" w:lineRule="exact"/>
        <w:ind w:firstLine="482"/>
        <w:rPr>
          <w:rFonts w:ascii="宋体" w:hAnsi="宋体" w:cs="宋体"/>
          <w:b/>
          <w:sz w:val="24"/>
          <w:szCs w:val="24"/>
        </w:rPr>
      </w:pPr>
    </w:p>
    <w:p>
      <w:pPr>
        <w:spacing w:line="460" w:lineRule="exact"/>
        <w:ind w:left="192" w:firstLine="3948" w:firstLineChars="1645"/>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p>
    <w:p>
      <w:pPr>
        <w:spacing w:line="460" w:lineRule="exact"/>
        <w:ind w:left="192" w:firstLine="3948" w:firstLineChars="1645"/>
        <w:rPr>
          <w:rFonts w:ascii="宋体" w:hAnsi="宋体" w:cs="宋体"/>
          <w:sz w:val="24"/>
          <w:szCs w:val="24"/>
        </w:rPr>
      </w:pPr>
      <w:r>
        <w:rPr>
          <w:rFonts w:hint="eastAsia" w:ascii="宋体" w:hAnsi="宋体" w:cs="宋体"/>
          <w:sz w:val="24"/>
          <w:szCs w:val="24"/>
        </w:rPr>
        <w:t>职务：_________日期：</w:t>
      </w:r>
      <w:r>
        <w:rPr>
          <w:rFonts w:hint="eastAsia" w:ascii="宋体" w:hAnsi="宋体" w:cs="宋体"/>
          <w:sz w:val="24"/>
          <w:szCs w:val="24"/>
          <w:u w:val="single"/>
        </w:rPr>
        <w:t xml:space="preserve">                   </w:t>
      </w:r>
    </w:p>
    <w:p>
      <w:pPr>
        <w:spacing w:line="460" w:lineRule="exact"/>
        <w:ind w:left="192" w:firstLine="3948" w:firstLineChars="1645"/>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p>
    <w:p>
      <w:pPr>
        <w:spacing w:line="460" w:lineRule="exact"/>
        <w:ind w:firstLine="482"/>
        <w:rPr>
          <w:rFonts w:ascii="宋体" w:hAnsi="宋体" w:cs="宋体"/>
          <w:sz w:val="24"/>
          <w:szCs w:val="24"/>
        </w:rPr>
      </w:pPr>
    </w:p>
    <w:p>
      <w:pPr>
        <w:spacing w:line="460" w:lineRule="exact"/>
        <w:ind w:firstLine="482"/>
        <w:rPr>
          <w:rFonts w:ascii="宋体" w:hAnsi="宋体" w:cs="宋体"/>
          <w:sz w:val="24"/>
          <w:szCs w:val="24"/>
        </w:rPr>
      </w:pPr>
    </w:p>
    <w:p>
      <w:pPr>
        <w:spacing w:line="460" w:lineRule="exact"/>
        <w:ind w:firstLine="482"/>
        <w:rPr>
          <w:rFonts w:ascii="宋体" w:hAnsi="宋体" w:cs="宋体"/>
          <w:b/>
          <w:sz w:val="24"/>
          <w:szCs w:val="24"/>
        </w:rPr>
        <w:sectPr>
          <w:pgSz w:w="11906" w:h="16838"/>
          <w:pgMar w:top="1440" w:right="1797" w:bottom="1440" w:left="1797" w:header="851" w:footer="992" w:gutter="0"/>
          <w:cols w:space="720" w:num="1"/>
          <w:docGrid w:type="lines" w:linePitch="312" w:charSpace="0"/>
        </w:sectPr>
      </w:pPr>
    </w:p>
    <w:p>
      <w:pPr>
        <w:spacing w:line="460" w:lineRule="exact"/>
        <w:rPr>
          <w:rFonts w:ascii="宋体" w:hAnsi="宋体" w:cs="宋体"/>
          <w:sz w:val="24"/>
          <w:szCs w:val="24"/>
        </w:rPr>
      </w:pPr>
      <w:r>
        <w:rPr>
          <w:rFonts w:hint="eastAsia" w:ascii="宋体" w:hAnsi="宋体" w:cs="宋体"/>
          <w:b/>
          <w:sz w:val="24"/>
          <w:szCs w:val="24"/>
        </w:rPr>
        <w:t>附件</w:t>
      </w:r>
      <w:r>
        <w:rPr>
          <w:rFonts w:ascii="宋体" w:hAnsi="宋体" w:cs="宋体"/>
          <w:b/>
          <w:sz w:val="24"/>
          <w:szCs w:val="24"/>
        </w:rPr>
        <w:t>1</w:t>
      </w:r>
      <w:r>
        <w:rPr>
          <w:rFonts w:hint="eastAsia" w:ascii="宋体" w:hAnsi="宋体" w:cs="宋体"/>
          <w:b/>
          <w:sz w:val="24"/>
          <w:szCs w:val="24"/>
        </w:rPr>
        <w:t>3</w:t>
      </w:r>
    </w:p>
    <w:p>
      <w:pPr>
        <w:ind w:firstLine="482"/>
        <w:jc w:val="center"/>
        <w:rPr>
          <w:rFonts w:ascii="宋体" w:hAnsi="宋体" w:cs="宋体"/>
          <w:b/>
          <w:sz w:val="28"/>
          <w:szCs w:val="28"/>
        </w:rPr>
      </w:pPr>
      <w:r>
        <w:rPr>
          <w:rFonts w:hint="eastAsia" w:ascii="宋体" w:hAnsi="宋体" w:cs="宋体"/>
          <w:b/>
          <w:sz w:val="28"/>
          <w:szCs w:val="28"/>
        </w:rPr>
        <w:t>中小企业声明函</w:t>
      </w:r>
    </w:p>
    <w:p>
      <w:pPr>
        <w:spacing w:before="2"/>
        <w:rPr>
          <w:rFonts w:ascii="宋体" w:hAnsi="宋体" w:eastAsia="宋体" w:cs="宋体"/>
          <w:b/>
          <w:bCs/>
          <w:sz w:val="24"/>
          <w:szCs w:val="24"/>
        </w:rPr>
      </w:pPr>
    </w:p>
    <w:p>
      <w:pPr>
        <w:pStyle w:val="2"/>
        <w:adjustRightInd/>
        <w:spacing w:line="360" w:lineRule="auto"/>
        <w:ind w:firstLine="480" w:firstLineChars="200"/>
        <w:jc w:val="left"/>
        <w:rPr>
          <w:rFonts w:asciiTheme="minorHAnsi" w:hAnsiTheme="minorHAnsi" w:eastAsiaTheme="minorEastAsia" w:cstheme="minorEastAsia"/>
          <w:sz w:val="24"/>
          <w:szCs w:val="24"/>
        </w:rPr>
      </w:pPr>
      <w:r>
        <w:rPr>
          <w:rFonts w:asciiTheme="minorHAnsi" w:hAnsiTheme="minorHAnsi" w:eastAsiaTheme="minorEastAsia" w:cstheme="minorEastAsia"/>
          <w:sz w:val="24"/>
          <w:szCs w:val="24"/>
        </w:rPr>
        <w:t>本公司（联合体）郑重声明，根据《政府采购促进中小企业发展管理办法》（财库﹝2020﹞46号）的规定，本公司（联合体）参加</w:t>
      </w:r>
      <w:r>
        <w:rPr>
          <w:rFonts w:asciiTheme="minorHAnsi" w:hAnsiTheme="minorHAnsi" w:eastAsiaTheme="minorEastAsia" w:cstheme="minorEastAsia"/>
          <w:sz w:val="24"/>
          <w:szCs w:val="24"/>
          <w:u w:val="single" w:color="000000"/>
        </w:rPr>
        <w:t>（</w:t>
      </w:r>
      <w:r>
        <w:rPr>
          <w:rFonts w:hint="eastAsia" w:asciiTheme="minorHAnsi" w:hAnsiTheme="minorHAnsi" w:eastAsiaTheme="minorEastAsia" w:cstheme="minorEastAsia"/>
          <w:sz w:val="24"/>
          <w:szCs w:val="24"/>
          <w:u w:val="single" w:color="000000"/>
        </w:rPr>
        <w:t>交通运输部北海航海保障中心天津航标处</w:t>
      </w:r>
      <w:r>
        <w:rPr>
          <w:rFonts w:asciiTheme="minorHAnsi" w:hAnsiTheme="minorHAnsi" w:eastAsiaTheme="minorEastAsia" w:cstheme="minorEastAsia"/>
          <w:sz w:val="24"/>
          <w:szCs w:val="24"/>
          <w:u w:val="single" w:color="000000"/>
        </w:rPr>
        <w:t>）</w:t>
      </w:r>
      <w:r>
        <w:rPr>
          <w:rFonts w:asciiTheme="minorHAnsi" w:hAnsiTheme="minorHAnsi" w:eastAsiaTheme="minorEastAsia" w:cstheme="minorEastAsia"/>
          <w:sz w:val="24"/>
          <w:szCs w:val="24"/>
        </w:rPr>
        <w:t>的</w:t>
      </w:r>
      <w:r>
        <w:rPr>
          <w:rFonts w:asciiTheme="minorHAnsi" w:hAnsiTheme="minorHAnsi" w:eastAsiaTheme="minorEastAsia" w:cstheme="minorEastAsia"/>
          <w:sz w:val="24"/>
          <w:szCs w:val="24"/>
          <w:u w:val="single" w:color="000000"/>
        </w:rPr>
        <w:t>（</w:t>
      </w:r>
      <w:r>
        <w:rPr>
          <w:rFonts w:hint="eastAsia" w:asciiTheme="minorHAnsi" w:hAnsiTheme="minorHAnsi" w:eastAsiaTheme="minorEastAsia" w:cstheme="minorEastAsia"/>
          <w:sz w:val="24"/>
          <w:szCs w:val="24"/>
          <w:u w:val="single" w:color="000000"/>
        </w:rPr>
        <w:t>AIS／ASM国产化核心网系统工程</w:t>
      </w:r>
      <w:r>
        <w:rPr>
          <w:rFonts w:asciiTheme="minorHAnsi" w:hAnsiTheme="minorHAnsi" w:eastAsiaTheme="minorEastAsia" w:cstheme="minorEastAsia"/>
          <w:sz w:val="24"/>
          <w:szCs w:val="24"/>
          <w:u w:val="single" w:color="000000"/>
        </w:rPr>
        <w:t>）</w:t>
      </w:r>
      <w:r>
        <w:rPr>
          <w:rFonts w:asciiTheme="minorHAnsi" w:hAnsiTheme="minorHAnsi" w:eastAsiaTheme="minorEastAsia" w:cs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tabs>
          <w:tab w:val="left" w:pos="1706"/>
          <w:tab w:val="left" w:pos="4905"/>
          <w:tab w:val="left" w:pos="7113"/>
        </w:tabs>
        <w:spacing w:line="360" w:lineRule="auto"/>
        <w:ind w:firstLine="480" w:firstLineChars="200"/>
        <w:jc w:val="left"/>
        <w:rPr>
          <w:rFonts w:cstheme="minorEastAsia"/>
          <w:sz w:val="24"/>
          <w:szCs w:val="24"/>
        </w:rPr>
      </w:pPr>
      <w:r>
        <w:rPr>
          <w:rFonts w:cstheme="minorEastAsia"/>
          <w:sz w:val="24"/>
          <w:szCs w:val="24"/>
        </w:rPr>
        <w:t>1.</w:t>
      </w:r>
      <w:r>
        <w:rPr>
          <w:rFonts w:cstheme="minorEastAsia"/>
          <w:sz w:val="24"/>
          <w:szCs w:val="24"/>
          <w:u w:val="single" w:color="000000"/>
        </w:rPr>
        <w:t>（</w:t>
      </w:r>
      <w:r>
        <w:rPr>
          <w:rFonts w:hint="eastAsia" w:cstheme="minorEastAsia"/>
          <w:sz w:val="24"/>
          <w:szCs w:val="24"/>
          <w:u w:val="single" w:color="000000"/>
        </w:rPr>
        <w:t>AIS／ASM国产化核心网系统工程</w:t>
      </w:r>
      <w:r>
        <w:rPr>
          <w:rFonts w:cstheme="minorEastAsia"/>
          <w:sz w:val="24"/>
          <w:szCs w:val="24"/>
          <w:u w:val="single" w:color="000000"/>
        </w:rPr>
        <w:t>）</w:t>
      </w:r>
      <w:r>
        <w:rPr>
          <w:rFonts w:cstheme="minorEastAsia"/>
          <w:sz w:val="24"/>
          <w:szCs w:val="24"/>
        </w:rPr>
        <w:t>，属于</w:t>
      </w:r>
      <w:r>
        <w:rPr>
          <w:rFonts w:cstheme="minorEastAsia"/>
          <w:b/>
          <w:bCs/>
          <w:sz w:val="24"/>
          <w:szCs w:val="24"/>
          <w:u w:val="single"/>
        </w:rPr>
        <w:t>软件和信息技术服务业</w:t>
      </w:r>
      <w:r>
        <w:rPr>
          <w:rFonts w:cstheme="minorEastAsia"/>
          <w:sz w:val="24"/>
          <w:szCs w:val="24"/>
        </w:rPr>
        <w:t>；承建（承接）企业为</w:t>
      </w:r>
      <w:r>
        <w:rPr>
          <w:rFonts w:cstheme="minorEastAsia"/>
          <w:sz w:val="24"/>
          <w:szCs w:val="24"/>
          <w:u w:val="single" w:color="000000"/>
        </w:rPr>
        <w:t>（企业名称）</w:t>
      </w:r>
      <w:r>
        <w:rPr>
          <w:rFonts w:cstheme="minorEastAsia"/>
          <w:sz w:val="24"/>
          <w:szCs w:val="24"/>
        </w:rPr>
        <w:t>，从业人员</w:t>
      </w:r>
      <w:r>
        <w:rPr>
          <w:rFonts w:cstheme="minorEastAsia"/>
          <w:sz w:val="24"/>
          <w:szCs w:val="24"/>
          <w:u w:val="single" w:color="000000"/>
        </w:rPr>
        <w:t xml:space="preserve"> </w:t>
      </w:r>
      <w:r>
        <w:rPr>
          <w:rFonts w:hint="eastAsia" w:cstheme="minorEastAsia"/>
          <w:sz w:val="24"/>
          <w:szCs w:val="24"/>
          <w:u w:val="single" w:color="000000"/>
        </w:rPr>
        <w:t xml:space="preserve">   </w:t>
      </w:r>
      <w:r>
        <w:rPr>
          <w:rFonts w:cstheme="minorEastAsia"/>
          <w:sz w:val="24"/>
          <w:szCs w:val="24"/>
        </w:rPr>
        <w:t>人，营业收入为</w:t>
      </w:r>
      <w:r>
        <w:rPr>
          <w:rFonts w:cstheme="minorEastAsia"/>
          <w:sz w:val="24"/>
          <w:szCs w:val="24"/>
          <w:u w:val="single" w:color="000000"/>
        </w:rPr>
        <w:t xml:space="preserve"> </w:t>
      </w:r>
      <w:r>
        <w:rPr>
          <w:rFonts w:hint="eastAsia" w:cstheme="minorEastAsia"/>
          <w:sz w:val="24"/>
          <w:szCs w:val="24"/>
          <w:u w:val="single" w:color="000000"/>
        </w:rPr>
        <w:t xml:space="preserve">   </w:t>
      </w:r>
      <w:r>
        <w:rPr>
          <w:rFonts w:cstheme="minorEastAsia"/>
          <w:sz w:val="24"/>
          <w:szCs w:val="24"/>
        </w:rPr>
        <w:t>万元，资产总额为</w:t>
      </w:r>
      <w:r>
        <w:rPr>
          <w:rFonts w:cstheme="minorEastAsia"/>
          <w:sz w:val="24"/>
          <w:szCs w:val="24"/>
          <w:u w:val="single" w:color="000000"/>
        </w:rPr>
        <w:t xml:space="preserve"> </w:t>
      </w:r>
      <w:r>
        <w:rPr>
          <w:rFonts w:hint="eastAsia" w:cstheme="minorEastAsia"/>
          <w:sz w:val="24"/>
          <w:szCs w:val="24"/>
          <w:u w:val="single" w:color="000000"/>
        </w:rPr>
        <w:t xml:space="preserve">   </w:t>
      </w:r>
      <w:r>
        <w:rPr>
          <w:rFonts w:cstheme="minorEastAsia"/>
          <w:sz w:val="24"/>
          <w:szCs w:val="24"/>
        </w:rPr>
        <w:t>万元，属于</w:t>
      </w:r>
      <w:r>
        <w:rPr>
          <w:rFonts w:cstheme="minorEastAsia"/>
          <w:sz w:val="24"/>
          <w:szCs w:val="24"/>
          <w:u w:val="single" w:color="000000"/>
        </w:rPr>
        <w:t>（中型企业</w:t>
      </w:r>
      <w:r>
        <w:rPr>
          <w:rFonts w:hint="eastAsia" w:cstheme="minorEastAsia"/>
          <w:sz w:val="24"/>
          <w:szCs w:val="24"/>
          <w:u w:val="single" w:color="000000"/>
        </w:rPr>
        <w:t>或</w:t>
      </w:r>
      <w:r>
        <w:rPr>
          <w:rFonts w:cstheme="minorEastAsia"/>
          <w:sz w:val="24"/>
          <w:szCs w:val="24"/>
          <w:u w:val="single" w:color="000000"/>
        </w:rPr>
        <w:t>小型企业</w:t>
      </w:r>
      <w:r>
        <w:rPr>
          <w:rFonts w:hint="eastAsia" w:cstheme="minorEastAsia"/>
          <w:sz w:val="24"/>
          <w:szCs w:val="24"/>
          <w:u w:val="single" w:color="000000"/>
        </w:rPr>
        <w:t>或</w:t>
      </w:r>
      <w:r>
        <w:rPr>
          <w:rFonts w:cstheme="minorEastAsia"/>
          <w:sz w:val="24"/>
          <w:szCs w:val="24"/>
          <w:u w:val="single" w:color="000000"/>
        </w:rPr>
        <w:t>微型企业）</w:t>
      </w:r>
      <w:r>
        <w:rPr>
          <w:rFonts w:cstheme="minorEastAsia"/>
          <w:sz w:val="24"/>
          <w:szCs w:val="24"/>
        </w:rPr>
        <w:t>；</w:t>
      </w:r>
    </w:p>
    <w:p>
      <w:pPr>
        <w:pStyle w:val="2"/>
        <w:adjustRightInd/>
        <w:spacing w:line="360" w:lineRule="auto"/>
        <w:ind w:firstLine="480" w:firstLineChars="200"/>
        <w:jc w:val="left"/>
        <w:rPr>
          <w:rFonts w:asciiTheme="minorHAnsi" w:hAnsiTheme="minorHAnsi" w:eastAsiaTheme="minorEastAsia" w:cstheme="minorEastAsia"/>
          <w:sz w:val="24"/>
          <w:szCs w:val="24"/>
        </w:rPr>
      </w:pPr>
      <w:r>
        <w:rPr>
          <w:rFonts w:asciiTheme="minorHAnsi" w:hAnsiTheme="minorHAnsi" w:eastAsiaTheme="minorEastAsia" w:cstheme="minorEastAsia"/>
          <w:sz w:val="24"/>
          <w:szCs w:val="24"/>
        </w:rPr>
        <w:t>以上企业，不属于大企业的分支机构，不存在控股股东为大企业的情形，也不存在与大企业的负责人为同一人的情形。</w:t>
      </w:r>
    </w:p>
    <w:p>
      <w:pPr>
        <w:pStyle w:val="2"/>
        <w:adjustRightInd/>
        <w:spacing w:line="360" w:lineRule="auto"/>
        <w:ind w:firstLine="640"/>
        <w:jc w:val="left"/>
        <w:rPr>
          <w:rFonts w:asciiTheme="minorHAnsi" w:hAnsiTheme="minorHAnsi" w:eastAsiaTheme="minorEastAsia" w:cstheme="minorEastAsia"/>
          <w:sz w:val="24"/>
          <w:szCs w:val="24"/>
        </w:rPr>
      </w:pPr>
      <w:r>
        <w:rPr>
          <w:rFonts w:asciiTheme="minorHAnsi" w:hAnsiTheme="minorHAnsi" w:eastAsiaTheme="minorEastAsia" w:cstheme="minorEastAsia"/>
          <w:sz w:val="24"/>
          <w:szCs w:val="24"/>
        </w:rPr>
        <w:t>本企业对上述声明内容的真实性负责。如有虚假，将依法承担相应责任。</w:t>
      </w:r>
    </w:p>
    <w:p>
      <w:pPr>
        <w:pStyle w:val="2"/>
        <w:adjustRightInd/>
        <w:spacing w:line="360" w:lineRule="auto"/>
        <w:jc w:val="left"/>
        <w:rPr>
          <w:rFonts w:asciiTheme="minorHAnsi" w:hAnsiTheme="minorHAnsi" w:eastAsiaTheme="minorEastAsia" w:cstheme="minorEastAsia"/>
          <w:sz w:val="24"/>
          <w:szCs w:val="24"/>
        </w:rPr>
      </w:pPr>
    </w:p>
    <w:p>
      <w:pPr>
        <w:pStyle w:val="2"/>
        <w:adjustRightInd/>
        <w:spacing w:line="360" w:lineRule="auto"/>
        <w:ind w:firstLine="5280" w:firstLineChars="2200"/>
        <w:jc w:val="left"/>
        <w:rPr>
          <w:rFonts w:asciiTheme="minorHAnsi" w:hAnsiTheme="minorHAnsi" w:eastAsiaTheme="minorEastAsia" w:cstheme="minorEastAsia"/>
          <w:sz w:val="24"/>
          <w:szCs w:val="24"/>
        </w:rPr>
      </w:pPr>
      <w:r>
        <w:rPr>
          <w:rFonts w:asciiTheme="minorHAnsi" w:hAnsiTheme="minorHAnsi" w:eastAsiaTheme="minorEastAsia" w:cstheme="minorEastAsia"/>
          <w:sz w:val="24"/>
          <w:szCs w:val="24"/>
        </w:rPr>
        <w:t>企业名称（盖章）：</w:t>
      </w:r>
    </w:p>
    <w:p>
      <w:pPr>
        <w:pStyle w:val="2"/>
        <w:adjustRightInd/>
        <w:spacing w:line="360" w:lineRule="auto"/>
        <w:ind w:firstLine="5280" w:firstLineChars="2200"/>
        <w:jc w:val="left"/>
        <w:rPr>
          <w:rFonts w:asciiTheme="minorHAnsi" w:hAnsiTheme="minorHAnsi" w:eastAsiaTheme="minorEastAsia" w:cstheme="minorEastAsia"/>
          <w:sz w:val="24"/>
          <w:szCs w:val="24"/>
        </w:rPr>
      </w:pPr>
      <w:r>
        <w:rPr>
          <w:rFonts w:asciiTheme="minorHAnsi" w:hAnsiTheme="minorHAnsi" w:eastAsiaTheme="minorEastAsia" w:cstheme="minorEastAsia"/>
          <w:sz w:val="24"/>
          <w:szCs w:val="24"/>
        </w:rPr>
        <w:t>日 期：</w:t>
      </w:r>
    </w:p>
    <w:p>
      <w:pPr>
        <w:pStyle w:val="2"/>
        <w:adjustRightInd/>
        <w:spacing w:line="360" w:lineRule="auto"/>
        <w:jc w:val="left"/>
        <w:rPr>
          <w:rFonts w:asciiTheme="minorHAnsi" w:hAnsiTheme="minorHAnsi" w:eastAsiaTheme="minorEastAsia" w:cstheme="minorEastAsia"/>
          <w:sz w:val="24"/>
          <w:szCs w:val="24"/>
        </w:rPr>
      </w:pPr>
    </w:p>
    <w:p>
      <w:pPr>
        <w:pStyle w:val="63"/>
        <w:widowControl/>
        <w:spacing w:before="0" w:after="0" w:line="432" w:lineRule="auto"/>
        <w:ind w:firstLine="0" w:firstLineChars="0"/>
        <w:rPr>
          <w:rFonts w:ascii="宋体" w:hAnsi="宋体" w:cs="宋体"/>
          <w:b/>
        </w:rPr>
      </w:pPr>
      <w:r>
        <w:rPr>
          <w:rFonts w:ascii="宋体" w:hAnsi="宋体" w:cs="宋体"/>
          <w:b/>
        </w:rPr>
        <w:t>填写说明</w:t>
      </w:r>
      <w:r>
        <w:rPr>
          <w:rFonts w:hint="eastAsia" w:ascii="宋体" w:hAnsi="宋体" w:cs="宋体"/>
          <w:b/>
        </w:rPr>
        <w:t>：</w:t>
      </w:r>
    </w:p>
    <w:p>
      <w:pPr>
        <w:pStyle w:val="2"/>
        <w:adjustRightInd/>
        <w:spacing w:line="360" w:lineRule="auto"/>
        <w:ind w:firstLine="480" w:firstLineChars="200"/>
        <w:jc w:val="left"/>
        <w:rPr>
          <w:rFonts w:asciiTheme="minorHAnsi" w:hAnsiTheme="minorHAnsi" w:eastAsiaTheme="minorEastAsia" w:cstheme="minorEastAsia"/>
          <w:sz w:val="24"/>
          <w:szCs w:val="24"/>
        </w:rPr>
      </w:pPr>
      <w:r>
        <w:rPr>
          <w:rFonts w:hint="eastAsia" w:asciiTheme="minorHAnsi" w:hAnsiTheme="minorHAnsi" w:eastAsiaTheme="minorEastAsia" w:cstheme="minorEastAsia"/>
          <w:sz w:val="24"/>
          <w:szCs w:val="24"/>
        </w:rPr>
        <w:t>1、</w:t>
      </w:r>
      <w:r>
        <w:rPr>
          <w:rFonts w:asciiTheme="minorHAnsi" w:hAnsiTheme="minorHAnsi" w:eastAsiaTheme="minorEastAsia" w:cstheme="minorEastAsia"/>
          <w:sz w:val="24"/>
          <w:szCs w:val="24"/>
        </w:rPr>
        <w:t>从业人员、营业收入、资产总额填报上一年度数据，无上一年度数据的新成立企业可不填报</w:t>
      </w:r>
      <w:r>
        <w:rPr>
          <w:rFonts w:hint="eastAsia" w:asciiTheme="minorHAnsi" w:hAnsiTheme="minorHAnsi" w:eastAsiaTheme="minorEastAsia" w:cstheme="minorEastAsia"/>
          <w:sz w:val="24"/>
          <w:szCs w:val="24"/>
        </w:rPr>
        <w:t>。</w:t>
      </w:r>
    </w:p>
    <w:p>
      <w:pPr>
        <w:pStyle w:val="63"/>
        <w:widowControl/>
        <w:spacing w:before="0" w:after="0" w:line="432" w:lineRule="auto"/>
        <w:ind w:firstLine="480"/>
        <w:rPr>
          <w:rFonts w:asciiTheme="minorHAnsi" w:hAnsiTheme="minorHAnsi" w:eastAsiaTheme="minorEastAsia" w:cstheme="minorEastAsia"/>
          <w:color w:val="FF0000"/>
        </w:rPr>
      </w:pPr>
      <w:r>
        <w:rPr>
          <w:rFonts w:hint="eastAsia" w:asciiTheme="minorHAnsi" w:hAnsiTheme="minorHAnsi" w:eastAsiaTheme="minorEastAsia" w:cstheme="minorEastAsia"/>
        </w:rPr>
        <w:t>2、本项目</w:t>
      </w:r>
      <w:r>
        <w:rPr>
          <w:rFonts w:asciiTheme="minorHAnsi" w:hAnsiTheme="minorHAnsi" w:eastAsiaTheme="minorEastAsia" w:cstheme="minorEastAsia"/>
        </w:rPr>
        <w:t>采购标的对应的中小企业划分标准所属行业</w:t>
      </w:r>
      <w:r>
        <w:rPr>
          <w:rFonts w:hint="eastAsia" w:asciiTheme="minorHAnsi" w:hAnsiTheme="minorHAnsi" w:eastAsiaTheme="minorEastAsia" w:cstheme="minorEastAsia"/>
        </w:rPr>
        <w:t>为：</w:t>
      </w:r>
      <w:r>
        <w:rPr>
          <w:b/>
          <w:bCs/>
          <w:u w:val="single"/>
        </w:rPr>
        <w:t>软件和信息技术服务业</w:t>
      </w:r>
      <w:r>
        <w:rPr>
          <w:rFonts w:hint="eastAsia" w:asciiTheme="minorHAnsi" w:hAnsiTheme="minorHAnsi" w:eastAsiaTheme="minorEastAsia" w:cstheme="minorEastAsia"/>
        </w:rPr>
        <w:t>行业。</w:t>
      </w:r>
      <w:r>
        <w:rPr>
          <w:rFonts w:hint="eastAsia" w:asciiTheme="minorHAnsi" w:hAnsiTheme="minorHAnsi" w:eastAsiaTheme="minorEastAsia" w:cstheme="minorEastAsia"/>
          <w:color w:val="FF0000"/>
        </w:rPr>
        <w:t xml:space="preserve"> </w:t>
      </w:r>
    </w:p>
    <w:p>
      <w:pPr>
        <w:pStyle w:val="63"/>
        <w:widowControl/>
        <w:spacing w:before="0" w:after="0" w:line="432" w:lineRule="auto"/>
        <w:ind w:firstLine="480"/>
        <w:rPr>
          <w:rFonts w:asciiTheme="minorHAnsi" w:hAnsiTheme="minorHAnsi" w:eastAsiaTheme="minorEastAsia" w:cstheme="minorEastAsia"/>
          <w:color w:val="FF0000"/>
        </w:rPr>
        <w:sectPr>
          <w:pgSz w:w="11906" w:h="16838"/>
          <w:pgMar w:top="1440" w:right="1797" w:bottom="1440" w:left="1797" w:header="851" w:footer="992" w:gutter="0"/>
          <w:cols w:space="720" w:num="1"/>
          <w:docGrid w:type="lines" w:linePitch="312" w:charSpace="0"/>
        </w:sectPr>
      </w:pPr>
    </w:p>
    <w:p>
      <w:pPr>
        <w:jc w:val="left"/>
        <w:rPr>
          <w:rFonts w:ascii="宋体" w:hAnsi="宋体" w:cs="宋体"/>
          <w:b/>
          <w:sz w:val="24"/>
          <w:szCs w:val="24"/>
        </w:rPr>
      </w:pPr>
      <w:r>
        <w:rPr>
          <w:rFonts w:ascii="宋体" w:hAnsi="宋体" w:cs="宋体"/>
          <w:b/>
          <w:sz w:val="24"/>
          <w:szCs w:val="24"/>
        </w:rPr>
        <w:t>附件</w:t>
      </w:r>
      <w:r>
        <w:rPr>
          <w:rFonts w:hint="eastAsia" w:ascii="宋体" w:hAnsi="宋体" w:cs="宋体"/>
          <w:b/>
          <w:sz w:val="24"/>
          <w:szCs w:val="24"/>
        </w:rPr>
        <w:t>14</w:t>
      </w:r>
    </w:p>
    <w:p>
      <w:pPr>
        <w:ind w:firstLine="482"/>
        <w:jc w:val="center"/>
        <w:rPr>
          <w:rFonts w:ascii="宋体" w:hAnsi="宋体" w:cs="宋体"/>
          <w:b/>
          <w:sz w:val="28"/>
          <w:szCs w:val="28"/>
        </w:rPr>
      </w:pPr>
      <w:r>
        <w:rPr>
          <w:rFonts w:hint="eastAsia" w:ascii="宋体" w:hAnsi="宋体" w:cs="宋体"/>
          <w:b/>
          <w:sz w:val="28"/>
          <w:szCs w:val="28"/>
        </w:rPr>
        <w:t>残疾人福利性单位声明函</w:t>
      </w:r>
    </w:p>
    <w:p>
      <w:pPr>
        <w:pStyle w:val="63"/>
        <w:widowControl/>
        <w:spacing w:before="0" w:after="0" w:line="432" w:lineRule="auto"/>
        <w:ind w:firstLine="480"/>
        <w:rPr>
          <w:rFonts w:ascii="宋体" w:hAnsi="宋体" w:cs="宋体"/>
        </w:rPr>
      </w:pPr>
    </w:p>
    <w:p>
      <w:pPr>
        <w:pStyle w:val="63"/>
        <w:widowControl/>
        <w:spacing w:before="0" w:after="0" w:line="432" w:lineRule="auto"/>
        <w:ind w:firstLine="48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_____单位（采购人名称）的______项目采购活动提供本单位制造的货物（由本单位承担工程/提供服务），或者提供其他残疾人福利性单位制造的货物（不包括使用非残疾人福利性单位注册商标的货物）。</w:t>
      </w:r>
    </w:p>
    <w:p>
      <w:pPr>
        <w:pStyle w:val="63"/>
        <w:widowControl/>
        <w:spacing w:before="0" w:after="0" w:line="432" w:lineRule="auto"/>
        <w:ind w:firstLine="480"/>
        <w:rPr>
          <w:rFonts w:ascii="宋体" w:hAnsi="宋体" w:cs="宋体"/>
        </w:rPr>
      </w:pPr>
      <w:r>
        <w:rPr>
          <w:rFonts w:hint="eastAsia" w:ascii="宋体" w:hAnsi="宋体" w:cs="宋体"/>
        </w:rPr>
        <w:t>本单位对上述声明的真实性负责。如有虚假，将依法承担相应责任。</w:t>
      </w:r>
    </w:p>
    <w:p>
      <w:pPr>
        <w:pStyle w:val="63"/>
        <w:widowControl/>
        <w:spacing w:before="0" w:after="0" w:line="432" w:lineRule="auto"/>
        <w:ind w:firstLine="480"/>
        <w:rPr>
          <w:rFonts w:ascii="宋体" w:hAnsi="宋体" w:cs="宋体"/>
        </w:rPr>
      </w:pPr>
    </w:p>
    <w:p>
      <w:pPr>
        <w:pStyle w:val="63"/>
        <w:widowControl/>
        <w:spacing w:before="0" w:after="0" w:line="432" w:lineRule="auto"/>
        <w:ind w:firstLine="480"/>
        <w:rPr>
          <w:rFonts w:ascii="宋体" w:hAnsi="宋体" w:cs="宋体"/>
        </w:rPr>
      </w:pPr>
    </w:p>
    <w:p>
      <w:pPr>
        <w:pStyle w:val="63"/>
        <w:widowControl/>
        <w:spacing w:before="0" w:after="0" w:line="432" w:lineRule="auto"/>
        <w:ind w:firstLine="480"/>
        <w:rPr>
          <w:rFonts w:ascii="宋体" w:hAnsi="宋体" w:cs="宋体"/>
        </w:rPr>
      </w:pPr>
      <w:r>
        <w:rPr>
          <w:rFonts w:hint="eastAsia" w:ascii="宋体" w:hAnsi="宋体" w:cs="宋体"/>
        </w:rPr>
        <w:t xml:space="preserve">               单位名称（盖章）：</w:t>
      </w:r>
    </w:p>
    <w:p>
      <w:pPr>
        <w:pStyle w:val="63"/>
        <w:widowControl/>
        <w:spacing w:before="0" w:after="0" w:line="432" w:lineRule="auto"/>
        <w:ind w:firstLine="480"/>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 xml:space="preserve">    日  期：</w:t>
      </w:r>
    </w:p>
    <w:p>
      <w:pPr>
        <w:pStyle w:val="63"/>
        <w:widowControl/>
        <w:spacing w:before="0" w:after="0" w:line="432" w:lineRule="auto"/>
        <w:ind w:firstLine="0" w:firstLineChars="0"/>
        <w:rPr>
          <w:rFonts w:ascii="宋体" w:hAnsi="宋体" w:cs="宋体"/>
        </w:rPr>
      </w:pPr>
    </w:p>
    <w:p>
      <w:pPr>
        <w:pStyle w:val="63"/>
        <w:widowControl/>
        <w:spacing w:before="0" w:after="0" w:line="432" w:lineRule="auto"/>
        <w:ind w:firstLine="0" w:firstLineChars="0"/>
        <w:rPr>
          <w:rFonts w:ascii="宋体" w:hAnsi="宋体" w:cs="宋体"/>
        </w:rPr>
      </w:pPr>
    </w:p>
    <w:p>
      <w:pPr>
        <w:pStyle w:val="63"/>
        <w:widowControl/>
        <w:spacing w:before="0" w:after="0" w:line="432" w:lineRule="auto"/>
        <w:ind w:firstLine="0" w:firstLineChars="0"/>
        <w:rPr>
          <w:rFonts w:ascii="宋体" w:hAnsi="宋体" w:cs="宋体"/>
          <w:b/>
        </w:rPr>
      </w:pPr>
      <w:r>
        <w:rPr>
          <w:rFonts w:ascii="宋体" w:hAnsi="宋体" w:cs="宋体"/>
          <w:b/>
        </w:rPr>
        <w:t>填写说明</w:t>
      </w:r>
      <w:r>
        <w:rPr>
          <w:rFonts w:hint="eastAsia" w:ascii="宋体" w:hAnsi="宋体" w:cs="宋体"/>
          <w:b/>
        </w:rPr>
        <w:t>：</w:t>
      </w:r>
    </w:p>
    <w:p>
      <w:pPr>
        <w:pStyle w:val="63"/>
        <w:widowControl/>
        <w:numPr>
          <w:ilvl w:val="0"/>
          <w:numId w:val="27"/>
        </w:numPr>
        <w:spacing w:before="0" w:after="0" w:line="432" w:lineRule="auto"/>
        <w:ind w:firstLineChars="0"/>
        <w:rPr>
          <w:rFonts w:ascii="宋体" w:hAnsi="宋体" w:cs="宋体"/>
        </w:rPr>
      </w:pPr>
      <w:r>
        <w:rPr>
          <w:rFonts w:hint="eastAsia" w:ascii="宋体" w:hAnsi="宋体" w:cs="宋体"/>
        </w:rPr>
        <w:t>投标单位如为符合条件的残疾人福利性单位，请填写上述表格。如不是，则无需提供。</w:t>
      </w:r>
    </w:p>
    <w:p>
      <w:pPr>
        <w:pStyle w:val="63"/>
        <w:widowControl/>
        <w:spacing w:before="0" w:after="0" w:line="432" w:lineRule="auto"/>
        <w:ind w:firstLine="0" w:firstLineChars="0"/>
        <w:rPr>
          <w:rFonts w:ascii="宋体" w:hAnsi="宋体" w:cs="宋体"/>
        </w:rPr>
      </w:pPr>
    </w:p>
    <w:p>
      <w:pPr>
        <w:ind w:firstLine="482"/>
        <w:jc w:val="center"/>
        <w:rPr>
          <w:rFonts w:ascii="宋体" w:hAnsi="宋体" w:cs="宋体"/>
          <w:b/>
          <w:sz w:val="24"/>
          <w:szCs w:val="24"/>
        </w:rPr>
      </w:pPr>
    </w:p>
    <w:p>
      <w:pPr>
        <w:ind w:firstLine="482"/>
        <w:jc w:val="center"/>
        <w:rPr>
          <w:rFonts w:ascii="宋体" w:hAnsi="宋体" w:cs="宋体"/>
          <w:b/>
          <w:sz w:val="24"/>
          <w:szCs w:val="24"/>
        </w:rPr>
        <w:sectPr>
          <w:pgSz w:w="11906" w:h="16838"/>
          <w:pgMar w:top="1440" w:right="1797" w:bottom="1440" w:left="1797" w:header="851" w:footer="992" w:gutter="0"/>
          <w:cols w:space="720" w:num="1"/>
          <w:docGrid w:type="lines" w:linePitch="312" w:charSpace="0"/>
        </w:sectPr>
      </w:pPr>
    </w:p>
    <w:p>
      <w:pPr>
        <w:jc w:val="left"/>
        <w:rPr>
          <w:rFonts w:ascii="宋体" w:hAnsi="宋体" w:cs="宋体"/>
          <w:b/>
          <w:sz w:val="24"/>
          <w:szCs w:val="24"/>
        </w:rPr>
      </w:pPr>
      <w:r>
        <w:rPr>
          <w:rFonts w:ascii="宋体" w:hAnsi="宋体" w:cs="宋体"/>
          <w:b/>
          <w:sz w:val="24"/>
          <w:szCs w:val="24"/>
        </w:rPr>
        <w:t>附件</w:t>
      </w:r>
      <w:r>
        <w:rPr>
          <w:rFonts w:hint="eastAsia" w:ascii="宋体" w:hAnsi="宋体" w:cs="宋体"/>
          <w:b/>
          <w:sz w:val="24"/>
          <w:szCs w:val="24"/>
        </w:rPr>
        <w:t>15</w:t>
      </w:r>
    </w:p>
    <w:p>
      <w:pPr>
        <w:ind w:firstLine="482"/>
        <w:jc w:val="center"/>
        <w:rPr>
          <w:rFonts w:ascii="宋体" w:hAnsi="宋体" w:cs="宋体"/>
          <w:b/>
          <w:sz w:val="24"/>
          <w:szCs w:val="24"/>
        </w:rPr>
      </w:pPr>
    </w:p>
    <w:p>
      <w:pPr>
        <w:ind w:firstLine="482"/>
        <w:jc w:val="center"/>
        <w:rPr>
          <w:rFonts w:ascii="宋体" w:hAnsi="宋体" w:cs="宋体"/>
          <w:b/>
          <w:sz w:val="28"/>
          <w:szCs w:val="28"/>
        </w:rPr>
      </w:pPr>
      <w:r>
        <w:rPr>
          <w:rFonts w:hint="eastAsia" w:ascii="宋体" w:hAnsi="宋体" w:cs="宋体"/>
          <w:b/>
          <w:sz w:val="28"/>
          <w:szCs w:val="28"/>
        </w:rPr>
        <w:t>真诚投标承诺书</w:t>
      </w:r>
    </w:p>
    <w:p>
      <w:pPr>
        <w:ind w:firstLine="480"/>
        <w:rPr>
          <w:rFonts w:ascii="宋体" w:hAnsi="宋体" w:eastAsia="宋体" w:cs="宋体"/>
          <w:sz w:val="24"/>
          <w:szCs w:val="24"/>
        </w:rPr>
      </w:pPr>
      <w:r>
        <w:rPr>
          <w:rFonts w:hint="eastAsia" w:ascii="宋体" w:hAnsi="宋体" w:eastAsia="宋体" w:cs="宋体"/>
          <w:sz w:val="24"/>
          <w:szCs w:val="24"/>
        </w:rPr>
        <w:t>交通运输部北海航海保障中心天津航标处</w:t>
      </w:r>
    </w:p>
    <w:p>
      <w:pPr>
        <w:spacing w:line="360" w:lineRule="auto"/>
        <w:ind w:firstLine="480"/>
        <w:rPr>
          <w:rFonts w:ascii="宋体" w:hAnsi="宋体" w:cs="宋体"/>
          <w:sz w:val="24"/>
          <w:szCs w:val="24"/>
        </w:rPr>
      </w:pPr>
      <w:r>
        <w:rPr>
          <w:rFonts w:hint="eastAsia" w:ascii="宋体" w:hAnsi="宋体" w:cs="宋体"/>
          <w:sz w:val="24"/>
          <w:szCs w:val="24"/>
        </w:rPr>
        <w:t>天津泰达工程管理咨询有限公司：</w:t>
      </w:r>
    </w:p>
    <w:p>
      <w:pPr>
        <w:spacing w:line="360" w:lineRule="auto"/>
        <w:ind w:firstLine="480"/>
        <w:rPr>
          <w:rFonts w:ascii="宋体" w:hAnsi="宋体" w:cs="宋体"/>
          <w:sz w:val="24"/>
          <w:szCs w:val="24"/>
        </w:rPr>
      </w:pPr>
      <w:r>
        <w:rPr>
          <w:rFonts w:hint="eastAsia" w:ascii="宋体" w:hAnsi="宋体" w:cs="宋体"/>
          <w:sz w:val="24"/>
          <w:szCs w:val="24"/>
        </w:rPr>
        <w:t>本投标人愿意参与“</w:t>
      </w:r>
      <w:r>
        <w:rPr>
          <w:rFonts w:hint="eastAsia" w:ascii="宋体" w:hAnsi="宋体" w:cs="宋体"/>
          <w:sz w:val="24"/>
          <w:szCs w:val="24"/>
          <w:u w:val="single"/>
        </w:rPr>
        <w:t xml:space="preserve">                       </w:t>
      </w:r>
      <w:r>
        <w:rPr>
          <w:rFonts w:hint="eastAsia" w:ascii="宋体" w:hAnsi="宋体" w:cs="宋体"/>
          <w:sz w:val="24"/>
          <w:szCs w:val="24"/>
        </w:rPr>
        <w:t>项目（项目编号：         ）”的投标，并作出如下承诺：</w:t>
      </w:r>
    </w:p>
    <w:p>
      <w:pPr>
        <w:spacing w:line="360" w:lineRule="auto"/>
        <w:ind w:firstLine="480"/>
        <w:rPr>
          <w:rFonts w:ascii="宋体" w:hAnsi="宋体" w:cs="宋体"/>
          <w:sz w:val="24"/>
          <w:szCs w:val="24"/>
        </w:rPr>
      </w:pPr>
      <w:r>
        <w:rPr>
          <w:rFonts w:hint="eastAsia" w:ascii="宋体" w:hAnsi="宋体" w:cs="宋体"/>
          <w:sz w:val="24"/>
          <w:szCs w:val="24"/>
        </w:rPr>
        <w:t>1. 未与其他任何公司、个人达成固定价格的协议。</w:t>
      </w:r>
    </w:p>
    <w:p>
      <w:pPr>
        <w:spacing w:line="360" w:lineRule="auto"/>
        <w:ind w:firstLine="480"/>
        <w:rPr>
          <w:rFonts w:ascii="宋体" w:hAnsi="宋体" w:cs="宋体"/>
          <w:sz w:val="24"/>
          <w:szCs w:val="24"/>
        </w:rPr>
      </w:pPr>
      <w:r>
        <w:rPr>
          <w:rFonts w:hint="eastAsia" w:ascii="宋体" w:hAnsi="宋体" w:cs="宋体"/>
          <w:sz w:val="24"/>
          <w:szCs w:val="24"/>
        </w:rPr>
        <w:t>2. 在投标撤回之前，不做以下任何事项：</w:t>
      </w:r>
    </w:p>
    <w:p>
      <w:pPr>
        <w:spacing w:line="360" w:lineRule="auto"/>
        <w:ind w:firstLine="480"/>
        <w:rPr>
          <w:rFonts w:ascii="宋体" w:hAnsi="宋体" w:cs="宋体"/>
          <w:sz w:val="24"/>
          <w:szCs w:val="24"/>
        </w:rPr>
      </w:pPr>
      <w:r>
        <w:rPr>
          <w:rFonts w:hint="eastAsia" w:ascii="宋体" w:hAnsi="宋体" w:cs="宋体"/>
          <w:sz w:val="24"/>
          <w:szCs w:val="24"/>
        </w:rPr>
        <w:t>（1）向采购人以外的人员泄露投标情况；</w:t>
      </w:r>
    </w:p>
    <w:p>
      <w:pPr>
        <w:spacing w:line="360" w:lineRule="auto"/>
        <w:ind w:firstLine="480"/>
        <w:rPr>
          <w:rFonts w:ascii="宋体" w:hAnsi="宋体" w:cs="宋体"/>
          <w:sz w:val="24"/>
          <w:szCs w:val="24"/>
        </w:rPr>
      </w:pPr>
      <w:r>
        <w:rPr>
          <w:rFonts w:hint="eastAsia" w:ascii="宋体" w:hAnsi="宋体" w:cs="宋体"/>
          <w:sz w:val="24"/>
          <w:szCs w:val="24"/>
        </w:rPr>
        <w:t>（2）与其他参与本次投标的人达成可能限制竞争的协议；</w:t>
      </w:r>
    </w:p>
    <w:p>
      <w:pPr>
        <w:spacing w:line="360" w:lineRule="auto"/>
        <w:ind w:firstLine="480"/>
        <w:rPr>
          <w:rFonts w:ascii="宋体" w:hAnsi="宋体" w:cs="宋体"/>
          <w:sz w:val="24"/>
          <w:szCs w:val="24"/>
        </w:rPr>
      </w:pPr>
      <w:r>
        <w:rPr>
          <w:rFonts w:hint="eastAsia" w:ascii="宋体" w:hAnsi="宋体" w:cs="宋体"/>
          <w:sz w:val="24"/>
          <w:szCs w:val="24"/>
        </w:rPr>
        <w:t>（3）为影响投标而向有关招标当事者提供金钱、物质及服务。</w:t>
      </w:r>
    </w:p>
    <w:p>
      <w:pPr>
        <w:tabs>
          <w:tab w:val="left" w:pos="720"/>
        </w:tabs>
        <w:spacing w:line="360" w:lineRule="auto"/>
        <w:ind w:firstLine="480"/>
        <w:rPr>
          <w:rFonts w:ascii="宋体" w:hAnsi="宋体" w:cs="宋体"/>
          <w:sz w:val="24"/>
          <w:szCs w:val="24"/>
        </w:rPr>
      </w:pPr>
      <w:r>
        <w:rPr>
          <w:rFonts w:hint="eastAsia" w:ascii="宋体" w:hAnsi="宋体" w:cs="宋体"/>
          <w:sz w:val="24"/>
          <w:szCs w:val="24"/>
        </w:rPr>
        <w:t>3. 保证所投产品来自合法的供货渠道，若中标，则有义务向采购人提供其需要的有效书面证明材料。如果提供非法渠道的商品，视为欺诈，根据《中华人民共和国消费者权益保护法》承担商品价值双倍的赔偿；同时承担采购人依据现行的国家法律法规追究的其他责任。</w:t>
      </w:r>
    </w:p>
    <w:p>
      <w:pPr>
        <w:spacing w:line="360" w:lineRule="auto"/>
        <w:ind w:firstLine="480"/>
        <w:rPr>
          <w:rFonts w:ascii="宋体" w:hAnsi="宋体" w:cs="宋体"/>
          <w:sz w:val="24"/>
          <w:szCs w:val="24"/>
        </w:rPr>
      </w:pPr>
      <w:r>
        <w:rPr>
          <w:rFonts w:hint="eastAsia" w:ascii="宋体" w:hAnsi="宋体" w:cs="宋体"/>
          <w:sz w:val="24"/>
          <w:szCs w:val="24"/>
        </w:rPr>
        <w:t>4. 保证递交的投标文件不提供虚假材料，否则接受政府采购法第七十七条规定的处罚，列入不良行为记录名单，一至三年内禁止参加政府采购活动。以下材料或情形之一不实的均视为提供虚假材料：</w:t>
      </w:r>
    </w:p>
    <w:p>
      <w:pPr>
        <w:spacing w:line="360" w:lineRule="auto"/>
        <w:ind w:left="479" w:leftChars="228" w:firstLine="480"/>
        <w:rPr>
          <w:rFonts w:ascii="宋体" w:hAnsi="宋体" w:cs="宋体"/>
          <w:sz w:val="24"/>
          <w:szCs w:val="24"/>
        </w:rPr>
      </w:pPr>
      <w:r>
        <w:rPr>
          <w:rFonts w:hint="eastAsia" w:ascii="宋体" w:hAnsi="宋体" w:cs="宋体"/>
          <w:sz w:val="24"/>
          <w:szCs w:val="24"/>
        </w:rPr>
        <w:t>（1）投标价格；（2）服务时间；（3）业绩；</w:t>
      </w:r>
    </w:p>
    <w:p>
      <w:pPr>
        <w:spacing w:line="360" w:lineRule="auto"/>
        <w:ind w:left="479" w:leftChars="228" w:firstLine="480"/>
        <w:rPr>
          <w:rFonts w:ascii="宋体" w:hAnsi="宋体" w:cs="宋体"/>
          <w:sz w:val="24"/>
          <w:szCs w:val="24"/>
        </w:rPr>
      </w:pPr>
      <w:r>
        <w:rPr>
          <w:rFonts w:hint="eastAsia" w:ascii="宋体" w:hAnsi="宋体" w:cs="宋体"/>
          <w:sz w:val="24"/>
          <w:szCs w:val="24"/>
        </w:rPr>
        <w:t>（4）资格文件；（5）技术响应；（6）服务及履约情况。</w:t>
      </w:r>
    </w:p>
    <w:p>
      <w:pPr>
        <w:spacing w:line="360" w:lineRule="auto"/>
        <w:ind w:firstLine="480"/>
        <w:rPr>
          <w:rFonts w:ascii="宋体" w:hAnsi="宋体" w:cs="宋体"/>
          <w:sz w:val="24"/>
          <w:szCs w:val="24"/>
        </w:rPr>
      </w:pPr>
      <w:r>
        <w:rPr>
          <w:rFonts w:hint="eastAsia" w:ascii="宋体" w:hAnsi="宋体" w:cs="宋体"/>
          <w:sz w:val="24"/>
          <w:szCs w:val="24"/>
        </w:rPr>
        <w:t>特此承诺。</w:t>
      </w:r>
    </w:p>
    <w:p>
      <w:pPr>
        <w:spacing w:line="360" w:lineRule="auto"/>
        <w:ind w:firstLine="480"/>
        <w:rPr>
          <w:rFonts w:ascii="宋体" w:hAnsi="宋体" w:cs="宋体"/>
          <w:sz w:val="24"/>
          <w:szCs w:val="24"/>
        </w:rPr>
      </w:pPr>
    </w:p>
    <w:p>
      <w:pPr>
        <w:spacing w:line="360" w:lineRule="auto"/>
        <w:ind w:left="192" w:firstLine="3948" w:firstLineChars="1645"/>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p>
    <w:p>
      <w:pPr>
        <w:spacing w:line="360" w:lineRule="auto"/>
        <w:ind w:left="192" w:firstLine="3948" w:firstLineChars="1645"/>
        <w:rPr>
          <w:rFonts w:ascii="宋体" w:hAnsi="宋体" w:cs="宋体"/>
          <w:sz w:val="24"/>
          <w:szCs w:val="24"/>
        </w:rPr>
      </w:pPr>
      <w:r>
        <w:rPr>
          <w:rFonts w:hint="eastAsia" w:ascii="宋体" w:hAnsi="宋体" w:cs="宋体"/>
          <w:sz w:val="24"/>
          <w:szCs w:val="24"/>
        </w:rPr>
        <w:t>职务：_________日期：</w:t>
      </w:r>
      <w:r>
        <w:rPr>
          <w:rFonts w:hint="eastAsia" w:ascii="宋体" w:hAnsi="宋体" w:cs="宋体"/>
          <w:sz w:val="24"/>
          <w:szCs w:val="24"/>
          <w:u w:val="single"/>
        </w:rPr>
        <w:t xml:space="preserve">                   </w:t>
      </w:r>
    </w:p>
    <w:p>
      <w:pPr>
        <w:spacing w:line="360" w:lineRule="auto"/>
        <w:ind w:left="192" w:firstLine="3948" w:firstLineChars="1645"/>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p>
    <w:p>
      <w:pPr>
        <w:spacing w:line="360" w:lineRule="auto"/>
        <w:ind w:firstLine="480"/>
        <w:rPr>
          <w:rFonts w:ascii="宋体" w:hAnsi="宋体" w:cs="宋体"/>
          <w:sz w:val="24"/>
          <w:szCs w:val="24"/>
        </w:rPr>
      </w:pPr>
      <w:r>
        <w:rPr>
          <w:rFonts w:hint="eastAsia" w:ascii="宋体" w:hAnsi="宋体" w:cs="宋体"/>
          <w:sz w:val="24"/>
          <w:szCs w:val="24"/>
        </w:rPr>
        <w:t xml:space="preserve"> </w:t>
      </w:r>
    </w:p>
    <w:p>
      <w:pPr>
        <w:spacing w:line="360" w:lineRule="auto"/>
        <w:ind w:firstLine="480"/>
        <w:jc w:val="center"/>
        <w:rPr>
          <w:rFonts w:ascii="宋体" w:hAnsi="宋体" w:cs="宋体"/>
          <w:sz w:val="24"/>
          <w:szCs w:val="24"/>
        </w:rPr>
        <w:sectPr>
          <w:pgSz w:w="11906" w:h="16838"/>
          <w:pgMar w:top="1440" w:right="1797" w:bottom="1440" w:left="1797" w:header="851" w:footer="992" w:gutter="0"/>
          <w:cols w:space="720" w:num="1"/>
          <w:docGrid w:type="lines" w:linePitch="312" w:charSpace="0"/>
        </w:sectPr>
      </w:pPr>
    </w:p>
    <w:p>
      <w:pPr>
        <w:pStyle w:val="64"/>
        <w:widowControl/>
        <w:spacing w:line="460" w:lineRule="atLeast"/>
        <w:ind w:firstLine="0" w:firstLineChars="0"/>
        <w:rPr>
          <w:rFonts w:ascii="宋体" w:hAnsi="宋体" w:cs="宋体"/>
          <w:b/>
        </w:rPr>
      </w:pPr>
      <w:bookmarkStart w:id="210" w:name="_Toc20975"/>
      <w:bookmarkStart w:id="211" w:name="_Toc11452"/>
      <w:bookmarkStart w:id="212" w:name="_Toc26215"/>
      <w:bookmarkStart w:id="213" w:name="_Toc22265"/>
      <w:bookmarkStart w:id="214" w:name="_Toc29156"/>
      <w:bookmarkStart w:id="215" w:name="_Toc10703"/>
      <w:bookmarkStart w:id="216" w:name="_Toc31150"/>
      <w:r>
        <w:rPr>
          <w:rFonts w:hint="eastAsia" w:ascii="宋体" w:hAnsi="宋体" w:cs="宋体"/>
          <w:b/>
        </w:rPr>
        <w:t>附件16</w:t>
      </w:r>
    </w:p>
    <w:p>
      <w:pPr>
        <w:jc w:val="center"/>
        <w:rPr>
          <w:rFonts w:ascii="宋体" w:hAnsi="宋体"/>
          <w:b/>
          <w:sz w:val="28"/>
          <w:szCs w:val="28"/>
        </w:rPr>
      </w:pPr>
      <w:r>
        <w:rPr>
          <w:rFonts w:ascii="宋体" w:hAnsi="宋体"/>
          <w:b/>
          <w:sz w:val="28"/>
          <w:szCs w:val="28"/>
        </w:rPr>
        <w:t>承诺书</w:t>
      </w:r>
    </w:p>
    <w:p>
      <w:pPr>
        <w:spacing w:line="560" w:lineRule="exact"/>
        <w:ind w:firstLine="601"/>
        <w:rPr>
          <w:rFonts w:ascii="宋体" w:hAnsi="宋体"/>
          <w:sz w:val="24"/>
          <w:szCs w:val="24"/>
        </w:rPr>
      </w:pPr>
    </w:p>
    <w:p>
      <w:pPr>
        <w:spacing w:line="560" w:lineRule="exact"/>
        <w:ind w:firstLine="601"/>
        <w:rPr>
          <w:rFonts w:ascii="宋体" w:hAnsi="宋体"/>
          <w:sz w:val="24"/>
          <w:szCs w:val="24"/>
        </w:rPr>
      </w:pPr>
      <w:r>
        <w:rPr>
          <w:rFonts w:ascii="宋体" w:hAnsi="宋体"/>
          <w:sz w:val="24"/>
          <w:szCs w:val="24"/>
        </w:rPr>
        <w:t>我单位现参加</w:t>
      </w:r>
      <w:r>
        <w:rPr>
          <w:rFonts w:ascii="宋体" w:hAnsi="宋体"/>
          <w:sz w:val="24"/>
          <w:szCs w:val="24"/>
          <w:u w:val="single"/>
        </w:rPr>
        <w:t xml:space="preserve">                        </w:t>
      </w:r>
      <w:r>
        <w:rPr>
          <w:rFonts w:ascii="宋体" w:hAnsi="宋体"/>
          <w:sz w:val="24"/>
          <w:szCs w:val="24"/>
        </w:rPr>
        <w:t>项目（项目编号：</w:t>
      </w:r>
      <w:r>
        <w:rPr>
          <w:rFonts w:ascii="宋体" w:hAnsi="宋体"/>
          <w:sz w:val="24"/>
          <w:szCs w:val="24"/>
          <w:u w:val="single"/>
        </w:rPr>
        <w:t xml:space="preserve">        </w:t>
      </w:r>
      <w:r>
        <w:rPr>
          <w:rFonts w:ascii="宋体" w:hAnsi="宋体"/>
          <w:sz w:val="24"/>
          <w:szCs w:val="24"/>
        </w:rPr>
        <w:t xml:space="preserve">  ），并作出如下承诺：</w:t>
      </w:r>
    </w:p>
    <w:p>
      <w:pPr>
        <w:spacing w:line="560" w:lineRule="exact"/>
        <w:ind w:firstLine="601"/>
        <w:rPr>
          <w:rFonts w:ascii="宋体" w:hAnsi="宋体"/>
          <w:sz w:val="24"/>
          <w:szCs w:val="24"/>
        </w:rPr>
      </w:pPr>
      <w:r>
        <w:rPr>
          <w:rFonts w:ascii="宋体" w:hAnsi="宋体"/>
          <w:sz w:val="24"/>
          <w:szCs w:val="24"/>
        </w:rPr>
        <w:t>我单位不存在《中华人民共和国政府采购法实施条例》(国务院令第658号)第18条中“单位负责人为同一人或者存在直接控股、管理关系的不同供应商，不得参加同一合同项下的政府采购活动。”的情形</w:t>
      </w:r>
      <w:r>
        <w:rPr>
          <w:rFonts w:hint="eastAsia" w:ascii="宋体" w:hAnsi="宋体"/>
          <w:sz w:val="24"/>
          <w:szCs w:val="24"/>
        </w:rPr>
        <w:t>。</w:t>
      </w:r>
    </w:p>
    <w:p>
      <w:pPr>
        <w:spacing w:line="560" w:lineRule="exact"/>
        <w:ind w:firstLine="601"/>
        <w:rPr>
          <w:rFonts w:ascii="宋体" w:hAnsi="宋体"/>
          <w:sz w:val="24"/>
          <w:szCs w:val="24"/>
        </w:rPr>
      </w:pPr>
      <w:r>
        <w:rPr>
          <w:rFonts w:ascii="宋体" w:hAnsi="宋体"/>
          <w:sz w:val="24"/>
          <w:szCs w:val="24"/>
        </w:rPr>
        <w:t>我单位不是</w:t>
      </w:r>
      <w:r>
        <w:rPr>
          <w:rFonts w:hint="eastAsia" w:ascii="宋体" w:hAnsi="宋体"/>
          <w:sz w:val="24"/>
          <w:szCs w:val="24"/>
        </w:rPr>
        <w:t>为本采购项目提供整体设计、规范编制或者项目管理、监理、检测等服务的供应商。</w:t>
      </w:r>
    </w:p>
    <w:p>
      <w:pPr>
        <w:spacing w:line="560" w:lineRule="exact"/>
        <w:ind w:firstLine="601"/>
        <w:rPr>
          <w:rFonts w:ascii="宋体" w:hAnsi="宋体"/>
          <w:sz w:val="24"/>
          <w:szCs w:val="24"/>
        </w:rPr>
      </w:pPr>
      <w:r>
        <w:rPr>
          <w:rFonts w:ascii="宋体" w:hAnsi="宋体"/>
          <w:sz w:val="24"/>
          <w:szCs w:val="24"/>
        </w:rPr>
        <w:t>如若出现与上述承诺内容不符的情况，一经查实，同意视为无效投标</w:t>
      </w:r>
      <w:r>
        <w:rPr>
          <w:rFonts w:hint="eastAsia" w:ascii="宋体" w:hAnsi="宋体"/>
          <w:sz w:val="24"/>
          <w:szCs w:val="24"/>
        </w:rPr>
        <w:t>，</w:t>
      </w:r>
      <w:r>
        <w:rPr>
          <w:rFonts w:ascii="宋体" w:hAnsi="宋体"/>
          <w:sz w:val="24"/>
          <w:szCs w:val="24"/>
        </w:rPr>
        <w:t>并自愿接受相应处罚。</w:t>
      </w:r>
    </w:p>
    <w:p>
      <w:pPr>
        <w:spacing w:line="560" w:lineRule="exact"/>
        <w:ind w:firstLine="601"/>
        <w:rPr>
          <w:rFonts w:ascii="宋体" w:hAnsi="宋体"/>
          <w:sz w:val="24"/>
          <w:szCs w:val="24"/>
        </w:rPr>
      </w:pPr>
      <w:r>
        <w:rPr>
          <w:rFonts w:ascii="宋体" w:hAnsi="宋体"/>
          <w:sz w:val="24"/>
          <w:szCs w:val="24"/>
        </w:rPr>
        <w:t>特此承诺。</w:t>
      </w:r>
    </w:p>
    <w:p>
      <w:pPr>
        <w:spacing w:line="560" w:lineRule="exact"/>
        <w:ind w:firstLine="601"/>
        <w:rPr>
          <w:rFonts w:ascii="宋体" w:hAnsi="宋体"/>
          <w:sz w:val="24"/>
          <w:szCs w:val="24"/>
        </w:rPr>
      </w:pPr>
    </w:p>
    <w:p>
      <w:pPr>
        <w:spacing w:line="560" w:lineRule="exact"/>
        <w:ind w:firstLine="601"/>
        <w:rPr>
          <w:rFonts w:ascii="宋体" w:hAnsi="宋体"/>
          <w:sz w:val="24"/>
          <w:szCs w:val="24"/>
        </w:rPr>
      </w:pPr>
      <w:r>
        <w:rPr>
          <w:rFonts w:ascii="宋体" w:hAnsi="宋体"/>
          <w:sz w:val="24"/>
          <w:szCs w:val="24"/>
        </w:rPr>
        <w:t xml:space="preserve">                  </w:t>
      </w:r>
    </w:p>
    <w:p>
      <w:pPr>
        <w:spacing w:line="560" w:lineRule="exact"/>
        <w:ind w:firstLine="601"/>
        <w:rPr>
          <w:rFonts w:ascii="宋体" w:hAnsi="宋体"/>
          <w:sz w:val="24"/>
          <w:szCs w:val="24"/>
        </w:rPr>
      </w:pPr>
      <w:r>
        <w:rPr>
          <w:rFonts w:ascii="宋体" w:hAnsi="宋体"/>
          <w:sz w:val="24"/>
          <w:szCs w:val="24"/>
        </w:rPr>
        <w:t xml:space="preserve">                 </w:t>
      </w:r>
    </w:p>
    <w:p>
      <w:pPr>
        <w:spacing w:line="560" w:lineRule="exact"/>
        <w:ind w:right="640" w:firstLine="3600" w:firstLineChars="1500"/>
        <w:jc w:val="left"/>
        <w:rPr>
          <w:rFonts w:ascii="宋体" w:hAnsi="宋体"/>
          <w:sz w:val="24"/>
          <w:szCs w:val="24"/>
        </w:rPr>
      </w:pPr>
      <w:r>
        <w:rPr>
          <w:rFonts w:ascii="宋体" w:hAnsi="宋体"/>
          <w:sz w:val="24"/>
          <w:szCs w:val="24"/>
        </w:rPr>
        <w:t>投标人名称（公章）：</w:t>
      </w:r>
    </w:p>
    <w:p>
      <w:pPr>
        <w:spacing w:line="560" w:lineRule="exact"/>
        <w:ind w:right="640" w:firstLine="3600" w:firstLineChars="1500"/>
        <w:jc w:val="left"/>
        <w:rPr>
          <w:rFonts w:ascii="宋体" w:hAnsi="宋体"/>
          <w:sz w:val="24"/>
          <w:szCs w:val="24"/>
        </w:rPr>
      </w:pPr>
      <w:r>
        <w:rPr>
          <w:rFonts w:hint="eastAsia" w:ascii="宋体" w:hAnsi="宋体"/>
          <w:sz w:val="24"/>
          <w:szCs w:val="24"/>
        </w:rPr>
        <w:t>投标</w:t>
      </w:r>
      <w:r>
        <w:rPr>
          <w:rFonts w:ascii="宋体" w:hAnsi="宋体"/>
          <w:sz w:val="24"/>
          <w:szCs w:val="24"/>
        </w:rPr>
        <w:t>人代表签字：</w:t>
      </w:r>
    </w:p>
    <w:p>
      <w:pPr>
        <w:spacing w:line="560" w:lineRule="exact"/>
        <w:ind w:right="640" w:firstLine="3600" w:firstLineChars="1500"/>
        <w:jc w:val="left"/>
        <w:rPr>
          <w:rFonts w:ascii="宋体" w:hAnsi="宋体"/>
          <w:sz w:val="24"/>
          <w:szCs w:val="24"/>
        </w:rPr>
        <w:sectPr>
          <w:pgSz w:w="11906" w:h="16838"/>
          <w:pgMar w:top="1440" w:right="1800" w:bottom="1440" w:left="1800" w:header="851" w:footer="992" w:gutter="0"/>
          <w:cols w:space="720" w:num="1"/>
          <w:docGrid w:type="lines" w:linePitch="312" w:charSpace="0"/>
        </w:sectPr>
      </w:pPr>
      <w:r>
        <w:rPr>
          <w:rFonts w:ascii="宋体" w:hAnsi="宋体"/>
          <w:sz w:val="24"/>
          <w:szCs w:val="24"/>
        </w:rPr>
        <w:t>日期</w:t>
      </w:r>
      <w:r>
        <w:rPr>
          <w:rFonts w:hint="eastAsia" w:ascii="宋体" w:hAnsi="宋体"/>
          <w:sz w:val="24"/>
          <w:szCs w:val="24"/>
        </w:rPr>
        <w:t>：</w:t>
      </w:r>
      <w:r>
        <w:rPr>
          <w:rFonts w:ascii="宋体" w:hAnsi="宋体"/>
          <w:sz w:val="24"/>
          <w:szCs w:val="24"/>
        </w:rPr>
        <w:t xml:space="preserve">    </w:t>
      </w:r>
    </w:p>
    <w:p>
      <w:pPr>
        <w:pStyle w:val="27"/>
        <w:widowControl/>
        <w:ind w:firstLine="482"/>
        <w:jc w:val="center"/>
        <w:rPr>
          <w:rFonts w:ascii="宋体" w:hAnsi="宋体" w:cs="宋体"/>
          <w:b/>
          <w:bCs/>
          <w:szCs w:val="24"/>
        </w:rPr>
      </w:pPr>
      <w:bookmarkStart w:id="217" w:name="_Toc12524"/>
      <w:bookmarkStart w:id="218" w:name="_Toc11347"/>
      <w:bookmarkStart w:id="219" w:name="_Toc13482"/>
      <w:bookmarkStart w:id="220" w:name="_Toc22171"/>
      <w:bookmarkStart w:id="221" w:name="_Toc17953"/>
    </w:p>
    <w:p>
      <w:pPr>
        <w:pStyle w:val="27"/>
        <w:widowControl/>
        <w:ind w:firstLine="482"/>
        <w:jc w:val="center"/>
        <w:rPr>
          <w:rFonts w:ascii="宋体" w:hAnsi="宋体" w:cs="宋体"/>
          <w:b/>
          <w:bCs/>
          <w:szCs w:val="24"/>
        </w:rPr>
      </w:pPr>
    </w:p>
    <w:p>
      <w:pPr>
        <w:pStyle w:val="27"/>
        <w:widowControl/>
        <w:ind w:firstLine="482"/>
        <w:jc w:val="center"/>
        <w:rPr>
          <w:rFonts w:ascii="宋体" w:hAnsi="宋体" w:cs="宋体"/>
          <w:b/>
          <w:bCs/>
          <w:szCs w:val="24"/>
        </w:rPr>
      </w:pPr>
    </w:p>
    <w:p>
      <w:pPr>
        <w:pStyle w:val="27"/>
        <w:widowControl/>
        <w:ind w:firstLine="482"/>
        <w:jc w:val="center"/>
        <w:rPr>
          <w:rFonts w:ascii="宋体" w:hAnsi="宋体" w:cs="宋体"/>
          <w:b/>
          <w:bCs/>
          <w:szCs w:val="24"/>
        </w:rPr>
      </w:pPr>
    </w:p>
    <w:p>
      <w:pPr>
        <w:pStyle w:val="27"/>
        <w:widowControl/>
        <w:ind w:firstLine="482"/>
        <w:jc w:val="center"/>
        <w:rPr>
          <w:rFonts w:ascii="宋体" w:hAnsi="宋体" w:cs="宋体"/>
          <w:b/>
          <w:bCs/>
          <w:szCs w:val="24"/>
        </w:rPr>
      </w:pPr>
      <w:r>
        <w:rPr>
          <w:rFonts w:hint="eastAsia" w:ascii="宋体" w:hAnsi="宋体" w:cs="宋体"/>
          <w:b/>
          <w:bCs/>
          <w:szCs w:val="24"/>
        </w:rPr>
        <w:t>二、商务标投标文件格式</w:t>
      </w:r>
      <w:bookmarkEnd w:id="210"/>
      <w:bookmarkEnd w:id="211"/>
      <w:bookmarkEnd w:id="212"/>
      <w:bookmarkEnd w:id="213"/>
      <w:bookmarkEnd w:id="214"/>
      <w:bookmarkEnd w:id="215"/>
      <w:bookmarkEnd w:id="216"/>
      <w:bookmarkEnd w:id="217"/>
      <w:bookmarkEnd w:id="218"/>
      <w:bookmarkEnd w:id="219"/>
      <w:bookmarkEnd w:id="220"/>
      <w:bookmarkEnd w:id="221"/>
      <w:r>
        <w:rPr>
          <w:rFonts w:hint="eastAsia" w:ascii="宋体" w:hAnsi="宋体" w:cs="宋体"/>
          <w:b/>
          <w:bCs/>
          <w:szCs w:val="24"/>
        </w:rPr>
        <w:t>说明</w:t>
      </w:r>
    </w:p>
    <w:p>
      <w:pPr>
        <w:tabs>
          <w:tab w:val="left" w:pos="360"/>
        </w:tabs>
        <w:spacing w:line="460" w:lineRule="exact"/>
        <w:ind w:firstLine="482"/>
        <w:jc w:val="center"/>
        <w:rPr>
          <w:rFonts w:ascii="宋体" w:hAnsi="宋体" w:cs="宋体"/>
          <w:b/>
          <w:sz w:val="24"/>
          <w:szCs w:val="24"/>
        </w:rPr>
      </w:pPr>
    </w:p>
    <w:p>
      <w:pPr>
        <w:tabs>
          <w:tab w:val="left" w:pos="360"/>
        </w:tabs>
        <w:spacing w:line="460" w:lineRule="exact"/>
        <w:ind w:firstLine="482"/>
        <w:jc w:val="center"/>
        <w:rPr>
          <w:rFonts w:ascii="宋体" w:hAnsi="宋体" w:cs="宋体"/>
          <w:b/>
          <w:sz w:val="24"/>
          <w:szCs w:val="24"/>
        </w:rPr>
      </w:pPr>
    </w:p>
    <w:p>
      <w:pPr>
        <w:tabs>
          <w:tab w:val="left" w:pos="360"/>
        </w:tabs>
        <w:spacing w:line="460" w:lineRule="exact"/>
        <w:ind w:firstLine="480"/>
        <w:rPr>
          <w:rFonts w:ascii="宋体" w:hAnsi="宋体" w:cs="宋体"/>
          <w:bCs/>
          <w:sz w:val="24"/>
          <w:szCs w:val="24"/>
        </w:rPr>
      </w:pPr>
      <w:r>
        <w:rPr>
          <w:rFonts w:hint="eastAsia" w:ascii="宋体" w:hAnsi="宋体" w:cs="宋体"/>
          <w:bCs/>
          <w:sz w:val="24"/>
          <w:szCs w:val="24"/>
        </w:rPr>
        <w:t>1、商务标投标文件须分正本和副本，且进行装订、密封。</w:t>
      </w:r>
    </w:p>
    <w:p>
      <w:pPr>
        <w:tabs>
          <w:tab w:val="left" w:pos="360"/>
        </w:tabs>
        <w:spacing w:line="460" w:lineRule="exact"/>
        <w:ind w:firstLine="480"/>
        <w:rPr>
          <w:rFonts w:ascii="宋体" w:hAnsi="宋体" w:cs="宋体"/>
          <w:bCs/>
          <w:sz w:val="24"/>
          <w:szCs w:val="24"/>
        </w:rPr>
      </w:pPr>
      <w:r>
        <w:rPr>
          <w:rFonts w:hint="eastAsia" w:ascii="宋体" w:hAnsi="宋体" w:cs="宋体"/>
          <w:bCs/>
          <w:sz w:val="24"/>
          <w:szCs w:val="24"/>
        </w:rPr>
        <w:t>2、所有价格应按供应商须知所规定的货币单位填写。所报价格真实、准确无误。</w:t>
      </w:r>
    </w:p>
    <w:p>
      <w:pPr>
        <w:tabs>
          <w:tab w:val="left" w:pos="360"/>
        </w:tabs>
        <w:spacing w:line="460" w:lineRule="exact"/>
        <w:ind w:firstLine="480"/>
        <w:rPr>
          <w:rFonts w:ascii="宋体" w:hAnsi="宋体" w:cs="宋体"/>
          <w:bCs/>
          <w:sz w:val="24"/>
          <w:szCs w:val="24"/>
        </w:rPr>
      </w:pPr>
    </w:p>
    <w:p>
      <w:pPr>
        <w:tabs>
          <w:tab w:val="left" w:pos="360"/>
        </w:tabs>
        <w:spacing w:line="460" w:lineRule="exact"/>
        <w:ind w:firstLine="482"/>
        <w:jc w:val="center"/>
        <w:rPr>
          <w:rFonts w:ascii="宋体" w:hAnsi="宋体" w:cs="宋体"/>
          <w:b/>
          <w:sz w:val="24"/>
          <w:szCs w:val="24"/>
        </w:rPr>
      </w:pPr>
    </w:p>
    <w:p>
      <w:pPr>
        <w:tabs>
          <w:tab w:val="left" w:pos="360"/>
        </w:tabs>
        <w:spacing w:line="460" w:lineRule="exact"/>
        <w:ind w:firstLine="482"/>
        <w:jc w:val="center"/>
        <w:rPr>
          <w:rFonts w:ascii="宋体" w:hAnsi="宋体" w:cs="宋体"/>
          <w:b/>
          <w:sz w:val="24"/>
          <w:szCs w:val="24"/>
        </w:rPr>
      </w:pPr>
    </w:p>
    <w:p>
      <w:pPr>
        <w:tabs>
          <w:tab w:val="left" w:pos="360"/>
        </w:tabs>
        <w:ind w:firstLine="482"/>
        <w:jc w:val="center"/>
        <w:rPr>
          <w:rFonts w:ascii="宋体" w:hAnsi="宋体" w:cs="宋体"/>
          <w:sz w:val="24"/>
          <w:szCs w:val="24"/>
        </w:rPr>
      </w:pPr>
      <w:r>
        <w:rPr>
          <w:rFonts w:hint="eastAsia" w:ascii="宋体" w:hAnsi="宋体" w:cs="宋体"/>
          <w:b/>
          <w:sz w:val="24"/>
          <w:szCs w:val="24"/>
        </w:rPr>
        <w:br w:type="page"/>
      </w:r>
    </w:p>
    <w:p>
      <w:pPr>
        <w:tabs>
          <w:tab w:val="left" w:pos="360"/>
        </w:tabs>
        <w:ind w:firstLine="482"/>
        <w:jc w:val="center"/>
        <w:rPr>
          <w:rFonts w:ascii="宋体" w:hAnsi="宋体" w:cs="宋体"/>
          <w:sz w:val="24"/>
          <w:szCs w:val="24"/>
        </w:rPr>
      </w:pPr>
    </w:p>
    <w:p>
      <w:pPr>
        <w:tabs>
          <w:tab w:val="left" w:pos="360"/>
        </w:tabs>
        <w:ind w:firstLine="482"/>
        <w:jc w:val="right"/>
        <w:rPr>
          <w:rFonts w:ascii="宋体" w:hAnsi="宋体" w:cs="宋体"/>
          <w:b/>
          <w:sz w:val="44"/>
          <w:szCs w:val="44"/>
        </w:rPr>
      </w:pPr>
      <w:r>
        <w:rPr>
          <w:rFonts w:hint="eastAsia" w:ascii="宋体" w:hAnsi="宋体" w:cs="宋体"/>
          <w:b/>
          <w:sz w:val="44"/>
          <w:szCs w:val="44"/>
        </w:rPr>
        <w:t>正本（副本）</w:t>
      </w:r>
    </w:p>
    <w:p>
      <w:pPr>
        <w:tabs>
          <w:tab w:val="left" w:pos="360"/>
        </w:tabs>
        <w:ind w:firstLine="480"/>
        <w:jc w:val="center"/>
        <w:rPr>
          <w:rFonts w:ascii="宋体" w:hAnsi="宋体" w:cs="宋体"/>
          <w:sz w:val="24"/>
          <w:szCs w:val="24"/>
        </w:rPr>
      </w:pPr>
    </w:p>
    <w:p>
      <w:pPr>
        <w:tabs>
          <w:tab w:val="left" w:pos="360"/>
        </w:tabs>
        <w:ind w:firstLine="480"/>
        <w:jc w:val="center"/>
        <w:rPr>
          <w:rFonts w:ascii="宋体" w:hAnsi="宋体" w:cs="宋体"/>
          <w:sz w:val="24"/>
          <w:szCs w:val="24"/>
        </w:rPr>
      </w:pPr>
    </w:p>
    <w:p>
      <w:pPr>
        <w:tabs>
          <w:tab w:val="left" w:pos="360"/>
        </w:tabs>
        <w:ind w:firstLine="480"/>
        <w:jc w:val="center"/>
        <w:rPr>
          <w:rFonts w:ascii="宋体" w:hAnsi="宋体" w:cs="宋体"/>
          <w:sz w:val="84"/>
          <w:szCs w:val="84"/>
        </w:rPr>
      </w:pPr>
    </w:p>
    <w:p>
      <w:pPr>
        <w:tabs>
          <w:tab w:val="left" w:pos="360"/>
        </w:tabs>
        <w:jc w:val="center"/>
        <w:rPr>
          <w:rFonts w:ascii="宋体" w:hAnsi="宋体" w:cs="宋体"/>
          <w:b/>
          <w:bCs/>
          <w:sz w:val="84"/>
          <w:szCs w:val="84"/>
        </w:rPr>
      </w:pPr>
      <w:r>
        <w:rPr>
          <w:rFonts w:hint="eastAsia" w:ascii="宋体" w:hAnsi="宋体" w:cs="宋体"/>
          <w:b/>
          <w:bCs/>
          <w:sz w:val="84"/>
          <w:szCs w:val="84"/>
        </w:rPr>
        <w:t>投标文件</w:t>
      </w:r>
    </w:p>
    <w:p>
      <w:pPr>
        <w:tabs>
          <w:tab w:val="left" w:pos="360"/>
        </w:tabs>
        <w:ind w:firstLine="482"/>
        <w:rPr>
          <w:rFonts w:ascii="宋体" w:hAnsi="宋体" w:cs="宋体"/>
          <w:b/>
          <w:bCs/>
          <w:sz w:val="32"/>
          <w:szCs w:val="32"/>
        </w:rPr>
      </w:pPr>
    </w:p>
    <w:p>
      <w:pPr>
        <w:tabs>
          <w:tab w:val="left" w:pos="360"/>
        </w:tabs>
        <w:ind w:firstLine="482"/>
        <w:jc w:val="center"/>
        <w:rPr>
          <w:rFonts w:ascii="宋体" w:hAnsi="宋体" w:cs="宋体"/>
          <w:b/>
          <w:bCs/>
          <w:sz w:val="32"/>
          <w:szCs w:val="32"/>
        </w:rPr>
      </w:pPr>
      <w:r>
        <w:rPr>
          <w:rFonts w:hint="eastAsia" w:ascii="宋体" w:hAnsi="宋体" w:cs="宋体"/>
          <w:b/>
          <w:bCs/>
          <w:sz w:val="32"/>
          <w:szCs w:val="32"/>
        </w:rPr>
        <w:t>（商务标）</w:t>
      </w:r>
    </w:p>
    <w:p>
      <w:pPr>
        <w:tabs>
          <w:tab w:val="left" w:pos="360"/>
        </w:tabs>
        <w:ind w:firstLine="482"/>
        <w:jc w:val="center"/>
        <w:rPr>
          <w:rFonts w:ascii="宋体" w:hAnsi="宋体" w:cs="宋体"/>
          <w:b/>
          <w:bCs/>
          <w:sz w:val="24"/>
          <w:szCs w:val="24"/>
        </w:rPr>
      </w:pPr>
    </w:p>
    <w:p>
      <w:pPr>
        <w:tabs>
          <w:tab w:val="left" w:pos="360"/>
        </w:tabs>
        <w:spacing w:line="460" w:lineRule="exact"/>
        <w:ind w:firstLine="480"/>
        <w:rPr>
          <w:rFonts w:ascii="宋体" w:hAnsi="宋体" w:cs="宋体"/>
          <w:sz w:val="24"/>
          <w:szCs w:val="24"/>
        </w:rPr>
      </w:pPr>
    </w:p>
    <w:p>
      <w:pPr>
        <w:tabs>
          <w:tab w:val="left" w:pos="360"/>
        </w:tabs>
        <w:spacing w:line="460" w:lineRule="exact"/>
        <w:ind w:firstLine="480"/>
        <w:rPr>
          <w:rFonts w:ascii="宋体" w:hAnsi="宋体" w:cs="宋体"/>
          <w:sz w:val="24"/>
          <w:szCs w:val="24"/>
        </w:rPr>
      </w:pPr>
    </w:p>
    <w:p>
      <w:pPr>
        <w:tabs>
          <w:tab w:val="left" w:pos="360"/>
        </w:tabs>
        <w:spacing w:line="460" w:lineRule="exact"/>
        <w:ind w:firstLine="480"/>
        <w:rPr>
          <w:rFonts w:ascii="宋体" w:hAnsi="宋体" w:cs="宋体"/>
          <w:sz w:val="24"/>
          <w:szCs w:val="24"/>
        </w:rPr>
      </w:pPr>
    </w:p>
    <w:p>
      <w:pPr>
        <w:tabs>
          <w:tab w:val="left" w:pos="360"/>
        </w:tabs>
        <w:spacing w:line="460" w:lineRule="exact"/>
        <w:ind w:firstLine="480"/>
        <w:rPr>
          <w:rFonts w:ascii="宋体" w:hAnsi="宋体" w:cs="宋体"/>
          <w:sz w:val="24"/>
          <w:szCs w:val="24"/>
        </w:rPr>
      </w:pPr>
    </w:p>
    <w:p>
      <w:pPr>
        <w:tabs>
          <w:tab w:val="left" w:pos="360"/>
        </w:tabs>
        <w:spacing w:line="360" w:lineRule="auto"/>
        <w:ind w:firstLine="480"/>
        <w:rPr>
          <w:rFonts w:ascii="宋体" w:hAnsi="宋体" w:cs="宋体"/>
          <w:sz w:val="24"/>
          <w:szCs w:val="24"/>
        </w:rPr>
      </w:pPr>
    </w:p>
    <w:p>
      <w:pPr>
        <w:tabs>
          <w:tab w:val="left" w:pos="360"/>
        </w:tabs>
        <w:spacing w:line="360" w:lineRule="auto"/>
        <w:ind w:firstLine="560"/>
        <w:rPr>
          <w:rFonts w:ascii="宋体" w:hAnsi="宋体" w:cs="宋体"/>
          <w:sz w:val="24"/>
          <w:szCs w:val="24"/>
        </w:rPr>
      </w:pPr>
      <w:r>
        <w:rPr>
          <w:rFonts w:hint="eastAsia" w:ascii="宋体" w:hAnsi="宋体" w:cs="宋体"/>
          <w:sz w:val="24"/>
          <w:szCs w:val="24"/>
        </w:rPr>
        <w:t>项目名称：</w:t>
      </w:r>
    </w:p>
    <w:p>
      <w:pPr>
        <w:tabs>
          <w:tab w:val="left" w:pos="360"/>
        </w:tabs>
        <w:spacing w:line="360" w:lineRule="auto"/>
        <w:ind w:firstLine="560"/>
        <w:rPr>
          <w:rFonts w:ascii="宋体" w:hAnsi="宋体" w:cs="宋体"/>
          <w:sz w:val="24"/>
          <w:szCs w:val="24"/>
        </w:rPr>
      </w:pPr>
      <w:r>
        <w:rPr>
          <w:rFonts w:hint="eastAsia" w:ascii="宋体" w:hAnsi="宋体" w:cs="宋体"/>
          <w:sz w:val="24"/>
          <w:szCs w:val="24"/>
        </w:rPr>
        <w:t>项目编号：</w:t>
      </w:r>
    </w:p>
    <w:p>
      <w:pPr>
        <w:tabs>
          <w:tab w:val="left" w:pos="360"/>
        </w:tabs>
        <w:spacing w:line="360" w:lineRule="auto"/>
        <w:ind w:firstLine="560"/>
        <w:rPr>
          <w:rFonts w:ascii="宋体" w:hAnsi="宋体" w:cs="宋体"/>
          <w:sz w:val="24"/>
          <w:szCs w:val="24"/>
        </w:rPr>
      </w:pPr>
      <w:r>
        <w:rPr>
          <w:rFonts w:hint="eastAsia" w:ascii="宋体" w:hAnsi="宋体" w:cs="宋体"/>
          <w:sz w:val="24"/>
          <w:szCs w:val="24"/>
        </w:rPr>
        <w:t>投标人名称：</w:t>
      </w:r>
    </w:p>
    <w:p>
      <w:pPr>
        <w:tabs>
          <w:tab w:val="left" w:pos="360"/>
        </w:tabs>
        <w:spacing w:line="360" w:lineRule="auto"/>
        <w:ind w:firstLine="560"/>
        <w:rPr>
          <w:rFonts w:ascii="宋体" w:hAnsi="宋体" w:cs="宋体"/>
          <w:sz w:val="24"/>
          <w:szCs w:val="24"/>
        </w:rPr>
      </w:pPr>
      <w:r>
        <w:rPr>
          <w:rFonts w:hint="eastAsia" w:ascii="宋体" w:hAnsi="宋体" w:cs="宋体"/>
          <w:sz w:val="24"/>
          <w:szCs w:val="24"/>
        </w:rPr>
        <w:t>投标人地址：</w:t>
      </w:r>
    </w:p>
    <w:p>
      <w:pPr>
        <w:tabs>
          <w:tab w:val="left" w:pos="360"/>
        </w:tabs>
        <w:spacing w:line="360" w:lineRule="auto"/>
        <w:ind w:firstLine="560"/>
        <w:rPr>
          <w:rFonts w:ascii="宋体" w:hAnsi="宋体" w:cs="宋体"/>
          <w:sz w:val="24"/>
          <w:szCs w:val="24"/>
        </w:rPr>
      </w:pPr>
      <w:r>
        <w:rPr>
          <w:rFonts w:hint="eastAsia" w:ascii="宋体" w:hAnsi="宋体" w:cs="宋体"/>
          <w:sz w:val="24"/>
          <w:szCs w:val="24"/>
        </w:rPr>
        <w:t>法定代表人：</w:t>
      </w:r>
    </w:p>
    <w:p>
      <w:pPr>
        <w:tabs>
          <w:tab w:val="left" w:pos="360"/>
        </w:tabs>
        <w:spacing w:line="360" w:lineRule="auto"/>
        <w:ind w:firstLine="560"/>
        <w:rPr>
          <w:rFonts w:ascii="宋体" w:hAnsi="宋体" w:cs="宋体"/>
          <w:sz w:val="24"/>
          <w:szCs w:val="24"/>
        </w:rPr>
      </w:pPr>
      <w:r>
        <w:rPr>
          <w:rFonts w:hint="eastAsia" w:ascii="宋体" w:hAnsi="宋体" w:cs="宋体"/>
          <w:sz w:val="24"/>
          <w:szCs w:val="24"/>
        </w:rPr>
        <w:t>投标人代表：</w:t>
      </w:r>
    </w:p>
    <w:p>
      <w:pPr>
        <w:tabs>
          <w:tab w:val="left" w:pos="360"/>
        </w:tabs>
        <w:spacing w:line="360" w:lineRule="auto"/>
        <w:ind w:firstLine="560"/>
        <w:rPr>
          <w:rFonts w:ascii="宋体" w:hAnsi="宋体" w:cs="宋体"/>
          <w:sz w:val="24"/>
          <w:szCs w:val="24"/>
        </w:rPr>
      </w:pPr>
      <w:r>
        <w:rPr>
          <w:rFonts w:hint="eastAsia" w:ascii="宋体" w:hAnsi="宋体" w:cs="宋体"/>
          <w:sz w:val="24"/>
          <w:szCs w:val="24"/>
        </w:rPr>
        <w:t>日期：</w:t>
      </w:r>
    </w:p>
    <w:p>
      <w:pPr>
        <w:tabs>
          <w:tab w:val="left" w:pos="360"/>
        </w:tabs>
        <w:spacing w:line="460" w:lineRule="exact"/>
        <w:ind w:firstLine="480"/>
        <w:rPr>
          <w:rFonts w:ascii="宋体" w:hAnsi="宋体" w:cs="宋体"/>
          <w:sz w:val="24"/>
          <w:szCs w:val="24"/>
        </w:rPr>
      </w:pPr>
    </w:p>
    <w:p>
      <w:pPr>
        <w:tabs>
          <w:tab w:val="left" w:pos="360"/>
        </w:tabs>
        <w:spacing w:line="460" w:lineRule="exact"/>
        <w:ind w:firstLine="482"/>
        <w:rPr>
          <w:rFonts w:ascii="宋体" w:hAnsi="宋体" w:cs="宋体"/>
          <w:b/>
          <w:sz w:val="24"/>
          <w:szCs w:val="24"/>
        </w:rPr>
        <w:sectPr>
          <w:pgSz w:w="11906" w:h="16838"/>
          <w:pgMar w:top="1440" w:right="1800" w:bottom="1440" w:left="1800" w:header="851" w:footer="992" w:gutter="0"/>
          <w:cols w:space="720" w:num="1"/>
          <w:docGrid w:type="lines" w:linePitch="312" w:charSpace="0"/>
        </w:sectPr>
      </w:pPr>
    </w:p>
    <w:p>
      <w:pPr>
        <w:tabs>
          <w:tab w:val="left" w:pos="360"/>
        </w:tabs>
        <w:spacing w:line="460" w:lineRule="exact"/>
        <w:rPr>
          <w:rFonts w:ascii="宋体" w:hAnsi="宋体" w:cs="宋体"/>
          <w:sz w:val="24"/>
          <w:szCs w:val="24"/>
        </w:rPr>
      </w:pPr>
      <w:r>
        <w:rPr>
          <w:rFonts w:hint="eastAsia" w:ascii="宋体" w:hAnsi="宋体" w:cs="宋体"/>
          <w:b/>
          <w:sz w:val="24"/>
          <w:szCs w:val="24"/>
        </w:rPr>
        <w:t>附件1</w:t>
      </w:r>
    </w:p>
    <w:p>
      <w:pPr>
        <w:tabs>
          <w:tab w:val="left" w:pos="360"/>
        </w:tabs>
        <w:spacing w:line="460" w:lineRule="exact"/>
        <w:ind w:firstLine="482"/>
        <w:jc w:val="center"/>
        <w:rPr>
          <w:rFonts w:ascii="宋体" w:hAnsi="宋体" w:cs="宋体"/>
          <w:b/>
          <w:sz w:val="28"/>
          <w:szCs w:val="28"/>
        </w:rPr>
      </w:pPr>
      <w:r>
        <w:rPr>
          <w:rFonts w:hint="eastAsia" w:ascii="宋体" w:hAnsi="宋体" w:cs="宋体"/>
          <w:b/>
          <w:sz w:val="28"/>
          <w:szCs w:val="28"/>
        </w:rPr>
        <w:t>报价书</w:t>
      </w:r>
    </w:p>
    <w:p>
      <w:pPr>
        <w:spacing w:line="460" w:lineRule="exact"/>
        <w:ind w:firstLine="480"/>
        <w:rPr>
          <w:rFonts w:ascii="宋体" w:hAnsi="宋体" w:eastAsia="宋体" w:cs="宋体"/>
          <w:sz w:val="24"/>
          <w:szCs w:val="24"/>
        </w:rPr>
      </w:pPr>
      <w:r>
        <w:rPr>
          <w:rFonts w:hint="eastAsia" w:ascii="宋体" w:hAnsi="宋体" w:cs="宋体"/>
          <w:sz w:val="24"/>
          <w:szCs w:val="24"/>
        </w:rPr>
        <w:t>致：</w:t>
      </w:r>
      <w:r>
        <w:rPr>
          <w:rFonts w:hint="eastAsia" w:ascii="宋体" w:hAnsi="宋体" w:eastAsia="宋体" w:cs="宋体"/>
          <w:sz w:val="24"/>
          <w:szCs w:val="24"/>
        </w:rPr>
        <w:t>交通运输部北海航海保障中心天津航标处</w:t>
      </w:r>
    </w:p>
    <w:p>
      <w:pPr>
        <w:spacing w:line="460" w:lineRule="exact"/>
        <w:ind w:firstLine="1024" w:firstLineChars="427"/>
        <w:rPr>
          <w:rFonts w:ascii="宋体" w:hAnsi="宋体" w:cs="宋体"/>
          <w:sz w:val="24"/>
          <w:szCs w:val="24"/>
        </w:rPr>
      </w:pPr>
      <w:r>
        <w:rPr>
          <w:rFonts w:hint="eastAsia" w:ascii="宋体" w:hAnsi="宋体" w:cs="宋体"/>
          <w:sz w:val="24"/>
          <w:szCs w:val="24"/>
        </w:rPr>
        <w:t>天津泰达工程管理咨询有限公司</w:t>
      </w:r>
    </w:p>
    <w:p>
      <w:pPr>
        <w:tabs>
          <w:tab w:val="left" w:pos="540"/>
          <w:tab w:val="left" w:pos="720"/>
        </w:tabs>
        <w:spacing w:line="460" w:lineRule="exact"/>
        <w:ind w:firstLine="480"/>
        <w:rPr>
          <w:rFonts w:ascii="宋体" w:hAnsi="宋体" w:cs="宋体"/>
          <w:sz w:val="24"/>
          <w:szCs w:val="24"/>
        </w:rPr>
      </w:pPr>
      <w:r>
        <w:rPr>
          <w:rFonts w:hint="eastAsia" w:ascii="宋体" w:hAnsi="宋体" w:cs="宋体"/>
          <w:sz w:val="24"/>
          <w:szCs w:val="24"/>
        </w:rPr>
        <w:t>根据贵方为</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）的投标邀请，签字代表</w:t>
      </w:r>
      <w:r>
        <w:rPr>
          <w:rFonts w:hint="eastAsia" w:ascii="宋体" w:hAnsi="宋体" w:cs="宋体"/>
          <w:sz w:val="24"/>
          <w:szCs w:val="24"/>
          <w:u w:val="single"/>
        </w:rPr>
        <w:t xml:space="preserve">        </w:t>
      </w:r>
      <w:r>
        <w:rPr>
          <w:rFonts w:hint="eastAsia" w:ascii="宋体" w:hAnsi="宋体" w:cs="宋体"/>
          <w:sz w:val="24"/>
          <w:szCs w:val="24"/>
        </w:rPr>
        <w:t>（姓名</w:t>
      </w:r>
      <w:r>
        <w:rPr>
          <w:rFonts w:hint="eastAsia" w:ascii="宋体" w:hAnsi="宋体" w:cs="宋体"/>
          <w:sz w:val="24"/>
          <w:szCs w:val="24"/>
          <w:lang w:val="en-GB"/>
        </w:rPr>
        <w:t>/</w:t>
      </w:r>
      <w:r>
        <w:rPr>
          <w:rFonts w:hint="eastAsia" w:ascii="宋体" w:hAnsi="宋体" w:cs="宋体"/>
          <w:sz w:val="24"/>
          <w:szCs w:val="24"/>
        </w:rPr>
        <w:t>职务）经正式授权并代表投标人</w:t>
      </w:r>
      <w:r>
        <w:rPr>
          <w:rFonts w:hint="eastAsia" w:ascii="宋体" w:hAnsi="宋体" w:cs="宋体"/>
          <w:sz w:val="24"/>
          <w:szCs w:val="24"/>
          <w:u w:val="single"/>
        </w:rPr>
        <w:t xml:space="preserve">            </w:t>
      </w:r>
      <w:r>
        <w:rPr>
          <w:rFonts w:hint="eastAsia" w:ascii="宋体" w:hAnsi="宋体" w:cs="宋体"/>
          <w:sz w:val="24"/>
          <w:szCs w:val="24"/>
        </w:rPr>
        <w:t>（投标人名称、地址）提交下述文件正本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份和电子版</w:t>
      </w:r>
      <w:r>
        <w:rPr>
          <w:rFonts w:hint="eastAsia" w:ascii="宋体" w:hAnsi="宋体" w:cs="宋体"/>
          <w:sz w:val="24"/>
          <w:szCs w:val="24"/>
          <w:u w:val="single"/>
        </w:rPr>
        <w:t xml:space="preserve">   </w:t>
      </w:r>
      <w:r>
        <w:rPr>
          <w:rFonts w:hint="eastAsia" w:ascii="宋体" w:hAnsi="宋体" w:cs="宋体"/>
          <w:sz w:val="24"/>
          <w:szCs w:val="24"/>
        </w:rPr>
        <w:t>份。</w:t>
      </w:r>
    </w:p>
    <w:p>
      <w:pPr>
        <w:spacing w:line="460" w:lineRule="exact"/>
        <w:ind w:firstLine="480"/>
        <w:rPr>
          <w:rFonts w:ascii="宋体" w:hAnsi="宋体" w:cs="宋体"/>
          <w:sz w:val="24"/>
          <w:szCs w:val="24"/>
        </w:rPr>
      </w:pPr>
      <w:r>
        <w:rPr>
          <w:rFonts w:hint="eastAsia" w:ascii="宋体" w:hAnsi="宋体" w:cs="宋体"/>
          <w:sz w:val="24"/>
          <w:szCs w:val="24"/>
        </w:rPr>
        <w:t>1、 开标一览表</w:t>
      </w:r>
    </w:p>
    <w:p>
      <w:pPr>
        <w:spacing w:line="360" w:lineRule="auto"/>
        <w:jc w:val="center"/>
        <w:rPr>
          <w:rFonts w:ascii="宋体" w:hAnsi="宋体" w:cs="Arial"/>
          <w:b/>
          <w:bCs/>
          <w:sz w:val="28"/>
        </w:rPr>
      </w:pPr>
      <w:r>
        <w:rPr>
          <w:rFonts w:hint="eastAsia" w:ascii="宋体" w:hAnsi="宋体" w:cs="Arial"/>
          <w:b/>
          <w:bCs/>
          <w:sz w:val="28"/>
        </w:rPr>
        <w:t>开标一览表</w:t>
      </w:r>
    </w:p>
    <w:tbl>
      <w:tblPr>
        <w:tblStyle w:val="3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4227"/>
        <w:gridCol w:w="14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6" w:type="dxa"/>
          </w:tcPr>
          <w:p>
            <w:pPr>
              <w:spacing w:before="100" w:beforeAutospacing="1" w:after="100" w:afterAutospacing="1"/>
              <w:jc w:val="center"/>
              <w:rPr>
                <w:rFonts w:ascii="宋体" w:hAnsi="宋体" w:cs="Arial"/>
                <w:sz w:val="24"/>
                <w:szCs w:val="24"/>
              </w:rPr>
            </w:pPr>
            <w:r>
              <w:rPr>
                <w:rFonts w:hint="eastAsia" w:ascii="宋体" w:hAnsi="宋体" w:cs="Arial"/>
                <w:sz w:val="24"/>
                <w:szCs w:val="24"/>
              </w:rPr>
              <w:t>序号</w:t>
            </w:r>
          </w:p>
        </w:tc>
        <w:tc>
          <w:tcPr>
            <w:tcW w:w="4227" w:type="dxa"/>
          </w:tcPr>
          <w:p>
            <w:pPr>
              <w:spacing w:before="100" w:beforeAutospacing="1" w:after="100" w:afterAutospacing="1"/>
              <w:jc w:val="center"/>
              <w:rPr>
                <w:rFonts w:ascii="宋体" w:hAnsi="宋体" w:cs="Arial"/>
                <w:sz w:val="24"/>
                <w:szCs w:val="24"/>
              </w:rPr>
            </w:pPr>
            <w:r>
              <w:rPr>
                <w:rFonts w:hint="eastAsia" w:ascii="宋体" w:hAnsi="宋体" w:cs="Arial"/>
                <w:sz w:val="24"/>
                <w:szCs w:val="24"/>
              </w:rPr>
              <w:t>项目名称</w:t>
            </w:r>
          </w:p>
        </w:tc>
        <w:tc>
          <w:tcPr>
            <w:tcW w:w="1453" w:type="dxa"/>
          </w:tcPr>
          <w:p>
            <w:pPr>
              <w:spacing w:before="100" w:beforeAutospacing="1" w:after="100" w:afterAutospacing="1"/>
              <w:jc w:val="center"/>
              <w:rPr>
                <w:rFonts w:ascii="宋体" w:hAnsi="宋体" w:cs="Arial"/>
                <w:sz w:val="24"/>
                <w:szCs w:val="24"/>
              </w:rPr>
            </w:pPr>
            <w:r>
              <w:rPr>
                <w:rFonts w:hint="eastAsia" w:ascii="宋体" w:hAnsi="宋体" w:cs="Arial"/>
                <w:sz w:val="24"/>
                <w:szCs w:val="24"/>
              </w:rPr>
              <w:t>服务期限</w:t>
            </w:r>
          </w:p>
        </w:tc>
        <w:tc>
          <w:tcPr>
            <w:tcW w:w="1701" w:type="dxa"/>
          </w:tcPr>
          <w:p>
            <w:pPr>
              <w:spacing w:before="100" w:beforeAutospacing="1" w:after="100" w:afterAutospacing="1"/>
              <w:jc w:val="center"/>
              <w:rPr>
                <w:rFonts w:ascii="宋体" w:hAnsi="宋体" w:cs="Arial"/>
                <w:sz w:val="24"/>
                <w:szCs w:val="24"/>
              </w:rPr>
            </w:pPr>
            <w:r>
              <w:rPr>
                <w:rFonts w:hint="eastAsia" w:ascii="宋体" w:hAnsi="宋体" w:cs="Arial"/>
                <w:sz w:val="24"/>
                <w:szCs w:val="24"/>
              </w:rPr>
              <w:t>投标价（元）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6" w:type="dxa"/>
          </w:tcPr>
          <w:p>
            <w:pPr>
              <w:spacing w:line="360" w:lineRule="auto"/>
              <w:jc w:val="center"/>
              <w:rPr>
                <w:rFonts w:ascii="宋体" w:hAnsi="宋体" w:cs="Arial"/>
                <w:sz w:val="24"/>
              </w:rPr>
            </w:pPr>
            <w:r>
              <w:rPr>
                <w:rFonts w:hint="eastAsia" w:ascii="宋体" w:hAnsi="宋体" w:cs="Arial"/>
                <w:sz w:val="24"/>
              </w:rPr>
              <w:t>1</w:t>
            </w:r>
          </w:p>
        </w:tc>
        <w:tc>
          <w:tcPr>
            <w:tcW w:w="4227" w:type="dxa"/>
          </w:tcPr>
          <w:p>
            <w:pPr>
              <w:spacing w:line="360" w:lineRule="auto"/>
              <w:jc w:val="center"/>
              <w:rPr>
                <w:rFonts w:ascii="宋体" w:hAnsi="宋体" w:cs="Arial"/>
                <w:sz w:val="24"/>
              </w:rPr>
            </w:pPr>
          </w:p>
        </w:tc>
        <w:tc>
          <w:tcPr>
            <w:tcW w:w="1453" w:type="dxa"/>
          </w:tcPr>
          <w:p>
            <w:pPr>
              <w:spacing w:line="360" w:lineRule="auto"/>
              <w:jc w:val="center"/>
              <w:rPr>
                <w:rFonts w:ascii="宋体" w:hAnsi="宋体" w:cs="Arial"/>
                <w:sz w:val="24"/>
              </w:rPr>
            </w:pPr>
          </w:p>
        </w:tc>
        <w:tc>
          <w:tcPr>
            <w:tcW w:w="1701" w:type="dxa"/>
          </w:tcPr>
          <w:p>
            <w:pPr>
              <w:spacing w:line="360" w:lineRule="auto"/>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96" w:type="dxa"/>
            <w:gridSpan w:val="3"/>
          </w:tcPr>
          <w:p>
            <w:pPr>
              <w:spacing w:line="360" w:lineRule="auto"/>
              <w:rPr>
                <w:rFonts w:ascii="宋体" w:hAnsi="宋体" w:cs="Arial"/>
                <w:sz w:val="24"/>
              </w:rPr>
            </w:pPr>
            <w:r>
              <w:rPr>
                <w:rFonts w:hint="eastAsia" w:ascii="宋体" w:hAnsi="宋体" w:cs="Arial"/>
                <w:sz w:val="24"/>
              </w:rPr>
              <w:t>合计（大写）：</w:t>
            </w:r>
          </w:p>
        </w:tc>
        <w:tc>
          <w:tcPr>
            <w:tcW w:w="1701" w:type="dxa"/>
          </w:tcPr>
          <w:p>
            <w:pPr>
              <w:spacing w:line="360" w:lineRule="auto"/>
              <w:jc w:val="left"/>
              <w:rPr>
                <w:rFonts w:ascii="宋体" w:hAnsi="宋体" w:cs="Arial"/>
                <w:sz w:val="24"/>
              </w:rPr>
            </w:pPr>
            <w:r>
              <w:rPr>
                <w:rFonts w:hint="eastAsia" w:ascii="宋体" w:hAnsi="宋体" w:cs="Arial"/>
                <w:sz w:val="24"/>
              </w:rPr>
              <w:t>￥</w:t>
            </w:r>
          </w:p>
        </w:tc>
      </w:tr>
    </w:tbl>
    <w:p>
      <w:pPr>
        <w:spacing w:line="460" w:lineRule="exact"/>
        <w:ind w:firstLine="480"/>
        <w:rPr>
          <w:rFonts w:ascii="宋体" w:hAnsi="宋体" w:cs="宋体"/>
          <w:sz w:val="24"/>
          <w:szCs w:val="24"/>
        </w:rPr>
      </w:pPr>
    </w:p>
    <w:p>
      <w:pPr>
        <w:spacing w:line="460" w:lineRule="exact"/>
        <w:ind w:firstLine="480"/>
        <w:rPr>
          <w:rFonts w:ascii="宋体" w:hAnsi="宋体" w:cs="宋体"/>
          <w:sz w:val="24"/>
          <w:szCs w:val="24"/>
        </w:rPr>
      </w:pPr>
      <w:r>
        <w:rPr>
          <w:rFonts w:hint="eastAsia" w:ascii="宋体" w:hAnsi="宋体" w:cs="宋体"/>
          <w:sz w:val="24"/>
          <w:szCs w:val="24"/>
        </w:rPr>
        <w:t>2、投标人已经对全部价格进行了认真核对，保证本报价真实、准确无误，并承担本价格所对应本项目的一切责任和义务。</w:t>
      </w:r>
    </w:p>
    <w:p>
      <w:pPr>
        <w:spacing w:line="460" w:lineRule="exact"/>
        <w:ind w:firstLine="480"/>
        <w:rPr>
          <w:rFonts w:ascii="宋体" w:hAnsi="宋体" w:cs="宋体"/>
          <w:sz w:val="24"/>
          <w:szCs w:val="24"/>
        </w:rPr>
      </w:pPr>
      <w:r>
        <w:rPr>
          <w:rFonts w:hint="eastAsia" w:ascii="宋体" w:hAnsi="宋体" w:cs="宋体"/>
          <w:sz w:val="24"/>
          <w:szCs w:val="24"/>
        </w:rPr>
        <w:t>3、两个部分投标文件一一对应、不可分割，共同构成我方对本项目的所有承诺。</w:t>
      </w:r>
    </w:p>
    <w:p>
      <w:pPr>
        <w:spacing w:line="460" w:lineRule="exact"/>
        <w:ind w:firstLine="480"/>
        <w:rPr>
          <w:rFonts w:ascii="宋体" w:hAnsi="宋体" w:cs="宋体"/>
          <w:sz w:val="24"/>
          <w:szCs w:val="24"/>
        </w:rPr>
      </w:pPr>
    </w:p>
    <w:p>
      <w:pPr>
        <w:spacing w:line="460" w:lineRule="exact"/>
        <w:ind w:firstLine="480"/>
        <w:rPr>
          <w:rFonts w:ascii="宋体" w:hAnsi="宋体" w:cs="宋体"/>
          <w:sz w:val="24"/>
          <w:szCs w:val="24"/>
        </w:rPr>
      </w:pPr>
    </w:p>
    <w:p>
      <w:pPr>
        <w:spacing w:line="360" w:lineRule="auto"/>
        <w:ind w:left="192" w:firstLine="3948" w:firstLineChars="1645"/>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p>
    <w:p>
      <w:pPr>
        <w:spacing w:line="360" w:lineRule="auto"/>
        <w:ind w:left="192" w:firstLine="3948" w:firstLineChars="1645"/>
        <w:rPr>
          <w:rFonts w:ascii="宋体" w:hAnsi="宋体" w:cs="宋体"/>
          <w:sz w:val="24"/>
          <w:szCs w:val="24"/>
        </w:rPr>
      </w:pPr>
      <w:r>
        <w:rPr>
          <w:rFonts w:hint="eastAsia" w:ascii="宋体" w:hAnsi="宋体" w:cs="宋体"/>
          <w:sz w:val="24"/>
          <w:szCs w:val="24"/>
        </w:rPr>
        <w:t>职务：_________日期：</w:t>
      </w:r>
      <w:r>
        <w:rPr>
          <w:rFonts w:hint="eastAsia" w:ascii="宋体" w:hAnsi="宋体" w:cs="宋体"/>
          <w:sz w:val="24"/>
          <w:szCs w:val="24"/>
          <w:u w:val="single"/>
        </w:rPr>
        <w:t xml:space="preserve">                   </w:t>
      </w:r>
    </w:p>
    <w:p>
      <w:pPr>
        <w:spacing w:line="360" w:lineRule="auto"/>
        <w:ind w:left="192" w:firstLine="3948" w:firstLineChars="1645"/>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p>
    <w:p>
      <w:pPr>
        <w:spacing w:line="460" w:lineRule="exact"/>
        <w:rPr>
          <w:rFonts w:ascii="宋体" w:hAnsi="宋体" w:cs="宋体"/>
          <w:b/>
          <w:sz w:val="24"/>
          <w:szCs w:val="24"/>
        </w:rPr>
      </w:pPr>
      <w:r>
        <w:rPr>
          <w:rFonts w:hint="eastAsia" w:ascii="宋体" w:hAnsi="宋体" w:cs="宋体"/>
          <w:b/>
          <w:sz w:val="24"/>
          <w:szCs w:val="24"/>
        </w:rPr>
        <w:br w:type="page"/>
      </w:r>
      <w:r>
        <w:rPr>
          <w:rFonts w:hint="eastAsia" w:ascii="宋体" w:hAnsi="宋体" w:cs="宋体"/>
          <w:b/>
          <w:sz w:val="24"/>
          <w:szCs w:val="24"/>
        </w:rPr>
        <w:t>附件2</w:t>
      </w:r>
    </w:p>
    <w:p>
      <w:pPr>
        <w:tabs>
          <w:tab w:val="left" w:pos="3780"/>
          <w:tab w:val="left" w:pos="3960"/>
        </w:tabs>
        <w:spacing w:line="460" w:lineRule="exact"/>
        <w:ind w:firstLine="482"/>
        <w:jc w:val="center"/>
        <w:rPr>
          <w:rFonts w:ascii="宋体" w:hAnsi="宋体" w:cs="宋体"/>
          <w:b/>
          <w:sz w:val="28"/>
          <w:szCs w:val="28"/>
        </w:rPr>
      </w:pPr>
      <w:r>
        <w:rPr>
          <w:rFonts w:hint="eastAsia" w:ascii="宋体" w:hAnsi="宋体" w:cs="宋体"/>
          <w:b/>
          <w:sz w:val="28"/>
          <w:szCs w:val="28"/>
        </w:rPr>
        <w:t>报价明细表</w:t>
      </w:r>
    </w:p>
    <w:p>
      <w:pPr>
        <w:spacing w:line="460" w:lineRule="exact"/>
        <w:rPr>
          <w:rFonts w:ascii="宋体" w:hAnsi="宋体" w:cs="宋体"/>
          <w:b/>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b/>
          <w:sz w:val="24"/>
          <w:szCs w:val="24"/>
        </w:rPr>
        <w:t xml:space="preserve">            </w:t>
      </w:r>
    </w:p>
    <w:p>
      <w:pPr>
        <w:spacing w:line="460" w:lineRule="exact"/>
        <w:rPr>
          <w:rFonts w:ascii="宋体" w:hAnsi="宋体" w:cs="宋体"/>
          <w:b/>
          <w:sz w:val="24"/>
          <w:szCs w:val="24"/>
        </w:rPr>
      </w:pP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b/>
          <w:sz w:val="24"/>
          <w:szCs w:val="24"/>
        </w:rPr>
        <w:t xml:space="preserve">            </w:t>
      </w:r>
    </w:p>
    <w:p>
      <w:pPr>
        <w:spacing w:line="460" w:lineRule="exact"/>
        <w:ind w:firstLine="480"/>
        <w:rPr>
          <w:rFonts w:ascii="宋体" w:hAnsi="宋体" w:cs="宋体"/>
          <w:b/>
          <w:sz w:val="24"/>
          <w:szCs w:val="24"/>
        </w:rPr>
      </w:pPr>
      <w:r>
        <w:rPr>
          <w:rFonts w:hint="eastAsia" w:ascii="宋体" w:hAnsi="宋体" w:cs="宋体"/>
          <w:sz w:val="24"/>
          <w:szCs w:val="24"/>
        </w:rPr>
        <w:t xml:space="preserve">                                                        单位：元</w:t>
      </w:r>
    </w:p>
    <w:tbl>
      <w:tblPr>
        <w:tblStyle w:val="32"/>
        <w:tblW w:w="8334" w:type="dxa"/>
        <w:jc w:val="center"/>
        <w:tblLayout w:type="fixed"/>
        <w:tblCellMar>
          <w:top w:w="0" w:type="dxa"/>
          <w:left w:w="108" w:type="dxa"/>
          <w:bottom w:w="0" w:type="dxa"/>
          <w:right w:w="108" w:type="dxa"/>
        </w:tblCellMar>
      </w:tblPr>
      <w:tblGrid>
        <w:gridCol w:w="1112"/>
        <w:gridCol w:w="1533"/>
        <w:gridCol w:w="960"/>
        <w:gridCol w:w="975"/>
        <w:gridCol w:w="1410"/>
        <w:gridCol w:w="990"/>
        <w:gridCol w:w="1354"/>
      </w:tblGrid>
      <w:tr>
        <w:tblPrEx>
          <w:tblCellMar>
            <w:top w:w="0" w:type="dxa"/>
            <w:left w:w="108" w:type="dxa"/>
            <w:bottom w:w="0" w:type="dxa"/>
            <w:right w:w="108" w:type="dxa"/>
          </w:tblCellMar>
        </w:tblPrEx>
        <w:trPr>
          <w:trHeight w:val="574" w:hRule="atLeast"/>
          <w:jc w:val="center"/>
        </w:trPr>
        <w:tc>
          <w:tcPr>
            <w:tcW w:w="1112" w:type="dxa"/>
            <w:tcBorders>
              <w:top w:val="single" w:color="000000" w:sz="8" w:space="0"/>
              <w:left w:val="single" w:color="000000" w:sz="8" w:space="0"/>
              <w:bottom w:val="single" w:color="000000" w:sz="4" w:space="0"/>
              <w:right w:val="single" w:color="000000" w:sz="4" w:space="0"/>
            </w:tcBorders>
            <w:vAlign w:val="center"/>
          </w:tcPr>
          <w:p>
            <w:pPr>
              <w:pStyle w:val="65"/>
              <w:widowControl/>
              <w:ind w:firstLine="0" w:firstLineChars="0"/>
              <w:jc w:val="center"/>
              <w:rPr>
                <w:rFonts w:ascii="宋体" w:hAnsi="宋体" w:cs="宋体"/>
              </w:rPr>
            </w:pPr>
            <w:r>
              <w:rPr>
                <w:rFonts w:hint="eastAsia" w:ascii="宋体" w:hAnsi="宋体" w:cs="宋体"/>
              </w:rPr>
              <w:t>序号</w:t>
            </w:r>
          </w:p>
        </w:tc>
        <w:tc>
          <w:tcPr>
            <w:tcW w:w="1533" w:type="dxa"/>
            <w:tcBorders>
              <w:top w:val="single" w:color="000000" w:sz="8" w:space="0"/>
              <w:left w:val="nil"/>
              <w:bottom w:val="single" w:color="000000" w:sz="4" w:space="0"/>
              <w:right w:val="single" w:color="000000" w:sz="4" w:space="0"/>
            </w:tcBorders>
            <w:vAlign w:val="center"/>
          </w:tcPr>
          <w:p>
            <w:pPr>
              <w:pStyle w:val="65"/>
              <w:widowControl/>
              <w:ind w:firstLine="0" w:firstLineChars="0"/>
              <w:jc w:val="center"/>
              <w:rPr>
                <w:rFonts w:ascii="宋体" w:hAnsi="宋体" w:cs="宋体"/>
              </w:rPr>
            </w:pPr>
            <w:r>
              <w:rPr>
                <w:rFonts w:hint="eastAsia" w:ascii="宋体" w:hAnsi="宋体" w:cs="宋体"/>
              </w:rPr>
              <w:t>服务名称</w:t>
            </w:r>
          </w:p>
        </w:tc>
        <w:tc>
          <w:tcPr>
            <w:tcW w:w="960" w:type="dxa"/>
            <w:tcBorders>
              <w:top w:val="single" w:color="000000" w:sz="8" w:space="0"/>
              <w:left w:val="nil"/>
              <w:bottom w:val="single" w:color="000000" w:sz="4" w:space="0"/>
              <w:right w:val="single" w:color="auto" w:sz="4" w:space="0"/>
            </w:tcBorders>
            <w:vAlign w:val="center"/>
          </w:tcPr>
          <w:p>
            <w:pPr>
              <w:pStyle w:val="65"/>
              <w:widowControl/>
              <w:ind w:firstLine="0" w:firstLineChars="0"/>
              <w:jc w:val="center"/>
              <w:rPr>
                <w:rFonts w:ascii="宋体" w:hAnsi="宋体" w:cs="宋体"/>
              </w:rPr>
            </w:pPr>
            <w:r>
              <w:rPr>
                <w:rFonts w:hint="eastAsia" w:ascii="宋体" w:hAnsi="宋体" w:cs="宋体"/>
              </w:rPr>
              <w:t>数量</w:t>
            </w:r>
          </w:p>
        </w:tc>
        <w:tc>
          <w:tcPr>
            <w:tcW w:w="975" w:type="dxa"/>
            <w:tcBorders>
              <w:top w:val="single" w:color="000000" w:sz="8" w:space="0"/>
              <w:left w:val="nil"/>
              <w:bottom w:val="single" w:color="000000" w:sz="4" w:space="0"/>
              <w:right w:val="single" w:color="auto" w:sz="4" w:space="0"/>
            </w:tcBorders>
            <w:vAlign w:val="center"/>
          </w:tcPr>
          <w:p>
            <w:pPr>
              <w:pStyle w:val="65"/>
              <w:widowControl/>
              <w:ind w:firstLine="0" w:firstLineChars="0"/>
              <w:jc w:val="center"/>
              <w:rPr>
                <w:rFonts w:ascii="宋体" w:hAnsi="宋体" w:cs="宋体"/>
              </w:rPr>
            </w:pPr>
            <w:r>
              <w:rPr>
                <w:rFonts w:ascii="宋体" w:hAnsi="宋体" w:cs="宋体"/>
              </w:rPr>
              <w:t>单位</w:t>
            </w:r>
          </w:p>
        </w:tc>
        <w:tc>
          <w:tcPr>
            <w:tcW w:w="1410" w:type="dxa"/>
            <w:tcBorders>
              <w:top w:val="single" w:color="000000" w:sz="8" w:space="0"/>
              <w:left w:val="nil"/>
              <w:bottom w:val="single" w:color="000000" w:sz="4" w:space="0"/>
              <w:right w:val="single" w:color="auto" w:sz="4" w:space="0"/>
            </w:tcBorders>
            <w:vAlign w:val="center"/>
          </w:tcPr>
          <w:p>
            <w:pPr>
              <w:pStyle w:val="65"/>
              <w:ind w:firstLine="33" w:firstLineChars="14"/>
              <w:jc w:val="center"/>
              <w:rPr>
                <w:rFonts w:ascii="宋体" w:hAnsi="宋体" w:cs="宋体"/>
              </w:rPr>
            </w:pPr>
            <w:r>
              <w:rPr>
                <w:rFonts w:hint="eastAsia" w:ascii="宋体" w:hAnsi="宋体" w:cs="宋体"/>
              </w:rPr>
              <w:t>单价</w:t>
            </w:r>
          </w:p>
        </w:tc>
        <w:tc>
          <w:tcPr>
            <w:tcW w:w="990" w:type="dxa"/>
            <w:tcBorders>
              <w:top w:val="single" w:color="000000" w:sz="8" w:space="0"/>
              <w:left w:val="single" w:color="auto" w:sz="4" w:space="0"/>
              <w:bottom w:val="single" w:color="000000" w:sz="4" w:space="0"/>
              <w:right w:val="single" w:color="000000" w:sz="4" w:space="0"/>
            </w:tcBorders>
            <w:vAlign w:val="center"/>
          </w:tcPr>
          <w:p>
            <w:pPr>
              <w:pStyle w:val="65"/>
              <w:widowControl/>
              <w:ind w:firstLine="0" w:firstLineChars="0"/>
              <w:jc w:val="center"/>
              <w:rPr>
                <w:rFonts w:ascii="宋体" w:hAnsi="宋体" w:cs="宋体"/>
              </w:rPr>
            </w:pPr>
            <w:r>
              <w:rPr>
                <w:rFonts w:hint="eastAsia" w:ascii="宋体" w:hAnsi="宋体" w:cs="宋体"/>
              </w:rPr>
              <w:t>总价</w:t>
            </w:r>
          </w:p>
        </w:tc>
        <w:tc>
          <w:tcPr>
            <w:tcW w:w="1354" w:type="dxa"/>
            <w:tcBorders>
              <w:top w:val="single" w:color="000000" w:sz="8" w:space="0"/>
              <w:left w:val="nil"/>
              <w:bottom w:val="single" w:color="000000" w:sz="4" w:space="0"/>
              <w:right w:val="single" w:color="000000" w:sz="8" w:space="0"/>
            </w:tcBorders>
            <w:vAlign w:val="center"/>
          </w:tcPr>
          <w:p>
            <w:pPr>
              <w:pStyle w:val="65"/>
              <w:widowControl/>
              <w:ind w:firstLine="0" w:firstLineChars="0"/>
              <w:jc w:val="center"/>
              <w:rPr>
                <w:rFonts w:ascii="宋体" w:hAnsi="宋体" w:cs="宋体"/>
              </w:rPr>
            </w:pPr>
            <w:r>
              <w:rPr>
                <w:rFonts w:hint="eastAsia" w:ascii="宋体" w:hAnsi="宋体" w:cs="宋体"/>
              </w:rPr>
              <w:t>备注</w:t>
            </w:r>
          </w:p>
        </w:tc>
      </w:tr>
      <w:tr>
        <w:tblPrEx>
          <w:tblCellMar>
            <w:top w:w="0" w:type="dxa"/>
            <w:left w:w="108" w:type="dxa"/>
            <w:bottom w:w="0" w:type="dxa"/>
            <w:right w:w="108" w:type="dxa"/>
          </w:tblCellMar>
        </w:tblPrEx>
        <w:trPr>
          <w:trHeight w:val="574" w:hRule="atLeast"/>
          <w:jc w:val="center"/>
        </w:trPr>
        <w:tc>
          <w:tcPr>
            <w:tcW w:w="8334" w:type="dxa"/>
            <w:gridSpan w:val="7"/>
            <w:tcBorders>
              <w:top w:val="single" w:color="000000" w:sz="8" w:space="0"/>
              <w:left w:val="single" w:color="000000" w:sz="8" w:space="0"/>
              <w:bottom w:val="single" w:color="000000" w:sz="4" w:space="0"/>
              <w:right w:val="single" w:color="000000" w:sz="8" w:space="0"/>
            </w:tcBorders>
            <w:vAlign w:val="center"/>
          </w:tcPr>
          <w:p>
            <w:pPr>
              <w:pStyle w:val="65"/>
              <w:widowControl/>
              <w:tabs>
                <w:tab w:val="left" w:pos="2499"/>
              </w:tabs>
              <w:ind w:firstLine="0" w:firstLineChars="0"/>
              <w:jc w:val="left"/>
              <w:rPr>
                <w:rFonts w:ascii="宋体" w:hAnsi="宋体" w:cs="宋体"/>
              </w:rPr>
            </w:pPr>
            <w:r>
              <w:rPr>
                <w:rFonts w:hint="eastAsia" w:ascii="宋体" w:hAnsi="宋体" w:cs="宋体"/>
                <w:b/>
                <w:bCs/>
                <w:sz w:val="21"/>
                <w:szCs w:val="21"/>
              </w:rPr>
              <w:t>硬件</w:t>
            </w:r>
          </w:p>
        </w:tc>
      </w:tr>
      <w:tr>
        <w:tblPrEx>
          <w:tblCellMar>
            <w:top w:w="0" w:type="dxa"/>
            <w:left w:w="108" w:type="dxa"/>
            <w:bottom w:w="0" w:type="dxa"/>
            <w:right w:w="108" w:type="dxa"/>
          </w:tblCellMar>
        </w:tblPrEx>
        <w:trPr>
          <w:trHeight w:val="481" w:hRule="atLeast"/>
          <w:jc w:val="center"/>
        </w:trPr>
        <w:tc>
          <w:tcPr>
            <w:tcW w:w="1112" w:type="dxa"/>
            <w:tcBorders>
              <w:top w:val="nil"/>
              <w:left w:val="single" w:color="000000" w:sz="8" w:space="0"/>
              <w:bottom w:val="single" w:color="000000" w:sz="4" w:space="0"/>
              <w:right w:val="single" w:color="000000" w:sz="4" w:space="0"/>
            </w:tcBorders>
            <w:vAlign w:val="center"/>
          </w:tcPr>
          <w:p>
            <w:pPr>
              <w:pStyle w:val="65"/>
              <w:widowControl/>
              <w:ind w:firstLine="480"/>
              <w:rPr>
                <w:rFonts w:ascii="宋体" w:hAnsi="宋体" w:cs="宋体"/>
              </w:rPr>
            </w:pPr>
            <w:r>
              <w:rPr>
                <w:rFonts w:hint="eastAsia" w:ascii="宋体" w:hAnsi="宋体" w:cs="宋体"/>
              </w:rPr>
              <w:t>1</w:t>
            </w:r>
          </w:p>
        </w:tc>
        <w:tc>
          <w:tcPr>
            <w:tcW w:w="1533" w:type="dxa"/>
            <w:tcBorders>
              <w:top w:val="nil"/>
              <w:left w:val="nil"/>
              <w:bottom w:val="single" w:color="000000" w:sz="4" w:space="0"/>
              <w:right w:val="single" w:color="000000" w:sz="4" w:space="0"/>
            </w:tcBorders>
            <w:vAlign w:val="center"/>
          </w:tcPr>
          <w:p>
            <w:pPr>
              <w:jc w:val="center"/>
              <w:rPr>
                <w:color w:val="000000"/>
              </w:rPr>
            </w:pPr>
            <w:r>
              <w:rPr>
                <w:color w:val="000000"/>
              </w:rPr>
              <w:t>服务器（海区）</w:t>
            </w:r>
          </w:p>
        </w:tc>
        <w:tc>
          <w:tcPr>
            <w:tcW w:w="960" w:type="dxa"/>
            <w:tcBorders>
              <w:top w:val="nil"/>
              <w:left w:val="nil"/>
              <w:bottom w:val="single" w:color="000000" w:sz="4" w:space="0"/>
              <w:right w:val="single" w:color="auto" w:sz="4" w:space="0"/>
            </w:tcBorders>
            <w:vAlign w:val="center"/>
          </w:tcPr>
          <w:p>
            <w:pPr>
              <w:jc w:val="center"/>
              <w:rPr>
                <w:color w:val="000000"/>
              </w:rPr>
            </w:pPr>
            <w:r>
              <w:rPr>
                <w:color w:val="000000"/>
              </w:rPr>
              <w:t>1</w:t>
            </w:r>
          </w:p>
        </w:tc>
        <w:tc>
          <w:tcPr>
            <w:tcW w:w="975" w:type="dxa"/>
            <w:tcBorders>
              <w:top w:val="nil"/>
              <w:left w:val="nil"/>
              <w:bottom w:val="single" w:color="000000" w:sz="4" w:space="0"/>
              <w:right w:val="single" w:color="auto" w:sz="4" w:space="0"/>
            </w:tcBorders>
            <w:vAlign w:val="center"/>
          </w:tcPr>
          <w:p>
            <w:pPr>
              <w:jc w:val="center"/>
              <w:rPr>
                <w:color w:val="000000"/>
              </w:rPr>
            </w:pPr>
            <w:r>
              <w:rPr>
                <w:rFonts w:hint="eastAsia"/>
                <w:color w:val="000000"/>
              </w:rPr>
              <w:t>台</w:t>
            </w:r>
          </w:p>
        </w:tc>
        <w:tc>
          <w:tcPr>
            <w:tcW w:w="1410" w:type="dxa"/>
            <w:tcBorders>
              <w:top w:val="nil"/>
              <w:left w:val="nil"/>
              <w:bottom w:val="single" w:color="000000" w:sz="4" w:space="0"/>
              <w:right w:val="single" w:color="auto" w:sz="4" w:space="0"/>
            </w:tcBorders>
            <w:vAlign w:val="center"/>
          </w:tcPr>
          <w:p>
            <w:pPr>
              <w:pStyle w:val="65"/>
              <w:widowControl/>
              <w:ind w:firstLine="480"/>
              <w:jc w:val="center"/>
              <w:rPr>
                <w:rFonts w:ascii="宋体" w:hAnsi="宋体" w:cs="宋体"/>
              </w:rPr>
            </w:pPr>
          </w:p>
        </w:tc>
        <w:tc>
          <w:tcPr>
            <w:tcW w:w="990" w:type="dxa"/>
            <w:tcBorders>
              <w:top w:val="nil"/>
              <w:left w:val="single" w:color="auto" w:sz="4" w:space="0"/>
              <w:bottom w:val="single" w:color="000000" w:sz="4" w:space="0"/>
              <w:right w:val="single" w:color="000000" w:sz="4" w:space="0"/>
            </w:tcBorders>
            <w:vAlign w:val="center"/>
          </w:tcPr>
          <w:p>
            <w:pPr>
              <w:pStyle w:val="65"/>
              <w:widowControl/>
              <w:ind w:firstLine="480"/>
              <w:jc w:val="center"/>
              <w:rPr>
                <w:rFonts w:ascii="宋体" w:hAnsi="宋体" w:cs="宋体"/>
              </w:rPr>
            </w:pPr>
          </w:p>
        </w:tc>
        <w:tc>
          <w:tcPr>
            <w:tcW w:w="1354" w:type="dxa"/>
            <w:tcBorders>
              <w:top w:val="nil"/>
              <w:left w:val="nil"/>
              <w:bottom w:val="single" w:color="000000" w:sz="4" w:space="0"/>
              <w:right w:val="single" w:color="000000" w:sz="8" w:space="0"/>
            </w:tcBorders>
            <w:vAlign w:val="center"/>
          </w:tcPr>
          <w:p>
            <w:pPr>
              <w:jc w:val="center"/>
              <w:rPr>
                <w:color w:val="000000"/>
              </w:rPr>
            </w:pPr>
            <w:r>
              <w:rPr>
                <w:color w:val="000000"/>
              </w:rPr>
              <w:t>海区中心1台</w:t>
            </w:r>
          </w:p>
        </w:tc>
      </w:tr>
      <w:tr>
        <w:tblPrEx>
          <w:tblCellMar>
            <w:top w:w="0" w:type="dxa"/>
            <w:left w:w="108" w:type="dxa"/>
            <w:bottom w:w="0" w:type="dxa"/>
            <w:right w:w="108" w:type="dxa"/>
          </w:tblCellMar>
        </w:tblPrEx>
        <w:trPr>
          <w:trHeight w:val="481" w:hRule="atLeast"/>
          <w:jc w:val="center"/>
        </w:trPr>
        <w:tc>
          <w:tcPr>
            <w:tcW w:w="1112" w:type="dxa"/>
            <w:tcBorders>
              <w:top w:val="nil"/>
              <w:left w:val="single" w:color="000000" w:sz="8" w:space="0"/>
              <w:bottom w:val="single" w:color="000000" w:sz="4" w:space="0"/>
              <w:right w:val="single" w:color="000000" w:sz="4" w:space="0"/>
            </w:tcBorders>
            <w:vAlign w:val="center"/>
          </w:tcPr>
          <w:p>
            <w:pPr>
              <w:pStyle w:val="65"/>
              <w:widowControl/>
              <w:ind w:firstLine="480"/>
              <w:rPr>
                <w:rFonts w:ascii="宋体" w:hAnsi="宋体" w:cs="宋体"/>
              </w:rPr>
            </w:pPr>
            <w:r>
              <w:rPr>
                <w:rFonts w:hint="eastAsia" w:ascii="宋体" w:hAnsi="宋体" w:cs="宋体"/>
              </w:rPr>
              <w:t>2</w:t>
            </w:r>
          </w:p>
        </w:tc>
        <w:tc>
          <w:tcPr>
            <w:tcW w:w="1533" w:type="dxa"/>
            <w:tcBorders>
              <w:top w:val="nil"/>
              <w:left w:val="nil"/>
              <w:bottom w:val="single" w:color="000000" w:sz="4" w:space="0"/>
              <w:right w:val="single" w:color="000000" w:sz="4" w:space="0"/>
            </w:tcBorders>
            <w:vAlign w:val="center"/>
          </w:tcPr>
          <w:p>
            <w:pPr>
              <w:jc w:val="center"/>
              <w:rPr>
                <w:color w:val="000000"/>
              </w:rPr>
            </w:pPr>
            <w:r>
              <w:rPr>
                <w:color w:val="000000"/>
              </w:rPr>
              <w:t>服务器（辖区）</w:t>
            </w:r>
          </w:p>
        </w:tc>
        <w:tc>
          <w:tcPr>
            <w:tcW w:w="960" w:type="dxa"/>
            <w:tcBorders>
              <w:top w:val="nil"/>
              <w:left w:val="nil"/>
              <w:bottom w:val="single" w:color="000000" w:sz="4" w:space="0"/>
              <w:right w:val="single" w:color="auto" w:sz="4" w:space="0"/>
            </w:tcBorders>
            <w:vAlign w:val="center"/>
          </w:tcPr>
          <w:p>
            <w:pPr>
              <w:jc w:val="center"/>
              <w:rPr>
                <w:color w:val="000000"/>
              </w:rPr>
            </w:pPr>
            <w:r>
              <w:rPr>
                <w:color w:val="000000"/>
              </w:rPr>
              <w:t>18</w:t>
            </w:r>
          </w:p>
        </w:tc>
        <w:tc>
          <w:tcPr>
            <w:tcW w:w="975" w:type="dxa"/>
            <w:tcBorders>
              <w:top w:val="nil"/>
              <w:left w:val="nil"/>
              <w:bottom w:val="single" w:color="000000" w:sz="4" w:space="0"/>
              <w:right w:val="single" w:color="auto" w:sz="4" w:space="0"/>
            </w:tcBorders>
            <w:vAlign w:val="center"/>
          </w:tcPr>
          <w:p>
            <w:pPr>
              <w:jc w:val="center"/>
              <w:rPr>
                <w:color w:val="000000"/>
              </w:rPr>
            </w:pPr>
            <w:r>
              <w:rPr>
                <w:rFonts w:hint="eastAsia"/>
                <w:color w:val="000000"/>
              </w:rPr>
              <w:t>台</w:t>
            </w:r>
          </w:p>
        </w:tc>
        <w:tc>
          <w:tcPr>
            <w:tcW w:w="1410" w:type="dxa"/>
            <w:tcBorders>
              <w:top w:val="nil"/>
              <w:left w:val="nil"/>
              <w:bottom w:val="single" w:color="000000" w:sz="4" w:space="0"/>
              <w:right w:val="single" w:color="auto" w:sz="4" w:space="0"/>
            </w:tcBorders>
            <w:vAlign w:val="center"/>
          </w:tcPr>
          <w:p>
            <w:pPr>
              <w:pStyle w:val="65"/>
              <w:widowControl/>
              <w:ind w:firstLine="480"/>
              <w:jc w:val="center"/>
              <w:rPr>
                <w:rFonts w:ascii="宋体" w:hAnsi="宋体" w:cs="宋体"/>
              </w:rPr>
            </w:pPr>
          </w:p>
        </w:tc>
        <w:tc>
          <w:tcPr>
            <w:tcW w:w="990" w:type="dxa"/>
            <w:tcBorders>
              <w:top w:val="nil"/>
              <w:left w:val="single" w:color="auto" w:sz="4" w:space="0"/>
              <w:bottom w:val="single" w:color="000000" w:sz="4" w:space="0"/>
              <w:right w:val="single" w:color="000000" w:sz="4" w:space="0"/>
            </w:tcBorders>
            <w:vAlign w:val="center"/>
          </w:tcPr>
          <w:p>
            <w:pPr>
              <w:pStyle w:val="65"/>
              <w:widowControl/>
              <w:ind w:firstLine="480"/>
              <w:jc w:val="center"/>
              <w:rPr>
                <w:rFonts w:ascii="宋体" w:hAnsi="宋体" w:cs="宋体"/>
              </w:rPr>
            </w:pPr>
          </w:p>
        </w:tc>
        <w:tc>
          <w:tcPr>
            <w:tcW w:w="1354" w:type="dxa"/>
            <w:tcBorders>
              <w:top w:val="nil"/>
              <w:left w:val="nil"/>
              <w:bottom w:val="single" w:color="000000" w:sz="4" w:space="0"/>
              <w:right w:val="single" w:color="000000" w:sz="8" w:space="0"/>
            </w:tcBorders>
            <w:vAlign w:val="center"/>
          </w:tcPr>
          <w:p>
            <w:pPr>
              <w:jc w:val="center"/>
              <w:rPr>
                <w:color w:val="000000"/>
              </w:rPr>
            </w:pPr>
            <w:r>
              <w:rPr>
                <w:color w:val="000000"/>
              </w:rPr>
              <w:t>6辖区中心，每辖区3台</w:t>
            </w:r>
          </w:p>
        </w:tc>
      </w:tr>
      <w:tr>
        <w:tblPrEx>
          <w:tblCellMar>
            <w:top w:w="0" w:type="dxa"/>
            <w:left w:w="108" w:type="dxa"/>
            <w:bottom w:w="0" w:type="dxa"/>
            <w:right w:w="108" w:type="dxa"/>
          </w:tblCellMar>
        </w:tblPrEx>
        <w:trPr>
          <w:trHeight w:val="481" w:hRule="atLeast"/>
          <w:jc w:val="center"/>
        </w:trPr>
        <w:tc>
          <w:tcPr>
            <w:tcW w:w="1112" w:type="dxa"/>
            <w:tcBorders>
              <w:top w:val="nil"/>
              <w:left w:val="single" w:color="000000" w:sz="8" w:space="0"/>
              <w:bottom w:val="single" w:color="000000" w:sz="4" w:space="0"/>
              <w:right w:val="single" w:color="000000" w:sz="4" w:space="0"/>
            </w:tcBorders>
            <w:vAlign w:val="center"/>
          </w:tcPr>
          <w:p>
            <w:pPr>
              <w:pStyle w:val="65"/>
              <w:widowControl/>
              <w:ind w:firstLine="480"/>
              <w:rPr>
                <w:rFonts w:ascii="宋体" w:hAnsi="宋体" w:cs="宋体"/>
              </w:rPr>
            </w:pPr>
            <w:r>
              <w:rPr>
                <w:rFonts w:hint="eastAsia" w:ascii="宋体" w:hAnsi="宋体" w:cs="宋体"/>
              </w:rPr>
              <w:t>3</w:t>
            </w:r>
          </w:p>
        </w:tc>
        <w:tc>
          <w:tcPr>
            <w:tcW w:w="1533" w:type="dxa"/>
            <w:tcBorders>
              <w:top w:val="nil"/>
              <w:left w:val="nil"/>
              <w:bottom w:val="single" w:color="000000" w:sz="4" w:space="0"/>
              <w:right w:val="single" w:color="000000" w:sz="4" w:space="0"/>
            </w:tcBorders>
            <w:vAlign w:val="center"/>
          </w:tcPr>
          <w:p>
            <w:pPr>
              <w:jc w:val="center"/>
              <w:rPr>
                <w:color w:val="000000"/>
              </w:rPr>
            </w:pPr>
            <w:r>
              <w:rPr>
                <w:color w:val="000000"/>
              </w:rPr>
              <w:t>交换机（辖区）</w:t>
            </w:r>
          </w:p>
        </w:tc>
        <w:tc>
          <w:tcPr>
            <w:tcW w:w="960" w:type="dxa"/>
            <w:tcBorders>
              <w:top w:val="nil"/>
              <w:left w:val="nil"/>
              <w:bottom w:val="single" w:color="000000" w:sz="4" w:space="0"/>
              <w:right w:val="single" w:color="auto" w:sz="4" w:space="0"/>
            </w:tcBorders>
            <w:vAlign w:val="center"/>
          </w:tcPr>
          <w:p>
            <w:pPr>
              <w:jc w:val="center"/>
              <w:rPr>
                <w:color w:val="000000"/>
              </w:rPr>
            </w:pPr>
            <w:r>
              <w:rPr>
                <w:color w:val="000000"/>
              </w:rPr>
              <w:t>6</w:t>
            </w:r>
          </w:p>
        </w:tc>
        <w:tc>
          <w:tcPr>
            <w:tcW w:w="975" w:type="dxa"/>
            <w:tcBorders>
              <w:top w:val="nil"/>
              <w:left w:val="nil"/>
              <w:bottom w:val="single" w:color="000000" w:sz="4" w:space="0"/>
              <w:right w:val="single" w:color="auto" w:sz="4" w:space="0"/>
            </w:tcBorders>
            <w:vAlign w:val="center"/>
          </w:tcPr>
          <w:p>
            <w:pPr>
              <w:jc w:val="center"/>
              <w:rPr>
                <w:color w:val="000000"/>
              </w:rPr>
            </w:pPr>
            <w:r>
              <w:rPr>
                <w:rFonts w:hint="eastAsia"/>
                <w:color w:val="000000"/>
              </w:rPr>
              <w:t>台</w:t>
            </w:r>
          </w:p>
        </w:tc>
        <w:tc>
          <w:tcPr>
            <w:tcW w:w="1410" w:type="dxa"/>
            <w:tcBorders>
              <w:top w:val="nil"/>
              <w:left w:val="nil"/>
              <w:bottom w:val="single" w:color="000000" w:sz="4" w:space="0"/>
              <w:right w:val="single" w:color="auto" w:sz="4" w:space="0"/>
            </w:tcBorders>
            <w:vAlign w:val="center"/>
          </w:tcPr>
          <w:p>
            <w:pPr>
              <w:pStyle w:val="65"/>
              <w:widowControl/>
              <w:ind w:firstLine="480"/>
              <w:jc w:val="center"/>
              <w:rPr>
                <w:rFonts w:ascii="宋体" w:hAnsi="宋体" w:cs="宋体"/>
              </w:rPr>
            </w:pPr>
          </w:p>
        </w:tc>
        <w:tc>
          <w:tcPr>
            <w:tcW w:w="990" w:type="dxa"/>
            <w:tcBorders>
              <w:top w:val="nil"/>
              <w:left w:val="single" w:color="auto" w:sz="4" w:space="0"/>
              <w:bottom w:val="single" w:color="000000" w:sz="4" w:space="0"/>
              <w:right w:val="single" w:color="000000" w:sz="4" w:space="0"/>
            </w:tcBorders>
            <w:vAlign w:val="center"/>
          </w:tcPr>
          <w:p>
            <w:pPr>
              <w:pStyle w:val="65"/>
              <w:widowControl/>
              <w:ind w:firstLine="480"/>
              <w:jc w:val="center"/>
              <w:rPr>
                <w:rFonts w:ascii="宋体" w:hAnsi="宋体" w:cs="宋体"/>
              </w:rPr>
            </w:pPr>
          </w:p>
        </w:tc>
        <w:tc>
          <w:tcPr>
            <w:tcW w:w="1354" w:type="dxa"/>
            <w:tcBorders>
              <w:top w:val="nil"/>
              <w:left w:val="nil"/>
              <w:bottom w:val="single" w:color="000000" w:sz="4" w:space="0"/>
              <w:right w:val="single" w:color="000000" w:sz="8" w:space="0"/>
            </w:tcBorders>
            <w:vAlign w:val="center"/>
          </w:tcPr>
          <w:p>
            <w:pPr>
              <w:jc w:val="center"/>
              <w:rPr>
                <w:color w:val="000000"/>
              </w:rPr>
            </w:pPr>
            <w:r>
              <w:rPr>
                <w:color w:val="000000"/>
              </w:rPr>
              <w:t>6辖区中心，每辖区1台</w:t>
            </w:r>
          </w:p>
        </w:tc>
      </w:tr>
      <w:tr>
        <w:tblPrEx>
          <w:tblCellMar>
            <w:top w:w="0" w:type="dxa"/>
            <w:left w:w="108" w:type="dxa"/>
            <w:bottom w:w="0" w:type="dxa"/>
            <w:right w:w="108" w:type="dxa"/>
          </w:tblCellMar>
        </w:tblPrEx>
        <w:trPr>
          <w:trHeight w:val="481" w:hRule="atLeast"/>
          <w:jc w:val="center"/>
        </w:trPr>
        <w:tc>
          <w:tcPr>
            <w:tcW w:w="8334" w:type="dxa"/>
            <w:gridSpan w:val="7"/>
            <w:tcBorders>
              <w:top w:val="nil"/>
              <w:left w:val="single" w:color="000000" w:sz="8" w:space="0"/>
              <w:bottom w:val="single" w:color="000000" w:sz="4" w:space="0"/>
              <w:right w:val="single" w:color="000000" w:sz="8" w:space="0"/>
            </w:tcBorders>
            <w:vAlign w:val="center"/>
          </w:tcPr>
          <w:p>
            <w:pPr>
              <w:pStyle w:val="65"/>
              <w:widowControl/>
              <w:tabs>
                <w:tab w:val="left" w:pos="2499"/>
              </w:tabs>
              <w:ind w:firstLine="0" w:firstLineChars="0"/>
              <w:jc w:val="left"/>
              <w:rPr>
                <w:rFonts w:ascii="宋体" w:hAnsi="宋体" w:cs="宋体"/>
                <w:b/>
                <w:bCs/>
                <w:sz w:val="21"/>
                <w:szCs w:val="21"/>
              </w:rPr>
            </w:pPr>
            <w:r>
              <w:rPr>
                <w:rFonts w:hint="eastAsia" w:ascii="宋体" w:hAnsi="宋体" w:cs="宋体"/>
                <w:b/>
                <w:bCs/>
                <w:sz w:val="21"/>
                <w:szCs w:val="21"/>
              </w:rPr>
              <w:t>软件</w:t>
            </w:r>
          </w:p>
        </w:tc>
      </w:tr>
      <w:tr>
        <w:tblPrEx>
          <w:tblCellMar>
            <w:top w:w="0" w:type="dxa"/>
            <w:left w:w="108" w:type="dxa"/>
            <w:bottom w:w="0" w:type="dxa"/>
            <w:right w:w="108" w:type="dxa"/>
          </w:tblCellMar>
        </w:tblPrEx>
        <w:trPr>
          <w:trHeight w:val="481" w:hRule="atLeast"/>
          <w:jc w:val="center"/>
        </w:trPr>
        <w:tc>
          <w:tcPr>
            <w:tcW w:w="1112" w:type="dxa"/>
            <w:tcBorders>
              <w:top w:val="nil"/>
              <w:left w:val="single" w:color="000000" w:sz="8" w:space="0"/>
              <w:bottom w:val="single" w:color="000000" w:sz="4" w:space="0"/>
              <w:right w:val="single" w:color="000000" w:sz="4" w:space="0"/>
            </w:tcBorders>
            <w:vAlign w:val="center"/>
          </w:tcPr>
          <w:p>
            <w:pPr>
              <w:pStyle w:val="65"/>
              <w:widowControl/>
              <w:ind w:firstLine="480"/>
              <w:rPr>
                <w:rFonts w:ascii="宋体" w:hAnsi="宋体" w:cs="宋体"/>
              </w:rPr>
            </w:pPr>
            <w:r>
              <w:rPr>
                <w:rFonts w:hint="eastAsia" w:ascii="宋体" w:hAnsi="宋体" w:cs="宋体"/>
              </w:rPr>
              <w:t>4</w:t>
            </w:r>
          </w:p>
        </w:tc>
        <w:tc>
          <w:tcPr>
            <w:tcW w:w="1533" w:type="dxa"/>
            <w:tcBorders>
              <w:top w:val="nil"/>
              <w:left w:val="nil"/>
              <w:bottom w:val="single" w:color="000000" w:sz="4" w:space="0"/>
              <w:right w:val="single" w:color="000000" w:sz="4" w:space="0"/>
            </w:tcBorders>
            <w:vAlign w:val="center"/>
          </w:tcPr>
          <w:p>
            <w:pPr>
              <w:jc w:val="center"/>
              <w:rPr>
                <w:color w:val="000000"/>
              </w:rPr>
            </w:pPr>
            <w:r>
              <w:rPr>
                <w:rFonts w:hint="eastAsia"/>
                <w:color w:val="000000"/>
              </w:rPr>
              <w:t>接口服务子系统</w:t>
            </w:r>
          </w:p>
        </w:tc>
        <w:tc>
          <w:tcPr>
            <w:tcW w:w="960" w:type="dxa"/>
            <w:tcBorders>
              <w:top w:val="nil"/>
              <w:left w:val="nil"/>
              <w:bottom w:val="single" w:color="000000" w:sz="4" w:space="0"/>
              <w:right w:val="single" w:color="auto" w:sz="4" w:space="0"/>
            </w:tcBorders>
            <w:vAlign w:val="center"/>
          </w:tcPr>
          <w:p>
            <w:pPr>
              <w:jc w:val="center"/>
              <w:rPr>
                <w:color w:val="000000"/>
              </w:rPr>
            </w:pPr>
            <w:r>
              <w:rPr>
                <w:rFonts w:hint="eastAsia"/>
                <w:color w:val="000000"/>
              </w:rPr>
              <w:t>1</w:t>
            </w:r>
          </w:p>
        </w:tc>
        <w:tc>
          <w:tcPr>
            <w:tcW w:w="975" w:type="dxa"/>
            <w:tcBorders>
              <w:top w:val="nil"/>
              <w:left w:val="nil"/>
              <w:bottom w:val="single" w:color="000000" w:sz="4" w:space="0"/>
              <w:right w:val="single" w:color="auto" w:sz="4" w:space="0"/>
            </w:tcBorders>
            <w:vAlign w:val="center"/>
          </w:tcPr>
          <w:p>
            <w:pPr>
              <w:jc w:val="center"/>
              <w:rPr>
                <w:color w:val="000000"/>
              </w:rPr>
            </w:pPr>
            <w:r>
              <w:rPr>
                <w:rFonts w:hint="eastAsia"/>
                <w:color w:val="000000"/>
              </w:rPr>
              <w:t>项</w:t>
            </w:r>
          </w:p>
        </w:tc>
        <w:tc>
          <w:tcPr>
            <w:tcW w:w="1410" w:type="dxa"/>
            <w:tcBorders>
              <w:top w:val="nil"/>
              <w:left w:val="nil"/>
              <w:bottom w:val="single" w:color="000000" w:sz="4" w:space="0"/>
              <w:right w:val="single" w:color="auto" w:sz="4" w:space="0"/>
            </w:tcBorders>
            <w:vAlign w:val="center"/>
          </w:tcPr>
          <w:p>
            <w:pPr>
              <w:pStyle w:val="65"/>
              <w:widowControl/>
              <w:ind w:firstLine="480"/>
              <w:jc w:val="center"/>
              <w:rPr>
                <w:rFonts w:ascii="宋体" w:hAnsi="宋体" w:cs="宋体"/>
              </w:rPr>
            </w:pPr>
          </w:p>
        </w:tc>
        <w:tc>
          <w:tcPr>
            <w:tcW w:w="990" w:type="dxa"/>
            <w:tcBorders>
              <w:top w:val="nil"/>
              <w:left w:val="single" w:color="auto" w:sz="4" w:space="0"/>
              <w:bottom w:val="single" w:color="000000" w:sz="4" w:space="0"/>
              <w:right w:val="single" w:color="000000" w:sz="4" w:space="0"/>
            </w:tcBorders>
            <w:vAlign w:val="center"/>
          </w:tcPr>
          <w:p>
            <w:pPr>
              <w:pStyle w:val="65"/>
              <w:widowControl/>
              <w:ind w:firstLine="480"/>
              <w:jc w:val="center"/>
              <w:rPr>
                <w:rFonts w:ascii="宋体" w:hAnsi="宋体" w:cs="宋体"/>
              </w:rPr>
            </w:pPr>
          </w:p>
        </w:tc>
        <w:tc>
          <w:tcPr>
            <w:tcW w:w="1354" w:type="dxa"/>
            <w:tcBorders>
              <w:top w:val="nil"/>
              <w:left w:val="nil"/>
              <w:bottom w:val="single" w:color="000000" w:sz="4" w:space="0"/>
              <w:right w:val="single" w:color="000000" w:sz="8" w:space="0"/>
            </w:tcBorders>
            <w:vAlign w:val="center"/>
          </w:tcPr>
          <w:p>
            <w:pPr>
              <w:pStyle w:val="65"/>
              <w:widowControl/>
              <w:ind w:firstLine="480"/>
              <w:jc w:val="center"/>
              <w:rPr>
                <w:rFonts w:ascii="宋体" w:hAnsi="宋体" w:cs="宋体"/>
              </w:rPr>
            </w:pPr>
          </w:p>
        </w:tc>
      </w:tr>
      <w:tr>
        <w:tblPrEx>
          <w:tblCellMar>
            <w:top w:w="0" w:type="dxa"/>
            <w:left w:w="108" w:type="dxa"/>
            <w:bottom w:w="0" w:type="dxa"/>
            <w:right w:w="108" w:type="dxa"/>
          </w:tblCellMar>
        </w:tblPrEx>
        <w:trPr>
          <w:trHeight w:val="481" w:hRule="atLeast"/>
          <w:jc w:val="center"/>
        </w:trPr>
        <w:tc>
          <w:tcPr>
            <w:tcW w:w="1112" w:type="dxa"/>
            <w:tcBorders>
              <w:top w:val="nil"/>
              <w:left w:val="single" w:color="000000" w:sz="8" w:space="0"/>
              <w:bottom w:val="single" w:color="000000" w:sz="4" w:space="0"/>
              <w:right w:val="single" w:color="000000" w:sz="4" w:space="0"/>
            </w:tcBorders>
            <w:vAlign w:val="center"/>
          </w:tcPr>
          <w:p>
            <w:pPr>
              <w:pStyle w:val="65"/>
              <w:widowControl/>
              <w:ind w:firstLine="480"/>
              <w:rPr>
                <w:rFonts w:ascii="宋体" w:hAnsi="宋体" w:cs="宋体"/>
              </w:rPr>
            </w:pPr>
            <w:r>
              <w:rPr>
                <w:rFonts w:hint="eastAsia" w:ascii="宋体" w:hAnsi="宋体" w:cs="宋体"/>
              </w:rPr>
              <w:t>5</w:t>
            </w:r>
          </w:p>
        </w:tc>
        <w:tc>
          <w:tcPr>
            <w:tcW w:w="1533" w:type="dxa"/>
            <w:tcBorders>
              <w:top w:val="nil"/>
              <w:left w:val="nil"/>
              <w:bottom w:val="single" w:color="000000" w:sz="4" w:space="0"/>
              <w:right w:val="single" w:color="000000" w:sz="4" w:space="0"/>
            </w:tcBorders>
            <w:vAlign w:val="center"/>
          </w:tcPr>
          <w:p>
            <w:pPr>
              <w:jc w:val="center"/>
              <w:rPr>
                <w:color w:val="000000"/>
              </w:rPr>
            </w:pPr>
            <w:r>
              <w:rPr>
                <w:rFonts w:hint="eastAsia"/>
                <w:color w:val="000000"/>
              </w:rPr>
              <w:t>核心网管理服务子系统</w:t>
            </w:r>
          </w:p>
        </w:tc>
        <w:tc>
          <w:tcPr>
            <w:tcW w:w="960" w:type="dxa"/>
            <w:tcBorders>
              <w:top w:val="nil"/>
              <w:left w:val="nil"/>
              <w:bottom w:val="single" w:color="000000" w:sz="4" w:space="0"/>
              <w:right w:val="single" w:color="auto" w:sz="4" w:space="0"/>
            </w:tcBorders>
            <w:vAlign w:val="center"/>
          </w:tcPr>
          <w:p>
            <w:pPr>
              <w:jc w:val="center"/>
              <w:rPr>
                <w:color w:val="000000"/>
              </w:rPr>
            </w:pPr>
            <w:r>
              <w:rPr>
                <w:rFonts w:hint="eastAsia"/>
                <w:color w:val="000000"/>
              </w:rPr>
              <w:t>1</w:t>
            </w:r>
          </w:p>
        </w:tc>
        <w:tc>
          <w:tcPr>
            <w:tcW w:w="975" w:type="dxa"/>
            <w:tcBorders>
              <w:top w:val="nil"/>
              <w:left w:val="nil"/>
              <w:bottom w:val="single" w:color="000000" w:sz="4" w:space="0"/>
              <w:right w:val="single" w:color="auto" w:sz="4" w:space="0"/>
            </w:tcBorders>
            <w:vAlign w:val="center"/>
          </w:tcPr>
          <w:p>
            <w:pPr>
              <w:jc w:val="center"/>
              <w:rPr>
                <w:color w:val="000000"/>
              </w:rPr>
            </w:pPr>
            <w:r>
              <w:rPr>
                <w:rFonts w:hint="eastAsia"/>
                <w:color w:val="000000"/>
              </w:rPr>
              <w:t>项</w:t>
            </w:r>
          </w:p>
        </w:tc>
        <w:tc>
          <w:tcPr>
            <w:tcW w:w="1410" w:type="dxa"/>
            <w:tcBorders>
              <w:top w:val="nil"/>
              <w:left w:val="nil"/>
              <w:bottom w:val="single" w:color="000000" w:sz="4" w:space="0"/>
              <w:right w:val="single" w:color="auto" w:sz="4" w:space="0"/>
            </w:tcBorders>
            <w:vAlign w:val="center"/>
          </w:tcPr>
          <w:p>
            <w:pPr>
              <w:pStyle w:val="65"/>
              <w:widowControl/>
              <w:ind w:firstLine="480"/>
              <w:jc w:val="center"/>
              <w:rPr>
                <w:rFonts w:ascii="宋体" w:hAnsi="宋体" w:cs="宋体"/>
              </w:rPr>
            </w:pPr>
          </w:p>
        </w:tc>
        <w:tc>
          <w:tcPr>
            <w:tcW w:w="990" w:type="dxa"/>
            <w:tcBorders>
              <w:top w:val="nil"/>
              <w:left w:val="single" w:color="auto" w:sz="4" w:space="0"/>
              <w:bottom w:val="single" w:color="000000" w:sz="4" w:space="0"/>
              <w:right w:val="single" w:color="000000" w:sz="4" w:space="0"/>
            </w:tcBorders>
            <w:vAlign w:val="center"/>
          </w:tcPr>
          <w:p>
            <w:pPr>
              <w:pStyle w:val="65"/>
              <w:widowControl/>
              <w:ind w:firstLine="480"/>
              <w:jc w:val="center"/>
              <w:rPr>
                <w:rFonts w:ascii="宋体" w:hAnsi="宋体" w:cs="宋体"/>
              </w:rPr>
            </w:pPr>
          </w:p>
        </w:tc>
        <w:tc>
          <w:tcPr>
            <w:tcW w:w="1354" w:type="dxa"/>
            <w:tcBorders>
              <w:top w:val="nil"/>
              <w:left w:val="nil"/>
              <w:bottom w:val="single" w:color="000000" w:sz="4" w:space="0"/>
              <w:right w:val="single" w:color="000000" w:sz="8" w:space="0"/>
            </w:tcBorders>
            <w:vAlign w:val="center"/>
          </w:tcPr>
          <w:p>
            <w:pPr>
              <w:pStyle w:val="65"/>
              <w:widowControl/>
              <w:ind w:firstLine="480"/>
              <w:jc w:val="center"/>
              <w:rPr>
                <w:rFonts w:ascii="宋体" w:hAnsi="宋体" w:cs="宋体"/>
              </w:rPr>
            </w:pPr>
          </w:p>
        </w:tc>
      </w:tr>
      <w:tr>
        <w:tblPrEx>
          <w:tblCellMar>
            <w:top w:w="0" w:type="dxa"/>
            <w:left w:w="108" w:type="dxa"/>
            <w:bottom w:w="0" w:type="dxa"/>
            <w:right w:w="108" w:type="dxa"/>
          </w:tblCellMar>
        </w:tblPrEx>
        <w:trPr>
          <w:trHeight w:val="481" w:hRule="atLeast"/>
          <w:jc w:val="center"/>
        </w:trPr>
        <w:tc>
          <w:tcPr>
            <w:tcW w:w="1112" w:type="dxa"/>
            <w:tcBorders>
              <w:top w:val="nil"/>
              <w:left w:val="single" w:color="000000" w:sz="8" w:space="0"/>
              <w:bottom w:val="single" w:color="000000" w:sz="4" w:space="0"/>
              <w:right w:val="single" w:color="000000" w:sz="4" w:space="0"/>
            </w:tcBorders>
            <w:vAlign w:val="center"/>
          </w:tcPr>
          <w:p>
            <w:pPr>
              <w:pStyle w:val="65"/>
              <w:widowControl/>
              <w:ind w:firstLine="480"/>
              <w:rPr>
                <w:rFonts w:ascii="宋体" w:hAnsi="宋体" w:cs="宋体"/>
              </w:rPr>
            </w:pPr>
            <w:r>
              <w:rPr>
                <w:rFonts w:hint="eastAsia" w:ascii="宋体" w:hAnsi="宋体" w:cs="宋体"/>
              </w:rPr>
              <w:t>6</w:t>
            </w:r>
          </w:p>
        </w:tc>
        <w:tc>
          <w:tcPr>
            <w:tcW w:w="1533" w:type="dxa"/>
            <w:tcBorders>
              <w:top w:val="nil"/>
              <w:left w:val="nil"/>
              <w:bottom w:val="single" w:color="000000" w:sz="4" w:space="0"/>
              <w:right w:val="single" w:color="000000" w:sz="4" w:space="0"/>
            </w:tcBorders>
            <w:vAlign w:val="center"/>
          </w:tcPr>
          <w:p>
            <w:pPr>
              <w:jc w:val="center"/>
              <w:rPr>
                <w:color w:val="000000"/>
              </w:rPr>
            </w:pPr>
            <w:r>
              <w:rPr>
                <w:rFonts w:hint="eastAsia"/>
                <w:color w:val="000000"/>
              </w:rPr>
              <w:t>基站驱动服务子系统</w:t>
            </w:r>
          </w:p>
        </w:tc>
        <w:tc>
          <w:tcPr>
            <w:tcW w:w="960" w:type="dxa"/>
            <w:tcBorders>
              <w:top w:val="nil"/>
              <w:left w:val="nil"/>
              <w:bottom w:val="single" w:color="000000" w:sz="4" w:space="0"/>
              <w:right w:val="single" w:color="auto" w:sz="4" w:space="0"/>
            </w:tcBorders>
            <w:vAlign w:val="center"/>
          </w:tcPr>
          <w:p>
            <w:pPr>
              <w:jc w:val="center"/>
              <w:rPr>
                <w:color w:val="000000"/>
              </w:rPr>
            </w:pPr>
            <w:r>
              <w:rPr>
                <w:rFonts w:hint="eastAsia"/>
                <w:color w:val="000000"/>
              </w:rPr>
              <w:t>1</w:t>
            </w:r>
          </w:p>
        </w:tc>
        <w:tc>
          <w:tcPr>
            <w:tcW w:w="975" w:type="dxa"/>
            <w:tcBorders>
              <w:top w:val="nil"/>
              <w:left w:val="nil"/>
              <w:bottom w:val="single" w:color="000000" w:sz="4" w:space="0"/>
              <w:right w:val="single" w:color="auto" w:sz="4" w:space="0"/>
            </w:tcBorders>
            <w:vAlign w:val="center"/>
          </w:tcPr>
          <w:p>
            <w:pPr>
              <w:jc w:val="center"/>
              <w:rPr>
                <w:color w:val="000000"/>
              </w:rPr>
            </w:pPr>
            <w:r>
              <w:rPr>
                <w:rFonts w:hint="eastAsia"/>
                <w:color w:val="000000"/>
              </w:rPr>
              <w:t>项</w:t>
            </w:r>
          </w:p>
        </w:tc>
        <w:tc>
          <w:tcPr>
            <w:tcW w:w="1410" w:type="dxa"/>
            <w:tcBorders>
              <w:top w:val="nil"/>
              <w:left w:val="nil"/>
              <w:bottom w:val="single" w:color="000000" w:sz="4" w:space="0"/>
              <w:right w:val="single" w:color="auto" w:sz="4" w:space="0"/>
            </w:tcBorders>
            <w:vAlign w:val="center"/>
          </w:tcPr>
          <w:p>
            <w:pPr>
              <w:pStyle w:val="65"/>
              <w:widowControl/>
              <w:ind w:firstLine="480"/>
              <w:jc w:val="center"/>
              <w:rPr>
                <w:rFonts w:ascii="宋体" w:hAnsi="宋体" w:cs="宋体"/>
              </w:rPr>
            </w:pPr>
          </w:p>
        </w:tc>
        <w:tc>
          <w:tcPr>
            <w:tcW w:w="990" w:type="dxa"/>
            <w:tcBorders>
              <w:top w:val="nil"/>
              <w:left w:val="single" w:color="auto" w:sz="4" w:space="0"/>
              <w:bottom w:val="single" w:color="000000" w:sz="4" w:space="0"/>
              <w:right w:val="single" w:color="000000" w:sz="4" w:space="0"/>
            </w:tcBorders>
            <w:vAlign w:val="center"/>
          </w:tcPr>
          <w:p>
            <w:pPr>
              <w:pStyle w:val="65"/>
              <w:widowControl/>
              <w:ind w:firstLine="480"/>
              <w:jc w:val="center"/>
              <w:rPr>
                <w:rFonts w:ascii="宋体" w:hAnsi="宋体" w:cs="宋体"/>
              </w:rPr>
            </w:pPr>
          </w:p>
        </w:tc>
        <w:tc>
          <w:tcPr>
            <w:tcW w:w="1354" w:type="dxa"/>
            <w:tcBorders>
              <w:top w:val="nil"/>
              <w:left w:val="nil"/>
              <w:bottom w:val="single" w:color="000000" w:sz="4" w:space="0"/>
              <w:right w:val="single" w:color="000000" w:sz="8" w:space="0"/>
            </w:tcBorders>
            <w:vAlign w:val="center"/>
          </w:tcPr>
          <w:p>
            <w:pPr>
              <w:pStyle w:val="65"/>
              <w:widowControl/>
              <w:ind w:firstLine="480"/>
              <w:jc w:val="center"/>
              <w:rPr>
                <w:rFonts w:ascii="宋体" w:hAnsi="宋体" w:cs="宋体"/>
              </w:rPr>
            </w:pPr>
          </w:p>
        </w:tc>
      </w:tr>
      <w:tr>
        <w:tblPrEx>
          <w:tblCellMar>
            <w:top w:w="0" w:type="dxa"/>
            <w:left w:w="108" w:type="dxa"/>
            <w:bottom w:w="0" w:type="dxa"/>
            <w:right w:w="108" w:type="dxa"/>
          </w:tblCellMar>
        </w:tblPrEx>
        <w:trPr>
          <w:trHeight w:val="635" w:hRule="atLeast"/>
          <w:jc w:val="center"/>
        </w:trPr>
        <w:tc>
          <w:tcPr>
            <w:tcW w:w="1112" w:type="dxa"/>
            <w:tcBorders>
              <w:top w:val="nil"/>
              <w:left w:val="single" w:color="000000" w:sz="8" w:space="0"/>
              <w:bottom w:val="single" w:color="000000" w:sz="4" w:space="0"/>
              <w:right w:val="single" w:color="000000" w:sz="4" w:space="0"/>
            </w:tcBorders>
            <w:vAlign w:val="center"/>
          </w:tcPr>
          <w:p>
            <w:pPr>
              <w:pStyle w:val="65"/>
              <w:widowControl/>
              <w:ind w:firstLine="480"/>
              <w:rPr>
                <w:rFonts w:ascii="宋体" w:hAnsi="宋体" w:cs="宋体"/>
              </w:rPr>
            </w:pPr>
            <w:r>
              <w:rPr>
                <w:rFonts w:hint="eastAsia" w:ascii="宋体" w:hAnsi="宋体" w:cs="宋体"/>
              </w:rPr>
              <w:t>7</w:t>
            </w:r>
          </w:p>
        </w:tc>
        <w:tc>
          <w:tcPr>
            <w:tcW w:w="1533" w:type="dxa"/>
            <w:tcBorders>
              <w:top w:val="nil"/>
              <w:left w:val="nil"/>
              <w:bottom w:val="single" w:color="000000" w:sz="4" w:space="0"/>
              <w:right w:val="single" w:color="000000" w:sz="4" w:space="0"/>
            </w:tcBorders>
            <w:vAlign w:val="center"/>
          </w:tcPr>
          <w:p>
            <w:pPr>
              <w:jc w:val="center"/>
              <w:rPr>
                <w:color w:val="000000"/>
              </w:rPr>
            </w:pPr>
            <w:r>
              <w:rPr>
                <w:rFonts w:hint="eastAsia"/>
                <w:color w:val="000000"/>
              </w:rPr>
              <w:t>数据对比测试子系统</w:t>
            </w:r>
          </w:p>
        </w:tc>
        <w:tc>
          <w:tcPr>
            <w:tcW w:w="960" w:type="dxa"/>
            <w:tcBorders>
              <w:top w:val="nil"/>
              <w:left w:val="nil"/>
              <w:bottom w:val="single" w:color="000000" w:sz="4" w:space="0"/>
              <w:right w:val="single" w:color="auto" w:sz="4" w:space="0"/>
            </w:tcBorders>
            <w:vAlign w:val="center"/>
          </w:tcPr>
          <w:p>
            <w:pPr>
              <w:jc w:val="center"/>
              <w:rPr>
                <w:color w:val="000000"/>
              </w:rPr>
            </w:pPr>
            <w:r>
              <w:rPr>
                <w:rFonts w:hint="eastAsia"/>
                <w:color w:val="000000"/>
              </w:rPr>
              <w:t>1</w:t>
            </w:r>
          </w:p>
        </w:tc>
        <w:tc>
          <w:tcPr>
            <w:tcW w:w="975" w:type="dxa"/>
            <w:tcBorders>
              <w:top w:val="nil"/>
              <w:left w:val="nil"/>
              <w:bottom w:val="single" w:color="000000" w:sz="4" w:space="0"/>
              <w:right w:val="single" w:color="auto" w:sz="4" w:space="0"/>
            </w:tcBorders>
            <w:vAlign w:val="center"/>
          </w:tcPr>
          <w:p>
            <w:pPr>
              <w:jc w:val="center"/>
              <w:rPr>
                <w:color w:val="000000"/>
              </w:rPr>
            </w:pPr>
            <w:r>
              <w:rPr>
                <w:rFonts w:hint="eastAsia"/>
                <w:color w:val="000000"/>
              </w:rPr>
              <w:t>项</w:t>
            </w:r>
          </w:p>
        </w:tc>
        <w:tc>
          <w:tcPr>
            <w:tcW w:w="1410" w:type="dxa"/>
            <w:tcBorders>
              <w:top w:val="nil"/>
              <w:left w:val="nil"/>
              <w:bottom w:val="single" w:color="000000" w:sz="4" w:space="0"/>
              <w:right w:val="single" w:color="auto" w:sz="4" w:space="0"/>
            </w:tcBorders>
            <w:vAlign w:val="center"/>
          </w:tcPr>
          <w:p>
            <w:pPr>
              <w:pStyle w:val="65"/>
              <w:widowControl/>
              <w:ind w:firstLine="480"/>
              <w:jc w:val="center"/>
              <w:rPr>
                <w:rFonts w:ascii="宋体" w:hAnsi="宋体" w:cs="宋体"/>
              </w:rPr>
            </w:pPr>
          </w:p>
        </w:tc>
        <w:tc>
          <w:tcPr>
            <w:tcW w:w="990" w:type="dxa"/>
            <w:tcBorders>
              <w:top w:val="nil"/>
              <w:left w:val="single" w:color="auto" w:sz="4" w:space="0"/>
              <w:bottom w:val="single" w:color="000000" w:sz="4" w:space="0"/>
              <w:right w:val="single" w:color="000000" w:sz="4" w:space="0"/>
            </w:tcBorders>
            <w:vAlign w:val="center"/>
          </w:tcPr>
          <w:p>
            <w:pPr>
              <w:pStyle w:val="65"/>
              <w:widowControl/>
              <w:ind w:firstLine="480"/>
              <w:jc w:val="center"/>
              <w:rPr>
                <w:rFonts w:ascii="宋体" w:hAnsi="宋体" w:cs="宋体"/>
              </w:rPr>
            </w:pPr>
          </w:p>
        </w:tc>
        <w:tc>
          <w:tcPr>
            <w:tcW w:w="1354" w:type="dxa"/>
            <w:tcBorders>
              <w:top w:val="nil"/>
              <w:left w:val="nil"/>
              <w:bottom w:val="single" w:color="000000" w:sz="4" w:space="0"/>
              <w:right w:val="single" w:color="000000" w:sz="8" w:space="0"/>
            </w:tcBorders>
            <w:vAlign w:val="center"/>
          </w:tcPr>
          <w:p>
            <w:pPr>
              <w:pStyle w:val="65"/>
              <w:widowControl/>
              <w:ind w:firstLine="480"/>
              <w:jc w:val="center"/>
              <w:rPr>
                <w:rFonts w:ascii="宋体" w:hAnsi="宋体" w:cs="宋体"/>
              </w:rPr>
            </w:pPr>
          </w:p>
        </w:tc>
      </w:tr>
      <w:tr>
        <w:tblPrEx>
          <w:tblCellMar>
            <w:top w:w="0" w:type="dxa"/>
            <w:left w:w="108" w:type="dxa"/>
            <w:bottom w:w="0" w:type="dxa"/>
            <w:right w:w="108" w:type="dxa"/>
          </w:tblCellMar>
        </w:tblPrEx>
        <w:trPr>
          <w:trHeight w:val="481" w:hRule="atLeast"/>
          <w:jc w:val="center"/>
        </w:trPr>
        <w:tc>
          <w:tcPr>
            <w:tcW w:w="8334" w:type="dxa"/>
            <w:gridSpan w:val="7"/>
            <w:tcBorders>
              <w:top w:val="nil"/>
              <w:left w:val="single" w:color="000000" w:sz="8" w:space="0"/>
              <w:bottom w:val="single" w:color="000000" w:sz="4" w:space="0"/>
              <w:right w:val="single" w:color="000000" w:sz="8" w:space="0"/>
            </w:tcBorders>
            <w:vAlign w:val="center"/>
          </w:tcPr>
          <w:p>
            <w:pPr>
              <w:pStyle w:val="65"/>
              <w:widowControl/>
              <w:ind w:firstLine="0" w:firstLineChars="0"/>
              <w:jc w:val="left"/>
              <w:rPr>
                <w:rFonts w:ascii="宋体" w:hAnsi="宋体" w:cs="宋体"/>
              </w:rPr>
            </w:pPr>
            <w:r>
              <w:rPr>
                <w:rFonts w:hint="eastAsia" w:ascii="宋体" w:hAnsi="宋体" w:cs="宋体"/>
                <w:b/>
                <w:bCs/>
              </w:rPr>
              <w:t>其他</w:t>
            </w:r>
          </w:p>
        </w:tc>
      </w:tr>
      <w:tr>
        <w:tblPrEx>
          <w:tblCellMar>
            <w:top w:w="0" w:type="dxa"/>
            <w:left w:w="108" w:type="dxa"/>
            <w:bottom w:w="0" w:type="dxa"/>
            <w:right w:w="108" w:type="dxa"/>
          </w:tblCellMar>
        </w:tblPrEx>
        <w:trPr>
          <w:trHeight w:val="481" w:hRule="atLeast"/>
          <w:jc w:val="center"/>
        </w:trPr>
        <w:tc>
          <w:tcPr>
            <w:tcW w:w="1112" w:type="dxa"/>
            <w:tcBorders>
              <w:top w:val="nil"/>
              <w:left w:val="single" w:color="000000" w:sz="8" w:space="0"/>
              <w:bottom w:val="single" w:color="000000" w:sz="4" w:space="0"/>
              <w:right w:val="single" w:color="000000" w:sz="4" w:space="0"/>
            </w:tcBorders>
            <w:vAlign w:val="center"/>
          </w:tcPr>
          <w:p>
            <w:pPr>
              <w:pStyle w:val="65"/>
              <w:widowControl/>
              <w:ind w:firstLine="480"/>
              <w:rPr>
                <w:rFonts w:ascii="宋体" w:hAnsi="宋体" w:cs="宋体"/>
              </w:rPr>
            </w:pPr>
            <w:r>
              <w:rPr>
                <w:rFonts w:hint="eastAsia" w:ascii="宋体" w:hAnsi="宋体" w:cs="宋体"/>
              </w:rPr>
              <w:t>8</w:t>
            </w:r>
          </w:p>
        </w:tc>
        <w:tc>
          <w:tcPr>
            <w:tcW w:w="1533" w:type="dxa"/>
            <w:tcBorders>
              <w:top w:val="nil"/>
              <w:left w:val="nil"/>
              <w:bottom w:val="single" w:color="000000" w:sz="4" w:space="0"/>
              <w:right w:val="single" w:color="000000" w:sz="4" w:space="0"/>
            </w:tcBorders>
            <w:vAlign w:val="center"/>
          </w:tcPr>
          <w:p>
            <w:pPr>
              <w:jc w:val="center"/>
              <w:rPr>
                <w:color w:val="000000"/>
              </w:rPr>
            </w:pPr>
            <w:r>
              <w:rPr>
                <w:rFonts w:hint="eastAsia"/>
                <w:color w:val="000000"/>
              </w:rPr>
              <w:t>...</w:t>
            </w:r>
          </w:p>
        </w:tc>
        <w:tc>
          <w:tcPr>
            <w:tcW w:w="960" w:type="dxa"/>
            <w:tcBorders>
              <w:top w:val="nil"/>
              <w:left w:val="nil"/>
              <w:bottom w:val="single" w:color="000000" w:sz="4" w:space="0"/>
              <w:right w:val="single" w:color="auto" w:sz="4" w:space="0"/>
            </w:tcBorders>
            <w:vAlign w:val="center"/>
          </w:tcPr>
          <w:p>
            <w:pPr>
              <w:jc w:val="center"/>
              <w:rPr>
                <w:color w:val="000000"/>
              </w:rPr>
            </w:pPr>
          </w:p>
        </w:tc>
        <w:tc>
          <w:tcPr>
            <w:tcW w:w="975" w:type="dxa"/>
            <w:tcBorders>
              <w:top w:val="nil"/>
              <w:left w:val="nil"/>
              <w:bottom w:val="single" w:color="000000" w:sz="4" w:space="0"/>
              <w:right w:val="single" w:color="auto" w:sz="4" w:space="0"/>
            </w:tcBorders>
            <w:vAlign w:val="center"/>
          </w:tcPr>
          <w:p>
            <w:pPr>
              <w:jc w:val="center"/>
              <w:rPr>
                <w:color w:val="000000"/>
              </w:rPr>
            </w:pPr>
          </w:p>
        </w:tc>
        <w:tc>
          <w:tcPr>
            <w:tcW w:w="1410" w:type="dxa"/>
            <w:tcBorders>
              <w:top w:val="nil"/>
              <w:left w:val="nil"/>
              <w:bottom w:val="single" w:color="000000" w:sz="4" w:space="0"/>
              <w:right w:val="single" w:color="auto" w:sz="4" w:space="0"/>
            </w:tcBorders>
            <w:vAlign w:val="center"/>
          </w:tcPr>
          <w:p>
            <w:pPr>
              <w:pStyle w:val="65"/>
              <w:widowControl/>
              <w:ind w:firstLine="480"/>
              <w:jc w:val="center"/>
              <w:rPr>
                <w:rFonts w:ascii="宋体" w:hAnsi="宋体" w:cs="宋体"/>
              </w:rPr>
            </w:pPr>
          </w:p>
        </w:tc>
        <w:tc>
          <w:tcPr>
            <w:tcW w:w="990" w:type="dxa"/>
            <w:tcBorders>
              <w:top w:val="nil"/>
              <w:left w:val="single" w:color="auto" w:sz="4" w:space="0"/>
              <w:bottom w:val="single" w:color="000000" w:sz="4" w:space="0"/>
              <w:right w:val="single" w:color="000000" w:sz="4" w:space="0"/>
            </w:tcBorders>
            <w:vAlign w:val="center"/>
          </w:tcPr>
          <w:p>
            <w:pPr>
              <w:pStyle w:val="65"/>
              <w:widowControl/>
              <w:ind w:firstLine="480"/>
              <w:jc w:val="center"/>
              <w:rPr>
                <w:rFonts w:ascii="宋体" w:hAnsi="宋体" w:cs="宋体"/>
              </w:rPr>
            </w:pPr>
          </w:p>
        </w:tc>
        <w:tc>
          <w:tcPr>
            <w:tcW w:w="1354" w:type="dxa"/>
            <w:tcBorders>
              <w:top w:val="nil"/>
              <w:left w:val="nil"/>
              <w:bottom w:val="single" w:color="000000" w:sz="4" w:space="0"/>
              <w:right w:val="single" w:color="000000" w:sz="8" w:space="0"/>
            </w:tcBorders>
            <w:vAlign w:val="center"/>
          </w:tcPr>
          <w:p>
            <w:pPr>
              <w:pStyle w:val="65"/>
              <w:widowControl/>
              <w:ind w:firstLine="480"/>
              <w:jc w:val="center"/>
              <w:rPr>
                <w:rFonts w:ascii="宋体" w:hAnsi="宋体" w:cs="宋体"/>
              </w:rPr>
            </w:pPr>
          </w:p>
        </w:tc>
      </w:tr>
      <w:tr>
        <w:tblPrEx>
          <w:tblCellMar>
            <w:top w:w="0" w:type="dxa"/>
            <w:left w:w="108" w:type="dxa"/>
            <w:bottom w:w="0" w:type="dxa"/>
            <w:right w:w="108" w:type="dxa"/>
          </w:tblCellMar>
        </w:tblPrEx>
        <w:trPr>
          <w:trHeight w:val="481" w:hRule="atLeast"/>
          <w:jc w:val="center"/>
        </w:trPr>
        <w:tc>
          <w:tcPr>
            <w:tcW w:w="1112" w:type="dxa"/>
            <w:tcBorders>
              <w:top w:val="nil"/>
              <w:left w:val="single" w:color="000000" w:sz="8" w:space="0"/>
              <w:bottom w:val="single" w:color="000000" w:sz="4" w:space="0"/>
              <w:right w:val="single" w:color="000000" w:sz="4" w:space="0"/>
            </w:tcBorders>
            <w:vAlign w:val="center"/>
          </w:tcPr>
          <w:p>
            <w:pPr>
              <w:pStyle w:val="65"/>
              <w:widowControl/>
              <w:ind w:firstLine="480"/>
              <w:rPr>
                <w:rFonts w:ascii="宋体" w:hAnsi="宋体" w:cs="宋体"/>
              </w:rPr>
            </w:pPr>
            <w:r>
              <w:rPr>
                <w:rFonts w:hint="eastAsia" w:ascii="宋体" w:hAnsi="宋体" w:cs="宋体"/>
              </w:rPr>
              <w:t>9</w:t>
            </w:r>
          </w:p>
        </w:tc>
        <w:tc>
          <w:tcPr>
            <w:tcW w:w="1533" w:type="dxa"/>
            <w:tcBorders>
              <w:top w:val="nil"/>
              <w:left w:val="nil"/>
              <w:bottom w:val="single" w:color="000000" w:sz="4" w:space="0"/>
              <w:right w:val="single" w:color="000000" w:sz="4" w:space="0"/>
            </w:tcBorders>
            <w:vAlign w:val="center"/>
          </w:tcPr>
          <w:p>
            <w:pPr>
              <w:jc w:val="center"/>
              <w:rPr>
                <w:color w:val="000000"/>
              </w:rPr>
            </w:pPr>
          </w:p>
        </w:tc>
        <w:tc>
          <w:tcPr>
            <w:tcW w:w="960" w:type="dxa"/>
            <w:tcBorders>
              <w:top w:val="nil"/>
              <w:left w:val="nil"/>
              <w:bottom w:val="single" w:color="000000" w:sz="4" w:space="0"/>
              <w:right w:val="single" w:color="auto" w:sz="4" w:space="0"/>
            </w:tcBorders>
            <w:vAlign w:val="center"/>
          </w:tcPr>
          <w:p>
            <w:pPr>
              <w:jc w:val="center"/>
              <w:rPr>
                <w:color w:val="000000"/>
              </w:rPr>
            </w:pPr>
          </w:p>
        </w:tc>
        <w:tc>
          <w:tcPr>
            <w:tcW w:w="975" w:type="dxa"/>
            <w:tcBorders>
              <w:top w:val="nil"/>
              <w:left w:val="nil"/>
              <w:bottom w:val="single" w:color="000000" w:sz="4" w:space="0"/>
              <w:right w:val="single" w:color="auto" w:sz="4" w:space="0"/>
            </w:tcBorders>
            <w:vAlign w:val="center"/>
          </w:tcPr>
          <w:p>
            <w:pPr>
              <w:jc w:val="center"/>
              <w:rPr>
                <w:color w:val="000000"/>
              </w:rPr>
            </w:pPr>
          </w:p>
        </w:tc>
        <w:tc>
          <w:tcPr>
            <w:tcW w:w="1410" w:type="dxa"/>
            <w:tcBorders>
              <w:top w:val="nil"/>
              <w:left w:val="nil"/>
              <w:bottom w:val="single" w:color="000000" w:sz="4" w:space="0"/>
              <w:right w:val="single" w:color="auto" w:sz="4" w:space="0"/>
            </w:tcBorders>
            <w:vAlign w:val="center"/>
          </w:tcPr>
          <w:p>
            <w:pPr>
              <w:pStyle w:val="65"/>
              <w:widowControl/>
              <w:ind w:firstLine="480"/>
              <w:jc w:val="center"/>
              <w:rPr>
                <w:rFonts w:ascii="宋体" w:hAnsi="宋体" w:cs="宋体"/>
              </w:rPr>
            </w:pPr>
          </w:p>
        </w:tc>
        <w:tc>
          <w:tcPr>
            <w:tcW w:w="990" w:type="dxa"/>
            <w:tcBorders>
              <w:top w:val="nil"/>
              <w:left w:val="single" w:color="auto" w:sz="4" w:space="0"/>
              <w:bottom w:val="single" w:color="000000" w:sz="4" w:space="0"/>
              <w:right w:val="single" w:color="000000" w:sz="4" w:space="0"/>
            </w:tcBorders>
            <w:vAlign w:val="center"/>
          </w:tcPr>
          <w:p>
            <w:pPr>
              <w:pStyle w:val="65"/>
              <w:widowControl/>
              <w:ind w:firstLine="480"/>
              <w:jc w:val="center"/>
              <w:rPr>
                <w:rFonts w:ascii="宋体" w:hAnsi="宋体" w:cs="宋体"/>
              </w:rPr>
            </w:pPr>
          </w:p>
        </w:tc>
        <w:tc>
          <w:tcPr>
            <w:tcW w:w="1354" w:type="dxa"/>
            <w:tcBorders>
              <w:top w:val="nil"/>
              <w:left w:val="nil"/>
              <w:bottom w:val="single" w:color="000000" w:sz="4" w:space="0"/>
              <w:right w:val="single" w:color="000000" w:sz="8" w:space="0"/>
            </w:tcBorders>
            <w:vAlign w:val="center"/>
          </w:tcPr>
          <w:p>
            <w:pPr>
              <w:pStyle w:val="65"/>
              <w:widowControl/>
              <w:ind w:firstLine="480"/>
              <w:jc w:val="center"/>
              <w:rPr>
                <w:rFonts w:ascii="宋体" w:hAnsi="宋体" w:cs="宋体"/>
              </w:rPr>
            </w:pPr>
          </w:p>
        </w:tc>
      </w:tr>
      <w:tr>
        <w:tblPrEx>
          <w:tblCellMar>
            <w:top w:w="0" w:type="dxa"/>
            <w:left w:w="108" w:type="dxa"/>
            <w:bottom w:w="0" w:type="dxa"/>
            <w:right w:w="108" w:type="dxa"/>
          </w:tblCellMar>
        </w:tblPrEx>
        <w:trPr>
          <w:trHeight w:val="481" w:hRule="atLeast"/>
          <w:jc w:val="center"/>
        </w:trPr>
        <w:tc>
          <w:tcPr>
            <w:tcW w:w="5990" w:type="dxa"/>
            <w:gridSpan w:val="5"/>
            <w:tcBorders>
              <w:top w:val="nil"/>
              <w:left w:val="single" w:color="000000" w:sz="8" w:space="0"/>
              <w:bottom w:val="single" w:color="000000" w:sz="8" w:space="0"/>
              <w:right w:val="single" w:color="auto" w:sz="4" w:space="0"/>
            </w:tcBorders>
            <w:vAlign w:val="center"/>
          </w:tcPr>
          <w:p>
            <w:pPr>
              <w:pStyle w:val="65"/>
              <w:widowControl/>
              <w:ind w:firstLine="480"/>
              <w:jc w:val="center"/>
              <w:rPr>
                <w:rFonts w:ascii="宋体" w:hAnsi="宋体" w:cs="宋体"/>
              </w:rPr>
            </w:pPr>
            <w:r>
              <w:rPr>
                <w:rFonts w:hint="eastAsia" w:ascii="宋体" w:hAnsi="宋体" w:cs="宋体"/>
              </w:rPr>
              <w:t>合计</w:t>
            </w:r>
          </w:p>
        </w:tc>
        <w:tc>
          <w:tcPr>
            <w:tcW w:w="2344" w:type="dxa"/>
            <w:gridSpan w:val="2"/>
            <w:tcBorders>
              <w:top w:val="nil"/>
              <w:left w:val="single" w:color="auto" w:sz="4" w:space="0"/>
              <w:bottom w:val="single" w:color="000000" w:sz="8" w:space="0"/>
              <w:right w:val="single" w:color="000000" w:sz="8" w:space="0"/>
            </w:tcBorders>
            <w:vAlign w:val="center"/>
          </w:tcPr>
          <w:p>
            <w:pPr>
              <w:pStyle w:val="65"/>
              <w:widowControl/>
              <w:ind w:firstLine="480"/>
              <w:jc w:val="center"/>
              <w:rPr>
                <w:rFonts w:ascii="宋体" w:hAnsi="宋体" w:cs="宋体"/>
              </w:rPr>
            </w:pPr>
          </w:p>
        </w:tc>
      </w:tr>
    </w:tbl>
    <w:p>
      <w:pPr>
        <w:spacing w:line="460" w:lineRule="exact"/>
        <w:ind w:left="180" w:firstLine="480"/>
        <w:rPr>
          <w:rFonts w:ascii="宋体" w:hAnsi="宋体" w:cs="宋体"/>
          <w:sz w:val="24"/>
          <w:szCs w:val="24"/>
        </w:rPr>
      </w:pPr>
      <w:r>
        <w:rPr>
          <w:rFonts w:hint="eastAsia" w:ascii="宋体" w:hAnsi="宋体" w:cs="宋体"/>
          <w:sz w:val="24"/>
          <w:szCs w:val="24"/>
        </w:rPr>
        <w:t>注：1、报价明细表中各项服务名称的数量*单价之数必须与总价一致，各项服务名称的总价汇总之和必须与合计数一致，均不得四舍五入。</w:t>
      </w:r>
    </w:p>
    <w:p>
      <w:pPr>
        <w:spacing w:line="460" w:lineRule="exact"/>
        <w:ind w:left="180" w:firstLine="480"/>
        <w:rPr>
          <w:rFonts w:ascii="宋体" w:hAnsi="宋体" w:cs="宋体"/>
          <w:sz w:val="24"/>
          <w:szCs w:val="24"/>
        </w:rPr>
      </w:pPr>
      <w:r>
        <w:rPr>
          <w:rFonts w:hint="eastAsia" w:ascii="宋体" w:hAnsi="宋体" w:cs="宋体"/>
          <w:sz w:val="24"/>
          <w:szCs w:val="24"/>
        </w:rPr>
        <w:t>2、如出现不一致，按照招标文件的相关规定执行。</w:t>
      </w:r>
    </w:p>
    <w:p>
      <w:pPr>
        <w:spacing w:line="460" w:lineRule="exact"/>
        <w:ind w:left="180" w:firstLine="480"/>
        <w:rPr>
          <w:rFonts w:ascii="宋体" w:hAnsi="宋体" w:cs="宋体"/>
          <w:sz w:val="24"/>
          <w:szCs w:val="24"/>
        </w:rPr>
      </w:pPr>
    </w:p>
    <w:p>
      <w:pPr>
        <w:spacing w:line="460" w:lineRule="exact"/>
        <w:ind w:left="180" w:firstLine="480"/>
        <w:rPr>
          <w:rFonts w:ascii="宋体" w:hAnsi="宋体" w:cs="宋体"/>
          <w:sz w:val="24"/>
          <w:szCs w:val="24"/>
        </w:rPr>
      </w:pPr>
    </w:p>
    <w:p>
      <w:pPr>
        <w:spacing w:line="460" w:lineRule="exact"/>
        <w:ind w:left="192" w:firstLine="3948" w:firstLineChars="1645"/>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p>
    <w:p>
      <w:pPr>
        <w:spacing w:line="460" w:lineRule="exact"/>
        <w:ind w:left="192" w:firstLine="3948" w:firstLineChars="1645"/>
        <w:rPr>
          <w:rFonts w:ascii="宋体" w:hAnsi="宋体" w:cs="宋体"/>
          <w:sz w:val="24"/>
          <w:szCs w:val="24"/>
        </w:rPr>
      </w:pPr>
      <w:r>
        <w:rPr>
          <w:rFonts w:hint="eastAsia" w:ascii="宋体" w:hAnsi="宋体" w:cs="宋体"/>
          <w:sz w:val="24"/>
          <w:szCs w:val="24"/>
        </w:rPr>
        <w:t>职务：</w:t>
      </w:r>
      <w:r>
        <w:rPr>
          <w:rFonts w:hint="eastAsia" w:ascii="宋体" w:hAnsi="宋体" w:cs="宋体"/>
          <w:sz w:val="24"/>
          <w:szCs w:val="24"/>
          <w:u w:val="single"/>
        </w:rPr>
        <w:t xml:space="preserve">            </w:t>
      </w:r>
      <w:r>
        <w:rPr>
          <w:rFonts w:hint="eastAsia" w:ascii="宋体" w:hAnsi="宋体" w:cs="宋体"/>
          <w:sz w:val="24"/>
          <w:szCs w:val="24"/>
        </w:rPr>
        <w:t>日期：</w:t>
      </w:r>
      <w:r>
        <w:rPr>
          <w:rFonts w:hint="eastAsia" w:ascii="宋体" w:hAnsi="宋体" w:cs="宋体"/>
          <w:sz w:val="24"/>
          <w:szCs w:val="24"/>
          <w:u w:val="single"/>
        </w:rPr>
        <w:t xml:space="preserve">                   </w:t>
      </w:r>
    </w:p>
    <w:p>
      <w:pPr>
        <w:spacing w:line="460" w:lineRule="exact"/>
        <w:ind w:left="192" w:firstLine="3948" w:firstLineChars="1645"/>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bookmarkEnd w:id="208"/>
    </w:p>
    <w:sectPr>
      <w:headerReference r:id="rId13" w:type="default"/>
      <w:footerReference r:id="rId14" w:type="default"/>
      <w:pgSz w:w="11906" w:h="16838"/>
      <w:pgMar w:top="1440" w:right="1803" w:bottom="1440" w:left="1803" w:header="851" w:footer="992" w:gutter="0"/>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asciiTheme="minorEastAsia" w:hAnsiTheme="minor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sdt>
      <w:sdtPr>
        <w:rPr>
          <w:rFonts w:asciiTheme="minorEastAsia" w:hAnsiTheme="minorEastAsia"/>
        </w:rPr>
        <w:id w:val="920847359"/>
      </w:sdtPr>
      <w:sdtEndPr>
        <w:rPr>
          <w:rFonts w:asciiTheme="minorEastAsia" w:hAnsiTheme="minorEastAsia"/>
        </w:rPr>
      </w:sdtEndPr>
      <w:sdtContent>
        <w:sdt>
          <w:sdtPr>
            <w:rPr>
              <w:rFonts w:asciiTheme="minorEastAsia" w:hAnsiTheme="minorEastAsia"/>
            </w:rPr>
            <w:id w:val="-1616745900"/>
            <w:showingPlcHdr/>
          </w:sdtPr>
          <w:sdtEndPr>
            <w:rPr>
              <w:rFonts w:asciiTheme="minorEastAsia" w:hAnsiTheme="minorEastAsia"/>
            </w:rPr>
          </w:sdtEndPr>
          <w:sdtContent>
            <w:r>
              <w:rPr>
                <w:rFonts w:asciiTheme="minorEastAsia" w:hAnsiTheme="minorEastAsia"/>
              </w:rPr>
              <w:t xml:space="preserve">     </w:t>
            </w:r>
          </w:sdtContent>
        </w:sdt>
      </w:sdtContent>
    </w:sdt>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pP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jc w:val="center"/>
                          </w:pPr>
                          <w:r>
                            <w:t xml:space="preserve">第 </w:t>
                          </w:r>
                          <w:r>
                            <w:fldChar w:fldCharType="begin"/>
                          </w:r>
                          <w:r>
                            <w:instrText xml:space="preserve"> PAGE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8"/>
                      <w:jc w:val="center"/>
                    </w:pPr>
                    <w:r>
                      <w:t xml:space="preserve">第 </w:t>
                    </w:r>
                    <w:r>
                      <w:fldChar w:fldCharType="begin"/>
                    </w:r>
                    <w:r>
                      <w:instrText xml:space="preserve"> PAGE  \* MERGEFORMAT </w:instrText>
                    </w:r>
                    <w:r>
                      <w:fldChar w:fldCharType="separate"/>
                    </w:r>
                    <w:r>
                      <w:t>86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jc w:val="right"/>
                          </w:pPr>
                          <w:r>
                            <w:t xml:space="preserve">第 </w:t>
                          </w:r>
                          <w:r>
                            <w:fldChar w:fldCharType="begin"/>
                          </w:r>
                          <w:r>
                            <w:instrText xml:space="preserve"> PAGE  \* MERGEFORMAT </w:instrText>
                          </w:r>
                          <w:r>
                            <w:fldChar w:fldCharType="separate"/>
                          </w:r>
                          <w:r>
                            <w:t>114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8"/>
                      <w:jc w:val="right"/>
                    </w:pPr>
                    <w:r>
                      <w:t xml:space="preserve">第 </w:t>
                    </w:r>
                    <w:r>
                      <w:fldChar w:fldCharType="begin"/>
                    </w:r>
                    <w:r>
                      <w:instrText xml:space="preserve"> PAGE  \* MERGEFORMAT </w:instrText>
                    </w:r>
                    <w:r>
                      <w:fldChar w:fldCharType="separate"/>
                    </w:r>
                    <w:r>
                      <w:t>114</w:t>
                    </w:r>
                    <w:r>
                      <w:fldChar w:fldCharType="end"/>
                    </w:r>
                    <w:r>
                      <w:t xml:space="preserve"> 页</w:t>
                    </w:r>
                  </w:p>
                </w:txbxContent>
              </v:textbox>
            </v:shape>
          </w:pict>
        </mc:Fallback>
      </mc:AlternateContent>
    </w:r>
  </w:p>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117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117</w:t>
                    </w:r>
                    <w:r>
                      <w:fldChar w:fldCharType="end"/>
                    </w:r>
                    <w:r>
                      <w:t xml:space="preserve"> 页</w:t>
                    </w:r>
                  </w:p>
                </w:txbxContent>
              </v:textbox>
            </v:shape>
          </w:pict>
        </mc:Fallback>
      </mc:AlternateContent>
    </w:r>
  </w:p>
  <w:sdt>
    <w:sdtPr>
      <w:id w:val="774840759"/>
    </w:sdtPr>
    <w:sdtContent>
      <w:sdt>
        <w:sdtPr>
          <w:id w:val="1728636285"/>
        </w:sdtPr>
        <w:sdtContent>
          <w:p>
            <w:pPr>
              <w:pStyle w:val="18"/>
              <w:wordWrap w:val="0"/>
              <w:jc w:val="right"/>
            </w:pPr>
          </w:p>
          <w:p>
            <w:pPr>
              <w:pStyle w:val="18"/>
              <w:jc w:val="center"/>
            </w:pPr>
          </w:p>
        </w:sdtContent>
      </w:sdt>
    </w:sdtContent>
  </w:sdt>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rFonts w:hint="eastAsia"/>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第%1章"/>
      <w:lvlJc w:val="center"/>
      <w:pPr>
        <w:tabs>
          <w:tab w:val="left" w:pos="1008"/>
        </w:tabs>
        <w:ind w:left="0" w:firstLine="288"/>
      </w:pPr>
      <w:rPr>
        <w:lang w:val="en-US"/>
      </w:rPr>
    </w:lvl>
    <w:lvl w:ilvl="1" w:tentative="0">
      <w:start w:val="1"/>
      <w:numFmt w:val="decimal"/>
      <w:pStyle w:val="4"/>
      <w:isLgl/>
      <w:lvlText w:val="%1.%2"/>
      <w:lvlJc w:val="left"/>
      <w:pPr>
        <w:tabs>
          <w:tab w:val="left" w:pos="0"/>
        </w:tabs>
        <w:ind w:left="0" w:firstLine="0"/>
      </w:pPr>
      <w:rPr>
        <w:lang w:val="en-US"/>
      </w:rPr>
    </w:lvl>
    <w:lvl w:ilvl="2" w:tentative="0">
      <w:start w:val="1"/>
      <w:numFmt w:val="decimal"/>
      <w:isLgl/>
      <w:lvlText w:val="%1.%2.%3"/>
      <w:lvlJc w:val="left"/>
      <w:pPr>
        <w:tabs>
          <w:tab w:val="left" w:pos="0"/>
        </w:tabs>
        <w:ind w:left="0" w:firstLine="0"/>
      </w:pPr>
    </w:lvl>
    <w:lvl w:ilvl="3" w:tentative="0">
      <w:start w:val="1"/>
      <w:numFmt w:val="decimal"/>
      <w:pStyle w:val="6"/>
      <w:isLgl/>
      <w:lvlText w:val="%1.%2.%3.%4"/>
      <w:lvlJc w:val="left"/>
      <w:pPr>
        <w:tabs>
          <w:tab w:val="left" w:pos="567"/>
        </w:tabs>
        <w:ind w:left="0" w:firstLine="0"/>
      </w:pPr>
      <w:rPr>
        <w:rFonts w:ascii="Times New Roman" w:hAnsi="Times New Roman"/>
      </w:rPr>
    </w:lvl>
    <w:lvl w:ilvl="4" w:tentative="0">
      <w:start w:val="1"/>
      <w:numFmt w:val="decimal"/>
      <w:lvlText w:val="%5)"/>
      <w:lvlJc w:val="left"/>
      <w:pPr>
        <w:tabs>
          <w:tab w:val="left" w:pos="0"/>
        </w:tabs>
        <w:ind w:left="0" w:firstLine="0"/>
      </w:p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1">
    <w:nsid w:val="0000000F"/>
    <w:multiLevelType w:val="multilevel"/>
    <w:tmpl w:val="0000000F"/>
    <w:lvl w:ilvl="0" w:tentative="0">
      <w:start w:val="1"/>
      <w:numFmt w:val="decimal"/>
      <w:lvlText w:val="%1."/>
      <w:lvlJc w:val="left"/>
      <w:pPr>
        <w:ind w:left="620" w:hanging="420"/>
      </w:pPr>
      <w:rPr>
        <w:rFonts w:hint="eastAsia"/>
      </w:rPr>
    </w:lvl>
    <w:lvl w:ilvl="1" w:tentative="0">
      <w:start w:val="1"/>
      <w:numFmt w:val="decimal"/>
      <w:isLgl/>
      <w:suff w:val="nothing"/>
      <w:lvlText w:val="%1.%2"/>
      <w:lvlJc w:val="left"/>
      <w:pPr>
        <w:ind w:left="1380" w:hanging="900"/>
      </w:pPr>
      <w:rPr>
        <w:rFonts w:hint="default"/>
      </w:rPr>
    </w:lvl>
    <w:lvl w:ilvl="2" w:tentative="0">
      <w:start w:val="1"/>
      <w:numFmt w:val="decimal"/>
      <w:isLgl/>
      <w:lvlText w:val="%1.%2.%3"/>
      <w:lvlJc w:val="left"/>
      <w:pPr>
        <w:ind w:left="1660" w:hanging="900"/>
      </w:pPr>
      <w:rPr>
        <w:rFonts w:hint="default" w:ascii="Times New Roman" w:hAnsi="Times New Roman" w:cs="Times New Roman"/>
      </w:rPr>
    </w:lvl>
    <w:lvl w:ilvl="3" w:tentative="0">
      <w:start w:val="1"/>
      <w:numFmt w:val="decimal"/>
      <w:isLgl/>
      <w:lvlText w:val="%1.%2.%3.%4"/>
      <w:lvlJc w:val="left"/>
      <w:pPr>
        <w:ind w:left="1940" w:hanging="900"/>
      </w:pPr>
      <w:rPr>
        <w:rFonts w:hint="default"/>
      </w:rPr>
    </w:lvl>
    <w:lvl w:ilvl="4" w:tentative="0">
      <w:start w:val="1"/>
      <w:numFmt w:val="decimal"/>
      <w:isLgl/>
      <w:lvlText w:val="%1.%2.%3.%4.%5"/>
      <w:lvlJc w:val="left"/>
      <w:pPr>
        <w:ind w:left="2400" w:hanging="1080"/>
      </w:pPr>
      <w:rPr>
        <w:rFonts w:hint="default"/>
      </w:rPr>
    </w:lvl>
    <w:lvl w:ilvl="5" w:tentative="0">
      <w:start w:val="1"/>
      <w:numFmt w:val="decimal"/>
      <w:isLgl/>
      <w:lvlText w:val="%1.%2.%3.%4.%5.%6"/>
      <w:lvlJc w:val="left"/>
      <w:pPr>
        <w:ind w:left="2680" w:hanging="1080"/>
      </w:pPr>
      <w:rPr>
        <w:rFonts w:hint="default"/>
      </w:rPr>
    </w:lvl>
    <w:lvl w:ilvl="6" w:tentative="0">
      <w:start w:val="1"/>
      <w:numFmt w:val="decimal"/>
      <w:isLgl/>
      <w:lvlText w:val="%1.%2.%3.%4.%5.%6.%7"/>
      <w:lvlJc w:val="left"/>
      <w:pPr>
        <w:ind w:left="3320" w:hanging="1440"/>
      </w:pPr>
      <w:rPr>
        <w:rFonts w:hint="default"/>
      </w:rPr>
    </w:lvl>
    <w:lvl w:ilvl="7" w:tentative="0">
      <w:start w:val="1"/>
      <w:numFmt w:val="decimal"/>
      <w:isLgl/>
      <w:lvlText w:val="%1.%2.%3.%4.%5.%6.%7.%8"/>
      <w:lvlJc w:val="left"/>
      <w:pPr>
        <w:ind w:left="3600" w:hanging="1440"/>
      </w:pPr>
      <w:rPr>
        <w:rFonts w:hint="default"/>
      </w:rPr>
    </w:lvl>
    <w:lvl w:ilvl="8" w:tentative="0">
      <w:start w:val="1"/>
      <w:numFmt w:val="decimal"/>
      <w:isLgl/>
      <w:lvlText w:val="%1.%2.%3.%4.%5.%6.%7.%8.%9"/>
      <w:lvlJc w:val="left"/>
      <w:pPr>
        <w:ind w:left="4240" w:hanging="1800"/>
      </w:pPr>
      <w:rPr>
        <w:rFonts w:hint="default"/>
      </w:rPr>
    </w:lvl>
  </w:abstractNum>
  <w:abstractNum w:abstractNumId="2">
    <w:nsid w:val="00000011"/>
    <w:multiLevelType w:val="multilevel"/>
    <w:tmpl w:val="00000011"/>
    <w:lvl w:ilvl="0" w:tentative="0">
      <w:start w:val="1"/>
      <w:numFmt w:val="bullet"/>
      <w:lvlText w:val=""/>
      <w:lvlJc w:val="left"/>
      <w:pPr>
        <w:tabs>
          <w:tab w:val="left" w:pos="980"/>
        </w:tabs>
        <w:ind w:left="980" w:hanging="420"/>
      </w:pPr>
      <w:rPr>
        <w:rFonts w:hint="default" w:ascii="Wingdings" w:hAnsi="Wingdings"/>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3">
    <w:nsid w:val="00000012"/>
    <w:multiLevelType w:val="multilevel"/>
    <w:tmpl w:val="00000012"/>
    <w:lvl w:ilvl="0" w:tentative="0">
      <w:start w:val="1"/>
      <w:numFmt w:val="chineseCountingThousand"/>
      <w:lvlText w:val="第%1条 "/>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chineseCountingThousand"/>
      <w:lvlText w:val="第%4条 "/>
      <w:lvlJc w:val="left"/>
      <w:pPr>
        <w:ind w:left="2100" w:hanging="420"/>
      </w:pPr>
      <w:rPr>
        <w:rFonts w:hint="default"/>
        <w:sz w:val="24"/>
        <w:szCs w:val="24"/>
        <w:lang w:val="en-US"/>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14"/>
    <w:multiLevelType w:val="multilevel"/>
    <w:tmpl w:val="00000014"/>
    <w:lvl w:ilvl="0" w:tentative="0">
      <w:start w:val="1"/>
      <w:numFmt w:val="bullet"/>
      <w:lvlText w:val=""/>
      <w:lvlJc w:val="left"/>
      <w:pPr>
        <w:tabs>
          <w:tab w:val="left" w:pos="980"/>
        </w:tabs>
        <w:ind w:left="980" w:hanging="420"/>
      </w:pPr>
      <w:rPr>
        <w:rFonts w:hint="default" w:ascii="Wingdings" w:hAnsi="Wingdings"/>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5">
    <w:nsid w:val="094F52BF"/>
    <w:multiLevelType w:val="multilevel"/>
    <w:tmpl w:val="094F52B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13321430"/>
    <w:multiLevelType w:val="multilevel"/>
    <w:tmpl w:val="1332143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22" w:hanging="420"/>
      </w:pPr>
      <w:rPr>
        <w:rFonts w:hint="default"/>
      </w:r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1E735E3C"/>
    <w:multiLevelType w:val="multilevel"/>
    <w:tmpl w:val="1E735E3C"/>
    <w:lvl w:ilvl="0" w:tentative="0">
      <w:start w:val="1"/>
      <w:numFmt w:val="decimal"/>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FF53951"/>
    <w:multiLevelType w:val="multilevel"/>
    <w:tmpl w:val="1FF53951"/>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46E593B"/>
    <w:multiLevelType w:val="multilevel"/>
    <w:tmpl w:val="246E593B"/>
    <w:lvl w:ilvl="0" w:tentative="0">
      <w:start w:val="8"/>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5DF6908"/>
    <w:multiLevelType w:val="multilevel"/>
    <w:tmpl w:val="35DF6908"/>
    <w:lvl w:ilvl="0" w:tentative="0">
      <w:start w:val="1"/>
      <w:numFmt w:val="decimal"/>
      <w:lvlText w:val="%1."/>
      <w:lvlJc w:val="left"/>
      <w:pPr>
        <w:ind w:left="1050" w:hanging="630"/>
      </w:pPr>
      <w:rPr>
        <w:rFonts w:hint="default"/>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6146188"/>
    <w:multiLevelType w:val="multilevel"/>
    <w:tmpl w:val="36146188"/>
    <w:lvl w:ilvl="0" w:tentative="0">
      <w:start w:val="1"/>
      <w:numFmt w:val="decimal"/>
      <w:lvlText w:val="（%1）"/>
      <w:lvlJc w:val="left"/>
      <w:pPr>
        <w:ind w:left="900" w:hanging="42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37BD0D96"/>
    <w:multiLevelType w:val="multilevel"/>
    <w:tmpl w:val="37BD0D96"/>
    <w:lvl w:ilvl="0" w:tentative="0">
      <w:start w:val="1"/>
      <w:numFmt w:val="decimal"/>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38991483"/>
    <w:multiLevelType w:val="multilevel"/>
    <w:tmpl w:val="38991483"/>
    <w:lvl w:ilvl="0" w:tentative="0">
      <w:start w:val="7"/>
      <w:numFmt w:val="japaneseCounting"/>
      <w:lvlText w:val="第%1条"/>
      <w:lvlJc w:val="left"/>
      <w:pPr>
        <w:tabs>
          <w:tab w:val="left" w:pos="1545"/>
        </w:tabs>
        <w:ind w:left="1545" w:hanging="990"/>
      </w:pPr>
      <w:rPr>
        <w:rFonts w:hint="default"/>
      </w:rPr>
    </w:lvl>
    <w:lvl w:ilvl="1" w:tentative="0">
      <w:start w:val="1"/>
      <w:numFmt w:val="lowerLetter"/>
      <w:lvlText w:val="%2)"/>
      <w:lvlJc w:val="left"/>
      <w:pPr>
        <w:tabs>
          <w:tab w:val="left" w:pos="1395"/>
        </w:tabs>
        <w:ind w:left="1395" w:hanging="420"/>
      </w:p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4">
    <w:nsid w:val="389D1D5E"/>
    <w:multiLevelType w:val="multilevel"/>
    <w:tmpl w:val="389D1D5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40565384"/>
    <w:multiLevelType w:val="multilevel"/>
    <w:tmpl w:val="4056538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567A6217"/>
    <w:multiLevelType w:val="singleLevel"/>
    <w:tmpl w:val="567A6217"/>
    <w:lvl w:ilvl="0" w:tentative="0">
      <w:start w:val="1"/>
      <w:numFmt w:val="decimal"/>
      <w:lvlText w:val="（%1）"/>
      <w:lvlJc w:val="left"/>
      <w:pPr>
        <w:tabs>
          <w:tab w:val="left" w:pos="425"/>
        </w:tabs>
        <w:ind w:left="425" w:hanging="425"/>
      </w:pPr>
      <w:rPr>
        <w:rFonts w:hint="default"/>
      </w:rPr>
    </w:lvl>
  </w:abstractNum>
  <w:abstractNum w:abstractNumId="17">
    <w:nsid w:val="5F035105"/>
    <w:multiLevelType w:val="multilevel"/>
    <w:tmpl w:val="5F035105"/>
    <w:lvl w:ilvl="0" w:tentative="0">
      <w:start w:val="1"/>
      <w:numFmt w:val="lowerLetter"/>
      <w:lvlText w:val="%1)"/>
      <w:lvlJc w:val="left"/>
      <w:pPr>
        <w:ind w:left="915" w:hanging="420"/>
      </w:pPr>
    </w:lvl>
    <w:lvl w:ilvl="1" w:tentative="0">
      <w:start w:val="1"/>
      <w:numFmt w:val="lowerLetter"/>
      <w:lvlText w:val="%2)"/>
      <w:lvlJc w:val="left"/>
      <w:pPr>
        <w:ind w:left="1335" w:hanging="420"/>
      </w:pPr>
    </w:lvl>
    <w:lvl w:ilvl="2" w:tentative="0">
      <w:start w:val="1"/>
      <w:numFmt w:val="lowerRoman"/>
      <w:lvlText w:val="%3."/>
      <w:lvlJc w:val="right"/>
      <w:pPr>
        <w:ind w:left="1755" w:hanging="420"/>
      </w:pPr>
    </w:lvl>
    <w:lvl w:ilvl="3" w:tentative="0">
      <w:start w:val="1"/>
      <w:numFmt w:val="decimal"/>
      <w:lvlText w:val="%4."/>
      <w:lvlJc w:val="left"/>
      <w:pPr>
        <w:ind w:left="2175" w:hanging="420"/>
      </w:pPr>
    </w:lvl>
    <w:lvl w:ilvl="4" w:tentative="0">
      <w:start w:val="1"/>
      <w:numFmt w:val="lowerLetter"/>
      <w:lvlText w:val="%5)"/>
      <w:lvlJc w:val="left"/>
      <w:pPr>
        <w:ind w:left="2595" w:hanging="420"/>
      </w:pPr>
    </w:lvl>
    <w:lvl w:ilvl="5" w:tentative="0">
      <w:start w:val="1"/>
      <w:numFmt w:val="lowerRoman"/>
      <w:lvlText w:val="%6."/>
      <w:lvlJc w:val="right"/>
      <w:pPr>
        <w:ind w:left="3015" w:hanging="420"/>
      </w:pPr>
    </w:lvl>
    <w:lvl w:ilvl="6" w:tentative="0">
      <w:start w:val="1"/>
      <w:numFmt w:val="decimal"/>
      <w:lvlText w:val="%7."/>
      <w:lvlJc w:val="left"/>
      <w:pPr>
        <w:ind w:left="3435" w:hanging="420"/>
      </w:pPr>
    </w:lvl>
    <w:lvl w:ilvl="7" w:tentative="0">
      <w:start w:val="1"/>
      <w:numFmt w:val="lowerLetter"/>
      <w:lvlText w:val="%8)"/>
      <w:lvlJc w:val="left"/>
      <w:pPr>
        <w:ind w:left="3855" w:hanging="420"/>
      </w:pPr>
    </w:lvl>
    <w:lvl w:ilvl="8" w:tentative="0">
      <w:start w:val="1"/>
      <w:numFmt w:val="lowerRoman"/>
      <w:lvlText w:val="%9."/>
      <w:lvlJc w:val="right"/>
      <w:pPr>
        <w:ind w:left="4275" w:hanging="420"/>
      </w:pPr>
    </w:lvl>
  </w:abstractNum>
  <w:abstractNum w:abstractNumId="18">
    <w:nsid w:val="618D3BC9"/>
    <w:multiLevelType w:val="multilevel"/>
    <w:tmpl w:val="618D3BC9"/>
    <w:lvl w:ilvl="0" w:tentative="0">
      <w:start w:val="1"/>
      <w:numFmt w:val="japaneseCounting"/>
      <w:lvlText w:val="%1、"/>
      <w:lvlJc w:val="left"/>
      <w:pPr>
        <w:ind w:left="900" w:hanging="45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19">
    <w:nsid w:val="61EF655E"/>
    <w:multiLevelType w:val="multilevel"/>
    <w:tmpl w:val="61EF655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0">
    <w:nsid w:val="63254C8D"/>
    <w:multiLevelType w:val="multilevel"/>
    <w:tmpl w:val="63254C8D"/>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68C75A16"/>
    <w:multiLevelType w:val="multilevel"/>
    <w:tmpl w:val="68C75A1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2">
    <w:nsid w:val="6DC72B55"/>
    <w:multiLevelType w:val="multilevel"/>
    <w:tmpl w:val="6DC72B55"/>
    <w:lvl w:ilvl="0" w:tentative="0">
      <w:start w:val="1"/>
      <w:numFmt w:val="decimal"/>
      <w:lvlText w:val="%1."/>
      <w:lvlJc w:val="left"/>
      <w:pPr>
        <w:ind w:left="782" w:hanging="360"/>
      </w:pPr>
      <w:rPr>
        <w:rFonts w:hint="default"/>
      </w:rPr>
    </w:lvl>
    <w:lvl w:ilvl="1" w:tentative="0">
      <w:start w:val="1"/>
      <w:numFmt w:val="decimal"/>
      <w:lvlText w:val="（%2）"/>
      <w:lvlJc w:val="left"/>
      <w:pPr>
        <w:ind w:left="1562" w:hanging="720"/>
      </w:pPr>
      <w:rPr>
        <w:rFonts w:hint="default"/>
      </w:r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3">
    <w:nsid w:val="70F069CE"/>
    <w:multiLevelType w:val="multilevel"/>
    <w:tmpl w:val="70F069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30D1718"/>
    <w:multiLevelType w:val="multilevel"/>
    <w:tmpl w:val="730D1718"/>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5">
    <w:nsid w:val="75E532C2"/>
    <w:multiLevelType w:val="multilevel"/>
    <w:tmpl w:val="75E532C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6">
    <w:nsid w:val="7EF72002"/>
    <w:multiLevelType w:val="multilevel"/>
    <w:tmpl w:val="7EF720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1"/>
  </w:num>
  <w:num w:numId="3">
    <w:abstractNumId w:val="20"/>
  </w:num>
  <w:num w:numId="4">
    <w:abstractNumId w:val="8"/>
  </w:num>
  <w:num w:numId="5">
    <w:abstractNumId w:val="16"/>
  </w:num>
  <w:num w:numId="6">
    <w:abstractNumId w:val="6"/>
  </w:num>
  <w:num w:numId="7">
    <w:abstractNumId w:val="26"/>
  </w:num>
  <w:num w:numId="8">
    <w:abstractNumId w:val="1"/>
  </w:num>
  <w:num w:numId="9">
    <w:abstractNumId w:val="24"/>
  </w:num>
  <w:num w:numId="10">
    <w:abstractNumId w:val="21"/>
  </w:num>
  <w:num w:numId="11">
    <w:abstractNumId w:val="25"/>
  </w:num>
  <w:num w:numId="12">
    <w:abstractNumId w:val="14"/>
  </w:num>
  <w:num w:numId="13">
    <w:abstractNumId w:val="5"/>
  </w:num>
  <w:num w:numId="14">
    <w:abstractNumId w:val="15"/>
  </w:num>
  <w:num w:numId="15">
    <w:abstractNumId w:val="19"/>
  </w:num>
  <w:num w:numId="16">
    <w:abstractNumId w:val="9"/>
  </w:num>
  <w:num w:numId="17">
    <w:abstractNumId w:val="2"/>
  </w:num>
  <w:num w:numId="18">
    <w:abstractNumId w:val="4"/>
  </w:num>
  <w:num w:numId="19">
    <w:abstractNumId w:val="12"/>
  </w:num>
  <w:num w:numId="20">
    <w:abstractNumId w:val="17"/>
  </w:num>
  <w:num w:numId="21">
    <w:abstractNumId w:val="18"/>
  </w:num>
  <w:num w:numId="22">
    <w:abstractNumId w:val="10"/>
  </w:num>
  <w:num w:numId="23">
    <w:abstractNumId w:val="22"/>
  </w:num>
  <w:num w:numId="24">
    <w:abstractNumId w:val="7"/>
  </w:num>
  <w:num w:numId="25">
    <w:abstractNumId w:val="3"/>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210"/>
  <w:drawingGridVerticalSpacing w:val="16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YjY1NTVjOWRmNmJkNzdlNjg3Y2I4ODNlMWIwNTIifQ=="/>
  </w:docVars>
  <w:rsids>
    <w:rsidRoot w:val="00857474"/>
    <w:rsid w:val="000018B1"/>
    <w:rsid w:val="00002298"/>
    <w:rsid w:val="00002EFA"/>
    <w:rsid w:val="00003772"/>
    <w:rsid w:val="00004118"/>
    <w:rsid w:val="00011F86"/>
    <w:rsid w:val="00013BB4"/>
    <w:rsid w:val="00014C7B"/>
    <w:rsid w:val="000204C3"/>
    <w:rsid w:val="00021EFF"/>
    <w:rsid w:val="00021FB0"/>
    <w:rsid w:val="00022202"/>
    <w:rsid w:val="00022D7C"/>
    <w:rsid w:val="00023529"/>
    <w:rsid w:val="00024160"/>
    <w:rsid w:val="000255BA"/>
    <w:rsid w:val="00026738"/>
    <w:rsid w:val="00027B6F"/>
    <w:rsid w:val="0003269D"/>
    <w:rsid w:val="00034C74"/>
    <w:rsid w:val="00042C21"/>
    <w:rsid w:val="000449CA"/>
    <w:rsid w:val="0005073E"/>
    <w:rsid w:val="0005231B"/>
    <w:rsid w:val="00052D7E"/>
    <w:rsid w:val="00053003"/>
    <w:rsid w:val="00057876"/>
    <w:rsid w:val="00061129"/>
    <w:rsid w:val="00063DB9"/>
    <w:rsid w:val="000702D8"/>
    <w:rsid w:val="00070588"/>
    <w:rsid w:val="00073254"/>
    <w:rsid w:val="00073C80"/>
    <w:rsid w:val="00076791"/>
    <w:rsid w:val="00080C72"/>
    <w:rsid w:val="00082397"/>
    <w:rsid w:val="00085972"/>
    <w:rsid w:val="00087078"/>
    <w:rsid w:val="00087975"/>
    <w:rsid w:val="00091182"/>
    <w:rsid w:val="00091EF2"/>
    <w:rsid w:val="00093897"/>
    <w:rsid w:val="00094E86"/>
    <w:rsid w:val="000951FC"/>
    <w:rsid w:val="000954B3"/>
    <w:rsid w:val="00097F5B"/>
    <w:rsid w:val="000A2D65"/>
    <w:rsid w:val="000B11B6"/>
    <w:rsid w:val="000B45C3"/>
    <w:rsid w:val="000B4FF9"/>
    <w:rsid w:val="000B6281"/>
    <w:rsid w:val="000C4048"/>
    <w:rsid w:val="000C4D60"/>
    <w:rsid w:val="000C5AB1"/>
    <w:rsid w:val="000D0B04"/>
    <w:rsid w:val="000D30C6"/>
    <w:rsid w:val="000D438A"/>
    <w:rsid w:val="000D44F3"/>
    <w:rsid w:val="000D4572"/>
    <w:rsid w:val="000D6810"/>
    <w:rsid w:val="000E0129"/>
    <w:rsid w:val="000E2A4D"/>
    <w:rsid w:val="000E4CD3"/>
    <w:rsid w:val="000E508A"/>
    <w:rsid w:val="000E7977"/>
    <w:rsid w:val="000F0959"/>
    <w:rsid w:val="000F0FA3"/>
    <w:rsid w:val="000F76D7"/>
    <w:rsid w:val="001034CD"/>
    <w:rsid w:val="00103A4C"/>
    <w:rsid w:val="001052F4"/>
    <w:rsid w:val="0010604E"/>
    <w:rsid w:val="00113A66"/>
    <w:rsid w:val="00115D80"/>
    <w:rsid w:val="001171E8"/>
    <w:rsid w:val="00120792"/>
    <w:rsid w:val="001236C2"/>
    <w:rsid w:val="00123DB9"/>
    <w:rsid w:val="00126820"/>
    <w:rsid w:val="00126DD9"/>
    <w:rsid w:val="001279F8"/>
    <w:rsid w:val="00133EC3"/>
    <w:rsid w:val="001348BD"/>
    <w:rsid w:val="001360E5"/>
    <w:rsid w:val="00136190"/>
    <w:rsid w:val="00137DFC"/>
    <w:rsid w:val="0014057F"/>
    <w:rsid w:val="00140CAA"/>
    <w:rsid w:val="00143CF8"/>
    <w:rsid w:val="00144DF2"/>
    <w:rsid w:val="001466E7"/>
    <w:rsid w:val="00151D2E"/>
    <w:rsid w:val="00152CD1"/>
    <w:rsid w:val="0015608C"/>
    <w:rsid w:val="00156C75"/>
    <w:rsid w:val="00172325"/>
    <w:rsid w:val="00172BDC"/>
    <w:rsid w:val="001756EF"/>
    <w:rsid w:val="001768AF"/>
    <w:rsid w:val="0018010C"/>
    <w:rsid w:val="001803E0"/>
    <w:rsid w:val="00186F9E"/>
    <w:rsid w:val="0019063E"/>
    <w:rsid w:val="00192C5E"/>
    <w:rsid w:val="00195018"/>
    <w:rsid w:val="001970A8"/>
    <w:rsid w:val="001A03DD"/>
    <w:rsid w:val="001A0AED"/>
    <w:rsid w:val="001A2EEC"/>
    <w:rsid w:val="001A3F5F"/>
    <w:rsid w:val="001A423B"/>
    <w:rsid w:val="001A55F5"/>
    <w:rsid w:val="001B04D2"/>
    <w:rsid w:val="001B1BE8"/>
    <w:rsid w:val="001B51D7"/>
    <w:rsid w:val="001B6263"/>
    <w:rsid w:val="001B6764"/>
    <w:rsid w:val="001B6BA9"/>
    <w:rsid w:val="001D5BEB"/>
    <w:rsid w:val="001D679B"/>
    <w:rsid w:val="001E16B6"/>
    <w:rsid w:val="001E2E09"/>
    <w:rsid w:val="001E5664"/>
    <w:rsid w:val="001F16BF"/>
    <w:rsid w:val="001F28E0"/>
    <w:rsid w:val="001F292B"/>
    <w:rsid w:val="001F2CC5"/>
    <w:rsid w:val="001F5655"/>
    <w:rsid w:val="001F59D2"/>
    <w:rsid w:val="001F5B0F"/>
    <w:rsid w:val="001F7217"/>
    <w:rsid w:val="001F7268"/>
    <w:rsid w:val="002009BA"/>
    <w:rsid w:val="002010E0"/>
    <w:rsid w:val="00201437"/>
    <w:rsid w:val="002041FA"/>
    <w:rsid w:val="00206232"/>
    <w:rsid w:val="00206CAA"/>
    <w:rsid w:val="0021535B"/>
    <w:rsid w:val="00216892"/>
    <w:rsid w:val="00220D01"/>
    <w:rsid w:val="00221344"/>
    <w:rsid w:val="0022349B"/>
    <w:rsid w:val="00223836"/>
    <w:rsid w:val="002245EB"/>
    <w:rsid w:val="0022519F"/>
    <w:rsid w:val="00225A7B"/>
    <w:rsid w:val="00227E24"/>
    <w:rsid w:val="00236122"/>
    <w:rsid w:val="002433D8"/>
    <w:rsid w:val="002445A5"/>
    <w:rsid w:val="002460B3"/>
    <w:rsid w:val="00247E23"/>
    <w:rsid w:val="00251850"/>
    <w:rsid w:val="00252494"/>
    <w:rsid w:val="002530EC"/>
    <w:rsid w:val="002606DC"/>
    <w:rsid w:val="0026115D"/>
    <w:rsid w:val="0026197F"/>
    <w:rsid w:val="002643F3"/>
    <w:rsid w:val="00266438"/>
    <w:rsid w:val="00274A03"/>
    <w:rsid w:val="00274AED"/>
    <w:rsid w:val="00276067"/>
    <w:rsid w:val="00276702"/>
    <w:rsid w:val="00281610"/>
    <w:rsid w:val="002831B1"/>
    <w:rsid w:val="00283DFA"/>
    <w:rsid w:val="0029411A"/>
    <w:rsid w:val="002952EE"/>
    <w:rsid w:val="00297D07"/>
    <w:rsid w:val="002A0077"/>
    <w:rsid w:val="002A2B14"/>
    <w:rsid w:val="002A2BC7"/>
    <w:rsid w:val="002A2D44"/>
    <w:rsid w:val="002B4D7C"/>
    <w:rsid w:val="002C55BE"/>
    <w:rsid w:val="002C683B"/>
    <w:rsid w:val="002D04A8"/>
    <w:rsid w:val="002D3664"/>
    <w:rsid w:val="002D74F8"/>
    <w:rsid w:val="002E05B2"/>
    <w:rsid w:val="002E193D"/>
    <w:rsid w:val="002E353A"/>
    <w:rsid w:val="002E493C"/>
    <w:rsid w:val="002E7378"/>
    <w:rsid w:val="002F0D57"/>
    <w:rsid w:val="002F1B74"/>
    <w:rsid w:val="002F2618"/>
    <w:rsid w:val="002F2EAC"/>
    <w:rsid w:val="002F7191"/>
    <w:rsid w:val="002F7EF6"/>
    <w:rsid w:val="00305203"/>
    <w:rsid w:val="00311103"/>
    <w:rsid w:val="003116CC"/>
    <w:rsid w:val="00311FC9"/>
    <w:rsid w:val="003129B6"/>
    <w:rsid w:val="0031675D"/>
    <w:rsid w:val="00321DFA"/>
    <w:rsid w:val="00322FB1"/>
    <w:rsid w:val="003232E5"/>
    <w:rsid w:val="0032405D"/>
    <w:rsid w:val="00330767"/>
    <w:rsid w:val="00332376"/>
    <w:rsid w:val="00336F8F"/>
    <w:rsid w:val="003421B0"/>
    <w:rsid w:val="00343489"/>
    <w:rsid w:val="0034527B"/>
    <w:rsid w:val="00345AE4"/>
    <w:rsid w:val="00354C1F"/>
    <w:rsid w:val="00354D8C"/>
    <w:rsid w:val="00356F88"/>
    <w:rsid w:val="00367784"/>
    <w:rsid w:val="0037033F"/>
    <w:rsid w:val="003704CA"/>
    <w:rsid w:val="00370D8B"/>
    <w:rsid w:val="00373A7B"/>
    <w:rsid w:val="00376276"/>
    <w:rsid w:val="003763F6"/>
    <w:rsid w:val="003778BF"/>
    <w:rsid w:val="00380D92"/>
    <w:rsid w:val="00382357"/>
    <w:rsid w:val="003867FE"/>
    <w:rsid w:val="00392B2E"/>
    <w:rsid w:val="003943CC"/>
    <w:rsid w:val="003A0914"/>
    <w:rsid w:val="003A3AD9"/>
    <w:rsid w:val="003A4277"/>
    <w:rsid w:val="003A6CE9"/>
    <w:rsid w:val="003A7C46"/>
    <w:rsid w:val="003B01A2"/>
    <w:rsid w:val="003B0914"/>
    <w:rsid w:val="003B196D"/>
    <w:rsid w:val="003B709D"/>
    <w:rsid w:val="003B75FE"/>
    <w:rsid w:val="003C09D4"/>
    <w:rsid w:val="003C189A"/>
    <w:rsid w:val="003C2704"/>
    <w:rsid w:val="003C43E2"/>
    <w:rsid w:val="003D6018"/>
    <w:rsid w:val="003D6B44"/>
    <w:rsid w:val="003D6ED1"/>
    <w:rsid w:val="003E12DD"/>
    <w:rsid w:val="003E222A"/>
    <w:rsid w:val="003E2293"/>
    <w:rsid w:val="003E5E9D"/>
    <w:rsid w:val="003E65D0"/>
    <w:rsid w:val="003F050E"/>
    <w:rsid w:val="003F26B6"/>
    <w:rsid w:val="003F747F"/>
    <w:rsid w:val="00406699"/>
    <w:rsid w:val="004069BC"/>
    <w:rsid w:val="0041032D"/>
    <w:rsid w:val="00410AFC"/>
    <w:rsid w:val="004139A7"/>
    <w:rsid w:val="00414F9B"/>
    <w:rsid w:val="00417C45"/>
    <w:rsid w:val="00424CF4"/>
    <w:rsid w:val="00425420"/>
    <w:rsid w:val="00430AB4"/>
    <w:rsid w:val="00431B3D"/>
    <w:rsid w:val="0043233E"/>
    <w:rsid w:val="0043247C"/>
    <w:rsid w:val="0044148A"/>
    <w:rsid w:val="0044165F"/>
    <w:rsid w:val="00443562"/>
    <w:rsid w:val="00443BE2"/>
    <w:rsid w:val="00445483"/>
    <w:rsid w:val="00445B2F"/>
    <w:rsid w:val="00447461"/>
    <w:rsid w:val="004506ED"/>
    <w:rsid w:val="00451B3E"/>
    <w:rsid w:val="00453E6B"/>
    <w:rsid w:val="00455267"/>
    <w:rsid w:val="004555C0"/>
    <w:rsid w:val="00456DA0"/>
    <w:rsid w:val="00463496"/>
    <w:rsid w:val="00465164"/>
    <w:rsid w:val="004661B0"/>
    <w:rsid w:val="00466D1C"/>
    <w:rsid w:val="00467B20"/>
    <w:rsid w:val="00467F54"/>
    <w:rsid w:val="00474F39"/>
    <w:rsid w:val="00477400"/>
    <w:rsid w:val="0048055B"/>
    <w:rsid w:val="00484FC8"/>
    <w:rsid w:val="00486DB4"/>
    <w:rsid w:val="00491A3C"/>
    <w:rsid w:val="00493F12"/>
    <w:rsid w:val="004972B5"/>
    <w:rsid w:val="004A0014"/>
    <w:rsid w:val="004A00A1"/>
    <w:rsid w:val="004A00CC"/>
    <w:rsid w:val="004A04BF"/>
    <w:rsid w:val="004A257F"/>
    <w:rsid w:val="004A5404"/>
    <w:rsid w:val="004A5DEE"/>
    <w:rsid w:val="004A761D"/>
    <w:rsid w:val="004B095D"/>
    <w:rsid w:val="004B2162"/>
    <w:rsid w:val="004B3F5A"/>
    <w:rsid w:val="004B493A"/>
    <w:rsid w:val="004B73E3"/>
    <w:rsid w:val="004C1D8D"/>
    <w:rsid w:val="004C430B"/>
    <w:rsid w:val="004C650B"/>
    <w:rsid w:val="004C7609"/>
    <w:rsid w:val="004D4359"/>
    <w:rsid w:val="004D4E76"/>
    <w:rsid w:val="004E0990"/>
    <w:rsid w:val="004E57F2"/>
    <w:rsid w:val="004F047B"/>
    <w:rsid w:val="004F3759"/>
    <w:rsid w:val="004F3766"/>
    <w:rsid w:val="004F39EF"/>
    <w:rsid w:val="004F3E62"/>
    <w:rsid w:val="004F6D70"/>
    <w:rsid w:val="004F6F08"/>
    <w:rsid w:val="00500CEA"/>
    <w:rsid w:val="00501FE5"/>
    <w:rsid w:val="00503325"/>
    <w:rsid w:val="0050390C"/>
    <w:rsid w:val="00503ECA"/>
    <w:rsid w:val="005049A1"/>
    <w:rsid w:val="00504D5C"/>
    <w:rsid w:val="0051104D"/>
    <w:rsid w:val="00512025"/>
    <w:rsid w:val="00512A59"/>
    <w:rsid w:val="005177CC"/>
    <w:rsid w:val="00517A23"/>
    <w:rsid w:val="005227BB"/>
    <w:rsid w:val="0052353D"/>
    <w:rsid w:val="00524D8B"/>
    <w:rsid w:val="00525044"/>
    <w:rsid w:val="005263C7"/>
    <w:rsid w:val="00526BFA"/>
    <w:rsid w:val="005339D7"/>
    <w:rsid w:val="00534267"/>
    <w:rsid w:val="0053694F"/>
    <w:rsid w:val="005370C6"/>
    <w:rsid w:val="005410D6"/>
    <w:rsid w:val="005415B9"/>
    <w:rsid w:val="00541D6C"/>
    <w:rsid w:val="005433B5"/>
    <w:rsid w:val="00544000"/>
    <w:rsid w:val="00544EED"/>
    <w:rsid w:val="0055305C"/>
    <w:rsid w:val="005562B8"/>
    <w:rsid w:val="00557BB2"/>
    <w:rsid w:val="00560858"/>
    <w:rsid w:val="0056467A"/>
    <w:rsid w:val="00565343"/>
    <w:rsid w:val="00571D71"/>
    <w:rsid w:val="0057343A"/>
    <w:rsid w:val="00576A96"/>
    <w:rsid w:val="00586736"/>
    <w:rsid w:val="00593CCD"/>
    <w:rsid w:val="005948F5"/>
    <w:rsid w:val="0059761F"/>
    <w:rsid w:val="005A01F7"/>
    <w:rsid w:val="005A27AE"/>
    <w:rsid w:val="005B0273"/>
    <w:rsid w:val="005B0840"/>
    <w:rsid w:val="005B1D11"/>
    <w:rsid w:val="005B34CD"/>
    <w:rsid w:val="005B7B98"/>
    <w:rsid w:val="005C0DFA"/>
    <w:rsid w:val="005C1303"/>
    <w:rsid w:val="005C1C49"/>
    <w:rsid w:val="005C2298"/>
    <w:rsid w:val="005C4DD9"/>
    <w:rsid w:val="005D2E8F"/>
    <w:rsid w:val="005D66B5"/>
    <w:rsid w:val="005E0E65"/>
    <w:rsid w:val="005E2616"/>
    <w:rsid w:val="005E30C8"/>
    <w:rsid w:val="005E45F4"/>
    <w:rsid w:val="005E781B"/>
    <w:rsid w:val="005E7988"/>
    <w:rsid w:val="005E7D16"/>
    <w:rsid w:val="005F1BB3"/>
    <w:rsid w:val="005F358A"/>
    <w:rsid w:val="005F3B77"/>
    <w:rsid w:val="005F5EB4"/>
    <w:rsid w:val="005F67E0"/>
    <w:rsid w:val="005F69F0"/>
    <w:rsid w:val="005F71B7"/>
    <w:rsid w:val="005F76D3"/>
    <w:rsid w:val="00602432"/>
    <w:rsid w:val="00602751"/>
    <w:rsid w:val="0060362E"/>
    <w:rsid w:val="00603E07"/>
    <w:rsid w:val="00605EBE"/>
    <w:rsid w:val="006113D5"/>
    <w:rsid w:val="00611A9E"/>
    <w:rsid w:val="0061500C"/>
    <w:rsid w:val="006215E1"/>
    <w:rsid w:val="0062399A"/>
    <w:rsid w:val="00631C1B"/>
    <w:rsid w:val="006325F8"/>
    <w:rsid w:val="006337EC"/>
    <w:rsid w:val="00633C7F"/>
    <w:rsid w:val="006343EB"/>
    <w:rsid w:val="00641002"/>
    <w:rsid w:val="00641493"/>
    <w:rsid w:val="0064672B"/>
    <w:rsid w:val="006471D8"/>
    <w:rsid w:val="006472D5"/>
    <w:rsid w:val="00650528"/>
    <w:rsid w:val="006520AB"/>
    <w:rsid w:val="00653C0C"/>
    <w:rsid w:val="006547F2"/>
    <w:rsid w:val="00654D6B"/>
    <w:rsid w:val="006554FB"/>
    <w:rsid w:val="00660279"/>
    <w:rsid w:val="006614B4"/>
    <w:rsid w:val="00661B52"/>
    <w:rsid w:val="0066547A"/>
    <w:rsid w:val="00671B60"/>
    <w:rsid w:val="00672B12"/>
    <w:rsid w:val="00673B30"/>
    <w:rsid w:val="0067412A"/>
    <w:rsid w:val="00680DC1"/>
    <w:rsid w:val="00681304"/>
    <w:rsid w:val="00690F56"/>
    <w:rsid w:val="00695D2C"/>
    <w:rsid w:val="006971EE"/>
    <w:rsid w:val="006A2CCF"/>
    <w:rsid w:val="006A34FD"/>
    <w:rsid w:val="006A6079"/>
    <w:rsid w:val="006A6EE1"/>
    <w:rsid w:val="006B0535"/>
    <w:rsid w:val="006B05E3"/>
    <w:rsid w:val="006B415F"/>
    <w:rsid w:val="006B56CD"/>
    <w:rsid w:val="006B7A1A"/>
    <w:rsid w:val="006C404E"/>
    <w:rsid w:val="006D244F"/>
    <w:rsid w:val="006D3CCA"/>
    <w:rsid w:val="006D71C0"/>
    <w:rsid w:val="006E0305"/>
    <w:rsid w:val="006E154F"/>
    <w:rsid w:val="006E29C1"/>
    <w:rsid w:val="006E2B65"/>
    <w:rsid w:val="006E786D"/>
    <w:rsid w:val="006E7E05"/>
    <w:rsid w:val="006F0D5B"/>
    <w:rsid w:val="006F35F4"/>
    <w:rsid w:val="006F5BF2"/>
    <w:rsid w:val="006F78D7"/>
    <w:rsid w:val="00702EEE"/>
    <w:rsid w:val="00703A97"/>
    <w:rsid w:val="00705CFF"/>
    <w:rsid w:val="007111F4"/>
    <w:rsid w:val="00713A26"/>
    <w:rsid w:val="00713F58"/>
    <w:rsid w:val="0072001D"/>
    <w:rsid w:val="00720C83"/>
    <w:rsid w:val="007226E0"/>
    <w:rsid w:val="00724B22"/>
    <w:rsid w:val="00725814"/>
    <w:rsid w:val="00725A5A"/>
    <w:rsid w:val="00725D65"/>
    <w:rsid w:val="00730FD6"/>
    <w:rsid w:val="007331F3"/>
    <w:rsid w:val="007346F5"/>
    <w:rsid w:val="00736F64"/>
    <w:rsid w:val="00737A2B"/>
    <w:rsid w:val="007448F3"/>
    <w:rsid w:val="00745489"/>
    <w:rsid w:val="00745C52"/>
    <w:rsid w:val="00750F52"/>
    <w:rsid w:val="00751188"/>
    <w:rsid w:val="007524DD"/>
    <w:rsid w:val="007526EE"/>
    <w:rsid w:val="007534B7"/>
    <w:rsid w:val="00753A1F"/>
    <w:rsid w:val="00753E75"/>
    <w:rsid w:val="00754130"/>
    <w:rsid w:val="00754EDC"/>
    <w:rsid w:val="00757D30"/>
    <w:rsid w:val="00763F9A"/>
    <w:rsid w:val="0076649F"/>
    <w:rsid w:val="00766887"/>
    <w:rsid w:val="00770FE2"/>
    <w:rsid w:val="007733F9"/>
    <w:rsid w:val="00773DB1"/>
    <w:rsid w:val="00775350"/>
    <w:rsid w:val="00783762"/>
    <w:rsid w:val="007854EF"/>
    <w:rsid w:val="0079117E"/>
    <w:rsid w:val="00794444"/>
    <w:rsid w:val="0079707D"/>
    <w:rsid w:val="007B0931"/>
    <w:rsid w:val="007B1AB2"/>
    <w:rsid w:val="007B1F32"/>
    <w:rsid w:val="007B6446"/>
    <w:rsid w:val="007B649F"/>
    <w:rsid w:val="007C0A0A"/>
    <w:rsid w:val="007C0A40"/>
    <w:rsid w:val="007C205B"/>
    <w:rsid w:val="007C3D99"/>
    <w:rsid w:val="007C5BDD"/>
    <w:rsid w:val="007C78E0"/>
    <w:rsid w:val="007D18F3"/>
    <w:rsid w:val="007D4D5A"/>
    <w:rsid w:val="007D5386"/>
    <w:rsid w:val="007D5D86"/>
    <w:rsid w:val="007D6648"/>
    <w:rsid w:val="007D7E4E"/>
    <w:rsid w:val="007E1936"/>
    <w:rsid w:val="007E539F"/>
    <w:rsid w:val="007E73A0"/>
    <w:rsid w:val="007F4044"/>
    <w:rsid w:val="007F480E"/>
    <w:rsid w:val="007F4C8B"/>
    <w:rsid w:val="007F6921"/>
    <w:rsid w:val="007F72C5"/>
    <w:rsid w:val="008001D1"/>
    <w:rsid w:val="00802FF5"/>
    <w:rsid w:val="0080561F"/>
    <w:rsid w:val="008102AB"/>
    <w:rsid w:val="00810E60"/>
    <w:rsid w:val="00811A7E"/>
    <w:rsid w:val="00812095"/>
    <w:rsid w:val="0081453A"/>
    <w:rsid w:val="008241F7"/>
    <w:rsid w:val="00827464"/>
    <w:rsid w:val="00834920"/>
    <w:rsid w:val="00834EE8"/>
    <w:rsid w:val="008358F0"/>
    <w:rsid w:val="00835C82"/>
    <w:rsid w:val="00836576"/>
    <w:rsid w:val="00836982"/>
    <w:rsid w:val="00836D13"/>
    <w:rsid w:val="00844D64"/>
    <w:rsid w:val="008451F9"/>
    <w:rsid w:val="00845C32"/>
    <w:rsid w:val="00846406"/>
    <w:rsid w:val="00846855"/>
    <w:rsid w:val="00852DB8"/>
    <w:rsid w:val="00853D3F"/>
    <w:rsid w:val="00857474"/>
    <w:rsid w:val="00862F51"/>
    <w:rsid w:val="00864A22"/>
    <w:rsid w:val="00870FD1"/>
    <w:rsid w:val="00873B44"/>
    <w:rsid w:val="00875FE2"/>
    <w:rsid w:val="0087636A"/>
    <w:rsid w:val="00882052"/>
    <w:rsid w:val="00893FC3"/>
    <w:rsid w:val="00897C94"/>
    <w:rsid w:val="008A08CA"/>
    <w:rsid w:val="008A149D"/>
    <w:rsid w:val="008A3536"/>
    <w:rsid w:val="008A3B3B"/>
    <w:rsid w:val="008A5876"/>
    <w:rsid w:val="008B2934"/>
    <w:rsid w:val="008B3396"/>
    <w:rsid w:val="008B5CAB"/>
    <w:rsid w:val="008C0A7A"/>
    <w:rsid w:val="008C22B6"/>
    <w:rsid w:val="008C2924"/>
    <w:rsid w:val="008C4409"/>
    <w:rsid w:val="008D197B"/>
    <w:rsid w:val="008D1CB2"/>
    <w:rsid w:val="008D5FD8"/>
    <w:rsid w:val="008D6A79"/>
    <w:rsid w:val="008E0051"/>
    <w:rsid w:val="008E0F4F"/>
    <w:rsid w:val="008E2219"/>
    <w:rsid w:val="008E3955"/>
    <w:rsid w:val="008E430E"/>
    <w:rsid w:val="008E4566"/>
    <w:rsid w:val="008F144D"/>
    <w:rsid w:val="00901429"/>
    <w:rsid w:val="009019CA"/>
    <w:rsid w:val="0090205B"/>
    <w:rsid w:val="0090697B"/>
    <w:rsid w:val="009071A9"/>
    <w:rsid w:val="00910532"/>
    <w:rsid w:val="00910693"/>
    <w:rsid w:val="00910CAA"/>
    <w:rsid w:val="00913BFD"/>
    <w:rsid w:val="00915783"/>
    <w:rsid w:val="00920907"/>
    <w:rsid w:val="0092090C"/>
    <w:rsid w:val="0092334F"/>
    <w:rsid w:val="00927A6F"/>
    <w:rsid w:val="00927EF4"/>
    <w:rsid w:val="009305FF"/>
    <w:rsid w:val="0093166B"/>
    <w:rsid w:val="00937D1B"/>
    <w:rsid w:val="009412A4"/>
    <w:rsid w:val="00943365"/>
    <w:rsid w:val="00943525"/>
    <w:rsid w:val="00943910"/>
    <w:rsid w:val="00945BAF"/>
    <w:rsid w:val="00955E1B"/>
    <w:rsid w:val="00957D41"/>
    <w:rsid w:val="00961A14"/>
    <w:rsid w:val="009665A7"/>
    <w:rsid w:val="0096793B"/>
    <w:rsid w:val="00972E2E"/>
    <w:rsid w:val="00973950"/>
    <w:rsid w:val="00975F7D"/>
    <w:rsid w:val="009820CA"/>
    <w:rsid w:val="00983748"/>
    <w:rsid w:val="009916D5"/>
    <w:rsid w:val="009932BB"/>
    <w:rsid w:val="00994FD9"/>
    <w:rsid w:val="009964F9"/>
    <w:rsid w:val="00996EB0"/>
    <w:rsid w:val="009A1C91"/>
    <w:rsid w:val="009A3364"/>
    <w:rsid w:val="009B165C"/>
    <w:rsid w:val="009B16A0"/>
    <w:rsid w:val="009B61FD"/>
    <w:rsid w:val="009B72D8"/>
    <w:rsid w:val="009B75F4"/>
    <w:rsid w:val="009C0437"/>
    <w:rsid w:val="009C107A"/>
    <w:rsid w:val="009D339F"/>
    <w:rsid w:val="009D4347"/>
    <w:rsid w:val="009D463F"/>
    <w:rsid w:val="009D4B99"/>
    <w:rsid w:val="009D53E7"/>
    <w:rsid w:val="009D6141"/>
    <w:rsid w:val="009E2FB3"/>
    <w:rsid w:val="009E487B"/>
    <w:rsid w:val="009E4957"/>
    <w:rsid w:val="009F03F6"/>
    <w:rsid w:val="009F04FE"/>
    <w:rsid w:val="009F242D"/>
    <w:rsid w:val="009F2DC8"/>
    <w:rsid w:val="009F77DB"/>
    <w:rsid w:val="00A0181C"/>
    <w:rsid w:val="00A0519D"/>
    <w:rsid w:val="00A11D1D"/>
    <w:rsid w:val="00A11F4B"/>
    <w:rsid w:val="00A24460"/>
    <w:rsid w:val="00A24934"/>
    <w:rsid w:val="00A24E2C"/>
    <w:rsid w:val="00A310E2"/>
    <w:rsid w:val="00A31EE3"/>
    <w:rsid w:val="00A334D4"/>
    <w:rsid w:val="00A3592C"/>
    <w:rsid w:val="00A42689"/>
    <w:rsid w:val="00A43F50"/>
    <w:rsid w:val="00A452D2"/>
    <w:rsid w:val="00A46A54"/>
    <w:rsid w:val="00A50546"/>
    <w:rsid w:val="00A505C6"/>
    <w:rsid w:val="00A513DB"/>
    <w:rsid w:val="00A51B13"/>
    <w:rsid w:val="00A51E8F"/>
    <w:rsid w:val="00A52E34"/>
    <w:rsid w:val="00A54AB6"/>
    <w:rsid w:val="00A54F76"/>
    <w:rsid w:val="00A57234"/>
    <w:rsid w:val="00A6063A"/>
    <w:rsid w:val="00A60704"/>
    <w:rsid w:val="00A6273B"/>
    <w:rsid w:val="00A63528"/>
    <w:rsid w:val="00A6388F"/>
    <w:rsid w:val="00A647FE"/>
    <w:rsid w:val="00A65719"/>
    <w:rsid w:val="00A700F4"/>
    <w:rsid w:val="00A73949"/>
    <w:rsid w:val="00A74F73"/>
    <w:rsid w:val="00A8565F"/>
    <w:rsid w:val="00A9020B"/>
    <w:rsid w:val="00A917A5"/>
    <w:rsid w:val="00A93B62"/>
    <w:rsid w:val="00A93D5B"/>
    <w:rsid w:val="00A965D8"/>
    <w:rsid w:val="00AA0AFF"/>
    <w:rsid w:val="00AA53E6"/>
    <w:rsid w:val="00AA7475"/>
    <w:rsid w:val="00AB05B3"/>
    <w:rsid w:val="00AB2088"/>
    <w:rsid w:val="00AB3CD6"/>
    <w:rsid w:val="00AB5C7E"/>
    <w:rsid w:val="00AD0420"/>
    <w:rsid w:val="00AD1CCF"/>
    <w:rsid w:val="00AD32D2"/>
    <w:rsid w:val="00AD68D2"/>
    <w:rsid w:val="00AE079C"/>
    <w:rsid w:val="00AE0CE0"/>
    <w:rsid w:val="00AE1131"/>
    <w:rsid w:val="00AE252E"/>
    <w:rsid w:val="00AE60D1"/>
    <w:rsid w:val="00AF0FB9"/>
    <w:rsid w:val="00AF1943"/>
    <w:rsid w:val="00AF3522"/>
    <w:rsid w:val="00AF521F"/>
    <w:rsid w:val="00AF5337"/>
    <w:rsid w:val="00AF653D"/>
    <w:rsid w:val="00AF6B4F"/>
    <w:rsid w:val="00AF7229"/>
    <w:rsid w:val="00B10FCD"/>
    <w:rsid w:val="00B13D12"/>
    <w:rsid w:val="00B15F91"/>
    <w:rsid w:val="00B26749"/>
    <w:rsid w:val="00B36DC3"/>
    <w:rsid w:val="00B3734A"/>
    <w:rsid w:val="00B40F3C"/>
    <w:rsid w:val="00B4137D"/>
    <w:rsid w:val="00B4140D"/>
    <w:rsid w:val="00B41F71"/>
    <w:rsid w:val="00B4441C"/>
    <w:rsid w:val="00B445E5"/>
    <w:rsid w:val="00B46674"/>
    <w:rsid w:val="00B511E9"/>
    <w:rsid w:val="00B5229D"/>
    <w:rsid w:val="00B52CE7"/>
    <w:rsid w:val="00B53C36"/>
    <w:rsid w:val="00B5518F"/>
    <w:rsid w:val="00B55E7B"/>
    <w:rsid w:val="00B56CC8"/>
    <w:rsid w:val="00B57D4E"/>
    <w:rsid w:val="00B61EB3"/>
    <w:rsid w:val="00B643AB"/>
    <w:rsid w:val="00B669F3"/>
    <w:rsid w:val="00B70A4A"/>
    <w:rsid w:val="00B71648"/>
    <w:rsid w:val="00B74831"/>
    <w:rsid w:val="00B76AAF"/>
    <w:rsid w:val="00B81839"/>
    <w:rsid w:val="00B86D01"/>
    <w:rsid w:val="00B90D99"/>
    <w:rsid w:val="00B91999"/>
    <w:rsid w:val="00B9651D"/>
    <w:rsid w:val="00B9702A"/>
    <w:rsid w:val="00BA06C1"/>
    <w:rsid w:val="00BA0A0C"/>
    <w:rsid w:val="00BA1BCA"/>
    <w:rsid w:val="00BA3038"/>
    <w:rsid w:val="00BA56FA"/>
    <w:rsid w:val="00BA6293"/>
    <w:rsid w:val="00BA6B5E"/>
    <w:rsid w:val="00BB17EF"/>
    <w:rsid w:val="00BB4E30"/>
    <w:rsid w:val="00BB63CE"/>
    <w:rsid w:val="00BC0781"/>
    <w:rsid w:val="00BC43E7"/>
    <w:rsid w:val="00BC4F48"/>
    <w:rsid w:val="00BD017B"/>
    <w:rsid w:val="00BD1B2D"/>
    <w:rsid w:val="00BD50B3"/>
    <w:rsid w:val="00BD6B2E"/>
    <w:rsid w:val="00BD77BA"/>
    <w:rsid w:val="00BE1545"/>
    <w:rsid w:val="00BE1E0D"/>
    <w:rsid w:val="00BF1829"/>
    <w:rsid w:val="00BF1FF9"/>
    <w:rsid w:val="00BF2A8B"/>
    <w:rsid w:val="00BF3622"/>
    <w:rsid w:val="00BF3825"/>
    <w:rsid w:val="00BF3EE9"/>
    <w:rsid w:val="00BF43D0"/>
    <w:rsid w:val="00BF56FA"/>
    <w:rsid w:val="00BF6421"/>
    <w:rsid w:val="00C00DBB"/>
    <w:rsid w:val="00C01EB5"/>
    <w:rsid w:val="00C03050"/>
    <w:rsid w:val="00C04560"/>
    <w:rsid w:val="00C0613A"/>
    <w:rsid w:val="00C10E29"/>
    <w:rsid w:val="00C12DDA"/>
    <w:rsid w:val="00C15838"/>
    <w:rsid w:val="00C165CB"/>
    <w:rsid w:val="00C224F2"/>
    <w:rsid w:val="00C22585"/>
    <w:rsid w:val="00C22A07"/>
    <w:rsid w:val="00C24EB9"/>
    <w:rsid w:val="00C31148"/>
    <w:rsid w:val="00C37AE4"/>
    <w:rsid w:val="00C41DAD"/>
    <w:rsid w:val="00C43D92"/>
    <w:rsid w:val="00C500F5"/>
    <w:rsid w:val="00C507AC"/>
    <w:rsid w:val="00C50A04"/>
    <w:rsid w:val="00C51F20"/>
    <w:rsid w:val="00C56166"/>
    <w:rsid w:val="00C56C0B"/>
    <w:rsid w:val="00C64213"/>
    <w:rsid w:val="00C70776"/>
    <w:rsid w:val="00C76B00"/>
    <w:rsid w:val="00C77528"/>
    <w:rsid w:val="00C863A7"/>
    <w:rsid w:val="00C86E60"/>
    <w:rsid w:val="00C90262"/>
    <w:rsid w:val="00C903AC"/>
    <w:rsid w:val="00C93CBB"/>
    <w:rsid w:val="00C94F0A"/>
    <w:rsid w:val="00C977F2"/>
    <w:rsid w:val="00CA394F"/>
    <w:rsid w:val="00CA4E91"/>
    <w:rsid w:val="00CA5B14"/>
    <w:rsid w:val="00CA5D84"/>
    <w:rsid w:val="00CB1343"/>
    <w:rsid w:val="00CB3336"/>
    <w:rsid w:val="00CB4390"/>
    <w:rsid w:val="00CB5087"/>
    <w:rsid w:val="00CB63F7"/>
    <w:rsid w:val="00CC6626"/>
    <w:rsid w:val="00CC6D5C"/>
    <w:rsid w:val="00CC6EAC"/>
    <w:rsid w:val="00CD46BD"/>
    <w:rsid w:val="00CD576F"/>
    <w:rsid w:val="00CD629E"/>
    <w:rsid w:val="00CE26AA"/>
    <w:rsid w:val="00CE2B38"/>
    <w:rsid w:val="00CE469D"/>
    <w:rsid w:val="00CE620F"/>
    <w:rsid w:val="00CE6F1E"/>
    <w:rsid w:val="00CF32C4"/>
    <w:rsid w:val="00CF729D"/>
    <w:rsid w:val="00D02551"/>
    <w:rsid w:val="00D05B87"/>
    <w:rsid w:val="00D11CEA"/>
    <w:rsid w:val="00D15119"/>
    <w:rsid w:val="00D158D4"/>
    <w:rsid w:val="00D15E24"/>
    <w:rsid w:val="00D2048C"/>
    <w:rsid w:val="00D22862"/>
    <w:rsid w:val="00D2570B"/>
    <w:rsid w:val="00D25FE7"/>
    <w:rsid w:val="00D2767B"/>
    <w:rsid w:val="00D3162F"/>
    <w:rsid w:val="00D45BD2"/>
    <w:rsid w:val="00D45C26"/>
    <w:rsid w:val="00D47A8B"/>
    <w:rsid w:val="00D55F87"/>
    <w:rsid w:val="00D561C5"/>
    <w:rsid w:val="00D57767"/>
    <w:rsid w:val="00D57E3D"/>
    <w:rsid w:val="00D60E31"/>
    <w:rsid w:val="00D635CA"/>
    <w:rsid w:val="00D636A8"/>
    <w:rsid w:val="00D649D0"/>
    <w:rsid w:val="00D73B2C"/>
    <w:rsid w:val="00D74AB1"/>
    <w:rsid w:val="00D7743B"/>
    <w:rsid w:val="00D81AB6"/>
    <w:rsid w:val="00D843A2"/>
    <w:rsid w:val="00D901E5"/>
    <w:rsid w:val="00D91F5B"/>
    <w:rsid w:val="00D92174"/>
    <w:rsid w:val="00D935FA"/>
    <w:rsid w:val="00DA70AD"/>
    <w:rsid w:val="00DB0EDF"/>
    <w:rsid w:val="00DB5310"/>
    <w:rsid w:val="00DB636C"/>
    <w:rsid w:val="00DC03FB"/>
    <w:rsid w:val="00DC1663"/>
    <w:rsid w:val="00DC21C2"/>
    <w:rsid w:val="00DC23C1"/>
    <w:rsid w:val="00DC30A6"/>
    <w:rsid w:val="00DC3398"/>
    <w:rsid w:val="00DC33DC"/>
    <w:rsid w:val="00DC39CB"/>
    <w:rsid w:val="00DC3F2B"/>
    <w:rsid w:val="00DC6292"/>
    <w:rsid w:val="00DC73AB"/>
    <w:rsid w:val="00DD4FF4"/>
    <w:rsid w:val="00DE1CB2"/>
    <w:rsid w:val="00DE782C"/>
    <w:rsid w:val="00DF15CA"/>
    <w:rsid w:val="00DF2E01"/>
    <w:rsid w:val="00DF31D2"/>
    <w:rsid w:val="00DF354E"/>
    <w:rsid w:val="00DF7273"/>
    <w:rsid w:val="00E001AB"/>
    <w:rsid w:val="00E005CA"/>
    <w:rsid w:val="00E05475"/>
    <w:rsid w:val="00E05B77"/>
    <w:rsid w:val="00E07078"/>
    <w:rsid w:val="00E104F2"/>
    <w:rsid w:val="00E118E9"/>
    <w:rsid w:val="00E12F10"/>
    <w:rsid w:val="00E158A5"/>
    <w:rsid w:val="00E16868"/>
    <w:rsid w:val="00E22E0C"/>
    <w:rsid w:val="00E22E46"/>
    <w:rsid w:val="00E22F06"/>
    <w:rsid w:val="00E27A1C"/>
    <w:rsid w:val="00E27C1A"/>
    <w:rsid w:val="00E3314F"/>
    <w:rsid w:val="00E41BB9"/>
    <w:rsid w:val="00E45E54"/>
    <w:rsid w:val="00E542BE"/>
    <w:rsid w:val="00E56A65"/>
    <w:rsid w:val="00E718AE"/>
    <w:rsid w:val="00E73854"/>
    <w:rsid w:val="00E76AAB"/>
    <w:rsid w:val="00E80DF1"/>
    <w:rsid w:val="00E85D43"/>
    <w:rsid w:val="00E920FC"/>
    <w:rsid w:val="00E95CD5"/>
    <w:rsid w:val="00E97032"/>
    <w:rsid w:val="00EA4990"/>
    <w:rsid w:val="00EA4C4F"/>
    <w:rsid w:val="00EB2392"/>
    <w:rsid w:val="00EC0A6F"/>
    <w:rsid w:val="00EC1A1E"/>
    <w:rsid w:val="00EC42D6"/>
    <w:rsid w:val="00EC7045"/>
    <w:rsid w:val="00ED2158"/>
    <w:rsid w:val="00ED2545"/>
    <w:rsid w:val="00ED4064"/>
    <w:rsid w:val="00EE0B0F"/>
    <w:rsid w:val="00EE1EAB"/>
    <w:rsid w:val="00EE65F7"/>
    <w:rsid w:val="00EF16F7"/>
    <w:rsid w:val="00EF6300"/>
    <w:rsid w:val="00F00A65"/>
    <w:rsid w:val="00F026E5"/>
    <w:rsid w:val="00F0667E"/>
    <w:rsid w:val="00F10031"/>
    <w:rsid w:val="00F24FEC"/>
    <w:rsid w:val="00F270FD"/>
    <w:rsid w:val="00F2751A"/>
    <w:rsid w:val="00F3005E"/>
    <w:rsid w:val="00F32280"/>
    <w:rsid w:val="00F32FBA"/>
    <w:rsid w:val="00F330A7"/>
    <w:rsid w:val="00F34119"/>
    <w:rsid w:val="00F36220"/>
    <w:rsid w:val="00F377C7"/>
    <w:rsid w:val="00F40419"/>
    <w:rsid w:val="00F41F3C"/>
    <w:rsid w:val="00F46CBD"/>
    <w:rsid w:val="00F52337"/>
    <w:rsid w:val="00F54289"/>
    <w:rsid w:val="00F556C1"/>
    <w:rsid w:val="00F5753A"/>
    <w:rsid w:val="00F602B3"/>
    <w:rsid w:val="00F62F28"/>
    <w:rsid w:val="00F67AA7"/>
    <w:rsid w:val="00F70245"/>
    <w:rsid w:val="00F70614"/>
    <w:rsid w:val="00F73F6A"/>
    <w:rsid w:val="00F74945"/>
    <w:rsid w:val="00F75765"/>
    <w:rsid w:val="00F77453"/>
    <w:rsid w:val="00F77F51"/>
    <w:rsid w:val="00F8067A"/>
    <w:rsid w:val="00F852CA"/>
    <w:rsid w:val="00F8552B"/>
    <w:rsid w:val="00F85B91"/>
    <w:rsid w:val="00F86387"/>
    <w:rsid w:val="00F903EB"/>
    <w:rsid w:val="00F9189B"/>
    <w:rsid w:val="00F91C73"/>
    <w:rsid w:val="00F95853"/>
    <w:rsid w:val="00F97F27"/>
    <w:rsid w:val="00FA005C"/>
    <w:rsid w:val="00FA4A1C"/>
    <w:rsid w:val="00FA5A9F"/>
    <w:rsid w:val="00FA6C67"/>
    <w:rsid w:val="00FB02CF"/>
    <w:rsid w:val="00FB0786"/>
    <w:rsid w:val="00FB0873"/>
    <w:rsid w:val="00FB158F"/>
    <w:rsid w:val="00FB3278"/>
    <w:rsid w:val="00FB32E2"/>
    <w:rsid w:val="00FB3F90"/>
    <w:rsid w:val="00FB4DCB"/>
    <w:rsid w:val="00FC111C"/>
    <w:rsid w:val="00FC1C60"/>
    <w:rsid w:val="00FC3139"/>
    <w:rsid w:val="00FC46CE"/>
    <w:rsid w:val="00FD0823"/>
    <w:rsid w:val="00FD0D9B"/>
    <w:rsid w:val="00FD25CC"/>
    <w:rsid w:val="00FD262B"/>
    <w:rsid w:val="00FD3D60"/>
    <w:rsid w:val="00FD40E3"/>
    <w:rsid w:val="00FD432E"/>
    <w:rsid w:val="00FD6B1A"/>
    <w:rsid w:val="00FE4540"/>
    <w:rsid w:val="00FE49E6"/>
    <w:rsid w:val="00FE5470"/>
    <w:rsid w:val="00FF0AB4"/>
    <w:rsid w:val="00FF0BB7"/>
    <w:rsid w:val="010560B4"/>
    <w:rsid w:val="0128508C"/>
    <w:rsid w:val="015666C6"/>
    <w:rsid w:val="0169707B"/>
    <w:rsid w:val="018015F1"/>
    <w:rsid w:val="01A06E9D"/>
    <w:rsid w:val="01BE00A1"/>
    <w:rsid w:val="01F64D0F"/>
    <w:rsid w:val="01FB40D3"/>
    <w:rsid w:val="02050D19"/>
    <w:rsid w:val="02353A89"/>
    <w:rsid w:val="02357A82"/>
    <w:rsid w:val="02376578"/>
    <w:rsid w:val="0241242E"/>
    <w:rsid w:val="024D5DAB"/>
    <w:rsid w:val="025008C3"/>
    <w:rsid w:val="0261662C"/>
    <w:rsid w:val="026305F6"/>
    <w:rsid w:val="02693733"/>
    <w:rsid w:val="02727373"/>
    <w:rsid w:val="027C3466"/>
    <w:rsid w:val="029D71F7"/>
    <w:rsid w:val="02B524D4"/>
    <w:rsid w:val="02B96468"/>
    <w:rsid w:val="02CD1F13"/>
    <w:rsid w:val="02D7362F"/>
    <w:rsid w:val="02DB594E"/>
    <w:rsid w:val="02E1151B"/>
    <w:rsid w:val="02EA4873"/>
    <w:rsid w:val="034A5312"/>
    <w:rsid w:val="035C6DF3"/>
    <w:rsid w:val="03600692"/>
    <w:rsid w:val="03681C3C"/>
    <w:rsid w:val="03A26EFC"/>
    <w:rsid w:val="03AA65DF"/>
    <w:rsid w:val="03B95FF4"/>
    <w:rsid w:val="03D80B70"/>
    <w:rsid w:val="03F11C32"/>
    <w:rsid w:val="03FF3C16"/>
    <w:rsid w:val="040F20B8"/>
    <w:rsid w:val="04390EE3"/>
    <w:rsid w:val="047F0FEB"/>
    <w:rsid w:val="048B3E34"/>
    <w:rsid w:val="04A14F6B"/>
    <w:rsid w:val="04EE7F1F"/>
    <w:rsid w:val="051C6E4F"/>
    <w:rsid w:val="052B4919"/>
    <w:rsid w:val="057353D7"/>
    <w:rsid w:val="058E118A"/>
    <w:rsid w:val="059830E2"/>
    <w:rsid w:val="05BB6053"/>
    <w:rsid w:val="05BD3129"/>
    <w:rsid w:val="05D21947"/>
    <w:rsid w:val="05DC1C04"/>
    <w:rsid w:val="063509CE"/>
    <w:rsid w:val="066C37F1"/>
    <w:rsid w:val="06935222"/>
    <w:rsid w:val="0694395B"/>
    <w:rsid w:val="06976C37"/>
    <w:rsid w:val="06A20FC1"/>
    <w:rsid w:val="06A50AB1"/>
    <w:rsid w:val="07091040"/>
    <w:rsid w:val="07155261"/>
    <w:rsid w:val="07726BE5"/>
    <w:rsid w:val="077F1302"/>
    <w:rsid w:val="07DC353D"/>
    <w:rsid w:val="07FC2953"/>
    <w:rsid w:val="080D04DA"/>
    <w:rsid w:val="0854453D"/>
    <w:rsid w:val="088B1C63"/>
    <w:rsid w:val="088E7A4F"/>
    <w:rsid w:val="08916754"/>
    <w:rsid w:val="08BB0020"/>
    <w:rsid w:val="08EB6C4F"/>
    <w:rsid w:val="08F82062"/>
    <w:rsid w:val="091B505B"/>
    <w:rsid w:val="098123EC"/>
    <w:rsid w:val="099C43EE"/>
    <w:rsid w:val="09BA2AC6"/>
    <w:rsid w:val="09D12301"/>
    <w:rsid w:val="09DF2851"/>
    <w:rsid w:val="0A077959"/>
    <w:rsid w:val="0A1C72DC"/>
    <w:rsid w:val="0A51342A"/>
    <w:rsid w:val="0A5922DF"/>
    <w:rsid w:val="0A801619"/>
    <w:rsid w:val="0AC7549A"/>
    <w:rsid w:val="0ACB2992"/>
    <w:rsid w:val="0AD57BB7"/>
    <w:rsid w:val="0B053835"/>
    <w:rsid w:val="0B0D5939"/>
    <w:rsid w:val="0B2428ED"/>
    <w:rsid w:val="0B3A5311"/>
    <w:rsid w:val="0B6E5916"/>
    <w:rsid w:val="0B725406"/>
    <w:rsid w:val="0BCE3FDB"/>
    <w:rsid w:val="0BD25487"/>
    <w:rsid w:val="0C006EB6"/>
    <w:rsid w:val="0C193AD3"/>
    <w:rsid w:val="0C2B1A59"/>
    <w:rsid w:val="0C5608C4"/>
    <w:rsid w:val="0C882A07"/>
    <w:rsid w:val="0CBA4A3B"/>
    <w:rsid w:val="0CD720B1"/>
    <w:rsid w:val="0CD842E1"/>
    <w:rsid w:val="0CDF2F6F"/>
    <w:rsid w:val="0CE045F1"/>
    <w:rsid w:val="0CF63E15"/>
    <w:rsid w:val="0D0E07AA"/>
    <w:rsid w:val="0D5D2441"/>
    <w:rsid w:val="0D6E51A3"/>
    <w:rsid w:val="0D7163D5"/>
    <w:rsid w:val="0D7A2C98"/>
    <w:rsid w:val="0D9C2C0E"/>
    <w:rsid w:val="0DA27AF9"/>
    <w:rsid w:val="0DBF3F36"/>
    <w:rsid w:val="0DEB76F2"/>
    <w:rsid w:val="0E0E518E"/>
    <w:rsid w:val="0E2055ED"/>
    <w:rsid w:val="0E2844A2"/>
    <w:rsid w:val="0E454875"/>
    <w:rsid w:val="0E792F4F"/>
    <w:rsid w:val="0E8A6407"/>
    <w:rsid w:val="0EBA709D"/>
    <w:rsid w:val="0ECE329B"/>
    <w:rsid w:val="0EEE7499"/>
    <w:rsid w:val="0EF6634E"/>
    <w:rsid w:val="0F032819"/>
    <w:rsid w:val="0F312688"/>
    <w:rsid w:val="0F626BBD"/>
    <w:rsid w:val="0F8C0A60"/>
    <w:rsid w:val="0FAB73BD"/>
    <w:rsid w:val="10014FAA"/>
    <w:rsid w:val="10066DD5"/>
    <w:rsid w:val="101A7E39"/>
    <w:rsid w:val="1046165C"/>
    <w:rsid w:val="10596B94"/>
    <w:rsid w:val="105B0B5E"/>
    <w:rsid w:val="105B0C40"/>
    <w:rsid w:val="105C0433"/>
    <w:rsid w:val="10795489"/>
    <w:rsid w:val="10987F57"/>
    <w:rsid w:val="10D6560E"/>
    <w:rsid w:val="10E02E12"/>
    <w:rsid w:val="11124F95"/>
    <w:rsid w:val="112770AE"/>
    <w:rsid w:val="114B1DC9"/>
    <w:rsid w:val="11765524"/>
    <w:rsid w:val="118F65E6"/>
    <w:rsid w:val="11B5375B"/>
    <w:rsid w:val="11F1104F"/>
    <w:rsid w:val="11F33019"/>
    <w:rsid w:val="127001C5"/>
    <w:rsid w:val="127759F8"/>
    <w:rsid w:val="12C62422"/>
    <w:rsid w:val="13A75E69"/>
    <w:rsid w:val="13B50586"/>
    <w:rsid w:val="13B658D7"/>
    <w:rsid w:val="13DD32CA"/>
    <w:rsid w:val="13F015BE"/>
    <w:rsid w:val="144E09DA"/>
    <w:rsid w:val="14510AE3"/>
    <w:rsid w:val="145853B5"/>
    <w:rsid w:val="145E36CF"/>
    <w:rsid w:val="147A4870"/>
    <w:rsid w:val="148316A4"/>
    <w:rsid w:val="149C1262"/>
    <w:rsid w:val="149D101A"/>
    <w:rsid w:val="149D1053"/>
    <w:rsid w:val="149F53D2"/>
    <w:rsid w:val="14A66120"/>
    <w:rsid w:val="14BE4314"/>
    <w:rsid w:val="14F670A8"/>
    <w:rsid w:val="15064E11"/>
    <w:rsid w:val="152D48F8"/>
    <w:rsid w:val="1534372C"/>
    <w:rsid w:val="154D47EE"/>
    <w:rsid w:val="154D6E03"/>
    <w:rsid w:val="15512530"/>
    <w:rsid w:val="1557123D"/>
    <w:rsid w:val="158A77F0"/>
    <w:rsid w:val="15916C14"/>
    <w:rsid w:val="16157A01"/>
    <w:rsid w:val="16176B87"/>
    <w:rsid w:val="1629525B"/>
    <w:rsid w:val="162E68F0"/>
    <w:rsid w:val="162F5918"/>
    <w:rsid w:val="163B0AEA"/>
    <w:rsid w:val="163F056C"/>
    <w:rsid w:val="167E55A7"/>
    <w:rsid w:val="168172D2"/>
    <w:rsid w:val="169C5A2D"/>
    <w:rsid w:val="171750B3"/>
    <w:rsid w:val="172D220D"/>
    <w:rsid w:val="175400B6"/>
    <w:rsid w:val="17742506"/>
    <w:rsid w:val="177C760C"/>
    <w:rsid w:val="177D585E"/>
    <w:rsid w:val="17836BED"/>
    <w:rsid w:val="1792285B"/>
    <w:rsid w:val="17AA4179"/>
    <w:rsid w:val="17DB07D7"/>
    <w:rsid w:val="17EC5FE6"/>
    <w:rsid w:val="18956BD8"/>
    <w:rsid w:val="18C748B7"/>
    <w:rsid w:val="18D10AD3"/>
    <w:rsid w:val="18FD3DEE"/>
    <w:rsid w:val="19045B0B"/>
    <w:rsid w:val="195B397D"/>
    <w:rsid w:val="19924EC5"/>
    <w:rsid w:val="19D927F2"/>
    <w:rsid w:val="19E22F71"/>
    <w:rsid w:val="1A1F4384"/>
    <w:rsid w:val="1A2F0966"/>
    <w:rsid w:val="1A545BBD"/>
    <w:rsid w:val="1A65703B"/>
    <w:rsid w:val="1A9829AF"/>
    <w:rsid w:val="1AAE21D3"/>
    <w:rsid w:val="1ABC669E"/>
    <w:rsid w:val="1AF535FE"/>
    <w:rsid w:val="1AF82949"/>
    <w:rsid w:val="1B173873"/>
    <w:rsid w:val="1B57359E"/>
    <w:rsid w:val="1B9200F3"/>
    <w:rsid w:val="1BAB1F62"/>
    <w:rsid w:val="1BB8098A"/>
    <w:rsid w:val="1BD47A17"/>
    <w:rsid w:val="1BEF4851"/>
    <w:rsid w:val="1C0A12FE"/>
    <w:rsid w:val="1C18557B"/>
    <w:rsid w:val="1C420E24"/>
    <w:rsid w:val="1C487C14"/>
    <w:rsid w:val="1C620076"/>
    <w:rsid w:val="1C67088B"/>
    <w:rsid w:val="1C9F1DD3"/>
    <w:rsid w:val="1CB138A9"/>
    <w:rsid w:val="1CDA364E"/>
    <w:rsid w:val="1CF87606"/>
    <w:rsid w:val="1CFE54B7"/>
    <w:rsid w:val="1D13631D"/>
    <w:rsid w:val="1D2D5631"/>
    <w:rsid w:val="1D4B36EE"/>
    <w:rsid w:val="1D552DD9"/>
    <w:rsid w:val="1DC1221D"/>
    <w:rsid w:val="1DCA10D2"/>
    <w:rsid w:val="1DDF4451"/>
    <w:rsid w:val="1E08089C"/>
    <w:rsid w:val="1E116D00"/>
    <w:rsid w:val="1E342320"/>
    <w:rsid w:val="1E4B431C"/>
    <w:rsid w:val="1E4F7829"/>
    <w:rsid w:val="1E5170FD"/>
    <w:rsid w:val="1E543091"/>
    <w:rsid w:val="1EB678A8"/>
    <w:rsid w:val="1ECA6EAF"/>
    <w:rsid w:val="1EDC0E3B"/>
    <w:rsid w:val="1EDF295B"/>
    <w:rsid w:val="1EF659AA"/>
    <w:rsid w:val="1F130856"/>
    <w:rsid w:val="1F1574E0"/>
    <w:rsid w:val="1F631744"/>
    <w:rsid w:val="1F7E5429"/>
    <w:rsid w:val="1F8359DC"/>
    <w:rsid w:val="1FA36BA0"/>
    <w:rsid w:val="1FCC7750"/>
    <w:rsid w:val="1FED2105"/>
    <w:rsid w:val="1FF279B1"/>
    <w:rsid w:val="203171E6"/>
    <w:rsid w:val="20457E60"/>
    <w:rsid w:val="206B5E2E"/>
    <w:rsid w:val="20BA367F"/>
    <w:rsid w:val="20C31E08"/>
    <w:rsid w:val="20DC0855"/>
    <w:rsid w:val="20E45ED3"/>
    <w:rsid w:val="20FA7F20"/>
    <w:rsid w:val="20FC360C"/>
    <w:rsid w:val="20FD531A"/>
    <w:rsid w:val="212A1E87"/>
    <w:rsid w:val="214D44F3"/>
    <w:rsid w:val="21535882"/>
    <w:rsid w:val="216E19DE"/>
    <w:rsid w:val="21731A80"/>
    <w:rsid w:val="21923D99"/>
    <w:rsid w:val="2199132C"/>
    <w:rsid w:val="21BF2E24"/>
    <w:rsid w:val="21D05254"/>
    <w:rsid w:val="21E8243E"/>
    <w:rsid w:val="21EB5E53"/>
    <w:rsid w:val="221260D0"/>
    <w:rsid w:val="222D1C2F"/>
    <w:rsid w:val="223C1E72"/>
    <w:rsid w:val="224C6559"/>
    <w:rsid w:val="227850CF"/>
    <w:rsid w:val="22A81082"/>
    <w:rsid w:val="22AD4B1E"/>
    <w:rsid w:val="22B3419F"/>
    <w:rsid w:val="22BD09C5"/>
    <w:rsid w:val="22DF561F"/>
    <w:rsid w:val="22FB3ADB"/>
    <w:rsid w:val="230F5FC7"/>
    <w:rsid w:val="23272B22"/>
    <w:rsid w:val="23395C81"/>
    <w:rsid w:val="2342795C"/>
    <w:rsid w:val="23735D67"/>
    <w:rsid w:val="23DC56BB"/>
    <w:rsid w:val="23E00A04"/>
    <w:rsid w:val="24051056"/>
    <w:rsid w:val="241F37F9"/>
    <w:rsid w:val="245931AF"/>
    <w:rsid w:val="24D81B80"/>
    <w:rsid w:val="24DB3BC4"/>
    <w:rsid w:val="25050C41"/>
    <w:rsid w:val="251175E6"/>
    <w:rsid w:val="25207829"/>
    <w:rsid w:val="252E0198"/>
    <w:rsid w:val="2533755C"/>
    <w:rsid w:val="254E083A"/>
    <w:rsid w:val="255816B9"/>
    <w:rsid w:val="25627E42"/>
    <w:rsid w:val="257C53A7"/>
    <w:rsid w:val="259B3353"/>
    <w:rsid w:val="25A16BBC"/>
    <w:rsid w:val="25B27F08"/>
    <w:rsid w:val="25EC4B5C"/>
    <w:rsid w:val="26001180"/>
    <w:rsid w:val="261A071C"/>
    <w:rsid w:val="262F1A83"/>
    <w:rsid w:val="26396DF4"/>
    <w:rsid w:val="26410661"/>
    <w:rsid w:val="265C6F87"/>
    <w:rsid w:val="267840CB"/>
    <w:rsid w:val="26797B39"/>
    <w:rsid w:val="26951344"/>
    <w:rsid w:val="269F51E0"/>
    <w:rsid w:val="26FD42C6"/>
    <w:rsid w:val="274A3283"/>
    <w:rsid w:val="275238CD"/>
    <w:rsid w:val="278F4E81"/>
    <w:rsid w:val="280276BA"/>
    <w:rsid w:val="281A2C55"/>
    <w:rsid w:val="281F201A"/>
    <w:rsid w:val="28463A4A"/>
    <w:rsid w:val="286A349E"/>
    <w:rsid w:val="28862099"/>
    <w:rsid w:val="28885E11"/>
    <w:rsid w:val="290B257D"/>
    <w:rsid w:val="29550C15"/>
    <w:rsid w:val="295970F2"/>
    <w:rsid w:val="29761F3A"/>
    <w:rsid w:val="297E0FC2"/>
    <w:rsid w:val="297F0CCA"/>
    <w:rsid w:val="299C6377"/>
    <w:rsid w:val="29D82DC8"/>
    <w:rsid w:val="29F37C02"/>
    <w:rsid w:val="2A047719"/>
    <w:rsid w:val="2A200C92"/>
    <w:rsid w:val="2A29086A"/>
    <w:rsid w:val="2AC226D3"/>
    <w:rsid w:val="2ADC41F2"/>
    <w:rsid w:val="2B0053A3"/>
    <w:rsid w:val="2B4324C3"/>
    <w:rsid w:val="2B4F2C16"/>
    <w:rsid w:val="2B69017C"/>
    <w:rsid w:val="2B6C1A1A"/>
    <w:rsid w:val="2B6F150A"/>
    <w:rsid w:val="2B7E3180"/>
    <w:rsid w:val="2BB75061"/>
    <w:rsid w:val="2BB92785"/>
    <w:rsid w:val="2BE315B0"/>
    <w:rsid w:val="2BE912BD"/>
    <w:rsid w:val="2C0017C6"/>
    <w:rsid w:val="2C3E3493"/>
    <w:rsid w:val="2C736DD8"/>
    <w:rsid w:val="2C75135D"/>
    <w:rsid w:val="2CAE6128"/>
    <w:rsid w:val="2CD258AD"/>
    <w:rsid w:val="2CDF7FCA"/>
    <w:rsid w:val="2CF0667B"/>
    <w:rsid w:val="2CF67C29"/>
    <w:rsid w:val="2D0A65F3"/>
    <w:rsid w:val="2D297497"/>
    <w:rsid w:val="2D856DC3"/>
    <w:rsid w:val="2DA467F1"/>
    <w:rsid w:val="2DA52FC1"/>
    <w:rsid w:val="2DB72CF5"/>
    <w:rsid w:val="2DE55654"/>
    <w:rsid w:val="2E1E4B22"/>
    <w:rsid w:val="2E2E2FB7"/>
    <w:rsid w:val="2E352360"/>
    <w:rsid w:val="2E5D564A"/>
    <w:rsid w:val="2E68471D"/>
    <w:rsid w:val="2E9551CB"/>
    <w:rsid w:val="2EE713B8"/>
    <w:rsid w:val="2F020125"/>
    <w:rsid w:val="2F0B32F8"/>
    <w:rsid w:val="2F1403FE"/>
    <w:rsid w:val="2F503401"/>
    <w:rsid w:val="2F9257C7"/>
    <w:rsid w:val="2FE029D7"/>
    <w:rsid w:val="2FE64998"/>
    <w:rsid w:val="2FEE50F3"/>
    <w:rsid w:val="30055F99"/>
    <w:rsid w:val="30071D11"/>
    <w:rsid w:val="30112B90"/>
    <w:rsid w:val="302208F9"/>
    <w:rsid w:val="303E70CF"/>
    <w:rsid w:val="30641389"/>
    <w:rsid w:val="3095556F"/>
    <w:rsid w:val="30A15ECB"/>
    <w:rsid w:val="30C61BCC"/>
    <w:rsid w:val="30CE5E93"/>
    <w:rsid w:val="30E262DA"/>
    <w:rsid w:val="311D7312"/>
    <w:rsid w:val="317653A0"/>
    <w:rsid w:val="31B41A25"/>
    <w:rsid w:val="31F41EC4"/>
    <w:rsid w:val="31F77B64"/>
    <w:rsid w:val="32002EBC"/>
    <w:rsid w:val="3216448E"/>
    <w:rsid w:val="32A23F73"/>
    <w:rsid w:val="32B67A1F"/>
    <w:rsid w:val="32C4213C"/>
    <w:rsid w:val="3304078A"/>
    <w:rsid w:val="332266B3"/>
    <w:rsid w:val="33686F6B"/>
    <w:rsid w:val="337F6C6E"/>
    <w:rsid w:val="33A65CE5"/>
    <w:rsid w:val="342C5AC8"/>
    <w:rsid w:val="347938A0"/>
    <w:rsid w:val="347F07C4"/>
    <w:rsid w:val="349E0737"/>
    <w:rsid w:val="34B54D0B"/>
    <w:rsid w:val="34CE54F3"/>
    <w:rsid w:val="34E56399"/>
    <w:rsid w:val="3508350A"/>
    <w:rsid w:val="35173E28"/>
    <w:rsid w:val="35727C2D"/>
    <w:rsid w:val="358B4D49"/>
    <w:rsid w:val="359009FB"/>
    <w:rsid w:val="35DF6AED"/>
    <w:rsid w:val="35ED19A9"/>
    <w:rsid w:val="36120EBF"/>
    <w:rsid w:val="36BA5D2F"/>
    <w:rsid w:val="36C26451"/>
    <w:rsid w:val="36C546D4"/>
    <w:rsid w:val="37164F30"/>
    <w:rsid w:val="375720DA"/>
    <w:rsid w:val="377102A2"/>
    <w:rsid w:val="379540A7"/>
    <w:rsid w:val="37AE7EB8"/>
    <w:rsid w:val="37DE77FC"/>
    <w:rsid w:val="37E476D2"/>
    <w:rsid w:val="37FB65FF"/>
    <w:rsid w:val="38037262"/>
    <w:rsid w:val="388724B4"/>
    <w:rsid w:val="389C3213"/>
    <w:rsid w:val="38B26BAB"/>
    <w:rsid w:val="392E47B3"/>
    <w:rsid w:val="3930052B"/>
    <w:rsid w:val="393265D6"/>
    <w:rsid w:val="39494903"/>
    <w:rsid w:val="395F671A"/>
    <w:rsid w:val="398E34A3"/>
    <w:rsid w:val="39CD3FCC"/>
    <w:rsid w:val="39D23390"/>
    <w:rsid w:val="39DB59DB"/>
    <w:rsid w:val="39FC21BB"/>
    <w:rsid w:val="3A143250"/>
    <w:rsid w:val="3AFF6407"/>
    <w:rsid w:val="3B0E0EF1"/>
    <w:rsid w:val="3B1976B4"/>
    <w:rsid w:val="3B273268"/>
    <w:rsid w:val="3B345984"/>
    <w:rsid w:val="3B3B1569"/>
    <w:rsid w:val="3B506C62"/>
    <w:rsid w:val="3B8F37EA"/>
    <w:rsid w:val="3B9C1DD3"/>
    <w:rsid w:val="3BB72DE4"/>
    <w:rsid w:val="3BC66F24"/>
    <w:rsid w:val="3BCD02B3"/>
    <w:rsid w:val="3BDA477E"/>
    <w:rsid w:val="3BEA02A0"/>
    <w:rsid w:val="3BEF5E66"/>
    <w:rsid w:val="3C485B8B"/>
    <w:rsid w:val="3C7F39F9"/>
    <w:rsid w:val="3CA37266"/>
    <w:rsid w:val="3CCF1E09"/>
    <w:rsid w:val="3CDC5D57"/>
    <w:rsid w:val="3CF65F4A"/>
    <w:rsid w:val="3D15373E"/>
    <w:rsid w:val="3D2757A1"/>
    <w:rsid w:val="3D3567ED"/>
    <w:rsid w:val="3D8F3346"/>
    <w:rsid w:val="3DA9648C"/>
    <w:rsid w:val="3DBA4867"/>
    <w:rsid w:val="3DC12E1B"/>
    <w:rsid w:val="3DC63565"/>
    <w:rsid w:val="3DE23DBE"/>
    <w:rsid w:val="3E7013C9"/>
    <w:rsid w:val="3E79027E"/>
    <w:rsid w:val="3EA42E21"/>
    <w:rsid w:val="3EDB2CE7"/>
    <w:rsid w:val="3EEF0540"/>
    <w:rsid w:val="3F283A52"/>
    <w:rsid w:val="3F36616F"/>
    <w:rsid w:val="3F3B013B"/>
    <w:rsid w:val="3F636838"/>
    <w:rsid w:val="3F753488"/>
    <w:rsid w:val="3F8844F1"/>
    <w:rsid w:val="3FAC4783"/>
    <w:rsid w:val="401A339B"/>
    <w:rsid w:val="405067CF"/>
    <w:rsid w:val="405E34EE"/>
    <w:rsid w:val="405F7A5D"/>
    <w:rsid w:val="406325B7"/>
    <w:rsid w:val="406C71D6"/>
    <w:rsid w:val="409018AF"/>
    <w:rsid w:val="40D22FC2"/>
    <w:rsid w:val="41273A2B"/>
    <w:rsid w:val="41765E10"/>
    <w:rsid w:val="417C2FAF"/>
    <w:rsid w:val="41CC6917"/>
    <w:rsid w:val="41CD2D53"/>
    <w:rsid w:val="42116A20"/>
    <w:rsid w:val="4242307D"/>
    <w:rsid w:val="424611E0"/>
    <w:rsid w:val="42521512"/>
    <w:rsid w:val="4258402C"/>
    <w:rsid w:val="42801F06"/>
    <w:rsid w:val="42854E0E"/>
    <w:rsid w:val="428650EE"/>
    <w:rsid w:val="4286740D"/>
    <w:rsid w:val="429C278D"/>
    <w:rsid w:val="42B555FD"/>
    <w:rsid w:val="42BD7E18"/>
    <w:rsid w:val="42C326A6"/>
    <w:rsid w:val="42E8257C"/>
    <w:rsid w:val="430640AA"/>
    <w:rsid w:val="4326685B"/>
    <w:rsid w:val="434B7D0F"/>
    <w:rsid w:val="4359695F"/>
    <w:rsid w:val="43693ED1"/>
    <w:rsid w:val="43B07D6F"/>
    <w:rsid w:val="43B62924"/>
    <w:rsid w:val="43B753A5"/>
    <w:rsid w:val="43BF1722"/>
    <w:rsid w:val="4427077C"/>
    <w:rsid w:val="442A5B77"/>
    <w:rsid w:val="442D34B9"/>
    <w:rsid w:val="443B5FD6"/>
    <w:rsid w:val="444056EA"/>
    <w:rsid w:val="444529B0"/>
    <w:rsid w:val="449F0313"/>
    <w:rsid w:val="44A8366B"/>
    <w:rsid w:val="44AE31C9"/>
    <w:rsid w:val="44FF34A7"/>
    <w:rsid w:val="45126D36"/>
    <w:rsid w:val="451E0BEE"/>
    <w:rsid w:val="45232CF2"/>
    <w:rsid w:val="4539409A"/>
    <w:rsid w:val="454F33E7"/>
    <w:rsid w:val="455D4F00"/>
    <w:rsid w:val="457B2B2E"/>
    <w:rsid w:val="45AC0F39"/>
    <w:rsid w:val="45EF7277"/>
    <w:rsid w:val="45FC3543"/>
    <w:rsid w:val="460F4F10"/>
    <w:rsid w:val="461A0190"/>
    <w:rsid w:val="46216B2F"/>
    <w:rsid w:val="463A7FEA"/>
    <w:rsid w:val="465B470D"/>
    <w:rsid w:val="46B23EA4"/>
    <w:rsid w:val="47366CBA"/>
    <w:rsid w:val="47370CD6"/>
    <w:rsid w:val="475353E4"/>
    <w:rsid w:val="47673348"/>
    <w:rsid w:val="478A7058"/>
    <w:rsid w:val="47B25BD3"/>
    <w:rsid w:val="47E0311C"/>
    <w:rsid w:val="47E710F2"/>
    <w:rsid w:val="483233E7"/>
    <w:rsid w:val="488E0122"/>
    <w:rsid w:val="48BA1BBF"/>
    <w:rsid w:val="48C12F4D"/>
    <w:rsid w:val="48D16F09"/>
    <w:rsid w:val="48DB632C"/>
    <w:rsid w:val="49060960"/>
    <w:rsid w:val="4929216F"/>
    <w:rsid w:val="493F64BC"/>
    <w:rsid w:val="497458E4"/>
    <w:rsid w:val="49897391"/>
    <w:rsid w:val="49C16F7D"/>
    <w:rsid w:val="49DA5F53"/>
    <w:rsid w:val="49E70994"/>
    <w:rsid w:val="4A1A21C8"/>
    <w:rsid w:val="4A251DD9"/>
    <w:rsid w:val="4A62250E"/>
    <w:rsid w:val="4A9D3BA6"/>
    <w:rsid w:val="4AAF022C"/>
    <w:rsid w:val="4AB368C6"/>
    <w:rsid w:val="4ACA1E61"/>
    <w:rsid w:val="4ADA303C"/>
    <w:rsid w:val="4ADB0887"/>
    <w:rsid w:val="4AF313B8"/>
    <w:rsid w:val="4AFD7334"/>
    <w:rsid w:val="4B427C4A"/>
    <w:rsid w:val="4B871D07"/>
    <w:rsid w:val="4B88795F"/>
    <w:rsid w:val="4B8B5D26"/>
    <w:rsid w:val="4B9304A5"/>
    <w:rsid w:val="4BDE7972"/>
    <w:rsid w:val="4BF244E0"/>
    <w:rsid w:val="4C1410FB"/>
    <w:rsid w:val="4C5916EF"/>
    <w:rsid w:val="4C59524B"/>
    <w:rsid w:val="4C742085"/>
    <w:rsid w:val="4C991AEB"/>
    <w:rsid w:val="4CA96307"/>
    <w:rsid w:val="4CB16E35"/>
    <w:rsid w:val="4CC132CB"/>
    <w:rsid w:val="4D0478AD"/>
    <w:rsid w:val="4D1237F7"/>
    <w:rsid w:val="4D5A3970"/>
    <w:rsid w:val="4D5F0379"/>
    <w:rsid w:val="4D662315"/>
    <w:rsid w:val="4D8265D2"/>
    <w:rsid w:val="4D8602C2"/>
    <w:rsid w:val="4DCD4AA9"/>
    <w:rsid w:val="4DD6344F"/>
    <w:rsid w:val="4E105DDD"/>
    <w:rsid w:val="4E2145EF"/>
    <w:rsid w:val="4E264496"/>
    <w:rsid w:val="4E611BE9"/>
    <w:rsid w:val="4EB24A4D"/>
    <w:rsid w:val="4F18763F"/>
    <w:rsid w:val="4F3D2C02"/>
    <w:rsid w:val="4F4E3061"/>
    <w:rsid w:val="4F5A7C58"/>
    <w:rsid w:val="4F6D642D"/>
    <w:rsid w:val="4F78446F"/>
    <w:rsid w:val="4F934FFA"/>
    <w:rsid w:val="4F9D72EB"/>
    <w:rsid w:val="4FB20CFE"/>
    <w:rsid w:val="4FCE4932"/>
    <w:rsid w:val="4FDF015D"/>
    <w:rsid w:val="4FFF435B"/>
    <w:rsid w:val="50314ABC"/>
    <w:rsid w:val="503F29AA"/>
    <w:rsid w:val="50406E4E"/>
    <w:rsid w:val="506604B7"/>
    <w:rsid w:val="50853671"/>
    <w:rsid w:val="50AC44E3"/>
    <w:rsid w:val="50DB40B6"/>
    <w:rsid w:val="510B13A8"/>
    <w:rsid w:val="510F6820"/>
    <w:rsid w:val="5119769F"/>
    <w:rsid w:val="513F6DA4"/>
    <w:rsid w:val="51402E7D"/>
    <w:rsid w:val="5147420C"/>
    <w:rsid w:val="51532BB1"/>
    <w:rsid w:val="51670D87"/>
    <w:rsid w:val="51686869"/>
    <w:rsid w:val="516C77CE"/>
    <w:rsid w:val="519F2AD2"/>
    <w:rsid w:val="51B66C9C"/>
    <w:rsid w:val="51CC4311"/>
    <w:rsid w:val="51F021AD"/>
    <w:rsid w:val="52173BDE"/>
    <w:rsid w:val="52291B63"/>
    <w:rsid w:val="5257047F"/>
    <w:rsid w:val="52742DDF"/>
    <w:rsid w:val="5292496B"/>
    <w:rsid w:val="529D2670"/>
    <w:rsid w:val="529F3B37"/>
    <w:rsid w:val="52D2798A"/>
    <w:rsid w:val="52F65EE9"/>
    <w:rsid w:val="53073C53"/>
    <w:rsid w:val="53193986"/>
    <w:rsid w:val="531D1071"/>
    <w:rsid w:val="53681D4D"/>
    <w:rsid w:val="53924E1F"/>
    <w:rsid w:val="53C25C87"/>
    <w:rsid w:val="53C621ED"/>
    <w:rsid w:val="53E57D4F"/>
    <w:rsid w:val="53FB7D71"/>
    <w:rsid w:val="54033805"/>
    <w:rsid w:val="540E4E39"/>
    <w:rsid w:val="541F23D3"/>
    <w:rsid w:val="54FA1B3F"/>
    <w:rsid w:val="55546EF7"/>
    <w:rsid w:val="558F1CDD"/>
    <w:rsid w:val="55B300C2"/>
    <w:rsid w:val="55BB2AD2"/>
    <w:rsid w:val="55E17330"/>
    <w:rsid w:val="55F06C20"/>
    <w:rsid w:val="560B217A"/>
    <w:rsid w:val="566416F9"/>
    <w:rsid w:val="566E3345"/>
    <w:rsid w:val="566F60F5"/>
    <w:rsid w:val="56867584"/>
    <w:rsid w:val="56B45E9F"/>
    <w:rsid w:val="56F13BAD"/>
    <w:rsid w:val="570A3D11"/>
    <w:rsid w:val="574F0884"/>
    <w:rsid w:val="57770C7B"/>
    <w:rsid w:val="57903F98"/>
    <w:rsid w:val="57AC6B77"/>
    <w:rsid w:val="57BB1EB7"/>
    <w:rsid w:val="57D12A81"/>
    <w:rsid w:val="57E02CC4"/>
    <w:rsid w:val="57F0433A"/>
    <w:rsid w:val="58095D77"/>
    <w:rsid w:val="58182DC8"/>
    <w:rsid w:val="583C439E"/>
    <w:rsid w:val="58515970"/>
    <w:rsid w:val="586C4558"/>
    <w:rsid w:val="58825B29"/>
    <w:rsid w:val="58926BE5"/>
    <w:rsid w:val="589828DD"/>
    <w:rsid w:val="58BE1ABA"/>
    <w:rsid w:val="58E16CF4"/>
    <w:rsid w:val="590A4776"/>
    <w:rsid w:val="591B0458"/>
    <w:rsid w:val="59350DEE"/>
    <w:rsid w:val="59474B76"/>
    <w:rsid w:val="59545718"/>
    <w:rsid w:val="596A4F3B"/>
    <w:rsid w:val="597D1BE0"/>
    <w:rsid w:val="59D800F7"/>
    <w:rsid w:val="59EE791A"/>
    <w:rsid w:val="5A2275C4"/>
    <w:rsid w:val="5A25515B"/>
    <w:rsid w:val="5A405C9C"/>
    <w:rsid w:val="5A44578C"/>
    <w:rsid w:val="5A7122F9"/>
    <w:rsid w:val="5A761D58"/>
    <w:rsid w:val="5A875679"/>
    <w:rsid w:val="5ADC7773"/>
    <w:rsid w:val="5AE26D53"/>
    <w:rsid w:val="5B215ACE"/>
    <w:rsid w:val="5B315BFD"/>
    <w:rsid w:val="5B3F5864"/>
    <w:rsid w:val="5B4A67A0"/>
    <w:rsid w:val="5B52182E"/>
    <w:rsid w:val="5B6065F6"/>
    <w:rsid w:val="5B6B5BEE"/>
    <w:rsid w:val="5B7F3AD9"/>
    <w:rsid w:val="5B822EFC"/>
    <w:rsid w:val="5BB26726"/>
    <w:rsid w:val="5BBD57F6"/>
    <w:rsid w:val="5BD90156"/>
    <w:rsid w:val="5C0A6030"/>
    <w:rsid w:val="5C1941B5"/>
    <w:rsid w:val="5C1C3BF0"/>
    <w:rsid w:val="5C3435DF"/>
    <w:rsid w:val="5C820EE5"/>
    <w:rsid w:val="5CA70254"/>
    <w:rsid w:val="5CC7092A"/>
    <w:rsid w:val="5CF8715C"/>
    <w:rsid w:val="5D172CE4"/>
    <w:rsid w:val="5D414205"/>
    <w:rsid w:val="5D4B6E32"/>
    <w:rsid w:val="5D5C4B9B"/>
    <w:rsid w:val="5DC6470A"/>
    <w:rsid w:val="5DCD2FDF"/>
    <w:rsid w:val="5DD60DF1"/>
    <w:rsid w:val="5DD84EE7"/>
    <w:rsid w:val="5DE85C69"/>
    <w:rsid w:val="5E0F104A"/>
    <w:rsid w:val="5E56713C"/>
    <w:rsid w:val="5E7B54F5"/>
    <w:rsid w:val="5E821707"/>
    <w:rsid w:val="5E914E32"/>
    <w:rsid w:val="5E99597B"/>
    <w:rsid w:val="5EA54320"/>
    <w:rsid w:val="5ECC3FA2"/>
    <w:rsid w:val="5EDA221B"/>
    <w:rsid w:val="5EEF4BE2"/>
    <w:rsid w:val="5F0E0117"/>
    <w:rsid w:val="5F29382D"/>
    <w:rsid w:val="5F5C1A9B"/>
    <w:rsid w:val="5F812FDF"/>
    <w:rsid w:val="5F865B82"/>
    <w:rsid w:val="5F917F3A"/>
    <w:rsid w:val="5FAA42E4"/>
    <w:rsid w:val="5FB66595"/>
    <w:rsid w:val="5FDA4C60"/>
    <w:rsid w:val="5FE0217D"/>
    <w:rsid w:val="603D5158"/>
    <w:rsid w:val="604858AA"/>
    <w:rsid w:val="60510875"/>
    <w:rsid w:val="606C1599"/>
    <w:rsid w:val="60870181"/>
    <w:rsid w:val="60F46CF8"/>
    <w:rsid w:val="6105554A"/>
    <w:rsid w:val="615362B5"/>
    <w:rsid w:val="61587FCC"/>
    <w:rsid w:val="61801651"/>
    <w:rsid w:val="6199524E"/>
    <w:rsid w:val="61C455ED"/>
    <w:rsid w:val="62464551"/>
    <w:rsid w:val="625C73EB"/>
    <w:rsid w:val="62B115F2"/>
    <w:rsid w:val="62BE3C02"/>
    <w:rsid w:val="630E2DDB"/>
    <w:rsid w:val="6353168B"/>
    <w:rsid w:val="63B15515"/>
    <w:rsid w:val="63CA68DE"/>
    <w:rsid w:val="63DA4A6C"/>
    <w:rsid w:val="64006B7D"/>
    <w:rsid w:val="640C48D2"/>
    <w:rsid w:val="64925346"/>
    <w:rsid w:val="64A07A63"/>
    <w:rsid w:val="64A33A00"/>
    <w:rsid w:val="64B96D77"/>
    <w:rsid w:val="64D4770D"/>
    <w:rsid w:val="652F2B95"/>
    <w:rsid w:val="65363F24"/>
    <w:rsid w:val="657C6578"/>
    <w:rsid w:val="65842EE1"/>
    <w:rsid w:val="658E264D"/>
    <w:rsid w:val="65C9123C"/>
    <w:rsid w:val="65CB0B10"/>
    <w:rsid w:val="65E2669B"/>
    <w:rsid w:val="65F00576"/>
    <w:rsid w:val="6603474E"/>
    <w:rsid w:val="66394C84"/>
    <w:rsid w:val="665A00E6"/>
    <w:rsid w:val="667271DD"/>
    <w:rsid w:val="66A82BFF"/>
    <w:rsid w:val="66C430A9"/>
    <w:rsid w:val="66EF4607"/>
    <w:rsid w:val="672B6244"/>
    <w:rsid w:val="675F5085"/>
    <w:rsid w:val="676A4358"/>
    <w:rsid w:val="67770F96"/>
    <w:rsid w:val="679F4002"/>
    <w:rsid w:val="67BF28F6"/>
    <w:rsid w:val="68061D81"/>
    <w:rsid w:val="680913CD"/>
    <w:rsid w:val="680E2F36"/>
    <w:rsid w:val="681E6960"/>
    <w:rsid w:val="683937D8"/>
    <w:rsid w:val="68512732"/>
    <w:rsid w:val="687D04E9"/>
    <w:rsid w:val="687F164C"/>
    <w:rsid w:val="69112CDD"/>
    <w:rsid w:val="699851AD"/>
    <w:rsid w:val="69A2753F"/>
    <w:rsid w:val="69A749EB"/>
    <w:rsid w:val="69C53AC8"/>
    <w:rsid w:val="69EA352F"/>
    <w:rsid w:val="69EC462B"/>
    <w:rsid w:val="69F71708"/>
    <w:rsid w:val="6A0466AC"/>
    <w:rsid w:val="6A415844"/>
    <w:rsid w:val="6A4A7E30"/>
    <w:rsid w:val="6A5F0AB7"/>
    <w:rsid w:val="6A854BBB"/>
    <w:rsid w:val="6AA372E2"/>
    <w:rsid w:val="6AAB1D1F"/>
    <w:rsid w:val="6ACB7804"/>
    <w:rsid w:val="6ADC37BF"/>
    <w:rsid w:val="6ADC6113"/>
    <w:rsid w:val="6AF91C7B"/>
    <w:rsid w:val="6B094365"/>
    <w:rsid w:val="6B1A6D54"/>
    <w:rsid w:val="6B5558EE"/>
    <w:rsid w:val="6B653770"/>
    <w:rsid w:val="6B796C6F"/>
    <w:rsid w:val="6B7E2635"/>
    <w:rsid w:val="6B8C0D41"/>
    <w:rsid w:val="6BB67B6C"/>
    <w:rsid w:val="6BDA7CFF"/>
    <w:rsid w:val="6C027255"/>
    <w:rsid w:val="6C0B1C11"/>
    <w:rsid w:val="6C0B610A"/>
    <w:rsid w:val="6C181089"/>
    <w:rsid w:val="6C1D171B"/>
    <w:rsid w:val="6C465394"/>
    <w:rsid w:val="6C6475C8"/>
    <w:rsid w:val="6C7026ED"/>
    <w:rsid w:val="6C924135"/>
    <w:rsid w:val="6CA67BE1"/>
    <w:rsid w:val="6CC41617"/>
    <w:rsid w:val="6CEE2B97"/>
    <w:rsid w:val="6D291B1F"/>
    <w:rsid w:val="6D3E56ED"/>
    <w:rsid w:val="6D4105F5"/>
    <w:rsid w:val="6D725D15"/>
    <w:rsid w:val="6DAE1443"/>
    <w:rsid w:val="6DF8789D"/>
    <w:rsid w:val="6E0D4862"/>
    <w:rsid w:val="6E38706E"/>
    <w:rsid w:val="6E731D44"/>
    <w:rsid w:val="6E8359A7"/>
    <w:rsid w:val="6E9A5523"/>
    <w:rsid w:val="6ED7560E"/>
    <w:rsid w:val="6EFA1DFF"/>
    <w:rsid w:val="6F0B01CF"/>
    <w:rsid w:val="6F402483"/>
    <w:rsid w:val="6F571666"/>
    <w:rsid w:val="6F616041"/>
    <w:rsid w:val="6F79552B"/>
    <w:rsid w:val="6FCF1D62"/>
    <w:rsid w:val="6FD16149"/>
    <w:rsid w:val="6FD9651F"/>
    <w:rsid w:val="6FF400DA"/>
    <w:rsid w:val="701A2DBF"/>
    <w:rsid w:val="702B1A7A"/>
    <w:rsid w:val="704A6721"/>
    <w:rsid w:val="705D4A5A"/>
    <w:rsid w:val="70891CF3"/>
    <w:rsid w:val="70BF7CCC"/>
    <w:rsid w:val="70D0194C"/>
    <w:rsid w:val="70D4531A"/>
    <w:rsid w:val="70E909E4"/>
    <w:rsid w:val="70F55D85"/>
    <w:rsid w:val="70FE38BD"/>
    <w:rsid w:val="711A0B9D"/>
    <w:rsid w:val="712D2E3A"/>
    <w:rsid w:val="71306613"/>
    <w:rsid w:val="713B5CA0"/>
    <w:rsid w:val="71463740"/>
    <w:rsid w:val="715A4084"/>
    <w:rsid w:val="715C4BFE"/>
    <w:rsid w:val="717604C9"/>
    <w:rsid w:val="71786226"/>
    <w:rsid w:val="717E35F1"/>
    <w:rsid w:val="71B96608"/>
    <w:rsid w:val="71C80B3D"/>
    <w:rsid w:val="71D62D16"/>
    <w:rsid w:val="71E74F23"/>
    <w:rsid w:val="71F57570"/>
    <w:rsid w:val="72086C48"/>
    <w:rsid w:val="723C56DA"/>
    <w:rsid w:val="725325B9"/>
    <w:rsid w:val="726E735D"/>
    <w:rsid w:val="72C45A63"/>
    <w:rsid w:val="72CC236B"/>
    <w:rsid w:val="72CE7E91"/>
    <w:rsid w:val="72D354A8"/>
    <w:rsid w:val="72DA05E4"/>
    <w:rsid w:val="72E15811"/>
    <w:rsid w:val="72FD0776"/>
    <w:rsid w:val="73577E87"/>
    <w:rsid w:val="73661E78"/>
    <w:rsid w:val="737238BC"/>
    <w:rsid w:val="737650A3"/>
    <w:rsid w:val="73786A08"/>
    <w:rsid w:val="739231F8"/>
    <w:rsid w:val="73BF77DA"/>
    <w:rsid w:val="73C92407"/>
    <w:rsid w:val="73DE4C4A"/>
    <w:rsid w:val="73E57434"/>
    <w:rsid w:val="73FB0E38"/>
    <w:rsid w:val="745B3570"/>
    <w:rsid w:val="745E5245"/>
    <w:rsid w:val="746F7452"/>
    <w:rsid w:val="747D1B6F"/>
    <w:rsid w:val="7487479C"/>
    <w:rsid w:val="74994DDF"/>
    <w:rsid w:val="749F0ADC"/>
    <w:rsid w:val="74BA4B44"/>
    <w:rsid w:val="74C652C4"/>
    <w:rsid w:val="74DB6895"/>
    <w:rsid w:val="74F87447"/>
    <w:rsid w:val="75037B86"/>
    <w:rsid w:val="753A1F6E"/>
    <w:rsid w:val="757B6A06"/>
    <w:rsid w:val="757D16FB"/>
    <w:rsid w:val="75805D8A"/>
    <w:rsid w:val="7589009F"/>
    <w:rsid w:val="75AF5D58"/>
    <w:rsid w:val="75D4756D"/>
    <w:rsid w:val="75D7705D"/>
    <w:rsid w:val="75DB1E99"/>
    <w:rsid w:val="76026FDA"/>
    <w:rsid w:val="762F47B6"/>
    <w:rsid w:val="76562191"/>
    <w:rsid w:val="765F66B8"/>
    <w:rsid w:val="767B6A9B"/>
    <w:rsid w:val="76AF7FDA"/>
    <w:rsid w:val="76EF03D6"/>
    <w:rsid w:val="771C327D"/>
    <w:rsid w:val="774E0C1A"/>
    <w:rsid w:val="77674410"/>
    <w:rsid w:val="776E579F"/>
    <w:rsid w:val="77D35EC2"/>
    <w:rsid w:val="77E65C7D"/>
    <w:rsid w:val="784C1F84"/>
    <w:rsid w:val="785A2B5C"/>
    <w:rsid w:val="787145A2"/>
    <w:rsid w:val="78746DE5"/>
    <w:rsid w:val="789D27E0"/>
    <w:rsid w:val="78D635FC"/>
    <w:rsid w:val="79915775"/>
    <w:rsid w:val="79FC28A9"/>
    <w:rsid w:val="7A07037A"/>
    <w:rsid w:val="7A0A5C53"/>
    <w:rsid w:val="7A41384A"/>
    <w:rsid w:val="7A756E44"/>
    <w:rsid w:val="7A8B0C13"/>
    <w:rsid w:val="7A9674E6"/>
    <w:rsid w:val="7AB22053"/>
    <w:rsid w:val="7ABE01C6"/>
    <w:rsid w:val="7ACD6C80"/>
    <w:rsid w:val="7B0C59FB"/>
    <w:rsid w:val="7B2A35A3"/>
    <w:rsid w:val="7B66335D"/>
    <w:rsid w:val="7BA07EF1"/>
    <w:rsid w:val="7BD36518"/>
    <w:rsid w:val="7BFD5628"/>
    <w:rsid w:val="7C0D6AD5"/>
    <w:rsid w:val="7C350F81"/>
    <w:rsid w:val="7C9E6563"/>
    <w:rsid w:val="7CA55662"/>
    <w:rsid w:val="7CB023B6"/>
    <w:rsid w:val="7CB77BE8"/>
    <w:rsid w:val="7CC53658"/>
    <w:rsid w:val="7CFD384D"/>
    <w:rsid w:val="7D0D0873"/>
    <w:rsid w:val="7D221505"/>
    <w:rsid w:val="7D2E3422"/>
    <w:rsid w:val="7D39684F"/>
    <w:rsid w:val="7D4C1D3F"/>
    <w:rsid w:val="7D4F3FDF"/>
    <w:rsid w:val="7D9677FD"/>
    <w:rsid w:val="7DB639FC"/>
    <w:rsid w:val="7DC223A1"/>
    <w:rsid w:val="7DC316B8"/>
    <w:rsid w:val="7DD133F1"/>
    <w:rsid w:val="7DD9595F"/>
    <w:rsid w:val="7DE77FD1"/>
    <w:rsid w:val="7E394F1E"/>
    <w:rsid w:val="7E3C2052"/>
    <w:rsid w:val="7E453944"/>
    <w:rsid w:val="7E5C27F5"/>
    <w:rsid w:val="7E8E4DDE"/>
    <w:rsid w:val="7E941F8F"/>
    <w:rsid w:val="7EA01926"/>
    <w:rsid w:val="7EB470EC"/>
    <w:rsid w:val="7EB85045"/>
    <w:rsid w:val="7EF21C65"/>
    <w:rsid w:val="7F181549"/>
    <w:rsid w:val="7F2D5F40"/>
    <w:rsid w:val="7F313C82"/>
    <w:rsid w:val="7F527D96"/>
    <w:rsid w:val="7F7505F5"/>
    <w:rsid w:val="7F820039"/>
    <w:rsid w:val="7F9B734D"/>
    <w:rsid w:val="7F9D593E"/>
    <w:rsid w:val="7FAC155A"/>
    <w:rsid w:val="7FAF430C"/>
    <w:rsid w:val="7FB6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2"/>
    <w:qFormat/>
    <w:uiPriority w:val="9"/>
    <w:pPr>
      <w:keepNext/>
      <w:keepLines/>
      <w:spacing w:before="340" w:after="330" w:line="578" w:lineRule="auto"/>
      <w:jc w:val="center"/>
      <w:outlineLvl w:val="0"/>
    </w:pPr>
    <w:rPr>
      <w:b/>
      <w:bCs/>
      <w:kern w:val="44"/>
      <w:sz w:val="32"/>
      <w:szCs w:val="44"/>
    </w:rPr>
  </w:style>
  <w:style w:type="paragraph" w:styleId="4">
    <w:name w:val="heading 2"/>
    <w:basedOn w:val="1"/>
    <w:next w:val="1"/>
    <w:qFormat/>
    <w:uiPriority w:val="9"/>
    <w:pPr>
      <w:keepNext/>
      <w:keepLines/>
      <w:numPr>
        <w:ilvl w:val="1"/>
        <w:numId w:val="1"/>
      </w:numPr>
      <w:spacing w:before="260" w:after="260"/>
      <w:outlineLvl w:val="1"/>
    </w:pPr>
    <w:rPr>
      <w:rFonts w:ascii="Arial" w:hAnsi="Arial" w:eastAsia="华文中宋"/>
      <w:b/>
      <w:bCs/>
      <w:sz w:val="28"/>
      <w:szCs w:val="32"/>
    </w:rPr>
  </w:style>
  <w:style w:type="paragraph" w:styleId="5">
    <w:name w:val="heading 3"/>
    <w:basedOn w:val="1"/>
    <w:next w:val="1"/>
    <w:link w:val="5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qFormat/>
    <w:uiPriority w:val="9"/>
    <w:pPr>
      <w:keepNext/>
      <w:keepLines/>
      <w:numPr>
        <w:ilvl w:val="3"/>
        <w:numId w:val="1"/>
      </w:numPr>
      <w:snapToGrid w:val="0"/>
      <w:spacing w:before="120" w:after="120"/>
      <w:outlineLvl w:val="3"/>
    </w:pPr>
    <w:rPr>
      <w:b/>
      <w:bCs/>
      <w:sz w:val="24"/>
      <w:szCs w:val="28"/>
    </w:rPr>
  </w:style>
  <w:style w:type="paragraph" w:styleId="7">
    <w:name w:val="heading 8"/>
    <w:basedOn w:val="1"/>
    <w:next w:val="1"/>
    <w:link w:val="58"/>
    <w:qFormat/>
    <w:uiPriority w:val="9"/>
    <w:pPr>
      <w:keepNext/>
      <w:keepLines/>
      <w:spacing w:before="240" w:after="64" w:line="320" w:lineRule="auto"/>
      <w:outlineLvl w:val="7"/>
    </w:pPr>
    <w:rPr>
      <w:rFonts w:ascii="Calibri Light" w:hAnsi="Calibri Light" w:eastAsia="宋体" w:cs="Times New Roman"/>
      <w:sz w:val="24"/>
      <w:szCs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0"/>
    <w:pPr>
      <w:adjustRightInd w:val="0"/>
      <w:spacing w:line="360" w:lineRule="atLeast"/>
      <w:textAlignment w:val="baseline"/>
    </w:pPr>
    <w:rPr>
      <w:rFonts w:ascii="Times New Roman" w:hAnsi="Times New Roman" w:eastAsia="宋体" w:cs="Times New Roman"/>
      <w:sz w:val="32"/>
      <w:szCs w:val="20"/>
    </w:rPr>
  </w:style>
  <w:style w:type="paragraph" w:styleId="8">
    <w:name w:val="toc 7"/>
    <w:basedOn w:val="1"/>
    <w:next w:val="1"/>
    <w:unhideWhenUsed/>
    <w:qFormat/>
    <w:uiPriority w:val="39"/>
    <w:pPr>
      <w:ind w:left="1260"/>
      <w:jc w:val="left"/>
    </w:pPr>
    <w:rPr>
      <w:sz w:val="20"/>
      <w:szCs w:val="20"/>
    </w:rPr>
  </w:style>
  <w:style w:type="paragraph" w:styleId="9">
    <w:name w:val="Normal Indent"/>
    <w:basedOn w:val="1"/>
    <w:unhideWhenUsed/>
    <w:qFormat/>
    <w:uiPriority w:val="99"/>
    <w:pPr>
      <w:ind w:firstLine="420" w:firstLineChars="200"/>
    </w:pPr>
  </w:style>
  <w:style w:type="paragraph" w:styleId="10">
    <w:name w:val="annotation text"/>
    <w:basedOn w:val="1"/>
    <w:next w:val="11"/>
    <w:link w:val="60"/>
    <w:qFormat/>
    <w:uiPriority w:val="99"/>
    <w:pPr>
      <w:adjustRightInd w:val="0"/>
      <w:spacing w:line="360" w:lineRule="atLeast"/>
      <w:jc w:val="left"/>
      <w:textAlignment w:val="baseline"/>
    </w:pPr>
    <w:rPr>
      <w:rFonts w:ascii="Times New Roman" w:hAnsi="Times New Roman"/>
      <w:kern w:val="0"/>
      <w:sz w:val="24"/>
      <w:szCs w:val="20"/>
    </w:rPr>
  </w:style>
  <w:style w:type="paragraph" w:styleId="11">
    <w:name w:val="Body Text Indent"/>
    <w:basedOn w:val="1"/>
    <w:unhideWhenUsed/>
    <w:qFormat/>
    <w:uiPriority w:val="99"/>
    <w:pPr>
      <w:spacing w:after="120"/>
      <w:ind w:left="420" w:leftChars="200"/>
    </w:pPr>
  </w:style>
  <w:style w:type="paragraph" w:styleId="12">
    <w:name w:val="toc 5"/>
    <w:basedOn w:val="1"/>
    <w:next w:val="1"/>
    <w:unhideWhenUsed/>
    <w:qFormat/>
    <w:uiPriority w:val="39"/>
    <w:pPr>
      <w:ind w:left="840"/>
      <w:jc w:val="left"/>
    </w:pPr>
    <w:rPr>
      <w:sz w:val="20"/>
      <w:szCs w:val="20"/>
    </w:rPr>
  </w:style>
  <w:style w:type="paragraph" w:styleId="13">
    <w:name w:val="toc 3"/>
    <w:basedOn w:val="1"/>
    <w:next w:val="1"/>
    <w:unhideWhenUsed/>
    <w:qFormat/>
    <w:uiPriority w:val="39"/>
    <w:pPr>
      <w:ind w:left="420"/>
      <w:jc w:val="left"/>
    </w:pPr>
    <w:rPr>
      <w:sz w:val="20"/>
      <w:szCs w:val="20"/>
    </w:rPr>
  </w:style>
  <w:style w:type="paragraph" w:styleId="14">
    <w:name w:val="toc 8"/>
    <w:basedOn w:val="1"/>
    <w:next w:val="1"/>
    <w:unhideWhenUsed/>
    <w:qFormat/>
    <w:uiPriority w:val="39"/>
    <w:pPr>
      <w:ind w:left="1470"/>
      <w:jc w:val="left"/>
    </w:pPr>
    <w:rPr>
      <w:sz w:val="20"/>
      <w:szCs w:val="20"/>
    </w:rPr>
  </w:style>
  <w:style w:type="paragraph" w:styleId="15">
    <w:name w:val="Date"/>
    <w:basedOn w:val="1"/>
    <w:next w:val="1"/>
    <w:link w:val="55"/>
    <w:qFormat/>
    <w:uiPriority w:val="0"/>
    <w:pPr>
      <w:adjustRightInd w:val="0"/>
      <w:spacing w:line="360" w:lineRule="atLeast"/>
      <w:textAlignment w:val="baseline"/>
    </w:pPr>
    <w:rPr>
      <w:rFonts w:ascii="Times New Roman" w:hAnsi="Times New Roman" w:eastAsia="宋体" w:cs="Times New Roman"/>
      <w:sz w:val="32"/>
      <w:szCs w:val="20"/>
    </w:rPr>
  </w:style>
  <w:style w:type="paragraph" w:styleId="16">
    <w:name w:val="Body Text Indent 2"/>
    <w:basedOn w:val="1"/>
    <w:link w:val="50"/>
    <w:unhideWhenUsed/>
    <w:qFormat/>
    <w:uiPriority w:val="99"/>
    <w:pPr>
      <w:spacing w:after="120" w:line="480" w:lineRule="auto"/>
      <w:ind w:left="420" w:leftChars="200"/>
    </w:pPr>
  </w:style>
  <w:style w:type="paragraph" w:styleId="17">
    <w:name w:val="Balloon Text"/>
    <w:basedOn w:val="1"/>
    <w:link w:val="46"/>
    <w:unhideWhenUsed/>
    <w:qFormat/>
    <w:uiPriority w:val="99"/>
    <w:rPr>
      <w:sz w:val="18"/>
      <w:szCs w:val="18"/>
    </w:rPr>
  </w:style>
  <w:style w:type="paragraph" w:styleId="18">
    <w:name w:val="footer"/>
    <w:basedOn w:val="1"/>
    <w:link w:val="45"/>
    <w:unhideWhenUsed/>
    <w:qFormat/>
    <w:uiPriority w:val="99"/>
    <w:pPr>
      <w:tabs>
        <w:tab w:val="center" w:pos="4153"/>
        <w:tab w:val="right" w:pos="8306"/>
      </w:tabs>
      <w:snapToGrid w:val="0"/>
      <w:jc w:val="left"/>
    </w:pPr>
    <w:rPr>
      <w:sz w:val="18"/>
      <w:szCs w:val="18"/>
    </w:rPr>
  </w:style>
  <w:style w:type="paragraph" w:styleId="19">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right" w:leader="dot" w:pos="8296"/>
      </w:tabs>
      <w:spacing w:before="240" w:after="120"/>
      <w:jc w:val="center"/>
    </w:pPr>
    <w:rPr>
      <w:b/>
      <w:bCs/>
      <w:sz w:val="44"/>
      <w:szCs w:val="44"/>
    </w:rPr>
  </w:style>
  <w:style w:type="paragraph" w:styleId="21">
    <w:name w:val="toc 4"/>
    <w:basedOn w:val="1"/>
    <w:next w:val="1"/>
    <w:unhideWhenUsed/>
    <w:qFormat/>
    <w:uiPriority w:val="39"/>
    <w:pPr>
      <w:ind w:left="630"/>
      <w:jc w:val="left"/>
    </w:pPr>
    <w:rPr>
      <w:sz w:val="20"/>
      <w:szCs w:val="20"/>
    </w:rPr>
  </w:style>
  <w:style w:type="paragraph" w:styleId="22">
    <w:name w:val="toc 6"/>
    <w:basedOn w:val="1"/>
    <w:next w:val="1"/>
    <w:unhideWhenUsed/>
    <w:qFormat/>
    <w:uiPriority w:val="39"/>
    <w:pPr>
      <w:ind w:left="1050"/>
      <w:jc w:val="left"/>
    </w:pPr>
    <w:rPr>
      <w:sz w:val="20"/>
      <w:szCs w:val="20"/>
    </w:rPr>
  </w:style>
  <w:style w:type="paragraph" w:styleId="23">
    <w:name w:val="Body Text Indent 3"/>
    <w:basedOn w:val="1"/>
    <w:link w:val="54"/>
    <w:unhideWhenUsed/>
    <w:qFormat/>
    <w:uiPriority w:val="99"/>
    <w:pPr>
      <w:spacing w:after="120"/>
      <w:ind w:left="420" w:leftChars="200"/>
    </w:pPr>
    <w:rPr>
      <w:sz w:val="16"/>
      <w:szCs w:val="16"/>
    </w:rPr>
  </w:style>
  <w:style w:type="paragraph" w:styleId="24">
    <w:name w:val="toc 2"/>
    <w:basedOn w:val="1"/>
    <w:next w:val="1"/>
    <w:unhideWhenUsed/>
    <w:qFormat/>
    <w:uiPriority w:val="39"/>
    <w:pPr>
      <w:spacing w:before="120"/>
      <w:ind w:left="210"/>
      <w:jc w:val="left"/>
    </w:pPr>
    <w:rPr>
      <w:i/>
      <w:iCs/>
      <w:sz w:val="20"/>
      <w:szCs w:val="20"/>
    </w:rPr>
  </w:style>
  <w:style w:type="paragraph" w:styleId="25">
    <w:name w:val="toc 9"/>
    <w:basedOn w:val="1"/>
    <w:next w:val="1"/>
    <w:unhideWhenUsed/>
    <w:qFormat/>
    <w:uiPriority w:val="39"/>
    <w:pPr>
      <w:ind w:left="1680"/>
      <w:jc w:val="left"/>
    </w:pPr>
    <w:rPr>
      <w:sz w:val="20"/>
      <w:szCs w:val="20"/>
    </w:rPr>
  </w:style>
  <w:style w:type="paragraph" w:styleId="26">
    <w:name w:val="Body Text 2"/>
    <w:basedOn w:val="1"/>
    <w:link w:val="53"/>
    <w:unhideWhenUsed/>
    <w:qFormat/>
    <w:uiPriority w:val="99"/>
    <w:pPr>
      <w:spacing w:after="120" w:line="480" w:lineRule="auto"/>
    </w:pPr>
  </w:style>
  <w:style w:type="paragraph" w:styleId="27">
    <w:name w:val="Normal (Web)"/>
    <w:basedOn w:val="1"/>
    <w:unhideWhenUsed/>
    <w:qFormat/>
    <w:uiPriority w:val="0"/>
    <w:pPr>
      <w:spacing w:line="360" w:lineRule="auto"/>
      <w:ind w:firstLine="1440" w:firstLineChars="200"/>
    </w:pPr>
    <w:rPr>
      <w:rFonts w:ascii="Times New Roman" w:hAnsi="Times New Roman" w:eastAsia="宋体" w:cs="Times New Roman"/>
      <w:sz w:val="24"/>
      <w:szCs w:val="20"/>
    </w:rPr>
  </w:style>
  <w:style w:type="paragraph" w:styleId="28">
    <w:name w:val="Title"/>
    <w:basedOn w:val="1"/>
    <w:next w:val="1"/>
    <w:qFormat/>
    <w:uiPriority w:val="0"/>
    <w:pPr>
      <w:spacing w:after="300"/>
      <w:contextualSpacing/>
    </w:pPr>
    <w:rPr>
      <w:smallCaps/>
      <w:sz w:val="52"/>
      <w:szCs w:val="52"/>
    </w:rPr>
  </w:style>
  <w:style w:type="paragraph" w:styleId="29">
    <w:name w:val="annotation subject"/>
    <w:basedOn w:val="10"/>
    <w:next w:val="10"/>
    <w:link w:val="71"/>
    <w:semiHidden/>
    <w:unhideWhenUsed/>
    <w:qFormat/>
    <w:uiPriority w:val="99"/>
    <w:pPr>
      <w:adjustRightInd/>
      <w:spacing w:line="240" w:lineRule="auto"/>
      <w:textAlignment w:val="auto"/>
    </w:pPr>
    <w:rPr>
      <w:rFonts w:asciiTheme="minorHAnsi" w:hAnsiTheme="minorHAnsi"/>
      <w:b/>
      <w:bCs/>
      <w:kern w:val="2"/>
      <w:sz w:val="21"/>
      <w:szCs w:val="22"/>
    </w:rPr>
  </w:style>
  <w:style w:type="paragraph" w:styleId="30">
    <w:name w:val="Body Text First Indent"/>
    <w:basedOn w:val="2"/>
    <w:qFormat/>
    <w:uiPriority w:val="0"/>
    <w:pPr>
      <w:spacing w:line="360" w:lineRule="auto"/>
      <w:ind w:firstLine="200" w:firstLineChars="200"/>
    </w:pPr>
    <w:rPr>
      <w:sz w:val="28"/>
    </w:rPr>
  </w:style>
  <w:style w:type="paragraph" w:styleId="31">
    <w:name w:val="Body Text First Indent 2"/>
    <w:basedOn w:val="11"/>
    <w:semiHidden/>
    <w:unhideWhenUsed/>
    <w:qFormat/>
    <w:uiPriority w:val="99"/>
    <w:pPr>
      <w:ind w:firstLine="420" w:firstLineChars="200"/>
    </w:p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rFonts w:hint="eastAsia" w:ascii="宋体" w:hAnsi="宋体" w:eastAsia="宋体" w:cs="宋体"/>
      <w:b/>
      <w:color w:val="333333"/>
      <w:sz w:val="14"/>
      <w:szCs w:val="14"/>
      <w:bdr w:val="single" w:color="DDDDDD" w:sz="4" w:space="0"/>
      <w:shd w:val="clear" w:color="auto" w:fill="FFFFFF"/>
    </w:rPr>
  </w:style>
  <w:style w:type="character" w:styleId="36">
    <w:name w:val="page number"/>
    <w:basedOn w:val="34"/>
    <w:qFormat/>
    <w:uiPriority w:val="0"/>
  </w:style>
  <w:style w:type="character" w:styleId="37">
    <w:name w:val="FollowedHyperlink"/>
    <w:basedOn w:val="34"/>
    <w:semiHidden/>
    <w:unhideWhenUsed/>
    <w:qFormat/>
    <w:uiPriority w:val="99"/>
    <w:rPr>
      <w:color w:val="800080"/>
      <w:u w:val="none"/>
    </w:rPr>
  </w:style>
  <w:style w:type="character" w:styleId="38">
    <w:name w:val="HTML Definition"/>
    <w:basedOn w:val="34"/>
    <w:semiHidden/>
    <w:unhideWhenUsed/>
    <w:qFormat/>
    <w:uiPriority w:val="99"/>
    <w:rPr>
      <w:i/>
    </w:rPr>
  </w:style>
  <w:style w:type="character" w:styleId="39">
    <w:name w:val="Hyperlink"/>
    <w:basedOn w:val="34"/>
    <w:unhideWhenUsed/>
    <w:qFormat/>
    <w:uiPriority w:val="99"/>
    <w:rPr>
      <w:color w:val="0000FF" w:themeColor="hyperlink"/>
      <w:u w:val="single"/>
      <w14:textFill>
        <w14:solidFill>
          <w14:schemeClr w14:val="hlink"/>
        </w14:solidFill>
      </w14:textFill>
    </w:rPr>
  </w:style>
  <w:style w:type="character" w:styleId="40">
    <w:name w:val="HTML Code"/>
    <w:basedOn w:val="34"/>
    <w:semiHidden/>
    <w:unhideWhenUsed/>
    <w:qFormat/>
    <w:uiPriority w:val="99"/>
    <w:rPr>
      <w:rFonts w:hint="default" w:ascii="serif" w:hAnsi="serif" w:eastAsia="serif" w:cs="serif"/>
      <w:sz w:val="21"/>
      <w:szCs w:val="21"/>
    </w:rPr>
  </w:style>
  <w:style w:type="character" w:styleId="41">
    <w:name w:val="annotation reference"/>
    <w:basedOn w:val="34"/>
    <w:semiHidden/>
    <w:unhideWhenUsed/>
    <w:qFormat/>
    <w:uiPriority w:val="99"/>
    <w:rPr>
      <w:sz w:val="21"/>
      <w:szCs w:val="21"/>
    </w:rPr>
  </w:style>
  <w:style w:type="character" w:styleId="42">
    <w:name w:val="HTML Keyboard"/>
    <w:basedOn w:val="34"/>
    <w:semiHidden/>
    <w:unhideWhenUsed/>
    <w:qFormat/>
    <w:uiPriority w:val="99"/>
    <w:rPr>
      <w:rFonts w:ascii="serif" w:hAnsi="serif" w:eastAsia="serif" w:cs="serif"/>
      <w:sz w:val="21"/>
      <w:szCs w:val="21"/>
    </w:rPr>
  </w:style>
  <w:style w:type="character" w:styleId="43">
    <w:name w:val="HTML Sample"/>
    <w:basedOn w:val="34"/>
    <w:semiHidden/>
    <w:unhideWhenUsed/>
    <w:qFormat/>
    <w:uiPriority w:val="99"/>
    <w:rPr>
      <w:rFonts w:hint="default" w:ascii="serif" w:hAnsi="serif" w:eastAsia="serif" w:cs="serif"/>
      <w:sz w:val="21"/>
      <w:szCs w:val="21"/>
    </w:rPr>
  </w:style>
  <w:style w:type="character" w:customStyle="1" w:styleId="44">
    <w:name w:val="页眉 Char"/>
    <w:basedOn w:val="34"/>
    <w:link w:val="19"/>
    <w:qFormat/>
    <w:uiPriority w:val="99"/>
    <w:rPr>
      <w:sz w:val="18"/>
      <w:szCs w:val="18"/>
    </w:rPr>
  </w:style>
  <w:style w:type="character" w:customStyle="1" w:styleId="45">
    <w:name w:val="页脚 Char"/>
    <w:basedOn w:val="34"/>
    <w:link w:val="18"/>
    <w:qFormat/>
    <w:uiPriority w:val="99"/>
    <w:rPr>
      <w:sz w:val="18"/>
      <w:szCs w:val="18"/>
    </w:rPr>
  </w:style>
  <w:style w:type="character" w:customStyle="1" w:styleId="46">
    <w:name w:val="批注框文本 Char"/>
    <w:basedOn w:val="34"/>
    <w:link w:val="17"/>
    <w:semiHidden/>
    <w:qFormat/>
    <w:uiPriority w:val="99"/>
    <w:rPr>
      <w:sz w:val="18"/>
      <w:szCs w:val="18"/>
    </w:rPr>
  </w:style>
  <w:style w:type="paragraph" w:customStyle="1" w:styleId="47">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48">
    <w:name w:val="列出段落1"/>
    <w:basedOn w:val="1"/>
    <w:qFormat/>
    <w:uiPriority w:val="34"/>
    <w:pPr>
      <w:ind w:firstLine="420" w:firstLineChars="200"/>
    </w:pPr>
  </w:style>
  <w:style w:type="character" w:customStyle="1" w:styleId="49">
    <w:name w:val="正文文本 Char"/>
    <w:basedOn w:val="34"/>
    <w:link w:val="2"/>
    <w:qFormat/>
    <w:uiPriority w:val="0"/>
    <w:rPr>
      <w:rFonts w:ascii="Times New Roman" w:hAnsi="Times New Roman" w:eastAsia="宋体" w:cs="Times New Roman"/>
      <w:sz w:val="32"/>
      <w:szCs w:val="20"/>
    </w:rPr>
  </w:style>
  <w:style w:type="character" w:customStyle="1" w:styleId="50">
    <w:name w:val="正文文本缩进 2 Char"/>
    <w:basedOn w:val="34"/>
    <w:link w:val="16"/>
    <w:semiHidden/>
    <w:qFormat/>
    <w:uiPriority w:val="99"/>
  </w:style>
  <w:style w:type="character" w:customStyle="1" w:styleId="51">
    <w:name w:val="标题 3 Char"/>
    <w:basedOn w:val="34"/>
    <w:link w:val="5"/>
    <w:qFormat/>
    <w:uiPriority w:val="0"/>
    <w:rPr>
      <w:rFonts w:ascii="Times New Roman" w:hAnsi="Times New Roman" w:eastAsia="宋体" w:cs="Times New Roman"/>
      <w:b/>
      <w:bCs/>
      <w:sz w:val="32"/>
      <w:szCs w:val="32"/>
    </w:rPr>
  </w:style>
  <w:style w:type="character" w:customStyle="1" w:styleId="52">
    <w:name w:val="标题 1 Char"/>
    <w:basedOn w:val="34"/>
    <w:link w:val="3"/>
    <w:qFormat/>
    <w:uiPriority w:val="9"/>
    <w:rPr>
      <w:rFonts w:asciiTheme="minorHAnsi" w:hAnsiTheme="minorHAnsi" w:eastAsiaTheme="minorEastAsia"/>
      <w:b/>
      <w:bCs/>
      <w:kern w:val="44"/>
      <w:sz w:val="32"/>
      <w:szCs w:val="44"/>
    </w:rPr>
  </w:style>
  <w:style w:type="character" w:customStyle="1" w:styleId="53">
    <w:name w:val="正文文本 2 Char"/>
    <w:basedOn w:val="34"/>
    <w:link w:val="26"/>
    <w:semiHidden/>
    <w:qFormat/>
    <w:uiPriority w:val="99"/>
  </w:style>
  <w:style w:type="character" w:customStyle="1" w:styleId="54">
    <w:name w:val="正文文本缩进 3 Char"/>
    <w:basedOn w:val="34"/>
    <w:link w:val="23"/>
    <w:semiHidden/>
    <w:qFormat/>
    <w:uiPriority w:val="99"/>
    <w:rPr>
      <w:sz w:val="16"/>
      <w:szCs w:val="16"/>
    </w:rPr>
  </w:style>
  <w:style w:type="character" w:customStyle="1" w:styleId="55">
    <w:name w:val="日期 Char"/>
    <w:basedOn w:val="34"/>
    <w:link w:val="15"/>
    <w:qFormat/>
    <w:uiPriority w:val="0"/>
    <w:rPr>
      <w:rFonts w:ascii="Times New Roman" w:hAnsi="Times New Roman" w:eastAsia="宋体" w:cs="Times New Roman"/>
      <w:sz w:val="32"/>
      <w:szCs w:val="20"/>
    </w:rPr>
  </w:style>
  <w:style w:type="paragraph" w:customStyle="1" w:styleId="56">
    <w:name w:val="样式 样式 宋体 小四 黑色 两端对齐 段前: 1.2 磅 段后: 1.2 磅 行距: 1.5 倍行距 + 首行缩进:  2 字符"/>
    <w:basedOn w:val="1"/>
    <w:qFormat/>
    <w:uiPriority w:val="0"/>
    <w:pPr>
      <w:widowControl/>
      <w:overflowPunct w:val="0"/>
      <w:autoSpaceDE w:val="0"/>
      <w:autoSpaceDN w:val="0"/>
      <w:adjustRightInd w:val="0"/>
      <w:spacing w:after="120" w:line="400" w:lineRule="exact"/>
      <w:ind w:firstLine="480" w:firstLineChars="200"/>
      <w:textAlignment w:val="baseline"/>
    </w:pPr>
    <w:rPr>
      <w:rFonts w:ascii="楷体_GB2312" w:hAnsi="Arial" w:eastAsia="楷体_GB2312"/>
      <w:kern w:val="0"/>
      <w:sz w:val="24"/>
      <w:szCs w:val="24"/>
    </w:rPr>
  </w:style>
  <w:style w:type="paragraph" w:customStyle="1" w:styleId="57">
    <w:name w:val="列出段落11"/>
    <w:basedOn w:val="1"/>
    <w:qFormat/>
    <w:uiPriority w:val="0"/>
    <w:pPr>
      <w:ind w:firstLine="420" w:firstLineChars="200"/>
    </w:pPr>
  </w:style>
  <w:style w:type="character" w:customStyle="1" w:styleId="58">
    <w:name w:val="标题 8 Char"/>
    <w:basedOn w:val="34"/>
    <w:link w:val="7"/>
    <w:qFormat/>
    <w:uiPriority w:val="9"/>
    <w:rPr>
      <w:rFonts w:ascii="Calibri Light" w:hAnsi="Calibri Light" w:eastAsia="宋体" w:cs="Times New Roman"/>
      <w:kern w:val="2"/>
      <w:sz w:val="24"/>
      <w:szCs w:val="24"/>
    </w:rPr>
  </w:style>
  <w:style w:type="paragraph" w:styleId="59">
    <w:name w:val="List Paragraph"/>
    <w:basedOn w:val="1"/>
    <w:qFormat/>
    <w:uiPriority w:val="34"/>
    <w:pPr>
      <w:ind w:firstLine="420" w:firstLineChars="200"/>
    </w:pPr>
  </w:style>
  <w:style w:type="character" w:customStyle="1" w:styleId="60">
    <w:name w:val="批注文字 Char"/>
    <w:link w:val="10"/>
    <w:qFormat/>
    <w:uiPriority w:val="99"/>
    <w:rPr>
      <w:rFonts w:ascii="Times New Roman" w:hAnsi="Times New Roman"/>
      <w:sz w:val="24"/>
    </w:rPr>
  </w:style>
  <w:style w:type="character" w:customStyle="1" w:styleId="61">
    <w:name w:val="批注文字 Char1"/>
    <w:basedOn w:val="34"/>
    <w:semiHidden/>
    <w:qFormat/>
    <w:uiPriority w:val="99"/>
    <w:rPr>
      <w:kern w:val="2"/>
      <w:sz w:val="21"/>
      <w:szCs w:val="22"/>
    </w:rPr>
  </w:style>
  <w:style w:type="character" w:customStyle="1" w:styleId="62">
    <w:name w:val="15"/>
    <w:qFormat/>
    <w:uiPriority w:val="0"/>
    <w:rPr>
      <w:rFonts w:hint="default" w:ascii="Times New Roman" w:hAnsi="Times New Roman" w:cs="Times New Roman"/>
      <w:b/>
    </w:rPr>
  </w:style>
  <w:style w:type="paragraph" w:customStyle="1" w:styleId="63">
    <w:name w:val="p16"/>
    <w:basedOn w:val="1"/>
    <w:qFormat/>
    <w:uiPriority w:val="0"/>
    <w:pPr>
      <w:spacing w:before="100" w:after="100" w:line="360" w:lineRule="auto"/>
      <w:ind w:firstLine="420" w:firstLineChars="200"/>
      <w:jc w:val="left"/>
    </w:pPr>
    <w:rPr>
      <w:rFonts w:ascii="Times New Roman" w:hAnsi="Times New Roman" w:eastAsia="宋体" w:cs="Times New Roman"/>
      <w:kern w:val="0"/>
      <w:sz w:val="24"/>
      <w:szCs w:val="24"/>
    </w:rPr>
  </w:style>
  <w:style w:type="paragraph" w:customStyle="1" w:styleId="64">
    <w:name w:val="p17"/>
    <w:basedOn w:val="1"/>
    <w:qFormat/>
    <w:uiPriority w:val="0"/>
    <w:pPr>
      <w:spacing w:line="360" w:lineRule="auto"/>
      <w:ind w:firstLine="420" w:firstLineChars="200"/>
    </w:pPr>
    <w:rPr>
      <w:rFonts w:ascii="Times New Roman" w:hAnsi="Times New Roman" w:eastAsia="宋体" w:cs="Times New Roman"/>
      <w:kern w:val="0"/>
      <w:sz w:val="24"/>
      <w:szCs w:val="24"/>
    </w:rPr>
  </w:style>
  <w:style w:type="paragraph" w:customStyle="1" w:styleId="65">
    <w:name w:val="p15"/>
    <w:basedOn w:val="1"/>
    <w:qFormat/>
    <w:uiPriority w:val="0"/>
    <w:pPr>
      <w:spacing w:line="360" w:lineRule="auto"/>
      <w:ind w:firstLine="420" w:firstLineChars="200"/>
    </w:pPr>
    <w:rPr>
      <w:rFonts w:ascii="Times New Roman" w:hAnsi="Times New Roman" w:eastAsia="宋体" w:cs="Times New Roman"/>
      <w:kern w:val="0"/>
      <w:sz w:val="24"/>
      <w:szCs w:val="24"/>
    </w:rPr>
  </w:style>
  <w:style w:type="paragraph" w:customStyle="1" w:styleId="66">
    <w:name w:val="Char5 Char Char Char Char Char Char"/>
    <w:basedOn w:val="1"/>
    <w:qFormat/>
    <w:uiPriority w:val="0"/>
    <w:rPr>
      <w:rFonts w:ascii="Tahoma" w:hAnsi="Tahoma" w:eastAsia="宋体" w:cs="Times New Roman"/>
      <w:sz w:val="24"/>
      <w:szCs w:val="20"/>
    </w:rPr>
  </w:style>
  <w:style w:type="character" w:customStyle="1" w:styleId="67">
    <w:name w:val="required"/>
    <w:basedOn w:val="34"/>
    <w:qFormat/>
    <w:uiPriority w:val="0"/>
    <w:rPr>
      <w:color w:val="FF0000"/>
    </w:rPr>
  </w:style>
  <w:style w:type="character" w:customStyle="1" w:styleId="68">
    <w:name w:val="first-child"/>
    <w:basedOn w:val="34"/>
    <w:qFormat/>
    <w:uiPriority w:val="0"/>
  </w:style>
  <w:style w:type="character" w:customStyle="1" w:styleId="69">
    <w:name w:val="first-child1"/>
    <w:basedOn w:val="34"/>
    <w:qFormat/>
    <w:uiPriority w:val="0"/>
  </w:style>
  <w:style w:type="character" w:customStyle="1" w:styleId="70">
    <w:name w:val="font11"/>
    <w:basedOn w:val="34"/>
    <w:qFormat/>
    <w:uiPriority w:val="0"/>
    <w:rPr>
      <w:rFonts w:hint="eastAsia" w:ascii="宋体" w:hAnsi="宋体" w:eastAsia="宋体" w:cs="宋体"/>
      <w:color w:val="000000"/>
      <w:sz w:val="24"/>
      <w:szCs w:val="24"/>
      <w:u w:val="none"/>
    </w:rPr>
  </w:style>
  <w:style w:type="character" w:customStyle="1" w:styleId="71">
    <w:name w:val="批注主题 Char"/>
    <w:basedOn w:val="60"/>
    <w:link w:val="29"/>
    <w:semiHidden/>
    <w:qFormat/>
    <w:uiPriority w:val="99"/>
    <w:rPr>
      <w:rFonts w:asciiTheme="minorHAnsi" w:hAnsiTheme="minorHAnsi" w:eastAsiaTheme="minorEastAsia" w:cstheme="minorBidi"/>
      <w:b/>
      <w:bCs/>
      <w:kern w:val="2"/>
      <w:sz w:val="21"/>
      <w:szCs w:val="22"/>
    </w:rPr>
  </w:style>
  <w:style w:type="paragraph" w:customStyle="1" w:styleId="72">
    <w:name w:val="正文 A"/>
    <w:qFormat/>
    <w:uiPriority w:val="0"/>
    <w:pPr>
      <w:widowControl w:val="0"/>
      <w:spacing w:line="360" w:lineRule="auto"/>
      <w:ind w:firstLine="1440"/>
      <w:jc w:val="both"/>
    </w:pPr>
    <w:rPr>
      <w:rFonts w:ascii="Times New Roman" w:hAnsi="Times New Roman" w:eastAsia="Arial Unicode MS" w:cs="Arial Unicode MS"/>
      <w:color w:val="000000"/>
      <w:kern w:val="2"/>
      <w:sz w:val="24"/>
      <w:szCs w:val="24"/>
      <w:lang w:val="en-US" w:eastAsia="zh-CN" w:bidi="ar-SA"/>
    </w:rPr>
  </w:style>
  <w:style w:type="paragraph" w:customStyle="1" w:styleId="73">
    <w:name w:val="论文正文"/>
    <w:basedOn w:val="1"/>
    <w:qFormat/>
    <w:uiPriority w:val="0"/>
    <w:pPr>
      <w:spacing w:line="360" w:lineRule="auto"/>
      <w:ind w:firstLine="200" w:firstLineChars="200"/>
    </w:pPr>
    <w:rPr>
      <w:bCs/>
      <w:color w:val="000000"/>
      <w:sz w:val="28"/>
      <w:szCs w:val="36"/>
    </w:rPr>
  </w:style>
  <w:style w:type="paragraph" w:customStyle="1" w:styleId="74">
    <w:name w:val="报告正文"/>
    <w:basedOn w:val="1"/>
    <w:qFormat/>
    <w:uiPriority w:val="0"/>
    <w:pPr>
      <w:ind w:firstLine="200" w:firstLineChars="200"/>
    </w:pPr>
    <w:rPr>
      <w:rFonts w:eastAsia="华文中宋"/>
      <w:sz w:val="24"/>
    </w:rPr>
  </w:style>
  <w:style w:type="paragraph" w:customStyle="1" w:styleId="75">
    <w:name w:val="图样式"/>
    <w:basedOn w:val="1"/>
    <w:qFormat/>
    <w:uiPriority w:val="0"/>
    <w:pPr>
      <w:snapToGrid w:val="0"/>
      <w:spacing w:line="360" w:lineRule="auto"/>
      <w:jc w:val="center"/>
      <w:textAlignment w:val="center"/>
    </w:pPr>
    <w:rPr>
      <w:sz w:val="24"/>
      <w:szCs w:val="20"/>
    </w:rPr>
  </w:style>
  <w:style w:type="paragraph" w:customStyle="1" w:styleId="76">
    <w:name w:val="表格样式"/>
    <w:basedOn w:val="1"/>
    <w:qFormat/>
    <w:uiPriority w:val="0"/>
    <w:pPr>
      <w:snapToGrid w:val="0"/>
      <w:spacing w:line="360" w:lineRule="auto"/>
      <w:ind w:firstLine="200" w:firstLineChars="200"/>
      <w:jc w:val="center"/>
      <w:textAlignment w:val="center"/>
    </w:pPr>
    <w:rPr>
      <w:sz w:val="24"/>
      <w:szCs w:val="20"/>
    </w:rPr>
  </w:style>
  <w:style w:type="character" w:customStyle="1" w:styleId="77">
    <w:name w:val="font51"/>
    <w:qFormat/>
    <w:uiPriority w:val="0"/>
    <w:rPr>
      <w:rFonts w:hint="eastAsia" w:ascii="宋体" w:hAnsi="宋体" w:eastAsia="宋体" w:cs="宋体"/>
      <w:b/>
      <w:bCs/>
      <w:color w:val="000000"/>
      <w:sz w:val="20"/>
      <w:szCs w:val="20"/>
      <w:u w:val="none"/>
    </w:rPr>
  </w:style>
  <w:style w:type="character" w:customStyle="1" w:styleId="78">
    <w:name w:val="font111"/>
    <w:qFormat/>
    <w:uiPriority w:val="0"/>
    <w:rPr>
      <w:rFonts w:hint="eastAsia" w:ascii="宋体" w:hAnsi="宋体" w:eastAsia="宋体" w:cs="宋体"/>
      <w:b/>
      <w:bCs/>
      <w:color w:val="000000"/>
      <w:sz w:val="20"/>
      <w:szCs w:val="20"/>
      <w:u w:val="none"/>
    </w:rPr>
  </w:style>
  <w:style w:type="character" w:customStyle="1" w:styleId="79">
    <w:name w:val="font122"/>
    <w:qFormat/>
    <w:uiPriority w:val="0"/>
    <w:rPr>
      <w:rFonts w:hint="eastAsia" w:ascii="宋体" w:hAnsi="宋体" w:eastAsia="宋体" w:cs="宋体"/>
      <w:b/>
      <w:bCs/>
      <w:color w:val="000000"/>
      <w:sz w:val="20"/>
      <w:szCs w:val="20"/>
      <w:u w:val="none"/>
    </w:rPr>
  </w:style>
  <w:style w:type="character" w:customStyle="1" w:styleId="80">
    <w:name w:val="font131"/>
    <w:qFormat/>
    <w:uiPriority w:val="0"/>
    <w:rPr>
      <w:rFonts w:hint="eastAsia" w:ascii="宋体" w:hAnsi="宋体" w:eastAsia="宋体" w:cs="宋体"/>
      <w:color w:val="000000"/>
      <w:sz w:val="20"/>
      <w:szCs w:val="20"/>
      <w:u w:val="none"/>
    </w:rPr>
  </w:style>
  <w:style w:type="character" w:customStyle="1" w:styleId="81">
    <w:name w:val="font12"/>
    <w:qFormat/>
    <w:uiPriority w:val="0"/>
    <w:rPr>
      <w:rFonts w:hint="eastAsia" w:ascii="宋体" w:hAnsi="宋体" w:eastAsia="宋体" w:cs="宋体"/>
      <w:color w:val="000000"/>
      <w:sz w:val="20"/>
      <w:szCs w:val="20"/>
      <w:u w:val="none"/>
    </w:rPr>
  </w:style>
  <w:style w:type="character" w:customStyle="1" w:styleId="82">
    <w:name w:val="font71"/>
    <w:qFormat/>
    <w:uiPriority w:val="0"/>
    <w:rPr>
      <w:rFonts w:hint="default" w:ascii="Times New Roman" w:hAnsi="Times New Roman" w:cs="Times New Roman"/>
      <w:color w:val="000000"/>
      <w:sz w:val="20"/>
      <w:szCs w:val="20"/>
      <w:u w:val="none"/>
    </w:rPr>
  </w:style>
  <w:style w:type="paragraph" w:customStyle="1" w:styleId="83">
    <w:name w:val="段落"/>
    <w:qFormat/>
    <w:uiPriority w:val="0"/>
    <w:pPr>
      <w:spacing w:line="400" w:lineRule="exact"/>
      <w:ind w:firstLine="482"/>
      <w:jc w:val="both"/>
    </w:pPr>
    <w:rPr>
      <w:rFonts w:ascii="Times New Roman" w:hAnsi="Times New Roman" w:eastAsia="宋体" w:cs="Times New Roman"/>
      <w:sz w:val="24"/>
      <w:lang w:val="en-US" w:eastAsia="zh-CN" w:bidi="ar-SA"/>
    </w:rPr>
  </w:style>
  <w:style w:type="paragraph" w:customStyle="1" w:styleId="84">
    <w:name w:val="中等深浅网格 21"/>
    <w:qFormat/>
    <w:uiPriority w:val="0"/>
    <w:pPr>
      <w:widowControl w:val="0"/>
      <w:spacing w:after="200" w:line="276" w:lineRule="auto"/>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85">
    <w:name w:val="正文表格"/>
    <w:basedOn w:val="1"/>
    <w:qFormat/>
    <w:uiPriority w:val="0"/>
    <w:pPr>
      <w:snapToGrid w:val="0"/>
    </w:pPr>
    <w:rPr>
      <w:szCs w:val="20"/>
    </w:rPr>
  </w:style>
  <w:style w:type="paragraph" w:customStyle="1" w:styleId="86">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2C3660-5D89-4683-A9F0-E25655C34E9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120</Pages>
  <Words>53704</Words>
  <Characters>57423</Characters>
  <Lines>460</Lines>
  <Paragraphs>129</Paragraphs>
  <TotalTime>174</TotalTime>
  <ScaleCrop>false</ScaleCrop>
  <LinksUpToDate>false</LinksUpToDate>
  <CharactersWithSpaces>60474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2022-05-25T01:42:00Z</dcterms:created>
  <dc:creator>User</dc:creator>
  <cp:lastModifiedBy>Administrator</cp:lastModifiedBy>
  <cp:lastPrinted>2022-01-21T08:34:00Z</cp:lastPrinted>
  <dcterms:modified xsi:type="dcterms:W3CDTF">2022-06-21T08:50:07Z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23CBA6B3D8344E4486D5961887077CCD</vt:lpwstr>
  </property>
</Properties>
</file>