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306" w:rightChars="622"/>
        <w:jc w:val="center"/>
        <w:rPr>
          <w:rFonts w:ascii="黑体" w:hAnsi="黑体" w:eastAsia="黑体"/>
          <w:color w:val="000000"/>
          <w:sz w:val="84"/>
          <w:szCs w:val="84"/>
        </w:rPr>
      </w:pPr>
      <w:r>
        <w:rPr>
          <w:rFonts w:ascii="黑体" w:hAnsi="黑体" w:eastAsia="黑体"/>
          <w:color w:val="000000"/>
          <w:sz w:val="84"/>
          <w:szCs w:val="84"/>
        </w:rPr>
        <w:t xml:space="preserve">  </w:t>
      </w:r>
    </w:p>
    <w:p>
      <w:pPr>
        <w:tabs>
          <w:tab w:val="left" w:pos="8222"/>
        </w:tabs>
        <w:spacing w:line="360" w:lineRule="auto"/>
        <w:ind w:right="1306" w:rightChars="622"/>
        <w:jc w:val="center"/>
        <w:rPr>
          <w:rFonts w:ascii="黑体" w:hAnsi="黑体" w:eastAsia="黑体"/>
          <w:color w:val="000000"/>
          <w:sz w:val="84"/>
          <w:szCs w:val="84"/>
        </w:rPr>
      </w:pPr>
      <w:r>
        <w:rPr>
          <w:rFonts w:ascii="黑体" w:hAnsi="黑体" w:eastAsia="黑体"/>
          <w:color w:val="000000"/>
          <w:sz w:val="84"/>
          <w:szCs w:val="84"/>
        </w:rPr>
        <w:t xml:space="preserve"> </w:t>
      </w:r>
      <w:r>
        <w:rPr>
          <w:rFonts w:hint="eastAsia" w:ascii="黑体" w:hAnsi="黑体" w:eastAsia="黑体"/>
          <w:color w:val="000000"/>
          <w:sz w:val="84"/>
          <w:szCs w:val="84"/>
        </w:rPr>
        <w:t>招</w:t>
      </w:r>
      <w:r>
        <w:rPr>
          <w:rFonts w:ascii="黑体" w:hAnsi="黑体" w:eastAsia="黑体"/>
          <w:color w:val="000000"/>
          <w:sz w:val="84"/>
          <w:szCs w:val="84"/>
        </w:rPr>
        <w:t xml:space="preserve">  </w:t>
      </w:r>
      <w:r>
        <w:rPr>
          <w:rFonts w:hint="eastAsia" w:ascii="黑体" w:hAnsi="黑体" w:eastAsia="黑体"/>
          <w:color w:val="000000"/>
          <w:sz w:val="84"/>
          <w:szCs w:val="84"/>
        </w:rPr>
        <w:t>标</w:t>
      </w:r>
      <w:r>
        <w:rPr>
          <w:rFonts w:ascii="黑体" w:hAnsi="黑体" w:eastAsia="黑体"/>
          <w:color w:val="000000"/>
          <w:sz w:val="84"/>
          <w:szCs w:val="84"/>
        </w:rPr>
        <w:t xml:space="preserve">  </w:t>
      </w:r>
      <w:r>
        <w:rPr>
          <w:rFonts w:hint="eastAsia" w:ascii="黑体" w:hAnsi="黑体" w:eastAsia="黑体"/>
          <w:color w:val="000000"/>
          <w:sz w:val="84"/>
          <w:szCs w:val="84"/>
        </w:rPr>
        <w:t>文</w:t>
      </w:r>
      <w:bookmarkStart w:id="202" w:name="_GoBack"/>
      <w:bookmarkEnd w:id="202"/>
      <w:r>
        <w:rPr>
          <w:rFonts w:ascii="黑体" w:hAnsi="黑体" w:eastAsia="黑体"/>
          <w:color w:val="000000"/>
          <w:sz w:val="84"/>
          <w:szCs w:val="84"/>
        </w:rPr>
        <w:t xml:space="preserve">  </w:t>
      </w:r>
      <w:r>
        <w:rPr>
          <w:rFonts w:hint="eastAsia" w:ascii="黑体" w:hAnsi="黑体" w:eastAsia="黑体"/>
          <w:color w:val="000000"/>
          <w:sz w:val="84"/>
          <w:szCs w:val="84"/>
        </w:rPr>
        <w:t>件</w:t>
      </w:r>
    </w:p>
    <w:p>
      <w:pPr>
        <w:tabs>
          <w:tab w:val="left" w:pos="8222"/>
        </w:tabs>
        <w:spacing w:line="360" w:lineRule="auto"/>
        <w:ind w:right="1306" w:rightChars="622"/>
        <w:jc w:val="center"/>
        <w:rPr>
          <w:rFonts w:ascii="宋体"/>
          <w:b/>
          <w:bCs/>
          <w:color w:val="000000"/>
          <w:sz w:val="36"/>
          <w:szCs w:val="24"/>
        </w:rPr>
      </w:pPr>
    </w:p>
    <w:p>
      <w:pPr>
        <w:pStyle w:val="4"/>
        <w:rPr>
          <w:rFonts w:ascii="宋体"/>
          <w:color w:val="000000"/>
          <w:sz w:val="36"/>
          <w:szCs w:val="24"/>
        </w:rPr>
      </w:pPr>
    </w:p>
    <w:p>
      <w:pPr>
        <w:pStyle w:val="4"/>
      </w:pPr>
    </w:p>
    <w:tbl>
      <w:tblPr>
        <w:tblStyle w:val="36"/>
        <w:tblW w:w="8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1"/>
        <w:gridCol w:w="6558"/>
      </w:tblGrid>
      <w:tr>
        <w:trPr>
          <w:trHeight w:val="882" w:hRule="atLeast"/>
          <w:jc w:val="center"/>
        </w:trPr>
        <w:tc>
          <w:tcPr>
            <w:tcW w:w="1661" w:type="dxa"/>
            <w:tcBorders>
              <w:tl2br w:val="nil"/>
              <w:tr2bl w:val="nil"/>
            </w:tcBorders>
          </w:tcPr>
          <w:p>
            <w:pPr>
              <w:spacing w:line="360" w:lineRule="auto"/>
              <w:rPr>
                <w:rFonts w:ascii="黑体" w:hAnsi="黑体" w:eastAsia="黑体" w:cs="黑体"/>
                <w:sz w:val="32"/>
                <w:szCs w:val="32"/>
              </w:rPr>
            </w:pPr>
            <w:r>
              <w:rPr>
                <w:rFonts w:hint="eastAsia" w:ascii="黑体" w:hAnsi="黑体" w:eastAsia="黑体" w:cs="黑体"/>
                <w:sz w:val="32"/>
                <w:szCs w:val="32"/>
              </w:rPr>
              <w:t>项目编号：</w:t>
            </w:r>
          </w:p>
        </w:tc>
        <w:tc>
          <w:tcPr>
            <w:tcW w:w="6558" w:type="dxa"/>
            <w:tcBorders>
              <w:tl2br w:val="nil"/>
              <w:tr2bl w:val="nil"/>
            </w:tcBorders>
          </w:tcPr>
          <w:p>
            <w:pPr>
              <w:spacing w:line="360" w:lineRule="auto"/>
              <w:rPr>
                <w:rFonts w:ascii="黑体" w:hAnsi="黑体" w:eastAsia="黑体" w:cs="黑体"/>
                <w:sz w:val="32"/>
                <w:szCs w:val="32"/>
              </w:rPr>
            </w:pPr>
            <w:r>
              <w:rPr>
                <w:rFonts w:hint="eastAsia" w:ascii="黑体" w:hAnsi="黑体" w:eastAsia="黑体" w:cs="黑体"/>
                <w:sz w:val="32"/>
                <w:szCs w:val="32"/>
              </w:rPr>
              <w:t>HBJX-ZB-2022-123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61" w:type="dxa"/>
            <w:tcBorders>
              <w:tl2br w:val="nil"/>
              <w:tr2bl w:val="nil"/>
            </w:tcBorders>
          </w:tcPr>
          <w:p>
            <w:pPr>
              <w:spacing w:line="360" w:lineRule="auto"/>
              <w:rPr>
                <w:rFonts w:ascii="黑体" w:hAnsi="黑体" w:eastAsia="黑体" w:cs="黑体"/>
                <w:sz w:val="32"/>
                <w:szCs w:val="32"/>
              </w:rPr>
            </w:pPr>
            <w:r>
              <w:rPr>
                <w:rFonts w:hint="eastAsia" w:ascii="黑体" w:hAnsi="黑体" w:eastAsia="黑体" w:cs="黑体"/>
                <w:sz w:val="32"/>
                <w:szCs w:val="32"/>
              </w:rPr>
              <w:t>项目名称：</w:t>
            </w:r>
          </w:p>
        </w:tc>
        <w:tc>
          <w:tcPr>
            <w:tcW w:w="6558" w:type="dxa"/>
            <w:tcBorders>
              <w:tl2br w:val="nil"/>
              <w:tr2bl w:val="nil"/>
            </w:tcBorders>
          </w:tcPr>
          <w:p>
            <w:pPr>
              <w:spacing w:line="360" w:lineRule="auto"/>
              <w:rPr>
                <w:rFonts w:ascii="黑体" w:hAnsi="黑体" w:eastAsia="黑体" w:cs="黑体"/>
                <w:sz w:val="32"/>
                <w:szCs w:val="32"/>
              </w:rPr>
            </w:pPr>
            <w:r>
              <w:rPr>
                <w:rFonts w:hint="eastAsia" w:ascii="黑体" w:hAnsi="黑体" w:eastAsia="黑体" w:cs="黑体"/>
                <w:sz w:val="32"/>
                <w:szCs w:val="32"/>
              </w:rPr>
              <w:t>湖北大学知行学院2022年-2023年保安服务</w:t>
            </w:r>
          </w:p>
        </w:tc>
      </w:tr>
    </w:tbl>
    <w:p/>
    <w:p>
      <w:pPr>
        <w:spacing w:line="360" w:lineRule="auto"/>
        <w:ind w:right="1306" w:rightChars="622"/>
        <w:jc w:val="center"/>
        <w:rPr>
          <w:rFonts w:ascii="宋体"/>
          <w:b/>
          <w:bCs/>
          <w:color w:val="000000"/>
          <w:sz w:val="36"/>
          <w:szCs w:val="24"/>
        </w:rPr>
        <w:sectPr>
          <w:headerReference r:id="rId3" w:type="default"/>
          <w:footerReference r:id="rId4" w:type="default"/>
          <w:pgSz w:w="11906" w:h="16838"/>
          <w:pgMar w:top="1247" w:right="1247" w:bottom="1247" w:left="1247" w:header="851" w:footer="850" w:gutter="0"/>
          <w:cols w:space="0" w:num="1"/>
          <w:docGrid w:type="lines" w:linePitch="312" w:charSpace="0"/>
        </w:sectPr>
      </w:pPr>
      <w:r>
        <w:rPr>
          <w:rFonts w:ascii="黑体" w:hAnsi="黑体" w:eastAsia="黑体"/>
          <w:color w:val="000000"/>
          <w:sz w:val="32"/>
          <w:szCs w:val="32"/>
        </w:rPr>
        <w:t xml:space="preserve">         </w:t>
      </w:r>
      <w:r>
        <w:rPr>
          <w:rFonts w:ascii="宋体" w:hAnsi="宋体"/>
          <w:b/>
          <w:bCs/>
          <w:color w:val="000000"/>
          <w:sz w:val="36"/>
          <w:szCs w:val="24"/>
        </w:rPr>
        <w:t xml:space="preserve">   </w:t>
      </w:r>
    </w:p>
    <w:p>
      <w:pPr>
        <w:spacing w:beforeLines="100" w:afterLines="100"/>
        <w:jc w:val="center"/>
        <w:rPr>
          <w:bCs/>
          <w:color w:val="000000"/>
          <w:sz w:val="28"/>
          <w:lang w:val="zh-CN"/>
        </w:rPr>
      </w:pPr>
      <w:r>
        <w:rPr>
          <w:rFonts w:hint="eastAsia" w:ascii="黑体" w:hAnsi="黑体" w:eastAsia="黑体"/>
          <w:bCs/>
          <w:color w:val="000000"/>
          <w:sz w:val="48"/>
          <w:szCs w:val="48"/>
        </w:rPr>
        <w:t>目</w:t>
      </w:r>
      <w:r>
        <w:rPr>
          <w:rFonts w:ascii="黑体" w:hAnsi="黑体" w:eastAsia="黑体"/>
          <w:bCs/>
          <w:color w:val="000000"/>
          <w:sz w:val="48"/>
          <w:szCs w:val="48"/>
        </w:rPr>
        <w:t xml:space="preserve">   </w:t>
      </w:r>
      <w:r>
        <w:rPr>
          <w:rFonts w:hint="eastAsia" w:ascii="黑体" w:hAnsi="黑体" w:eastAsia="黑体"/>
          <w:bCs/>
          <w:color w:val="000000"/>
          <w:sz w:val="48"/>
          <w:szCs w:val="48"/>
        </w:rPr>
        <w:t>录</w:t>
      </w:r>
    </w:p>
    <w:p>
      <w:pPr>
        <w:pStyle w:val="24"/>
        <w:rPr>
          <w:rFonts w:eastAsia="宋体"/>
          <w:b w:val="0"/>
          <w:kern w:val="2"/>
          <w:sz w:val="21"/>
        </w:rPr>
      </w:pPr>
      <w:r>
        <w:rPr>
          <w:sz w:val="28"/>
        </w:rPr>
        <w:fldChar w:fldCharType="begin"/>
      </w:r>
      <w:r>
        <w:rPr>
          <w:sz w:val="28"/>
        </w:rPr>
        <w:instrText xml:space="preserve"> TOC \o "1-2" \h \z \u </w:instrText>
      </w:r>
      <w:r>
        <w:rPr>
          <w:sz w:val="28"/>
        </w:rPr>
        <w:fldChar w:fldCharType="separate"/>
      </w:r>
      <w:r>
        <w:fldChar w:fldCharType="begin"/>
      </w:r>
      <w:r>
        <w:instrText xml:space="preserve"> HYPERLINK \l "_Toc2252866" </w:instrText>
      </w:r>
      <w:r>
        <w:fldChar w:fldCharType="separate"/>
      </w:r>
      <w:r>
        <w:rPr>
          <w:rStyle w:val="39"/>
          <w:rFonts w:hint="eastAsia" w:ascii="黑体" w:hAnsi="黑体" w:eastAsia="黑体"/>
          <w:color w:val="000000"/>
        </w:rPr>
        <w:t>第一章</w:t>
      </w:r>
      <w:r>
        <w:rPr>
          <w:rFonts w:eastAsia="宋体"/>
          <w:b w:val="0"/>
          <w:kern w:val="2"/>
          <w:sz w:val="21"/>
        </w:rPr>
        <w:tab/>
      </w:r>
      <w:r>
        <w:rPr>
          <w:rStyle w:val="39"/>
          <w:rFonts w:hint="eastAsia" w:ascii="黑体" w:hAnsi="黑体" w:eastAsia="黑体"/>
          <w:color w:val="000000"/>
        </w:rPr>
        <w:t>投标邀请书</w:t>
      </w:r>
      <w:r>
        <w:tab/>
      </w:r>
      <w:r>
        <w:fldChar w:fldCharType="begin"/>
      </w:r>
      <w:r>
        <w:instrText xml:space="preserve"> PAGEREF _Toc2252866 \h </w:instrText>
      </w:r>
      <w:r>
        <w:fldChar w:fldCharType="separate"/>
      </w:r>
      <w:r>
        <w:t>4</w:t>
      </w:r>
      <w:r>
        <w:fldChar w:fldCharType="end"/>
      </w:r>
      <w:r>
        <w:fldChar w:fldCharType="end"/>
      </w:r>
    </w:p>
    <w:p>
      <w:pPr>
        <w:pStyle w:val="24"/>
        <w:rPr>
          <w:rFonts w:eastAsia="宋体"/>
          <w:b w:val="0"/>
          <w:kern w:val="2"/>
          <w:sz w:val="21"/>
        </w:rPr>
      </w:pPr>
      <w:r>
        <w:fldChar w:fldCharType="begin"/>
      </w:r>
      <w:r>
        <w:instrText xml:space="preserve"> HYPERLINK \l "_Toc2252867" </w:instrText>
      </w:r>
      <w:r>
        <w:fldChar w:fldCharType="separate"/>
      </w:r>
      <w:r>
        <w:rPr>
          <w:rStyle w:val="39"/>
          <w:rFonts w:hint="eastAsia" w:ascii="黑体" w:hAnsi="黑体" w:eastAsia="黑体"/>
          <w:color w:val="000000"/>
        </w:rPr>
        <w:t>第二章</w:t>
      </w:r>
      <w:r>
        <w:rPr>
          <w:rFonts w:eastAsia="宋体"/>
          <w:b w:val="0"/>
          <w:kern w:val="2"/>
          <w:sz w:val="21"/>
        </w:rPr>
        <w:tab/>
      </w:r>
      <w:r>
        <w:rPr>
          <w:rStyle w:val="39"/>
          <w:rFonts w:hint="eastAsia" w:ascii="黑体" w:hAnsi="黑体" w:eastAsia="黑体"/>
          <w:color w:val="000000"/>
        </w:rPr>
        <w:t>投标人须知</w:t>
      </w:r>
      <w:r>
        <w:tab/>
      </w:r>
      <w:r>
        <w:rPr>
          <w:rFonts w:hint="default"/>
        </w:rPr>
        <w:t>7</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"_Toc2252868" </w:instrText>
      </w:r>
      <w:r>
        <w:fldChar w:fldCharType="separate"/>
      </w:r>
      <w:r>
        <w:rPr>
          <w:rStyle w:val="39"/>
          <w:rFonts w:hint="eastAsia" w:ascii="宋体" w:hAnsi="宋体"/>
          <w:b/>
          <w:bCs/>
          <w:color w:val="000000"/>
        </w:rPr>
        <w:t>投标须知前附表</w:t>
      </w:r>
      <w:r>
        <w:tab/>
      </w:r>
      <w:r>
        <w:rPr>
          <w:rFonts w:hint="default"/>
        </w:rPr>
        <w:t>7</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"_Toc2252869" </w:instrText>
      </w:r>
      <w:r>
        <w:fldChar w:fldCharType="separate"/>
      </w:r>
      <w:r>
        <w:rPr>
          <w:rStyle w:val="39"/>
          <w:rFonts w:hint="eastAsia" w:ascii="宋体" w:hAnsi="宋体"/>
          <w:color w:val="000000"/>
        </w:rPr>
        <w:t>一、</w:t>
      </w:r>
      <w:r>
        <w:rPr>
          <w:rFonts w:ascii="Calibri" w:hAnsi="Calibri" w:eastAsia="宋体"/>
          <w:iCs w:val="0"/>
          <w:kern w:val="2"/>
          <w:sz w:val="21"/>
        </w:rPr>
        <w:tab/>
      </w:r>
      <w:r>
        <w:rPr>
          <w:rStyle w:val="39"/>
          <w:rFonts w:hint="eastAsia" w:ascii="宋体" w:hAnsi="宋体"/>
          <w:color w:val="000000"/>
        </w:rPr>
        <w:t>说</w:t>
      </w:r>
      <w:r>
        <w:rPr>
          <w:rStyle w:val="39"/>
          <w:rFonts w:ascii="宋体" w:hAnsi="宋体"/>
          <w:color w:val="000000"/>
        </w:rPr>
        <w:t xml:space="preserve">  </w:t>
      </w:r>
      <w:r>
        <w:rPr>
          <w:rStyle w:val="39"/>
          <w:rFonts w:hint="eastAsia" w:ascii="宋体" w:hAnsi="宋体"/>
          <w:color w:val="000000"/>
        </w:rPr>
        <w:t>明</w:t>
      </w:r>
      <w:r>
        <w:tab/>
      </w:r>
      <w:r>
        <w:rPr>
          <w:rFonts w:hint="default"/>
        </w:rPr>
        <w:t>8</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"_Toc2252870" </w:instrText>
      </w:r>
      <w:r>
        <w:fldChar w:fldCharType="separate"/>
      </w:r>
      <w:r>
        <w:rPr>
          <w:rStyle w:val="39"/>
          <w:rFonts w:hint="eastAsia" w:ascii="宋体" w:hAnsi="宋体"/>
          <w:color w:val="000000"/>
        </w:rPr>
        <w:t>二、</w:t>
      </w:r>
      <w:r>
        <w:rPr>
          <w:rFonts w:ascii="Calibri" w:hAnsi="Calibri" w:eastAsia="宋体"/>
          <w:iCs w:val="0"/>
          <w:kern w:val="2"/>
          <w:sz w:val="21"/>
        </w:rPr>
        <w:tab/>
      </w:r>
      <w:r>
        <w:rPr>
          <w:rStyle w:val="39"/>
          <w:rFonts w:hint="eastAsia" w:ascii="宋体" w:hAnsi="宋体"/>
          <w:color w:val="000000"/>
        </w:rPr>
        <w:t>招标文件</w:t>
      </w:r>
      <w:r>
        <w:tab/>
      </w:r>
      <w:r>
        <w:rPr>
          <w:rFonts w:hint="default"/>
        </w:rPr>
        <w:t>8</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"_Toc2252871" </w:instrText>
      </w:r>
      <w:r>
        <w:fldChar w:fldCharType="separate"/>
      </w:r>
      <w:r>
        <w:rPr>
          <w:rStyle w:val="39"/>
          <w:rFonts w:hint="eastAsia" w:ascii="宋体" w:hAnsi="宋体"/>
          <w:color w:val="000000"/>
        </w:rPr>
        <w:t>三、</w:t>
      </w:r>
      <w:r>
        <w:rPr>
          <w:rFonts w:ascii="Calibri" w:hAnsi="Calibri" w:eastAsia="宋体"/>
          <w:iCs w:val="0"/>
          <w:kern w:val="2"/>
          <w:sz w:val="21"/>
        </w:rPr>
        <w:tab/>
      </w:r>
      <w:r>
        <w:rPr>
          <w:rStyle w:val="39"/>
          <w:rFonts w:hint="eastAsia" w:ascii="宋体" w:hAnsi="宋体"/>
          <w:color w:val="000000"/>
        </w:rPr>
        <w:t>投标文件</w:t>
      </w:r>
      <w:r>
        <w:tab/>
      </w:r>
      <w:r>
        <w:rPr>
          <w:rFonts w:hint="eastAsia"/>
        </w:rPr>
        <w:t>1</w:t>
      </w:r>
      <w:r>
        <w:rPr>
          <w:rFonts w:hint="default"/>
        </w:rPr>
        <w:t>0</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"_Toc2252872" </w:instrText>
      </w:r>
      <w:r>
        <w:fldChar w:fldCharType="separate"/>
      </w:r>
      <w:r>
        <w:rPr>
          <w:rStyle w:val="39"/>
          <w:rFonts w:hint="eastAsia" w:ascii="宋体" w:hAnsi="宋体"/>
          <w:color w:val="000000"/>
        </w:rPr>
        <w:t>四、</w:t>
      </w:r>
      <w:r>
        <w:rPr>
          <w:rFonts w:ascii="Calibri" w:hAnsi="Calibri" w:eastAsia="宋体"/>
          <w:iCs w:val="0"/>
          <w:kern w:val="2"/>
          <w:sz w:val="21"/>
        </w:rPr>
        <w:tab/>
      </w:r>
      <w:r>
        <w:rPr>
          <w:rStyle w:val="39"/>
          <w:rFonts w:hint="eastAsia" w:ascii="宋体" w:hAnsi="宋体"/>
          <w:color w:val="000000"/>
        </w:rPr>
        <w:t>开标与评标</w:t>
      </w:r>
      <w:r>
        <w:tab/>
      </w:r>
      <w:r>
        <w:rPr>
          <w:rFonts w:hint="eastAsia"/>
        </w:rPr>
        <w:t>1</w:t>
      </w:r>
      <w:r>
        <w:rPr>
          <w:rFonts w:hint="default"/>
        </w:rPr>
        <w:t>3</w:t>
      </w:r>
      <w:r>
        <w:rPr>
          <w:rFonts w:hint="eastAsia"/>
        </w:rPr>
        <w:fldChar w:fldCharType="end"/>
      </w:r>
    </w:p>
    <w:p>
      <w:pPr>
        <w:pStyle w:val="28"/>
        <w:spacing w:line="440" w:lineRule="exact"/>
        <w:rPr>
          <w:rFonts w:hint="default" w:ascii="Calibri" w:hAnsi="Calibri" w:eastAsia="宋体"/>
          <w:iCs w:val="0"/>
          <w:kern w:val="2"/>
          <w:sz w:val="21"/>
        </w:rPr>
      </w:pPr>
      <w:r>
        <w:fldChar w:fldCharType="begin"/>
      </w:r>
      <w:r>
        <w:instrText xml:space="preserve"> HYPERLINK \l "_Toc2252873" </w:instrText>
      </w:r>
      <w:r>
        <w:fldChar w:fldCharType="separate"/>
      </w:r>
      <w:r>
        <w:rPr>
          <w:rStyle w:val="39"/>
          <w:rFonts w:hint="eastAsia" w:ascii="宋体" w:hAnsi="宋体"/>
          <w:color w:val="000000"/>
        </w:rPr>
        <w:t>五、</w:t>
      </w:r>
      <w:r>
        <w:rPr>
          <w:rFonts w:ascii="Calibri" w:hAnsi="Calibri" w:eastAsia="宋体"/>
          <w:iCs w:val="0"/>
          <w:kern w:val="2"/>
          <w:sz w:val="21"/>
        </w:rPr>
        <w:tab/>
      </w:r>
      <w:r>
        <w:rPr>
          <w:rStyle w:val="39"/>
          <w:rFonts w:hint="eastAsia" w:ascii="宋体" w:hAnsi="宋体"/>
          <w:color w:val="000000"/>
        </w:rPr>
        <w:t>投标人信用信息及查询</w:t>
      </w:r>
      <w:r>
        <w:tab/>
      </w:r>
      <w:r>
        <w:fldChar w:fldCharType="end"/>
      </w:r>
      <w:r>
        <w:rPr>
          <w:rFonts w:hint="eastAsia"/>
        </w:rPr>
        <w:t>1</w:t>
      </w:r>
      <w:r>
        <w:rPr>
          <w:rFonts w:hint="default"/>
        </w:rPr>
        <w:t>4</w:t>
      </w:r>
    </w:p>
    <w:p>
      <w:pPr>
        <w:pStyle w:val="28"/>
        <w:spacing w:line="440" w:lineRule="exact"/>
        <w:rPr>
          <w:rFonts w:ascii="Calibri" w:hAnsi="Calibri" w:eastAsia="宋体"/>
          <w:iCs w:val="0"/>
          <w:kern w:val="2"/>
          <w:sz w:val="21"/>
        </w:rPr>
      </w:pPr>
      <w:r>
        <w:fldChar w:fldCharType="begin"/>
      </w:r>
      <w:r>
        <w:instrText xml:space="preserve"> HYPERLINK \l "_Toc2252874" </w:instrText>
      </w:r>
      <w:r>
        <w:fldChar w:fldCharType="separate"/>
      </w:r>
      <w:r>
        <w:rPr>
          <w:rStyle w:val="39"/>
          <w:rFonts w:hint="eastAsia" w:ascii="宋体" w:hAnsi="宋体"/>
          <w:color w:val="000000"/>
        </w:rPr>
        <w:t>六、</w:t>
      </w:r>
      <w:r>
        <w:rPr>
          <w:rFonts w:ascii="Calibri" w:hAnsi="Calibri" w:eastAsia="宋体"/>
          <w:iCs w:val="0"/>
          <w:kern w:val="2"/>
          <w:sz w:val="21"/>
        </w:rPr>
        <w:tab/>
      </w:r>
      <w:r>
        <w:rPr>
          <w:rStyle w:val="39"/>
          <w:rFonts w:hint="eastAsia" w:ascii="宋体" w:hAnsi="宋体"/>
          <w:color w:val="000000"/>
        </w:rPr>
        <w:t>中标与合同</w:t>
      </w:r>
      <w:r>
        <w:tab/>
      </w:r>
      <w:r>
        <w:rPr>
          <w:rFonts w:hint="eastAsia"/>
        </w:rPr>
        <w:t>1</w:t>
      </w:r>
      <w:r>
        <w:rPr>
          <w:rFonts w:hint="default"/>
        </w:rPr>
        <w:t>5</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"_Toc2252875" </w:instrText>
      </w:r>
      <w:r>
        <w:fldChar w:fldCharType="separate"/>
      </w:r>
      <w:r>
        <w:rPr>
          <w:rStyle w:val="39"/>
          <w:rFonts w:hint="eastAsia" w:ascii="宋体" w:hAnsi="宋体"/>
          <w:color w:val="000000"/>
        </w:rPr>
        <w:t>七、</w:t>
      </w:r>
      <w:r>
        <w:rPr>
          <w:rFonts w:ascii="Calibri" w:hAnsi="Calibri" w:eastAsia="宋体"/>
          <w:iCs w:val="0"/>
          <w:kern w:val="2"/>
          <w:sz w:val="21"/>
        </w:rPr>
        <w:tab/>
      </w:r>
      <w:r>
        <w:rPr>
          <w:rStyle w:val="39"/>
          <w:rFonts w:hint="eastAsia" w:ascii="宋体" w:hAnsi="宋体"/>
          <w:color w:val="000000"/>
        </w:rPr>
        <w:t>采购信息公告</w:t>
      </w:r>
      <w:r>
        <w:tab/>
      </w:r>
      <w:r>
        <w:rPr>
          <w:rFonts w:hint="eastAsia"/>
        </w:rPr>
        <w:t>1</w:t>
      </w:r>
      <w:r>
        <w:rPr>
          <w:rFonts w:hint="default"/>
        </w:rPr>
        <w:t>6</w:t>
      </w:r>
      <w:r>
        <w:rPr>
          <w:rFonts w:hint="eastAsia"/>
        </w:rPr>
        <w:fldChar w:fldCharType="end"/>
      </w:r>
    </w:p>
    <w:p>
      <w:pPr>
        <w:pStyle w:val="28"/>
        <w:spacing w:line="440" w:lineRule="exact"/>
        <w:rPr>
          <w:rFonts w:ascii="Calibri" w:hAnsi="Calibri" w:eastAsia="宋体"/>
          <w:iCs w:val="0"/>
          <w:kern w:val="2"/>
          <w:sz w:val="21"/>
        </w:rPr>
      </w:pPr>
      <w:r>
        <w:fldChar w:fldCharType="begin"/>
      </w:r>
      <w:r>
        <w:instrText xml:space="preserve"> HYPERLINK \l "_Toc2252876" </w:instrText>
      </w:r>
      <w:r>
        <w:fldChar w:fldCharType="separate"/>
      </w:r>
      <w:r>
        <w:rPr>
          <w:rStyle w:val="39"/>
          <w:rFonts w:hint="eastAsia" w:ascii="宋体" w:hAnsi="宋体"/>
          <w:color w:val="000000"/>
        </w:rPr>
        <w:t>八、</w:t>
      </w:r>
      <w:r>
        <w:rPr>
          <w:rFonts w:ascii="Calibri" w:hAnsi="Calibri" w:eastAsia="宋体"/>
          <w:iCs w:val="0"/>
          <w:kern w:val="2"/>
          <w:sz w:val="21"/>
        </w:rPr>
        <w:tab/>
      </w:r>
      <w:r>
        <w:rPr>
          <w:rStyle w:val="39"/>
          <w:rFonts w:hint="eastAsia" w:ascii="宋体" w:hAnsi="宋体"/>
          <w:color w:val="000000"/>
        </w:rPr>
        <w:t>质疑及提交</w:t>
      </w:r>
      <w:r>
        <w:tab/>
      </w:r>
      <w:r>
        <w:rPr>
          <w:rFonts w:hint="eastAsia"/>
        </w:rPr>
        <w:t>1</w:t>
      </w:r>
      <w:r>
        <w:rPr>
          <w:rFonts w:hint="default"/>
        </w:rPr>
        <w:t>6</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"_Toc2252877" </w:instrText>
      </w:r>
      <w:r>
        <w:fldChar w:fldCharType="separate"/>
      </w:r>
      <w:r>
        <w:rPr>
          <w:rStyle w:val="39"/>
          <w:rFonts w:hint="eastAsia" w:ascii="宋体" w:hAnsi="宋体"/>
          <w:color w:val="000000"/>
        </w:rPr>
        <w:t>九、</w:t>
      </w:r>
      <w:r>
        <w:rPr>
          <w:rFonts w:ascii="Calibri" w:hAnsi="Calibri" w:eastAsia="宋体"/>
          <w:iCs w:val="0"/>
          <w:kern w:val="2"/>
          <w:sz w:val="21"/>
        </w:rPr>
        <w:tab/>
      </w:r>
      <w:r>
        <w:rPr>
          <w:rStyle w:val="39"/>
          <w:rFonts w:hint="eastAsia" w:ascii="宋体" w:hAnsi="宋体"/>
          <w:color w:val="000000"/>
        </w:rPr>
        <w:t>相关条文解读</w:t>
      </w:r>
      <w:r>
        <w:tab/>
      </w:r>
      <w:r>
        <w:rPr>
          <w:rFonts w:hint="eastAsia"/>
        </w:rPr>
        <w:t>1</w:t>
      </w:r>
      <w:r>
        <w:t>7</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"_Toc2252878" </w:instrText>
      </w:r>
      <w:r>
        <w:fldChar w:fldCharType="separate"/>
      </w:r>
      <w:r>
        <w:rPr>
          <w:rStyle w:val="39"/>
          <w:rFonts w:hint="eastAsia" w:ascii="宋体" w:hAnsi="宋体"/>
          <w:color w:val="000000"/>
        </w:rPr>
        <w:t>十、</w:t>
      </w:r>
      <w:r>
        <w:rPr>
          <w:rFonts w:ascii="Calibri" w:hAnsi="Calibri" w:eastAsia="宋体"/>
          <w:iCs w:val="0"/>
          <w:kern w:val="2"/>
          <w:sz w:val="21"/>
        </w:rPr>
        <w:tab/>
      </w:r>
      <w:r>
        <w:rPr>
          <w:rStyle w:val="39"/>
          <w:rFonts w:hint="eastAsia" w:ascii="宋体" w:hAnsi="宋体"/>
          <w:color w:val="000000"/>
        </w:rPr>
        <w:t>其他注意事项</w:t>
      </w:r>
      <w:r>
        <w:tab/>
      </w:r>
      <w:r>
        <w:rPr>
          <w:rFonts w:hint="eastAsia"/>
        </w:rPr>
        <w:t>1</w:t>
      </w:r>
      <w:r>
        <w:t>7</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"_Toc2252879" </w:instrText>
      </w:r>
      <w:r>
        <w:fldChar w:fldCharType="separate"/>
      </w:r>
      <w:r>
        <w:rPr>
          <w:rStyle w:val="39"/>
          <w:rFonts w:hint="eastAsia" w:ascii="宋体" w:hAnsi="宋体"/>
          <w:color w:val="000000"/>
        </w:rPr>
        <w:t>十一、</w:t>
      </w:r>
      <w:r>
        <w:rPr>
          <w:rFonts w:ascii="Calibri" w:hAnsi="Calibri" w:eastAsia="宋体"/>
          <w:iCs w:val="0"/>
          <w:kern w:val="2"/>
          <w:sz w:val="21"/>
        </w:rPr>
        <w:tab/>
      </w:r>
      <w:r>
        <w:rPr>
          <w:rStyle w:val="39"/>
          <w:rFonts w:hint="eastAsia" w:ascii="宋体" w:hAnsi="宋体"/>
          <w:color w:val="000000"/>
        </w:rPr>
        <w:t>适用法律</w:t>
      </w:r>
      <w:r>
        <w:tab/>
      </w:r>
      <w:r>
        <w:rPr>
          <w:rFonts w:hint="eastAsia"/>
        </w:rPr>
        <w:t>1</w:t>
      </w:r>
      <w:r>
        <w:t>7</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"_Toc2252880" </w:instrText>
      </w:r>
      <w:r>
        <w:fldChar w:fldCharType="separate"/>
      </w:r>
      <w:r>
        <w:rPr>
          <w:rStyle w:val="39"/>
          <w:rFonts w:hint="eastAsia" w:ascii="宋体" w:hAnsi="宋体"/>
          <w:color w:val="000000"/>
        </w:rPr>
        <w:t>十二、</w:t>
      </w:r>
      <w:r>
        <w:rPr>
          <w:rFonts w:ascii="Calibri" w:hAnsi="Calibri" w:eastAsia="宋体"/>
          <w:iCs w:val="0"/>
          <w:kern w:val="2"/>
          <w:sz w:val="21"/>
        </w:rPr>
        <w:tab/>
      </w:r>
      <w:r>
        <w:rPr>
          <w:rStyle w:val="39"/>
          <w:rFonts w:hint="eastAsia" w:ascii="宋体" w:hAnsi="宋体"/>
          <w:color w:val="000000"/>
        </w:rPr>
        <w:t>招标文件的解释权</w:t>
      </w:r>
      <w:r>
        <w:tab/>
      </w:r>
      <w:r>
        <w:rPr>
          <w:rFonts w:hint="eastAsia"/>
        </w:rPr>
        <w:t>1</w:t>
      </w:r>
      <w:r>
        <w:t>7</w:t>
      </w:r>
      <w:r>
        <w:fldChar w:fldCharType="end"/>
      </w:r>
    </w:p>
    <w:p>
      <w:pPr>
        <w:pStyle w:val="24"/>
        <w:rPr>
          <w:rFonts w:hint="default" w:eastAsia="宋体"/>
          <w:b w:val="0"/>
          <w:kern w:val="2"/>
          <w:sz w:val="21"/>
        </w:rPr>
      </w:pPr>
      <w:r>
        <w:fldChar w:fldCharType="begin"/>
      </w:r>
      <w:r>
        <w:instrText xml:space="preserve"> HYPERLINK \l "_Toc2252881" </w:instrText>
      </w:r>
      <w:r>
        <w:fldChar w:fldCharType="separate"/>
      </w:r>
      <w:r>
        <w:rPr>
          <w:rStyle w:val="39"/>
          <w:rFonts w:hint="eastAsia" w:ascii="黑体" w:hAnsi="黑体" w:eastAsia="黑体"/>
          <w:color w:val="000000"/>
        </w:rPr>
        <w:t>第三章</w:t>
      </w:r>
      <w:r>
        <w:rPr>
          <w:rFonts w:eastAsia="宋体"/>
          <w:b w:val="0"/>
          <w:kern w:val="2"/>
          <w:sz w:val="21"/>
        </w:rPr>
        <w:tab/>
      </w:r>
      <w:r>
        <w:rPr>
          <w:rStyle w:val="39"/>
          <w:rFonts w:hint="eastAsia" w:ascii="黑体" w:hAnsi="黑体" w:eastAsia="黑体"/>
          <w:color w:val="000000"/>
        </w:rPr>
        <w:t>项目技术、服务及商务要求</w:t>
      </w:r>
      <w:r>
        <w:tab/>
      </w:r>
      <w:r>
        <w:t>1</w:t>
      </w:r>
      <w:r>
        <w:fldChar w:fldCharType="end"/>
      </w:r>
      <w:r>
        <w:rPr>
          <w:rFonts w:hint="default"/>
        </w:rPr>
        <w:t>8</w:t>
      </w:r>
    </w:p>
    <w:p>
      <w:pPr>
        <w:pStyle w:val="24"/>
        <w:rPr>
          <w:rFonts w:eastAsia="宋体"/>
          <w:b w:val="0"/>
          <w:kern w:val="2"/>
          <w:sz w:val="21"/>
        </w:rPr>
      </w:pPr>
      <w:r>
        <w:fldChar w:fldCharType="begin"/>
      </w:r>
      <w:r>
        <w:instrText xml:space="preserve"> HYPERLINK \l "_Toc2252887" </w:instrText>
      </w:r>
      <w:r>
        <w:fldChar w:fldCharType="separate"/>
      </w:r>
      <w:r>
        <w:rPr>
          <w:rStyle w:val="39"/>
          <w:rFonts w:hint="eastAsia" w:ascii="黑体" w:hAnsi="黑体" w:eastAsia="黑体"/>
          <w:color w:val="000000"/>
        </w:rPr>
        <w:t>第四章</w:t>
      </w:r>
      <w:r>
        <w:rPr>
          <w:rFonts w:eastAsia="宋体"/>
          <w:b w:val="0"/>
          <w:kern w:val="2"/>
          <w:sz w:val="21"/>
        </w:rPr>
        <w:tab/>
      </w:r>
      <w:r>
        <w:rPr>
          <w:rStyle w:val="39"/>
          <w:rFonts w:hint="eastAsia" w:ascii="黑体" w:hAnsi="黑体" w:eastAsia="黑体"/>
          <w:color w:val="000000"/>
        </w:rPr>
        <w:t>资格审查方法及标准</w:t>
      </w:r>
      <w:r>
        <w:tab/>
      </w:r>
      <w:r>
        <w:rPr>
          <w:rFonts w:hint="eastAsia"/>
        </w:rPr>
        <w:t>2</w:t>
      </w:r>
      <w:r>
        <w:rPr>
          <w:rFonts w:hint="default"/>
        </w:rPr>
        <w:t>3</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"_Toc2252888" </w:instrText>
      </w:r>
      <w:r>
        <w:fldChar w:fldCharType="separate"/>
      </w:r>
      <w:r>
        <w:rPr>
          <w:rStyle w:val="39"/>
          <w:rFonts w:hint="eastAsia" w:ascii="宋体" w:hAnsi="宋体"/>
          <w:color w:val="000000"/>
        </w:rPr>
        <w:t>一、</w:t>
      </w:r>
      <w:r>
        <w:rPr>
          <w:rFonts w:ascii="Calibri" w:hAnsi="Calibri" w:eastAsia="宋体"/>
          <w:iCs w:val="0"/>
          <w:kern w:val="2"/>
          <w:sz w:val="21"/>
        </w:rPr>
        <w:tab/>
      </w:r>
      <w:r>
        <w:rPr>
          <w:rStyle w:val="39"/>
          <w:rFonts w:hint="eastAsia" w:ascii="宋体" w:hAnsi="宋体"/>
          <w:color w:val="000000"/>
        </w:rPr>
        <w:t>资格审查方法</w:t>
      </w:r>
      <w:r>
        <w:tab/>
      </w:r>
      <w:r>
        <w:rPr>
          <w:rFonts w:hint="eastAsia"/>
        </w:rPr>
        <w:t>2</w:t>
      </w:r>
      <w:r>
        <w:rPr>
          <w:rFonts w:hint="default"/>
        </w:rPr>
        <w:t>3</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"_Toc2252889" </w:instrText>
      </w:r>
      <w:r>
        <w:fldChar w:fldCharType="separate"/>
      </w:r>
      <w:r>
        <w:rPr>
          <w:rStyle w:val="39"/>
          <w:rFonts w:hint="eastAsia" w:ascii="宋体" w:hAnsi="宋体"/>
          <w:color w:val="000000"/>
        </w:rPr>
        <w:t>二、</w:t>
      </w:r>
      <w:r>
        <w:rPr>
          <w:rFonts w:ascii="Calibri" w:hAnsi="Calibri" w:eastAsia="宋体"/>
          <w:iCs w:val="0"/>
          <w:kern w:val="2"/>
          <w:sz w:val="21"/>
        </w:rPr>
        <w:tab/>
      </w:r>
      <w:r>
        <w:rPr>
          <w:rStyle w:val="39"/>
          <w:rFonts w:hint="eastAsia" w:ascii="宋体" w:hAnsi="宋体"/>
          <w:color w:val="000000"/>
        </w:rPr>
        <w:t>资格审查标准</w:t>
      </w:r>
      <w:r>
        <w:tab/>
      </w:r>
      <w:r>
        <w:rPr>
          <w:rFonts w:hint="eastAsia"/>
        </w:rPr>
        <w:t>2</w:t>
      </w:r>
      <w:r>
        <w:rPr>
          <w:rFonts w:hint="default"/>
        </w:rPr>
        <w:t>3</w:t>
      </w:r>
      <w:r>
        <w:fldChar w:fldCharType="end"/>
      </w:r>
    </w:p>
    <w:p>
      <w:pPr>
        <w:pStyle w:val="24"/>
        <w:rPr>
          <w:rFonts w:eastAsia="宋体"/>
          <w:b w:val="0"/>
          <w:kern w:val="2"/>
          <w:sz w:val="21"/>
        </w:rPr>
      </w:pPr>
      <w:r>
        <w:fldChar w:fldCharType="begin"/>
      </w:r>
      <w:r>
        <w:instrText xml:space="preserve"> HYPERLINK \l "_Toc2252890" </w:instrText>
      </w:r>
      <w:r>
        <w:fldChar w:fldCharType="separate"/>
      </w:r>
      <w:r>
        <w:rPr>
          <w:rStyle w:val="39"/>
          <w:rFonts w:hint="eastAsia" w:ascii="黑体" w:hAnsi="黑体" w:eastAsia="黑体"/>
          <w:color w:val="000000"/>
        </w:rPr>
        <w:t>第五章</w:t>
      </w:r>
      <w:r>
        <w:rPr>
          <w:rFonts w:eastAsia="宋体"/>
          <w:b w:val="0"/>
          <w:kern w:val="2"/>
          <w:sz w:val="21"/>
        </w:rPr>
        <w:tab/>
      </w:r>
      <w:r>
        <w:rPr>
          <w:rStyle w:val="39"/>
          <w:rFonts w:hint="eastAsia" w:ascii="黑体" w:hAnsi="黑体" w:eastAsia="黑体"/>
          <w:color w:val="000000"/>
        </w:rPr>
        <w:t>评标方法、程序及标准</w:t>
      </w:r>
      <w:r>
        <w:tab/>
      </w:r>
      <w:r>
        <w:rPr>
          <w:rFonts w:hint="eastAsia"/>
        </w:rPr>
        <w:t>2</w:t>
      </w:r>
      <w:r>
        <w:rPr>
          <w:rFonts w:hint="default"/>
        </w:rPr>
        <w:t>5</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"_Toc2252891" </w:instrText>
      </w:r>
      <w:r>
        <w:fldChar w:fldCharType="separate"/>
      </w:r>
      <w:r>
        <w:rPr>
          <w:rStyle w:val="39"/>
          <w:rFonts w:hint="eastAsia" w:ascii="宋体" w:hAnsi="宋体"/>
          <w:color w:val="000000"/>
        </w:rPr>
        <w:t>一、</w:t>
      </w:r>
      <w:r>
        <w:rPr>
          <w:rFonts w:ascii="Calibri" w:hAnsi="Calibri" w:eastAsia="宋体"/>
          <w:iCs w:val="0"/>
          <w:kern w:val="2"/>
          <w:sz w:val="21"/>
        </w:rPr>
        <w:tab/>
      </w:r>
      <w:r>
        <w:rPr>
          <w:rStyle w:val="39"/>
          <w:rFonts w:hint="eastAsia" w:ascii="宋体" w:hAnsi="宋体"/>
          <w:color w:val="000000"/>
        </w:rPr>
        <w:t>评标方法</w:t>
      </w:r>
      <w:r>
        <w:tab/>
      </w:r>
      <w:r>
        <w:rPr>
          <w:rFonts w:hint="eastAsia"/>
        </w:rPr>
        <w:t>2</w:t>
      </w:r>
      <w:r>
        <w:rPr>
          <w:rFonts w:hint="default"/>
        </w:rPr>
        <w:t>5</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"_Toc2252892" </w:instrText>
      </w:r>
      <w:r>
        <w:fldChar w:fldCharType="separate"/>
      </w:r>
      <w:r>
        <w:rPr>
          <w:rStyle w:val="39"/>
          <w:rFonts w:hint="eastAsia" w:ascii="宋体" w:hAnsi="宋体"/>
          <w:color w:val="000000"/>
        </w:rPr>
        <w:t>二、</w:t>
      </w:r>
      <w:r>
        <w:rPr>
          <w:rFonts w:ascii="Calibri" w:hAnsi="Calibri" w:eastAsia="宋体"/>
          <w:iCs w:val="0"/>
          <w:kern w:val="2"/>
          <w:sz w:val="21"/>
        </w:rPr>
        <w:tab/>
      </w:r>
      <w:r>
        <w:rPr>
          <w:rStyle w:val="39"/>
          <w:rFonts w:hint="eastAsia" w:ascii="宋体" w:hAnsi="宋体"/>
          <w:color w:val="000000"/>
        </w:rPr>
        <w:t>评标程序及标准</w:t>
      </w:r>
      <w:r>
        <w:tab/>
      </w:r>
      <w:r>
        <w:rPr>
          <w:rFonts w:hint="eastAsia"/>
        </w:rPr>
        <w:t>2</w:t>
      </w:r>
      <w:r>
        <w:rPr>
          <w:rFonts w:hint="default"/>
        </w:rPr>
        <w:t>5</w:t>
      </w:r>
      <w:r>
        <w:fldChar w:fldCharType="end"/>
      </w:r>
    </w:p>
    <w:p>
      <w:pPr>
        <w:pStyle w:val="28"/>
        <w:spacing w:line="440" w:lineRule="exact"/>
        <w:rPr>
          <w:rFonts w:ascii="Calibri" w:hAnsi="Calibri" w:eastAsia="宋体"/>
          <w:iCs w:val="0"/>
          <w:kern w:val="2"/>
          <w:sz w:val="21"/>
        </w:rPr>
      </w:pPr>
      <w:r>
        <w:fldChar w:fldCharType="begin"/>
      </w:r>
      <w:r>
        <w:instrText xml:space="preserve"> HYPERLINK \l "_Toc2252893" </w:instrText>
      </w:r>
      <w:r>
        <w:fldChar w:fldCharType="separate"/>
      </w:r>
      <w:r>
        <w:rPr>
          <w:rStyle w:val="39"/>
          <w:rFonts w:hint="eastAsia" w:ascii="宋体" w:hAnsi="宋体"/>
          <w:color w:val="000000"/>
        </w:rPr>
        <w:t>三、</w:t>
      </w:r>
      <w:r>
        <w:rPr>
          <w:rFonts w:ascii="Calibri" w:hAnsi="Calibri" w:eastAsia="宋体"/>
          <w:iCs w:val="0"/>
          <w:kern w:val="2"/>
          <w:sz w:val="21"/>
        </w:rPr>
        <w:tab/>
      </w:r>
      <w:r>
        <w:rPr>
          <w:rStyle w:val="39"/>
          <w:rFonts w:hint="eastAsia" w:ascii="宋体" w:hAnsi="宋体"/>
          <w:color w:val="000000"/>
        </w:rPr>
        <w:t>评审因素及评分标准</w:t>
      </w:r>
      <w:r>
        <w:tab/>
      </w:r>
      <w:r>
        <w:rPr>
          <w:rFonts w:hint="eastAsia"/>
        </w:rPr>
        <w:t>2</w:t>
      </w:r>
      <w:r>
        <w:rPr>
          <w:rFonts w:hint="default"/>
        </w:rPr>
        <w:t>7</w:t>
      </w:r>
      <w:r>
        <w:fldChar w:fldCharType="end"/>
      </w:r>
    </w:p>
    <w:p>
      <w:pPr>
        <w:pStyle w:val="24"/>
        <w:rPr>
          <w:rFonts w:hint="default" w:eastAsia="宋体"/>
          <w:b w:val="0"/>
          <w:kern w:val="2"/>
          <w:sz w:val="21"/>
        </w:rPr>
      </w:pPr>
      <w:r>
        <w:fldChar w:fldCharType="begin"/>
      </w:r>
      <w:r>
        <w:instrText xml:space="preserve"> HYPERLINK \l "_Toc2252894" </w:instrText>
      </w:r>
      <w:r>
        <w:fldChar w:fldCharType="separate"/>
      </w:r>
      <w:r>
        <w:rPr>
          <w:rStyle w:val="39"/>
          <w:rFonts w:hint="eastAsia" w:ascii="黑体" w:hAnsi="黑体" w:eastAsia="黑体"/>
          <w:color w:val="000000"/>
        </w:rPr>
        <w:t>第六章</w:t>
      </w:r>
      <w:r>
        <w:rPr>
          <w:rFonts w:eastAsia="宋体"/>
          <w:b w:val="0"/>
          <w:kern w:val="2"/>
          <w:sz w:val="21"/>
        </w:rPr>
        <w:tab/>
      </w:r>
      <w:r>
        <w:rPr>
          <w:rStyle w:val="39"/>
          <w:rFonts w:hint="eastAsia" w:ascii="黑体" w:hAnsi="黑体" w:eastAsia="黑体"/>
          <w:color w:val="000000"/>
        </w:rPr>
        <w:t>合同书格式（参考）</w:t>
      </w:r>
      <w:r>
        <w:tab/>
      </w:r>
      <w:r>
        <w:rPr>
          <w:rFonts w:hint="default"/>
        </w:rPr>
        <w:t>3</w:t>
      </w:r>
      <w:r>
        <w:fldChar w:fldCharType="end"/>
      </w:r>
      <w:r>
        <w:rPr>
          <w:rFonts w:hint="default"/>
        </w:rPr>
        <w:t>0</w:t>
      </w:r>
    </w:p>
    <w:p>
      <w:pPr>
        <w:pStyle w:val="24"/>
        <w:rPr>
          <w:rFonts w:hint="default" w:eastAsia="宋体"/>
          <w:b w:val="0"/>
          <w:kern w:val="2"/>
          <w:sz w:val="21"/>
        </w:rPr>
      </w:pPr>
      <w:r>
        <w:fldChar w:fldCharType="begin"/>
      </w:r>
      <w:r>
        <w:instrText xml:space="preserve"> HYPERLINK \l "_Toc2252895" </w:instrText>
      </w:r>
      <w:r>
        <w:fldChar w:fldCharType="separate"/>
      </w:r>
      <w:r>
        <w:rPr>
          <w:rStyle w:val="39"/>
          <w:rFonts w:hint="eastAsia" w:ascii="黑体" w:hAnsi="黑体" w:eastAsia="黑体"/>
          <w:color w:val="000000"/>
        </w:rPr>
        <w:t>第七章</w:t>
      </w:r>
      <w:r>
        <w:rPr>
          <w:rFonts w:eastAsia="宋体"/>
          <w:b w:val="0"/>
          <w:kern w:val="2"/>
          <w:sz w:val="21"/>
        </w:rPr>
        <w:tab/>
      </w:r>
      <w:r>
        <w:rPr>
          <w:rStyle w:val="39"/>
          <w:rFonts w:hint="eastAsia" w:ascii="黑体" w:hAnsi="黑体" w:eastAsia="黑体"/>
          <w:color w:val="000000"/>
        </w:rPr>
        <w:t>投标文件格式（参考）</w:t>
      </w:r>
      <w:r>
        <w:tab/>
      </w:r>
      <w:r>
        <w:rPr>
          <w:rFonts w:hint="default"/>
        </w:rPr>
        <w:t>3</w:t>
      </w:r>
      <w:r>
        <w:fldChar w:fldCharType="end"/>
      </w:r>
      <w:r>
        <w:rPr>
          <w:rFonts w:hint="default"/>
        </w:rPr>
        <w:t>1</w:t>
      </w:r>
    </w:p>
    <w:p>
      <w:pPr>
        <w:pStyle w:val="28"/>
        <w:spacing w:line="440" w:lineRule="exact"/>
        <w:rPr>
          <w:rFonts w:hint="default"/>
        </w:rPr>
      </w:pPr>
      <w:r>
        <w:fldChar w:fldCharType="begin"/>
      </w:r>
      <w:r>
        <w:instrText xml:space="preserve"> HYPERLINK \l "_Toc2252889" </w:instrText>
      </w:r>
      <w:r>
        <w:fldChar w:fldCharType="separate"/>
      </w:r>
      <w:r>
        <w:rPr>
          <w:rFonts w:hint="eastAsia"/>
        </w:rPr>
        <w:t>目录</w:t>
      </w:r>
      <w:r>
        <w:rPr>
          <w:rFonts w:hint="eastAsia"/>
        </w:rPr>
        <w:fldChar w:fldCharType="end"/>
      </w:r>
      <w:r>
        <w:tab/>
      </w:r>
      <w:r>
        <w:t>......</w:t>
      </w:r>
      <w:r>
        <w:tab/>
      </w:r>
      <w:r>
        <w:t>......</w:t>
      </w:r>
      <w:r>
        <w:tab/>
      </w:r>
      <w:r>
        <w:rPr>
          <w:rFonts w:hint="default"/>
        </w:rPr>
        <w:t>32</w:t>
      </w:r>
    </w:p>
    <w:p>
      <w:pPr>
        <w:pStyle w:val="28"/>
        <w:spacing w:line="440" w:lineRule="exact"/>
        <w:rPr>
          <w:rFonts w:hint="default"/>
        </w:rPr>
      </w:pPr>
      <w:r>
        <w:rPr>
          <w:rFonts w:hint="eastAsia"/>
        </w:rPr>
        <w:t>评分所引</w:t>
      </w:r>
      <w:r>
        <w:tab/>
      </w:r>
      <w:r>
        <w:t>...</w:t>
      </w:r>
      <w:r>
        <w:tab/>
      </w:r>
      <w:r>
        <w:t>...</w:t>
      </w:r>
      <w:r>
        <w:tab/>
      </w:r>
      <w:r>
        <w:rPr>
          <w:rFonts w:hint="default"/>
        </w:rPr>
        <w:t>33</w:t>
      </w:r>
    </w:p>
    <w:p>
      <w:pPr>
        <w:pStyle w:val="28"/>
        <w:spacing w:line="440" w:lineRule="exact"/>
        <w:rPr>
          <w:rFonts w:hint="default"/>
        </w:rPr>
      </w:pPr>
      <w:r>
        <w:rPr>
          <w:rFonts w:hint="eastAsia"/>
          <w:lang w:val="zh-CN"/>
        </w:rPr>
        <w:t>湖北省政府采购供应商信用承诺书</w:t>
      </w:r>
      <w:r>
        <w:tab/>
      </w:r>
      <w:r>
        <w:rPr>
          <w:rFonts w:hint="default"/>
        </w:rPr>
        <w:t>34</w:t>
      </w:r>
    </w:p>
    <w:p>
      <w:pPr>
        <w:pStyle w:val="28"/>
        <w:spacing w:line="440" w:lineRule="exact"/>
        <w:rPr>
          <w:rFonts w:hint="default" w:ascii="Calibri" w:hAnsi="Calibri" w:eastAsia="宋体"/>
          <w:iCs w:val="0"/>
          <w:kern w:val="2"/>
          <w:sz w:val="21"/>
        </w:rPr>
      </w:pPr>
      <w:r>
        <w:fldChar w:fldCharType="begin"/>
      </w:r>
      <w:r>
        <w:instrText xml:space="preserve"> HYPERLINK \l "_Toc2252896" </w:instrText>
      </w:r>
      <w:r>
        <w:fldChar w:fldCharType="separate"/>
      </w:r>
      <w:r>
        <w:rPr>
          <w:rStyle w:val="39"/>
          <w:rFonts w:hint="eastAsia" w:ascii="宋体" w:hAnsi="宋体"/>
          <w:b/>
          <w:color w:val="000000"/>
        </w:rPr>
        <w:t>第一部分</w:t>
      </w:r>
      <w:r>
        <w:rPr>
          <w:rStyle w:val="39"/>
          <w:rFonts w:ascii="宋体" w:hAnsi="宋体"/>
          <w:b/>
          <w:color w:val="000000"/>
        </w:rPr>
        <w:t xml:space="preserve"> </w:t>
      </w:r>
      <w:r>
        <w:rPr>
          <w:rStyle w:val="39"/>
          <w:rFonts w:hint="eastAsia" w:ascii="宋体" w:hAnsi="宋体"/>
          <w:b/>
          <w:color w:val="000000"/>
        </w:rPr>
        <w:t>资格证明文件</w:t>
      </w:r>
      <w:r>
        <w:tab/>
      </w:r>
      <w:r>
        <w:rPr>
          <w:rFonts w:hint="default"/>
        </w:rPr>
        <w:t>3</w:t>
      </w:r>
      <w:r>
        <w:fldChar w:fldCharType="end"/>
      </w:r>
      <w:r>
        <w:rPr>
          <w:rFonts w:hint="default"/>
        </w:rPr>
        <w:t>5</w:t>
      </w:r>
    </w:p>
    <w:p>
      <w:pPr>
        <w:pStyle w:val="28"/>
        <w:spacing w:line="440" w:lineRule="exact"/>
        <w:rPr>
          <w:rFonts w:hint="default" w:ascii="Calibri" w:hAnsi="Calibri" w:eastAsia="宋体"/>
          <w:iCs w:val="0"/>
          <w:kern w:val="2"/>
          <w:sz w:val="21"/>
        </w:rPr>
      </w:pPr>
      <w:r>
        <w:fldChar w:fldCharType="begin"/>
      </w:r>
      <w:r>
        <w:instrText xml:space="preserve"> HYPERLINK \l "_Toc2252899" </w:instrText>
      </w:r>
      <w:r>
        <w:fldChar w:fldCharType="separate"/>
      </w:r>
      <w:r>
        <w:rPr>
          <w:rStyle w:val="39"/>
          <w:rFonts w:hint="eastAsia" w:ascii="宋体" w:hAnsi="宋体"/>
          <w:b/>
          <w:color w:val="000000"/>
        </w:rPr>
        <w:t>第二部分</w:t>
      </w:r>
      <w:r>
        <w:rPr>
          <w:rStyle w:val="39"/>
          <w:rFonts w:ascii="宋体" w:hAnsi="宋体"/>
          <w:b/>
          <w:color w:val="000000"/>
        </w:rPr>
        <w:t xml:space="preserve"> </w:t>
      </w:r>
      <w:r>
        <w:rPr>
          <w:rStyle w:val="39"/>
          <w:rFonts w:hint="eastAsia" w:ascii="宋体" w:hAnsi="宋体"/>
          <w:b/>
          <w:color w:val="000000"/>
        </w:rPr>
        <w:t>商务文件</w:t>
      </w:r>
      <w:r>
        <w:tab/>
      </w:r>
      <w:r>
        <w:rPr>
          <w:rFonts w:hint="default"/>
        </w:rPr>
        <w:t>3</w:t>
      </w:r>
      <w:r>
        <w:fldChar w:fldCharType="end"/>
      </w:r>
      <w:r>
        <w:rPr>
          <w:rFonts w:hint="default"/>
        </w:rPr>
        <w:t>6</w:t>
      </w:r>
    </w:p>
    <w:p>
      <w:pPr>
        <w:pStyle w:val="28"/>
        <w:spacing w:line="440" w:lineRule="exact"/>
        <w:rPr>
          <w:rFonts w:hint="default" w:ascii="Calibri" w:hAnsi="Calibri" w:eastAsia="宋体"/>
          <w:iCs w:val="0"/>
          <w:kern w:val="2"/>
          <w:sz w:val="21"/>
        </w:rPr>
      </w:pPr>
      <w:r>
        <w:fldChar w:fldCharType="begin"/>
      </w:r>
      <w:r>
        <w:instrText xml:space="preserve"> HYPERLINK \l "_Toc2252901" </w:instrText>
      </w:r>
      <w:r>
        <w:fldChar w:fldCharType="separate"/>
      </w:r>
      <w:r>
        <w:rPr>
          <w:rStyle w:val="39"/>
          <w:rFonts w:hint="eastAsia" w:ascii="宋体" w:hAnsi="宋体"/>
          <w:b/>
          <w:color w:val="000000"/>
        </w:rPr>
        <w:t>第三部分</w:t>
      </w:r>
      <w:r>
        <w:rPr>
          <w:rStyle w:val="39"/>
          <w:rFonts w:ascii="宋体" w:hAnsi="宋体"/>
          <w:b/>
          <w:color w:val="000000"/>
        </w:rPr>
        <w:t xml:space="preserve"> </w:t>
      </w:r>
      <w:r>
        <w:rPr>
          <w:rStyle w:val="39"/>
          <w:rFonts w:hint="eastAsia" w:ascii="宋体" w:hAnsi="宋体"/>
          <w:b/>
          <w:color w:val="000000"/>
        </w:rPr>
        <w:t>技术、服务文件</w:t>
      </w:r>
      <w:r>
        <w:tab/>
      </w:r>
      <w:r>
        <w:rPr>
          <w:rFonts w:hint="default"/>
        </w:rPr>
        <w:t>3</w:t>
      </w:r>
      <w:r>
        <w:fldChar w:fldCharType="end"/>
      </w:r>
      <w:r>
        <w:rPr>
          <w:rFonts w:hint="default"/>
        </w:rPr>
        <w:t>7</w:t>
      </w:r>
    </w:p>
    <w:p>
      <w:pPr>
        <w:pStyle w:val="28"/>
        <w:spacing w:line="440" w:lineRule="exact"/>
        <w:rPr>
          <w:rFonts w:hint="default"/>
        </w:rPr>
      </w:pPr>
      <w:r>
        <w:fldChar w:fldCharType="begin"/>
      </w:r>
      <w:r>
        <w:instrText xml:space="preserve"> HYPERLINK \l "_Toc2252903" </w:instrText>
      </w:r>
      <w:r>
        <w:fldChar w:fldCharType="separate"/>
      </w:r>
      <w:r>
        <w:rPr>
          <w:rStyle w:val="39"/>
          <w:rFonts w:hint="eastAsia" w:ascii="宋体" w:hAnsi="宋体"/>
          <w:color w:val="000000"/>
        </w:rPr>
        <w:t>附件</w:t>
      </w:r>
      <w:r>
        <w:rPr>
          <w:rStyle w:val="39"/>
          <w:rFonts w:ascii="宋体" w:hAnsi="宋体"/>
          <w:color w:val="000000"/>
        </w:rPr>
        <w:t>1</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资格性审查表</w:t>
      </w:r>
      <w:r>
        <w:tab/>
      </w:r>
      <w:r>
        <w:rPr>
          <w:rFonts w:hint="default"/>
        </w:rPr>
        <w:t>3</w:t>
      </w:r>
      <w:r>
        <w:fldChar w:fldCharType="end"/>
      </w:r>
      <w:r>
        <w:rPr>
          <w:rFonts w:hint="default"/>
        </w:rPr>
        <w:t>8</w:t>
      </w:r>
    </w:p>
    <w:p>
      <w:pPr>
        <w:pStyle w:val="28"/>
        <w:spacing w:line="440" w:lineRule="exact"/>
        <w:rPr>
          <w:rFonts w:hint="default"/>
        </w:rPr>
      </w:pPr>
      <w:r>
        <w:fldChar w:fldCharType="begin"/>
      </w:r>
      <w:r>
        <w:instrText xml:space="preserve"> HYPERLINK \l "_Toc2252903" </w:instrText>
      </w:r>
      <w:r>
        <w:fldChar w:fldCharType="separate"/>
      </w:r>
      <w:r>
        <w:rPr>
          <w:rStyle w:val="39"/>
          <w:rFonts w:hint="eastAsia" w:ascii="宋体" w:hAnsi="宋体"/>
          <w:color w:val="000000"/>
        </w:rPr>
        <w:t>附件</w:t>
      </w:r>
      <w:r>
        <w:rPr>
          <w:rStyle w:val="39"/>
          <w:rFonts w:ascii="宋体" w:hAnsi="宋体"/>
          <w:color w:val="000000"/>
        </w:rPr>
        <w:t>2</w:t>
      </w:r>
      <w:r>
        <w:rPr>
          <w:rStyle w:val="39"/>
          <w:rFonts w:hint="eastAsia" w:ascii="宋体" w:hAnsi="宋体"/>
          <w:color w:val="000000"/>
        </w:rPr>
        <w:t>：</w:t>
      </w:r>
      <w:r>
        <w:rPr>
          <w:rFonts w:ascii="Calibri" w:hAnsi="Calibri" w:eastAsia="宋体"/>
          <w:iCs w:val="0"/>
          <w:kern w:val="2"/>
          <w:sz w:val="21"/>
        </w:rPr>
        <w:tab/>
      </w:r>
      <w:r>
        <w:rPr>
          <w:rFonts w:hint="eastAsia" w:ascii="Calibri" w:hAnsi="Calibri" w:eastAsia="宋体"/>
          <w:iCs w:val="0"/>
          <w:kern w:val="2"/>
          <w:sz w:val="21"/>
        </w:rPr>
        <w:t>符合</w:t>
      </w:r>
      <w:r>
        <w:rPr>
          <w:rStyle w:val="39"/>
          <w:rFonts w:hint="eastAsia" w:ascii="宋体" w:hAnsi="宋体"/>
          <w:color w:val="000000"/>
        </w:rPr>
        <w:t>性审查表</w:t>
      </w:r>
      <w:r>
        <w:tab/>
      </w:r>
      <w:r>
        <w:rPr>
          <w:rFonts w:hint="default"/>
        </w:rPr>
        <w:t>3</w:t>
      </w:r>
      <w:r>
        <w:fldChar w:fldCharType="end"/>
      </w:r>
      <w:r>
        <w:rPr>
          <w:rFonts w:hint="default"/>
        </w:rPr>
        <w:t>9</w:t>
      </w:r>
    </w:p>
    <w:p>
      <w:pPr>
        <w:pStyle w:val="28"/>
        <w:spacing w:line="440" w:lineRule="exact"/>
        <w:rPr>
          <w:rFonts w:hint="default"/>
        </w:rPr>
      </w:pPr>
      <w:r>
        <w:fldChar w:fldCharType="begin"/>
      </w:r>
      <w:r>
        <w:instrText xml:space="preserve"> HYPERLINK \l "_Toc2252903" </w:instrText>
      </w:r>
      <w:r>
        <w:fldChar w:fldCharType="separate"/>
      </w:r>
      <w:r>
        <w:rPr>
          <w:rStyle w:val="39"/>
          <w:rFonts w:hint="eastAsia" w:ascii="宋体" w:hAnsi="宋体"/>
          <w:color w:val="000000"/>
        </w:rPr>
        <w:t>附件</w:t>
      </w:r>
      <w:r>
        <w:rPr>
          <w:rStyle w:val="39"/>
          <w:rFonts w:ascii="宋体" w:hAnsi="宋体"/>
          <w:color w:val="000000"/>
        </w:rPr>
        <w:t>3</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合同条款响应偏离说明表</w:t>
      </w:r>
      <w:r>
        <w:tab/>
      </w:r>
      <w:r>
        <w:rPr>
          <w:rFonts w:hint="default"/>
        </w:rPr>
        <w:t>4</w:t>
      </w:r>
      <w:r>
        <w:fldChar w:fldCharType="end"/>
      </w:r>
      <w:r>
        <w:rPr>
          <w:rFonts w:hint="default"/>
        </w:rPr>
        <w:t>0</w:t>
      </w:r>
    </w:p>
    <w:p>
      <w:pPr>
        <w:pStyle w:val="28"/>
        <w:spacing w:line="440" w:lineRule="exact"/>
        <w:rPr>
          <w:rFonts w:hint="default"/>
        </w:rPr>
      </w:pPr>
      <w:r>
        <w:fldChar w:fldCharType="begin"/>
      </w:r>
      <w:r>
        <w:instrText xml:space="preserve"> HYPERLINK \l "_Toc2252903" </w:instrText>
      </w:r>
      <w:r>
        <w:fldChar w:fldCharType="separate"/>
      </w:r>
      <w:r>
        <w:rPr>
          <w:rStyle w:val="39"/>
          <w:rFonts w:hint="eastAsia" w:ascii="宋体" w:hAnsi="宋体"/>
          <w:color w:val="000000"/>
        </w:rPr>
        <w:t>附件</w:t>
      </w:r>
      <w:r>
        <w:rPr>
          <w:rStyle w:val="39"/>
          <w:rFonts w:ascii="宋体" w:hAnsi="宋体"/>
          <w:color w:val="000000"/>
        </w:rPr>
        <w:t>4</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法定代表人授权书</w:t>
      </w:r>
      <w:r>
        <w:tab/>
      </w:r>
      <w:r>
        <w:rPr>
          <w:rFonts w:hint="default"/>
        </w:rPr>
        <w:t>4</w:t>
      </w:r>
      <w:r>
        <w:fldChar w:fldCharType="end"/>
      </w:r>
      <w:r>
        <w:rPr>
          <w:rFonts w:hint="default"/>
        </w:rPr>
        <w:t>1</w:t>
      </w:r>
    </w:p>
    <w:p>
      <w:pPr>
        <w:pStyle w:val="28"/>
        <w:spacing w:line="440" w:lineRule="exact"/>
        <w:rPr>
          <w:rFonts w:hint="default" w:ascii="Calibri" w:hAnsi="Calibri" w:eastAsia="宋体"/>
          <w:iCs w:val="0"/>
          <w:kern w:val="2"/>
          <w:sz w:val="21"/>
        </w:rPr>
      </w:pPr>
      <w:r>
        <w:fldChar w:fldCharType="begin"/>
      </w:r>
      <w:r>
        <w:instrText xml:space="preserve"> HYPERLINK \l "_Toc2252903" </w:instrText>
      </w:r>
      <w:r>
        <w:fldChar w:fldCharType="separate"/>
      </w:r>
      <w:r>
        <w:rPr>
          <w:rStyle w:val="39"/>
          <w:rFonts w:hint="eastAsia" w:ascii="宋体" w:hAnsi="宋体"/>
          <w:color w:val="000000"/>
        </w:rPr>
        <w:t>附件</w:t>
      </w:r>
      <w:r>
        <w:rPr>
          <w:rStyle w:val="39"/>
          <w:rFonts w:ascii="宋体" w:hAnsi="宋体"/>
          <w:color w:val="000000"/>
        </w:rPr>
        <w:t>5</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投标书</w:t>
      </w:r>
      <w:r>
        <w:tab/>
      </w:r>
      <w:r>
        <w:rPr>
          <w:rFonts w:hint="default"/>
        </w:rPr>
        <w:t>4</w:t>
      </w:r>
      <w:r>
        <w:fldChar w:fldCharType="end"/>
      </w:r>
      <w:r>
        <w:rPr>
          <w:rFonts w:hint="default"/>
        </w:rPr>
        <w:t>2</w:t>
      </w:r>
    </w:p>
    <w:p>
      <w:pPr>
        <w:pStyle w:val="28"/>
        <w:spacing w:line="440" w:lineRule="exact"/>
        <w:rPr>
          <w:rFonts w:hint="default"/>
        </w:rPr>
      </w:pPr>
      <w:r>
        <w:fldChar w:fldCharType="begin"/>
      </w:r>
      <w:r>
        <w:instrText xml:space="preserve"> HYPERLINK \l "_Toc2252910" </w:instrText>
      </w:r>
      <w:r>
        <w:fldChar w:fldCharType="separate"/>
      </w:r>
      <w:r>
        <w:rPr>
          <w:rStyle w:val="39"/>
          <w:rFonts w:hint="eastAsia" w:ascii="宋体" w:hAnsi="宋体"/>
          <w:color w:val="000000"/>
        </w:rPr>
        <w:t>附件</w:t>
      </w:r>
      <w:r>
        <w:rPr>
          <w:rStyle w:val="39"/>
          <w:rFonts w:ascii="宋体" w:hAnsi="宋体"/>
          <w:color w:val="000000"/>
        </w:rPr>
        <w:t>6</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开标一览表</w:t>
      </w:r>
      <w:r>
        <w:tab/>
      </w:r>
      <w:r>
        <w:rPr>
          <w:rFonts w:hint="default"/>
        </w:rPr>
        <w:t>4</w:t>
      </w:r>
      <w:r>
        <w:fldChar w:fldCharType="end"/>
      </w:r>
      <w:r>
        <w:rPr>
          <w:rFonts w:hint="default"/>
        </w:rPr>
        <w:t>3</w:t>
      </w:r>
    </w:p>
    <w:p>
      <w:pPr>
        <w:pStyle w:val="28"/>
        <w:spacing w:line="440" w:lineRule="exact"/>
        <w:rPr>
          <w:rFonts w:hint="default"/>
        </w:rPr>
      </w:pPr>
      <w:r>
        <w:fldChar w:fldCharType="begin"/>
      </w:r>
      <w:r>
        <w:instrText xml:space="preserve"> HYPERLINK \l "_Toc2252910" </w:instrText>
      </w:r>
      <w:r>
        <w:fldChar w:fldCharType="separate"/>
      </w:r>
      <w:r>
        <w:rPr>
          <w:rStyle w:val="39"/>
          <w:rFonts w:hint="eastAsia" w:ascii="宋体" w:hAnsi="宋体"/>
          <w:color w:val="000000"/>
        </w:rPr>
        <w:t>附件</w:t>
      </w:r>
      <w:r>
        <w:rPr>
          <w:rStyle w:val="39"/>
          <w:rFonts w:ascii="宋体" w:hAnsi="宋体"/>
          <w:color w:val="000000"/>
        </w:rPr>
        <w:t>7</w:t>
      </w:r>
      <w:r>
        <w:rPr>
          <w:rStyle w:val="39"/>
          <w:rFonts w:hint="eastAsia" w:ascii="宋体" w:hAnsi="宋体"/>
          <w:color w:val="000000"/>
        </w:rPr>
        <w:t>：</w:t>
      </w:r>
      <w:r>
        <w:rPr>
          <w:rFonts w:hint="eastAsia" w:ascii="Calibri" w:hAnsi="Calibri" w:eastAsia="宋体"/>
          <w:iCs w:val="0"/>
          <w:kern w:val="2"/>
          <w:sz w:val="21"/>
        </w:rPr>
        <w:t>投标报价明细表</w:t>
      </w:r>
      <w:r>
        <w:tab/>
      </w:r>
      <w:r>
        <w:rPr>
          <w:rFonts w:hint="default"/>
        </w:rPr>
        <w:t>4</w:t>
      </w:r>
      <w:r>
        <w:fldChar w:fldCharType="end"/>
      </w:r>
      <w:r>
        <w:rPr>
          <w:rFonts w:hint="default"/>
        </w:rPr>
        <w:t>4</w:t>
      </w:r>
    </w:p>
    <w:p>
      <w:pPr>
        <w:pStyle w:val="28"/>
        <w:spacing w:line="440" w:lineRule="exact"/>
        <w:rPr>
          <w:rFonts w:ascii="Calibri" w:hAnsi="Calibri" w:eastAsia="宋体"/>
          <w:iCs w:val="0"/>
          <w:kern w:val="2"/>
          <w:sz w:val="21"/>
        </w:rPr>
      </w:pPr>
      <w:r>
        <w:fldChar w:fldCharType="begin"/>
      </w:r>
      <w:r>
        <w:instrText xml:space="preserve"> HYPERLINK \l "_Toc2252904" </w:instrText>
      </w:r>
      <w:r>
        <w:fldChar w:fldCharType="separate"/>
      </w:r>
      <w:r>
        <w:rPr>
          <w:rStyle w:val="39"/>
          <w:rFonts w:hint="eastAsia" w:ascii="宋体" w:hAnsi="宋体"/>
          <w:color w:val="000000"/>
        </w:rPr>
        <w:t>附件</w:t>
      </w:r>
      <w:r>
        <w:rPr>
          <w:rStyle w:val="39"/>
          <w:rFonts w:ascii="宋体" w:hAnsi="宋体"/>
          <w:color w:val="000000"/>
        </w:rPr>
        <w:t>8</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中小企业声明函</w:t>
      </w:r>
      <w:r>
        <w:tab/>
      </w:r>
      <w:r>
        <w:rPr>
          <w:rFonts w:hint="default"/>
        </w:rPr>
        <w:t>4</w:t>
      </w:r>
      <w:r>
        <w:t>6</w:t>
      </w:r>
      <w:r>
        <w:fldChar w:fldCharType="end"/>
      </w:r>
    </w:p>
    <w:p>
      <w:pPr>
        <w:pStyle w:val="28"/>
        <w:spacing w:line="440" w:lineRule="exact"/>
        <w:rPr>
          <w:rFonts w:hint="default" w:ascii="Calibri" w:hAnsi="Calibri" w:eastAsia="宋体"/>
          <w:iCs w:val="0"/>
          <w:kern w:val="2"/>
          <w:sz w:val="21"/>
        </w:rPr>
      </w:pPr>
      <w:r>
        <w:fldChar w:fldCharType="begin"/>
      </w:r>
      <w:r>
        <w:instrText xml:space="preserve"> HYPERLINK \l "_Toc2252906" </w:instrText>
      </w:r>
      <w:r>
        <w:fldChar w:fldCharType="separate"/>
      </w:r>
      <w:r>
        <w:rPr>
          <w:rStyle w:val="39"/>
          <w:rFonts w:hint="eastAsia" w:ascii="宋体" w:hAnsi="宋体"/>
          <w:color w:val="000000"/>
        </w:rPr>
        <w:t>附件</w:t>
      </w:r>
      <w:r>
        <w:rPr>
          <w:rStyle w:val="39"/>
          <w:rFonts w:ascii="宋体" w:hAnsi="宋体"/>
          <w:color w:val="000000"/>
        </w:rPr>
        <w:t>9</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中小企业划型标准</w:t>
      </w:r>
      <w:r>
        <w:tab/>
      </w:r>
      <w:r>
        <w:rPr>
          <w:rFonts w:hint="default"/>
        </w:rPr>
        <w:t>4</w:t>
      </w:r>
      <w:r>
        <w:fldChar w:fldCharType="end"/>
      </w:r>
      <w:r>
        <w:rPr>
          <w:rFonts w:hint="default"/>
        </w:rPr>
        <w:t>7</w:t>
      </w:r>
    </w:p>
    <w:p>
      <w:pPr>
        <w:pStyle w:val="28"/>
        <w:spacing w:line="440" w:lineRule="exact"/>
        <w:rPr>
          <w:rFonts w:hint="default" w:ascii="Calibri" w:hAnsi="Calibri" w:eastAsia="宋体"/>
          <w:iCs w:val="0"/>
          <w:kern w:val="2"/>
          <w:sz w:val="21"/>
        </w:rPr>
      </w:pPr>
      <w:r>
        <w:fldChar w:fldCharType="begin"/>
      </w:r>
      <w:r>
        <w:instrText xml:space="preserve"> HYPERLINK \l "_Toc2252907" </w:instrText>
      </w:r>
      <w:r>
        <w:fldChar w:fldCharType="separate"/>
      </w:r>
      <w:r>
        <w:rPr>
          <w:rStyle w:val="39"/>
          <w:rFonts w:hint="eastAsia" w:ascii="宋体" w:hAnsi="宋体"/>
          <w:color w:val="000000"/>
        </w:rPr>
        <w:t>附件</w:t>
      </w:r>
      <w:r>
        <w:rPr>
          <w:rStyle w:val="39"/>
          <w:rFonts w:ascii="宋体" w:hAnsi="宋体"/>
          <w:color w:val="000000"/>
        </w:rPr>
        <w:t>10</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残疾人福利性单位声明函</w:t>
      </w:r>
      <w:r>
        <w:tab/>
      </w:r>
      <w:r>
        <w:rPr>
          <w:rFonts w:hint="default"/>
        </w:rPr>
        <w:t>4</w:t>
      </w:r>
      <w:r>
        <w:fldChar w:fldCharType="end"/>
      </w:r>
      <w:r>
        <w:rPr>
          <w:rFonts w:hint="default"/>
        </w:rPr>
        <w:t>8</w:t>
      </w:r>
    </w:p>
    <w:p>
      <w:pPr>
        <w:pStyle w:val="28"/>
        <w:spacing w:line="440" w:lineRule="exact"/>
        <w:rPr>
          <w:rFonts w:hint="default" w:ascii="Calibri" w:hAnsi="Calibri" w:eastAsia="宋体"/>
          <w:iCs w:val="0"/>
          <w:kern w:val="2"/>
          <w:szCs w:val="24"/>
        </w:rPr>
      </w:pPr>
      <w:r>
        <w:fldChar w:fldCharType="begin"/>
      </w:r>
      <w:r>
        <w:instrText xml:space="preserve"> HYPERLINK \l "_Toc2252907" </w:instrText>
      </w:r>
      <w:r>
        <w:fldChar w:fldCharType="separate"/>
      </w:r>
      <w:r>
        <w:rPr>
          <w:rStyle w:val="39"/>
          <w:rFonts w:hint="eastAsia" w:ascii="宋体" w:hAnsi="宋体"/>
          <w:color w:val="000000"/>
          <w:szCs w:val="24"/>
        </w:rPr>
        <w:t>附件</w:t>
      </w:r>
      <w:r>
        <w:rPr>
          <w:rStyle w:val="39"/>
          <w:rFonts w:ascii="宋体" w:hAnsi="宋体"/>
          <w:color w:val="000000"/>
          <w:szCs w:val="24"/>
        </w:rPr>
        <w:t>11</w:t>
      </w:r>
      <w:r>
        <w:rPr>
          <w:rStyle w:val="39"/>
          <w:rFonts w:hint="eastAsia" w:ascii="宋体" w:hAnsi="宋体"/>
          <w:color w:val="000000"/>
          <w:szCs w:val="24"/>
        </w:rPr>
        <w:t>：</w:t>
      </w:r>
      <w:r>
        <w:rPr>
          <w:rStyle w:val="39"/>
          <w:rFonts w:hint="eastAsia" w:ascii="Calibri" w:hAnsi="Calibri"/>
          <w:iCs w:val="0"/>
          <w:color w:val="000000"/>
          <w:kern w:val="2"/>
          <w:szCs w:val="24"/>
        </w:rPr>
        <w:t>省级以上监狱管理局、戒毒管理局（含新疆生产建设兵团）出具的属于监狱企业的证明文件</w:t>
      </w:r>
      <w:r>
        <w:rPr>
          <w:rStyle w:val="39"/>
          <w:rFonts w:eastAsia="黑体"/>
          <w:color w:val="000000"/>
          <w:szCs w:val="24"/>
        </w:rPr>
        <w:tab/>
      </w:r>
      <w:r>
        <w:rPr>
          <w:rStyle w:val="39"/>
          <w:rFonts w:hint="default"/>
          <w:color w:val="000000"/>
          <w:szCs w:val="24"/>
        </w:rPr>
        <w:t>4</w:t>
      </w:r>
      <w:r>
        <w:rPr>
          <w:rStyle w:val="39"/>
          <w:color w:val="000000"/>
          <w:szCs w:val="24"/>
        </w:rPr>
        <w:fldChar w:fldCharType="end"/>
      </w:r>
      <w:r>
        <w:rPr>
          <w:rStyle w:val="39"/>
          <w:rFonts w:hint="default"/>
          <w:color w:val="000000"/>
          <w:szCs w:val="24"/>
        </w:rPr>
        <w:t>9</w:t>
      </w:r>
    </w:p>
    <w:p>
      <w:pPr>
        <w:pStyle w:val="28"/>
        <w:spacing w:line="440" w:lineRule="exact"/>
        <w:rPr>
          <w:rFonts w:hint="default"/>
        </w:rPr>
      </w:pPr>
      <w:r>
        <w:fldChar w:fldCharType="begin"/>
      </w:r>
      <w:r>
        <w:instrText xml:space="preserve"> HYPERLINK \l "_Toc2252909" </w:instrText>
      </w:r>
      <w:r>
        <w:fldChar w:fldCharType="separate"/>
      </w:r>
      <w:r>
        <w:rPr>
          <w:rStyle w:val="39"/>
          <w:rFonts w:hint="eastAsia" w:ascii="宋体" w:hAnsi="宋体"/>
          <w:color w:val="000000"/>
        </w:rPr>
        <w:t>附件</w:t>
      </w:r>
      <w:r>
        <w:rPr>
          <w:rStyle w:val="39"/>
          <w:rFonts w:ascii="宋体" w:hAnsi="宋体"/>
          <w:color w:val="000000"/>
        </w:rPr>
        <w:t>12</w:t>
      </w:r>
      <w:r>
        <w:rPr>
          <w:rStyle w:val="39"/>
          <w:rFonts w:hint="eastAsia" w:ascii="宋体" w:hAnsi="宋体"/>
          <w:color w:val="000000"/>
        </w:rPr>
        <w:t>：</w:t>
      </w:r>
      <w:r>
        <w:rPr>
          <w:rStyle w:val="39"/>
          <w:rFonts w:ascii="Calibri" w:hAnsi="Calibri"/>
          <w:iCs w:val="0"/>
          <w:color w:val="000000"/>
          <w:kern w:val="2"/>
          <w:sz w:val="21"/>
        </w:rPr>
        <w:tab/>
      </w:r>
      <w:r>
        <w:rPr>
          <w:rStyle w:val="39"/>
          <w:rFonts w:hint="eastAsia" w:ascii="宋体" w:hAnsi="宋体"/>
          <w:color w:val="000000"/>
        </w:rPr>
        <w:t>节能环保产品证明文件</w:t>
      </w:r>
      <w:r>
        <w:rPr>
          <w:rStyle w:val="39"/>
          <w:rFonts w:eastAsia="黑体"/>
          <w:color w:val="000000"/>
        </w:rPr>
        <w:tab/>
      </w:r>
      <w:r>
        <w:rPr>
          <w:rStyle w:val="39"/>
          <w:rFonts w:hint="default"/>
          <w:color w:val="000000"/>
        </w:rPr>
        <w:t>5</w:t>
      </w:r>
      <w:r>
        <w:rPr>
          <w:rStyle w:val="39"/>
          <w:color w:val="000000"/>
        </w:rPr>
        <w:fldChar w:fldCharType="end"/>
      </w:r>
      <w:r>
        <w:rPr>
          <w:rStyle w:val="39"/>
          <w:rFonts w:hint="default"/>
          <w:color w:val="000000"/>
        </w:rPr>
        <w:t>0</w:t>
      </w:r>
    </w:p>
    <w:p>
      <w:pPr>
        <w:pStyle w:val="28"/>
        <w:spacing w:line="440" w:lineRule="exact"/>
        <w:rPr>
          <w:rFonts w:hint="default" w:ascii="Calibri" w:hAnsi="Calibri" w:eastAsia="宋体"/>
          <w:iCs w:val="0"/>
          <w:kern w:val="2"/>
          <w:sz w:val="21"/>
        </w:rPr>
      </w:pPr>
      <w:r>
        <w:fldChar w:fldCharType="begin"/>
      </w:r>
      <w:r>
        <w:instrText xml:space="preserve"> HYPERLINK \l "_Toc2252916" </w:instrText>
      </w:r>
      <w:r>
        <w:fldChar w:fldCharType="separate"/>
      </w:r>
      <w:r>
        <w:rPr>
          <w:rStyle w:val="39"/>
          <w:rFonts w:hint="eastAsia" w:ascii="宋体" w:hAnsi="宋体"/>
          <w:color w:val="000000"/>
        </w:rPr>
        <w:t>附件</w:t>
      </w:r>
      <w:r>
        <w:rPr>
          <w:rStyle w:val="39"/>
          <w:rFonts w:ascii="宋体" w:hAnsi="宋体"/>
          <w:color w:val="000000"/>
        </w:rPr>
        <w:t>13</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投标人的资格声明</w:t>
      </w:r>
      <w:r>
        <w:tab/>
      </w:r>
      <w:r>
        <w:rPr>
          <w:rFonts w:hint="default"/>
        </w:rPr>
        <w:t>5</w:t>
      </w:r>
      <w:r>
        <w:fldChar w:fldCharType="end"/>
      </w:r>
      <w:r>
        <w:rPr>
          <w:rFonts w:hint="default"/>
        </w:rPr>
        <w:t>1</w:t>
      </w:r>
    </w:p>
    <w:p>
      <w:pPr>
        <w:pStyle w:val="28"/>
        <w:spacing w:line="440" w:lineRule="exact"/>
        <w:rPr>
          <w:rFonts w:hint="default" w:ascii="Calibri" w:hAnsi="Calibri" w:eastAsia="宋体"/>
          <w:iCs w:val="0"/>
          <w:kern w:val="2"/>
          <w:sz w:val="21"/>
        </w:rPr>
      </w:pPr>
      <w:r>
        <w:fldChar w:fldCharType="begin"/>
      </w:r>
      <w:r>
        <w:instrText xml:space="preserve"> HYPERLINK \l "_Toc2252917" </w:instrText>
      </w:r>
      <w:r>
        <w:fldChar w:fldCharType="separate"/>
      </w:r>
      <w:r>
        <w:rPr>
          <w:rStyle w:val="39"/>
          <w:rFonts w:hint="eastAsia" w:ascii="宋体" w:hAnsi="宋体"/>
          <w:color w:val="000000"/>
        </w:rPr>
        <w:t>附件</w:t>
      </w:r>
      <w:r>
        <w:rPr>
          <w:rStyle w:val="39"/>
          <w:rFonts w:ascii="宋体" w:hAnsi="宋体"/>
          <w:color w:val="000000"/>
        </w:rPr>
        <w:t>14</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项目负责人简历表</w:t>
      </w:r>
      <w:r>
        <w:tab/>
      </w:r>
      <w:r>
        <w:rPr>
          <w:rFonts w:hint="default"/>
        </w:rPr>
        <w:t>5</w:t>
      </w:r>
      <w:r>
        <w:fldChar w:fldCharType="end"/>
      </w:r>
      <w:r>
        <w:rPr>
          <w:rFonts w:hint="default"/>
        </w:rPr>
        <w:t>2</w:t>
      </w:r>
    </w:p>
    <w:p>
      <w:pPr>
        <w:pStyle w:val="28"/>
        <w:spacing w:line="440" w:lineRule="exact"/>
        <w:rPr>
          <w:rFonts w:hint="default" w:ascii="Calibri" w:hAnsi="Calibri" w:eastAsia="宋体"/>
          <w:iCs w:val="0"/>
          <w:kern w:val="2"/>
          <w:sz w:val="21"/>
        </w:rPr>
      </w:pPr>
      <w:r>
        <w:fldChar w:fldCharType="begin"/>
      </w:r>
      <w:r>
        <w:instrText xml:space="preserve"> HYPERLINK \l "_Toc2252918" </w:instrText>
      </w:r>
      <w:r>
        <w:fldChar w:fldCharType="separate"/>
      </w:r>
      <w:r>
        <w:rPr>
          <w:rStyle w:val="39"/>
          <w:rFonts w:hint="eastAsia" w:ascii="宋体" w:hAnsi="宋体"/>
          <w:color w:val="000000"/>
        </w:rPr>
        <w:t>附件</w:t>
      </w:r>
      <w:r>
        <w:rPr>
          <w:rStyle w:val="39"/>
          <w:rFonts w:ascii="宋体" w:hAnsi="宋体"/>
          <w:color w:val="000000"/>
        </w:rPr>
        <w:t>15</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项目班子成员情况表</w:t>
      </w:r>
      <w:r>
        <w:tab/>
      </w:r>
      <w:r>
        <w:rPr>
          <w:rFonts w:hint="default"/>
        </w:rPr>
        <w:t>5</w:t>
      </w:r>
      <w:r>
        <w:fldChar w:fldCharType="end"/>
      </w:r>
      <w:r>
        <w:rPr>
          <w:rFonts w:hint="default"/>
        </w:rPr>
        <w:t>3</w:t>
      </w:r>
    </w:p>
    <w:p>
      <w:pPr>
        <w:pStyle w:val="28"/>
        <w:spacing w:line="440" w:lineRule="exact"/>
        <w:rPr>
          <w:rFonts w:hint="default" w:ascii="Calibri" w:hAnsi="Calibri" w:eastAsia="宋体"/>
          <w:iCs w:val="0"/>
          <w:kern w:val="2"/>
          <w:sz w:val="21"/>
        </w:rPr>
      </w:pPr>
      <w:r>
        <w:fldChar w:fldCharType="begin"/>
      </w:r>
      <w:r>
        <w:instrText xml:space="preserve"> HYPERLINK \l "_Toc2252919" </w:instrText>
      </w:r>
      <w:r>
        <w:fldChar w:fldCharType="separate"/>
      </w:r>
      <w:r>
        <w:rPr>
          <w:rStyle w:val="39"/>
          <w:rFonts w:hint="eastAsia" w:ascii="宋体" w:hAnsi="宋体"/>
          <w:color w:val="000000"/>
        </w:rPr>
        <w:t>附件</w:t>
      </w:r>
      <w:r>
        <w:rPr>
          <w:rStyle w:val="39"/>
          <w:rFonts w:ascii="宋体" w:hAnsi="宋体"/>
          <w:color w:val="000000"/>
        </w:rPr>
        <w:t>16</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投标人类似项目业绩表</w:t>
      </w:r>
      <w:r>
        <w:tab/>
      </w:r>
      <w:r>
        <w:rPr>
          <w:rFonts w:hint="default"/>
        </w:rPr>
        <w:t>5</w:t>
      </w:r>
      <w:r>
        <w:fldChar w:fldCharType="end"/>
      </w:r>
      <w:r>
        <w:rPr>
          <w:rFonts w:hint="default"/>
        </w:rPr>
        <w:t>4</w:t>
      </w:r>
    </w:p>
    <w:p>
      <w:pPr>
        <w:pStyle w:val="28"/>
        <w:tabs>
          <w:tab w:val="left" w:pos="1871"/>
        </w:tabs>
        <w:spacing w:line="440" w:lineRule="exact"/>
        <w:rPr>
          <w:rFonts w:hint="default" w:ascii="Calibri" w:hAnsi="Calibri" w:eastAsia="宋体"/>
          <w:iCs w:val="0"/>
          <w:kern w:val="2"/>
          <w:sz w:val="21"/>
        </w:rPr>
      </w:pPr>
      <w:r>
        <w:fldChar w:fldCharType="begin"/>
      </w:r>
      <w:r>
        <w:instrText xml:space="preserve"> HYPERLINK \l "_Toc2252924" </w:instrText>
      </w:r>
      <w:r>
        <w:fldChar w:fldCharType="separate"/>
      </w:r>
      <w:r>
        <w:rPr>
          <w:rStyle w:val="39"/>
          <w:rFonts w:hint="eastAsia" w:ascii="宋体" w:hAnsi="宋体"/>
          <w:color w:val="000000"/>
        </w:rPr>
        <w:t>附件</w:t>
      </w:r>
      <w:r>
        <w:rPr>
          <w:rStyle w:val="39"/>
          <w:rFonts w:ascii="宋体" w:hAnsi="宋体"/>
          <w:color w:val="000000"/>
        </w:rPr>
        <w:t>17</w:t>
      </w:r>
      <w:r>
        <w:rPr>
          <w:rStyle w:val="39"/>
          <w:rFonts w:hint="eastAsia" w:ascii="宋体" w:hAnsi="宋体"/>
          <w:color w:val="000000"/>
        </w:rPr>
        <w:t>：</w:t>
      </w:r>
      <w:r>
        <w:rPr>
          <w:rFonts w:ascii="Calibri" w:hAnsi="Calibri" w:eastAsia="宋体"/>
          <w:iCs w:val="0"/>
          <w:kern w:val="2"/>
          <w:sz w:val="21"/>
        </w:rPr>
        <w:tab/>
      </w:r>
      <w:r>
        <w:rPr>
          <w:rStyle w:val="39"/>
          <w:rFonts w:hint="eastAsia" w:ascii="宋体" w:hAnsi="宋体"/>
          <w:color w:val="000000"/>
        </w:rPr>
        <w:t>技术、服务要求响应偏离说明表</w:t>
      </w:r>
      <w:r>
        <w:tab/>
      </w:r>
      <w:r>
        <w:rPr>
          <w:rFonts w:hint="default"/>
        </w:rPr>
        <w:t>5</w:t>
      </w:r>
      <w:r>
        <w:fldChar w:fldCharType="end"/>
      </w:r>
      <w:r>
        <w:rPr>
          <w:rFonts w:hint="default"/>
        </w:rPr>
        <w:t>5</w:t>
      </w:r>
    </w:p>
    <w:p>
      <w:pPr>
        <w:widowControl/>
        <w:tabs>
          <w:tab w:val="left" w:pos="1260"/>
          <w:tab w:val="right" w:leader="dot" w:pos="9514"/>
        </w:tabs>
        <w:spacing w:line="440" w:lineRule="exact"/>
        <w:jc w:val="left"/>
        <w:rPr>
          <w:rFonts w:eastAsia="黑体"/>
          <w:bCs/>
          <w:iCs/>
          <w:color w:val="000000"/>
          <w:kern w:val="0"/>
          <w:sz w:val="28"/>
          <w:lang w:val="zh-CN"/>
        </w:rPr>
        <w:sectPr>
          <w:headerReference r:id="rId5" w:type="default"/>
          <w:footerReference r:id="rId6" w:type="default"/>
          <w:pgSz w:w="11906" w:h="16838"/>
          <w:pgMar w:top="1247" w:right="1247" w:bottom="1247" w:left="1247" w:header="851" w:footer="850" w:gutter="0"/>
          <w:cols w:space="0" w:num="1"/>
          <w:docGrid w:type="lines" w:linePitch="312" w:charSpace="0"/>
        </w:sectPr>
      </w:pPr>
      <w:r>
        <w:rPr>
          <w:color w:val="000000"/>
          <w:sz w:val="28"/>
        </w:rPr>
        <w:fldChar w:fldCharType="end"/>
      </w:r>
    </w:p>
    <w:p>
      <w:pPr>
        <w:pStyle w:val="3"/>
        <w:numPr>
          <w:ilvl w:val="0"/>
          <w:numId w:val="4"/>
        </w:numPr>
        <w:spacing w:before="240" w:after="120"/>
        <w:ind w:left="883" w:hanging="881" w:hangingChars="200"/>
        <w:jc w:val="center"/>
        <w:rPr>
          <w:rFonts w:ascii="黑体" w:hAnsi="黑体" w:eastAsia="黑体"/>
          <w:color w:val="000000"/>
        </w:rPr>
      </w:pPr>
      <w:bookmarkStart w:id="0" w:name="_Toc2252866"/>
      <w:bookmarkStart w:id="1" w:name="_Toc511889414"/>
      <w:bookmarkStart w:id="2" w:name="_Toc511894492"/>
      <w:r>
        <w:rPr>
          <w:rFonts w:hint="eastAsia" w:ascii="黑体" w:hAnsi="黑体" w:eastAsia="黑体"/>
          <w:color w:val="000000"/>
        </w:rPr>
        <w:t>投标邀请书</w:t>
      </w:r>
      <w:bookmarkEnd w:id="0"/>
      <w:bookmarkEnd w:id="1"/>
      <w:bookmarkEnd w:id="2"/>
      <w:r>
        <w:rPr>
          <w:rFonts w:hint="eastAsia" w:ascii="黑体" w:hAnsi="黑体" w:eastAsia="黑体"/>
          <w:color w:val="000000"/>
        </w:rPr>
        <w:t>（招标公告）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b/>
          <w:color w:val="000000"/>
          <w:sz w:val="24"/>
          <w:szCs w:val="24"/>
        </w:rPr>
      </w:pPr>
      <w:r>
        <w:rPr>
          <w:rFonts w:hint="eastAsia" w:ascii="宋体" w:hAnsi="宋体"/>
          <w:b/>
          <w:color w:val="000000"/>
          <w:sz w:val="24"/>
          <w:szCs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olor w:val="000000"/>
          <w:sz w:val="24"/>
          <w:szCs w:val="24"/>
          <w:u w:val="single"/>
        </w:rPr>
      </w:pPr>
      <w:r>
        <w:rPr>
          <w:rFonts w:hint="eastAsia" w:ascii="宋体" w:hAnsi="宋体"/>
          <w:color w:val="000000"/>
          <w:sz w:val="24"/>
          <w:szCs w:val="24"/>
          <w:u w:val="single"/>
        </w:rPr>
        <w:t>（</w:t>
      </w:r>
      <w:r>
        <w:rPr>
          <w:rFonts w:ascii="宋体" w:hAnsi="宋体"/>
          <w:color w:val="000000"/>
          <w:sz w:val="24"/>
          <w:szCs w:val="24"/>
          <w:u w:val="single"/>
        </w:rPr>
        <w:t>湖北大学知行学院2022年-2023年保安服务</w:t>
      </w:r>
      <w:r>
        <w:rPr>
          <w:rFonts w:hint="eastAsia" w:ascii="宋体" w:hAnsi="宋体"/>
          <w:color w:val="000000"/>
          <w:sz w:val="24"/>
          <w:szCs w:val="24"/>
          <w:u w:val="single"/>
        </w:rPr>
        <w:t>）</w:t>
      </w:r>
      <w:r>
        <w:rPr>
          <w:rFonts w:hint="eastAsia" w:ascii="宋体" w:hAnsi="宋体"/>
          <w:color w:val="000000"/>
          <w:sz w:val="24"/>
          <w:szCs w:val="24"/>
        </w:rPr>
        <w:t>采购项目的潜在投标人应在</w:t>
      </w:r>
      <w:r>
        <w:rPr>
          <w:rFonts w:hint="eastAsia" w:ascii="宋体" w:hAnsi="宋体"/>
          <w:color w:val="000000"/>
          <w:sz w:val="24"/>
          <w:szCs w:val="24"/>
          <w:u w:val="single"/>
        </w:rPr>
        <w:t>湖北建信建设工程咨询有限公司（通过电子邮箱</w:t>
      </w:r>
      <w:r>
        <w:rPr>
          <w:rFonts w:ascii="宋体" w:hAnsi="宋体"/>
          <w:color w:val="000000"/>
          <w:sz w:val="24"/>
          <w:szCs w:val="24"/>
          <w:u w:val="single"/>
        </w:rPr>
        <w:t>397875276</w:t>
      </w:r>
      <w:r>
        <w:rPr>
          <w:rFonts w:hint="eastAsia" w:ascii="宋体" w:hAnsi="宋体"/>
          <w:color w:val="000000"/>
          <w:sz w:val="24"/>
          <w:szCs w:val="24"/>
          <w:u w:val="single"/>
        </w:rPr>
        <w:t>@qq.com）</w:t>
      </w:r>
      <w:r>
        <w:rPr>
          <w:rFonts w:hint="eastAsia" w:ascii="宋体" w:hAnsi="宋体"/>
          <w:color w:val="000000"/>
          <w:sz w:val="24"/>
          <w:szCs w:val="24"/>
        </w:rPr>
        <w:t>获取招标文件，并于</w:t>
      </w:r>
      <w:r>
        <w:rPr>
          <w:rFonts w:hint="eastAsia" w:ascii="宋体" w:hAnsi="宋体"/>
          <w:b/>
          <w:bCs/>
          <w:color w:val="000000"/>
          <w:sz w:val="24"/>
          <w:szCs w:val="24"/>
          <w:u w:val="single"/>
        </w:rPr>
        <w:t>202</w:t>
      </w:r>
      <w:r>
        <w:rPr>
          <w:rFonts w:ascii="宋体" w:hAnsi="宋体"/>
          <w:b/>
          <w:bCs/>
          <w:color w:val="000000"/>
          <w:sz w:val="24"/>
          <w:szCs w:val="24"/>
          <w:u w:val="single"/>
        </w:rPr>
        <w:t>2</w:t>
      </w:r>
      <w:r>
        <w:rPr>
          <w:rFonts w:hint="eastAsia" w:ascii="宋体" w:hAnsi="宋体"/>
          <w:b/>
          <w:bCs/>
          <w:color w:val="000000"/>
          <w:sz w:val="24"/>
          <w:szCs w:val="24"/>
          <w:u w:val="single"/>
        </w:rPr>
        <w:t>年</w:t>
      </w:r>
      <w:r>
        <w:rPr>
          <w:rFonts w:hint="default" w:ascii="宋体" w:hAnsi="宋体"/>
          <w:b/>
          <w:bCs/>
          <w:color w:val="000000"/>
          <w:sz w:val="24"/>
          <w:szCs w:val="24"/>
          <w:u w:val="single"/>
        </w:rPr>
        <w:t>6</w:t>
      </w:r>
      <w:r>
        <w:rPr>
          <w:rFonts w:hint="eastAsia" w:ascii="宋体" w:hAnsi="宋体"/>
          <w:b/>
          <w:bCs/>
          <w:color w:val="000000"/>
          <w:sz w:val="24"/>
          <w:szCs w:val="24"/>
          <w:u w:val="single"/>
        </w:rPr>
        <w:t>月</w:t>
      </w:r>
      <w:r>
        <w:rPr>
          <w:rFonts w:hint="default" w:ascii="宋体" w:hAnsi="宋体"/>
          <w:b/>
          <w:bCs/>
          <w:color w:val="000000"/>
          <w:sz w:val="24"/>
          <w:szCs w:val="24"/>
          <w:u w:val="single"/>
        </w:rPr>
        <w:t>20</w:t>
      </w:r>
      <w:r>
        <w:rPr>
          <w:rFonts w:hint="eastAsia" w:ascii="宋体" w:hAnsi="宋体"/>
          <w:b/>
          <w:bCs/>
          <w:color w:val="000000"/>
          <w:sz w:val="24"/>
          <w:szCs w:val="24"/>
          <w:u w:val="single"/>
        </w:rPr>
        <w:t>日</w:t>
      </w:r>
      <w:r>
        <w:rPr>
          <w:rFonts w:hint="default" w:ascii="宋体" w:hAnsi="宋体"/>
          <w:b/>
          <w:bCs/>
          <w:color w:val="000000"/>
          <w:sz w:val="24"/>
          <w:szCs w:val="24"/>
          <w:u w:val="single"/>
        </w:rPr>
        <w:t>09</w:t>
      </w:r>
      <w:r>
        <w:rPr>
          <w:rFonts w:hint="eastAsia" w:ascii="宋体" w:hAnsi="宋体"/>
          <w:b/>
          <w:bCs/>
          <w:color w:val="000000"/>
          <w:sz w:val="24"/>
          <w:szCs w:val="24"/>
          <w:u w:val="single"/>
        </w:rPr>
        <w:t>点30分</w:t>
      </w:r>
      <w:r>
        <w:rPr>
          <w:rFonts w:hint="eastAsia" w:ascii="宋体" w:hAnsi="宋体"/>
          <w:bCs/>
          <w:color w:val="000000"/>
          <w:sz w:val="24"/>
          <w:szCs w:val="24"/>
        </w:rPr>
        <w:t>（北京时间）前递交投标</w:t>
      </w:r>
      <w:r>
        <w:rPr>
          <w:rFonts w:ascii="宋体" w:hAnsi="宋体"/>
          <w:bCs/>
          <w:color w:val="000000"/>
          <w:sz w:val="24"/>
          <w:szCs w:val="24"/>
        </w:rPr>
        <w:t>文件</w:t>
      </w:r>
      <w:r>
        <w:rPr>
          <w:rFonts w:hint="eastAsia" w:ascii="宋体" w:hAnsi="宋体"/>
          <w:color w:val="000000"/>
          <w:sz w:val="24"/>
          <w:szCs w:val="24"/>
        </w:rPr>
        <w:t>。</w:t>
      </w:r>
    </w:p>
    <w:p>
      <w:pPr>
        <w:pStyle w:val="4"/>
        <w:spacing w:before="0" w:after="0" w:line="440" w:lineRule="exact"/>
        <w:rPr>
          <w:rFonts w:ascii="宋体" w:hAnsi="宋体" w:cs="宋体"/>
          <w:color w:val="000000"/>
          <w:sz w:val="24"/>
          <w:szCs w:val="24"/>
        </w:rPr>
      </w:pPr>
      <w:bookmarkStart w:id="3" w:name="_Toc28359012"/>
      <w:bookmarkStart w:id="4" w:name="_Toc35393629"/>
      <w:bookmarkStart w:id="5" w:name="_Toc28359089"/>
      <w:bookmarkStart w:id="6" w:name="_Toc35393798"/>
      <w:r>
        <w:rPr>
          <w:rFonts w:hint="eastAsia" w:ascii="宋体" w:hAnsi="宋体" w:cs="宋体"/>
          <w:color w:val="000000"/>
          <w:sz w:val="24"/>
          <w:szCs w:val="24"/>
        </w:rPr>
        <w:t>一、项目基本情况</w:t>
      </w:r>
      <w:bookmarkEnd w:id="3"/>
      <w:bookmarkEnd w:id="4"/>
      <w:bookmarkEnd w:id="5"/>
      <w:bookmarkEnd w:id="6"/>
      <w:r>
        <w:rPr>
          <w:rFonts w:ascii="宋体" w:hAnsi="宋体" w:cs="宋体"/>
          <w:color w:val="000000"/>
          <w:sz w:val="24"/>
          <w:szCs w:val="24"/>
        </w:rPr>
        <w:t xml:space="preserve"> </w:t>
      </w:r>
    </w:p>
    <w:p>
      <w:pPr>
        <w:spacing w:line="440" w:lineRule="exact"/>
        <w:rPr>
          <w:rFonts w:ascii="宋体" w:hAnsi="宋体"/>
          <w:color w:val="000000"/>
          <w:sz w:val="24"/>
          <w:szCs w:val="24"/>
          <w:u w:val="single"/>
        </w:rPr>
      </w:pPr>
      <w:r>
        <w:rPr>
          <w:rFonts w:hint="eastAsia" w:ascii="宋体" w:hAnsi="宋体"/>
          <w:color w:val="000000"/>
          <w:sz w:val="24"/>
          <w:szCs w:val="24"/>
        </w:rPr>
        <w:t xml:space="preserve">    项目编号：</w:t>
      </w:r>
      <w:r>
        <w:rPr>
          <w:rFonts w:ascii="宋体" w:hAnsi="宋体"/>
          <w:color w:val="000000"/>
          <w:sz w:val="24"/>
          <w:szCs w:val="24"/>
          <w:u w:val="single"/>
        </w:rPr>
        <w:t>HBJX-ZB-2022-123</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项目名称：</w:t>
      </w:r>
      <w:r>
        <w:rPr>
          <w:rFonts w:ascii="宋体" w:hAnsi="宋体"/>
          <w:color w:val="000000"/>
          <w:sz w:val="24"/>
          <w:szCs w:val="24"/>
          <w:u w:val="single"/>
        </w:rPr>
        <w:t>湖北大学知行学院2022年-2023年保安服务</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预算金额：</w:t>
      </w:r>
      <w:r>
        <w:rPr>
          <w:rFonts w:hint="eastAsia" w:ascii="宋体" w:hAnsi="宋体"/>
          <w:color w:val="000000"/>
          <w:sz w:val="24"/>
          <w:szCs w:val="24"/>
          <w:u w:val="single"/>
        </w:rPr>
        <w:t>170万元（含消防设备维保费用2万元）</w:t>
      </w:r>
      <w:r>
        <w:rPr>
          <w:rFonts w:ascii="宋体" w:hAnsi="宋体"/>
          <w:color w:val="000000"/>
          <w:sz w:val="24"/>
          <w:szCs w:val="24"/>
          <w:u w:val="single"/>
        </w:rPr>
        <w:t>/</w:t>
      </w:r>
      <w:r>
        <w:rPr>
          <w:rFonts w:hint="eastAsia" w:ascii="宋体" w:hAnsi="宋体"/>
          <w:color w:val="000000"/>
          <w:sz w:val="24"/>
          <w:szCs w:val="24"/>
          <w:u w:val="single"/>
        </w:rPr>
        <w:t>年</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最高限价：</w:t>
      </w:r>
      <w:r>
        <w:rPr>
          <w:rFonts w:hint="eastAsia" w:ascii="宋体" w:hAnsi="宋体"/>
          <w:color w:val="000000"/>
          <w:sz w:val="24"/>
          <w:szCs w:val="24"/>
          <w:u w:val="single"/>
        </w:rPr>
        <w:t>170万元（含消防设备维保费用2万元）</w:t>
      </w:r>
      <w:r>
        <w:rPr>
          <w:rFonts w:ascii="宋体" w:hAnsi="宋体"/>
          <w:color w:val="000000"/>
          <w:sz w:val="24"/>
          <w:szCs w:val="24"/>
          <w:u w:val="single"/>
        </w:rPr>
        <w:t>/</w:t>
      </w:r>
      <w:r>
        <w:rPr>
          <w:rFonts w:hint="eastAsia" w:ascii="宋体" w:hAnsi="宋体"/>
          <w:color w:val="000000"/>
          <w:sz w:val="24"/>
          <w:szCs w:val="24"/>
          <w:u w:val="single"/>
        </w:rPr>
        <w:t>年</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采购需求：</w:t>
      </w:r>
      <w:r>
        <w:rPr>
          <w:rFonts w:hint="eastAsia" w:ascii="宋体" w:hAnsi="宋体"/>
          <w:color w:val="000000"/>
          <w:sz w:val="24"/>
          <w:szCs w:val="24"/>
          <w:u w:val="single"/>
        </w:rPr>
        <w:t>根据学校工作实际，2022年-2023年度的保安服务人员计划41个岗位。</w:t>
      </w:r>
    </w:p>
    <w:tbl>
      <w:tblPr>
        <w:tblStyle w:val="35"/>
        <w:tblW w:w="9518" w:type="dxa"/>
        <w:jc w:val="center"/>
        <w:tblLayout w:type="fixed"/>
        <w:tblCellMar>
          <w:top w:w="0" w:type="dxa"/>
          <w:left w:w="108" w:type="dxa"/>
          <w:bottom w:w="0" w:type="dxa"/>
          <w:right w:w="108" w:type="dxa"/>
        </w:tblCellMar>
      </w:tblPr>
      <w:tblGrid>
        <w:gridCol w:w="705"/>
        <w:gridCol w:w="3607"/>
        <w:gridCol w:w="1631"/>
        <w:gridCol w:w="1521"/>
        <w:gridCol w:w="2054"/>
      </w:tblGrid>
      <w:tr>
        <w:trPr>
          <w:trHeight w:val="42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工作点位</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应设置岗位（个）</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单岗位时长（小时）</w:t>
            </w:r>
          </w:p>
        </w:tc>
        <w:tc>
          <w:tcPr>
            <w:tcW w:w="2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单日完成安保工作总时长（小时)</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校1号门车行入口（24小时制）</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24</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校1号门车行出口（24小时制）</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24</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校1号门人行入口</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校1号门人行出口</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5</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校2号门（24小时制）</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24</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6</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校外公寓大门</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7</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知远楼门岗</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知音楼门岗</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知美楼门岗</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9</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知化楼门岗</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10</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知言楼门岗</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11</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图书馆入口</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图书馆出口</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13</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消防控制室（24小时制）</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32</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14</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队长助理（机动队员具备文职能力）</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15</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白班巡逻（保安副队长）</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夜班巡逻</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17</w:t>
            </w:r>
          </w:p>
        </w:tc>
        <w:tc>
          <w:tcPr>
            <w:tcW w:w="3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保安队长</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0" w:hRule="atLeast"/>
          <w:jc w:val="center"/>
        </w:trPr>
        <w:tc>
          <w:tcPr>
            <w:tcW w:w="4312"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合计</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41</w:t>
            </w:r>
          </w:p>
        </w:tc>
        <w:tc>
          <w:tcPr>
            <w:tcW w:w="1521" w:type="dxa"/>
            <w:tcBorders>
              <w:top w:val="single" w:color="000000" w:sz="4" w:space="0"/>
              <w:left w:val="nil"/>
              <w:bottom w:val="single" w:color="000000" w:sz="4" w:space="0"/>
              <w:right w:val="single" w:color="000000" w:sz="4" w:space="0"/>
            </w:tcBorders>
            <w:noWrap/>
            <w:vAlign w:val="center"/>
          </w:tcPr>
          <w:p>
            <w:pPr>
              <w:rPr>
                <w:rFonts w:ascii="宋体" w:hAnsi="宋体" w:cs="宋体"/>
                <w:color w:val="000000"/>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rPr>
              <w:t>328</w:t>
            </w:r>
          </w:p>
        </w:tc>
      </w:tr>
    </w:tbl>
    <w:p/>
    <w:p>
      <w:pPr>
        <w:spacing w:line="440" w:lineRule="exact"/>
        <w:ind w:firstLine="480"/>
        <w:rPr>
          <w:rFonts w:ascii="宋体" w:hAnsi="宋体"/>
          <w:color w:val="000000"/>
          <w:sz w:val="24"/>
          <w:szCs w:val="24"/>
          <w:u w:val="single"/>
        </w:rPr>
      </w:pPr>
      <w:r>
        <w:rPr>
          <w:rFonts w:hint="eastAsia" w:ascii="宋体" w:hAnsi="宋体"/>
          <w:color w:val="000000"/>
          <w:sz w:val="24"/>
          <w:szCs w:val="24"/>
        </w:rPr>
        <w:t>合同履行期限：</w:t>
      </w:r>
      <w:r>
        <w:rPr>
          <w:rFonts w:hint="eastAsia" w:ascii="宋体" w:hAnsi="宋体"/>
          <w:color w:val="000000"/>
          <w:sz w:val="24"/>
          <w:szCs w:val="24"/>
          <w:u w:val="single"/>
        </w:rPr>
        <w:t>一年（2022年08月01日至2023年07月31日），具体起始日期以劳动合同签订生效日期为准。中标人一年服务期满后，经招标人考核达到良好及以上等次，并经校长办公会研究同意后，可续签合同一年。</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本项目（不接受）联合体投标。</w:t>
      </w:r>
    </w:p>
    <w:p>
      <w:pPr>
        <w:pStyle w:val="4"/>
        <w:spacing w:before="0" w:after="0" w:line="440" w:lineRule="exact"/>
        <w:rPr>
          <w:rFonts w:ascii="宋体" w:hAnsi="宋体" w:cs="宋体"/>
          <w:color w:val="000000"/>
          <w:sz w:val="24"/>
          <w:szCs w:val="24"/>
        </w:rPr>
      </w:pPr>
      <w:bookmarkStart w:id="7" w:name="_Toc35393630"/>
      <w:bookmarkStart w:id="8" w:name="_Toc28359013"/>
      <w:bookmarkStart w:id="9" w:name="_Toc35393799"/>
      <w:bookmarkStart w:id="10" w:name="_Toc28359090"/>
      <w:r>
        <w:rPr>
          <w:rFonts w:hint="eastAsia" w:ascii="宋体" w:hAnsi="宋体" w:cs="宋体"/>
          <w:color w:val="000000"/>
          <w:sz w:val="24"/>
          <w:szCs w:val="24"/>
        </w:rPr>
        <w:t>二、申请人的资格要求：</w:t>
      </w:r>
      <w:bookmarkEnd w:id="7"/>
      <w:bookmarkEnd w:id="8"/>
      <w:bookmarkEnd w:id="9"/>
      <w:bookmarkEnd w:id="10"/>
    </w:p>
    <w:p>
      <w:pPr>
        <w:spacing w:line="440" w:lineRule="exact"/>
        <w:rPr>
          <w:rFonts w:ascii="宋体" w:hAnsi="宋体" w:cs="宋体"/>
          <w:color w:val="000000"/>
          <w:sz w:val="24"/>
          <w:szCs w:val="24"/>
        </w:rPr>
      </w:pPr>
      <w:bookmarkStart w:id="11" w:name="_Toc28359014"/>
      <w:bookmarkStart w:id="12" w:name="_Toc28359091"/>
      <w:r>
        <w:rPr>
          <w:rFonts w:hint="eastAsia" w:ascii="宋体" w:hAnsi="宋体" w:cs="宋体"/>
          <w:color w:val="000000"/>
          <w:sz w:val="24"/>
          <w:szCs w:val="24"/>
        </w:rPr>
        <w:t>1、满足《中华人民共和国政府采购法》第二十二条规定，即：</w:t>
      </w:r>
    </w:p>
    <w:p>
      <w:pPr>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（1）具有独立承担民事责任的能力；</w:t>
      </w:r>
    </w:p>
    <w:p>
      <w:pPr>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（2）具有良好的商业信誉和健全的财务会计制度；</w:t>
      </w:r>
    </w:p>
    <w:p>
      <w:pPr>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（3）具有履行合同所必需的设备和专业技术能力；</w:t>
      </w:r>
    </w:p>
    <w:p>
      <w:pPr>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（4）有依法缴纳税收和社会保障资金的良好记录；</w:t>
      </w:r>
    </w:p>
    <w:p>
      <w:pPr>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（5）参加政府采购活动前三年内，在经营活动中没有重大违法记录；</w:t>
      </w:r>
    </w:p>
    <w:p>
      <w:pPr>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（6）法律、行政法规规定的其他条件。</w:t>
      </w:r>
    </w:p>
    <w:p>
      <w:pPr>
        <w:spacing w:line="440" w:lineRule="exact"/>
        <w:rPr>
          <w:rFonts w:ascii="宋体" w:hAnsi="宋体" w:cs="宋体"/>
          <w:color w:val="000000"/>
          <w:sz w:val="24"/>
          <w:szCs w:val="24"/>
          <w:u w:val="single"/>
        </w:rPr>
      </w:pPr>
      <w:r>
        <w:rPr>
          <w:rFonts w:hint="eastAsia" w:ascii="宋体" w:hAnsi="宋体" w:cs="宋体"/>
          <w:color w:val="000000"/>
          <w:sz w:val="24"/>
          <w:szCs w:val="24"/>
        </w:rPr>
        <w:t>2、落实政府采购政策需满足的资格要求：</w:t>
      </w:r>
      <w:r>
        <w:rPr>
          <w:rFonts w:hint="eastAsia" w:ascii="宋体" w:hAnsi="宋体" w:cs="宋体"/>
          <w:color w:val="000000"/>
          <w:sz w:val="24"/>
          <w:szCs w:val="24"/>
          <w:u w:val="single"/>
        </w:rPr>
        <w:t>（非专门面向中小企业采购的项目）本项目需落实的节能环保、中小微型企业扶持(含支持监狱企业发展、促进残疾人就业)等相关政府采购政策，具体详见招标文件。</w:t>
      </w:r>
    </w:p>
    <w:p>
      <w:pPr>
        <w:spacing w:line="440" w:lineRule="exact"/>
        <w:rPr>
          <w:rFonts w:ascii="宋体" w:hAnsi="宋体" w:cs="宋体"/>
          <w:color w:val="000000"/>
          <w:sz w:val="24"/>
          <w:szCs w:val="24"/>
        </w:rPr>
      </w:pPr>
      <w:r>
        <w:rPr>
          <w:rFonts w:hint="eastAsia" w:ascii="宋体" w:hAnsi="宋体" w:cs="宋体"/>
          <w:color w:val="000000"/>
          <w:sz w:val="24"/>
          <w:szCs w:val="24"/>
        </w:rPr>
        <w:t>3、本项目的特定资格要求：</w:t>
      </w:r>
    </w:p>
    <w:p>
      <w:pPr>
        <w:spacing w:line="440" w:lineRule="exact"/>
        <w:ind w:firstLine="360" w:firstLineChars="150"/>
        <w:rPr>
          <w:rFonts w:ascii="宋体" w:hAnsi="宋体" w:cs="宋体"/>
          <w:color w:val="000000"/>
          <w:sz w:val="24"/>
          <w:szCs w:val="24"/>
          <w:u w:val="single"/>
        </w:rPr>
      </w:pPr>
      <w:r>
        <w:rPr>
          <w:rFonts w:hint="eastAsia" w:ascii="宋体" w:hAnsi="宋体" w:cs="宋体"/>
          <w:color w:val="000000"/>
          <w:sz w:val="24"/>
          <w:szCs w:val="24"/>
          <w:u w:val="single"/>
        </w:rPr>
        <w:t>（1）投标人参加政府采购活动前三年内未被列入“信用中国网”(www.creditchina.gov.cn)失信被执行人、重大税收违法案件当事人和“中国政府采购网”（www.ccgp.gov.cn）政府采购严重违法失信行为记录名单。</w:t>
      </w:r>
    </w:p>
    <w:p>
      <w:pPr>
        <w:spacing w:line="440" w:lineRule="exact"/>
        <w:ind w:firstLine="360" w:firstLineChars="150"/>
        <w:rPr>
          <w:rFonts w:ascii="宋体" w:hAnsi="宋体" w:cs="宋体"/>
          <w:color w:val="000000"/>
          <w:sz w:val="24"/>
          <w:szCs w:val="24"/>
          <w:u w:val="single"/>
        </w:rPr>
      </w:pPr>
      <w:r>
        <w:rPr>
          <w:rFonts w:hint="eastAsia" w:ascii="宋体" w:hAnsi="宋体" w:cs="宋体"/>
          <w:color w:val="000000"/>
          <w:sz w:val="24"/>
          <w:szCs w:val="24"/>
          <w:u w:val="single"/>
        </w:rPr>
        <w:t>（2）投标人须具有公安部门核发的《保安服务许可证》，且在有效期内；</w:t>
      </w:r>
    </w:p>
    <w:p>
      <w:pPr>
        <w:pStyle w:val="4"/>
        <w:spacing w:before="0" w:after="0" w:line="440" w:lineRule="exact"/>
        <w:rPr>
          <w:rFonts w:ascii="宋体" w:hAnsi="宋体" w:cs="宋体"/>
          <w:color w:val="000000"/>
          <w:sz w:val="24"/>
          <w:szCs w:val="24"/>
        </w:rPr>
      </w:pPr>
      <w:bookmarkStart w:id="13" w:name="_Toc35393800"/>
      <w:bookmarkStart w:id="14" w:name="_Toc35393631"/>
      <w:r>
        <w:rPr>
          <w:rFonts w:hint="eastAsia" w:ascii="宋体" w:hAnsi="宋体" w:cs="宋体"/>
          <w:color w:val="000000"/>
          <w:sz w:val="24"/>
          <w:szCs w:val="24"/>
        </w:rPr>
        <w:t>三、获取招标文件</w:t>
      </w:r>
      <w:bookmarkEnd w:id="11"/>
      <w:bookmarkEnd w:id="12"/>
      <w:bookmarkEnd w:id="13"/>
      <w:bookmarkEnd w:id="14"/>
    </w:p>
    <w:p>
      <w:pPr>
        <w:spacing w:line="440" w:lineRule="exact"/>
        <w:ind w:firstLine="540"/>
        <w:rPr>
          <w:rFonts w:ascii="宋体" w:hAnsi="宋体" w:cs="宋体"/>
          <w:color w:val="000000"/>
          <w:sz w:val="24"/>
          <w:szCs w:val="24"/>
        </w:rPr>
      </w:pPr>
      <w:r>
        <w:rPr>
          <w:rFonts w:hint="eastAsia" w:ascii="宋体" w:hAnsi="宋体" w:cs="宋体"/>
          <w:color w:val="000000"/>
          <w:sz w:val="24"/>
          <w:szCs w:val="24"/>
        </w:rPr>
        <w:t>时间：</w:t>
      </w:r>
      <w:r>
        <w:rPr>
          <w:rFonts w:hint="eastAsia" w:ascii="宋体" w:hAnsi="宋体" w:cs="宋体"/>
          <w:b/>
          <w:bCs/>
          <w:color w:val="000000"/>
          <w:sz w:val="24"/>
          <w:szCs w:val="24"/>
          <w:u w:val="single"/>
        </w:rPr>
        <w:t>202</w:t>
      </w:r>
      <w:r>
        <w:rPr>
          <w:rFonts w:ascii="宋体" w:hAnsi="宋体" w:cs="宋体"/>
          <w:b/>
          <w:bCs/>
          <w:color w:val="000000"/>
          <w:sz w:val="24"/>
          <w:szCs w:val="24"/>
          <w:u w:val="single"/>
        </w:rPr>
        <w:t>2</w:t>
      </w:r>
      <w:r>
        <w:rPr>
          <w:rFonts w:hint="eastAsia" w:ascii="宋体" w:hAnsi="宋体" w:cs="宋体"/>
          <w:b/>
          <w:bCs/>
          <w:color w:val="000000"/>
          <w:sz w:val="24"/>
          <w:szCs w:val="24"/>
          <w:u w:val="single"/>
        </w:rPr>
        <w:t>年</w:t>
      </w:r>
      <w:r>
        <w:rPr>
          <w:rFonts w:hint="default" w:ascii="宋体" w:hAnsi="宋体" w:cs="宋体"/>
          <w:b/>
          <w:bCs/>
          <w:color w:val="000000"/>
          <w:sz w:val="24"/>
          <w:szCs w:val="24"/>
          <w:u w:val="single"/>
        </w:rPr>
        <w:t>5</w:t>
      </w:r>
      <w:r>
        <w:rPr>
          <w:rFonts w:hint="eastAsia" w:ascii="宋体" w:hAnsi="宋体" w:cs="宋体"/>
          <w:b/>
          <w:bCs/>
          <w:color w:val="000000"/>
          <w:sz w:val="24"/>
          <w:szCs w:val="24"/>
          <w:u w:val="single"/>
        </w:rPr>
        <w:t>月</w:t>
      </w:r>
      <w:r>
        <w:rPr>
          <w:rFonts w:hint="default" w:ascii="宋体" w:hAnsi="宋体" w:cs="宋体"/>
          <w:b/>
          <w:bCs/>
          <w:color w:val="000000"/>
          <w:sz w:val="24"/>
          <w:szCs w:val="24"/>
          <w:u w:val="single"/>
        </w:rPr>
        <w:t>31</w:t>
      </w:r>
      <w:r>
        <w:rPr>
          <w:rFonts w:hint="eastAsia" w:ascii="宋体" w:hAnsi="宋体" w:cs="宋体"/>
          <w:b/>
          <w:bCs/>
          <w:color w:val="000000"/>
          <w:sz w:val="24"/>
          <w:szCs w:val="24"/>
          <w:u w:val="single"/>
        </w:rPr>
        <w:t>日</w:t>
      </w:r>
      <w:r>
        <w:rPr>
          <w:rFonts w:hint="eastAsia" w:ascii="宋体" w:hAnsi="宋体" w:cs="宋体"/>
          <w:b/>
          <w:bCs/>
          <w:color w:val="000000"/>
          <w:sz w:val="24"/>
          <w:szCs w:val="24"/>
        </w:rPr>
        <w:t>至</w:t>
      </w:r>
      <w:r>
        <w:rPr>
          <w:rFonts w:hint="eastAsia" w:ascii="宋体" w:hAnsi="宋体" w:cs="宋体"/>
          <w:b/>
          <w:bCs/>
          <w:color w:val="000000"/>
          <w:sz w:val="24"/>
          <w:szCs w:val="24"/>
          <w:u w:val="single"/>
        </w:rPr>
        <w:t>202</w:t>
      </w:r>
      <w:r>
        <w:rPr>
          <w:rFonts w:ascii="宋体" w:hAnsi="宋体" w:cs="宋体"/>
          <w:b/>
          <w:bCs/>
          <w:color w:val="000000"/>
          <w:sz w:val="24"/>
          <w:szCs w:val="24"/>
          <w:u w:val="single"/>
        </w:rPr>
        <w:t>2</w:t>
      </w:r>
      <w:r>
        <w:rPr>
          <w:rFonts w:hint="eastAsia" w:ascii="宋体" w:hAnsi="宋体" w:cs="宋体"/>
          <w:b/>
          <w:bCs/>
          <w:color w:val="000000"/>
          <w:sz w:val="24"/>
          <w:szCs w:val="24"/>
          <w:u w:val="single"/>
        </w:rPr>
        <w:t>年</w:t>
      </w:r>
      <w:r>
        <w:rPr>
          <w:rFonts w:hint="default" w:ascii="宋体" w:hAnsi="宋体" w:cs="宋体"/>
          <w:b/>
          <w:bCs/>
          <w:color w:val="000000"/>
          <w:sz w:val="24"/>
          <w:szCs w:val="24"/>
          <w:u w:val="single"/>
        </w:rPr>
        <w:t>6</w:t>
      </w:r>
      <w:r>
        <w:rPr>
          <w:rFonts w:hint="eastAsia" w:ascii="宋体" w:hAnsi="宋体" w:cs="宋体"/>
          <w:b/>
          <w:bCs/>
          <w:color w:val="000000"/>
          <w:sz w:val="24"/>
          <w:szCs w:val="24"/>
          <w:u w:val="single"/>
        </w:rPr>
        <w:t>月</w:t>
      </w:r>
      <w:r>
        <w:rPr>
          <w:rFonts w:hint="default" w:ascii="宋体" w:hAnsi="宋体" w:cs="宋体"/>
          <w:b/>
          <w:bCs/>
          <w:color w:val="000000"/>
          <w:sz w:val="24"/>
          <w:szCs w:val="24"/>
          <w:u w:val="single"/>
        </w:rPr>
        <w:t>7</w:t>
      </w:r>
      <w:r>
        <w:rPr>
          <w:rFonts w:hint="eastAsia" w:ascii="宋体" w:hAnsi="宋体" w:cs="宋体"/>
          <w:b/>
          <w:bCs/>
          <w:color w:val="000000"/>
          <w:sz w:val="24"/>
          <w:szCs w:val="24"/>
          <w:u w:val="single"/>
        </w:rPr>
        <w:t>日</w:t>
      </w:r>
      <w:r>
        <w:rPr>
          <w:rFonts w:hint="eastAsia" w:ascii="宋体" w:hAnsi="宋体" w:cs="宋体"/>
          <w:color w:val="000000"/>
          <w:sz w:val="24"/>
          <w:szCs w:val="24"/>
        </w:rPr>
        <w:t>，每天上午</w:t>
      </w:r>
      <w:r>
        <w:rPr>
          <w:rFonts w:hint="eastAsia" w:ascii="宋体" w:hAnsi="宋体" w:cs="宋体"/>
          <w:color w:val="000000"/>
          <w:sz w:val="24"/>
          <w:szCs w:val="24"/>
          <w:u w:val="single"/>
        </w:rPr>
        <w:t>09：00时</w:t>
      </w:r>
      <w:r>
        <w:rPr>
          <w:rFonts w:hint="eastAsia" w:ascii="宋体" w:hAnsi="宋体" w:cs="宋体"/>
          <w:color w:val="000000"/>
          <w:sz w:val="24"/>
          <w:szCs w:val="24"/>
        </w:rPr>
        <w:t>至</w:t>
      </w:r>
      <w:r>
        <w:rPr>
          <w:rFonts w:ascii="宋体" w:hAnsi="宋体" w:cs="宋体"/>
          <w:color w:val="000000"/>
          <w:sz w:val="24"/>
          <w:szCs w:val="24"/>
          <w:u w:val="single"/>
        </w:rPr>
        <w:t>12:00</w:t>
      </w:r>
      <w:r>
        <w:rPr>
          <w:rFonts w:hint="eastAsia" w:ascii="宋体" w:hAnsi="宋体" w:cs="宋体"/>
          <w:color w:val="000000"/>
          <w:sz w:val="24"/>
          <w:szCs w:val="24"/>
          <w:u w:val="single"/>
        </w:rPr>
        <w:t>时</w:t>
      </w:r>
      <w:r>
        <w:rPr>
          <w:rFonts w:hint="eastAsia" w:ascii="宋体" w:hAnsi="宋体" w:cs="宋体"/>
          <w:color w:val="000000"/>
          <w:sz w:val="24"/>
          <w:szCs w:val="24"/>
        </w:rPr>
        <w:t>，下午</w:t>
      </w:r>
      <w:r>
        <w:rPr>
          <w:rFonts w:hint="eastAsia" w:ascii="宋体" w:hAnsi="宋体" w:cs="宋体"/>
          <w:color w:val="000000"/>
          <w:sz w:val="24"/>
          <w:szCs w:val="24"/>
          <w:u w:val="single"/>
        </w:rPr>
        <w:t>14:00时</w:t>
      </w:r>
      <w:r>
        <w:rPr>
          <w:rFonts w:hint="eastAsia" w:ascii="宋体" w:hAnsi="宋体" w:cs="宋体"/>
          <w:color w:val="000000"/>
          <w:sz w:val="24"/>
          <w:szCs w:val="24"/>
        </w:rPr>
        <w:t>至</w:t>
      </w:r>
      <w:r>
        <w:rPr>
          <w:rFonts w:hint="eastAsia" w:ascii="宋体" w:hAnsi="宋体" w:cs="宋体"/>
          <w:color w:val="000000"/>
          <w:sz w:val="24"/>
          <w:szCs w:val="24"/>
          <w:u w:val="single"/>
        </w:rPr>
        <w:t>17:00时</w:t>
      </w:r>
      <w:r>
        <w:rPr>
          <w:rFonts w:hint="eastAsia" w:ascii="宋体" w:hAnsi="宋体" w:cs="宋体"/>
          <w:color w:val="000000"/>
          <w:sz w:val="24"/>
          <w:szCs w:val="24"/>
        </w:rPr>
        <w:t>（北京时间，</w:t>
      </w:r>
      <w:r>
        <w:rPr>
          <w:rFonts w:ascii="宋体" w:hAnsi="宋体" w:cs="宋体"/>
          <w:color w:val="000000"/>
          <w:sz w:val="24"/>
          <w:szCs w:val="24"/>
        </w:rPr>
        <w:t>法定节假日</w:t>
      </w:r>
      <w:r>
        <w:rPr>
          <w:rFonts w:hint="eastAsia" w:ascii="宋体" w:hAnsi="宋体" w:cs="宋体"/>
          <w:color w:val="000000"/>
          <w:sz w:val="24"/>
          <w:szCs w:val="24"/>
        </w:rPr>
        <w:t>除外 ）</w:t>
      </w:r>
    </w:p>
    <w:p>
      <w:pPr>
        <w:spacing w:line="440" w:lineRule="exact"/>
        <w:ind w:firstLine="540"/>
        <w:rPr>
          <w:rFonts w:ascii="宋体" w:hAnsi="宋体" w:cs="宋体"/>
          <w:color w:val="000000"/>
          <w:sz w:val="24"/>
          <w:szCs w:val="24"/>
          <w:u w:val="single"/>
        </w:rPr>
      </w:pPr>
      <w:r>
        <w:rPr>
          <w:rFonts w:hint="eastAsia" w:ascii="宋体" w:hAnsi="宋体" w:cs="宋体"/>
          <w:color w:val="000000"/>
          <w:sz w:val="24"/>
          <w:szCs w:val="24"/>
        </w:rPr>
        <w:t>地点：</w:t>
      </w:r>
      <w:r>
        <w:rPr>
          <w:rFonts w:hint="eastAsia" w:ascii="宋体" w:hAnsi="宋体"/>
          <w:color w:val="000000"/>
          <w:sz w:val="24"/>
          <w:szCs w:val="24"/>
          <w:u w:val="single"/>
        </w:rPr>
        <w:t>湖北建信建设工程咨询有限公司（</w:t>
      </w:r>
      <w:r>
        <w:rPr>
          <w:rFonts w:hint="eastAsia" w:ascii="宋体" w:hAnsi="宋体" w:cs="宋体"/>
          <w:color w:val="000000"/>
          <w:sz w:val="24"/>
          <w:szCs w:val="24"/>
          <w:u w:val="single"/>
        </w:rPr>
        <w:t>通过电子邮箱</w:t>
      </w:r>
      <w:r>
        <w:rPr>
          <w:rFonts w:ascii="宋体" w:hAnsi="宋体" w:cs="宋体"/>
          <w:color w:val="000000"/>
          <w:sz w:val="24"/>
          <w:szCs w:val="24"/>
          <w:u w:val="single"/>
        </w:rPr>
        <w:t>397875276</w:t>
      </w:r>
      <w:r>
        <w:rPr>
          <w:rFonts w:hint="eastAsia" w:ascii="宋体" w:hAnsi="宋体" w:cs="宋体"/>
          <w:color w:val="000000"/>
          <w:sz w:val="24"/>
          <w:szCs w:val="24"/>
          <w:u w:val="single"/>
        </w:rPr>
        <w:t>@qq.com）</w:t>
      </w:r>
    </w:p>
    <w:p>
      <w:pPr>
        <w:spacing w:line="440" w:lineRule="exact"/>
        <w:ind w:firstLine="540"/>
        <w:rPr>
          <w:rFonts w:ascii="宋体" w:hAnsi="宋体" w:cs="宋体"/>
          <w:color w:val="000000"/>
          <w:sz w:val="24"/>
          <w:szCs w:val="24"/>
          <w:u w:val="single"/>
        </w:rPr>
      </w:pPr>
      <w:r>
        <w:rPr>
          <w:rFonts w:hint="eastAsia" w:ascii="宋体" w:hAnsi="宋体" w:cs="宋体"/>
          <w:color w:val="000000"/>
          <w:sz w:val="24"/>
          <w:szCs w:val="24"/>
        </w:rPr>
        <w:t>方式：</w:t>
      </w:r>
      <w:r>
        <w:rPr>
          <w:rFonts w:hint="eastAsia" w:ascii="宋体" w:hAnsi="宋体" w:cs="宋体"/>
          <w:color w:val="000000"/>
          <w:sz w:val="24"/>
          <w:szCs w:val="24"/>
          <w:u w:val="single"/>
        </w:rPr>
        <w:t>招标</w:t>
      </w:r>
      <w:r>
        <w:rPr>
          <w:rFonts w:hint="eastAsia" w:ascii="宋体" w:hAnsi="宋体" w:cs="宋体"/>
          <w:bCs/>
          <w:color w:val="000000"/>
          <w:sz w:val="24"/>
          <w:szCs w:val="24"/>
          <w:u w:val="single"/>
        </w:rPr>
        <w:t>文件文件以电子邮箱形式获取，投标供应商将《投标报名表》填写完成后发送至指定电子邮箱，代理机构工作人员在收到报名表及报名费后将及时通过电子邮箱向投标人发送</w:t>
      </w:r>
      <w:r>
        <w:rPr>
          <w:rFonts w:hint="eastAsia" w:ascii="宋体" w:hAnsi="宋体" w:cs="宋体"/>
          <w:color w:val="000000"/>
          <w:sz w:val="24"/>
          <w:szCs w:val="24"/>
          <w:u w:val="single"/>
        </w:rPr>
        <w:t>招标</w:t>
      </w:r>
      <w:r>
        <w:rPr>
          <w:rFonts w:hint="eastAsia" w:ascii="宋体" w:hAnsi="宋体" w:cs="宋体"/>
          <w:bCs/>
          <w:color w:val="000000"/>
          <w:sz w:val="24"/>
          <w:szCs w:val="24"/>
          <w:u w:val="single"/>
        </w:rPr>
        <w:t>文件，同时报名完成，届时请注意查收。（报名表格式自拟，内容须包含：项目名称、投标人名称、地址、投标代表姓名、联系电话、电子邮箱。并须加盖投标人公章。报名事宜如有疑问请联系工作人员，联系方式为：18672929825）</w:t>
      </w:r>
    </w:p>
    <w:p>
      <w:pPr>
        <w:spacing w:line="440" w:lineRule="exact"/>
        <w:ind w:firstLine="540"/>
        <w:rPr>
          <w:rFonts w:ascii="宋体" w:hAnsi="宋体" w:cs="宋体"/>
          <w:color w:val="000000"/>
          <w:sz w:val="24"/>
          <w:szCs w:val="24"/>
          <w:u w:val="single"/>
        </w:rPr>
      </w:pPr>
      <w:r>
        <w:rPr>
          <w:rFonts w:hint="eastAsia" w:ascii="宋体" w:hAnsi="宋体" w:cs="宋体"/>
          <w:color w:val="000000"/>
          <w:sz w:val="24"/>
          <w:szCs w:val="24"/>
        </w:rPr>
        <w:t>售价：</w:t>
      </w:r>
      <w:r>
        <w:rPr>
          <w:rFonts w:ascii="宋体" w:hAnsi="宋体" w:cs="宋体"/>
          <w:color w:val="000000"/>
          <w:sz w:val="24"/>
          <w:szCs w:val="24"/>
          <w:u w:val="single"/>
        </w:rPr>
        <w:t>300</w:t>
      </w:r>
      <w:r>
        <w:rPr>
          <w:rFonts w:hint="eastAsia" w:ascii="宋体" w:hAnsi="宋体" w:cs="宋体"/>
          <w:color w:val="000000"/>
          <w:sz w:val="24"/>
          <w:szCs w:val="24"/>
          <w:u w:val="single"/>
        </w:rPr>
        <w:t>元（人民币）</w:t>
      </w:r>
    </w:p>
    <w:p>
      <w:pPr>
        <w:pStyle w:val="4"/>
        <w:spacing w:before="0" w:after="0" w:line="440" w:lineRule="exact"/>
        <w:rPr>
          <w:rFonts w:ascii="宋体" w:hAnsi="宋体" w:cs="宋体"/>
          <w:color w:val="000000"/>
          <w:sz w:val="24"/>
          <w:szCs w:val="24"/>
        </w:rPr>
      </w:pPr>
      <w:bookmarkStart w:id="15" w:name="_Toc28359092"/>
      <w:bookmarkStart w:id="16" w:name="_Toc35393801"/>
      <w:bookmarkStart w:id="17" w:name="_Toc28359015"/>
      <w:bookmarkStart w:id="18" w:name="_Toc35393632"/>
      <w:r>
        <w:rPr>
          <w:rFonts w:hint="eastAsia" w:ascii="宋体" w:hAnsi="宋体" w:cs="宋体"/>
          <w:color w:val="000000"/>
          <w:sz w:val="24"/>
          <w:szCs w:val="24"/>
        </w:rPr>
        <w:t>四、</w:t>
      </w:r>
      <w:bookmarkEnd w:id="15"/>
      <w:bookmarkEnd w:id="16"/>
      <w:bookmarkEnd w:id="17"/>
      <w:bookmarkEnd w:id="18"/>
      <w:r>
        <w:rPr>
          <w:rFonts w:hint="eastAsia" w:ascii="宋体" w:hAnsi="宋体" w:cs="宋体"/>
          <w:color w:val="000000"/>
          <w:sz w:val="24"/>
          <w:szCs w:val="24"/>
        </w:rPr>
        <w:t>提交投标文件截止时间、开标时间和地点</w:t>
      </w:r>
    </w:p>
    <w:p>
      <w:pPr>
        <w:spacing w:line="440" w:lineRule="exact"/>
        <w:ind w:firstLine="480" w:firstLineChars="200"/>
        <w:rPr>
          <w:rFonts w:ascii="宋体" w:hAnsi="宋体"/>
          <w:b/>
          <w:bCs/>
          <w:color w:val="000000"/>
          <w:sz w:val="24"/>
          <w:szCs w:val="24"/>
          <w:u w:val="single"/>
        </w:rPr>
      </w:pPr>
      <w:r>
        <w:rPr>
          <w:rFonts w:hint="eastAsia" w:ascii="宋体" w:hAnsi="宋体"/>
          <w:b/>
          <w:bCs/>
          <w:color w:val="000000"/>
          <w:sz w:val="24"/>
          <w:szCs w:val="24"/>
        </w:rPr>
        <w:t>时间：</w:t>
      </w:r>
      <w:r>
        <w:rPr>
          <w:rFonts w:hint="eastAsia" w:ascii="宋体" w:hAnsi="宋体"/>
          <w:b/>
          <w:bCs/>
          <w:color w:val="000000"/>
          <w:sz w:val="24"/>
          <w:szCs w:val="24"/>
          <w:u w:val="single"/>
        </w:rPr>
        <w:t>202</w:t>
      </w:r>
      <w:r>
        <w:rPr>
          <w:rFonts w:ascii="宋体" w:hAnsi="宋体"/>
          <w:b/>
          <w:bCs/>
          <w:color w:val="000000"/>
          <w:sz w:val="24"/>
          <w:szCs w:val="24"/>
          <w:u w:val="single"/>
        </w:rPr>
        <w:t>2</w:t>
      </w:r>
      <w:r>
        <w:rPr>
          <w:rFonts w:hint="eastAsia" w:ascii="宋体" w:hAnsi="宋体"/>
          <w:b/>
          <w:bCs/>
          <w:color w:val="000000"/>
          <w:sz w:val="24"/>
          <w:szCs w:val="24"/>
          <w:u w:val="single"/>
        </w:rPr>
        <w:t>年</w:t>
      </w:r>
      <w:r>
        <w:rPr>
          <w:rFonts w:hint="default" w:ascii="宋体" w:hAnsi="宋体"/>
          <w:b/>
          <w:bCs/>
          <w:color w:val="000000"/>
          <w:sz w:val="24"/>
          <w:szCs w:val="24"/>
          <w:u w:val="single"/>
        </w:rPr>
        <w:t>6</w:t>
      </w:r>
      <w:r>
        <w:rPr>
          <w:rFonts w:hint="eastAsia" w:ascii="宋体" w:hAnsi="宋体"/>
          <w:b/>
          <w:bCs/>
          <w:color w:val="000000"/>
          <w:sz w:val="24"/>
          <w:szCs w:val="24"/>
          <w:u w:val="single"/>
        </w:rPr>
        <w:t>月</w:t>
      </w:r>
      <w:r>
        <w:rPr>
          <w:rFonts w:hint="default" w:ascii="宋体" w:hAnsi="宋体"/>
          <w:b/>
          <w:bCs/>
          <w:color w:val="000000"/>
          <w:sz w:val="24"/>
          <w:szCs w:val="24"/>
          <w:u w:val="single"/>
        </w:rPr>
        <w:t>20</w:t>
      </w:r>
      <w:r>
        <w:rPr>
          <w:rFonts w:hint="eastAsia" w:ascii="宋体" w:hAnsi="宋体"/>
          <w:b/>
          <w:bCs/>
          <w:color w:val="000000"/>
          <w:sz w:val="24"/>
          <w:szCs w:val="24"/>
          <w:u w:val="single"/>
        </w:rPr>
        <w:t>日</w:t>
      </w:r>
      <w:r>
        <w:rPr>
          <w:rFonts w:hint="default" w:ascii="宋体" w:hAnsi="宋体"/>
          <w:b/>
          <w:bCs/>
          <w:color w:val="000000"/>
          <w:sz w:val="24"/>
          <w:szCs w:val="24"/>
          <w:u w:val="single"/>
        </w:rPr>
        <w:t>09</w:t>
      </w:r>
      <w:r>
        <w:rPr>
          <w:rFonts w:hint="eastAsia" w:ascii="宋体" w:hAnsi="宋体"/>
          <w:b/>
          <w:bCs/>
          <w:color w:val="000000"/>
          <w:sz w:val="24"/>
          <w:szCs w:val="24"/>
          <w:u w:val="single"/>
        </w:rPr>
        <w:t>点</w:t>
      </w:r>
      <w:r>
        <w:rPr>
          <w:rFonts w:hint="eastAsia" w:ascii="宋体" w:hAnsi="宋体"/>
          <w:b/>
          <w:bCs/>
          <w:color w:val="000000"/>
          <w:sz w:val="24"/>
          <w:szCs w:val="24"/>
          <w:u w:val="single"/>
        </w:rPr>
        <w:t>30分</w:t>
      </w:r>
      <w:r>
        <w:rPr>
          <w:rFonts w:hint="eastAsia" w:ascii="宋体" w:hAnsi="宋体"/>
          <w:b/>
          <w:bCs/>
          <w:color w:val="000000"/>
          <w:sz w:val="24"/>
          <w:szCs w:val="24"/>
        </w:rPr>
        <w:t>（北京时间）</w:t>
      </w:r>
    </w:p>
    <w:p>
      <w:pPr>
        <w:spacing w:line="440" w:lineRule="exact"/>
        <w:ind w:firstLine="480" w:firstLineChars="200"/>
        <w:rPr>
          <w:rFonts w:ascii="宋体" w:hAnsi="宋体"/>
          <w:bCs/>
          <w:color w:val="000000"/>
          <w:sz w:val="24"/>
          <w:szCs w:val="24"/>
          <w:u w:val="single"/>
        </w:rPr>
      </w:pPr>
      <w:r>
        <w:rPr>
          <w:rFonts w:hint="eastAsia" w:ascii="宋体" w:hAnsi="宋体"/>
          <w:b/>
          <w:bCs/>
          <w:color w:val="000000"/>
          <w:sz w:val="24"/>
          <w:szCs w:val="24"/>
        </w:rPr>
        <w:t>地点：</w:t>
      </w:r>
      <w:r>
        <w:rPr>
          <w:rFonts w:hint="eastAsia" w:ascii="宋体" w:hAnsi="宋体"/>
          <w:b/>
          <w:bCs/>
          <w:color w:val="000000"/>
          <w:sz w:val="24"/>
          <w:szCs w:val="24"/>
          <w:u w:val="single"/>
        </w:rPr>
        <w:t>武汉市武昌区友谊大道与才茂街交汇处万科金域华府商业中心B座7楼湖北建信建设工程咨询有限公司会议室</w:t>
      </w:r>
    </w:p>
    <w:p>
      <w:pPr>
        <w:pStyle w:val="4"/>
        <w:spacing w:before="0" w:after="0" w:line="440" w:lineRule="exact"/>
        <w:rPr>
          <w:rFonts w:ascii="宋体" w:hAnsi="宋体" w:cs="宋体"/>
          <w:color w:val="000000"/>
          <w:sz w:val="24"/>
          <w:szCs w:val="24"/>
        </w:rPr>
      </w:pPr>
      <w:bookmarkStart w:id="19" w:name="_Toc28359093"/>
      <w:bookmarkStart w:id="20" w:name="_Toc35393802"/>
      <w:bookmarkStart w:id="21" w:name="_Toc35393633"/>
      <w:bookmarkStart w:id="22" w:name="_Toc28359016"/>
      <w:r>
        <w:rPr>
          <w:rFonts w:hint="eastAsia" w:ascii="宋体" w:hAnsi="宋体" w:cs="宋体"/>
          <w:color w:val="000000"/>
          <w:sz w:val="24"/>
          <w:szCs w:val="24"/>
        </w:rPr>
        <w:t>五、</w:t>
      </w:r>
      <w:bookmarkEnd w:id="19"/>
      <w:bookmarkEnd w:id="20"/>
      <w:bookmarkEnd w:id="21"/>
      <w:bookmarkEnd w:id="22"/>
      <w:bookmarkStart w:id="23" w:name="_Toc28359017"/>
      <w:bookmarkStart w:id="24" w:name="_Toc35393803"/>
      <w:bookmarkStart w:id="25" w:name="_Toc28359094"/>
      <w:bookmarkStart w:id="26" w:name="_Toc35393634"/>
      <w:r>
        <w:rPr>
          <w:rFonts w:hint="eastAsia" w:ascii="宋体" w:hAnsi="宋体" w:cs="宋体"/>
          <w:color w:val="000000"/>
          <w:sz w:val="24"/>
          <w:szCs w:val="24"/>
        </w:rPr>
        <w:t>公告期限</w:t>
      </w:r>
      <w:bookmarkEnd w:id="23"/>
      <w:bookmarkEnd w:id="24"/>
      <w:bookmarkEnd w:id="25"/>
      <w:bookmarkEnd w:id="26"/>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自本公告发布之日起5个工作日。</w:t>
      </w:r>
    </w:p>
    <w:p>
      <w:pPr>
        <w:pStyle w:val="4"/>
        <w:numPr>
          <w:ilvl w:val="0"/>
          <w:numId w:val="5"/>
        </w:numPr>
        <w:spacing w:before="0" w:after="0" w:line="440" w:lineRule="exact"/>
        <w:rPr>
          <w:rFonts w:ascii="宋体" w:hAnsi="宋体" w:cs="宋体"/>
          <w:color w:val="000000"/>
          <w:sz w:val="24"/>
          <w:szCs w:val="24"/>
        </w:rPr>
      </w:pPr>
      <w:bookmarkStart w:id="27" w:name="_Toc35393804"/>
      <w:bookmarkStart w:id="28" w:name="_Toc35393635"/>
      <w:r>
        <w:rPr>
          <w:rFonts w:hint="eastAsia" w:ascii="宋体" w:hAnsi="宋体" w:cs="宋体"/>
          <w:color w:val="000000"/>
          <w:sz w:val="24"/>
          <w:szCs w:val="24"/>
        </w:rPr>
        <w:t>其他补充事宜</w:t>
      </w:r>
      <w:bookmarkEnd w:id="27"/>
      <w:bookmarkEnd w:id="28"/>
      <w:r>
        <w:rPr>
          <w:rFonts w:hint="eastAsia" w:ascii="宋体" w:hAnsi="宋体" w:cs="宋体"/>
          <w:color w:val="000000"/>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 </w:t>
      </w:r>
      <w:r>
        <w:rPr>
          <w:rFonts w:hint="eastAsia" w:ascii="宋体" w:hAnsi="宋体" w:cs="宋体"/>
          <w:sz w:val="24"/>
          <w:szCs w:val="24"/>
        </w:rPr>
        <w:t>代理机构专用账户：</w:t>
      </w:r>
    </w:p>
    <w:p>
      <w:pPr>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收款单位：湖北建信建设工程咨询有限公司</w:t>
      </w:r>
    </w:p>
    <w:p>
      <w:pPr>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开户银行：汉口银行黄鹤楼支行</w:t>
      </w:r>
    </w:p>
    <w:p>
      <w:pPr>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帐    号：015011000125864</w:t>
      </w:r>
    </w:p>
    <w:p>
      <w:pPr>
        <w:pStyle w:val="4"/>
        <w:spacing w:before="0" w:after="0" w:line="440" w:lineRule="exact"/>
        <w:rPr>
          <w:rFonts w:ascii="宋体" w:hAnsi="宋体" w:cs="宋体"/>
          <w:color w:val="000000"/>
          <w:sz w:val="24"/>
          <w:szCs w:val="24"/>
          <w:u w:val="single"/>
        </w:rPr>
      </w:pPr>
      <w:r>
        <w:rPr>
          <w:rFonts w:hint="eastAsia" w:ascii="宋体" w:hAnsi="宋体" w:cs="宋体"/>
          <w:sz w:val="24"/>
          <w:szCs w:val="24"/>
        </w:rPr>
        <w:t xml:space="preserve">  </w:t>
      </w:r>
      <w:r>
        <w:rPr>
          <w:rFonts w:hint="eastAsia" w:ascii="宋体" w:hAnsi="宋体" w:cs="宋体"/>
          <w:b w:val="0"/>
          <w:bCs w:val="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rPr>
        <w:t>行    号：890154</w:t>
      </w:r>
    </w:p>
    <w:p>
      <w:pPr>
        <w:pStyle w:val="4"/>
        <w:spacing w:before="0" w:after="0" w:line="440" w:lineRule="exact"/>
        <w:rPr>
          <w:rFonts w:ascii="宋体" w:hAnsi="宋体" w:cs="宋体"/>
          <w:color w:val="000000"/>
          <w:sz w:val="24"/>
          <w:szCs w:val="24"/>
        </w:rPr>
      </w:pPr>
      <w:bookmarkStart w:id="29" w:name="_Toc35393636"/>
      <w:bookmarkStart w:id="30" w:name="_Toc28359018"/>
      <w:bookmarkStart w:id="31" w:name="_Toc28359095"/>
      <w:bookmarkStart w:id="32" w:name="_Toc35393805"/>
      <w:r>
        <w:rPr>
          <w:rFonts w:hint="eastAsia" w:ascii="宋体" w:hAnsi="宋体" w:cs="宋体"/>
          <w:color w:val="000000"/>
          <w:sz w:val="24"/>
          <w:szCs w:val="24"/>
        </w:rPr>
        <w:t>八、凡对本次采购提出询问，请按</w:t>
      </w:r>
      <w:r>
        <w:rPr>
          <w:rFonts w:ascii="宋体" w:hAnsi="宋体" w:cs="宋体"/>
          <w:color w:val="000000"/>
          <w:sz w:val="24"/>
          <w:szCs w:val="24"/>
        </w:rPr>
        <w:t>以下方式</w:t>
      </w:r>
      <w:r>
        <w:rPr>
          <w:rFonts w:hint="eastAsia" w:ascii="宋体" w:hAnsi="宋体" w:cs="宋体"/>
          <w:color w:val="000000"/>
          <w:sz w:val="24"/>
          <w:szCs w:val="24"/>
        </w:rPr>
        <w:t>联系。</w:t>
      </w:r>
      <w:bookmarkEnd w:id="29"/>
      <w:bookmarkEnd w:id="30"/>
      <w:bookmarkEnd w:id="31"/>
      <w:bookmarkEnd w:id="32"/>
    </w:p>
    <w:p>
      <w:pPr>
        <w:spacing w:line="440" w:lineRule="exact"/>
        <w:rPr>
          <w:color w:val="000000"/>
          <w:sz w:val="24"/>
          <w:szCs w:val="24"/>
        </w:rPr>
      </w:pPr>
      <w:bookmarkStart w:id="33" w:name="_Toc35393806"/>
      <w:bookmarkStart w:id="34" w:name="_Toc28359019"/>
      <w:bookmarkStart w:id="35" w:name="_Toc28359096"/>
      <w:bookmarkStart w:id="36" w:name="_Toc35393637"/>
      <w:r>
        <w:rPr>
          <w:rFonts w:hint="eastAsia"/>
          <w:color w:val="000000"/>
          <w:sz w:val="24"/>
          <w:szCs w:val="24"/>
        </w:rPr>
        <w:t>1、采购人信息</w:t>
      </w:r>
      <w:bookmarkEnd w:id="33"/>
      <w:bookmarkEnd w:id="34"/>
      <w:bookmarkEnd w:id="35"/>
      <w:bookmarkEnd w:id="36"/>
    </w:p>
    <w:p>
      <w:pPr>
        <w:spacing w:line="440" w:lineRule="exact"/>
        <w:ind w:left="1079" w:leftChars="371" w:hanging="300" w:hangingChars="125"/>
        <w:rPr>
          <w:rFonts w:asciiTheme="minorEastAsia" w:hAnsiTheme="minorEastAsia" w:eastAsiaTheme="minorEastAsia"/>
          <w:color w:val="000000" w:themeColor="text1"/>
          <w:sz w:val="24"/>
          <w:szCs w:val="24"/>
          <w:u w:val="single"/>
        </w:rPr>
      </w:pPr>
      <w:r>
        <w:rPr>
          <w:rFonts w:hint="eastAsia" w:ascii="宋体" w:hAnsi="宋体"/>
          <w:color w:val="000000"/>
          <w:sz w:val="24"/>
          <w:szCs w:val="24"/>
        </w:rPr>
        <w:t>名    称：</w:t>
      </w:r>
      <w:r>
        <w:rPr>
          <w:rFonts w:asciiTheme="minorEastAsia" w:hAnsiTheme="minorEastAsia" w:eastAsiaTheme="minorEastAsia"/>
          <w:color w:val="000000" w:themeColor="text1"/>
          <w:sz w:val="24"/>
          <w:szCs w:val="24"/>
          <w:u w:val="single"/>
        </w:rPr>
        <w:t>湖北</w:t>
      </w:r>
      <w:r>
        <w:rPr>
          <w:rFonts w:hint="eastAsia" w:asciiTheme="minorEastAsia" w:hAnsiTheme="minorEastAsia" w:eastAsiaTheme="minorEastAsia"/>
          <w:color w:val="000000" w:themeColor="text1"/>
          <w:sz w:val="24"/>
          <w:szCs w:val="24"/>
          <w:u w:val="single"/>
        </w:rPr>
        <w:t>大学知行学院</w:t>
      </w:r>
    </w:p>
    <w:p>
      <w:pPr>
        <w:spacing w:line="440" w:lineRule="exact"/>
        <w:ind w:left="1079" w:leftChars="371" w:hanging="300" w:hangingChars="12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地    址：</w:t>
      </w:r>
      <w:r>
        <w:rPr>
          <w:rFonts w:hint="eastAsia" w:asciiTheme="minorEastAsia" w:hAnsiTheme="minorEastAsia" w:eastAsiaTheme="minorEastAsia"/>
          <w:color w:val="000000" w:themeColor="text1"/>
          <w:sz w:val="24"/>
          <w:szCs w:val="24"/>
          <w:u w:val="single"/>
        </w:rPr>
        <w:t>武汉市江岸区谌家矶街兴盛大道特1号</w:t>
      </w:r>
    </w:p>
    <w:p>
      <w:pPr>
        <w:spacing w:line="440" w:lineRule="exact"/>
        <w:ind w:left="1079" w:leftChars="371" w:hanging="300" w:hangingChars="125"/>
        <w:rPr>
          <w:rFonts w:asciiTheme="minorEastAsia" w:hAnsiTheme="minorEastAsia" w:eastAsiaTheme="minorEastAsia"/>
          <w:color w:val="000000" w:themeColor="text1"/>
          <w:sz w:val="24"/>
          <w:szCs w:val="24"/>
          <w:u w:val="single"/>
        </w:rPr>
      </w:pPr>
      <w:r>
        <w:rPr>
          <w:rFonts w:hint="eastAsia" w:asciiTheme="minorEastAsia" w:hAnsiTheme="minorEastAsia" w:eastAsiaTheme="minorEastAsia"/>
          <w:color w:val="000000" w:themeColor="text1"/>
          <w:sz w:val="24"/>
          <w:szCs w:val="24"/>
        </w:rPr>
        <w:t>联 系 人：</w:t>
      </w:r>
      <w:r>
        <w:rPr>
          <w:rFonts w:hint="eastAsia" w:asciiTheme="minorEastAsia" w:hAnsiTheme="minorEastAsia" w:eastAsiaTheme="minorEastAsia"/>
          <w:color w:val="000000" w:themeColor="text1"/>
          <w:sz w:val="24"/>
          <w:szCs w:val="24"/>
          <w:u w:val="single"/>
        </w:rPr>
        <w:t>程敏</w:t>
      </w:r>
      <w:r>
        <w:rPr>
          <w:rFonts w:hint="eastAsia" w:asciiTheme="minorEastAsia" w:hAnsiTheme="minorEastAsia" w:eastAsiaTheme="minorEastAsia"/>
          <w:color w:val="000000" w:themeColor="text1"/>
          <w:sz w:val="24"/>
          <w:szCs w:val="24"/>
        </w:rPr>
        <w:t xml:space="preserve">    </w:t>
      </w:r>
    </w:p>
    <w:p>
      <w:pPr>
        <w:spacing w:line="440" w:lineRule="exact"/>
        <w:ind w:left="1079" w:leftChars="371" w:hanging="300" w:hangingChars="125"/>
        <w:rPr>
          <w:rFonts w:ascii="宋体" w:hAnsi="宋体"/>
          <w:color w:val="000000"/>
          <w:sz w:val="24"/>
          <w:szCs w:val="24"/>
          <w:u w:val="single"/>
        </w:rPr>
      </w:pPr>
      <w:r>
        <w:rPr>
          <w:rFonts w:hint="eastAsia" w:asciiTheme="minorEastAsia" w:hAnsiTheme="minorEastAsia" w:eastAsiaTheme="minorEastAsia"/>
          <w:color w:val="000000" w:themeColor="text1"/>
          <w:sz w:val="24"/>
          <w:szCs w:val="24"/>
        </w:rPr>
        <w:t>联系方式：</w:t>
      </w:r>
      <w:r>
        <w:rPr>
          <w:rFonts w:hint="eastAsia" w:asciiTheme="minorEastAsia" w:hAnsiTheme="minorEastAsia" w:eastAsiaTheme="minorEastAsia"/>
          <w:color w:val="000000" w:themeColor="text1"/>
          <w:sz w:val="24"/>
          <w:szCs w:val="24"/>
          <w:u w:val="single"/>
        </w:rPr>
        <w:t>027-82352397</w:t>
      </w:r>
    </w:p>
    <w:p>
      <w:pPr>
        <w:spacing w:line="440" w:lineRule="exact"/>
        <w:rPr>
          <w:color w:val="000000"/>
          <w:sz w:val="24"/>
          <w:szCs w:val="24"/>
        </w:rPr>
      </w:pPr>
      <w:bookmarkStart w:id="37" w:name="_Toc35393638"/>
      <w:bookmarkStart w:id="38" w:name="_Toc28359020"/>
      <w:bookmarkStart w:id="39" w:name="_Toc28359097"/>
      <w:bookmarkStart w:id="40" w:name="_Toc35393807"/>
      <w:r>
        <w:rPr>
          <w:rFonts w:hint="eastAsia"/>
          <w:color w:val="000000"/>
          <w:sz w:val="24"/>
          <w:szCs w:val="24"/>
        </w:rPr>
        <w:t>2、采购代理机构信息</w:t>
      </w:r>
      <w:bookmarkEnd w:id="37"/>
      <w:bookmarkEnd w:id="38"/>
      <w:bookmarkEnd w:id="39"/>
      <w:bookmarkEnd w:id="40"/>
    </w:p>
    <w:p>
      <w:pPr>
        <w:spacing w:line="440" w:lineRule="exact"/>
        <w:ind w:firstLine="720" w:firstLineChars="300"/>
        <w:rPr>
          <w:rFonts w:ascii="宋体" w:hAnsi="宋体"/>
          <w:color w:val="000000"/>
          <w:sz w:val="24"/>
          <w:szCs w:val="24"/>
        </w:rPr>
      </w:pPr>
      <w:r>
        <w:rPr>
          <w:rFonts w:hint="eastAsia" w:ascii="宋体" w:hAnsi="宋体"/>
          <w:color w:val="000000"/>
          <w:sz w:val="24"/>
          <w:szCs w:val="24"/>
        </w:rPr>
        <w:t>名    称：</w:t>
      </w:r>
      <w:r>
        <w:rPr>
          <w:rFonts w:hint="eastAsia" w:ascii="宋体" w:hAnsi="宋体"/>
          <w:color w:val="000000"/>
          <w:sz w:val="24"/>
          <w:szCs w:val="24"/>
          <w:u w:val="single"/>
        </w:rPr>
        <w:t>湖北建信建设工程咨询有限公司</w:t>
      </w:r>
    </w:p>
    <w:p>
      <w:pPr>
        <w:spacing w:line="440" w:lineRule="exact"/>
        <w:ind w:firstLine="720" w:firstLineChars="300"/>
        <w:rPr>
          <w:rFonts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武汉市武昌区友谊大道与才茂街交汇处万科金域华府商业中心B座7楼（由武汉诚邦MO酒店大堂坐电梯）</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 xml:space="preserve">  联 系 人：</w:t>
      </w:r>
      <w:r>
        <w:rPr>
          <w:rFonts w:hint="eastAsia" w:asciiTheme="minorEastAsia" w:hAnsiTheme="minorEastAsia" w:eastAsiaTheme="minorEastAsia"/>
          <w:color w:val="000000" w:themeColor="text1"/>
          <w:sz w:val="24"/>
          <w:szCs w:val="24"/>
          <w:u w:val="single"/>
        </w:rPr>
        <w:t>魏峥、李佳龙</w:t>
      </w:r>
      <w:r>
        <w:rPr>
          <w:rFonts w:hint="eastAsia" w:ascii="宋体" w:hAnsi="宋体"/>
          <w:color w:val="000000"/>
          <w:sz w:val="24"/>
          <w:szCs w:val="24"/>
          <w:u w:val="single"/>
        </w:rPr>
        <w:t xml:space="preserve"> </w:t>
      </w:r>
    </w:p>
    <w:p>
      <w:pPr>
        <w:spacing w:line="440" w:lineRule="exact"/>
        <w:ind w:firstLine="720" w:firstLineChars="300"/>
        <w:rPr>
          <w:rFonts w:ascii="宋体" w:hAnsi="宋体"/>
          <w:color w:val="000000"/>
          <w:sz w:val="24"/>
          <w:szCs w:val="24"/>
          <w:u w:val="single"/>
        </w:rPr>
      </w:pPr>
      <w:r>
        <w:rPr>
          <w:rFonts w:hint="eastAsia" w:ascii="宋体" w:hAnsi="宋体"/>
          <w:color w:val="000000"/>
          <w:sz w:val="24"/>
          <w:szCs w:val="24"/>
        </w:rPr>
        <w:t>联系方式：</w:t>
      </w:r>
      <w:r>
        <w:rPr>
          <w:rFonts w:hint="eastAsia" w:asciiTheme="minorEastAsia" w:hAnsiTheme="minorEastAsia" w:eastAsiaTheme="minorEastAsia"/>
          <w:color w:val="000000" w:themeColor="text1"/>
          <w:sz w:val="24"/>
          <w:szCs w:val="24"/>
          <w:u w:val="single"/>
        </w:rPr>
        <w:t>027-88915940、</w:t>
      </w:r>
      <w:r>
        <w:rPr>
          <w:rFonts w:asciiTheme="minorEastAsia" w:hAnsiTheme="minorEastAsia" w:eastAsiaTheme="minorEastAsia"/>
          <w:color w:val="000000" w:themeColor="text1"/>
          <w:sz w:val="24"/>
          <w:szCs w:val="24"/>
          <w:u w:val="single"/>
        </w:rPr>
        <w:t>18672929825</w:t>
      </w:r>
    </w:p>
    <w:p>
      <w:pPr>
        <w:spacing w:line="440" w:lineRule="exact"/>
        <w:rPr>
          <w:color w:val="000000"/>
          <w:sz w:val="24"/>
          <w:szCs w:val="24"/>
        </w:rPr>
      </w:pPr>
      <w:bookmarkStart w:id="41" w:name="_Toc35393808"/>
      <w:bookmarkStart w:id="42" w:name="_Toc28359021"/>
      <w:bookmarkStart w:id="43" w:name="_Toc35393639"/>
      <w:bookmarkStart w:id="44" w:name="_Toc28359098"/>
      <w:r>
        <w:rPr>
          <w:rFonts w:hint="eastAsia"/>
          <w:color w:val="000000"/>
          <w:sz w:val="24"/>
          <w:szCs w:val="24"/>
        </w:rPr>
        <w:t>3、项目联系</w:t>
      </w:r>
      <w:r>
        <w:rPr>
          <w:color w:val="000000"/>
          <w:sz w:val="24"/>
          <w:szCs w:val="24"/>
        </w:rPr>
        <w:t>方式</w:t>
      </w:r>
      <w:bookmarkEnd w:id="41"/>
      <w:bookmarkEnd w:id="42"/>
      <w:bookmarkEnd w:id="43"/>
      <w:bookmarkEnd w:id="44"/>
    </w:p>
    <w:p>
      <w:pPr>
        <w:spacing w:line="440" w:lineRule="exact"/>
        <w:rPr>
          <w:rFonts w:ascii="宋体" w:hAnsi="宋体"/>
          <w:color w:val="000000"/>
          <w:sz w:val="24"/>
          <w:szCs w:val="24"/>
        </w:rPr>
      </w:pPr>
      <w:r>
        <w:rPr>
          <w:rFonts w:hint="eastAsia" w:ascii="宋体" w:hAnsi="宋体"/>
          <w:color w:val="000000"/>
          <w:sz w:val="24"/>
          <w:szCs w:val="24"/>
        </w:rPr>
        <w:t xml:space="preserve">      项目联系人：</w:t>
      </w:r>
      <w:r>
        <w:rPr>
          <w:rFonts w:hint="eastAsia" w:asciiTheme="minorEastAsia" w:hAnsiTheme="minorEastAsia" w:eastAsiaTheme="minorEastAsia"/>
          <w:color w:val="000000" w:themeColor="text1"/>
          <w:sz w:val="24"/>
          <w:szCs w:val="24"/>
          <w:u w:val="single"/>
        </w:rPr>
        <w:t>魏峥、李佳龙</w:t>
      </w:r>
    </w:p>
    <w:p>
      <w:pPr>
        <w:spacing w:line="440" w:lineRule="exact"/>
        <w:rPr>
          <w:rFonts w:ascii="宋体" w:hAnsi="宋体"/>
          <w:color w:val="000000"/>
          <w:sz w:val="24"/>
          <w:szCs w:val="24"/>
        </w:rPr>
      </w:pPr>
      <w:r>
        <w:rPr>
          <w:rFonts w:hint="eastAsia" w:ascii="宋体" w:hAnsi="宋体"/>
          <w:color w:val="000000"/>
          <w:sz w:val="24"/>
          <w:szCs w:val="24"/>
        </w:rPr>
        <w:t xml:space="preserve">      电　　  话：</w:t>
      </w:r>
      <w:r>
        <w:rPr>
          <w:rFonts w:hint="eastAsia" w:asciiTheme="minorEastAsia" w:hAnsiTheme="minorEastAsia" w:eastAsiaTheme="minorEastAsia"/>
          <w:color w:val="000000" w:themeColor="text1"/>
          <w:sz w:val="24"/>
          <w:szCs w:val="24"/>
          <w:u w:val="single"/>
        </w:rPr>
        <w:t>027-88915940、</w:t>
      </w:r>
      <w:r>
        <w:rPr>
          <w:rFonts w:asciiTheme="minorEastAsia" w:hAnsiTheme="minorEastAsia" w:eastAsiaTheme="minorEastAsia"/>
          <w:color w:val="000000" w:themeColor="text1"/>
          <w:sz w:val="24"/>
          <w:szCs w:val="24"/>
          <w:u w:val="single"/>
        </w:rPr>
        <w:t>18672929825</w:t>
      </w:r>
    </w:p>
    <w:p>
      <w:pPr>
        <w:pStyle w:val="59"/>
        <w:framePr w:wrap="auto" w:vAnchor="margin" w:hAnchor="text" w:yAlign="inline"/>
        <w:spacing w:line="360" w:lineRule="auto"/>
        <w:rPr>
          <w:rFonts w:ascii="宋体" w:hAnsi="宋体" w:cs="宋体"/>
          <w:bCs/>
          <w:kern w:val="0"/>
          <w:sz w:val="24"/>
          <w:szCs w:val="24"/>
        </w:rPr>
      </w:pPr>
    </w:p>
    <w:p>
      <w:pPr>
        <w:pStyle w:val="59"/>
        <w:framePr w:wrap="auto" w:vAnchor="margin" w:hAnchor="text" w:yAlign="inline"/>
        <w:spacing w:line="360" w:lineRule="auto"/>
        <w:rPr>
          <w:rFonts w:ascii="宋体" w:hAnsi="宋体" w:cs="宋体"/>
          <w:bCs/>
          <w:kern w:val="0"/>
          <w:sz w:val="24"/>
          <w:szCs w:val="24"/>
        </w:rPr>
      </w:pPr>
    </w:p>
    <w:p>
      <w:pPr>
        <w:pStyle w:val="59"/>
        <w:framePr w:wrap="auto" w:vAnchor="margin" w:hAnchor="text" w:yAlign="inline"/>
        <w:spacing w:line="360" w:lineRule="auto"/>
        <w:rPr>
          <w:rFonts w:ascii="宋体" w:hAnsi="宋体" w:cs="宋体"/>
          <w:bCs/>
          <w:kern w:val="0"/>
          <w:sz w:val="24"/>
          <w:szCs w:val="24"/>
        </w:rPr>
      </w:pPr>
    </w:p>
    <w:p>
      <w:pPr>
        <w:pStyle w:val="59"/>
        <w:framePr w:wrap="auto" w:vAnchor="margin" w:hAnchor="text" w:yAlign="inline"/>
        <w:spacing w:line="360" w:lineRule="auto"/>
        <w:rPr>
          <w:rFonts w:ascii="宋体" w:hAnsi="宋体" w:cs="宋体"/>
          <w:bCs/>
          <w:kern w:val="0"/>
          <w:sz w:val="24"/>
          <w:szCs w:val="24"/>
        </w:rPr>
      </w:pPr>
    </w:p>
    <w:p>
      <w:pPr>
        <w:pStyle w:val="3"/>
        <w:numPr>
          <w:ilvl w:val="0"/>
          <w:numId w:val="4"/>
        </w:numPr>
        <w:spacing w:before="240" w:after="120"/>
        <w:ind w:left="883" w:hanging="881" w:hangingChars="200"/>
        <w:jc w:val="center"/>
        <w:rPr>
          <w:rFonts w:ascii="黑体" w:hAnsi="黑体" w:eastAsia="黑体"/>
          <w:color w:val="000000"/>
        </w:rPr>
      </w:pPr>
      <w:bookmarkStart w:id="45" w:name="_Toc511894493"/>
      <w:bookmarkStart w:id="46" w:name="_Toc2252867"/>
      <w:bookmarkStart w:id="47" w:name="_Toc511889415"/>
      <w:r>
        <w:rPr>
          <w:rFonts w:hint="eastAsia" w:ascii="黑体" w:hAnsi="黑体" w:eastAsia="黑体"/>
          <w:color w:val="000000"/>
        </w:rPr>
        <w:t>投标人须知</w:t>
      </w:r>
      <w:bookmarkEnd w:id="45"/>
      <w:bookmarkEnd w:id="46"/>
      <w:bookmarkEnd w:id="47"/>
    </w:p>
    <w:p>
      <w:pPr>
        <w:keepNext/>
        <w:keepLines/>
        <w:spacing w:line="360" w:lineRule="auto"/>
        <w:jc w:val="center"/>
        <w:outlineLvl w:val="1"/>
        <w:rPr>
          <w:rFonts w:ascii="宋体"/>
          <w:b/>
          <w:bCs/>
          <w:color w:val="000000"/>
          <w:sz w:val="32"/>
          <w:szCs w:val="32"/>
        </w:rPr>
      </w:pPr>
      <w:bookmarkStart w:id="48" w:name="_Toc511889416"/>
      <w:bookmarkStart w:id="49" w:name="_Toc511894494"/>
      <w:bookmarkStart w:id="50" w:name="_Toc2252868"/>
      <w:r>
        <w:rPr>
          <w:rFonts w:hint="eastAsia" w:ascii="宋体" w:hAnsi="宋体"/>
          <w:b/>
          <w:bCs/>
          <w:color w:val="000000"/>
          <w:sz w:val="32"/>
          <w:szCs w:val="32"/>
        </w:rPr>
        <w:t>投标须知前附表</w:t>
      </w:r>
      <w:bookmarkEnd w:id="48"/>
      <w:bookmarkEnd w:id="49"/>
      <w:bookmarkEnd w:id="50"/>
    </w:p>
    <w:tbl>
      <w:tblPr>
        <w:tblStyle w:val="35"/>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2517"/>
        <w:gridCol w:w="6249"/>
      </w:tblGrid>
      <w:tr>
        <w:trPr>
          <w:trHeight w:val="510" w:hRule="atLeast"/>
        </w:trPr>
        <w:tc>
          <w:tcPr>
            <w:tcW w:w="588" w:type="dxa"/>
            <w:tcBorders>
              <w:top w:val="single" w:color="auto" w:sz="4" w:space="0"/>
              <w:bottom w:val="single" w:color="auto" w:sz="4" w:space="0"/>
              <w:right w:val="single" w:color="auto" w:sz="4" w:space="0"/>
            </w:tcBorders>
            <w:vAlign w:val="center"/>
          </w:tcPr>
          <w:p>
            <w:pPr>
              <w:ind w:left="-65" w:leftChars="-31" w:right="-80" w:rightChars="-38"/>
              <w:jc w:val="center"/>
              <w:rPr>
                <w:rFonts w:ascii="宋体"/>
                <w:b/>
                <w:color w:val="000000"/>
                <w:sz w:val="24"/>
                <w:szCs w:val="24"/>
              </w:rPr>
            </w:pPr>
            <w:r>
              <w:rPr>
                <w:rFonts w:hint="eastAsia" w:ascii="宋体" w:hAnsi="宋体"/>
                <w:b/>
                <w:color w:val="000000"/>
                <w:sz w:val="24"/>
                <w:szCs w:val="24"/>
              </w:rPr>
              <w:t>序号</w:t>
            </w:r>
          </w:p>
        </w:tc>
        <w:tc>
          <w:tcPr>
            <w:tcW w:w="2517" w:type="dxa"/>
            <w:tcBorders>
              <w:top w:val="single" w:color="auto" w:sz="4" w:space="0"/>
              <w:left w:val="single" w:color="auto" w:sz="4" w:space="0"/>
              <w:bottom w:val="single" w:color="auto" w:sz="4" w:space="0"/>
              <w:right w:val="single" w:color="auto" w:sz="4" w:space="0"/>
            </w:tcBorders>
            <w:vAlign w:val="center"/>
          </w:tcPr>
          <w:p>
            <w:pPr>
              <w:ind w:right="-11"/>
              <w:jc w:val="center"/>
              <w:rPr>
                <w:rFonts w:ascii="Times New Roman" w:hAnsi="Times New Roman"/>
                <w:b/>
                <w:color w:val="000000"/>
                <w:sz w:val="24"/>
                <w:szCs w:val="24"/>
              </w:rPr>
            </w:pPr>
            <w:r>
              <w:rPr>
                <w:rFonts w:hint="eastAsia" w:ascii="Times New Roman" w:hAnsi="宋体"/>
                <w:b/>
                <w:color w:val="000000"/>
                <w:sz w:val="24"/>
                <w:szCs w:val="24"/>
              </w:rPr>
              <w:t>名</w:t>
            </w:r>
            <w:r>
              <w:rPr>
                <w:rFonts w:ascii="Times New Roman" w:hAnsi="宋体"/>
                <w:b/>
                <w:color w:val="000000"/>
                <w:sz w:val="24"/>
                <w:szCs w:val="24"/>
              </w:rPr>
              <w:t xml:space="preserve">  </w:t>
            </w:r>
            <w:r>
              <w:rPr>
                <w:rFonts w:hint="eastAsia" w:ascii="Times New Roman" w:hAnsi="宋体"/>
                <w:b/>
                <w:color w:val="000000"/>
                <w:sz w:val="24"/>
                <w:szCs w:val="24"/>
              </w:rPr>
              <w:t>称</w:t>
            </w:r>
          </w:p>
        </w:tc>
        <w:tc>
          <w:tcPr>
            <w:tcW w:w="6249" w:type="dxa"/>
            <w:tcBorders>
              <w:top w:val="single" w:color="auto" w:sz="4" w:space="0"/>
              <w:left w:val="single" w:color="auto" w:sz="4" w:space="0"/>
              <w:bottom w:val="single" w:color="auto" w:sz="4" w:space="0"/>
            </w:tcBorders>
            <w:vAlign w:val="center"/>
          </w:tcPr>
          <w:p>
            <w:pPr>
              <w:ind w:left="57" w:right="57" w:firstLine="483" w:firstLineChars="201"/>
              <w:jc w:val="center"/>
              <w:rPr>
                <w:rFonts w:ascii="Times New Roman" w:hAnsi="Times New Roman"/>
                <w:b/>
                <w:color w:val="000000"/>
                <w:sz w:val="24"/>
                <w:szCs w:val="24"/>
              </w:rPr>
            </w:pPr>
            <w:r>
              <w:rPr>
                <w:rFonts w:hint="eastAsia" w:ascii="Times New Roman" w:hAnsi="宋体"/>
                <w:b/>
                <w:color w:val="000000"/>
                <w:sz w:val="24"/>
                <w:szCs w:val="24"/>
              </w:rPr>
              <w:t>内</w:t>
            </w:r>
            <w:r>
              <w:rPr>
                <w:rFonts w:ascii="Times New Roman" w:hAnsi="Times New Roman"/>
                <w:b/>
                <w:color w:val="000000"/>
                <w:sz w:val="24"/>
                <w:szCs w:val="24"/>
              </w:rPr>
              <w:t xml:space="preserve">           </w:t>
            </w:r>
            <w:r>
              <w:rPr>
                <w:rFonts w:hint="eastAsia" w:ascii="Times New Roman" w:hAnsi="宋体"/>
                <w:b/>
                <w:color w:val="000000"/>
                <w:sz w:val="24"/>
                <w:szCs w:val="24"/>
              </w:rPr>
              <w:t>容</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宋体"/>
                <w:color w:val="000000"/>
                <w:sz w:val="24"/>
                <w:szCs w:val="24"/>
              </w:rPr>
              <w:t>项目编号</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ascii="宋体" w:hAnsi="宋体"/>
                <w:color w:val="000000"/>
                <w:sz w:val="24"/>
                <w:szCs w:val="24"/>
              </w:rPr>
              <w:t>HBJX-ZB-2022-123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项目名称</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ascii="Times New Roman" w:hAnsi="Times New Roman"/>
                <w:color w:val="000000"/>
                <w:sz w:val="24"/>
                <w:szCs w:val="24"/>
              </w:rPr>
              <w:t>湖北大学知行学院2022年-2023年保安服务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项目属性</w:t>
            </w:r>
          </w:p>
        </w:tc>
        <w:tc>
          <w:tcPr>
            <w:tcW w:w="6249" w:type="dxa"/>
            <w:tcBorders>
              <w:top w:val="single" w:color="auto" w:sz="4" w:space="0"/>
              <w:left w:val="single" w:color="auto" w:sz="4" w:space="0"/>
              <w:bottom w:val="single" w:color="auto" w:sz="4" w:space="0"/>
            </w:tcBorders>
            <w:vAlign w:val="center"/>
          </w:tcPr>
          <w:p>
            <w:pPr>
              <w:rPr>
                <w:rFonts w:ascii="宋体" w:cs="宋体"/>
                <w:color w:val="000000"/>
                <w:kern w:val="0"/>
                <w:sz w:val="24"/>
                <w:szCs w:val="24"/>
              </w:rPr>
            </w:pPr>
            <w:r>
              <w:rPr>
                <w:rFonts w:hint="eastAsia" w:ascii="宋体" w:hAnsi="宋体" w:cs="宋体"/>
                <w:color w:val="000000"/>
                <w:kern w:val="0"/>
                <w:sz w:val="24"/>
                <w:szCs w:val="24"/>
              </w:rPr>
              <w:t>服务</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采购人</w:t>
            </w:r>
          </w:p>
        </w:tc>
        <w:tc>
          <w:tcPr>
            <w:tcW w:w="6249" w:type="dxa"/>
            <w:tcBorders>
              <w:top w:val="single" w:color="auto" w:sz="4" w:space="0"/>
              <w:left w:val="single" w:color="auto" w:sz="4" w:space="0"/>
              <w:bottom w:val="single" w:color="auto" w:sz="4" w:space="0"/>
            </w:tcBorders>
            <w:vAlign w:val="center"/>
          </w:tcPr>
          <w:p>
            <w:pPr>
              <w:rPr>
                <w:rFonts w:ascii="宋体" w:cs="宋体"/>
                <w:color w:val="000000"/>
                <w:kern w:val="0"/>
                <w:sz w:val="24"/>
                <w:szCs w:val="24"/>
              </w:rPr>
            </w:pPr>
            <w:r>
              <w:rPr>
                <w:rFonts w:hint="eastAsia" w:ascii="宋体" w:hAnsi="宋体"/>
                <w:bCs/>
                <w:color w:val="000000"/>
                <w:sz w:val="24"/>
                <w:szCs w:val="24"/>
              </w:rPr>
              <w:t>湖北大学知行学院</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投标保证金</w:t>
            </w:r>
          </w:p>
        </w:tc>
        <w:tc>
          <w:tcPr>
            <w:tcW w:w="6249" w:type="dxa"/>
            <w:tcBorders>
              <w:top w:val="single" w:color="auto" w:sz="4" w:space="0"/>
              <w:left w:val="single" w:color="auto" w:sz="4" w:space="0"/>
              <w:bottom w:val="single" w:color="auto" w:sz="4" w:space="0"/>
            </w:tcBorders>
            <w:vAlign w:val="center"/>
          </w:tcPr>
          <w:p>
            <w:pPr>
              <w:rPr>
                <w:rFonts w:ascii="宋体" w:cs="宋体"/>
                <w:color w:val="000000"/>
                <w:kern w:val="0"/>
                <w:sz w:val="24"/>
                <w:szCs w:val="24"/>
              </w:rPr>
            </w:pPr>
            <w:r>
              <w:rPr>
                <w:rFonts w:hint="eastAsia" w:ascii="宋体" w:hAnsi="宋体" w:cs="宋体"/>
                <w:color w:val="000000"/>
                <w:kern w:val="0"/>
                <w:sz w:val="24"/>
                <w:szCs w:val="24"/>
              </w:rPr>
              <w:t>依据《湖北省财政厅关于停止收取政府采购投标保证金有关事项的通知》（鄂财采发〔</w:t>
            </w:r>
            <w:r>
              <w:rPr>
                <w:rFonts w:ascii="宋体" w:hAnsi="宋体" w:cs="宋体"/>
                <w:color w:val="000000"/>
                <w:kern w:val="0"/>
                <w:sz w:val="24"/>
                <w:szCs w:val="24"/>
              </w:rPr>
              <w:t>2018</w:t>
            </w:r>
            <w:r>
              <w:rPr>
                <w:rFonts w:hint="eastAsia" w:ascii="宋体" w:hAnsi="宋体" w:cs="宋体"/>
                <w:color w:val="000000"/>
                <w:kern w:val="0"/>
                <w:sz w:val="24"/>
                <w:szCs w:val="24"/>
              </w:rPr>
              <w:t>〕</w:t>
            </w:r>
            <w:r>
              <w:rPr>
                <w:rFonts w:ascii="宋体" w:hAnsi="宋体" w:cs="宋体"/>
                <w:color w:val="000000"/>
                <w:kern w:val="0"/>
                <w:sz w:val="24"/>
                <w:szCs w:val="24"/>
              </w:rPr>
              <w:t>10</w:t>
            </w:r>
            <w:r>
              <w:rPr>
                <w:rFonts w:hint="eastAsia" w:ascii="宋体" w:hAnsi="宋体" w:cs="宋体"/>
                <w:color w:val="000000"/>
                <w:kern w:val="0"/>
                <w:sz w:val="24"/>
                <w:szCs w:val="24"/>
              </w:rPr>
              <w:t>号）文件精神，本项目不收取投标保证金。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宋体"/>
                <w:color w:val="000000"/>
                <w:sz w:val="24"/>
                <w:szCs w:val="24"/>
              </w:rPr>
              <w:t>投标文件份数</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b/>
                <w:color w:val="000000"/>
                <w:sz w:val="24"/>
                <w:szCs w:val="24"/>
              </w:rPr>
            </w:pPr>
            <w:r>
              <w:rPr>
                <w:rFonts w:hint="eastAsia" w:ascii="Times New Roman" w:hAnsi="Times New Roman"/>
                <w:b/>
                <w:color w:val="000000"/>
                <w:sz w:val="24"/>
                <w:szCs w:val="24"/>
              </w:rPr>
              <w:t>正本一份，副本四份，与正本一致的</w:t>
            </w:r>
            <w:r>
              <w:rPr>
                <w:rFonts w:ascii="Times New Roman" w:hAnsi="Times New Roman"/>
                <w:b/>
                <w:color w:val="000000"/>
                <w:sz w:val="24"/>
                <w:szCs w:val="24"/>
              </w:rPr>
              <w:t>PDF</w:t>
            </w:r>
            <w:r>
              <w:rPr>
                <w:rFonts w:hint="eastAsia" w:ascii="Times New Roman" w:hAnsi="Times New Roman"/>
                <w:b/>
                <w:color w:val="000000"/>
                <w:sz w:val="24"/>
                <w:szCs w:val="24"/>
              </w:rPr>
              <w:t>电子文档一份</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ind w:left="-50" w:leftChars="-24" w:right="-65" w:rightChars="-31"/>
              <w:jc w:val="center"/>
              <w:rPr>
                <w:rFonts w:ascii="Times New Roman" w:hAnsi="宋体"/>
                <w:color w:val="000000"/>
                <w:sz w:val="24"/>
                <w:szCs w:val="24"/>
              </w:rPr>
            </w:pPr>
            <w:r>
              <w:rPr>
                <w:rFonts w:hint="eastAsia" w:ascii="Times New Roman" w:hAnsi="宋体"/>
                <w:color w:val="000000"/>
                <w:sz w:val="24"/>
                <w:szCs w:val="24"/>
              </w:rPr>
              <w:t>投标文件封装及递交</w:t>
            </w:r>
          </w:p>
        </w:tc>
        <w:tc>
          <w:tcPr>
            <w:tcW w:w="6249" w:type="dxa"/>
            <w:tcBorders>
              <w:top w:val="single" w:color="auto" w:sz="4" w:space="0"/>
              <w:left w:val="single" w:color="auto" w:sz="4" w:space="0"/>
              <w:bottom w:val="single" w:color="auto" w:sz="4" w:space="0"/>
            </w:tcBorders>
            <w:vAlign w:val="center"/>
          </w:tcPr>
          <w:p>
            <w:pPr>
              <w:rPr>
                <w:rFonts w:ascii="宋体"/>
                <w:color w:val="000000"/>
                <w:sz w:val="24"/>
                <w:szCs w:val="24"/>
              </w:rPr>
            </w:pPr>
            <w:r>
              <w:rPr>
                <w:rFonts w:hint="eastAsia" w:ascii="宋体" w:hAnsi="宋体"/>
                <w:color w:val="000000"/>
                <w:sz w:val="24"/>
                <w:szCs w:val="24"/>
              </w:rPr>
              <w:t>详见本章第</w:t>
            </w:r>
            <w:r>
              <w:rPr>
                <w:rFonts w:ascii="宋体" w:hAnsi="宋体"/>
                <w:color w:val="000000"/>
                <w:sz w:val="24"/>
                <w:szCs w:val="24"/>
              </w:rPr>
              <w:t>20</w:t>
            </w:r>
            <w:r>
              <w:rPr>
                <w:rFonts w:hint="eastAsia" w:ascii="宋体" w:hAnsi="宋体"/>
                <w:color w:val="000000"/>
                <w:sz w:val="24"/>
                <w:szCs w:val="24"/>
              </w:rPr>
              <w:t>和</w:t>
            </w:r>
            <w:r>
              <w:rPr>
                <w:rFonts w:ascii="宋体" w:hAnsi="宋体"/>
                <w:color w:val="000000"/>
                <w:sz w:val="24"/>
                <w:szCs w:val="24"/>
              </w:rPr>
              <w:t>21</w:t>
            </w:r>
            <w:r>
              <w:rPr>
                <w:rFonts w:hint="eastAsia" w:ascii="宋体" w:hAnsi="宋体"/>
                <w:color w:val="000000"/>
                <w:sz w:val="24"/>
                <w:szCs w:val="24"/>
              </w:rPr>
              <w:t>条相关规定</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宋体"/>
                <w:color w:val="000000"/>
                <w:sz w:val="24"/>
                <w:szCs w:val="24"/>
              </w:rPr>
              <w:t>投标有效期</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宋体" w:hAnsi="宋体" w:cs="宋体"/>
                <w:color w:val="000000"/>
                <w:kern w:val="0"/>
                <w:sz w:val="24"/>
                <w:szCs w:val="24"/>
              </w:rPr>
              <w:t>提交投标文件截止之日起</w:t>
            </w:r>
            <w:r>
              <w:rPr>
                <w:rFonts w:ascii="宋体" w:hAnsi="宋体" w:cs="宋体"/>
                <w:color w:val="000000"/>
                <w:kern w:val="0"/>
                <w:sz w:val="24"/>
                <w:szCs w:val="24"/>
              </w:rPr>
              <w:t>90</w:t>
            </w:r>
            <w:r>
              <w:rPr>
                <w:rFonts w:hint="eastAsia" w:ascii="宋体" w:hAnsi="宋体" w:cs="宋体"/>
                <w:color w:val="000000"/>
                <w:kern w:val="0"/>
                <w:sz w:val="24"/>
                <w:szCs w:val="24"/>
              </w:rPr>
              <w:t>日历日</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资格预审</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不进行</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宋体"/>
                <w:color w:val="000000"/>
                <w:sz w:val="24"/>
                <w:szCs w:val="24"/>
              </w:rPr>
              <w:t>投标文件递交时间</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详见第一章“投标邀请书”要求</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宋体"/>
                <w:color w:val="000000"/>
                <w:sz w:val="24"/>
                <w:szCs w:val="24"/>
              </w:rPr>
              <w:t>开标时间、地点</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详见第一章“投标邀请书”要求</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备选方案</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不允许</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hint="eastAsia" w:ascii="Times New Roman" w:hAnsi="宋体"/>
                <w:color w:val="000000"/>
                <w:sz w:val="24"/>
                <w:szCs w:val="24"/>
              </w:rPr>
              <w:t>实物样品</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不提交</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宋体" w:hAnsi="宋体" w:cs="宋体"/>
                <w:color w:val="000000"/>
                <w:sz w:val="24"/>
                <w:szCs w:val="24"/>
              </w:rPr>
              <w:t>现场考察</w:t>
            </w:r>
          </w:p>
        </w:tc>
        <w:tc>
          <w:tcPr>
            <w:tcW w:w="6249" w:type="dxa"/>
            <w:tcBorders>
              <w:top w:val="single" w:color="auto" w:sz="4" w:space="0"/>
              <w:left w:val="single" w:color="auto" w:sz="4" w:space="0"/>
              <w:bottom w:val="single" w:color="auto" w:sz="4" w:space="0"/>
            </w:tcBorders>
            <w:vAlign w:val="center"/>
          </w:tcPr>
          <w:p>
            <w:pPr>
              <w:ind w:right="-105" w:rightChars="-50"/>
              <w:rPr>
                <w:rFonts w:ascii="Times New Roman" w:hAnsi="Times New Roman"/>
                <w:color w:val="000000"/>
                <w:sz w:val="24"/>
                <w:szCs w:val="24"/>
              </w:rPr>
            </w:pPr>
            <w:r>
              <w:rPr>
                <w:rFonts w:hint="eastAsia" w:ascii="Times New Roman" w:hAnsi="Times New Roman"/>
                <w:color w:val="000000"/>
                <w:sz w:val="24"/>
                <w:szCs w:val="24"/>
              </w:rPr>
              <w:t>不组织</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中标后分包</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不允许</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评标办法</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综合评分法</w:t>
            </w:r>
          </w:p>
          <w:p>
            <w:pPr>
              <w:rPr>
                <w:rFonts w:ascii="Times New Roman" w:hAnsi="Times New Roman"/>
                <w:color w:val="000000"/>
                <w:sz w:val="24"/>
                <w:szCs w:val="24"/>
              </w:rPr>
            </w:pPr>
            <w:r>
              <w:rPr>
                <w:rFonts w:hint="eastAsia" w:ascii="Times New Roman" w:hAnsi="Times New Roman"/>
                <w:color w:val="000000"/>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中小企业</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非专门面向</w:t>
            </w:r>
          </w:p>
        </w:tc>
      </w:tr>
      <w:tr>
        <w:trPr>
          <w:trHeight w:val="51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ind w:right="57"/>
              <w:jc w:val="center"/>
              <w:rPr>
                <w:rFonts w:ascii="宋体"/>
                <w:b/>
                <w:color w:val="000000"/>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00000"/>
                <w:sz w:val="24"/>
                <w:szCs w:val="24"/>
              </w:rPr>
            </w:pPr>
            <w:r>
              <w:rPr>
                <w:rFonts w:hint="eastAsia" w:ascii="Times New Roman" w:hAnsi="宋体"/>
                <w:color w:val="000000"/>
                <w:sz w:val="24"/>
                <w:szCs w:val="24"/>
              </w:rPr>
              <w:t>质疑及提交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color w:val="000000"/>
                <w:sz w:val="24"/>
                <w:szCs w:val="24"/>
              </w:rPr>
            </w:pPr>
            <w:r>
              <w:rPr>
                <w:rFonts w:hint="eastAsia" w:ascii="宋体" w:hAnsi="宋体"/>
                <w:color w:val="000000"/>
                <w:sz w:val="24"/>
                <w:szCs w:val="24"/>
              </w:rPr>
              <w:t>见投标须知八、质疑及提交</w:t>
            </w:r>
          </w:p>
        </w:tc>
      </w:tr>
    </w:tbl>
    <w:p>
      <w:pPr>
        <w:keepNext/>
        <w:keepLines/>
        <w:numPr>
          <w:ilvl w:val="0"/>
          <w:numId w:val="7"/>
        </w:numPr>
        <w:spacing w:line="440" w:lineRule="exact"/>
        <w:ind w:left="482" w:hanging="480" w:hangingChars="150"/>
        <w:jc w:val="left"/>
        <w:outlineLvl w:val="1"/>
        <w:rPr>
          <w:rFonts w:ascii="宋体"/>
          <w:color w:val="000000"/>
        </w:rPr>
      </w:pPr>
      <w:r>
        <w:rPr>
          <w:rFonts w:ascii="黑体" w:hAnsi="黑体" w:eastAsia="黑体"/>
          <w:b/>
          <w:bCs/>
          <w:color w:val="000000"/>
          <w:sz w:val="32"/>
          <w:szCs w:val="32"/>
        </w:rPr>
        <w:br w:type="page"/>
      </w:r>
      <w:bookmarkStart w:id="51" w:name="_Toc511889417"/>
      <w:bookmarkStart w:id="52" w:name="_Toc511894495"/>
      <w:bookmarkStart w:id="53" w:name="_Toc2252869"/>
      <w:r>
        <w:rPr>
          <w:rFonts w:hint="eastAsia" w:ascii="宋体" w:hAnsi="宋体"/>
          <w:b/>
          <w:color w:val="000000"/>
          <w:sz w:val="32"/>
          <w:szCs w:val="32"/>
        </w:rPr>
        <w:t>说</w:t>
      </w:r>
      <w:r>
        <w:rPr>
          <w:rFonts w:ascii="宋体" w:hAnsi="宋体"/>
          <w:b/>
          <w:color w:val="000000"/>
          <w:sz w:val="32"/>
          <w:szCs w:val="32"/>
        </w:rPr>
        <w:t xml:space="preserve">  </w:t>
      </w:r>
      <w:r>
        <w:rPr>
          <w:rFonts w:hint="eastAsia" w:ascii="宋体" w:hAnsi="宋体"/>
          <w:b/>
          <w:color w:val="000000"/>
          <w:sz w:val="32"/>
          <w:szCs w:val="32"/>
        </w:rPr>
        <w:t>明</w:t>
      </w:r>
      <w:bookmarkEnd w:id="51"/>
      <w:bookmarkEnd w:id="52"/>
      <w:bookmarkEnd w:id="53"/>
    </w:p>
    <w:p>
      <w:pPr>
        <w:numPr>
          <w:ilvl w:val="0"/>
          <w:numId w:val="8"/>
        </w:numPr>
        <w:spacing w:line="440" w:lineRule="exact"/>
        <w:rPr>
          <w:rFonts w:ascii="宋体"/>
          <w:b/>
          <w:color w:val="000000"/>
          <w:sz w:val="24"/>
          <w:szCs w:val="24"/>
        </w:rPr>
      </w:pPr>
      <w:r>
        <w:rPr>
          <w:rFonts w:hint="eastAsia" w:ascii="宋体" w:hAnsi="宋体"/>
          <w:b/>
          <w:color w:val="000000"/>
          <w:sz w:val="24"/>
          <w:szCs w:val="24"/>
        </w:rPr>
        <w:t>适用范围</w:t>
      </w:r>
    </w:p>
    <w:p>
      <w:pPr>
        <w:spacing w:line="440" w:lineRule="exact"/>
        <w:ind w:firstLine="480" w:firstLineChars="200"/>
        <w:rPr>
          <w:rFonts w:ascii="宋体"/>
          <w:color w:val="000000"/>
          <w:sz w:val="24"/>
          <w:szCs w:val="24"/>
        </w:rPr>
      </w:pPr>
      <w:r>
        <w:rPr>
          <w:rFonts w:hint="eastAsia" w:ascii="宋体" w:hAnsi="宋体"/>
          <w:color w:val="000000"/>
          <w:sz w:val="24"/>
          <w:szCs w:val="24"/>
        </w:rPr>
        <w:t>招标文件仅适用于第一章“投标邀请书”中所述项目的货物、工程及服务的采购。</w:t>
      </w:r>
    </w:p>
    <w:p>
      <w:pPr>
        <w:numPr>
          <w:ilvl w:val="0"/>
          <w:numId w:val="8"/>
        </w:numPr>
        <w:spacing w:line="440" w:lineRule="exact"/>
        <w:rPr>
          <w:rFonts w:ascii="宋体"/>
          <w:b/>
          <w:color w:val="000000"/>
          <w:sz w:val="24"/>
          <w:szCs w:val="24"/>
        </w:rPr>
      </w:pPr>
      <w:r>
        <w:rPr>
          <w:rFonts w:hint="eastAsia" w:ascii="宋体" w:hAnsi="宋体"/>
          <w:b/>
          <w:color w:val="000000"/>
          <w:sz w:val="24"/>
          <w:szCs w:val="24"/>
        </w:rPr>
        <w:t>当事人定义</w:t>
      </w:r>
    </w:p>
    <w:p>
      <w:pPr>
        <w:numPr>
          <w:ilvl w:val="0"/>
          <w:numId w:val="9"/>
        </w:numPr>
        <w:spacing w:line="440" w:lineRule="exact"/>
        <w:ind w:left="476" w:hanging="476"/>
        <w:rPr>
          <w:rFonts w:ascii="宋体"/>
          <w:color w:val="000000"/>
          <w:sz w:val="24"/>
          <w:szCs w:val="24"/>
        </w:rPr>
      </w:pPr>
      <w:r>
        <w:rPr>
          <w:rFonts w:hint="eastAsia" w:ascii="宋体" w:hAnsi="宋体"/>
          <w:b/>
          <w:color w:val="000000"/>
          <w:sz w:val="24"/>
          <w:szCs w:val="24"/>
        </w:rPr>
        <w:t>“采 购 人”是指：湖北大学知行学院</w:t>
      </w:r>
      <w:r>
        <w:rPr>
          <w:rFonts w:hint="eastAsia" w:ascii="宋体" w:hAnsi="宋体"/>
          <w:color w:val="000000"/>
          <w:sz w:val="24"/>
          <w:szCs w:val="24"/>
        </w:rPr>
        <w:t>。</w:t>
      </w:r>
    </w:p>
    <w:p>
      <w:pPr>
        <w:numPr>
          <w:ilvl w:val="0"/>
          <w:numId w:val="9"/>
        </w:numPr>
        <w:spacing w:line="440" w:lineRule="exact"/>
        <w:ind w:left="476" w:hanging="476"/>
        <w:rPr>
          <w:rFonts w:ascii="宋体"/>
          <w:color w:val="000000"/>
          <w:sz w:val="24"/>
          <w:szCs w:val="24"/>
        </w:rPr>
      </w:pPr>
      <w:r>
        <w:rPr>
          <w:rFonts w:hint="eastAsia" w:ascii="宋体" w:hAnsi="宋体"/>
          <w:b/>
          <w:color w:val="000000"/>
          <w:sz w:val="24"/>
          <w:szCs w:val="24"/>
        </w:rPr>
        <w:t>“监管部门”是指：湖北大学</w:t>
      </w:r>
      <w:r>
        <w:rPr>
          <w:rFonts w:hint="eastAsia" w:ascii="宋体" w:hAnsi="宋体"/>
          <w:color w:val="000000"/>
          <w:sz w:val="24"/>
          <w:szCs w:val="24"/>
        </w:rPr>
        <w:t>。</w:t>
      </w:r>
    </w:p>
    <w:p>
      <w:pPr>
        <w:numPr>
          <w:ilvl w:val="0"/>
          <w:numId w:val="9"/>
        </w:numPr>
        <w:spacing w:line="440" w:lineRule="exact"/>
        <w:ind w:left="476" w:hanging="476"/>
        <w:rPr>
          <w:rFonts w:ascii="宋体"/>
          <w:color w:val="000000"/>
          <w:sz w:val="24"/>
          <w:szCs w:val="24"/>
        </w:rPr>
      </w:pPr>
      <w:r>
        <w:rPr>
          <w:rFonts w:hint="eastAsia" w:ascii="宋体" w:hAnsi="宋体"/>
          <w:b/>
          <w:color w:val="000000"/>
          <w:sz w:val="24"/>
          <w:szCs w:val="24"/>
        </w:rPr>
        <w:t>“代理机构”是指：湖北建信建设工程咨询有限公司</w:t>
      </w:r>
      <w:r>
        <w:rPr>
          <w:rFonts w:hint="eastAsia" w:ascii="宋体" w:hAnsi="宋体"/>
          <w:color w:val="000000"/>
          <w:sz w:val="24"/>
          <w:szCs w:val="24"/>
        </w:rPr>
        <w:t>。</w:t>
      </w:r>
    </w:p>
    <w:p>
      <w:pPr>
        <w:numPr>
          <w:ilvl w:val="0"/>
          <w:numId w:val="9"/>
        </w:numPr>
        <w:spacing w:line="440" w:lineRule="exact"/>
        <w:ind w:left="476" w:hanging="476"/>
        <w:rPr>
          <w:rFonts w:ascii="宋体"/>
          <w:color w:val="000000"/>
          <w:sz w:val="24"/>
          <w:szCs w:val="24"/>
        </w:rPr>
      </w:pPr>
      <w:r>
        <w:rPr>
          <w:rFonts w:hint="eastAsia" w:ascii="宋体" w:hAnsi="宋体"/>
          <w:b/>
          <w:color w:val="000000"/>
          <w:sz w:val="24"/>
          <w:szCs w:val="24"/>
        </w:rPr>
        <w:t>“投标人”是指：</w:t>
      </w:r>
      <w:r>
        <w:rPr>
          <w:rFonts w:hint="eastAsia" w:ascii="宋体" w:hAnsi="宋体" w:cs="Helvetica"/>
          <w:color w:val="000000"/>
          <w:kern w:val="0"/>
          <w:sz w:val="24"/>
          <w:szCs w:val="24"/>
        </w:rPr>
        <w:t>响应招标、参加投标竞争的法人、其他组织或者自然人。</w:t>
      </w:r>
    </w:p>
    <w:p>
      <w:pPr>
        <w:numPr>
          <w:ilvl w:val="0"/>
          <w:numId w:val="9"/>
        </w:numPr>
        <w:spacing w:line="440" w:lineRule="exact"/>
        <w:ind w:left="476" w:hanging="476"/>
        <w:rPr>
          <w:rFonts w:ascii="宋体" w:cs="Helvetica"/>
          <w:color w:val="000000"/>
          <w:kern w:val="0"/>
          <w:sz w:val="24"/>
          <w:szCs w:val="24"/>
        </w:rPr>
      </w:pPr>
      <w:r>
        <w:rPr>
          <w:rFonts w:hint="eastAsia" w:ascii="宋体" w:hAnsi="宋体"/>
          <w:b/>
          <w:color w:val="000000"/>
          <w:sz w:val="24"/>
          <w:szCs w:val="24"/>
        </w:rPr>
        <w:t>“合格的投标人”是指：</w:t>
      </w:r>
      <w:r>
        <w:rPr>
          <w:rFonts w:hint="eastAsia" w:ascii="宋体" w:hAnsi="宋体" w:cs="Helvetica"/>
          <w:color w:val="000000"/>
          <w:kern w:val="0"/>
          <w:sz w:val="24"/>
          <w:szCs w:val="24"/>
        </w:rPr>
        <w:t>资格审查和符合性审查合格的投标人。</w:t>
      </w:r>
    </w:p>
    <w:p>
      <w:pPr>
        <w:numPr>
          <w:ilvl w:val="0"/>
          <w:numId w:val="9"/>
        </w:numPr>
        <w:spacing w:line="440" w:lineRule="exact"/>
        <w:ind w:left="476" w:hanging="476"/>
        <w:rPr>
          <w:rFonts w:ascii="宋体"/>
          <w:color w:val="000000"/>
          <w:sz w:val="24"/>
          <w:szCs w:val="24"/>
        </w:rPr>
      </w:pPr>
      <w:r>
        <w:rPr>
          <w:rFonts w:hint="eastAsia" w:ascii="宋体" w:hAnsi="宋体"/>
          <w:b/>
          <w:color w:val="000000"/>
          <w:sz w:val="24"/>
          <w:szCs w:val="24"/>
        </w:rPr>
        <w:t>“中标人”是指：</w:t>
      </w:r>
      <w:r>
        <w:rPr>
          <w:rFonts w:hint="eastAsia" w:ascii="宋体" w:hAnsi="宋体"/>
          <w:color w:val="000000"/>
          <w:sz w:val="24"/>
          <w:szCs w:val="24"/>
        </w:rPr>
        <w:t>经评标委员会评审，授予合同的投标人。</w:t>
      </w:r>
    </w:p>
    <w:p>
      <w:pPr>
        <w:numPr>
          <w:ilvl w:val="0"/>
          <w:numId w:val="8"/>
        </w:numPr>
        <w:spacing w:line="440" w:lineRule="exact"/>
        <w:rPr>
          <w:rFonts w:ascii="宋体"/>
          <w:b/>
          <w:color w:val="000000"/>
          <w:sz w:val="24"/>
          <w:szCs w:val="24"/>
        </w:rPr>
      </w:pPr>
      <w:r>
        <w:rPr>
          <w:rFonts w:hint="eastAsia" w:ascii="宋体" w:hAnsi="宋体"/>
          <w:b/>
          <w:color w:val="000000"/>
          <w:sz w:val="24"/>
          <w:szCs w:val="24"/>
        </w:rPr>
        <w:t>项目属性及定义</w:t>
      </w:r>
    </w:p>
    <w:p>
      <w:pPr>
        <w:numPr>
          <w:ilvl w:val="0"/>
          <w:numId w:val="10"/>
        </w:numPr>
        <w:spacing w:line="440" w:lineRule="exact"/>
        <w:ind w:left="476" w:hanging="476"/>
        <w:rPr>
          <w:rFonts w:ascii="宋体"/>
          <w:color w:val="000000"/>
          <w:sz w:val="24"/>
          <w:szCs w:val="24"/>
        </w:rPr>
      </w:pPr>
      <w:r>
        <w:rPr>
          <w:rFonts w:hint="eastAsia" w:ascii="宋体" w:hAnsi="宋体"/>
          <w:b/>
          <w:color w:val="000000"/>
          <w:sz w:val="24"/>
          <w:szCs w:val="24"/>
        </w:rPr>
        <w:t>“货物”是指</w:t>
      </w:r>
      <w:r>
        <w:rPr>
          <w:rFonts w:hint="eastAsia" w:ascii="宋体" w:hAnsi="宋体"/>
          <w:color w:val="000000"/>
          <w:sz w:val="24"/>
          <w:szCs w:val="24"/>
        </w:rPr>
        <w:t>：各种形态和种类的物品，包括原材料、燃料、设备、产品等。</w:t>
      </w:r>
    </w:p>
    <w:p>
      <w:pPr>
        <w:numPr>
          <w:ilvl w:val="0"/>
          <w:numId w:val="11"/>
        </w:numPr>
        <w:spacing w:line="440" w:lineRule="exact"/>
        <w:ind w:left="854" w:hanging="728"/>
        <w:rPr>
          <w:rFonts w:ascii="宋体"/>
          <w:color w:val="000000"/>
          <w:sz w:val="24"/>
          <w:szCs w:val="24"/>
        </w:rPr>
      </w:pPr>
      <w:r>
        <w:rPr>
          <w:rFonts w:hint="eastAsia" w:ascii="宋体" w:hAnsi="宋体"/>
          <w:color w:val="000000"/>
          <w:sz w:val="24"/>
          <w:szCs w:val="24"/>
        </w:rPr>
        <w:t>招标文件中没有提及招标货物来源地的，根据《政府采购法》及相关规定均应是本国货物，另有规定的除外。</w:t>
      </w:r>
    </w:p>
    <w:p>
      <w:pPr>
        <w:numPr>
          <w:ilvl w:val="0"/>
          <w:numId w:val="11"/>
        </w:numPr>
        <w:spacing w:line="440" w:lineRule="exact"/>
        <w:ind w:left="854" w:hanging="728"/>
        <w:rPr>
          <w:rFonts w:ascii="宋体"/>
          <w:color w:val="000000"/>
          <w:sz w:val="24"/>
          <w:szCs w:val="24"/>
        </w:rPr>
      </w:pPr>
      <w:r>
        <w:rPr>
          <w:rFonts w:hint="eastAsia" w:ascii="宋体" w:hAnsi="宋体"/>
          <w:color w:val="000000"/>
          <w:sz w:val="24"/>
          <w:szCs w:val="24"/>
        </w:rPr>
        <w:t>投标的货物应是合法生产的符合国家有关标准要求的货物，并能够按照合同规定的品牌、产地、质量、价格和有效期等履约。</w:t>
      </w:r>
    </w:p>
    <w:p>
      <w:pPr>
        <w:numPr>
          <w:ilvl w:val="0"/>
          <w:numId w:val="10"/>
        </w:numPr>
        <w:spacing w:line="440" w:lineRule="exact"/>
        <w:ind w:left="476" w:hanging="476"/>
        <w:rPr>
          <w:rFonts w:ascii="宋体"/>
          <w:b/>
          <w:color w:val="000000"/>
          <w:sz w:val="24"/>
          <w:szCs w:val="24"/>
        </w:rPr>
      </w:pPr>
      <w:r>
        <w:rPr>
          <w:rFonts w:hint="eastAsia" w:ascii="宋体" w:hAnsi="宋体"/>
          <w:b/>
          <w:color w:val="000000"/>
          <w:sz w:val="24"/>
          <w:szCs w:val="24"/>
        </w:rPr>
        <w:t>“工程”是指</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w:t>
      </w:r>
    </w:p>
    <w:p>
      <w:pPr>
        <w:numPr>
          <w:ilvl w:val="0"/>
          <w:numId w:val="10"/>
        </w:numPr>
        <w:spacing w:line="440" w:lineRule="exact"/>
        <w:ind w:left="476" w:hanging="476"/>
        <w:rPr>
          <w:rFonts w:ascii="宋体"/>
          <w:color w:val="000000"/>
          <w:sz w:val="24"/>
          <w:szCs w:val="24"/>
        </w:rPr>
      </w:pPr>
      <w:r>
        <w:rPr>
          <w:rFonts w:hint="eastAsia" w:ascii="宋体" w:hAnsi="宋体"/>
          <w:b/>
          <w:color w:val="000000"/>
          <w:sz w:val="24"/>
          <w:szCs w:val="24"/>
        </w:rPr>
        <w:t>“服务”是指：</w:t>
      </w:r>
      <w:r>
        <w:rPr>
          <w:rFonts w:hint="eastAsia" w:ascii="宋体" w:hAnsi="宋体"/>
          <w:color w:val="000000"/>
          <w:sz w:val="24"/>
          <w:szCs w:val="24"/>
        </w:rPr>
        <w:t>除货物和工程（含本章</w:t>
      </w:r>
      <w:r>
        <w:rPr>
          <w:rFonts w:ascii="宋体" w:hAnsi="宋体"/>
          <w:color w:val="000000"/>
          <w:sz w:val="24"/>
          <w:szCs w:val="24"/>
        </w:rPr>
        <w:t>3.2</w:t>
      </w:r>
      <w:r>
        <w:rPr>
          <w:rFonts w:hint="eastAsia" w:ascii="宋体" w:hAnsi="宋体"/>
          <w:color w:val="000000"/>
          <w:sz w:val="24"/>
          <w:szCs w:val="24"/>
        </w:rPr>
        <w:t>条所述工程及《招标投标法》所定义工程）以外的其他政府采购对象</w:t>
      </w:r>
      <w:r>
        <w:rPr>
          <w:rFonts w:ascii="宋体"/>
          <w:color w:val="000000"/>
          <w:sz w:val="24"/>
          <w:szCs w:val="24"/>
        </w:rPr>
        <w:t>,</w:t>
      </w:r>
      <w:r>
        <w:rPr>
          <w:rFonts w:hint="eastAsia" w:ascii="宋体" w:hAnsi="宋体"/>
          <w:color w:val="000000"/>
          <w:sz w:val="24"/>
          <w:szCs w:val="24"/>
        </w:rPr>
        <w:t>包括政府自身需要的服务和政府向社会公众提供的公共服务。</w:t>
      </w:r>
    </w:p>
    <w:p>
      <w:pPr>
        <w:numPr>
          <w:ilvl w:val="0"/>
          <w:numId w:val="10"/>
        </w:numPr>
        <w:spacing w:line="440" w:lineRule="exact"/>
        <w:ind w:left="476" w:hanging="476"/>
        <w:rPr>
          <w:rFonts w:ascii="宋体"/>
          <w:color w:val="000000"/>
          <w:sz w:val="24"/>
          <w:szCs w:val="24"/>
        </w:rPr>
      </w:pPr>
      <w:r>
        <w:rPr>
          <w:rFonts w:hint="eastAsia" w:ascii="宋体" w:hAnsi="宋体"/>
          <w:color w:val="000000"/>
          <w:sz w:val="24"/>
          <w:szCs w:val="24"/>
        </w:rPr>
        <w:t>采购人应当按照财政部制定的《政府采购品目分类目录》确定采购项目属性。按照《政府采购品目分类目录》无法确定的，按照有利于采购项目实施的原则确定。</w:t>
      </w:r>
    </w:p>
    <w:p>
      <w:pPr>
        <w:numPr>
          <w:ilvl w:val="0"/>
          <w:numId w:val="8"/>
        </w:numPr>
        <w:spacing w:line="440" w:lineRule="exact"/>
        <w:rPr>
          <w:rFonts w:ascii="宋体"/>
          <w:b/>
          <w:color w:val="000000"/>
          <w:sz w:val="24"/>
          <w:szCs w:val="24"/>
        </w:rPr>
      </w:pPr>
      <w:r>
        <w:rPr>
          <w:rFonts w:hint="eastAsia" w:ascii="宋体" w:hAnsi="宋体"/>
          <w:b/>
          <w:color w:val="000000"/>
          <w:sz w:val="24"/>
          <w:szCs w:val="24"/>
        </w:rPr>
        <w:t>投标费用</w:t>
      </w:r>
    </w:p>
    <w:p>
      <w:pPr>
        <w:numPr>
          <w:ilvl w:val="0"/>
          <w:numId w:val="12"/>
        </w:numPr>
        <w:spacing w:line="440" w:lineRule="exact"/>
        <w:ind w:left="476" w:hanging="476"/>
        <w:rPr>
          <w:rFonts w:ascii="宋体"/>
          <w:color w:val="000000"/>
          <w:sz w:val="24"/>
          <w:szCs w:val="24"/>
        </w:rPr>
      </w:pPr>
      <w:r>
        <w:rPr>
          <w:rFonts w:hint="eastAsia" w:ascii="宋体" w:hAnsi="宋体"/>
          <w:color w:val="000000"/>
          <w:sz w:val="24"/>
          <w:szCs w:val="24"/>
        </w:rPr>
        <w:t>投标人应承担所有与准备和参加投标有关的费用。不论投标的结果如何，代理机构和采购人均无义务和责任承担这些费用。</w:t>
      </w:r>
    </w:p>
    <w:p>
      <w:pPr>
        <w:numPr>
          <w:ilvl w:val="0"/>
          <w:numId w:val="12"/>
        </w:numPr>
        <w:spacing w:line="440" w:lineRule="exact"/>
        <w:ind w:left="476" w:hanging="476"/>
        <w:rPr>
          <w:rFonts w:ascii="宋体"/>
          <w:color w:val="000000"/>
          <w:sz w:val="24"/>
          <w:szCs w:val="24"/>
        </w:rPr>
      </w:pPr>
      <w:r>
        <w:rPr>
          <w:rFonts w:hint="eastAsia" w:ascii="宋体" w:hAnsi="宋体"/>
          <w:color w:val="000000"/>
          <w:sz w:val="24"/>
          <w:szCs w:val="24"/>
        </w:rPr>
        <w:t>根据《政府采购法》和有关规定，代理机构向中标人收取中标服务费。</w:t>
      </w:r>
      <w:r>
        <w:rPr>
          <w:rFonts w:ascii="宋体" w:hAnsi="宋体"/>
          <w:color w:val="000000"/>
          <w:sz w:val="24"/>
          <w:szCs w:val="24"/>
        </w:rPr>
        <w:t xml:space="preserve"> </w:t>
      </w:r>
    </w:p>
    <w:p>
      <w:pPr>
        <w:pStyle w:val="4"/>
        <w:numPr>
          <w:ilvl w:val="0"/>
          <w:numId w:val="7"/>
        </w:numPr>
        <w:spacing w:before="0" w:after="0" w:line="440" w:lineRule="exact"/>
        <w:ind w:left="658" w:hanging="658"/>
        <w:jc w:val="left"/>
        <w:rPr>
          <w:rFonts w:ascii="宋体"/>
          <w:bCs w:val="0"/>
          <w:color w:val="000000"/>
        </w:rPr>
      </w:pPr>
      <w:bookmarkStart w:id="54" w:name="_Toc511894496"/>
      <w:bookmarkStart w:id="55" w:name="_Toc2252870"/>
      <w:bookmarkStart w:id="56" w:name="_Toc511889418"/>
      <w:r>
        <w:rPr>
          <w:rFonts w:hint="eastAsia" w:ascii="宋体" w:hAnsi="宋体"/>
          <w:bCs w:val="0"/>
          <w:color w:val="000000"/>
        </w:rPr>
        <w:t>招标文件</w:t>
      </w:r>
      <w:bookmarkEnd w:id="54"/>
      <w:bookmarkEnd w:id="55"/>
      <w:bookmarkEnd w:id="56"/>
    </w:p>
    <w:p>
      <w:pPr>
        <w:numPr>
          <w:ilvl w:val="0"/>
          <w:numId w:val="8"/>
        </w:numPr>
        <w:spacing w:line="440" w:lineRule="exact"/>
        <w:rPr>
          <w:rFonts w:ascii="宋体"/>
          <w:b/>
          <w:color w:val="000000"/>
          <w:sz w:val="24"/>
          <w:szCs w:val="20"/>
        </w:rPr>
      </w:pPr>
      <w:r>
        <w:rPr>
          <w:rFonts w:hint="eastAsia" w:ascii="宋体" w:hAnsi="宋体"/>
          <w:b/>
          <w:color w:val="000000"/>
          <w:sz w:val="24"/>
          <w:szCs w:val="20"/>
        </w:rPr>
        <w:t>招标文件的构成</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第一章</w:t>
      </w:r>
      <w:r>
        <w:rPr>
          <w:rFonts w:ascii="宋体" w:hAnsi="宋体"/>
          <w:color w:val="000000"/>
          <w:sz w:val="24"/>
          <w:szCs w:val="20"/>
        </w:rPr>
        <w:t xml:space="preserve"> </w:t>
      </w:r>
      <w:r>
        <w:rPr>
          <w:rFonts w:hint="eastAsia" w:ascii="宋体" w:hAnsi="宋体"/>
          <w:color w:val="000000"/>
          <w:sz w:val="24"/>
          <w:szCs w:val="20"/>
        </w:rPr>
        <w:t>投标邀请书</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第二章</w:t>
      </w:r>
      <w:r>
        <w:rPr>
          <w:rFonts w:ascii="宋体" w:hAnsi="宋体"/>
          <w:color w:val="000000"/>
          <w:sz w:val="24"/>
          <w:szCs w:val="20"/>
        </w:rPr>
        <w:t xml:space="preserve"> </w:t>
      </w:r>
      <w:r>
        <w:rPr>
          <w:rFonts w:hint="eastAsia" w:ascii="宋体" w:hAnsi="宋体"/>
          <w:color w:val="000000"/>
          <w:sz w:val="24"/>
          <w:szCs w:val="20"/>
        </w:rPr>
        <w:t>投标人须知</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第三章</w:t>
      </w:r>
      <w:r>
        <w:rPr>
          <w:rFonts w:ascii="宋体" w:hAnsi="宋体"/>
          <w:color w:val="000000"/>
          <w:sz w:val="24"/>
          <w:szCs w:val="20"/>
        </w:rPr>
        <w:t xml:space="preserve"> </w:t>
      </w:r>
      <w:r>
        <w:rPr>
          <w:rFonts w:hint="eastAsia" w:ascii="宋体" w:hAnsi="宋体"/>
          <w:color w:val="000000"/>
          <w:sz w:val="24"/>
          <w:szCs w:val="20"/>
        </w:rPr>
        <w:t>项目技术、服务及商务要求</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第四章</w:t>
      </w:r>
      <w:r>
        <w:rPr>
          <w:rFonts w:ascii="宋体" w:hAnsi="宋体"/>
          <w:color w:val="000000"/>
          <w:sz w:val="24"/>
          <w:szCs w:val="20"/>
        </w:rPr>
        <w:t xml:space="preserve"> </w:t>
      </w:r>
      <w:r>
        <w:rPr>
          <w:rFonts w:hint="eastAsia" w:ascii="宋体" w:hAnsi="宋体"/>
          <w:color w:val="000000"/>
          <w:sz w:val="24"/>
          <w:szCs w:val="20"/>
        </w:rPr>
        <w:t>资格审查方法及标准</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第五章</w:t>
      </w:r>
      <w:r>
        <w:rPr>
          <w:rFonts w:ascii="宋体" w:hAnsi="宋体"/>
          <w:color w:val="000000"/>
          <w:sz w:val="24"/>
          <w:szCs w:val="20"/>
        </w:rPr>
        <w:t xml:space="preserve"> </w:t>
      </w:r>
      <w:r>
        <w:rPr>
          <w:rFonts w:hint="eastAsia" w:ascii="宋体" w:hAnsi="宋体"/>
          <w:color w:val="000000"/>
          <w:sz w:val="24"/>
          <w:szCs w:val="20"/>
        </w:rPr>
        <w:t>评标方法、程序及标准</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第六章</w:t>
      </w:r>
      <w:r>
        <w:rPr>
          <w:rFonts w:ascii="宋体" w:hAnsi="宋体"/>
          <w:color w:val="000000"/>
          <w:sz w:val="24"/>
          <w:szCs w:val="20"/>
        </w:rPr>
        <w:t xml:space="preserve"> </w:t>
      </w:r>
      <w:r>
        <w:rPr>
          <w:rFonts w:hint="eastAsia" w:ascii="宋体" w:hAnsi="宋体"/>
          <w:color w:val="000000"/>
          <w:sz w:val="24"/>
          <w:szCs w:val="20"/>
        </w:rPr>
        <w:t>合同书格式（参考）</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第七章</w:t>
      </w:r>
      <w:r>
        <w:rPr>
          <w:rFonts w:ascii="宋体" w:hAnsi="宋体"/>
          <w:color w:val="000000"/>
          <w:sz w:val="24"/>
          <w:szCs w:val="20"/>
        </w:rPr>
        <w:t xml:space="preserve"> </w:t>
      </w:r>
      <w:r>
        <w:rPr>
          <w:rFonts w:hint="eastAsia" w:ascii="宋体" w:hAnsi="宋体"/>
          <w:color w:val="000000"/>
          <w:sz w:val="24"/>
          <w:szCs w:val="20"/>
        </w:rPr>
        <w:t>投标文件格式（参考）</w:t>
      </w:r>
    </w:p>
    <w:p>
      <w:pPr>
        <w:tabs>
          <w:tab w:val="left" w:pos="476"/>
        </w:tabs>
        <w:spacing w:line="440" w:lineRule="exact"/>
        <w:ind w:left="476"/>
        <w:rPr>
          <w:rFonts w:ascii="宋体"/>
          <w:color w:val="000000"/>
          <w:sz w:val="24"/>
          <w:szCs w:val="20"/>
        </w:rPr>
      </w:pPr>
      <w:r>
        <w:rPr>
          <w:rFonts w:hint="eastAsia" w:ascii="宋体" w:hAnsi="宋体"/>
          <w:color w:val="000000"/>
          <w:sz w:val="24"/>
          <w:szCs w:val="20"/>
        </w:rPr>
        <w:t>其</w:t>
      </w:r>
      <w:r>
        <w:rPr>
          <w:rFonts w:ascii="宋体" w:hAnsi="宋体"/>
          <w:color w:val="000000"/>
          <w:sz w:val="24"/>
          <w:szCs w:val="20"/>
        </w:rPr>
        <w:t xml:space="preserve"> </w:t>
      </w:r>
      <w:r>
        <w:rPr>
          <w:rFonts w:hint="eastAsia" w:ascii="宋体" w:hAnsi="宋体"/>
          <w:color w:val="000000"/>
          <w:sz w:val="24"/>
          <w:szCs w:val="20"/>
        </w:rPr>
        <w:t>他</w:t>
      </w:r>
      <w:r>
        <w:rPr>
          <w:rFonts w:ascii="宋体" w:hAnsi="宋体"/>
          <w:color w:val="000000"/>
          <w:sz w:val="24"/>
          <w:szCs w:val="20"/>
        </w:rPr>
        <w:t xml:space="preserve">  </w:t>
      </w:r>
      <w:r>
        <w:rPr>
          <w:rFonts w:hint="eastAsia" w:ascii="宋体" w:hAnsi="宋体"/>
          <w:color w:val="000000"/>
          <w:sz w:val="24"/>
          <w:szCs w:val="20"/>
        </w:rPr>
        <w:t>在招标过程中由代理机构发出的修正和补充文件等</w:t>
      </w:r>
    </w:p>
    <w:p>
      <w:pPr>
        <w:numPr>
          <w:ilvl w:val="0"/>
          <w:numId w:val="8"/>
        </w:numPr>
        <w:spacing w:line="440" w:lineRule="exact"/>
        <w:rPr>
          <w:rFonts w:ascii="宋体"/>
          <w:b/>
          <w:color w:val="000000"/>
          <w:sz w:val="24"/>
          <w:szCs w:val="20"/>
        </w:rPr>
      </w:pPr>
      <w:r>
        <w:rPr>
          <w:rFonts w:hint="eastAsia" w:ascii="宋体" w:hAnsi="宋体"/>
          <w:b/>
          <w:color w:val="000000"/>
          <w:sz w:val="24"/>
          <w:szCs w:val="20"/>
        </w:rPr>
        <w:t>招标文件疑问的提交</w:t>
      </w:r>
    </w:p>
    <w:p>
      <w:pPr>
        <w:numPr>
          <w:ilvl w:val="0"/>
          <w:numId w:val="13"/>
        </w:numPr>
        <w:spacing w:line="440" w:lineRule="exact"/>
        <w:ind w:left="476" w:hanging="476"/>
        <w:rPr>
          <w:rFonts w:ascii="宋体"/>
          <w:color w:val="000000"/>
          <w:sz w:val="24"/>
          <w:szCs w:val="20"/>
        </w:rPr>
      </w:pPr>
      <w:r>
        <w:rPr>
          <w:rFonts w:hint="eastAsia" w:ascii="宋体" w:hAnsi="宋体"/>
          <w:color w:val="000000"/>
          <w:sz w:val="24"/>
          <w:szCs w:val="20"/>
        </w:rPr>
        <w:t>潜在投标人对招标文件有疑问的，可以向代理机构提出询问，或在</w:t>
      </w:r>
      <w:r>
        <w:rPr>
          <w:rFonts w:ascii="宋体" w:hAnsi="宋体"/>
          <w:color w:val="000000"/>
          <w:sz w:val="24"/>
          <w:szCs w:val="20"/>
        </w:rPr>
        <w:t>6.2</w:t>
      </w:r>
      <w:r>
        <w:rPr>
          <w:rFonts w:hint="eastAsia" w:ascii="宋体" w:hAnsi="宋体"/>
          <w:color w:val="000000"/>
          <w:sz w:val="24"/>
          <w:szCs w:val="20"/>
        </w:rPr>
        <w:t>规定的时间前以书面的形式向代理机构提交疑问函。</w:t>
      </w:r>
    </w:p>
    <w:p>
      <w:pPr>
        <w:numPr>
          <w:ilvl w:val="0"/>
          <w:numId w:val="13"/>
        </w:numPr>
        <w:spacing w:line="440" w:lineRule="exact"/>
        <w:ind w:left="476" w:hanging="476"/>
        <w:rPr>
          <w:rFonts w:ascii="宋体"/>
          <w:color w:val="000000"/>
          <w:sz w:val="24"/>
          <w:szCs w:val="20"/>
        </w:rPr>
      </w:pPr>
      <w:r>
        <w:rPr>
          <w:rFonts w:hint="eastAsia" w:ascii="宋体" w:hAnsi="宋体"/>
          <w:color w:val="000000"/>
          <w:sz w:val="24"/>
          <w:szCs w:val="20"/>
        </w:rPr>
        <w:t>潜在投标人在项目招标公告期限届满之日起</w:t>
      </w:r>
      <w:r>
        <w:rPr>
          <w:rFonts w:ascii="宋体" w:hAnsi="宋体"/>
          <w:color w:val="000000"/>
          <w:sz w:val="24"/>
          <w:szCs w:val="20"/>
        </w:rPr>
        <w:t>7</w:t>
      </w:r>
      <w:r>
        <w:rPr>
          <w:rFonts w:hint="eastAsia" w:ascii="宋体" w:hAnsi="宋体"/>
          <w:color w:val="000000"/>
          <w:sz w:val="24"/>
          <w:szCs w:val="20"/>
        </w:rPr>
        <w:t>个工作日内未对招标文件提出疑问的，代理机构将视其认同招标文件，在规定的时间后就招标文件内容提出的疑问将不予受理。</w:t>
      </w:r>
    </w:p>
    <w:p>
      <w:pPr>
        <w:numPr>
          <w:ilvl w:val="0"/>
          <w:numId w:val="13"/>
        </w:numPr>
        <w:spacing w:line="440" w:lineRule="exact"/>
        <w:ind w:left="476" w:hanging="476"/>
        <w:rPr>
          <w:rFonts w:ascii="宋体"/>
          <w:color w:val="000000"/>
          <w:sz w:val="24"/>
          <w:szCs w:val="20"/>
        </w:rPr>
      </w:pPr>
      <w:r>
        <w:rPr>
          <w:rFonts w:hint="eastAsia" w:ascii="宋体" w:hAnsi="宋体"/>
          <w:color w:val="000000"/>
          <w:sz w:val="24"/>
          <w:szCs w:val="20"/>
        </w:rPr>
        <w:t>代理机构将组织采购人对潜在投标人所提交疑问以书面（或网上公告）的形式予以答复。必要时，代理机构将组织相关专家召开答疑会，并将会议内容以书面的形式发给每个领取招标文件的潜在投标人（答复中不包括问题的来源）。</w:t>
      </w:r>
    </w:p>
    <w:p>
      <w:pPr>
        <w:numPr>
          <w:ilvl w:val="0"/>
          <w:numId w:val="8"/>
        </w:numPr>
        <w:spacing w:line="440" w:lineRule="exact"/>
        <w:rPr>
          <w:rFonts w:ascii="宋体"/>
          <w:b/>
          <w:color w:val="000000"/>
          <w:sz w:val="24"/>
          <w:szCs w:val="20"/>
        </w:rPr>
      </w:pPr>
      <w:r>
        <w:rPr>
          <w:rFonts w:hint="eastAsia" w:ascii="宋体" w:hAnsi="宋体"/>
          <w:b/>
          <w:color w:val="000000"/>
          <w:sz w:val="24"/>
          <w:szCs w:val="20"/>
        </w:rPr>
        <w:t>招标文件的澄清、修改</w:t>
      </w:r>
    </w:p>
    <w:p>
      <w:pPr>
        <w:numPr>
          <w:ilvl w:val="0"/>
          <w:numId w:val="14"/>
        </w:numPr>
        <w:spacing w:line="440" w:lineRule="exact"/>
        <w:ind w:left="476" w:hanging="476"/>
        <w:rPr>
          <w:rFonts w:ascii="Helvetica" w:hAnsi="Helvetica" w:cs="Helvetica"/>
          <w:color w:val="000000"/>
          <w:kern w:val="0"/>
          <w:sz w:val="24"/>
          <w:szCs w:val="24"/>
        </w:rPr>
      </w:pPr>
      <w:r>
        <w:rPr>
          <w:rFonts w:hint="eastAsia" w:ascii="宋体" w:hAnsi="宋体"/>
          <w:color w:val="000000"/>
          <w:sz w:val="24"/>
          <w:szCs w:val="20"/>
        </w:rPr>
        <w:t>代理机构和采购人可以对已发出的招标文件进行必要的澄清或者修改，</w:t>
      </w:r>
      <w:r>
        <w:rPr>
          <w:rFonts w:hint="eastAsia" w:ascii="Helvetica" w:hAnsi="Helvetica" w:cs="Helvetica"/>
          <w:color w:val="000000"/>
          <w:kern w:val="0"/>
          <w:sz w:val="24"/>
          <w:szCs w:val="24"/>
        </w:rPr>
        <w:t>但不得改变采购标的和资格条件</w:t>
      </w:r>
      <w:r>
        <w:rPr>
          <w:rFonts w:hint="eastAsia" w:ascii="宋体" w:hAnsi="宋体"/>
          <w:color w:val="000000"/>
          <w:sz w:val="24"/>
          <w:szCs w:val="20"/>
        </w:rPr>
        <w:t>。</w:t>
      </w:r>
      <w:r>
        <w:rPr>
          <w:rFonts w:hint="eastAsia" w:ascii="Helvetica" w:hAnsi="Helvetica" w:cs="Helvetica"/>
          <w:color w:val="000000"/>
          <w:kern w:val="0"/>
          <w:sz w:val="24"/>
          <w:szCs w:val="24"/>
        </w:rPr>
        <w:t>澄清或者修改将在原公告发布媒体上发布澄清公告。澄清或者修改的内容可能影响投标文件编制的，代理机构和采购人将在投标截止时间至少</w:t>
      </w:r>
      <w:r>
        <w:rPr>
          <w:rFonts w:ascii="宋体" w:hAnsi="宋体"/>
          <w:color w:val="000000"/>
          <w:sz w:val="24"/>
          <w:szCs w:val="20"/>
        </w:rPr>
        <w:t>15</w:t>
      </w:r>
      <w:r>
        <w:rPr>
          <w:rFonts w:hint="eastAsia" w:ascii="Helvetica" w:hAnsi="Helvetica" w:cs="Helvetica"/>
          <w:color w:val="000000"/>
          <w:kern w:val="0"/>
          <w:sz w:val="24"/>
          <w:szCs w:val="24"/>
        </w:rPr>
        <w:t>日前，以书面形式通知所有获取招标文件的潜在投标人。</w:t>
      </w:r>
    </w:p>
    <w:p>
      <w:pPr>
        <w:numPr>
          <w:ilvl w:val="0"/>
          <w:numId w:val="14"/>
        </w:numPr>
        <w:spacing w:line="440" w:lineRule="exact"/>
        <w:ind w:left="476" w:hanging="476"/>
        <w:rPr>
          <w:rFonts w:ascii="宋体"/>
          <w:color w:val="000000"/>
          <w:sz w:val="24"/>
          <w:szCs w:val="20"/>
        </w:rPr>
      </w:pPr>
      <w:r>
        <w:rPr>
          <w:rFonts w:hint="eastAsia" w:ascii="宋体" w:hAnsi="宋体"/>
          <w:color w:val="000000"/>
          <w:sz w:val="24"/>
          <w:szCs w:val="20"/>
        </w:rPr>
        <w:t>为使潜在投标人有充足时间对招标文件的澄清或者修改的内容进行研究和响应，代理机构和采购人可适当顺延提交投标文件的截止时间，并以书面（或网上公告）的形式通知所有领取招标文件的潜在投标人。</w:t>
      </w:r>
    </w:p>
    <w:p>
      <w:pPr>
        <w:numPr>
          <w:ilvl w:val="0"/>
          <w:numId w:val="14"/>
        </w:numPr>
        <w:spacing w:line="440" w:lineRule="exact"/>
        <w:ind w:left="476" w:hanging="476"/>
        <w:rPr>
          <w:rFonts w:ascii="宋体"/>
          <w:color w:val="000000"/>
          <w:sz w:val="24"/>
          <w:szCs w:val="20"/>
        </w:rPr>
      </w:pPr>
      <w:r>
        <w:rPr>
          <w:rFonts w:hint="eastAsia" w:ascii="宋体" w:hAnsi="宋体"/>
          <w:color w:val="000000"/>
          <w:sz w:val="24"/>
          <w:szCs w:val="20"/>
        </w:rPr>
        <w:t>澄清或者修改的内容为招标文件的组成部分，并对潜在投标人具有约束力。潜在投标人在收到上述通知后，应立即以书面（或邮件）形式向代理机构确认收悉。</w:t>
      </w:r>
    </w:p>
    <w:p>
      <w:pPr>
        <w:numPr>
          <w:ilvl w:val="0"/>
          <w:numId w:val="8"/>
        </w:numPr>
        <w:spacing w:line="440" w:lineRule="exact"/>
        <w:rPr>
          <w:rFonts w:ascii="宋体"/>
          <w:b/>
          <w:color w:val="000000"/>
          <w:sz w:val="24"/>
          <w:szCs w:val="20"/>
        </w:rPr>
      </w:pPr>
      <w:r>
        <w:rPr>
          <w:rFonts w:hint="eastAsia" w:ascii="宋体" w:hAnsi="宋体"/>
          <w:b/>
          <w:color w:val="000000"/>
          <w:sz w:val="24"/>
          <w:szCs w:val="20"/>
        </w:rPr>
        <w:t>现场考察</w:t>
      </w:r>
    </w:p>
    <w:p>
      <w:pPr>
        <w:numPr>
          <w:ilvl w:val="0"/>
          <w:numId w:val="15"/>
        </w:numPr>
        <w:spacing w:line="440" w:lineRule="exact"/>
        <w:ind w:left="476" w:hanging="476"/>
        <w:rPr>
          <w:rFonts w:ascii="宋体"/>
          <w:color w:val="000000"/>
          <w:sz w:val="24"/>
          <w:szCs w:val="20"/>
        </w:rPr>
      </w:pPr>
      <w:r>
        <w:rPr>
          <w:rFonts w:hint="eastAsia" w:ascii="宋体" w:hAnsi="宋体"/>
          <w:color w:val="000000"/>
          <w:sz w:val="24"/>
          <w:szCs w:val="20"/>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440" w:lineRule="exact"/>
        <w:ind w:left="476" w:hanging="476"/>
        <w:rPr>
          <w:rFonts w:ascii="宋体"/>
          <w:color w:val="000000"/>
          <w:sz w:val="24"/>
          <w:szCs w:val="20"/>
        </w:rPr>
      </w:pPr>
      <w:r>
        <w:rPr>
          <w:rFonts w:hint="eastAsia" w:ascii="宋体" w:hAnsi="宋体"/>
          <w:color w:val="000000"/>
          <w:sz w:val="24"/>
          <w:szCs w:val="20"/>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440" w:lineRule="exact"/>
        <w:ind w:left="476" w:hanging="476"/>
        <w:rPr>
          <w:rFonts w:ascii="宋体"/>
          <w:color w:val="000000"/>
          <w:sz w:val="24"/>
          <w:szCs w:val="20"/>
        </w:rPr>
      </w:pPr>
      <w:r>
        <w:rPr>
          <w:rFonts w:hint="eastAsia" w:ascii="宋体" w:hAnsi="宋体"/>
          <w:color w:val="000000"/>
          <w:sz w:val="24"/>
          <w:szCs w:val="20"/>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7"/>
        </w:numPr>
        <w:spacing w:before="0" w:after="0" w:line="440" w:lineRule="exact"/>
        <w:ind w:left="658" w:hanging="658"/>
        <w:jc w:val="left"/>
        <w:rPr>
          <w:rFonts w:ascii="宋体"/>
          <w:bCs w:val="0"/>
          <w:color w:val="000000"/>
        </w:rPr>
      </w:pPr>
      <w:bookmarkStart w:id="57" w:name="_Toc2252871"/>
      <w:bookmarkStart w:id="58" w:name="_Toc511889419"/>
      <w:bookmarkStart w:id="59" w:name="_Toc511894497"/>
      <w:r>
        <w:rPr>
          <w:rFonts w:hint="eastAsia" w:ascii="宋体" w:hAnsi="宋体"/>
          <w:bCs w:val="0"/>
          <w:color w:val="000000"/>
        </w:rPr>
        <w:t>投标文件</w:t>
      </w:r>
      <w:bookmarkEnd w:id="57"/>
      <w:bookmarkEnd w:id="58"/>
      <w:bookmarkEnd w:id="59"/>
    </w:p>
    <w:p>
      <w:pPr>
        <w:numPr>
          <w:ilvl w:val="0"/>
          <w:numId w:val="8"/>
        </w:numPr>
        <w:spacing w:line="440" w:lineRule="exact"/>
        <w:rPr>
          <w:rFonts w:ascii="宋体"/>
          <w:b/>
          <w:color w:val="000000"/>
          <w:sz w:val="24"/>
          <w:szCs w:val="24"/>
        </w:rPr>
      </w:pPr>
      <w:r>
        <w:rPr>
          <w:rFonts w:hint="eastAsia" w:ascii="宋体" w:hAnsi="宋体"/>
          <w:b/>
          <w:color w:val="000000"/>
          <w:sz w:val="24"/>
          <w:szCs w:val="24"/>
        </w:rPr>
        <w:t>投标的语言</w:t>
      </w:r>
    </w:p>
    <w:p>
      <w:pPr>
        <w:spacing w:line="440" w:lineRule="exact"/>
        <w:ind w:firstLine="480" w:firstLineChars="200"/>
        <w:rPr>
          <w:rFonts w:ascii="宋体"/>
          <w:color w:val="000000"/>
          <w:sz w:val="24"/>
          <w:szCs w:val="24"/>
        </w:rPr>
      </w:pPr>
      <w:r>
        <w:rPr>
          <w:rFonts w:hint="eastAsia" w:ascii="宋体" w:hAnsi="宋体"/>
          <w:color w:val="000000"/>
          <w:sz w:val="24"/>
          <w:szCs w:val="24"/>
        </w:rPr>
        <w:t>投标人提交的投标文件以及投标人与代理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440" w:lineRule="exact"/>
        <w:rPr>
          <w:rFonts w:ascii="宋体"/>
          <w:b/>
          <w:color w:val="000000"/>
          <w:sz w:val="24"/>
          <w:szCs w:val="24"/>
        </w:rPr>
      </w:pPr>
      <w:r>
        <w:rPr>
          <w:rFonts w:hint="eastAsia" w:ascii="宋体" w:hAnsi="宋体"/>
          <w:b/>
          <w:color w:val="000000"/>
          <w:sz w:val="24"/>
          <w:szCs w:val="24"/>
        </w:rPr>
        <w:t>投标文件的构成</w:t>
      </w:r>
    </w:p>
    <w:p>
      <w:pPr>
        <w:spacing w:line="440" w:lineRule="exact"/>
        <w:ind w:firstLine="480" w:firstLineChars="200"/>
        <w:rPr>
          <w:rFonts w:ascii="宋体"/>
          <w:color w:val="000000"/>
          <w:sz w:val="24"/>
          <w:szCs w:val="24"/>
        </w:rPr>
      </w:pPr>
      <w:r>
        <w:rPr>
          <w:rFonts w:hint="eastAsia" w:ascii="宋体" w:hAnsi="宋体"/>
          <w:color w:val="000000"/>
          <w:sz w:val="24"/>
          <w:szCs w:val="24"/>
        </w:rPr>
        <w:t>投标人编制的投标文件应包括但不限于下列内容：</w:t>
      </w:r>
    </w:p>
    <w:p>
      <w:pPr>
        <w:spacing w:line="440" w:lineRule="exact"/>
        <w:ind w:left="1673" w:leftChars="229" w:hanging="1192" w:hangingChars="497"/>
        <w:rPr>
          <w:rFonts w:ascii="宋体"/>
          <w:color w:val="000000"/>
          <w:sz w:val="24"/>
          <w:szCs w:val="24"/>
        </w:rPr>
      </w:pPr>
      <w:r>
        <w:rPr>
          <w:rFonts w:hint="eastAsia" w:ascii="宋体" w:hAnsi="宋体"/>
          <w:color w:val="000000"/>
          <w:sz w:val="24"/>
          <w:szCs w:val="24"/>
        </w:rPr>
        <w:t>第一部分</w:t>
      </w:r>
      <w:r>
        <w:rPr>
          <w:rFonts w:ascii="宋体" w:hAnsi="宋体"/>
          <w:color w:val="000000"/>
          <w:sz w:val="24"/>
          <w:szCs w:val="24"/>
        </w:rPr>
        <w:t xml:space="preserve">  </w:t>
      </w:r>
      <w:r>
        <w:rPr>
          <w:rFonts w:hint="eastAsia" w:ascii="宋体" w:hAnsi="宋体"/>
          <w:color w:val="000000"/>
          <w:sz w:val="24"/>
          <w:szCs w:val="24"/>
        </w:rPr>
        <w:t>资格证明文件（详见第七章“投标文件格式”中资格证明文件组成）</w:t>
      </w:r>
    </w:p>
    <w:p>
      <w:pPr>
        <w:spacing w:line="440" w:lineRule="exact"/>
        <w:ind w:firstLine="480" w:firstLineChars="200"/>
        <w:rPr>
          <w:rFonts w:ascii="宋体"/>
          <w:color w:val="000000"/>
          <w:sz w:val="24"/>
          <w:szCs w:val="24"/>
        </w:rPr>
      </w:pPr>
      <w:r>
        <w:rPr>
          <w:rFonts w:hint="eastAsia" w:ascii="宋体" w:hAnsi="宋体"/>
          <w:color w:val="000000"/>
          <w:sz w:val="24"/>
          <w:szCs w:val="24"/>
        </w:rPr>
        <w:t>第二部分</w:t>
      </w:r>
      <w:r>
        <w:rPr>
          <w:rFonts w:ascii="宋体" w:hAnsi="宋体"/>
          <w:color w:val="000000"/>
          <w:sz w:val="24"/>
          <w:szCs w:val="24"/>
        </w:rPr>
        <w:t xml:space="preserve">  </w:t>
      </w:r>
      <w:r>
        <w:rPr>
          <w:rFonts w:hint="eastAsia" w:ascii="宋体" w:hAnsi="宋体"/>
          <w:color w:val="000000"/>
          <w:sz w:val="24"/>
          <w:szCs w:val="24"/>
        </w:rPr>
        <w:t>商务文件（详见第七章“投标文件格式”中商务文件组成）</w:t>
      </w:r>
    </w:p>
    <w:p>
      <w:pPr>
        <w:spacing w:line="440" w:lineRule="exact"/>
        <w:ind w:firstLine="480" w:firstLineChars="200"/>
        <w:rPr>
          <w:rFonts w:ascii="宋体"/>
          <w:color w:val="000000"/>
          <w:sz w:val="24"/>
          <w:szCs w:val="24"/>
        </w:rPr>
      </w:pPr>
      <w:r>
        <w:rPr>
          <w:rFonts w:hint="eastAsia" w:ascii="宋体" w:hAnsi="宋体"/>
          <w:color w:val="000000"/>
          <w:sz w:val="24"/>
          <w:szCs w:val="24"/>
        </w:rPr>
        <w:t>第三部分</w:t>
      </w:r>
      <w:r>
        <w:rPr>
          <w:rFonts w:ascii="宋体" w:hAnsi="宋体"/>
          <w:color w:val="000000"/>
          <w:sz w:val="24"/>
          <w:szCs w:val="24"/>
        </w:rPr>
        <w:t xml:space="preserve">  </w:t>
      </w:r>
      <w:r>
        <w:rPr>
          <w:rFonts w:hint="eastAsia" w:ascii="宋体" w:hAnsi="宋体"/>
          <w:color w:val="000000"/>
          <w:sz w:val="24"/>
          <w:szCs w:val="24"/>
        </w:rPr>
        <w:t>技术、服务文件（详见第七章“投标文件格式”中技术、服务文件组成）</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投标文件编制</w:t>
      </w:r>
    </w:p>
    <w:p>
      <w:pPr>
        <w:numPr>
          <w:ilvl w:val="0"/>
          <w:numId w:val="16"/>
        </w:numPr>
        <w:spacing w:line="440" w:lineRule="exact"/>
        <w:ind w:left="616" w:hanging="616"/>
        <w:rPr>
          <w:rFonts w:ascii="宋体"/>
          <w:color w:val="000000"/>
          <w:sz w:val="24"/>
          <w:szCs w:val="24"/>
        </w:rPr>
      </w:pPr>
      <w:r>
        <w:rPr>
          <w:rFonts w:hint="eastAsia" w:ascii="宋体" w:hAnsi="宋体"/>
          <w:color w:val="000000"/>
          <w:sz w:val="24"/>
          <w:szCs w:val="24"/>
        </w:rPr>
        <w:t>招标文件有分包要求，投标人对招标文件中多个包进行投标的，其投标文件的编制应按每包要求分别装订和封装，并注明对应包号。</w:t>
      </w:r>
    </w:p>
    <w:p>
      <w:pPr>
        <w:numPr>
          <w:ilvl w:val="0"/>
          <w:numId w:val="16"/>
        </w:numPr>
        <w:spacing w:line="440" w:lineRule="exact"/>
        <w:ind w:left="616" w:hanging="616"/>
        <w:rPr>
          <w:rFonts w:ascii="宋体"/>
          <w:color w:val="000000"/>
          <w:sz w:val="24"/>
          <w:szCs w:val="24"/>
        </w:rPr>
      </w:pPr>
      <w:r>
        <w:rPr>
          <w:rFonts w:hint="eastAsia" w:ascii="宋体" w:hAnsi="宋体"/>
          <w:color w:val="000000"/>
          <w:sz w:val="24"/>
          <w:szCs w:val="24"/>
        </w:rPr>
        <w:t>投标人应当对投标文件进行装订，对未经装订的投标书可能发生的文件散落或缺损，由此产生的后果及责任由投标人自行承担。</w:t>
      </w:r>
    </w:p>
    <w:p>
      <w:pPr>
        <w:numPr>
          <w:ilvl w:val="0"/>
          <w:numId w:val="16"/>
        </w:numPr>
        <w:spacing w:line="440" w:lineRule="exact"/>
        <w:ind w:left="616" w:hanging="616"/>
        <w:rPr>
          <w:rFonts w:ascii="宋体"/>
          <w:color w:val="000000"/>
          <w:sz w:val="24"/>
          <w:szCs w:val="24"/>
        </w:rPr>
      </w:pPr>
      <w:r>
        <w:rPr>
          <w:rFonts w:hint="eastAsia" w:ascii="宋体" w:hAnsi="宋体"/>
          <w:color w:val="000000"/>
          <w:sz w:val="24"/>
          <w:szCs w:val="24"/>
        </w:rPr>
        <w:t>投标人应按照招标文件第七章“投标文件格式”提供的《投标书》、《开标一览表》、《投标报价明细表》、《法定代表人授权书》等格式、要求、规定来编制投标文件。</w:t>
      </w:r>
    </w:p>
    <w:p>
      <w:pPr>
        <w:numPr>
          <w:ilvl w:val="0"/>
          <w:numId w:val="16"/>
        </w:numPr>
        <w:spacing w:line="440" w:lineRule="exact"/>
        <w:ind w:left="616" w:hanging="616"/>
        <w:rPr>
          <w:rFonts w:ascii="宋体"/>
          <w:color w:val="000000"/>
          <w:sz w:val="24"/>
          <w:szCs w:val="24"/>
        </w:rPr>
      </w:pPr>
      <w:r>
        <w:rPr>
          <w:rFonts w:hint="eastAsia" w:ascii="宋体" w:hAnsi="宋体"/>
          <w:color w:val="000000"/>
          <w:sz w:val="24"/>
          <w:szCs w:val="24"/>
        </w:rPr>
        <w:t>投标人应对投标文件中所提供资料的真实性负责，若有虚假，将依法承担相应责任。投标人应自觉接受代理机构对其中任何资料进一步核实的要求。</w:t>
      </w:r>
    </w:p>
    <w:p>
      <w:pPr>
        <w:numPr>
          <w:ilvl w:val="0"/>
          <w:numId w:val="16"/>
        </w:numPr>
        <w:spacing w:line="440" w:lineRule="exact"/>
        <w:ind w:left="616" w:hanging="616"/>
        <w:rPr>
          <w:rFonts w:ascii="宋体"/>
          <w:color w:val="000000"/>
          <w:sz w:val="24"/>
          <w:szCs w:val="24"/>
        </w:rPr>
      </w:pPr>
      <w:r>
        <w:rPr>
          <w:rFonts w:hint="eastAsia" w:ascii="宋体" w:hAnsi="宋体"/>
          <w:color w:val="000000"/>
          <w:sz w:val="24"/>
          <w:szCs w:val="24"/>
        </w:rPr>
        <w:t>因投标人投标文件填报的内容不详，或没有提供招标文件中所要求的全部资料及数据等，由此产生的后果及责任由投标人自行承担。</w:t>
      </w:r>
    </w:p>
    <w:p>
      <w:pPr>
        <w:numPr>
          <w:ilvl w:val="0"/>
          <w:numId w:val="16"/>
        </w:numPr>
        <w:spacing w:line="440" w:lineRule="exact"/>
        <w:ind w:left="616" w:hanging="616"/>
        <w:rPr>
          <w:rFonts w:ascii="宋体"/>
          <w:color w:val="000000"/>
          <w:sz w:val="24"/>
          <w:szCs w:val="24"/>
        </w:rPr>
      </w:pPr>
      <w:r>
        <w:rPr>
          <w:rFonts w:hint="eastAsia" w:ascii="宋体" w:hAnsi="宋体"/>
          <w:color w:val="000000"/>
          <w:sz w:val="24"/>
          <w:szCs w:val="24"/>
        </w:rPr>
        <w:t>投标文件用纸应统一为</w:t>
      </w:r>
      <w:r>
        <w:rPr>
          <w:rFonts w:ascii="宋体" w:hAnsi="宋体"/>
          <w:color w:val="000000"/>
          <w:sz w:val="24"/>
          <w:szCs w:val="24"/>
        </w:rPr>
        <w:t>A4</w:t>
      </w:r>
      <w:r>
        <w:rPr>
          <w:rFonts w:hint="eastAsia" w:ascii="宋体" w:hAnsi="宋体"/>
          <w:color w:val="000000"/>
          <w:sz w:val="24"/>
          <w:szCs w:val="24"/>
        </w:rPr>
        <w:t>规格（图纸除外）。</w:t>
      </w:r>
    </w:p>
    <w:p>
      <w:pPr>
        <w:numPr>
          <w:ilvl w:val="0"/>
          <w:numId w:val="16"/>
        </w:numPr>
        <w:spacing w:line="440" w:lineRule="exact"/>
        <w:ind w:left="616" w:hanging="616"/>
        <w:rPr>
          <w:rFonts w:ascii="宋体"/>
          <w:b/>
          <w:color w:val="000000"/>
          <w:sz w:val="24"/>
          <w:szCs w:val="24"/>
        </w:rPr>
      </w:pPr>
      <w:r>
        <w:rPr>
          <w:rFonts w:hint="eastAsia" w:ascii="宋体" w:hAnsi="宋体"/>
          <w:b/>
          <w:color w:val="000000"/>
          <w:sz w:val="24"/>
          <w:szCs w:val="24"/>
        </w:rPr>
        <w:t>投标人应将投标文件第一部分资格证明文件、第二部分商务文件、第三部分技术、服务文件</w:t>
      </w:r>
      <w:r>
        <w:rPr>
          <w:rFonts w:hint="eastAsia" w:ascii="宋体" w:hAnsi="宋体"/>
          <w:b/>
          <w:color w:val="000000"/>
          <w:sz w:val="24"/>
          <w:szCs w:val="24"/>
          <w:u w:val="single"/>
        </w:rPr>
        <w:t>合并为一册编制装订</w:t>
      </w:r>
      <w:r>
        <w:rPr>
          <w:rFonts w:hint="eastAsia" w:ascii="宋体" w:hAnsi="宋体"/>
          <w:b/>
          <w:color w:val="000000"/>
          <w:sz w:val="24"/>
          <w:szCs w:val="24"/>
        </w:rPr>
        <w:t>，分别逐页连续标注页码，建立目录索引。</w:t>
      </w:r>
      <w:r>
        <w:rPr>
          <w:rFonts w:hint="eastAsia" w:ascii="宋体" w:hAnsi="宋体"/>
          <w:b/>
          <w:color w:val="000000"/>
          <w:sz w:val="24"/>
          <w:szCs w:val="20"/>
        </w:rPr>
        <w:t>各部分文件及内容详见第七章“投标文件格式”要求。</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投标报价</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投标人所提供的货物（工程或服务）均以人民币计价。</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投标人应按照“第三章</w:t>
      </w:r>
      <w:r>
        <w:rPr>
          <w:rFonts w:ascii="宋体" w:hAnsi="宋体"/>
          <w:color w:val="000000"/>
          <w:sz w:val="24"/>
          <w:szCs w:val="24"/>
        </w:rPr>
        <w:t xml:space="preserve"> </w:t>
      </w:r>
      <w:r>
        <w:rPr>
          <w:rFonts w:hint="eastAsia" w:ascii="宋体" w:hAnsi="宋体"/>
          <w:color w:val="000000"/>
          <w:sz w:val="24"/>
          <w:szCs w:val="24"/>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《投标报价明细表》填写时应响应下列要求：</w:t>
      </w:r>
    </w:p>
    <w:p>
      <w:pPr>
        <w:numPr>
          <w:ilvl w:val="0"/>
          <w:numId w:val="18"/>
        </w:numPr>
        <w:spacing w:line="440" w:lineRule="exact"/>
        <w:ind w:left="980" w:hanging="854"/>
        <w:rPr>
          <w:rFonts w:ascii="宋体"/>
          <w:color w:val="000000"/>
          <w:sz w:val="24"/>
          <w:szCs w:val="24"/>
        </w:rPr>
      </w:pPr>
      <w:r>
        <w:rPr>
          <w:rFonts w:hint="eastAsia" w:ascii="宋体" w:hAnsi="宋体"/>
          <w:color w:val="000000"/>
          <w:sz w:val="24"/>
        </w:rPr>
        <w:t>应包括所有根据合同或其他原因由投标人支付的款项、费用</w:t>
      </w:r>
      <w:r>
        <w:rPr>
          <w:rFonts w:hint="eastAsia" w:ascii="宋体" w:hAnsi="宋体"/>
          <w:color w:val="000000"/>
          <w:sz w:val="24"/>
          <w:szCs w:val="24"/>
        </w:rPr>
        <w:t>；</w:t>
      </w:r>
    </w:p>
    <w:p>
      <w:pPr>
        <w:numPr>
          <w:ilvl w:val="0"/>
          <w:numId w:val="18"/>
        </w:numPr>
        <w:spacing w:line="440" w:lineRule="exact"/>
        <w:ind w:left="980" w:hanging="854"/>
        <w:rPr>
          <w:rFonts w:ascii="宋体"/>
          <w:color w:val="000000"/>
          <w:sz w:val="24"/>
          <w:szCs w:val="24"/>
        </w:rPr>
      </w:pPr>
      <w:r>
        <w:rPr>
          <w:rFonts w:hint="eastAsia" w:ascii="宋体" w:hAnsi="宋体"/>
          <w:color w:val="000000"/>
          <w:sz w:val="24"/>
          <w:szCs w:val="24"/>
        </w:rPr>
        <w:t>应包含货物运至最终目的地的运输、保险和伴随货物（工程或服务）的有关费用；</w:t>
      </w:r>
    </w:p>
    <w:p>
      <w:pPr>
        <w:numPr>
          <w:ilvl w:val="0"/>
          <w:numId w:val="18"/>
        </w:numPr>
        <w:spacing w:line="440" w:lineRule="exact"/>
        <w:ind w:left="980" w:hanging="854"/>
        <w:rPr>
          <w:rFonts w:ascii="宋体" w:cs="Courier New"/>
          <w:color w:val="000000"/>
          <w:sz w:val="24"/>
          <w:szCs w:val="24"/>
        </w:rPr>
      </w:pPr>
      <w:r>
        <w:rPr>
          <w:rFonts w:hint="eastAsia" w:ascii="宋体" w:hAnsi="宋体"/>
          <w:color w:val="000000"/>
          <w:sz w:val="24"/>
          <w:szCs w:val="24"/>
        </w:rPr>
        <w:t>应详细提供《投标报价明细表》和《投标货物、服务清单》等内容，否则按照</w:t>
      </w:r>
      <w:r>
        <w:rPr>
          <w:rFonts w:hint="eastAsia" w:ascii="宋体" w:hAnsi="宋体"/>
          <w:b/>
          <w:color w:val="000000"/>
          <w:sz w:val="24"/>
          <w:szCs w:val="24"/>
        </w:rPr>
        <w:t>无效投标处理。</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每一种规格的货物（工程或服务）只允许有一个报价，否则按照</w:t>
      </w:r>
      <w:r>
        <w:rPr>
          <w:rFonts w:hint="eastAsia" w:ascii="宋体" w:hAnsi="宋体"/>
          <w:b/>
          <w:color w:val="000000"/>
          <w:sz w:val="24"/>
          <w:szCs w:val="24"/>
        </w:rPr>
        <w:t>无效投标处理</w:t>
      </w:r>
      <w:r>
        <w:rPr>
          <w:rFonts w:hint="eastAsia" w:ascii="宋体" w:hAnsi="宋体"/>
          <w:color w:val="000000"/>
          <w:sz w:val="24"/>
          <w:szCs w:val="24"/>
        </w:rPr>
        <w:t>。</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440" w:lineRule="exact"/>
        <w:ind w:left="616" w:hanging="616"/>
        <w:rPr>
          <w:rFonts w:ascii="宋体"/>
          <w:color w:val="000000"/>
          <w:sz w:val="24"/>
          <w:szCs w:val="24"/>
        </w:rPr>
      </w:pPr>
      <w:r>
        <w:rPr>
          <w:rFonts w:hint="eastAsia" w:ascii="宋体" w:hAnsi="宋体"/>
          <w:color w:val="000000"/>
          <w:sz w:val="24"/>
          <w:szCs w:val="24"/>
        </w:rPr>
        <w:t>投标人应对项目招标范围内的全部内容进行报价，不得缺、漏项或只投其中的部分内容的，否则按照</w:t>
      </w:r>
      <w:r>
        <w:rPr>
          <w:rFonts w:hint="eastAsia" w:ascii="宋体" w:hAnsi="宋体"/>
          <w:b/>
          <w:color w:val="000000"/>
          <w:sz w:val="24"/>
          <w:szCs w:val="24"/>
        </w:rPr>
        <w:t>无效投标处理</w:t>
      </w:r>
      <w:r>
        <w:rPr>
          <w:rFonts w:hint="eastAsia" w:ascii="宋体" w:hAnsi="宋体"/>
          <w:color w:val="000000"/>
          <w:sz w:val="24"/>
          <w:szCs w:val="24"/>
        </w:rPr>
        <w:t>。</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备选方案</w:t>
      </w:r>
    </w:p>
    <w:p>
      <w:pPr>
        <w:spacing w:line="440" w:lineRule="exact"/>
        <w:ind w:firstLine="480" w:firstLineChars="200"/>
        <w:rPr>
          <w:rFonts w:ascii="宋体"/>
          <w:color w:val="000000"/>
          <w:sz w:val="24"/>
          <w:szCs w:val="24"/>
        </w:rPr>
      </w:pPr>
      <w:r>
        <w:rPr>
          <w:rFonts w:hint="eastAsia" w:ascii="宋体" w:hAnsi="宋体"/>
          <w:color w:val="000000"/>
          <w:sz w:val="24"/>
          <w:szCs w:val="24"/>
        </w:rPr>
        <w:t>只允许投标人提供一个投标方案（招标文件中要求提供备选方案的除外），否则按照</w:t>
      </w:r>
      <w:r>
        <w:rPr>
          <w:rFonts w:hint="eastAsia" w:ascii="宋体" w:hAnsi="宋体"/>
          <w:b/>
          <w:color w:val="000000"/>
          <w:sz w:val="24"/>
          <w:szCs w:val="24"/>
        </w:rPr>
        <w:t>无效投标处理</w:t>
      </w:r>
      <w:r>
        <w:rPr>
          <w:rFonts w:hint="eastAsia" w:ascii="宋体" w:hAnsi="宋体"/>
          <w:color w:val="000000"/>
          <w:sz w:val="24"/>
          <w:szCs w:val="24"/>
        </w:rPr>
        <w:t>。</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中标后分包</w:t>
      </w:r>
    </w:p>
    <w:p>
      <w:pPr>
        <w:spacing w:line="440" w:lineRule="exact"/>
        <w:ind w:firstLine="480" w:firstLineChars="200"/>
        <w:rPr>
          <w:rFonts w:ascii="宋体"/>
          <w:color w:val="000000"/>
          <w:sz w:val="24"/>
          <w:szCs w:val="24"/>
        </w:rPr>
      </w:pPr>
      <w:r>
        <w:rPr>
          <w:rFonts w:hint="eastAsia" w:ascii="宋体" w:hAnsi="宋体"/>
          <w:color w:val="000000"/>
          <w:sz w:val="24"/>
          <w:szCs w:val="24"/>
        </w:rPr>
        <w:t>招标文件规定项目非主体、非关键性工作中标后可以分包的，投标人拟在中标后将项目的非主体、非关键性工作分包，应当在投标文件中载明具备相应资质条件的分包承担主体，分包承担主体不得再次分包。</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联合体投标（本次招标不接受联合体投标）</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资格证明文件</w:t>
      </w:r>
    </w:p>
    <w:p>
      <w:pPr>
        <w:numPr>
          <w:ilvl w:val="0"/>
          <w:numId w:val="19"/>
        </w:numPr>
        <w:spacing w:line="440" w:lineRule="exact"/>
        <w:ind w:left="616" w:hanging="616"/>
        <w:rPr>
          <w:rFonts w:ascii="宋体"/>
          <w:color w:val="000000"/>
          <w:sz w:val="24"/>
          <w:szCs w:val="24"/>
        </w:rPr>
      </w:pPr>
      <w:r>
        <w:rPr>
          <w:rFonts w:hint="eastAsia" w:ascii="宋体" w:hAnsi="宋体"/>
          <w:color w:val="000000"/>
          <w:sz w:val="24"/>
          <w:szCs w:val="24"/>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440" w:lineRule="exact"/>
        <w:ind w:left="616" w:hanging="616"/>
        <w:rPr>
          <w:rFonts w:ascii="宋体"/>
          <w:color w:val="000000"/>
          <w:sz w:val="24"/>
          <w:szCs w:val="24"/>
        </w:rPr>
      </w:pPr>
      <w:r>
        <w:rPr>
          <w:rFonts w:hint="eastAsia" w:ascii="宋体" w:hAnsi="宋体"/>
          <w:color w:val="000000"/>
          <w:sz w:val="24"/>
          <w:szCs w:val="24"/>
        </w:rPr>
        <w:t>资格证明文件应真实、合法，并就此承担相应法律责任。</w:t>
      </w:r>
    </w:p>
    <w:p>
      <w:pPr>
        <w:numPr>
          <w:ilvl w:val="0"/>
          <w:numId w:val="19"/>
        </w:numPr>
        <w:spacing w:line="440" w:lineRule="exact"/>
        <w:ind w:left="616" w:hanging="616"/>
        <w:rPr>
          <w:rFonts w:ascii="宋体"/>
          <w:color w:val="000000"/>
          <w:sz w:val="24"/>
          <w:szCs w:val="24"/>
        </w:rPr>
      </w:pPr>
      <w:r>
        <w:rPr>
          <w:rFonts w:hint="eastAsia" w:ascii="宋体" w:hAnsi="宋体"/>
          <w:color w:val="000000"/>
          <w:sz w:val="24"/>
          <w:szCs w:val="24"/>
        </w:rPr>
        <w:t>资格证明文件正本应为清晰影印件且加盖单位公章，否则按照</w:t>
      </w:r>
      <w:r>
        <w:rPr>
          <w:rFonts w:hint="eastAsia" w:ascii="宋体" w:hAnsi="宋体"/>
          <w:b/>
          <w:color w:val="000000"/>
          <w:sz w:val="24"/>
          <w:szCs w:val="24"/>
        </w:rPr>
        <w:t>无效投标处理</w:t>
      </w:r>
      <w:r>
        <w:rPr>
          <w:rFonts w:hint="eastAsia" w:ascii="宋体" w:hAnsi="宋体"/>
          <w:color w:val="000000"/>
          <w:sz w:val="24"/>
          <w:szCs w:val="24"/>
        </w:rPr>
        <w:t>。副本可为正本的复印件</w:t>
      </w:r>
      <w:r>
        <w:rPr>
          <w:rFonts w:ascii="宋体"/>
          <w:color w:val="000000"/>
          <w:sz w:val="24"/>
          <w:szCs w:val="24"/>
        </w:rPr>
        <w:t>,</w:t>
      </w:r>
      <w:r>
        <w:rPr>
          <w:rFonts w:hint="eastAsia" w:ascii="宋体" w:hAnsi="宋体"/>
          <w:color w:val="000000"/>
          <w:sz w:val="24"/>
          <w:szCs w:val="24"/>
        </w:rPr>
        <w:t>但应在副本封面加盖单位公章。</w:t>
      </w:r>
    </w:p>
    <w:p>
      <w:pPr>
        <w:numPr>
          <w:ilvl w:val="0"/>
          <w:numId w:val="19"/>
        </w:numPr>
        <w:spacing w:line="440" w:lineRule="exact"/>
        <w:ind w:left="616" w:hanging="616"/>
        <w:rPr>
          <w:rFonts w:ascii="宋体"/>
          <w:color w:val="000000"/>
          <w:sz w:val="24"/>
          <w:szCs w:val="24"/>
        </w:rPr>
      </w:pPr>
      <w:r>
        <w:rPr>
          <w:rFonts w:hint="eastAsia" w:ascii="宋体" w:hAnsi="宋体" w:cs="Helvetica"/>
          <w:color w:val="000000"/>
          <w:kern w:val="0"/>
          <w:sz w:val="24"/>
          <w:szCs w:val="24"/>
        </w:rPr>
        <w:t>资格证明文件内容详见</w:t>
      </w:r>
      <w:r>
        <w:rPr>
          <w:rFonts w:hint="eastAsia" w:ascii="宋体" w:hAnsi="宋体"/>
          <w:color w:val="000000"/>
          <w:sz w:val="24"/>
          <w:szCs w:val="24"/>
        </w:rPr>
        <w:t>第四章“资格审查方法及标准”中资格审查内容</w:t>
      </w:r>
      <w:r>
        <w:rPr>
          <w:rFonts w:hint="eastAsia" w:ascii="宋体" w:hAnsi="宋体" w:cs="Helvetica"/>
          <w:color w:val="000000"/>
          <w:kern w:val="0"/>
          <w:sz w:val="24"/>
          <w:szCs w:val="24"/>
        </w:rPr>
        <w:t>。</w:t>
      </w:r>
    </w:p>
    <w:p>
      <w:pPr>
        <w:numPr>
          <w:ilvl w:val="0"/>
          <w:numId w:val="19"/>
        </w:numPr>
        <w:spacing w:line="440" w:lineRule="exact"/>
        <w:ind w:left="616" w:hanging="616"/>
        <w:rPr>
          <w:rFonts w:ascii="宋体"/>
          <w:color w:val="000000"/>
          <w:sz w:val="24"/>
          <w:szCs w:val="24"/>
        </w:rPr>
      </w:pPr>
      <w:r>
        <w:rPr>
          <w:rFonts w:hint="eastAsia" w:ascii="宋体" w:hAnsi="宋体" w:cs="Helvetica"/>
          <w:b/>
          <w:color w:val="000000"/>
          <w:kern w:val="0"/>
          <w:sz w:val="24"/>
          <w:szCs w:val="24"/>
        </w:rPr>
        <w:t>如采购人组织项目资格预审的，代理机构将拒绝未通过资格预审投标人的投标</w:t>
      </w:r>
      <w:r>
        <w:rPr>
          <w:rFonts w:hint="eastAsia" w:ascii="宋体" w:hAnsi="宋体" w:cs="Helvetica"/>
          <w:color w:val="000000"/>
          <w:kern w:val="0"/>
          <w:sz w:val="24"/>
          <w:szCs w:val="24"/>
        </w:rPr>
        <w:t>。</w:t>
      </w:r>
    </w:p>
    <w:p>
      <w:pPr>
        <w:numPr>
          <w:ilvl w:val="0"/>
          <w:numId w:val="8"/>
        </w:numPr>
        <w:spacing w:line="440" w:lineRule="exact"/>
        <w:ind w:left="560" w:hanging="560"/>
        <w:rPr>
          <w:rFonts w:ascii="宋体"/>
          <w:color w:val="000000"/>
          <w:sz w:val="24"/>
          <w:szCs w:val="24"/>
        </w:rPr>
      </w:pPr>
      <w:r>
        <w:rPr>
          <w:rFonts w:hint="eastAsia" w:ascii="宋体" w:hAnsi="宋体"/>
          <w:b/>
          <w:color w:val="000000"/>
          <w:sz w:val="24"/>
          <w:szCs w:val="24"/>
        </w:rPr>
        <w:t>投标保证金</w:t>
      </w:r>
    </w:p>
    <w:p>
      <w:pPr>
        <w:numPr>
          <w:ilvl w:val="0"/>
          <w:numId w:val="20"/>
        </w:numPr>
        <w:spacing w:line="440" w:lineRule="exact"/>
        <w:ind w:left="616" w:hanging="616"/>
        <w:rPr>
          <w:rFonts w:ascii="宋体"/>
          <w:color w:val="000000"/>
          <w:sz w:val="24"/>
          <w:szCs w:val="24"/>
        </w:rPr>
      </w:pPr>
      <w:r>
        <w:rPr>
          <w:rFonts w:hint="eastAsia" w:ascii="宋体" w:hAnsi="宋体"/>
          <w:color w:val="000000"/>
          <w:sz w:val="24"/>
          <w:szCs w:val="24"/>
        </w:rPr>
        <w:t>本项目不收取投标保证金，详见本章“投标须知前附表”中的说明。</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投标有效期</w:t>
      </w:r>
    </w:p>
    <w:p>
      <w:pPr>
        <w:numPr>
          <w:ilvl w:val="0"/>
          <w:numId w:val="21"/>
        </w:numPr>
        <w:spacing w:line="440" w:lineRule="exact"/>
        <w:ind w:left="616" w:hanging="616"/>
        <w:rPr>
          <w:rFonts w:ascii="宋体"/>
          <w:color w:val="000000"/>
          <w:sz w:val="24"/>
          <w:szCs w:val="24"/>
        </w:rPr>
      </w:pPr>
      <w:r>
        <w:rPr>
          <w:rFonts w:hint="eastAsia" w:ascii="宋体" w:hAnsi="宋体"/>
          <w:color w:val="000000"/>
          <w:sz w:val="24"/>
          <w:szCs w:val="24"/>
        </w:rPr>
        <w:t>投标有效期详见本章“投标须知前附表”中规定。</w:t>
      </w:r>
      <w:r>
        <w:rPr>
          <w:rFonts w:hint="eastAsia" w:ascii="宋体" w:hAnsi="宋体" w:cs="Helvetica"/>
          <w:color w:val="000000"/>
          <w:kern w:val="0"/>
          <w:sz w:val="24"/>
          <w:szCs w:val="24"/>
        </w:rPr>
        <w:t>投标文件中承诺的投标有效期应当不少于招标文件中载明的投标有效期。投标有效期不足的，</w:t>
      </w:r>
      <w:r>
        <w:rPr>
          <w:rFonts w:hint="eastAsia" w:ascii="宋体" w:hAnsi="宋体"/>
          <w:color w:val="000000"/>
          <w:sz w:val="24"/>
          <w:szCs w:val="24"/>
        </w:rPr>
        <w:t>按照</w:t>
      </w:r>
      <w:r>
        <w:rPr>
          <w:rFonts w:hint="eastAsia" w:ascii="宋体" w:hAnsi="宋体"/>
          <w:b/>
          <w:color w:val="000000"/>
          <w:sz w:val="24"/>
          <w:szCs w:val="24"/>
        </w:rPr>
        <w:t>无效投标处理。</w:t>
      </w:r>
    </w:p>
    <w:p>
      <w:pPr>
        <w:numPr>
          <w:ilvl w:val="0"/>
          <w:numId w:val="21"/>
        </w:numPr>
        <w:spacing w:line="440" w:lineRule="exact"/>
        <w:ind w:left="616" w:hanging="616"/>
        <w:rPr>
          <w:rFonts w:ascii="宋体"/>
          <w:color w:val="000000"/>
          <w:sz w:val="24"/>
          <w:szCs w:val="24"/>
        </w:rPr>
      </w:pPr>
      <w:r>
        <w:rPr>
          <w:rFonts w:hint="eastAsia" w:ascii="宋体" w:hAnsi="宋体"/>
          <w:color w:val="000000"/>
          <w:sz w:val="24"/>
          <w:szCs w:val="24"/>
        </w:rPr>
        <w:t>特殊情况下，在原投标有效期截止之前，代理机构或采购人可要求投标人延长投标有效期。这种要求与答复均应以书面形式提交。投标人可拒绝代理机构或采购人的这种要求，但其投标在原投标有效期期满后将不再有效。同意延长投标有效期的投标人不会被要求和允许修正其投标内容。</w:t>
      </w:r>
    </w:p>
    <w:p>
      <w:pPr>
        <w:numPr>
          <w:ilvl w:val="0"/>
          <w:numId w:val="8"/>
        </w:numPr>
        <w:spacing w:line="440" w:lineRule="exact"/>
        <w:ind w:left="560" w:hanging="560"/>
        <w:rPr>
          <w:rFonts w:ascii="宋体"/>
          <w:b/>
          <w:color w:val="000000"/>
          <w:sz w:val="24"/>
          <w:szCs w:val="24"/>
        </w:rPr>
      </w:pPr>
      <w:r>
        <w:rPr>
          <w:rFonts w:hint="eastAsia" w:ascii="宋体" w:hAnsi="宋体"/>
          <w:b/>
          <w:color w:val="000000"/>
          <w:sz w:val="24"/>
          <w:szCs w:val="24"/>
        </w:rPr>
        <w:t>投标文件的数量和签署</w:t>
      </w:r>
    </w:p>
    <w:p>
      <w:pPr>
        <w:numPr>
          <w:ilvl w:val="0"/>
          <w:numId w:val="22"/>
        </w:numPr>
        <w:spacing w:line="440" w:lineRule="exact"/>
        <w:ind w:left="616" w:hanging="616"/>
        <w:rPr>
          <w:rFonts w:ascii="宋体"/>
          <w:b/>
          <w:color w:val="000000"/>
          <w:sz w:val="24"/>
          <w:szCs w:val="24"/>
        </w:rPr>
      </w:pPr>
      <w:r>
        <w:rPr>
          <w:rFonts w:hint="eastAsia" w:ascii="宋体" w:hAnsi="宋体"/>
          <w:color w:val="000000"/>
          <w:sz w:val="24"/>
          <w:szCs w:val="24"/>
        </w:rPr>
        <w:t>投标人应按本章“投标须知前附表”中规定的份数要求编制投标文件</w:t>
      </w:r>
      <w:r>
        <w:rPr>
          <w:rFonts w:hint="eastAsia" w:ascii="宋体" w:hAnsi="宋体"/>
          <w:b/>
          <w:color w:val="000000"/>
          <w:sz w:val="24"/>
          <w:szCs w:val="24"/>
        </w:rPr>
        <w:t>，投标文件的副本可为正本的复印件</w:t>
      </w:r>
      <w:r>
        <w:rPr>
          <w:rFonts w:ascii="宋体"/>
          <w:b/>
          <w:color w:val="000000"/>
          <w:sz w:val="24"/>
          <w:szCs w:val="24"/>
        </w:rPr>
        <w:t>,</w:t>
      </w:r>
      <w:r>
        <w:rPr>
          <w:rFonts w:hint="eastAsia" w:ascii="宋体" w:hAnsi="宋体"/>
          <w:b/>
          <w:color w:val="000000"/>
          <w:sz w:val="24"/>
          <w:szCs w:val="24"/>
        </w:rPr>
        <w:t>但应在副本封面加盖单位公章。每套投标文件应清楚地标明“正本”、“副本”。副本与正本不一致的，以正本为准。</w:t>
      </w:r>
    </w:p>
    <w:p>
      <w:pPr>
        <w:numPr>
          <w:ilvl w:val="0"/>
          <w:numId w:val="22"/>
        </w:numPr>
        <w:spacing w:line="440" w:lineRule="exact"/>
        <w:ind w:left="616" w:hanging="616"/>
        <w:rPr>
          <w:rFonts w:ascii="宋体"/>
          <w:color w:val="000000"/>
          <w:sz w:val="24"/>
          <w:szCs w:val="24"/>
        </w:rPr>
      </w:pPr>
      <w:r>
        <w:rPr>
          <w:rFonts w:hint="eastAsia" w:ascii="宋体" w:hAnsi="宋体"/>
          <w:color w:val="000000"/>
          <w:sz w:val="24"/>
          <w:szCs w:val="24"/>
        </w:rPr>
        <w:t>投标文件的正本应打印或用不褪色墨水书写，应由法定代表人或经其正式授权的代表签字或盖章。由被授权代表签字的，应以书面形式出具授权证明，其《法定代表人授权书》应附在投标文件中。</w:t>
      </w:r>
    </w:p>
    <w:p>
      <w:pPr>
        <w:numPr>
          <w:ilvl w:val="0"/>
          <w:numId w:val="22"/>
        </w:numPr>
        <w:spacing w:line="440" w:lineRule="exact"/>
        <w:ind w:left="616" w:hanging="616"/>
        <w:rPr>
          <w:rFonts w:ascii="宋体"/>
          <w:color w:val="000000"/>
          <w:sz w:val="24"/>
          <w:szCs w:val="24"/>
        </w:rPr>
      </w:pPr>
      <w:r>
        <w:rPr>
          <w:rFonts w:hint="eastAsia" w:ascii="宋体" w:hAnsi="宋体"/>
          <w:color w:val="000000"/>
          <w:sz w:val="24"/>
          <w:szCs w:val="24"/>
        </w:rPr>
        <w:t>投标文件中任何涂改和增删，应由法定代表人或经其正式授权的代表在旁边签字后方为有效。</w:t>
      </w:r>
    </w:p>
    <w:p>
      <w:pPr>
        <w:numPr>
          <w:ilvl w:val="0"/>
          <w:numId w:val="22"/>
        </w:numPr>
        <w:spacing w:line="440" w:lineRule="exact"/>
        <w:ind w:left="616" w:hanging="616"/>
        <w:rPr>
          <w:rFonts w:ascii="宋体"/>
          <w:color w:val="000000"/>
          <w:sz w:val="24"/>
          <w:szCs w:val="24"/>
        </w:rPr>
      </w:pPr>
      <w:r>
        <w:rPr>
          <w:rFonts w:hint="eastAsia" w:ascii="宋体" w:hAnsi="宋体"/>
          <w:color w:val="000000"/>
          <w:sz w:val="24"/>
          <w:szCs w:val="24"/>
        </w:rPr>
        <w:t>招标文件中要求加盖公章及签字（签章）之处，投标文件正本中应按要求提供加盖公章及签字（签章）的原件，否则按照</w:t>
      </w:r>
      <w:r>
        <w:rPr>
          <w:rFonts w:hint="eastAsia" w:ascii="宋体" w:hAnsi="宋体"/>
          <w:b/>
          <w:color w:val="000000"/>
          <w:sz w:val="24"/>
          <w:szCs w:val="24"/>
        </w:rPr>
        <w:t>无效投标处理。</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投标文件的密封和标记</w:t>
      </w:r>
    </w:p>
    <w:p>
      <w:pPr>
        <w:numPr>
          <w:ilvl w:val="0"/>
          <w:numId w:val="23"/>
        </w:numPr>
        <w:spacing w:line="440" w:lineRule="exact"/>
        <w:ind w:left="618" w:hanging="618"/>
        <w:rPr>
          <w:rFonts w:ascii="宋体"/>
          <w:b/>
          <w:color w:val="000000"/>
          <w:sz w:val="24"/>
          <w:szCs w:val="20"/>
        </w:rPr>
      </w:pPr>
      <w:r>
        <w:rPr>
          <w:rFonts w:hint="eastAsia" w:ascii="宋体" w:hAnsi="宋体"/>
          <w:b/>
          <w:color w:val="000000"/>
          <w:sz w:val="24"/>
          <w:szCs w:val="20"/>
        </w:rPr>
        <w:t>投标文件包括第一部分资格证明文件，第二部分商务文件，第三部分技术、服务文件</w:t>
      </w:r>
      <w:r>
        <w:rPr>
          <w:rFonts w:ascii="宋体" w:hAnsi="宋体"/>
          <w:b/>
          <w:color w:val="000000"/>
          <w:sz w:val="24"/>
          <w:szCs w:val="20"/>
        </w:rPr>
        <w:t xml:space="preserve">, </w:t>
      </w:r>
      <w:r>
        <w:rPr>
          <w:rFonts w:hint="eastAsia" w:ascii="宋体" w:hAnsi="宋体"/>
          <w:b/>
          <w:color w:val="000000"/>
          <w:sz w:val="24"/>
          <w:szCs w:val="20"/>
        </w:rPr>
        <w:t>上述</w:t>
      </w:r>
      <w:r>
        <w:rPr>
          <w:rFonts w:hint="eastAsia" w:ascii="宋体" w:hAnsi="宋体"/>
          <w:b/>
          <w:color w:val="000000"/>
          <w:sz w:val="24"/>
          <w:szCs w:val="20"/>
          <w:u w:val="single"/>
        </w:rPr>
        <w:t>三部分应装订成一册</w:t>
      </w:r>
      <w:r>
        <w:rPr>
          <w:rFonts w:hint="eastAsia" w:ascii="宋体" w:hAnsi="宋体"/>
          <w:b/>
          <w:color w:val="000000"/>
          <w:sz w:val="24"/>
          <w:szCs w:val="20"/>
        </w:rPr>
        <w:t>后密封在独立封包中，并在封包上注明</w:t>
      </w:r>
      <w:r>
        <w:rPr>
          <w:rFonts w:ascii="宋体" w:hAnsi="宋体"/>
          <w:b/>
          <w:color w:val="000000"/>
          <w:sz w:val="24"/>
          <w:szCs w:val="20"/>
        </w:rPr>
        <w:t xml:space="preserve"> </w:t>
      </w:r>
      <w:r>
        <w:rPr>
          <w:rFonts w:hint="eastAsia" w:ascii="宋体" w:hAnsi="宋体"/>
          <w:b/>
          <w:color w:val="000000"/>
          <w:sz w:val="24"/>
          <w:szCs w:val="20"/>
        </w:rPr>
        <w:t>“投标文件”字样，封包内包括正本</w:t>
      </w:r>
      <w:r>
        <w:rPr>
          <w:rFonts w:ascii="宋体" w:hAnsi="宋体"/>
          <w:b/>
          <w:color w:val="000000"/>
          <w:sz w:val="24"/>
          <w:szCs w:val="20"/>
        </w:rPr>
        <w:t>1</w:t>
      </w:r>
      <w:r>
        <w:rPr>
          <w:rFonts w:hint="eastAsia" w:ascii="宋体" w:hAnsi="宋体"/>
          <w:b/>
          <w:color w:val="000000"/>
          <w:sz w:val="24"/>
          <w:szCs w:val="20"/>
        </w:rPr>
        <w:t>份、副本</w:t>
      </w:r>
      <w:r>
        <w:rPr>
          <w:rFonts w:ascii="宋体" w:hAnsi="宋体"/>
          <w:b/>
          <w:color w:val="000000"/>
          <w:sz w:val="24"/>
          <w:szCs w:val="20"/>
        </w:rPr>
        <w:t>4</w:t>
      </w:r>
      <w:r>
        <w:rPr>
          <w:rFonts w:hint="eastAsia" w:ascii="宋体" w:hAnsi="宋体"/>
          <w:b/>
          <w:color w:val="000000"/>
          <w:sz w:val="24"/>
          <w:szCs w:val="20"/>
        </w:rPr>
        <w:t>份。</w:t>
      </w:r>
    </w:p>
    <w:p>
      <w:pPr>
        <w:numPr>
          <w:ilvl w:val="0"/>
          <w:numId w:val="23"/>
        </w:numPr>
        <w:spacing w:line="440" w:lineRule="exact"/>
        <w:ind w:left="616" w:hanging="616"/>
        <w:rPr>
          <w:rFonts w:ascii="宋体"/>
          <w:b/>
          <w:color w:val="000000"/>
          <w:sz w:val="24"/>
          <w:szCs w:val="20"/>
        </w:rPr>
      </w:pPr>
      <w:r>
        <w:rPr>
          <w:rFonts w:hint="eastAsia" w:ascii="宋体" w:hAnsi="宋体"/>
          <w:b/>
          <w:color w:val="000000"/>
          <w:sz w:val="24"/>
          <w:szCs w:val="20"/>
        </w:rPr>
        <w:t>为方便开标时唱标，投标人应将《开标一览表》原件一份、《法定代表人（负责人）授权书》原件</w:t>
      </w:r>
      <w:r>
        <w:rPr>
          <w:rFonts w:ascii="宋体" w:hAnsi="宋体"/>
          <w:b/>
          <w:color w:val="000000"/>
          <w:sz w:val="24"/>
          <w:szCs w:val="20"/>
        </w:rPr>
        <w:t>1</w:t>
      </w:r>
      <w:r>
        <w:rPr>
          <w:rFonts w:hint="eastAsia" w:ascii="宋体" w:hAnsi="宋体"/>
          <w:b/>
          <w:color w:val="000000"/>
          <w:sz w:val="24"/>
          <w:szCs w:val="20"/>
        </w:rPr>
        <w:t>份以及《电子文档》</w:t>
      </w:r>
      <w:r>
        <w:rPr>
          <w:rFonts w:ascii="宋体" w:hAnsi="宋体"/>
          <w:b/>
          <w:color w:val="000000"/>
          <w:sz w:val="24"/>
          <w:szCs w:val="20"/>
        </w:rPr>
        <w:t>1</w:t>
      </w:r>
      <w:r>
        <w:rPr>
          <w:rFonts w:hint="eastAsia" w:ascii="宋体" w:hAnsi="宋体"/>
          <w:b/>
          <w:color w:val="000000"/>
          <w:sz w:val="24"/>
          <w:szCs w:val="20"/>
        </w:rPr>
        <w:t>份</w:t>
      </w:r>
      <w:r>
        <w:rPr>
          <w:rFonts w:hint="eastAsia" w:ascii="宋体" w:hAnsi="宋体"/>
          <w:b/>
          <w:color w:val="000000"/>
          <w:spacing w:val="-6"/>
          <w:kern w:val="0"/>
          <w:sz w:val="24"/>
          <w:szCs w:val="20"/>
        </w:rPr>
        <w:t>装入一个信封，单独密封提交</w:t>
      </w:r>
      <w:r>
        <w:rPr>
          <w:rFonts w:hint="eastAsia" w:ascii="宋体" w:hAnsi="宋体"/>
          <w:b/>
          <w:color w:val="000000"/>
          <w:sz w:val="24"/>
          <w:szCs w:val="20"/>
        </w:rPr>
        <w:t>，并在信封上注明“开标一览表”字样。未单独提交或单独提交的上述资料未按照招标文件规定的格式填写完整并签字、盖章的代理机构拒绝其投标。</w:t>
      </w:r>
    </w:p>
    <w:p>
      <w:pPr>
        <w:numPr>
          <w:ilvl w:val="0"/>
          <w:numId w:val="23"/>
        </w:numPr>
        <w:spacing w:line="440" w:lineRule="exact"/>
        <w:ind w:left="618" w:hanging="618"/>
        <w:rPr>
          <w:rFonts w:ascii="宋体"/>
          <w:b/>
          <w:color w:val="000000"/>
          <w:sz w:val="24"/>
          <w:szCs w:val="20"/>
        </w:rPr>
      </w:pPr>
      <w:r>
        <w:rPr>
          <w:rFonts w:hint="eastAsia" w:ascii="宋体" w:hAnsi="宋体"/>
          <w:b/>
          <w:color w:val="000000"/>
          <w:sz w:val="24"/>
          <w:szCs w:val="20"/>
          <w:u w:val="single"/>
        </w:rPr>
        <w:t>“开标一览表”信封</w:t>
      </w:r>
      <w:r>
        <w:rPr>
          <w:rFonts w:hint="eastAsia" w:ascii="宋体" w:hAnsi="宋体"/>
          <w:b/>
          <w:color w:val="000000"/>
          <w:sz w:val="24"/>
          <w:szCs w:val="20"/>
        </w:rPr>
        <w:t>和</w:t>
      </w:r>
      <w:r>
        <w:rPr>
          <w:rFonts w:hint="eastAsia" w:ascii="宋体" w:hAnsi="宋体"/>
          <w:b/>
          <w:color w:val="000000"/>
          <w:sz w:val="24"/>
          <w:szCs w:val="20"/>
          <w:u w:val="single"/>
        </w:rPr>
        <w:t>“投标文件”封包</w:t>
      </w:r>
      <w:r>
        <w:rPr>
          <w:rFonts w:hint="eastAsia" w:ascii="宋体" w:hAnsi="宋体"/>
          <w:b/>
          <w:color w:val="000000"/>
          <w:sz w:val="24"/>
          <w:szCs w:val="20"/>
        </w:rPr>
        <w:t>上还应注明项目编号、项目名称、投标人名称和“在（招标文件中规定的开标日期和时间）之前不得启封”的字样，封口处加盖投标人公章。</w:t>
      </w:r>
    </w:p>
    <w:p>
      <w:pPr>
        <w:numPr>
          <w:ilvl w:val="0"/>
          <w:numId w:val="23"/>
        </w:numPr>
        <w:spacing w:line="440" w:lineRule="exact"/>
        <w:ind w:left="618" w:hanging="618"/>
        <w:rPr>
          <w:rFonts w:ascii="宋体"/>
          <w:color w:val="000000"/>
          <w:sz w:val="24"/>
          <w:szCs w:val="20"/>
        </w:rPr>
      </w:pPr>
      <w:r>
        <w:rPr>
          <w:rFonts w:hint="eastAsia" w:ascii="宋体" w:hAnsi="宋体"/>
          <w:color w:val="000000"/>
          <w:sz w:val="24"/>
          <w:szCs w:val="20"/>
        </w:rPr>
        <w:t>未按要求密封、标记或存在错误，代理机构对其误投或提前启封概不负责。</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投标文件递交</w:t>
      </w:r>
    </w:p>
    <w:p>
      <w:pPr>
        <w:numPr>
          <w:ilvl w:val="0"/>
          <w:numId w:val="24"/>
        </w:numPr>
        <w:spacing w:line="440" w:lineRule="exact"/>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投标人应在不迟于投标邀请书中规定的投标截止日期和时间将投标文件密封递交至代理机构规定的投标地点。</w:t>
      </w:r>
    </w:p>
    <w:p>
      <w:pPr>
        <w:numPr>
          <w:ilvl w:val="0"/>
          <w:numId w:val="24"/>
        </w:numPr>
        <w:spacing w:line="440" w:lineRule="exact"/>
        <w:ind w:left="616" w:hanging="616"/>
        <w:rPr>
          <w:rFonts w:ascii="Helvetica" w:hAnsi="Helvetica" w:cs="Helvetica"/>
          <w:b/>
          <w:color w:val="000000"/>
          <w:kern w:val="0"/>
          <w:sz w:val="24"/>
          <w:szCs w:val="24"/>
        </w:rPr>
      </w:pPr>
      <w:r>
        <w:rPr>
          <w:rFonts w:hint="eastAsia" w:ascii="Helvetica" w:hAnsi="Helvetica" w:cs="Helvetica"/>
          <w:b/>
          <w:color w:val="000000"/>
          <w:kern w:val="0"/>
          <w:sz w:val="24"/>
          <w:szCs w:val="24"/>
        </w:rPr>
        <w:t>代理机构拒收逾期送达或者未按招标文件要求密封的投标文件。</w:t>
      </w:r>
    </w:p>
    <w:p>
      <w:pPr>
        <w:numPr>
          <w:ilvl w:val="0"/>
          <w:numId w:val="24"/>
        </w:numPr>
        <w:spacing w:line="440" w:lineRule="exact"/>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代理机构收到投标文件后，应当如实记载投标文件的送达时间和密封情况，签收保存，并向投标人出具签收回执。</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投标文件的修改和撤回</w:t>
      </w:r>
    </w:p>
    <w:p>
      <w:pPr>
        <w:numPr>
          <w:ilvl w:val="0"/>
          <w:numId w:val="25"/>
        </w:numPr>
        <w:spacing w:line="440" w:lineRule="exact"/>
        <w:ind w:left="616" w:hanging="616"/>
        <w:rPr>
          <w:rFonts w:ascii="宋体"/>
          <w:strike/>
          <w:color w:val="000000"/>
          <w:sz w:val="24"/>
          <w:szCs w:val="20"/>
        </w:rPr>
      </w:pPr>
      <w:r>
        <w:rPr>
          <w:rFonts w:hint="eastAsia" w:ascii="宋体" w:hAnsi="宋体"/>
          <w:color w:val="000000"/>
          <w:sz w:val="24"/>
          <w:szCs w:val="20"/>
        </w:rPr>
        <w:t>投标人在投标截止时间前，可以对所递交的投标文件进行补充、修改或者撤回，并书面通知代理机构。补充、修改的内容应当按照招标文件要求签署、盖章、密封后，作为投标文件的组成部分。</w:t>
      </w:r>
    </w:p>
    <w:p>
      <w:pPr>
        <w:numPr>
          <w:ilvl w:val="0"/>
          <w:numId w:val="25"/>
        </w:numPr>
        <w:spacing w:line="440" w:lineRule="exact"/>
        <w:ind w:left="616" w:hanging="616"/>
        <w:rPr>
          <w:rFonts w:ascii="宋体"/>
          <w:color w:val="000000"/>
          <w:sz w:val="24"/>
          <w:szCs w:val="20"/>
        </w:rPr>
      </w:pPr>
      <w:r>
        <w:rPr>
          <w:rFonts w:hint="eastAsia" w:ascii="宋体" w:hAnsi="宋体"/>
          <w:color w:val="000000"/>
          <w:sz w:val="24"/>
          <w:szCs w:val="20"/>
        </w:rPr>
        <w:t>投标有效期内投标人不得撤销其投标文件。</w:t>
      </w:r>
    </w:p>
    <w:p>
      <w:pPr>
        <w:numPr>
          <w:ilvl w:val="0"/>
          <w:numId w:val="25"/>
        </w:numPr>
        <w:spacing w:line="440" w:lineRule="exact"/>
        <w:ind w:left="616" w:hanging="616"/>
        <w:rPr>
          <w:rFonts w:ascii="宋体"/>
          <w:color w:val="000000"/>
          <w:sz w:val="24"/>
          <w:szCs w:val="20"/>
        </w:rPr>
      </w:pPr>
      <w:r>
        <w:rPr>
          <w:rFonts w:hint="eastAsia" w:ascii="宋体" w:hAnsi="宋体"/>
          <w:color w:val="000000"/>
          <w:sz w:val="24"/>
          <w:szCs w:val="20"/>
        </w:rPr>
        <w:t>投标人所递交的投标文件无论中标与否不予退还。</w:t>
      </w:r>
    </w:p>
    <w:p>
      <w:pPr>
        <w:pStyle w:val="4"/>
        <w:numPr>
          <w:ilvl w:val="0"/>
          <w:numId w:val="7"/>
        </w:numPr>
        <w:spacing w:before="0" w:after="0" w:line="440" w:lineRule="exact"/>
        <w:ind w:left="658" w:hanging="658"/>
        <w:jc w:val="left"/>
        <w:rPr>
          <w:rFonts w:ascii="宋体"/>
          <w:bCs w:val="0"/>
          <w:color w:val="000000"/>
        </w:rPr>
      </w:pPr>
      <w:bookmarkStart w:id="60" w:name="_Toc511889420"/>
      <w:bookmarkStart w:id="61" w:name="_Toc2252872"/>
      <w:bookmarkStart w:id="62" w:name="_Toc511894498"/>
      <w:r>
        <w:rPr>
          <w:rFonts w:hint="eastAsia" w:ascii="宋体" w:hAnsi="宋体"/>
          <w:bCs w:val="0"/>
          <w:color w:val="000000"/>
        </w:rPr>
        <w:t>开标与评标</w:t>
      </w:r>
      <w:bookmarkEnd w:id="60"/>
      <w:bookmarkEnd w:id="61"/>
      <w:bookmarkEnd w:id="62"/>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开标</w:t>
      </w:r>
    </w:p>
    <w:p>
      <w:pPr>
        <w:numPr>
          <w:ilvl w:val="0"/>
          <w:numId w:val="26"/>
        </w:numPr>
        <w:spacing w:line="440" w:lineRule="exact"/>
        <w:ind w:left="616" w:hanging="616"/>
        <w:rPr>
          <w:rFonts w:ascii="宋体"/>
          <w:color w:val="000000"/>
          <w:sz w:val="24"/>
          <w:szCs w:val="20"/>
        </w:rPr>
      </w:pPr>
      <w:r>
        <w:rPr>
          <w:rFonts w:hint="eastAsia" w:ascii="宋体" w:hAnsi="宋体"/>
          <w:color w:val="000000"/>
          <w:sz w:val="24"/>
          <w:szCs w:val="20"/>
        </w:rPr>
        <w:t>代理机构在第一章“投标邀请书”中约定的日期、时间和地点组织公开开标。开标时采购人和投标人代表（投标人法定代表人或其授权代表）参加</w:t>
      </w:r>
      <w:r>
        <w:rPr>
          <w:rFonts w:ascii="宋体"/>
          <w:color w:val="000000"/>
          <w:sz w:val="24"/>
          <w:szCs w:val="20"/>
        </w:rPr>
        <w:t>,</w:t>
      </w:r>
      <w:r>
        <w:rPr>
          <w:rFonts w:hint="eastAsia" w:ascii="宋体" w:hAnsi="宋体"/>
          <w:color w:val="000000"/>
          <w:sz w:val="24"/>
          <w:szCs w:val="20"/>
        </w:rPr>
        <w:t>参加开标的代表应签到以证明其出席。</w:t>
      </w:r>
    </w:p>
    <w:p>
      <w:pPr>
        <w:numPr>
          <w:ilvl w:val="0"/>
          <w:numId w:val="26"/>
        </w:numPr>
        <w:spacing w:line="440" w:lineRule="exact"/>
        <w:ind w:left="616" w:hanging="616"/>
        <w:rPr>
          <w:rFonts w:ascii="宋体"/>
          <w:color w:val="000000"/>
          <w:sz w:val="24"/>
          <w:szCs w:val="20"/>
        </w:rPr>
      </w:pPr>
      <w:r>
        <w:rPr>
          <w:rFonts w:hint="eastAsia" w:ascii="宋体" w:hAnsi="宋体"/>
          <w:color w:val="000000"/>
          <w:sz w:val="24"/>
          <w:szCs w:val="20"/>
        </w:rPr>
        <w:t>投标人法定代表人或其授权代表应携带有效身份证明参加项目开标会，投标人未参加开标的，视同认可开标结果。截止</w:t>
      </w:r>
      <w:r>
        <w:rPr>
          <w:rFonts w:hint="eastAsia" w:ascii="宋体" w:hAnsi="宋体" w:cs="宋体"/>
          <w:color w:val="000000"/>
          <w:kern w:val="0"/>
          <w:sz w:val="24"/>
          <w:szCs w:val="24"/>
        </w:rPr>
        <w:t>投标文件</w:t>
      </w:r>
      <w:r>
        <w:rPr>
          <w:rFonts w:hint="eastAsia" w:ascii="宋体" w:hAnsi="宋体"/>
          <w:color w:val="000000"/>
          <w:sz w:val="24"/>
          <w:szCs w:val="20"/>
        </w:rPr>
        <w:t>递交时间，投标人不足</w:t>
      </w:r>
      <w:r>
        <w:rPr>
          <w:rFonts w:ascii="宋体" w:hAnsi="宋体"/>
          <w:color w:val="000000"/>
          <w:sz w:val="24"/>
          <w:szCs w:val="20"/>
        </w:rPr>
        <w:t>3</w:t>
      </w:r>
      <w:r>
        <w:rPr>
          <w:rFonts w:hint="eastAsia" w:ascii="宋体" w:hAnsi="宋体"/>
          <w:color w:val="000000"/>
          <w:sz w:val="24"/>
          <w:szCs w:val="20"/>
        </w:rPr>
        <w:t>家的，不进行开标</w:t>
      </w:r>
      <w:r>
        <w:rPr>
          <w:rFonts w:hint="eastAsia" w:ascii="Helvetica" w:hAnsi="Helvetica" w:cs="Helvetica"/>
          <w:color w:val="000000"/>
          <w:kern w:val="0"/>
          <w:sz w:val="24"/>
          <w:szCs w:val="24"/>
        </w:rPr>
        <w:t>。</w:t>
      </w:r>
    </w:p>
    <w:p>
      <w:pPr>
        <w:numPr>
          <w:ilvl w:val="0"/>
          <w:numId w:val="26"/>
        </w:numPr>
        <w:spacing w:line="440" w:lineRule="exact"/>
        <w:ind w:left="616" w:hanging="616"/>
        <w:rPr>
          <w:rFonts w:ascii="宋体"/>
          <w:color w:val="000000"/>
          <w:sz w:val="24"/>
          <w:szCs w:val="20"/>
        </w:rPr>
      </w:pPr>
      <w:r>
        <w:rPr>
          <w:rFonts w:hint="eastAsia" w:ascii="宋体" w:hAnsi="宋体"/>
          <w:color w:val="000000"/>
          <w:sz w:val="24"/>
          <w:szCs w:val="20"/>
        </w:rPr>
        <w:t>开标时，由投标人或其推选的代表检查投标文件的密封情况，经确认无误后由代理机构工作人员当众拆封，宣布投标人名称、投标价格和招标文件规定的需要宣布的其他内容。</w:t>
      </w:r>
    </w:p>
    <w:p>
      <w:pPr>
        <w:numPr>
          <w:ilvl w:val="0"/>
          <w:numId w:val="26"/>
        </w:numPr>
        <w:spacing w:line="440" w:lineRule="exact"/>
        <w:ind w:left="616" w:hanging="616"/>
        <w:rPr>
          <w:rFonts w:ascii="宋体"/>
          <w:color w:val="000000"/>
          <w:sz w:val="24"/>
          <w:szCs w:val="20"/>
        </w:rPr>
      </w:pPr>
      <w:r>
        <w:rPr>
          <w:rFonts w:hint="eastAsia" w:ascii="宋体" w:hAnsi="宋体"/>
          <w:color w:val="000000"/>
          <w:sz w:val="24"/>
          <w:szCs w:val="20"/>
        </w:rPr>
        <w:t>代理机构负责对开标过程进行记录，由参加开标的各投标人代表和相关工作人员对开标记录进行签字确认。</w:t>
      </w:r>
    </w:p>
    <w:p>
      <w:pPr>
        <w:numPr>
          <w:ilvl w:val="0"/>
          <w:numId w:val="26"/>
        </w:numPr>
        <w:spacing w:line="440" w:lineRule="exact"/>
        <w:ind w:left="616" w:hanging="616"/>
        <w:rPr>
          <w:rFonts w:ascii="宋体"/>
          <w:color w:val="000000"/>
          <w:sz w:val="24"/>
          <w:szCs w:val="20"/>
        </w:rPr>
      </w:pPr>
      <w:r>
        <w:rPr>
          <w:rFonts w:hint="eastAsia" w:ascii="宋体" w:hAnsi="宋体"/>
          <w:color w:val="000000"/>
          <w:sz w:val="24"/>
          <w:szCs w:val="20"/>
        </w:rPr>
        <w:t>投标人代表对开标过程和开标记录有疑义，以及认为采购人、代理机构相关工作人员有需要回避的情形的，应当场提出询问或者回避申请。采购人、代理机构将及时处理投标人代表提出的询问或者回避申请。</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资格审查</w:t>
      </w:r>
    </w:p>
    <w:p>
      <w:pPr>
        <w:numPr>
          <w:ilvl w:val="0"/>
          <w:numId w:val="27"/>
        </w:numPr>
        <w:spacing w:line="440" w:lineRule="exact"/>
        <w:ind w:left="616" w:hanging="616"/>
        <w:rPr>
          <w:rFonts w:ascii="Helvetica" w:hAnsi="Helvetica" w:cs="Helvetica"/>
          <w:color w:val="000000"/>
          <w:kern w:val="0"/>
          <w:sz w:val="24"/>
          <w:szCs w:val="24"/>
        </w:rPr>
      </w:pPr>
      <w:r>
        <w:rPr>
          <w:rFonts w:hint="eastAsia" w:ascii="宋体" w:hAnsi="宋体"/>
          <w:bCs/>
          <w:color w:val="000000"/>
          <w:sz w:val="24"/>
          <w:szCs w:val="20"/>
        </w:rPr>
        <w:t>公开招标采购项目开标结束后，采购人与代理机构依据法律、法规及招标文件的规定，对投标人的资格进行审查，以确定投标人资格是否合格。</w:t>
      </w:r>
      <w:r>
        <w:rPr>
          <w:rFonts w:hint="eastAsia" w:ascii="Helvetica" w:hAnsi="Helvetica" w:cs="Helvetica"/>
          <w:color w:val="000000"/>
          <w:kern w:val="0"/>
          <w:sz w:val="24"/>
          <w:szCs w:val="24"/>
        </w:rPr>
        <w:t>合格投标人不足</w:t>
      </w:r>
      <w:r>
        <w:rPr>
          <w:rFonts w:ascii="宋体" w:hAnsi="宋体" w:cs="Helvetica"/>
          <w:color w:val="000000"/>
          <w:kern w:val="0"/>
          <w:sz w:val="24"/>
          <w:szCs w:val="24"/>
        </w:rPr>
        <w:t>3</w:t>
      </w:r>
      <w:r>
        <w:rPr>
          <w:rFonts w:hint="eastAsia" w:ascii="Helvetica" w:hAnsi="Helvetica" w:cs="Helvetica"/>
          <w:color w:val="000000"/>
          <w:kern w:val="0"/>
          <w:sz w:val="24"/>
          <w:szCs w:val="24"/>
        </w:rPr>
        <w:t>家的，不进行评标。</w:t>
      </w:r>
    </w:p>
    <w:p>
      <w:pPr>
        <w:numPr>
          <w:ilvl w:val="0"/>
          <w:numId w:val="27"/>
        </w:numPr>
        <w:spacing w:line="440" w:lineRule="exact"/>
        <w:ind w:left="616" w:hanging="616"/>
        <w:rPr>
          <w:rFonts w:ascii="宋体"/>
          <w:bCs/>
          <w:color w:val="000000"/>
          <w:sz w:val="24"/>
          <w:szCs w:val="20"/>
        </w:rPr>
      </w:pPr>
      <w:r>
        <w:rPr>
          <w:rFonts w:hint="eastAsia" w:ascii="宋体" w:hAnsi="宋体"/>
          <w:bCs/>
          <w:color w:val="000000"/>
          <w:sz w:val="24"/>
          <w:szCs w:val="20"/>
        </w:rPr>
        <w:t>资格审查详见第四章“资格审查方法及标准”。</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评标方法</w:t>
      </w:r>
    </w:p>
    <w:p>
      <w:pPr>
        <w:numPr>
          <w:ilvl w:val="0"/>
          <w:numId w:val="28"/>
        </w:numPr>
        <w:spacing w:line="440" w:lineRule="exact"/>
        <w:ind w:left="616" w:hanging="616"/>
        <w:rPr>
          <w:rFonts w:ascii="宋体"/>
          <w:bCs/>
          <w:color w:val="000000"/>
          <w:sz w:val="24"/>
          <w:szCs w:val="20"/>
        </w:rPr>
      </w:pPr>
      <w:r>
        <w:rPr>
          <w:rFonts w:hint="eastAsia" w:ascii="宋体" w:hAnsi="宋体"/>
          <w:bCs/>
          <w:color w:val="000000"/>
          <w:sz w:val="24"/>
          <w:szCs w:val="20"/>
        </w:rPr>
        <w:t>最低评标价法。最低评标价法是指投标文件满足招标文件全部实质性要求，且投标报价最低的投标人为中标候选人的评标方法。</w:t>
      </w:r>
    </w:p>
    <w:p>
      <w:pPr>
        <w:numPr>
          <w:ilvl w:val="0"/>
          <w:numId w:val="28"/>
        </w:numPr>
        <w:spacing w:line="440" w:lineRule="exact"/>
        <w:ind w:left="616" w:hanging="616"/>
        <w:rPr>
          <w:rFonts w:ascii="宋体"/>
          <w:bCs/>
          <w:color w:val="000000"/>
          <w:sz w:val="24"/>
          <w:szCs w:val="20"/>
        </w:rPr>
      </w:pPr>
      <w:r>
        <w:rPr>
          <w:rFonts w:hint="eastAsia" w:ascii="宋体" w:hAnsi="宋体"/>
          <w:bCs/>
          <w:color w:val="000000"/>
          <w:sz w:val="24"/>
          <w:szCs w:val="20"/>
        </w:rPr>
        <w:t>综合评分法。综合评分法是指投标文件满足招标文件全部实质性要求，且按照评审因素的量化指标评审得分最高的投标人为中标候选人的评标方法。</w:t>
      </w:r>
    </w:p>
    <w:p>
      <w:pPr>
        <w:numPr>
          <w:ilvl w:val="0"/>
          <w:numId w:val="28"/>
        </w:numPr>
        <w:spacing w:line="440" w:lineRule="exact"/>
        <w:ind w:left="616" w:hanging="616"/>
        <w:rPr>
          <w:rFonts w:ascii="宋体"/>
          <w:bCs/>
          <w:color w:val="000000"/>
          <w:sz w:val="24"/>
          <w:szCs w:val="20"/>
        </w:rPr>
      </w:pPr>
      <w:r>
        <w:rPr>
          <w:rFonts w:hint="eastAsia" w:ascii="Helvetica" w:hAnsi="Helvetica" w:cs="Helvetica"/>
          <w:color w:val="000000"/>
          <w:kern w:val="0"/>
          <w:sz w:val="24"/>
          <w:szCs w:val="24"/>
        </w:rPr>
        <w:t>评标方法详见第五章“评标方法、程序及标准”</w:t>
      </w:r>
      <w:r>
        <w:rPr>
          <w:rFonts w:hint="eastAsia" w:ascii="宋体" w:hAnsi="宋体"/>
          <w:bCs/>
          <w:color w:val="000000"/>
          <w:sz w:val="24"/>
          <w:szCs w:val="20"/>
        </w:rPr>
        <w:t>。</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评标委员会的组成</w:t>
      </w:r>
    </w:p>
    <w:p>
      <w:pPr>
        <w:numPr>
          <w:ilvl w:val="0"/>
          <w:numId w:val="29"/>
        </w:numPr>
        <w:spacing w:line="440" w:lineRule="exact"/>
        <w:ind w:left="616" w:hanging="616"/>
        <w:rPr>
          <w:rFonts w:ascii="宋体"/>
          <w:color w:val="000000"/>
          <w:sz w:val="24"/>
          <w:szCs w:val="20"/>
        </w:rPr>
      </w:pPr>
      <w:r>
        <w:rPr>
          <w:rFonts w:hint="eastAsia" w:ascii="宋体" w:hAnsi="宋体" w:cs="Helvetica"/>
          <w:color w:val="000000"/>
          <w:kern w:val="0"/>
          <w:sz w:val="24"/>
          <w:szCs w:val="24"/>
        </w:rPr>
        <w:t>评标委员会由采购人代表和评审专家组成，成员人数应当为</w:t>
      </w:r>
      <w:r>
        <w:rPr>
          <w:rFonts w:ascii="宋体" w:hAnsi="宋体" w:cs="Helvetica"/>
          <w:color w:val="000000"/>
          <w:kern w:val="0"/>
          <w:sz w:val="24"/>
          <w:szCs w:val="24"/>
        </w:rPr>
        <w:t>5</w:t>
      </w:r>
      <w:r>
        <w:rPr>
          <w:rFonts w:hint="eastAsia" w:ascii="宋体" w:hAnsi="宋体" w:cs="Helvetica"/>
          <w:color w:val="000000"/>
          <w:kern w:val="0"/>
          <w:sz w:val="24"/>
          <w:szCs w:val="24"/>
        </w:rPr>
        <w:t>人及以上单数，其中评审专家不得少于成员总数的三分之二；</w:t>
      </w:r>
      <w:r>
        <w:rPr>
          <w:rFonts w:hint="eastAsia" w:ascii="宋体" w:hAnsi="宋体"/>
          <w:color w:val="000000"/>
          <w:sz w:val="24"/>
          <w:szCs w:val="20"/>
        </w:rPr>
        <w:t>采购预算金额在</w:t>
      </w:r>
      <w:r>
        <w:rPr>
          <w:rFonts w:ascii="宋体" w:hAnsi="宋体"/>
          <w:color w:val="000000"/>
          <w:sz w:val="24"/>
          <w:szCs w:val="20"/>
        </w:rPr>
        <w:t>1000</w:t>
      </w:r>
      <w:r>
        <w:rPr>
          <w:rFonts w:hint="eastAsia" w:ascii="宋体" w:hAnsi="宋体"/>
          <w:color w:val="000000"/>
          <w:sz w:val="24"/>
          <w:szCs w:val="20"/>
        </w:rPr>
        <w:t>万元及以上、技术复杂或社会影响较大的项目，评标委员会成员人数应当为</w:t>
      </w:r>
      <w:r>
        <w:rPr>
          <w:rFonts w:ascii="宋体" w:hAnsi="宋体"/>
          <w:color w:val="000000"/>
          <w:sz w:val="24"/>
          <w:szCs w:val="20"/>
        </w:rPr>
        <w:t>7</w:t>
      </w:r>
      <w:r>
        <w:rPr>
          <w:rFonts w:hint="eastAsia" w:ascii="宋体" w:hAnsi="宋体"/>
          <w:color w:val="000000"/>
          <w:sz w:val="24"/>
          <w:szCs w:val="20"/>
        </w:rPr>
        <w:t>人及以上单数。</w:t>
      </w:r>
    </w:p>
    <w:p>
      <w:pPr>
        <w:numPr>
          <w:ilvl w:val="0"/>
          <w:numId w:val="29"/>
        </w:numPr>
        <w:spacing w:line="440" w:lineRule="exact"/>
        <w:ind w:left="616" w:hanging="616"/>
        <w:rPr>
          <w:rFonts w:ascii="宋体"/>
          <w:color w:val="000000"/>
          <w:sz w:val="24"/>
          <w:szCs w:val="20"/>
        </w:rPr>
      </w:pPr>
      <w:r>
        <w:rPr>
          <w:rFonts w:hint="eastAsia" w:ascii="宋体" w:hAnsi="宋体"/>
          <w:color w:val="000000"/>
          <w:sz w:val="24"/>
          <w:szCs w:val="20"/>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评标程序</w:t>
      </w:r>
    </w:p>
    <w:p>
      <w:pPr>
        <w:numPr>
          <w:ilvl w:val="0"/>
          <w:numId w:val="30"/>
        </w:numPr>
        <w:spacing w:line="440" w:lineRule="exact"/>
        <w:ind w:left="616" w:hanging="616"/>
        <w:rPr>
          <w:rFonts w:ascii="宋体"/>
          <w:color w:val="000000"/>
          <w:sz w:val="24"/>
          <w:szCs w:val="20"/>
        </w:rPr>
      </w:pPr>
      <w:r>
        <w:rPr>
          <w:rFonts w:hint="eastAsia" w:ascii="Helvetica" w:hAnsi="Helvetica" w:cs="Helvetica"/>
          <w:color w:val="000000"/>
          <w:kern w:val="0"/>
          <w:sz w:val="24"/>
          <w:szCs w:val="24"/>
        </w:rPr>
        <w:t>评标委员会负责具体评标事务，并独立履行下列职责：</w:t>
      </w:r>
    </w:p>
    <w:p>
      <w:pPr>
        <w:numPr>
          <w:ilvl w:val="0"/>
          <w:numId w:val="31"/>
        </w:numPr>
        <w:spacing w:line="440" w:lineRule="exact"/>
        <w:ind w:left="980" w:hanging="854"/>
        <w:rPr>
          <w:rFonts w:ascii="宋体"/>
          <w:color w:val="000000"/>
          <w:sz w:val="24"/>
          <w:szCs w:val="20"/>
        </w:rPr>
      </w:pPr>
      <w:r>
        <w:rPr>
          <w:rFonts w:hint="eastAsia" w:ascii="宋体" w:hAnsi="宋体"/>
          <w:color w:val="000000"/>
          <w:sz w:val="24"/>
          <w:szCs w:val="20"/>
        </w:rPr>
        <w:t>审查、评价投标文件是否符合招标文件的商务、技术等实质性要求；</w:t>
      </w:r>
    </w:p>
    <w:p>
      <w:pPr>
        <w:numPr>
          <w:ilvl w:val="0"/>
          <w:numId w:val="31"/>
        </w:numPr>
        <w:spacing w:line="440" w:lineRule="exact"/>
        <w:ind w:left="980" w:hanging="854"/>
        <w:rPr>
          <w:rFonts w:ascii="宋体"/>
          <w:color w:val="000000"/>
          <w:sz w:val="24"/>
          <w:szCs w:val="20"/>
        </w:rPr>
      </w:pPr>
      <w:r>
        <w:rPr>
          <w:rFonts w:hint="eastAsia" w:ascii="宋体" w:hAnsi="宋体"/>
          <w:color w:val="000000"/>
          <w:sz w:val="24"/>
          <w:szCs w:val="20"/>
        </w:rPr>
        <w:t>要求投标人对投标文件有关事项作出澄清或者说明；</w:t>
      </w:r>
    </w:p>
    <w:p>
      <w:pPr>
        <w:numPr>
          <w:ilvl w:val="0"/>
          <w:numId w:val="31"/>
        </w:numPr>
        <w:spacing w:line="440" w:lineRule="exact"/>
        <w:ind w:left="980" w:hanging="854"/>
        <w:rPr>
          <w:rFonts w:ascii="宋体"/>
          <w:color w:val="000000"/>
          <w:sz w:val="24"/>
          <w:szCs w:val="20"/>
        </w:rPr>
      </w:pPr>
      <w:r>
        <w:rPr>
          <w:rFonts w:hint="eastAsia" w:ascii="宋体" w:hAnsi="宋体"/>
          <w:color w:val="000000"/>
          <w:sz w:val="24"/>
          <w:szCs w:val="20"/>
        </w:rPr>
        <w:t>对投标文件进行综合比较和评价；</w:t>
      </w:r>
    </w:p>
    <w:p>
      <w:pPr>
        <w:numPr>
          <w:ilvl w:val="0"/>
          <w:numId w:val="31"/>
        </w:numPr>
        <w:spacing w:line="440" w:lineRule="exact"/>
        <w:ind w:left="980" w:hanging="854"/>
        <w:rPr>
          <w:rFonts w:ascii="宋体"/>
          <w:color w:val="000000"/>
          <w:sz w:val="24"/>
          <w:szCs w:val="20"/>
        </w:rPr>
      </w:pPr>
      <w:r>
        <w:rPr>
          <w:rFonts w:hint="eastAsia" w:ascii="宋体" w:hAnsi="宋体"/>
          <w:color w:val="000000"/>
          <w:sz w:val="24"/>
          <w:szCs w:val="20"/>
        </w:rPr>
        <w:t>确定中标候选人名单或中标人；</w:t>
      </w:r>
    </w:p>
    <w:p>
      <w:pPr>
        <w:numPr>
          <w:ilvl w:val="0"/>
          <w:numId w:val="31"/>
        </w:numPr>
        <w:spacing w:line="440" w:lineRule="exact"/>
        <w:ind w:left="980" w:hanging="854"/>
        <w:rPr>
          <w:rFonts w:ascii="宋体"/>
          <w:color w:val="000000"/>
          <w:sz w:val="24"/>
          <w:szCs w:val="20"/>
        </w:rPr>
      </w:pPr>
      <w:r>
        <w:rPr>
          <w:rFonts w:hint="eastAsia" w:ascii="宋体" w:hAnsi="宋体"/>
          <w:color w:val="000000"/>
          <w:sz w:val="24"/>
          <w:szCs w:val="20"/>
        </w:rPr>
        <w:t>向采购人、代理机构或者有关部门报告评标中发现的违法行为。</w:t>
      </w:r>
    </w:p>
    <w:p>
      <w:pPr>
        <w:numPr>
          <w:ilvl w:val="0"/>
          <w:numId w:val="30"/>
        </w:numPr>
        <w:spacing w:line="440" w:lineRule="exact"/>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评标程序详见第五章“评标方法、程序及标准”。</w:t>
      </w:r>
    </w:p>
    <w:p>
      <w:pPr>
        <w:pStyle w:val="4"/>
        <w:numPr>
          <w:ilvl w:val="0"/>
          <w:numId w:val="7"/>
        </w:numPr>
        <w:spacing w:before="0" w:after="0" w:line="440" w:lineRule="exact"/>
        <w:ind w:left="658" w:hanging="658"/>
        <w:jc w:val="left"/>
        <w:rPr>
          <w:rFonts w:ascii="宋体"/>
          <w:bCs w:val="0"/>
          <w:color w:val="000000"/>
        </w:rPr>
      </w:pPr>
      <w:bookmarkStart w:id="63" w:name="_Toc2252873"/>
      <w:bookmarkStart w:id="64" w:name="_Toc511894499"/>
      <w:bookmarkStart w:id="65" w:name="_Toc511889421"/>
      <w:r>
        <w:rPr>
          <w:rFonts w:hint="eastAsia" w:ascii="宋体" w:hAnsi="宋体"/>
          <w:bCs w:val="0"/>
          <w:color w:val="000000"/>
        </w:rPr>
        <w:t>投标人信用信息及查询</w:t>
      </w:r>
      <w:bookmarkEnd w:id="63"/>
      <w:bookmarkEnd w:id="64"/>
      <w:bookmarkEnd w:id="65"/>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信用信息查询渠道及使用规则</w:t>
      </w:r>
    </w:p>
    <w:p>
      <w:pPr>
        <w:numPr>
          <w:ilvl w:val="0"/>
          <w:numId w:val="32"/>
        </w:numPr>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按照《关于在政府采购活动中查询及使用信用记录有关问题的通知》的要求，参与政府采购的投标人，信用记录的查询渠道为“信用中国”网站</w:t>
      </w:r>
      <w:r>
        <w:rPr>
          <w:rFonts w:ascii="宋体" w:hAnsi="宋体" w:cs="Helvetica"/>
          <w:color w:val="000000"/>
          <w:kern w:val="0"/>
          <w:sz w:val="24"/>
          <w:szCs w:val="24"/>
        </w:rPr>
        <w:t>(www.creditchina.gov.cn)</w:t>
      </w:r>
      <w:r>
        <w:rPr>
          <w:rFonts w:hint="eastAsia" w:ascii="宋体" w:hAnsi="宋体" w:cs="Helvetica"/>
          <w:color w:val="000000"/>
          <w:kern w:val="0"/>
          <w:sz w:val="24"/>
          <w:szCs w:val="24"/>
        </w:rPr>
        <w:t>、中国政府采购网</w:t>
      </w:r>
      <w:r>
        <w:rPr>
          <w:rFonts w:ascii="宋体" w:hAnsi="宋体" w:cs="Helvetica"/>
          <w:color w:val="000000"/>
          <w:kern w:val="0"/>
          <w:sz w:val="24"/>
          <w:szCs w:val="24"/>
        </w:rPr>
        <w:t>(</w:t>
      </w:r>
      <w:r>
        <w:fldChar w:fldCharType="begin"/>
      </w:r>
      <w:r>
        <w:instrText xml:space="preserve"> HYPERLINK "http://www.ccgp.gov.cn" </w:instrText>
      </w:r>
      <w:r>
        <w:fldChar w:fldCharType="separate"/>
      </w:r>
      <w:r>
        <w:rPr>
          <w:rFonts w:ascii="宋体" w:hAnsi="宋体" w:cs="Helvetica"/>
          <w:color w:val="000000"/>
          <w:kern w:val="0"/>
          <w:sz w:val="24"/>
          <w:szCs w:val="24"/>
        </w:rPr>
        <w:t>www.ccgp.gov.cn</w:t>
      </w:r>
      <w:r>
        <w:rPr>
          <w:rFonts w:ascii="宋体" w:hAnsi="宋体" w:cs="Helvetica"/>
          <w:color w:val="000000"/>
          <w:kern w:val="0"/>
          <w:sz w:val="24"/>
          <w:szCs w:val="24"/>
        </w:rPr>
        <w:fldChar w:fldCharType="end"/>
      </w:r>
      <w:r>
        <w:rPr>
          <w:rFonts w:ascii="宋体" w:hAnsi="宋体" w:cs="Helvetica"/>
          <w:color w:val="000000"/>
          <w:kern w:val="0"/>
          <w:sz w:val="24"/>
          <w:szCs w:val="24"/>
        </w:rPr>
        <w:t>)</w:t>
      </w:r>
      <w:r>
        <w:rPr>
          <w:rFonts w:hint="eastAsia" w:ascii="宋体" w:hAnsi="宋体" w:cs="Helvetica"/>
          <w:color w:val="000000"/>
          <w:kern w:val="0"/>
          <w:sz w:val="24"/>
          <w:szCs w:val="24"/>
        </w:rPr>
        <w:t>。</w:t>
      </w:r>
    </w:p>
    <w:p>
      <w:pPr>
        <w:numPr>
          <w:ilvl w:val="0"/>
          <w:numId w:val="32"/>
        </w:numPr>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列入失信被执行人、重大税收违法案件当事人名单、政府采购严重违法失信行为记录名单的供应商，代理机构</w:t>
      </w:r>
      <w:r>
        <w:rPr>
          <w:rFonts w:hint="eastAsia" w:ascii="宋体" w:hAnsi="宋体" w:cs="Helvetica"/>
          <w:b/>
          <w:color w:val="000000"/>
          <w:kern w:val="0"/>
          <w:sz w:val="24"/>
          <w:szCs w:val="24"/>
        </w:rPr>
        <w:t>拒绝</w:t>
      </w:r>
      <w:r>
        <w:rPr>
          <w:rFonts w:hint="eastAsia" w:ascii="宋体" w:hAnsi="宋体" w:cs="Helvetica"/>
          <w:color w:val="000000"/>
          <w:kern w:val="0"/>
          <w:sz w:val="24"/>
          <w:szCs w:val="24"/>
        </w:rPr>
        <w:t>其参与政府采购活动。</w:t>
      </w:r>
    </w:p>
    <w:p>
      <w:pPr>
        <w:numPr>
          <w:ilvl w:val="0"/>
          <w:numId w:val="32"/>
        </w:numPr>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投标人的信用记录，最终以评标时的“信用中国”网站和“中国政府采购网”发布的信息为准。</w:t>
      </w:r>
    </w:p>
    <w:p>
      <w:pPr>
        <w:numPr>
          <w:ilvl w:val="0"/>
          <w:numId w:val="32"/>
        </w:numPr>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在资格审查与评标工作未同日进行的特殊情形下，代理机构工作人员在评标时对投标人的信用信息进行复核，发现评标当日存在不良信用信息的，由评标委员会按照符合性审查不合格作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rPr>
        <w:t>无效投标处理</w:t>
      </w:r>
      <w:r>
        <w:rPr>
          <w:rFonts w:hint="eastAsia" w:ascii="宋体" w:hAnsi="宋体" w:cs="Helvetica"/>
          <w:color w:val="000000"/>
          <w:kern w:val="0"/>
          <w:sz w:val="24"/>
          <w:szCs w:val="24"/>
        </w:rPr>
        <w:t>。</w:t>
      </w:r>
    </w:p>
    <w:p>
      <w:pPr>
        <w:pStyle w:val="4"/>
        <w:numPr>
          <w:ilvl w:val="0"/>
          <w:numId w:val="7"/>
        </w:numPr>
        <w:spacing w:before="0" w:after="0" w:line="440" w:lineRule="exact"/>
        <w:ind w:left="658" w:hanging="658"/>
        <w:jc w:val="left"/>
        <w:rPr>
          <w:rFonts w:ascii="宋体"/>
          <w:bCs w:val="0"/>
          <w:color w:val="000000"/>
        </w:rPr>
      </w:pPr>
      <w:bookmarkStart w:id="66" w:name="_Toc511889422"/>
      <w:bookmarkStart w:id="67" w:name="_Toc511894500"/>
      <w:bookmarkStart w:id="68" w:name="_Toc2252874"/>
      <w:r>
        <w:rPr>
          <w:rFonts w:hint="eastAsia" w:ascii="宋体" w:hAnsi="宋体"/>
          <w:bCs w:val="0"/>
          <w:color w:val="000000"/>
        </w:rPr>
        <w:t>中标与合同</w:t>
      </w:r>
      <w:bookmarkEnd w:id="66"/>
      <w:bookmarkEnd w:id="67"/>
      <w:bookmarkEnd w:id="68"/>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确定中标人</w:t>
      </w:r>
    </w:p>
    <w:p>
      <w:pPr>
        <w:numPr>
          <w:ilvl w:val="0"/>
          <w:numId w:val="33"/>
        </w:numPr>
        <w:spacing w:line="440" w:lineRule="exact"/>
        <w:ind w:left="616" w:hanging="616"/>
        <w:rPr>
          <w:rFonts w:ascii="宋体"/>
          <w:color w:val="000000"/>
          <w:sz w:val="24"/>
          <w:szCs w:val="20"/>
        </w:rPr>
      </w:pPr>
      <w:r>
        <w:rPr>
          <w:rFonts w:hint="eastAsia" w:ascii="Helvetica" w:hAnsi="Helvetica" w:cs="Helvetica"/>
          <w:color w:val="000000"/>
          <w:kern w:val="0"/>
          <w:sz w:val="24"/>
          <w:szCs w:val="24"/>
        </w:rPr>
        <w:t>采购人收到评标报告</w:t>
      </w:r>
      <w:r>
        <w:rPr>
          <w:rFonts w:ascii="宋体" w:hAnsi="宋体" w:cs="Helvetica"/>
          <w:color w:val="000000"/>
          <w:kern w:val="0"/>
          <w:sz w:val="24"/>
          <w:szCs w:val="24"/>
        </w:rPr>
        <w:t>5</w:t>
      </w:r>
      <w:r>
        <w:rPr>
          <w:rFonts w:hint="eastAsia" w:ascii="宋体" w:hAnsi="宋体" w:cs="Helvetica"/>
          <w:color w:val="000000"/>
          <w:kern w:val="0"/>
          <w:sz w:val="24"/>
          <w:szCs w:val="24"/>
        </w:rPr>
        <w:t>个工作日内，按评标报告推荐的中标候选人顺序确定中标人。</w:t>
      </w:r>
    </w:p>
    <w:p>
      <w:pPr>
        <w:numPr>
          <w:ilvl w:val="0"/>
          <w:numId w:val="33"/>
        </w:numPr>
        <w:spacing w:line="440" w:lineRule="exact"/>
        <w:ind w:left="616" w:hanging="616"/>
        <w:rPr>
          <w:rFonts w:ascii="宋体"/>
          <w:color w:val="000000"/>
          <w:sz w:val="24"/>
          <w:szCs w:val="20"/>
        </w:rPr>
      </w:pPr>
      <w:r>
        <w:rPr>
          <w:rFonts w:hint="eastAsia" w:ascii="Helvetica" w:hAnsi="Helvetica" w:cs="Helvetica"/>
          <w:color w:val="000000"/>
          <w:kern w:val="0"/>
          <w:sz w:val="24"/>
          <w:szCs w:val="24"/>
        </w:rPr>
        <w:t>中标候选人并列的：</w:t>
      </w:r>
    </w:p>
    <w:p>
      <w:pPr>
        <w:numPr>
          <w:ilvl w:val="0"/>
          <w:numId w:val="34"/>
        </w:numPr>
        <w:spacing w:line="440" w:lineRule="exact"/>
        <w:ind w:left="980" w:hanging="854"/>
        <w:rPr>
          <w:rFonts w:ascii="宋体"/>
          <w:color w:val="000000"/>
          <w:sz w:val="24"/>
          <w:szCs w:val="20"/>
        </w:rPr>
      </w:pPr>
      <w:r>
        <w:rPr>
          <w:rFonts w:hint="eastAsia" w:ascii="宋体" w:hAnsi="宋体"/>
          <w:color w:val="000000"/>
          <w:sz w:val="24"/>
          <w:szCs w:val="20"/>
        </w:rPr>
        <w:t>采用最低评标价法的，评标结果按投标报价由低到高顺序排列。投标报价相同</w:t>
      </w:r>
      <w:r>
        <w:rPr>
          <w:rFonts w:ascii="宋体" w:hAnsi="宋体"/>
          <w:color w:val="000000"/>
          <w:sz w:val="24"/>
          <w:szCs w:val="20"/>
        </w:rPr>
        <w:t xml:space="preserve"> </w:t>
      </w:r>
      <w:r>
        <w:rPr>
          <w:rFonts w:hint="eastAsia" w:ascii="宋体" w:hAnsi="宋体"/>
          <w:color w:val="000000"/>
          <w:sz w:val="24"/>
          <w:szCs w:val="20"/>
        </w:rPr>
        <w:t>的并列，由采购人确定或者采购人委托评标委员会以投票方式确定中标人。</w:t>
      </w:r>
    </w:p>
    <w:p>
      <w:pPr>
        <w:numPr>
          <w:ilvl w:val="0"/>
          <w:numId w:val="34"/>
        </w:numPr>
        <w:spacing w:line="440" w:lineRule="exact"/>
        <w:ind w:left="980" w:hanging="854"/>
        <w:rPr>
          <w:rFonts w:ascii="宋体"/>
          <w:color w:val="000000"/>
          <w:sz w:val="24"/>
          <w:szCs w:val="20"/>
        </w:rPr>
      </w:pPr>
      <w:r>
        <w:rPr>
          <w:rFonts w:hint="eastAsia" w:ascii="宋体" w:hAnsi="宋体"/>
          <w:color w:val="000000"/>
          <w:sz w:val="24"/>
          <w:szCs w:val="20"/>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33"/>
        </w:numPr>
        <w:spacing w:line="440" w:lineRule="exact"/>
        <w:ind w:left="616" w:hanging="616"/>
        <w:rPr>
          <w:rFonts w:ascii="宋体"/>
          <w:color w:val="000000"/>
          <w:sz w:val="24"/>
          <w:szCs w:val="20"/>
        </w:rPr>
      </w:pPr>
      <w:r>
        <w:rPr>
          <w:rFonts w:hint="eastAsia" w:ascii="宋体" w:hAnsi="宋体"/>
          <w:color w:val="000000"/>
          <w:sz w:val="24"/>
          <w:szCs w:val="20"/>
        </w:rPr>
        <w:t>中标人的数量有其他规定的，按招标文件相关规定执行。</w:t>
      </w:r>
    </w:p>
    <w:p>
      <w:pPr>
        <w:numPr>
          <w:ilvl w:val="0"/>
          <w:numId w:val="33"/>
        </w:numPr>
        <w:spacing w:line="440" w:lineRule="exact"/>
        <w:ind w:left="616" w:hanging="616"/>
        <w:rPr>
          <w:rFonts w:ascii="宋体"/>
          <w:strike/>
          <w:color w:val="000000"/>
          <w:sz w:val="24"/>
          <w:szCs w:val="20"/>
        </w:rPr>
      </w:pPr>
      <w:r>
        <w:rPr>
          <w:rFonts w:hint="eastAsia" w:ascii="宋体" w:hAnsi="宋体"/>
          <w:color w:val="000000"/>
          <w:sz w:val="24"/>
          <w:szCs w:val="20"/>
        </w:rPr>
        <w:t>中标人确定后，代理机构在政府采购监管部门指定的媒体上发布中标公告，同时向中标人和采购人发出《中标通知书》。《中标通知书》是政府采购合同的组成部分</w:t>
      </w:r>
      <w:r>
        <w:rPr>
          <w:rFonts w:ascii="宋体"/>
          <w:color w:val="000000"/>
          <w:sz w:val="24"/>
          <w:szCs w:val="20"/>
        </w:rPr>
        <w:t>,</w:t>
      </w:r>
      <w:r>
        <w:rPr>
          <w:rFonts w:hint="eastAsia" w:ascii="宋体" w:hAnsi="宋体"/>
          <w:color w:val="000000"/>
          <w:sz w:val="24"/>
          <w:szCs w:val="20"/>
        </w:rPr>
        <w:t>对中标人和采购人具有同等法律效力。</w:t>
      </w:r>
    </w:p>
    <w:p>
      <w:pPr>
        <w:numPr>
          <w:ilvl w:val="0"/>
          <w:numId w:val="33"/>
        </w:numPr>
        <w:spacing w:line="440" w:lineRule="exact"/>
        <w:ind w:left="616" w:hanging="616"/>
        <w:rPr>
          <w:rFonts w:ascii="宋体"/>
          <w:strike/>
          <w:color w:val="000000"/>
          <w:sz w:val="24"/>
          <w:szCs w:val="20"/>
        </w:rPr>
      </w:pPr>
      <w:r>
        <w:rPr>
          <w:rFonts w:hint="eastAsia" w:ascii="Helvetica" w:hAnsi="Helvetica" w:cs="Helvetica"/>
          <w:color w:val="000000"/>
          <w:kern w:val="0"/>
          <w:sz w:val="24"/>
          <w:szCs w:val="24"/>
        </w:rPr>
        <w:t>中标通知书发出后，采购人不得违法改变中标结果，中标人无正当理由不得放弃中标。</w:t>
      </w:r>
    </w:p>
    <w:p>
      <w:pPr>
        <w:numPr>
          <w:ilvl w:val="0"/>
          <w:numId w:val="33"/>
        </w:numPr>
        <w:spacing w:line="440" w:lineRule="exact"/>
        <w:ind w:left="616" w:hanging="616"/>
        <w:rPr>
          <w:rFonts w:ascii="宋体"/>
          <w:color w:val="000000"/>
          <w:sz w:val="24"/>
          <w:szCs w:val="20"/>
        </w:rPr>
      </w:pPr>
      <w:r>
        <w:rPr>
          <w:rFonts w:hint="eastAsia" w:ascii="宋体" w:hAnsi="宋体"/>
          <w:color w:val="000000"/>
          <w:sz w:val="24"/>
          <w:szCs w:val="20"/>
        </w:rPr>
        <w:t>中标人拒绝与采购人签订合同的，采购人可以按照评标报告推荐的中标候选人名单排序，确定下一候选人为中标人，也可以重新开展政府采购活动。</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合同授予</w:t>
      </w:r>
    </w:p>
    <w:p>
      <w:pPr>
        <w:spacing w:line="440" w:lineRule="exact"/>
        <w:ind w:firstLine="480" w:firstLineChars="200"/>
        <w:rPr>
          <w:rFonts w:ascii="宋体"/>
          <w:color w:val="000000"/>
          <w:sz w:val="24"/>
          <w:szCs w:val="20"/>
        </w:rPr>
      </w:pPr>
      <w:r>
        <w:rPr>
          <w:rFonts w:hint="eastAsia" w:ascii="宋体" w:hAnsi="宋体"/>
          <w:color w:val="000000"/>
          <w:sz w:val="24"/>
          <w:szCs w:val="20"/>
        </w:rPr>
        <w:t>除本章“确定中标人”规定及其他法律规定的情形外，采购人把合同授予被确定为实质上响应招标文件要求且排名第一的中标人。</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合同签订</w:t>
      </w:r>
    </w:p>
    <w:p>
      <w:pPr>
        <w:numPr>
          <w:ilvl w:val="0"/>
          <w:numId w:val="35"/>
        </w:numPr>
        <w:spacing w:line="440" w:lineRule="exact"/>
        <w:ind w:left="616" w:hanging="616"/>
        <w:rPr>
          <w:rFonts w:ascii="宋体"/>
          <w:color w:val="000000"/>
          <w:sz w:val="24"/>
          <w:szCs w:val="20"/>
        </w:rPr>
      </w:pPr>
      <w:r>
        <w:rPr>
          <w:rFonts w:hint="eastAsia" w:ascii="宋体" w:hAnsi="宋体"/>
          <w:color w:val="000000"/>
          <w:sz w:val="24"/>
          <w:szCs w:val="20"/>
        </w:rPr>
        <w:t>采购人应当自中标通知书发出之日起</w:t>
      </w:r>
      <w:r>
        <w:rPr>
          <w:rFonts w:ascii="宋体" w:hAnsi="宋体"/>
          <w:color w:val="000000"/>
          <w:sz w:val="24"/>
          <w:szCs w:val="20"/>
        </w:rPr>
        <w:t>30</w:t>
      </w:r>
      <w:r>
        <w:rPr>
          <w:rFonts w:hint="eastAsia" w:ascii="宋体" w:hAnsi="宋体"/>
          <w:color w:val="000000"/>
          <w:sz w:val="24"/>
          <w:szCs w:val="20"/>
        </w:rPr>
        <w:t>日内，按照招标文件规定和中标人投标文件的承诺，与中标人签订书面合同。所签订的合同不得对招标文件确定的事项和中标人投标文件作实质性修改。</w:t>
      </w:r>
    </w:p>
    <w:p>
      <w:pPr>
        <w:numPr>
          <w:ilvl w:val="0"/>
          <w:numId w:val="35"/>
        </w:numPr>
        <w:tabs>
          <w:tab w:val="left" w:pos="616"/>
        </w:tabs>
        <w:spacing w:line="440" w:lineRule="exact"/>
        <w:ind w:left="616" w:hanging="616"/>
        <w:rPr>
          <w:rFonts w:ascii="宋体"/>
          <w:color w:val="000000"/>
          <w:sz w:val="24"/>
          <w:szCs w:val="20"/>
        </w:rPr>
      </w:pPr>
      <w:r>
        <w:rPr>
          <w:rFonts w:hint="eastAsia" w:ascii="Helvetica" w:hAnsi="Helvetica" w:cs="Helvetica"/>
          <w:color w:val="000000"/>
          <w:kern w:val="0"/>
          <w:sz w:val="24"/>
          <w:szCs w:val="24"/>
        </w:rPr>
        <w:t>采购人不得向中标人提出任何不合理的要求作为签订合同的条件。</w:t>
      </w:r>
    </w:p>
    <w:p>
      <w:pPr>
        <w:numPr>
          <w:ilvl w:val="0"/>
          <w:numId w:val="35"/>
        </w:numPr>
        <w:tabs>
          <w:tab w:val="left" w:pos="616"/>
        </w:tabs>
        <w:spacing w:line="440" w:lineRule="exact"/>
        <w:ind w:left="616" w:hanging="616"/>
        <w:rPr>
          <w:rFonts w:ascii="宋体"/>
          <w:color w:val="000000"/>
          <w:sz w:val="24"/>
          <w:szCs w:val="20"/>
        </w:rPr>
      </w:pPr>
      <w:r>
        <w:rPr>
          <w:rFonts w:hint="eastAsia" w:ascii="宋体" w:hAnsi="宋体"/>
          <w:color w:val="000000"/>
          <w:sz w:val="24"/>
          <w:szCs w:val="20"/>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440" w:lineRule="exact"/>
        <w:ind w:left="616" w:hanging="616"/>
        <w:rPr>
          <w:rFonts w:ascii="宋体"/>
          <w:color w:val="000000"/>
          <w:sz w:val="24"/>
          <w:szCs w:val="20"/>
        </w:rPr>
      </w:pPr>
      <w:r>
        <w:rPr>
          <w:rFonts w:hint="eastAsia" w:ascii="Helvetica" w:hAnsi="Helvetica" w:cs="Helvetica"/>
          <w:color w:val="000000"/>
          <w:kern w:val="0"/>
          <w:sz w:val="24"/>
          <w:szCs w:val="24"/>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440" w:lineRule="exact"/>
        <w:ind w:left="616" w:hanging="616"/>
        <w:rPr>
          <w:rFonts w:ascii="宋体"/>
          <w:color w:val="000000"/>
          <w:sz w:val="24"/>
          <w:szCs w:val="20"/>
        </w:rPr>
      </w:pPr>
      <w:r>
        <w:rPr>
          <w:rFonts w:hint="eastAsia" w:ascii="宋体" w:hAnsi="宋体"/>
          <w:color w:val="000000"/>
          <w:sz w:val="24"/>
          <w:szCs w:val="20"/>
        </w:rPr>
        <w:t>采购人应当自政府采购合同签订之日起</w:t>
      </w:r>
      <w:r>
        <w:rPr>
          <w:rFonts w:ascii="宋体" w:hAnsi="宋体"/>
          <w:color w:val="000000"/>
          <w:sz w:val="24"/>
          <w:szCs w:val="20"/>
        </w:rPr>
        <w:t>2</w:t>
      </w:r>
      <w:r>
        <w:rPr>
          <w:rFonts w:hint="eastAsia" w:ascii="宋体" w:hAnsi="宋体"/>
          <w:color w:val="000000"/>
          <w:sz w:val="24"/>
          <w:szCs w:val="20"/>
        </w:rPr>
        <w:t>个工作日内，将政府采购合同在省级以上人民政府财政部门指定的媒体上公告，但政府采购合同中涉及国家秘密、商业秘密的内容除外。</w:t>
      </w:r>
    </w:p>
    <w:p>
      <w:pPr>
        <w:numPr>
          <w:ilvl w:val="0"/>
          <w:numId w:val="35"/>
        </w:numPr>
        <w:tabs>
          <w:tab w:val="left" w:pos="616"/>
        </w:tabs>
        <w:spacing w:line="440" w:lineRule="exact"/>
        <w:ind w:left="616" w:hanging="616"/>
        <w:rPr>
          <w:rFonts w:ascii="宋体"/>
          <w:color w:val="000000"/>
          <w:sz w:val="24"/>
          <w:szCs w:val="20"/>
        </w:rPr>
      </w:pPr>
      <w:r>
        <w:rPr>
          <w:rFonts w:hint="eastAsia" w:ascii="Helvetica" w:hAnsi="Helvetica" w:cs="Helvetica"/>
          <w:color w:val="000000"/>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7"/>
        </w:numPr>
        <w:spacing w:before="0" w:after="0" w:line="440" w:lineRule="exact"/>
        <w:ind w:left="658" w:hanging="658"/>
        <w:jc w:val="left"/>
        <w:rPr>
          <w:rFonts w:ascii="宋体"/>
          <w:bCs w:val="0"/>
          <w:color w:val="000000"/>
        </w:rPr>
      </w:pPr>
      <w:bookmarkStart w:id="69" w:name="_Toc511889423"/>
      <w:bookmarkStart w:id="70" w:name="_Toc511894501"/>
      <w:bookmarkStart w:id="71" w:name="_Toc2252875"/>
      <w:r>
        <w:rPr>
          <w:rFonts w:hint="eastAsia" w:ascii="宋体" w:hAnsi="宋体"/>
          <w:bCs w:val="0"/>
          <w:color w:val="000000"/>
        </w:rPr>
        <w:t>采购信息公告</w:t>
      </w:r>
      <w:bookmarkEnd w:id="69"/>
      <w:bookmarkEnd w:id="70"/>
      <w:bookmarkEnd w:id="71"/>
    </w:p>
    <w:p>
      <w:pPr>
        <w:numPr>
          <w:ilvl w:val="0"/>
          <w:numId w:val="8"/>
        </w:numPr>
        <w:spacing w:line="440" w:lineRule="exact"/>
        <w:ind w:left="560" w:hanging="560"/>
        <w:rPr>
          <w:rFonts w:ascii="宋体" w:cs="Helvetica"/>
          <w:b/>
          <w:color w:val="000000"/>
          <w:kern w:val="0"/>
          <w:sz w:val="24"/>
          <w:szCs w:val="24"/>
        </w:rPr>
      </w:pPr>
      <w:r>
        <w:rPr>
          <w:rFonts w:hint="eastAsia" w:ascii="宋体" w:hAnsi="宋体" w:cs="Helvetica"/>
          <w:b/>
          <w:color w:val="000000"/>
          <w:kern w:val="0"/>
          <w:sz w:val="24"/>
          <w:szCs w:val="24"/>
        </w:rPr>
        <w:t>公告的媒体及规定</w:t>
      </w:r>
    </w:p>
    <w:p>
      <w:pPr>
        <w:numPr>
          <w:ilvl w:val="0"/>
          <w:numId w:val="36"/>
        </w:numPr>
        <w:tabs>
          <w:tab w:val="left" w:pos="616"/>
        </w:tabs>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代理机构在招标活动中的公告、补充、更正、结果等采购信息均依法在政府采购监管部门指定媒体上（</w:t>
      </w:r>
      <w:r>
        <w:rPr>
          <w:rFonts w:hint="eastAsia" w:ascii="宋体" w:hAnsi="宋体" w:cs="宋体"/>
          <w:bCs/>
          <w:color w:val="000000"/>
          <w:kern w:val="0"/>
          <w:sz w:val="24"/>
          <w:szCs w:val="24"/>
        </w:rPr>
        <w:t>《中国政府采购网》</w:t>
      </w:r>
      <w:r>
        <w:rPr>
          <w:rFonts w:hint="eastAsia" w:ascii="宋体" w:hAnsi="宋体" w:cs="Helvetica"/>
          <w:color w:val="000000"/>
          <w:kern w:val="0"/>
          <w:sz w:val="24"/>
          <w:szCs w:val="24"/>
        </w:rPr>
        <w:t>）发布。</w:t>
      </w:r>
    </w:p>
    <w:p>
      <w:pPr>
        <w:numPr>
          <w:ilvl w:val="0"/>
          <w:numId w:val="36"/>
        </w:numPr>
        <w:tabs>
          <w:tab w:val="left" w:pos="616"/>
        </w:tabs>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代理机构在自中标人确定之日起</w:t>
      </w:r>
      <w:r>
        <w:rPr>
          <w:rFonts w:ascii="宋体" w:hAnsi="宋体" w:cs="Helvetica"/>
          <w:color w:val="000000"/>
          <w:kern w:val="0"/>
          <w:sz w:val="24"/>
          <w:szCs w:val="24"/>
        </w:rPr>
        <w:t>2</w:t>
      </w:r>
      <w:r>
        <w:rPr>
          <w:rFonts w:hint="eastAsia" w:ascii="宋体" w:hAnsi="宋体" w:cs="Helvetica"/>
          <w:color w:val="000000"/>
          <w:kern w:val="0"/>
          <w:sz w:val="24"/>
          <w:szCs w:val="24"/>
        </w:rPr>
        <w:t>个工作日内，在政府采购监管部门指定媒体上公告中标结果，中标公告的公示期为</w:t>
      </w:r>
      <w:r>
        <w:rPr>
          <w:rFonts w:ascii="宋体" w:hAnsi="宋体" w:cs="Helvetica"/>
          <w:color w:val="000000"/>
          <w:kern w:val="0"/>
          <w:sz w:val="24"/>
          <w:szCs w:val="24"/>
        </w:rPr>
        <w:t>1</w:t>
      </w:r>
      <w:r>
        <w:rPr>
          <w:rFonts w:hint="eastAsia" w:ascii="宋体" w:hAnsi="宋体" w:cs="Helvetica"/>
          <w:color w:val="000000"/>
          <w:kern w:val="0"/>
          <w:sz w:val="24"/>
          <w:szCs w:val="24"/>
        </w:rPr>
        <w:t>个工作日。</w:t>
      </w:r>
    </w:p>
    <w:p>
      <w:pPr>
        <w:numPr>
          <w:ilvl w:val="0"/>
          <w:numId w:val="36"/>
        </w:numPr>
        <w:tabs>
          <w:tab w:val="left" w:pos="616"/>
        </w:tabs>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资格审查未通过的投标人可在结果公告质疑有效期内按公告中的联系方式获知本单位的资格审查情况。</w:t>
      </w:r>
    </w:p>
    <w:p>
      <w:pPr>
        <w:numPr>
          <w:ilvl w:val="0"/>
          <w:numId w:val="36"/>
        </w:numPr>
        <w:tabs>
          <w:tab w:val="left" w:pos="616"/>
        </w:tabs>
        <w:spacing w:line="440" w:lineRule="exact"/>
        <w:ind w:left="616" w:hanging="616"/>
        <w:rPr>
          <w:rFonts w:ascii="宋体" w:cs="Helvetica"/>
          <w:color w:val="000000"/>
          <w:kern w:val="0"/>
          <w:sz w:val="24"/>
          <w:szCs w:val="24"/>
        </w:rPr>
      </w:pPr>
      <w:r>
        <w:rPr>
          <w:rFonts w:hint="eastAsia" w:ascii="宋体" w:hAnsi="宋体" w:cs="Helvetica"/>
          <w:color w:val="000000"/>
          <w:kern w:val="0"/>
          <w:sz w:val="24"/>
          <w:szCs w:val="24"/>
        </w:rPr>
        <w:t>采用综合评分法评审的项目，未中标人可在结果公告质疑有效期内按公告中的联系方式获知本单位的评审得分与排序。</w:t>
      </w:r>
    </w:p>
    <w:p>
      <w:pPr>
        <w:pStyle w:val="4"/>
        <w:numPr>
          <w:ilvl w:val="0"/>
          <w:numId w:val="7"/>
        </w:numPr>
        <w:spacing w:before="0" w:after="0" w:line="440" w:lineRule="exact"/>
        <w:ind w:left="658" w:hanging="658"/>
        <w:jc w:val="left"/>
        <w:rPr>
          <w:rFonts w:ascii="宋体"/>
          <w:bCs w:val="0"/>
          <w:color w:val="000000"/>
        </w:rPr>
      </w:pPr>
      <w:bookmarkStart w:id="72" w:name="_Toc511889424"/>
      <w:bookmarkStart w:id="73" w:name="_Toc511894502"/>
      <w:bookmarkStart w:id="74" w:name="_Toc2252876"/>
      <w:r>
        <w:rPr>
          <w:rFonts w:hint="eastAsia" w:ascii="宋体" w:hAnsi="宋体"/>
          <w:bCs w:val="0"/>
          <w:color w:val="000000"/>
        </w:rPr>
        <w:t>质疑及提交</w:t>
      </w:r>
      <w:bookmarkEnd w:id="72"/>
      <w:bookmarkEnd w:id="73"/>
      <w:bookmarkEnd w:id="74"/>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质疑提交</w:t>
      </w:r>
    </w:p>
    <w:p>
      <w:pPr>
        <w:spacing w:line="440" w:lineRule="exact"/>
        <w:ind w:firstLine="480" w:firstLineChars="200"/>
        <w:rPr>
          <w:rFonts w:ascii="宋体"/>
          <w:color w:val="000000"/>
          <w:sz w:val="24"/>
          <w:szCs w:val="24"/>
        </w:rPr>
      </w:pPr>
      <w:r>
        <w:rPr>
          <w:rFonts w:hint="eastAsia" w:ascii="宋体" w:hAnsi="宋体"/>
          <w:color w:val="000000"/>
          <w:sz w:val="24"/>
          <w:szCs w:val="20"/>
        </w:rPr>
        <w:t>投标</w:t>
      </w:r>
      <w:r>
        <w:rPr>
          <w:rFonts w:hint="eastAsia" w:ascii="宋体" w:hAnsi="宋体"/>
          <w:color w:val="000000"/>
          <w:sz w:val="24"/>
          <w:szCs w:val="24"/>
        </w:rPr>
        <w:t>供应商认为招标公告或招标文件、招标过程、中标结果等与本次招标采购活动有关的事项使自己的权益受到损害的，可以在知道或者应知其权益受到损害之日起</w:t>
      </w:r>
      <w:r>
        <w:rPr>
          <w:rFonts w:ascii="宋体" w:hAnsi="宋体"/>
          <w:color w:val="000000"/>
          <w:sz w:val="24"/>
          <w:szCs w:val="24"/>
        </w:rPr>
        <w:t>7</w:t>
      </w:r>
      <w:r>
        <w:rPr>
          <w:rFonts w:hint="eastAsia" w:ascii="宋体" w:hAnsi="宋体"/>
          <w:color w:val="000000"/>
          <w:sz w:val="24"/>
          <w:szCs w:val="24"/>
        </w:rPr>
        <w:t>个工作日内，以书面形式向采购人或采购代理机构提出质疑。同一采购程序环节的质疑一次性提出。</w:t>
      </w:r>
    </w:p>
    <w:p>
      <w:pPr>
        <w:spacing w:line="440" w:lineRule="exact"/>
        <w:ind w:firstLine="480" w:firstLineChars="200"/>
        <w:rPr>
          <w:rFonts w:ascii="宋体"/>
          <w:color w:val="000000"/>
          <w:sz w:val="24"/>
          <w:szCs w:val="20"/>
        </w:rPr>
      </w:pPr>
      <w:r>
        <w:rPr>
          <w:rFonts w:hint="eastAsia" w:ascii="宋体" w:hAnsi="宋体"/>
          <w:color w:val="000000"/>
          <w:sz w:val="24"/>
          <w:szCs w:val="24"/>
        </w:rPr>
        <w:t>供应商提出质疑须按照《中华人民共和国财政部令第</w:t>
      </w:r>
      <w:r>
        <w:rPr>
          <w:rFonts w:ascii="宋体" w:hAnsi="宋体"/>
          <w:color w:val="000000"/>
          <w:sz w:val="24"/>
          <w:szCs w:val="24"/>
        </w:rPr>
        <w:t>94</w:t>
      </w:r>
      <w:r>
        <w:rPr>
          <w:rFonts w:hint="eastAsia" w:ascii="宋体" w:hAnsi="宋体"/>
          <w:color w:val="000000"/>
          <w:sz w:val="24"/>
          <w:szCs w:val="24"/>
        </w:rPr>
        <w:t>号</w:t>
      </w:r>
      <w:r>
        <w:rPr>
          <w:rFonts w:ascii="宋体"/>
          <w:color w:val="000000"/>
          <w:sz w:val="24"/>
          <w:szCs w:val="24"/>
        </w:rPr>
        <w:t>--</w:t>
      </w:r>
      <w:r>
        <w:rPr>
          <w:rFonts w:hint="eastAsia" w:ascii="宋体" w:hAnsi="宋体"/>
          <w:color w:val="000000"/>
          <w:sz w:val="24"/>
          <w:szCs w:val="24"/>
        </w:rPr>
        <w:t>政府采购质疑和投诉办法》中的相关规定提交质疑函和必要的证明材料。</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投标人应知其权益受到损害之日是指：</w:t>
      </w:r>
    </w:p>
    <w:p>
      <w:pPr>
        <w:numPr>
          <w:ilvl w:val="0"/>
          <w:numId w:val="37"/>
        </w:numPr>
        <w:spacing w:line="440" w:lineRule="exact"/>
        <w:ind w:left="616" w:hanging="616"/>
        <w:rPr>
          <w:rFonts w:ascii="宋体"/>
          <w:color w:val="000000"/>
          <w:sz w:val="24"/>
          <w:szCs w:val="20"/>
        </w:rPr>
      </w:pPr>
      <w:r>
        <w:rPr>
          <w:rFonts w:hint="eastAsia" w:ascii="宋体" w:hAnsi="宋体"/>
          <w:color w:val="000000"/>
          <w:sz w:val="24"/>
          <w:szCs w:val="20"/>
        </w:rPr>
        <w:t>对可以质疑的招标文件提出质疑的，为收到招标文件之日或者招标文件公告期限届满之日；</w:t>
      </w:r>
    </w:p>
    <w:p>
      <w:pPr>
        <w:numPr>
          <w:ilvl w:val="0"/>
          <w:numId w:val="37"/>
        </w:numPr>
        <w:spacing w:line="440" w:lineRule="exact"/>
        <w:ind w:left="616" w:hanging="616"/>
        <w:rPr>
          <w:rFonts w:ascii="宋体"/>
          <w:color w:val="000000"/>
          <w:sz w:val="24"/>
          <w:szCs w:val="20"/>
        </w:rPr>
      </w:pPr>
      <w:r>
        <w:rPr>
          <w:rFonts w:hint="eastAsia" w:ascii="宋体" w:hAnsi="宋体"/>
          <w:color w:val="000000"/>
          <w:sz w:val="24"/>
          <w:szCs w:val="20"/>
        </w:rPr>
        <w:t>对招标过程提出质疑的，为各招标程序环节结束之日；</w:t>
      </w:r>
    </w:p>
    <w:p>
      <w:pPr>
        <w:numPr>
          <w:ilvl w:val="0"/>
          <w:numId w:val="37"/>
        </w:numPr>
        <w:spacing w:line="440" w:lineRule="exact"/>
        <w:ind w:left="616" w:hanging="616"/>
        <w:rPr>
          <w:rFonts w:ascii="宋体"/>
          <w:color w:val="000000"/>
          <w:sz w:val="24"/>
          <w:szCs w:val="20"/>
        </w:rPr>
      </w:pPr>
      <w:r>
        <w:rPr>
          <w:rFonts w:hint="eastAsia" w:ascii="宋体" w:hAnsi="宋体"/>
          <w:color w:val="000000"/>
          <w:sz w:val="24"/>
          <w:szCs w:val="20"/>
        </w:rPr>
        <w:t>对中标结果提出质疑的，为中标公告期限届满之日。</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质疑书应当包括下列主要内容：</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质疑人的名称、地址、联系人及联系电话等；</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被质疑人的名称、地址、联系人及联系电话等；</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质疑项目名称及编号、质疑事项和明确的请求；</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质疑事项的事实根据、法律依据及其他必要的证明材料；</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提出质疑的日期；</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质疑人的署名及签章（质疑人为自然人的，应当由本人签字；质疑人为法人或者其他组织的，应当由法定代表人或者主要负责人签字盖章并加盖公章）；</w:t>
      </w:r>
    </w:p>
    <w:p>
      <w:pPr>
        <w:numPr>
          <w:ilvl w:val="0"/>
          <w:numId w:val="38"/>
        </w:numPr>
        <w:spacing w:line="440" w:lineRule="exact"/>
        <w:ind w:left="616" w:hanging="616"/>
        <w:rPr>
          <w:rFonts w:ascii="宋体"/>
          <w:color w:val="000000"/>
          <w:sz w:val="24"/>
          <w:szCs w:val="20"/>
        </w:rPr>
      </w:pPr>
      <w:r>
        <w:rPr>
          <w:rFonts w:hint="eastAsia" w:ascii="宋体" w:hAnsi="宋体"/>
          <w:color w:val="000000"/>
          <w:sz w:val="24"/>
          <w:szCs w:val="20"/>
        </w:rPr>
        <w:t>法人授权委托书（质疑人或法人委托代理人办理质疑事务的，应当提供授权委托书，授权委托书应当载明委托代理的具体权限和事项）。</w:t>
      </w:r>
    </w:p>
    <w:p>
      <w:pPr>
        <w:numPr>
          <w:ilvl w:val="0"/>
          <w:numId w:val="8"/>
        </w:numPr>
        <w:spacing w:line="440" w:lineRule="exact"/>
        <w:ind w:left="560" w:hanging="560"/>
        <w:rPr>
          <w:rFonts w:ascii="宋体"/>
          <w:b/>
          <w:color w:val="000000"/>
          <w:sz w:val="24"/>
          <w:szCs w:val="20"/>
        </w:rPr>
      </w:pPr>
      <w:r>
        <w:rPr>
          <w:rFonts w:hint="eastAsia" w:ascii="宋体" w:hAnsi="宋体"/>
          <w:b/>
          <w:color w:val="000000"/>
          <w:sz w:val="24"/>
          <w:szCs w:val="20"/>
        </w:rPr>
        <w:t>不予受理的情形</w:t>
      </w:r>
    </w:p>
    <w:p>
      <w:pPr>
        <w:spacing w:line="440" w:lineRule="exact"/>
        <w:ind w:firstLine="480" w:firstLineChars="200"/>
        <w:rPr>
          <w:rFonts w:ascii="宋体"/>
          <w:color w:val="000000"/>
          <w:sz w:val="24"/>
          <w:szCs w:val="20"/>
        </w:rPr>
      </w:pPr>
      <w:r>
        <w:rPr>
          <w:rFonts w:hint="eastAsia" w:ascii="宋体" w:hAnsi="宋体"/>
          <w:color w:val="000000"/>
          <w:sz w:val="24"/>
          <w:szCs w:val="20"/>
        </w:rPr>
        <w:t>投标人未按本章“质疑及提交”规定的时限、内容及方式进行质疑的，代理机构不予受理。</w:t>
      </w:r>
    </w:p>
    <w:p>
      <w:pPr>
        <w:pStyle w:val="4"/>
        <w:numPr>
          <w:ilvl w:val="0"/>
          <w:numId w:val="7"/>
        </w:numPr>
        <w:spacing w:before="0" w:after="0" w:line="440" w:lineRule="exact"/>
        <w:ind w:left="658" w:hanging="658"/>
        <w:jc w:val="left"/>
        <w:rPr>
          <w:rFonts w:ascii="宋体"/>
          <w:bCs w:val="0"/>
          <w:color w:val="000000"/>
        </w:rPr>
      </w:pPr>
      <w:bookmarkStart w:id="75" w:name="_Toc2252877"/>
      <w:bookmarkStart w:id="76" w:name="_Toc511889425"/>
      <w:bookmarkStart w:id="77" w:name="_Toc511894503"/>
      <w:r>
        <w:rPr>
          <w:rFonts w:hint="eastAsia" w:ascii="宋体" w:hAnsi="宋体"/>
          <w:bCs w:val="0"/>
          <w:color w:val="000000"/>
        </w:rPr>
        <w:t>相关条文解读</w:t>
      </w:r>
      <w:bookmarkEnd w:id="75"/>
      <w:bookmarkEnd w:id="76"/>
      <w:bookmarkEnd w:id="77"/>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供应商在参加政府采购活动前</w:t>
      </w:r>
      <w:r>
        <w:rPr>
          <w:rFonts w:ascii="宋体" w:hAnsi="宋体"/>
          <w:color w:val="000000"/>
          <w:sz w:val="24"/>
          <w:szCs w:val="20"/>
        </w:rPr>
        <w:t>3</w:t>
      </w:r>
      <w:r>
        <w:rPr>
          <w:rFonts w:hint="eastAsia" w:ascii="宋体" w:hAnsi="宋体"/>
          <w:color w:val="000000"/>
          <w:sz w:val="24"/>
          <w:szCs w:val="20"/>
        </w:rPr>
        <w:t>年内因违法经营被禁止在一定期限内参加政府采购活动，期限届满的，可以参加政府采购活动。</w:t>
      </w:r>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根据财政部《政府采购法实施条例》释义中关于供应商资格条件的解释，对于银行、保险、石油石化、电力、电信等有行业特殊情况的，采购人和代理机构允许其分支机构参与投标。</w:t>
      </w:r>
    </w:p>
    <w:p>
      <w:pPr>
        <w:pStyle w:val="4"/>
        <w:numPr>
          <w:ilvl w:val="0"/>
          <w:numId w:val="7"/>
        </w:numPr>
        <w:spacing w:before="0" w:after="0" w:line="440" w:lineRule="exact"/>
        <w:ind w:left="658" w:hanging="658"/>
        <w:jc w:val="left"/>
        <w:rPr>
          <w:rFonts w:ascii="宋体"/>
          <w:bCs w:val="0"/>
          <w:color w:val="000000"/>
        </w:rPr>
      </w:pPr>
      <w:bookmarkStart w:id="78" w:name="_Toc2252878"/>
      <w:bookmarkStart w:id="79" w:name="_Toc511889426"/>
      <w:bookmarkStart w:id="80" w:name="_Toc511894504"/>
      <w:r>
        <w:rPr>
          <w:rFonts w:hint="eastAsia" w:ascii="宋体" w:hAnsi="宋体"/>
          <w:bCs w:val="0"/>
          <w:color w:val="000000"/>
        </w:rPr>
        <w:t>其他注意事项</w:t>
      </w:r>
      <w:bookmarkEnd w:id="78"/>
      <w:bookmarkEnd w:id="79"/>
      <w:bookmarkEnd w:id="80"/>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单位负责人为同一人或者存在直接控股、管理关系的不同供应商，不得参加同一合同项下的政府采购活动。</w:t>
      </w:r>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除单一来源采购项目外，为采购项目提供整体设计、规范编制或者项目管理、监理、检测等服务的供应商，不得再参加该采购项目的其他采购活动。</w:t>
      </w:r>
    </w:p>
    <w:p>
      <w:pPr>
        <w:pStyle w:val="4"/>
        <w:numPr>
          <w:ilvl w:val="0"/>
          <w:numId w:val="7"/>
        </w:numPr>
        <w:spacing w:before="0" w:after="0" w:line="440" w:lineRule="exact"/>
        <w:ind w:left="966" w:hanging="966"/>
        <w:jc w:val="left"/>
        <w:rPr>
          <w:rFonts w:ascii="宋体"/>
          <w:bCs w:val="0"/>
          <w:color w:val="000000"/>
        </w:rPr>
      </w:pPr>
      <w:bookmarkStart w:id="81" w:name="_Toc511889427"/>
      <w:bookmarkStart w:id="82" w:name="_Toc2252879"/>
      <w:bookmarkStart w:id="83" w:name="_Toc511894505"/>
      <w:r>
        <w:rPr>
          <w:rFonts w:hint="eastAsia" w:ascii="宋体" w:hAnsi="宋体"/>
          <w:bCs w:val="0"/>
          <w:color w:val="000000"/>
        </w:rPr>
        <w:t>适用法律</w:t>
      </w:r>
      <w:bookmarkEnd w:id="81"/>
      <w:bookmarkEnd w:id="82"/>
      <w:bookmarkEnd w:id="83"/>
    </w:p>
    <w:p>
      <w:pPr>
        <w:numPr>
          <w:ilvl w:val="0"/>
          <w:numId w:val="8"/>
        </w:numPr>
        <w:spacing w:line="440" w:lineRule="exact"/>
        <w:ind w:left="560" w:hanging="560"/>
        <w:rPr>
          <w:rFonts w:ascii="宋体"/>
          <w:color w:val="000000"/>
          <w:sz w:val="24"/>
          <w:szCs w:val="20"/>
        </w:rPr>
      </w:pPr>
      <w:r>
        <w:rPr>
          <w:rFonts w:hint="eastAsia" w:ascii="宋体" w:hAnsi="宋体"/>
          <w:color w:val="000000"/>
          <w:sz w:val="24"/>
          <w:szCs w:val="20"/>
        </w:rPr>
        <w:t>采购人、代理机构及投标人的一切招标投标活动均适用《政府采购法》、《政府采购法实施条例》、《政府采购货物和服务招标投标管理办法》及相关法律法规。</w:t>
      </w:r>
    </w:p>
    <w:p>
      <w:pPr>
        <w:numPr>
          <w:ilvl w:val="0"/>
          <w:numId w:val="8"/>
        </w:numPr>
        <w:spacing w:line="440" w:lineRule="exact"/>
        <w:ind w:left="560" w:hanging="560"/>
        <w:rPr>
          <w:rFonts w:ascii="宋体"/>
          <w:color w:val="000000"/>
          <w:sz w:val="24"/>
          <w:szCs w:val="20"/>
        </w:rPr>
      </w:pPr>
      <w:r>
        <w:rPr>
          <w:rFonts w:hint="eastAsia" w:ascii="Helvetica" w:hAnsi="Helvetica" w:cs="Helvetica"/>
          <w:color w:val="000000"/>
          <w:kern w:val="0"/>
          <w:sz w:val="24"/>
          <w:szCs w:val="24"/>
        </w:rPr>
        <w:t>政府采购合同的履行、违约责任和解决争议的方法等适用《合同法》。</w:t>
      </w:r>
    </w:p>
    <w:p>
      <w:pPr>
        <w:pStyle w:val="4"/>
        <w:numPr>
          <w:ilvl w:val="0"/>
          <w:numId w:val="7"/>
        </w:numPr>
        <w:spacing w:before="0" w:after="0" w:line="440" w:lineRule="exact"/>
        <w:ind w:left="966" w:hanging="966"/>
        <w:jc w:val="left"/>
        <w:rPr>
          <w:rFonts w:ascii="宋体"/>
          <w:bCs w:val="0"/>
          <w:color w:val="000000"/>
        </w:rPr>
      </w:pPr>
      <w:bookmarkStart w:id="84" w:name="_Toc2252880"/>
      <w:bookmarkStart w:id="85" w:name="_Toc511894506"/>
      <w:bookmarkStart w:id="86" w:name="_Toc511889428"/>
      <w:r>
        <w:rPr>
          <w:rFonts w:hint="eastAsia" w:ascii="宋体" w:hAnsi="宋体"/>
          <w:bCs w:val="0"/>
          <w:color w:val="000000"/>
        </w:rPr>
        <w:t>招标文件的解释权</w:t>
      </w:r>
      <w:bookmarkEnd w:id="84"/>
      <w:bookmarkEnd w:id="85"/>
      <w:bookmarkEnd w:id="86"/>
    </w:p>
    <w:p>
      <w:pPr>
        <w:numPr>
          <w:ilvl w:val="0"/>
          <w:numId w:val="8"/>
        </w:numPr>
        <w:spacing w:line="440" w:lineRule="exact"/>
        <w:ind w:left="560" w:hanging="560"/>
        <w:rPr>
          <w:rFonts w:eastAsia="黑体"/>
          <w:b/>
          <w:iCs/>
          <w:color w:val="000000"/>
          <w:kern w:val="0"/>
          <w:sz w:val="28"/>
        </w:rPr>
      </w:pPr>
      <w:r>
        <w:rPr>
          <w:rFonts w:hint="eastAsia" w:ascii="宋体" w:hAnsi="宋体"/>
          <w:color w:val="000000"/>
          <w:sz w:val="24"/>
          <w:szCs w:val="20"/>
        </w:rPr>
        <w:t>招标文件的最终解释权为采购人、代理机构所有。</w:t>
      </w:r>
    </w:p>
    <w:p>
      <w:pPr>
        <w:widowControl/>
        <w:tabs>
          <w:tab w:val="right" w:leader="dot" w:pos="9514"/>
        </w:tabs>
        <w:spacing w:line="440" w:lineRule="exact"/>
        <w:jc w:val="left"/>
        <w:rPr>
          <w:rFonts w:eastAsia="黑体"/>
          <w:b/>
          <w:iCs/>
          <w:color w:val="000000"/>
          <w:kern w:val="0"/>
          <w:sz w:val="28"/>
        </w:rPr>
        <w:sectPr>
          <w:pgSz w:w="11906" w:h="16838"/>
          <w:pgMar w:top="1247" w:right="1247" w:bottom="1247" w:left="1247" w:header="851" w:footer="850" w:gutter="0"/>
          <w:cols w:space="0" w:num="1"/>
          <w:docGrid w:type="lines" w:linePitch="312" w:charSpace="0"/>
        </w:sectPr>
      </w:pPr>
    </w:p>
    <w:p>
      <w:pPr>
        <w:pStyle w:val="3"/>
        <w:numPr>
          <w:ilvl w:val="0"/>
          <w:numId w:val="4"/>
        </w:numPr>
        <w:spacing w:before="240" w:after="120"/>
        <w:ind w:left="883" w:hanging="881" w:hangingChars="200"/>
        <w:jc w:val="center"/>
        <w:rPr>
          <w:rFonts w:ascii="黑体" w:hAnsi="黑体" w:eastAsia="黑体"/>
          <w:color w:val="000000"/>
        </w:rPr>
      </w:pPr>
      <w:bookmarkStart w:id="87" w:name="_Toc511894507"/>
      <w:bookmarkStart w:id="88" w:name="_Toc511889429"/>
      <w:bookmarkStart w:id="89" w:name="_Toc2252881"/>
      <w:r>
        <w:rPr>
          <w:rFonts w:hint="eastAsia" w:ascii="黑体" w:hAnsi="黑体" w:eastAsia="黑体"/>
          <w:color w:val="000000"/>
        </w:rPr>
        <w:t>项目技术、服务及商务要求</w:t>
      </w:r>
      <w:bookmarkEnd w:id="87"/>
      <w:bookmarkEnd w:id="88"/>
      <w:bookmarkEnd w:id="89"/>
      <w:bookmarkStart w:id="90" w:name="_Toc338065593"/>
      <w:bookmarkStart w:id="91" w:name="_Toc339378679"/>
    </w:p>
    <w:p>
      <w:pPr>
        <w:spacing w:line="360" w:lineRule="auto"/>
        <w:rPr>
          <w:rFonts w:ascii="宋体" w:hAnsi="宋体"/>
        </w:rPr>
      </w:pPr>
    </w:p>
    <w:p>
      <w:pPr>
        <w:spacing w:line="360" w:lineRule="auto"/>
        <w:ind w:firstLine="420" w:firstLineChars="200"/>
        <w:rPr>
          <w:rFonts w:ascii="宋体" w:hAnsi="宋体"/>
          <w:b/>
        </w:rPr>
      </w:pPr>
      <w:r>
        <w:rPr>
          <w:rFonts w:hint="eastAsia" w:ascii="宋体" w:hAnsi="宋体"/>
          <w:b/>
        </w:rPr>
        <w:t>一、概况及项目</w:t>
      </w:r>
    </w:p>
    <w:p>
      <w:pPr>
        <w:spacing w:line="360" w:lineRule="auto"/>
        <w:ind w:firstLine="420" w:firstLineChars="200"/>
        <w:rPr>
          <w:rFonts w:ascii="宋体" w:hAnsi="宋体"/>
        </w:rPr>
      </w:pPr>
      <w:r>
        <w:rPr>
          <w:rFonts w:hint="eastAsia" w:ascii="宋体" w:hAnsi="宋体"/>
        </w:rPr>
        <w:t>湖北大学知行学院创办于2000年，是经国家教育部批准，由湖北大学举办的具有学士学位授予权的公办全日制普通高等独立学院，是湖北省首批应用转型发展试点高校。全日制在校学生10000多人。现需招标确定湖北大学知行学院2022年-2023年保安服务公司。</w:t>
      </w:r>
    </w:p>
    <w:p>
      <w:pPr>
        <w:widowControl/>
        <w:tabs>
          <w:tab w:val="left" w:pos="540"/>
        </w:tabs>
        <w:spacing w:line="360" w:lineRule="auto"/>
        <w:ind w:left="420"/>
        <w:outlineLvl w:val="1"/>
        <w:rPr>
          <w:rFonts w:ascii="宋体" w:hAnsi="宋体"/>
          <w:b/>
        </w:rPr>
      </w:pPr>
    </w:p>
    <w:p>
      <w:pPr>
        <w:widowControl/>
        <w:tabs>
          <w:tab w:val="left" w:pos="540"/>
        </w:tabs>
        <w:spacing w:line="360" w:lineRule="auto"/>
        <w:ind w:left="420"/>
        <w:outlineLvl w:val="1"/>
        <w:rPr>
          <w:rFonts w:ascii="宋体" w:hAnsi="宋体" w:cs="宋体"/>
          <w:b/>
        </w:rPr>
      </w:pPr>
      <w:r>
        <w:rPr>
          <w:rFonts w:hint="eastAsia" w:ascii="宋体" w:hAnsi="宋体"/>
          <w:b/>
        </w:rPr>
        <w:t>二、</w:t>
      </w:r>
      <w:bookmarkStart w:id="92" w:name="_Toc497401514"/>
      <w:bookmarkStart w:id="93" w:name="_Toc498352569"/>
      <w:r>
        <w:rPr>
          <w:rFonts w:hint="eastAsia" w:ascii="宋体" w:hAnsi="宋体" w:cs="宋体"/>
          <w:b/>
        </w:rPr>
        <w:t>服务范围和内容</w:t>
      </w:r>
      <w:bookmarkEnd w:id="92"/>
      <w:bookmarkEnd w:id="93"/>
    </w:p>
    <w:p>
      <w:pPr>
        <w:spacing w:line="360" w:lineRule="auto"/>
        <w:ind w:firstLine="420" w:firstLineChars="200"/>
        <w:rPr>
          <w:rFonts w:ascii="宋体" w:hAnsi="宋体"/>
        </w:rPr>
      </w:pPr>
      <w:r>
        <w:rPr>
          <w:rFonts w:hint="eastAsia" w:ascii="宋体" w:hAnsi="宋体"/>
        </w:rPr>
        <w:t>1.校园常态化疫情防控工作；</w:t>
      </w:r>
    </w:p>
    <w:p>
      <w:pPr>
        <w:spacing w:line="360" w:lineRule="auto"/>
        <w:ind w:firstLine="420" w:firstLineChars="200"/>
        <w:rPr>
          <w:rFonts w:ascii="宋体" w:hAnsi="宋体"/>
        </w:rPr>
      </w:pPr>
      <w:r>
        <w:rPr>
          <w:rFonts w:hint="eastAsia" w:ascii="宋体" w:hAnsi="宋体"/>
        </w:rPr>
        <w:t>2.校园内所有区域的门岗值班（详见本方案第三点“校园安保服务岗位数”）、校园治安巡逻、校园公共秩序维护和管理、校园安全排查与防范、校园消防安全、校园消防设施维保服务；</w:t>
      </w:r>
    </w:p>
    <w:p>
      <w:pPr>
        <w:spacing w:line="360" w:lineRule="auto"/>
        <w:ind w:firstLine="420" w:firstLineChars="200"/>
        <w:rPr>
          <w:rFonts w:ascii="宋体" w:hAnsi="宋体"/>
        </w:rPr>
      </w:pPr>
      <w:r>
        <w:rPr>
          <w:rFonts w:hint="eastAsia" w:ascii="宋体" w:hAnsi="宋体"/>
        </w:rPr>
        <w:t>3.学校车辆识别系统收费及校内交通车辆行驶秩序和停放管理；</w:t>
      </w:r>
    </w:p>
    <w:p>
      <w:pPr>
        <w:spacing w:line="360" w:lineRule="auto"/>
        <w:ind w:firstLine="420" w:firstLineChars="200"/>
        <w:rPr>
          <w:rFonts w:ascii="宋体" w:hAnsi="宋体"/>
        </w:rPr>
      </w:pPr>
      <w:r>
        <w:rPr>
          <w:rFonts w:hint="eastAsia" w:ascii="宋体" w:hAnsi="宋体"/>
        </w:rPr>
        <w:t>4.学校重大活动期间的公共安全防范与秩序维护；</w:t>
      </w:r>
    </w:p>
    <w:p>
      <w:pPr>
        <w:spacing w:line="360" w:lineRule="auto"/>
        <w:ind w:firstLine="420" w:firstLineChars="200"/>
        <w:rPr>
          <w:rFonts w:ascii="宋体" w:hAnsi="宋体"/>
        </w:rPr>
      </w:pPr>
      <w:r>
        <w:rPr>
          <w:rFonts w:hint="eastAsia" w:ascii="宋体" w:hAnsi="宋体"/>
        </w:rPr>
        <w:t>5.各类突发事件的应急处理工作；</w:t>
      </w:r>
    </w:p>
    <w:p>
      <w:pPr>
        <w:spacing w:line="360" w:lineRule="auto"/>
        <w:ind w:firstLine="420" w:firstLineChars="200"/>
        <w:rPr>
          <w:rFonts w:ascii="宋体" w:hAnsi="宋体"/>
        </w:rPr>
      </w:pPr>
      <w:r>
        <w:rPr>
          <w:rFonts w:hint="eastAsia" w:ascii="宋体" w:hAnsi="宋体"/>
        </w:rPr>
        <w:t>6.学校安排的其它事项。</w:t>
      </w:r>
    </w:p>
    <w:p>
      <w:pPr>
        <w:widowControl/>
        <w:tabs>
          <w:tab w:val="left" w:pos="540"/>
        </w:tabs>
        <w:spacing w:line="360" w:lineRule="auto"/>
        <w:ind w:firstLine="420" w:firstLineChars="200"/>
        <w:outlineLvl w:val="1"/>
        <w:rPr>
          <w:rFonts w:ascii="宋体" w:hAnsi="宋体" w:cs="宋体"/>
          <w:b/>
          <w:color w:val="000000"/>
        </w:rPr>
      </w:pPr>
    </w:p>
    <w:p>
      <w:pPr>
        <w:widowControl/>
        <w:tabs>
          <w:tab w:val="left" w:pos="540"/>
        </w:tabs>
        <w:spacing w:line="360" w:lineRule="auto"/>
        <w:ind w:firstLine="420" w:firstLineChars="200"/>
        <w:outlineLvl w:val="1"/>
        <w:rPr>
          <w:rFonts w:ascii="宋体" w:hAnsi="宋体" w:cs="宋体"/>
          <w:b/>
          <w:color w:val="000000"/>
        </w:rPr>
      </w:pPr>
      <w:r>
        <w:rPr>
          <w:rFonts w:hint="eastAsia" w:ascii="宋体" w:hAnsi="宋体" w:cs="宋体"/>
          <w:b/>
          <w:color w:val="000000"/>
        </w:rPr>
        <w:t>三、校园安保服务岗位数</w:t>
      </w:r>
    </w:p>
    <w:p>
      <w:pPr>
        <w:adjustRightInd w:val="0"/>
        <w:snapToGrid w:val="0"/>
        <w:spacing w:line="360" w:lineRule="auto"/>
        <w:ind w:firstLine="420" w:firstLineChars="200"/>
        <w:rPr>
          <w:rFonts w:ascii="宋体" w:hAnsi="宋体" w:cs="宋体"/>
          <w:b/>
          <w:bCs/>
        </w:rPr>
      </w:pPr>
      <w:r>
        <w:rPr>
          <w:rFonts w:hint="eastAsia" w:ascii="宋体" w:hAnsi="宋体" w:cs="宋体"/>
          <w:b/>
          <w:bCs/>
        </w:rPr>
        <w:t>(一)</w:t>
      </w:r>
      <w:r>
        <w:rPr>
          <w:rFonts w:hint="eastAsia"/>
          <w:b/>
          <w:bCs/>
        </w:rPr>
        <w:t xml:space="preserve"> </w:t>
      </w:r>
      <w:r>
        <w:rPr>
          <w:rFonts w:hint="eastAsia" w:ascii="宋体" w:hAnsi="宋体" w:cs="宋体"/>
          <w:b/>
          <w:bCs/>
        </w:rPr>
        <w:t>根据学校工作实际，2022年-2023年度的保安服务人员计划41个岗位</w:t>
      </w:r>
      <w:r>
        <w:rPr>
          <w:rFonts w:hint="eastAsia" w:ascii="宋体" w:hAnsi="宋体"/>
          <w:b/>
          <w:bCs/>
        </w:rPr>
        <w:t>。</w:t>
      </w:r>
    </w:p>
    <w:tbl>
      <w:tblPr>
        <w:tblStyle w:val="35"/>
        <w:tblW w:w="9377" w:type="dxa"/>
        <w:tblInd w:w="93" w:type="dxa"/>
        <w:tblLayout w:type="fixed"/>
        <w:tblCellMar>
          <w:top w:w="0" w:type="dxa"/>
          <w:left w:w="108" w:type="dxa"/>
          <w:bottom w:w="0" w:type="dxa"/>
          <w:right w:w="108" w:type="dxa"/>
        </w:tblCellMar>
      </w:tblPr>
      <w:tblGrid>
        <w:gridCol w:w="693"/>
        <w:gridCol w:w="3555"/>
        <w:gridCol w:w="1607"/>
        <w:gridCol w:w="1498"/>
        <w:gridCol w:w="2024"/>
      </w:tblGrid>
      <w:tr>
        <w:trPr>
          <w:trHeight w:val="54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bookmarkStart w:id="94" w:name="_Toc497401516"/>
            <w:bookmarkStart w:id="95" w:name="_Toc498352571"/>
            <w:r>
              <w:rPr>
                <w:rFonts w:hint="eastAsia" w:ascii="宋体" w:hAnsi="宋体" w:cs="宋体"/>
                <w:color w:val="000000"/>
                <w:kern w:val="0"/>
              </w:rPr>
              <w:t>序号</w:t>
            </w:r>
          </w:p>
        </w:tc>
        <w:tc>
          <w:tcPr>
            <w:tcW w:w="3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工作点位</w:t>
            </w:r>
          </w:p>
        </w:tc>
        <w:tc>
          <w:tcPr>
            <w:tcW w:w="1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应设置岗位（个）</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单岗位时长（小时）</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单日完成安保工作总时长（小时)</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校1号门车行入口（24小时制）</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24</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校1号门车行出口（24小时制）</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24</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校1号门人行入口</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校1号门人行出口</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5</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校2号门（24小时制）</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24</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6</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校外公寓大门</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7</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知远楼门岗</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知音楼门岗</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知美楼门岗</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9</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知化楼门岗</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10</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知言楼门岗</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11</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图书馆入口</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图书馆出口</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13</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消防控制室（24小时制）</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32</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14</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队长助理（机动队员具备文职能力）</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15</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白班巡逻（保安副队长）</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夜班巡逻</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56" w:hRule="atLeast"/>
        </w:trPr>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17</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保安队长</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r>
      <w:tr>
        <w:trPr>
          <w:trHeight w:val="372" w:hRule="atLeast"/>
        </w:trPr>
        <w:tc>
          <w:tcPr>
            <w:tcW w:w="4248"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合计</w:t>
            </w:r>
          </w:p>
        </w:tc>
        <w:tc>
          <w:tcPr>
            <w:tcW w:w="1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41</w:t>
            </w:r>
          </w:p>
        </w:tc>
        <w:tc>
          <w:tcPr>
            <w:tcW w:w="1498" w:type="dxa"/>
            <w:tcBorders>
              <w:top w:val="single" w:color="000000" w:sz="4" w:space="0"/>
              <w:left w:val="nil"/>
              <w:bottom w:val="single" w:color="000000" w:sz="4" w:space="0"/>
              <w:right w:val="single" w:color="000000" w:sz="4" w:space="0"/>
            </w:tcBorders>
            <w:noWrap/>
            <w:vAlign w:val="center"/>
          </w:tcPr>
          <w:p>
            <w:pPr>
              <w:rPr>
                <w:rFonts w:ascii="宋体" w:hAnsi="宋体" w:cs="宋体"/>
                <w:color w:val="000000"/>
              </w:rPr>
            </w:pP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rPr>
              <w:t>328</w:t>
            </w:r>
          </w:p>
        </w:tc>
      </w:tr>
    </w:tbl>
    <w:p>
      <w:pPr>
        <w:widowControl/>
        <w:tabs>
          <w:tab w:val="left" w:pos="540"/>
        </w:tabs>
        <w:spacing w:line="360" w:lineRule="auto"/>
        <w:outlineLvl w:val="1"/>
        <w:rPr>
          <w:rFonts w:ascii="宋体" w:hAnsi="宋体" w:cs="宋体"/>
          <w:color w:val="000000"/>
        </w:rPr>
      </w:pPr>
    </w:p>
    <w:p>
      <w:pPr>
        <w:widowControl/>
        <w:tabs>
          <w:tab w:val="left" w:pos="540"/>
        </w:tabs>
        <w:spacing w:line="360" w:lineRule="auto"/>
        <w:outlineLvl w:val="1"/>
        <w:rPr>
          <w:rFonts w:ascii="宋体" w:hAnsi="宋体" w:cs="宋体"/>
          <w:b/>
          <w:bCs/>
          <w:color w:val="000000"/>
        </w:rPr>
      </w:pPr>
      <w:r>
        <w:rPr>
          <w:rFonts w:hint="eastAsia" w:ascii="宋体" w:hAnsi="宋体" w:cs="宋体"/>
          <w:b/>
          <w:bCs/>
          <w:color w:val="000000"/>
        </w:rPr>
        <w:t>(二)</w:t>
      </w:r>
      <w:r>
        <w:rPr>
          <w:rFonts w:hint="eastAsia"/>
          <w:b/>
          <w:bCs/>
        </w:rPr>
        <w:t xml:space="preserve"> </w:t>
      </w:r>
      <w:r>
        <w:rPr>
          <w:rFonts w:hint="eastAsia" w:ascii="宋体" w:hAnsi="宋体" w:cs="宋体"/>
          <w:b/>
          <w:bCs/>
          <w:color w:val="000000"/>
        </w:rPr>
        <w:t>服务要求</w:t>
      </w:r>
      <w:bookmarkEnd w:id="94"/>
      <w:bookmarkEnd w:id="95"/>
    </w:p>
    <w:p>
      <w:pPr>
        <w:spacing w:line="360" w:lineRule="auto"/>
        <w:ind w:firstLine="420" w:firstLineChars="200"/>
        <w:rPr>
          <w:rFonts w:ascii="宋体" w:hAnsi="宋体"/>
        </w:rPr>
      </w:pPr>
      <w:r>
        <w:rPr>
          <w:rFonts w:hint="eastAsia" w:ascii="宋体" w:hAnsi="宋体"/>
        </w:rPr>
        <w:t>1.岗位任职要求</w:t>
      </w:r>
    </w:p>
    <w:p>
      <w:pPr>
        <w:spacing w:line="360" w:lineRule="auto"/>
        <w:ind w:firstLine="420" w:firstLineChars="200"/>
        <w:rPr>
          <w:rFonts w:ascii="宋体" w:hAnsi="宋体"/>
        </w:rPr>
      </w:pPr>
      <w:r>
        <w:rPr>
          <w:rFonts w:hint="eastAsia" w:ascii="宋体" w:hAnsi="宋体"/>
        </w:rPr>
        <w:t>（1）政治可靠，作风正派，能自觉遵守公共秩序和社会公德，遵守《武汉市民文明公约》。年龄在18-50周岁且具有初中毕业及以上文化程度，楼栋岗人员年龄可适当放宽至55周岁，但50-55周岁人员不得多于3人；部分岗位可以招聘女性保安员，如门岗收费岗位、消控值班岗位等，但女性保安员总数不得多于3人；所有保安保人员的基本信息、身份证明、异动信息等信息必须向学校备案；</w:t>
      </w:r>
    </w:p>
    <w:p>
      <w:pPr>
        <w:spacing w:line="360" w:lineRule="auto"/>
        <w:ind w:firstLine="420" w:firstLineChars="200"/>
        <w:rPr>
          <w:rFonts w:ascii="宋体" w:hAnsi="宋体"/>
        </w:rPr>
      </w:pPr>
      <w:r>
        <w:rPr>
          <w:rFonts w:hint="eastAsia" w:ascii="宋体" w:hAnsi="宋体"/>
        </w:rPr>
        <w:t>（2）为保证学校保安队伍的稳定性和高素质性，要求所有上岗保安队员身体健康，能胜任执勤、护卫等任务。上岗前必须出具身体健康证明向学校备案（因工作有一定强度，且必须具备一定维稳处突能力，学校不建议招收有心血管类疾病的保安队员入职）；</w:t>
      </w:r>
    </w:p>
    <w:p>
      <w:pPr>
        <w:spacing w:line="360" w:lineRule="auto"/>
        <w:ind w:firstLine="420" w:firstLineChars="200"/>
        <w:rPr>
          <w:rFonts w:ascii="宋体" w:hAnsi="宋体"/>
        </w:rPr>
      </w:pPr>
      <w:r>
        <w:rPr>
          <w:rFonts w:hint="eastAsia" w:ascii="宋体" w:hAnsi="宋体"/>
        </w:rPr>
        <w:t>（3）所有安保队员上岗前必须由公安机关出具无违法犯罪记录证明，并在学校备案；</w:t>
      </w:r>
    </w:p>
    <w:p>
      <w:pPr>
        <w:spacing w:line="360" w:lineRule="auto"/>
        <w:ind w:firstLine="420" w:firstLineChars="200"/>
        <w:rPr>
          <w:rFonts w:ascii="宋体" w:hAnsi="宋体"/>
        </w:rPr>
      </w:pPr>
      <w:r>
        <w:rPr>
          <w:rFonts w:hint="eastAsia" w:ascii="宋体" w:hAnsi="宋体"/>
        </w:rPr>
        <w:t>（4）具备一定语言和文字表达能力，熟悉基本法律知识及与治安管理、消防安全管理相关的政策、规定，所有岗位上岗人员应具备相应的专业知识和上岗证书（中华人民共和国保安员证）；</w:t>
      </w:r>
    </w:p>
    <w:p>
      <w:pPr>
        <w:spacing w:line="360" w:lineRule="auto"/>
        <w:ind w:firstLine="420" w:firstLineChars="200"/>
        <w:rPr>
          <w:rFonts w:ascii="宋体" w:hAnsi="宋体"/>
        </w:rPr>
      </w:pPr>
      <w:r>
        <w:rPr>
          <w:rFonts w:hint="eastAsia" w:ascii="宋体" w:hAnsi="宋体"/>
        </w:rPr>
        <w:t>（5）所有保安队员必须能熟练使用基本消防设备、通讯器材、技术防范设施设备、器械的技能。掌握一定防卫和擒敌技能；</w:t>
      </w:r>
    </w:p>
    <w:p>
      <w:pPr>
        <w:spacing w:line="360" w:lineRule="auto"/>
        <w:ind w:firstLine="420" w:firstLineChars="200"/>
        <w:rPr>
          <w:rFonts w:ascii="宋体" w:hAnsi="宋体"/>
        </w:rPr>
      </w:pPr>
      <w:r>
        <w:rPr>
          <w:rFonts w:hint="eastAsia" w:ascii="宋体" w:hAnsi="宋体"/>
        </w:rPr>
        <w:t>（6）具备与岗位职责相应的观察、发现、应急处突能力。</w:t>
      </w:r>
    </w:p>
    <w:p>
      <w:pPr>
        <w:spacing w:line="360" w:lineRule="auto"/>
        <w:ind w:firstLine="420" w:firstLineChars="200"/>
        <w:rPr>
          <w:rFonts w:ascii="宋体" w:hAnsi="宋体"/>
        </w:rPr>
      </w:pPr>
      <w:r>
        <w:rPr>
          <w:rFonts w:hint="eastAsia" w:ascii="宋体" w:hAnsi="宋体"/>
        </w:rPr>
        <w:t>2.岗位工作要求</w:t>
      </w:r>
    </w:p>
    <w:p>
      <w:pPr>
        <w:spacing w:line="360" w:lineRule="auto"/>
        <w:ind w:firstLine="420" w:firstLineChars="200"/>
        <w:rPr>
          <w:rFonts w:ascii="宋体" w:hAnsi="宋体"/>
        </w:rPr>
      </w:pPr>
      <w:r>
        <w:rPr>
          <w:rFonts w:hint="eastAsia" w:ascii="宋体" w:hAnsi="宋体"/>
        </w:rPr>
        <w:t>（1）所有安保人员必须每日按要求实施考勤（轮休人员除外），并由驻校管理人员做好考勤汇总台账备查；</w:t>
      </w:r>
    </w:p>
    <w:p>
      <w:pPr>
        <w:spacing w:line="360" w:lineRule="auto"/>
        <w:ind w:firstLine="420" w:firstLineChars="200"/>
        <w:rPr>
          <w:rFonts w:ascii="宋体" w:hAnsi="宋体"/>
        </w:rPr>
      </w:pPr>
      <w:r>
        <w:rPr>
          <w:rFonts w:hint="eastAsia" w:ascii="宋体" w:hAnsi="宋体"/>
        </w:rPr>
        <w:t>（2）安保人员在岗时，必须着统一制服，佩带标志或工作证吊牌；不在岗但在学校生活过程中，注意仪容仪表、言谈举止，保持良好风貌；</w:t>
      </w:r>
    </w:p>
    <w:p>
      <w:pPr>
        <w:spacing w:line="360" w:lineRule="auto"/>
        <w:ind w:firstLine="420" w:firstLineChars="200"/>
        <w:rPr>
          <w:rFonts w:ascii="宋体" w:hAnsi="宋体"/>
        </w:rPr>
      </w:pPr>
      <w:r>
        <w:rPr>
          <w:rFonts w:hint="eastAsia" w:ascii="宋体" w:hAnsi="宋体"/>
        </w:rPr>
        <w:t>（3）制服、皮鞋应保持干净整洁。制服不得与便服混穿，不同季节的制服不得混穿；</w:t>
      </w:r>
    </w:p>
    <w:p>
      <w:pPr>
        <w:spacing w:line="360" w:lineRule="auto"/>
        <w:ind w:firstLine="420" w:firstLineChars="200"/>
        <w:rPr>
          <w:rFonts w:ascii="宋体" w:hAnsi="宋体"/>
        </w:rPr>
      </w:pPr>
      <w:r>
        <w:rPr>
          <w:rFonts w:hint="eastAsia" w:ascii="宋体" w:hAnsi="宋体"/>
        </w:rPr>
        <w:t>（4）值勤时要仪表端庄，精神饱满，挺胸收腹站立，不得蹲、坐、听音乐、玩手机；保安员不得留长发、大鬓角和胡须，执勤时不得披衣、敞怀、挽袖、卷裤腿、穿拖鞋或赤足；</w:t>
      </w:r>
    </w:p>
    <w:p>
      <w:pPr>
        <w:spacing w:line="360" w:lineRule="auto"/>
        <w:ind w:firstLine="420" w:firstLineChars="200"/>
        <w:rPr>
          <w:rFonts w:ascii="宋体" w:hAnsi="宋体"/>
        </w:rPr>
      </w:pPr>
      <w:r>
        <w:rPr>
          <w:rFonts w:hint="eastAsia" w:ascii="宋体" w:hAnsi="宋体"/>
        </w:rPr>
        <w:t>（5）自觉维护环境卫生，保持值勤区域整洁干净；</w:t>
      </w:r>
    </w:p>
    <w:p>
      <w:pPr>
        <w:spacing w:line="360" w:lineRule="auto"/>
        <w:ind w:firstLine="420" w:firstLineChars="200"/>
        <w:rPr>
          <w:rFonts w:ascii="宋体" w:hAnsi="宋体"/>
        </w:rPr>
      </w:pPr>
      <w:r>
        <w:rPr>
          <w:rFonts w:hint="eastAsia" w:ascii="宋体" w:hAnsi="宋体"/>
        </w:rPr>
        <w:t>（6）严格执行学校制定的安保人员岗位职责和工作时间要求，踏实认真做好本职工作。</w:t>
      </w:r>
    </w:p>
    <w:p>
      <w:pPr>
        <w:spacing w:line="360" w:lineRule="auto"/>
        <w:ind w:firstLine="420" w:firstLineChars="200"/>
        <w:rPr>
          <w:rFonts w:ascii="宋体" w:hAnsi="宋体"/>
        </w:rPr>
      </w:pPr>
      <w:r>
        <w:rPr>
          <w:rFonts w:hint="eastAsia" w:ascii="宋体" w:hAnsi="宋体"/>
        </w:rPr>
        <w:t>3.岗位行为规范</w:t>
      </w:r>
    </w:p>
    <w:p>
      <w:pPr>
        <w:spacing w:line="360" w:lineRule="auto"/>
        <w:ind w:firstLine="420" w:firstLineChars="200"/>
        <w:rPr>
          <w:rFonts w:ascii="宋体" w:hAnsi="宋体"/>
        </w:rPr>
      </w:pPr>
      <w:r>
        <w:rPr>
          <w:rFonts w:hint="eastAsia" w:ascii="宋体" w:hAnsi="宋体"/>
        </w:rPr>
        <w:t>（1）精神饱满，姿态端正，动作规范，举止文明；不在岗位上吸烟、酗酒、吃杂食、看报纸、摇扇子、玩手机；</w:t>
      </w:r>
    </w:p>
    <w:p>
      <w:pPr>
        <w:spacing w:line="360" w:lineRule="auto"/>
        <w:ind w:firstLine="420" w:firstLineChars="200"/>
        <w:rPr>
          <w:rFonts w:ascii="宋体" w:hAnsi="宋体"/>
        </w:rPr>
      </w:pPr>
      <w:r>
        <w:rPr>
          <w:rFonts w:hint="eastAsia" w:ascii="宋体" w:hAnsi="宋体"/>
        </w:rPr>
        <w:t>（2）不准搭肩、挽臂、不得在校园公共场所吸烟、不得在工作时间饮食、嬉笑打闹。不准随地吐痰、乱扔废弃物；</w:t>
      </w:r>
    </w:p>
    <w:p>
      <w:pPr>
        <w:spacing w:line="360" w:lineRule="auto"/>
        <w:ind w:firstLine="420" w:firstLineChars="200"/>
        <w:rPr>
          <w:rFonts w:ascii="宋体" w:hAnsi="宋体"/>
        </w:rPr>
      </w:pPr>
      <w:r>
        <w:rPr>
          <w:rFonts w:hint="eastAsia" w:ascii="宋体" w:hAnsi="宋体"/>
        </w:rPr>
        <w:t>（3）工作中使用普通话，与人沟通交流时用语要简洁准确、文明规范，做到礼貌和气；</w:t>
      </w:r>
    </w:p>
    <w:p>
      <w:pPr>
        <w:spacing w:line="360" w:lineRule="auto"/>
        <w:ind w:firstLine="420" w:firstLineChars="200"/>
        <w:rPr>
          <w:rFonts w:ascii="宋体" w:hAnsi="宋体"/>
        </w:rPr>
      </w:pPr>
      <w:r>
        <w:rPr>
          <w:rFonts w:hint="eastAsia" w:ascii="宋体" w:hAnsi="宋体"/>
        </w:rPr>
        <w:t>（4）工作中如遇到他人提问和做出请求，在岗位职责和业务认知范围之类的，应予以正确回答或提供帮助；超出岗位职责和业务认知范围的，应及时向上级报告，按上级指示开展工作。</w:t>
      </w:r>
    </w:p>
    <w:p>
      <w:pPr>
        <w:spacing w:line="360" w:lineRule="auto"/>
        <w:ind w:firstLine="420" w:firstLineChars="200"/>
        <w:rPr>
          <w:rFonts w:ascii="宋体" w:hAnsi="宋体"/>
        </w:rPr>
      </w:pPr>
      <w:r>
        <w:rPr>
          <w:rFonts w:hint="eastAsia" w:ascii="宋体" w:hAnsi="宋体"/>
        </w:rPr>
        <w:t>4.岗位纪律</w:t>
      </w:r>
    </w:p>
    <w:p>
      <w:pPr>
        <w:spacing w:line="360" w:lineRule="auto"/>
        <w:ind w:firstLine="420" w:firstLineChars="200"/>
        <w:rPr>
          <w:rFonts w:ascii="宋体" w:hAnsi="宋体"/>
        </w:rPr>
      </w:pPr>
      <w:r>
        <w:rPr>
          <w:rFonts w:hint="eastAsia" w:ascii="宋体" w:hAnsi="宋体"/>
        </w:rPr>
        <w:t>（1）安保服务工作在保卫处的指导下开展，岗位设置、值班方式不得擅自调整；</w:t>
      </w:r>
    </w:p>
    <w:p>
      <w:pPr>
        <w:spacing w:line="360" w:lineRule="auto"/>
        <w:ind w:firstLine="420" w:firstLineChars="200"/>
        <w:rPr>
          <w:rFonts w:ascii="宋体" w:hAnsi="宋体"/>
        </w:rPr>
      </w:pPr>
      <w:r>
        <w:rPr>
          <w:rFonts w:hint="eastAsia" w:ascii="宋体" w:hAnsi="宋体"/>
        </w:rPr>
        <w:t>（2）在法律和合同规定的范围内开展服务工作，不得超越职责权限乱作为。工作期间，严格履行岗位职责，不得做与本职工作无关的事情；</w:t>
      </w:r>
    </w:p>
    <w:p>
      <w:pPr>
        <w:spacing w:line="360" w:lineRule="auto"/>
        <w:ind w:firstLine="420" w:firstLineChars="200"/>
        <w:rPr>
          <w:rFonts w:ascii="宋体" w:hAnsi="宋体"/>
        </w:rPr>
      </w:pPr>
      <w:r>
        <w:rPr>
          <w:rFonts w:hint="eastAsia" w:ascii="宋体" w:hAnsi="宋体"/>
        </w:rPr>
        <w:t>（3）服务应主动周到，想师生之想，解师生之难，不得刁难师生；不得以言语和行为骚扰师生，不允许与师生发生感情纠葛和不道德行为；</w:t>
      </w:r>
    </w:p>
    <w:p>
      <w:pPr>
        <w:spacing w:line="360" w:lineRule="auto"/>
        <w:ind w:firstLine="420" w:firstLineChars="200"/>
        <w:rPr>
          <w:rFonts w:ascii="宋体" w:hAnsi="宋体"/>
        </w:rPr>
      </w:pPr>
      <w:r>
        <w:rPr>
          <w:rFonts w:hint="eastAsia" w:ascii="宋体" w:hAnsi="宋体"/>
        </w:rPr>
        <w:t>（4）不准脱岗、空岗、睡岗、窜岗，不准迟到、早退，按时巡查巡更；</w:t>
      </w:r>
    </w:p>
    <w:p>
      <w:pPr>
        <w:spacing w:line="360" w:lineRule="auto"/>
        <w:ind w:firstLine="420" w:firstLineChars="200"/>
        <w:rPr>
          <w:rFonts w:ascii="宋体" w:hAnsi="宋体"/>
        </w:rPr>
      </w:pPr>
      <w:r>
        <w:rPr>
          <w:rFonts w:hint="eastAsia" w:ascii="宋体" w:hAnsi="宋体"/>
        </w:rPr>
        <w:t>（5）熟知相关规章制度，严守保密制度，不准随意打听、记录、传播机密事项；</w:t>
      </w:r>
    </w:p>
    <w:p>
      <w:pPr>
        <w:spacing w:line="360" w:lineRule="auto"/>
        <w:ind w:firstLine="420" w:firstLineChars="200"/>
        <w:rPr>
          <w:rFonts w:ascii="宋体" w:hAnsi="宋体"/>
        </w:rPr>
      </w:pPr>
      <w:r>
        <w:rPr>
          <w:rFonts w:hint="eastAsia" w:ascii="宋体" w:hAnsi="宋体"/>
        </w:rPr>
        <w:t>（6）自觉爱护学校公物，上岗时及时领取并妥善保管配备的工作器械，下班时上交保安队长统一保管；</w:t>
      </w:r>
    </w:p>
    <w:p>
      <w:pPr>
        <w:spacing w:line="360" w:lineRule="auto"/>
        <w:ind w:firstLine="420" w:firstLineChars="200"/>
        <w:rPr>
          <w:rFonts w:ascii="宋体" w:hAnsi="宋体"/>
        </w:rPr>
      </w:pPr>
      <w:r>
        <w:rPr>
          <w:rFonts w:hint="eastAsia" w:ascii="宋体" w:hAnsi="宋体"/>
        </w:rPr>
        <w:t>（7）重要情况要妥善处置并及时上报；不得迟报、漏报、瞒报；</w:t>
      </w:r>
    </w:p>
    <w:p>
      <w:pPr>
        <w:spacing w:line="360" w:lineRule="auto"/>
        <w:ind w:firstLine="420" w:firstLineChars="200"/>
        <w:rPr>
          <w:rFonts w:ascii="宋体" w:hAnsi="宋体"/>
        </w:rPr>
      </w:pPr>
      <w:r>
        <w:rPr>
          <w:rFonts w:hint="eastAsia" w:ascii="宋体" w:hAnsi="宋体"/>
        </w:rPr>
        <w:t>（8）在岗期间认真履行岗位职责，如实填写在岗工作记录，离岗时做好交接班工作；</w:t>
      </w:r>
    </w:p>
    <w:p>
      <w:pPr>
        <w:spacing w:line="360" w:lineRule="auto"/>
        <w:ind w:firstLine="420" w:firstLineChars="200"/>
        <w:rPr>
          <w:rFonts w:ascii="宋体" w:hAnsi="宋体"/>
        </w:rPr>
      </w:pPr>
      <w:r>
        <w:rPr>
          <w:rFonts w:hint="eastAsia" w:ascii="宋体" w:hAnsi="宋体"/>
        </w:rPr>
        <w:t>（9）所有安保人员必须遵守廉洁自律相关规定，严禁安保人员利用职务之便徇私舞弊，谋取不正当利益。</w:t>
      </w:r>
    </w:p>
    <w:p>
      <w:pPr>
        <w:spacing w:line="360" w:lineRule="auto"/>
        <w:ind w:firstLine="420" w:firstLineChars="200"/>
        <w:rPr>
          <w:rFonts w:ascii="宋体" w:hAnsi="宋体"/>
        </w:rPr>
      </w:pPr>
      <w:r>
        <w:rPr>
          <w:rFonts w:hint="eastAsia" w:ascii="宋体" w:hAnsi="宋体"/>
        </w:rPr>
        <w:t>5.附加学校消防设施维保合同。要求中标安保公司具备消防设施维保服务资质，承担合同期内学校消防设施维保服务，维保费用纳入安保合同总价。</w:t>
      </w:r>
    </w:p>
    <w:p>
      <w:pPr>
        <w:widowControl/>
        <w:tabs>
          <w:tab w:val="left" w:pos="540"/>
        </w:tabs>
        <w:spacing w:line="360" w:lineRule="auto"/>
        <w:ind w:firstLine="420" w:firstLineChars="200"/>
        <w:outlineLvl w:val="1"/>
        <w:rPr>
          <w:rFonts w:ascii="宋体" w:hAnsi="宋体" w:cs="宋体"/>
          <w:b/>
          <w:bCs/>
          <w:color w:val="000000"/>
        </w:rPr>
      </w:pPr>
      <w:bookmarkStart w:id="96" w:name="_Toc497401517"/>
      <w:bookmarkStart w:id="97" w:name="_Toc498352572"/>
    </w:p>
    <w:p>
      <w:pPr>
        <w:widowControl/>
        <w:tabs>
          <w:tab w:val="left" w:pos="540"/>
        </w:tabs>
        <w:spacing w:line="360" w:lineRule="auto"/>
        <w:ind w:firstLine="420" w:firstLineChars="200"/>
        <w:outlineLvl w:val="1"/>
        <w:rPr>
          <w:rFonts w:ascii="宋体" w:hAnsi="宋体" w:cs="宋体"/>
          <w:b/>
          <w:bCs/>
          <w:color w:val="000000"/>
        </w:rPr>
      </w:pPr>
      <w:r>
        <w:rPr>
          <w:rFonts w:hint="eastAsia" w:ascii="宋体" w:hAnsi="宋体" w:cs="宋体"/>
          <w:b/>
          <w:bCs/>
          <w:color w:val="000000"/>
        </w:rPr>
        <w:t>四、</w:t>
      </w:r>
      <w:r>
        <w:rPr>
          <w:rFonts w:hint="eastAsia" w:ascii="宋体" w:hAnsi="宋体"/>
          <w:b/>
          <w:bCs/>
        </w:rPr>
        <w:t>投标报价及</w:t>
      </w:r>
      <w:r>
        <w:rPr>
          <w:rFonts w:hint="eastAsia" w:ascii="宋体" w:hAnsi="宋体" w:cs="宋体"/>
          <w:b/>
          <w:bCs/>
          <w:color w:val="000000"/>
        </w:rPr>
        <w:t>要求</w:t>
      </w:r>
      <w:bookmarkEnd w:id="96"/>
      <w:bookmarkEnd w:id="97"/>
    </w:p>
    <w:p>
      <w:pPr>
        <w:spacing w:line="360" w:lineRule="auto"/>
        <w:ind w:firstLine="420" w:firstLineChars="200"/>
        <w:rPr>
          <w:rFonts w:ascii="宋体" w:hAnsi="宋体"/>
        </w:rPr>
      </w:pPr>
      <w:r>
        <w:rPr>
          <w:rFonts w:hint="eastAsia" w:ascii="宋体" w:hAnsi="宋体"/>
        </w:rPr>
        <w:t>（一）投标拦标价： 170万元（含消防设备维保费用2万元）</w:t>
      </w:r>
    </w:p>
    <w:p>
      <w:pPr>
        <w:spacing w:line="360" w:lineRule="auto"/>
        <w:ind w:firstLine="420" w:firstLineChars="200"/>
        <w:rPr>
          <w:rFonts w:ascii="宋体" w:hAnsi="宋体"/>
        </w:rPr>
      </w:pPr>
      <w:r>
        <w:rPr>
          <w:rFonts w:hint="eastAsia" w:ascii="宋体" w:hAnsi="宋体"/>
        </w:rPr>
        <w:t>投标报价必须有分项报价；</w:t>
      </w:r>
      <w:r>
        <w:rPr>
          <w:rFonts w:ascii="宋体" w:hAnsi="宋体"/>
        </w:rPr>
        <w:t xml:space="preserve"> </w:t>
      </w:r>
      <w:r>
        <w:rPr>
          <w:rFonts w:hint="eastAsia" w:ascii="宋体" w:hAnsi="宋体"/>
        </w:rPr>
        <w:t>包含但不限于人员工资、学校消防设施维保费用、交通费（含巡逻车购置费）、服装费、通讯器材费（对讲机）、警具器械费（橡皮警棍等）、管理费、税费、社保费（包括医疗保险、失业保险、养老保险、生育保险、工伤保险）、生活费（含工作餐）、节假日加班费等。</w:t>
      </w:r>
    </w:p>
    <w:p>
      <w:pPr>
        <w:spacing w:line="360" w:lineRule="auto"/>
        <w:ind w:firstLine="420" w:firstLineChars="200"/>
        <w:rPr>
          <w:rFonts w:ascii="宋体" w:hAnsi="宋体"/>
        </w:rPr>
      </w:pPr>
      <w:r>
        <w:rPr>
          <w:rFonts w:hint="eastAsia" w:ascii="宋体" w:hAnsi="宋体"/>
        </w:rPr>
        <w:t>（二）从业人员的人身安全和劳务纠纷事宜</w:t>
      </w:r>
    </w:p>
    <w:p>
      <w:pPr>
        <w:spacing w:line="360" w:lineRule="auto"/>
        <w:ind w:firstLine="420" w:firstLineChars="200"/>
        <w:rPr>
          <w:rFonts w:ascii="宋体" w:hAnsi="宋体"/>
        </w:rPr>
      </w:pPr>
      <w:r>
        <w:rPr>
          <w:rFonts w:hint="eastAsia" w:ascii="宋体" w:hAnsi="宋体"/>
        </w:rPr>
        <w:t>1、从业人员的劳务纠纷由中标人承担，招标人不承担任何责任；</w:t>
      </w:r>
    </w:p>
    <w:p>
      <w:pPr>
        <w:spacing w:line="360" w:lineRule="auto"/>
        <w:ind w:firstLine="420" w:firstLineChars="200"/>
        <w:rPr>
          <w:rFonts w:ascii="宋体" w:hAnsi="宋体"/>
          <w:color w:val="000000"/>
        </w:rPr>
      </w:pPr>
      <w:r>
        <w:rPr>
          <w:rFonts w:hint="eastAsia" w:ascii="宋体" w:hAnsi="宋体"/>
        </w:rPr>
        <w:t>2、从业人员在工作期间和其他时间的人身和财产安全由中标人承担，招标人不承担任何责任。</w:t>
      </w:r>
    </w:p>
    <w:p>
      <w:pPr>
        <w:widowControl/>
        <w:tabs>
          <w:tab w:val="left" w:pos="540"/>
        </w:tabs>
        <w:spacing w:line="360" w:lineRule="auto"/>
        <w:ind w:firstLine="420" w:firstLineChars="200"/>
        <w:outlineLvl w:val="1"/>
        <w:rPr>
          <w:rFonts w:ascii="宋体" w:hAnsi="宋体" w:cs="宋体"/>
          <w:b/>
          <w:color w:val="000000"/>
        </w:rPr>
      </w:pPr>
      <w:bookmarkStart w:id="98" w:name="_Toc497401518"/>
      <w:bookmarkStart w:id="99" w:name="_Toc498352573"/>
    </w:p>
    <w:p>
      <w:pPr>
        <w:widowControl/>
        <w:tabs>
          <w:tab w:val="left" w:pos="540"/>
        </w:tabs>
        <w:spacing w:line="360" w:lineRule="auto"/>
        <w:ind w:firstLine="420" w:firstLineChars="200"/>
        <w:outlineLvl w:val="1"/>
        <w:rPr>
          <w:rFonts w:ascii="宋体" w:hAnsi="宋体" w:cs="宋体"/>
          <w:b/>
          <w:color w:val="000000"/>
        </w:rPr>
      </w:pPr>
      <w:r>
        <w:rPr>
          <w:rFonts w:hint="eastAsia" w:ascii="宋体" w:hAnsi="宋体" w:cs="宋体"/>
          <w:b/>
          <w:color w:val="000000"/>
        </w:rPr>
        <w:t>五、商务要求</w:t>
      </w:r>
      <w:bookmarkEnd w:id="98"/>
      <w:bookmarkEnd w:id="99"/>
    </w:p>
    <w:p>
      <w:pPr>
        <w:spacing w:line="360" w:lineRule="auto"/>
        <w:ind w:firstLine="420" w:firstLineChars="200"/>
        <w:rPr>
          <w:rFonts w:ascii="宋体" w:hAnsi="宋体"/>
        </w:rPr>
      </w:pPr>
      <w:r>
        <w:rPr>
          <w:rFonts w:hint="eastAsia" w:ascii="宋体" w:hAnsi="宋体"/>
        </w:rPr>
        <w:t>（一）付款方式</w:t>
      </w:r>
    </w:p>
    <w:p>
      <w:pPr>
        <w:spacing w:line="360" w:lineRule="auto"/>
        <w:ind w:firstLine="420" w:firstLineChars="200"/>
        <w:rPr>
          <w:rFonts w:ascii="宋体" w:hAnsi="宋体"/>
        </w:rPr>
      </w:pPr>
      <w:r>
        <w:rPr>
          <w:rFonts w:hint="eastAsia" w:ascii="宋体" w:hAnsi="宋体"/>
        </w:rPr>
        <w:t>招标人按月支付安保服务费；消防维保费用按季度根据维保达标情况进行支付，完全达标则每次支付人民币5000元，不达标则据实扣减，扣减办法另行约定；中标人须向招标人一次性上缴五万元服务合同质保金和贰万元</w:t>
      </w:r>
      <w:r>
        <w:rPr>
          <w:rFonts w:hint="eastAsia" w:cs="仿宋" w:asciiTheme="minorEastAsia" w:hAnsiTheme="minorEastAsia" w:eastAsiaTheme="minorEastAsia"/>
          <w:kern w:val="0"/>
        </w:rPr>
        <w:t>春节期间的保安队员生活补贴金，生活补贴金可用于向春节期间工作突出的保安人员发放奖励</w:t>
      </w:r>
      <w:r>
        <w:rPr>
          <w:rFonts w:hint="eastAsia" w:asciiTheme="minorEastAsia" w:hAnsiTheme="minorEastAsia" w:eastAsiaTheme="minorEastAsia"/>
        </w:rPr>
        <w:t>。合同终止之前，经招标人对中标人在合同期间内的考核，未发现因中标人工作失误</w:t>
      </w:r>
      <w:r>
        <w:rPr>
          <w:rFonts w:hint="eastAsia" w:ascii="宋体" w:hAnsi="宋体"/>
        </w:rPr>
        <w:t>或失职造成招标人损失的，一次性向中标人返退五万元服务合同质保金；如发生了因中标人工作失误或失职造成招标人损失的，根据招标人损失大小酌情扣罚服务质保金。</w:t>
      </w:r>
    </w:p>
    <w:p>
      <w:pPr>
        <w:spacing w:line="360" w:lineRule="auto"/>
        <w:ind w:firstLine="420" w:firstLineChars="200"/>
        <w:rPr>
          <w:rFonts w:ascii="宋体" w:hAnsi="宋体"/>
        </w:rPr>
      </w:pPr>
      <w:r>
        <w:rPr>
          <w:rFonts w:hint="eastAsia" w:ascii="宋体" w:hAnsi="宋体"/>
        </w:rPr>
        <w:t>（二）服务期限</w:t>
      </w:r>
    </w:p>
    <w:p>
      <w:pPr>
        <w:spacing w:line="360" w:lineRule="auto"/>
        <w:ind w:firstLine="420" w:firstLineChars="200"/>
        <w:rPr>
          <w:rFonts w:ascii="宋体" w:hAnsi="宋体"/>
        </w:rPr>
      </w:pPr>
      <w:r>
        <w:rPr>
          <w:rFonts w:hint="eastAsia" w:ascii="宋体" w:hAnsi="宋体"/>
        </w:rPr>
        <w:t>1、服务期：壹年（2022年08月01日至2023年07月31日），具体起始日期以劳动合同签订生效日期为准。</w:t>
      </w:r>
    </w:p>
    <w:p>
      <w:pPr>
        <w:spacing w:line="360" w:lineRule="auto"/>
        <w:ind w:firstLine="420" w:firstLineChars="200"/>
        <w:rPr>
          <w:rFonts w:ascii="宋体" w:hAnsi="宋体"/>
        </w:rPr>
      </w:pPr>
      <w:r>
        <w:rPr>
          <w:rFonts w:hint="eastAsia" w:ascii="宋体" w:hAnsi="宋体"/>
        </w:rPr>
        <w:t>2、中标人在服务期内，若管理混乱，缺人缺岗，服务质量差，消防维保服务不到位，影响到招标人正常生产生活秩序和声誉，招标人有权提前解除劳动合同。</w:t>
      </w:r>
    </w:p>
    <w:p>
      <w:pPr>
        <w:spacing w:line="360" w:lineRule="auto"/>
        <w:ind w:firstLine="420" w:firstLineChars="200"/>
        <w:rPr>
          <w:rFonts w:ascii="宋体" w:hAnsi="宋体"/>
          <w:color w:val="000000"/>
        </w:rPr>
      </w:pPr>
      <w:r>
        <w:rPr>
          <w:rFonts w:hint="eastAsia" w:ascii="宋体" w:hAnsi="宋体"/>
        </w:rPr>
        <w:t>3、中标人一年服务期满后，经招标人考核达到良好及以上等次，经校长办公会研究同意后，，可与招标人续签合同一年。</w:t>
      </w:r>
    </w:p>
    <w:p>
      <w:pPr>
        <w:widowControl/>
        <w:tabs>
          <w:tab w:val="left" w:pos="540"/>
        </w:tabs>
        <w:spacing w:line="360" w:lineRule="auto"/>
        <w:ind w:firstLine="420" w:firstLineChars="200"/>
        <w:outlineLvl w:val="1"/>
        <w:rPr>
          <w:rFonts w:ascii="宋体" w:hAnsi="宋体" w:cs="宋体"/>
          <w:b/>
          <w:color w:val="000000"/>
        </w:rPr>
      </w:pPr>
      <w:bookmarkStart w:id="100" w:name="_Toc498352574"/>
      <w:bookmarkStart w:id="101" w:name="_Toc497401519"/>
    </w:p>
    <w:p>
      <w:pPr>
        <w:widowControl/>
        <w:tabs>
          <w:tab w:val="left" w:pos="540"/>
        </w:tabs>
        <w:spacing w:line="360" w:lineRule="auto"/>
        <w:ind w:firstLine="420" w:firstLineChars="200"/>
        <w:outlineLvl w:val="1"/>
        <w:rPr>
          <w:rFonts w:ascii="宋体" w:hAnsi="宋体" w:cs="宋体"/>
          <w:b/>
          <w:color w:val="000000"/>
        </w:rPr>
      </w:pPr>
      <w:r>
        <w:rPr>
          <w:rFonts w:hint="eastAsia" w:ascii="宋体" w:hAnsi="宋体" w:cs="宋体"/>
          <w:b/>
          <w:color w:val="000000"/>
        </w:rPr>
        <w:t>六、其他要求</w:t>
      </w:r>
      <w:bookmarkEnd w:id="100"/>
      <w:bookmarkEnd w:id="101"/>
    </w:p>
    <w:p>
      <w:pPr>
        <w:spacing w:line="360" w:lineRule="auto"/>
        <w:ind w:firstLine="420" w:firstLineChars="200"/>
        <w:rPr>
          <w:rFonts w:ascii="宋体" w:hAnsi="宋体"/>
        </w:rPr>
      </w:pPr>
      <w:r>
        <w:rPr>
          <w:rFonts w:hint="eastAsia" w:ascii="宋体" w:hAnsi="宋体"/>
        </w:rPr>
        <w:t>1.投标人在投标文件中需附投标人所聘服务人员工资、社保等费用的支付和购买证明，否则其投标视为无效投标；</w:t>
      </w:r>
    </w:p>
    <w:p>
      <w:pPr>
        <w:spacing w:line="360" w:lineRule="auto"/>
        <w:ind w:firstLine="420" w:firstLineChars="200"/>
        <w:rPr>
          <w:rFonts w:ascii="宋体" w:hAnsi="宋体"/>
        </w:rPr>
      </w:pPr>
      <w:r>
        <w:rPr>
          <w:rFonts w:hint="eastAsia" w:ascii="宋体" w:hAnsi="宋体"/>
        </w:rPr>
        <w:t>2.中标人应为招标人制订具体详实的安全保卫服务措施及相关服务承诺。如因服务质量未达到目标，投标人应承担相应责任，必要时还需向招标人做出经济赔偿；</w:t>
      </w:r>
    </w:p>
    <w:p>
      <w:pPr>
        <w:spacing w:line="360" w:lineRule="auto"/>
        <w:ind w:firstLine="420" w:firstLineChars="200"/>
        <w:rPr>
          <w:rFonts w:ascii="宋体" w:hAnsi="宋体"/>
        </w:rPr>
      </w:pPr>
      <w:r>
        <w:rPr>
          <w:rFonts w:hint="eastAsia" w:ascii="宋体" w:hAnsi="宋体"/>
        </w:rPr>
        <w:t>3.中标人按要求及时配备足额且能够胜任岗位需求的相关管理和服务人员，且务必保持安保队伍的人员稳定。遇安保队伍人员调动或辞职时，需提前告知招标人，其中：队长提前一个月、副队长提前20天、保安提前10天告知，在征得招标人同意后才能更换。安保队伍人员调整后，中标人要及时补充相应缺岗人员，并在人员调整前做好工作交接。招标人认为能力水平不足、工作失职或不合适从事安保工作的人员，中标人应立即更换。岗位人数不足时，中标人必须在三日内自行将空缺人员补齐。超过七日未增补空缺岗位人员的，招标人将按照实际到岗人数与中标人据实结算当月的服务费用，岗位空缺情况严重且不能及时补齐的，招标人有权解除合同。</w:t>
      </w:r>
    </w:p>
    <w:p>
      <w:pPr>
        <w:spacing w:line="360" w:lineRule="auto"/>
        <w:ind w:firstLine="420" w:firstLineChars="200"/>
        <w:rPr>
          <w:rFonts w:ascii="宋体" w:hAnsi="宋体"/>
        </w:rPr>
      </w:pPr>
      <w:r>
        <w:rPr>
          <w:rFonts w:hint="eastAsia" w:ascii="宋体" w:hAnsi="宋体"/>
        </w:rPr>
        <w:t>4.招标人向中标人提出的服务要求或整改要求，中标人需组织人员落实完成并将结果及时书面反馈招标人。</w:t>
      </w:r>
    </w:p>
    <w:p>
      <w:pPr>
        <w:spacing w:line="360" w:lineRule="auto"/>
        <w:ind w:firstLine="420" w:firstLineChars="200"/>
        <w:rPr>
          <w:rFonts w:ascii="宋体" w:hAnsi="宋体"/>
        </w:rPr>
      </w:pPr>
      <w:r>
        <w:rPr>
          <w:rFonts w:hint="eastAsia" w:ascii="宋体" w:hAnsi="宋体"/>
        </w:rPr>
        <w:t xml:space="preserve">5.按国家和当地政府有关劳动法规、条例，中标人向管理服务人员提供相应工种的劳动工资、加班工资、劳动保护等待遇。为保证服务人员的技能素质、队伍的相对稳定，应保障关键技术岗位如队长、副队长、特技人员的工资待遇。 </w:t>
      </w:r>
    </w:p>
    <w:p>
      <w:pPr>
        <w:spacing w:line="360" w:lineRule="auto"/>
        <w:ind w:firstLine="420" w:firstLineChars="200"/>
        <w:rPr>
          <w:rFonts w:ascii="宋体" w:hAnsi="宋体"/>
        </w:rPr>
      </w:pPr>
      <w:r>
        <w:rPr>
          <w:rFonts w:hint="eastAsia" w:ascii="宋体" w:hAnsi="宋体"/>
        </w:rPr>
        <w:t>6.为提高保安服务水平，所有管理服务人员在服务期间按岗位要求进行定期短期培训。培训课程与资料向招标人备案，需要时，应接受招标人对服务人员的集中培训。设备维护人员进出调动须事前征求招标人意见，得到同意后才能放行。　</w:t>
      </w:r>
    </w:p>
    <w:p>
      <w:pPr>
        <w:spacing w:line="360" w:lineRule="auto"/>
        <w:ind w:firstLine="420" w:firstLineChars="200"/>
        <w:rPr>
          <w:rFonts w:ascii="宋体" w:hAnsi="宋体"/>
        </w:rPr>
      </w:pPr>
      <w:r>
        <w:rPr>
          <w:rFonts w:hint="eastAsia" w:ascii="宋体" w:hAnsi="宋体"/>
        </w:rPr>
        <w:t>7.中标人需建立保安员上岗前培训制度，通过培训后，持证才能上岗。</w:t>
      </w:r>
    </w:p>
    <w:p>
      <w:pPr>
        <w:spacing w:line="360" w:lineRule="auto"/>
        <w:ind w:firstLine="420" w:firstLineChars="200"/>
        <w:rPr>
          <w:rFonts w:ascii="宋体" w:hAnsi="宋体"/>
        </w:rPr>
      </w:pPr>
      <w:r>
        <w:rPr>
          <w:rFonts w:hint="eastAsia" w:ascii="宋体" w:hAnsi="宋体"/>
        </w:rPr>
        <w:t>8.中标人应承诺在合同期内，为承包区域内提供校园安保、维稳处突、消防设施维保及其他涉及到安保服务领域的服务，并承担由此带来的一切风险。</w:t>
      </w:r>
    </w:p>
    <w:p>
      <w:pPr>
        <w:spacing w:line="360" w:lineRule="auto"/>
        <w:ind w:firstLine="420" w:firstLineChars="200"/>
        <w:rPr>
          <w:rFonts w:ascii="宋体" w:hAnsi="宋体"/>
        </w:rPr>
      </w:pPr>
      <w:r>
        <w:rPr>
          <w:rFonts w:hint="eastAsia" w:ascii="宋体" w:hAnsi="宋体"/>
        </w:rPr>
        <w:t>9.中标人应制订具体的质量保证措施及质量保证服务承诺。中标人所有的工作除应按其内部流程实施外，还应接受招标人的检查。中标人达不到招标人要求或不能履行各项服务承诺，招标人有权要求其整改，直至扣款或终止合同。</w:t>
      </w:r>
    </w:p>
    <w:p>
      <w:pPr>
        <w:spacing w:line="360" w:lineRule="auto"/>
        <w:ind w:firstLine="420" w:firstLineChars="200"/>
        <w:rPr>
          <w:rFonts w:ascii="宋体" w:hAnsi="宋体"/>
        </w:rPr>
      </w:pPr>
      <w:r>
        <w:rPr>
          <w:rFonts w:hint="eastAsia" w:ascii="宋体" w:hAnsi="宋体"/>
        </w:rPr>
        <w:t>10.招标人可随时要求中标人在招标人的监督下进行服务满意率调查，招标人对中标人的满意率应达到90％以上。</w:t>
      </w:r>
    </w:p>
    <w:p>
      <w:pPr>
        <w:spacing w:line="360" w:lineRule="auto"/>
        <w:ind w:firstLine="420" w:firstLineChars="200"/>
        <w:rPr>
          <w:rFonts w:ascii="宋体" w:hAnsi="宋体"/>
        </w:rPr>
      </w:pPr>
      <w:r>
        <w:rPr>
          <w:rFonts w:hint="eastAsia" w:ascii="宋体" w:hAnsi="宋体"/>
        </w:rPr>
        <w:t>11.招标人对中标人的服务进行监督检查，中标人收到两次书面警示仍未整改到位的，招标人有权终止合同。</w:t>
      </w:r>
    </w:p>
    <w:p>
      <w:pPr>
        <w:spacing w:line="360" w:lineRule="auto"/>
        <w:ind w:firstLine="420" w:firstLineChars="200"/>
        <w:rPr>
          <w:rFonts w:ascii="宋体" w:hAnsi="宋体"/>
        </w:rPr>
      </w:pPr>
      <w:r>
        <w:rPr>
          <w:rFonts w:hint="eastAsia" w:ascii="宋体" w:hAnsi="宋体"/>
        </w:rPr>
        <w:t>12.</w:t>
      </w:r>
      <w:r>
        <w:rPr>
          <w:rFonts w:hint="eastAsia"/>
        </w:rPr>
        <w:t xml:space="preserve"> </w:t>
      </w:r>
      <w:r>
        <w:rPr>
          <w:rFonts w:hint="eastAsia" w:ascii="宋体" w:hAnsi="宋体"/>
        </w:rPr>
        <w:t>合同期内，招标人保安服务范围如有增加，招标人将按成交单价根据有关规定与中标人另行签订补充协议。</w:t>
      </w:r>
    </w:p>
    <w:p>
      <w:pPr>
        <w:spacing w:line="360" w:lineRule="auto"/>
        <w:ind w:firstLine="420" w:firstLineChars="200"/>
        <w:rPr>
          <w:rFonts w:ascii="宋体" w:hAnsi="宋体"/>
        </w:rPr>
      </w:pPr>
      <w:r>
        <w:rPr>
          <w:rFonts w:hint="eastAsia" w:ascii="宋体" w:hAnsi="宋体"/>
        </w:rPr>
        <w:t>13.中标人须建立健全安保服务档案管理制度，按规范归类建档，配备专人管理，并做好保管和移交工作。</w:t>
      </w:r>
    </w:p>
    <w:p>
      <w:pPr>
        <w:adjustRightInd w:val="0"/>
        <w:snapToGrid w:val="0"/>
        <w:spacing w:afterLines="25" w:line="360" w:lineRule="auto"/>
        <w:ind w:firstLine="420" w:firstLineChars="200"/>
        <w:textAlignment w:val="baseline"/>
        <w:rPr>
          <w:rFonts w:ascii="宋体" w:hAnsi="宋体"/>
          <w:highlight w:val="none"/>
        </w:rPr>
      </w:pPr>
      <w:r>
        <w:rPr>
          <w:rFonts w:hint="eastAsia" w:ascii="宋体" w:hAnsi="宋体"/>
        </w:rPr>
        <w:t>14.中标人须按行业管理条例及其他国家</w:t>
      </w:r>
      <w:r>
        <w:rPr>
          <w:rFonts w:hint="eastAsia" w:ascii="宋体" w:hAnsi="宋体"/>
          <w:highlight w:val="none"/>
        </w:rPr>
        <w:t>有关标准和规范完成招标文件要求的保安服务工作。</w:t>
      </w:r>
    </w:p>
    <w:p>
      <w:pPr>
        <w:adjustRightInd w:val="0"/>
        <w:snapToGrid w:val="0"/>
        <w:spacing w:afterLines="25" w:line="360" w:lineRule="auto"/>
        <w:ind w:firstLine="420" w:firstLineChars="200"/>
        <w:textAlignment w:val="baseline"/>
        <w:rPr>
          <w:rFonts w:ascii="宋体" w:hAnsi="宋体"/>
          <w:highlight w:val="none"/>
        </w:rPr>
      </w:pPr>
      <w:r>
        <w:rPr>
          <w:rFonts w:ascii="宋体" w:hAnsi="宋体"/>
          <w:highlight w:val="none"/>
        </w:rPr>
        <w:t>15</w:t>
      </w:r>
      <w:r>
        <w:rPr>
          <w:rFonts w:hint="eastAsia" w:ascii="宋体" w:hAnsi="宋体"/>
          <w:highlight w:val="none"/>
        </w:rPr>
        <w:t>.投标文件内容编制提倡精简易懂</w:t>
      </w:r>
      <w:r>
        <w:rPr>
          <w:rFonts w:ascii="宋体" w:hAnsi="宋体"/>
          <w:highlight w:val="none"/>
        </w:rPr>
        <w:t>、</w:t>
      </w:r>
      <w:r>
        <w:rPr>
          <w:rFonts w:hint="eastAsia" w:ascii="宋体" w:hAnsi="宋体"/>
          <w:highlight w:val="none"/>
        </w:rPr>
        <w:t>逻辑清晰</w:t>
      </w:r>
      <w:r>
        <w:rPr>
          <w:rFonts w:ascii="宋体" w:hAnsi="宋体"/>
          <w:highlight w:val="none"/>
        </w:rPr>
        <w:t>、</w:t>
      </w:r>
      <w:r>
        <w:rPr>
          <w:rFonts w:hint="eastAsia" w:ascii="宋体" w:hAnsi="宋体"/>
          <w:highlight w:val="none"/>
        </w:rPr>
        <w:t>便于查找</w:t>
      </w:r>
      <w:r>
        <w:rPr>
          <w:rFonts w:ascii="宋体" w:hAnsi="宋体"/>
          <w:highlight w:val="none"/>
        </w:rPr>
        <w:t>，</w:t>
      </w:r>
      <w:r>
        <w:rPr>
          <w:rFonts w:hint="eastAsia" w:ascii="宋体" w:hAnsi="宋体"/>
          <w:highlight w:val="none"/>
        </w:rPr>
        <w:t>不盲目追求攀比投标文件厚度</w:t>
      </w:r>
      <w:r>
        <w:rPr>
          <w:rFonts w:ascii="宋体" w:hAnsi="宋体"/>
          <w:highlight w:val="none"/>
        </w:rPr>
        <w:t>。</w:t>
      </w:r>
      <w:bookmarkEnd w:id="90"/>
      <w:bookmarkEnd w:id="91"/>
    </w:p>
    <w:p>
      <w:pPr>
        <w:rPr>
          <w:highlight w:val="none"/>
        </w:rPr>
      </w:pPr>
    </w:p>
    <w:p>
      <w:pPr>
        <w:rPr>
          <w:highlight w:val="none"/>
        </w:rPr>
      </w:pPr>
    </w:p>
    <w:p/>
    <w:p>
      <w:pPr>
        <w:pStyle w:val="68"/>
        <w:spacing w:line="360" w:lineRule="auto"/>
        <w:ind w:firstLine="0" w:firstLineChars="0"/>
        <w:rPr>
          <w:b/>
          <w:bCs/>
          <w:color w:val="000000"/>
          <w:sz w:val="24"/>
          <w:szCs w:val="24"/>
        </w:rPr>
      </w:pPr>
    </w:p>
    <w:p>
      <w:pPr>
        <w:widowControl/>
        <w:tabs>
          <w:tab w:val="right" w:leader="dot" w:pos="9514"/>
        </w:tabs>
        <w:spacing w:line="360" w:lineRule="auto"/>
        <w:jc w:val="left"/>
        <w:rPr>
          <w:rFonts w:eastAsia="黑体"/>
          <w:b/>
          <w:iCs/>
          <w:color w:val="000000"/>
          <w:kern w:val="0"/>
          <w:sz w:val="24"/>
          <w:szCs w:val="24"/>
        </w:rPr>
        <w:sectPr>
          <w:pgSz w:w="11906" w:h="16838"/>
          <w:pgMar w:top="1247" w:right="1247" w:bottom="1247" w:left="1247" w:header="851" w:footer="850" w:gutter="0"/>
          <w:cols w:space="0" w:num="1"/>
          <w:docGrid w:type="lines" w:linePitch="312" w:charSpace="0"/>
        </w:sectPr>
      </w:pPr>
    </w:p>
    <w:p>
      <w:pPr>
        <w:pStyle w:val="3"/>
        <w:numPr>
          <w:ilvl w:val="0"/>
          <w:numId w:val="4"/>
        </w:numPr>
        <w:spacing w:before="240" w:after="120"/>
        <w:ind w:left="883" w:hanging="881" w:hangingChars="200"/>
        <w:jc w:val="center"/>
        <w:rPr>
          <w:rFonts w:ascii="黑体" w:hAnsi="黑体" w:eastAsia="黑体"/>
          <w:color w:val="000000"/>
        </w:rPr>
      </w:pPr>
      <w:bookmarkStart w:id="102" w:name="_Toc511894513"/>
      <w:bookmarkStart w:id="103" w:name="_Toc2252887"/>
      <w:r>
        <w:rPr>
          <w:rFonts w:hint="eastAsia" w:ascii="黑体" w:hAnsi="黑体" w:eastAsia="黑体"/>
          <w:color w:val="000000"/>
        </w:rPr>
        <w:t>资格审查方法及标准</w:t>
      </w:r>
      <w:bookmarkEnd w:id="102"/>
      <w:bookmarkEnd w:id="103"/>
    </w:p>
    <w:p>
      <w:pPr>
        <w:spacing w:line="440" w:lineRule="exact"/>
        <w:ind w:firstLine="42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根据《中华人民共和国政府采购法》、《中华人民共和国政府采购法实施条例》、《政府采购货物和服务招标投标管理办法》（财政部令第87号）等相关法律法规确定以下资格审查方法及标准。</w:t>
      </w:r>
    </w:p>
    <w:p>
      <w:pPr>
        <w:pStyle w:val="4"/>
        <w:numPr>
          <w:ilvl w:val="0"/>
          <w:numId w:val="39"/>
        </w:numPr>
        <w:spacing w:before="0" w:after="0" w:line="440" w:lineRule="exact"/>
        <w:ind w:left="616" w:hanging="616"/>
        <w:jc w:val="left"/>
        <w:rPr>
          <w:rFonts w:asciiTheme="minorEastAsia" w:hAnsiTheme="minorEastAsia" w:eastAsiaTheme="minorEastAsia" w:cstheme="minorEastAsia"/>
          <w:bCs w:val="0"/>
          <w:color w:val="000000"/>
          <w:sz w:val="24"/>
          <w:szCs w:val="24"/>
        </w:rPr>
      </w:pPr>
      <w:bookmarkStart w:id="104" w:name="_Toc511894514"/>
      <w:bookmarkStart w:id="105" w:name="_Toc2252888"/>
      <w:bookmarkStart w:id="106" w:name="_Toc494561958"/>
      <w:r>
        <w:rPr>
          <w:rFonts w:hint="eastAsia" w:asciiTheme="minorEastAsia" w:hAnsiTheme="minorEastAsia" w:eastAsiaTheme="minorEastAsia" w:cstheme="minorEastAsia"/>
          <w:bCs w:val="0"/>
          <w:color w:val="000000"/>
          <w:sz w:val="24"/>
          <w:szCs w:val="24"/>
        </w:rPr>
        <w:t>资格审查方法</w:t>
      </w:r>
      <w:bookmarkEnd w:id="104"/>
      <w:bookmarkEnd w:id="105"/>
      <w:bookmarkEnd w:id="106"/>
    </w:p>
    <w:p>
      <w:pPr>
        <w:spacing w:line="440" w:lineRule="exact"/>
        <w:ind w:firstLine="42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公开招标采购项目开标结束后，采购人与代理机构成立资格审查小组，依据法律、法规及招标文件的规定，对投标人的资格进行审查，以确定投标人资格是否合格。</w:t>
      </w:r>
    </w:p>
    <w:p>
      <w:pPr>
        <w:pStyle w:val="4"/>
        <w:numPr>
          <w:ilvl w:val="0"/>
          <w:numId w:val="39"/>
        </w:numPr>
        <w:spacing w:before="0" w:after="0" w:line="440" w:lineRule="exact"/>
        <w:ind w:left="616" w:hanging="616"/>
        <w:jc w:val="left"/>
        <w:rPr>
          <w:rFonts w:asciiTheme="minorEastAsia" w:hAnsiTheme="minorEastAsia" w:eastAsiaTheme="minorEastAsia" w:cstheme="minorEastAsia"/>
          <w:bCs w:val="0"/>
          <w:color w:val="000000"/>
          <w:sz w:val="24"/>
          <w:szCs w:val="24"/>
        </w:rPr>
      </w:pPr>
      <w:bookmarkStart w:id="107" w:name="_Toc2252889"/>
      <w:bookmarkStart w:id="108" w:name="_Toc511894515"/>
      <w:bookmarkStart w:id="109" w:name="_Toc494561959"/>
      <w:r>
        <w:rPr>
          <w:rFonts w:hint="eastAsia" w:asciiTheme="minorEastAsia" w:hAnsiTheme="minorEastAsia" w:eastAsiaTheme="minorEastAsia" w:cstheme="minorEastAsia"/>
          <w:bCs w:val="0"/>
          <w:color w:val="000000"/>
          <w:sz w:val="24"/>
          <w:szCs w:val="24"/>
        </w:rPr>
        <w:t>资格审查标准</w:t>
      </w:r>
      <w:bookmarkEnd w:id="107"/>
      <w:bookmarkEnd w:id="108"/>
      <w:bookmarkEnd w:id="109"/>
    </w:p>
    <w:p>
      <w:pPr>
        <w:numPr>
          <w:ilvl w:val="0"/>
          <w:numId w:val="40"/>
        </w:numPr>
        <w:tabs>
          <w:tab w:val="left" w:pos="1098"/>
        </w:tabs>
        <w:spacing w:line="440" w:lineRule="exact"/>
        <w:ind w:left="14" w:firstLine="238"/>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资格证明文件审查</w:t>
      </w:r>
    </w:p>
    <w:p>
      <w:pPr>
        <w:tabs>
          <w:tab w:val="left" w:pos="616"/>
        </w:tabs>
        <w:spacing w:line="440" w:lineRule="exact"/>
        <w:ind w:firstLine="420"/>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kern w:val="0"/>
          <w:sz w:val="24"/>
          <w:szCs w:val="24"/>
        </w:rPr>
        <w:t>采购人或代理机构将对所有递交投标文件进行资格审查，投标人的资格证明文件出现不符合下列情形之一或不足以证明其符合下列情形之一的，应视为资格审查不合格，并按照</w:t>
      </w:r>
      <w:r>
        <w:rPr>
          <w:rFonts w:hint="eastAsia" w:asciiTheme="minorEastAsia" w:hAnsiTheme="minorEastAsia" w:eastAsiaTheme="minorEastAsia" w:cstheme="minorEastAsia"/>
          <w:b/>
          <w:color w:val="000000"/>
          <w:kern w:val="0"/>
          <w:sz w:val="24"/>
          <w:szCs w:val="24"/>
        </w:rPr>
        <w:t xml:space="preserve">无效投标处理： </w:t>
      </w:r>
    </w:p>
    <w:p>
      <w:pPr>
        <w:spacing w:line="440" w:lineRule="exac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资格性审查表</w:t>
      </w:r>
    </w:p>
    <w:tbl>
      <w:tblPr>
        <w:tblStyle w:val="35"/>
        <w:tblW w:w="9639" w:type="dxa"/>
        <w:jc w:val="center"/>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93"/>
        <w:gridCol w:w="7938"/>
        <w:gridCol w:w="1008"/>
      </w:tblGrid>
      <w:tr>
        <w:trPr>
          <w:trHeight w:val="510" w:hRule="atLeast"/>
          <w:tblHeader/>
          <w:jc w:val="center"/>
        </w:trPr>
        <w:tc>
          <w:tcPr>
            <w:tcW w:w="693" w:type="dxa"/>
            <w:shd w:val="clear" w:color="auto" w:fill="FFFFFF"/>
            <w:tcMar>
              <w:top w:w="0" w:type="dxa"/>
              <w:left w:w="108" w:type="dxa"/>
              <w:bottom w:w="0" w:type="dxa"/>
              <w:right w:w="108" w:type="dxa"/>
            </w:tcMar>
          </w:tcPr>
          <w:p>
            <w:pPr>
              <w:spacing w:line="440" w:lineRule="exact"/>
              <w:ind w:left="-105" w:leftChars="-50" w:right="-105" w:rightChars="-50"/>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7938" w:type="dxa"/>
            <w:shd w:val="clear" w:color="auto" w:fill="FFFFFF"/>
            <w:tcMar>
              <w:top w:w="0" w:type="dxa"/>
              <w:left w:w="108" w:type="dxa"/>
              <w:bottom w:w="0" w:type="dxa"/>
              <w:right w:w="108" w:type="dxa"/>
            </w:tcMar>
          </w:tcPr>
          <w:p>
            <w:pPr>
              <w:spacing w:line="440" w:lineRule="exact"/>
              <w:ind w:left="2" w:leftChars="-50" w:right="-105" w:rightChars="-50" w:hanging="107"/>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资格性审查内容</w:t>
            </w:r>
          </w:p>
        </w:tc>
        <w:tc>
          <w:tcPr>
            <w:tcW w:w="1008" w:type="dxa"/>
            <w:shd w:val="clear" w:color="auto" w:fill="FFFFFF"/>
          </w:tcPr>
          <w:p>
            <w:pPr>
              <w:spacing w:line="440" w:lineRule="exact"/>
              <w:ind w:left="2" w:leftChars="-50" w:right="-105" w:rightChars="-50" w:hanging="107"/>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审查情况</w:t>
            </w:r>
          </w:p>
        </w:tc>
      </w:tr>
      <w:tr>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left="-65"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具有独立承担民事责任的能力。</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是企业(包括合伙企业、个体户)的应提供行政主管部门颁发的有效“营业执照”;</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是事业单位的应提供有效的“事业单位法人证书”;</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是非企业专业服务机构的应提供执业许可证等证明文件;</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是自然人的应提供有效的自然人身份证明。</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left="-65"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具有良好的商业信誉和健全的财务会计制度。</w:t>
            </w:r>
            <w:r>
              <w:rPr>
                <w:rFonts w:hint="eastAsia" w:asciiTheme="minorEastAsia" w:hAnsiTheme="minorEastAsia" w:eastAsiaTheme="minorEastAsia" w:cstheme="minorEastAsia"/>
                <w:color w:val="000000"/>
                <w:sz w:val="24"/>
                <w:szCs w:val="24"/>
              </w:rPr>
              <w:t>提供上一年度经审计的财务报告，或提供银行出具的资信证明，或提供专业担保机构为该供应商出具的投标担保函。</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也可根据自身实际情况</w:t>
            </w:r>
            <w:r>
              <w:rPr>
                <w:rFonts w:hint="eastAsia" w:asciiTheme="minorEastAsia" w:hAnsiTheme="minorEastAsia" w:eastAsiaTheme="minorEastAsia" w:cstheme="minorEastAsia"/>
                <w:bCs/>
                <w:sz w:val="24"/>
                <w:szCs w:val="24"/>
              </w:rPr>
              <w:t>提供书面声明或承诺函</w:t>
            </w:r>
            <w:r>
              <w:rPr>
                <w:rFonts w:hint="eastAsia" w:asciiTheme="minorEastAsia" w:hAnsiTheme="minorEastAsia" w:eastAsiaTheme="minorEastAsia" w:cstheme="minorEastAsia"/>
                <w:color w:val="000000"/>
                <w:sz w:val="24"/>
                <w:szCs w:val="24"/>
              </w:rPr>
              <w:t>承诺满足本条要求。</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left="-65"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具有履行合同所必需的设备和专业技术能力。</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履行合同所必须的设备和专业技术能力的证明材料。</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也可根据自身实际情况</w:t>
            </w:r>
            <w:r>
              <w:rPr>
                <w:rFonts w:hint="eastAsia" w:asciiTheme="minorEastAsia" w:hAnsiTheme="minorEastAsia" w:eastAsiaTheme="minorEastAsia" w:cstheme="minorEastAsia"/>
                <w:bCs/>
                <w:sz w:val="24"/>
                <w:szCs w:val="24"/>
              </w:rPr>
              <w:t>提供书面声明或承诺函</w:t>
            </w:r>
            <w:r>
              <w:rPr>
                <w:rFonts w:hint="eastAsia" w:asciiTheme="minorEastAsia" w:hAnsiTheme="minorEastAsia" w:eastAsiaTheme="minorEastAsia" w:cstheme="minorEastAsia"/>
                <w:color w:val="000000"/>
                <w:sz w:val="24"/>
                <w:szCs w:val="24"/>
              </w:rPr>
              <w:t>满足本条要求。</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left="-65"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有依法缴纳税收和社会保障资金的良好记录。</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 xml:space="preserve">在投标时间前6个月内(至少提供1个月)缴纳税收的凭据(完税证、缴款书、印花税票、银行代扣(代缴)转账凭证等均可)、缴纳社会保险的凭据(专用收据或社会保险缴纳清单或其他证明材料均可)。 </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也可根据自身实际情况</w:t>
            </w:r>
            <w:r>
              <w:rPr>
                <w:rFonts w:hint="eastAsia" w:asciiTheme="minorEastAsia" w:hAnsiTheme="minorEastAsia" w:eastAsiaTheme="minorEastAsia" w:cstheme="minorEastAsia"/>
                <w:bCs/>
                <w:sz w:val="24"/>
                <w:szCs w:val="24"/>
              </w:rPr>
              <w:t>提供书面声明或承诺函</w:t>
            </w:r>
            <w:r>
              <w:rPr>
                <w:rFonts w:hint="eastAsia" w:asciiTheme="minorEastAsia" w:hAnsiTheme="minorEastAsia" w:eastAsiaTheme="minorEastAsia" w:cstheme="minorEastAsia"/>
                <w:color w:val="000000"/>
                <w:sz w:val="24"/>
                <w:szCs w:val="24"/>
              </w:rPr>
              <w:t>承诺满足本条要求。</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08"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left="-65"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参加政府采购活动前三年内在经营活动中没有重大违法记录</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sz w:val="24"/>
                <w:szCs w:val="24"/>
              </w:rPr>
              <w:t>提供书面声明或承诺函。</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left="-65"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7938" w:type="dxa"/>
            <w:shd w:val="clear" w:color="auto" w:fill="FFFFFF"/>
            <w:tcMar>
              <w:top w:w="0" w:type="dxa"/>
              <w:left w:w="108" w:type="dxa"/>
              <w:bottom w:w="0" w:type="dxa"/>
              <w:right w:w="108" w:type="dxa"/>
            </w:tcMar>
          </w:tcPr>
          <w:p>
            <w:pPr>
              <w:pStyle w:val="57"/>
              <w:spacing w:line="440" w:lineRule="exact"/>
              <w:ind w:firstLine="0" w:firstLineChars="0"/>
              <w:jc w:val="center"/>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color w:val="000000"/>
                <w:kern w:val="0"/>
                <w:sz w:val="24"/>
                <w:szCs w:val="24"/>
              </w:rPr>
              <w:t>法律、行政法规规定的其他条件。</w:t>
            </w:r>
            <w:r>
              <w:rPr>
                <w:rFonts w:hint="eastAsia" w:asciiTheme="minorEastAsia" w:hAnsiTheme="minorEastAsia" w:eastAsiaTheme="minorEastAsia" w:cstheme="minorEastAsia"/>
                <w:bCs/>
                <w:sz w:val="24"/>
                <w:szCs w:val="24"/>
              </w:rPr>
              <w:t>此条无须证明材料。</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不接受联合体参与投标。</w:t>
            </w:r>
            <w:r>
              <w:rPr>
                <w:rFonts w:hint="eastAsia" w:asciiTheme="minorEastAsia" w:hAnsiTheme="minorEastAsia" w:eastAsiaTheme="minorEastAsia" w:cstheme="minorEastAsia"/>
                <w:bCs/>
                <w:sz w:val="24"/>
                <w:szCs w:val="24"/>
              </w:rPr>
              <w:t>此条无须证明材料。</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其他要求。</w:t>
            </w:r>
            <w:r>
              <w:rPr>
                <w:rFonts w:hint="eastAsia" w:asciiTheme="minorEastAsia" w:hAnsiTheme="minorEastAsia" w:eastAsiaTheme="minorEastAsia" w:cstheme="minorEastAsia"/>
                <w:bCs/>
                <w:sz w:val="24"/>
                <w:szCs w:val="24"/>
              </w:rPr>
              <w:t>与采购人和代理机构没有任何隶属关系或其他利害关系；提供书面声明或承诺函。</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其他要求。</w:t>
            </w:r>
            <w:r>
              <w:rPr>
                <w:rFonts w:hint="eastAsia" w:asciiTheme="minorEastAsia" w:hAnsiTheme="minorEastAsia" w:eastAsiaTheme="minorEastAsia" w:cstheme="minorEastAsia"/>
                <w:bCs/>
                <w:sz w:val="24"/>
                <w:szCs w:val="24"/>
              </w:rPr>
              <w:t>单位负责人为同一人或者存在直接控股、管理关系的不同供应商，不得同时参加同一合同项下的政府采购活动；提供书面声明或承诺函。</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其他要求。</w:t>
            </w:r>
            <w:r>
              <w:rPr>
                <w:rFonts w:hint="eastAsia" w:asciiTheme="minorEastAsia" w:hAnsiTheme="minorEastAsia" w:eastAsiaTheme="minorEastAsia" w:cstheme="minorEastAsia"/>
                <w:bCs/>
                <w:sz w:val="24"/>
                <w:szCs w:val="24"/>
              </w:rPr>
              <w:t>除单一来源采购项目外，为采购项目提供整体设计、规范编制或者项目管理（或代建）、监理、检测等服务的供应商，不得再参加该采购项目的其他采购活动；提供书面声明或承诺函。</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特定资格要求。</w:t>
            </w:r>
            <w:r>
              <w:rPr>
                <w:rFonts w:hint="eastAsia" w:asciiTheme="minorEastAsia" w:hAnsiTheme="minorEastAsia" w:eastAsiaTheme="minorEastAsia" w:cstheme="minorEastAsia"/>
                <w:color w:val="000000"/>
                <w:sz w:val="24"/>
                <w:szCs w:val="24"/>
              </w:rPr>
              <w:t>未被列入“信用中国”网站(www.creditchina.gov.cn)失信惩戒对象、失信被执行人、重大税收违法案件当事人、政府采购严重违法失信名单等负面名单和“中国政府采购”网站（www.ccgp.gov.cn）政府采购严重违法失信行为记录名单（以评审时查询结果为准）。</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r>
        <w:tblPrEx>
          <w:shd w:val="clear" w:color="auto" w:fill="FFFFFF"/>
        </w:tblPrEx>
        <w:trPr>
          <w:trHeight w:val="510" w:hRule="atLeast"/>
          <w:jc w:val="center"/>
        </w:trPr>
        <w:tc>
          <w:tcPr>
            <w:tcW w:w="693" w:type="dxa"/>
            <w:shd w:val="clear" w:color="auto" w:fill="FFFFFF"/>
            <w:tcMar>
              <w:top w:w="0" w:type="dxa"/>
              <w:left w:w="108" w:type="dxa"/>
              <w:bottom w:w="0" w:type="dxa"/>
              <w:right w:w="108" w:type="dxa"/>
            </w:tcMar>
          </w:tcPr>
          <w:p>
            <w:pPr>
              <w:tabs>
                <w:tab w:val="left" w:pos="102"/>
              </w:tabs>
              <w:spacing w:line="440" w:lineRule="exact"/>
              <w:ind w:right="-53" w:rightChars="-25"/>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7938" w:type="dxa"/>
            <w:shd w:val="clear" w:color="auto" w:fill="FFFFFF"/>
            <w:tcMar>
              <w:top w:w="0" w:type="dxa"/>
              <w:left w:w="108" w:type="dxa"/>
              <w:bottom w:w="0" w:type="dxa"/>
              <w:right w:w="108" w:type="dxa"/>
            </w:tcMar>
          </w:tcPr>
          <w:p>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特定资格要求。</w:t>
            </w:r>
            <w:r>
              <w:rPr>
                <w:rFonts w:hint="eastAsia" w:asciiTheme="minorEastAsia" w:hAnsiTheme="minorEastAsia" w:eastAsiaTheme="minorEastAsia" w:cstheme="minorEastAsia"/>
                <w:bCs/>
                <w:sz w:val="24"/>
                <w:szCs w:val="24"/>
              </w:rPr>
              <w:t>投标人须具有公安部门核发的《保安服务许可证》，且在有效期内</w:t>
            </w:r>
            <w:r>
              <w:rPr>
                <w:rFonts w:asciiTheme="minorEastAsia" w:hAnsiTheme="minorEastAsia" w:eastAsiaTheme="minorEastAsia" w:cstheme="minorEastAsia"/>
                <w:bCs/>
                <w:sz w:val="24"/>
                <w:szCs w:val="24"/>
              </w:rPr>
              <w:t>。</w:t>
            </w:r>
          </w:p>
        </w:tc>
        <w:tc>
          <w:tcPr>
            <w:tcW w:w="1008" w:type="dxa"/>
            <w:shd w:val="clear" w:color="auto" w:fill="FFFFFF"/>
          </w:tcPr>
          <w:p>
            <w:pPr>
              <w:spacing w:line="440" w:lineRule="exact"/>
              <w:jc w:val="center"/>
              <w:rPr>
                <w:rFonts w:asciiTheme="minorEastAsia" w:hAnsiTheme="minorEastAsia" w:eastAsiaTheme="minorEastAsia" w:cstheme="minorEastAsia"/>
                <w:color w:val="000000"/>
                <w:sz w:val="24"/>
                <w:szCs w:val="24"/>
              </w:rPr>
            </w:pPr>
          </w:p>
        </w:tc>
      </w:tr>
    </w:tbl>
    <w:p>
      <w:pPr>
        <w:tabs>
          <w:tab w:val="left" w:pos="616"/>
        </w:tabs>
        <w:spacing w:line="440" w:lineRule="exact"/>
        <w:rPr>
          <w:rFonts w:asciiTheme="minorEastAsia" w:hAnsiTheme="minorEastAsia" w:eastAsiaTheme="minorEastAsia" w:cstheme="minorEastAsia"/>
          <w:b/>
          <w:color w:val="000000"/>
          <w:kern w:val="0"/>
          <w:sz w:val="24"/>
          <w:szCs w:val="24"/>
        </w:rPr>
      </w:pPr>
    </w:p>
    <w:p>
      <w:pPr>
        <w:numPr>
          <w:ilvl w:val="0"/>
          <w:numId w:val="40"/>
        </w:numPr>
        <w:tabs>
          <w:tab w:val="left" w:pos="1098"/>
        </w:tabs>
        <w:spacing w:line="440" w:lineRule="exact"/>
        <w:ind w:left="14" w:firstLine="238"/>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确定资格审查合格投标人</w:t>
      </w:r>
    </w:p>
    <w:p>
      <w:pPr>
        <w:pStyle w:val="57"/>
        <w:numPr>
          <w:ilvl w:val="0"/>
          <w:numId w:val="41"/>
        </w:numPr>
        <w:spacing w:line="440" w:lineRule="exact"/>
        <w:ind w:left="840" w:hanging="364"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57"/>
        <w:numPr>
          <w:ilvl w:val="0"/>
          <w:numId w:val="41"/>
        </w:numPr>
        <w:spacing w:line="440" w:lineRule="exact"/>
        <w:ind w:left="840" w:hanging="364"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资格审查合格投标人不足3家的，不进行评标。</w:t>
      </w:r>
    </w:p>
    <w:p>
      <w:pPr>
        <w:pStyle w:val="57"/>
        <w:numPr>
          <w:ilvl w:val="0"/>
          <w:numId w:val="41"/>
        </w:numPr>
        <w:spacing w:line="440" w:lineRule="exact"/>
        <w:ind w:left="840" w:hanging="364"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资格审查未通过的投标人可在结果公告质疑有效期内按公告中的联系方式获知本单位的资格审查情况。</w:t>
      </w:r>
    </w:p>
    <w:p>
      <w:pPr>
        <w:pStyle w:val="57"/>
        <w:numPr>
          <w:ilvl w:val="0"/>
          <w:numId w:val="41"/>
        </w:numPr>
        <w:spacing w:line="440" w:lineRule="exact"/>
        <w:ind w:left="476" w:firstLine="0" w:firstLineChars="0"/>
        <w:rPr>
          <w:rFonts w:ascii="宋体"/>
          <w:b/>
          <w:color w:val="000000"/>
          <w:sz w:val="24"/>
          <w:szCs w:val="24"/>
        </w:rPr>
        <w:sectPr>
          <w:pgSz w:w="11906" w:h="16838"/>
          <w:pgMar w:top="1247" w:right="1247" w:bottom="1247" w:left="1247" w:header="851" w:footer="850" w:gutter="0"/>
          <w:cols w:space="0" w:num="1"/>
          <w:docGrid w:type="lines" w:linePitch="312" w:charSpace="0"/>
        </w:sectPr>
      </w:pPr>
      <w:r>
        <w:rPr>
          <w:rFonts w:hint="eastAsia" w:asciiTheme="minorEastAsia" w:hAnsiTheme="minorEastAsia" w:eastAsiaTheme="minorEastAsia" w:cstheme="minorEastAsia"/>
          <w:color w:val="000000"/>
          <w:sz w:val="24"/>
          <w:szCs w:val="24"/>
        </w:rPr>
        <w:t>采购人已进行资格预审的，不再进行资格审查。未通过资格预审的投标人代理机构</w:t>
      </w:r>
      <w:r>
        <w:rPr>
          <w:rFonts w:hint="eastAsia" w:asciiTheme="minorEastAsia" w:hAnsiTheme="minorEastAsia" w:eastAsiaTheme="minorEastAsia" w:cstheme="minorEastAsia"/>
          <w:b/>
          <w:color w:val="000000"/>
          <w:sz w:val="24"/>
          <w:szCs w:val="24"/>
        </w:rPr>
        <w:t>拒绝</w:t>
      </w:r>
      <w:r>
        <w:rPr>
          <w:rFonts w:hint="eastAsia" w:asciiTheme="minorEastAsia" w:hAnsiTheme="minorEastAsia" w:eastAsiaTheme="minorEastAsia" w:cstheme="minorEastAsia"/>
          <w:color w:val="000000"/>
          <w:sz w:val="24"/>
          <w:szCs w:val="24"/>
        </w:rPr>
        <w:t>其投标。</w:t>
      </w:r>
    </w:p>
    <w:p>
      <w:pPr>
        <w:pStyle w:val="3"/>
        <w:numPr>
          <w:ilvl w:val="0"/>
          <w:numId w:val="4"/>
        </w:numPr>
        <w:spacing w:before="240" w:after="120"/>
        <w:ind w:left="883" w:hanging="881" w:hangingChars="200"/>
        <w:jc w:val="center"/>
        <w:rPr>
          <w:rFonts w:ascii="黑体" w:hAnsi="黑体" w:eastAsia="黑体"/>
          <w:color w:val="000000"/>
        </w:rPr>
      </w:pPr>
      <w:bookmarkStart w:id="110" w:name="_Toc2252890"/>
      <w:bookmarkStart w:id="111" w:name="_Toc511894516"/>
      <w:r>
        <w:rPr>
          <w:rFonts w:hint="eastAsia" w:ascii="黑体" w:hAnsi="黑体" w:eastAsia="黑体"/>
          <w:color w:val="000000"/>
        </w:rPr>
        <w:t>评标方法、程序及标准</w:t>
      </w:r>
      <w:bookmarkEnd w:id="110"/>
      <w:bookmarkEnd w:id="111"/>
    </w:p>
    <w:p>
      <w:pPr>
        <w:spacing w:line="440" w:lineRule="exact"/>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根据《政府采购法》《政府采购法实施条例》《政府采购货物和服务招标投标管理办法》等相关法律法规确定以下评标办法、程序及标准。</w:t>
      </w:r>
    </w:p>
    <w:p>
      <w:pPr>
        <w:pStyle w:val="4"/>
        <w:numPr>
          <w:ilvl w:val="0"/>
          <w:numId w:val="42"/>
        </w:numPr>
        <w:spacing w:before="0" w:after="0" w:line="440" w:lineRule="exact"/>
        <w:ind w:left="616" w:hanging="616"/>
        <w:jc w:val="left"/>
        <w:rPr>
          <w:rFonts w:asciiTheme="minorEastAsia" w:hAnsiTheme="minorEastAsia" w:eastAsiaTheme="minorEastAsia" w:cstheme="minorEastAsia"/>
          <w:bCs w:val="0"/>
          <w:color w:val="000000"/>
          <w:sz w:val="24"/>
          <w:szCs w:val="24"/>
        </w:rPr>
      </w:pPr>
      <w:bookmarkStart w:id="112" w:name="_Toc272247708"/>
      <w:bookmarkStart w:id="113" w:name="_Toc278891605"/>
      <w:bookmarkStart w:id="114" w:name="_Toc511894517"/>
      <w:bookmarkStart w:id="115" w:name="_Toc494561961"/>
      <w:bookmarkStart w:id="116" w:name="_Toc2252891"/>
      <w:r>
        <w:rPr>
          <w:rFonts w:hint="eastAsia" w:asciiTheme="minorEastAsia" w:hAnsiTheme="minorEastAsia" w:eastAsiaTheme="minorEastAsia" w:cstheme="minorEastAsia"/>
          <w:bCs w:val="0"/>
          <w:color w:val="000000"/>
          <w:sz w:val="24"/>
          <w:szCs w:val="24"/>
        </w:rPr>
        <w:t>评标</w:t>
      </w:r>
      <w:bookmarkEnd w:id="112"/>
      <w:bookmarkEnd w:id="113"/>
      <w:r>
        <w:rPr>
          <w:rFonts w:hint="eastAsia" w:asciiTheme="minorEastAsia" w:hAnsiTheme="minorEastAsia" w:eastAsiaTheme="minorEastAsia" w:cstheme="minorEastAsia"/>
          <w:bCs w:val="0"/>
          <w:color w:val="000000"/>
          <w:sz w:val="24"/>
          <w:szCs w:val="24"/>
        </w:rPr>
        <w:t>方法</w:t>
      </w:r>
      <w:bookmarkEnd w:id="114"/>
      <w:bookmarkEnd w:id="115"/>
      <w:bookmarkEnd w:id="116"/>
    </w:p>
    <w:p>
      <w:pPr>
        <w:spacing w:line="440" w:lineRule="exact"/>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本项目评标采用综合评分法，是指投标文件满足招标文件全部实质性要求，且按照评审因素的量化指标评审得分最高的投标人为中标候选人的评标方法。</w:t>
      </w:r>
    </w:p>
    <w:p>
      <w:pPr>
        <w:pStyle w:val="4"/>
        <w:numPr>
          <w:ilvl w:val="0"/>
          <w:numId w:val="42"/>
        </w:numPr>
        <w:spacing w:before="0" w:after="0" w:line="440" w:lineRule="exact"/>
        <w:ind w:left="616" w:hanging="616"/>
        <w:jc w:val="left"/>
        <w:rPr>
          <w:rFonts w:asciiTheme="minorEastAsia" w:hAnsiTheme="minorEastAsia" w:eastAsiaTheme="minorEastAsia" w:cstheme="minorEastAsia"/>
          <w:bCs w:val="0"/>
          <w:color w:val="000000"/>
          <w:sz w:val="24"/>
          <w:szCs w:val="24"/>
        </w:rPr>
      </w:pPr>
      <w:bookmarkStart w:id="117" w:name="_Toc278891606"/>
      <w:bookmarkStart w:id="118" w:name="_Toc272247709"/>
      <w:bookmarkStart w:id="119" w:name="_Toc494561962"/>
      <w:bookmarkStart w:id="120" w:name="_Toc2252892"/>
      <w:bookmarkStart w:id="121" w:name="_Toc511894518"/>
      <w:r>
        <w:rPr>
          <w:rFonts w:hint="eastAsia" w:asciiTheme="minorEastAsia" w:hAnsiTheme="minorEastAsia" w:eastAsiaTheme="minorEastAsia" w:cstheme="minorEastAsia"/>
          <w:bCs w:val="0"/>
          <w:color w:val="000000"/>
          <w:sz w:val="24"/>
          <w:szCs w:val="24"/>
        </w:rPr>
        <w:t>评标程序</w:t>
      </w:r>
      <w:bookmarkEnd w:id="117"/>
      <w:bookmarkEnd w:id="118"/>
      <w:r>
        <w:rPr>
          <w:rFonts w:hint="eastAsia" w:asciiTheme="minorEastAsia" w:hAnsiTheme="minorEastAsia" w:eastAsiaTheme="minorEastAsia" w:cstheme="minorEastAsia"/>
          <w:bCs w:val="0"/>
          <w:color w:val="000000"/>
          <w:sz w:val="24"/>
          <w:szCs w:val="24"/>
        </w:rPr>
        <w:t>及标准</w:t>
      </w:r>
      <w:bookmarkEnd w:id="119"/>
      <w:bookmarkEnd w:id="120"/>
      <w:bookmarkEnd w:id="121"/>
    </w:p>
    <w:p>
      <w:pPr>
        <w:spacing w:line="440" w:lineRule="exact"/>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评标委员会按以下工作程序进行评标：</w:t>
      </w:r>
      <w:r>
        <w:rPr>
          <w:rFonts w:hint="eastAsia" w:asciiTheme="minorEastAsia" w:hAnsiTheme="minorEastAsia" w:eastAsiaTheme="minorEastAsia" w:cstheme="minorEastAsia"/>
          <w:color w:val="000000"/>
          <w:sz w:val="24"/>
          <w:szCs w:val="24"/>
        </w:rPr>
        <w:t>符合性审查、澄清有关问题、综合比较和评价、确定中标候选人名单。</w:t>
      </w:r>
    </w:p>
    <w:p>
      <w:pPr>
        <w:numPr>
          <w:ilvl w:val="0"/>
          <w:numId w:val="43"/>
        </w:numPr>
        <w:spacing w:line="440" w:lineRule="exact"/>
        <w:ind w:left="1171" w:leftChars="154" w:hanging="848" w:hangingChars="353"/>
        <w:rPr>
          <w:rFonts w:asciiTheme="minorEastAsia" w:hAnsiTheme="minorEastAsia" w:eastAsiaTheme="minorEastAsia" w:cstheme="minorEastAsia"/>
          <w:strike/>
          <w:color w:val="000000"/>
          <w:sz w:val="24"/>
          <w:szCs w:val="24"/>
        </w:rPr>
      </w:pPr>
      <w:r>
        <w:rPr>
          <w:rFonts w:hint="eastAsia" w:asciiTheme="minorEastAsia" w:hAnsiTheme="minorEastAsia" w:eastAsiaTheme="minorEastAsia" w:cstheme="minorEastAsia"/>
          <w:b/>
          <w:color w:val="000000"/>
          <w:sz w:val="24"/>
          <w:szCs w:val="24"/>
        </w:rPr>
        <w:t>符合性审查</w:t>
      </w:r>
    </w:p>
    <w:p>
      <w:pPr>
        <w:spacing w:line="440" w:lineRule="exact"/>
        <w:ind w:firstLine="470" w:firstLineChars="196"/>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kern w:val="0"/>
          <w:sz w:val="24"/>
          <w:szCs w:val="24"/>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bCs/>
          <w:color w:val="000000"/>
          <w:sz w:val="24"/>
          <w:szCs w:val="24"/>
        </w:rPr>
        <w:t>符合性审查出现下列情形之一的投标按照</w:t>
      </w:r>
      <w:r>
        <w:rPr>
          <w:rFonts w:hint="eastAsia" w:asciiTheme="minorEastAsia" w:hAnsiTheme="minorEastAsia" w:eastAsiaTheme="minorEastAsia" w:cstheme="minorEastAsia"/>
          <w:b/>
          <w:bCs/>
          <w:color w:val="000000"/>
          <w:sz w:val="24"/>
          <w:szCs w:val="24"/>
        </w:rPr>
        <w:t>无效投标处理</w:t>
      </w:r>
      <w:r>
        <w:rPr>
          <w:rFonts w:hint="eastAsia" w:asciiTheme="minorEastAsia" w:hAnsiTheme="minorEastAsia" w:eastAsiaTheme="minorEastAsia" w:cstheme="minorEastAsia"/>
          <w:bCs/>
          <w:color w:val="000000"/>
          <w:sz w:val="24"/>
          <w:szCs w:val="24"/>
        </w:rPr>
        <w:t>：</w:t>
      </w:r>
    </w:p>
    <w:p>
      <w:pPr>
        <w:spacing w:line="440" w:lineRule="exac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符合性审查表</w:t>
      </w:r>
    </w:p>
    <w:tbl>
      <w:tblPr>
        <w:tblStyle w:val="3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680"/>
        <w:gridCol w:w="1256"/>
      </w:tblGrid>
      <w:tr>
        <w:trPr>
          <w:tblHeader/>
          <w:jc w:val="center"/>
        </w:trPr>
        <w:tc>
          <w:tcPr>
            <w:tcW w:w="702" w:type="dxa"/>
            <w:shd w:val="clear" w:color="auto" w:fill="auto"/>
          </w:tcPr>
          <w:p>
            <w:pPr>
              <w:spacing w:line="440" w:lineRule="exact"/>
              <w:jc w:val="center"/>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
                <w:color w:val="000000"/>
                <w:sz w:val="24"/>
                <w:szCs w:val="24"/>
              </w:rPr>
              <w:t>序号</w:t>
            </w:r>
          </w:p>
        </w:tc>
        <w:tc>
          <w:tcPr>
            <w:tcW w:w="7680" w:type="dxa"/>
            <w:shd w:val="clear" w:color="auto" w:fill="auto"/>
          </w:tcPr>
          <w:p>
            <w:pPr>
              <w:spacing w:line="440" w:lineRule="exact"/>
              <w:jc w:val="center"/>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
                <w:color w:val="000000"/>
                <w:sz w:val="24"/>
                <w:szCs w:val="24"/>
              </w:rPr>
              <w:t>符合性审查内容</w:t>
            </w:r>
          </w:p>
        </w:tc>
        <w:tc>
          <w:tcPr>
            <w:tcW w:w="1256" w:type="dxa"/>
            <w:shd w:val="clear" w:color="auto" w:fill="auto"/>
          </w:tcPr>
          <w:p>
            <w:pPr>
              <w:spacing w:line="440" w:lineRule="exac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审查情况</w:t>
            </w:r>
          </w:p>
        </w:tc>
      </w:tr>
      <w:tr>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w:t>
            </w:r>
          </w:p>
        </w:tc>
        <w:tc>
          <w:tcPr>
            <w:tcW w:w="7680" w:type="dxa"/>
            <w:shd w:val="clear" w:color="auto" w:fill="auto"/>
          </w:tcPr>
          <w:p>
            <w:pPr>
              <w:spacing w:line="44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投标总报价超过项目预算金额或最高限价的；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《投标书》《开标一览表》《投标报价明细表》未提供或不符合招标文件要求的；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服务时间不符合招标文件要求的；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 xml:space="preserve">出现两个或两个以上不同报价且未声明以哪个为准的； </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出现两个或两个以上投标方案的（招标文件中要求提供备选方案的除外）；</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投标报价存在缺项、漏项的；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投标有效期不足的；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《法定代表人（负责人）授权书》未盖章或无法定代表人（负责人）签字（或盖章）或签字人无法定代表人（负责人）有效授权的；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正本未按要求提供加盖公章及签字（或盖章）的；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10</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未提供所投货物服务的具体参数值或功能表述，或仅完全原文复制招标文件的技术规格内容没有另外作出说明就将其作为其投标文件的偏离表内容的；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11</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
                <w:bCs/>
                <w:color w:val="000000"/>
                <w:sz w:val="24"/>
                <w:szCs w:val="24"/>
                <w:u w:val="single"/>
              </w:rPr>
              <w:t>不满足招标文件第三章“技术要求</w:t>
            </w:r>
            <w:r>
              <w:rPr>
                <w:rFonts w:asciiTheme="minorEastAsia" w:hAnsiTheme="minorEastAsia" w:eastAsiaTheme="minorEastAsia" w:cstheme="minorEastAsia"/>
                <w:b/>
                <w:bCs/>
                <w:color w:val="000000"/>
                <w:sz w:val="24"/>
                <w:szCs w:val="24"/>
                <w:u w:val="single"/>
              </w:rPr>
              <w:t>、</w:t>
            </w:r>
            <w:r>
              <w:rPr>
                <w:rFonts w:hint="eastAsia" w:asciiTheme="minorEastAsia" w:hAnsiTheme="minorEastAsia" w:eastAsiaTheme="minorEastAsia" w:cstheme="minorEastAsia"/>
                <w:b/>
                <w:bCs/>
                <w:color w:val="000000"/>
                <w:sz w:val="24"/>
                <w:szCs w:val="24"/>
                <w:u w:val="single"/>
              </w:rPr>
              <w:t>商务要求”中条款要求的；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12</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含有采购人不能接受的附加条件的；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未按要求提供《符合性审查对照表》《合同条款响应、偏离说明表》和《技术、服务要求响应、偏离说明表》的；</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r>
        <w:trPr>
          <w:jc w:val="center"/>
        </w:trPr>
        <w:tc>
          <w:tcPr>
            <w:tcW w:w="702"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14</w:t>
            </w:r>
          </w:p>
        </w:tc>
        <w:tc>
          <w:tcPr>
            <w:tcW w:w="7680" w:type="dxa"/>
            <w:shd w:val="clear" w:color="auto" w:fill="auto"/>
          </w:tcPr>
          <w:p>
            <w:pPr>
              <w:spacing w:line="440" w:lineRule="exact"/>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法律、法规和招标文件规定的其他无效投标情形。</w:t>
            </w:r>
          </w:p>
        </w:tc>
        <w:tc>
          <w:tcPr>
            <w:tcW w:w="1256" w:type="dxa"/>
            <w:shd w:val="clear" w:color="auto" w:fill="auto"/>
          </w:tcPr>
          <w:p>
            <w:pPr>
              <w:spacing w:line="440" w:lineRule="exact"/>
              <w:rPr>
                <w:rFonts w:asciiTheme="minorEastAsia" w:hAnsiTheme="minorEastAsia" w:eastAsiaTheme="minorEastAsia" w:cstheme="minorEastAsia"/>
                <w:color w:val="000000"/>
                <w:sz w:val="24"/>
                <w:szCs w:val="24"/>
              </w:rPr>
            </w:pPr>
          </w:p>
        </w:tc>
      </w:tr>
    </w:tbl>
    <w:p>
      <w:pPr>
        <w:spacing w:line="440" w:lineRule="exact"/>
        <w:ind w:firstLine="470" w:firstLineChars="196"/>
        <w:rPr>
          <w:rFonts w:asciiTheme="minorEastAsia" w:hAnsiTheme="minorEastAsia" w:eastAsiaTheme="minorEastAsia" w:cstheme="minorEastAsia"/>
          <w:bCs/>
          <w:color w:val="000000"/>
          <w:sz w:val="24"/>
          <w:szCs w:val="24"/>
        </w:rPr>
      </w:pPr>
    </w:p>
    <w:p>
      <w:pPr>
        <w:numPr>
          <w:ilvl w:val="0"/>
          <w:numId w:val="43"/>
        </w:numPr>
        <w:spacing w:line="440" w:lineRule="exact"/>
        <w:ind w:left="1171" w:leftChars="154" w:hanging="848" w:hangingChars="353"/>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澄清有关问题</w:t>
      </w:r>
    </w:p>
    <w:p>
      <w:pPr>
        <w:numPr>
          <w:ilvl w:val="0"/>
          <w:numId w:val="44"/>
        </w:numPr>
        <w:tabs>
          <w:tab w:val="left" w:pos="616"/>
        </w:tabs>
        <w:spacing w:line="440" w:lineRule="exact"/>
        <w:ind w:left="10" w:leftChars="5" w:firstLine="237" w:firstLineChars="99"/>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评标期间，对于投标文件中含义不明确、同类问题表述不一致或者有明显文字和计算错误的内容，评标委员会应当以书面形式要求投标人作出必要的澄清、说明或者补正。</w:t>
      </w:r>
    </w:p>
    <w:p>
      <w:pPr>
        <w:numPr>
          <w:ilvl w:val="0"/>
          <w:numId w:val="44"/>
        </w:numPr>
        <w:tabs>
          <w:tab w:val="left" w:pos="616"/>
        </w:tabs>
        <w:spacing w:line="440" w:lineRule="exact"/>
        <w:ind w:left="10" w:leftChars="5" w:firstLine="237" w:firstLineChars="99"/>
        <w:rPr>
          <w:rFonts w:asciiTheme="minorEastAsia" w:hAnsiTheme="minorEastAsia" w:eastAsiaTheme="minorEastAsia" w:cstheme="minorEastAsia"/>
          <w:bCs/>
          <w:strike/>
          <w:color w:val="000000"/>
          <w:sz w:val="24"/>
          <w:szCs w:val="24"/>
        </w:rPr>
      </w:pPr>
      <w:r>
        <w:rPr>
          <w:rFonts w:hint="eastAsia" w:asciiTheme="minorEastAsia" w:hAnsiTheme="minorEastAsia" w:eastAsiaTheme="minorEastAsia" w:cstheme="minorEastAsia"/>
          <w:bCs/>
          <w:color w:val="000000"/>
          <w:sz w:val="24"/>
          <w:szCs w:val="24"/>
        </w:rPr>
        <w:t>投标人应按照评标委员会要求的澄清内容在规定时间内做出澄清。</w:t>
      </w:r>
      <w:r>
        <w:rPr>
          <w:rFonts w:hint="eastAsia" w:asciiTheme="minorEastAsia" w:hAnsiTheme="minorEastAsia" w:eastAsiaTheme="minorEastAsia" w:cstheme="minorEastAsia"/>
          <w:color w:val="000000"/>
          <w:sz w:val="24"/>
          <w:szCs w:val="24"/>
        </w:rPr>
        <w:t>投标文件报价出现前后不一致的，按照本节第3</w:t>
      </w:r>
      <w:r>
        <w:rPr>
          <w:rFonts w:hint="eastAsia" w:asciiTheme="minorEastAsia" w:hAnsiTheme="minorEastAsia" w:eastAsiaTheme="minorEastAsia" w:cstheme="minorEastAsia"/>
          <w:bCs/>
          <w:color w:val="000000"/>
          <w:sz w:val="24"/>
          <w:szCs w:val="24"/>
        </w:rPr>
        <w:t>条规定进行修正，</w:t>
      </w:r>
      <w:r>
        <w:rPr>
          <w:rFonts w:hint="eastAsia" w:asciiTheme="minorEastAsia" w:hAnsiTheme="minorEastAsia" w:eastAsiaTheme="minorEastAsia" w:cstheme="minorEastAsia"/>
          <w:color w:val="000000"/>
          <w:kern w:val="0"/>
          <w:sz w:val="24"/>
          <w:szCs w:val="24"/>
        </w:rPr>
        <w:t>投标人的澄清、说明或者补正不得超出投标文件的范围或者改变投标文件的实质性内容。</w:t>
      </w:r>
    </w:p>
    <w:p>
      <w:pPr>
        <w:numPr>
          <w:ilvl w:val="0"/>
          <w:numId w:val="44"/>
        </w:numPr>
        <w:tabs>
          <w:tab w:val="left" w:pos="616"/>
        </w:tabs>
        <w:spacing w:line="440" w:lineRule="exact"/>
        <w:ind w:left="10" w:leftChars="5" w:firstLine="237" w:firstLineChars="99"/>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投标文件报价出现前后不一致的，按照下列规定修正：</w:t>
      </w:r>
    </w:p>
    <w:p>
      <w:pPr>
        <w:numPr>
          <w:ilvl w:val="0"/>
          <w:numId w:val="45"/>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投标文件中开标一览表内容与投标文件中相应内容不一致的，以开标一览表为准。</w:t>
      </w:r>
    </w:p>
    <w:p>
      <w:pPr>
        <w:numPr>
          <w:ilvl w:val="0"/>
          <w:numId w:val="45"/>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大写金额和小写金额不一致的，以大写金额为准。</w:t>
      </w:r>
    </w:p>
    <w:p>
      <w:pPr>
        <w:numPr>
          <w:ilvl w:val="0"/>
          <w:numId w:val="45"/>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单价金额小数点或者百分比有明显错位的，以开标一览表的总价为准，并修改单价。</w:t>
      </w:r>
    </w:p>
    <w:p>
      <w:pPr>
        <w:numPr>
          <w:ilvl w:val="0"/>
          <w:numId w:val="45"/>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总价金额与按单价汇总金额不一致的，以单价金额计算结果为准。</w:t>
      </w:r>
    </w:p>
    <w:p>
      <w:pPr>
        <w:numPr>
          <w:ilvl w:val="0"/>
          <w:numId w:val="45"/>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同时出现两种以上不一致的，按照前款规定的顺序修正。</w:t>
      </w:r>
    </w:p>
    <w:p>
      <w:pPr>
        <w:numPr>
          <w:ilvl w:val="0"/>
          <w:numId w:val="45"/>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修正后的报价按照本节第4条规定经投标人确认后产生约束力，投标人不确认的，按照</w:t>
      </w:r>
      <w:r>
        <w:rPr>
          <w:rFonts w:hint="eastAsia" w:asciiTheme="minorEastAsia" w:hAnsiTheme="minorEastAsia" w:eastAsiaTheme="minorEastAsia" w:cstheme="minorEastAsia"/>
          <w:b/>
          <w:color w:val="000000"/>
          <w:sz w:val="24"/>
          <w:szCs w:val="24"/>
        </w:rPr>
        <w:t>无效投标处理</w:t>
      </w:r>
      <w:r>
        <w:rPr>
          <w:rFonts w:hint="eastAsia" w:asciiTheme="minorEastAsia" w:hAnsiTheme="minorEastAsia" w:eastAsiaTheme="minorEastAsia" w:cstheme="minorEastAsia"/>
          <w:color w:val="000000"/>
          <w:sz w:val="24"/>
          <w:szCs w:val="24"/>
        </w:rPr>
        <w:t>。</w:t>
      </w:r>
    </w:p>
    <w:p>
      <w:pPr>
        <w:numPr>
          <w:ilvl w:val="0"/>
          <w:numId w:val="44"/>
        </w:numPr>
        <w:tabs>
          <w:tab w:val="left" w:pos="616"/>
        </w:tabs>
        <w:spacing w:line="440" w:lineRule="exact"/>
        <w:ind w:left="10" w:leftChars="5" w:firstLine="237" w:firstLineChars="9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投标人的</w:t>
      </w:r>
      <w:r>
        <w:rPr>
          <w:rFonts w:hint="eastAsia" w:asciiTheme="minorEastAsia" w:hAnsiTheme="minorEastAsia" w:eastAsiaTheme="minorEastAsia" w:cstheme="minorEastAsia"/>
          <w:color w:val="000000"/>
          <w:kern w:val="0"/>
          <w:sz w:val="24"/>
          <w:szCs w:val="24"/>
        </w:rPr>
        <w:t>澄清、说明或者补正</w:t>
      </w:r>
      <w:r>
        <w:rPr>
          <w:rFonts w:hint="eastAsia" w:asciiTheme="minorEastAsia" w:hAnsiTheme="minorEastAsia" w:eastAsiaTheme="minorEastAsia" w:cstheme="minorEastAsia"/>
          <w:color w:val="000000"/>
          <w:sz w:val="24"/>
          <w:szCs w:val="24"/>
        </w:rPr>
        <w:t>是其投标文件的有效组成部分。</w:t>
      </w:r>
      <w:r>
        <w:rPr>
          <w:rFonts w:hint="eastAsia" w:asciiTheme="minorEastAsia" w:hAnsiTheme="minorEastAsia" w:eastAsiaTheme="minorEastAsia" w:cstheme="minorEastAsia"/>
          <w:color w:val="000000"/>
          <w:kern w:val="0"/>
          <w:sz w:val="24"/>
          <w:szCs w:val="24"/>
        </w:rPr>
        <w:t>投标人的澄清、说明或者补正应当采用书面形式，并加盖公章，或者由法定代表人或其授权的代表签字。</w:t>
      </w:r>
    </w:p>
    <w:p>
      <w:pPr>
        <w:numPr>
          <w:ilvl w:val="0"/>
          <w:numId w:val="43"/>
        </w:numPr>
        <w:spacing w:line="440" w:lineRule="exact"/>
        <w:ind w:left="1171" w:leftChars="154" w:hanging="848" w:hangingChars="353"/>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综合比较与评价</w:t>
      </w:r>
    </w:p>
    <w:p>
      <w:pPr>
        <w:spacing w:line="440" w:lineRule="exact"/>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评标委员会应当按照本章中规定的评标方法和标准，对符合性审查合格的投标文件进行商务和技术、服务评估，综合比较与评价。</w:t>
      </w:r>
    </w:p>
    <w:p>
      <w:pPr>
        <w:numPr>
          <w:ilvl w:val="0"/>
          <w:numId w:val="46"/>
        </w:numPr>
        <w:spacing w:line="440" w:lineRule="exact"/>
        <w:ind w:left="10" w:leftChars="5" w:firstLine="238" w:firstLineChars="99"/>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商务评议</w:t>
      </w:r>
    </w:p>
    <w:p>
      <w:pPr>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评标委员会对符合性审查合格的投标文件进行评议，并依据本章“评审因素及评分标准”中的商务评议进行综合比较和评分。</w:t>
      </w:r>
    </w:p>
    <w:p>
      <w:pPr>
        <w:numPr>
          <w:ilvl w:val="0"/>
          <w:numId w:val="46"/>
        </w:numPr>
        <w:spacing w:line="440" w:lineRule="exact"/>
        <w:ind w:left="10" w:leftChars="5" w:firstLine="238" w:firstLineChars="99"/>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技术、服务评议</w:t>
      </w:r>
    </w:p>
    <w:p>
      <w:pPr>
        <w:spacing w:line="440" w:lineRule="exact"/>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评标委员会对符合性审查合格的投标文件进行评议，并依据本章“评审因素及评分标准”中的技术、服务评议进行综合比较和评分。</w:t>
      </w:r>
    </w:p>
    <w:p>
      <w:pPr>
        <w:numPr>
          <w:ilvl w:val="0"/>
          <w:numId w:val="46"/>
        </w:numPr>
        <w:spacing w:line="440" w:lineRule="exact"/>
        <w:ind w:left="10" w:leftChars="5" w:firstLine="238" w:firstLineChars="99"/>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价格评议</w:t>
      </w:r>
    </w:p>
    <w:p>
      <w:pPr>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7"/>
        </w:numPr>
        <w:adjustRightInd w:val="0"/>
        <w:spacing w:line="440" w:lineRule="exact"/>
        <w:ind w:left="742" w:hanging="4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报价合理性说明：</w:t>
      </w:r>
      <w:r>
        <w:rPr>
          <w:rFonts w:hint="eastAsia" w:asciiTheme="minorEastAsia" w:hAnsiTheme="minorEastAsia" w:eastAsiaTheme="minorEastAsia" w:cstheme="minorEastAsi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Theme="minorEastAsia" w:hAnsiTheme="minorEastAsia" w:eastAsiaTheme="minorEastAsia" w:cstheme="minorEastAsia"/>
          <w:b/>
          <w:bCs/>
          <w:color w:val="000000"/>
          <w:kern w:val="0"/>
          <w:sz w:val="24"/>
          <w:szCs w:val="24"/>
        </w:rPr>
        <w:t>无效投标处理</w:t>
      </w:r>
      <w:r>
        <w:rPr>
          <w:rFonts w:hint="eastAsia" w:asciiTheme="minorEastAsia" w:hAnsiTheme="minorEastAsia" w:eastAsiaTheme="minorEastAsia" w:cstheme="minorEastAsia"/>
          <w:color w:val="000000"/>
          <w:kern w:val="0"/>
          <w:sz w:val="24"/>
          <w:szCs w:val="24"/>
        </w:rPr>
        <w:t>。</w:t>
      </w:r>
    </w:p>
    <w:p>
      <w:pPr>
        <w:numPr>
          <w:ilvl w:val="0"/>
          <w:numId w:val="47"/>
        </w:numPr>
        <w:adjustRightInd w:val="0"/>
        <w:spacing w:line="440" w:lineRule="exact"/>
        <w:ind w:left="742" w:hanging="493"/>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项目为专门面向中小企业采购的项目）承接项目的供应商从业人员全部由符合《政府采购促进中小企业发展管理办法》（财库【2020】46号）规定的中小微企业提供（监狱企业、残疾人福利性单位均视同小型、微型企业）。</w:t>
      </w:r>
    </w:p>
    <w:p>
      <w:pPr>
        <w:numPr>
          <w:ilvl w:val="0"/>
          <w:numId w:val="43"/>
        </w:numPr>
        <w:spacing w:line="440" w:lineRule="exact"/>
        <w:ind w:left="1171" w:leftChars="154" w:hanging="848" w:hangingChars="353"/>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推荐中标候选人名单或确定中标人</w:t>
      </w:r>
    </w:p>
    <w:p>
      <w:pPr>
        <w:numPr>
          <w:ilvl w:val="0"/>
          <w:numId w:val="48"/>
        </w:numPr>
        <w:tabs>
          <w:tab w:val="left" w:pos="616"/>
        </w:tabs>
        <w:spacing w:line="440" w:lineRule="exact"/>
        <w:ind w:left="10" w:leftChars="5" w:firstLine="237" w:firstLineChars="99"/>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第一名投标人为中标候选人。</w:t>
      </w:r>
    </w:p>
    <w:p>
      <w:pPr>
        <w:numPr>
          <w:ilvl w:val="0"/>
          <w:numId w:val="48"/>
        </w:numPr>
        <w:tabs>
          <w:tab w:val="left" w:pos="616"/>
        </w:tabs>
        <w:spacing w:line="440" w:lineRule="exact"/>
        <w:ind w:left="10" w:leftChars="5" w:firstLine="237" w:firstLineChars="99"/>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评标委员会依据评标结果，按各投标人的评审后得分由高到低的顺序向采购人推荐得分前三名进入中标候选人排序名单，并形成书面的评标报告。</w:t>
      </w:r>
    </w:p>
    <w:p>
      <w:pPr>
        <w:numPr>
          <w:ilvl w:val="0"/>
          <w:numId w:val="48"/>
        </w:numPr>
        <w:tabs>
          <w:tab w:val="left" w:pos="616"/>
        </w:tabs>
        <w:spacing w:line="440" w:lineRule="exact"/>
        <w:ind w:left="10" w:leftChars="5" w:firstLine="237" w:firstLineChars="99"/>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中标候选人并列的，由采购人确定或者采购人委托评标委员会以投票方式确定中标人。</w:t>
      </w:r>
    </w:p>
    <w:p>
      <w:pPr>
        <w:numPr>
          <w:ilvl w:val="0"/>
          <w:numId w:val="48"/>
        </w:numPr>
        <w:tabs>
          <w:tab w:val="left" w:pos="616"/>
        </w:tabs>
        <w:spacing w:line="440" w:lineRule="exact"/>
        <w:ind w:left="10" w:leftChars="5" w:firstLine="237" w:firstLineChars="99"/>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评标委员会应当在评标报告上签字，对自己的评审意见承担法律责任。对评标报告有异议的，应当在评标报告上签署不同意见，并说明理由，否则视为同意评标报告。</w:t>
      </w:r>
    </w:p>
    <w:p>
      <w:pPr>
        <w:numPr>
          <w:ilvl w:val="0"/>
          <w:numId w:val="48"/>
        </w:numPr>
        <w:tabs>
          <w:tab w:val="left" w:pos="616"/>
        </w:tabs>
        <w:spacing w:line="440" w:lineRule="exact"/>
        <w:ind w:left="10" w:leftChars="5" w:firstLine="237" w:firstLineChars="99"/>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采购人根据评标委员会推荐的中标候选人排序依次确认中标人，中标人因不可抗力或者自身原因不能履行政府采购合同的，采购人可以与排位在中标人之后第一位的中标候选人签订政府采购合同，以此类推。</w:t>
      </w:r>
    </w:p>
    <w:p>
      <w:pPr>
        <w:pStyle w:val="4"/>
        <w:numPr>
          <w:ilvl w:val="0"/>
          <w:numId w:val="42"/>
        </w:numPr>
        <w:spacing w:before="0" w:after="0" w:line="440" w:lineRule="exact"/>
        <w:ind w:left="616" w:hanging="616"/>
        <w:jc w:val="left"/>
        <w:rPr>
          <w:rFonts w:asciiTheme="minorEastAsia" w:hAnsiTheme="minorEastAsia" w:eastAsiaTheme="minorEastAsia" w:cstheme="minorEastAsia"/>
          <w:color w:val="000000"/>
          <w:sz w:val="24"/>
          <w:szCs w:val="24"/>
        </w:rPr>
      </w:pPr>
      <w:bookmarkStart w:id="122" w:name="_Toc494561963"/>
      <w:bookmarkStart w:id="123" w:name="_Toc2252893"/>
      <w:bookmarkStart w:id="124" w:name="_Toc511894519"/>
      <w:r>
        <w:rPr>
          <w:rFonts w:hint="eastAsia" w:asciiTheme="minorEastAsia" w:hAnsiTheme="minorEastAsia" w:eastAsiaTheme="minorEastAsia" w:cstheme="minorEastAsia"/>
          <w:bCs w:val="0"/>
          <w:color w:val="000000"/>
          <w:sz w:val="24"/>
          <w:szCs w:val="24"/>
        </w:rPr>
        <w:t>评审因素及评分标准</w:t>
      </w:r>
      <w:bookmarkEnd w:id="122"/>
      <w:bookmarkEnd w:id="123"/>
      <w:bookmarkEnd w:id="124"/>
    </w:p>
    <w:p/>
    <w:tbl>
      <w:tblPr>
        <w:tblStyle w:val="35"/>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21"/>
        <w:gridCol w:w="641"/>
        <w:gridCol w:w="6690"/>
      </w:tblGrid>
      <w:tr>
        <w:trPr>
          <w:trHeight w:val="454" w:hRule="atLeast"/>
          <w:tblHeader/>
          <w:jc w:val="center"/>
        </w:trPr>
        <w:tc>
          <w:tcPr>
            <w:tcW w:w="803" w:type="dxa"/>
            <w:vAlign w:val="center"/>
          </w:tcPr>
          <w:p>
            <w:pPr>
              <w:widowControl/>
              <w:jc w:val="center"/>
              <w:rPr>
                <w:rFonts w:ascii="宋体" w:hAnsi="宋体" w:cs="宋体"/>
                <w:b/>
                <w:bCs/>
                <w:kern w:val="0"/>
              </w:rPr>
            </w:pPr>
            <w:r>
              <w:rPr>
                <w:rFonts w:hint="eastAsia" w:ascii="宋体" w:hAnsi="宋体" w:cs="宋体"/>
                <w:b/>
                <w:bCs/>
                <w:kern w:val="0"/>
              </w:rPr>
              <w:t>评标项目</w:t>
            </w:r>
          </w:p>
        </w:tc>
        <w:tc>
          <w:tcPr>
            <w:tcW w:w="1121" w:type="dxa"/>
            <w:vAlign w:val="center"/>
          </w:tcPr>
          <w:p>
            <w:pPr>
              <w:widowControl/>
              <w:jc w:val="center"/>
              <w:rPr>
                <w:rFonts w:ascii="宋体" w:hAnsi="宋体" w:cs="宋体"/>
                <w:b/>
                <w:bCs/>
                <w:kern w:val="0"/>
              </w:rPr>
            </w:pPr>
            <w:r>
              <w:rPr>
                <w:rFonts w:hint="eastAsia" w:ascii="宋体" w:hAnsi="宋体" w:cs="宋体"/>
                <w:b/>
                <w:bCs/>
                <w:kern w:val="0"/>
              </w:rPr>
              <w:t>评标分项</w:t>
            </w:r>
          </w:p>
        </w:tc>
        <w:tc>
          <w:tcPr>
            <w:tcW w:w="641" w:type="dxa"/>
            <w:vAlign w:val="center"/>
          </w:tcPr>
          <w:p>
            <w:pPr>
              <w:widowControl/>
              <w:jc w:val="center"/>
              <w:rPr>
                <w:rFonts w:ascii="宋体" w:hAnsi="宋体" w:cs="宋体"/>
                <w:b/>
                <w:bCs/>
                <w:kern w:val="0"/>
              </w:rPr>
            </w:pPr>
            <w:r>
              <w:rPr>
                <w:rFonts w:hint="eastAsia" w:ascii="宋体" w:hAnsi="宋体" w:cs="宋体"/>
                <w:b/>
                <w:bCs/>
                <w:kern w:val="0"/>
              </w:rPr>
              <w:t>分值</w:t>
            </w:r>
          </w:p>
        </w:tc>
        <w:tc>
          <w:tcPr>
            <w:tcW w:w="6690" w:type="dxa"/>
            <w:vAlign w:val="center"/>
          </w:tcPr>
          <w:p>
            <w:pPr>
              <w:widowControl/>
              <w:jc w:val="center"/>
              <w:rPr>
                <w:rFonts w:ascii="宋体" w:hAnsi="宋体" w:cs="宋体"/>
                <w:b/>
                <w:bCs/>
                <w:kern w:val="0"/>
              </w:rPr>
            </w:pPr>
            <w:r>
              <w:rPr>
                <w:rFonts w:hint="eastAsia" w:ascii="宋体" w:hAnsi="宋体" w:cs="宋体"/>
                <w:b/>
                <w:bCs/>
                <w:kern w:val="0"/>
              </w:rPr>
              <w:t>子项目及分值</w:t>
            </w:r>
          </w:p>
        </w:tc>
      </w:tr>
      <w:tr>
        <w:trPr>
          <w:trHeight w:val="454" w:hRule="atLeast"/>
          <w:jc w:val="center"/>
        </w:trPr>
        <w:tc>
          <w:tcPr>
            <w:tcW w:w="803" w:type="dxa"/>
            <w:vAlign w:val="center"/>
          </w:tcPr>
          <w:p>
            <w:pPr>
              <w:widowControl/>
              <w:jc w:val="left"/>
              <w:rPr>
                <w:rFonts w:ascii="宋体" w:hAnsi="宋体" w:cs="宋体"/>
                <w:kern w:val="0"/>
              </w:rPr>
            </w:pPr>
            <w:r>
              <w:rPr>
                <w:rFonts w:hint="eastAsia" w:ascii="宋体" w:hAnsi="宋体" w:cs="宋体"/>
                <w:kern w:val="0"/>
              </w:rPr>
              <w:t>价格评分</w:t>
            </w:r>
            <w:r>
              <w:rPr>
                <w:rFonts w:ascii="宋体" w:hAnsi="宋体" w:cs="宋体"/>
                <w:kern w:val="0"/>
              </w:rPr>
              <w:t>（10）</w:t>
            </w:r>
          </w:p>
        </w:tc>
        <w:tc>
          <w:tcPr>
            <w:tcW w:w="1121" w:type="dxa"/>
            <w:tcBorders>
              <w:bottom w:val="single" w:color="auto" w:sz="4" w:space="0"/>
            </w:tcBorders>
            <w:vAlign w:val="center"/>
          </w:tcPr>
          <w:p>
            <w:pPr>
              <w:widowControl/>
              <w:rPr>
                <w:rFonts w:ascii="宋体" w:hAnsi="宋体" w:cs="宋体"/>
                <w:kern w:val="0"/>
              </w:rPr>
            </w:pPr>
            <w:r>
              <w:rPr>
                <w:rFonts w:hint="eastAsia" w:ascii="宋体" w:hAnsi="宋体" w:cs="宋体"/>
                <w:kern w:val="0"/>
              </w:rPr>
              <w:t>报价得分</w:t>
            </w:r>
          </w:p>
        </w:tc>
        <w:tc>
          <w:tcPr>
            <w:tcW w:w="641" w:type="dxa"/>
            <w:vAlign w:val="center"/>
          </w:tcPr>
          <w:p>
            <w:pPr>
              <w:widowControl/>
              <w:rPr>
                <w:rFonts w:ascii="宋体" w:hAnsi="宋体" w:cs="宋体"/>
                <w:kern w:val="0"/>
              </w:rPr>
            </w:pPr>
            <w:r>
              <w:rPr>
                <w:rFonts w:ascii="宋体" w:hAnsi="宋体" w:cs="宋体"/>
                <w:kern w:val="0"/>
              </w:rPr>
              <w:t>10</w:t>
            </w:r>
          </w:p>
        </w:tc>
        <w:tc>
          <w:tcPr>
            <w:tcW w:w="6690" w:type="dxa"/>
            <w:vAlign w:val="center"/>
          </w:tcPr>
          <w:p>
            <w:pPr>
              <w:widowControl/>
              <w:autoSpaceDE w:val="0"/>
              <w:autoSpaceDN w:val="0"/>
              <w:rPr>
                <w:rFonts w:cs="宋体" w:asciiTheme="minorEastAsia" w:hAnsiTheme="minorEastAsia" w:eastAsiaTheme="minorEastAsia"/>
                <w:kern w:val="0"/>
              </w:rPr>
            </w:pPr>
            <w:r>
              <w:rPr>
                <w:rFonts w:hint="eastAsia" w:ascii="宋体" w:hAnsi="宋体" w:cs="宋体"/>
                <w:sz w:val="24"/>
                <w:szCs w:val="24"/>
              </w:rPr>
              <w:t>满足招标文件要求且投标价格最低的投标总报价</w:t>
            </w:r>
            <w:r>
              <w:rPr>
                <w:rFonts w:ascii="宋体" w:hAnsi="宋体" w:cs="宋体"/>
                <w:sz w:val="24"/>
                <w:szCs w:val="24"/>
              </w:rPr>
              <w:t>（</w:t>
            </w:r>
            <w:r>
              <w:rPr>
                <w:rFonts w:hint="eastAsia" w:ascii="宋体" w:hAnsi="宋体" w:cs="宋体"/>
                <w:sz w:val="24"/>
                <w:szCs w:val="24"/>
              </w:rPr>
              <w:t>符合政府采购政策的按折扣金额计算</w:t>
            </w:r>
            <w:r>
              <w:rPr>
                <w:rFonts w:ascii="宋体" w:hAnsi="宋体" w:cs="宋体"/>
                <w:sz w:val="24"/>
                <w:szCs w:val="24"/>
              </w:rPr>
              <w:t>）</w:t>
            </w:r>
            <w:r>
              <w:rPr>
                <w:rFonts w:hint="eastAsia" w:ascii="宋体" w:hAnsi="宋体" w:cs="宋体"/>
                <w:sz w:val="24"/>
                <w:szCs w:val="24"/>
              </w:rPr>
              <w:t>为评标基准价，其价格分为满分。其他合格投标人的投标总报价得分按如下公式计算：投标报价得分=（评标基准价/投标总报价）×</w:t>
            </w:r>
            <w:r>
              <w:rPr>
                <w:rFonts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3" w:type="dxa"/>
            <w:vMerge w:val="restart"/>
            <w:vAlign w:val="center"/>
          </w:tcPr>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kern w:val="0"/>
              </w:rPr>
            </w:pPr>
          </w:p>
          <w:p>
            <w:pPr>
              <w:widowControl/>
            </w:pPr>
            <w:r>
              <w:rPr>
                <w:rFonts w:hint="eastAsia" w:ascii="宋体" w:hAnsi="宋体" w:cs="宋体"/>
                <w:kern w:val="0"/>
              </w:rPr>
              <w:t>商务</w:t>
            </w:r>
          </w:p>
          <w:p>
            <w:pPr>
              <w:widowControl/>
              <w:jc w:val="left"/>
              <w:rPr>
                <w:rFonts w:ascii="宋体" w:hAnsi="宋体" w:cs="宋体"/>
                <w:kern w:val="0"/>
              </w:rPr>
            </w:pPr>
            <w:r>
              <w:rPr>
                <w:rFonts w:hint="eastAsia" w:ascii="宋体" w:hAnsi="宋体" w:cs="宋体"/>
                <w:kern w:val="0"/>
              </w:rPr>
              <w:t>评分</w:t>
            </w:r>
            <w:r>
              <w:rPr>
                <w:rFonts w:ascii="宋体" w:hAnsi="宋体" w:cs="宋体"/>
                <w:kern w:val="0"/>
              </w:rPr>
              <w:t>（30）</w:t>
            </w: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类似业绩</w:t>
            </w:r>
          </w:p>
        </w:tc>
        <w:tc>
          <w:tcPr>
            <w:tcW w:w="641" w:type="dxa"/>
            <w:tcBorders>
              <w:bottom w:val="single" w:color="auto" w:sz="4" w:space="0"/>
            </w:tcBorders>
            <w:vAlign w:val="center"/>
          </w:tcPr>
          <w:p>
            <w:pPr>
              <w:widowControl/>
              <w:rPr>
                <w:rFonts w:ascii="宋体" w:hAnsi="宋体" w:cs="宋体"/>
                <w:kern w:val="0"/>
              </w:rPr>
            </w:pPr>
            <w:r>
              <w:rPr>
                <w:rFonts w:ascii="宋体" w:hAnsi="宋体" w:cs="宋体"/>
                <w:kern w:val="0"/>
              </w:rPr>
              <w:t>9</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近三年（</w:t>
            </w:r>
            <w:r>
              <w:rPr>
                <w:rFonts w:ascii="宋体" w:hAnsi="宋体" w:cs="宋体"/>
                <w:kern w:val="0"/>
              </w:rPr>
              <w:t>2019</w:t>
            </w:r>
            <w:r>
              <w:rPr>
                <w:rFonts w:hint="eastAsia" w:ascii="宋体" w:hAnsi="宋体" w:cs="宋体"/>
                <w:kern w:val="0"/>
              </w:rPr>
              <w:t>年</w:t>
            </w:r>
            <w:r>
              <w:rPr>
                <w:rFonts w:ascii="宋体" w:hAnsi="宋体" w:cs="宋体"/>
                <w:kern w:val="0"/>
              </w:rPr>
              <w:t>6</w:t>
            </w:r>
            <w:r>
              <w:rPr>
                <w:rFonts w:hint="eastAsia" w:ascii="宋体" w:hAnsi="宋体" w:cs="宋体"/>
                <w:kern w:val="0"/>
              </w:rPr>
              <w:t>月</w:t>
            </w:r>
            <w:r>
              <w:rPr>
                <w:rFonts w:ascii="宋体" w:hAnsi="宋体" w:cs="宋体"/>
                <w:kern w:val="0"/>
              </w:rPr>
              <w:t>1</w:t>
            </w:r>
            <w:r>
              <w:rPr>
                <w:rFonts w:hint="eastAsia" w:ascii="宋体" w:hAnsi="宋体" w:cs="宋体"/>
                <w:kern w:val="0"/>
              </w:rPr>
              <w:t>日至今</w:t>
            </w:r>
            <w:r>
              <w:rPr>
                <w:rFonts w:ascii="宋体" w:hAnsi="宋体" w:cs="宋体"/>
                <w:kern w:val="0"/>
              </w:rPr>
              <w:t>，</w:t>
            </w:r>
            <w:r>
              <w:rPr>
                <w:rFonts w:hint="eastAsia" w:ascii="宋体" w:hAnsi="宋体" w:cs="宋体"/>
                <w:kern w:val="0"/>
              </w:rPr>
              <w:t>以合同签订时间为准</w:t>
            </w:r>
            <w:r>
              <w:rPr>
                <w:rFonts w:ascii="宋体" w:hAnsi="宋体" w:cs="宋体"/>
                <w:kern w:val="0"/>
              </w:rPr>
              <w:t>。</w:t>
            </w:r>
            <w:r>
              <w:rPr>
                <w:rFonts w:hint="eastAsia" w:ascii="宋体" w:hAnsi="宋体" w:cs="宋体"/>
                <w:kern w:val="0"/>
              </w:rPr>
              <w:t>单个客户不重复计分）以来承接的类似保安服务项目业绩每个</w:t>
            </w:r>
            <w:r>
              <w:rPr>
                <w:rFonts w:ascii="宋体" w:hAnsi="宋体" w:cs="宋体"/>
                <w:kern w:val="0"/>
              </w:rPr>
              <w:t>3</w:t>
            </w:r>
            <w:r>
              <w:rPr>
                <w:rFonts w:hint="eastAsia" w:ascii="宋体" w:hAnsi="宋体" w:cs="宋体"/>
                <w:kern w:val="0"/>
              </w:rPr>
              <w:t>分，最多</w:t>
            </w:r>
            <w:r>
              <w:rPr>
                <w:rFonts w:ascii="宋体" w:hAnsi="宋体" w:cs="宋体"/>
                <w:kern w:val="0"/>
              </w:rPr>
              <w:t>9</w:t>
            </w:r>
            <w:r>
              <w:rPr>
                <w:rFonts w:hint="eastAsia" w:ascii="宋体" w:hAnsi="宋体" w:cs="宋体"/>
                <w:kern w:val="0"/>
              </w:rPr>
              <w:t>分</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3" w:type="dxa"/>
            <w:vMerge w:val="continue"/>
            <w:vAlign w:val="center"/>
          </w:tcPr>
          <w:p>
            <w:pPr>
              <w:widowControl/>
              <w:rPr>
                <w:rFonts w:ascii="宋体" w:hAnsi="宋体" w:cs="宋体"/>
                <w:kern w:val="0"/>
              </w:rPr>
            </w:pP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客户评价</w:t>
            </w:r>
          </w:p>
        </w:tc>
        <w:tc>
          <w:tcPr>
            <w:tcW w:w="641" w:type="dxa"/>
            <w:tcBorders>
              <w:bottom w:val="single" w:color="auto" w:sz="4" w:space="0"/>
            </w:tcBorders>
            <w:vAlign w:val="center"/>
          </w:tcPr>
          <w:p>
            <w:pPr>
              <w:widowControl/>
              <w:rPr>
                <w:rFonts w:ascii="宋体" w:hAnsi="宋体" w:cs="宋体"/>
                <w:kern w:val="0"/>
              </w:rPr>
            </w:pPr>
            <w:r>
              <w:rPr>
                <w:rFonts w:ascii="宋体" w:hAnsi="宋体" w:cs="宋体"/>
                <w:kern w:val="0"/>
              </w:rPr>
              <w:t>6</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提供近三年（</w:t>
            </w:r>
            <w:r>
              <w:rPr>
                <w:rFonts w:ascii="宋体" w:hAnsi="宋体" w:cs="宋体"/>
                <w:kern w:val="0"/>
              </w:rPr>
              <w:t>2019</w:t>
            </w:r>
            <w:r>
              <w:rPr>
                <w:rFonts w:hint="eastAsia" w:ascii="宋体" w:hAnsi="宋体" w:cs="宋体"/>
                <w:kern w:val="0"/>
              </w:rPr>
              <w:t>年</w:t>
            </w:r>
            <w:r>
              <w:rPr>
                <w:rFonts w:ascii="宋体" w:hAnsi="宋体" w:cs="宋体"/>
                <w:kern w:val="0"/>
              </w:rPr>
              <w:t>6</w:t>
            </w:r>
            <w:r>
              <w:rPr>
                <w:rFonts w:hint="eastAsia" w:ascii="宋体" w:hAnsi="宋体" w:cs="宋体"/>
                <w:kern w:val="0"/>
              </w:rPr>
              <w:t>月</w:t>
            </w:r>
            <w:r>
              <w:rPr>
                <w:rFonts w:ascii="宋体" w:hAnsi="宋体" w:cs="宋体"/>
                <w:kern w:val="0"/>
              </w:rPr>
              <w:t>1</w:t>
            </w:r>
            <w:r>
              <w:rPr>
                <w:rFonts w:hint="eastAsia" w:ascii="宋体" w:hAnsi="宋体" w:cs="宋体"/>
                <w:kern w:val="0"/>
              </w:rPr>
              <w:t>日至今</w:t>
            </w:r>
            <w:r>
              <w:rPr>
                <w:rFonts w:ascii="宋体" w:hAnsi="宋体" w:cs="宋体"/>
                <w:kern w:val="0"/>
              </w:rPr>
              <w:t>，</w:t>
            </w:r>
            <w:r>
              <w:rPr>
                <w:rFonts w:hint="eastAsia" w:ascii="宋体" w:hAnsi="宋体" w:cs="宋体"/>
                <w:kern w:val="0"/>
              </w:rPr>
              <w:t>以评价时间为准</w:t>
            </w:r>
            <w:r>
              <w:rPr>
                <w:rFonts w:ascii="宋体" w:hAnsi="宋体" w:cs="宋体"/>
                <w:kern w:val="0"/>
              </w:rPr>
              <w:t>。</w:t>
            </w:r>
            <w:r>
              <w:rPr>
                <w:rFonts w:hint="eastAsia" w:ascii="宋体" w:hAnsi="宋体" w:cs="宋体"/>
                <w:kern w:val="0"/>
              </w:rPr>
              <w:t>单个客户不重复计分）在保安管理服务期间客户评价意见满意的每个得</w:t>
            </w:r>
            <w:r>
              <w:rPr>
                <w:rFonts w:ascii="宋体" w:hAnsi="宋体" w:cs="宋体"/>
                <w:kern w:val="0"/>
              </w:rPr>
              <w:t>2</w:t>
            </w:r>
            <w:r>
              <w:rPr>
                <w:rFonts w:hint="eastAsia" w:ascii="宋体" w:hAnsi="宋体" w:cs="宋体"/>
                <w:kern w:val="0"/>
              </w:rPr>
              <w:t>分</w:t>
            </w:r>
            <w:r>
              <w:rPr>
                <w:rFonts w:ascii="宋体" w:hAnsi="宋体" w:cs="宋体"/>
                <w:kern w:val="0"/>
              </w:rPr>
              <w:t>，</w:t>
            </w:r>
            <w:r>
              <w:rPr>
                <w:rFonts w:hint="eastAsia" w:ascii="宋体" w:hAnsi="宋体" w:cs="宋体"/>
                <w:kern w:val="0"/>
              </w:rPr>
              <w:t>最多得</w:t>
            </w:r>
            <w:r>
              <w:rPr>
                <w:rFonts w:ascii="宋体" w:hAnsi="宋体" w:cs="宋体"/>
                <w:kern w:val="0"/>
              </w:rPr>
              <w:t>6</w:t>
            </w:r>
            <w:r>
              <w:rPr>
                <w:rFonts w:hint="eastAsia" w:ascii="宋体" w:hAnsi="宋体" w:cs="宋体"/>
                <w:kern w:val="0"/>
              </w:rPr>
              <w:t>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管理体系</w:t>
            </w:r>
          </w:p>
        </w:tc>
        <w:tc>
          <w:tcPr>
            <w:tcW w:w="641" w:type="dxa"/>
            <w:vAlign w:val="center"/>
          </w:tcPr>
          <w:p>
            <w:pPr>
              <w:widowControl/>
              <w:rPr>
                <w:rFonts w:ascii="宋体" w:hAnsi="宋体" w:cs="宋体"/>
                <w:kern w:val="0"/>
              </w:rPr>
            </w:pPr>
            <w:r>
              <w:rPr>
                <w:rFonts w:hint="eastAsia" w:ascii="宋体" w:hAnsi="宋体" w:cs="宋体"/>
                <w:kern w:val="0"/>
              </w:rPr>
              <w:t>6</w:t>
            </w:r>
          </w:p>
        </w:tc>
        <w:tc>
          <w:tcPr>
            <w:tcW w:w="6690" w:type="dxa"/>
            <w:vAlign w:val="center"/>
          </w:tcPr>
          <w:p>
            <w:pPr>
              <w:widowControl/>
              <w:rPr>
                <w:rFonts w:ascii="宋体" w:hAnsi="宋体" w:cs="宋体"/>
                <w:kern w:val="0"/>
              </w:rPr>
            </w:pPr>
            <w:r>
              <w:rPr>
                <w:rFonts w:hint="eastAsia" w:ascii="宋体" w:hAnsi="宋体" w:cs="宋体"/>
                <w:kern w:val="0"/>
              </w:rPr>
              <w:t>具有有效的环境管理体系认证证书</w:t>
            </w:r>
            <w:r>
              <w:rPr>
                <w:rFonts w:ascii="宋体" w:hAnsi="宋体" w:cs="宋体"/>
                <w:kern w:val="0"/>
              </w:rPr>
              <w:t>、</w:t>
            </w:r>
            <w:r>
              <w:rPr>
                <w:rFonts w:hint="eastAsia" w:ascii="宋体" w:hAnsi="宋体" w:cs="宋体"/>
                <w:kern w:val="0"/>
              </w:rPr>
              <w:t>质量管理体系认证证书</w:t>
            </w:r>
            <w:r>
              <w:rPr>
                <w:rFonts w:ascii="宋体" w:hAnsi="宋体" w:cs="宋体"/>
                <w:kern w:val="0"/>
              </w:rPr>
              <w:t>、</w:t>
            </w:r>
            <w:r>
              <w:rPr>
                <w:rFonts w:hint="eastAsia" w:ascii="宋体" w:hAnsi="宋体" w:cs="宋体"/>
                <w:kern w:val="0"/>
              </w:rPr>
              <w:t>职业健康安全体系认证证书每个得</w:t>
            </w:r>
            <w:r>
              <w:rPr>
                <w:rFonts w:ascii="宋体" w:hAnsi="宋体" w:cs="宋体"/>
                <w:kern w:val="0"/>
              </w:rPr>
              <w:t>2</w:t>
            </w:r>
            <w:r>
              <w:rPr>
                <w:rFonts w:hint="eastAsia" w:ascii="宋体" w:hAnsi="宋体" w:cs="宋体"/>
                <w:kern w:val="0"/>
              </w:rPr>
              <w:t>分</w:t>
            </w:r>
            <w:r>
              <w:rPr>
                <w:rFonts w:ascii="宋体" w:hAnsi="宋体" w:cs="宋体"/>
                <w:kern w:val="0"/>
              </w:rPr>
              <w:t>，</w:t>
            </w:r>
            <w:r>
              <w:rPr>
                <w:rFonts w:hint="eastAsia" w:ascii="宋体" w:hAnsi="宋体" w:cs="宋体"/>
                <w:kern w:val="0"/>
              </w:rPr>
              <w:t>最高得</w:t>
            </w:r>
            <w:r>
              <w:rPr>
                <w:rFonts w:ascii="宋体" w:hAnsi="宋体" w:cs="宋体"/>
                <w:kern w:val="0"/>
              </w:rPr>
              <w:t>6</w:t>
            </w:r>
            <w:r>
              <w:rPr>
                <w:rFonts w:hint="eastAsia" w:ascii="宋体" w:hAnsi="宋体" w:cs="宋体"/>
                <w:kern w:val="0"/>
              </w:rPr>
              <w:t>分</w:t>
            </w:r>
            <w:r>
              <w:rPr>
                <w:rFonts w:ascii="宋体" w:hAnsi="宋体" w:cs="宋体"/>
                <w:kern w:val="0"/>
              </w:rPr>
              <w:t>。</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文件编制</w:t>
            </w:r>
          </w:p>
        </w:tc>
        <w:tc>
          <w:tcPr>
            <w:tcW w:w="641" w:type="dxa"/>
            <w:vAlign w:val="center"/>
          </w:tcPr>
          <w:p>
            <w:pPr>
              <w:widowControl/>
              <w:rPr>
                <w:rFonts w:ascii="宋体" w:hAnsi="宋体" w:cs="宋体"/>
                <w:kern w:val="0"/>
              </w:rPr>
            </w:pPr>
            <w:r>
              <w:rPr>
                <w:rFonts w:hint="eastAsia" w:ascii="宋体" w:hAnsi="宋体" w:cs="宋体"/>
                <w:kern w:val="0"/>
              </w:rPr>
              <w:t>2</w:t>
            </w:r>
          </w:p>
        </w:tc>
        <w:tc>
          <w:tcPr>
            <w:tcW w:w="6690" w:type="dxa"/>
            <w:vAlign w:val="center"/>
          </w:tcPr>
          <w:p>
            <w:pPr>
              <w:widowControl/>
              <w:rPr>
                <w:rFonts w:ascii="宋体" w:hAnsi="宋体" w:cs="宋体"/>
                <w:kern w:val="0"/>
              </w:rPr>
            </w:pPr>
            <w:r>
              <w:rPr>
                <w:rFonts w:hint="eastAsia" w:ascii="宋体" w:hAnsi="宋体"/>
                <w:color w:val="000000"/>
              </w:rPr>
              <w:t>投标文件内容应的文本厚度应</w:t>
            </w:r>
            <w:r>
              <w:rPr>
                <w:rFonts w:hint="eastAsia" w:ascii="宋体" w:hAnsi="宋体"/>
              </w:rPr>
              <w:t>精简易懂</w:t>
            </w:r>
            <w:r>
              <w:rPr>
                <w:rFonts w:ascii="宋体" w:hAnsi="宋体"/>
              </w:rPr>
              <w:t>、</w:t>
            </w:r>
            <w:r>
              <w:rPr>
                <w:rFonts w:hint="eastAsia" w:ascii="宋体" w:hAnsi="宋体"/>
              </w:rPr>
              <w:t>逻辑清晰</w:t>
            </w:r>
            <w:r>
              <w:rPr>
                <w:rFonts w:ascii="宋体" w:hAnsi="宋体"/>
              </w:rPr>
              <w:t>、</w:t>
            </w:r>
            <w:r>
              <w:rPr>
                <w:rFonts w:hint="eastAsia" w:ascii="宋体" w:hAnsi="宋体"/>
              </w:rPr>
              <w:t>便于查找</w:t>
            </w:r>
            <w:r>
              <w:rPr>
                <w:rFonts w:ascii="宋体" w:hAnsi="宋体"/>
              </w:rPr>
              <w:t>，</w:t>
            </w:r>
            <w:r>
              <w:rPr>
                <w:rFonts w:hint="eastAsia" w:ascii="宋体" w:hAnsi="宋体"/>
                <w:color w:val="000000"/>
              </w:rPr>
              <w:t>双面打印</w:t>
            </w:r>
            <w:r>
              <w:rPr>
                <w:rFonts w:ascii="宋体" w:hAnsi="宋体"/>
                <w:color w:val="000000"/>
              </w:rPr>
              <w:t>，</w:t>
            </w:r>
            <w:r>
              <w:rPr>
                <w:rFonts w:hint="eastAsia" w:ascii="宋体" w:hAnsi="宋体"/>
                <w:color w:val="000000"/>
              </w:rPr>
              <w:t>厚度控制在400张</w:t>
            </w:r>
            <w:r>
              <w:rPr>
                <w:rFonts w:ascii="宋体" w:hAnsi="宋体"/>
                <w:color w:val="000000"/>
              </w:rPr>
              <w:t>（</w:t>
            </w:r>
            <w:r>
              <w:rPr>
                <w:rFonts w:hint="eastAsia" w:ascii="宋体" w:hAnsi="宋体"/>
                <w:color w:val="000000"/>
              </w:rPr>
              <w:t>误差</w:t>
            </w:r>
            <w:r>
              <w:rPr>
                <w:rFonts w:ascii="宋体" w:hAnsi="宋体"/>
                <w:color w:val="000000"/>
              </w:rPr>
              <w:t>±</w:t>
            </w:r>
            <w:r>
              <w:rPr>
                <w:rFonts w:hint="eastAsia" w:ascii="宋体" w:hAnsi="宋体"/>
                <w:color w:val="000000"/>
              </w:rPr>
              <w:t>10</w:t>
            </w:r>
            <w:r>
              <w:rPr>
                <w:rFonts w:ascii="宋体" w:hAnsi="宋体"/>
                <w:color w:val="000000"/>
              </w:rPr>
              <w:t>）</w:t>
            </w:r>
            <w:r>
              <w:rPr>
                <w:rFonts w:hint="eastAsia" w:ascii="宋体" w:hAnsi="宋体"/>
                <w:color w:val="000000"/>
              </w:rPr>
              <w:t>以内。符合得2分，超出得0分。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财务状况</w:t>
            </w:r>
          </w:p>
        </w:tc>
        <w:tc>
          <w:tcPr>
            <w:tcW w:w="641" w:type="dxa"/>
            <w:vAlign w:val="center"/>
          </w:tcPr>
          <w:p>
            <w:pPr>
              <w:widowControl/>
              <w:rPr>
                <w:rFonts w:ascii="宋体" w:hAnsi="宋体" w:cs="宋体"/>
                <w:kern w:val="0"/>
              </w:rPr>
            </w:pPr>
            <w:r>
              <w:rPr>
                <w:rFonts w:ascii="宋体" w:hAnsi="宋体" w:cs="宋体"/>
                <w:kern w:val="0"/>
              </w:rPr>
              <w:t>4</w:t>
            </w:r>
          </w:p>
        </w:tc>
        <w:tc>
          <w:tcPr>
            <w:tcW w:w="6690" w:type="dxa"/>
            <w:vAlign w:val="center"/>
          </w:tcPr>
          <w:p>
            <w:pPr>
              <w:widowControl/>
              <w:rPr>
                <w:rFonts w:ascii="宋体" w:hAnsi="宋体"/>
                <w:color w:val="000000"/>
              </w:rPr>
            </w:pPr>
            <w:r>
              <w:rPr>
                <w:rFonts w:hint="eastAsia" w:ascii="宋体" w:hAnsi="宋体" w:cs="宋体"/>
                <w:kern w:val="0"/>
              </w:rPr>
              <w:t>根据投标人近两年财务审计报告（须包含四表一注）的资产负债率、所有者权益、净利润率等指标，财务状况良好（负债率较低且盈利能力较强等）的得</w:t>
            </w:r>
            <w:r>
              <w:rPr>
                <w:rFonts w:ascii="宋体" w:hAnsi="宋体" w:cs="宋体"/>
                <w:kern w:val="0"/>
              </w:rPr>
              <w:t>4</w:t>
            </w:r>
            <w:r>
              <w:rPr>
                <w:rFonts w:hint="eastAsia" w:ascii="宋体" w:hAnsi="宋体" w:cs="宋体"/>
                <w:kern w:val="0"/>
              </w:rPr>
              <w:t>分，一般（负债率较高或盈利能力较差等）的得</w:t>
            </w:r>
            <w:r>
              <w:rPr>
                <w:rFonts w:ascii="宋体" w:hAnsi="宋体" w:cs="宋体"/>
                <w:kern w:val="0"/>
              </w:rPr>
              <w:t>2</w:t>
            </w:r>
            <w:r>
              <w:rPr>
                <w:rFonts w:hint="eastAsia" w:ascii="宋体" w:hAnsi="宋体" w:cs="宋体"/>
                <w:kern w:val="0"/>
              </w:rPr>
              <w:t>分，有亏损的不得分。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3" w:type="dxa"/>
            <w:vMerge w:val="continue"/>
            <w:vAlign w:val="center"/>
          </w:tcPr>
          <w:p>
            <w:pPr>
              <w:widowControl/>
              <w:rPr>
                <w:rFonts w:ascii="宋体" w:hAnsi="宋体" w:cs="宋体"/>
                <w:kern w:val="0"/>
              </w:rPr>
            </w:pP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诚实守信</w:t>
            </w:r>
          </w:p>
        </w:tc>
        <w:tc>
          <w:tcPr>
            <w:tcW w:w="641" w:type="dxa"/>
            <w:vAlign w:val="center"/>
          </w:tcPr>
          <w:p>
            <w:pPr>
              <w:widowControl/>
              <w:rPr>
                <w:rFonts w:ascii="宋体" w:hAnsi="宋体" w:cs="宋体"/>
                <w:kern w:val="0"/>
              </w:rPr>
            </w:pPr>
            <w:r>
              <w:rPr>
                <w:rFonts w:ascii="宋体" w:hAnsi="宋体" w:cs="宋体"/>
                <w:kern w:val="0"/>
              </w:rPr>
              <w:t>3</w:t>
            </w:r>
          </w:p>
        </w:tc>
        <w:tc>
          <w:tcPr>
            <w:tcW w:w="6690" w:type="dxa"/>
            <w:vAlign w:val="center"/>
          </w:tcPr>
          <w:p>
            <w:pPr>
              <w:widowControl/>
              <w:rPr>
                <w:rFonts w:ascii="宋体" w:hAnsi="宋体" w:cs="宋体"/>
                <w:kern w:val="0"/>
              </w:rPr>
            </w:pPr>
            <w:r>
              <w:rPr>
                <w:rFonts w:hint="eastAsia" w:ascii="宋体" w:hAnsi="宋体" w:cs="宋体"/>
                <w:kern w:val="0"/>
              </w:rPr>
              <w:t>近</w:t>
            </w:r>
            <w:r>
              <w:rPr>
                <w:rFonts w:ascii="宋体" w:hAnsi="宋体" w:cs="宋体"/>
                <w:kern w:val="0"/>
              </w:rPr>
              <w:t>3</w:t>
            </w:r>
            <w:r>
              <w:rPr>
                <w:rFonts w:hint="eastAsia" w:ascii="宋体" w:hAnsi="宋体" w:cs="宋体"/>
                <w:kern w:val="0"/>
              </w:rPr>
              <w:t>年获得税务部门颁发的“纳税信用A级纳税人”的每有</w:t>
            </w:r>
            <w:r>
              <w:rPr>
                <w:rFonts w:ascii="宋体" w:hAnsi="宋体" w:cs="宋体"/>
                <w:kern w:val="0"/>
              </w:rPr>
              <w:t>1</w:t>
            </w:r>
            <w:r>
              <w:rPr>
                <w:rFonts w:hint="eastAsia" w:ascii="宋体" w:hAnsi="宋体" w:cs="宋体"/>
                <w:kern w:val="0"/>
              </w:rPr>
              <w:t>年得</w:t>
            </w:r>
            <w:r>
              <w:rPr>
                <w:rFonts w:ascii="宋体" w:hAnsi="宋体" w:cs="宋体"/>
                <w:kern w:val="0"/>
              </w:rPr>
              <w:t>1</w:t>
            </w:r>
            <w:r>
              <w:rPr>
                <w:rFonts w:hint="eastAsia" w:ascii="宋体" w:hAnsi="宋体" w:cs="宋体"/>
                <w:kern w:val="0"/>
              </w:rPr>
              <w:t>分，最高得</w:t>
            </w:r>
            <w:r>
              <w:rPr>
                <w:rFonts w:ascii="宋体" w:hAnsi="宋体" w:cs="宋体"/>
                <w:kern w:val="0"/>
              </w:rPr>
              <w:t>3</w:t>
            </w:r>
            <w:r>
              <w:rPr>
                <w:rFonts w:hint="eastAsia" w:ascii="宋体" w:hAnsi="宋体" w:cs="宋体"/>
                <w:kern w:val="0"/>
              </w:rPr>
              <w:t>分</w:t>
            </w:r>
            <w:r>
              <w:rPr>
                <w:rFonts w:ascii="宋体" w:hAnsi="宋体" w:cs="宋体"/>
                <w:kern w:val="0"/>
              </w:rPr>
              <w:t>。</w:t>
            </w:r>
            <w:r>
              <w:rPr>
                <w:rFonts w:hint="eastAsia" w:ascii="宋体" w:hAnsi="宋体" w:cs="宋体"/>
                <w:kern w:val="0"/>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3" w:type="dxa"/>
            <w:vMerge w:val="restart"/>
            <w:vAlign w:val="center"/>
          </w:tcPr>
          <w:p>
            <w:pPr>
              <w:widowControl/>
              <w:rPr>
                <w:rFonts w:ascii="宋体" w:hAnsi="宋体" w:cs="宋体"/>
                <w:kern w:val="0"/>
              </w:rPr>
            </w:pPr>
            <w:r>
              <w:rPr>
                <w:rFonts w:hint="eastAsia" w:ascii="宋体" w:hAnsi="宋体" w:cs="宋体"/>
                <w:kern w:val="0"/>
              </w:rPr>
              <w:t>技术</w:t>
            </w:r>
          </w:p>
          <w:p>
            <w:pPr>
              <w:widowControl/>
              <w:rPr>
                <w:rFonts w:ascii="宋体" w:hAnsi="宋体" w:cs="宋体"/>
                <w:kern w:val="0"/>
              </w:rPr>
            </w:pPr>
            <w:r>
              <w:rPr>
                <w:rFonts w:hint="eastAsia" w:ascii="宋体" w:hAnsi="宋体" w:cs="宋体"/>
                <w:kern w:val="0"/>
              </w:rPr>
              <w:t>评分</w:t>
            </w:r>
          </w:p>
          <w:p>
            <w:pPr>
              <w:widowControl/>
              <w:rPr>
                <w:rFonts w:ascii="宋体" w:hAnsi="宋体" w:cs="宋体"/>
                <w:kern w:val="0"/>
              </w:rPr>
            </w:pPr>
            <w:r>
              <w:rPr>
                <w:rFonts w:ascii="宋体" w:hAnsi="宋体" w:cs="宋体"/>
                <w:kern w:val="0"/>
              </w:rPr>
              <w:t>（60）</w:t>
            </w:r>
          </w:p>
          <w:p>
            <w:pPr>
              <w:widowControl/>
              <w:rPr>
                <w:rFonts w:ascii="宋体" w:hAnsi="宋体" w:cs="宋体"/>
                <w:kern w:val="0"/>
              </w:rPr>
            </w:pPr>
          </w:p>
        </w:tc>
        <w:tc>
          <w:tcPr>
            <w:tcW w:w="1121" w:type="dxa"/>
            <w:tcBorders>
              <w:top w:val="single" w:color="auto" w:sz="4" w:space="0"/>
            </w:tcBorders>
            <w:vAlign w:val="center"/>
          </w:tcPr>
          <w:p>
            <w:pPr>
              <w:widowControl/>
              <w:rPr>
                <w:rFonts w:ascii="宋体" w:hAnsi="宋体" w:cs="宋体"/>
                <w:kern w:val="0"/>
              </w:rPr>
            </w:pPr>
            <w:r>
              <w:rPr>
                <w:rFonts w:hint="eastAsia" w:ascii="宋体" w:hAnsi="宋体" w:cs="宋体"/>
                <w:kern w:val="0"/>
              </w:rPr>
              <w:t>服务方案</w:t>
            </w:r>
          </w:p>
        </w:tc>
        <w:tc>
          <w:tcPr>
            <w:tcW w:w="641" w:type="dxa"/>
            <w:vAlign w:val="center"/>
          </w:tcPr>
          <w:p>
            <w:pPr>
              <w:widowControl/>
              <w:rPr>
                <w:rFonts w:ascii="宋体" w:hAnsi="宋体" w:cs="宋体"/>
                <w:kern w:val="0"/>
              </w:rPr>
            </w:pPr>
            <w:r>
              <w:rPr>
                <w:rFonts w:hint="eastAsia" w:ascii="宋体" w:hAnsi="宋体" w:cs="宋体"/>
                <w:kern w:val="0"/>
              </w:rPr>
              <w:t>1</w:t>
            </w:r>
            <w:r>
              <w:rPr>
                <w:rFonts w:hint="default" w:ascii="宋体" w:hAnsi="宋体" w:cs="宋体"/>
                <w:kern w:val="0"/>
              </w:rPr>
              <w:t>3</w:t>
            </w:r>
          </w:p>
        </w:tc>
        <w:tc>
          <w:tcPr>
            <w:tcW w:w="6690" w:type="dxa"/>
            <w:vAlign w:val="center"/>
          </w:tcPr>
          <w:p>
            <w:pPr>
              <w:widowControl/>
              <w:rPr>
                <w:rFonts w:ascii="宋体" w:hAnsi="宋体" w:cs="宋体"/>
                <w:kern w:val="0"/>
              </w:rPr>
            </w:pPr>
            <w:r>
              <w:rPr>
                <w:rFonts w:hint="eastAsia" w:ascii="宋体" w:hAnsi="宋体" w:cs="宋体"/>
                <w:kern w:val="0"/>
              </w:rPr>
              <w:t>服务方案能针对性体现出高校安保服务工作经验与特点，体现较强的综合管理能力</w:t>
            </w:r>
            <w:r>
              <w:rPr>
                <w:rFonts w:ascii="宋体" w:hAnsi="宋体" w:cs="宋体"/>
                <w:kern w:val="0"/>
              </w:rPr>
              <w:t>。</w:t>
            </w:r>
            <w:r>
              <w:rPr>
                <w:rFonts w:hint="eastAsia" w:ascii="宋体" w:hAnsi="宋体"/>
                <w:color w:val="000000"/>
              </w:rPr>
              <w:t>科学合理</w:t>
            </w:r>
            <w:r>
              <w:rPr>
                <w:rFonts w:ascii="宋体" w:hAnsi="宋体"/>
                <w:color w:val="000000"/>
              </w:rPr>
              <w:t>、</w:t>
            </w:r>
            <w:r>
              <w:rPr>
                <w:rFonts w:hint="eastAsia" w:ascii="宋体" w:hAnsi="宋体"/>
                <w:color w:val="000000"/>
              </w:rPr>
              <w:t>针对性强及可操作性强得</w:t>
            </w:r>
            <w:r>
              <w:rPr>
                <w:rFonts w:ascii="宋体" w:hAnsi="宋体"/>
                <w:color w:val="000000"/>
              </w:rPr>
              <w:t>10-13</w:t>
            </w:r>
            <w:r>
              <w:rPr>
                <w:rFonts w:hint="eastAsia" w:ascii="宋体" w:hAnsi="宋体"/>
                <w:color w:val="000000"/>
              </w:rPr>
              <w:t>分</w:t>
            </w:r>
            <w:r>
              <w:rPr>
                <w:rFonts w:ascii="宋体" w:hAnsi="宋体"/>
                <w:color w:val="000000"/>
              </w:rPr>
              <w:t>；</w:t>
            </w:r>
            <w:r>
              <w:rPr>
                <w:rFonts w:hint="eastAsia" w:ascii="宋体" w:hAnsi="宋体"/>
                <w:color w:val="000000"/>
              </w:rPr>
              <w:t>方案内容有少许偏差</w:t>
            </w:r>
            <w:r>
              <w:rPr>
                <w:rFonts w:ascii="宋体" w:hAnsi="宋体"/>
                <w:color w:val="000000"/>
              </w:rPr>
              <w:t>、</w:t>
            </w:r>
            <w:r>
              <w:rPr>
                <w:rFonts w:hint="eastAsia" w:ascii="宋体" w:hAnsi="宋体"/>
                <w:color w:val="000000"/>
              </w:rPr>
              <w:t>具有一定的针对性</w:t>
            </w:r>
            <w:r>
              <w:rPr>
                <w:rFonts w:ascii="宋体" w:hAnsi="宋体"/>
                <w:color w:val="000000"/>
              </w:rPr>
              <w:t>、</w:t>
            </w:r>
            <w:r>
              <w:rPr>
                <w:rFonts w:hint="eastAsia" w:ascii="宋体" w:hAnsi="宋体"/>
                <w:color w:val="000000"/>
              </w:rPr>
              <w:t>可操作性较强得</w:t>
            </w:r>
            <w:r>
              <w:rPr>
                <w:rFonts w:ascii="宋体" w:hAnsi="宋体"/>
                <w:color w:val="000000"/>
              </w:rPr>
              <w:t>6-9</w:t>
            </w:r>
            <w:r>
              <w:rPr>
                <w:rFonts w:hint="eastAsia" w:ascii="宋体" w:hAnsi="宋体"/>
                <w:color w:val="000000"/>
              </w:rPr>
              <w:t>分</w:t>
            </w:r>
            <w:r>
              <w:rPr>
                <w:rFonts w:ascii="宋体" w:hAnsi="宋体"/>
                <w:color w:val="000000"/>
              </w:rPr>
              <w:t>；</w:t>
            </w:r>
            <w:r>
              <w:rPr>
                <w:rFonts w:hint="eastAsia" w:ascii="宋体" w:hAnsi="宋体"/>
                <w:color w:val="000000"/>
              </w:rPr>
              <w:t>方案内容不完整，缺乏针对性</w:t>
            </w:r>
            <w:r>
              <w:rPr>
                <w:rFonts w:ascii="宋体" w:hAnsi="宋体"/>
                <w:color w:val="000000"/>
              </w:rPr>
              <w:t>，</w:t>
            </w:r>
            <w:r>
              <w:rPr>
                <w:rFonts w:hint="eastAsia" w:ascii="宋体" w:hAnsi="宋体"/>
                <w:color w:val="000000"/>
              </w:rPr>
              <w:t>但仍具有一定的可操作性得</w:t>
            </w:r>
            <w:r>
              <w:rPr>
                <w:rFonts w:ascii="宋体" w:hAnsi="宋体"/>
                <w:color w:val="000000"/>
              </w:rPr>
              <w:t>1-5</w:t>
            </w:r>
            <w:r>
              <w:rPr>
                <w:rFonts w:hint="eastAsia" w:ascii="宋体" w:hAnsi="宋体"/>
                <w:color w:val="000000"/>
              </w:rPr>
              <w:t>分</w:t>
            </w:r>
            <w:r>
              <w:rPr>
                <w:rFonts w:ascii="宋体" w:hAnsi="宋体"/>
                <w:color w:val="000000"/>
              </w:rPr>
              <w:t>；</w:t>
            </w:r>
            <w:r>
              <w:rPr>
                <w:rFonts w:hint="eastAsia" w:ascii="宋体" w:hAnsi="宋体"/>
                <w:color w:val="000000"/>
              </w:rPr>
              <w:t>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Align w:val="center"/>
          </w:tcPr>
          <w:p>
            <w:pPr>
              <w:widowControl/>
              <w:rPr>
                <w:rFonts w:ascii="宋体" w:hAnsi="宋体" w:cs="宋体"/>
                <w:kern w:val="0"/>
              </w:rPr>
            </w:pPr>
            <w:r>
              <w:rPr>
                <w:rFonts w:hint="eastAsia" w:ascii="宋体" w:hAnsi="宋体" w:cs="宋体"/>
                <w:kern w:val="0"/>
              </w:rPr>
              <w:t>人员配备</w:t>
            </w:r>
          </w:p>
        </w:tc>
        <w:tc>
          <w:tcPr>
            <w:tcW w:w="641" w:type="dxa"/>
            <w:vAlign w:val="center"/>
          </w:tcPr>
          <w:p>
            <w:pPr>
              <w:widowControl/>
              <w:rPr>
                <w:rFonts w:ascii="宋体" w:hAnsi="宋体" w:cs="宋体"/>
                <w:kern w:val="0"/>
              </w:rPr>
            </w:pPr>
            <w:r>
              <w:rPr>
                <w:rFonts w:ascii="宋体" w:hAnsi="宋体" w:cs="宋体"/>
                <w:kern w:val="0"/>
              </w:rPr>
              <w:t>13</w:t>
            </w:r>
          </w:p>
        </w:tc>
        <w:tc>
          <w:tcPr>
            <w:tcW w:w="6690" w:type="dxa"/>
            <w:vAlign w:val="center"/>
          </w:tcPr>
          <w:p>
            <w:pPr>
              <w:widowControl/>
              <w:rPr>
                <w:rFonts w:ascii="宋体" w:hAnsi="宋体" w:cs="宋体"/>
                <w:kern w:val="0"/>
              </w:rPr>
            </w:pPr>
            <w:r>
              <w:rPr>
                <w:rFonts w:hint="eastAsia" w:ascii="宋体" w:hAnsi="宋体" w:cs="宋体"/>
                <w:kern w:val="0"/>
              </w:rPr>
              <w:t>服务人员岗位职责及工作标准合理且清晰，人员配备合理，持证上岗，符合现场实际需要的得</w:t>
            </w:r>
            <w:r>
              <w:rPr>
                <w:rFonts w:ascii="宋体" w:hAnsi="宋体"/>
                <w:color w:val="000000"/>
              </w:rPr>
              <w:t>10-13</w:t>
            </w:r>
            <w:r>
              <w:rPr>
                <w:rFonts w:hint="eastAsia" w:ascii="宋体" w:hAnsi="宋体"/>
                <w:color w:val="000000"/>
              </w:rPr>
              <w:t>分</w:t>
            </w:r>
            <w:r>
              <w:rPr>
                <w:rFonts w:ascii="宋体" w:hAnsi="宋体"/>
                <w:color w:val="000000"/>
              </w:rPr>
              <w:t>；</w:t>
            </w:r>
            <w:r>
              <w:rPr>
                <w:rFonts w:hint="eastAsia" w:ascii="宋体" w:hAnsi="宋体"/>
                <w:color w:val="000000"/>
              </w:rPr>
              <w:t>人员组成合理但</w:t>
            </w:r>
            <w:r>
              <w:rPr>
                <w:rFonts w:hint="eastAsia" w:ascii="宋体" w:hAnsi="宋体" w:cs="宋体"/>
                <w:kern w:val="0"/>
              </w:rPr>
              <w:t>岗位职责及工作标准不清晰</w:t>
            </w:r>
            <w:r>
              <w:rPr>
                <w:rFonts w:ascii="宋体" w:hAnsi="宋体" w:cs="宋体"/>
                <w:kern w:val="0"/>
              </w:rPr>
              <w:t>，</w:t>
            </w:r>
            <w:r>
              <w:rPr>
                <w:rFonts w:hint="eastAsia" w:ascii="宋体" w:hAnsi="宋体" w:cs="宋体"/>
                <w:kern w:val="0"/>
              </w:rPr>
              <w:t>仍能够符合现场实际需要</w:t>
            </w:r>
            <w:r>
              <w:rPr>
                <w:rFonts w:hint="eastAsia" w:ascii="宋体" w:hAnsi="宋体"/>
                <w:color w:val="000000"/>
              </w:rPr>
              <w:t>得</w:t>
            </w:r>
            <w:r>
              <w:rPr>
                <w:rFonts w:ascii="宋体" w:hAnsi="宋体"/>
                <w:color w:val="000000"/>
              </w:rPr>
              <w:t>6-9</w:t>
            </w:r>
            <w:r>
              <w:rPr>
                <w:rFonts w:hint="eastAsia" w:ascii="宋体" w:hAnsi="宋体"/>
                <w:color w:val="000000"/>
              </w:rPr>
              <w:t>分</w:t>
            </w:r>
            <w:r>
              <w:rPr>
                <w:rFonts w:ascii="宋体" w:hAnsi="宋体"/>
                <w:color w:val="000000"/>
              </w:rPr>
              <w:t>；</w:t>
            </w:r>
            <w:r>
              <w:rPr>
                <w:rFonts w:hint="eastAsia" w:ascii="宋体" w:hAnsi="宋体"/>
                <w:color w:val="000000"/>
              </w:rPr>
              <w:t>人员组成不合理</w:t>
            </w:r>
            <w:r>
              <w:rPr>
                <w:rFonts w:ascii="宋体" w:hAnsi="宋体"/>
                <w:color w:val="000000"/>
              </w:rPr>
              <w:t>、</w:t>
            </w:r>
            <w:r>
              <w:rPr>
                <w:rFonts w:hint="eastAsia" w:ascii="宋体" w:hAnsi="宋体"/>
                <w:color w:val="000000"/>
              </w:rPr>
              <w:t>与采购要求偏差较大</w:t>
            </w:r>
            <w:r>
              <w:rPr>
                <w:rFonts w:ascii="宋体" w:hAnsi="宋体"/>
                <w:color w:val="000000"/>
              </w:rPr>
              <w:t>、</w:t>
            </w:r>
            <w:r>
              <w:rPr>
                <w:rFonts w:hint="eastAsia" w:ascii="宋体" w:hAnsi="宋体" w:cs="宋体"/>
                <w:kern w:val="0"/>
              </w:rPr>
              <w:t>岗位职责及工作标准不清晰</w:t>
            </w:r>
            <w:r>
              <w:rPr>
                <w:rFonts w:hint="eastAsia" w:ascii="宋体" w:hAnsi="宋体"/>
                <w:color w:val="000000"/>
              </w:rPr>
              <w:t>得</w:t>
            </w:r>
            <w:r>
              <w:rPr>
                <w:rFonts w:ascii="宋体" w:hAnsi="宋体"/>
                <w:color w:val="000000"/>
              </w:rPr>
              <w:t>1-5</w:t>
            </w:r>
            <w:r>
              <w:rPr>
                <w:rFonts w:hint="eastAsia" w:ascii="宋体" w:hAnsi="宋体"/>
                <w:color w:val="000000"/>
              </w:rPr>
              <w:t>分</w:t>
            </w:r>
            <w:r>
              <w:rPr>
                <w:rFonts w:ascii="宋体" w:hAnsi="宋体"/>
                <w:color w:val="000000"/>
              </w:rPr>
              <w:t>；</w:t>
            </w:r>
            <w:r>
              <w:rPr>
                <w:rFonts w:hint="eastAsia" w:ascii="宋体" w:hAnsi="宋体"/>
                <w:color w:val="000000"/>
              </w:rPr>
              <w:t>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Align w:val="center"/>
          </w:tcPr>
          <w:p>
            <w:pPr>
              <w:widowControl/>
              <w:rPr>
                <w:rFonts w:ascii="宋体" w:hAnsi="宋体" w:cs="宋体"/>
                <w:kern w:val="0"/>
              </w:rPr>
            </w:pPr>
            <w:r>
              <w:rPr>
                <w:rFonts w:hint="eastAsia" w:ascii="宋体" w:hAnsi="宋体" w:cs="宋体"/>
              </w:rPr>
              <w:t>培训安排</w:t>
            </w:r>
          </w:p>
        </w:tc>
        <w:tc>
          <w:tcPr>
            <w:tcW w:w="641" w:type="dxa"/>
            <w:vAlign w:val="center"/>
          </w:tcPr>
          <w:p>
            <w:pPr>
              <w:spacing w:line="276" w:lineRule="auto"/>
              <w:rPr>
                <w:rFonts w:ascii="宋体" w:hAnsi="宋体" w:cs="宋体"/>
                <w:kern w:val="0"/>
              </w:rPr>
            </w:pPr>
            <w:r>
              <w:rPr>
                <w:rFonts w:ascii="宋体" w:hAnsi="宋体" w:cs="宋体"/>
              </w:rPr>
              <w:t xml:space="preserve">3   </w:t>
            </w:r>
          </w:p>
        </w:tc>
        <w:tc>
          <w:tcPr>
            <w:tcW w:w="6690" w:type="dxa"/>
            <w:vAlign w:val="center"/>
          </w:tcPr>
          <w:p>
            <w:pPr>
              <w:spacing w:line="276" w:lineRule="auto"/>
              <w:jc w:val="center"/>
              <w:rPr>
                <w:rFonts w:ascii="宋体" w:hAnsi="宋体" w:cs="宋体"/>
                <w:kern w:val="0"/>
              </w:rPr>
            </w:pPr>
            <w:r>
              <w:rPr>
                <w:rFonts w:hint="eastAsia" w:ascii="宋体" w:hAnsi="宋体"/>
                <w:color w:val="000000" w:themeColor="text1"/>
              </w:rPr>
              <w:t>根据培训计划</w:t>
            </w:r>
            <w:r>
              <w:rPr>
                <w:rFonts w:ascii="宋体" w:hAnsi="宋体"/>
                <w:color w:val="000000" w:themeColor="text1"/>
              </w:rPr>
              <w:t>（</w:t>
            </w:r>
            <w:r>
              <w:rPr>
                <w:rFonts w:hint="eastAsia" w:ascii="宋体" w:hAnsi="宋体"/>
                <w:color w:val="000000" w:themeColor="text1"/>
              </w:rPr>
              <w:t>方案</w:t>
            </w:r>
            <w:r>
              <w:rPr>
                <w:rFonts w:ascii="宋体" w:hAnsi="宋体"/>
                <w:color w:val="000000" w:themeColor="text1"/>
              </w:rPr>
              <w:t>）</w:t>
            </w:r>
            <w:r>
              <w:rPr>
                <w:rFonts w:hint="eastAsia" w:ascii="宋体" w:hAnsi="宋体"/>
                <w:color w:val="000000" w:themeColor="text1"/>
              </w:rPr>
              <w:t>的可实施性、科学性等内容进行打分。科学合理、针对性及可操作性强得</w:t>
            </w:r>
            <w:r>
              <w:rPr>
                <w:rFonts w:ascii="宋体" w:hAnsi="宋体"/>
                <w:color w:val="000000" w:themeColor="text1"/>
              </w:rPr>
              <w:t>3</w:t>
            </w:r>
            <w:r>
              <w:rPr>
                <w:rFonts w:hint="eastAsia" w:ascii="宋体" w:hAnsi="宋体"/>
                <w:color w:val="000000" w:themeColor="text1"/>
              </w:rPr>
              <w:t>分；</w:t>
            </w:r>
            <w:r>
              <w:rPr>
                <w:rFonts w:hint="eastAsia" w:ascii="宋体" w:hAnsi="宋体"/>
                <w:color w:val="000000"/>
              </w:rPr>
              <w:t>缺乏针对性</w:t>
            </w:r>
            <w:r>
              <w:rPr>
                <w:rFonts w:ascii="宋体" w:hAnsi="宋体"/>
                <w:color w:val="000000"/>
              </w:rPr>
              <w:t>，</w:t>
            </w:r>
            <w:r>
              <w:rPr>
                <w:rFonts w:hint="eastAsia" w:ascii="宋体" w:hAnsi="宋体"/>
                <w:color w:val="000000"/>
              </w:rPr>
              <w:t>但仍具有一定的可操作性</w:t>
            </w:r>
            <w:r>
              <w:rPr>
                <w:rFonts w:hint="eastAsia" w:ascii="宋体" w:hAnsi="宋体"/>
                <w:color w:val="000000" w:themeColor="text1"/>
              </w:rPr>
              <w:t>得</w:t>
            </w:r>
            <w:r>
              <w:rPr>
                <w:rFonts w:ascii="宋体" w:hAnsi="宋体"/>
                <w:color w:val="000000" w:themeColor="text1"/>
              </w:rPr>
              <w:t>1</w:t>
            </w:r>
            <w:r>
              <w:rPr>
                <w:rFonts w:hint="eastAsia" w:ascii="宋体" w:hAnsi="宋体"/>
                <w:color w:val="000000" w:themeColor="text1"/>
              </w:rPr>
              <w:t>分；很差或没有不得分。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Align w:val="center"/>
          </w:tcPr>
          <w:p>
            <w:pPr>
              <w:widowControl/>
              <w:rPr>
                <w:rFonts w:ascii="宋体" w:hAnsi="宋体" w:cs="宋体"/>
                <w:kern w:val="0"/>
              </w:rPr>
            </w:pPr>
            <w:r>
              <w:rPr>
                <w:rFonts w:hint="eastAsia" w:ascii="宋体" w:hAnsi="宋体" w:cs="宋体"/>
                <w:kern w:val="0"/>
              </w:rPr>
              <w:t>消防维保</w:t>
            </w:r>
          </w:p>
        </w:tc>
        <w:tc>
          <w:tcPr>
            <w:tcW w:w="641" w:type="dxa"/>
            <w:vAlign w:val="center"/>
          </w:tcPr>
          <w:p>
            <w:pPr>
              <w:widowControl/>
              <w:rPr>
                <w:rFonts w:ascii="宋体" w:hAnsi="宋体" w:cs="宋体"/>
                <w:kern w:val="0"/>
              </w:rPr>
            </w:pPr>
            <w:r>
              <w:rPr>
                <w:rFonts w:hint="eastAsia" w:ascii="宋体" w:hAnsi="宋体" w:cs="宋体"/>
                <w:kern w:val="0"/>
              </w:rPr>
              <w:t>6</w:t>
            </w:r>
          </w:p>
        </w:tc>
        <w:tc>
          <w:tcPr>
            <w:tcW w:w="6690" w:type="dxa"/>
            <w:vAlign w:val="center"/>
          </w:tcPr>
          <w:p>
            <w:pPr>
              <w:widowControl/>
              <w:rPr>
                <w:rFonts w:ascii="宋体" w:hAnsi="宋体" w:cs="宋体"/>
                <w:kern w:val="0"/>
              </w:rPr>
            </w:pPr>
            <w:r>
              <w:rPr>
                <w:rFonts w:hint="eastAsia" w:ascii="宋体" w:hAnsi="宋体" w:cs="宋体"/>
                <w:kern w:val="0"/>
              </w:rPr>
              <w:t>具备消防维保能力且有消防维保实际案例，有消防专业人员</w:t>
            </w:r>
            <w:r>
              <w:rPr>
                <w:rFonts w:ascii="宋体" w:hAnsi="宋体" w:cs="宋体"/>
                <w:kern w:val="0"/>
              </w:rPr>
              <w:t>，</w:t>
            </w:r>
            <w:r>
              <w:rPr>
                <w:rFonts w:hint="eastAsia" w:ascii="宋体" w:hAnsi="宋体" w:cs="宋体"/>
                <w:kern w:val="0"/>
              </w:rPr>
              <w:t>消费维保方案</w:t>
            </w:r>
            <w:r>
              <w:rPr>
                <w:rFonts w:hint="eastAsia" w:ascii="宋体" w:hAnsi="宋体"/>
                <w:color w:val="000000"/>
              </w:rPr>
              <w:t>科学合理</w:t>
            </w:r>
            <w:r>
              <w:rPr>
                <w:rFonts w:ascii="宋体" w:hAnsi="宋体"/>
                <w:color w:val="000000"/>
              </w:rPr>
              <w:t>、</w:t>
            </w:r>
            <w:r>
              <w:rPr>
                <w:rFonts w:hint="eastAsia" w:ascii="宋体" w:hAnsi="宋体"/>
                <w:color w:val="000000"/>
              </w:rPr>
              <w:t>针对性强及可操作性强得</w:t>
            </w:r>
            <w:r>
              <w:rPr>
                <w:rFonts w:ascii="宋体" w:hAnsi="宋体"/>
                <w:color w:val="000000"/>
              </w:rPr>
              <w:t>5-6</w:t>
            </w:r>
            <w:r>
              <w:rPr>
                <w:rFonts w:hint="eastAsia" w:ascii="宋体" w:hAnsi="宋体"/>
                <w:color w:val="000000"/>
              </w:rPr>
              <w:t>分</w:t>
            </w:r>
            <w:r>
              <w:rPr>
                <w:rFonts w:ascii="宋体" w:hAnsi="宋体"/>
                <w:color w:val="000000"/>
              </w:rPr>
              <w:t>；</w:t>
            </w:r>
            <w:r>
              <w:rPr>
                <w:rFonts w:hint="eastAsia" w:ascii="宋体" w:hAnsi="宋体"/>
                <w:color w:val="000000"/>
              </w:rPr>
              <w:t>方案内容有少许偏差</w:t>
            </w:r>
            <w:r>
              <w:rPr>
                <w:rFonts w:ascii="宋体" w:hAnsi="宋体"/>
                <w:color w:val="000000"/>
              </w:rPr>
              <w:t>、</w:t>
            </w:r>
            <w:r>
              <w:rPr>
                <w:rFonts w:hint="eastAsia" w:ascii="宋体" w:hAnsi="宋体"/>
                <w:color w:val="000000"/>
              </w:rPr>
              <w:t>具有一定的针对性</w:t>
            </w:r>
            <w:r>
              <w:rPr>
                <w:rFonts w:ascii="宋体" w:hAnsi="宋体"/>
                <w:color w:val="000000"/>
              </w:rPr>
              <w:t>、</w:t>
            </w:r>
            <w:r>
              <w:rPr>
                <w:rFonts w:hint="eastAsia" w:ascii="宋体" w:hAnsi="宋体"/>
                <w:color w:val="000000"/>
              </w:rPr>
              <w:t>可操作性较强得</w:t>
            </w:r>
            <w:r>
              <w:rPr>
                <w:rFonts w:ascii="宋体" w:hAnsi="宋体"/>
                <w:color w:val="000000"/>
              </w:rPr>
              <w:t>3-4</w:t>
            </w:r>
            <w:r>
              <w:rPr>
                <w:rFonts w:hint="eastAsia" w:ascii="宋体" w:hAnsi="宋体"/>
                <w:color w:val="000000"/>
              </w:rPr>
              <w:t>分</w:t>
            </w:r>
            <w:r>
              <w:rPr>
                <w:rFonts w:ascii="宋体" w:hAnsi="宋体"/>
                <w:color w:val="000000"/>
              </w:rPr>
              <w:t>；</w:t>
            </w:r>
            <w:r>
              <w:rPr>
                <w:rFonts w:hint="eastAsia" w:ascii="宋体" w:hAnsi="宋体"/>
                <w:color w:val="000000"/>
              </w:rPr>
              <w:t>方案内容不完整，缺乏针对性</w:t>
            </w:r>
            <w:r>
              <w:rPr>
                <w:rFonts w:ascii="宋体" w:hAnsi="宋体"/>
                <w:color w:val="000000"/>
              </w:rPr>
              <w:t>，</w:t>
            </w:r>
            <w:r>
              <w:rPr>
                <w:rFonts w:hint="eastAsia" w:ascii="宋体" w:hAnsi="宋体"/>
                <w:color w:val="000000"/>
              </w:rPr>
              <w:t>但仍具有一定的可操作性得</w:t>
            </w:r>
            <w:r>
              <w:rPr>
                <w:rFonts w:ascii="宋体" w:hAnsi="宋体"/>
                <w:color w:val="000000"/>
              </w:rPr>
              <w:t>1-2</w:t>
            </w:r>
            <w:r>
              <w:rPr>
                <w:rFonts w:hint="eastAsia" w:ascii="宋体" w:hAnsi="宋体"/>
                <w:color w:val="000000"/>
              </w:rPr>
              <w:t>分</w:t>
            </w:r>
            <w:r>
              <w:rPr>
                <w:rFonts w:ascii="宋体" w:hAnsi="宋体"/>
                <w:color w:val="000000"/>
              </w:rPr>
              <w:t>；</w:t>
            </w:r>
            <w:r>
              <w:rPr>
                <w:rFonts w:hint="eastAsia" w:ascii="宋体" w:hAnsi="宋体"/>
                <w:color w:val="000000"/>
              </w:rPr>
              <w:t>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restart"/>
            <w:vAlign w:val="center"/>
          </w:tcPr>
          <w:p>
            <w:pPr>
              <w:widowControl/>
              <w:rPr>
                <w:rFonts w:ascii="宋体" w:hAnsi="宋体" w:cs="宋体"/>
                <w:kern w:val="0"/>
              </w:rPr>
            </w:pPr>
            <w:r>
              <w:rPr>
                <w:rFonts w:hint="eastAsia" w:ascii="宋体" w:hAnsi="宋体" w:cs="宋体"/>
                <w:kern w:val="0"/>
              </w:rPr>
              <w:t>应急处置</w:t>
            </w:r>
          </w:p>
        </w:tc>
        <w:tc>
          <w:tcPr>
            <w:tcW w:w="641" w:type="dxa"/>
            <w:vAlign w:val="center"/>
          </w:tcPr>
          <w:p>
            <w:pPr>
              <w:widowControl/>
              <w:rPr>
                <w:rFonts w:ascii="宋体" w:hAnsi="宋体" w:cs="宋体"/>
                <w:kern w:val="0"/>
              </w:rPr>
            </w:pPr>
            <w:r>
              <w:rPr>
                <w:rFonts w:ascii="宋体" w:hAnsi="宋体" w:cs="宋体"/>
                <w:kern w:val="0"/>
              </w:rPr>
              <w:t>4</w:t>
            </w:r>
          </w:p>
        </w:tc>
        <w:tc>
          <w:tcPr>
            <w:tcW w:w="6690" w:type="dxa"/>
            <w:vAlign w:val="center"/>
          </w:tcPr>
          <w:p>
            <w:pPr>
              <w:widowControl/>
              <w:rPr>
                <w:rFonts w:ascii="宋体" w:hAnsi="宋体" w:cs="宋体"/>
                <w:kern w:val="0"/>
              </w:rPr>
            </w:pPr>
            <w:r>
              <w:rPr>
                <w:rFonts w:hint="eastAsia" w:ascii="宋体" w:hAnsi="宋体" w:cs="宋体"/>
                <w:kern w:val="0"/>
              </w:rPr>
              <w:t>防火防盗之消防、盗窃预案及措施</w:t>
            </w:r>
            <w:r>
              <w:rPr>
                <w:rFonts w:hint="eastAsia" w:ascii="宋体" w:hAnsi="宋体"/>
                <w:color w:val="000000"/>
              </w:rPr>
              <w:t>科学合理</w:t>
            </w:r>
            <w:r>
              <w:rPr>
                <w:rFonts w:ascii="宋体" w:hAnsi="宋体"/>
                <w:color w:val="000000"/>
              </w:rPr>
              <w:t>、</w:t>
            </w:r>
            <w:r>
              <w:rPr>
                <w:rFonts w:hint="eastAsia" w:ascii="宋体" w:hAnsi="宋体"/>
                <w:color w:val="000000"/>
              </w:rPr>
              <w:t>针对性强及可操作性强得</w:t>
            </w:r>
            <w:r>
              <w:rPr>
                <w:rFonts w:hint="default" w:ascii="宋体" w:hAnsi="宋体"/>
                <w:color w:val="000000"/>
              </w:rPr>
              <w:t>4</w:t>
            </w:r>
            <w:r>
              <w:rPr>
                <w:rFonts w:hint="eastAsia" w:ascii="宋体" w:hAnsi="宋体"/>
                <w:color w:val="000000"/>
              </w:rPr>
              <w:t>分</w:t>
            </w:r>
            <w:r>
              <w:rPr>
                <w:rFonts w:ascii="宋体" w:hAnsi="宋体"/>
                <w:color w:val="000000"/>
              </w:rPr>
              <w:t>；</w:t>
            </w:r>
            <w:r>
              <w:rPr>
                <w:rFonts w:hint="eastAsia" w:ascii="宋体" w:hAnsi="宋体" w:cs="宋体"/>
                <w:kern w:val="0"/>
              </w:rPr>
              <w:t>预案及措施</w:t>
            </w:r>
            <w:r>
              <w:rPr>
                <w:rFonts w:hint="eastAsia" w:ascii="宋体" w:hAnsi="宋体"/>
                <w:color w:val="000000"/>
              </w:rPr>
              <w:t>有少许偏差</w:t>
            </w:r>
            <w:r>
              <w:rPr>
                <w:rFonts w:ascii="宋体" w:hAnsi="宋体"/>
                <w:color w:val="000000"/>
              </w:rPr>
              <w:t>、</w:t>
            </w:r>
            <w:r>
              <w:rPr>
                <w:rFonts w:hint="eastAsia" w:ascii="宋体" w:hAnsi="宋体"/>
                <w:color w:val="000000"/>
              </w:rPr>
              <w:t>具有一定的针对性</w:t>
            </w:r>
            <w:r>
              <w:rPr>
                <w:rFonts w:ascii="宋体" w:hAnsi="宋体"/>
                <w:color w:val="000000"/>
              </w:rPr>
              <w:t>、</w:t>
            </w:r>
            <w:r>
              <w:rPr>
                <w:rFonts w:hint="eastAsia" w:ascii="宋体" w:hAnsi="宋体"/>
                <w:color w:val="000000"/>
              </w:rPr>
              <w:t>可操作性较强得</w:t>
            </w:r>
            <w:r>
              <w:rPr>
                <w:rFonts w:ascii="宋体" w:hAnsi="宋体"/>
                <w:color w:val="000000"/>
              </w:rPr>
              <w:t>2-3</w:t>
            </w:r>
            <w:r>
              <w:rPr>
                <w:rFonts w:hint="eastAsia" w:ascii="宋体" w:hAnsi="宋体"/>
                <w:color w:val="000000"/>
              </w:rPr>
              <w:t>分</w:t>
            </w:r>
            <w:r>
              <w:rPr>
                <w:rFonts w:ascii="宋体" w:hAnsi="宋体"/>
                <w:color w:val="000000"/>
              </w:rPr>
              <w:t>；</w:t>
            </w:r>
            <w:r>
              <w:rPr>
                <w:rFonts w:hint="eastAsia" w:ascii="宋体" w:hAnsi="宋体" w:cs="宋体"/>
                <w:kern w:val="0"/>
              </w:rPr>
              <w:t>预案及措施</w:t>
            </w:r>
            <w:r>
              <w:rPr>
                <w:rFonts w:hint="eastAsia" w:ascii="宋体" w:hAnsi="宋体"/>
                <w:color w:val="000000"/>
              </w:rPr>
              <w:t>内容不完整，缺乏针对性</w:t>
            </w:r>
            <w:r>
              <w:rPr>
                <w:rFonts w:ascii="宋体" w:hAnsi="宋体"/>
                <w:color w:val="000000"/>
              </w:rPr>
              <w:t>，</w:t>
            </w:r>
            <w:r>
              <w:rPr>
                <w:rFonts w:hint="eastAsia" w:ascii="宋体" w:hAnsi="宋体"/>
                <w:color w:val="000000"/>
              </w:rPr>
              <w:t>但仍具有一定的可操作性得</w:t>
            </w:r>
            <w:r>
              <w:rPr>
                <w:rFonts w:ascii="宋体" w:hAnsi="宋体"/>
                <w:color w:val="000000"/>
              </w:rPr>
              <w:t>1</w:t>
            </w:r>
            <w:r>
              <w:rPr>
                <w:rFonts w:hint="eastAsia" w:ascii="宋体" w:hAnsi="宋体"/>
                <w:color w:val="000000"/>
              </w:rPr>
              <w:t>分</w:t>
            </w:r>
            <w:r>
              <w:rPr>
                <w:rFonts w:ascii="宋体" w:hAnsi="宋体"/>
                <w:color w:val="000000"/>
              </w:rPr>
              <w:t>；</w:t>
            </w:r>
            <w:r>
              <w:rPr>
                <w:rFonts w:hint="eastAsia" w:ascii="宋体" w:hAnsi="宋体"/>
                <w:color w:val="000000"/>
              </w:rPr>
              <w:t>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vAlign w:val="center"/>
          </w:tcPr>
          <w:p>
            <w:pPr>
              <w:widowControl/>
              <w:rPr>
                <w:rFonts w:ascii="宋体" w:hAnsi="宋体" w:cs="宋体"/>
                <w:kern w:val="0"/>
              </w:rPr>
            </w:pPr>
            <w:r>
              <w:rPr>
                <w:rFonts w:ascii="宋体" w:hAnsi="宋体" w:cs="宋体"/>
                <w:kern w:val="0"/>
              </w:rPr>
              <w:t>4</w:t>
            </w:r>
          </w:p>
        </w:tc>
        <w:tc>
          <w:tcPr>
            <w:tcW w:w="6690" w:type="dxa"/>
            <w:vAlign w:val="center"/>
          </w:tcPr>
          <w:p>
            <w:pPr>
              <w:widowControl/>
              <w:rPr>
                <w:rFonts w:ascii="宋体" w:hAnsi="宋体" w:cs="宋体"/>
                <w:kern w:val="0"/>
              </w:rPr>
            </w:pPr>
            <w:r>
              <w:rPr>
                <w:rFonts w:hint="eastAsia" w:ascii="宋体" w:hAnsi="宋体" w:cs="宋体"/>
                <w:kern w:val="0"/>
              </w:rPr>
              <w:t>大型活动、会议等现场安保服务有保障，应急处理、快速响应机制和方案完善合理</w:t>
            </w:r>
            <w:r>
              <w:rPr>
                <w:rFonts w:ascii="宋体" w:hAnsi="宋体"/>
                <w:color w:val="000000"/>
              </w:rPr>
              <w:t>、</w:t>
            </w:r>
            <w:r>
              <w:rPr>
                <w:rFonts w:hint="eastAsia" w:ascii="宋体" w:hAnsi="宋体"/>
                <w:color w:val="000000"/>
              </w:rPr>
              <w:t>针对性强及可操作性强得</w:t>
            </w:r>
            <w:r>
              <w:rPr>
                <w:rFonts w:hint="default" w:ascii="宋体" w:hAnsi="宋体"/>
                <w:color w:val="000000"/>
              </w:rPr>
              <w:t>4</w:t>
            </w:r>
            <w:r>
              <w:rPr>
                <w:rFonts w:hint="eastAsia" w:ascii="宋体" w:hAnsi="宋体"/>
                <w:color w:val="000000"/>
              </w:rPr>
              <w:t>分</w:t>
            </w:r>
            <w:r>
              <w:rPr>
                <w:rFonts w:ascii="宋体" w:hAnsi="宋体"/>
                <w:color w:val="000000"/>
              </w:rPr>
              <w:t>；</w:t>
            </w:r>
            <w:r>
              <w:rPr>
                <w:rFonts w:hint="eastAsia" w:ascii="宋体" w:hAnsi="宋体"/>
                <w:color w:val="000000"/>
              </w:rPr>
              <w:t>方案内容有少许偏差</w:t>
            </w:r>
            <w:r>
              <w:rPr>
                <w:rFonts w:ascii="宋体" w:hAnsi="宋体"/>
                <w:color w:val="000000"/>
              </w:rPr>
              <w:t>、</w:t>
            </w:r>
            <w:r>
              <w:rPr>
                <w:rFonts w:hint="eastAsia" w:ascii="宋体" w:hAnsi="宋体"/>
                <w:color w:val="000000"/>
              </w:rPr>
              <w:t>具有一定的针对性</w:t>
            </w:r>
            <w:r>
              <w:rPr>
                <w:rFonts w:ascii="宋体" w:hAnsi="宋体"/>
                <w:color w:val="000000"/>
              </w:rPr>
              <w:t>、</w:t>
            </w:r>
            <w:r>
              <w:rPr>
                <w:rFonts w:hint="eastAsia" w:ascii="宋体" w:hAnsi="宋体"/>
                <w:color w:val="000000"/>
              </w:rPr>
              <w:t>可操作性较强得</w:t>
            </w:r>
            <w:r>
              <w:rPr>
                <w:rFonts w:ascii="宋体" w:hAnsi="宋体"/>
                <w:color w:val="000000"/>
              </w:rPr>
              <w:t>2-3</w:t>
            </w:r>
            <w:r>
              <w:rPr>
                <w:rFonts w:hint="eastAsia" w:ascii="宋体" w:hAnsi="宋体"/>
                <w:color w:val="000000"/>
              </w:rPr>
              <w:t>分</w:t>
            </w:r>
            <w:r>
              <w:rPr>
                <w:rFonts w:ascii="宋体" w:hAnsi="宋体"/>
                <w:color w:val="000000"/>
              </w:rPr>
              <w:t>；</w:t>
            </w:r>
            <w:r>
              <w:rPr>
                <w:rFonts w:hint="eastAsia" w:ascii="宋体" w:hAnsi="宋体"/>
                <w:color w:val="000000"/>
              </w:rPr>
              <w:t>方案内容不完整，缺乏针对性</w:t>
            </w:r>
            <w:r>
              <w:rPr>
                <w:rFonts w:ascii="宋体" w:hAnsi="宋体"/>
                <w:color w:val="000000"/>
              </w:rPr>
              <w:t>，</w:t>
            </w:r>
            <w:r>
              <w:rPr>
                <w:rFonts w:hint="eastAsia" w:ascii="宋体" w:hAnsi="宋体"/>
                <w:color w:val="000000"/>
              </w:rPr>
              <w:t>但仍具有一定的可操作性得</w:t>
            </w:r>
            <w:r>
              <w:rPr>
                <w:rFonts w:ascii="宋体" w:hAnsi="宋体"/>
                <w:color w:val="000000"/>
              </w:rPr>
              <w:t>1</w:t>
            </w:r>
            <w:r>
              <w:rPr>
                <w:rFonts w:hint="eastAsia" w:ascii="宋体" w:hAnsi="宋体"/>
                <w:color w:val="000000"/>
              </w:rPr>
              <w:t>分</w:t>
            </w:r>
            <w:r>
              <w:rPr>
                <w:rFonts w:ascii="宋体" w:hAnsi="宋体"/>
                <w:color w:val="000000"/>
              </w:rPr>
              <w:t>；</w:t>
            </w:r>
            <w:r>
              <w:rPr>
                <w:rFonts w:hint="eastAsia" w:ascii="宋体" w:hAnsi="宋体"/>
                <w:color w:val="000000"/>
              </w:rPr>
              <w:t>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vAlign w:val="center"/>
          </w:tcPr>
          <w:p>
            <w:pPr>
              <w:widowControl/>
              <w:rPr>
                <w:rFonts w:ascii="宋体" w:hAnsi="宋体" w:cs="宋体"/>
                <w:kern w:val="0"/>
              </w:rPr>
            </w:pPr>
            <w:r>
              <w:rPr>
                <w:rFonts w:ascii="宋体" w:hAnsi="宋体" w:cs="宋体"/>
                <w:kern w:val="0"/>
              </w:rPr>
              <w:t>4</w:t>
            </w:r>
          </w:p>
        </w:tc>
        <w:tc>
          <w:tcPr>
            <w:tcW w:w="6690" w:type="dxa"/>
            <w:vAlign w:val="center"/>
          </w:tcPr>
          <w:p>
            <w:pPr>
              <w:widowControl/>
              <w:rPr>
                <w:rFonts w:ascii="宋体" w:hAnsi="宋体" w:cs="宋体"/>
                <w:kern w:val="0"/>
              </w:rPr>
            </w:pPr>
            <w:r>
              <w:rPr>
                <w:rFonts w:hint="eastAsia" w:ascii="宋体" w:hAnsi="宋体" w:cs="宋体"/>
                <w:kern w:val="0"/>
              </w:rPr>
              <w:t>特殊节点维稳处突能力强，队员综合素质有保障，有奉献精神</w:t>
            </w:r>
            <w:r>
              <w:rPr>
                <w:rFonts w:ascii="宋体" w:hAnsi="宋体" w:cs="宋体"/>
                <w:kern w:val="0"/>
              </w:rPr>
              <w:t>，</w:t>
            </w:r>
            <w:r>
              <w:rPr>
                <w:rFonts w:hint="eastAsia" w:ascii="宋体" w:hAnsi="宋体" w:cs="宋体"/>
                <w:kern w:val="0"/>
              </w:rPr>
              <w:t>管理人员处置和调配能力突出的得</w:t>
            </w:r>
            <w:r>
              <w:rPr>
                <w:rFonts w:hint="default" w:ascii="宋体" w:hAnsi="宋体" w:cs="宋体"/>
                <w:kern w:val="0"/>
              </w:rPr>
              <w:t>4</w:t>
            </w:r>
            <w:r>
              <w:rPr>
                <w:rFonts w:hint="eastAsia" w:ascii="宋体" w:hAnsi="宋体"/>
                <w:color w:val="000000"/>
              </w:rPr>
              <w:t>分</w:t>
            </w:r>
            <w:r>
              <w:rPr>
                <w:rFonts w:ascii="宋体" w:hAnsi="宋体"/>
                <w:color w:val="000000"/>
              </w:rPr>
              <w:t>；</w:t>
            </w:r>
            <w:r>
              <w:rPr>
                <w:rFonts w:hint="eastAsia" w:ascii="宋体" w:hAnsi="宋体"/>
                <w:color w:val="000000"/>
              </w:rPr>
              <w:t>有一定的</w:t>
            </w:r>
            <w:r>
              <w:rPr>
                <w:rFonts w:hint="eastAsia" w:ascii="宋体" w:hAnsi="宋体" w:cs="宋体"/>
                <w:kern w:val="0"/>
              </w:rPr>
              <w:t>维稳处突能力</w:t>
            </w:r>
            <w:r>
              <w:rPr>
                <w:rFonts w:ascii="宋体" w:hAnsi="宋体" w:cs="宋体"/>
                <w:kern w:val="0"/>
              </w:rPr>
              <w:t>，</w:t>
            </w:r>
            <w:r>
              <w:rPr>
                <w:rFonts w:hint="eastAsia" w:ascii="宋体" w:hAnsi="宋体"/>
                <w:color w:val="000000"/>
              </w:rPr>
              <w:t>管理协调和处置能力一般得</w:t>
            </w:r>
            <w:r>
              <w:rPr>
                <w:rFonts w:hint="default" w:ascii="宋体" w:hAnsi="宋体"/>
                <w:color w:val="000000"/>
              </w:rPr>
              <w:t>2-3</w:t>
            </w:r>
            <w:r>
              <w:rPr>
                <w:rFonts w:hint="eastAsia" w:ascii="宋体" w:hAnsi="宋体"/>
                <w:color w:val="000000"/>
              </w:rPr>
              <w:t>分</w:t>
            </w:r>
            <w:r>
              <w:rPr>
                <w:rFonts w:ascii="宋体" w:hAnsi="宋体"/>
                <w:color w:val="000000"/>
              </w:rPr>
              <w:t>；</w:t>
            </w:r>
            <w:r>
              <w:rPr>
                <w:rFonts w:hint="eastAsia" w:ascii="宋体" w:hAnsi="宋体"/>
                <w:color w:val="000000"/>
              </w:rPr>
              <w:t>的</w:t>
            </w:r>
            <w:r>
              <w:rPr>
                <w:rFonts w:hint="eastAsia" w:ascii="宋体" w:hAnsi="宋体" w:cs="宋体"/>
                <w:kern w:val="0"/>
              </w:rPr>
              <w:t>维稳处突能力及</w:t>
            </w:r>
            <w:r>
              <w:rPr>
                <w:rFonts w:hint="eastAsia" w:ascii="宋体" w:hAnsi="宋体"/>
                <w:color w:val="000000"/>
              </w:rPr>
              <w:t>管理协调和处置能力</w:t>
            </w:r>
            <w:r>
              <w:rPr>
                <w:rFonts w:hint="eastAsia" w:ascii="宋体" w:hAnsi="宋体" w:cs="宋体"/>
                <w:kern w:val="0"/>
              </w:rPr>
              <w:t>较差得</w:t>
            </w:r>
            <w:r>
              <w:rPr>
                <w:rFonts w:ascii="宋体" w:hAnsi="宋体" w:cs="宋体"/>
                <w:kern w:val="0"/>
              </w:rPr>
              <w:t>1</w:t>
            </w:r>
            <w:r>
              <w:rPr>
                <w:rFonts w:hint="eastAsia" w:ascii="宋体" w:hAnsi="宋体" w:cs="宋体"/>
                <w:kern w:val="0"/>
              </w:rPr>
              <w:t>分</w:t>
            </w:r>
            <w:r>
              <w:rPr>
                <w:rFonts w:ascii="宋体" w:hAnsi="宋体" w:cs="宋体"/>
                <w:kern w:val="0"/>
              </w:rPr>
              <w:t>；</w:t>
            </w:r>
            <w:r>
              <w:rPr>
                <w:rFonts w:hint="eastAsia" w:ascii="宋体" w:hAnsi="宋体"/>
                <w:color w:val="000000"/>
              </w:rPr>
              <w:t>没有不得分。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Align w:val="center"/>
          </w:tcPr>
          <w:p>
            <w:pPr>
              <w:widowControl/>
              <w:rPr>
                <w:rFonts w:ascii="宋体" w:hAnsi="宋体" w:cs="宋体"/>
                <w:kern w:val="0"/>
              </w:rPr>
            </w:pPr>
            <w:r>
              <w:rPr>
                <w:rFonts w:hint="eastAsia" w:ascii="宋体" w:hAnsi="宋体" w:cs="宋体"/>
                <w:kern w:val="0"/>
              </w:rPr>
              <w:t>廉洁自律</w:t>
            </w:r>
          </w:p>
        </w:tc>
        <w:tc>
          <w:tcPr>
            <w:tcW w:w="641" w:type="dxa"/>
            <w:vAlign w:val="center"/>
          </w:tcPr>
          <w:p>
            <w:pPr>
              <w:widowControl/>
              <w:rPr>
                <w:rFonts w:ascii="宋体" w:hAnsi="宋体" w:cs="宋体"/>
                <w:kern w:val="0"/>
              </w:rPr>
            </w:pPr>
            <w:r>
              <w:rPr>
                <w:rFonts w:ascii="宋体" w:hAnsi="宋体" w:cs="宋体"/>
                <w:kern w:val="0"/>
              </w:rPr>
              <w:t>3</w:t>
            </w:r>
          </w:p>
        </w:tc>
        <w:tc>
          <w:tcPr>
            <w:tcW w:w="6690" w:type="dxa"/>
            <w:vAlign w:val="center"/>
          </w:tcPr>
          <w:p>
            <w:pPr>
              <w:widowControl/>
              <w:rPr>
                <w:rFonts w:ascii="宋体" w:hAnsi="宋体" w:cs="宋体"/>
                <w:kern w:val="0"/>
              </w:rPr>
            </w:pPr>
            <w:r>
              <w:rPr>
                <w:rFonts w:hint="eastAsia" w:ascii="宋体" w:hAnsi="宋体" w:cs="宋体"/>
                <w:kern w:val="0"/>
              </w:rPr>
              <w:t>遵守廉政相关规定并承担相应的法律责任的承诺及保障措施。科学合理、切实可行、内容全面得</w:t>
            </w:r>
            <w:r>
              <w:rPr>
                <w:rFonts w:ascii="宋体" w:hAnsi="宋体" w:cs="宋体"/>
                <w:kern w:val="0"/>
              </w:rPr>
              <w:t>3</w:t>
            </w:r>
            <w:r>
              <w:rPr>
                <w:rFonts w:hint="eastAsia" w:ascii="宋体" w:hAnsi="宋体" w:cs="宋体"/>
                <w:kern w:val="0"/>
              </w:rPr>
              <w:t>分，总体来讲可行但有些许偏差或不足得1分，偏差较大或实际中无法执行或没有的得0分。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restart"/>
            <w:tcBorders>
              <w:top w:val="single" w:color="auto" w:sz="4" w:space="0"/>
            </w:tcBorders>
            <w:vAlign w:val="center"/>
          </w:tcPr>
          <w:p>
            <w:pPr>
              <w:widowControl/>
              <w:rPr>
                <w:rFonts w:ascii="宋体" w:hAnsi="宋体" w:cs="宋体"/>
                <w:kern w:val="0"/>
              </w:rPr>
            </w:pPr>
            <w:r>
              <w:rPr>
                <w:rFonts w:hint="eastAsia" w:ascii="宋体" w:hAnsi="宋体" w:cs="宋体"/>
                <w:kern w:val="0"/>
              </w:rPr>
              <w:t>服务承诺</w:t>
            </w:r>
          </w:p>
        </w:tc>
        <w:tc>
          <w:tcPr>
            <w:tcW w:w="641" w:type="dxa"/>
            <w:vAlign w:val="center"/>
          </w:tcPr>
          <w:p>
            <w:pPr>
              <w:widowControl/>
              <w:rPr>
                <w:rFonts w:ascii="宋体" w:hAnsi="宋体" w:cs="宋体"/>
                <w:kern w:val="0"/>
              </w:rPr>
            </w:pPr>
            <w:r>
              <w:rPr>
                <w:rFonts w:hint="eastAsia" w:ascii="宋体" w:hAnsi="宋体" w:cs="宋体"/>
                <w:kern w:val="0"/>
              </w:rPr>
              <w:t>1</w:t>
            </w:r>
          </w:p>
        </w:tc>
        <w:tc>
          <w:tcPr>
            <w:tcW w:w="6690" w:type="dxa"/>
            <w:vAlign w:val="center"/>
          </w:tcPr>
          <w:p>
            <w:pPr>
              <w:widowControl/>
              <w:rPr>
                <w:rFonts w:ascii="宋体" w:hAnsi="宋体" w:cs="宋体"/>
                <w:kern w:val="0"/>
              </w:rPr>
            </w:pPr>
            <w:r>
              <w:rPr>
                <w:rFonts w:hint="eastAsia" w:ascii="宋体" w:hAnsi="宋体" w:cs="宋体"/>
                <w:kern w:val="0"/>
              </w:rPr>
              <w:t>1、严格执行治安综合管理有关规定，承诺按学校的标准要求做好各种综合治理检查评比工作，如因中标人原因影响了校方的检查评比成绩，同意校方处罚措施。均有承诺得1分，否则不得分。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2、承诺加强治安管理，搞好整个校园的安全防范和交通管理工作，纠正不按规定停放的车辆，消除各种治安不稳定因素，积极预防和及时处置影响学校稳定的恶性事件和刑事案件，确保校园内部安全。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3、承诺人员实行24小时专人值班制度，严格履行岗位职责，认真负责做好区域内的防火、防爆、防盗、防毒、防骗等“五防”工作。均有承诺和处置措施得1分，否则不得分。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4、在执勤时间内，承诺安全管理人员着制服和挂牌上岗，严格落实审查外来人员证件和登记制度。均有承诺和处置措施得1分，否则不得分。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5、承诺人员坚守工作岗位，严格做到不迟到、不早退；工作时间专心致志，严禁擅离工作岗位，上班时间不许看书、看报、抽烟、玩手机、与人聊天等，以免影响正常工作。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6、承诺人员必须熟悉消防器材的操作规程，并对配备的消防器材进行维护和保养，并做到每天巡逻检查，及时消除火灾隐患。一旦发生火灾必须马上报警，立即组织力量扑救，减少损失，并及时报告校方。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7、承诺当学校举行各类大型活动、法定假日、敏感节点等，必须加强巡逻防范，及时掌控信息，保证校园的安全和稳定，防止发生意外事故。均有承诺和处置措施得1分，否则不得分。</w:t>
            </w:r>
          </w:p>
        </w:tc>
      </w:tr>
      <w:tr>
        <w:trPr>
          <w:trHeight w:val="90"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8、要维护好整个校园的治安秩序，制止学生群体闹事和打架斗殴等事件，如遇突发性事件时，承诺工作人员必须立即前往进行妥善处理，防止事态扩大，并立即报告校方。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9、校园服务区域内如发生被盗案件，承诺及时向公安机关报案，保护现场，积极协助公安机关侦破，做好案情记录，根据公安部门（或校方保卫部门）裁定案件安全责任的大小。均有承诺和处置措施得1分，否则不得分。</w:t>
            </w:r>
          </w:p>
        </w:tc>
      </w:tr>
      <w:tr>
        <w:trPr>
          <w:trHeight w:val="454" w:hRule="atLeast"/>
          <w:jc w:val="center"/>
        </w:trPr>
        <w:tc>
          <w:tcPr>
            <w:tcW w:w="803" w:type="dxa"/>
            <w:vMerge w:val="continue"/>
            <w:vAlign w:val="center"/>
          </w:tcPr>
          <w:p>
            <w:pPr>
              <w:widowControl/>
              <w:rPr>
                <w:rFonts w:ascii="宋体" w:hAnsi="宋体" w:cs="宋体"/>
                <w:kern w:val="0"/>
              </w:rPr>
            </w:pPr>
          </w:p>
        </w:tc>
        <w:tc>
          <w:tcPr>
            <w:tcW w:w="1121" w:type="dxa"/>
            <w:vMerge w:val="continue"/>
            <w:vAlign w:val="center"/>
          </w:tcPr>
          <w:p>
            <w:pPr>
              <w:widowControl/>
              <w:rPr>
                <w:rFonts w:ascii="宋体" w:hAnsi="宋体" w:cs="宋体"/>
                <w:kern w:val="0"/>
              </w:rPr>
            </w:pPr>
          </w:p>
        </w:tc>
        <w:tc>
          <w:tcPr>
            <w:tcW w:w="641" w:type="dxa"/>
            <w:tcBorders>
              <w:bottom w:val="single" w:color="auto" w:sz="4" w:space="0"/>
            </w:tcBorders>
            <w:vAlign w:val="center"/>
          </w:tcPr>
          <w:p>
            <w:pPr>
              <w:widowControl/>
              <w:rPr>
                <w:rFonts w:ascii="宋体" w:hAnsi="宋体" w:cs="宋体"/>
                <w:kern w:val="0"/>
              </w:rPr>
            </w:pPr>
            <w:r>
              <w:rPr>
                <w:rFonts w:hint="eastAsia" w:ascii="宋体" w:hAnsi="宋体" w:cs="宋体"/>
                <w:kern w:val="0"/>
              </w:rPr>
              <w:t>1</w:t>
            </w:r>
          </w:p>
        </w:tc>
        <w:tc>
          <w:tcPr>
            <w:tcW w:w="6690" w:type="dxa"/>
            <w:tcBorders>
              <w:bottom w:val="single" w:color="auto" w:sz="4" w:space="0"/>
            </w:tcBorders>
            <w:vAlign w:val="center"/>
          </w:tcPr>
          <w:p>
            <w:pPr>
              <w:widowControl/>
              <w:rPr>
                <w:rFonts w:ascii="宋体" w:hAnsi="宋体" w:cs="宋体"/>
                <w:kern w:val="0"/>
              </w:rPr>
            </w:pPr>
            <w:r>
              <w:rPr>
                <w:rFonts w:hint="eastAsia" w:ascii="宋体" w:hAnsi="宋体" w:cs="宋体"/>
                <w:kern w:val="0"/>
              </w:rPr>
              <w:t>10、日常特别是夜间，承诺校内有不低于总保安人数40%的备勤人员，以应对可能发生的突发事件。均有承诺和处置措施得1分，否则不得分。</w:t>
            </w:r>
          </w:p>
        </w:tc>
      </w:tr>
    </w:tbl>
    <w:p/>
    <w:p/>
    <w:p>
      <w:pPr>
        <w:pStyle w:val="4"/>
        <w:sectPr>
          <w:pgSz w:w="11906" w:h="16838"/>
          <w:pgMar w:top="1247" w:right="1247" w:bottom="1247" w:left="1247" w:header="851" w:footer="850" w:gutter="0"/>
          <w:cols w:space="0" w:num="1"/>
          <w:docGrid w:type="lines" w:linePitch="312" w:charSpace="0"/>
        </w:sectPr>
      </w:pPr>
    </w:p>
    <w:p>
      <w:pPr>
        <w:pStyle w:val="3"/>
        <w:numPr>
          <w:ilvl w:val="0"/>
          <w:numId w:val="4"/>
        </w:numPr>
        <w:spacing w:before="240" w:after="120"/>
        <w:ind w:left="883" w:hanging="881" w:hangingChars="200"/>
        <w:jc w:val="center"/>
        <w:rPr>
          <w:rFonts w:ascii="黑体" w:hAnsi="黑体" w:eastAsia="黑体"/>
          <w:color w:val="000000"/>
        </w:rPr>
      </w:pPr>
      <w:bookmarkStart w:id="125" w:name="_Toc2252894"/>
      <w:bookmarkStart w:id="126" w:name="_Toc511894520"/>
      <w:r>
        <w:rPr>
          <w:rFonts w:hint="eastAsia" w:ascii="黑体" w:hAnsi="黑体" w:eastAsia="黑体"/>
          <w:color w:val="000000"/>
        </w:rPr>
        <w:t>合同书格式（参考）</w:t>
      </w:r>
      <w:bookmarkEnd w:id="125"/>
      <w:bookmarkEnd w:id="126"/>
    </w:p>
    <w:p>
      <w:pPr>
        <w:rPr>
          <w:sz w:val="24"/>
          <w:szCs w:val="24"/>
        </w:rPr>
      </w:pPr>
    </w:p>
    <w:p>
      <w:pPr>
        <w:spacing w:line="360" w:lineRule="auto"/>
        <w:rPr>
          <w:rFonts w:ascii="宋体" w:hAnsi="宋体" w:cs="宋体"/>
          <w:sz w:val="24"/>
          <w:szCs w:val="24"/>
        </w:rPr>
      </w:pPr>
    </w:p>
    <w:p>
      <w:pPr>
        <w:spacing w:line="360" w:lineRule="auto"/>
        <w:ind w:firstLine="420" w:firstLineChars="200"/>
        <w:rPr>
          <w:color w:val="000000" w:themeColor="text1"/>
        </w:rPr>
      </w:pPr>
      <w:bookmarkStart w:id="127" w:name="_Toc406150501"/>
      <w:bookmarkEnd w:id="127"/>
      <w:r>
        <w:rPr>
          <w:rFonts w:hint="eastAsia"/>
          <w:color w:val="000000" w:themeColor="text1"/>
        </w:rPr>
        <w:t>1、合同文本条款由采购人和中标人按照平等、自愿的原则约定，但须符合</w:t>
      </w:r>
      <w:r>
        <w:rPr>
          <w:rFonts w:asciiTheme="minorEastAsia" w:hAnsiTheme="minorEastAsia"/>
          <w:color w:val="000000" w:themeColor="text1"/>
          <w:szCs w:val="20"/>
        </w:rPr>
        <w:t>《中华人民共和国合同法》、《中华人民共和国政府采购法》</w:t>
      </w:r>
      <w:r>
        <w:rPr>
          <w:rFonts w:hint="eastAsia"/>
          <w:color w:val="000000" w:themeColor="text1"/>
        </w:rPr>
        <w:t>等相关法律法规规定和要求。</w:t>
      </w:r>
    </w:p>
    <w:p>
      <w:pPr>
        <w:spacing w:line="360" w:lineRule="auto"/>
        <w:rPr>
          <w:color w:val="000000" w:themeColor="text1"/>
        </w:rPr>
      </w:pPr>
      <w:r>
        <w:rPr>
          <w:rFonts w:hint="eastAsia"/>
          <w:color w:val="000000" w:themeColor="text1"/>
        </w:rPr>
        <w:t xml:space="preserve">    2、采购人和中标人应当自中标通知书发出之日起30日内，按照招标文件和投标文件的规定签订合同。</w:t>
      </w:r>
    </w:p>
    <w:p>
      <w:pPr>
        <w:spacing w:line="360" w:lineRule="auto"/>
        <w:rPr>
          <w:color w:val="000000" w:themeColor="text1"/>
        </w:rPr>
      </w:pPr>
      <w:r>
        <w:rPr>
          <w:rFonts w:hint="eastAsia"/>
          <w:color w:val="000000" w:themeColor="text1"/>
        </w:rPr>
        <w:t xml:space="preserve">    3、合同内容应当包括采购人和中标人的名称和住所、标的、数量、质量、价款或者报酬、履行期限及地点和方式、验收要求、违约责任、解决争议的方法等内容。</w:t>
      </w:r>
    </w:p>
    <w:p>
      <w:pPr>
        <w:spacing w:line="380" w:lineRule="exact"/>
        <w:jc w:val="left"/>
        <w:rPr>
          <w:rFonts w:ascii="宋体" w:hAnsi="宋体" w:cs="宋体"/>
          <w:sz w:val="24"/>
          <w:szCs w:val="24"/>
        </w:rPr>
      </w:pPr>
      <w:r>
        <w:rPr>
          <w:rFonts w:hint="eastAsia"/>
          <w:color w:val="000000" w:themeColor="text1"/>
        </w:rPr>
        <w:t xml:space="preserve">    4、采购人应当及时对采购项目进行验收。</w:t>
      </w:r>
    </w:p>
    <w:p>
      <w:pPr>
        <w:spacing w:beforeLines="25" w:line="380" w:lineRule="exact"/>
        <w:ind w:firstLine="489" w:firstLineChars="204"/>
        <w:contextualSpacing/>
        <w:jc w:val="left"/>
        <w:rPr>
          <w:rFonts w:ascii="宋体" w:hAnsi="宋体" w:cs="宋体"/>
          <w:color w:val="000000"/>
          <w:kern w:val="0"/>
          <w:sz w:val="24"/>
          <w:szCs w:val="24"/>
        </w:rPr>
      </w:pPr>
    </w:p>
    <w:p>
      <w:pPr>
        <w:widowControl/>
        <w:tabs>
          <w:tab w:val="right" w:leader="dot" w:pos="9514"/>
        </w:tabs>
        <w:spacing w:line="440" w:lineRule="exact"/>
        <w:jc w:val="left"/>
        <w:rPr>
          <w:rFonts w:eastAsia="黑体"/>
          <w:b/>
          <w:iCs/>
          <w:color w:val="000000"/>
          <w:kern w:val="0"/>
          <w:sz w:val="28"/>
        </w:rPr>
      </w:pPr>
    </w:p>
    <w:p>
      <w:pPr>
        <w:widowControl/>
        <w:tabs>
          <w:tab w:val="right" w:leader="dot" w:pos="9514"/>
        </w:tabs>
        <w:spacing w:line="440" w:lineRule="exact"/>
        <w:jc w:val="left"/>
        <w:rPr>
          <w:rFonts w:eastAsia="黑体"/>
          <w:b/>
          <w:iCs/>
          <w:color w:val="000000"/>
          <w:kern w:val="0"/>
          <w:sz w:val="28"/>
        </w:rPr>
        <w:sectPr>
          <w:headerReference r:id="rId7" w:type="default"/>
          <w:footerReference r:id="rId8" w:type="default"/>
          <w:pgSz w:w="11906" w:h="16838"/>
          <w:pgMar w:top="1247" w:right="1247" w:bottom="1247" w:left="1247" w:header="851" w:footer="850" w:gutter="0"/>
          <w:cols w:space="0" w:num="1"/>
          <w:docGrid w:type="lines" w:linePitch="312" w:charSpace="0"/>
        </w:sectPr>
      </w:pPr>
    </w:p>
    <w:p>
      <w:pPr>
        <w:pStyle w:val="3"/>
        <w:numPr>
          <w:ilvl w:val="0"/>
          <w:numId w:val="4"/>
        </w:numPr>
        <w:spacing w:before="240" w:after="120"/>
        <w:ind w:left="883" w:hanging="881" w:hangingChars="200"/>
        <w:jc w:val="center"/>
        <w:rPr>
          <w:rFonts w:ascii="黑体" w:hAnsi="黑体" w:eastAsia="黑体"/>
          <w:color w:val="000000"/>
        </w:rPr>
      </w:pPr>
      <w:bookmarkStart w:id="128" w:name="_Toc494721094"/>
      <w:bookmarkStart w:id="129" w:name="_Toc511894521"/>
      <w:bookmarkStart w:id="130" w:name="_Toc494664994"/>
      <w:bookmarkStart w:id="131" w:name="_Toc494745311"/>
      <w:bookmarkStart w:id="132" w:name="_Toc494702264"/>
      <w:bookmarkStart w:id="133" w:name="_Toc2252895"/>
      <w:bookmarkStart w:id="134" w:name="_Toc494665944"/>
      <w:bookmarkStart w:id="135" w:name="_Toc494665547"/>
      <w:r>
        <w:rPr>
          <w:rFonts w:hint="eastAsia" w:ascii="黑体" w:hAnsi="黑体" w:eastAsia="黑体"/>
          <w:color w:val="000000"/>
        </w:rPr>
        <w:t>投标文件格式（参考）</w:t>
      </w:r>
      <w:bookmarkEnd w:id="128"/>
      <w:bookmarkEnd w:id="129"/>
      <w:bookmarkEnd w:id="130"/>
      <w:bookmarkEnd w:id="131"/>
      <w:bookmarkEnd w:id="132"/>
      <w:bookmarkEnd w:id="133"/>
      <w:bookmarkEnd w:id="134"/>
      <w:bookmarkEnd w:id="135"/>
    </w:p>
    <w:p>
      <w:pPr>
        <w:spacing w:afterLines="250"/>
        <w:jc w:val="center"/>
        <w:rPr>
          <w:rFonts w:ascii="黑体" w:hAnsi="黑体" w:eastAsia="黑体"/>
          <w:b/>
          <w:color w:val="000000"/>
          <w:sz w:val="72"/>
          <w:szCs w:val="96"/>
        </w:rPr>
      </w:pPr>
    </w:p>
    <w:p>
      <w:pPr>
        <w:spacing w:afterLines="250"/>
        <w:jc w:val="center"/>
        <w:rPr>
          <w:rFonts w:ascii="黑体" w:hAnsi="黑体" w:eastAsia="黑体"/>
          <w:bCs/>
          <w:color w:val="000000"/>
          <w:sz w:val="72"/>
          <w:szCs w:val="96"/>
        </w:rPr>
      </w:pPr>
      <w:r>
        <w:rPr>
          <w:rFonts w:hint="eastAsia" w:ascii="黑体" w:hAnsi="黑体" w:eastAsia="黑体"/>
          <w:bCs/>
          <w:color w:val="000000"/>
          <w:sz w:val="72"/>
          <w:szCs w:val="96"/>
        </w:rPr>
        <w:t xml:space="preserve"> </w:t>
      </w:r>
    </w:p>
    <w:p>
      <w:pPr>
        <w:spacing w:afterLines="250"/>
        <w:jc w:val="center"/>
        <w:rPr>
          <w:rFonts w:ascii="黑体" w:hAnsi="黑体" w:eastAsia="黑体"/>
          <w:bCs/>
          <w:color w:val="000000"/>
          <w:sz w:val="72"/>
          <w:szCs w:val="96"/>
        </w:rPr>
      </w:pPr>
      <w:r>
        <w:rPr>
          <w:rFonts w:hint="eastAsia" w:ascii="黑体" w:hAnsi="黑体" w:eastAsia="黑体"/>
          <w:bCs/>
          <w:color w:val="000000"/>
          <w:sz w:val="72"/>
          <w:szCs w:val="72"/>
        </w:rPr>
        <w:t>投</w:t>
      </w:r>
      <w:r>
        <w:rPr>
          <w:rFonts w:ascii="黑体" w:hAnsi="黑体" w:eastAsia="黑体"/>
          <w:bCs/>
          <w:color w:val="000000"/>
          <w:sz w:val="72"/>
          <w:szCs w:val="72"/>
        </w:rPr>
        <w:t xml:space="preserve">  </w:t>
      </w:r>
      <w:r>
        <w:rPr>
          <w:rFonts w:hint="eastAsia" w:ascii="黑体" w:hAnsi="黑体" w:eastAsia="黑体"/>
          <w:bCs/>
          <w:color w:val="000000"/>
          <w:sz w:val="72"/>
          <w:szCs w:val="72"/>
        </w:rPr>
        <w:t>标</w:t>
      </w:r>
      <w:r>
        <w:rPr>
          <w:rFonts w:ascii="黑体" w:hAnsi="黑体" w:eastAsia="黑体"/>
          <w:bCs/>
          <w:color w:val="000000"/>
          <w:sz w:val="72"/>
          <w:szCs w:val="72"/>
        </w:rPr>
        <w:t xml:space="preserve">  </w:t>
      </w:r>
      <w:r>
        <w:rPr>
          <w:rFonts w:hint="eastAsia" w:ascii="黑体" w:hAnsi="黑体" w:eastAsia="黑体"/>
          <w:bCs/>
          <w:color w:val="000000"/>
          <w:sz w:val="72"/>
          <w:szCs w:val="72"/>
        </w:rPr>
        <w:t>文</w:t>
      </w:r>
      <w:r>
        <w:rPr>
          <w:rFonts w:ascii="黑体" w:hAnsi="黑体" w:eastAsia="黑体"/>
          <w:bCs/>
          <w:color w:val="000000"/>
          <w:sz w:val="72"/>
          <w:szCs w:val="72"/>
        </w:rPr>
        <w:t xml:space="preserve">  </w:t>
      </w:r>
      <w:r>
        <w:rPr>
          <w:rFonts w:hint="eastAsia" w:ascii="黑体" w:hAnsi="黑体" w:eastAsia="黑体"/>
          <w:bCs/>
          <w:color w:val="000000"/>
          <w:sz w:val="72"/>
          <w:szCs w:val="72"/>
        </w:rPr>
        <w:t>件</w:t>
      </w:r>
    </w:p>
    <w:p>
      <w:pPr>
        <w:keepNext/>
        <w:keepLines/>
        <w:spacing w:before="340" w:after="480" w:line="360" w:lineRule="auto"/>
        <w:jc w:val="center"/>
        <w:outlineLvl w:val="1"/>
        <w:rPr>
          <w:rFonts w:ascii="宋体"/>
          <w:bCs/>
          <w:color w:val="000000"/>
          <w:sz w:val="44"/>
          <w:szCs w:val="44"/>
        </w:rPr>
      </w:pPr>
    </w:p>
    <w:p>
      <w:pPr>
        <w:spacing w:line="360" w:lineRule="auto"/>
        <w:ind w:left="2052" w:leftChars="619" w:right="1300" w:rightChars="619" w:hanging="752" w:hangingChars="209"/>
        <w:rPr>
          <w:rFonts w:ascii="宋体" w:hAnsi="宋体"/>
          <w:bCs/>
          <w:color w:val="000000"/>
          <w:sz w:val="36"/>
          <w:szCs w:val="24"/>
        </w:rPr>
      </w:pPr>
    </w:p>
    <w:p>
      <w:pPr>
        <w:spacing w:line="360" w:lineRule="auto"/>
        <w:ind w:left="2052" w:leftChars="619" w:right="1300" w:rightChars="619" w:hanging="752" w:hangingChars="209"/>
        <w:rPr>
          <w:rFonts w:ascii="宋体" w:hAnsi="宋体"/>
          <w:bCs/>
          <w:color w:val="000000"/>
          <w:sz w:val="36"/>
          <w:szCs w:val="24"/>
        </w:rPr>
      </w:pPr>
    </w:p>
    <w:p>
      <w:pPr>
        <w:spacing w:line="360" w:lineRule="auto"/>
        <w:ind w:left="1885" w:leftChars="619" w:right="1300" w:rightChars="619" w:hanging="585" w:hangingChars="209"/>
        <w:rPr>
          <w:rFonts w:ascii="宋体"/>
          <w:bCs/>
          <w:color w:val="000000"/>
          <w:sz w:val="28"/>
          <w:szCs w:val="28"/>
        </w:rPr>
      </w:pPr>
      <w:r>
        <w:rPr>
          <w:rFonts w:hint="eastAsia" w:ascii="宋体" w:hAnsi="宋体"/>
          <w:bCs/>
          <w:color w:val="000000"/>
          <w:sz w:val="28"/>
          <w:szCs w:val="28"/>
        </w:rPr>
        <w:t>项目编号：</w:t>
      </w:r>
      <w:r>
        <w:rPr>
          <w:rFonts w:ascii="宋体" w:hAnsi="宋体"/>
          <w:bCs/>
          <w:color w:val="000000"/>
          <w:sz w:val="28"/>
          <w:szCs w:val="28"/>
          <w:u w:val="single"/>
        </w:rPr>
        <w:t xml:space="preserve">                                     </w:t>
      </w:r>
    </w:p>
    <w:p>
      <w:pPr>
        <w:spacing w:line="360" w:lineRule="auto"/>
        <w:ind w:left="1885" w:leftChars="619" w:right="1300" w:rightChars="619" w:hanging="585" w:hangingChars="209"/>
        <w:rPr>
          <w:rFonts w:ascii="宋体"/>
          <w:bCs/>
          <w:color w:val="000000"/>
          <w:sz w:val="28"/>
          <w:szCs w:val="28"/>
        </w:rPr>
      </w:pPr>
      <w:r>
        <w:rPr>
          <w:rFonts w:hint="eastAsia" w:ascii="宋体" w:hAnsi="宋体"/>
          <w:bCs/>
          <w:color w:val="000000"/>
          <w:sz w:val="28"/>
          <w:szCs w:val="28"/>
        </w:rPr>
        <w:t>项目名称：</w:t>
      </w:r>
      <w:r>
        <w:rPr>
          <w:rFonts w:ascii="宋体" w:hAnsi="宋体"/>
          <w:bCs/>
          <w:color w:val="000000"/>
          <w:sz w:val="28"/>
          <w:szCs w:val="28"/>
          <w:u w:val="single"/>
        </w:rPr>
        <w:t xml:space="preserve">                                     </w:t>
      </w:r>
    </w:p>
    <w:p>
      <w:pPr>
        <w:spacing w:line="360" w:lineRule="auto"/>
        <w:ind w:left="1886" w:leftChars="613" w:right="1287" w:rightChars="613" w:hanging="599" w:hangingChars="214"/>
        <w:rPr>
          <w:rFonts w:ascii="宋体"/>
          <w:bCs/>
          <w:color w:val="000000"/>
          <w:sz w:val="28"/>
          <w:szCs w:val="28"/>
        </w:rPr>
      </w:pPr>
      <w:r>
        <w:rPr>
          <w:rFonts w:hint="eastAsia" w:ascii="宋体" w:hAnsi="宋体"/>
          <w:bCs/>
          <w:color w:val="000000"/>
          <w:sz w:val="28"/>
          <w:szCs w:val="28"/>
        </w:rPr>
        <w:t>投标人（盖章）：</w:t>
      </w:r>
      <w:r>
        <w:rPr>
          <w:rFonts w:ascii="宋体" w:hAnsi="宋体"/>
          <w:bCs/>
          <w:color w:val="000000"/>
          <w:sz w:val="28"/>
          <w:szCs w:val="28"/>
          <w:u w:val="single"/>
        </w:rPr>
        <w:t xml:space="preserve">                                </w:t>
      </w:r>
    </w:p>
    <w:p>
      <w:pPr>
        <w:spacing w:line="360" w:lineRule="auto"/>
        <w:ind w:left="1886" w:leftChars="613" w:right="1287" w:rightChars="613" w:hanging="599" w:hangingChars="214"/>
        <w:rPr>
          <w:rFonts w:ascii="宋体"/>
          <w:bCs/>
          <w:color w:val="000000"/>
          <w:sz w:val="28"/>
          <w:szCs w:val="28"/>
        </w:rPr>
      </w:pPr>
      <w:r>
        <w:rPr>
          <w:rFonts w:hint="eastAsia" w:ascii="宋体" w:hAnsi="宋体"/>
          <w:bCs/>
          <w:color w:val="000000"/>
          <w:sz w:val="28"/>
          <w:szCs w:val="28"/>
        </w:rPr>
        <w:t>投标人授权代表（签字）：</w:t>
      </w:r>
      <w:r>
        <w:rPr>
          <w:rFonts w:ascii="宋体" w:hAnsi="宋体"/>
          <w:bCs/>
          <w:color w:val="000000"/>
          <w:sz w:val="28"/>
          <w:szCs w:val="28"/>
          <w:u w:val="single"/>
        </w:rPr>
        <w:t xml:space="preserve">                        </w:t>
      </w:r>
    </w:p>
    <w:p>
      <w:pPr>
        <w:spacing w:beforeLines="100" w:afterLines="100" w:line="360" w:lineRule="auto"/>
        <w:ind w:left="1973" w:leftChars="466" w:right="466" w:hanging="994" w:hangingChars="355"/>
        <w:jc w:val="center"/>
        <w:rPr>
          <w:rFonts w:ascii="宋体" w:hAnsi="宋体"/>
          <w:bCs/>
          <w:color w:val="000000"/>
          <w:sz w:val="28"/>
          <w:szCs w:val="28"/>
        </w:rPr>
      </w:pPr>
      <w:r>
        <w:rPr>
          <w:rFonts w:hint="eastAsia" w:ascii="宋体" w:hAnsi="宋体"/>
          <w:bCs/>
          <w:color w:val="000000"/>
          <w:sz w:val="28"/>
          <w:szCs w:val="28"/>
        </w:rPr>
        <w:t>年</w:t>
      </w:r>
      <w:r>
        <w:rPr>
          <w:rFonts w:ascii="宋体" w:hAnsi="宋体"/>
          <w:bCs/>
          <w:color w:val="000000"/>
          <w:sz w:val="28"/>
          <w:szCs w:val="28"/>
        </w:rPr>
        <w:t xml:space="preserve"> </w:t>
      </w:r>
      <w:r>
        <w:rPr>
          <w:rFonts w:hint="eastAsia" w:ascii="宋体" w:hAnsi="宋体"/>
          <w:bCs/>
          <w:color w:val="000000"/>
          <w:sz w:val="28"/>
          <w:szCs w:val="28"/>
        </w:rPr>
        <w:t xml:space="preserve"> 月  日</w:t>
      </w:r>
    </w:p>
    <w:p>
      <w:pPr>
        <w:spacing w:beforeLines="100" w:afterLines="100" w:line="360" w:lineRule="auto"/>
        <w:ind w:right="466"/>
        <w:rPr>
          <w:rFonts w:ascii="宋体" w:hAnsi="宋体"/>
          <w:b/>
          <w:color w:val="000000"/>
          <w:sz w:val="36"/>
          <w:szCs w:val="36"/>
        </w:rPr>
      </w:pPr>
    </w:p>
    <w:p>
      <w:pPr>
        <w:spacing w:beforeLines="100" w:afterLines="100" w:line="360" w:lineRule="auto"/>
        <w:ind w:right="466"/>
        <w:rPr>
          <w:rFonts w:ascii="宋体" w:hAnsi="宋体"/>
          <w:b/>
          <w:color w:val="000000"/>
          <w:sz w:val="36"/>
          <w:szCs w:val="36"/>
        </w:rPr>
      </w:pPr>
    </w:p>
    <w:p>
      <w:pPr>
        <w:jc w:val="center"/>
        <w:rPr>
          <w:rFonts w:ascii="黑体" w:hAnsi="黑体" w:eastAsia="黑体"/>
          <w:b/>
          <w:color w:val="000000"/>
          <w:sz w:val="48"/>
          <w:szCs w:val="48"/>
          <w:lang w:val="zh-CN"/>
        </w:rPr>
      </w:pPr>
    </w:p>
    <w:p>
      <w:pPr>
        <w:jc w:val="center"/>
        <w:rPr>
          <w:rFonts w:ascii="宋体" w:hAnsi="宋体"/>
          <w:b/>
          <w:color w:val="000000"/>
          <w:sz w:val="44"/>
          <w:szCs w:val="44"/>
          <w:lang w:val="zh-CN"/>
        </w:rPr>
      </w:pPr>
      <w:r>
        <w:rPr>
          <w:rFonts w:hint="eastAsia" w:ascii="宋体" w:hAnsi="宋体"/>
          <w:b/>
          <w:color w:val="000000"/>
          <w:sz w:val="44"/>
          <w:szCs w:val="44"/>
          <w:lang w:val="zh-CN"/>
        </w:rPr>
        <w:t>目   录</w:t>
      </w:r>
    </w:p>
    <w:p>
      <w:pPr>
        <w:spacing w:line="360" w:lineRule="auto"/>
        <w:rPr>
          <w:rFonts w:ascii="宋体" w:hAnsi="宋体" w:cs="宋体"/>
          <w:color w:val="000000"/>
          <w:sz w:val="24"/>
          <w:szCs w:val="24"/>
          <w:lang w:val="zh-CN"/>
        </w:rPr>
      </w:pPr>
    </w:p>
    <w:p>
      <w:pPr>
        <w:pStyle w:val="24"/>
        <w:spacing w:line="360" w:lineRule="auto"/>
        <w:rPr>
          <w:rFonts w:ascii="宋体" w:hAnsi="宋体" w:eastAsia="宋体" w:cs="宋体"/>
          <w:b w:val="0"/>
          <w:color w:val="000000"/>
          <w:sz w:val="24"/>
          <w:szCs w:val="24"/>
          <w:lang w:val="zh-CN"/>
        </w:rPr>
      </w:pPr>
      <w:r>
        <w:rPr>
          <w:rFonts w:hint="eastAsia" w:ascii="宋体" w:hAnsi="宋体" w:eastAsia="宋体" w:cs="宋体"/>
          <w:b w:val="0"/>
          <w:color w:val="000000"/>
          <w:sz w:val="24"/>
          <w:szCs w:val="24"/>
        </w:rPr>
        <w:t>一</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zh-CN"/>
        </w:rPr>
        <w:t>评分索引</w:t>
      </w:r>
    </w:p>
    <w:p>
      <w:pPr>
        <w:spacing w:line="360" w:lineRule="auto"/>
        <w:rPr>
          <w:rFonts w:ascii="宋体" w:hAnsi="宋体" w:cs="宋体"/>
          <w:sz w:val="24"/>
          <w:szCs w:val="24"/>
          <w:lang w:val="zh-CN"/>
        </w:rPr>
      </w:pPr>
      <w:r>
        <w:rPr>
          <w:rFonts w:hint="eastAsia" w:ascii="宋体" w:hAnsi="宋体" w:cs="宋体"/>
          <w:color w:val="000000" w:themeColor="text1"/>
          <w:sz w:val="24"/>
          <w:szCs w:val="24"/>
        </w:rPr>
        <w:t>二</w:t>
      </w:r>
      <w:r>
        <w:rPr>
          <w:rFonts w:ascii="宋体" w:hAnsi="宋体" w:cs="宋体"/>
          <w:color w:val="000000" w:themeColor="text1"/>
          <w:sz w:val="24"/>
          <w:szCs w:val="24"/>
        </w:rPr>
        <w:t>、</w:t>
      </w:r>
      <w:r>
        <w:rPr>
          <w:rFonts w:hint="eastAsia" w:ascii="宋体" w:hAnsi="宋体" w:cs="宋体"/>
          <w:color w:val="000000" w:themeColor="text1"/>
          <w:sz w:val="24"/>
          <w:szCs w:val="24"/>
          <w:lang w:val="zh-CN"/>
        </w:rPr>
        <w:t>湖北省政府采购供应商信用承诺书</w:t>
      </w:r>
    </w:p>
    <w:p>
      <w:pPr>
        <w:spacing w:line="360" w:lineRule="auto"/>
        <w:rPr>
          <w:rFonts w:ascii="宋体" w:hAnsi="宋体" w:cs="宋体"/>
          <w:color w:val="000000" w:themeColor="text1"/>
          <w:sz w:val="24"/>
          <w:szCs w:val="24"/>
          <w:lang w:val="zh-CN"/>
        </w:rPr>
      </w:pPr>
      <w:r>
        <w:rPr>
          <w:rFonts w:hint="eastAsia" w:ascii="宋体" w:hAnsi="宋体" w:cs="宋体"/>
          <w:color w:val="000000"/>
          <w:sz w:val="24"/>
          <w:szCs w:val="24"/>
        </w:rPr>
        <w:t>三</w:t>
      </w:r>
      <w:r>
        <w:rPr>
          <w:rFonts w:ascii="宋体" w:hAnsi="宋体" w:cs="宋体"/>
          <w:color w:val="000000"/>
          <w:sz w:val="24"/>
          <w:szCs w:val="24"/>
        </w:rPr>
        <w:t>、</w:t>
      </w:r>
      <w:r>
        <w:rPr>
          <w:rFonts w:hint="eastAsia" w:ascii="宋体" w:hAnsi="宋体" w:cs="宋体"/>
          <w:color w:val="000000"/>
          <w:sz w:val="24"/>
          <w:szCs w:val="24"/>
          <w:lang w:val="zh-CN"/>
        </w:rPr>
        <w:t>资格</w:t>
      </w:r>
      <w:r>
        <w:rPr>
          <w:rFonts w:hint="eastAsia" w:ascii="宋体" w:hAnsi="宋体" w:cs="宋体"/>
          <w:color w:val="000000" w:themeColor="text1"/>
          <w:sz w:val="24"/>
          <w:szCs w:val="24"/>
          <w:lang w:val="zh-CN"/>
        </w:rPr>
        <w:t xml:space="preserve">证明文件 </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1、</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2、</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3、</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w:t>
      </w:r>
    </w:p>
    <w:p>
      <w:pPr>
        <w:spacing w:line="360" w:lineRule="auto"/>
        <w:rPr>
          <w:rFonts w:ascii="宋体" w:hAnsi="宋体" w:cs="宋体"/>
          <w:color w:val="000000" w:themeColor="text1"/>
          <w:sz w:val="24"/>
          <w:szCs w:val="24"/>
          <w:lang w:val="zh-CN"/>
        </w:rPr>
      </w:pPr>
    </w:p>
    <w:p>
      <w:pPr>
        <w:numPr>
          <w:ilvl w:val="0"/>
          <w:numId w:val="49"/>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商务文件</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1、</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2、</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3、</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w:t>
      </w:r>
    </w:p>
    <w:p>
      <w:pPr>
        <w:pStyle w:val="24"/>
        <w:rPr>
          <w:lang w:val="zh-CN"/>
        </w:rPr>
      </w:pPr>
    </w:p>
    <w:p>
      <w:pPr>
        <w:spacing w:line="360" w:lineRule="auto"/>
        <w:rPr>
          <w:rFonts w:ascii="宋体" w:hAnsi="宋体" w:cs="宋体"/>
          <w:color w:val="000000"/>
          <w:sz w:val="24"/>
          <w:szCs w:val="24"/>
          <w:lang w:val="zh-CN"/>
        </w:rPr>
      </w:pPr>
      <w:r>
        <w:rPr>
          <w:rFonts w:hint="eastAsia" w:ascii="宋体" w:hAnsi="宋体" w:cs="宋体"/>
          <w:color w:val="000000"/>
          <w:sz w:val="24"/>
          <w:szCs w:val="24"/>
        </w:rPr>
        <w:t>五</w:t>
      </w:r>
      <w:r>
        <w:rPr>
          <w:rFonts w:ascii="宋体" w:hAnsi="宋体" w:cs="宋体"/>
          <w:color w:val="000000"/>
          <w:sz w:val="24"/>
          <w:szCs w:val="24"/>
        </w:rPr>
        <w:t>、</w:t>
      </w:r>
      <w:r>
        <w:rPr>
          <w:rFonts w:hint="eastAsia" w:ascii="宋体" w:hAnsi="宋体" w:cs="宋体"/>
          <w:color w:val="000000"/>
          <w:sz w:val="24"/>
          <w:szCs w:val="24"/>
          <w:lang w:val="zh-CN"/>
        </w:rPr>
        <w:t>技术、服务文件</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1、</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2、</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3、</w:t>
      </w:r>
    </w:p>
    <w:p>
      <w:pPr>
        <w:spacing w:line="360" w:lineRule="auto"/>
        <w:rPr>
          <w:rFonts w:ascii="宋体" w:hAnsi="宋体" w:cs="宋体"/>
          <w:color w:val="000000" w:themeColor="text1"/>
          <w:sz w:val="24"/>
          <w:szCs w:val="24"/>
        </w:rPr>
      </w:pPr>
      <w:r>
        <w:rPr>
          <w:rFonts w:ascii="宋体" w:hAnsi="宋体" w:cs="宋体"/>
          <w:color w:val="000000" w:themeColor="text1"/>
          <w:sz w:val="24"/>
          <w:szCs w:val="24"/>
        </w:rPr>
        <w:t>......</w:t>
      </w:r>
    </w:p>
    <w:p>
      <w:pPr>
        <w:pStyle w:val="24"/>
        <w:rPr>
          <w:rFonts w:ascii="黑体" w:hAnsi="黑体"/>
          <w:bCs/>
          <w:color w:val="000000"/>
          <w:sz w:val="48"/>
          <w:szCs w:val="48"/>
          <w:lang w:val="zh-CN"/>
        </w:rPr>
      </w:pPr>
    </w:p>
    <w:p>
      <w:pPr>
        <w:rPr>
          <w:rFonts w:ascii="黑体" w:hAnsi="黑体" w:eastAsia="黑体"/>
          <w:b/>
          <w:bCs/>
          <w:color w:val="000000"/>
          <w:sz w:val="48"/>
          <w:szCs w:val="48"/>
          <w:lang w:val="zh-CN"/>
        </w:rPr>
      </w:pPr>
    </w:p>
    <w:p>
      <w:pPr>
        <w:pStyle w:val="24"/>
        <w:rPr>
          <w:rFonts w:ascii="黑体" w:hAnsi="黑体"/>
          <w:bCs/>
          <w:color w:val="000000"/>
          <w:sz w:val="48"/>
          <w:szCs w:val="48"/>
          <w:lang w:val="zh-CN"/>
        </w:rPr>
      </w:pPr>
    </w:p>
    <w:p>
      <w:pPr>
        <w:rPr>
          <w:rFonts w:ascii="黑体" w:hAnsi="黑体" w:eastAsia="黑体"/>
          <w:b/>
          <w:bCs/>
          <w:color w:val="000000"/>
          <w:sz w:val="48"/>
          <w:szCs w:val="48"/>
          <w:lang w:val="zh-CN"/>
        </w:rPr>
      </w:pPr>
    </w:p>
    <w:p>
      <w:pPr>
        <w:pStyle w:val="24"/>
        <w:rPr>
          <w:rFonts w:ascii="黑体" w:hAnsi="黑体"/>
          <w:bCs/>
          <w:color w:val="000000"/>
          <w:sz w:val="48"/>
          <w:szCs w:val="48"/>
          <w:lang w:val="zh-CN"/>
        </w:rPr>
      </w:pPr>
    </w:p>
    <w:p>
      <w:pPr>
        <w:rPr>
          <w:rFonts w:ascii="黑体" w:hAnsi="黑体" w:eastAsia="黑体"/>
          <w:b/>
          <w:bCs/>
          <w:color w:val="000000"/>
          <w:sz w:val="48"/>
          <w:szCs w:val="48"/>
          <w:lang w:val="zh-CN"/>
        </w:rPr>
      </w:pPr>
    </w:p>
    <w:p>
      <w:pPr>
        <w:pStyle w:val="24"/>
        <w:rPr>
          <w:rFonts w:ascii="黑体" w:hAnsi="黑体"/>
          <w:bCs/>
          <w:color w:val="000000"/>
          <w:sz w:val="48"/>
          <w:szCs w:val="48"/>
          <w:lang w:val="zh-CN"/>
        </w:rPr>
      </w:pPr>
    </w:p>
    <w:p>
      <w:pPr>
        <w:jc w:val="center"/>
        <w:rPr>
          <w:rFonts w:ascii="黑体" w:hAnsi="黑体" w:eastAsia="黑体"/>
          <w:b/>
          <w:bCs/>
          <w:color w:val="000000"/>
          <w:sz w:val="48"/>
          <w:szCs w:val="48"/>
          <w:lang w:val="zh-CN"/>
        </w:rPr>
      </w:pPr>
    </w:p>
    <w:p>
      <w:pPr>
        <w:jc w:val="center"/>
        <w:rPr>
          <w:rFonts w:ascii="宋体" w:hAnsi="宋体"/>
          <w:b/>
          <w:color w:val="000000"/>
          <w:sz w:val="44"/>
          <w:szCs w:val="44"/>
          <w:lang w:val="zh-CN"/>
        </w:rPr>
      </w:pPr>
      <w:r>
        <w:rPr>
          <w:rFonts w:hint="eastAsia" w:ascii="宋体" w:hAnsi="宋体"/>
          <w:b/>
          <w:color w:val="000000"/>
          <w:sz w:val="44"/>
          <w:szCs w:val="44"/>
          <w:lang w:val="zh-CN"/>
        </w:rPr>
        <w:t>评分索引</w:t>
      </w:r>
    </w:p>
    <w:tbl>
      <w:tblPr>
        <w:tblStyle w:val="3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115"/>
        <w:gridCol w:w="2028"/>
        <w:gridCol w:w="279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vAlign w:val="center"/>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rPr>
            </w:pPr>
            <w:r>
              <w:rPr>
                <w:rFonts w:hint="eastAsia" w:asciiTheme="minorEastAsia" w:hAnsiTheme="minorEastAsia" w:eastAsiaTheme="minorEastAsia" w:cstheme="minorEastAsia"/>
                <w:kern w:val="0"/>
                <w:sz w:val="24"/>
                <w:szCs w:val="24"/>
                <w:lang w:val="zh-TW" w:eastAsia="zh-TW"/>
              </w:rPr>
              <w:t>评审</w:t>
            </w:r>
            <w:r>
              <w:rPr>
                <w:rFonts w:hint="eastAsia" w:asciiTheme="minorEastAsia" w:hAnsiTheme="minorEastAsia" w:eastAsiaTheme="minorEastAsia" w:cstheme="minorEastAsia"/>
                <w:kern w:val="0"/>
                <w:sz w:val="24"/>
                <w:szCs w:val="24"/>
                <w:lang w:val="zh-TW"/>
              </w:rPr>
              <w:t>因素</w:t>
            </w:r>
          </w:p>
        </w:tc>
        <w:tc>
          <w:tcPr>
            <w:tcW w:w="1115" w:type="dxa"/>
            <w:vAlign w:val="center"/>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2028" w:type="dxa"/>
            <w:vAlign w:val="center"/>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rPr>
            </w:pPr>
            <w:r>
              <w:rPr>
                <w:rFonts w:hint="eastAsia" w:asciiTheme="minorEastAsia" w:hAnsiTheme="minorEastAsia" w:eastAsiaTheme="minorEastAsia" w:cstheme="minorEastAsia"/>
                <w:kern w:val="0"/>
                <w:sz w:val="24"/>
                <w:szCs w:val="24"/>
                <w:lang w:val="zh-TW"/>
              </w:rPr>
              <w:t>评分标准</w:t>
            </w:r>
          </w:p>
        </w:tc>
        <w:tc>
          <w:tcPr>
            <w:tcW w:w="2791" w:type="dxa"/>
            <w:vAlign w:val="center"/>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rPr>
            </w:pPr>
            <w:r>
              <w:rPr>
                <w:rFonts w:hint="eastAsia" w:asciiTheme="minorEastAsia" w:hAnsiTheme="minorEastAsia" w:eastAsiaTheme="minorEastAsia" w:cstheme="minorEastAsia"/>
                <w:kern w:val="0"/>
                <w:sz w:val="24"/>
                <w:szCs w:val="24"/>
                <w:lang w:val="zh-TW"/>
              </w:rPr>
              <w:t>响应情况说明</w:t>
            </w:r>
          </w:p>
        </w:tc>
        <w:tc>
          <w:tcPr>
            <w:tcW w:w="2151" w:type="dxa"/>
            <w:vAlign w:val="center"/>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rPr>
            </w:pPr>
            <w:r>
              <w:rPr>
                <w:rFonts w:hint="eastAsia" w:asciiTheme="minorEastAsia" w:hAnsiTheme="minorEastAsia" w:eastAsiaTheme="minorEastAsia" w:cstheme="minorEastAsia"/>
                <w:kern w:val="0"/>
                <w:sz w:val="24"/>
                <w:szCs w:val="24"/>
                <w:lang w:val="zh-TW"/>
              </w:rPr>
              <w:t>投标文件</w:t>
            </w:r>
          </w:p>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rPr>
            </w:pPr>
            <w:r>
              <w:rPr>
                <w:rFonts w:hint="eastAsia" w:asciiTheme="minorEastAsia" w:hAnsiTheme="minorEastAsia" w:eastAsiaTheme="minorEastAsia" w:cstheme="minorEastAsia"/>
                <w:kern w:val="0"/>
                <w:sz w:val="24"/>
                <w:szCs w:val="24"/>
                <w:lang w:val="zh-TW"/>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1115"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028"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79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c>
          <w:tcPr>
            <w:tcW w:w="2151" w:type="dxa"/>
          </w:tcPr>
          <w:p>
            <w:pPr>
              <w:pStyle w:val="59"/>
              <w:framePr w:wrap="auto" w:vAnchor="margin" w:hAnchor="text" w:yAlign="inline"/>
              <w:tabs>
                <w:tab w:val="left" w:pos="364"/>
              </w:tabs>
              <w:jc w:val="center"/>
              <w:rPr>
                <w:rFonts w:asciiTheme="minorEastAsia" w:hAnsiTheme="minorEastAsia" w:eastAsiaTheme="minorEastAsia" w:cstheme="minorEastAsia"/>
                <w:kern w:val="0"/>
                <w:sz w:val="24"/>
                <w:szCs w:val="24"/>
                <w:lang w:val="zh-TW" w:eastAsia="zh-TW"/>
              </w:rPr>
            </w:pPr>
          </w:p>
        </w:tc>
      </w:tr>
    </w:tbl>
    <w:p>
      <w:pPr>
        <w:jc w:val="center"/>
        <w:rPr>
          <w:rFonts w:ascii="黑体" w:hAnsi="黑体" w:eastAsia="黑体"/>
          <w:b/>
          <w:color w:val="000000"/>
          <w:sz w:val="48"/>
          <w:szCs w:val="48"/>
          <w:lang w:val="zh-CN"/>
        </w:rPr>
      </w:pPr>
    </w:p>
    <w:p>
      <w:pPr>
        <w:jc w:val="center"/>
        <w:rPr>
          <w:rFonts w:ascii="黑体" w:hAnsi="黑体" w:eastAsia="黑体"/>
          <w:b/>
          <w:color w:val="000000"/>
          <w:sz w:val="48"/>
          <w:szCs w:val="48"/>
          <w:lang w:val="zh-CN"/>
        </w:rPr>
      </w:pPr>
    </w:p>
    <w:p>
      <w:pPr>
        <w:jc w:val="center"/>
        <w:rPr>
          <w:rFonts w:ascii="黑体" w:hAnsi="黑体" w:eastAsia="黑体"/>
          <w:b/>
          <w:color w:val="000000"/>
          <w:sz w:val="48"/>
          <w:szCs w:val="48"/>
          <w:lang w:val="zh-CN"/>
        </w:rPr>
      </w:pPr>
    </w:p>
    <w:p>
      <w:pPr>
        <w:jc w:val="center"/>
        <w:rPr>
          <w:rFonts w:ascii="黑体" w:hAnsi="黑体" w:eastAsia="黑体"/>
          <w:b/>
          <w:color w:val="000000" w:themeColor="text1"/>
          <w:sz w:val="48"/>
          <w:szCs w:val="48"/>
          <w:lang w:val="zh-CN"/>
        </w:rPr>
      </w:pPr>
    </w:p>
    <w:p>
      <w:pPr>
        <w:jc w:val="center"/>
        <w:rPr>
          <w:rFonts w:ascii="宋体" w:hAnsi="宋体"/>
          <w:b/>
          <w:color w:val="000000"/>
          <w:sz w:val="44"/>
          <w:szCs w:val="44"/>
          <w:lang w:val="zh-CN"/>
        </w:rPr>
      </w:pPr>
      <w:r>
        <w:rPr>
          <w:rFonts w:hint="eastAsia" w:ascii="宋体" w:hAnsi="宋体"/>
          <w:b/>
          <w:color w:val="000000"/>
          <w:sz w:val="44"/>
          <w:szCs w:val="44"/>
          <w:lang w:val="zh-CN"/>
        </w:rPr>
        <w:t>湖北省政府采购供应商信用承诺书</w:t>
      </w:r>
    </w:p>
    <w:p>
      <w:pPr>
        <w:spacing w:line="380" w:lineRule="exact"/>
        <w:rPr>
          <w:sz w:val="24"/>
          <w:szCs w:val="24"/>
        </w:rPr>
      </w:pPr>
    </w:p>
    <w:p>
      <w:pPr>
        <w:spacing w:line="380" w:lineRule="exact"/>
        <w:rPr>
          <w:sz w:val="24"/>
          <w:szCs w:val="24"/>
        </w:rPr>
      </w:pPr>
      <w:r>
        <w:rPr>
          <w:sz w:val="24"/>
          <w:szCs w:val="24"/>
        </w:rPr>
        <w:t>市场主体名称:</w:t>
      </w:r>
      <w:r>
        <w:rPr>
          <w:sz w:val="24"/>
          <w:szCs w:val="24"/>
          <w:u w:val="single"/>
        </w:rPr>
        <w:t xml:space="preserve">                </w:t>
      </w:r>
    </w:p>
    <w:p>
      <w:pPr>
        <w:spacing w:line="380" w:lineRule="exact"/>
        <w:rPr>
          <w:sz w:val="24"/>
          <w:szCs w:val="24"/>
        </w:rPr>
      </w:pPr>
      <w:r>
        <w:rPr>
          <w:sz w:val="24"/>
          <w:szCs w:val="24"/>
        </w:rPr>
        <w:t>证件类型:   统一社会信用代码           证件号码:</w:t>
      </w:r>
      <w:r>
        <w:rPr>
          <w:sz w:val="24"/>
          <w:szCs w:val="24"/>
          <w:u w:val="single"/>
        </w:rPr>
        <w:t xml:space="preserve">                </w:t>
      </w:r>
    </w:p>
    <w:p>
      <w:pPr>
        <w:spacing w:line="380" w:lineRule="exact"/>
        <w:rPr>
          <w:sz w:val="24"/>
          <w:szCs w:val="24"/>
        </w:rPr>
      </w:pPr>
      <w:r>
        <w:rPr>
          <w:sz w:val="24"/>
          <w:szCs w:val="24"/>
        </w:rPr>
        <w:t xml:space="preserve">主管部门: </w:t>
      </w:r>
      <w:r>
        <w:rPr>
          <w:sz w:val="24"/>
          <w:szCs w:val="24"/>
          <w:u w:val="single"/>
        </w:rPr>
        <w:t xml:space="preserve">                </w:t>
      </w:r>
      <w:r>
        <w:rPr>
          <w:sz w:val="24"/>
          <w:szCs w:val="24"/>
        </w:rPr>
        <w:t xml:space="preserve">             行政区划代码:</w:t>
      </w:r>
      <w:r>
        <w:rPr>
          <w:sz w:val="24"/>
          <w:szCs w:val="24"/>
          <w:u w:val="single"/>
        </w:rPr>
        <w:t xml:space="preserve">            </w:t>
      </w:r>
    </w:p>
    <w:p>
      <w:pPr>
        <w:spacing w:line="380" w:lineRule="exact"/>
        <w:rPr>
          <w:sz w:val="24"/>
          <w:szCs w:val="24"/>
        </w:rPr>
      </w:pPr>
    </w:p>
    <w:p>
      <w:pPr>
        <w:spacing w:line="380" w:lineRule="exact"/>
        <w:ind w:firstLine="480" w:firstLineChars="200"/>
        <w:rPr>
          <w:sz w:val="24"/>
          <w:szCs w:val="24"/>
        </w:rPr>
      </w:pPr>
      <w:r>
        <w:rPr>
          <w:sz w:val="24"/>
          <w:szCs w:val="24"/>
        </w:rPr>
        <w:t xml:space="preserve">为维护公开、公平、公正的政府采购市场秩序，树立诚实守信的政府采购供应商形 象，本单位自愿做出以下承诺: </w:t>
      </w:r>
    </w:p>
    <w:p>
      <w:pPr>
        <w:spacing w:line="380" w:lineRule="exact"/>
        <w:ind w:firstLine="240" w:firstLineChars="100"/>
        <w:rPr>
          <w:sz w:val="24"/>
          <w:szCs w:val="24"/>
        </w:rPr>
      </w:pPr>
      <w:r>
        <w:rPr>
          <w:sz w:val="24"/>
          <w:szCs w:val="24"/>
        </w:rPr>
        <w:t xml:space="preserve">一、承诺本单位严格遵守国家法律、法规和规章，全面履行应尽的责任和义务，全面做到履约守信，具备《政府采购法》第二十二条第一款规定的条件。 </w:t>
      </w:r>
    </w:p>
    <w:p>
      <w:pPr>
        <w:spacing w:line="380" w:lineRule="exact"/>
        <w:ind w:firstLine="240" w:firstLineChars="100"/>
        <w:rPr>
          <w:sz w:val="24"/>
          <w:szCs w:val="24"/>
        </w:rPr>
      </w:pPr>
      <w:r>
        <w:rPr>
          <w:sz w:val="24"/>
          <w:szCs w:val="24"/>
        </w:rPr>
        <w:t xml:space="preserve">二、承诺本单位提供给注册登记部门、行业管理部门、司法部门、行业组织以及在 政府采购活动中提交的所有资料均合法、真实、有效，无任何伪造、修改、虚假成份， 并对所提供资料的真实性负责; </w:t>
      </w:r>
    </w:p>
    <w:p>
      <w:pPr>
        <w:spacing w:line="380" w:lineRule="exact"/>
        <w:ind w:firstLine="240" w:firstLineChars="100"/>
        <w:rPr>
          <w:sz w:val="24"/>
          <w:szCs w:val="24"/>
        </w:rPr>
      </w:pPr>
      <w:r>
        <w:rPr>
          <w:sz w:val="24"/>
          <w:szCs w:val="24"/>
        </w:rPr>
        <w:t xml:space="preserve">三、承诺本单位严格依法开展生产经营活动，主动接受行业监管，自愿接受依法开展的日常检查;违法失信经营后将自愿接受约束和惩戒，并依法承担相应责任; </w:t>
      </w:r>
    </w:p>
    <w:p>
      <w:pPr>
        <w:spacing w:line="380" w:lineRule="exact"/>
        <w:ind w:firstLine="240" w:firstLineChars="100"/>
        <w:rPr>
          <w:sz w:val="24"/>
          <w:szCs w:val="24"/>
        </w:rPr>
      </w:pPr>
      <w:r>
        <w:rPr>
          <w:sz w:val="24"/>
          <w:szCs w:val="24"/>
        </w:rPr>
        <w:t>四、承诺本单位自觉接受行政管理部门、行业组织、社会公众、新闻舆论的监督;</w:t>
      </w:r>
    </w:p>
    <w:p>
      <w:pPr>
        <w:spacing w:line="380" w:lineRule="exact"/>
        <w:ind w:firstLine="240" w:firstLineChars="100"/>
        <w:rPr>
          <w:sz w:val="24"/>
          <w:szCs w:val="24"/>
        </w:rPr>
      </w:pPr>
      <w:r>
        <w:rPr>
          <w:sz w:val="24"/>
          <w:szCs w:val="24"/>
        </w:rPr>
        <w:t xml:space="preserve">五、承诺本单位将按照《湖北省社会信用信息管理条例》要求，向社会公示信用信息; </w:t>
      </w:r>
    </w:p>
    <w:p>
      <w:pPr>
        <w:spacing w:line="380" w:lineRule="exact"/>
        <w:ind w:firstLine="240" w:firstLineChars="100"/>
        <w:rPr>
          <w:sz w:val="24"/>
          <w:szCs w:val="24"/>
        </w:rPr>
      </w:pPr>
      <w:r>
        <w:rPr>
          <w:sz w:val="24"/>
          <w:szCs w:val="24"/>
        </w:rPr>
        <w:t xml:space="preserve">六、承诺本单位自我约束、自我管理，重合同、守信用，不制假售假、商标侵权、虚假宣传、违约毁约、恶意逃债、偷税漏税、价格欺诈、垄断和不正当竞争，维护经营 者、消费者的合法权益; </w:t>
      </w:r>
    </w:p>
    <w:p>
      <w:pPr>
        <w:spacing w:line="380" w:lineRule="exact"/>
        <w:ind w:firstLine="240" w:firstLineChars="100"/>
        <w:rPr>
          <w:sz w:val="24"/>
          <w:szCs w:val="24"/>
        </w:rPr>
      </w:pPr>
      <w:r>
        <w:rPr>
          <w:sz w:val="24"/>
          <w:szCs w:val="24"/>
        </w:rPr>
        <w:t>七、承诺本单位在信用中国(湖北)网站中无违法违规、较重或严重失信记录;</w:t>
      </w:r>
    </w:p>
    <w:p>
      <w:pPr>
        <w:spacing w:line="380" w:lineRule="exact"/>
        <w:ind w:firstLine="240" w:firstLineChars="100"/>
        <w:rPr>
          <w:sz w:val="24"/>
          <w:szCs w:val="24"/>
        </w:rPr>
      </w:pPr>
      <w:r>
        <w:rPr>
          <w:sz w:val="24"/>
          <w:szCs w:val="24"/>
        </w:rPr>
        <w:t>八、承诺本单位提出政府采购质疑和投诉坚持依法依规、诚实信用原则，在全国范围</w:t>
      </w:r>
      <w:r>
        <w:rPr>
          <w:rFonts w:hint="eastAsia"/>
          <w:sz w:val="24"/>
          <w:szCs w:val="24"/>
        </w:rPr>
        <w:t>12</w:t>
      </w:r>
      <w:r>
        <w:rPr>
          <w:sz w:val="24"/>
          <w:szCs w:val="24"/>
        </w:rPr>
        <w:t xml:space="preserve">个月内没有三次以上查无实据的政府采购投诉; </w:t>
      </w:r>
    </w:p>
    <w:p>
      <w:pPr>
        <w:spacing w:line="380" w:lineRule="exact"/>
        <w:ind w:firstLine="240" w:firstLineChars="100"/>
        <w:rPr>
          <w:sz w:val="24"/>
          <w:szCs w:val="24"/>
          <w:u w:val="single"/>
        </w:rPr>
      </w:pPr>
      <w:r>
        <w:rPr>
          <w:sz w:val="24"/>
          <w:szCs w:val="24"/>
        </w:rPr>
        <w:t>九、根据政府采购相关法律法规的规定需要作出的其他承诺: </w:t>
      </w:r>
      <w:r>
        <w:rPr>
          <w:rFonts w:hint="eastAsia"/>
          <w:sz w:val="24"/>
          <w:szCs w:val="24"/>
          <w:u w:val="single"/>
        </w:rPr>
        <w:t xml:space="preserve">               </w:t>
      </w:r>
    </w:p>
    <w:p>
      <w:pPr>
        <w:spacing w:line="380" w:lineRule="exact"/>
        <w:ind w:firstLine="240" w:firstLineChars="100"/>
        <w:rPr>
          <w:sz w:val="24"/>
          <w:szCs w:val="24"/>
        </w:rPr>
      </w:pPr>
      <w:r>
        <w:rPr>
          <w:sz w:val="24"/>
          <w:szCs w:val="24"/>
        </w:rPr>
        <w:t>十、承诺本单位若违背承诺约定，经查实，愿意接受行业主管部门和信用管理部 门相应的规定处罚，承担违约责任，并依法承担相应的法律责任。自愿按照《湖北省社会信用信息管理条例》规定，违背承诺约定行为作为失信信息，记录到省社会信用信息 服务平台，并予公开。</w:t>
      </w:r>
    </w:p>
    <w:p>
      <w:pPr>
        <w:spacing w:line="380" w:lineRule="exact"/>
        <w:ind w:firstLine="240" w:firstLineChars="100"/>
        <w:rPr>
          <w:sz w:val="24"/>
          <w:szCs w:val="24"/>
        </w:rPr>
      </w:pPr>
      <w:r>
        <w:rPr>
          <w:sz w:val="24"/>
          <w:szCs w:val="24"/>
        </w:rPr>
        <w:t>十一、承诺本单位同意将以上承诺事项上网公示。</w:t>
      </w:r>
    </w:p>
    <w:p>
      <w:pPr>
        <w:spacing w:line="380" w:lineRule="exact"/>
        <w:rPr>
          <w:sz w:val="24"/>
          <w:szCs w:val="24"/>
        </w:rPr>
      </w:pPr>
    </w:p>
    <w:p>
      <w:pPr>
        <w:spacing w:line="380" w:lineRule="exact"/>
        <w:rPr>
          <w:sz w:val="24"/>
          <w:szCs w:val="24"/>
        </w:rPr>
      </w:pPr>
      <w:r>
        <w:rPr>
          <w:sz w:val="24"/>
          <w:szCs w:val="24"/>
        </w:rPr>
        <w:t>承诺单位(盖章):</w:t>
      </w:r>
      <w:r>
        <w:rPr>
          <w:sz w:val="24"/>
          <w:szCs w:val="24"/>
          <w:u w:val="single"/>
        </w:rPr>
        <w:t xml:space="preserve">                </w:t>
      </w:r>
    </w:p>
    <w:p>
      <w:pPr>
        <w:spacing w:line="380" w:lineRule="exact"/>
        <w:rPr>
          <w:sz w:val="24"/>
          <w:szCs w:val="24"/>
        </w:rPr>
      </w:pPr>
      <w:r>
        <w:rPr>
          <w:sz w:val="24"/>
          <w:szCs w:val="24"/>
        </w:rPr>
        <w:t>法定代表人</w:t>
      </w:r>
      <w:r>
        <w:rPr>
          <w:rFonts w:hint="eastAsia"/>
          <w:sz w:val="24"/>
          <w:szCs w:val="24"/>
        </w:rPr>
        <w:t>或</w:t>
      </w:r>
      <w:r>
        <w:rPr>
          <w:sz w:val="24"/>
          <w:szCs w:val="24"/>
        </w:rPr>
        <w:t>负责人（</w:t>
      </w:r>
      <w:r>
        <w:rPr>
          <w:rFonts w:hint="eastAsia"/>
          <w:sz w:val="24"/>
          <w:szCs w:val="24"/>
        </w:rPr>
        <w:t>签字或盖章</w:t>
      </w:r>
      <w:r>
        <w:rPr>
          <w:sz w:val="24"/>
          <w:szCs w:val="24"/>
        </w:rPr>
        <w:t>）:</w:t>
      </w:r>
      <w:r>
        <w:rPr>
          <w:sz w:val="24"/>
          <w:szCs w:val="24"/>
          <w:u w:val="single"/>
        </w:rPr>
        <w:t xml:space="preserve">                </w:t>
      </w:r>
      <w:r>
        <w:rPr>
          <w:sz w:val="24"/>
          <w:szCs w:val="24"/>
        </w:rPr>
        <w:t>承诺日期:</w:t>
      </w:r>
      <w:r>
        <w:rPr>
          <w:sz w:val="24"/>
          <w:szCs w:val="24"/>
          <w:u w:val="single"/>
        </w:rPr>
        <w:t xml:space="preserve">                </w:t>
      </w:r>
    </w:p>
    <w:p>
      <w:pPr>
        <w:spacing w:line="380" w:lineRule="exact"/>
        <w:rPr>
          <w:sz w:val="24"/>
          <w:szCs w:val="24"/>
        </w:rPr>
      </w:pPr>
    </w:p>
    <w:p>
      <w:pPr>
        <w:spacing w:line="380" w:lineRule="exact"/>
        <w:rPr>
          <w:color w:val="000000"/>
          <w:sz w:val="24"/>
          <w:szCs w:val="24"/>
        </w:rPr>
      </w:pPr>
      <w:r>
        <w:rPr>
          <w:sz w:val="24"/>
          <w:szCs w:val="24"/>
        </w:rPr>
        <w:t>注:法定代表人或负责人、主体名称发生变更的应当重新做出承诺。</w:t>
      </w:r>
    </w:p>
    <w:p>
      <w:pPr>
        <w:jc w:val="center"/>
        <w:rPr>
          <w:rFonts w:ascii="宋体" w:hAnsi="宋体"/>
          <w:b/>
          <w:color w:val="000000"/>
          <w:sz w:val="44"/>
          <w:szCs w:val="44"/>
        </w:rPr>
      </w:pPr>
      <w:bookmarkStart w:id="136" w:name="_Toc494745312"/>
      <w:bookmarkStart w:id="137" w:name="_Toc511894522"/>
      <w:bookmarkStart w:id="138" w:name="_Toc2252896"/>
      <w:bookmarkStart w:id="139" w:name="_Toc494665548"/>
      <w:bookmarkStart w:id="140" w:name="_Toc494702265"/>
      <w:bookmarkStart w:id="141" w:name="_Toc494721095"/>
      <w:bookmarkStart w:id="142" w:name="_Toc494664995"/>
      <w:bookmarkStart w:id="143" w:name="_Toc494665945"/>
    </w:p>
    <w:p>
      <w:pPr>
        <w:jc w:val="center"/>
        <w:rPr>
          <w:color w:val="000000"/>
        </w:rPr>
      </w:pPr>
      <w:r>
        <w:rPr>
          <w:rFonts w:hint="eastAsia" w:ascii="宋体" w:hAnsi="宋体"/>
          <w:b/>
          <w:color w:val="000000"/>
          <w:sz w:val="44"/>
          <w:szCs w:val="44"/>
        </w:rPr>
        <w:t>第一部分</w:t>
      </w:r>
      <w:r>
        <w:rPr>
          <w:rFonts w:ascii="宋体" w:hAnsi="宋体"/>
          <w:b/>
          <w:color w:val="000000"/>
          <w:sz w:val="44"/>
          <w:szCs w:val="44"/>
        </w:rPr>
        <w:t xml:space="preserve"> </w:t>
      </w:r>
      <w:r>
        <w:rPr>
          <w:rFonts w:hint="eastAsia" w:ascii="宋体" w:hAnsi="宋体"/>
          <w:b/>
          <w:color w:val="000000"/>
          <w:sz w:val="44"/>
          <w:szCs w:val="44"/>
        </w:rPr>
        <w:t>资格证明文件</w:t>
      </w:r>
      <w:bookmarkEnd w:id="136"/>
      <w:bookmarkEnd w:id="137"/>
      <w:bookmarkEnd w:id="138"/>
      <w:bookmarkEnd w:id="139"/>
      <w:bookmarkEnd w:id="140"/>
      <w:bookmarkEnd w:id="141"/>
      <w:bookmarkEnd w:id="142"/>
      <w:bookmarkEnd w:id="143"/>
    </w:p>
    <w:p>
      <w:pPr>
        <w:rPr>
          <w:color w:val="000000"/>
        </w:rPr>
      </w:pPr>
    </w:p>
    <w:p>
      <w:pPr>
        <w:autoSpaceDE w:val="0"/>
        <w:autoSpaceDN w:val="0"/>
        <w:adjustRightInd w:val="0"/>
        <w:spacing w:beforeLines="50" w:afterLines="50" w:line="360" w:lineRule="auto"/>
        <w:ind w:firstLine="480" w:firstLineChars="200"/>
        <w:rPr>
          <w:rFonts w:ascii="宋体" w:hAnsi="宋体"/>
          <w:color w:val="000000"/>
          <w:kern w:val="0"/>
          <w:sz w:val="24"/>
          <w:szCs w:val="32"/>
        </w:rPr>
      </w:pPr>
      <w:r>
        <w:rPr>
          <w:rFonts w:hint="eastAsia" w:ascii="宋体" w:hAnsi="宋体"/>
          <w:color w:val="000000"/>
          <w:kern w:val="0"/>
          <w:sz w:val="24"/>
          <w:szCs w:val="32"/>
        </w:rPr>
        <w:t>由投标人根据“第四章资格审查方法及标准”中</w:t>
      </w:r>
      <w:r>
        <w:rPr>
          <w:rFonts w:ascii="宋体" w:hAnsi="宋体"/>
          <w:color w:val="000000"/>
          <w:kern w:val="0"/>
          <w:sz w:val="24"/>
          <w:szCs w:val="32"/>
        </w:rPr>
        <w:t>《</w:t>
      </w:r>
      <w:r>
        <w:rPr>
          <w:rFonts w:hint="eastAsia" w:ascii="宋体" w:hAnsi="宋体"/>
          <w:color w:val="000000"/>
          <w:kern w:val="0"/>
          <w:sz w:val="24"/>
          <w:szCs w:val="32"/>
        </w:rPr>
        <w:t>资格性审查表</w:t>
      </w:r>
      <w:r>
        <w:rPr>
          <w:rFonts w:ascii="宋体" w:hAnsi="宋体"/>
          <w:color w:val="000000"/>
          <w:kern w:val="0"/>
          <w:sz w:val="24"/>
          <w:szCs w:val="32"/>
        </w:rPr>
        <w:t>》</w:t>
      </w:r>
      <w:r>
        <w:rPr>
          <w:rFonts w:hint="eastAsia" w:ascii="宋体" w:hAnsi="宋体"/>
          <w:color w:val="000000"/>
          <w:kern w:val="0"/>
          <w:sz w:val="24"/>
          <w:szCs w:val="32"/>
        </w:rPr>
        <w:t>的要求提交资格证明材料</w:t>
      </w:r>
      <w:r>
        <w:rPr>
          <w:rFonts w:ascii="宋体" w:hAnsi="宋体"/>
          <w:color w:val="000000"/>
          <w:kern w:val="0"/>
          <w:sz w:val="24"/>
          <w:szCs w:val="32"/>
        </w:rPr>
        <w:t>，</w:t>
      </w:r>
      <w:r>
        <w:rPr>
          <w:rFonts w:hint="eastAsia" w:ascii="宋体" w:hAnsi="宋体"/>
          <w:color w:val="000000"/>
          <w:kern w:val="0"/>
          <w:sz w:val="24"/>
          <w:szCs w:val="32"/>
        </w:rPr>
        <w:t>并对应填写资格性响应偏离说明表</w:t>
      </w:r>
      <w:r>
        <w:rPr>
          <w:rFonts w:ascii="宋体" w:hAnsi="宋体"/>
          <w:color w:val="000000"/>
          <w:kern w:val="0"/>
          <w:sz w:val="24"/>
          <w:szCs w:val="32"/>
        </w:rPr>
        <w:t>（附件1）。</w:t>
      </w:r>
    </w:p>
    <w:p>
      <w:pPr>
        <w:autoSpaceDE w:val="0"/>
        <w:autoSpaceDN w:val="0"/>
        <w:adjustRightInd w:val="0"/>
        <w:spacing w:beforeLines="50" w:afterLines="50" w:line="360" w:lineRule="auto"/>
        <w:ind w:firstLine="480" w:firstLineChars="200"/>
      </w:pPr>
      <w:r>
        <w:rPr>
          <w:rFonts w:hint="eastAsia" w:ascii="宋体" w:hAnsi="宋体"/>
          <w:color w:val="000000"/>
          <w:kern w:val="0"/>
          <w:sz w:val="24"/>
          <w:szCs w:val="32"/>
        </w:rPr>
        <w:t>资格证明材料内容格式自行编写</w:t>
      </w:r>
      <w:r>
        <w:rPr>
          <w:rFonts w:ascii="宋体" w:hAnsi="宋体"/>
          <w:color w:val="000000"/>
          <w:kern w:val="0"/>
          <w:sz w:val="24"/>
          <w:szCs w:val="32"/>
        </w:rPr>
        <w:t>，</w:t>
      </w:r>
      <w:r>
        <w:rPr>
          <w:rFonts w:hint="eastAsia" w:ascii="宋体" w:hAnsi="宋体"/>
          <w:color w:val="000000"/>
          <w:kern w:val="0"/>
          <w:sz w:val="24"/>
          <w:szCs w:val="32"/>
        </w:rPr>
        <w:t>且内容应清晰、详尽、易于理解和审查。内容包括如下</w:t>
      </w:r>
      <w:r>
        <w:rPr>
          <w:rFonts w:ascii="宋体" w:hAnsi="宋体"/>
          <w:color w:val="000000"/>
          <w:kern w:val="0"/>
          <w:sz w:val="24"/>
          <w:szCs w:val="32"/>
        </w:rPr>
        <w:t>：</w:t>
      </w:r>
    </w:p>
    <w:p>
      <w:pPr>
        <w:spacing w:line="360" w:lineRule="auto"/>
        <w:ind w:firstLine="420" w:firstLineChars="200"/>
        <w:rPr>
          <w:b/>
          <w:bCs/>
        </w:rPr>
      </w:pPr>
      <w:r>
        <w:rPr>
          <w:b/>
          <w:bCs/>
        </w:rPr>
        <w:t>1、资格性</w:t>
      </w:r>
      <w:r>
        <w:rPr>
          <w:rFonts w:hint="eastAsia"/>
          <w:b/>
          <w:bCs/>
        </w:rPr>
        <w:t>响应偏离说明</w:t>
      </w:r>
      <w:r>
        <w:rPr>
          <w:b/>
          <w:bCs/>
        </w:rPr>
        <w:t>表（附件1）；</w:t>
      </w:r>
    </w:p>
    <w:p>
      <w:pPr>
        <w:spacing w:line="360" w:lineRule="auto"/>
        <w:ind w:firstLine="420" w:firstLineChars="200"/>
        <w:rPr>
          <w:b/>
          <w:bCs/>
        </w:rPr>
      </w:pPr>
      <w:r>
        <w:rPr>
          <w:b/>
          <w:bCs/>
        </w:rPr>
        <w:t>2、</w:t>
      </w:r>
      <w:r>
        <w:rPr>
          <w:rFonts w:hint="eastAsia"/>
          <w:b/>
          <w:bCs/>
        </w:rPr>
        <w:t>具有独立承担民事责任的能力</w:t>
      </w:r>
      <w:r>
        <w:rPr>
          <w:b/>
          <w:bCs/>
        </w:rPr>
        <w:t>；</w:t>
      </w:r>
    </w:p>
    <w:p>
      <w:pPr>
        <w:spacing w:line="360" w:lineRule="auto"/>
        <w:ind w:firstLine="420" w:firstLineChars="200"/>
        <w:rPr>
          <w:b/>
          <w:bCs/>
        </w:rPr>
      </w:pPr>
      <w:r>
        <w:rPr>
          <w:b/>
          <w:bCs/>
        </w:rPr>
        <w:t>3、</w:t>
      </w:r>
      <w:r>
        <w:rPr>
          <w:rFonts w:hint="eastAsia"/>
          <w:b/>
          <w:bCs/>
        </w:rPr>
        <w:t>具有良好的商业信誉和健全的财务会计制度</w:t>
      </w:r>
      <w:r>
        <w:rPr>
          <w:b/>
          <w:bCs/>
        </w:rPr>
        <w:t>；</w:t>
      </w:r>
    </w:p>
    <w:p>
      <w:pPr>
        <w:spacing w:line="360" w:lineRule="auto"/>
        <w:ind w:firstLine="420" w:firstLineChars="200"/>
        <w:rPr>
          <w:b/>
          <w:bCs/>
        </w:rPr>
      </w:pPr>
      <w:r>
        <w:rPr>
          <w:b/>
          <w:bCs/>
        </w:rPr>
        <w:t>4、</w:t>
      </w:r>
      <w:r>
        <w:rPr>
          <w:rFonts w:hint="eastAsia"/>
          <w:b/>
          <w:bCs/>
        </w:rPr>
        <w:t>具有履行合同所必需的设备和专业技术能力</w:t>
      </w:r>
      <w:r>
        <w:rPr>
          <w:b/>
          <w:bCs/>
        </w:rPr>
        <w:t>；</w:t>
      </w:r>
    </w:p>
    <w:p>
      <w:pPr>
        <w:spacing w:line="360" w:lineRule="auto"/>
        <w:ind w:firstLine="420" w:firstLineChars="200"/>
        <w:rPr>
          <w:b/>
          <w:bCs/>
        </w:rPr>
      </w:pPr>
      <w:r>
        <w:rPr>
          <w:b/>
          <w:bCs/>
        </w:rPr>
        <w:t>5、</w:t>
      </w:r>
      <w:r>
        <w:rPr>
          <w:rFonts w:hint="eastAsia"/>
          <w:b/>
          <w:bCs/>
        </w:rPr>
        <w:t>有依法缴纳税收和社会保障资金的良好记录</w:t>
      </w:r>
      <w:r>
        <w:rPr>
          <w:b/>
          <w:bCs/>
        </w:rPr>
        <w:t>；</w:t>
      </w:r>
    </w:p>
    <w:p>
      <w:pPr>
        <w:spacing w:line="360" w:lineRule="auto"/>
        <w:ind w:firstLine="420" w:firstLineChars="200"/>
        <w:rPr>
          <w:b/>
          <w:bCs/>
        </w:rPr>
      </w:pPr>
      <w:r>
        <w:rPr>
          <w:b/>
          <w:bCs/>
        </w:rPr>
        <w:t>6、</w:t>
      </w:r>
      <w:r>
        <w:rPr>
          <w:rFonts w:hint="eastAsia"/>
          <w:b/>
          <w:bCs/>
        </w:rPr>
        <w:t>参加政府采购活动前三年内在经营活动中没有重大违法记录</w:t>
      </w:r>
      <w:r>
        <w:rPr>
          <w:b/>
          <w:bCs/>
        </w:rPr>
        <w:t>；</w:t>
      </w:r>
    </w:p>
    <w:p>
      <w:pPr>
        <w:spacing w:line="360" w:lineRule="auto"/>
        <w:ind w:firstLine="420" w:firstLineChars="200"/>
        <w:rPr>
          <w:b/>
          <w:bCs/>
        </w:rPr>
      </w:pPr>
      <w:r>
        <w:rPr>
          <w:b/>
          <w:bCs/>
        </w:rPr>
        <w:t>7、</w:t>
      </w:r>
      <w:r>
        <w:rPr>
          <w:rFonts w:hint="eastAsia"/>
          <w:b/>
          <w:bCs/>
        </w:rPr>
        <w:t>法律、行政法规规定的其他条件</w:t>
      </w:r>
      <w:r>
        <w:rPr>
          <w:b/>
          <w:bCs/>
        </w:rPr>
        <w:t>；</w:t>
      </w:r>
    </w:p>
    <w:p>
      <w:pPr>
        <w:spacing w:line="360" w:lineRule="auto"/>
        <w:ind w:firstLine="420" w:firstLineChars="200"/>
        <w:rPr>
          <w:b/>
          <w:bCs/>
        </w:rPr>
      </w:pPr>
      <w:r>
        <w:rPr>
          <w:b/>
          <w:bCs/>
        </w:rPr>
        <w:t>8、</w:t>
      </w:r>
      <w:r>
        <w:rPr>
          <w:rFonts w:hint="eastAsia"/>
          <w:b/>
          <w:bCs/>
        </w:rPr>
        <w:t>其他要求</w:t>
      </w:r>
      <w:r>
        <w:rPr>
          <w:b/>
          <w:bCs/>
        </w:rPr>
        <w:t>；</w:t>
      </w:r>
    </w:p>
    <w:p>
      <w:pPr>
        <w:spacing w:line="360" w:lineRule="auto"/>
        <w:ind w:firstLine="420" w:firstLineChars="200"/>
        <w:rPr>
          <w:b/>
          <w:bCs/>
        </w:rPr>
      </w:pPr>
      <w:r>
        <w:rPr>
          <w:b/>
          <w:bCs/>
        </w:rPr>
        <w:t>9、</w:t>
      </w:r>
      <w:r>
        <w:rPr>
          <w:rFonts w:hint="eastAsia"/>
          <w:b/>
          <w:bCs/>
        </w:rPr>
        <w:t>特定资格要求</w:t>
      </w:r>
      <w:r>
        <w:rPr>
          <w:b/>
          <w:bCs/>
        </w:rPr>
        <w:t>。</w:t>
      </w:r>
    </w:p>
    <w:p/>
    <w:p/>
    <w:p>
      <w:pPr>
        <w:autoSpaceDE w:val="0"/>
        <w:autoSpaceDN w:val="0"/>
        <w:adjustRightInd w:val="0"/>
        <w:spacing w:line="360" w:lineRule="auto"/>
        <w:rPr>
          <w:color w:val="000000"/>
        </w:rPr>
      </w:pPr>
      <w:r>
        <w:rPr>
          <w:color w:val="000000"/>
        </w:rPr>
        <w:br w:type="page"/>
      </w:r>
    </w:p>
    <w:p>
      <w:pPr>
        <w:spacing w:beforeLines="100" w:line="360" w:lineRule="auto"/>
        <w:jc w:val="center"/>
        <w:rPr>
          <w:rFonts w:hint="eastAsia" w:ascii="宋体" w:hAnsi="宋体"/>
          <w:b/>
          <w:color w:val="000000"/>
          <w:sz w:val="44"/>
          <w:szCs w:val="44"/>
        </w:rPr>
      </w:pPr>
      <w:bookmarkStart w:id="144" w:name="_Toc511894524"/>
      <w:bookmarkStart w:id="145" w:name="_Toc494665550"/>
      <w:bookmarkStart w:id="146" w:name="_Toc494721097"/>
      <w:bookmarkStart w:id="147" w:name="_Toc494702267"/>
      <w:bookmarkStart w:id="148" w:name="_Toc2252899"/>
      <w:bookmarkStart w:id="149" w:name="_Toc494664997"/>
      <w:bookmarkStart w:id="150" w:name="_Toc494745314"/>
      <w:bookmarkStart w:id="151" w:name="_Toc494665947"/>
    </w:p>
    <w:p>
      <w:pPr>
        <w:spacing w:beforeLines="100" w:line="360" w:lineRule="auto"/>
        <w:jc w:val="center"/>
        <w:rPr>
          <w:rFonts w:ascii="宋体" w:hAnsi="宋体"/>
          <w:b/>
          <w:bCs/>
          <w:color w:val="000000"/>
          <w:sz w:val="30"/>
          <w:szCs w:val="30"/>
        </w:rPr>
      </w:pPr>
      <w:r>
        <w:rPr>
          <w:rFonts w:hint="eastAsia" w:ascii="宋体" w:hAnsi="宋体"/>
          <w:b/>
          <w:color w:val="000000"/>
          <w:sz w:val="44"/>
          <w:szCs w:val="44"/>
        </w:rPr>
        <w:t>第二部分</w:t>
      </w:r>
      <w:r>
        <w:rPr>
          <w:rFonts w:ascii="宋体" w:hAnsi="宋体"/>
          <w:b/>
          <w:color w:val="000000"/>
          <w:sz w:val="44"/>
          <w:szCs w:val="44"/>
        </w:rPr>
        <w:t xml:space="preserve"> </w:t>
      </w:r>
      <w:r>
        <w:rPr>
          <w:rFonts w:hint="eastAsia" w:ascii="宋体" w:hAnsi="宋体"/>
          <w:b/>
          <w:color w:val="000000"/>
          <w:sz w:val="44"/>
          <w:szCs w:val="44"/>
        </w:rPr>
        <w:t>商务文件</w:t>
      </w:r>
      <w:bookmarkEnd w:id="144"/>
      <w:bookmarkEnd w:id="145"/>
      <w:bookmarkEnd w:id="146"/>
      <w:bookmarkEnd w:id="147"/>
      <w:bookmarkEnd w:id="148"/>
      <w:bookmarkEnd w:id="149"/>
      <w:bookmarkEnd w:id="150"/>
      <w:bookmarkEnd w:id="151"/>
    </w:p>
    <w:p>
      <w:pPr>
        <w:autoSpaceDE w:val="0"/>
        <w:autoSpaceDN w:val="0"/>
        <w:adjustRightInd w:val="0"/>
        <w:spacing w:line="360" w:lineRule="auto"/>
        <w:ind w:firstLine="480" w:firstLineChars="200"/>
        <w:rPr>
          <w:rFonts w:ascii="宋体" w:hAnsi="宋体"/>
          <w:color w:val="000000"/>
          <w:kern w:val="0"/>
          <w:sz w:val="24"/>
          <w:szCs w:val="32"/>
        </w:rPr>
      </w:pPr>
    </w:p>
    <w:p>
      <w:pPr>
        <w:autoSpaceDE w:val="0"/>
        <w:autoSpaceDN w:val="0"/>
        <w:adjustRightInd w:val="0"/>
        <w:spacing w:line="360" w:lineRule="auto"/>
        <w:ind w:firstLine="480" w:firstLineChars="200"/>
        <w:rPr>
          <w:rFonts w:ascii="宋体"/>
          <w:color w:val="000000"/>
          <w:kern w:val="0"/>
          <w:sz w:val="24"/>
          <w:szCs w:val="32"/>
        </w:rPr>
      </w:pPr>
      <w:r>
        <w:rPr>
          <w:rFonts w:hint="eastAsia" w:ascii="宋体" w:hAnsi="宋体"/>
          <w:color w:val="000000"/>
          <w:kern w:val="0"/>
          <w:sz w:val="24"/>
          <w:szCs w:val="32"/>
        </w:rPr>
        <w:t>由投标人根据参考格式要求自行编写</w:t>
      </w:r>
      <w:r>
        <w:rPr>
          <w:rFonts w:ascii="宋体" w:hAnsi="宋体"/>
          <w:color w:val="000000"/>
          <w:kern w:val="0"/>
          <w:sz w:val="24"/>
          <w:szCs w:val="32"/>
        </w:rPr>
        <w:t>，</w:t>
      </w:r>
      <w:r>
        <w:rPr>
          <w:rFonts w:hint="eastAsia" w:ascii="宋体" w:hAnsi="宋体"/>
          <w:color w:val="000000"/>
          <w:kern w:val="0"/>
          <w:sz w:val="24"/>
          <w:szCs w:val="32"/>
        </w:rPr>
        <w:t>且内容应清晰、详尽、易于理解和评审。具体内容应包括但不限于以下内容：</w:t>
      </w:r>
    </w:p>
    <w:p>
      <w:pPr>
        <w:numPr>
          <w:ilvl w:val="0"/>
          <w:numId w:val="50"/>
        </w:numPr>
        <w:tabs>
          <w:tab w:val="left" w:pos="966"/>
        </w:tabs>
        <w:autoSpaceDE w:val="0"/>
        <w:autoSpaceDN w:val="0"/>
        <w:adjustRightInd w:val="0"/>
        <w:spacing w:line="360" w:lineRule="auto"/>
        <w:ind w:left="0" w:firstLine="480" w:firstLineChars="200"/>
        <w:rPr>
          <w:rFonts w:ascii="宋体" w:hAnsi="宋体"/>
          <w:b/>
          <w:bCs/>
          <w:color w:val="000000"/>
          <w:kern w:val="0"/>
          <w:sz w:val="24"/>
          <w:szCs w:val="32"/>
        </w:rPr>
      </w:pPr>
      <w:r>
        <w:rPr>
          <w:rFonts w:hint="eastAsia" w:ascii="宋体" w:hAnsi="宋体"/>
          <w:b/>
          <w:bCs/>
          <w:color w:val="000000"/>
          <w:kern w:val="0"/>
          <w:sz w:val="24"/>
          <w:szCs w:val="32"/>
        </w:rPr>
        <w:t>符合性审查对照表（附件</w:t>
      </w:r>
      <w:r>
        <w:rPr>
          <w:rFonts w:ascii="宋体" w:hAnsi="宋体"/>
          <w:b/>
          <w:bCs/>
          <w:color w:val="000000"/>
          <w:kern w:val="0"/>
          <w:sz w:val="24"/>
          <w:szCs w:val="32"/>
        </w:rPr>
        <w:t>2</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hAnsi="宋体"/>
          <w:b/>
          <w:bCs/>
          <w:color w:val="000000"/>
          <w:kern w:val="0"/>
          <w:sz w:val="24"/>
          <w:szCs w:val="32"/>
        </w:rPr>
      </w:pPr>
      <w:r>
        <w:rPr>
          <w:rFonts w:hint="eastAsia" w:ascii="宋体" w:hAnsi="宋体"/>
          <w:b/>
          <w:bCs/>
          <w:color w:val="000000"/>
          <w:kern w:val="0"/>
          <w:sz w:val="24"/>
          <w:szCs w:val="32"/>
        </w:rPr>
        <w:t>合同条款响应、偏离说明表（附件</w:t>
      </w:r>
      <w:r>
        <w:rPr>
          <w:rFonts w:ascii="宋体" w:hAnsi="宋体"/>
          <w:b/>
          <w:bCs/>
          <w:color w:val="000000"/>
          <w:kern w:val="0"/>
          <w:sz w:val="24"/>
          <w:szCs w:val="32"/>
        </w:rPr>
        <w:t>3</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hAnsi="宋体"/>
          <w:b/>
          <w:bCs/>
          <w:color w:val="000000"/>
          <w:kern w:val="0"/>
          <w:sz w:val="24"/>
          <w:szCs w:val="32"/>
        </w:rPr>
      </w:pPr>
      <w:r>
        <w:rPr>
          <w:rFonts w:hint="eastAsia" w:ascii="宋体" w:hAnsi="宋体"/>
          <w:b/>
          <w:bCs/>
          <w:color w:val="000000"/>
          <w:kern w:val="0"/>
          <w:sz w:val="24"/>
          <w:szCs w:val="32"/>
        </w:rPr>
        <w:t>法定代表人授权书（附件</w:t>
      </w:r>
      <w:r>
        <w:rPr>
          <w:rFonts w:ascii="宋体" w:hAnsi="宋体"/>
          <w:b/>
          <w:bCs/>
          <w:color w:val="000000"/>
          <w:kern w:val="0"/>
          <w:sz w:val="24"/>
          <w:szCs w:val="32"/>
        </w:rPr>
        <w:t>4</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投标书（附件</w:t>
      </w:r>
      <w:r>
        <w:rPr>
          <w:rFonts w:ascii="宋体" w:hAnsi="宋体"/>
          <w:b/>
          <w:bCs/>
          <w:color w:val="000000"/>
          <w:kern w:val="0"/>
          <w:sz w:val="24"/>
          <w:szCs w:val="32"/>
        </w:rPr>
        <w:t>5</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hAnsi="宋体"/>
          <w:b/>
          <w:bCs/>
          <w:color w:val="000000"/>
          <w:kern w:val="0"/>
          <w:sz w:val="24"/>
          <w:szCs w:val="32"/>
        </w:rPr>
      </w:pPr>
      <w:r>
        <w:rPr>
          <w:rFonts w:hint="eastAsia" w:ascii="宋体" w:hAnsi="宋体"/>
          <w:b/>
          <w:bCs/>
          <w:color w:val="000000"/>
          <w:kern w:val="0"/>
          <w:sz w:val="24"/>
          <w:szCs w:val="32"/>
        </w:rPr>
        <w:t>开标一览表（附件</w:t>
      </w:r>
      <w:r>
        <w:rPr>
          <w:rFonts w:ascii="宋体" w:hAnsi="宋体"/>
          <w:b/>
          <w:bCs/>
          <w:color w:val="000000"/>
          <w:kern w:val="0"/>
          <w:sz w:val="24"/>
          <w:szCs w:val="32"/>
        </w:rPr>
        <w:t>6</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hAnsi="宋体"/>
          <w:b/>
          <w:bCs/>
          <w:color w:val="000000"/>
          <w:kern w:val="0"/>
          <w:sz w:val="24"/>
          <w:szCs w:val="32"/>
        </w:rPr>
      </w:pPr>
      <w:r>
        <w:rPr>
          <w:rFonts w:hint="eastAsia" w:ascii="宋体" w:hAnsi="宋体"/>
          <w:b/>
          <w:bCs/>
          <w:color w:val="000000"/>
          <w:kern w:val="0"/>
          <w:sz w:val="24"/>
          <w:szCs w:val="32"/>
        </w:rPr>
        <w:t>投标报价明细表</w:t>
      </w:r>
      <w:r>
        <w:rPr>
          <w:rFonts w:ascii="宋体" w:hAnsi="宋体"/>
          <w:b/>
          <w:bCs/>
          <w:color w:val="000000"/>
          <w:kern w:val="0"/>
          <w:sz w:val="24"/>
          <w:szCs w:val="32"/>
        </w:rPr>
        <w:t>（</w:t>
      </w:r>
      <w:r>
        <w:rPr>
          <w:rFonts w:hint="eastAsia" w:ascii="宋体" w:hAnsi="宋体"/>
          <w:b/>
          <w:bCs/>
          <w:color w:val="000000"/>
          <w:kern w:val="0"/>
          <w:sz w:val="24"/>
          <w:szCs w:val="32"/>
        </w:rPr>
        <w:t>附件</w:t>
      </w:r>
      <w:r>
        <w:rPr>
          <w:rFonts w:ascii="宋体" w:hAnsi="宋体"/>
          <w:b/>
          <w:bCs/>
          <w:color w:val="000000"/>
          <w:kern w:val="0"/>
          <w:sz w:val="24"/>
          <w:szCs w:val="32"/>
        </w:rPr>
        <w:t>7）</w:t>
      </w:r>
    </w:p>
    <w:p>
      <w:pPr>
        <w:numPr>
          <w:ilvl w:val="0"/>
          <w:numId w:val="50"/>
        </w:numPr>
        <w:tabs>
          <w:tab w:val="left" w:pos="966"/>
        </w:tabs>
        <w:autoSpaceDE w:val="0"/>
        <w:autoSpaceDN w:val="0"/>
        <w:adjustRightInd w:val="0"/>
        <w:spacing w:line="360" w:lineRule="auto"/>
        <w:ind w:left="0" w:firstLine="480" w:firstLineChars="200"/>
        <w:rPr>
          <w:rFonts w:ascii="宋体" w:hAnsi="宋体"/>
          <w:b/>
          <w:bCs/>
          <w:color w:val="000000"/>
          <w:kern w:val="0"/>
          <w:sz w:val="24"/>
          <w:szCs w:val="32"/>
        </w:rPr>
      </w:pPr>
      <w:r>
        <w:rPr>
          <w:rFonts w:hint="eastAsia" w:ascii="宋体" w:hAnsi="宋体"/>
          <w:b/>
          <w:bCs/>
          <w:color w:val="000000"/>
          <w:kern w:val="0"/>
          <w:sz w:val="24"/>
          <w:szCs w:val="32"/>
        </w:rPr>
        <w:t>中小企业声明函（附件</w:t>
      </w:r>
      <w:r>
        <w:rPr>
          <w:rFonts w:ascii="宋体" w:hAnsi="宋体"/>
          <w:b/>
          <w:bCs/>
          <w:color w:val="000000"/>
          <w:kern w:val="0"/>
          <w:sz w:val="24"/>
          <w:szCs w:val="32"/>
        </w:rPr>
        <w:t>8</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中小企业划型标准（附件</w:t>
      </w:r>
      <w:r>
        <w:rPr>
          <w:rFonts w:ascii="宋体" w:hAnsi="宋体"/>
          <w:b/>
          <w:bCs/>
          <w:color w:val="000000"/>
          <w:kern w:val="0"/>
          <w:sz w:val="24"/>
          <w:szCs w:val="32"/>
        </w:rPr>
        <w:t>9</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残疾人福利性单位声明函（附件</w:t>
      </w:r>
      <w:r>
        <w:rPr>
          <w:rFonts w:ascii="宋体" w:hAnsi="宋体"/>
          <w:b/>
          <w:bCs/>
          <w:color w:val="000000"/>
          <w:kern w:val="0"/>
          <w:sz w:val="24"/>
          <w:szCs w:val="32"/>
        </w:rPr>
        <w:t>10</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b/>
          <w:bCs/>
          <w:color w:val="000000"/>
          <w:kern w:val="0"/>
          <w:sz w:val="24"/>
          <w:szCs w:val="32"/>
        </w:rPr>
        <w:t>省级以上监狱管理局、戒毒管理局（含新疆生产建设兵团）出具的属于监狱企业的证明文件（附件</w:t>
      </w:r>
      <w:r>
        <w:rPr>
          <w:rFonts w:ascii="宋体"/>
          <w:b/>
          <w:bCs/>
          <w:color w:val="000000"/>
          <w:kern w:val="0"/>
          <w:sz w:val="24"/>
          <w:szCs w:val="32"/>
        </w:rPr>
        <w:t>11</w:t>
      </w:r>
      <w:r>
        <w:rPr>
          <w:rFonts w:hint="eastAsia" w:ascii="宋体"/>
          <w:b/>
          <w:bCs/>
          <w:color w:val="000000"/>
          <w:kern w:val="0"/>
          <w:sz w:val="24"/>
          <w:szCs w:val="32"/>
        </w:rPr>
        <w:t>）</w:t>
      </w:r>
      <w:r>
        <w:rPr>
          <w:rFonts w:asci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b/>
          <w:bCs/>
          <w:color w:val="000000"/>
          <w:kern w:val="0"/>
          <w:sz w:val="24"/>
          <w:szCs w:val="32"/>
        </w:rPr>
        <w:t>节能环保产品证明文件</w:t>
      </w:r>
      <w:r>
        <w:rPr>
          <w:rFonts w:hint="eastAsia" w:ascii="宋体" w:hAnsi="宋体"/>
          <w:b/>
          <w:bCs/>
          <w:color w:val="000000"/>
          <w:kern w:val="0"/>
          <w:sz w:val="24"/>
          <w:szCs w:val="32"/>
        </w:rPr>
        <w:t>（附件</w:t>
      </w:r>
      <w:r>
        <w:rPr>
          <w:rFonts w:ascii="宋体" w:hAnsi="宋体"/>
          <w:b/>
          <w:bCs/>
          <w:color w:val="000000"/>
          <w:kern w:val="0"/>
          <w:sz w:val="24"/>
          <w:szCs w:val="32"/>
        </w:rPr>
        <w:t>12</w:t>
      </w:r>
      <w:r>
        <w:rPr>
          <w:rFonts w:hint="eastAsia" w:ascii="宋体" w:hAnsi="宋体"/>
          <w:b/>
          <w:bCs/>
          <w:color w:val="000000"/>
          <w:kern w:val="0"/>
          <w:sz w:val="24"/>
          <w:szCs w:val="32"/>
        </w:rPr>
        <w:t>）</w:t>
      </w:r>
      <w:r>
        <w:rPr>
          <w:rFonts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投标人的资格声明（附件</w:t>
      </w:r>
      <w:r>
        <w:rPr>
          <w:rFonts w:ascii="宋体" w:hAnsi="宋体"/>
          <w:b/>
          <w:bCs/>
          <w:color w:val="000000"/>
          <w:kern w:val="0"/>
          <w:sz w:val="24"/>
          <w:szCs w:val="32"/>
        </w:rPr>
        <w:t>13</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项目负责人简历表（附件</w:t>
      </w:r>
      <w:r>
        <w:rPr>
          <w:rFonts w:ascii="宋体" w:hAnsi="宋体"/>
          <w:b/>
          <w:bCs/>
          <w:color w:val="000000"/>
          <w:kern w:val="0"/>
          <w:sz w:val="24"/>
          <w:szCs w:val="32"/>
        </w:rPr>
        <w:t>14</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项目班子成员情况表（附件</w:t>
      </w:r>
      <w:r>
        <w:rPr>
          <w:rFonts w:ascii="宋体" w:hAnsi="宋体"/>
          <w:b/>
          <w:bCs/>
          <w:color w:val="000000"/>
          <w:kern w:val="0"/>
          <w:sz w:val="24"/>
          <w:szCs w:val="32"/>
        </w:rPr>
        <w:t>15</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投标人类似项目业绩表（附件</w:t>
      </w:r>
      <w:r>
        <w:rPr>
          <w:rFonts w:ascii="宋体" w:hAnsi="宋体"/>
          <w:b/>
          <w:bCs/>
          <w:color w:val="000000"/>
          <w:kern w:val="0"/>
          <w:sz w:val="24"/>
          <w:szCs w:val="32"/>
        </w:rPr>
        <w:t>16</w:t>
      </w:r>
      <w:r>
        <w:rPr>
          <w:rFonts w:hint="eastAsia" w:ascii="宋体" w:hAnsi="宋体"/>
          <w:b/>
          <w:bCs/>
          <w:color w:val="000000"/>
          <w:kern w:val="0"/>
          <w:sz w:val="24"/>
          <w:szCs w:val="32"/>
        </w:rPr>
        <w:t>）；</w:t>
      </w:r>
    </w:p>
    <w:p>
      <w:pPr>
        <w:numPr>
          <w:ilvl w:val="0"/>
          <w:numId w:val="50"/>
        </w:numPr>
        <w:tabs>
          <w:tab w:val="left" w:pos="966"/>
        </w:tabs>
        <w:autoSpaceDE w:val="0"/>
        <w:autoSpaceDN w:val="0"/>
        <w:adjustRightInd w:val="0"/>
        <w:spacing w:line="360" w:lineRule="auto"/>
        <w:ind w:left="0" w:firstLine="480" w:firstLineChars="200"/>
        <w:rPr>
          <w:rFonts w:ascii="宋体"/>
          <w:color w:val="000000"/>
          <w:kern w:val="0"/>
          <w:sz w:val="24"/>
          <w:szCs w:val="32"/>
        </w:rPr>
      </w:pPr>
      <w:r>
        <w:rPr>
          <w:rFonts w:hint="eastAsia" w:ascii="宋体" w:hAnsi="宋体"/>
          <w:b/>
          <w:bCs/>
          <w:color w:val="000000"/>
          <w:kern w:val="0"/>
          <w:sz w:val="24"/>
          <w:szCs w:val="32"/>
        </w:rPr>
        <w:t>招标文件要求提供或投标人认为需提供的其它资料</w:t>
      </w:r>
      <w:r>
        <w:rPr>
          <w:rFonts w:ascii="宋体" w:hAnsi="宋体"/>
          <w:b/>
          <w:bCs/>
          <w:color w:val="000000"/>
          <w:kern w:val="0"/>
          <w:sz w:val="24"/>
          <w:szCs w:val="32"/>
        </w:rPr>
        <w:t>（</w:t>
      </w:r>
      <w:r>
        <w:rPr>
          <w:rFonts w:hint="eastAsia" w:ascii="宋体" w:hAnsi="宋体"/>
          <w:b/>
          <w:bCs/>
          <w:color w:val="000000"/>
          <w:kern w:val="0"/>
          <w:sz w:val="24"/>
          <w:szCs w:val="32"/>
        </w:rPr>
        <w:t>如有</w:t>
      </w:r>
      <w:r>
        <w:rPr>
          <w:rFonts w:ascii="宋体" w:hAnsi="宋体"/>
          <w:b/>
          <w:bCs/>
          <w:color w:val="000000"/>
          <w:kern w:val="0"/>
          <w:sz w:val="24"/>
          <w:szCs w:val="32"/>
        </w:rPr>
        <w:t>，</w:t>
      </w:r>
      <w:r>
        <w:rPr>
          <w:rFonts w:hint="eastAsia" w:ascii="宋体" w:hAnsi="宋体"/>
          <w:b/>
          <w:bCs/>
          <w:color w:val="000000"/>
          <w:kern w:val="0"/>
          <w:sz w:val="24"/>
          <w:szCs w:val="32"/>
        </w:rPr>
        <w:t>投标人自行编写</w:t>
      </w:r>
      <w:r>
        <w:rPr>
          <w:rFonts w:ascii="宋体" w:hAnsi="宋体"/>
          <w:b/>
          <w:bCs/>
          <w:color w:val="000000"/>
          <w:kern w:val="0"/>
          <w:sz w:val="24"/>
          <w:szCs w:val="32"/>
        </w:rPr>
        <w:t>）</w:t>
      </w:r>
      <w:r>
        <w:rPr>
          <w:rFonts w:hint="eastAsia" w:ascii="宋体" w:hAnsi="宋体"/>
          <w:b/>
          <w:bCs/>
          <w:color w:val="000000"/>
          <w:kern w:val="0"/>
          <w:sz w:val="24"/>
          <w:szCs w:val="32"/>
        </w:rPr>
        <w:t>。</w:t>
      </w:r>
    </w:p>
    <w:p>
      <w:pPr>
        <w:tabs>
          <w:tab w:val="left" w:pos="966"/>
        </w:tabs>
        <w:autoSpaceDE w:val="0"/>
        <w:autoSpaceDN w:val="0"/>
        <w:adjustRightInd w:val="0"/>
        <w:spacing w:line="360" w:lineRule="auto"/>
        <w:ind w:left="480"/>
        <w:rPr>
          <w:rFonts w:ascii="宋体"/>
          <w:color w:val="000000"/>
          <w:kern w:val="0"/>
          <w:sz w:val="24"/>
          <w:szCs w:val="32"/>
        </w:rPr>
      </w:pPr>
    </w:p>
    <w:p>
      <w:pPr>
        <w:rPr>
          <w:color w:val="000000"/>
        </w:rPr>
      </w:pPr>
      <w:r>
        <w:rPr>
          <w:color w:val="000000"/>
        </w:rPr>
        <w:br w:type="page"/>
      </w:r>
    </w:p>
    <w:p>
      <w:pPr>
        <w:spacing w:beforeLines="100" w:line="360" w:lineRule="auto"/>
        <w:jc w:val="center"/>
        <w:rPr>
          <w:rFonts w:hint="eastAsia" w:ascii="宋体" w:hAnsi="宋体"/>
          <w:b/>
          <w:color w:val="000000"/>
          <w:sz w:val="44"/>
          <w:szCs w:val="44"/>
        </w:rPr>
      </w:pPr>
      <w:bookmarkStart w:id="152" w:name="_Toc511894526"/>
      <w:bookmarkStart w:id="153" w:name="_Toc494665949"/>
      <w:bookmarkStart w:id="154" w:name="_Toc494702269"/>
      <w:bookmarkStart w:id="155" w:name="_Toc494665552"/>
      <w:bookmarkStart w:id="156" w:name="_Toc494664999"/>
      <w:bookmarkStart w:id="157" w:name="_Toc2252901"/>
      <w:bookmarkStart w:id="158" w:name="_Toc494745316"/>
      <w:bookmarkStart w:id="159" w:name="_Toc494721099"/>
    </w:p>
    <w:p>
      <w:pPr>
        <w:spacing w:beforeLines="100" w:line="360" w:lineRule="auto"/>
        <w:jc w:val="center"/>
        <w:rPr>
          <w:rFonts w:ascii="宋体" w:hAnsi="宋体"/>
          <w:b/>
          <w:bCs/>
          <w:color w:val="000000"/>
          <w:sz w:val="30"/>
          <w:szCs w:val="30"/>
        </w:rPr>
      </w:pPr>
      <w:r>
        <w:rPr>
          <w:rFonts w:hint="eastAsia" w:ascii="宋体" w:hAnsi="宋体"/>
          <w:b/>
          <w:color w:val="000000"/>
          <w:sz w:val="44"/>
          <w:szCs w:val="44"/>
        </w:rPr>
        <w:t>第三部分</w:t>
      </w:r>
      <w:r>
        <w:rPr>
          <w:rFonts w:ascii="宋体" w:hAnsi="宋体"/>
          <w:b/>
          <w:color w:val="000000"/>
          <w:sz w:val="44"/>
          <w:szCs w:val="44"/>
        </w:rPr>
        <w:t xml:space="preserve"> </w:t>
      </w:r>
      <w:r>
        <w:rPr>
          <w:rFonts w:hint="eastAsia" w:ascii="宋体" w:hAnsi="宋体"/>
          <w:b/>
          <w:color w:val="000000"/>
          <w:sz w:val="44"/>
          <w:szCs w:val="44"/>
        </w:rPr>
        <w:t>技术、服务文件</w:t>
      </w:r>
      <w:bookmarkEnd w:id="152"/>
      <w:bookmarkEnd w:id="153"/>
      <w:bookmarkEnd w:id="154"/>
      <w:bookmarkEnd w:id="155"/>
      <w:bookmarkEnd w:id="156"/>
      <w:bookmarkEnd w:id="157"/>
      <w:bookmarkEnd w:id="158"/>
      <w:bookmarkEnd w:id="159"/>
    </w:p>
    <w:p>
      <w:pPr>
        <w:autoSpaceDE w:val="0"/>
        <w:autoSpaceDN w:val="0"/>
        <w:adjustRightInd w:val="0"/>
        <w:spacing w:line="360" w:lineRule="auto"/>
        <w:ind w:firstLine="480" w:firstLineChars="200"/>
        <w:rPr>
          <w:rFonts w:ascii="宋体" w:hAnsi="宋体"/>
          <w:color w:val="000000"/>
          <w:kern w:val="0"/>
          <w:sz w:val="24"/>
          <w:szCs w:val="32"/>
        </w:rPr>
      </w:pPr>
    </w:p>
    <w:p>
      <w:pPr>
        <w:autoSpaceDE w:val="0"/>
        <w:autoSpaceDN w:val="0"/>
        <w:adjustRightInd w:val="0"/>
        <w:spacing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w:t>
      </w:r>
      <w:r>
        <w:rPr>
          <w:rFonts w:ascii="宋体" w:hAnsi="宋体"/>
          <w:color w:val="000000"/>
          <w:kern w:val="0"/>
          <w:sz w:val="24"/>
          <w:szCs w:val="32"/>
        </w:rPr>
        <w:t>，</w:t>
      </w:r>
      <w:r>
        <w:rPr>
          <w:rFonts w:hint="eastAsia" w:ascii="宋体" w:hAnsi="宋体"/>
          <w:color w:val="000000"/>
          <w:kern w:val="0"/>
          <w:sz w:val="24"/>
          <w:szCs w:val="32"/>
        </w:rPr>
        <w:t>且内容应清晰、详尽、易于理解和评审。具体内容应包括但不限于以下内容：</w:t>
      </w:r>
    </w:p>
    <w:p>
      <w:pPr>
        <w:numPr>
          <w:ilvl w:val="0"/>
          <w:numId w:val="51"/>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技术、服务要求响应偏离说明表（附件</w:t>
      </w:r>
      <w:r>
        <w:rPr>
          <w:rFonts w:ascii="宋体" w:hAnsi="宋体"/>
          <w:b/>
          <w:bCs/>
          <w:color w:val="000000"/>
          <w:kern w:val="0"/>
          <w:sz w:val="24"/>
          <w:szCs w:val="32"/>
        </w:rPr>
        <w:t>17</w:t>
      </w:r>
      <w:r>
        <w:rPr>
          <w:rFonts w:hint="eastAsia" w:ascii="宋体" w:hAnsi="宋体"/>
          <w:b/>
          <w:bCs/>
          <w:color w:val="000000"/>
          <w:kern w:val="0"/>
          <w:sz w:val="24"/>
          <w:szCs w:val="32"/>
        </w:rPr>
        <w:t>）</w:t>
      </w:r>
      <w:r>
        <w:rPr>
          <w:rFonts w:ascii="宋体" w:hAnsi="宋体"/>
          <w:b/>
          <w:bCs/>
          <w:color w:val="000000"/>
          <w:kern w:val="0"/>
          <w:sz w:val="24"/>
          <w:szCs w:val="32"/>
        </w:rPr>
        <w:t>；</w:t>
      </w:r>
    </w:p>
    <w:p>
      <w:pPr>
        <w:numPr>
          <w:ilvl w:val="0"/>
          <w:numId w:val="51"/>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投标服务介绍，项目服务方案；</w:t>
      </w:r>
    </w:p>
    <w:p>
      <w:pPr>
        <w:numPr>
          <w:ilvl w:val="0"/>
          <w:numId w:val="51"/>
        </w:numPr>
        <w:tabs>
          <w:tab w:val="left" w:pos="966"/>
        </w:tabs>
        <w:autoSpaceDE w:val="0"/>
        <w:autoSpaceDN w:val="0"/>
        <w:adjustRightInd w:val="0"/>
        <w:spacing w:line="360" w:lineRule="auto"/>
        <w:ind w:left="0" w:firstLine="480" w:firstLineChars="200"/>
        <w:rPr>
          <w:rFonts w:ascii="宋体"/>
          <w:b/>
          <w:bCs/>
          <w:color w:val="000000"/>
          <w:kern w:val="0"/>
          <w:sz w:val="24"/>
          <w:szCs w:val="32"/>
        </w:rPr>
      </w:pPr>
      <w:r>
        <w:rPr>
          <w:rFonts w:hint="eastAsia" w:ascii="宋体" w:hAnsi="宋体"/>
          <w:b/>
          <w:bCs/>
          <w:color w:val="000000"/>
          <w:kern w:val="0"/>
          <w:sz w:val="24"/>
          <w:szCs w:val="32"/>
        </w:rPr>
        <w:t>招标文件要求提供或投标人认为需提供的其它资料</w:t>
      </w:r>
      <w:r>
        <w:rPr>
          <w:rFonts w:ascii="宋体" w:hAnsi="宋体"/>
          <w:b/>
          <w:bCs/>
          <w:color w:val="000000"/>
          <w:kern w:val="0"/>
          <w:sz w:val="24"/>
          <w:szCs w:val="32"/>
        </w:rPr>
        <w:t>（</w:t>
      </w:r>
      <w:r>
        <w:rPr>
          <w:rFonts w:hint="eastAsia" w:ascii="宋体" w:hAnsi="宋体"/>
          <w:b/>
          <w:bCs/>
          <w:color w:val="000000"/>
          <w:kern w:val="0"/>
          <w:sz w:val="24"/>
          <w:szCs w:val="32"/>
        </w:rPr>
        <w:t>如有</w:t>
      </w:r>
      <w:r>
        <w:rPr>
          <w:rFonts w:ascii="宋体" w:hAnsi="宋体"/>
          <w:b/>
          <w:bCs/>
          <w:color w:val="000000"/>
          <w:kern w:val="0"/>
          <w:sz w:val="24"/>
          <w:szCs w:val="32"/>
        </w:rPr>
        <w:t>，</w:t>
      </w:r>
      <w:r>
        <w:rPr>
          <w:rFonts w:hint="eastAsia" w:ascii="宋体" w:hAnsi="宋体"/>
          <w:b/>
          <w:bCs/>
          <w:color w:val="000000"/>
          <w:kern w:val="0"/>
          <w:sz w:val="24"/>
          <w:szCs w:val="32"/>
        </w:rPr>
        <w:t>投标人自行编写</w:t>
      </w:r>
      <w:r>
        <w:rPr>
          <w:rFonts w:ascii="宋体" w:hAnsi="宋体"/>
          <w:b/>
          <w:bCs/>
          <w:color w:val="000000"/>
          <w:kern w:val="0"/>
          <w:sz w:val="24"/>
          <w:szCs w:val="32"/>
        </w:rPr>
        <w:t>）</w:t>
      </w:r>
      <w:r>
        <w:rPr>
          <w:rFonts w:hint="eastAsia" w:ascii="宋体" w:hAnsi="宋体"/>
          <w:b/>
          <w:bCs/>
          <w:color w:val="000000"/>
          <w:kern w:val="0"/>
          <w:sz w:val="24"/>
          <w:szCs w:val="32"/>
        </w:rPr>
        <w:t>。</w:t>
      </w:r>
    </w:p>
    <w:p>
      <w:pPr>
        <w:autoSpaceDE w:val="0"/>
        <w:autoSpaceDN w:val="0"/>
        <w:adjustRightInd w:val="0"/>
        <w:spacing w:line="360" w:lineRule="auto"/>
        <w:rPr>
          <w:rFonts w:ascii="宋体"/>
          <w:color w:val="000000"/>
          <w:kern w:val="0"/>
          <w:sz w:val="24"/>
          <w:szCs w:val="32"/>
        </w:rPr>
      </w:pPr>
    </w:p>
    <w:p>
      <w:pPr>
        <w:autoSpaceDE w:val="0"/>
        <w:autoSpaceDN w:val="0"/>
        <w:adjustRightInd w:val="0"/>
        <w:spacing w:line="360" w:lineRule="auto"/>
        <w:ind w:left="740" w:hanging="738" w:hangingChars="307"/>
        <w:rPr>
          <w:rFonts w:eastAsia="黑体"/>
          <w:b/>
          <w:iCs/>
          <w:color w:val="000000"/>
          <w:kern w:val="0"/>
          <w:sz w:val="28"/>
        </w:rPr>
      </w:pPr>
      <w:r>
        <w:rPr>
          <w:rFonts w:hint="eastAsia" w:ascii="宋体" w:hAnsi="宋体"/>
          <w:b/>
          <w:color w:val="000000"/>
          <w:kern w:val="0"/>
          <w:sz w:val="24"/>
          <w:szCs w:val="32"/>
        </w:rPr>
        <w:t>说明：</w:t>
      </w:r>
      <w:r>
        <w:rPr>
          <w:rFonts w:hint="eastAsia" w:ascii="宋体" w:hAnsi="宋体"/>
          <w:color w:val="000000"/>
          <w:kern w:val="0"/>
          <w:sz w:val="24"/>
          <w:szCs w:val="32"/>
        </w:rPr>
        <w:t>投标文件技术、服务文件的编制原则，一是按招标文件要求，提供相应说明、资料、表格以证明所投服务是否响应招标文件要求；二是对应评分标准，充分体现所投服务对于评分标准的响应程度和优势。</w:t>
      </w:r>
    </w:p>
    <w:p>
      <w:pPr>
        <w:widowControl/>
        <w:tabs>
          <w:tab w:val="right" w:leader="dot" w:pos="9514"/>
        </w:tabs>
        <w:spacing w:line="440" w:lineRule="exact"/>
        <w:jc w:val="left"/>
        <w:rPr>
          <w:rFonts w:eastAsia="黑体"/>
          <w:b/>
          <w:iCs/>
          <w:color w:val="000000"/>
          <w:kern w:val="0"/>
          <w:sz w:val="28"/>
        </w:rPr>
      </w:pPr>
    </w:p>
    <w:p>
      <w:pPr>
        <w:pStyle w:val="6"/>
        <w:rPr>
          <w:rFonts w:eastAsia="黑体"/>
          <w:iCs/>
          <w:color w:val="000000"/>
          <w:kern w:val="0"/>
        </w:rPr>
      </w:pPr>
    </w:p>
    <w:p>
      <w:pPr>
        <w:rPr>
          <w:rFonts w:eastAsia="黑体"/>
          <w:b/>
          <w:iCs/>
          <w:color w:val="000000"/>
          <w:kern w:val="0"/>
          <w:sz w:val="28"/>
        </w:rPr>
      </w:pPr>
    </w:p>
    <w:p>
      <w:pPr>
        <w:pStyle w:val="6"/>
        <w:rPr>
          <w:rFonts w:eastAsia="黑体"/>
          <w:iCs/>
          <w:color w:val="000000"/>
          <w:kern w:val="0"/>
        </w:rPr>
      </w:pPr>
    </w:p>
    <w:p>
      <w:pPr>
        <w:rPr>
          <w:rFonts w:eastAsia="黑体"/>
          <w:b/>
          <w:iCs/>
          <w:color w:val="000000"/>
          <w:kern w:val="0"/>
          <w:sz w:val="28"/>
        </w:rPr>
      </w:pPr>
    </w:p>
    <w:p>
      <w:pPr>
        <w:pStyle w:val="6"/>
        <w:rPr>
          <w:rFonts w:eastAsia="黑体"/>
          <w:iCs/>
          <w:color w:val="000000"/>
          <w:kern w:val="0"/>
        </w:rPr>
      </w:pPr>
    </w:p>
    <w:p>
      <w:pPr>
        <w:rPr>
          <w:rFonts w:eastAsia="黑体"/>
          <w:b/>
          <w:iCs/>
          <w:color w:val="000000"/>
          <w:kern w:val="0"/>
          <w:sz w:val="28"/>
        </w:rPr>
      </w:pPr>
    </w:p>
    <w:p/>
    <w:p/>
    <w:p>
      <w:pPr>
        <w:rPr>
          <w:rFonts w:hint="eastAsia" w:eastAsia="黑体"/>
          <w:iCs/>
          <w:color w:val="000000"/>
          <w:kern w:val="0"/>
          <w:sz w:val="28"/>
        </w:rPr>
      </w:pPr>
    </w:p>
    <w:p>
      <w:pPr>
        <w:rPr>
          <w:rFonts w:hint="eastAsia" w:eastAsia="黑体"/>
          <w:iCs/>
          <w:color w:val="000000"/>
          <w:kern w:val="0"/>
          <w:sz w:val="28"/>
        </w:rPr>
      </w:pPr>
    </w:p>
    <w:p>
      <w:pPr>
        <w:rPr>
          <w:rFonts w:hint="eastAsia" w:eastAsia="黑体"/>
          <w:iCs/>
          <w:color w:val="000000"/>
          <w:kern w:val="0"/>
          <w:sz w:val="28"/>
        </w:rPr>
      </w:pPr>
    </w:p>
    <w:p>
      <w:pPr>
        <w:rPr>
          <w:rFonts w:hAnsi="宋体"/>
          <w:b/>
          <w:color w:val="000000"/>
          <w:sz w:val="24"/>
        </w:rPr>
      </w:pPr>
      <w:r>
        <w:rPr>
          <w:rFonts w:hint="eastAsia" w:eastAsia="黑体"/>
          <w:iCs/>
          <w:color w:val="000000"/>
          <w:kern w:val="0"/>
          <w:sz w:val="28"/>
        </w:rPr>
        <w:t>附件</w:t>
      </w:r>
      <w:r>
        <w:rPr>
          <w:rFonts w:eastAsia="黑体"/>
          <w:iCs/>
          <w:color w:val="000000"/>
          <w:kern w:val="0"/>
          <w:sz w:val="28"/>
        </w:rPr>
        <w:t>1</w:t>
      </w:r>
      <w:r>
        <w:rPr>
          <w:rFonts w:hint="eastAsia" w:eastAsia="黑体"/>
          <w:iCs/>
          <w:color w:val="000000"/>
          <w:kern w:val="0"/>
          <w:sz w:val="28"/>
        </w:rPr>
        <w:t>:</w:t>
      </w:r>
      <w:r>
        <w:rPr>
          <w:rFonts w:eastAsia="黑体"/>
          <w:iCs/>
          <w:color w:val="000000"/>
          <w:kern w:val="0"/>
          <w:sz w:val="28"/>
        </w:rPr>
        <w:t xml:space="preserve"> </w:t>
      </w:r>
      <w:r>
        <w:rPr>
          <w:rFonts w:hint="eastAsia" w:eastAsia="黑体"/>
          <w:iCs/>
          <w:color w:val="000000"/>
          <w:kern w:val="0"/>
          <w:sz w:val="28"/>
        </w:rPr>
        <w:t>资格性响应偏离说明表</w:t>
      </w:r>
      <w:r>
        <w:rPr>
          <w:rFonts w:ascii="宋体" w:hAnsi="宋体"/>
          <w:color w:val="000000"/>
          <w:sz w:val="24"/>
        </w:rPr>
        <w:t xml:space="preserve">    </w:t>
      </w:r>
      <w:r>
        <w:rPr>
          <w:rFonts w:ascii="宋体" w:hAnsi="宋体"/>
          <w:b/>
          <w:bCs/>
          <w:color w:val="000000"/>
          <w:sz w:val="24"/>
        </w:rPr>
        <w:t xml:space="preserve">               </w:t>
      </w:r>
    </w:p>
    <w:tbl>
      <w:tblPr>
        <w:tblStyle w:val="35"/>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1"/>
        <w:gridCol w:w="3729"/>
        <w:gridCol w:w="3745"/>
        <w:gridCol w:w="1443"/>
      </w:tblGrid>
      <w:tr>
        <w:trPr>
          <w:trHeight w:val="450" w:hRule="atLeast"/>
          <w:jc w:val="center"/>
        </w:trPr>
        <w:tc>
          <w:tcPr>
            <w:tcW w:w="680" w:type="dxa"/>
            <w:shd w:val="clear" w:color="auto" w:fill="F2F2F2"/>
            <w:vAlign w:val="center"/>
          </w:tcPr>
          <w:p>
            <w:pPr>
              <w:spacing w:before="100" w:beforeAutospacing="1" w:after="100" w:afterAutospacing="1"/>
              <w:ind w:left="-105" w:leftChars="-50" w:right="-105" w:rightChars="-50"/>
              <w:jc w:val="center"/>
              <w:rPr>
                <w:rFonts w:ascii="宋体" w:cs="仿宋_GB2312"/>
                <w:b/>
                <w:color w:val="000000"/>
                <w:sz w:val="24"/>
                <w:szCs w:val="24"/>
              </w:rPr>
            </w:pPr>
            <w:r>
              <w:rPr>
                <w:rFonts w:hint="eastAsia" w:ascii="宋体" w:hAnsi="宋体" w:cs="仿宋_GB2312"/>
                <w:b/>
                <w:color w:val="000000"/>
                <w:sz w:val="24"/>
                <w:szCs w:val="24"/>
              </w:rPr>
              <w:t>序号</w:t>
            </w:r>
          </w:p>
        </w:tc>
        <w:tc>
          <w:tcPr>
            <w:tcW w:w="3512"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资格性审查内容</w:t>
            </w:r>
          </w:p>
        </w:tc>
        <w:tc>
          <w:tcPr>
            <w:tcW w:w="3527"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投标响应内容对应简述</w:t>
            </w:r>
          </w:p>
        </w:tc>
        <w:tc>
          <w:tcPr>
            <w:tcW w:w="1359"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偏离说明</w:t>
            </w:r>
            <w:r>
              <w:rPr>
                <w:rFonts w:ascii="宋体" w:hAnsi="宋体" w:cs="仿宋_GB2312"/>
                <w:b/>
                <w:color w:val="000000"/>
                <w:sz w:val="24"/>
                <w:szCs w:val="24"/>
              </w:rPr>
              <w:t xml:space="preserve">  </w:t>
            </w:r>
            <w:r>
              <w:rPr>
                <w:rFonts w:hint="eastAsia" w:ascii="宋体" w:hAnsi="宋体" w:cs="仿宋_GB2312"/>
                <w:b/>
                <w:color w:val="000000"/>
                <w:sz w:val="24"/>
                <w:szCs w:val="24"/>
              </w:rPr>
              <w:t>及页码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4" w:hRule="atLeast"/>
          <w:jc w:val="center"/>
        </w:trPr>
        <w:tc>
          <w:tcPr>
            <w:tcW w:w="680" w:type="dxa"/>
            <w:vAlign w:val="center"/>
          </w:tcPr>
          <w:p>
            <w:pPr>
              <w:numPr>
                <w:ilvl w:val="0"/>
                <w:numId w:val="52"/>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numPr>
                <w:ilvl w:val="0"/>
                <w:numId w:val="52"/>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numPr>
                <w:ilvl w:val="0"/>
                <w:numId w:val="52"/>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numPr>
                <w:ilvl w:val="0"/>
                <w:numId w:val="52"/>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numPr>
                <w:ilvl w:val="0"/>
                <w:numId w:val="52"/>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numPr>
                <w:ilvl w:val="0"/>
                <w:numId w:val="52"/>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jc w:val="center"/>
              <w:rPr>
                <w:rFonts w:ascii="宋体" w:cs="仿宋_GB2312"/>
                <w:color w:val="000000"/>
                <w:sz w:val="24"/>
                <w:szCs w:val="24"/>
              </w:rPr>
            </w:pPr>
            <w:r>
              <w:rPr>
                <w:rFonts w:hint="eastAsia" w:ascii="宋体" w:hAnsi="宋体" w:cs="仿宋_GB2312"/>
                <w:color w:val="000000"/>
                <w:sz w:val="24"/>
                <w:szCs w:val="24"/>
              </w:rPr>
              <w:t>…</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bl>
    <w:p>
      <w:pPr>
        <w:spacing w:line="360" w:lineRule="auto"/>
        <w:ind w:firstLine="480" w:firstLineChars="200"/>
        <w:jc w:val="left"/>
        <w:rPr>
          <w:rFonts w:ascii="宋体"/>
          <w:b/>
          <w:color w:val="000000"/>
          <w:sz w:val="24"/>
          <w:szCs w:val="24"/>
        </w:rPr>
      </w:pPr>
      <w:r>
        <w:rPr>
          <w:rFonts w:hint="eastAsia" w:ascii="宋体" w:hAnsi="宋体" w:cs="Corbel"/>
          <w:b/>
          <w:bCs/>
          <w:color w:val="000000"/>
          <w:sz w:val="24"/>
          <w:szCs w:val="24"/>
        </w:rPr>
        <w:t>说明</w:t>
      </w:r>
      <w:r>
        <w:rPr>
          <w:rFonts w:ascii="宋体" w:hAnsi="宋体" w:cs="Corbel"/>
          <w:b/>
          <w:bCs/>
          <w:color w:val="000000"/>
          <w:sz w:val="24"/>
          <w:szCs w:val="24"/>
        </w:rPr>
        <w:t>：</w:t>
      </w:r>
      <w:r>
        <w:rPr>
          <w:rFonts w:hint="eastAsia" w:ascii="宋体" w:hAnsi="宋体" w:cs="Corbel"/>
          <w:color w:val="000000"/>
          <w:sz w:val="24"/>
          <w:szCs w:val="24"/>
        </w:rPr>
        <w:t>投标人应按招标文件第四章“资格审查方法及标准”</w:t>
      </w:r>
      <w:r>
        <w:rPr>
          <w:rFonts w:hint="eastAsia" w:ascii="宋体" w:hAnsi="宋体"/>
          <w:color w:val="000000"/>
          <w:kern w:val="0"/>
          <w:sz w:val="24"/>
          <w:szCs w:val="32"/>
        </w:rPr>
        <w:t>中</w:t>
      </w:r>
      <w:r>
        <w:rPr>
          <w:rFonts w:ascii="宋体" w:hAnsi="宋体"/>
          <w:color w:val="000000"/>
          <w:kern w:val="0"/>
          <w:sz w:val="24"/>
          <w:szCs w:val="32"/>
        </w:rPr>
        <w:t>《</w:t>
      </w:r>
      <w:r>
        <w:rPr>
          <w:rFonts w:hint="eastAsia" w:ascii="宋体" w:hAnsi="宋体"/>
          <w:color w:val="000000"/>
          <w:kern w:val="0"/>
          <w:sz w:val="24"/>
          <w:szCs w:val="32"/>
        </w:rPr>
        <w:t>资格性审查表</w:t>
      </w:r>
      <w:r>
        <w:rPr>
          <w:rFonts w:ascii="宋体" w:hAnsi="宋体"/>
          <w:color w:val="000000"/>
          <w:kern w:val="0"/>
          <w:sz w:val="24"/>
          <w:szCs w:val="32"/>
        </w:rPr>
        <w:t>》</w:t>
      </w:r>
      <w:r>
        <w:rPr>
          <w:rFonts w:hint="eastAsia" w:ascii="宋体" w:hAnsi="宋体" w:cs="Corbel"/>
          <w:color w:val="000000"/>
          <w:sz w:val="24"/>
          <w:szCs w:val="24"/>
        </w:rPr>
        <w:t>的条款逐项说明是否满足要求</w:t>
      </w:r>
      <w:r>
        <w:rPr>
          <w:rFonts w:ascii="宋体" w:hAnsi="宋体" w:cs="Corbel"/>
          <w:color w:val="000000"/>
          <w:sz w:val="24"/>
          <w:szCs w:val="24"/>
        </w:rPr>
        <w:t>，</w:t>
      </w:r>
      <w:r>
        <w:rPr>
          <w:rFonts w:hint="eastAsia" w:ascii="宋体" w:hAnsi="宋体" w:cs="Corbel"/>
          <w:color w:val="000000"/>
          <w:sz w:val="24"/>
          <w:szCs w:val="24"/>
        </w:rPr>
        <w:t>如有偏离</w:t>
      </w:r>
      <w:r>
        <w:rPr>
          <w:rFonts w:ascii="宋体" w:cs="Corbel"/>
          <w:color w:val="000000"/>
          <w:sz w:val="24"/>
          <w:szCs w:val="24"/>
        </w:rPr>
        <w:t>,</w:t>
      </w:r>
      <w:r>
        <w:rPr>
          <w:rFonts w:hint="eastAsia" w:ascii="宋体" w:hAnsi="宋体" w:cs="Corbel"/>
          <w:color w:val="000000"/>
          <w:sz w:val="24"/>
          <w:szCs w:val="24"/>
        </w:rPr>
        <w:t>投标人应详细说明</w:t>
      </w:r>
      <w:r>
        <w:rPr>
          <w:rFonts w:ascii="宋体" w:hAnsi="宋体" w:cs="Corbel"/>
          <w:color w:val="000000"/>
          <w:sz w:val="24"/>
          <w:szCs w:val="24"/>
        </w:rPr>
        <w:t>。</w:t>
      </w:r>
      <w:r>
        <w:rPr>
          <w:rFonts w:hint="eastAsia" w:ascii="宋体" w:hAnsi="宋体" w:cs="Corbel"/>
          <w:color w:val="000000"/>
          <w:sz w:val="24"/>
          <w:szCs w:val="24"/>
        </w:rPr>
        <w:t>如果仅注明“符合”、“满足”或简单复制招标文件要求，造成无法审查的</w:t>
      </w:r>
      <w:r>
        <w:rPr>
          <w:rFonts w:ascii="宋体" w:hAnsi="宋体" w:cs="Corbel"/>
          <w:color w:val="000000"/>
          <w:sz w:val="24"/>
          <w:szCs w:val="24"/>
        </w:rPr>
        <w:t>，</w:t>
      </w:r>
      <w:r>
        <w:rPr>
          <w:rFonts w:hint="eastAsia" w:ascii="宋体" w:hAnsi="宋体" w:cs="Corbel"/>
          <w:color w:val="000000"/>
          <w:sz w:val="24"/>
          <w:szCs w:val="24"/>
        </w:rPr>
        <w:t>可能导致投标文件无效。</w:t>
      </w:r>
    </w:p>
    <w:p>
      <w:pPr>
        <w:spacing w:line="360" w:lineRule="auto"/>
        <w:ind w:left="1120" w:leftChars="366" w:hanging="351" w:hangingChars="146"/>
        <w:jc w:val="left"/>
        <w:rPr>
          <w:rFonts w:ascii="宋体"/>
          <w:b/>
          <w:color w:val="000000"/>
          <w:sz w:val="24"/>
          <w:szCs w:val="24"/>
        </w:rPr>
      </w:pP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授权代表（签字或盖章）：</w:t>
      </w:r>
      <w:r>
        <w:rPr>
          <w:rFonts w:hAnsi="宋体"/>
          <w:b/>
          <w:bCs/>
          <w:color w:val="000000"/>
          <w:sz w:val="24"/>
          <w:u w:val="single"/>
        </w:rPr>
        <w:t xml:space="preserve">                  </w:t>
      </w:r>
    </w:p>
    <w:p>
      <w:pPr>
        <w:pStyle w:val="6"/>
        <w:sectPr>
          <w:pgSz w:w="11906" w:h="16838"/>
          <w:pgMar w:top="1247" w:right="1247" w:bottom="1247" w:left="1247" w:header="851" w:footer="850" w:gutter="0"/>
          <w:cols w:space="0" w:num="1"/>
          <w:docGrid w:type="lines" w:linePitch="312" w:charSpace="0"/>
        </w:sect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r>
        <w:rPr>
          <w:rFonts w:hAnsi="宋体"/>
          <w:color w:val="000000"/>
          <w:sz w:val="24"/>
          <w:u w:val="single"/>
        </w:rPr>
        <w:t xml:space="preserve">                               </w:t>
      </w:r>
    </w:p>
    <w:p>
      <w:bookmarkStart w:id="160" w:name="_Toc511894528"/>
      <w:bookmarkStart w:id="161" w:name="_Toc2252903"/>
    </w:p>
    <w:p/>
    <w:p>
      <w:pPr>
        <w:rPr>
          <w:rFonts w:ascii="Cambria" w:hAnsi="Cambria" w:eastAsia="黑体"/>
          <w:iCs/>
          <w:color w:val="000000"/>
          <w:kern w:val="0"/>
          <w:sz w:val="28"/>
          <w:szCs w:val="28"/>
        </w:rPr>
      </w:pPr>
      <w:bookmarkStart w:id="162" w:name="_Toc2252920"/>
      <w:bookmarkStart w:id="163" w:name="_Toc511895484"/>
      <w:bookmarkStart w:id="164" w:name="_Toc511894543"/>
      <w:r>
        <w:rPr>
          <w:rFonts w:hint="eastAsia" w:ascii="Cambria" w:hAnsi="Cambria" w:eastAsia="黑体"/>
          <w:iCs/>
          <w:color w:val="000000"/>
          <w:kern w:val="0"/>
          <w:sz w:val="28"/>
          <w:szCs w:val="28"/>
        </w:rPr>
        <w:t>附件</w:t>
      </w:r>
      <w:r>
        <w:rPr>
          <w:rFonts w:ascii="Cambria" w:hAnsi="Cambria" w:eastAsia="黑体"/>
          <w:iCs/>
          <w:color w:val="000000"/>
          <w:kern w:val="0"/>
          <w:sz w:val="28"/>
          <w:szCs w:val="28"/>
        </w:rPr>
        <w:t>2</w:t>
      </w:r>
      <w:r>
        <w:rPr>
          <w:rFonts w:hint="eastAsia" w:ascii="Cambria" w:hAnsi="Cambria" w:eastAsia="黑体"/>
          <w:iCs/>
          <w:color w:val="000000"/>
          <w:kern w:val="0"/>
          <w:sz w:val="28"/>
          <w:szCs w:val="28"/>
        </w:rPr>
        <w:t>:</w:t>
      </w:r>
      <w:r>
        <w:rPr>
          <w:rFonts w:ascii="Cambria" w:hAnsi="Cambria" w:eastAsia="黑体"/>
          <w:iCs/>
          <w:color w:val="000000"/>
          <w:kern w:val="0"/>
          <w:sz w:val="28"/>
          <w:szCs w:val="28"/>
        </w:rPr>
        <w:t xml:space="preserve"> </w:t>
      </w:r>
      <w:r>
        <w:rPr>
          <w:rFonts w:hint="eastAsia" w:ascii="Cambria" w:hAnsi="Cambria" w:eastAsia="黑体"/>
          <w:iCs/>
          <w:color w:val="000000"/>
          <w:kern w:val="0"/>
          <w:sz w:val="28"/>
          <w:szCs w:val="28"/>
        </w:rPr>
        <w:t>符合性审查对照表</w:t>
      </w:r>
      <w:bookmarkEnd w:id="162"/>
      <w:bookmarkEnd w:id="163"/>
      <w:bookmarkEnd w:id="164"/>
    </w:p>
    <w:tbl>
      <w:tblPr>
        <w:tblStyle w:val="35"/>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1"/>
        <w:gridCol w:w="3729"/>
        <w:gridCol w:w="3745"/>
        <w:gridCol w:w="1443"/>
      </w:tblGrid>
      <w:tr>
        <w:trPr>
          <w:trHeight w:val="448" w:hRule="atLeast"/>
          <w:jc w:val="center"/>
        </w:trPr>
        <w:tc>
          <w:tcPr>
            <w:tcW w:w="680" w:type="dxa"/>
            <w:shd w:val="clear" w:color="auto" w:fill="F2F2F2"/>
            <w:vAlign w:val="center"/>
          </w:tcPr>
          <w:p>
            <w:pPr>
              <w:spacing w:before="100" w:beforeAutospacing="1" w:after="100" w:afterAutospacing="1"/>
              <w:ind w:left="-105" w:leftChars="-50" w:right="-105" w:rightChars="-50"/>
              <w:jc w:val="center"/>
              <w:rPr>
                <w:rFonts w:ascii="宋体" w:cs="仿宋_GB2312"/>
                <w:b/>
                <w:color w:val="000000"/>
                <w:sz w:val="24"/>
                <w:szCs w:val="24"/>
              </w:rPr>
            </w:pPr>
            <w:r>
              <w:rPr>
                <w:rFonts w:hint="eastAsia" w:ascii="宋体" w:hAnsi="宋体" w:cs="仿宋_GB2312"/>
                <w:b/>
                <w:color w:val="000000"/>
                <w:sz w:val="24"/>
                <w:szCs w:val="24"/>
              </w:rPr>
              <w:t>序号</w:t>
            </w:r>
          </w:p>
        </w:tc>
        <w:tc>
          <w:tcPr>
            <w:tcW w:w="3512"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符合性审查内容</w:t>
            </w:r>
          </w:p>
        </w:tc>
        <w:tc>
          <w:tcPr>
            <w:tcW w:w="3527"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投标响应内容对应简述</w:t>
            </w:r>
          </w:p>
        </w:tc>
        <w:tc>
          <w:tcPr>
            <w:tcW w:w="1359"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偏离说明</w:t>
            </w:r>
            <w:r>
              <w:rPr>
                <w:rFonts w:ascii="宋体" w:hAnsi="宋体" w:cs="仿宋_GB2312"/>
                <w:b/>
                <w:color w:val="000000"/>
                <w:sz w:val="24"/>
                <w:szCs w:val="24"/>
              </w:rPr>
              <w:t xml:space="preserve">    </w:t>
            </w:r>
            <w:r>
              <w:rPr>
                <w:rFonts w:hint="eastAsia" w:ascii="宋体" w:hAnsi="宋体" w:cs="仿宋_GB2312"/>
                <w:b/>
                <w:color w:val="000000"/>
                <w:sz w:val="24"/>
                <w:szCs w:val="24"/>
              </w:rPr>
              <w:t>及页码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4" w:hRule="atLeast"/>
          <w:jc w:val="center"/>
        </w:trPr>
        <w:tc>
          <w:tcPr>
            <w:tcW w:w="680" w:type="dxa"/>
            <w:vAlign w:val="center"/>
          </w:tcPr>
          <w:p>
            <w:r>
              <w:t>1</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4" w:hRule="atLeast"/>
          <w:jc w:val="center"/>
        </w:trPr>
        <w:tc>
          <w:tcPr>
            <w:tcW w:w="680" w:type="dxa"/>
            <w:vAlign w:val="center"/>
          </w:tcPr>
          <w:p>
            <w:r>
              <w:t>2</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r>
              <w:t>3</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r>
              <w:t>4</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r>
              <w:t>5</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r>
              <w:t>6</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r>
        <w:trPr>
          <w:trHeight w:val="754" w:hRule="atLeast"/>
          <w:jc w:val="center"/>
        </w:trPr>
        <w:tc>
          <w:tcPr>
            <w:tcW w:w="680" w:type="dxa"/>
            <w:vAlign w:val="center"/>
          </w:tcPr>
          <w:p>
            <w:pPr>
              <w:jc w:val="center"/>
              <w:rPr>
                <w:rFonts w:ascii="宋体" w:cs="仿宋_GB2312"/>
                <w:color w:val="000000"/>
                <w:sz w:val="24"/>
                <w:szCs w:val="24"/>
              </w:rPr>
            </w:pPr>
            <w:r>
              <w:rPr>
                <w:rFonts w:hint="eastAsia" w:ascii="宋体" w:hAnsi="宋体" w:cs="仿宋_GB2312"/>
                <w:color w:val="000000"/>
                <w:sz w:val="24"/>
                <w:szCs w:val="24"/>
              </w:rPr>
              <w:t>…</w:t>
            </w:r>
          </w:p>
        </w:tc>
        <w:tc>
          <w:tcPr>
            <w:tcW w:w="3512" w:type="dxa"/>
            <w:vAlign w:val="center"/>
          </w:tcPr>
          <w:p>
            <w:pPr>
              <w:jc w:val="center"/>
              <w:rPr>
                <w:rFonts w:ascii="宋体" w:cs="仿宋_GB2312"/>
                <w:color w:val="000000"/>
                <w:sz w:val="24"/>
                <w:szCs w:val="24"/>
              </w:rPr>
            </w:pPr>
          </w:p>
        </w:tc>
        <w:tc>
          <w:tcPr>
            <w:tcW w:w="3527" w:type="dxa"/>
            <w:vAlign w:val="center"/>
          </w:tcPr>
          <w:p>
            <w:pPr>
              <w:jc w:val="center"/>
              <w:rPr>
                <w:rFonts w:ascii="宋体" w:cs="仿宋_GB2312"/>
                <w:color w:val="000000"/>
                <w:sz w:val="24"/>
                <w:szCs w:val="24"/>
              </w:rPr>
            </w:pPr>
          </w:p>
        </w:tc>
        <w:tc>
          <w:tcPr>
            <w:tcW w:w="1359" w:type="dxa"/>
            <w:vAlign w:val="center"/>
          </w:tcPr>
          <w:p>
            <w:pPr>
              <w:jc w:val="center"/>
              <w:rPr>
                <w:rFonts w:ascii="宋体" w:cs="仿宋_GB2312"/>
                <w:color w:val="000000"/>
                <w:sz w:val="24"/>
                <w:szCs w:val="24"/>
              </w:rPr>
            </w:pPr>
          </w:p>
        </w:tc>
      </w:tr>
    </w:tbl>
    <w:p>
      <w:pPr>
        <w:spacing w:line="360" w:lineRule="auto"/>
        <w:ind w:firstLine="480" w:firstLineChars="200"/>
        <w:jc w:val="left"/>
        <w:rPr>
          <w:rFonts w:ascii="宋体" w:hAns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w:t>
      </w:r>
      <w:r>
        <w:rPr>
          <w:rFonts w:hint="eastAsia" w:ascii="宋体" w:hAnsi="宋体" w:cs="Corbel"/>
          <w:color w:val="000000"/>
          <w:sz w:val="24"/>
          <w:szCs w:val="24"/>
        </w:rPr>
        <w:t>投标人应按招标文件第五章“评标方法、程序及标准”</w:t>
      </w:r>
      <w:r>
        <w:rPr>
          <w:rFonts w:ascii="宋体" w:hAnsi="宋体" w:cs="Corbel"/>
          <w:color w:val="000000"/>
          <w:sz w:val="24"/>
          <w:szCs w:val="24"/>
        </w:rPr>
        <w:t>《</w:t>
      </w:r>
      <w:r>
        <w:rPr>
          <w:rFonts w:hint="eastAsia" w:ascii="宋体" w:hAnsi="宋体" w:cs="Corbel"/>
          <w:color w:val="000000"/>
          <w:sz w:val="24"/>
          <w:szCs w:val="24"/>
        </w:rPr>
        <w:t>符合性审查表</w:t>
      </w:r>
      <w:r>
        <w:rPr>
          <w:rFonts w:ascii="宋体" w:hAnsi="宋体" w:cs="Corbel"/>
          <w:color w:val="000000"/>
          <w:sz w:val="24"/>
          <w:szCs w:val="24"/>
        </w:rPr>
        <w:t>》</w:t>
      </w:r>
      <w:r>
        <w:rPr>
          <w:rFonts w:hint="eastAsia" w:ascii="宋体" w:hAnsi="宋体" w:cs="Corbel"/>
          <w:color w:val="000000"/>
          <w:sz w:val="24"/>
          <w:szCs w:val="24"/>
        </w:rPr>
        <w:t>中的条款逐项说明是否满足要求</w:t>
      </w:r>
      <w:r>
        <w:rPr>
          <w:rFonts w:ascii="宋体" w:hAnsi="宋体" w:cs="Corbel"/>
          <w:color w:val="000000"/>
          <w:sz w:val="24"/>
          <w:szCs w:val="24"/>
        </w:rPr>
        <w:t>，</w:t>
      </w:r>
      <w:r>
        <w:rPr>
          <w:rFonts w:hint="eastAsia" w:ascii="宋体" w:hAnsi="宋体" w:cs="Corbel"/>
          <w:color w:val="000000"/>
          <w:sz w:val="24"/>
          <w:szCs w:val="24"/>
        </w:rPr>
        <w:t>如有偏离</w:t>
      </w:r>
      <w:r>
        <w:rPr>
          <w:rFonts w:ascii="宋体" w:cs="Corbel"/>
          <w:color w:val="000000"/>
          <w:sz w:val="24"/>
          <w:szCs w:val="24"/>
        </w:rPr>
        <w:t>,</w:t>
      </w:r>
      <w:r>
        <w:rPr>
          <w:rFonts w:hint="eastAsia" w:ascii="宋体" w:hAnsi="宋体" w:cs="Corbel"/>
          <w:color w:val="000000"/>
          <w:sz w:val="24"/>
          <w:szCs w:val="24"/>
        </w:rPr>
        <w:t>投标人应详细说明。如果仅注明“符合”、“满足”或简单复制招标文件要求，造成无法审查的</w:t>
      </w:r>
      <w:r>
        <w:rPr>
          <w:rFonts w:ascii="宋体" w:hAnsi="宋体" w:cs="Corbel"/>
          <w:color w:val="000000"/>
          <w:sz w:val="24"/>
          <w:szCs w:val="24"/>
        </w:rPr>
        <w:t>，</w:t>
      </w:r>
      <w:r>
        <w:rPr>
          <w:rFonts w:hint="eastAsia" w:ascii="宋体" w:hAnsi="宋体" w:cs="Corbel"/>
          <w:color w:val="000000"/>
          <w:sz w:val="24"/>
          <w:szCs w:val="24"/>
        </w:rPr>
        <w:t>可能导致投标文件无效。</w:t>
      </w:r>
    </w:p>
    <w:p>
      <w:pPr>
        <w:spacing w:line="360" w:lineRule="auto"/>
        <w:jc w:val="left"/>
        <w:rPr>
          <w:rFonts w:ascii="宋体"/>
          <w:b/>
          <w:color w:val="000000"/>
          <w:sz w:val="24"/>
          <w:szCs w:val="24"/>
        </w:rPr>
      </w:pPr>
    </w:p>
    <w:p>
      <w:pPr>
        <w:spacing w:line="360" w:lineRule="auto"/>
        <w:ind w:left="1120" w:leftChars="366" w:hanging="351" w:hangingChars="146"/>
        <w:jc w:val="left"/>
        <w:rPr>
          <w:rFonts w:ascii="宋体"/>
          <w:b/>
          <w:color w:val="000000"/>
          <w:sz w:val="24"/>
          <w:szCs w:val="24"/>
        </w:rPr>
      </w:pP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授权代表（签字或盖章）：</w:t>
      </w:r>
      <w:r>
        <w:rPr>
          <w:rFonts w:hAnsi="宋体"/>
          <w:b/>
          <w:bCs/>
          <w:color w:val="000000"/>
          <w:sz w:val="24"/>
          <w:u w:val="single"/>
        </w:rPr>
        <w:t xml:space="preserve">                  </w:t>
      </w:r>
    </w:p>
    <w:p>
      <w:pPr>
        <w:spacing w:before="100" w:beforeAutospacing="1" w:after="100" w:afterAutospacing="1" w:line="360" w:lineRule="auto"/>
        <w:rPr>
          <w:rFonts w:ascii="宋体"/>
          <w:bCs/>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hAnsi="宋体"/>
          <w:b/>
          <w:bCs/>
          <w:color w:val="000000"/>
          <w:sz w:val="24"/>
          <w:u w:val="single"/>
        </w:rPr>
        <w:t xml:space="preserve">                               </w:t>
      </w:r>
    </w:p>
    <w:p>
      <w:pPr>
        <w:pStyle w:val="4"/>
        <w:numPr>
          <w:ilvl w:val="0"/>
          <w:numId w:val="53"/>
        </w:numPr>
        <w:spacing w:before="40" w:after="40" w:line="360" w:lineRule="auto"/>
        <w:ind w:left="1285" w:hanging="1281" w:hangingChars="400"/>
        <w:jc w:val="left"/>
        <w:rPr>
          <w:rFonts w:ascii="宋体"/>
          <w:bCs w:val="0"/>
          <w:color w:val="000000"/>
        </w:rPr>
        <w:sectPr>
          <w:pgSz w:w="11906" w:h="16838"/>
          <w:pgMar w:top="1247" w:right="1247" w:bottom="1247" w:left="1247" w:header="851" w:footer="850" w:gutter="0"/>
          <w:cols w:space="0" w:num="1"/>
          <w:docGrid w:type="lines" w:linePitch="312" w:charSpace="0"/>
        </w:sectPr>
      </w:pPr>
    </w:p>
    <w:p>
      <w:pPr>
        <w:rPr>
          <w:rFonts w:ascii="Cambria" w:hAnsi="Cambria" w:eastAsia="黑体"/>
          <w:iCs/>
          <w:color w:val="000000"/>
          <w:kern w:val="0"/>
          <w:sz w:val="28"/>
          <w:szCs w:val="28"/>
        </w:rPr>
      </w:pPr>
      <w:bookmarkStart w:id="165" w:name="_Toc2252921"/>
      <w:bookmarkStart w:id="166" w:name="_Toc511894544"/>
      <w:bookmarkStart w:id="167" w:name="_Toc511895485"/>
    </w:p>
    <w:p>
      <w:pPr>
        <w:rPr>
          <w:rFonts w:ascii="Cambria" w:hAnsi="Cambria" w:eastAsia="黑体"/>
          <w:iCs/>
          <w:color w:val="000000"/>
          <w:kern w:val="0"/>
          <w:sz w:val="28"/>
          <w:szCs w:val="28"/>
        </w:rPr>
      </w:pPr>
      <w:r>
        <w:rPr>
          <w:rFonts w:hint="eastAsia" w:ascii="Cambria" w:hAnsi="Cambria" w:eastAsia="黑体"/>
          <w:iCs/>
          <w:color w:val="000000"/>
          <w:kern w:val="0"/>
          <w:sz w:val="28"/>
          <w:szCs w:val="28"/>
        </w:rPr>
        <w:t>附件</w:t>
      </w:r>
      <w:r>
        <w:rPr>
          <w:rFonts w:ascii="Cambria" w:hAnsi="Cambria" w:eastAsia="黑体"/>
          <w:iCs/>
          <w:color w:val="000000"/>
          <w:kern w:val="0"/>
          <w:sz w:val="28"/>
          <w:szCs w:val="28"/>
        </w:rPr>
        <w:t>3</w:t>
      </w:r>
      <w:r>
        <w:rPr>
          <w:rFonts w:hint="eastAsia" w:ascii="Cambria" w:hAnsi="Cambria" w:eastAsia="黑体"/>
          <w:iCs/>
          <w:color w:val="000000"/>
          <w:kern w:val="0"/>
          <w:sz w:val="28"/>
          <w:szCs w:val="28"/>
        </w:rPr>
        <w:t>:</w:t>
      </w:r>
      <w:r>
        <w:rPr>
          <w:rFonts w:ascii="Cambria" w:hAnsi="Cambria" w:eastAsia="黑体"/>
          <w:iCs/>
          <w:color w:val="000000"/>
          <w:kern w:val="0"/>
          <w:sz w:val="28"/>
          <w:szCs w:val="28"/>
        </w:rPr>
        <w:t xml:space="preserve"> </w:t>
      </w:r>
      <w:r>
        <w:rPr>
          <w:rFonts w:hint="eastAsia" w:ascii="Cambria" w:hAnsi="Cambria" w:eastAsia="黑体"/>
          <w:iCs/>
          <w:color w:val="000000"/>
          <w:kern w:val="0"/>
          <w:sz w:val="28"/>
          <w:szCs w:val="28"/>
        </w:rPr>
        <w:t>合同条款响应偏离说明表</w:t>
      </w:r>
      <w:bookmarkEnd w:id="165"/>
      <w:bookmarkEnd w:id="166"/>
      <w:bookmarkEnd w:id="167"/>
    </w:p>
    <w:tbl>
      <w:tblPr>
        <w:tblStyle w:val="35"/>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3729"/>
        <w:gridCol w:w="3744"/>
        <w:gridCol w:w="1445"/>
      </w:tblGrid>
      <w:tr>
        <w:trPr>
          <w:trHeight w:val="448" w:hRule="atLeast"/>
          <w:jc w:val="center"/>
        </w:trPr>
        <w:tc>
          <w:tcPr>
            <w:tcW w:w="679" w:type="dxa"/>
            <w:shd w:val="clear" w:color="auto" w:fill="F2F2F2"/>
            <w:vAlign w:val="center"/>
          </w:tcPr>
          <w:p>
            <w:pPr>
              <w:spacing w:before="100" w:beforeAutospacing="1" w:after="100" w:afterAutospacing="1"/>
              <w:ind w:left="-105" w:leftChars="-50" w:right="-105" w:rightChars="-50"/>
              <w:jc w:val="center"/>
              <w:rPr>
                <w:rFonts w:ascii="宋体" w:cs="仿宋_GB2312"/>
                <w:b/>
                <w:color w:val="000000"/>
                <w:sz w:val="24"/>
                <w:szCs w:val="24"/>
              </w:rPr>
            </w:pPr>
            <w:r>
              <w:rPr>
                <w:rFonts w:hint="eastAsia" w:ascii="宋体" w:hAnsi="宋体" w:cs="仿宋_GB2312"/>
                <w:b/>
                <w:color w:val="000000"/>
                <w:sz w:val="24"/>
                <w:szCs w:val="24"/>
              </w:rPr>
              <w:t>序号</w:t>
            </w:r>
          </w:p>
        </w:tc>
        <w:tc>
          <w:tcPr>
            <w:tcW w:w="3512"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商务要求条款的序号及内容</w:t>
            </w:r>
          </w:p>
        </w:tc>
        <w:tc>
          <w:tcPr>
            <w:tcW w:w="3526"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投标响应内容对应简述</w:t>
            </w:r>
          </w:p>
        </w:tc>
        <w:tc>
          <w:tcPr>
            <w:tcW w:w="1361"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偏离说明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79" w:type="dxa"/>
            <w:vAlign w:val="center"/>
          </w:tcPr>
          <w:p>
            <w:pPr>
              <w:numPr>
                <w:ilvl w:val="0"/>
                <w:numId w:val="54"/>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r>
        <w:trPr>
          <w:trHeight w:val="752" w:hRule="atLeast"/>
          <w:jc w:val="center"/>
        </w:trPr>
        <w:tc>
          <w:tcPr>
            <w:tcW w:w="679" w:type="dxa"/>
            <w:vAlign w:val="center"/>
          </w:tcPr>
          <w:p>
            <w:pPr>
              <w:numPr>
                <w:ilvl w:val="0"/>
                <w:numId w:val="54"/>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r>
        <w:trPr>
          <w:trHeight w:val="752" w:hRule="atLeast"/>
          <w:jc w:val="center"/>
        </w:trPr>
        <w:tc>
          <w:tcPr>
            <w:tcW w:w="679" w:type="dxa"/>
            <w:vAlign w:val="center"/>
          </w:tcPr>
          <w:p>
            <w:pPr>
              <w:numPr>
                <w:ilvl w:val="0"/>
                <w:numId w:val="54"/>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r>
        <w:trPr>
          <w:trHeight w:val="752" w:hRule="atLeast"/>
          <w:jc w:val="center"/>
        </w:trPr>
        <w:tc>
          <w:tcPr>
            <w:tcW w:w="679" w:type="dxa"/>
            <w:vAlign w:val="center"/>
          </w:tcPr>
          <w:p>
            <w:pPr>
              <w:numPr>
                <w:ilvl w:val="0"/>
                <w:numId w:val="54"/>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r>
        <w:trPr>
          <w:trHeight w:val="752" w:hRule="atLeast"/>
          <w:jc w:val="center"/>
        </w:trPr>
        <w:tc>
          <w:tcPr>
            <w:tcW w:w="679" w:type="dxa"/>
            <w:vAlign w:val="center"/>
          </w:tcPr>
          <w:p>
            <w:pPr>
              <w:numPr>
                <w:ilvl w:val="0"/>
                <w:numId w:val="54"/>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r>
        <w:trPr>
          <w:trHeight w:val="752" w:hRule="atLeast"/>
          <w:jc w:val="center"/>
        </w:trPr>
        <w:tc>
          <w:tcPr>
            <w:tcW w:w="679" w:type="dxa"/>
            <w:vAlign w:val="center"/>
          </w:tcPr>
          <w:p>
            <w:pPr>
              <w:numPr>
                <w:ilvl w:val="0"/>
                <w:numId w:val="54"/>
              </w:numPr>
              <w:tabs>
                <w:tab w:val="left" w:pos="61"/>
              </w:tabs>
              <w:adjustRightInd w:val="0"/>
              <w:snapToGrid w:val="0"/>
              <w:ind w:left="-63" w:leftChars="-30" w:firstLine="0"/>
              <w:jc w:val="right"/>
              <w:rPr>
                <w:rFonts w:ascii="宋体"/>
                <w:color w:val="000000"/>
                <w:sz w:val="24"/>
              </w:rPr>
            </w:pP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r>
        <w:trPr>
          <w:trHeight w:val="752" w:hRule="atLeast"/>
          <w:jc w:val="center"/>
        </w:trPr>
        <w:tc>
          <w:tcPr>
            <w:tcW w:w="679" w:type="dxa"/>
            <w:vAlign w:val="center"/>
          </w:tcPr>
          <w:p>
            <w:pPr>
              <w:jc w:val="center"/>
              <w:rPr>
                <w:rFonts w:ascii="宋体" w:cs="仿宋_GB2312"/>
                <w:color w:val="000000"/>
                <w:sz w:val="24"/>
                <w:szCs w:val="24"/>
              </w:rPr>
            </w:pPr>
            <w:r>
              <w:rPr>
                <w:rFonts w:hint="eastAsia" w:ascii="宋体" w:hAnsi="宋体" w:cs="仿宋_GB2312"/>
                <w:color w:val="000000"/>
                <w:sz w:val="24"/>
                <w:szCs w:val="24"/>
              </w:rPr>
              <w:t>…</w:t>
            </w:r>
          </w:p>
        </w:tc>
        <w:tc>
          <w:tcPr>
            <w:tcW w:w="3512" w:type="dxa"/>
            <w:vAlign w:val="center"/>
          </w:tcPr>
          <w:p>
            <w:pPr>
              <w:jc w:val="center"/>
              <w:rPr>
                <w:rFonts w:ascii="宋体" w:cs="仿宋_GB2312"/>
                <w:color w:val="000000"/>
                <w:sz w:val="24"/>
                <w:szCs w:val="24"/>
              </w:rPr>
            </w:pPr>
          </w:p>
        </w:tc>
        <w:tc>
          <w:tcPr>
            <w:tcW w:w="3526" w:type="dxa"/>
            <w:vAlign w:val="center"/>
          </w:tcPr>
          <w:p>
            <w:pPr>
              <w:jc w:val="center"/>
              <w:rPr>
                <w:rFonts w:ascii="宋体" w:cs="仿宋_GB2312"/>
                <w:color w:val="000000"/>
                <w:sz w:val="24"/>
                <w:szCs w:val="24"/>
              </w:rPr>
            </w:pPr>
          </w:p>
        </w:tc>
        <w:tc>
          <w:tcPr>
            <w:tcW w:w="1361" w:type="dxa"/>
            <w:vAlign w:val="center"/>
          </w:tcPr>
          <w:p>
            <w:pPr>
              <w:jc w:val="center"/>
              <w:rPr>
                <w:rFonts w:ascii="宋体" w:cs="仿宋_GB2312"/>
                <w:color w:val="000000"/>
                <w:sz w:val="24"/>
                <w:szCs w:val="24"/>
              </w:rPr>
            </w:pPr>
          </w:p>
        </w:tc>
      </w:tr>
    </w:tbl>
    <w:p>
      <w:pPr>
        <w:spacing w:line="360" w:lineRule="auto"/>
        <w:ind w:firstLine="480" w:firstLineChars="200"/>
        <w:jc w:val="left"/>
        <w:rPr>
          <w:rFonts w:ascii="宋体" w:hAnsi="宋体"/>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w:t>
      </w:r>
      <w:r>
        <w:rPr>
          <w:rFonts w:hint="eastAsia" w:ascii="宋体" w:hAnsi="宋体" w:cs="Corbel"/>
          <w:color w:val="000000"/>
          <w:sz w:val="24"/>
          <w:szCs w:val="24"/>
        </w:rPr>
        <w:t>投标人应按招标文件第三章“项目技术、服务及商务要求”中“商务要求”条款逐项说明是否满足要求，如有偏离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投标人应详细说明。如果仅注明“符合”、“满足”或简单复制招标文件要求，造成无法审查的</w:t>
      </w:r>
      <w:r>
        <w:rPr>
          <w:rFonts w:ascii="宋体" w:hAnsi="宋体" w:cs="Corbel"/>
          <w:color w:val="000000"/>
          <w:sz w:val="24"/>
          <w:szCs w:val="24"/>
        </w:rPr>
        <w:t>，</w:t>
      </w:r>
      <w:r>
        <w:rPr>
          <w:rFonts w:hint="eastAsia" w:ascii="宋体" w:hAnsi="宋体" w:cs="Corbel"/>
          <w:color w:val="000000"/>
          <w:sz w:val="24"/>
          <w:szCs w:val="24"/>
        </w:rPr>
        <w:t>可能导致投标文件无效。</w:t>
      </w:r>
    </w:p>
    <w:p>
      <w:pPr>
        <w:spacing w:line="360" w:lineRule="auto"/>
        <w:ind w:left="1119" w:leftChars="366" w:hanging="350" w:hangingChars="146"/>
        <w:jc w:val="left"/>
        <w:rPr>
          <w:rFonts w:ascii="宋体"/>
          <w:color w:val="000000"/>
          <w:sz w:val="24"/>
          <w:szCs w:val="24"/>
        </w:rPr>
      </w:pP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授权代表（签字或盖章）：</w:t>
      </w:r>
      <w:r>
        <w:rPr>
          <w:rFonts w:hAnsi="宋体"/>
          <w:b/>
          <w:bCs/>
          <w:color w:val="000000"/>
          <w:sz w:val="24"/>
          <w:u w:val="single"/>
        </w:rPr>
        <w:t xml:space="preserve">                  </w:t>
      </w:r>
    </w:p>
    <w:p>
      <w:pPr>
        <w:spacing w:before="100" w:beforeAutospacing="1" w:after="100" w:afterAutospacing="1" w:line="360" w:lineRule="auto"/>
        <w:rPr>
          <w:rFonts w:ascii="宋体"/>
          <w:bCs/>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hAnsi="宋体"/>
          <w:b/>
          <w:bCs/>
          <w:color w:val="000000"/>
          <w:sz w:val="24"/>
          <w:u w:val="single"/>
        </w:rPr>
        <w:t xml:space="preserve">                               </w:t>
      </w:r>
    </w:p>
    <w:p>
      <w:pPr>
        <w:pStyle w:val="4"/>
        <w:numPr>
          <w:ilvl w:val="0"/>
          <w:numId w:val="53"/>
        </w:numPr>
        <w:spacing w:before="40" w:after="40" w:line="360" w:lineRule="auto"/>
        <w:ind w:left="1285" w:hanging="1281" w:hangingChars="400"/>
        <w:jc w:val="left"/>
        <w:rPr>
          <w:rFonts w:ascii="宋体"/>
          <w:bCs w:val="0"/>
          <w:color w:val="000000"/>
        </w:rPr>
        <w:sectPr>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68" w:name="_Toc2252915"/>
      <w:bookmarkStart w:id="169" w:name="_Toc511895479"/>
      <w:bookmarkStart w:id="170" w:name="_Toc511894538"/>
    </w:p>
    <w:p>
      <w:pPr>
        <w:rPr>
          <w:rFonts w:ascii="黑体" w:hAnsi="黑体" w:eastAsia="黑体" w:cs="黑体"/>
          <w:sz w:val="28"/>
          <w:szCs w:val="28"/>
        </w:rPr>
      </w:pPr>
      <w:r>
        <w:rPr>
          <w:rFonts w:hint="eastAsia" w:ascii="黑体" w:hAnsi="黑体" w:eastAsia="黑体" w:cs="黑体"/>
          <w:sz w:val="28"/>
          <w:szCs w:val="28"/>
        </w:rPr>
        <w:t>附件4: 法定代表人（负责人）授权书</w:t>
      </w:r>
      <w:bookmarkEnd w:id="168"/>
      <w:bookmarkEnd w:id="169"/>
      <w:bookmarkEnd w:id="170"/>
    </w:p>
    <w:p>
      <w:pPr>
        <w:rPr>
          <w:color w:val="000000"/>
        </w:rPr>
      </w:pPr>
    </w:p>
    <w:p>
      <w:pPr>
        <w:spacing w:line="360" w:lineRule="auto"/>
        <w:rPr>
          <w:rFonts w:ascii="宋体" w:hAnsi="宋体"/>
          <w:b/>
          <w:color w:val="000000"/>
          <w:sz w:val="28"/>
          <w:szCs w:val="28"/>
        </w:rPr>
      </w:pPr>
      <w:r>
        <w:rPr>
          <w:rFonts w:ascii="宋体" w:hAnsi="宋体"/>
          <w:b/>
          <w:color w:val="000000"/>
          <w:sz w:val="28"/>
          <w:szCs w:val="28"/>
          <w:u w:val="single"/>
        </w:rPr>
        <w:t>（</w:t>
      </w:r>
      <w:r>
        <w:rPr>
          <w:rFonts w:hint="eastAsia" w:ascii="宋体" w:hAnsi="宋体"/>
          <w:b/>
          <w:color w:val="000000"/>
          <w:sz w:val="28"/>
          <w:szCs w:val="28"/>
          <w:u w:val="single"/>
        </w:rPr>
        <w:t>采购人及代理机构</w:t>
      </w:r>
      <w:r>
        <w:rPr>
          <w:rFonts w:ascii="宋体" w:hAnsi="宋体"/>
          <w:b/>
          <w:color w:val="000000"/>
          <w:sz w:val="28"/>
          <w:szCs w:val="28"/>
          <w:u w:val="single"/>
        </w:rPr>
        <w:t>）</w:t>
      </w:r>
      <w:r>
        <w:rPr>
          <w:rFonts w:hint="eastAsia" w:ascii="宋体" w:hAnsi="宋体"/>
          <w:b/>
          <w:color w:val="000000"/>
          <w:sz w:val="28"/>
          <w:szCs w:val="28"/>
        </w:rPr>
        <w:t>：</w:t>
      </w:r>
    </w:p>
    <w:p>
      <w:pPr>
        <w:spacing w:line="360" w:lineRule="auto"/>
        <w:ind w:firstLine="480" w:firstLineChars="200"/>
        <w:rPr>
          <w:rFonts w:ascii="宋体"/>
          <w:color w:val="000000"/>
          <w:sz w:val="24"/>
          <w:szCs w:val="24"/>
        </w:rPr>
      </w:pPr>
      <w:r>
        <w:rPr>
          <w:rFonts w:hint="eastAsia" w:ascii="宋体" w:hAnsi="宋体"/>
          <w:color w:val="000000"/>
          <w:sz w:val="24"/>
          <w:szCs w:val="24"/>
        </w:rPr>
        <w:t>兹授权</w:t>
      </w:r>
      <w:r>
        <w:rPr>
          <w:rFonts w:ascii="宋体" w:hAnsi="宋体"/>
          <w:color w:val="000000"/>
          <w:sz w:val="24"/>
          <w:szCs w:val="24"/>
          <w:u w:val="single"/>
        </w:rPr>
        <w:t xml:space="preserve">      </w:t>
      </w:r>
      <w:r>
        <w:rPr>
          <w:rFonts w:hint="eastAsia" w:ascii="宋体" w:hAnsi="宋体"/>
          <w:color w:val="000000"/>
          <w:sz w:val="24"/>
          <w:szCs w:val="24"/>
        </w:rPr>
        <w:t>同志为我单位参加贵方组织的</w:t>
      </w:r>
      <w:r>
        <w:rPr>
          <w:rFonts w:ascii="宋体" w:hAnsi="宋体"/>
          <w:color w:val="000000"/>
          <w:sz w:val="24"/>
          <w:szCs w:val="24"/>
          <w:u w:val="single"/>
        </w:rPr>
        <w:t xml:space="preserve">     </w:t>
      </w:r>
      <w:r>
        <w:rPr>
          <w:rFonts w:hint="eastAsia" w:ascii="宋体" w:hAnsi="宋体"/>
          <w:color w:val="000000"/>
          <w:sz w:val="24"/>
          <w:szCs w:val="24"/>
          <w:u w:val="single"/>
        </w:rPr>
        <w:t>（项目名称）</w:t>
      </w:r>
      <w:r>
        <w:rPr>
          <w:rFonts w:ascii="宋体" w:hAnsi="宋体"/>
          <w:color w:val="000000"/>
          <w:sz w:val="24"/>
          <w:szCs w:val="24"/>
          <w:u w:val="single"/>
        </w:rPr>
        <w:t xml:space="preserve">  </w:t>
      </w:r>
      <w:r>
        <w:rPr>
          <w:rFonts w:hint="eastAsia" w:ascii="宋体" w:hAnsi="宋体"/>
          <w:color w:val="000000"/>
          <w:sz w:val="24"/>
          <w:szCs w:val="24"/>
        </w:rPr>
        <w:t>项目</w:t>
      </w:r>
      <w:r>
        <w:rPr>
          <w:rFonts w:hint="eastAsia" w:ascii="宋体" w:hAnsi="宋体"/>
          <w:color w:val="000000"/>
          <w:sz w:val="24"/>
          <w:szCs w:val="24"/>
          <w:u w:val="single"/>
        </w:rPr>
        <w:t>（项目编号：</w:t>
      </w:r>
      <w:r>
        <w:rPr>
          <w:rFonts w:ascii="宋体" w:hAnsi="宋体"/>
          <w:color w:val="000000"/>
          <w:sz w:val="24"/>
          <w:szCs w:val="24"/>
          <w:u w:val="single"/>
        </w:rPr>
        <w:t>______</w:t>
      </w:r>
      <w:r>
        <w:rPr>
          <w:rFonts w:hint="eastAsia" w:ascii="宋体" w:hAnsi="宋体"/>
          <w:color w:val="000000"/>
          <w:sz w:val="24"/>
          <w:szCs w:val="24"/>
          <w:u w:val="single"/>
        </w:rPr>
        <w:t>）</w:t>
      </w:r>
      <w:r>
        <w:rPr>
          <w:rFonts w:hint="eastAsia" w:ascii="宋体" w:hAnsi="宋体"/>
          <w:color w:val="000000"/>
          <w:sz w:val="24"/>
          <w:szCs w:val="24"/>
        </w:rPr>
        <w:t>采购活动的投标人授权代表，全权代表我单位处理在项目采购活动中的一切事宜。代理期限从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日起至</w:t>
      </w: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日止。</w:t>
      </w:r>
      <w:r>
        <w:rPr>
          <w:rFonts w:ascii="宋体" w:hAnsi="宋体"/>
          <w:color w:val="000000"/>
          <w:sz w:val="24"/>
          <w:szCs w:val="24"/>
        </w:rPr>
        <w:t xml:space="preserve"> </w:t>
      </w:r>
    </w:p>
    <w:p>
      <w:pPr>
        <w:spacing w:line="360" w:lineRule="auto"/>
        <w:ind w:firstLine="480" w:firstLineChars="200"/>
        <w:rPr>
          <w:rFonts w:ascii="宋体"/>
          <w:color w:val="000000"/>
          <w:sz w:val="24"/>
          <w:szCs w:val="24"/>
        </w:rPr>
      </w:pPr>
      <w:r>
        <w:rPr>
          <w:rFonts w:hint="eastAsia" w:ascii="宋体" w:hAnsi="宋体"/>
          <w:color w:val="000000"/>
          <w:sz w:val="24"/>
          <w:szCs w:val="24"/>
        </w:rPr>
        <w:t>被授权代表无转委托权。</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r>
        <w:rPr>
          <w:rFonts w:hAnsi="宋体"/>
          <w:bCs/>
          <w:color w:val="000000"/>
          <w:sz w:val="24"/>
          <w:u w:val="single"/>
        </w:rPr>
        <w:t xml:space="preserve">                          </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rPr>
        <w:t>法定代表人（负责人）（签字或盖章）</w:t>
      </w:r>
      <w:r>
        <w:rPr>
          <w:rFonts w:hint="eastAsia" w:hAnsi="宋体"/>
          <w:color w:val="000000"/>
          <w:sz w:val="24"/>
        </w:rPr>
        <w:t>：</w:t>
      </w:r>
      <w:r>
        <w:rPr>
          <w:rFonts w:hAnsi="宋体"/>
          <w:color w:val="000000"/>
          <w:sz w:val="24"/>
          <w:u w:val="single"/>
        </w:rPr>
        <w:t xml:space="preserve">         </w:t>
      </w:r>
    </w:p>
    <w:p>
      <w:pPr>
        <w:spacing w:before="100" w:beforeAutospacing="1" w:after="100" w:afterAutospacing="1" w:line="360" w:lineRule="auto"/>
        <w:ind w:firstLine="3316" w:firstLineChars="1382"/>
        <w:rPr>
          <w:rFonts w:hAnsi="宋体"/>
          <w:color w:val="000000"/>
          <w:sz w:val="24"/>
          <w:u w:val="single"/>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rPr>
          <w:rFonts w:ascii="宋体"/>
          <w:color w:val="000000"/>
          <w:sz w:val="24"/>
          <w:szCs w:val="24"/>
        </w:rPr>
      </w:pPr>
      <w:r>
        <w:rPr>
          <w:rFonts w:hint="eastAsia" w:ascii="宋体" w:hAnsi="宋体"/>
          <w:color w:val="000000"/>
          <w:sz w:val="24"/>
          <w:szCs w:val="24"/>
        </w:rPr>
        <w:t>附：</w:t>
      </w:r>
    </w:p>
    <w:p>
      <w:pPr>
        <w:spacing w:line="360" w:lineRule="auto"/>
        <w:ind w:firstLine="480" w:firstLineChars="200"/>
        <w:rPr>
          <w:rFonts w:ascii="宋体"/>
          <w:color w:val="000000"/>
          <w:sz w:val="24"/>
          <w:szCs w:val="24"/>
        </w:rPr>
      </w:pPr>
      <w:r>
        <w:rPr>
          <w:rFonts w:hint="eastAsia" w:ascii="宋体" w:hAnsi="宋体"/>
          <w:color w:val="000000"/>
          <w:sz w:val="24"/>
          <w:szCs w:val="24"/>
        </w:rPr>
        <w:t>授权代表单位名称：</w:t>
      </w:r>
      <w:r>
        <w:rPr>
          <w:rFonts w:ascii="宋体" w:hAnsi="宋体"/>
          <w:color w:val="000000"/>
          <w:sz w:val="24"/>
          <w:szCs w:val="24"/>
          <w:u w:val="single"/>
        </w:rPr>
        <w:t xml:space="preserve">             </w:t>
      </w:r>
    </w:p>
    <w:p>
      <w:pPr>
        <w:spacing w:line="360" w:lineRule="auto"/>
        <w:ind w:firstLine="480" w:firstLineChars="200"/>
        <w:rPr>
          <w:rFonts w:ascii="宋体"/>
          <w:color w:val="000000"/>
          <w:sz w:val="24"/>
          <w:szCs w:val="24"/>
        </w:rPr>
      </w:pPr>
      <w:r>
        <w:rPr>
          <w:rFonts w:hint="eastAsia" w:ascii="宋体" w:hAnsi="宋体"/>
          <w:color w:val="000000"/>
          <w:sz w:val="24"/>
          <w:szCs w:val="24"/>
        </w:rPr>
        <w:t>姓名</w:t>
      </w:r>
      <w:r>
        <w:rPr>
          <w:rFonts w:ascii="宋体" w:hAnsi="宋体"/>
          <w:color w:val="000000"/>
          <w:sz w:val="24"/>
          <w:szCs w:val="24"/>
        </w:rPr>
        <w:t>：</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性别：</w:t>
      </w:r>
      <w:r>
        <w:rPr>
          <w:rFonts w:ascii="宋体" w:hAnsi="宋体"/>
          <w:color w:val="000000"/>
          <w:sz w:val="24"/>
          <w:szCs w:val="24"/>
          <w:u w:val="single"/>
        </w:rPr>
        <w:t xml:space="preserve">       </w:t>
      </w:r>
    </w:p>
    <w:p>
      <w:pPr>
        <w:spacing w:line="360" w:lineRule="auto"/>
        <w:ind w:firstLine="480" w:firstLineChars="200"/>
        <w:rPr>
          <w:rFonts w:ascii="宋体"/>
          <w:color w:val="000000"/>
          <w:sz w:val="24"/>
          <w:szCs w:val="24"/>
          <w:u w:val="single"/>
        </w:rPr>
      </w:pPr>
      <w:r>
        <w:rPr>
          <w:rFonts w:hint="eastAsia" w:ascii="宋体" w:hAnsi="宋体"/>
          <w:color w:val="000000"/>
          <w:sz w:val="24"/>
          <w:szCs w:val="24"/>
        </w:rPr>
        <w:t>身份证号码：</w:t>
      </w:r>
      <w:r>
        <w:rPr>
          <w:rFonts w:ascii="宋体" w:hAnsi="宋体"/>
          <w:color w:val="000000"/>
          <w:sz w:val="24"/>
          <w:szCs w:val="24"/>
          <w:u w:val="single"/>
        </w:rPr>
        <w:t xml:space="preserve">                   </w:t>
      </w:r>
    </w:p>
    <w:p>
      <w:pPr>
        <w:spacing w:line="360" w:lineRule="auto"/>
        <w:ind w:firstLine="480" w:firstLineChars="200"/>
        <w:rPr>
          <w:rFonts w:ascii="宋体"/>
          <w:color w:val="000000"/>
          <w:sz w:val="24"/>
          <w:szCs w:val="24"/>
        </w:rPr>
      </w:pPr>
      <w:r>
        <w:rPr>
          <w:rFonts w:hint="eastAsia" w:ascii="宋体" w:hAnsi="宋体"/>
          <w:color w:val="000000"/>
          <w:sz w:val="24"/>
          <w:szCs w:val="24"/>
        </w:rPr>
        <w:t>电话：</w:t>
      </w:r>
      <w:r>
        <w:rPr>
          <w:rFonts w:ascii="宋体" w:hAnsi="宋体"/>
          <w:color w:val="000000"/>
          <w:sz w:val="24"/>
          <w:szCs w:val="24"/>
          <w:u w:val="single"/>
        </w:rPr>
        <w:t xml:space="preserve">                         </w:t>
      </w:r>
    </w:p>
    <w:tbl>
      <w:tblPr>
        <w:tblStyle w:val="3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4" w:hRule="atLeast"/>
          <w:jc w:val="center"/>
        </w:trPr>
        <w:tc>
          <w:tcPr>
            <w:tcW w:w="9532" w:type="dxa"/>
          </w:tcPr>
          <w:p>
            <w:pPr>
              <w:spacing w:line="300" w:lineRule="auto"/>
              <w:rPr>
                <w:rFonts w:ascii="宋体"/>
                <w:b/>
                <w:color w:val="000000"/>
                <w:sz w:val="24"/>
                <w:szCs w:val="24"/>
              </w:rPr>
            </w:pPr>
            <w:r>
              <w:rPr>
                <w:rFonts w:hint="eastAsia" w:ascii="宋体" w:hAnsi="宋体"/>
                <w:b/>
                <w:color w:val="000000"/>
                <w:sz w:val="24"/>
                <w:szCs w:val="24"/>
              </w:rPr>
              <w:t>粘贴法人（负责人）和授权代表身份证正反面（清晰影印件）</w:t>
            </w:r>
          </w:p>
        </w:tc>
      </w:tr>
    </w:tbl>
    <w:p>
      <w:pPr>
        <w:pStyle w:val="6"/>
        <w:rPr>
          <w:u w:val="single"/>
        </w:rPr>
      </w:pPr>
      <w:r>
        <w:rPr>
          <w:rFonts w:hint="eastAsia"/>
          <w:u w:val="single"/>
        </w:rPr>
        <w:t>说明：法定代表人（负责人）作为投标代表出席也填写此表；被授权人应为1人，不得同时授权多人。</w:t>
      </w:r>
    </w:p>
    <w:p/>
    <w:p>
      <w:pPr>
        <w:pStyle w:val="4"/>
        <w:spacing w:before="40" w:after="40" w:line="360" w:lineRule="auto"/>
        <w:jc w:val="left"/>
        <w:rPr>
          <w:rFonts w:ascii="宋体" w:hAnsi="宋体"/>
          <w:bCs w:val="0"/>
          <w:color w:val="000000"/>
        </w:rPr>
      </w:pPr>
    </w:p>
    <w:p>
      <w:pPr>
        <w:pStyle w:val="4"/>
        <w:spacing w:before="40" w:after="40" w:line="360" w:lineRule="auto"/>
        <w:jc w:val="left"/>
        <w:rPr>
          <w:rFonts w:ascii="黑体" w:hAnsi="黑体" w:eastAsia="黑体" w:cs="黑体"/>
          <w:b w:val="0"/>
          <w:color w:val="000000"/>
          <w:sz w:val="28"/>
          <w:szCs w:val="28"/>
        </w:rPr>
      </w:pPr>
      <w:r>
        <w:rPr>
          <w:rFonts w:hint="eastAsia" w:ascii="黑体" w:hAnsi="黑体" w:eastAsia="黑体" w:cs="黑体"/>
          <w:b w:val="0"/>
          <w:color w:val="000000"/>
          <w:sz w:val="28"/>
          <w:szCs w:val="28"/>
        </w:rPr>
        <w:t>附件5: 投标书</w:t>
      </w:r>
      <w:bookmarkEnd w:id="160"/>
      <w:bookmarkEnd w:id="161"/>
    </w:p>
    <w:p>
      <w:pPr>
        <w:spacing w:line="360" w:lineRule="auto"/>
        <w:rPr>
          <w:rFonts w:ascii="宋体"/>
          <w:b/>
          <w:color w:val="000000"/>
          <w:sz w:val="28"/>
          <w:szCs w:val="28"/>
        </w:rPr>
      </w:pPr>
      <w:r>
        <w:rPr>
          <w:rFonts w:ascii="宋体" w:hAnsi="宋体"/>
          <w:b/>
          <w:color w:val="000000"/>
          <w:sz w:val="28"/>
          <w:szCs w:val="28"/>
          <w:u w:val="single"/>
        </w:rPr>
        <w:t>（</w:t>
      </w:r>
      <w:r>
        <w:rPr>
          <w:rFonts w:hint="eastAsia" w:ascii="宋体" w:hAnsi="宋体"/>
          <w:b/>
          <w:color w:val="000000"/>
          <w:sz w:val="28"/>
          <w:szCs w:val="28"/>
          <w:u w:val="single"/>
        </w:rPr>
        <w:t>采购人及代理机构</w:t>
      </w:r>
      <w:r>
        <w:rPr>
          <w:rFonts w:ascii="宋体" w:hAnsi="宋体"/>
          <w:b/>
          <w:color w:val="000000"/>
          <w:sz w:val="28"/>
          <w:szCs w:val="28"/>
          <w:u w:val="single"/>
        </w:rPr>
        <w:t>）</w:t>
      </w:r>
      <w:r>
        <w:rPr>
          <w:rFonts w:hint="eastAsia" w:ascii="宋体" w:hAnsi="宋体"/>
          <w:b/>
          <w:color w:val="000000"/>
          <w:sz w:val="28"/>
          <w:szCs w:val="28"/>
        </w:rPr>
        <w:t>：</w:t>
      </w:r>
    </w:p>
    <w:p>
      <w:pPr>
        <w:spacing w:line="360" w:lineRule="auto"/>
        <w:ind w:firstLine="480" w:firstLineChars="200"/>
        <w:rPr>
          <w:rFonts w:ascii="宋体"/>
          <w:color w:val="000000"/>
          <w:sz w:val="24"/>
          <w:szCs w:val="24"/>
        </w:rPr>
      </w:pPr>
      <w:r>
        <w:rPr>
          <w:rFonts w:hint="eastAsia" w:ascii="宋体" w:hAnsi="宋体"/>
          <w:color w:val="000000"/>
          <w:sz w:val="24"/>
          <w:szCs w:val="24"/>
        </w:rPr>
        <w:t>依据贵方</w:t>
      </w:r>
      <w:r>
        <w:rPr>
          <w:rFonts w:ascii="宋体" w:hAnsi="宋体"/>
          <w:color w:val="000000"/>
          <w:sz w:val="24"/>
          <w:szCs w:val="24"/>
          <w:u w:val="single"/>
        </w:rPr>
        <w:t xml:space="preserve"> </w:t>
      </w:r>
      <w:r>
        <w:rPr>
          <w:rFonts w:hint="eastAsia" w:ascii="宋体" w:hAnsi="宋体"/>
          <w:color w:val="000000"/>
          <w:sz w:val="24"/>
          <w:szCs w:val="24"/>
          <w:u w:val="single"/>
        </w:rPr>
        <w:t>（项目名称</w:t>
      </w:r>
      <w:r>
        <w:rPr>
          <w:rFonts w:ascii="宋体" w:hAnsi="宋体"/>
          <w:color w:val="000000"/>
          <w:sz w:val="24"/>
          <w:szCs w:val="24"/>
          <w:u w:val="single"/>
        </w:rPr>
        <w:t xml:space="preserve"> </w:t>
      </w:r>
      <w:r>
        <w:rPr>
          <w:rFonts w:hint="eastAsia" w:ascii="宋体" w:hAnsi="宋体"/>
          <w:color w:val="000000"/>
          <w:sz w:val="24"/>
          <w:szCs w:val="24"/>
          <w:u w:val="single"/>
        </w:rPr>
        <w:t>）</w:t>
      </w:r>
      <w:r>
        <w:rPr>
          <w:rFonts w:ascii="宋体" w:hAnsi="宋体"/>
          <w:color w:val="000000"/>
          <w:sz w:val="24"/>
          <w:szCs w:val="24"/>
          <w:u w:val="single"/>
        </w:rPr>
        <w:t xml:space="preserve"> </w:t>
      </w:r>
      <w:r>
        <w:rPr>
          <w:rFonts w:hint="eastAsia" w:ascii="宋体" w:hAnsi="宋体"/>
          <w:color w:val="000000"/>
          <w:sz w:val="24"/>
          <w:szCs w:val="24"/>
        </w:rPr>
        <w:t>项目（项目编号：</w:t>
      </w:r>
      <w:r>
        <w:rPr>
          <w:rFonts w:ascii="宋体" w:hAnsi="宋体"/>
          <w:color w:val="000000"/>
          <w:sz w:val="24"/>
          <w:szCs w:val="24"/>
          <w:u w:val="single"/>
        </w:rPr>
        <w:t xml:space="preserve">     </w:t>
      </w:r>
      <w:r>
        <w:rPr>
          <w:rFonts w:hint="eastAsia" w:ascii="宋体" w:hAnsi="宋体"/>
          <w:color w:val="000000"/>
          <w:sz w:val="24"/>
          <w:szCs w:val="24"/>
        </w:rPr>
        <w:t>）招标的投标邀请，我方代表</w:t>
      </w:r>
      <w:r>
        <w:rPr>
          <w:rFonts w:ascii="宋体" w:hAnsi="宋体"/>
          <w:color w:val="000000"/>
          <w:sz w:val="24"/>
          <w:szCs w:val="24"/>
          <w:u w:val="single"/>
        </w:rPr>
        <w:t xml:space="preserve"> </w:t>
      </w:r>
      <w:r>
        <w:rPr>
          <w:rFonts w:hint="eastAsia" w:ascii="宋体" w:hAnsi="宋体"/>
          <w:color w:val="000000"/>
          <w:sz w:val="24"/>
          <w:szCs w:val="24"/>
          <w:u w:val="single"/>
        </w:rPr>
        <w:t>（姓名、职务）</w:t>
      </w:r>
      <w:r>
        <w:rPr>
          <w:rFonts w:ascii="宋体" w:hAnsi="宋体"/>
          <w:color w:val="000000"/>
          <w:sz w:val="24"/>
          <w:szCs w:val="24"/>
          <w:u w:val="single"/>
        </w:rPr>
        <w:t xml:space="preserve"> </w:t>
      </w:r>
      <w:r>
        <w:rPr>
          <w:rFonts w:hint="eastAsia" w:ascii="宋体" w:hAnsi="宋体"/>
          <w:color w:val="000000"/>
          <w:sz w:val="24"/>
          <w:szCs w:val="24"/>
        </w:rPr>
        <w:t>经正式授权并代表投标人</w:t>
      </w:r>
      <w:r>
        <w:rPr>
          <w:rFonts w:ascii="宋体" w:hAnsi="宋体"/>
          <w:color w:val="000000"/>
          <w:sz w:val="24"/>
          <w:szCs w:val="24"/>
          <w:u w:val="single"/>
        </w:rPr>
        <w:t xml:space="preserve"> </w:t>
      </w:r>
      <w:r>
        <w:rPr>
          <w:rFonts w:hint="eastAsia" w:ascii="宋体" w:hAnsi="宋体"/>
          <w:color w:val="000000"/>
          <w:sz w:val="24"/>
          <w:szCs w:val="24"/>
          <w:u w:val="single"/>
        </w:rPr>
        <w:t>（投标人全称</w:t>
      </w:r>
      <w:r>
        <w:rPr>
          <w:rFonts w:ascii="宋体" w:hAnsi="宋体"/>
          <w:color w:val="000000"/>
          <w:sz w:val="24"/>
          <w:szCs w:val="24"/>
          <w:u w:val="single"/>
        </w:rPr>
        <w:t xml:space="preserve"> </w:t>
      </w:r>
      <w:r>
        <w:rPr>
          <w:rFonts w:hint="eastAsia" w:ascii="宋体" w:hAnsi="宋体"/>
          <w:color w:val="000000"/>
          <w:sz w:val="24"/>
          <w:szCs w:val="24"/>
          <w:u w:val="single"/>
        </w:rPr>
        <w:t>）</w:t>
      </w:r>
      <w:r>
        <w:rPr>
          <w:rFonts w:ascii="宋体" w:hAnsi="宋体"/>
          <w:color w:val="000000"/>
          <w:sz w:val="24"/>
          <w:szCs w:val="24"/>
          <w:u w:val="single"/>
        </w:rPr>
        <w:t xml:space="preserve"> </w:t>
      </w:r>
      <w:r>
        <w:rPr>
          <w:rFonts w:hint="eastAsia" w:ascii="宋体" w:hAnsi="宋体"/>
          <w:color w:val="000000"/>
          <w:sz w:val="24"/>
          <w:szCs w:val="24"/>
        </w:rPr>
        <w:t>提交“开标一览表”信封和下述文件正本</w:t>
      </w:r>
      <w:r>
        <w:rPr>
          <w:rFonts w:ascii="宋体" w:hAnsi="宋体"/>
          <w:color w:val="000000"/>
          <w:sz w:val="24"/>
          <w:szCs w:val="24"/>
          <w:u w:val="single"/>
        </w:rPr>
        <w:t xml:space="preserve">   </w:t>
      </w:r>
      <w:r>
        <w:rPr>
          <w:rFonts w:hint="eastAsia" w:ascii="宋体" w:hAnsi="宋体"/>
          <w:color w:val="000000"/>
          <w:sz w:val="24"/>
          <w:szCs w:val="24"/>
        </w:rPr>
        <w:t>份，副本</w:t>
      </w:r>
      <w:r>
        <w:rPr>
          <w:rFonts w:ascii="宋体" w:hAnsi="宋体"/>
          <w:color w:val="000000"/>
          <w:sz w:val="24"/>
          <w:szCs w:val="24"/>
          <w:u w:val="single"/>
        </w:rPr>
        <w:t xml:space="preserve">    </w:t>
      </w:r>
      <w:r>
        <w:rPr>
          <w:rFonts w:hint="eastAsia" w:ascii="宋体" w:hAnsi="宋体"/>
          <w:color w:val="000000"/>
          <w:sz w:val="24"/>
          <w:szCs w:val="24"/>
        </w:rPr>
        <w:t>份</w:t>
      </w:r>
      <w:r>
        <w:rPr>
          <w:rFonts w:ascii="宋体" w:hAnsi="宋体"/>
          <w:color w:val="000000"/>
          <w:sz w:val="24"/>
          <w:szCs w:val="24"/>
        </w:rPr>
        <w:t>，</w:t>
      </w:r>
      <w:r>
        <w:rPr>
          <w:rFonts w:hint="eastAsia" w:ascii="宋体" w:hAnsi="宋体"/>
          <w:color w:val="000000"/>
          <w:sz w:val="24"/>
          <w:szCs w:val="24"/>
        </w:rPr>
        <w:t>电子文档</w:t>
      </w:r>
      <w:r>
        <w:rPr>
          <w:rFonts w:ascii="宋体" w:hAnsi="宋体"/>
          <w:color w:val="000000"/>
          <w:sz w:val="24"/>
          <w:szCs w:val="24"/>
          <w:u w:val="single"/>
        </w:rPr>
        <w:t xml:space="preserve">   </w:t>
      </w:r>
      <w:r>
        <w:rPr>
          <w:rFonts w:hint="eastAsia" w:ascii="宋体" w:hAnsi="宋体"/>
          <w:color w:val="000000"/>
          <w:sz w:val="24"/>
          <w:szCs w:val="24"/>
        </w:rPr>
        <w:t>份。</w:t>
      </w:r>
    </w:p>
    <w:p>
      <w:pPr>
        <w:numPr>
          <w:ilvl w:val="0"/>
          <w:numId w:val="55"/>
        </w:numPr>
        <w:tabs>
          <w:tab w:val="left" w:pos="966"/>
        </w:tabs>
        <w:autoSpaceDE w:val="0"/>
        <w:autoSpaceDN w:val="0"/>
        <w:adjustRightInd w:val="0"/>
        <w:spacing w:line="360" w:lineRule="auto"/>
        <w:ind w:left="0" w:firstLine="480" w:firstLineChars="200"/>
        <w:rPr>
          <w:rFonts w:ascii="宋体"/>
          <w:b/>
          <w:color w:val="000000"/>
          <w:kern w:val="0"/>
          <w:sz w:val="24"/>
          <w:szCs w:val="32"/>
        </w:rPr>
      </w:pPr>
      <w:r>
        <w:rPr>
          <w:rFonts w:hint="eastAsia" w:ascii="宋体" w:hAnsi="宋体"/>
          <w:b/>
          <w:color w:val="000000"/>
          <w:kern w:val="0"/>
          <w:sz w:val="24"/>
          <w:szCs w:val="32"/>
        </w:rPr>
        <w:t>资格证明文件；</w:t>
      </w:r>
      <w:r>
        <w:rPr>
          <w:rFonts w:ascii="宋体" w:hAnsi="宋体"/>
          <w:b/>
          <w:color w:val="000000"/>
          <w:kern w:val="0"/>
          <w:sz w:val="24"/>
          <w:szCs w:val="32"/>
        </w:rPr>
        <w:t xml:space="preserve"> </w:t>
      </w:r>
    </w:p>
    <w:p>
      <w:pPr>
        <w:numPr>
          <w:ilvl w:val="0"/>
          <w:numId w:val="55"/>
        </w:numPr>
        <w:tabs>
          <w:tab w:val="left" w:pos="966"/>
        </w:tabs>
        <w:autoSpaceDE w:val="0"/>
        <w:autoSpaceDN w:val="0"/>
        <w:adjustRightInd w:val="0"/>
        <w:spacing w:line="360" w:lineRule="auto"/>
        <w:ind w:left="0" w:firstLine="480" w:firstLineChars="200"/>
        <w:rPr>
          <w:rFonts w:ascii="宋体"/>
          <w:b/>
          <w:color w:val="000000"/>
          <w:kern w:val="0"/>
          <w:sz w:val="24"/>
          <w:szCs w:val="32"/>
        </w:rPr>
      </w:pPr>
      <w:r>
        <w:rPr>
          <w:rFonts w:hint="eastAsia" w:ascii="宋体" w:hAnsi="宋体"/>
          <w:b/>
          <w:color w:val="000000"/>
          <w:kern w:val="0"/>
          <w:sz w:val="24"/>
          <w:szCs w:val="32"/>
        </w:rPr>
        <w:t>商务文件；</w:t>
      </w:r>
    </w:p>
    <w:p>
      <w:pPr>
        <w:numPr>
          <w:ilvl w:val="0"/>
          <w:numId w:val="55"/>
        </w:numPr>
        <w:tabs>
          <w:tab w:val="left" w:pos="966"/>
        </w:tabs>
        <w:autoSpaceDE w:val="0"/>
        <w:autoSpaceDN w:val="0"/>
        <w:adjustRightInd w:val="0"/>
        <w:spacing w:line="360" w:lineRule="auto"/>
        <w:ind w:left="0" w:firstLine="480" w:firstLineChars="200"/>
        <w:rPr>
          <w:rFonts w:ascii="宋体"/>
          <w:b/>
          <w:color w:val="000000"/>
          <w:kern w:val="0"/>
          <w:sz w:val="24"/>
          <w:szCs w:val="32"/>
        </w:rPr>
      </w:pPr>
      <w:r>
        <w:rPr>
          <w:rFonts w:hint="eastAsia" w:ascii="宋体" w:hAnsi="宋体"/>
          <w:b/>
          <w:color w:val="000000"/>
          <w:kern w:val="0"/>
          <w:sz w:val="24"/>
          <w:szCs w:val="32"/>
        </w:rPr>
        <w:t>技术、服务文件。</w:t>
      </w:r>
    </w:p>
    <w:p>
      <w:pPr>
        <w:spacing w:line="360" w:lineRule="auto"/>
        <w:rPr>
          <w:rFonts w:ascii="宋体"/>
          <w:b/>
          <w:color w:val="000000"/>
          <w:kern w:val="0"/>
          <w:sz w:val="24"/>
          <w:szCs w:val="24"/>
        </w:rPr>
      </w:pPr>
      <w:r>
        <w:rPr>
          <w:rFonts w:hint="eastAsia" w:ascii="宋体" w:hAnsi="宋体"/>
          <w:b/>
          <w:color w:val="000000"/>
          <w:kern w:val="0"/>
          <w:sz w:val="24"/>
          <w:szCs w:val="24"/>
        </w:rPr>
        <w:t>在此，我方宣布同意如下：</w:t>
      </w:r>
    </w:p>
    <w:p>
      <w:pPr>
        <w:pStyle w:val="57"/>
        <w:numPr>
          <w:ilvl w:val="0"/>
          <w:numId w:val="56"/>
        </w:numPr>
        <w:tabs>
          <w:tab w:val="left" w:pos="851"/>
        </w:tabs>
        <w:spacing w:line="360" w:lineRule="auto"/>
        <w:ind w:left="0" w:firstLine="480"/>
        <w:rPr>
          <w:rFonts w:ascii="宋体"/>
          <w:color w:val="000000"/>
          <w:sz w:val="24"/>
          <w:szCs w:val="24"/>
        </w:rPr>
      </w:pPr>
      <w:r>
        <w:rPr>
          <w:rFonts w:hint="eastAsia" w:ascii="宋体" w:hAnsi="宋体"/>
          <w:color w:val="000000"/>
          <w:sz w:val="24"/>
          <w:szCs w:val="24"/>
        </w:rPr>
        <w:t>《开标一览表》中规定的应提交和交付的</w:t>
      </w:r>
      <w:r>
        <w:rPr>
          <w:rFonts w:ascii="宋体" w:hAnsi="宋体"/>
          <w:color w:val="000000"/>
          <w:sz w:val="24"/>
          <w:szCs w:val="24"/>
          <w:u w:val="single"/>
        </w:rPr>
        <w:t xml:space="preserve">          </w:t>
      </w:r>
      <w:r>
        <w:rPr>
          <w:rFonts w:hint="eastAsia" w:ascii="宋体" w:hAnsi="宋体"/>
          <w:color w:val="000000"/>
          <w:sz w:val="24"/>
          <w:szCs w:val="24"/>
        </w:rPr>
        <w:t>货物（工程或服务）投标总价为</w:t>
      </w:r>
      <w:r>
        <w:rPr>
          <w:rFonts w:ascii="宋体" w:hAnsi="宋体"/>
          <w:color w:val="000000"/>
          <w:sz w:val="24"/>
          <w:szCs w:val="24"/>
          <w:u w:val="single"/>
        </w:rPr>
        <w:t xml:space="preserve">           </w:t>
      </w:r>
      <w:r>
        <w:rPr>
          <w:rFonts w:hint="eastAsia" w:ascii="宋体" w:hAnsi="宋体"/>
          <w:color w:val="000000"/>
          <w:sz w:val="24"/>
          <w:szCs w:val="24"/>
          <w:u w:val="single"/>
        </w:rPr>
        <w:t>（注明币种，并用大写和小写表述投标总价）</w:t>
      </w:r>
      <w:r>
        <w:rPr>
          <w:rFonts w:ascii="宋体" w:hAnsi="宋体"/>
          <w:color w:val="000000"/>
          <w:sz w:val="24"/>
          <w:szCs w:val="24"/>
          <w:u w:val="single"/>
        </w:rPr>
        <w:t xml:space="preserve"> </w:t>
      </w:r>
      <w:r>
        <w:rPr>
          <w:rFonts w:hint="eastAsia" w:ascii="宋体" w:hAnsi="宋体"/>
          <w:color w:val="000000"/>
          <w:sz w:val="24"/>
          <w:szCs w:val="24"/>
        </w:rPr>
        <w:t>；</w:t>
      </w:r>
    </w:p>
    <w:p>
      <w:pPr>
        <w:pStyle w:val="57"/>
        <w:numPr>
          <w:ilvl w:val="0"/>
          <w:numId w:val="56"/>
        </w:numPr>
        <w:tabs>
          <w:tab w:val="left" w:pos="851"/>
        </w:tabs>
        <w:spacing w:line="360" w:lineRule="auto"/>
        <w:ind w:left="0" w:firstLine="480"/>
        <w:rPr>
          <w:rFonts w:ascii="宋体"/>
          <w:color w:val="000000"/>
          <w:sz w:val="24"/>
          <w:szCs w:val="24"/>
        </w:rPr>
      </w:pPr>
      <w:r>
        <w:rPr>
          <w:rFonts w:hint="eastAsia" w:ascii="宋体" w:hAnsi="宋体"/>
          <w:color w:val="000000"/>
          <w:sz w:val="24"/>
          <w:szCs w:val="24"/>
        </w:rPr>
        <w:t>按招标文件的约定履行合同责任和义务；</w:t>
      </w:r>
    </w:p>
    <w:p>
      <w:pPr>
        <w:pStyle w:val="57"/>
        <w:numPr>
          <w:ilvl w:val="0"/>
          <w:numId w:val="56"/>
        </w:numPr>
        <w:tabs>
          <w:tab w:val="left" w:pos="851"/>
        </w:tabs>
        <w:spacing w:line="360" w:lineRule="auto"/>
        <w:ind w:left="0" w:firstLine="480"/>
        <w:rPr>
          <w:rFonts w:ascii="宋体"/>
          <w:color w:val="000000"/>
          <w:sz w:val="24"/>
          <w:szCs w:val="24"/>
        </w:rPr>
      </w:pPr>
      <w:r>
        <w:rPr>
          <w:rFonts w:hint="eastAsia" w:ascii="宋体" w:hAnsi="宋体"/>
          <w:color w:val="000000"/>
          <w:sz w:val="24"/>
          <w:szCs w:val="24"/>
        </w:rPr>
        <w:t>已详细审查全部招标文件，包括</w:t>
      </w:r>
      <w:r>
        <w:rPr>
          <w:rFonts w:ascii="宋体" w:hAnsi="宋体"/>
          <w:color w:val="000000"/>
          <w:sz w:val="24"/>
          <w:szCs w:val="24"/>
        </w:rPr>
        <w:t xml:space="preserve"> </w:t>
      </w:r>
      <w:r>
        <w:rPr>
          <w:rFonts w:hint="eastAsia" w:ascii="宋体" w:hAnsi="宋体"/>
          <w:color w:val="000000"/>
          <w:sz w:val="24"/>
          <w:szCs w:val="24"/>
        </w:rPr>
        <w:t>（修正或补充文件）（如果有的话）</w:t>
      </w:r>
      <w:r>
        <w:rPr>
          <w:rFonts w:ascii="宋体" w:hAnsi="宋体"/>
          <w:color w:val="000000"/>
          <w:sz w:val="24"/>
          <w:szCs w:val="24"/>
        </w:rPr>
        <w:t xml:space="preserve"> </w:t>
      </w:r>
      <w:r>
        <w:rPr>
          <w:rFonts w:hint="eastAsia" w:ascii="宋体" w:hAnsi="宋体"/>
          <w:color w:val="000000"/>
          <w:sz w:val="24"/>
          <w:szCs w:val="24"/>
        </w:rPr>
        <w:t>，对此无异议；</w:t>
      </w:r>
    </w:p>
    <w:p>
      <w:pPr>
        <w:pStyle w:val="57"/>
        <w:numPr>
          <w:ilvl w:val="0"/>
          <w:numId w:val="56"/>
        </w:numPr>
        <w:tabs>
          <w:tab w:val="left" w:pos="851"/>
        </w:tabs>
        <w:spacing w:line="360" w:lineRule="auto"/>
        <w:ind w:left="0" w:firstLine="480"/>
        <w:rPr>
          <w:rFonts w:ascii="宋体"/>
          <w:color w:val="000000"/>
          <w:sz w:val="24"/>
          <w:szCs w:val="24"/>
        </w:rPr>
      </w:pPr>
      <w:r>
        <w:rPr>
          <w:rFonts w:hint="eastAsia" w:ascii="宋体" w:hAnsi="宋体"/>
          <w:color w:val="000000"/>
          <w:sz w:val="24"/>
          <w:szCs w:val="24"/>
        </w:rPr>
        <w:t>投标有效期为自递交投标文件截止之日起，共</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个日历日；</w:t>
      </w:r>
    </w:p>
    <w:p>
      <w:pPr>
        <w:pStyle w:val="57"/>
        <w:numPr>
          <w:ilvl w:val="0"/>
          <w:numId w:val="56"/>
        </w:numPr>
        <w:tabs>
          <w:tab w:val="left" w:pos="851"/>
        </w:tabs>
        <w:spacing w:line="360" w:lineRule="auto"/>
        <w:ind w:left="0" w:firstLine="480"/>
        <w:rPr>
          <w:rFonts w:ascii="宋体"/>
          <w:color w:val="000000"/>
          <w:sz w:val="24"/>
          <w:szCs w:val="24"/>
        </w:rPr>
      </w:pPr>
      <w:r>
        <w:rPr>
          <w:rFonts w:hint="eastAsia" w:ascii="宋体" w:hAnsi="宋体"/>
          <w:color w:val="000000"/>
          <w:sz w:val="24"/>
          <w:szCs w:val="24"/>
        </w:rPr>
        <w:t>提供按照贵方可能要求的与投标有关的一切数据或资料；</w:t>
      </w:r>
    </w:p>
    <w:p>
      <w:pPr>
        <w:pStyle w:val="57"/>
        <w:numPr>
          <w:ilvl w:val="0"/>
          <w:numId w:val="56"/>
        </w:numPr>
        <w:tabs>
          <w:tab w:val="left" w:pos="851"/>
        </w:tabs>
        <w:spacing w:line="360" w:lineRule="auto"/>
        <w:ind w:left="0" w:firstLine="480"/>
        <w:rPr>
          <w:rFonts w:ascii="宋体"/>
          <w:color w:val="000000"/>
          <w:sz w:val="24"/>
          <w:szCs w:val="24"/>
        </w:rPr>
      </w:pPr>
      <w:r>
        <w:rPr>
          <w:rFonts w:hint="eastAsia" w:ascii="宋体" w:hAnsi="宋体"/>
          <w:color w:val="000000"/>
          <w:sz w:val="24"/>
          <w:szCs w:val="24"/>
        </w:rPr>
        <w:t>与投标有关的一切正式往来信函请寄：</w:t>
      </w:r>
      <w:r>
        <w:rPr>
          <w:rFonts w:ascii="宋体"/>
          <w:color w:val="000000"/>
          <w:sz w:val="24"/>
          <w:szCs w:val="24"/>
        </w:rPr>
        <w:t xml:space="preserve"> </w:t>
      </w:r>
    </w:p>
    <w:p>
      <w:pPr>
        <w:autoSpaceDE w:val="0"/>
        <w:autoSpaceDN w:val="0"/>
        <w:adjustRightInd w:val="0"/>
        <w:spacing w:line="360" w:lineRule="auto"/>
        <w:ind w:right="246" w:firstLine="480" w:firstLineChars="200"/>
        <w:rPr>
          <w:rFonts w:ascii="宋体"/>
          <w:color w:val="000000"/>
          <w:kern w:val="0"/>
          <w:sz w:val="24"/>
          <w:szCs w:val="24"/>
        </w:rPr>
      </w:pPr>
    </w:p>
    <w:p/>
    <w:p/>
    <w:p/>
    <w:p>
      <w:pPr>
        <w:spacing w:line="360" w:lineRule="auto"/>
        <w:ind w:left="12" w:leftChars="6" w:firstLine="473" w:firstLineChars="197"/>
        <w:rPr>
          <w:rFonts w:ascii="宋体"/>
          <w:b/>
          <w:color w:val="000000"/>
          <w:sz w:val="24"/>
          <w:szCs w:val="24"/>
        </w:rPr>
      </w:pPr>
      <w:r>
        <w:rPr>
          <w:rFonts w:hint="eastAsia" w:ascii="宋体" w:hAnsi="宋体"/>
          <w:b/>
          <w:color w:val="000000"/>
          <w:sz w:val="24"/>
          <w:szCs w:val="24"/>
        </w:rPr>
        <w:t>投标人</w:t>
      </w:r>
      <w:r>
        <w:rPr>
          <w:rFonts w:ascii="宋体" w:hAnsi="宋体"/>
          <w:b/>
          <w:color w:val="000000"/>
          <w:sz w:val="24"/>
          <w:szCs w:val="24"/>
        </w:rPr>
        <w:t>（</w:t>
      </w:r>
      <w:r>
        <w:rPr>
          <w:rFonts w:hint="eastAsia" w:ascii="宋体" w:hAnsi="宋体"/>
          <w:b/>
          <w:color w:val="000000"/>
          <w:sz w:val="24"/>
          <w:szCs w:val="24"/>
        </w:rPr>
        <w:t>公章</w:t>
      </w:r>
      <w:r>
        <w:rPr>
          <w:rFonts w:ascii="宋体" w:hAnsi="宋体"/>
          <w:b/>
          <w:color w:val="000000"/>
          <w:sz w:val="24"/>
          <w:szCs w:val="24"/>
        </w:rPr>
        <w:t>）</w:t>
      </w:r>
      <w:r>
        <w:rPr>
          <w:rFonts w:hint="eastAsia" w:ascii="宋体" w:hAnsi="宋体"/>
          <w:b/>
          <w:color w:val="000000"/>
          <w:sz w:val="24"/>
          <w:szCs w:val="24"/>
        </w:rPr>
        <w:t>：</w:t>
      </w:r>
      <w:r>
        <w:rPr>
          <w:rFonts w:ascii="宋体" w:hAnsi="宋体"/>
          <w:b/>
          <w:color w:val="000000"/>
          <w:sz w:val="24"/>
          <w:szCs w:val="24"/>
          <w:u w:val="single"/>
        </w:rPr>
        <w:t xml:space="preserve">                       </w:t>
      </w:r>
    </w:p>
    <w:p>
      <w:pPr>
        <w:spacing w:line="360" w:lineRule="auto"/>
        <w:ind w:left="12" w:leftChars="6" w:firstLine="473" w:firstLineChars="197"/>
        <w:rPr>
          <w:rFonts w:ascii="宋体"/>
          <w:b/>
          <w:color w:val="000000"/>
          <w:sz w:val="24"/>
          <w:szCs w:val="24"/>
        </w:rPr>
      </w:pPr>
      <w:r>
        <w:rPr>
          <w:rFonts w:hint="eastAsia" w:ascii="宋体" w:hAnsi="宋体"/>
          <w:b/>
          <w:color w:val="000000"/>
          <w:sz w:val="24"/>
          <w:szCs w:val="24"/>
        </w:rPr>
        <w:t>地</w:t>
      </w:r>
      <w:r>
        <w:rPr>
          <w:rFonts w:ascii="宋体" w:hAnsi="宋体"/>
          <w:b/>
          <w:color w:val="000000"/>
          <w:sz w:val="24"/>
          <w:szCs w:val="24"/>
        </w:rPr>
        <w:t xml:space="preserve">  </w:t>
      </w:r>
      <w:r>
        <w:rPr>
          <w:rFonts w:hint="eastAsia" w:ascii="宋体" w:hAnsi="宋体"/>
          <w:b/>
          <w:color w:val="000000"/>
          <w:sz w:val="24"/>
          <w:szCs w:val="24"/>
        </w:rPr>
        <w:t>址：</w:t>
      </w:r>
      <w:r>
        <w:rPr>
          <w:rFonts w:ascii="宋体" w:hAnsi="宋体"/>
          <w:b/>
          <w:color w:val="000000"/>
          <w:sz w:val="24"/>
          <w:szCs w:val="24"/>
          <w:u w:val="single"/>
        </w:rPr>
        <w:t xml:space="preserve">                              </w:t>
      </w:r>
    </w:p>
    <w:p>
      <w:pPr>
        <w:spacing w:line="360" w:lineRule="auto"/>
        <w:ind w:left="12" w:leftChars="6" w:firstLine="473" w:firstLineChars="197"/>
        <w:rPr>
          <w:rFonts w:ascii="宋体"/>
          <w:b/>
          <w:color w:val="000000"/>
          <w:sz w:val="24"/>
          <w:szCs w:val="24"/>
        </w:rPr>
      </w:pPr>
      <w:r>
        <w:rPr>
          <w:rFonts w:hint="eastAsia" w:ascii="宋体" w:hAnsi="宋体"/>
          <w:b/>
          <w:color w:val="000000"/>
          <w:sz w:val="24"/>
          <w:szCs w:val="24"/>
        </w:rPr>
        <w:t>电话</w:t>
      </w:r>
      <w:r>
        <w:rPr>
          <w:rFonts w:ascii="宋体" w:hAnsi="宋体"/>
          <w:b/>
          <w:color w:val="000000"/>
          <w:sz w:val="24"/>
          <w:szCs w:val="24"/>
        </w:rPr>
        <w:t>/</w:t>
      </w:r>
      <w:r>
        <w:rPr>
          <w:rFonts w:hint="eastAsia" w:ascii="宋体" w:hAnsi="宋体"/>
          <w:b/>
          <w:color w:val="000000"/>
          <w:sz w:val="24"/>
          <w:szCs w:val="24"/>
        </w:rPr>
        <w:t>传真：</w:t>
      </w:r>
      <w:r>
        <w:rPr>
          <w:rFonts w:ascii="宋体" w:hAnsi="宋体"/>
          <w:b/>
          <w:color w:val="000000"/>
          <w:sz w:val="24"/>
          <w:szCs w:val="24"/>
          <w:u w:val="single"/>
        </w:rPr>
        <w:t xml:space="preserve">                           </w:t>
      </w:r>
      <w:r>
        <w:rPr>
          <w:rFonts w:hint="eastAsia" w:ascii="宋体" w:hAnsi="宋体"/>
          <w:b/>
          <w:color w:val="000000"/>
          <w:sz w:val="24"/>
          <w:szCs w:val="24"/>
        </w:rPr>
        <w:t>电子邮件：</w:t>
      </w:r>
      <w:r>
        <w:rPr>
          <w:rFonts w:ascii="宋体" w:hAnsi="宋体"/>
          <w:b/>
          <w:color w:val="000000"/>
          <w:sz w:val="24"/>
          <w:szCs w:val="24"/>
          <w:u w:val="single"/>
        </w:rPr>
        <w:t xml:space="preserve">                               </w:t>
      </w:r>
    </w:p>
    <w:p>
      <w:pPr>
        <w:spacing w:line="360" w:lineRule="auto"/>
        <w:ind w:left="12" w:leftChars="6" w:firstLine="473" w:firstLineChars="197"/>
        <w:rPr>
          <w:rFonts w:ascii="宋体" w:hAnsi="宋体"/>
          <w:b/>
          <w:color w:val="000000"/>
          <w:sz w:val="24"/>
          <w:szCs w:val="24"/>
        </w:rPr>
      </w:pPr>
      <w:r>
        <w:rPr>
          <w:rFonts w:hint="eastAsia" w:ascii="宋体" w:hAnsi="宋体"/>
          <w:b/>
          <w:color w:val="000000"/>
          <w:sz w:val="24"/>
          <w:szCs w:val="24"/>
        </w:rPr>
        <w:t>开户银行：</w:t>
      </w:r>
      <w:r>
        <w:rPr>
          <w:rFonts w:ascii="宋体" w:hAnsi="宋体"/>
          <w:b/>
          <w:color w:val="000000"/>
          <w:sz w:val="24"/>
          <w:szCs w:val="24"/>
          <w:u w:val="single"/>
        </w:rPr>
        <w:t xml:space="preserve">                            </w:t>
      </w:r>
      <w:r>
        <w:rPr>
          <w:rFonts w:hint="eastAsia" w:ascii="宋体" w:hAnsi="宋体"/>
          <w:b/>
          <w:color w:val="000000"/>
          <w:sz w:val="24"/>
          <w:szCs w:val="24"/>
        </w:rPr>
        <w:t>帐号</w:t>
      </w:r>
      <w:r>
        <w:rPr>
          <w:rFonts w:ascii="宋体" w:hAnsi="宋体"/>
          <w:b/>
          <w:color w:val="000000"/>
          <w:sz w:val="24"/>
          <w:szCs w:val="24"/>
        </w:rPr>
        <w:t>/</w:t>
      </w:r>
      <w:r>
        <w:rPr>
          <w:rFonts w:hint="eastAsia" w:ascii="宋体" w:hAnsi="宋体"/>
          <w:b/>
          <w:color w:val="000000"/>
          <w:sz w:val="24"/>
          <w:szCs w:val="24"/>
        </w:rPr>
        <w:t>行号：</w:t>
      </w:r>
      <w:r>
        <w:rPr>
          <w:rFonts w:ascii="宋体" w:hAnsi="宋体"/>
          <w:b/>
          <w:color w:val="000000"/>
          <w:sz w:val="24"/>
          <w:szCs w:val="24"/>
          <w:u w:val="single"/>
        </w:rPr>
        <w:t xml:space="preserve">                           </w:t>
      </w:r>
    </w:p>
    <w:p>
      <w:pPr>
        <w:spacing w:line="360" w:lineRule="auto"/>
        <w:ind w:left="12" w:leftChars="6" w:firstLine="473" w:firstLineChars="197"/>
        <w:rPr>
          <w:rFonts w:ascii="宋体" w:hAnsi="宋体"/>
          <w:b/>
          <w:color w:val="000000"/>
          <w:sz w:val="24"/>
          <w:szCs w:val="24"/>
          <w:u w:val="single"/>
        </w:rPr>
      </w:pPr>
      <w:r>
        <w:rPr>
          <w:rFonts w:hint="eastAsia" w:ascii="宋体" w:hAnsi="宋体"/>
          <w:b/>
          <w:color w:val="000000"/>
          <w:sz w:val="24"/>
          <w:szCs w:val="24"/>
        </w:rPr>
        <w:t>投标人授权代表（签字）：</w:t>
      </w:r>
      <w:r>
        <w:rPr>
          <w:rFonts w:ascii="宋体" w:hAnsi="宋体"/>
          <w:b/>
          <w:color w:val="000000"/>
          <w:sz w:val="24"/>
          <w:szCs w:val="24"/>
          <w:u w:val="single"/>
        </w:rPr>
        <w:t xml:space="preserve">               </w:t>
      </w:r>
      <w:r>
        <w:rPr>
          <w:rFonts w:hint="eastAsia" w:ascii="宋体" w:hAnsi="宋体"/>
          <w:b/>
          <w:color w:val="000000"/>
          <w:sz w:val="24"/>
          <w:szCs w:val="24"/>
        </w:rPr>
        <w:t>日</w:t>
      </w:r>
      <w:r>
        <w:rPr>
          <w:rFonts w:ascii="宋体" w:hAnsi="宋体"/>
          <w:b/>
          <w:color w:val="000000"/>
          <w:sz w:val="24"/>
          <w:szCs w:val="24"/>
        </w:rPr>
        <w:t xml:space="preserve">    </w:t>
      </w:r>
      <w:r>
        <w:rPr>
          <w:rFonts w:hint="eastAsia" w:ascii="宋体" w:hAnsi="宋体"/>
          <w:b/>
          <w:color w:val="000000"/>
          <w:sz w:val="24"/>
          <w:szCs w:val="24"/>
        </w:rPr>
        <w:t>期：</w:t>
      </w:r>
      <w:r>
        <w:rPr>
          <w:rFonts w:ascii="宋体" w:hAnsi="宋体"/>
          <w:b/>
          <w:color w:val="000000"/>
          <w:sz w:val="24"/>
          <w:szCs w:val="24"/>
          <w:u w:val="single"/>
        </w:rPr>
        <w:t xml:space="preserve">                           </w:t>
      </w:r>
    </w:p>
    <w:p>
      <w:pPr>
        <w:spacing w:line="360" w:lineRule="auto"/>
        <w:ind w:left="12" w:leftChars="6" w:firstLine="473" w:firstLineChars="197"/>
        <w:rPr>
          <w:rFonts w:ascii="宋体" w:hAnsi="宋体"/>
          <w:b/>
          <w:color w:val="000000"/>
          <w:sz w:val="24"/>
          <w:szCs w:val="24"/>
          <w:u w:val="single"/>
        </w:rPr>
      </w:pPr>
    </w:p>
    <w:p>
      <w:pPr>
        <w:spacing w:line="360" w:lineRule="auto"/>
        <w:ind w:left="12" w:leftChars="6" w:firstLine="473" w:firstLineChars="197"/>
        <w:rPr>
          <w:rFonts w:ascii="宋体" w:hAnsi="宋体"/>
          <w:b/>
          <w:color w:val="000000"/>
          <w:sz w:val="24"/>
          <w:szCs w:val="24"/>
          <w:u w:val="single"/>
        </w:rPr>
      </w:pPr>
    </w:p>
    <w:p>
      <w:pPr>
        <w:spacing w:line="360" w:lineRule="auto"/>
        <w:ind w:left="12" w:leftChars="6" w:firstLine="473" w:firstLineChars="197"/>
        <w:rPr>
          <w:rFonts w:ascii="宋体" w:hAnsi="宋体"/>
          <w:b/>
          <w:color w:val="000000"/>
          <w:sz w:val="24"/>
          <w:szCs w:val="24"/>
          <w:u w:val="single"/>
        </w:rPr>
      </w:pPr>
    </w:p>
    <w:p>
      <w:pPr>
        <w:spacing w:line="360" w:lineRule="auto"/>
        <w:ind w:left="12" w:leftChars="6" w:firstLine="473" w:firstLineChars="197"/>
        <w:rPr>
          <w:rFonts w:ascii="宋体" w:hAnsi="宋体"/>
          <w:b/>
          <w:color w:val="000000"/>
          <w:sz w:val="24"/>
          <w:szCs w:val="24"/>
          <w:u w:val="single"/>
        </w:rPr>
      </w:pPr>
    </w:p>
    <w:p>
      <w:pPr>
        <w:rPr>
          <w:rFonts w:ascii="宋体" w:hAnsi="宋体"/>
          <w:b/>
          <w:bCs/>
          <w:color w:val="000000"/>
          <w:sz w:val="24"/>
        </w:rPr>
      </w:pPr>
      <w:r>
        <w:rPr>
          <w:rFonts w:hint="eastAsia" w:ascii="黑体" w:hAnsi="黑体" w:eastAsia="黑体" w:cs="黑体"/>
          <w:sz w:val="28"/>
          <w:szCs w:val="28"/>
        </w:rPr>
        <w:t>附件6: 开标一览表</w:t>
      </w:r>
      <w:r>
        <w:rPr>
          <w:rFonts w:ascii="宋体" w:hAnsi="宋体"/>
          <w:b/>
          <w:color w:val="000000"/>
          <w:sz w:val="24"/>
        </w:rPr>
        <w:t xml:space="preserve">   </w:t>
      </w:r>
      <w:r>
        <w:rPr>
          <w:rFonts w:ascii="宋体" w:hAnsi="宋体"/>
          <w:b/>
          <w:bCs/>
          <w:color w:val="000000"/>
          <w:sz w:val="24"/>
        </w:rPr>
        <w:t xml:space="preserve">            </w:t>
      </w:r>
    </w:p>
    <w:tbl>
      <w:tblPr>
        <w:tblStyle w:val="35"/>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5632"/>
      </w:tblGrid>
      <w:tr>
        <w:trPr>
          <w:trHeight w:val="714" w:hRule="atLeast"/>
        </w:trPr>
        <w:tc>
          <w:tcPr>
            <w:tcW w:w="3969" w:type="dxa"/>
            <w:shd w:val="clear" w:color="auto" w:fill="auto"/>
            <w:vAlign w:val="center"/>
          </w:tcPr>
          <w:p>
            <w:pPr>
              <w:spacing w:line="360" w:lineRule="auto"/>
              <w:jc w:val="center"/>
              <w:rPr>
                <w:rFonts w:ascii="宋体" w:hAnsi="宋体"/>
                <w:b/>
                <w:color w:val="000000"/>
                <w:sz w:val="24"/>
              </w:rPr>
            </w:pPr>
            <w:r>
              <w:rPr>
                <w:rFonts w:hint="eastAsia" w:ascii="宋体" w:hAnsi="宋体"/>
                <w:b/>
                <w:color w:val="000000"/>
                <w:sz w:val="24"/>
              </w:rPr>
              <w:t>项目编号</w:t>
            </w:r>
          </w:p>
        </w:tc>
        <w:tc>
          <w:tcPr>
            <w:tcW w:w="5632" w:type="dxa"/>
            <w:shd w:val="clear" w:color="auto" w:fill="auto"/>
            <w:vAlign w:val="center"/>
          </w:tcPr>
          <w:p>
            <w:pPr>
              <w:spacing w:line="360" w:lineRule="auto"/>
              <w:jc w:val="center"/>
              <w:rPr>
                <w:rFonts w:ascii="宋体"/>
                <w:bCs/>
                <w:color w:val="000000"/>
                <w:sz w:val="24"/>
              </w:rPr>
            </w:pPr>
          </w:p>
        </w:tc>
      </w:tr>
      <w:tr>
        <w:trPr>
          <w:trHeight w:val="714" w:hRule="atLeast"/>
        </w:trPr>
        <w:tc>
          <w:tcPr>
            <w:tcW w:w="3969" w:type="dxa"/>
            <w:shd w:val="clear" w:color="auto" w:fill="auto"/>
            <w:vAlign w:val="center"/>
          </w:tcPr>
          <w:p>
            <w:pPr>
              <w:spacing w:line="360" w:lineRule="auto"/>
              <w:jc w:val="center"/>
              <w:rPr>
                <w:rFonts w:ascii="宋体" w:hAnsi="宋体" w:cs="仿宋_GB2312"/>
                <w:b/>
                <w:color w:val="000000"/>
                <w:sz w:val="24"/>
                <w:szCs w:val="24"/>
              </w:rPr>
            </w:pPr>
            <w:r>
              <w:rPr>
                <w:rFonts w:hint="eastAsia" w:ascii="宋体" w:hAnsi="宋体"/>
                <w:b/>
                <w:color w:val="000000"/>
                <w:sz w:val="24"/>
              </w:rPr>
              <w:t>项目名称</w:t>
            </w:r>
          </w:p>
        </w:tc>
        <w:tc>
          <w:tcPr>
            <w:tcW w:w="5632" w:type="dxa"/>
            <w:shd w:val="clear" w:color="auto" w:fill="auto"/>
            <w:vAlign w:val="center"/>
          </w:tcPr>
          <w:p>
            <w:pPr>
              <w:spacing w:line="360" w:lineRule="auto"/>
              <w:jc w:val="center"/>
              <w:rPr>
                <w:rFonts w:ascii="宋体"/>
                <w:bCs/>
                <w:color w:val="000000"/>
                <w:sz w:val="24"/>
              </w:rPr>
            </w:pPr>
          </w:p>
        </w:tc>
      </w:tr>
      <w:tr>
        <w:trPr>
          <w:trHeight w:val="714" w:hRule="atLeast"/>
        </w:trPr>
        <w:tc>
          <w:tcPr>
            <w:tcW w:w="3969" w:type="dxa"/>
            <w:shd w:val="clear" w:color="auto" w:fill="auto"/>
            <w:vAlign w:val="center"/>
          </w:tcPr>
          <w:p>
            <w:pPr>
              <w:spacing w:line="360" w:lineRule="auto"/>
              <w:jc w:val="center"/>
              <w:rPr>
                <w:rFonts w:ascii="宋体" w:hAnsi="宋体" w:cs="仿宋_GB2312"/>
                <w:b/>
                <w:color w:val="000000"/>
                <w:sz w:val="24"/>
                <w:szCs w:val="24"/>
              </w:rPr>
            </w:pPr>
            <w:r>
              <w:rPr>
                <w:rFonts w:hint="eastAsia" w:ascii="宋体" w:hAnsi="宋体"/>
                <w:b/>
                <w:color w:val="000000"/>
                <w:sz w:val="24"/>
              </w:rPr>
              <w:t>投标人全称</w:t>
            </w:r>
          </w:p>
        </w:tc>
        <w:tc>
          <w:tcPr>
            <w:tcW w:w="5632" w:type="dxa"/>
            <w:shd w:val="clear" w:color="auto" w:fill="auto"/>
            <w:vAlign w:val="center"/>
          </w:tcPr>
          <w:p>
            <w:pPr>
              <w:spacing w:line="360" w:lineRule="auto"/>
              <w:jc w:val="center"/>
              <w:rPr>
                <w:rFonts w:ascii="宋体"/>
                <w:bCs/>
                <w:color w:val="000000"/>
                <w:sz w:val="24"/>
              </w:rPr>
            </w:pPr>
          </w:p>
        </w:tc>
      </w:tr>
      <w:tr>
        <w:trPr>
          <w:trHeight w:val="714" w:hRule="atLeast"/>
        </w:trPr>
        <w:tc>
          <w:tcPr>
            <w:tcW w:w="3969" w:type="dxa"/>
            <w:shd w:val="clear" w:color="auto" w:fill="auto"/>
            <w:vAlign w:val="center"/>
          </w:tcPr>
          <w:p>
            <w:pPr>
              <w:spacing w:line="360" w:lineRule="auto"/>
              <w:jc w:val="center"/>
              <w:rPr>
                <w:rFonts w:ascii="宋体" w:hAnsi="宋体" w:cs="仿宋_GB2312"/>
                <w:b/>
                <w:color w:val="000000"/>
                <w:sz w:val="24"/>
                <w:szCs w:val="24"/>
              </w:rPr>
            </w:pPr>
            <w:r>
              <w:rPr>
                <w:rFonts w:hint="eastAsia" w:ascii="宋体" w:hAnsi="宋体" w:cs="仿宋_GB2312"/>
                <w:b/>
                <w:color w:val="000000"/>
                <w:sz w:val="24"/>
                <w:szCs w:val="24"/>
              </w:rPr>
              <w:t>投标报价</w:t>
            </w:r>
          </w:p>
        </w:tc>
        <w:tc>
          <w:tcPr>
            <w:tcW w:w="5632" w:type="dxa"/>
            <w:shd w:val="clear" w:color="auto" w:fill="auto"/>
            <w:vAlign w:val="center"/>
          </w:tcPr>
          <w:p>
            <w:pPr>
              <w:spacing w:line="360" w:lineRule="auto"/>
              <w:jc w:val="center"/>
              <w:rPr>
                <w:rFonts w:ascii="宋体"/>
                <w:bCs/>
                <w:color w:val="000000"/>
                <w:sz w:val="24"/>
              </w:rPr>
            </w:pPr>
            <w:r>
              <w:rPr>
                <w:rFonts w:hint="eastAsia" w:ascii="宋体"/>
                <w:bCs/>
                <w:color w:val="000000"/>
                <w:sz w:val="24"/>
              </w:rPr>
              <w:t>万元/年</w:t>
            </w:r>
          </w:p>
          <w:p>
            <w:pPr>
              <w:spacing w:line="360" w:lineRule="auto"/>
              <w:jc w:val="center"/>
              <w:rPr>
                <w:rFonts w:ascii="宋体"/>
                <w:bCs/>
                <w:color w:val="000000"/>
                <w:sz w:val="24"/>
              </w:rPr>
            </w:pPr>
            <w:r>
              <w:rPr>
                <w:rFonts w:ascii="宋体"/>
                <w:bCs/>
                <w:color w:val="000000"/>
                <w:sz w:val="24"/>
                <w:highlight w:val="none"/>
              </w:rPr>
              <w:t>（</w:t>
            </w:r>
            <w:r>
              <w:rPr>
                <w:rFonts w:hint="eastAsia" w:ascii="宋体"/>
                <w:bCs/>
                <w:color w:val="000000"/>
                <w:sz w:val="24"/>
                <w:highlight w:val="none"/>
              </w:rPr>
              <w:t>其中</w:t>
            </w:r>
            <w:r>
              <w:rPr>
                <w:rFonts w:ascii="宋体"/>
                <w:bCs/>
                <w:color w:val="000000"/>
                <w:sz w:val="24"/>
                <w:highlight w:val="none"/>
              </w:rPr>
              <w:t>：消防设备维保费2</w:t>
            </w:r>
            <w:r>
              <w:rPr>
                <w:rFonts w:hint="eastAsia" w:ascii="宋体"/>
                <w:bCs/>
                <w:color w:val="000000"/>
                <w:sz w:val="24"/>
                <w:highlight w:val="none"/>
              </w:rPr>
              <w:t>万元/年</w:t>
            </w:r>
            <w:r>
              <w:rPr>
                <w:rFonts w:ascii="宋体"/>
                <w:bCs/>
                <w:color w:val="000000"/>
                <w:sz w:val="24"/>
                <w:highlight w:val="none"/>
              </w:rPr>
              <w:t>）</w:t>
            </w:r>
          </w:p>
        </w:tc>
      </w:tr>
      <w:tr>
        <w:trPr>
          <w:trHeight w:val="714" w:hRule="atLeast"/>
        </w:trPr>
        <w:tc>
          <w:tcPr>
            <w:tcW w:w="3969" w:type="dxa"/>
            <w:shd w:val="clear" w:color="auto" w:fill="auto"/>
            <w:vAlign w:val="center"/>
          </w:tcPr>
          <w:p>
            <w:pPr>
              <w:spacing w:line="360" w:lineRule="auto"/>
              <w:jc w:val="center"/>
              <w:rPr>
                <w:rFonts w:ascii="宋体" w:hAnsi="宋体" w:cs="仿宋_GB2312"/>
                <w:b/>
                <w:color w:val="000000"/>
                <w:sz w:val="24"/>
                <w:szCs w:val="24"/>
              </w:rPr>
            </w:pPr>
            <w:r>
              <w:rPr>
                <w:rFonts w:hint="eastAsia" w:ascii="宋体" w:hAnsi="宋体" w:cs="仿宋_GB2312"/>
                <w:b/>
                <w:color w:val="000000"/>
                <w:sz w:val="24"/>
                <w:szCs w:val="24"/>
              </w:rPr>
              <w:t>服务期</w:t>
            </w:r>
          </w:p>
        </w:tc>
        <w:tc>
          <w:tcPr>
            <w:tcW w:w="5632" w:type="dxa"/>
            <w:shd w:val="clear" w:color="auto" w:fill="auto"/>
            <w:vAlign w:val="center"/>
          </w:tcPr>
          <w:p>
            <w:pPr>
              <w:spacing w:line="360" w:lineRule="auto"/>
              <w:jc w:val="center"/>
              <w:rPr>
                <w:rFonts w:ascii="宋体"/>
                <w:bCs/>
                <w:color w:val="000000"/>
                <w:sz w:val="24"/>
              </w:rPr>
            </w:pPr>
            <w:r>
              <w:rPr>
                <w:rFonts w:ascii="宋体"/>
                <w:bCs/>
                <w:color w:val="000000"/>
                <w:sz w:val="24"/>
              </w:rPr>
              <w:t>1</w:t>
            </w:r>
            <w:r>
              <w:rPr>
                <w:rFonts w:hint="eastAsia" w:ascii="宋体"/>
                <w:bCs/>
                <w:color w:val="000000"/>
                <w:sz w:val="24"/>
              </w:rPr>
              <w:t>年</w:t>
            </w:r>
          </w:p>
        </w:tc>
      </w:tr>
      <w:tr>
        <w:trPr>
          <w:trHeight w:val="682" w:hRule="atLeast"/>
        </w:trPr>
        <w:tc>
          <w:tcPr>
            <w:tcW w:w="3969" w:type="dxa"/>
            <w:shd w:val="clear" w:color="auto" w:fill="auto"/>
            <w:vAlign w:val="center"/>
          </w:tcPr>
          <w:p>
            <w:pPr>
              <w:spacing w:line="360" w:lineRule="auto"/>
              <w:jc w:val="center"/>
              <w:rPr>
                <w:rFonts w:ascii="宋体"/>
                <w:b/>
                <w:bCs/>
                <w:color w:val="000000"/>
                <w:sz w:val="24"/>
              </w:rPr>
            </w:pPr>
            <w:r>
              <w:rPr>
                <w:rFonts w:hint="eastAsia" w:ascii="宋体" w:hAnsi="宋体" w:cs="仿宋_GB2312"/>
                <w:b/>
                <w:color w:val="000000"/>
                <w:sz w:val="24"/>
                <w:szCs w:val="24"/>
              </w:rPr>
              <w:t>项目负责人</w:t>
            </w:r>
          </w:p>
        </w:tc>
        <w:tc>
          <w:tcPr>
            <w:tcW w:w="5632" w:type="dxa"/>
            <w:shd w:val="clear" w:color="auto" w:fill="auto"/>
            <w:vAlign w:val="center"/>
          </w:tcPr>
          <w:p>
            <w:pPr>
              <w:spacing w:line="360" w:lineRule="auto"/>
              <w:jc w:val="center"/>
              <w:rPr>
                <w:rFonts w:ascii="宋体"/>
                <w:bCs/>
                <w:color w:val="000000"/>
                <w:sz w:val="24"/>
                <w:u w:val="single"/>
              </w:rPr>
            </w:pPr>
          </w:p>
        </w:tc>
      </w:tr>
    </w:tbl>
    <w:p>
      <w:pPr>
        <w:spacing w:line="276" w:lineRule="auto"/>
        <w:ind w:firstLine="480" w:firstLineChars="200"/>
        <w:jc w:val="left"/>
        <w:rPr>
          <w:rFonts w:ascii="宋体" w:hAnsi="宋体"/>
          <w:color w:val="000000"/>
          <w:sz w:val="24"/>
          <w:szCs w:val="24"/>
        </w:rPr>
      </w:pPr>
      <w:r>
        <w:rPr>
          <w:rFonts w:hint="eastAsia" w:ascii="宋体" w:hAnsi="宋体"/>
          <w:color w:val="000000"/>
          <w:sz w:val="24"/>
          <w:szCs w:val="24"/>
        </w:rPr>
        <w:t>说明</w:t>
      </w:r>
      <w:r>
        <w:rPr>
          <w:rFonts w:ascii="宋体" w:hAnsi="宋体"/>
          <w:color w:val="000000"/>
          <w:sz w:val="24"/>
          <w:szCs w:val="24"/>
        </w:rPr>
        <w:t>：</w:t>
      </w:r>
      <w:r>
        <w:rPr>
          <w:rFonts w:hint="eastAsia" w:ascii="宋体" w:hAnsi="宋体"/>
          <w:color w:val="000000"/>
          <w:sz w:val="24"/>
          <w:szCs w:val="24"/>
        </w:rPr>
        <w:t>为</w:t>
      </w:r>
      <w:r>
        <w:rPr>
          <w:rFonts w:hint="eastAsia" w:ascii="宋体" w:hAnsi="宋体" w:cs="Courier New"/>
          <w:color w:val="000000"/>
          <w:sz w:val="24"/>
        </w:rPr>
        <w:t>方便</w:t>
      </w:r>
      <w:r>
        <w:rPr>
          <w:rFonts w:hint="eastAsia" w:ascii="宋体" w:hAnsi="宋体"/>
          <w:color w:val="000000"/>
          <w:sz w:val="24"/>
          <w:szCs w:val="24"/>
        </w:rPr>
        <w:t>开标时唱标，投标人应另附《开标一览表》原件一份</w:t>
      </w:r>
      <w:r>
        <w:rPr>
          <w:rFonts w:hint="eastAsia" w:ascii="宋体" w:hAnsi="宋体"/>
          <w:color w:val="000000"/>
          <w:spacing w:val="-6"/>
          <w:kern w:val="0"/>
          <w:sz w:val="24"/>
          <w:szCs w:val="24"/>
        </w:rPr>
        <w:t>装入一个信封，单独密封提交</w:t>
      </w:r>
      <w:r>
        <w:rPr>
          <w:rFonts w:hint="eastAsia" w:ascii="宋体" w:hAnsi="宋体"/>
          <w:color w:val="000000"/>
          <w:sz w:val="24"/>
          <w:szCs w:val="24"/>
        </w:rPr>
        <w:t>，并在信封上标明“开标一览表”字样。未按要求单独提交上述资料或未按照招标文件规定格式填写完整并签字、盖章</w:t>
      </w:r>
      <w:r>
        <w:rPr>
          <w:rFonts w:hint="eastAsia" w:ascii="宋体" w:hAnsi="宋体"/>
          <w:color w:val="000000"/>
          <w:sz w:val="24"/>
          <w:szCs w:val="20"/>
        </w:rPr>
        <w:t>的，</w:t>
      </w:r>
      <w:r>
        <w:rPr>
          <w:rFonts w:hint="eastAsia" w:ascii="宋体" w:hAnsi="宋体"/>
          <w:color w:val="000000"/>
          <w:sz w:val="24"/>
          <w:szCs w:val="24"/>
        </w:rPr>
        <w:t>将按照</w:t>
      </w:r>
      <w:r>
        <w:rPr>
          <w:rFonts w:hint="eastAsia" w:ascii="宋体" w:hAnsi="宋体"/>
          <w:b/>
          <w:color w:val="000000"/>
          <w:sz w:val="24"/>
          <w:szCs w:val="24"/>
        </w:rPr>
        <w:t>无效投标处理</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单位</w:t>
      </w:r>
      <w:r>
        <w:rPr>
          <w:rFonts w:ascii="宋体" w:hAnsi="宋体"/>
          <w:color w:val="000000"/>
          <w:sz w:val="24"/>
          <w:szCs w:val="24"/>
        </w:rPr>
        <w:t>：</w:t>
      </w:r>
      <w:r>
        <w:rPr>
          <w:rFonts w:hint="eastAsia" w:ascii="宋体" w:hAnsi="宋体"/>
          <w:color w:val="000000"/>
          <w:sz w:val="24"/>
          <w:szCs w:val="24"/>
        </w:rPr>
        <w:t>人民币元。</w:t>
      </w:r>
      <w:r>
        <w:rPr>
          <w:rFonts w:ascii="宋体" w:hAnsi="宋体"/>
          <w:color w:val="000000"/>
          <w:sz w:val="24"/>
          <w:szCs w:val="24"/>
        </w:rPr>
        <w:t>）</w:t>
      </w:r>
    </w:p>
    <w:p>
      <w:pPr>
        <w:spacing w:line="276" w:lineRule="auto"/>
        <w:jc w:val="left"/>
        <w:rPr>
          <w:rFonts w:ascii="宋体"/>
          <w:color w:val="000000"/>
          <w:sz w:val="24"/>
          <w:szCs w:val="24"/>
        </w:rPr>
      </w:pPr>
    </w:p>
    <w:p>
      <w:pPr>
        <w:spacing w:line="276" w:lineRule="auto"/>
        <w:jc w:val="left"/>
        <w:rPr>
          <w:rFonts w:ascii="宋体"/>
          <w:color w:val="000000"/>
          <w:sz w:val="24"/>
          <w:szCs w:val="24"/>
        </w:rPr>
      </w:pPr>
    </w:p>
    <w:p>
      <w:pPr>
        <w:spacing w:line="276" w:lineRule="auto"/>
        <w:jc w:val="left"/>
        <w:rPr>
          <w:rFonts w:ascii="宋体"/>
          <w:color w:val="000000"/>
          <w:sz w:val="24"/>
          <w:szCs w:val="24"/>
        </w:rPr>
      </w:pPr>
    </w:p>
    <w:p>
      <w:pPr>
        <w:spacing w:before="100" w:beforeAutospacing="1" w:after="100" w:afterAutospacing="1" w:line="320" w:lineRule="exact"/>
        <w:rPr>
          <w:rFonts w:ascii="宋体"/>
          <w:b/>
          <w:bCs/>
          <w:color w:val="000000"/>
          <w:sz w:val="24"/>
          <w:u w:val="single"/>
        </w:rPr>
      </w:pPr>
      <w:r>
        <w:rPr>
          <w:rFonts w:hint="eastAsia" w:ascii="宋体" w:hAnsi="宋体"/>
          <w:b/>
          <w:bCs/>
          <w:color w:val="000000"/>
          <w:sz w:val="24"/>
        </w:rPr>
        <w:t>投标人（公章）：</w:t>
      </w:r>
      <w:r>
        <w:rPr>
          <w:rFonts w:ascii="宋体" w:hAnsi="宋体"/>
          <w:b/>
          <w:bCs/>
          <w:color w:val="000000"/>
          <w:sz w:val="24"/>
          <w:u w:val="single"/>
        </w:rPr>
        <w:t xml:space="preserve">                          </w:t>
      </w:r>
    </w:p>
    <w:p>
      <w:pPr>
        <w:spacing w:before="100" w:beforeAutospacing="1" w:after="100" w:afterAutospacing="1" w:line="320" w:lineRule="exact"/>
        <w:rPr>
          <w:rFonts w:ascii="宋体"/>
          <w:b/>
          <w:bCs/>
          <w:color w:val="000000"/>
          <w:sz w:val="24"/>
          <w:u w:val="single"/>
        </w:rPr>
      </w:pPr>
      <w:r>
        <w:rPr>
          <w:rFonts w:hint="eastAsia" w:ascii="宋体" w:hAnsi="宋体"/>
          <w:b/>
          <w:bCs/>
          <w:color w:val="000000"/>
          <w:sz w:val="24"/>
        </w:rPr>
        <w:t>投标人授权代表（签字或盖章）：</w:t>
      </w:r>
      <w:r>
        <w:rPr>
          <w:rFonts w:ascii="宋体" w:hAnsi="宋体"/>
          <w:b/>
          <w:bCs/>
          <w:color w:val="000000"/>
          <w:sz w:val="24"/>
          <w:u w:val="single"/>
        </w:rPr>
        <w:t xml:space="preserve">                  </w:t>
      </w:r>
    </w:p>
    <w:p>
      <w:pPr>
        <w:spacing w:before="100" w:beforeAutospacing="1" w:after="100" w:afterAutospacing="1" w:line="320" w:lineRule="exact"/>
        <w:rPr>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ascii="宋体" w:hAnsi="宋体"/>
          <w:b/>
          <w:bCs/>
          <w:color w:val="000000"/>
          <w:sz w:val="24"/>
          <w:u w:val="single"/>
        </w:rPr>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spacing w:before="40" w:after="40" w:line="360" w:lineRule="auto"/>
        <w:jc w:val="left"/>
        <w:rPr>
          <w:rFonts w:ascii="黑体" w:hAnsi="黑体" w:eastAsia="黑体" w:cs="黑体"/>
          <w:sz w:val="28"/>
          <w:szCs w:val="28"/>
        </w:rPr>
      </w:pPr>
    </w:p>
    <w:p>
      <w:pPr>
        <w:pStyle w:val="4"/>
        <w:spacing w:before="40" w:after="40" w:line="360" w:lineRule="auto"/>
        <w:jc w:val="left"/>
        <w:rPr>
          <w:rFonts w:ascii="宋体" w:hAnsi="宋体"/>
          <w:color w:val="000000"/>
          <w:sz w:val="24"/>
          <w:szCs w:val="24"/>
        </w:rPr>
      </w:pPr>
      <w:r>
        <w:rPr>
          <w:rFonts w:hint="eastAsia" w:ascii="黑体" w:hAnsi="黑体" w:eastAsia="黑体" w:cs="黑体"/>
          <w:sz w:val="28"/>
          <w:szCs w:val="28"/>
        </w:rPr>
        <w:t>附件</w:t>
      </w:r>
      <w:r>
        <w:rPr>
          <w:rFonts w:ascii="黑体" w:hAnsi="黑体" w:eastAsia="黑体" w:cs="黑体"/>
          <w:sz w:val="28"/>
          <w:szCs w:val="28"/>
        </w:rPr>
        <w:t>7</w:t>
      </w:r>
      <w:r>
        <w:rPr>
          <w:rFonts w:hint="eastAsia" w:ascii="黑体" w:hAnsi="黑体" w:eastAsia="黑体" w:cs="黑体"/>
          <w:sz w:val="28"/>
          <w:szCs w:val="28"/>
        </w:rPr>
        <w:t xml:space="preserve">: </w:t>
      </w:r>
      <w:r>
        <w:rPr>
          <w:rFonts w:hint="eastAsia" w:ascii="宋体" w:hAnsi="宋体"/>
          <w:color w:val="000000"/>
        </w:rPr>
        <w:t>投标报价明细表</w:t>
      </w:r>
      <w:r>
        <w:rPr>
          <w:rFonts w:ascii="宋体" w:hAnsi="宋体"/>
          <w:color w:val="000000"/>
          <w:sz w:val="24"/>
          <w:szCs w:val="24"/>
        </w:rPr>
        <w:t xml:space="preserve">                   </w:t>
      </w:r>
    </w:p>
    <w:tbl>
      <w:tblPr>
        <w:tblStyle w:val="35"/>
        <w:tblW w:w="9638" w:type="dxa"/>
        <w:jc w:val="center"/>
        <w:tblLayout w:type="fixed"/>
        <w:tblCellMar>
          <w:top w:w="0" w:type="dxa"/>
          <w:left w:w="108" w:type="dxa"/>
          <w:bottom w:w="0" w:type="dxa"/>
          <w:right w:w="108" w:type="dxa"/>
        </w:tblCellMar>
      </w:tblPr>
      <w:tblGrid>
        <w:gridCol w:w="775"/>
        <w:gridCol w:w="2222"/>
        <w:gridCol w:w="1264"/>
        <w:gridCol w:w="1487"/>
        <w:gridCol w:w="1487"/>
        <w:gridCol w:w="1341"/>
        <w:gridCol w:w="1062"/>
      </w:tblGrid>
      <w:tr>
        <w:trPr>
          <w:trHeight w:val="760" w:hRule="atLeast"/>
          <w:tblHeader/>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rPr>
            </w:pPr>
            <w:r>
              <w:rPr>
                <w:rFonts w:hint="eastAsia" w:ascii="宋体" w:hAnsi="宋体" w:cs="宋体"/>
                <w:b/>
                <w:bCs/>
                <w:color w:val="000000"/>
                <w:kern w:val="0"/>
              </w:rPr>
              <w:t>序号</w:t>
            </w: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rPr>
            </w:pPr>
            <w:r>
              <w:rPr>
                <w:rFonts w:hint="eastAsia" w:ascii="宋体" w:hAnsi="宋体" w:cs="宋体"/>
                <w:b/>
                <w:bCs/>
                <w:color w:val="000000"/>
                <w:kern w:val="0"/>
              </w:rPr>
              <w:t>工作点位</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rPr>
            </w:pPr>
            <w:r>
              <w:rPr>
                <w:rFonts w:hint="eastAsia" w:ascii="宋体" w:hAnsi="宋体" w:cs="宋体"/>
                <w:b/>
                <w:bCs/>
                <w:color w:val="000000"/>
                <w:kern w:val="0"/>
              </w:rPr>
              <w:t>设置岗位</w:t>
            </w:r>
            <w:r>
              <w:rPr>
                <w:rFonts w:ascii="宋体" w:hAnsi="宋体" w:cs="宋体"/>
                <w:b/>
                <w:bCs/>
                <w:color w:val="000000"/>
                <w:kern w:val="0"/>
              </w:rPr>
              <w:t xml:space="preserve">    </w:t>
            </w:r>
            <w:r>
              <w:rPr>
                <w:rFonts w:hint="eastAsia" w:ascii="宋体" w:hAnsi="宋体" w:cs="宋体"/>
                <w:b/>
                <w:bCs/>
                <w:color w:val="000000"/>
                <w:kern w:val="0"/>
              </w:rPr>
              <w:t>（个）</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rPr>
            </w:pPr>
            <w:r>
              <w:rPr>
                <w:rFonts w:hint="eastAsia" w:ascii="宋体" w:hAnsi="宋体" w:cs="宋体"/>
                <w:b/>
                <w:bCs/>
                <w:color w:val="000000"/>
                <w:kern w:val="0"/>
              </w:rPr>
              <w:t>岗位设置</w:t>
            </w:r>
          </w:p>
          <w:p>
            <w:pPr>
              <w:widowControl/>
              <w:jc w:val="center"/>
              <w:textAlignment w:val="center"/>
              <w:rPr>
                <w:rFonts w:ascii="宋体" w:hAnsi="宋体" w:cs="宋体"/>
                <w:b/>
                <w:bCs/>
                <w:color w:val="000000"/>
              </w:rPr>
            </w:pPr>
            <w:r>
              <w:rPr>
                <w:rFonts w:hint="eastAsia" w:ascii="宋体" w:hAnsi="宋体" w:cs="宋体"/>
                <w:b/>
                <w:bCs/>
                <w:color w:val="000000"/>
                <w:kern w:val="0"/>
              </w:rPr>
              <w:t>人员简述</w:t>
            </w: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24"/>
                <w:szCs w:val="24"/>
              </w:rPr>
            </w:pPr>
            <w:r>
              <w:rPr>
                <w:rFonts w:hint="eastAsia" w:ascii="宋体" w:hAnsi="宋体"/>
                <w:b/>
                <w:bCs/>
                <w:color w:val="000000"/>
                <w:sz w:val="24"/>
                <w:szCs w:val="24"/>
              </w:rPr>
              <w:t>单价</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24"/>
                <w:szCs w:val="24"/>
              </w:rPr>
            </w:pPr>
            <w:r>
              <w:rPr>
                <w:rFonts w:hint="eastAsia" w:ascii="宋体" w:hAnsi="宋体"/>
                <w:b/>
                <w:bCs/>
                <w:color w:val="000000"/>
                <w:sz w:val="24"/>
                <w:szCs w:val="24"/>
              </w:rPr>
              <w:t>小计</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24"/>
                <w:szCs w:val="24"/>
              </w:rPr>
            </w:pPr>
            <w:r>
              <w:rPr>
                <w:rFonts w:hint="eastAsia" w:ascii="宋体" w:hAnsi="宋体"/>
                <w:b/>
                <w:bCs/>
                <w:color w:val="000000"/>
                <w:sz w:val="24"/>
                <w:szCs w:val="24"/>
              </w:rPr>
              <w:t>备注</w:t>
            </w: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校1号门车行入口（24小时制）</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校1号门车行出口（24小时制）</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校1号门人行入口</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校1号门人行出口</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5</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校2号门（24小时制）</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6</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校外公寓大门</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7</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知远楼门岗</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知音楼门岗</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知美楼门岗</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9</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知化楼门岗</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10</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知言楼门岗</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11</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图书馆入口</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图书馆出口</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13</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消防控制室（24小时制）</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14</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队长助理（机动队员具备文职能力）</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15</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白班巡逻（保安副队长）</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16</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夜班巡逻</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17</w:t>
            </w:r>
          </w:p>
        </w:tc>
        <w:tc>
          <w:tcPr>
            <w:tcW w:w="2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保安队长</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rPr>
            </w:pPr>
          </w:p>
        </w:tc>
      </w:tr>
      <w:tr>
        <w:trPr>
          <w:trHeight w:val="760" w:hRule="atLeast"/>
          <w:jc w:val="center"/>
        </w:trPr>
        <w:tc>
          <w:tcPr>
            <w:tcW w:w="2997"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color w:val="000000"/>
              </w:rPr>
            </w:pPr>
            <w:r>
              <w:rPr>
                <w:rFonts w:ascii="宋体" w:hAnsi="宋体" w:cs="宋体"/>
                <w:b/>
                <w:bCs/>
                <w:color w:val="000000"/>
              </w:rPr>
              <w:t>（1+17）</w:t>
            </w:r>
          </w:p>
        </w:tc>
        <w:tc>
          <w:tcPr>
            <w:tcW w:w="275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rPr>
            </w:pPr>
            <w:r>
              <w:rPr>
                <w:rFonts w:hint="eastAsia" w:ascii="宋体" w:hAnsi="宋体" w:cs="宋体"/>
                <w:color w:val="000000"/>
                <w:kern w:val="0"/>
              </w:rPr>
              <w:t>41人</w:t>
            </w:r>
          </w:p>
        </w:tc>
        <w:tc>
          <w:tcPr>
            <w:tcW w:w="28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rPr>
              <w:t>万元</w:t>
            </w:r>
            <w:r>
              <w:rPr>
                <w:rFonts w:ascii="宋体" w:hAnsi="宋体" w:cs="宋体"/>
                <w:color w:val="000000"/>
              </w:rPr>
              <w:t>/</w:t>
            </w:r>
            <w:r>
              <w:rPr>
                <w:rFonts w:hint="eastAsia" w:ascii="宋体" w:hAnsi="宋体" w:cs="宋体"/>
                <w:color w:val="000000"/>
              </w:rPr>
              <w:t>年</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r>
      <w:tr>
        <w:trPr>
          <w:trHeight w:val="760" w:hRule="atLeast"/>
          <w:jc w:val="center"/>
        </w:trPr>
        <w:tc>
          <w:tcPr>
            <w:tcW w:w="2997"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b/>
                <w:bCs/>
                <w:color w:val="000000"/>
                <w:highlight w:val="none"/>
              </w:rPr>
            </w:pPr>
            <w:r>
              <w:rPr>
                <w:rFonts w:ascii="宋体" w:hAnsi="宋体" w:cs="宋体"/>
                <w:b/>
                <w:bCs/>
                <w:color w:val="000000"/>
                <w:highlight w:val="none"/>
              </w:rPr>
              <w:t>18（</w:t>
            </w:r>
            <w:r>
              <w:rPr>
                <w:rFonts w:hint="eastAsia" w:ascii="宋体" w:hAnsi="宋体" w:cs="宋体"/>
                <w:b/>
                <w:bCs/>
                <w:color w:val="000000"/>
                <w:highlight w:val="none"/>
              </w:rPr>
              <w:t>消防设备维保费</w:t>
            </w:r>
            <w:r>
              <w:rPr>
                <w:rFonts w:ascii="宋体" w:hAnsi="宋体" w:cs="宋体"/>
                <w:b/>
                <w:bCs/>
                <w:color w:val="000000"/>
                <w:highlight w:val="none"/>
              </w:rPr>
              <w:t>）</w:t>
            </w:r>
          </w:p>
        </w:tc>
        <w:tc>
          <w:tcPr>
            <w:tcW w:w="275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highlight w:val="none"/>
              </w:rPr>
            </w:pPr>
          </w:p>
        </w:tc>
        <w:tc>
          <w:tcPr>
            <w:tcW w:w="28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万元</w:t>
            </w:r>
            <w:r>
              <w:rPr>
                <w:rFonts w:ascii="宋体" w:hAnsi="宋体" w:cs="宋体"/>
                <w:color w:val="000000"/>
                <w:highlight w:val="none"/>
              </w:rPr>
              <w:t>/</w:t>
            </w:r>
            <w:r>
              <w:rPr>
                <w:rFonts w:hint="eastAsia" w:ascii="宋体" w:hAnsi="宋体" w:cs="宋体"/>
                <w:color w:val="000000"/>
                <w:highlight w:val="none"/>
              </w:rPr>
              <w:t>年</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r>
      <w:tr>
        <w:trPr>
          <w:trHeight w:val="760" w:hRule="atLeast"/>
          <w:jc w:val="center"/>
        </w:trPr>
        <w:tc>
          <w:tcPr>
            <w:tcW w:w="2997"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b/>
                <w:bCs/>
                <w:color w:val="000000"/>
              </w:rPr>
            </w:pPr>
            <w:r>
              <w:rPr>
                <w:rFonts w:hint="eastAsia" w:ascii="宋体" w:hAnsi="宋体" w:cs="宋体"/>
                <w:b/>
                <w:bCs/>
                <w:color w:val="000000"/>
              </w:rPr>
              <w:t>投标总报价</w:t>
            </w:r>
            <w:r>
              <w:rPr>
                <w:rFonts w:ascii="宋体" w:hAnsi="宋体" w:cs="宋体"/>
                <w:b/>
                <w:bCs/>
                <w:color w:val="000000"/>
              </w:rPr>
              <w:t>（（1+17）+18）</w:t>
            </w:r>
          </w:p>
        </w:tc>
        <w:tc>
          <w:tcPr>
            <w:tcW w:w="2751"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rPr>
            </w:pPr>
          </w:p>
        </w:tc>
        <w:tc>
          <w:tcPr>
            <w:tcW w:w="28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r>
              <w:rPr>
                <w:rFonts w:hint="eastAsia" w:ascii="宋体" w:hAnsi="宋体" w:cs="宋体"/>
                <w:color w:val="000000"/>
              </w:rPr>
              <w:t>万元</w:t>
            </w:r>
            <w:r>
              <w:rPr>
                <w:rFonts w:ascii="宋体" w:hAnsi="宋体" w:cs="宋体"/>
                <w:color w:val="000000"/>
              </w:rPr>
              <w:t>/</w:t>
            </w:r>
            <w:r>
              <w:rPr>
                <w:rFonts w:hint="eastAsia" w:ascii="宋体" w:hAnsi="宋体" w:cs="宋体"/>
                <w:color w:val="000000"/>
              </w:rPr>
              <w:t>年</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rPr>
            </w:pPr>
          </w:p>
        </w:tc>
      </w:tr>
    </w:tbl>
    <w:p>
      <w:pPr>
        <w:spacing w:line="360" w:lineRule="auto"/>
        <w:jc w:val="left"/>
        <w:rPr>
          <w:rFonts w:ascii="宋体"/>
          <w:color w:val="000000"/>
          <w:sz w:val="24"/>
          <w:szCs w:val="24"/>
        </w:rPr>
      </w:pPr>
      <w:r>
        <w:rPr>
          <w:rFonts w:hint="eastAsia" w:ascii="宋体" w:hAnsi="宋体"/>
          <w:b/>
          <w:bCs/>
          <w:color w:val="000000"/>
          <w:sz w:val="24"/>
          <w:szCs w:val="24"/>
        </w:rPr>
        <w:t>说明：</w:t>
      </w:r>
      <w:r>
        <w:rPr>
          <w:rFonts w:ascii="宋体" w:hAnsi="宋体"/>
          <w:color w:val="000000"/>
          <w:sz w:val="24"/>
          <w:szCs w:val="24"/>
        </w:rPr>
        <w:t>1</w:t>
      </w:r>
      <w:r>
        <w:rPr>
          <w:rFonts w:hint="eastAsia" w:ascii="宋体" w:hAnsi="宋体"/>
          <w:color w:val="000000"/>
          <w:sz w:val="24"/>
          <w:szCs w:val="24"/>
        </w:rPr>
        <w:t>、</w:t>
      </w:r>
      <w:r>
        <w:rPr>
          <w:rFonts w:hint="eastAsia" w:ascii="宋体" w:hAnsi="宋体" w:cs="Courier New"/>
          <w:color w:val="000000"/>
          <w:sz w:val="24"/>
          <w:szCs w:val="24"/>
        </w:rPr>
        <w:t>所有</w:t>
      </w:r>
      <w:r>
        <w:rPr>
          <w:rFonts w:hint="eastAsia" w:ascii="宋体" w:hAnsi="宋体"/>
          <w:color w:val="000000"/>
          <w:sz w:val="24"/>
          <w:szCs w:val="24"/>
        </w:rPr>
        <w:t>价</w:t>
      </w:r>
      <w:r>
        <w:rPr>
          <w:rFonts w:hint="eastAsia" w:ascii="宋体" w:hAnsi="宋体" w:cs="Courier New"/>
          <w:color w:val="000000"/>
          <w:sz w:val="24"/>
          <w:szCs w:val="24"/>
        </w:rPr>
        <w:t>格</w:t>
      </w:r>
      <w:r>
        <w:rPr>
          <w:rFonts w:hint="eastAsia" w:ascii="宋体" w:hAnsi="宋体"/>
          <w:color w:val="000000"/>
          <w:sz w:val="24"/>
          <w:szCs w:val="24"/>
        </w:rPr>
        <w:t>均用人民币表示，单位为万元。</w:t>
      </w:r>
    </w:p>
    <w:p>
      <w:pPr>
        <w:spacing w:line="360" w:lineRule="auto"/>
        <w:ind w:left="1132" w:leftChars="360" w:hanging="376" w:hangingChars="157"/>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、报价</w:t>
      </w:r>
      <w:r>
        <w:rPr>
          <w:rFonts w:hint="eastAsia" w:ascii="宋体" w:hAnsi="宋体" w:cs="Courier New"/>
          <w:color w:val="000000"/>
          <w:sz w:val="24"/>
          <w:szCs w:val="24"/>
        </w:rPr>
        <w:t>明细表</w:t>
      </w:r>
      <w:r>
        <w:rPr>
          <w:rFonts w:hint="eastAsia" w:ascii="宋体" w:hAnsi="宋体"/>
          <w:color w:val="000000"/>
          <w:sz w:val="24"/>
          <w:szCs w:val="24"/>
        </w:rPr>
        <w:t>合计应与《开标一览表》中的投标报价一致。</w:t>
      </w:r>
    </w:p>
    <w:p>
      <w:pPr>
        <w:spacing w:line="360" w:lineRule="auto"/>
        <w:ind w:left="1132" w:leftChars="360" w:hanging="376" w:hangingChars="157"/>
        <w:jc w:val="left"/>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、未提供详细的货物（工程或服务）报价明细</w:t>
      </w:r>
      <w:r>
        <w:rPr>
          <w:rFonts w:hint="eastAsia" w:ascii="宋体" w:hAnsi="宋体" w:cs="Corbel"/>
          <w:color w:val="000000"/>
          <w:sz w:val="24"/>
          <w:szCs w:val="24"/>
        </w:rPr>
        <w:t>，</w:t>
      </w:r>
      <w:r>
        <w:rPr>
          <w:rFonts w:hint="eastAsia" w:ascii="宋体" w:hAnsi="宋体"/>
          <w:color w:val="000000"/>
          <w:sz w:val="24"/>
          <w:szCs w:val="24"/>
        </w:rPr>
        <w:t>导致的后果由投标人自行承担。</w:t>
      </w:r>
    </w:p>
    <w:p>
      <w:pPr>
        <w:spacing w:line="360" w:lineRule="auto"/>
        <w:ind w:firstLine="720" w:firstLineChars="300"/>
        <w:jc w:val="left"/>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小计</w:t>
      </w:r>
      <w:r>
        <w:rPr>
          <w:rFonts w:ascii="宋体" w:hAnsi="宋体"/>
          <w:color w:val="000000"/>
          <w:sz w:val="24"/>
          <w:szCs w:val="24"/>
        </w:rPr>
        <w:t xml:space="preserve"> = 设置岗位（个）* 单价。</w:t>
      </w:r>
      <w:r>
        <w:rPr>
          <w:rFonts w:hint="eastAsia" w:ascii="宋体" w:hAnsi="宋体"/>
          <w:color w:val="000000"/>
          <w:sz w:val="24"/>
          <w:szCs w:val="24"/>
        </w:rPr>
        <w:t>投标分项报价包含但不限于人员工资、学校消防设施维保费用、交通费（含巡逻车购置费）、服装费、通讯器材费（对讲机）、警具器械费（橡皮警棍等）、管理费、税费、社保费（包括医疗保险、失业保险、养老保险、生育保险、工伤保险）、生活费（含工作餐）、节假日加班费等。</w:t>
      </w:r>
    </w:p>
    <w:p>
      <w:pPr>
        <w:spacing w:line="360" w:lineRule="auto"/>
        <w:jc w:val="left"/>
        <w:rPr>
          <w:rFonts w:ascii="宋体"/>
          <w:color w:val="000000"/>
          <w:sz w:val="24"/>
          <w:szCs w:val="24"/>
        </w:rPr>
      </w:pPr>
    </w:p>
    <w:p>
      <w:pPr>
        <w:pStyle w:val="4"/>
      </w:pPr>
    </w:p>
    <w:p>
      <w:pPr>
        <w:spacing w:before="100" w:beforeAutospacing="1" w:after="100" w:afterAutospacing="1" w:line="276" w:lineRule="auto"/>
        <w:rPr>
          <w:rFonts w:hAnsi="宋体"/>
          <w:b/>
          <w:bCs/>
          <w:color w:val="000000"/>
          <w:sz w:val="24"/>
          <w:szCs w:val="24"/>
          <w:u w:val="single"/>
        </w:rPr>
      </w:pPr>
      <w:r>
        <w:rPr>
          <w:rFonts w:hint="eastAsia" w:ascii="宋体" w:hAnsi="宋体"/>
          <w:b/>
          <w:bCs/>
          <w:color w:val="000000"/>
          <w:sz w:val="24"/>
          <w:szCs w:val="24"/>
        </w:rPr>
        <w:t>投标人（公章）：</w:t>
      </w:r>
      <w:r>
        <w:rPr>
          <w:rFonts w:hAnsi="宋体"/>
          <w:b/>
          <w:bCs/>
          <w:color w:val="000000"/>
          <w:sz w:val="24"/>
          <w:szCs w:val="24"/>
          <w:u w:val="single"/>
        </w:rPr>
        <w:t xml:space="preserve">                          </w:t>
      </w:r>
    </w:p>
    <w:p>
      <w:pPr>
        <w:spacing w:before="100" w:beforeAutospacing="1" w:after="100" w:afterAutospacing="1" w:line="276" w:lineRule="auto"/>
        <w:rPr>
          <w:rFonts w:hAnsi="宋体"/>
          <w:b/>
          <w:bCs/>
          <w:color w:val="000000"/>
          <w:sz w:val="24"/>
          <w:szCs w:val="24"/>
          <w:u w:val="single"/>
        </w:rPr>
      </w:pPr>
      <w:r>
        <w:rPr>
          <w:rFonts w:hint="eastAsia" w:ascii="宋体" w:hAnsi="宋体"/>
          <w:b/>
          <w:bCs/>
          <w:color w:val="000000"/>
          <w:sz w:val="24"/>
          <w:szCs w:val="24"/>
        </w:rPr>
        <w:t>投标人授权代表（签字或盖章）：</w:t>
      </w:r>
      <w:r>
        <w:rPr>
          <w:rFonts w:hAnsi="宋体"/>
          <w:b/>
          <w:bCs/>
          <w:color w:val="000000"/>
          <w:sz w:val="24"/>
          <w:szCs w:val="24"/>
          <w:u w:val="single"/>
        </w:rPr>
        <w:t xml:space="preserve">                  </w:t>
      </w:r>
    </w:p>
    <w:p>
      <w:pPr>
        <w:spacing w:line="276" w:lineRule="auto"/>
        <w:rPr>
          <w:rFonts w:hAnsi="宋体"/>
          <w:b/>
          <w:bCs/>
          <w:color w:val="000000"/>
          <w:sz w:val="24"/>
          <w:szCs w:val="24"/>
          <w:u w:val="single"/>
        </w:rPr>
      </w:pPr>
      <w:r>
        <w:rPr>
          <w:rFonts w:hint="eastAsia" w:ascii="宋体" w:hAnsi="宋体"/>
          <w:b/>
          <w:bCs/>
          <w:color w:val="000000"/>
          <w:sz w:val="24"/>
          <w:szCs w:val="24"/>
        </w:rPr>
        <w:t>日</w:t>
      </w:r>
      <w:r>
        <w:rPr>
          <w:rFonts w:ascii="Times New Roman" w:hAnsi="宋体"/>
          <w:b/>
          <w:bCs/>
          <w:color w:val="000000"/>
          <w:sz w:val="24"/>
          <w:szCs w:val="24"/>
        </w:rPr>
        <w:t xml:space="preserve">   </w:t>
      </w:r>
      <w:r>
        <w:rPr>
          <w:rFonts w:hint="eastAsia" w:ascii="Times New Roman" w:hAnsi="宋体"/>
          <w:b/>
          <w:bCs/>
          <w:color w:val="000000"/>
          <w:sz w:val="24"/>
          <w:szCs w:val="24"/>
        </w:rPr>
        <w:t>期：</w:t>
      </w:r>
      <w:r>
        <w:rPr>
          <w:rFonts w:hAnsi="宋体"/>
          <w:b/>
          <w:bCs/>
          <w:color w:val="000000"/>
          <w:sz w:val="24"/>
          <w:szCs w:val="24"/>
          <w:u w:val="single"/>
        </w:rPr>
        <w:t xml:space="preserve">                               </w:t>
      </w:r>
    </w:p>
    <w:p>
      <w:pPr>
        <w:spacing w:line="276" w:lineRule="auto"/>
        <w:rPr>
          <w:rFonts w:hAnsi="宋体"/>
          <w:b/>
          <w:bCs/>
          <w:color w:val="000000"/>
          <w:sz w:val="24"/>
          <w:szCs w:val="24"/>
          <w:u w:val="single"/>
        </w:rPr>
      </w:pPr>
    </w:p>
    <w:p>
      <w:pPr>
        <w:spacing w:line="276" w:lineRule="auto"/>
        <w:rPr>
          <w:rFonts w:hAnsi="宋体"/>
          <w:b/>
          <w:bCs/>
          <w:color w:val="000000"/>
          <w:sz w:val="24"/>
          <w:szCs w:val="24"/>
          <w:u w:val="single"/>
        </w:rPr>
      </w:pPr>
    </w:p>
    <w:p>
      <w:pPr>
        <w:spacing w:line="276" w:lineRule="auto"/>
        <w:rPr>
          <w:rFonts w:hAnsi="宋体"/>
          <w:b/>
          <w:bCs/>
          <w:color w:val="000000"/>
          <w:sz w:val="24"/>
          <w:szCs w:val="24"/>
          <w:u w:val="single"/>
        </w:rPr>
      </w:pPr>
    </w:p>
    <w:p>
      <w:pPr>
        <w:spacing w:line="276" w:lineRule="auto"/>
        <w:rPr>
          <w:rFonts w:hAnsi="宋体"/>
          <w:b/>
          <w:bCs/>
          <w:color w:val="000000"/>
          <w:sz w:val="24"/>
          <w:szCs w:val="24"/>
          <w:u w:val="single"/>
        </w:rPr>
      </w:pPr>
    </w:p>
    <w:p>
      <w:pPr>
        <w:spacing w:line="276" w:lineRule="auto"/>
        <w:rPr>
          <w:rFonts w:hAnsi="宋体"/>
          <w:b/>
          <w:bCs/>
          <w:color w:val="000000"/>
          <w:sz w:val="24"/>
          <w:szCs w:val="24"/>
          <w:u w:val="single"/>
        </w:rPr>
      </w:pPr>
    </w:p>
    <w:p>
      <w:pPr>
        <w:spacing w:line="276" w:lineRule="auto"/>
        <w:rPr>
          <w:rFonts w:hAnsi="宋体"/>
          <w:b/>
          <w:bCs/>
          <w:color w:val="000000"/>
          <w:sz w:val="24"/>
          <w:szCs w:val="24"/>
          <w:u w:val="single"/>
        </w:rPr>
      </w:pPr>
    </w:p>
    <w:p>
      <w:pPr>
        <w:pStyle w:val="2"/>
      </w:pPr>
      <w:bookmarkStart w:id="171" w:name="_Toc2252904"/>
      <w:bookmarkStart w:id="172" w:name="_Toc511894529"/>
    </w:p>
    <w:p>
      <w:pPr>
        <w:rPr>
          <w:rFonts w:ascii="黑体" w:hAnsi="黑体" w:eastAsia="黑体" w:cs="黑体"/>
          <w:sz w:val="28"/>
          <w:szCs w:val="28"/>
        </w:rPr>
      </w:pPr>
      <w:r>
        <w:rPr>
          <w:rFonts w:hint="eastAsia" w:ascii="黑体" w:hAnsi="黑体" w:eastAsia="黑体" w:cs="黑体"/>
          <w:color w:val="000000"/>
          <w:sz w:val="28"/>
          <w:szCs w:val="28"/>
        </w:rPr>
        <w:t>附件8:</w:t>
      </w:r>
      <w:r>
        <w:rPr>
          <w:rFonts w:ascii="黑体" w:hAnsi="黑体" w:eastAsia="黑体" w:cs="黑体"/>
          <w:color w:val="000000"/>
          <w:sz w:val="28"/>
          <w:szCs w:val="28"/>
        </w:rPr>
        <w:t xml:space="preserve"> </w:t>
      </w:r>
      <w:r>
        <w:rPr>
          <w:rFonts w:hint="eastAsia" w:ascii="黑体" w:hAnsi="黑体" w:eastAsia="黑体" w:cs="黑体"/>
          <w:color w:val="000000"/>
          <w:sz w:val="28"/>
          <w:szCs w:val="28"/>
        </w:rPr>
        <w:t>中小企业声明函</w:t>
      </w:r>
      <w:bookmarkEnd w:id="171"/>
      <w:bookmarkEnd w:id="172"/>
      <w:r>
        <w:rPr>
          <w:rFonts w:hint="eastAsia" w:ascii="黑体" w:hAnsi="黑体" w:eastAsia="黑体" w:cs="黑体"/>
          <w:color w:val="000000"/>
          <w:kern w:val="0"/>
          <w:sz w:val="28"/>
          <w:szCs w:val="28"/>
        </w:rPr>
        <w:t xml:space="preserve">（工程、服务） </w:t>
      </w:r>
    </w:p>
    <w:p>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本公司（联合体）郑重声明，根据《政府采购促进中小企业发展管理办法》（财库﹝2020﹞46 号）的规定，本公司（联合体）参加</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（单位名称）</w:t>
      </w:r>
      <w:r>
        <w:rPr>
          <w:rFonts w:hint="eastAsia" w:asciiTheme="minorEastAsia" w:hAnsiTheme="minorEastAsia" w:eastAsiaTheme="minorEastAsia" w:cstheme="minorEastAsia"/>
          <w:color w:val="000000"/>
          <w:kern w:val="0"/>
          <w:sz w:val="24"/>
          <w:szCs w:val="24"/>
        </w:rPr>
        <w:t>的</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（项目名称）</w:t>
      </w:r>
      <w:r>
        <w:rPr>
          <w:rFonts w:hint="eastAsia" w:asciiTheme="minorEastAsia" w:hAnsiTheme="minorEastAsia" w:eastAsiaTheme="minorEastAsia" w:cstheme="minorEastAsia"/>
          <w:color w:val="000000"/>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1.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 xml:space="preserve">（标的名称） </w:t>
      </w:r>
      <w:r>
        <w:rPr>
          <w:rFonts w:hint="eastAsia" w:asciiTheme="minorEastAsia" w:hAnsiTheme="minorEastAsia" w:eastAsiaTheme="minorEastAsia" w:cstheme="minorEastAsia"/>
          <w:color w:val="000000"/>
          <w:kern w:val="0"/>
          <w:sz w:val="24"/>
          <w:szCs w:val="24"/>
        </w:rPr>
        <w:t>，属于</w:t>
      </w:r>
      <w:r>
        <w:rPr>
          <w:rFonts w:asciiTheme="minorEastAsia" w:hAnsiTheme="minorEastAsia" w:eastAsiaTheme="minorEastAsia" w:cstheme="minorEastAsia"/>
          <w:color w:val="000000"/>
          <w:kern w:val="0"/>
          <w:sz w:val="24"/>
          <w:szCs w:val="24"/>
        </w:rPr>
        <w:t xml:space="preserve">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（采购文件中明确的所属行业）</w:t>
      </w:r>
      <w:r>
        <w:rPr>
          <w:rFonts w:hint="eastAsia" w:asciiTheme="minorEastAsia" w:hAnsiTheme="minorEastAsia" w:eastAsiaTheme="minorEastAsia" w:cstheme="minorEastAsia"/>
          <w:color w:val="000000"/>
          <w:kern w:val="0"/>
          <w:sz w:val="24"/>
          <w:szCs w:val="24"/>
        </w:rPr>
        <w:t>； 承建（承接）企业为</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（企业名称）</w:t>
      </w:r>
      <w:r>
        <w:rPr>
          <w:rFonts w:hint="eastAsia" w:asciiTheme="minorEastAsia" w:hAnsiTheme="minorEastAsia" w:eastAsiaTheme="minorEastAsia" w:cstheme="minorEastAsia"/>
          <w:color w:val="000000"/>
          <w:kern w:val="0"/>
          <w:sz w:val="24"/>
          <w:szCs w:val="24"/>
        </w:rPr>
        <w:t>，从业人员</w:t>
      </w:r>
      <w:r>
        <w:rPr>
          <w:rFonts w:hint="eastAsia" w:asciiTheme="minorEastAsia" w:hAnsiTheme="minorEastAsia" w:eastAsiaTheme="minorEastAsia" w:cstheme="minorEastAsia"/>
          <w:color w:val="000000"/>
          <w:kern w:val="0"/>
          <w:sz w:val="24"/>
          <w:szCs w:val="24"/>
          <w:u w:val="single"/>
        </w:rPr>
        <w:t xml:space="preserve">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人，营业收入为</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万元，资产总额为</w:t>
      </w:r>
      <w:r>
        <w:rPr>
          <w:rFonts w:hint="eastAsia" w:asciiTheme="minorEastAsia" w:hAnsiTheme="minorEastAsia" w:eastAsiaTheme="minorEastAsia" w:cstheme="minorEastAsia"/>
          <w:color w:val="000000"/>
          <w:kern w:val="0"/>
          <w:sz w:val="24"/>
          <w:szCs w:val="24"/>
          <w:u w:val="single"/>
        </w:rPr>
        <w:t xml:space="preserve">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万元1，属于</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（中型企业、小型企业、微型企业）</w:t>
      </w:r>
      <w:r>
        <w:rPr>
          <w:rFonts w:hint="eastAsia" w:asciiTheme="minorEastAsia" w:hAnsiTheme="minorEastAsia" w:eastAsiaTheme="minorEastAsia" w:cstheme="minorEastAsia"/>
          <w:color w:val="000000"/>
          <w:kern w:val="0"/>
          <w:sz w:val="24"/>
          <w:szCs w:val="24"/>
        </w:rPr>
        <w:t xml:space="preserve">； </w:t>
      </w:r>
    </w:p>
    <w:p>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2.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 xml:space="preserve">（标的名称） </w:t>
      </w:r>
      <w:r>
        <w:rPr>
          <w:rFonts w:hint="eastAsia" w:asciiTheme="minorEastAsia" w:hAnsiTheme="minorEastAsia" w:eastAsiaTheme="minorEastAsia" w:cstheme="minorEastAsia"/>
          <w:color w:val="000000"/>
          <w:kern w:val="0"/>
          <w:sz w:val="24"/>
          <w:szCs w:val="24"/>
        </w:rPr>
        <w:t>，属于</w:t>
      </w:r>
      <w:r>
        <w:rPr>
          <w:rFonts w:asciiTheme="minorEastAsia" w:hAnsiTheme="minorEastAsia" w:eastAsiaTheme="minorEastAsia" w:cstheme="minorEastAsia"/>
          <w:color w:val="000000"/>
          <w:kern w:val="0"/>
          <w:sz w:val="24"/>
          <w:szCs w:val="24"/>
        </w:rPr>
        <w:t xml:space="preserve">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（采购文件中明确的所属行业）</w:t>
      </w:r>
      <w:r>
        <w:rPr>
          <w:rFonts w:hint="eastAsia" w:asciiTheme="minorEastAsia" w:hAnsiTheme="minorEastAsia" w:eastAsiaTheme="minorEastAsia" w:cstheme="minorEastAsia"/>
          <w:color w:val="000000"/>
          <w:kern w:val="0"/>
          <w:sz w:val="24"/>
          <w:szCs w:val="24"/>
        </w:rPr>
        <w:t>； 承建（承接）企业为</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（企业名称）</w:t>
      </w:r>
      <w:r>
        <w:rPr>
          <w:rFonts w:hint="eastAsia" w:asciiTheme="minorEastAsia" w:hAnsiTheme="minorEastAsia" w:eastAsiaTheme="minorEastAsia" w:cstheme="minorEastAsia"/>
          <w:color w:val="000000"/>
          <w:kern w:val="0"/>
          <w:sz w:val="24"/>
          <w:szCs w:val="24"/>
        </w:rPr>
        <w:t>，从业人员</w:t>
      </w:r>
      <w:r>
        <w:rPr>
          <w:rFonts w:hint="eastAsia" w:asciiTheme="minorEastAsia" w:hAnsiTheme="minorEastAsia" w:eastAsiaTheme="minorEastAsia" w:cstheme="minorEastAsia"/>
          <w:color w:val="000000"/>
          <w:kern w:val="0"/>
          <w:sz w:val="24"/>
          <w:szCs w:val="24"/>
          <w:u w:val="single"/>
        </w:rPr>
        <w:t xml:space="preserve">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人，营业收入为</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万元，资产总额为</w:t>
      </w:r>
      <w:r>
        <w:rPr>
          <w:rFonts w:hint="eastAsia" w:asciiTheme="minorEastAsia" w:hAnsiTheme="minorEastAsia" w:eastAsiaTheme="minorEastAsia" w:cstheme="minorEastAsia"/>
          <w:color w:val="000000"/>
          <w:kern w:val="0"/>
          <w:sz w:val="24"/>
          <w:szCs w:val="24"/>
          <w:u w:val="single"/>
        </w:rPr>
        <w:t xml:space="preserve"> </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万元1，属于</w:t>
      </w:r>
      <w:r>
        <w:rPr>
          <w:rFonts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i/>
          <w:color w:val="000000"/>
          <w:kern w:val="0"/>
          <w:sz w:val="24"/>
          <w:szCs w:val="24"/>
          <w:u w:val="single"/>
        </w:rPr>
        <w:t>（中型企业、小型企业、微型企业）</w:t>
      </w:r>
      <w:r>
        <w:rPr>
          <w:rFonts w:hint="eastAsia" w:asciiTheme="minorEastAsia" w:hAnsiTheme="minorEastAsia" w:eastAsiaTheme="minorEastAsia" w:cstheme="minorEastAsia"/>
          <w:color w:val="000000"/>
          <w:kern w:val="0"/>
          <w:sz w:val="24"/>
          <w:szCs w:val="24"/>
        </w:rPr>
        <w:t xml:space="preserve">； </w:t>
      </w:r>
    </w:p>
    <w:p>
      <w:pPr>
        <w:widowControl/>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p>
      <w:pPr>
        <w:pStyle w:val="4"/>
      </w:pPr>
    </w:p>
    <w:p>
      <w:pPr>
        <w:widowControl/>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4"/>
      </w:pPr>
    </w:p>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企业名称（盖章）： </w:t>
      </w:r>
      <w:r>
        <w:rPr>
          <w:rFonts w:asciiTheme="minorEastAsia" w:hAnsiTheme="minorEastAsia" w:eastAsiaTheme="minorEastAsia" w:cstheme="minorEastAsia"/>
          <w:color w:val="000000"/>
          <w:kern w:val="0"/>
          <w:sz w:val="24"/>
          <w:szCs w:val="24"/>
          <w:u w:val="single"/>
        </w:rPr>
        <w:t xml:space="preserve">              </w:t>
      </w:r>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日 </w:t>
      </w:r>
      <w:r>
        <w:rPr>
          <w:rFonts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 xml:space="preserve">期： </w:t>
      </w:r>
      <w:r>
        <w:rPr>
          <w:rFonts w:asciiTheme="minorEastAsia" w:hAnsiTheme="minorEastAsia" w:eastAsiaTheme="minorEastAsia" w:cstheme="minorEastAsia"/>
          <w:color w:val="000000"/>
          <w:kern w:val="0"/>
          <w:sz w:val="24"/>
          <w:szCs w:val="24"/>
          <w:u w:val="single"/>
        </w:rPr>
        <w:t xml:space="preserve">              </w:t>
      </w:r>
    </w:p>
    <w:p>
      <w:pPr>
        <w:widowControl/>
        <w:spacing w:line="360" w:lineRule="auto"/>
        <w:jc w:val="left"/>
        <w:rPr>
          <w:rFonts w:asciiTheme="minorEastAsia" w:hAnsiTheme="minorEastAsia" w:eastAsiaTheme="minorEastAsia" w:cstheme="minorEastAsia"/>
          <w:color w:val="000000"/>
          <w:kern w:val="0"/>
          <w:sz w:val="24"/>
          <w:szCs w:val="24"/>
        </w:rPr>
      </w:pPr>
    </w:p>
    <w:p>
      <w:pPr>
        <w:widowControl/>
        <w:spacing w:line="360" w:lineRule="auto"/>
        <w:jc w:val="left"/>
        <w:rPr>
          <w:rFonts w:asciiTheme="minorEastAsia" w:hAnsiTheme="minorEastAsia" w:eastAsiaTheme="minorEastAsia" w:cstheme="minorEastAsia"/>
          <w:color w:val="000000"/>
          <w:kern w:val="0"/>
          <w:sz w:val="24"/>
          <w:szCs w:val="24"/>
        </w:rPr>
      </w:pPr>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1 从业人员、营业收入、资产总额填报上一年度数据，无上一年度数据的新成立企业可不填报。</w:t>
      </w:r>
    </w:p>
    <w:p>
      <w:pPr>
        <w:spacing w:before="100" w:beforeAutospacing="1" w:after="100" w:afterAutospacing="1"/>
        <w:ind w:firstLine="2905" w:firstLineChars="1382"/>
        <w:rPr>
          <w:rFonts w:ascii="宋体" w:hAnsi="宋体"/>
          <w:b/>
          <w:color w:val="000000"/>
          <w:u w:val="single"/>
        </w:rPr>
      </w:pPr>
    </w:p>
    <w:p>
      <w:pPr>
        <w:spacing w:line="360" w:lineRule="auto"/>
        <w:rPr>
          <w:rFonts w:ascii="宋体"/>
          <w:color w:val="000000"/>
        </w:rPr>
        <w:sectPr>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73" w:name="_Toc511894531"/>
      <w:bookmarkStart w:id="174" w:name="_Toc2252906"/>
      <w:bookmarkStart w:id="175" w:name="_Toc476153619"/>
      <w:r>
        <w:rPr>
          <w:rFonts w:hint="eastAsia" w:ascii="黑体" w:hAnsi="黑体" w:eastAsia="黑体" w:cs="黑体"/>
          <w:sz w:val="28"/>
          <w:szCs w:val="28"/>
        </w:rPr>
        <w:t>附件9:中小企业划型标准</w:t>
      </w:r>
      <w:bookmarkEnd w:id="173"/>
      <w:bookmarkEnd w:id="174"/>
      <w:bookmarkEnd w:id="175"/>
    </w:p>
    <w:p>
      <w:r>
        <w:rPr>
          <w:rFonts w:ascii="宋体" w:hAnsi="宋体" w:cs="宋体"/>
          <w:b/>
        </w:rPr>
        <w:drawing>
          <wp:inline distT="0" distB="0" distL="0" distR="0">
            <wp:extent cx="5613400" cy="7933055"/>
            <wp:effectExtent l="0" t="0" r="0" b="0"/>
            <wp:docPr id="1" name="图片 1" descr="文档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档2"/>
                    <pic:cNvPicPr>
                      <a:picLocks noChangeAspect="1" noChangeArrowheads="1"/>
                    </pic:cNvPicPr>
                  </pic:nvPicPr>
                  <pic:blipFill>
                    <a:blip r:embed="rId12"/>
                    <a:srcRect/>
                    <a:stretch>
                      <a:fillRect/>
                    </a:stretch>
                  </pic:blipFill>
                  <pic:spPr>
                    <a:xfrm>
                      <a:off x="0" y="0"/>
                      <a:ext cx="5613400" cy="7933055"/>
                    </a:xfrm>
                    <a:prstGeom prst="rect">
                      <a:avLst/>
                    </a:prstGeom>
                    <a:noFill/>
                    <a:ln w="9525">
                      <a:noFill/>
                      <a:miter lim="800000"/>
                      <a:headEnd/>
                      <a:tailEnd/>
                    </a:ln>
                  </pic:spPr>
                </pic:pic>
              </a:graphicData>
            </a:graphic>
          </wp:inline>
        </w:drawing>
      </w:r>
    </w:p>
    <w:p>
      <w:pPr>
        <w:rPr>
          <w:color w:val="000000"/>
        </w:rPr>
        <w:sectPr>
          <w:footerReference r:id="rId9" w:type="default"/>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76" w:name="_Toc494702274"/>
      <w:bookmarkStart w:id="177" w:name="_Toc494721104"/>
      <w:bookmarkStart w:id="178" w:name="_Toc2252907"/>
      <w:bookmarkStart w:id="179" w:name="_Toc494745321"/>
      <w:bookmarkStart w:id="180" w:name="_Toc494665004"/>
      <w:bookmarkStart w:id="181" w:name="_Toc511894532"/>
      <w:bookmarkStart w:id="182" w:name="_Toc494665954"/>
      <w:bookmarkStart w:id="183" w:name="_Toc494665557"/>
    </w:p>
    <w:p>
      <w:pPr>
        <w:rPr>
          <w:rFonts w:ascii="宋体" w:hAnsi="宋体"/>
          <w:b/>
          <w:color w:val="000000" w:themeColor="text1"/>
          <w:sz w:val="32"/>
          <w:szCs w:val="32"/>
          <w:u w:val="single"/>
        </w:rPr>
      </w:pPr>
      <w:r>
        <w:rPr>
          <w:rFonts w:hint="eastAsia" w:ascii="黑体" w:hAnsi="黑体" w:eastAsia="黑体" w:cs="黑体"/>
          <w:sz w:val="28"/>
          <w:szCs w:val="28"/>
        </w:rPr>
        <w:t>附件10:</w:t>
      </w:r>
      <w:r>
        <w:rPr>
          <w:rFonts w:ascii="黑体" w:hAnsi="黑体" w:eastAsia="黑体" w:cs="黑体"/>
          <w:sz w:val="28"/>
          <w:szCs w:val="28"/>
        </w:rPr>
        <w:t xml:space="preserve"> </w:t>
      </w:r>
      <w:r>
        <w:rPr>
          <w:rFonts w:hint="eastAsia" w:ascii="黑体" w:hAnsi="黑体" w:eastAsia="黑体" w:cs="黑体"/>
          <w:sz w:val="28"/>
          <w:szCs w:val="28"/>
        </w:rPr>
        <w:t>残疾人福利性单位声明函</w:t>
      </w:r>
      <w:bookmarkEnd w:id="176"/>
      <w:bookmarkEnd w:id="177"/>
      <w:bookmarkEnd w:id="178"/>
      <w:bookmarkEnd w:id="179"/>
      <w:bookmarkEnd w:id="180"/>
      <w:bookmarkEnd w:id="181"/>
      <w:bookmarkEnd w:id="182"/>
      <w:bookmarkEnd w:id="183"/>
      <w:r>
        <w:rPr>
          <w:rFonts w:hint="eastAsia" w:ascii="宋体" w:hAnsi="宋体"/>
          <w:b/>
          <w:color w:val="000000" w:themeColor="text1"/>
          <w:sz w:val="32"/>
          <w:szCs w:val="32"/>
          <w:u w:val="single"/>
        </w:rPr>
        <w:t>（</w:t>
      </w:r>
      <w:r>
        <w:rPr>
          <w:rFonts w:hint="eastAsia"/>
          <w:b/>
          <w:color w:val="000000" w:themeColor="text1"/>
          <w:u w:val="single"/>
        </w:rPr>
        <w:t>如不符合则不需要填写</w:t>
      </w:r>
      <w:r>
        <w:rPr>
          <w:rFonts w:hint="eastAsia" w:ascii="宋体" w:hAnsi="宋体"/>
          <w:b/>
          <w:color w:val="000000" w:themeColor="text1"/>
          <w:sz w:val="32"/>
          <w:szCs w:val="32"/>
          <w:u w:val="single"/>
        </w:rPr>
        <w:t>）</w:t>
      </w:r>
    </w:p>
    <w:p>
      <w:pPr>
        <w:spacing w:line="588" w:lineRule="exact"/>
        <w:ind w:firstLine="624"/>
        <w:rPr>
          <w:rFonts w:asciiTheme="minorEastAsia" w:hAnsiTheme="minorEastAsia"/>
          <w:color w:val="000000" w:themeColor="text1"/>
          <w:spacing w:val="6"/>
        </w:rPr>
      </w:pPr>
      <w:r>
        <w:rPr>
          <w:rFonts w:asciiTheme="minorEastAsia" w:hAnsiTheme="minorEastAsia"/>
          <w:color w:val="000000" w:themeColor="text1"/>
          <w:spacing w:val="6"/>
        </w:rPr>
        <w:t>本单位郑重声明，根据《财政部 民政部 中国残疾人联合会关于促进残疾人就业政府采购政策的通知》（财库</w:t>
      </w:r>
      <w:r>
        <w:rPr>
          <w:rFonts w:asciiTheme="minorEastAsia" w:hAnsiTheme="minorEastAsia"/>
          <w:color w:val="000000" w:themeColor="text1"/>
        </w:rPr>
        <w:t>〔2017〕141</w:t>
      </w:r>
      <w:r>
        <w:rPr>
          <w:rFonts w:asciiTheme="minorEastAsia" w:hAnsiTheme="minorEastAsia"/>
          <w:color w:val="000000" w:themeColor="text1"/>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color w:val="000000" w:themeColor="text1"/>
          <w:spacing w:val="6"/>
        </w:rPr>
      </w:pPr>
      <w:r>
        <w:rPr>
          <w:rFonts w:asciiTheme="minorEastAsia" w:hAnsiTheme="minorEastAsia"/>
          <w:color w:val="000000" w:themeColor="text1"/>
          <w:spacing w:val="6"/>
        </w:rPr>
        <w:t>本单位对上述声明的真实性负责。如有虚假，将依法承担相应责任。</w:t>
      </w:r>
    </w:p>
    <w:p>
      <w:pPr>
        <w:spacing w:line="360" w:lineRule="auto"/>
        <w:rPr>
          <w:rFonts w:asciiTheme="minorEastAsia" w:hAnsiTheme="minorEastAsia"/>
          <w:color w:val="000000" w:themeColor="text1"/>
          <w:spacing w:val="6"/>
        </w:rPr>
      </w:pPr>
    </w:p>
    <w:p>
      <w:pPr>
        <w:spacing w:line="360" w:lineRule="auto"/>
        <w:rPr>
          <w:rFonts w:asciiTheme="minorEastAsia" w:hAnsiTheme="minorEastAsia"/>
          <w:color w:val="000000" w:themeColor="text1"/>
          <w:spacing w:val="6"/>
        </w:rPr>
      </w:pPr>
    </w:p>
    <w:p>
      <w:pPr>
        <w:spacing w:line="360" w:lineRule="auto"/>
        <w:rPr>
          <w:rFonts w:asciiTheme="minorEastAsia" w:hAnsiTheme="minorEastAsia"/>
          <w:color w:val="000000" w:themeColor="text1"/>
          <w:spacing w:val="6"/>
        </w:rPr>
      </w:pPr>
    </w:p>
    <w:p>
      <w:pPr>
        <w:spacing w:before="100" w:beforeAutospacing="1" w:after="100" w:afterAutospacing="1" w:line="360" w:lineRule="auto"/>
        <w:ind w:firstLine="2905" w:firstLineChars="1382"/>
        <w:rPr>
          <w:rFonts w:ascii="宋体" w:hAnsi="宋体"/>
          <w:b/>
          <w:bCs/>
          <w:color w:val="000000" w:themeColor="text1"/>
          <w:lang w:val="zh-CN"/>
        </w:rPr>
      </w:pPr>
      <w:r>
        <w:rPr>
          <w:rFonts w:ascii="宋体" w:hAnsi="宋体"/>
          <w:b/>
          <w:bCs/>
          <w:color w:val="000000" w:themeColor="text1"/>
        </w:rPr>
        <w:t>单位名称</w:t>
      </w:r>
      <w:r>
        <w:rPr>
          <w:rFonts w:ascii="宋体" w:hAnsi="宋体"/>
          <w:b/>
          <w:bCs/>
          <w:color w:val="000000" w:themeColor="text1"/>
          <w:lang w:val="zh-CN"/>
        </w:rPr>
        <w:t>（盖章）：</w:t>
      </w:r>
      <w:r>
        <w:rPr>
          <w:rFonts w:ascii="宋体" w:hAnsi="宋体"/>
          <w:b/>
          <w:bCs/>
          <w:color w:val="000000" w:themeColor="text1"/>
          <w:u w:val="single"/>
        </w:rPr>
        <w:t xml:space="preserve">             </w:t>
      </w:r>
    </w:p>
    <w:p>
      <w:pPr>
        <w:spacing w:before="100" w:beforeAutospacing="1" w:after="100" w:afterAutospacing="1" w:line="360" w:lineRule="auto"/>
        <w:ind w:firstLine="2905" w:firstLineChars="1382"/>
        <w:rPr>
          <w:rFonts w:ascii="宋体" w:hAnsi="宋体"/>
          <w:b/>
          <w:bCs/>
          <w:color w:val="000000" w:themeColor="text1"/>
          <w:u w:val="single"/>
        </w:rPr>
      </w:pPr>
      <w:r>
        <w:rPr>
          <w:rFonts w:ascii="宋体" w:hAnsi="宋体"/>
          <w:b/>
          <w:bCs/>
          <w:color w:val="000000" w:themeColor="text1"/>
        </w:rPr>
        <w:t>日           期：</w:t>
      </w:r>
      <w:r>
        <w:rPr>
          <w:rFonts w:ascii="宋体" w:hAnsi="宋体"/>
          <w:b/>
          <w:bCs/>
          <w:color w:val="000000" w:themeColor="text1"/>
          <w:u w:val="single"/>
        </w:rPr>
        <w:t xml:space="preserve">              </w:t>
      </w:r>
    </w:p>
    <w:p>
      <w:pPr>
        <w:rPr>
          <w:color w:val="000000" w:themeColor="text1"/>
        </w:rPr>
      </w:pPr>
    </w:p>
    <w:p>
      <w:pPr>
        <w:spacing w:line="360" w:lineRule="auto"/>
        <w:rPr>
          <w:rFonts w:asciiTheme="minorEastAsia" w:hAnsiTheme="minorEastAsia"/>
          <w:color w:val="000000" w:themeColor="text1"/>
          <w:spacing w:val="6"/>
        </w:rPr>
      </w:pPr>
    </w:p>
    <w:p>
      <w:pPr>
        <w:spacing w:line="360" w:lineRule="auto"/>
        <w:ind w:firstLine="444" w:firstLineChars="200"/>
        <w:rPr>
          <w:color w:val="000000"/>
        </w:rPr>
      </w:pPr>
      <w:r>
        <w:rPr>
          <w:rFonts w:hint="eastAsia" w:asciiTheme="minorEastAsia" w:hAnsiTheme="minorEastAsia"/>
          <w:color w:val="000000" w:themeColor="text1"/>
          <w:spacing w:val="6"/>
        </w:rPr>
        <w:t xml:space="preserve">  说明：按照《三部门联合发布关于促进残疾人就业政府采购政策的通知》（财库〔2017〕141号）的规定，在政府采购活动中，残疾人福利性单位视同小微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投标人符合残疾人福利性单位条件的，在评定时视同小微企业。残疾人福利性单位属于小微企业的，不重复享受政策</w:t>
      </w:r>
      <w:r>
        <w:rPr>
          <w:rFonts w:hint="eastAsia" w:ascii="宋体" w:hAnsi="宋体"/>
          <w:color w:val="000000"/>
          <w:sz w:val="24"/>
          <w:szCs w:val="24"/>
        </w:rPr>
        <w:t>。</w:t>
      </w:r>
    </w:p>
    <w:p>
      <w:pPr>
        <w:rPr>
          <w:color w:val="000000"/>
        </w:rPr>
      </w:pPr>
    </w:p>
    <w:p>
      <w:pPr>
        <w:pStyle w:val="4"/>
        <w:numPr>
          <w:ilvl w:val="0"/>
          <w:numId w:val="53"/>
        </w:numPr>
        <w:spacing w:before="40" w:after="40" w:line="360" w:lineRule="auto"/>
        <w:ind w:left="1285" w:hanging="1281" w:hangingChars="400"/>
        <w:jc w:val="left"/>
        <w:rPr>
          <w:rFonts w:ascii="宋体"/>
          <w:bCs w:val="0"/>
          <w:color w:val="000000"/>
        </w:rPr>
        <w:sectPr>
          <w:footerReference r:id="rId10" w:type="default"/>
          <w:pgSz w:w="11906" w:h="16838"/>
          <w:pgMar w:top="1247" w:right="1247" w:bottom="1247" w:left="1247" w:header="851" w:footer="850" w:gutter="0"/>
          <w:cols w:space="0" w:num="1"/>
          <w:docGrid w:type="lines" w:linePitch="312" w:charSpace="0"/>
        </w:sectPr>
      </w:pPr>
    </w:p>
    <w:p>
      <w:pPr>
        <w:rPr>
          <w:rFonts w:ascii="黑体" w:hAnsi="黑体" w:eastAsia="黑体" w:cs="黑体"/>
          <w:color w:val="000000"/>
          <w:sz w:val="28"/>
          <w:szCs w:val="28"/>
        </w:rPr>
      </w:pPr>
      <w:bookmarkStart w:id="184" w:name="_Toc511894533"/>
      <w:bookmarkStart w:id="185" w:name="_Toc511895474"/>
      <w:bookmarkStart w:id="186" w:name="_Toc2252910"/>
    </w:p>
    <w:p>
      <w:pPr>
        <w:rPr>
          <w:rFonts w:ascii="黑体" w:hAnsi="黑体" w:eastAsia="黑体" w:cs="黑体"/>
          <w:color w:val="000000"/>
          <w:sz w:val="28"/>
          <w:szCs w:val="28"/>
          <w:u w:val="single"/>
        </w:rPr>
      </w:pPr>
      <w:r>
        <w:rPr>
          <w:rFonts w:hint="eastAsia" w:ascii="黑体" w:hAnsi="黑体" w:eastAsia="黑体" w:cs="黑体"/>
          <w:color w:val="000000"/>
          <w:sz w:val="28"/>
          <w:szCs w:val="28"/>
        </w:rPr>
        <w:t>附件11:</w:t>
      </w:r>
      <w:r>
        <w:rPr>
          <w:rFonts w:ascii="黑体" w:hAnsi="黑体" w:eastAsia="黑体" w:cs="黑体"/>
          <w:color w:val="000000"/>
          <w:sz w:val="28"/>
          <w:szCs w:val="28"/>
        </w:rPr>
        <w:t xml:space="preserve"> </w:t>
      </w:r>
      <w:r>
        <w:rPr>
          <w:rFonts w:hint="eastAsia" w:ascii="黑体" w:hAnsi="黑体" w:eastAsia="黑体" w:cs="黑体"/>
          <w:color w:val="000000"/>
          <w:sz w:val="28"/>
          <w:szCs w:val="28"/>
        </w:rPr>
        <w:t>省级以上监狱管理局、戒毒管理局（含新疆生产建设兵团）出具的属于监狱企业的证明文件</w:t>
      </w:r>
      <w:r>
        <w:rPr>
          <w:rFonts w:hint="eastAsia" w:ascii="黑体" w:hAnsi="黑体" w:eastAsia="黑体" w:cs="黑体"/>
          <w:color w:val="000000"/>
          <w:sz w:val="28"/>
          <w:szCs w:val="28"/>
          <w:u w:val="single"/>
        </w:rPr>
        <w:t>（如不符合则不需要填写）</w:t>
      </w:r>
    </w:p>
    <w:p>
      <w:pPr>
        <w:rPr>
          <w:color w:val="000000"/>
        </w:rPr>
      </w:pPr>
    </w:p>
    <w:p>
      <w:pPr>
        <w:spacing w:line="360" w:lineRule="auto"/>
        <w:rPr>
          <w:rFonts w:ascii="宋体" w:hAnsi="宋体"/>
          <w:color w:val="000000"/>
          <w:spacing w:val="6"/>
        </w:rPr>
      </w:pPr>
    </w:p>
    <w:p>
      <w:pPr>
        <w:spacing w:line="360" w:lineRule="auto"/>
        <w:rPr>
          <w:rFonts w:ascii="宋体" w:hAnsi="宋体"/>
          <w:color w:val="000000"/>
          <w:spacing w:val="6"/>
          <w:u w:val="single"/>
        </w:rPr>
      </w:pPr>
      <w:r>
        <w:rPr>
          <w:rFonts w:hint="eastAsia" w:ascii="宋体" w:hAnsi="宋体"/>
          <w:color w:val="000000"/>
          <w:spacing w:val="6"/>
        </w:rPr>
        <w:t xml:space="preserve">    </w:t>
      </w:r>
      <w:r>
        <w:rPr>
          <w:rFonts w:hint="eastAsia" w:asciiTheme="minorEastAsia" w:hAnsiTheme="minorEastAsia"/>
          <w:color w:val="000000" w:themeColor="text1"/>
          <w:spacing w:val="6"/>
        </w:rPr>
        <w:t>按照财政部《关于政府采购支持监狱企业发展有关问题的通知》（财库[2014]68号）的规定，在政府采购活动中，监狱企业视同小微企业，享受预留份额、评审中价格扣除等政府采购促进中小企业发展的政府采购政策。</w:t>
      </w:r>
      <w:r>
        <w:rPr>
          <w:rFonts w:asciiTheme="minorEastAsia" w:hAnsiTheme="minorEastAsia"/>
          <w:color w:val="000000" w:themeColor="text1"/>
          <w:spacing w:val="6"/>
        </w:rPr>
        <w:t>监狱企业参加政府采购活动时，应当提供由省级以上监狱管理局、戒毒管理局（含新疆生产建设兵团）出具的属于监狱企业的证明文件</w:t>
      </w:r>
      <w:r>
        <w:rPr>
          <w:rFonts w:hint="eastAsia" w:asciiTheme="minorEastAsia" w:hAnsiTheme="minorEastAsia"/>
          <w:color w:val="000000" w:themeColor="text1"/>
          <w:spacing w:val="6"/>
        </w:rPr>
        <w:t>。经评委会审核确认投标人属于监狱企业的，在评定时视同小微企业。</w:t>
      </w:r>
    </w:p>
    <w:p>
      <w:pPr>
        <w:spacing w:line="360" w:lineRule="auto"/>
        <w:ind w:left="12" w:leftChars="6" w:firstLine="437" w:firstLineChars="197"/>
        <w:rPr>
          <w:rFonts w:ascii="宋体" w:hAnsi="宋体"/>
          <w:color w:val="000000"/>
          <w:spacing w:val="6"/>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6"/>
      </w:pPr>
    </w:p>
    <w:p>
      <w:pPr>
        <w:rPr>
          <w:color w:val="000000"/>
        </w:rPr>
      </w:pPr>
    </w:p>
    <w:p>
      <w:pPr>
        <w:rPr>
          <w:color w:val="000000"/>
        </w:rPr>
      </w:pPr>
    </w:p>
    <w:p>
      <w:pPr>
        <w:rPr>
          <w:color w:val="000000"/>
        </w:rPr>
      </w:pPr>
    </w:p>
    <w:p>
      <w:pPr>
        <w:rPr>
          <w:color w:val="000000"/>
        </w:rPr>
      </w:pPr>
    </w:p>
    <w:p>
      <w:pPr>
        <w:rPr>
          <w:rFonts w:ascii="黑体" w:hAnsi="黑体" w:eastAsia="黑体" w:cs="黑体"/>
          <w:color w:val="000000"/>
          <w:sz w:val="28"/>
          <w:szCs w:val="28"/>
          <w:u w:val="single"/>
        </w:rPr>
      </w:pPr>
      <w:r>
        <w:rPr>
          <w:rFonts w:hint="eastAsia" w:ascii="黑体" w:hAnsi="黑体" w:eastAsia="黑体" w:cs="黑体"/>
          <w:color w:val="000000"/>
          <w:sz w:val="28"/>
          <w:szCs w:val="28"/>
        </w:rPr>
        <w:t>附件12:节能环保产品证明文件</w:t>
      </w:r>
      <w:r>
        <w:rPr>
          <w:rFonts w:hint="eastAsia" w:ascii="黑体" w:hAnsi="黑体" w:eastAsia="黑体" w:cs="黑体"/>
          <w:color w:val="000000"/>
          <w:sz w:val="28"/>
          <w:szCs w:val="28"/>
          <w:u w:val="single"/>
        </w:rPr>
        <w:t>（如不符合则不需要填写）</w:t>
      </w:r>
    </w:p>
    <w:p>
      <w:pPr>
        <w:spacing w:line="360" w:lineRule="auto"/>
        <w:rPr>
          <w:color w:val="000000"/>
        </w:rPr>
      </w:pPr>
    </w:p>
    <w:p>
      <w:pPr>
        <w:spacing w:line="360" w:lineRule="auto"/>
        <w:rPr>
          <w:color w:val="000000" w:themeColor="text1"/>
        </w:rPr>
      </w:pPr>
      <w:r>
        <w:rPr>
          <w:rFonts w:hint="eastAsia"/>
          <w:color w:val="000000"/>
        </w:rPr>
        <w:t xml:space="preserve">   </w:t>
      </w:r>
      <w:r>
        <w:rPr>
          <w:color w:val="000000"/>
        </w:rPr>
        <w:t xml:space="preserve"> </w:t>
      </w:r>
      <w:r>
        <w:rPr>
          <w:rFonts w:hint="eastAsia"/>
          <w:color w:val="000000" w:themeColor="text1"/>
        </w:rPr>
        <w:t xml:space="preserve">依据财库[2019]19号文的规定，投标产品为《节能产品政府采购品目清单》内容的，须提供国家确定的认证机构出具的节能产品认证证书。供应商所投产品如属于政府优先采购节能产品范围的，给予该项产品价格1%的扣除，用扣除后的价格参与评审。 </w:t>
      </w:r>
    </w:p>
    <w:p>
      <w:pPr>
        <w:spacing w:line="360" w:lineRule="auto"/>
        <w:ind w:firstLine="420" w:firstLineChars="200"/>
        <w:rPr>
          <w:color w:val="000000"/>
          <w:u w:val="single"/>
        </w:rPr>
      </w:pPr>
      <w:r>
        <w:rPr>
          <w:rFonts w:hint="eastAsia"/>
          <w:color w:val="000000" w:themeColor="text1"/>
        </w:rPr>
        <w:t>依据财库[2019]18号文的规定，投标产品为《环保标志产品政府采购品目清单》内容的，须提供国家确定的认证机构出具的环保标志产品认证证书。供应商所投产品如属于政府优先采购环保标志产品范围的，给予该项产品价格1%的扣除，用扣除后的价格参与评审。</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bookmarkEnd w:id="184"/>
    <w:bookmarkEnd w:id="185"/>
    <w:bookmarkEnd w:id="186"/>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rPr>
          <w:color w:val="000000"/>
        </w:rPr>
      </w:pPr>
    </w:p>
    <w:p>
      <w:pPr>
        <w:pStyle w:val="4"/>
        <w:spacing w:before="40" w:after="40" w:line="360" w:lineRule="auto"/>
        <w:jc w:val="left"/>
        <w:rPr>
          <w:rFonts w:ascii="宋体"/>
          <w:bCs w:val="0"/>
          <w:color w:val="000000"/>
        </w:rPr>
        <w:sectPr>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87" w:name="_Toc2252916"/>
      <w:bookmarkStart w:id="188" w:name="_Toc511895480"/>
      <w:bookmarkStart w:id="189" w:name="_Toc511894539"/>
    </w:p>
    <w:p>
      <w:pPr>
        <w:rPr>
          <w:rFonts w:ascii="黑体" w:hAnsi="黑体" w:eastAsia="黑体" w:cs="黑体"/>
          <w:sz w:val="28"/>
          <w:szCs w:val="28"/>
        </w:rPr>
      </w:pPr>
      <w:r>
        <w:rPr>
          <w:rFonts w:hint="eastAsia" w:ascii="黑体" w:hAnsi="黑体" w:eastAsia="黑体" w:cs="黑体"/>
          <w:sz w:val="28"/>
          <w:szCs w:val="28"/>
        </w:rPr>
        <w:t>附件13:</w:t>
      </w:r>
      <w:r>
        <w:rPr>
          <w:rFonts w:ascii="黑体" w:hAnsi="黑体" w:eastAsia="黑体" w:cs="黑体"/>
          <w:sz w:val="28"/>
          <w:szCs w:val="28"/>
        </w:rPr>
        <w:t xml:space="preserve"> </w:t>
      </w:r>
      <w:r>
        <w:rPr>
          <w:rFonts w:hint="eastAsia" w:ascii="黑体" w:hAnsi="黑体" w:eastAsia="黑体" w:cs="黑体"/>
          <w:sz w:val="28"/>
          <w:szCs w:val="28"/>
        </w:rPr>
        <w:t>投标人的资格声明</w:t>
      </w:r>
      <w:bookmarkEnd w:id="187"/>
      <w:bookmarkEnd w:id="188"/>
      <w:bookmarkEnd w:id="189"/>
    </w:p>
    <w:p>
      <w:pPr>
        <w:spacing w:line="360" w:lineRule="auto"/>
        <w:ind w:left="1082" w:hanging="1079" w:hangingChars="449"/>
        <w:jc w:val="left"/>
        <w:rPr>
          <w:rFonts w:ascii="宋体"/>
          <w:b/>
          <w:color w:val="000000"/>
          <w:sz w:val="24"/>
          <w:szCs w:val="24"/>
        </w:rPr>
      </w:pPr>
      <w:r>
        <w:rPr>
          <w:rFonts w:ascii="宋体" w:hAnsi="宋体"/>
          <w:b/>
          <w:color w:val="000000"/>
          <w:sz w:val="24"/>
          <w:szCs w:val="24"/>
        </w:rPr>
        <w:t>1</w:t>
      </w:r>
      <w:r>
        <w:rPr>
          <w:rFonts w:hint="eastAsia" w:ascii="宋体" w:hAnsi="宋体"/>
          <w:b/>
          <w:color w:val="000000"/>
          <w:sz w:val="24"/>
          <w:szCs w:val="24"/>
        </w:rPr>
        <w:t>．名称及基本情况：</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）投标人：</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）地址：</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邮编：</w:t>
      </w:r>
      <w:r>
        <w:rPr>
          <w:rFonts w:ascii="宋体" w:hAnsi="宋体"/>
          <w:color w:val="000000"/>
          <w:sz w:val="24"/>
          <w:szCs w:val="24"/>
          <w:u w:val="single"/>
        </w:rPr>
        <w:t xml:space="preserve">                   </w:t>
      </w:r>
    </w:p>
    <w:p>
      <w:pPr>
        <w:spacing w:line="360" w:lineRule="exact"/>
        <w:ind w:firstLine="840" w:firstLineChars="350"/>
        <w:rPr>
          <w:rFonts w:ascii="宋体"/>
          <w:color w:val="000000"/>
          <w:sz w:val="24"/>
          <w:szCs w:val="24"/>
          <w:u w:val="single"/>
        </w:rPr>
      </w:pPr>
      <w:r>
        <w:rPr>
          <w:rFonts w:hint="eastAsia" w:ascii="宋体" w:hAnsi="宋体"/>
          <w:color w:val="000000"/>
          <w:sz w:val="24"/>
          <w:szCs w:val="24"/>
        </w:rPr>
        <w:t>电话：</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传真：</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）成立或注册日期：</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）单位性质：</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）法定代表人或主要负责人：</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）员工人数：</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）注册资本：</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）实收资本：</w:t>
      </w:r>
      <w:r>
        <w:rPr>
          <w:rFonts w:ascii="宋体" w:hAnsi="宋体"/>
          <w:color w:val="000000"/>
          <w:sz w:val="24"/>
          <w:szCs w:val="24"/>
          <w:u w:val="single"/>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9</w:t>
      </w:r>
      <w:r>
        <w:rPr>
          <w:rFonts w:hint="eastAsia" w:ascii="宋体" w:hAnsi="宋体"/>
          <w:color w:val="000000"/>
          <w:sz w:val="24"/>
          <w:szCs w:val="24"/>
        </w:rPr>
        <w:t>）上年末资产负债表：</w:t>
      </w:r>
      <w:r>
        <w:rPr>
          <w:rFonts w:ascii="宋体" w:hAnsi="宋体"/>
          <w:color w:val="000000"/>
          <w:sz w:val="24"/>
          <w:szCs w:val="24"/>
          <w:u w:val="single"/>
        </w:rPr>
        <w:t xml:space="preserve">                       </w:t>
      </w:r>
    </w:p>
    <w:p>
      <w:pPr>
        <w:spacing w:line="360" w:lineRule="exact"/>
        <w:ind w:firstLine="727" w:firstLineChars="303"/>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）固定资产</w:t>
      </w:r>
    </w:p>
    <w:p>
      <w:pPr>
        <w:spacing w:line="360" w:lineRule="exact"/>
        <w:ind w:firstLine="727" w:firstLineChars="303"/>
        <w:rPr>
          <w:rFonts w:ascii="宋体"/>
          <w:color w:val="000000"/>
          <w:sz w:val="24"/>
          <w:szCs w:val="24"/>
        </w:rPr>
      </w:pPr>
      <w:r>
        <w:rPr>
          <w:rFonts w:hint="eastAsia" w:ascii="宋体" w:hAnsi="宋体"/>
          <w:color w:val="000000"/>
          <w:sz w:val="24"/>
          <w:szCs w:val="24"/>
        </w:rPr>
        <w:t>原</w:t>
      </w:r>
      <w:r>
        <w:rPr>
          <w:rFonts w:ascii="宋体" w:hAnsi="宋体"/>
          <w:color w:val="000000"/>
          <w:sz w:val="24"/>
          <w:szCs w:val="24"/>
        </w:rPr>
        <w:t xml:space="preserve">   </w:t>
      </w:r>
      <w:r>
        <w:rPr>
          <w:rFonts w:hint="eastAsia" w:ascii="宋体" w:hAnsi="宋体"/>
          <w:color w:val="000000"/>
          <w:sz w:val="24"/>
          <w:szCs w:val="24"/>
        </w:rPr>
        <w:t>值：</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净</w:t>
      </w:r>
      <w:r>
        <w:rPr>
          <w:rFonts w:ascii="宋体" w:hAnsi="宋体"/>
          <w:color w:val="000000"/>
          <w:sz w:val="24"/>
          <w:szCs w:val="24"/>
        </w:rPr>
        <w:t xml:space="preserve">   </w:t>
      </w:r>
      <w:r>
        <w:rPr>
          <w:rFonts w:hint="eastAsia" w:ascii="宋体" w:hAnsi="宋体"/>
          <w:color w:val="000000"/>
          <w:sz w:val="24"/>
          <w:szCs w:val="24"/>
        </w:rPr>
        <w:t>值：</w:t>
      </w:r>
      <w:r>
        <w:rPr>
          <w:rFonts w:ascii="宋体" w:hAnsi="宋体"/>
          <w:color w:val="000000"/>
          <w:sz w:val="24"/>
          <w:szCs w:val="24"/>
        </w:rPr>
        <w:t xml:space="preserve"> </w:t>
      </w:r>
      <w:r>
        <w:rPr>
          <w:rFonts w:ascii="宋体" w:hAnsi="宋体"/>
          <w:color w:val="000000"/>
          <w:sz w:val="24"/>
          <w:szCs w:val="24"/>
          <w:u w:val="single"/>
        </w:rPr>
        <w:t xml:space="preserve">               </w:t>
      </w:r>
    </w:p>
    <w:p>
      <w:pPr>
        <w:spacing w:line="360" w:lineRule="exact"/>
        <w:ind w:firstLine="727" w:firstLineChars="303"/>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）流动资金：</w:t>
      </w:r>
      <w:r>
        <w:rPr>
          <w:rFonts w:ascii="宋体" w:hAnsi="宋体"/>
          <w:color w:val="000000"/>
          <w:sz w:val="24"/>
          <w:szCs w:val="24"/>
          <w:u w:val="single"/>
        </w:rPr>
        <w:t xml:space="preserve">                      </w:t>
      </w:r>
    </w:p>
    <w:p>
      <w:pPr>
        <w:spacing w:line="360" w:lineRule="exact"/>
        <w:ind w:firstLine="727" w:firstLineChars="303"/>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）长期负债：</w:t>
      </w:r>
      <w:r>
        <w:rPr>
          <w:rFonts w:ascii="宋体" w:hAnsi="宋体"/>
          <w:color w:val="000000"/>
          <w:sz w:val="24"/>
          <w:szCs w:val="24"/>
          <w:u w:val="single"/>
        </w:rPr>
        <w:t xml:space="preserve">                      </w:t>
      </w:r>
    </w:p>
    <w:p>
      <w:pPr>
        <w:spacing w:line="360" w:lineRule="exact"/>
        <w:ind w:firstLine="727" w:firstLineChars="303"/>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）短期负债：</w:t>
      </w:r>
      <w:r>
        <w:rPr>
          <w:rFonts w:ascii="宋体" w:hAnsi="宋体"/>
          <w:color w:val="000000"/>
          <w:sz w:val="24"/>
          <w:szCs w:val="24"/>
          <w:u w:val="single"/>
        </w:rPr>
        <w:t xml:space="preserve">                      </w:t>
      </w:r>
    </w:p>
    <w:p>
      <w:pPr>
        <w:spacing w:line="360" w:lineRule="auto"/>
        <w:ind w:left="1082" w:hanging="1079" w:hangingChars="449"/>
        <w:jc w:val="left"/>
        <w:rPr>
          <w:rFonts w:ascii="宋体"/>
          <w:b/>
          <w:color w:val="000000"/>
          <w:sz w:val="24"/>
          <w:szCs w:val="24"/>
          <w:u w:val="single"/>
        </w:rPr>
      </w:pPr>
      <w:r>
        <w:rPr>
          <w:rFonts w:ascii="宋体" w:hAnsi="宋体"/>
          <w:b/>
          <w:color w:val="000000"/>
          <w:sz w:val="24"/>
          <w:szCs w:val="24"/>
        </w:rPr>
        <w:t>2</w:t>
      </w:r>
      <w:r>
        <w:rPr>
          <w:rFonts w:hint="eastAsia" w:ascii="宋体" w:hAnsi="宋体"/>
          <w:b/>
          <w:color w:val="000000"/>
          <w:sz w:val="24"/>
          <w:szCs w:val="24"/>
        </w:rPr>
        <w:t>．</w:t>
      </w:r>
      <w:r>
        <w:rPr>
          <w:rFonts w:ascii="宋体" w:hAnsi="宋体"/>
          <w:b/>
          <w:color w:val="000000"/>
          <w:sz w:val="24"/>
          <w:szCs w:val="24"/>
        </w:rPr>
        <w:t xml:space="preserve"> </w:t>
      </w:r>
      <w:r>
        <w:rPr>
          <w:rFonts w:hint="eastAsia" w:ascii="宋体" w:hAnsi="宋体"/>
          <w:b/>
          <w:color w:val="000000"/>
          <w:sz w:val="24"/>
          <w:szCs w:val="24"/>
        </w:rPr>
        <w:t>投标人认为需要声明的其它情况：</w:t>
      </w:r>
      <w:r>
        <w:rPr>
          <w:rFonts w:ascii="宋体" w:hAnsi="宋体"/>
          <w:b/>
          <w:color w:val="000000"/>
          <w:sz w:val="24"/>
          <w:szCs w:val="24"/>
          <w:u w:val="single"/>
        </w:rPr>
        <w:t xml:space="preserve">                         </w:t>
      </w:r>
    </w:p>
    <w:p>
      <w:pPr>
        <w:spacing w:line="360" w:lineRule="exact"/>
        <w:ind w:firstLine="475" w:firstLineChars="198"/>
        <w:rPr>
          <w:rFonts w:ascii="宋体" w:hAnsi="宋体"/>
          <w:color w:val="000000"/>
          <w:sz w:val="24"/>
          <w:szCs w:val="24"/>
        </w:rPr>
      </w:pPr>
    </w:p>
    <w:p>
      <w:pPr>
        <w:spacing w:line="360" w:lineRule="exact"/>
        <w:ind w:firstLine="475" w:firstLineChars="198"/>
        <w:rPr>
          <w:rFonts w:ascii="宋体"/>
          <w:color w:val="000000"/>
          <w:sz w:val="24"/>
          <w:szCs w:val="24"/>
        </w:rPr>
      </w:pPr>
      <w:r>
        <w:rPr>
          <w:rFonts w:hint="eastAsia" w:ascii="宋体" w:hAnsi="宋体"/>
          <w:color w:val="000000"/>
          <w:sz w:val="24"/>
          <w:szCs w:val="24"/>
        </w:rPr>
        <w:t>兹证明上述声明是真实的、正确，并提供了全部能提供的资料和数据，同意按照代理机构要求出示有关证明文件。</w:t>
      </w:r>
      <w:r>
        <w:rPr>
          <w:rFonts w:ascii="宋体" w:hAnsi="宋体"/>
          <w:color w:val="000000"/>
          <w:sz w:val="24"/>
          <w:szCs w:val="24"/>
        </w:rPr>
        <w:t xml:space="preserve">                      </w: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u w:val="single"/>
        </w:rPr>
      </w:pPr>
      <w:r>
        <w:rPr>
          <w:rFonts w:hint="eastAsia" w:ascii="宋体" w:hAnsi="宋体"/>
          <w:color w:val="000000"/>
          <w:sz w:val="24"/>
          <w:szCs w:val="24"/>
        </w:rPr>
        <w:t>投标人</w:t>
      </w:r>
      <w:r>
        <w:rPr>
          <w:rFonts w:hint="eastAsia" w:ascii="Times New Roman" w:hAnsi="宋体"/>
          <w:color w:val="000000"/>
          <w:sz w:val="24"/>
          <w:szCs w:val="24"/>
        </w:rPr>
        <w:t>（公章）</w:t>
      </w:r>
      <w:r>
        <w:rPr>
          <w:rFonts w:hint="eastAsia" w:ascii="宋体" w:hAnsi="宋体"/>
          <w:color w:val="000000"/>
          <w:sz w:val="24"/>
          <w:szCs w:val="24"/>
        </w:rPr>
        <w:t>：</w:t>
      </w:r>
      <w:r>
        <w:rPr>
          <w:rFonts w:ascii="宋体" w:hAnsi="宋体"/>
          <w:color w:val="000000"/>
          <w:sz w:val="24"/>
          <w:szCs w:val="24"/>
          <w:u w:val="single"/>
        </w:rPr>
        <w:t xml:space="preserve">              </w:t>
      </w:r>
    </w:p>
    <w:p>
      <w:pPr>
        <w:spacing w:line="360" w:lineRule="auto"/>
        <w:rPr>
          <w:rFonts w:ascii="宋体"/>
          <w:color w:val="000000"/>
          <w:sz w:val="24"/>
          <w:szCs w:val="24"/>
        </w:rPr>
      </w:pPr>
      <w:r>
        <w:rPr>
          <w:rFonts w:hint="eastAsia" w:ascii="Times New Roman" w:hAnsi="宋体"/>
          <w:color w:val="000000"/>
          <w:sz w:val="24"/>
          <w:szCs w:val="24"/>
        </w:rPr>
        <w:t>法定代表人（负责人）（签字或盖章）</w:t>
      </w:r>
      <w:r>
        <w:rPr>
          <w:rFonts w:hint="eastAsia" w:ascii="宋体" w:hAnsi="宋体"/>
          <w:color w:val="000000"/>
          <w:sz w:val="24"/>
          <w:szCs w:val="24"/>
        </w:rPr>
        <w:t>：</w:t>
      </w:r>
      <w:r>
        <w:rPr>
          <w:rFonts w:ascii="宋体" w:hAnsi="宋体"/>
          <w:color w:val="000000"/>
          <w:sz w:val="24"/>
          <w:szCs w:val="24"/>
          <w:u w:val="single"/>
        </w:rPr>
        <w:t xml:space="preserve">            </w:t>
      </w:r>
    </w:p>
    <w:p>
      <w:pPr>
        <w:spacing w:line="360" w:lineRule="auto"/>
        <w:rPr>
          <w:rFonts w:ascii="宋体"/>
          <w:color w:val="000000"/>
          <w:sz w:val="24"/>
          <w:szCs w:val="24"/>
        </w:rPr>
        <w:sectPr>
          <w:pgSz w:w="11906" w:h="16838"/>
          <w:pgMar w:top="1247" w:right="1247" w:bottom="1247" w:left="1247" w:header="851" w:footer="850" w:gutter="0"/>
          <w:cols w:space="0" w:num="1"/>
          <w:docGrid w:type="lines" w:linePitch="312" w:charSpace="0"/>
        </w:sect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p>
    <w:p>
      <w:pPr>
        <w:rPr>
          <w:rFonts w:ascii="黑体" w:hAnsi="黑体" w:eastAsia="黑体" w:cs="黑体"/>
          <w:sz w:val="28"/>
          <w:szCs w:val="28"/>
        </w:rPr>
      </w:pPr>
      <w:bookmarkStart w:id="190" w:name="_Toc511895481"/>
      <w:bookmarkStart w:id="191" w:name="_Toc2252917"/>
      <w:bookmarkStart w:id="192" w:name="_Toc511894540"/>
    </w:p>
    <w:p>
      <w:pPr>
        <w:rPr>
          <w:rFonts w:ascii="黑体" w:hAnsi="黑体" w:eastAsia="黑体" w:cs="黑体"/>
          <w:sz w:val="28"/>
          <w:szCs w:val="28"/>
        </w:rPr>
      </w:pPr>
      <w:r>
        <w:rPr>
          <w:rFonts w:hint="eastAsia" w:ascii="黑体" w:hAnsi="黑体" w:eastAsia="黑体" w:cs="黑体"/>
          <w:sz w:val="28"/>
          <w:szCs w:val="28"/>
        </w:rPr>
        <w:t>附件14:项目负责人简历表</w:t>
      </w:r>
      <w:bookmarkEnd w:id="190"/>
      <w:bookmarkEnd w:id="191"/>
      <w:bookmarkEnd w:id="192"/>
    </w:p>
    <w:tbl>
      <w:tblPr>
        <w:tblStyle w:val="35"/>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5"/>
        <w:gridCol w:w="315"/>
        <w:gridCol w:w="1261"/>
        <w:gridCol w:w="631"/>
        <w:gridCol w:w="946"/>
        <w:gridCol w:w="946"/>
        <w:gridCol w:w="631"/>
        <w:gridCol w:w="1261"/>
        <w:gridCol w:w="315"/>
        <w:gridCol w:w="15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姓</w:t>
            </w:r>
            <w:r>
              <w:rPr>
                <w:rFonts w:ascii="宋体" w:hAnsi="宋体"/>
                <w:color w:val="000000"/>
                <w:kern w:val="0"/>
                <w:sz w:val="24"/>
                <w:szCs w:val="28"/>
              </w:rPr>
              <w:t xml:space="preserve">    </w:t>
            </w:r>
            <w:r>
              <w:rPr>
                <w:rFonts w:hint="eastAsia" w:ascii="宋体" w:hAnsi="宋体"/>
                <w:color w:val="000000"/>
                <w:kern w:val="0"/>
                <w:sz w:val="24"/>
                <w:szCs w:val="28"/>
              </w:rPr>
              <w:t>名</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color w:val="000000"/>
                <w:kern w:val="0"/>
                <w:sz w:val="24"/>
                <w:szCs w:val="28"/>
              </w:rPr>
            </w:pPr>
            <w:r>
              <w:rPr>
                <w:rFonts w:hint="eastAsia" w:ascii="宋体" w:hAnsi="宋体"/>
                <w:color w:val="000000"/>
                <w:kern w:val="0"/>
                <w:sz w:val="24"/>
                <w:szCs w:val="28"/>
              </w:rPr>
              <w:t>性</w:t>
            </w:r>
            <w:r>
              <w:rPr>
                <w:rFonts w:ascii="宋体" w:hAnsi="宋体"/>
                <w:color w:val="000000"/>
                <w:kern w:val="0"/>
                <w:sz w:val="24"/>
                <w:szCs w:val="28"/>
              </w:rPr>
              <w:t xml:space="preserve">    </w:t>
            </w:r>
            <w:r>
              <w:rPr>
                <w:rFonts w:hint="eastAsia" w:ascii="宋体" w:hAnsi="宋体"/>
                <w:color w:val="000000"/>
                <w:kern w:val="0"/>
                <w:sz w:val="24"/>
                <w:szCs w:val="28"/>
              </w:rPr>
              <w:t>别</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kern w:val="0"/>
                <w:sz w:val="24"/>
                <w:szCs w:val="28"/>
              </w:rPr>
            </w:pPr>
            <w:r>
              <w:rPr>
                <w:rFonts w:hint="eastAsia" w:ascii="宋体" w:hAnsi="宋体"/>
                <w:color w:val="000000"/>
                <w:kern w:val="0"/>
                <w:sz w:val="24"/>
                <w:szCs w:val="28"/>
              </w:rPr>
              <w:t>年</w:t>
            </w:r>
            <w:r>
              <w:rPr>
                <w:rFonts w:ascii="宋体" w:hAnsi="宋体"/>
                <w:color w:val="000000"/>
                <w:kern w:val="0"/>
                <w:sz w:val="24"/>
                <w:szCs w:val="28"/>
              </w:rPr>
              <w:t xml:space="preserve">    </w:t>
            </w:r>
            <w:r>
              <w:rPr>
                <w:rFonts w:hint="eastAsia" w:ascii="宋体" w:hAnsi="宋体"/>
                <w:color w:val="000000"/>
                <w:kern w:val="0"/>
                <w:sz w:val="24"/>
                <w:szCs w:val="28"/>
              </w:rPr>
              <w:t>龄</w:t>
            </w:r>
          </w:p>
        </w:tc>
        <w:tc>
          <w:tcPr>
            <w:tcW w:w="1530" w:type="dxa"/>
            <w:vAlign w:val="center"/>
          </w:tcPr>
          <w:p>
            <w:pPr>
              <w:autoSpaceDE w:val="0"/>
              <w:autoSpaceDN w:val="0"/>
              <w:adjustRightInd w:val="0"/>
              <w:spacing w:line="360" w:lineRule="auto"/>
              <w:ind w:right="286" w:rightChars="136"/>
              <w:jc w:val="center"/>
              <w:rPr>
                <w:rFonts w:ascii="宋体"/>
                <w:color w:val="000000"/>
                <w:kern w:val="0"/>
                <w:sz w:val="24"/>
                <w:szCs w:val="28"/>
              </w:rPr>
            </w:pPr>
          </w:p>
        </w:tc>
      </w:tr>
      <w:tr>
        <w:trPr>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职</w:t>
            </w:r>
            <w:r>
              <w:rPr>
                <w:rFonts w:ascii="宋体" w:hAnsi="宋体"/>
                <w:color w:val="000000"/>
                <w:kern w:val="0"/>
                <w:sz w:val="24"/>
                <w:szCs w:val="28"/>
              </w:rPr>
              <w:t xml:space="preserve">    </w:t>
            </w:r>
            <w:r>
              <w:rPr>
                <w:rFonts w:hint="eastAsia" w:ascii="宋体" w:hAnsi="宋体"/>
                <w:color w:val="000000"/>
                <w:kern w:val="0"/>
                <w:sz w:val="24"/>
                <w:szCs w:val="28"/>
              </w:rPr>
              <w:t>务</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color w:val="000000"/>
                <w:kern w:val="0"/>
                <w:sz w:val="24"/>
                <w:szCs w:val="28"/>
              </w:rPr>
            </w:pPr>
            <w:r>
              <w:rPr>
                <w:rFonts w:hint="eastAsia" w:ascii="宋体" w:hAnsi="宋体"/>
                <w:color w:val="000000"/>
                <w:kern w:val="0"/>
                <w:sz w:val="24"/>
                <w:szCs w:val="28"/>
              </w:rPr>
              <w:t>职</w:t>
            </w:r>
            <w:r>
              <w:rPr>
                <w:rFonts w:ascii="宋体" w:hAnsi="宋体"/>
                <w:color w:val="000000"/>
                <w:kern w:val="0"/>
                <w:sz w:val="24"/>
                <w:szCs w:val="28"/>
              </w:rPr>
              <w:t xml:space="preserve">    </w:t>
            </w:r>
            <w:r>
              <w:rPr>
                <w:rFonts w:hint="eastAsia" w:ascii="宋体" w:hAnsi="宋体"/>
                <w:color w:val="000000"/>
                <w:kern w:val="0"/>
                <w:sz w:val="24"/>
                <w:szCs w:val="28"/>
              </w:rPr>
              <w:t>称</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kern w:val="0"/>
                <w:sz w:val="24"/>
                <w:szCs w:val="28"/>
              </w:rPr>
            </w:pPr>
            <w:r>
              <w:rPr>
                <w:rFonts w:hint="eastAsia" w:ascii="宋体" w:hAnsi="宋体"/>
                <w:color w:val="000000"/>
                <w:kern w:val="0"/>
                <w:sz w:val="24"/>
                <w:szCs w:val="28"/>
              </w:rPr>
              <w:t>学</w:t>
            </w:r>
            <w:r>
              <w:rPr>
                <w:rFonts w:ascii="宋体" w:hAnsi="宋体"/>
                <w:color w:val="000000"/>
                <w:kern w:val="0"/>
                <w:sz w:val="24"/>
                <w:szCs w:val="28"/>
              </w:rPr>
              <w:t xml:space="preserve">    </w:t>
            </w:r>
            <w:r>
              <w:rPr>
                <w:rFonts w:hint="eastAsia" w:ascii="宋体" w:hAnsi="宋体"/>
                <w:color w:val="000000"/>
                <w:kern w:val="0"/>
                <w:sz w:val="24"/>
                <w:szCs w:val="28"/>
              </w:rPr>
              <w:t>历</w:t>
            </w:r>
          </w:p>
        </w:tc>
        <w:tc>
          <w:tcPr>
            <w:tcW w:w="1530" w:type="dxa"/>
            <w:vAlign w:val="center"/>
          </w:tcPr>
          <w:p>
            <w:pPr>
              <w:autoSpaceDE w:val="0"/>
              <w:autoSpaceDN w:val="0"/>
              <w:adjustRightInd w:val="0"/>
              <w:spacing w:line="360" w:lineRule="auto"/>
              <w:ind w:right="2" w:rightChars="1"/>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参加工作</w:t>
            </w:r>
          </w:p>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r>
              <w:rPr>
                <w:rFonts w:hint="eastAsia" w:ascii="宋体" w:hAnsi="宋体"/>
                <w:color w:val="000000"/>
                <w:kern w:val="0"/>
                <w:sz w:val="24"/>
                <w:szCs w:val="28"/>
              </w:rPr>
              <w:t>个人简介</w:t>
            </w:r>
          </w:p>
        </w:tc>
      </w:tr>
      <w:tr>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r>
              <w:rPr>
                <w:rFonts w:hint="eastAsia" w:ascii="宋体" w:hAnsi="宋体"/>
                <w:color w:val="000000"/>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bl>
    <w:p>
      <w:pPr>
        <w:spacing w:line="360" w:lineRule="auto"/>
        <w:ind w:left="723" w:hanging="721" w:hangingChars="300"/>
        <w:jc w:val="left"/>
        <w:rPr>
          <w:rFonts w:ascii="宋体"/>
          <w:color w:val="000000"/>
          <w:sz w:val="24"/>
          <w:szCs w:val="24"/>
        </w:rPr>
      </w:pPr>
      <w:r>
        <w:rPr>
          <w:rFonts w:hint="eastAsia" w:ascii="宋体" w:hAnsi="宋体"/>
          <w:b/>
          <w:color w:val="000000"/>
          <w:sz w:val="24"/>
          <w:szCs w:val="24"/>
        </w:rPr>
        <w:t>说明：</w:t>
      </w:r>
      <w:r>
        <w:rPr>
          <w:rFonts w:hint="eastAsia" w:ascii="宋体" w:hAnsi="宋体"/>
          <w:color w:val="000000"/>
          <w:sz w:val="24"/>
          <w:szCs w:val="24"/>
        </w:rPr>
        <w:t>投标文件正本应附完整的相关证明材料清晰影印件，未按照要求详细完整填写此表，导致的后果由投标人自行承担。</w:t>
      </w: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w:t>
      </w:r>
      <w:r>
        <w:rPr>
          <w:rFonts w:hint="eastAsia" w:ascii="宋体" w:hAnsi="宋体"/>
          <w:b/>
          <w:bCs/>
          <w:color w:val="000000"/>
          <w:sz w:val="24"/>
          <w:szCs w:val="24"/>
        </w:rPr>
        <w:t>或盖章</w:t>
      </w:r>
      <w:r>
        <w:rPr>
          <w:rFonts w:hint="eastAsia" w:hAnsi="宋体"/>
          <w:b/>
          <w:bCs/>
          <w:color w:val="000000"/>
          <w:sz w:val="24"/>
        </w:rPr>
        <w:t>）：</w:t>
      </w:r>
      <w:r>
        <w:rPr>
          <w:rFonts w:hAnsi="宋体"/>
          <w:b/>
          <w:bCs/>
          <w:color w:val="000000"/>
          <w:sz w:val="24"/>
          <w:u w:val="single"/>
        </w:rPr>
        <w:t xml:space="preserve">                  </w:t>
      </w:r>
    </w:p>
    <w:p>
      <w:pPr>
        <w:spacing w:before="100" w:beforeAutospacing="1" w:after="100" w:afterAutospacing="1" w:line="360" w:lineRule="auto"/>
        <w:rPr>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hAnsi="宋体"/>
          <w:b/>
          <w:bCs/>
          <w:color w:val="000000"/>
          <w:sz w:val="24"/>
          <w:u w:val="single"/>
        </w:rPr>
        <w:t xml:space="preserve">                               </w:t>
      </w:r>
    </w:p>
    <w:p>
      <w:pPr>
        <w:pStyle w:val="4"/>
        <w:numPr>
          <w:ilvl w:val="0"/>
          <w:numId w:val="53"/>
        </w:numPr>
        <w:spacing w:before="40" w:after="40" w:line="360" w:lineRule="auto"/>
        <w:ind w:left="1285" w:hanging="1281" w:hangingChars="400"/>
        <w:jc w:val="left"/>
        <w:rPr>
          <w:rFonts w:ascii="宋体"/>
          <w:bCs w:val="0"/>
          <w:color w:val="000000"/>
        </w:rPr>
        <w:sectPr>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93" w:name="_Toc511895482"/>
      <w:bookmarkStart w:id="194" w:name="_Toc2252918"/>
      <w:bookmarkStart w:id="195" w:name="_Toc511894541"/>
    </w:p>
    <w:p>
      <w:pPr>
        <w:rPr>
          <w:rFonts w:ascii="黑体" w:hAnsi="黑体" w:eastAsia="黑体" w:cs="黑体"/>
          <w:sz w:val="28"/>
          <w:szCs w:val="28"/>
        </w:rPr>
      </w:pPr>
      <w:r>
        <w:rPr>
          <w:rFonts w:hint="eastAsia" w:ascii="黑体" w:hAnsi="黑体" w:eastAsia="黑体" w:cs="黑体"/>
          <w:sz w:val="28"/>
          <w:szCs w:val="28"/>
        </w:rPr>
        <w:t>附件15:项目班子成员情况表</w:t>
      </w:r>
      <w:bookmarkEnd w:id="193"/>
      <w:bookmarkEnd w:id="194"/>
      <w:bookmarkEnd w:id="195"/>
    </w:p>
    <w:tbl>
      <w:tblPr>
        <w:tblStyle w:val="35"/>
        <w:tblW w:w="95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88" w:type="dxa"/>
            <w:shd w:val="clear" w:color="auto" w:fill="F2F2F2"/>
            <w:vAlign w:val="center"/>
          </w:tcPr>
          <w:p>
            <w:pPr>
              <w:spacing w:before="100" w:beforeAutospacing="1" w:after="100" w:afterAutospacing="1"/>
              <w:ind w:left="-105" w:leftChars="-50" w:right="-105" w:rightChars="-50"/>
              <w:jc w:val="center"/>
              <w:rPr>
                <w:rFonts w:ascii="宋体"/>
                <w:b/>
                <w:color w:val="000000"/>
                <w:sz w:val="24"/>
                <w:szCs w:val="24"/>
              </w:rPr>
            </w:pPr>
            <w:r>
              <w:rPr>
                <w:rFonts w:hint="eastAsia" w:ascii="宋体" w:hAnsi="宋体" w:cs="仿宋_GB2312"/>
                <w:b/>
                <w:color w:val="000000"/>
                <w:sz w:val="24"/>
                <w:szCs w:val="24"/>
              </w:rPr>
              <w:t>序号</w:t>
            </w:r>
          </w:p>
        </w:tc>
        <w:tc>
          <w:tcPr>
            <w:tcW w:w="1113" w:type="dxa"/>
            <w:shd w:val="clear" w:color="auto" w:fill="F2F2F2"/>
            <w:vAlign w:val="center"/>
          </w:tcPr>
          <w:p>
            <w:pPr>
              <w:spacing w:before="100" w:beforeAutospacing="1" w:after="100" w:afterAutospacing="1"/>
              <w:jc w:val="center"/>
              <w:rPr>
                <w:rFonts w:ascii="宋体"/>
                <w:b/>
                <w:color w:val="000000"/>
                <w:sz w:val="24"/>
                <w:szCs w:val="24"/>
              </w:rPr>
            </w:pPr>
            <w:r>
              <w:rPr>
                <w:rFonts w:hint="eastAsia" w:ascii="宋体" w:hAnsi="宋体"/>
                <w:b/>
                <w:color w:val="000000"/>
                <w:sz w:val="24"/>
                <w:szCs w:val="24"/>
              </w:rPr>
              <w:t>姓</w:t>
            </w:r>
            <w:r>
              <w:rPr>
                <w:rFonts w:ascii="宋体" w:hAnsi="宋体"/>
                <w:b/>
                <w:color w:val="000000"/>
                <w:sz w:val="24"/>
                <w:szCs w:val="24"/>
              </w:rPr>
              <w:t xml:space="preserve"> </w:t>
            </w:r>
            <w:r>
              <w:rPr>
                <w:rFonts w:hint="eastAsia" w:ascii="宋体" w:hAnsi="宋体"/>
                <w:b/>
                <w:color w:val="000000"/>
                <w:sz w:val="24"/>
                <w:szCs w:val="24"/>
              </w:rPr>
              <w:t>名</w:t>
            </w:r>
          </w:p>
        </w:tc>
        <w:tc>
          <w:tcPr>
            <w:tcW w:w="1533" w:type="dxa"/>
            <w:shd w:val="clear" w:color="auto" w:fill="F2F2F2"/>
            <w:vAlign w:val="center"/>
          </w:tcPr>
          <w:p>
            <w:pPr>
              <w:spacing w:before="100" w:beforeAutospacing="1" w:after="100" w:afterAutospacing="1"/>
              <w:jc w:val="center"/>
              <w:rPr>
                <w:rFonts w:ascii="宋体"/>
                <w:b/>
                <w:color w:val="000000"/>
                <w:sz w:val="24"/>
                <w:szCs w:val="24"/>
              </w:rPr>
            </w:pPr>
            <w:r>
              <w:rPr>
                <w:rFonts w:hint="eastAsia" w:ascii="宋体" w:hAnsi="宋体"/>
                <w:b/>
                <w:color w:val="000000"/>
                <w:sz w:val="24"/>
                <w:szCs w:val="24"/>
              </w:rPr>
              <w:t>专</w:t>
            </w:r>
            <w:r>
              <w:rPr>
                <w:rFonts w:ascii="宋体" w:hAnsi="宋体"/>
                <w:b/>
                <w:color w:val="000000"/>
                <w:sz w:val="24"/>
                <w:szCs w:val="24"/>
              </w:rPr>
              <w:t xml:space="preserve"> </w:t>
            </w:r>
            <w:r>
              <w:rPr>
                <w:rFonts w:hint="eastAsia" w:ascii="宋体" w:hAnsi="宋体"/>
                <w:b/>
                <w:color w:val="000000"/>
                <w:sz w:val="24"/>
                <w:szCs w:val="24"/>
              </w:rPr>
              <w:t>业</w:t>
            </w:r>
          </w:p>
        </w:tc>
        <w:tc>
          <w:tcPr>
            <w:tcW w:w="1134" w:type="dxa"/>
            <w:shd w:val="clear" w:color="auto" w:fill="F2F2F2"/>
            <w:vAlign w:val="center"/>
          </w:tcPr>
          <w:p>
            <w:pPr>
              <w:spacing w:before="100" w:beforeAutospacing="1" w:after="100" w:afterAutospacing="1"/>
              <w:jc w:val="center"/>
              <w:rPr>
                <w:rFonts w:asci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龄</w:t>
            </w:r>
          </w:p>
        </w:tc>
        <w:tc>
          <w:tcPr>
            <w:tcW w:w="1491" w:type="dxa"/>
            <w:shd w:val="clear" w:color="auto" w:fill="F2F2F2"/>
            <w:vAlign w:val="center"/>
          </w:tcPr>
          <w:p>
            <w:pPr>
              <w:spacing w:before="100" w:beforeAutospacing="1" w:after="100" w:afterAutospacing="1"/>
              <w:jc w:val="center"/>
              <w:rPr>
                <w:rFonts w:ascii="宋体"/>
                <w:b/>
                <w:color w:val="000000"/>
                <w:sz w:val="24"/>
                <w:szCs w:val="24"/>
              </w:rPr>
            </w:pPr>
            <w:r>
              <w:rPr>
                <w:rFonts w:hint="eastAsia" w:ascii="宋体" w:hAnsi="宋体"/>
                <w:b/>
                <w:color w:val="000000"/>
                <w:kern w:val="0"/>
                <w:sz w:val="24"/>
                <w:szCs w:val="28"/>
              </w:rPr>
              <w:t>从事本行业工作年限</w:t>
            </w:r>
          </w:p>
        </w:tc>
        <w:tc>
          <w:tcPr>
            <w:tcW w:w="1843" w:type="dxa"/>
            <w:shd w:val="clear" w:color="auto" w:fill="F2F2F2"/>
            <w:vAlign w:val="center"/>
          </w:tcPr>
          <w:p>
            <w:pPr>
              <w:spacing w:before="100" w:beforeAutospacing="1" w:after="100" w:afterAutospacing="1"/>
              <w:jc w:val="center"/>
              <w:rPr>
                <w:rFonts w:ascii="宋体"/>
                <w:b/>
                <w:color w:val="000000"/>
                <w:sz w:val="24"/>
                <w:szCs w:val="24"/>
              </w:rPr>
            </w:pPr>
            <w:r>
              <w:rPr>
                <w:rFonts w:hint="eastAsia" w:ascii="宋体" w:hAnsi="宋体"/>
                <w:b/>
                <w:color w:val="000000"/>
                <w:sz w:val="24"/>
                <w:szCs w:val="24"/>
              </w:rPr>
              <w:t>在本项目中承担的工作</w:t>
            </w:r>
          </w:p>
        </w:tc>
        <w:tc>
          <w:tcPr>
            <w:tcW w:w="1842" w:type="dxa"/>
            <w:shd w:val="clear" w:color="auto" w:fill="F2F2F2"/>
            <w:vAlign w:val="center"/>
          </w:tcPr>
          <w:p>
            <w:pPr>
              <w:spacing w:before="100" w:beforeAutospacing="1" w:after="100" w:afterAutospacing="1"/>
              <w:jc w:val="center"/>
              <w:rPr>
                <w:rFonts w:ascii="宋体"/>
                <w:b/>
                <w:color w:val="000000"/>
                <w:sz w:val="24"/>
                <w:szCs w:val="24"/>
              </w:rPr>
            </w:pPr>
            <w:r>
              <w:rPr>
                <w:rFonts w:hint="eastAsia" w:ascii="宋体" w:hAnsi="宋体"/>
                <w:b/>
                <w:color w:val="000000"/>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numPr>
                <w:ilvl w:val="0"/>
                <w:numId w:val="57"/>
              </w:numPr>
              <w:tabs>
                <w:tab w:val="left" w:pos="61"/>
              </w:tabs>
              <w:adjustRightInd w:val="0"/>
              <w:snapToGrid w:val="0"/>
              <w:ind w:left="-63" w:leftChars="-30" w:firstLine="0"/>
              <w:jc w:val="right"/>
              <w:rPr>
                <w:rFonts w:ascii="宋体"/>
                <w:color w:val="000000"/>
                <w:sz w:val="24"/>
              </w:rPr>
            </w:pP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numPr>
                <w:ilvl w:val="0"/>
                <w:numId w:val="57"/>
              </w:numPr>
              <w:tabs>
                <w:tab w:val="left" w:pos="61"/>
              </w:tabs>
              <w:adjustRightInd w:val="0"/>
              <w:snapToGrid w:val="0"/>
              <w:ind w:left="-63" w:leftChars="-30" w:firstLine="0"/>
              <w:jc w:val="right"/>
              <w:rPr>
                <w:rFonts w:ascii="宋体"/>
                <w:color w:val="000000"/>
                <w:sz w:val="24"/>
              </w:rPr>
            </w:pP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numPr>
                <w:ilvl w:val="0"/>
                <w:numId w:val="57"/>
              </w:numPr>
              <w:tabs>
                <w:tab w:val="left" w:pos="61"/>
              </w:tabs>
              <w:adjustRightInd w:val="0"/>
              <w:snapToGrid w:val="0"/>
              <w:ind w:left="-63" w:leftChars="-30" w:firstLine="0"/>
              <w:jc w:val="right"/>
              <w:rPr>
                <w:rFonts w:ascii="宋体"/>
                <w:color w:val="000000"/>
                <w:sz w:val="24"/>
              </w:rPr>
            </w:pP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numPr>
                <w:ilvl w:val="0"/>
                <w:numId w:val="57"/>
              </w:numPr>
              <w:tabs>
                <w:tab w:val="left" w:pos="61"/>
              </w:tabs>
              <w:adjustRightInd w:val="0"/>
              <w:snapToGrid w:val="0"/>
              <w:ind w:left="-63" w:leftChars="-30" w:firstLine="0"/>
              <w:jc w:val="right"/>
              <w:rPr>
                <w:rFonts w:ascii="宋体"/>
                <w:color w:val="000000"/>
                <w:sz w:val="24"/>
              </w:rPr>
            </w:pP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numPr>
                <w:ilvl w:val="0"/>
                <w:numId w:val="57"/>
              </w:numPr>
              <w:tabs>
                <w:tab w:val="left" w:pos="61"/>
              </w:tabs>
              <w:adjustRightInd w:val="0"/>
              <w:snapToGrid w:val="0"/>
              <w:ind w:left="-63" w:leftChars="-30" w:firstLine="0"/>
              <w:jc w:val="right"/>
              <w:rPr>
                <w:rFonts w:ascii="宋体"/>
                <w:color w:val="000000"/>
                <w:sz w:val="24"/>
              </w:rPr>
            </w:pP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numPr>
                <w:ilvl w:val="0"/>
                <w:numId w:val="57"/>
              </w:numPr>
              <w:tabs>
                <w:tab w:val="left" w:pos="61"/>
              </w:tabs>
              <w:adjustRightInd w:val="0"/>
              <w:snapToGrid w:val="0"/>
              <w:ind w:left="-63" w:leftChars="-30" w:firstLine="0"/>
              <w:jc w:val="right"/>
              <w:rPr>
                <w:rFonts w:ascii="宋体"/>
                <w:color w:val="000000"/>
                <w:sz w:val="24"/>
              </w:rPr>
            </w:pP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pPr>
              <w:jc w:val="center"/>
              <w:rPr>
                <w:rFonts w:ascii="宋体"/>
                <w:b/>
                <w:color w:val="000000"/>
                <w:sz w:val="24"/>
                <w:szCs w:val="24"/>
              </w:rPr>
            </w:pPr>
            <w:r>
              <w:rPr>
                <w:rFonts w:hint="eastAsia" w:ascii="宋体"/>
                <w:b/>
                <w:color w:val="000000"/>
                <w:sz w:val="24"/>
                <w:szCs w:val="24"/>
              </w:rPr>
              <w:t>…</w:t>
            </w:r>
          </w:p>
        </w:tc>
        <w:tc>
          <w:tcPr>
            <w:tcW w:w="1113" w:type="dxa"/>
            <w:vAlign w:val="center"/>
          </w:tcPr>
          <w:p>
            <w:pPr>
              <w:jc w:val="center"/>
              <w:rPr>
                <w:rFonts w:ascii="宋体"/>
                <w:color w:val="000000"/>
                <w:sz w:val="24"/>
                <w:szCs w:val="24"/>
              </w:rPr>
            </w:pPr>
          </w:p>
        </w:tc>
        <w:tc>
          <w:tcPr>
            <w:tcW w:w="1533"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91"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bl>
    <w:p>
      <w:pPr>
        <w:spacing w:line="360" w:lineRule="auto"/>
        <w:ind w:left="754" w:hanging="752" w:hangingChars="313"/>
        <w:jc w:val="left"/>
        <w:rPr>
          <w:rFonts w:ascii="宋体"/>
          <w:color w:val="000000"/>
          <w:sz w:val="24"/>
          <w:szCs w:val="24"/>
        </w:rPr>
      </w:pPr>
      <w:r>
        <w:rPr>
          <w:rFonts w:hint="eastAsia" w:ascii="宋体" w:hAnsi="宋体"/>
          <w:b/>
          <w:color w:val="000000"/>
          <w:sz w:val="24"/>
          <w:szCs w:val="24"/>
        </w:rPr>
        <w:t>说明：</w:t>
      </w:r>
      <w:r>
        <w:rPr>
          <w:rFonts w:hint="eastAsia" w:ascii="宋体" w:hAnsi="宋体"/>
          <w:color w:val="000000"/>
          <w:sz w:val="24"/>
        </w:rPr>
        <w:t>投标文件正本应附完整的相关证明材料清晰影印件</w:t>
      </w:r>
      <w:r>
        <w:rPr>
          <w:rFonts w:hint="eastAsia" w:ascii="宋体" w:hAnsi="宋体"/>
          <w:color w:val="000000"/>
          <w:sz w:val="24"/>
          <w:szCs w:val="24"/>
        </w:rPr>
        <w:t>，</w:t>
      </w:r>
      <w:r>
        <w:rPr>
          <w:rFonts w:hint="eastAsia" w:ascii="宋体" w:hAnsi="宋体" w:cs="Corbel"/>
          <w:color w:val="000000"/>
          <w:sz w:val="24"/>
        </w:rPr>
        <w:t>未按照要求详细完整填写此表，</w:t>
      </w:r>
      <w:r>
        <w:rPr>
          <w:rFonts w:hint="eastAsia" w:ascii="宋体" w:hAnsi="宋体"/>
          <w:color w:val="000000"/>
          <w:sz w:val="24"/>
        </w:rPr>
        <w:t>导致的后果由投标人自行承担。</w:t>
      </w: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w:t>
      </w:r>
      <w:r>
        <w:rPr>
          <w:rFonts w:hint="eastAsia" w:ascii="宋体" w:hAnsi="宋体"/>
          <w:b/>
          <w:bCs/>
          <w:color w:val="000000"/>
          <w:sz w:val="24"/>
          <w:szCs w:val="24"/>
        </w:rPr>
        <w:t>或盖章</w:t>
      </w:r>
      <w:r>
        <w:rPr>
          <w:rFonts w:hint="eastAsia" w:hAnsi="宋体"/>
          <w:b/>
          <w:bCs/>
          <w:color w:val="000000"/>
          <w:sz w:val="24"/>
        </w:rPr>
        <w:t>）：</w:t>
      </w:r>
      <w:r>
        <w:rPr>
          <w:rFonts w:hAnsi="宋体"/>
          <w:b/>
          <w:bCs/>
          <w:color w:val="000000"/>
          <w:sz w:val="24"/>
          <w:u w:val="single"/>
        </w:rPr>
        <w:t xml:space="preserve">                  </w:t>
      </w:r>
    </w:p>
    <w:p>
      <w:pPr>
        <w:spacing w:before="100" w:beforeAutospacing="1" w:after="100" w:afterAutospacing="1" w:line="360" w:lineRule="auto"/>
        <w:rPr>
          <w:rFonts w:ascii="宋体"/>
          <w:bCs/>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hAnsi="宋体"/>
          <w:b/>
          <w:bCs/>
          <w:color w:val="000000"/>
          <w:sz w:val="24"/>
          <w:u w:val="single"/>
        </w:rPr>
        <w:t xml:space="preserve">                               </w:t>
      </w:r>
    </w:p>
    <w:p>
      <w:pPr>
        <w:pStyle w:val="4"/>
        <w:numPr>
          <w:ilvl w:val="0"/>
          <w:numId w:val="53"/>
        </w:numPr>
        <w:spacing w:before="40" w:after="40" w:line="360" w:lineRule="auto"/>
        <w:ind w:left="1285" w:hanging="1281" w:hangingChars="400"/>
        <w:jc w:val="left"/>
        <w:rPr>
          <w:rFonts w:ascii="宋体"/>
          <w:bCs w:val="0"/>
          <w:color w:val="000000"/>
        </w:rPr>
        <w:sectPr>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96" w:name="_Toc511895483"/>
      <w:bookmarkStart w:id="197" w:name="_Toc2252919"/>
      <w:bookmarkStart w:id="198" w:name="_Toc511894542"/>
    </w:p>
    <w:p>
      <w:pPr>
        <w:rPr>
          <w:rFonts w:ascii="黑体" w:hAnsi="黑体" w:eastAsia="黑体" w:cs="黑体"/>
          <w:sz w:val="28"/>
          <w:szCs w:val="28"/>
        </w:rPr>
      </w:pPr>
      <w:r>
        <w:rPr>
          <w:rFonts w:hint="eastAsia" w:ascii="黑体" w:hAnsi="黑体" w:eastAsia="黑体" w:cs="黑体"/>
          <w:sz w:val="28"/>
          <w:szCs w:val="28"/>
        </w:rPr>
        <w:t>附件16:投标人类似项目业绩表</w:t>
      </w:r>
      <w:bookmarkEnd w:id="196"/>
      <w:bookmarkEnd w:id="197"/>
      <w:bookmarkEnd w:id="198"/>
    </w:p>
    <w:tbl>
      <w:tblPr>
        <w:tblStyle w:val="35"/>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9"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项目单位名称</w:t>
            </w:r>
          </w:p>
        </w:tc>
        <w:tc>
          <w:tcPr>
            <w:tcW w:w="7200" w:type="dxa"/>
            <w:vAlign w:val="center"/>
          </w:tcPr>
          <w:p>
            <w:pPr>
              <w:rPr>
                <w:rFonts w:asci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7"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项目名称</w:t>
            </w:r>
          </w:p>
        </w:tc>
        <w:tc>
          <w:tcPr>
            <w:tcW w:w="7200" w:type="dxa"/>
            <w:vAlign w:val="center"/>
          </w:tcPr>
          <w:p>
            <w:pPr>
              <w:rPr>
                <w:rFonts w:asci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7"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项目单位联系人姓名及联系方式</w:t>
            </w:r>
          </w:p>
        </w:tc>
        <w:tc>
          <w:tcPr>
            <w:tcW w:w="7200" w:type="dxa"/>
            <w:vAlign w:val="center"/>
          </w:tcPr>
          <w:p>
            <w:pPr>
              <w:rPr>
                <w:rFonts w:asci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3"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项目金额</w:t>
            </w:r>
          </w:p>
        </w:tc>
        <w:tc>
          <w:tcPr>
            <w:tcW w:w="7200" w:type="dxa"/>
            <w:vAlign w:val="center"/>
          </w:tcPr>
          <w:p>
            <w:pPr>
              <w:rPr>
                <w:rFonts w:asci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3"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项目负责人姓名</w:t>
            </w:r>
          </w:p>
        </w:tc>
        <w:tc>
          <w:tcPr>
            <w:tcW w:w="7200" w:type="dxa"/>
            <w:vAlign w:val="center"/>
          </w:tcPr>
          <w:p>
            <w:pPr>
              <w:rPr>
                <w:rFonts w:asci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9"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合同签订时间</w:t>
            </w:r>
          </w:p>
        </w:tc>
        <w:tc>
          <w:tcPr>
            <w:tcW w:w="7200" w:type="dxa"/>
            <w:vAlign w:val="center"/>
          </w:tcPr>
          <w:p>
            <w:pPr>
              <w:rPr>
                <w:rFonts w:asci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58" w:hRule="atLeast"/>
          <w:jc w:val="center"/>
        </w:trPr>
        <w:tc>
          <w:tcPr>
            <w:tcW w:w="2220" w:type="dxa"/>
            <w:vAlign w:val="center"/>
          </w:tcPr>
          <w:p>
            <w:pPr>
              <w:jc w:val="center"/>
              <w:rPr>
                <w:rFonts w:ascii="宋体" w:cs="Courier New"/>
                <w:b/>
                <w:color w:val="000000"/>
                <w:sz w:val="24"/>
                <w:szCs w:val="24"/>
              </w:rPr>
            </w:pPr>
            <w:r>
              <w:rPr>
                <w:rFonts w:hint="eastAsia" w:ascii="宋体" w:hAnsi="宋体" w:cs="Courier New"/>
                <w:b/>
                <w:color w:val="000000"/>
                <w:sz w:val="24"/>
                <w:szCs w:val="24"/>
              </w:rPr>
              <w:t>项目内容</w:t>
            </w:r>
          </w:p>
        </w:tc>
        <w:tc>
          <w:tcPr>
            <w:tcW w:w="7200" w:type="dxa"/>
          </w:tcPr>
          <w:p>
            <w:pPr>
              <w:rPr>
                <w:rFonts w:ascii="宋体" w:cs="Courier New"/>
                <w:color w:val="000000"/>
                <w:sz w:val="24"/>
                <w:szCs w:val="24"/>
              </w:rPr>
            </w:pPr>
          </w:p>
        </w:tc>
      </w:tr>
    </w:tbl>
    <w:p>
      <w:pPr>
        <w:spacing w:line="360" w:lineRule="auto"/>
        <w:ind w:left="1132" w:hanging="1129" w:hangingChars="470"/>
        <w:jc w:val="left"/>
        <w:rPr>
          <w:rFonts w:ascii="宋体"/>
          <w:color w:val="000000"/>
          <w:sz w:val="24"/>
          <w:szCs w:val="24"/>
        </w:rPr>
      </w:pPr>
      <w:r>
        <w:rPr>
          <w:rFonts w:hint="eastAsia" w:ascii="宋体" w:hAnsi="宋体"/>
          <w:b/>
          <w:color w:val="000000"/>
          <w:sz w:val="24"/>
          <w:szCs w:val="24"/>
        </w:rPr>
        <w:t>说明：</w:t>
      </w:r>
      <w:r>
        <w:rPr>
          <w:rFonts w:ascii="宋体" w:hAnsi="宋体"/>
          <w:color w:val="000000"/>
          <w:sz w:val="24"/>
          <w:szCs w:val="24"/>
        </w:rPr>
        <w:t>1</w:t>
      </w:r>
      <w:r>
        <w:rPr>
          <w:rFonts w:hint="eastAsia" w:ascii="宋体" w:hAnsi="宋体"/>
          <w:color w:val="000000"/>
          <w:sz w:val="24"/>
          <w:szCs w:val="24"/>
        </w:rPr>
        <w:t>、每个合同应单独附表，并附上相关证明材料，</w:t>
      </w:r>
      <w:r>
        <w:rPr>
          <w:rFonts w:hint="eastAsia" w:ascii="宋体" w:hAnsi="宋体" w:cs="Corbel"/>
          <w:color w:val="000000"/>
          <w:sz w:val="24"/>
          <w:szCs w:val="24"/>
        </w:rPr>
        <w:t>未按照要求详细完整填写此表，</w:t>
      </w:r>
      <w:r>
        <w:rPr>
          <w:rFonts w:hint="eastAsia" w:ascii="宋体" w:hAnsi="宋体"/>
          <w:color w:val="000000"/>
          <w:sz w:val="24"/>
          <w:szCs w:val="24"/>
        </w:rPr>
        <w:t>导致的后果由投标人自行承担。</w:t>
      </w:r>
    </w:p>
    <w:p>
      <w:pPr>
        <w:spacing w:line="360" w:lineRule="auto"/>
        <w:ind w:left="1119" w:leftChars="366" w:hanging="350" w:hangingChars="146"/>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、项目内容请详细说明所承担的具体工作内容等。</w:t>
      </w: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w:t>
      </w:r>
      <w:r>
        <w:rPr>
          <w:rFonts w:hint="eastAsia" w:ascii="宋体" w:hAnsi="宋体"/>
          <w:b/>
          <w:bCs/>
          <w:color w:val="000000"/>
          <w:sz w:val="24"/>
          <w:szCs w:val="24"/>
        </w:rPr>
        <w:t>或盖章</w:t>
      </w:r>
      <w:r>
        <w:rPr>
          <w:rFonts w:hint="eastAsia" w:hAnsi="宋体"/>
          <w:b/>
          <w:bCs/>
          <w:color w:val="000000"/>
          <w:sz w:val="24"/>
        </w:rPr>
        <w:t>）：</w:t>
      </w:r>
      <w:r>
        <w:rPr>
          <w:rFonts w:hAnsi="宋体"/>
          <w:b/>
          <w:bCs/>
          <w:color w:val="000000"/>
          <w:sz w:val="24"/>
          <w:u w:val="single"/>
        </w:rPr>
        <w:t xml:space="preserve">                  </w:t>
      </w:r>
    </w:p>
    <w:p>
      <w:pPr>
        <w:spacing w:before="100" w:beforeAutospacing="1" w:after="100" w:afterAutospacing="1" w:line="360" w:lineRule="auto"/>
        <w:rPr>
          <w:rFonts w:ascii="宋体"/>
          <w:bCs/>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hAnsi="宋体"/>
          <w:b/>
          <w:bCs/>
          <w:color w:val="000000"/>
          <w:sz w:val="24"/>
          <w:u w:val="single"/>
        </w:rPr>
        <w:t xml:space="preserve">                               </w:t>
      </w:r>
    </w:p>
    <w:p>
      <w:pPr>
        <w:pStyle w:val="4"/>
        <w:numPr>
          <w:ilvl w:val="0"/>
          <w:numId w:val="53"/>
        </w:numPr>
        <w:spacing w:before="40" w:after="40" w:line="360" w:lineRule="auto"/>
        <w:ind w:left="1285" w:hanging="1281" w:hangingChars="400"/>
        <w:jc w:val="left"/>
        <w:rPr>
          <w:rFonts w:ascii="宋体"/>
          <w:bCs w:val="0"/>
          <w:color w:val="000000"/>
        </w:rPr>
        <w:sectPr>
          <w:pgSz w:w="11906" w:h="16838"/>
          <w:pgMar w:top="1247" w:right="1247" w:bottom="1247" w:left="1247" w:header="851" w:footer="850" w:gutter="0"/>
          <w:cols w:space="0" w:num="1"/>
          <w:docGrid w:type="lines" w:linePitch="312" w:charSpace="0"/>
        </w:sectPr>
      </w:pPr>
    </w:p>
    <w:p>
      <w:pPr>
        <w:rPr>
          <w:rFonts w:ascii="黑体" w:hAnsi="黑体" w:eastAsia="黑体" w:cs="黑体"/>
          <w:sz w:val="28"/>
          <w:szCs w:val="28"/>
        </w:rPr>
      </w:pPr>
      <w:bookmarkStart w:id="199" w:name="_Toc511895488"/>
      <w:bookmarkStart w:id="200" w:name="_Toc2252924"/>
      <w:bookmarkStart w:id="201" w:name="_Toc511894547"/>
    </w:p>
    <w:p>
      <w:pPr>
        <w:rPr>
          <w:rFonts w:ascii="黑体" w:hAnsi="黑体" w:eastAsia="黑体" w:cs="黑体"/>
          <w:sz w:val="28"/>
          <w:szCs w:val="28"/>
        </w:rPr>
      </w:pPr>
      <w:r>
        <w:rPr>
          <w:rFonts w:hint="eastAsia" w:ascii="黑体" w:hAnsi="黑体" w:eastAsia="黑体" w:cs="黑体"/>
          <w:sz w:val="28"/>
          <w:szCs w:val="28"/>
        </w:rPr>
        <w:t>附件17:技术、服务要求响应偏离说明表</w:t>
      </w:r>
      <w:bookmarkEnd w:id="199"/>
      <w:bookmarkEnd w:id="200"/>
      <w:bookmarkEnd w:id="201"/>
    </w:p>
    <w:tbl>
      <w:tblPr>
        <w:tblStyle w:val="35"/>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238"/>
        <w:gridCol w:w="3238"/>
        <w:gridCol w:w="14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jc w:val="center"/>
        </w:trPr>
        <w:tc>
          <w:tcPr>
            <w:tcW w:w="667" w:type="dxa"/>
            <w:shd w:val="clear" w:color="auto" w:fill="F2F2F2"/>
            <w:vAlign w:val="center"/>
          </w:tcPr>
          <w:p>
            <w:pPr>
              <w:spacing w:before="100" w:beforeAutospacing="1" w:after="100" w:afterAutospacing="1"/>
              <w:ind w:left="-105" w:leftChars="-50" w:right="-105" w:rightChars="-50"/>
              <w:jc w:val="center"/>
              <w:rPr>
                <w:rFonts w:ascii="宋体" w:cs="仿宋_GB2312"/>
                <w:b/>
                <w:color w:val="000000"/>
                <w:sz w:val="24"/>
                <w:szCs w:val="24"/>
              </w:rPr>
            </w:pPr>
            <w:r>
              <w:rPr>
                <w:rFonts w:hint="eastAsia" w:ascii="宋体" w:hAnsi="宋体" w:cs="仿宋_GB2312"/>
                <w:b/>
                <w:color w:val="000000"/>
                <w:sz w:val="24"/>
                <w:szCs w:val="24"/>
              </w:rPr>
              <w:t>序号</w:t>
            </w:r>
          </w:p>
        </w:tc>
        <w:tc>
          <w:tcPr>
            <w:tcW w:w="3989"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技术、服务要求条款的序号及内容</w:t>
            </w:r>
          </w:p>
        </w:tc>
        <w:tc>
          <w:tcPr>
            <w:tcW w:w="3048"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投标响应内容对应简述</w:t>
            </w:r>
          </w:p>
        </w:tc>
        <w:tc>
          <w:tcPr>
            <w:tcW w:w="1368" w:type="dxa"/>
            <w:shd w:val="clear" w:color="auto" w:fill="F2F2F2"/>
            <w:vAlign w:val="center"/>
          </w:tcPr>
          <w:p>
            <w:pPr>
              <w:spacing w:before="100" w:beforeAutospacing="1" w:after="100" w:afterAutospacing="1"/>
              <w:ind w:left="-53" w:leftChars="-25" w:right="-53" w:rightChars="-25"/>
              <w:jc w:val="center"/>
              <w:rPr>
                <w:rFonts w:ascii="宋体" w:cs="仿宋_GB2312"/>
                <w:b/>
                <w:color w:val="000000"/>
                <w:sz w:val="24"/>
                <w:szCs w:val="24"/>
              </w:rPr>
            </w:pPr>
            <w:r>
              <w:rPr>
                <w:rFonts w:hint="eastAsia" w:ascii="宋体" w:hAnsi="宋体" w:cs="仿宋_GB2312"/>
                <w:b/>
                <w:color w:val="000000"/>
                <w:sz w:val="24"/>
                <w:szCs w:val="24"/>
              </w:rPr>
              <w:t>偏离说明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numPr>
                <w:ilvl w:val="0"/>
                <w:numId w:val="58"/>
              </w:numPr>
              <w:tabs>
                <w:tab w:val="left" w:pos="60"/>
              </w:tabs>
              <w:adjustRightInd w:val="0"/>
              <w:snapToGrid w:val="0"/>
              <w:ind w:left="-63" w:leftChars="-30" w:firstLine="0"/>
              <w:jc w:val="right"/>
              <w:rPr>
                <w:rFonts w:ascii="宋体"/>
                <w:color w:val="000000"/>
                <w:sz w:val="24"/>
              </w:rPr>
            </w:pP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numPr>
                <w:ilvl w:val="0"/>
                <w:numId w:val="58"/>
              </w:numPr>
              <w:tabs>
                <w:tab w:val="left" w:pos="60"/>
              </w:tabs>
              <w:adjustRightInd w:val="0"/>
              <w:snapToGrid w:val="0"/>
              <w:ind w:left="-63" w:leftChars="-30" w:firstLine="0"/>
              <w:jc w:val="right"/>
              <w:rPr>
                <w:rFonts w:ascii="宋体"/>
                <w:color w:val="000000"/>
                <w:sz w:val="24"/>
              </w:rPr>
            </w:pP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numPr>
                <w:ilvl w:val="0"/>
                <w:numId w:val="58"/>
              </w:numPr>
              <w:tabs>
                <w:tab w:val="left" w:pos="60"/>
              </w:tabs>
              <w:adjustRightInd w:val="0"/>
              <w:snapToGrid w:val="0"/>
              <w:ind w:left="-63" w:leftChars="-30" w:firstLine="0"/>
              <w:jc w:val="right"/>
              <w:rPr>
                <w:rFonts w:ascii="宋体"/>
                <w:color w:val="000000"/>
                <w:sz w:val="24"/>
              </w:rPr>
            </w:pP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numPr>
                <w:ilvl w:val="0"/>
                <w:numId w:val="58"/>
              </w:numPr>
              <w:tabs>
                <w:tab w:val="left" w:pos="60"/>
              </w:tabs>
              <w:adjustRightInd w:val="0"/>
              <w:snapToGrid w:val="0"/>
              <w:ind w:left="-63" w:leftChars="-30" w:firstLine="0"/>
              <w:jc w:val="right"/>
              <w:rPr>
                <w:rFonts w:ascii="宋体"/>
                <w:color w:val="000000"/>
                <w:sz w:val="24"/>
              </w:rPr>
            </w:pP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numPr>
                <w:ilvl w:val="0"/>
                <w:numId w:val="58"/>
              </w:numPr>
              <w:tabs>
                <w:tab w:val="left" w:pos="60"/>
              </w:tabs>
              <w:adjustRightInd w:val="0"/>
              <w:snapToGrid w:val="0"/>
              <w:ind w:left="-63" w:leftChars="-30" w:firstLine="0"/>
              <w:jc w:val="right"/>
              <w:rPr>
                <w:rFonts w:ascii="宋体"/>
                <w:color w:val="000000"/>
                <w:sz w:val="24"/>
              </w:rPr>
            </w:pP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numPr>
                <w:ilvl w:val="0"/>
                <w:numId w:val="58"/>
              </w:numPr>
              <w:tabs>
                <w:tab w:val="left" w:pos="60"/>
              </w:tabs>
              <w:adjustRightInd w:val="0"/>
              <w:snapToGrid w:val="0"/>
              <w:ind w:left="-63" w:leftChars="-30" w:firstLine="0"/>
              <w:jc w:val="right"/>
              <w:rPr>
                <w:rFonts w:ascii="宋体"/>
                <w:color w:val="000000"/>
                <w:sz w:val="24"/>
              </w:rPr>
            </w:pP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atLeast"/>
          <w:jc w:val="center"/>
        </w:trPr>
        <w:tc>
          <w:tcPr>
            <w:tcW w:w="667" w:type="dxa"/>
            <w:vAlign w:val="center"/>
          </w:tcPr>
          <w:p>
            <w:pPr>
              <w:jc w:val="center"/>
              <w:rPr>
                <w:rFonts w:ascii="宋体" w:cs="仿宋_GB2312"/>
                <w:color w:val="000000"/>
                <w:sz w:val="24"/>
                <w:szCs w:val="24"/>
              </w:rPr>
            </w:pPr>
            <w:r>
              <w:rPr>
                <w:rFonts w:hint="eastAsia" w:ascii="宋体" w:hAnsi="宋体" w:cs="仿宋_GB2312"/>
                <w:color w:val="000000"/>
                <w:sz w:val="24"/>
                <w:szCs w:val="24"/>
              </w:rPr>
              <w:t>…</w:t>
            </w:r>
          </w:p>
        </w:tc>
        <w:tc>
          <w:tcPr>
            <w:tcW w:w="3989" w:type="dxa"/>
            <w:vAlign w:val="center"/>
          </w:tcPr>
          <w:p>
            <w:pPr>
              <w:jc w:val="center"/>
              <w:rPr>
                <w:rFonts w:ascii="宋体" w:cs="仿宋_GB2312"/>
                <w:color w:val="000000"/>
                <w:sz w:val="24"/>
                <w:szCs w:val="24"/>
              </w:rPr>
            </w:pPr>
          </w:p>
        </w:tc>
        <w:tc>
          <w:tcPr>
            <w:tcW w:w="3048" w:type="dxa"/>
            <w:vAlign w:val="center"/>
          </w:tcPr>
          <w:p>
            <w:pPr>
              <w:jc w:val="center"/>
              <w:rPr>
                <w:rFonts w:ascii="宋体" w:cs="仿宋_GB2312"/>
                <w:color w:val="000000"/>
                <w:sz w:val="24"/>
                <w:szCs w:val="24"/>
              </w:rPr>
            </w:pPr>
          </w:p>
        </w:tc>
        <w:tc>
          <w:tcPr>
            <w:tcW w:w="1368" w:type="dxa"/>
            <w:vAlign w:val="center"/>
          </w:tcPr>
          <w:p>
            <w:pPr>
              <w:jc w:val="center"/>
              <w:rPr>
                <w:rFonts w:ascii="宋体" w:cs="仿宋_GB2312"/>
                <w:color w:val="000000"/>
                <w:sz w:val="24"/>
                <w:szCs w:val="24"/>
              </w:rPr>
            </w:pPr>
          </w:p>
        </w:tc>
      </w:tr>
    </w:tbl>
    <w:p>
      <w:pPr>
        <w:spacing w:line="360" w:lineRule="auto"/>
        <w:ind w:firstLine="480" w:firstLineChars="200"/>
        <w:jc w:val="left"/>
        <w:rPr>
          <w:rFonts w:ascii="宋体" w:hAnsi="宋体"/>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w:t>
      </w:r>
      <w:r>
        <w:rPr>
          <w:rFonts w:hint="eastAsia" w:ascii="宋体" w:hAnsi="宋体" w:cs="Corbel"/>
          <w:color w:val="000000"/>
          <w:sz w:val="24"/>
          <w:szCs w:val="24"/>
        </w:rPr>
        <w:t>投标人应按招标文件第三章“项目技术、服务及商务要求”中“技术要求”条款逐项说明是否满足要求，如有偏离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w:t>
      </w:r>
      <w:r>
        <w:rPr>
          <w:rFonts w:hint="eastAsia" w:ascii="宋体" w:hAnsi="宋体"/>
          <w:color w:val="000000"/>
          <w:sz w:val="24"/>
          <w:szCs w:val="24"/>
        </w:rPr>
        <w:t>。</w:t>
      </w:r>
      <w:r>
        <w:rPr>
          <w:rFonts w:hint="eastAsia" w:ascii="宋体" w:hAnsi="宋体" w:cs="Corbel"/>
          <w:color w:val="000000"/>
          <w:sz w:val="24"/>
          <w:szCs w:val="24"/>
        </w:rPr>
        <w:t>如果仅注明“符合”、“满足”或简单复制招标文件要求，造成无法审查的</w:t>
      </w:r>
      <w:r>
        <w:rPr>
          <w:rFonts w:ascii="宋体" w:hAnsi="宋体" w:cs="Corbel"/>
          <w:color w:val="000000"/>
          <w:sz w:val="24"/>
          <w:szCs w:val="24"/>
        </w:rPr>
        <w:t>，</w:t>
      </w:r>
      <w:r>
        <w:rPr>
          <w:rFonts w:hint="eastAsia" w:ascii="宋体" w:hAnsi="宋体" w:cs="Corbel"/>
          <w:color w:val="000000"/>
          <w:sz w:val="24"/>
          <w:szCs w:val="24"/>
        </w:rPr>
        <w:t>可能导致投标文件无效。</w:t>
      </w:r>
    </w:p>
    <w:p>
      <w:pPr>
        <w:spacing w:before="100" w:beforeAutospacing="1" w:after="100" w:afterAutospacing="1" w:line="360" w:lineRule="auto"/>
        <w:rPr>
          <w:rFonts w:hAnsi="宋体"/>
          <w:b/>
          <w:bCs/>
          <w:color w:val="000000"/>
          <w:sz w:val="24"/>
          <w:u w:val="single"/>
        </w:rPr>
      </w:pPr>
      <w:r>
        <w:rPr>
          <w:rFonts w:hint="eastAsia" w:hAnsi="宋体"/>
          <w:b/>
          <w:bCs/>
          <w:color w:val="000000"/>
          <w:sz w:val="24"/>
        </w:rPr>
        <w:t>投标人（公章）：</w:t>
      </w:r>
      <w:r>
        <w:rPr>
          <w:rFonts w:hAnsi="宋体"/>
          <w:b/>
          <w:bCs/>
          <w:color w:val="000000"/>
          <w:sz w:val="24"/>
          <w:u w:val="single"/>
        </w:rPr>
        <w:t xml:space="preserve">                          </w:t>
      </w:r>
    </w:p>
    <w:p>
      <w:pPr>
        <w:spacing w:before="100" w:beforeAutospacing="1" w:after="100" w:afterAutospacing="1" w:line="360" w:lineRule="auto"/>
        <w:rPr>
          <w:rFonts w:hAnsi="宋体"/>
          <w:b/>
          <w:bCs/>
          <w:color w:val="000000"/>
          <w:sz w:val="24"/>
          <w:u w:val="single"/>
        </w:rPr>
      </w:pPr>
      <w:r>
        <w:rPr>
          <w:rFonts w:hint="eastAsia" w:ascii="宋体" w:hAnsi="宋体"/>
          <w:b/>
          <w:bCs/>
          <w:color w:val="000000"/>
          <w:sz w:val="24"/>
        </w:rPr>
        <w:t>投标人</w:t>
      </w:r>
      <w:r>
        <w:rPr>
          <w:rFonts w:hint="eastAsia" w:hAnsi="宋体"/>
          <w:b/>
          <w:bCs/>
          <w:color w:val="000000"/>
          <w:sz w:val="24"/>
        </w:rPr>
        <w:t>授权代表（签字</w:t>
      </w:r>
      <w:r>
        <w:rPr>
          <w:rFonts w:hint="eastAsia" w:ascii="宋体" w:hAnsi="宋体"/>
          <w:b/>
          <w:bCs/>
          <w:color w:val="000000"/>
          <w:sz w:val="24"/>
          <w:szCs w:val="24"/>
        </w:rPr>
        <w:t>或盖章</w:t>
      </w:r>
      <w:r>
        <w:rPr>
          <w:rFonts w:hint="eastAsia" w:hAnsi="宋体"/>
          <w:b/>
          <w:bCs/>
          <w:color w:val="000000"/>
          <w:sz w:val="24"/>
        </w:rPr>
        <w:t>）：</w:t>
      </w:r>
      <w:r>
        <w:rPr>
          <w:rFonts w:hAnsi="宋体"/>
          <w:b/>
          <w:bCs/>
          <w:color w:val="000000"/>
          <w:sz w:val="24"/>
          <w:u w:val="single"/>
        </w:rPr>
        <w:t xml:space="preserve">                  </w:t>
      </w:r>
    </w:p>
    <w:p>
      <w:pPr>
        <w:spacing w:before="100" w:beforeAutospacing="1" w:after="100" w:afterAutospacing="1" w:line="360" w:lineRule="auto"/>
        <w:rPr>
          <w:rFonts w:ascii="宋体"/>
          <w:bCs/>
          <w:color w:val="000000"/>
        </w:rPr>
      </w:pPr>
      <w:r>
        <w:rPr>
          <w:rFonts w:hint="eastAsia" w:ascii="Times New Roman" w:hAnsi="宋体"/>
          <w:b/>
          <w:color w:val="000000"/>
          <w:sz w:val="24"/>
          <w:szCs w:val="24"/>
        </w:rPr>
        <w:t>日</w:t>
      </w:r>
      <w:r>
        <w:rPr>
          <w:rFonts w:ascii="Times New Roman" w:hAnsi="宋体"/>
          <w:b/>
          <w:color w:val="000000"/>
          <w:sz w:val="24"/>
          <w:szCs w:val="24"/>
        </w:rPr>
        <w:t>   </w:t>
      </w:r>
      <w:r>
        <w:rPr>
          <w:rFonts w:hint="eastAsia" w:ascii="Times New Roman" w:hAnsi="宋体"/>
          <w:b/>
          <w:color w:val="000000"/>
          <w:sz w:val="24"/>
          <w:szCs w:val="24"/>
        </w:rPr>
        <w:t>期：</w:t>
      </w:r>
      <w:r>
        <w:rPr>
          <w:rFonts w:hAnsi="宋体"/>
          <w:b/>
          <w:bCs/>
          <w:color w:val="000000"/>
          <w:sz w:val="24"/>
          <w:u w:val="single"/>
        </w:rPr>
        <w:t xml:space="preserve">                               </w:t>
      </w:r>
    </w:p>
    <w:p>
      <w:pPr>
        <w:spacing w:before="100" w:beforeAutospacing="1" w:after="100" w:afterAutospacing="1" w:line="360" w:lineRule="auto"/>
        <w:rPr>
          <w:rFonts w:ascii="宋体"/>
          <w:bCs/>
          <w:color w:val="000000"/>
        </w:rPr>
      </w:pPr>
    </w:p>
    <w:sectPr>
      <w:pgSz w:w="11906" w:h="16838"/>
      <w:pgMar w:top="1247" w:right="1247" w:bottom="1247" w:left="1247"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0" w:usb3="00000000" w:csb0="0000019F" w:csb1="00000000"/>
  </w:font>
  <w:font w:name="Impact">
    <w:panose1 w:val="020B0806030902050204"/>
    <w:charset w:val="00"/>
    <w:family w:val="swiss"/>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Arial Unicode MS">
    <w:panose1 w:val="020B0604020202020204"/>
    <w:charset w:val="86"/>
    <w:family w:val="roman"/>
    <w:pitch w:val="default"/>
    <w:sig w:usb0="00000000" w:usb1="00000000" w:usb2="00000000" w:usb3="00000000" w:csb0="003E0000" w:csb1="00000000"/>
  </w:font>
  <w:font w:name="Tahoma">
    <w:panose1 w:val="020B0604030504040204"/>
    <w:charset w:val="00"/>
    <w:family w:val="swiss"/>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Corbel">
    <w:altName w:val="苹方-简"/>
    <w:panose1 w:val="020B0503020204020204"/>
    <w:charset w:val="00"/>
    <w:family w:val="swiss"/>
    <w:pitch w:val="default"/>
    <w:sig w:usb0="00000000" w:usb1="00000000" w:usb2="00000000" w:usb3="00000000" w:csb0="0000019F"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黑体" w:hAnsi="黑体" w:eastAsia="黑体"/>
        <w:bCs/>
        <w:color w:val="0D0D0D"/>
        <w:sz w:val="32"/>
        <w:szCs w:val="32"/>
      </w:rPr>
    </w:pPr>
    <w:r>
      <w:rPr>
        <w:sz w:val="32"/>
        <w:szCs w:val="3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w:r>
    <w:r>
      <w:rPr>
        <w:rFonts w:hint="eastAsia" w:ascii="黑体" w:hAnsi="黑体" w:eastAsia="黑体" w:cs="黑体"/>
        <w:sz w:val="32"/>
        <w:szCs w:val="32"/>
      </w:rPr>
      <w:t>湖北大学知行学院</w:t>
    </w:r>
  </w:p>
  <w:p>
    <w:pPr>
      <w:spacing w:line="360" w:lineRule="auto"/>
      <w:jc w:val="center"/>
      <w:rPr>
        <w:rFonts w:ascii="黑体" w:hAnsi="黑体" w:eastAsia="黑体"/>
        <w:bCs/>
        <w:color w:val="0D0D0D"/>
        <w:sz w:val="32"/>
        <w:szCs w:val="32"/>
      </w:rPr>
    </w:pPr>
    <w:r>
      <w:rPr>
        <w:rFonts w:hint="eastAsia" w:ascii="黑体" w:hAnsi="黑体" w:eastAsia="黑体"/>
        <w:bCs/>
        <w:color w:val="0D0D0D"/>
        <w:sz w:val="32"/>
        <w:szCs w:val="32"/>
      </w:rPr>
      <w:t>湖北建信建设工程咨询有限公司</w:t>
    </w:r>
  </w:p>
  <w:p>
    <w:pPr>
      <w:pStyle w:val="22"/>
      <w:tabs>
        <w:tab w:val="clear" w:pos="4153"/>
        <w:tab w:val="clear" w:pos="8306"/>
      </w:tabs>
      <w:jc w:val="center"/>
      <w:rPr>
        <w:rFonts w:ascii="黑体" w:hAnsi="黑体" w:eastAsia="黑体"/>
        <w:bCs/>
        <w:color w:val="0D0D0D"/>
        <w:sz w:val="32"/>
        <w:szCs w:val="32"/>
      </w:rPr>
    </w:pPr>
    <w:r>
      <w:rPr>
        <w:rFonts w:ascii="黑体" w:hAnsi="黑体" w:eastAsia="黑体"/>
        <w:bCs/>
        <w:color w:val="0D0D0D"/>
        <w:sz w:val="32"/>
        <w:szCs w:val="32"/>
      </w:rPr>
      <w:t xml:space="preserve">2022 </w:t>
    </w:r>
    <w:r>
      <w:rPr>
        <w:rFonts w:hint="eastAsia" w:ascii="黑体" w:hAnsi="黑体" w:eastAsia="黑体"/>
        <w:bCs/>
        <w:color w:val="0D0D0D"/>
        <w:sz w:val="32"/>
        <w:szCs w:val="32"/>
      </w:rPr>
      <w:t>年</w:t>
    </w:r>
    <w:r>
      <w:rPr>
        <w:rFonts w:ascii="黑体" w:hAnsi="黑体" w:eastAsia="黑体"/>
        <w:bCs/>
        <w:color w:val="0D0D0D"/>
        <w:sz w:val="32"/>
        <w:szCs w:val="32"/>
      </w:rPr>
      <w:t xml:space="preserve"> 5 </w:t>
    </w:r>
    <w:r>
      <w:rPr>
        <w:rFonts w:hint="eastAsia" w:ascii="黑体" w:hAnsi="黑体" w:eastAsia="黑体"/>
        <w:bCs/>
        <w:color w:val="0D0D0D"/>
        <w:sz w:val="32"/>
        <w:szCs w:val="32"/>
      </w:rPr>
      <w:t>月</w:t>
    </w:r>
  </w:p>
  <w:p>
    <w:pPr>
      <w:pStyle w:val="22"/>
      <w:tabs>
        <w:tab w:val="clear" w:pos="4153"/>
        <w:tab w:val="clear" w:pos="8306"/>
      </w:tabs>
      <w:spacing w:beforeLines="400"/>
      <w:jc w:val="right"/>
      <w:rPr>
        <w:rFonts w:ascii="宋体"/>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000000" w:sz="4" w:space="1"/>
      </w:pBdr>
      <w:tabs>
        <w:tab w:val="clear" w:pos="4153"/>
        <w:tab w:val="clear" w:pos="8306"/>
      </w:tabs>
      <w:wordWrap w:val="0"/>
      <w:ind w:right="-9"/>
      <w:jc w:val="right"/>
      <w:rPr>
        <w:rFonts w:ascii="宋体"/>
        <w:b/>
      </w:rP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default"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asciiTheme="minorEastAsia" w:hAnsiTheme="minorEastAsia" w:eastAsiaTheme="minorEastAsia" w:cstheme="minorEastAsia"/>
                  </w:rPr>
                  <w:t xml:space="preserve"> / </w:t>
                </w:r>
                <w:r>
                  <w:rPr>
                    <w:rFonts w:hint="default" w:asciiTheme="minorEastAsia" w:hAnsiTheme="minorEastAsia" w:eastAsiaTheme="minorEastAsia" w:cstheme="minorEastAsia"/>
                  </w:rPr>
                  <w:t>55</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46</w:t>
                </w:r>
                <w:r>
                  <w:rPr>
                    <w:rFonts w:hint="eastAsia" w:asciiTheme="minorEastAsia" w:hAnsiTheme="minorEastAsia" w:eastAsiaTheme="minorEastAsia" w:cstheme="minorEastAsia"/>
                  </w:rPr>
                  <w:fldChar w:fldCharType="end"/>
                </w:r>
                <w:r>
                  <w:rPr>
                    <w:rFonts w:asciiTheme="minorEastAsia" w:hAnsiTheme="minorEastAsia" w:eastAsiaTheme="minorEastAsia" w:cstheme="minorEastAsia"/>
                  </w:rPr>
                  <w:t xml:space="preserve"> / 72</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000000" w:sz="4" w:space="1"/>
      </w:pBdr>
      <w:tabs>
        <w:tab w:val="clear" w:pos="4153"/>
        <w:tab w:val="clear" w:pos="8306"/>
      </w:tabs>
      <w:ind w:right="-9"/>
      <w:jc w:val="center"/>
      <w:rPr>
        <w:rFonts w:ascii="宋体"/>
        <w:b/>
      </w:rPr>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47</w:t>
                </w:r>
                <w:r>
                  <w:rPr>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000000" w:sz="4" w:space="1"/>
      </w:pBdr>
      <w:tabs>
        <w:tab w:val="clear" w:pos="4153"/>
        <w:tab w:val="clear" w:pos="8306"/>
      </w:tabs>
      <w:ind w:right="-9"/>
      <w:jc w:val="right"/>
      <w:rPr>
        <w:rFonts w:ascii="宋体"/>
        <w:b/>
      </w:rPr>
    </w:pP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rFonts w:hint="default"/>
                    <w:sz w:val="18"/>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55</w:t>
                </w:r>
                <w:r>
                  <w:rPr>
                    <w:rFonts w:hint="eastAsia" w:asciiTheme="minorEastAsia" w:hAnsiTheme="minorEastAsia" w:eastAsiaTheme="minorEastAsia" w:cstheme="minorEastAsia"/>
                  </w:rPr>
                  <w:fldChar w:fldCharType="end"/>
                </w:r>
                <w:r>
                  <w:rPr>
                    <w:rFonts w:asciiTheme="minorEastAsia" w:hAnsiTheme="minorEastAsia" w:eastAsiaTheme="minorEastAsia" w:cstheme="minorEastAsia"/>
                  </w:rPr>
                  <w:t xml:space="preserve"> / </w:t>
                </w:r>
                <w:r>
                  <w:rPr>
                    <w:rFonts w:hint="default" w:asciiTheme="minorEastAsia" w:hAnsiTheme="minorEastAsia" w:eastAsiaTheme="minorEastAsia" w:cstheme="minorEastAsia"/>
                  </w:rPr>
                  <w:t>55</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300"/>
      <w:jc w:val="center"/>
      <w:rPr>
        <w:rFonts w:ascii="黑体" w:hAnsi="黑体" w:eastAsia="黑体"/>
        <w:sz w:val="96"/>
        <w:szCs w:val="7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宋体" w:hAnsi="宋体" w:cs="宋体"/>
        <w:bCs/>
      </w:rPr>
    </w:pPr>
    <w:r>
      <w:rPr>
        <w:rFonts w:ascii="宋体" w:hAnsi="宋体" w:cs="宋体"/>
        <w:bCs/>
      </w:rPr>
      <w:t>湖北大学知行学院2022年-2023年保安服务</w:t>
    </w:r>
    <w:r>
      <w:rPr>
        <w:rFonts w:hint="eastAsia" w:ascii="宋体" w:hAnsi="宋体" w:cs="宋体"/>
        <w:bCs/>
      </w:rPr>
      <w:t xml:space="preserve">                   </w:t>
    </w:r>
    <w:r>
      <w:rPr>
        <w:rFonts w:ascii="宋体" w:hAnsi="宋体" w:cs="宋体"/>
        <w:bCs/>
      </w:rPr>
      <w:t xml:space="preserve">                             </w:t>
    </w:r>
    <w:r>
      <w:rPr>
        <w:rFonts w:hint="eastAsia" w:ascii="宋体" w:hAnsi="宋体" w:cs="宋体"/>
        <w:bCs/>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ascii="宋体" w:hAnsi="宋体" w:cs="宋体"/>
        <w:bCs/>
        <w:sz w:val="18"/>
        <w:szCs w:val="18"/>
        <w:u w:val="single"/>
      </w:rPr>
      <w:t>湖北大学知行学院2022年-2023年保安服务</w:t>
    </w:r>
    <w:r>
      <w:rPr>
        <w:rFonts w:hint="eastAsia" w:ascii="宋体" w:hAnsi="宋体" w:cs="宋体"/>
        <w:bCs/>
        <w:sz w:val="18"/>
        <w:szCs w:val="18"/>
        <w:u w:val="single"/>
      </w:rPr>
      <w:t xml:space="preserve">            </w:t>
    </w:r>
    <w:r>
      <w:rPr>
        <w:rFonts w:ascii="宋体" w:hAnsi="宋体" w:cs="宋体"/>
        <w:bCs/>
        <w:sz w:val="18"/>
        <w:szCs w:val="18"/>
        <w:u w:val="single"/>
      </w:rPr>
      <w:t xml:space="preserve">                                       </w:t>
    </w:r>
    <w:r>
      <w:rPr>
        <w:rFonts w:hint="eastAsia" w:ascii="宋体" w:hAnsi="宋体" w:cs="宋体"/>
        <w:bCs/>
        <w:sz w:val="18"/>
        <w:szCs w:val="18"/>
        <w:u w:val="single"/>
      </w:rPr>
      <w:t xml:space="preserve">      招标文件</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E45745"/>
    <w:multiLevelType w:val="multilevel"/>
    <w:tmpl w:val="00E45745"/>
    <w:lvl w:ilvl="0" w:tentative="0">
      <w:start w:val="1"/>
      <w:numFmt w:val="decimal"/>
      <w:lvlText w:val="%1. "/>
      <w:lvlJc w:val="left"/>
      <w:pPr>
        <w:ind w:left="1130" w:hanging="420"/>
      </w:pPr>
      <w:rPr>
        <w:rFonts w:hint="eastAsia" w:cs="Times New Roman"/>
        <w:b/>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76C6B68"/>
    <w:multiLevelType w:val="multilevel"/>
    <w:tmpl w:val="076C6B68"/>
    <w:lvl w:ilvl="0" w:tentative="0">
      <w:start w:val="1"/>
      <w:numFmt w:val="bullet"/>
      <w:pStyle w:val="9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7F905BE"/>
    <w:multiLevelType w:val="multilevel"/>
    <w:tmpl w:val="07F905BE"/>
    <w:lvl w:ilvl="0" w:tentative="0">
      <w:start w:val="1"/>
      <w:numFmt w:val="decimal"/>
      <w:lvlText w:val="%1. "/>
      <w:lvlJc w:val="left"/>
      <w:pPr>
        <w:ind w:left="113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1550" w:hanging="420"/>
      </w:pPr>
      <w:rPr>
        <w:rFonts w:cs="Times New Roman"/>
      </w:rPr>
    </w:lvl>
    <w:lvl w:ilvl="2" w:tentative="0">
      <w:start w:val="1"/>
      <w:numFmt w:val="lowerRoman"/>
      <w:lvlText w:val="%3."/>
      <w:lvlJc w:val="right"/>
      <w:pPr>
        <w:ind w:left="1970" w:hanging="420"/>
      </w:pPr>
      <w:rPr>
        <w:rFonts w:cs="Times New Roman"/>
      </w:rPr>
    </w:lvl>
    <w:lvl w:ilvl="3" w:tentative="0">
      <w:start w:val="1"/>
      <w:numFmt w:val="decimal"/>
      <w:lvlText w:val="%4."/>
      <w:lvlJc w:val="left"/>
      <w:pPr>
        <w:ind w:left="2390" w:hanging="420"/>
      </w:pPr>
      <w:rPr>
        <w:rFonts w:cs="Times New Roman"/>
      </w:rPr>
    </w:lvl>
    <w:lvl w:ilvl="4" w:tentative="0">
      <w:start w:val="1"/>
      <w:numFmt w:val="lowerLetter"/>
      <w:lvlText w:val="%5)"/>
      <w:lvlJc w:val="left"/>
      <w:pPr>
        <w:ind w:left="2810" w:hanging="420"/>
      </w:pPr>
      <w:rPr>
        <w:rFonts w:cs="Times New Roman"/>
      </w:rPr>
    </w:lvl>
    <w:lvl w:ilvl="5" w:tentative="0">
      <w:start w:val="1"/>
      <w:numFmt w:val="lowerRoman"/>
      <w:lvlText w:val="%6."/>
      <w:lvlJc w:val="right"/>
      <w:pPr>
        <w:ind w:left="3230" w:hanging="420"/>
      </w:pPr>
      <w:rPr>
        <w:rFonts w:cs="Times New Roman"/>
      </w:rPr>
    </w:lvl>
    <w:lvl w:ilvl="6" w:tentative="0">
      <w:start w:val="1"/>
      <w:numFmt w:val="decimal"/>
      <w:lvlText w:val="%7."/>
      <w:lvlJc w:val="left"/>
      <w:pPr>
        <w:ind w:left="3650" w:hanging="420"/>
      </w:pPr>
      <w:rPr>
        <w:rFonts w:cs="Times New Roman"/>
      </w:rPr>
    </w:lvl>
    <w:lvl w:ilvl="7" w:tentative="0">
      <w:start w:val="1"/>
      <w:numFmt w:val="lowerLetter"/>
      <w:lvlText w:val="%8)"/>
      <w:lvlJc w:val="left"/>
      <w:pPr>
        <w:ind w:left="4070" w:hanging="420"/>
      </w:pPr>
      <w:rPr>
        <w:rFonts w:cs="Times New Roman"/>
      </w:rPr>
    </w:lvl>
    <w:lvl w:ilvl="8" w:tentative="0">
      <w:start w:val="1"/>
      <w:numFmt w:val="lowerRoman"/>
      <w:lvlText w:val="%9."/>
      <w:lvlJc w:val="right"/>
      <w:pPr>
        <w:ind w:left="4490" w:hanging="420"/>
      </w:pPr>
      <w:rPr>
        <w:rFonts w:cs="Times New Roman"/>
      </w:r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D202FB9"/>
    <w:multiLevelType w:val="multilevel"/>
    <w:tmpl w:val="0D202FB9"/>
    <w:lvl w:ilvl="0" w:tentative="0">
      <w:start w:val="0"/>
      <w:numFmt w:val="decimal"/>
      <w:pStyle w:val="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32D68A0"/>
    <w:multiLevelType w:val="multilevel"/>
    <w:tmpl w:val="132D68A0"/>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433242D"/>
    <w:multiLevelType w:val="multilevel"/>
    <w:tmpl w:val="1433242D"/>
    <w:lvl w:ilvl="0" w:tentative="0">
      <w:start w:val="1"/>
      <w:numFmt w:val="decimal"/>
      <w:lvlText w:val="%1）"/>
      <w:lvlJc w:val="left"/>
      <w:pPr>
        <w:ind w:left="906" w:hanging="420"/>
      </w:pPr>
      <w:rPr>
        <w:rFonts w:hint="eastAsia" w:cs="Times New Roman"/>
      </w:rPr>
    </w:lvl>
    <w:lvl w:ilvl="1" w:tentative="0">
      <w:start w:val="1"/>
      <w:numFmt w:val="lowerLetter"/>
      <w:lvlText w:val="%2)"/>
      <w:lvlJc w:val="left"/>
      <w:pPr>
        <w:ind w:left="1326" w:hanging="420"/>
      </w:pPr>
      <w:rPr>
        <w:rFonts w:cs="Times New Roman"/>
      </w:rPr>
    </w:lvl>
    <w:lvl w:ilvl="2" w:tentative="0">
      <w:start w:val="1"/>
      <w:numFmt w:val="lowerRoman"/>
      <w:lvlText w:val="%3."/>
      <w:lvlJc w:val="right"/>
      <w:pPr>
        <w:ind w:left="1746" w:hanging="420"/>
      </w:pPr>
      <w:rPr>
        <w:rFonts w:cs="Times New Roman"/>
      </w:rPr>
    </w:lvl>
    <w:lvl w:ilvl="3" w:tentative="0">
      <w:start w:val="1"/>
      <w:numFmt w:val="decimal"/>
      <w:lvlText w:val="%4."/>
      <w:lvlJc w:val="left"/>
      <w:pPr>
        <w:ind w:left="2166" w:hanging="420"/>
      </w:pPr>
      <w:rPr>
        <w:rFonts w:cs="Times New Roman"/>
      </w:rPr>
    </w:lvl>
    <w:lvl w:ilvl="4" w:tentative="0">
      <w:start w:val="1"/>
      <w:numFmt w:val="lowerLetter"/>
      <w:lvlText w:val="%5)"/>
      <w:lvlJc w:val="left"/>
      <w:pPr>
        <w:ind w:left="2586" w:hanging="420"/>
      </w:pPr>
      <w:rPr>
        <w:rFonts w:cs="Times New Roman"/>
      </w:rPr>
    </w:lvl>
    <w:lvl w:ilvl="5" w:tentative="0">
      <w:start w:val="1"/>
      <w:numFmt w:val="lowerRoman"/>
      <w:lvlText w:val="%6."/>
      <w:lvlJc w:val="right"/>
      <w:pPr>
        <w:ind w:left="3006" w:hanging="420"/>
      </w:pPr>
      <w:rPr>
        <w:rFonts w:cs="Times New Roman"/>
      </w:rPr>
    </w:lvl>
    <w:lvl w:ilvl="6" w:tentative="0">
      <w:start w:val="1"/>
      <w:numFmt w:val="decimal"/>
      <w:lvlText w:val="%7."/>
      <w:lvlJc w:val="left"/>
      <w:pPr>
        <w:ind w:left="3426" w:hanging="420"/>
      </w:pPr>
      <w:rPr>
        <w:rFonts w:cs="Times New Roman"/>
      </w:rPr>
    </w:lvl>
    <w:lvl w:ilvl="7" w:tentative="0">
      <w:start w:val="1"/>
      <w:numFmt w:val="lowerLetter"/>
      <w:lvlText w:val="%8)"/>
      <w:lvlJc w:val="left"/>
      <w:pPr>
        <w:ind w:left="3846" w:hanging="420"/>
      </w:pPr>
      <w:rPr>
        <w:rFonts w:cs="Times New Roman"/>
      </w:rPr>
    </w:lvl>
    <w:lvl w:ilvl="8" w:tentative="0">
      <w:start w:val="1"/>
      <w:numFmt w:val="lowerRoman"/>
      <w:lvlText w:val="%9."/>
      <w:lvlJc w:val="right"/>
      <w:pPr>
        <w:ind w:left="4266" w:hanging="420"/>
      </w:pPr>
      <w:rPr>
        <w:rFonts w:cs="Times New Roman"/>
      </w:rPr>
    </w:lvl>
  </w:abstractNum>
  <w:abstractNum w:abstractNumId="13">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6DA66E0"/>
    <w:multiLevelType w:val="multilevel"/>
    <w:tmpl w:val="16DA66E0"/>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2CD56D2"/>
    <w:multiLevelType w:val="multilevel"/>
    <w:tmpl w:val="22CD56D2"/>
    <w:lvl w:ilvl="0" w:tentative="0">
      <w:start w:val="1"/>
      <w:numFmt w:val="decimal"/>
      <w:lvlText w:val="%1. "/>
      <w:lvlJc w:val="left"/>
      <w:pPr>
        <w:ind w:left="2121" w:hanging="420"/>
      </w:pPr>
      <w:rPr>
        <w:rFonts w:hint="eastAsia" w:ascii="宋体" w:hAnsi="宋体" w:eastAsia="宋体" w:cs="Times New Roman"/>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16">
    <w:nsid w:val="22FF4242"/>
    <w:multiLevelType w:val="multilevel"/>
    <w:tmpl w:val="22FF4242"/>
    <w:lvl w:ilvl="0" w:tentative="0">
      <w:start w:val="1"/>
      <w:numFmt w:val="decimal"/>
      <w:lvlText w:val="%1. "/>
      <w:lvlJc w:val="left"/>
      <w:pPr>
        <w:ind w:left="3539" w:hanging="420"/>
      </w:pPr>
      <w:rPr>
        <w:rFonts w:hint="default" w:ascii="宋体" w:hAnsi="宋体" w:eastAsia="宋体" w:cs="Times New Roman"/>
        <w:b/>
        <w:strike w:val="0"/>
        <w:color w:val="auto"/>
        <w:sz w:val="24"/>
        <w:szCs w:val="24"/>
      </w:rPr>
    </w:lvl>
    <w:lvl w:ilvl="1" w:tentative="0">
      <w:start w:val="1"/>
      <w:numFmt w:val="lowerLetter"/>
      <w:lvlText w:val="%2)"/>
      <w:lvlJc w:val="left"/>
      <w:pPr>
        <w:ind w:left="1550" w:hanging="420"/>
      </w:pPr>
      <w:rPr>
        <w:rFonts w:cs="Times New Roman"/>
      </w:rPr>
    </w:lvl>
    <w:lvl w:ilvl="2" w:tentative="0">
      <w:start w:val="1"/>
      <w:numFmt w:val="lowerRoman"/>
      <w:lvlText w:val="%3."/>
      <w:lvlJc w:val="right"/>
      <w:pPr>
        <w:ind w:left="1970" w:hanging="420"/>
      </w:pPr>
      <w:rPr>
        <w:rFonts w:cs="Times New Roman"/>
      </w:rPr>
    </w:lvl>
    <w:lvl w:ilvl="3" w:tentative="0">
      <w:start w:val="1"/>
      <w:numFmt w:val="decimal"/>
      <w:lvlText w:val="%4."/>
      <w:lvlJc w:val="left"/>
      <w:pPr>
        <w:ind w:left="2390" w:hanging="420"/>
      </w:pPr>
      <w:rPr>
        <w:rFonts w:cs="Times New Roman"/>
      </w:rPr>
    </w:lvl>
    <w:lvl w:ilvl="4" w:tentative="0">
      <w:start w:val="1"/>
      <w:numFmt w:val="lowerLetter"/>
      <w:lvlText w:val="%5)"/>
      <w:lvlJc w:val="left"/>
      <w:pPr>
        <w:ind w:left="2810" w:hanging="420"/>
      </w:pPr>
      <w:rPr>
        <w:rFonts w:cs="Times New Roman"/>
      </w:rPr>
    </w:lvl>
    <w:lvl w:ilvl="5" w:tentative="0">
      <w:start w:val="1"/>
      <w:numFmt w:val="lowerRoman"/>
      <w:lvlText w:val="%6."/>
      <w:lvlJc w:val="right"/>
      <w:pPr>
        <w:ind w:left="3230" w:hanging="420"/>
      </w:pPr>
      <w:rPr>
        <w:rFonts w:cs="Times New Roman"/>
      </w:rPr>
    </w:lvl>
    <w:lvl w:ilvl="6" w:tentative="0">
      <w:start w:val="1"/>
      <w:numFmt w:val="decimal"/>
      <w:lvlText w:val="%7."/>
      <w:lvlJc w:val="left"/>
      <w:pPr>
        <w:ind w:left="3650" w:hanging="420"/>
      </w:pPr>
      <w:rPr>
        <w:rFonts w:cs="Times New Roman"/>
      </w:rPr>
    </w:lvl>
    <w:lvl w:ilvl="7" w:tentative="0">
      <w:start w:val="1"/>
      <w:numFmt w:val="lowerLetter"/>
      <w:lvlText w:val="%8)"/>
      <w:lvlJc w:val="left"/>
      <w:pPr>
        <w:ind w:left="4070" w:hanging="420"/>
      </w:pPr>
      <w:rPr>
        <w:rFonts w:cs="Times New Roman"/>
      </w:rPr>
    </w:lvl>
    <w:lvl w:ilvl="8" w:tentative="0">
      <w:start w:val="1"/>
      <w:numFmt w:val="lowerRoman"/>
      <w:lvlText w:val="%9."/>
      <w:lvlJc w:val="right"/>
      <w:pPr>
        <w:ind w:left="4490" w:hanging="420"/>
      </w:pPr>
      <w:rPr>
        <w:rFonts w:cs="Times New Roman"/>
      </w:r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0">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4">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6">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5F65949"/>
    <w:multiLevelType w:val="multilevel"/>
    <w:tmpl w:val="35F65949"/>
    <w:lvl w:ilvl="0" w:tentative="0">
      <w:start w:val="1"/>
      <w:numFmt w:val="decimal"/>
      <w:lvlText w:val="3.%1 "/>
      <w:lvlJc w:val="left"/>
      <w:pPr>
        <w:ind w:left="3681" w:hanging="420"/>
      </w:pPr>
      <w:rPr>
        <w:rFonts w:hint="eastAsia" w:ascii="仿宋" w:hAnsi="仿宋" w:eastAsia="仿宋" w:cs="Times New Roman"/>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28">
    <w:nsid w:val="37434FB1"/>
    <w:multiLevelType w:val="multilevel"/>
    <w:tmpl w:val="37434FB1"/>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3">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4">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49C131F2"/>
    <w:multiLevelType w:val="multilevel"/>
    <w:tmpl w:val="49C131F2"/>
    <w:lvl w:ilvl="0" w:tentative="0">
      <w:start w:val="1"/>
      <w:numFmt w:val="decimal"/>
      <w:lvlText w:val="1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4C786562"/>
    <w:multiLevelType w:val="multilevel"/>
    <w:tmpl w:val="4C786562"/>
    <w:lvl w:ilvl="0" w:tentative="0">
      <w:start w:val="0"/>
      <w:numFmt w:val="decimal"/>
      <w:pStyle w:val="8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EAF5455"/>
    <w:multiLevelType w:val="multilevel"/>
    <w:tmpl w:val="4EAF5455"/>
    <w:lvl w:ilvl="0" w:tentative="0">
      <w:start w:val="1"/>
      <w:numFmt w:val="chineseCountingThousand"/>
      <w:lvlText w:val="第%1章 "/>
      <w:lvlJc w:val="left"/>
      <w:pPr>
        <w:ind w:left="4673"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53FC3277"/>
    <w:multiLevelType w:val="multilevel"/>
    <w:tmpl w:val="53FC3277"/>
    <w:lvl w:ilvl="0" w:tentative="0">
      <w:start w:val="1"/>
      <w:numFmt w:val="decimal"/>
      <w:lvlText w:val="%1. "/>
      <w:lvlJc w:val="left"/>
      <w:pPr>
        <w:ind w:left="113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1550" w:hanging="420"/>
      </w:pPr>
      <w:rPr>
        <w:rFonts w:cs="Times New Roman"/>
      </w:rPr>
    </w:lvl>
    <w:lvl w:ilvl="2" w:tentative="0">
      <w:start w:val="1"/>
      <w:numFmt w:val="lowerRoman"/>
      <w:lvlText w:val="%3."/>
      <w:lvlJc w:val="right"/>
      <w:pPr>
        <w:ind w:left="1970" w:hanging="420"/>
      </w:pPr>
      <w:rPr>
        <w:rFonts w:cs="Times New Roman"/>
      </w:rPr>
    </w:lvl>
    <w:lvl w:ilvl="3" w:tentative="0">
      <w:start w:val="1"/>
      <w:numFmt w:val="decimal"/>
      <w:lvlText w:val="%4."/>
      <w:lvlJc w:val="left"/>
      <w:pPr>
        <w:ind w:left="2390" w:hanging="420"/>
      </w:pPr>
      <w:rPr>
        <w:rFonts w:cs="Times New Roman"/>
      </w:rPr>
    </w:lvl>
    <w:lvl w:ilvl="4" w:tentative="0">
      <w:start w:val="1"/>
      <w:numFmt w:val="lowerLetter"/>
      <w:lvlText w:val="%5)"/>
      <w:lvlJc w:val="left"/>
      <w:pPr>
        <w:ind w:left="2810" w:hanging="420"/>
      </w:pPr>
      <w:rPr>
        <w:rFonts w:cs="Times New Roman"/>
      </w:rPr>
    </w:lvl>
    <w:lvl w:ilvl="5" w:tentative="0">
      <w:start w:val="1"/>
      <w:numFmt w:val="lowerRoman"/>
      <w:lvlText w:val="%6."/>
      <w:lvlJc w:val="right"/>
      <w:pPr>
        <w:ind w:left="3230" w:hanging="420"/>
      </w:pPr>
      <w:rPr>
        <w:rFonts w:cs="Times New Roman"/>
      </w:rPr>
    </w:lvl>
    <w:lvl w:ilvl="6" w:tentative="0">
      <w:start w:val="1"/>
      <w:numFmt w:val="decimal"/>
      <w:lvlText w:val="%7."/>
      <w:lvlJc w:val="left"/>
      <w:pPr>
        <w:ind w:left="3650" w:hanging="420"/>
      </w:pPr>
      <w:rPr>
        <w:rFonts w:cs="Times New Roman"/>
      </w:rPr>
    </w:lvl>
    <w:lvl w:ilvl="7" w:tentative="0">
      <w:start w:val="1"/>
      <w:numFmt w:val="lowerLetter"/>
      <w:lvlText w:val="%8)"/>
      <w:lvlJc w:val="left"/>
      <w:pPr>
        <w:ind w:left="4070" w:hanging="420"/>
      </w:pPr>
      <w:rPr>
        <w:rFonts w:cs="Times New Roman"/>
      </w:rPr>
    </w:lvl>
    <w:lvl w:ilvl="8" w:tentative="0">
      <w:start w:val="1"/>
      <w:numFmt w:val="lowerRoman"/>
      <w:lvlText w:val="%9."/>
      <w:lvlJc w:val="right"/>
      <w:pPr>
        <w:ind w:left="4490" w:hanging="420"/>
      </w:pPr>
      <w:rPr>
        <w:rFonts w:cs="Times New Roman"/>
      </w:rPr>
    </w:lvl>
  </w:abstractNum>
  <w:abstractNum w:abstractNumId="39">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3">
    <w:nsid w:val="5E7448BA"/>
    <w:multiLevelType w:val="multilevel"/>
    <w:tmpl w:val="5E7448BA"/>
    <w:lvl w:ilvl="0" w:tentative="0">
      <w:start w:val="1"/>
      <w:numFmt w:val="chineseCountingThousand"/>
      <w:lvlText w:val="附件%1："/>
      <w:lvlJc w:val="left"/>
      <w:pPr>
        <w:ind w:left="420" w:hanging="420"/>
      </w:pPr>
      <w:rPr>
        <w:rFonts w:hint="eastAsia" w:cs="Times New Roman"/>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627F4357"/>
    <w:multiLevelType w:val="singleLevel"/>
    <w:tmpl w:val="627F4357"/>
    <w:lvl w:ilvl="0" w:tentative="0">
      <w:start w:val="4"/>
      <w:numFmt w:val="chineseCounting"/>
      <w:suff w:val="nothing"/>
      <w:lvlText w:val="%1、"/>
      <w:lvlJc w:val="left"/>
    </w:lvl>
  </w:abstractNum>
  <w:abstractNum w:abstractNumId="46">
    <w:nsid w:val="628EE33C"/>
    <w:multiLevelType w:val="singleLevel"/>
    <w:tmpl w:val="628EE33C"/>
    <w:lvl w:ilvl="0" w:tentative="0">
      <w:start w:val="6"/>
      <w:numFmt w:val="chineseCounting"/>
      <w:suff w:val="nothing"/>
      <w:lvlText w:val="%1、"/>
      <w:lvlJc w:val="left"/>
    </w:lvl>
  </w:abstractNum>
  <w:abstractNum w:abstractNumId="47">
    <w:nsid w:val="630C18EE"/>
    <w:multiLevelType w:val="multilevel"/>
    <w:tmpl w:val="630C18EE"/>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9">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6">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36"/>
  </w:num>
  <w:num w:numId="2">
    <w:abstractNumId w:val="7"/>
  </w:num>
  <w:num w:numId="3">
    <w:abstractNumId w:val="3"/>
  </w:num>
  <w:num w:numId="4">
    <w:abstractNumId w:val="37"/>
  </w:num>
  <w:num w:numId="5">
    <w:abstractNumId w:val="46"/>
  </w:num>
  <w:num w:numId="6">
    <w:abstractNumId w:val="26"/>
  </w:num>
  <w:num w:numId="7">
    <w:abstractNumId w:val="2"/>
  </w:num>
  <w:num w:numId="8">
    <w:abstractNumId w:val="34"/>
  </w:num>
  <w:num w:numId="9">
    <w:abstractNumId w:val="13"/>
  </w:num>
  <w:num w:numId="10">
    <w:abstractNumId w:val="6"/>
  </w:num>
  <w:num w:numId="11">
    <w:abstractNumId w:val="48"/>
  </w:num>
  <w:num w:numId="12">
    <w:abstractNumId w:val="29"/>
  </w:num>
  <w:num w:numId="13">
    <w:abstractNumId w:val="42"/>
  </w:num>
  <w:num w:numId="14">
    <w:abstractNumId w:val="25"/>
  </w:num>
  <w:num w:numId="15">
    <w:abstractNumId w:val="5"/>
  </w:num>
  <w:num w:numId="16">
    <w:abstractNumId w:val="20"/>
  </w:num>
  <w:num w:numId="17">
    <w:abstractNumId w:val="21"/>
  </w:num>
  <w:num w:numId="18">
    <w:abstractNumId w:val="9"/>
  </w:num>
  <w:num w:numId="19">
    <w:abstractNumId w:val="53"/>
  </w:num>
  <w:num w:numId="20">
    <w:abstractNumId w:val="35"/>
  </w:num>
  <w:num w:numId="21">
    <w:abstractNumId w:val="10"/>
  </w:num>
  <w:num w:numId="22">
    <w:abstractNumId w:val="2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6"/>
  </w:num>
  <w:num w:numId="26">
    <w:abstractNumId w:val="40"/>
  </w:num>
  <w:num w:numId="27">
    <w:abstractNumId w:val="51"/>
  </w:num>
  <w:num w:numId="28">
    <w:abstractNumId w:val="54"/>
  </w:num>
  <w:num w:numId="29">
    <w:abstractNumId w:val="39"/>
  </w:num>
  <w:num w:numId="30">
    <w:abstractNumId w:val="8"/>
  </w:num>
  <w:num w:numId="31">
    <w:abstractNumId w:val="19"/>
  </w:num>
  <w:num w:numId="32">
    <w:abstractNumId w:val="52"/>
  </w:num>
  <w:num w:numId="33">
    <w:abstractNumId w:val="49"/>
  </w:num>
  <w:num w:numId="34">
    <w:abstractNumId w:val="32"/>
  </w:num>
  <w:num w:numId="35">
    <w:abstractNumId w:val="44"/>
  </w:num>
  <w:num w:numId="36">
    <w:abstractNumId w:val="22"/>
  </w:num>
  <w:num w:numId="37">
    <w:abstractNumId w:val="50"/>
  </w:num>
  <w:num w:numId="38">
    <w:abstractNumId w:val="0"/>
  </w:num>
  <w:num w:numId="39">
    <w:abstractNumId w:val="41"/>
  </w:num>
  <w:num w:numId="40">
    <w:abstractNumId w:val="23"/>
  </w:num>
  <w:num w:numId="41">
    <w:abstractNumId w:val="1"/>
  </w:num>
  <w:num w:numId="42">
    <w:abstractNumId w:val="30"/>
  </w:num>
  <w:num w:numId="43">
    <w:abstractNumId w:val="17"/>
  </w:num>
  <w:num w:numId="44">
    <w:abstractNumId w:val="57"/>
  </w:num>
  <w:num w:numId="45">
    <w:abstractNumId w:val="18"/>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45"/>
  </w:num>
  <w:num w:numId="50">
    <w:abstractNumId w:val="16"/>
  </w:num>
  <w:num w:numId="51">
    <w:abstractNumId w:val="4"/>
  </w:num>
  <w:num w:numId="52">
    <w:abstractNumId w:val="14"/>
  </w:num>
  <w:num w:numId="53">
    <w:abstractNumId w:val="43"/>
  </w:num>
  <w:num w:numId="54">
    <w:abstractNumId w:val="47"/>
  </w:num>
  <w:num w:numId="55">
    <w:abstractNumId w:val="38"/>
  </w:num>
  <w:num w:numId="56">
    <w:abstractNumId w:val="12"/>
  </w:num>
  <w:num w:numId="57">
    <w:abstractNumId w:val="28"/>
  </w:num>
  <w:num w:numId="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01145"/>
    <w:rsid w:val="000014D6"/>
    <w:rsid w:val="0001176C"/>
    <w:rsid w:val="00012154"/>
    <w:rsid w:val="0001302A"/>
    <w:rsid w:val="0001502E"/>
    <w:rsid w:val="00017852"/>
    <w:rsid w:val="00020AE5"/>
    <w:rsid w:val="000219EF"/>
    <w:rsid w:val="00023F8C"/>
    <w:rsid w:val="0002751C"/>
    <w:rsid w:val="00035F4B"/>
    <w:rsid w:val="00036A06"/>
    <w:rsid w:val="00036B9C"/>
    <w:rsid w:val="000379F0"/>
    <w:rsid w:val="00046EE4"/>
    <w:rsid w:val="000544AE"/>
    <w:rsid w:val="0005673F"/>
    <w:rsid w:val="00063788"/>
    <w:rsid w:val="00067FF7"/>
    <w:rsid w:val="00070DA8"/>
    <w:rsid w:val="00073A13"/>
    <w:rsid w:val="00077844"/>
    <w:rsid w:val="00077C69"/>
    <w:rsid w:val="000812FF"/>
    <w:rsid w:val="00090EA3"/>
    <w:rsid w:val="000940E9"/>
    <w:rsid w:val="000A20D3"/>
    <w:rsid w:val="000A45B4"/>
    <w:rsid w:val="000A470E"/>
    <w:rsid w:val="000A6794"/>
    <w:rsid w:val="000B140D"/>
    <w:rsid w:val="000B3086"/>
    <w:rsid w:val="000B6780"/>
    <w:rsid w:val="000C013D"/>
    <w:rsid w:val="000C11FE"/>
    <w:rsid w:val="000C3AC1"/>
    <w:rsid w:val="000C3B22"/>
    <w:rsid w:val="000C3F32"/>
    <w:rsid w:val="000C6D8F"/>
    <w:rsid w:val="000D0087"/>
    <w:rsid w:val="000D0812"/>
    <w:rsid w:val="000D1CC6"/>
    <w:rsid w:val="000E2823"/>
    <w:rsid w:val="000E28C4"/>
    <w:rsid w:val="000F2191"/>
    <w:rsid w:val="000F3470"/>
    <w:rsid w:val="000F4865"/>
    <w:rsid w:val="000F69FD"/>
    <w:rsid w:val="000F6AA4"/>
    <w:rsid w:val="000F7035"/>
    <w:rsid w:val="000F7413"/>
    <w:rsid w:val="000F7878"/>
    <w:rsid w:val="00104474"/>
    <w:rsid w:val="00106F93"/>
    <w:rsid w:val="001071CB"/>
    <w:rsid w:val="001120BF"/>
    <w:rsid w:val="0011328D"/>
    <w:rsid w:val="00113607"/>
    <w:rsid w:val="00115D78"/>
    <w:rsid w:val="00116AEE"/>
    <w:rsid w:val="001207E9"/>
    <w:rsid w:val="00123A00"/>
    <w:rsid w:val="0012695A"/>
    <w:rsid w:val="00130D78"/>
    <w:rsid w:val="00130D83"/>
    <w:rsid w:val="00136158"/>
    <w:rsid w:val="00136CF8"/>
    <w:rsid w:val="00150900"/>
    <w:rsid w:val="001539F2"/>
    <w:rsid w:val="00155D72"/>
    <w:rsid w:val="001663F4"/>
    <w:rsid w:val="00170B48"/>
    <w:rsid w:val="0017558A"/>
    <w:rsid w:val="00181383"/>
    <w:rsid w:val="001868AF"/>
    <w:rsid w:val="00187460"/>
    <w:rsid w:val="00191928"/>
    <w:rsid w:val="001920F8"/>
    <w:rsid w:val="00196641"/>
    <w:rsid w:val="001A16F2"/>
    <w:rsid w:val="001A1A78"/>
    <w:rsid w:val="001A2F88"/>
    <w:rsid w:val="001A3C87"/>
    <w:rsid w:val="001B4225"/>
    <w:rsid w:val="001B53F0"/>
    <w:rsid w:val="001C15A8"/>
    <w:rsid w:val="001C1F90"/>
    <w:rsid w:val="001C32E9"/>
    <w:rsid w:val="001C6E9E"/>
    <w:rsid w:val="001C6EE1"/>
    <w:rsid w:val="001E3DC0"/>
    <w:rsid w:val="001F451E"/>
    <w:rsid w:val="001F5C83"/>
    <w:rsid w:val="001F6F09"/>
    <w:rsid w:val="00200185"/>
    <w:rsid w:val="00200ABF"/>
    <w:rsid w:val="00201145"/>
    <w:rsid w:val="00207368"/>
    <w:rsid w:val="00217025"/>
    <w:rsid w:val="00217861"/>
    <w:rsid w:val="0022158E"/>
    <w:rsid w:val="0023165A"/>
    <w:rsid w:val="00234990"/>
    <w:rsid w:val="00250277"/>
    <w:rsid w:val="00250A80"/>
    <w:rsid w:val="002522C8"/>
    <w:rsid w:val="00254A54"/>
    <w:rsid w:val="002564C8"/>
    <w:rsid w:val="002609F6"/>
    <w:rsid w:val="00261EF4"/>
    <w:rsid w:val="00265B14"/>
    <w:rsid w:val="002755AE"/>
    <w:rsid w:val="0027620A"/>
    <w:rsid w:val="0027646B"/>
    <w:rsid w:val="00276F77"/>
    <w:rsid w:val="00285B58"/>
    <w:rsid w:val="00294131"/>
    <w:rsid w:val="002A2712"/>
    <w:rsid w:val="002A44D4"/>
    <w:rsid w:val="002A4896"/>
    <w:rsid w:val="002A4FCB"/>
    <w:rsid w:val="002A732B"/>
    <w:rsid w:val="002B30D7"/>
    <w:rsid w:val="002C6D5A"/>
    <w:rsid w:val="002D0CA9"/>
    <w:rsid w:val="002E39AD"/>
    <w:rsid w:val="002E788D"/>
    <w:rsid w:val="002F22C6"/>
    <w:rsid w:val="002F62D6"/>
    <w:rsid w:val="00301171"/>
    <w:rsid w:val="00302205"/>
    <w:rsid w:val="0030591B"/>
    <w:rsid w:val="00306610"/>
    <w:rsid w:val="00307CF5"/>
    <w:rsid w:val="00311ABA"/>
    <w:rsid w:val="0031235B"/>
    <w:rsid w:val="003142C2"/>
    <w:rsid w:val="00315ABC"/>
    <w:rsid w:val="003173EE"/>
    <w:rsid w:val="00322412"/>
    <w:rsid w:val="00323466"/>
    <w:rsid w:val="00327961"/>
    <w:rsid w:val="00330ED5"/>
    <w:rsid w:val="003315BB"/>
    <w:rsid w:val="0033200C"/>
    <w:rsid w:val="003369ED"/>
    <w:rsid w:val="003372AA"/>
    <w:rsid w:val="00343918"/>
    <w:rsid w:val="00351E37"/>
    <w:rsid w:val="00354092"/>
    <w:rsid w:val="00354D10"/>
    <w:rsid w:val="00355B6E"/>
    <w:rsid w:val="00355E6D"/>
    <w:rsid w:val="00357B63"/>
    <w:rsid w:val="003604F5"/>
    <w:rsid w:val="0036074D"/>
    <w:rsid w:val="00371951"/>
    <w:rsid w:val="0037731D"/>
    <w:rsid w:val="00380EE2"/>
    <w:rsid w:val="003874CB"/>
    <w:rsid w:val="00395F8A"/>
    <w:rsid w:val="0039703B"/>
    <w:rsid w:val="003A1EF8"/>
    <w:rsid w:val="003A38A6"/>
    <w:rsid w:val="003B11EF"/>
    <w:rsid w:val="003B5F1D"/>
    <w:rsid w:val="003B6039"/>
    <w:rsid w:val="003C1544"/>
    <w:rsid w:val="003C1F3E"/>
    <w:rsid w:val="003C7CEB"/>
    <w:rsid w:val="003D4AD0"/>
    <w:rsid w:val="003E16B4"/>
    <w:rsid w:val="003F2632"/>
    <w:rsid w:val="003F6038"/>
    <w:rsid w:val="00400010"/>
    <w:rsid w:val="00402311"/>
    <w:rsid w:val="00406DD9"/>
    <w:rsid w:val="00414C72"/>
    <w:rsid w:val="00416CB3"/>
    <w:rsid w:val="004228E1"/>
    <w:rsid w:val="0042484C"/>
    <w:rsid w:val="00441340"/>
    <w:rsid w:val="004433F7"/>
    <w:rsid w:val="00452127"/>
    <w:rsid w:val="0045382C"/>
    <w:rsid w:val="004558CC"/>
    <w:rsid w:val="004652C4"/>
    <w:rsid w:val="00465552"/>
    <w:rsid w:val="00465796"/>
    <w:rsid w:val="00467CB6"/>
    <w:rsid w:val="00474F92"/>
    <w:rsid w:val="00476AB5"/>
    <w:rsid w:val="004776BE"/>
    <w:rsid w:val="00486DB5"/>
    <w:rsid w:val="0049154C"/>
    <w:rsid w:val="00491CED"/>
    <w:rsid w:val="004A1339"/>
    <w:rsid w:val="004A44EE"/>
    <w:rsid w:val="004A61CB"/>
    <w:rsid w:val="004A6448"/>
    <w:rsid w:val="004B3A15"/>
    <w:rsid w:val="004B4C59"/>
    <w:rsid w:val="004B6A39"/>
    <w:rsid w:val="004C0348"/>
    <w:rsid w:val="004C7E3F"/>
    <w:rsid w:val="004D2ACE"/>
    <w:rsid w:val="004D5301"/>
    <w:rsid w:val="004D5D42"/>
    <w:rsid w:val="004E0CAB"/>
    <w:rsid w:val="004E1240"/>
    <w:rsid w:val="004F21F5"/>
    <w:rsid w:val="00501003"/>
    <w:rsid w:val="005023F3"/>
    <w:rsid w:val="00512A0B"/>
    <w:rsid w:val="00512DCB"/>
    <w:rsid w:val="00514EF6"/>
    <w:rsid w:val="00515A33"/>
    <w:rsid w:val="00520B51"/>
    <w:rsid w:val="00520EF6"/>
    <w:rsid w:val="0052208F"/>
    <w:rsid w:val="00522CF5"/>
    <w:rsid w:val="00523061"/>
    <w:rsid w:val="00533E29"/>
    <w:rsid w:val="00535269"/>
    <w:rsid w:val="005360FB"/>
    <w:rsid w:val="005415FE"/>
    <w:rsid w:val="00541C16"/>
    <w:rsid w:val="005506C3"/>
    <w:rsid w:val="00563C4C"/>
    <w:rsid w:val="0056697F"/>
    <w:rsid w:val="0056699F"/>
    <w:rsid w:val="00570546"/>
    <w:rsid w:val="0058079C"/>
    <w:rsid w:val="00592F53"/>
    <w:rsid w:val="00592F83"/>
    <w:rsid w:val="005952A2"/>
    <w:rsid w:val="005961BD"/>
    <w:rsid w:val="005A0008"/>
    <w:rsid w:val="005A2E6F"/>
    <w:rsid w:val="005A6FA1"/>
    <w:rsid w:val="005C270A"/>
    <w:rsid w:val="005D04E4"/>
    <w:rsid w:val="005E4F0B"/>
    <w:rsid w:val="005E6B09"/>
    <w:rsid w:val="005F24F3"/>
    <w:rsid w:val="00600233"/>
    <w:rsid w:val="00600C36"/>
    <w:rsid w:val="0060745A"/>
    <w:rsid w:val="0061126E"/>
    <w:rsid w:val="00611B82"/>
    <w:rsid w:val="00613B54"/>
    <w:rsid w:val="0061552F"/>
    <w:rsid w:val="006155E2"/>
    <w:rsid w:val="00616CE1"/>
    <w:rsid w:val="00617331"/>
    <w:rsid w:val="006173CC"/>
    <w:rsid w:val="0062011E"/>
    <w:rsid w:val="00620D34"/>
    <w:rsid w:val="00621A61"/>
    <w:rsid w:val="006224E2"/>
    <w:rsid w:val="00623431"/>
    <w:rsid w:val="00630289"/>
    <w:rsid w:val="006332B6"/>
    <w:rsid w:val="0063419B"/>
    <w:rsid w:val="0065385B"/>
    <w:rsid w:val="0065471E"/>
    <w:rsid w:val="00661399"/>
    <w:rsid w:val="006616F9"/>
    <w:rsid w:val="00661C84"/>
    <w:rsid w:val="006647B9"/>
    <w:rsid w:val="0066611D"/>
    <w:rsid w:val="00666DBE"/>
    <w:rsid w:val="00666FBE"/>
    <w:rsid w:val="00667899"/>
    <w:rsid w:val="006722B4"/>
    <w:rsid w:val="00672D44"/>
    <w:rsid w:val="00672FD8"/>
    <w:rsid w:val="006773EE"/>
    <w:rsid w:val="00682657"/>
    <w:rsid w:val="00682F7A"/>
    <w:rsid w:val="006877EE"/>
    <w:rsid w:val="00692CFC"/>
    <w:rsid w:val="006A0F78"/>
    <w:rsid w:val="006A1B69"/>
    <w:rsid w:val="006A45B0"/>
    <w:rsid w:val="006A5165"/>
    <w:rsid w:val="006A5FB0"/>
    <w:rsid w:val="006B1A23"/>
    <w:rsid w:val="006B4CA4"/>
    <w:rsid w:val="006C2541"/>
    <w:rsid w:val="006C30C6"/>
    <w:rsid w:val="006C6D1F"/>
    <w:rsid w:val="006D0EB1"/>
    <w:rsid w:val="006D42C0"/>
    <w:rsid w:val="006D4603"/>
    <w:rsid w:val="006E1C06"/>
    <w:rsid w:val="006E59B2"/>
    <w:rsid w:val="006E6548"/>
    <w:rsid w:val="006F41A2"/>
    <w:rsid w:val="006F76B6"/>
    <w:rsid w:val="006F7B54"/>
    <w:rsid w:val="007005CB"/>
    <w:rsid w:val="00706E0B"/>
    <w:rsid w:val="007078FC"/>
    <w:rsid w:val="00722D8D"/>
    <w:rsid w:val="00723715"/>
    <w:rsid w:val="00726C52"/>
    <w:rsid w:val="00727D64"/>
    <w:rsid w:val="00733BBD"/>
    <w:rsid w:val="007348F7"/>
    <w:rsid w:val="0073727D"/>
    <w:rsid w:val="00744735"/>
    <w:rsid w:val="007474B9"/>
    <w:rsid w:val="00760B23"/>
    <w:rsid w:val="00760CE7"/>
    <w:rsid w:val="00762580"/>
    <w:rsid w:val="00762D05"/>
    <w:rsid w:val="00770425"/>
    <w:rsid w:val="00772CB2"/>
    <w:rsid w:val="0077418D"/>
    <w:rsid w:val="00776308"/>
    <w:rsid w:val="0077793A"/>
    <w:rsid w:val="00786018"/>
    <w:rsid w:val="00793E61"/>
    <w:rsid w:val="007A080B"/>
    <w:rsid w:val="007A0B64"/>
    <w:rsid w:val="007A183D"/>
    <w:rsid w:val="007A3AA9"/>
    <w:rsid w:val="007A3CD1"/>
    <w:rsid w:val="007B2FF7"/>
    <w:rsid w:val="007B3DA8"/>
    <w:rsid w:val="007C0ABD"/>
    <w:rsid w:val="007C2516"/>
    <w:rsid w:val="007C67FB"/>
    <w:rsid w:val="007D4390"/>
    <w:rsid w:val="007D447F"/>
    <w:rsid w:val="007D51AC"/>
    <w:rsid w:val="007D6A35"/>
    <w:rsid w:val="007E288B"/>
    <w:rsid w:val="007E5214"/>
    <w:rsid w:val="007F0269"/>
    <w:rsid w:val="00800D6E"/>
    <w:rsid w:val="00803B8B"/>
    <w:rsid w:val="00813C6D"/>
    <w:rsid w:val="00820C2E"/>
    <w:rsid w:val="00822846"/>
    <w:rsid w:val="00825024"/>
    <w:rsid w:val="00831072"/>
    <w:rsid w:val="00837BF0"/>
    <w:rsid w:val="008450C5"/>
    <w:rsid w:val="0085180F"/>
    <w:rsid w:val="00854D56"/>
    <w:rsid w:val="008569D6"/>
    <w:rsid w:val="008569F8"/>
    <w:rsid w:val="00860A1D"/>
    <w:rsid w:val="008636A9"/>
    <w:rsid w:val="0086436A"/>
    <w:rsid w:val="008663E2"/>
    <w:rsid w:val="0086684A"/>
    <w:rsid w:val="0088168B"/>
    <w:rsid w:val="00883136"/>
    <w:rsid w:val="00887FAE"/>
    <w:rsid w:val="008926A0"/>
    <w:rsid w:val="00893319"/>
    <w:rsid w:val="008936D6"/>
    <w:rsid w:val="00897EDA"/>
    <w:rsid w:val="008A026D"/>
    <w:rsid w:val="008A08AE"/>
    <w:rsid w:val="008A4633"/>
    <w:rsid w:val="008A598E"/>
    <w:rsid w:val="008A64A3"/>
    <w:rsid w:val="008A7C9E"/>
    <w:rsid w:val="008B39B0"/>
    <w:rsid w:val="008B69C4"/>
    <w:rsid w:val="008B75EC"/>
    <w:rsid w:val="008C097C"/>
    <w:rsid w:val="008C4051"/>
    <w:rsid w:val="008C59B0"/>
    <w:rsid w:val="008C7B09"/>
    <w:rsid w:val="008D476C"/>
    <w:rsid w:val="008E13A3"/>
    <w:rsid w:val="008E13C9"/>
    <w:rsid w:val="008F47C8"/>
    <w:rsid w:val="00900FAE"/>
    <w:rsid w:val="00903C4B"/>
    <w:rsid w:val="00906993"/>
    <w:rsid w:val="00907C1D"/>
    <w:rsid w:val="00914D11"/>
    <w:rsid w:val="00916B4E"/>
    <w:rsid w:val="00917E06"/>
    <w:rsid w:val="00921565"/>
    <w:rsid w:val="00925D52"/>
    <w:rsid w:val="00945BE1"/>
    <w:rsid w:val="009467CB"/>
    <w:rsid w:val="00950837"/>
    <w:rsid w:val="00952B1F"/>
    <w:rsid w:val="009541BE"/>
    <w:rsid w:val="00955E13"/>
    <w:rsid w:val="00960A5F"/>
    <w:rsid w:val="009613D6"/>
    <w:rsid w:val="009643B9"/>
    <w:rsid w:val="00965B83"/>
    <w:rsid w:val="00965BFA"/>
    <w:rsid w:val="009727BD"/>
    <w:rsid w:val="00973495"/>
    <w:rsid w:val="009804EE"/>
    <w:rsid w:val="00984DBC"/>
    <w:rsid w:val="009860A0"/>
    <w:rsid w:val="009860EC"/>
    <w:rsid w:val="009868E8"/>
    <w:rsid w:val="009A1B9D"/>
    <w:rsid w:val="009A2CAB"/>
    <w:rsid w:val="009A68B0"/>
    <w:rsid w:val="009B018F"/>
    <w:rsid w:val="009B601F"/>
    <w:rsid w:val="009B7EF9"/>
    <w:rsid w:val="009C5DDC"/>
    <w:rsid w:val="009D1A3F"/>
    <w:rsid w:val="009D3354"/>
    <w:rsid w:val="009E5F83"/>
    <w:rsid w:val="009F1482"/>
    <w:rsid w:val="009F3E03"/>
    <w:rsid w:val="009F4EB4"/>
    <w:rsid w:val="00A0722A"/>
    <w:rsid w:val="00A10B2F"/>
    <w:rsid w:val="00A20C60"/>
    <w:rsid w:val="00A25D58"/>
    <w:rsid w:val="00A27139"/>
    <w:rsid w:val="00A3500A"/>
    <w:rsid w:val="00A365E3"/>
    <w:rsid w:val="00A37B25"/>
    <w:rsid w:val="00A40AAF"/>
    <w:rsid w:val="00A433C3"/>
    <w:rsid w:val="00A445F9"/>
    <w:rsid w:val="00A51C22"/>
    <w:rsid w:val="00A5539F"/>
    <w:rsid w:val="00A5598E"/>
    <w:rsid w:val="00A62B0E"/>
    <w:rsid w:val="00A72694"/>
    <w:rsid w:val="00A76F8D"/>
    <w:rsid w:val="00A81F7F"/>
    <w:rsid w:val="00A900FC"/>
    <w:rsid w:val="00A92DC0"/>
    <w:rsid w:val="00A977F1"/>
    <w:rsid w:val="00AA0546"/>
    <w:rsid w:val="00AA561B"/>
    <w:rsid w:val="00AB1C70"/>
    <w:rsid w:val="00AB22F0"/>
    <w:rsid w:val="00AB2B9D"/>
    <w:rsid w:val="00AB333C"/>
    <w:rsid w:val="00AB5924"/>
    <w:rsid w:val="00AC1052"/>
    <w:rsid w:val="00AC4C1E"/>
    <w:rsid w:val="00AD2AE0"/>
    <w:rsid w:val="00AD3398"/>
    <w:rsid w:val="00AD3742"/>
    <w:rsid w:val="00AD4CCE"/>
    <w:rsid w:val="00AE1540"/>
    <w:rsid w:val="00AE2FFB"/>
    <w:rsid w:val="00AE4289"/>
    <w:rsid w:val="00AF1E8A"/>
    <w:rsid w:val="00AF2486"/>
    <w:rsid w:val="00AF796D"/>
    <w:rsid w:val="00AF7E9D"/>
    <w:rsid w:val="00B00A23"/>
    <w:rsid w:val="00B0154F"/>
    <w:rsid w:val="00B049D6"/>
    <w:rsid w:val="00B06F4C"/>
    <w:rsid w:val="00B1696F"/>
    <w:rsid w:val="00B333D3"/>
    <w:rsid w:val="00B50068"/>
    <w:rsid w:val="00B513C1"/>
    <w:rsid w:val="00B535A6"/>
    <w:rsid w:val="00B54974"/>
    <w:rsid w:val="00B55143"/>
    <w:rsid w:val="00B60822"/>
    <w:rsid w:val="00B615FD"/>
    <w:rsid w:val="00B62BBF"/>
    <w:rsid w:val="00B6460B"/>
    <w:rsid w:val="00B746E7"/>
    <w:rsid w:val="00B74945"/>
    <w:rsid w:val="00B80123"/>
    <w:rsid w:val="00B82548"/>
    <w:rsid w:val="00B83437"/>
    <w:rsid w:val="00B855ED"/>
    <w:rsid w:val="00B87608"/>
    <w:rsid w:val="00B879A4"/>
    <w:rsid w:val="00B92877"/>
    <w:rsid w:val="00B97724"/>
    <w:rsid w:val="00BB2199"/>
    <w:rsid w:val="00BB50F6"/>
    <w:rsid w:val="00BB723C"/>
    <w:rsid w:val="00BC062B"/>
    <w:rsid w:val="00BC0DC8"/>
    <w:rsid w:val="00BC0F7E"/>
    <w:rsid w:val="00BC5174"/>
    <w:rsid w:val="00BD4B7E"/>
    <w:rsid w:val="00BD6FCB"/>
    <w:rsid w:val="00BE4B61"/>
    <w:rsid w:val="00BF4F8F"/>
    <w:rsid w:val="00C03C15"/>
    <w:rsid w:val="00C04F46"/>
    <w:rsid w:val="00C17694"/>
    <w:rsid w:val="00C21AB9"/>
    <w:rsid w:val="00C30B69"/>
    <w:rsid w:val="00C312E5"/>
    <w:rsid w:val="00C33E15"/>
    <w:rsid w:val="00C348AF"/>
    <w:rsid w:val="00C40D7A"/>
    <w:rsid w:val="00C43C3B"/>
    <w:rsid w:val="00C43D04"/>
    <w:rsid w:val="00C45A7D"/>
    <w:rsid w:val="00C535D8"/>
    <w:rsid w:val="00C57D6B"/>
    <w:rsid w:val="00C6042B"/>
    <w:rsid w:val="00C622B4"/>
    <w:rsid w:val="00C63C87"/>
    <w:rsid w:val="00C72965"/>
    <w:rsid w:val="00C72B8D"/>
    <w:rsid w:val="00C7315C"/>
    <w:rsid w:val="00C754BF"/>
    <w:rsid w:val="00C7639F"/>
    <w:rsid w:val="00C80E2C"/>
    <w:rsid w:val="00C8112D"/>
    <w:rsid w:val="00C815F6"/>
    <w:rsid w:val="00C83EDF"/>
    <w:rsid w:val="00C87535"/>
    <w:rsid w:val="00C944E8"/>
    <w:rsid w:val="00C949BD"/>
    <w:rsid w:val="00C95944"/>
    <w:rsid w:val="00C95E53"/>
    <w:rsid w:val="00CA3DDB"/>
    <w:rsid w:val="00CA71A2"/>
    <w:rsid w:val="00CA7A2C"/>
    <w:rsid w:val="00CB0588"/>
    <w:rsid w:val="00CB0DEA"/>
    <w:rsid w:val="00CB1DA6"/>
    <w:rsid w:val="00CB77CF"/>
    <w:rsid w:val="00CC34A2"/>
    <w:rsid w:val="00CC5CB6"/>
    <w:rsid w:val="00CC6951"/>
    <w:rsid w:val="00CD22CE"/>
    <w:rsid w:val="00CD4A19"/>
    <w:rsid w:val="00CD7E5B"/>
    <w:rsid w:val="00CE3F0E"/>
    <w:rsid w:val="00CF200F"/>
    <w:rsid w:val="00CF4B0B"/>
    <w:rsid w:val="00CF4FBE"/>
    <w:rsid w:val="00CF57D7"/>
    <w:rsid w:val="00CF617D"/>
    <w:rsid w:val="00CF7F3B"/>
    <w:rsid w:val="00D00666"/>
    <w:rsid w:val="00D014B3"/>
    <w:rsid w:val="00D015A2"/>
    <w:rsid w:val="00D10B60"/>
    <w:rsid w:val="00D1761A"/>
    <w:rsid w:val="00D206DD"/>
    <w:rsid w:val="00D20A0B"/>
    <w:rsid w:val="00D321A8"/>
    <w:rsid w:val="00D371A5"/>
    <w:rsid w:val="00D512A8"/>
    <w:rsid w:val="00D60625"/>
    <w:rsid w:val="00D703EA"/>
    <w:rsid w:val="00D74B6B"/>
    <w:rsid w:val="00D7728D"/>
    <w:rsid w:val="00D81076"/>
    <w:rsid w:val="00D81339"/>
    <w:rsid w:val="00D81A9B"/>
    <w:rsid w:val="00D81B34"/>
    <w:rsid w:val="00D84E1F"/>
    <w:rsid w:val="00D85C54"/>
    <w:rsid w:val="00D875B1"/>
    <w:rsid w:val="00D9048C"/>
    <w:rsid w:val="00D934C2"/>
    <w:rsid w:val="00D943EB"/>
    <w:rsid w:val="00DA6D4B"/>
    <w:rsid w:val="00DB7828"/>
    <w:rsid w:val="00DC0215"/>
    <w:rsid w:val="00DC2240"/>
    <w:rsid w:val="00DC601F"/>
    <w:rsid w:val="00DD2E80"/>
    <w:rsid w:val="00DD746E"/>
    <w:rsid w:val="00DE4915"/>
    <w:rsid w:val="00DE5D18"/>
    <w:rsid w:val="00DE605F"/>
    <w:rsid w:val="00DE63F4"/>
    <w:rsid w:val="00DF1E8C"/>
    <w:rsid w:val="00DF2A33"/>
    <w:rsid w:val="00DF6E6A"/>
    <w:rsid w:val="00DF6FFD"/>
    <w:rsid w:val="00E02364"/>
    <w:rsid w:val="00E057E6"/>
    <w:rsid w:val="00E06F9F"/>
    <w:rsid w:val="00E07903"/>
    <w:rsid w:val="00E13FB3"/>
    <w:rsid w:val="00E21744"/>
    <w:rsid w:val="00E22A65"/>
    <w:rsid w:val="00E300A0"/>
    <w:rsid w:val="00E31C6B"/>
    <w:rsid w:val="00E359A3"/>
    <w:rsid w:val="00E37059"/>
    <w:rsid w:val="00E41F02"/>
    <w:rsid w:val="00E42BEA"/>
    <w:rsid w:val="00E43A49"/>
    <w:rsid w:val="00E449EB"/>
    <w:rsid w:val="00E45C3B"/>
    <w:rsid w:val="00E51081"/>
    <w:rsid w:val="00E518E0"/>
    <w:rsid w:val="00E53380"/>
    <w:rsid w:val="00E53774"/>
    <w:rsid w:val="00E54583"/>
    <w:rsid w:val="00E54A2D"/>
    <w:rsid w:val="00E55A3D"/>
    <w:rsid w:val="00E56D91"/>
    <w:rsid w:val="00E572F1"/>
    <w:rsid w:val="00E63578"/>
    <w:rsid w:val="00E6396E"/>
    <w:rsid w:val="00E80804"/>
    <w:rsid w:val="00E82AD5"/>
    <w:rsid w:val="00E85E6B"/>
    <w:rsid w:val="00E86B37"/>
    <w:rsid w:val="00E931BB"/>
    <w:rsid w:val="00EB17C8"/>
    <w:rsid w:val="00EC00A8"/>
    <w:rsid w:val="00EC0924"/>
    <w:rsid w:val="00EC364C"/>
    <w:rsid w:val="00EC4C70"/>
    <w:rsid w:val="00ED172B"/>
    <w:rsid w:val="00ED42F9"/>
    <w:rsid w:val="00ED4448"/>
    <w:rsid w:val="00ED7040"/>
    <w:rsid w:val="00ED7D41"/>
    <w:rsid w:val="00EE2F30"/>
    <w:rsid w:val="00F033B8"/>
    <w:rsid w:val="00F04783"/>
    <w:rsid w:val="00F04D66"/>
    <w:rsid w:val="00F107AB"/>
    <w:rsid w:val="00F20C80"/>
    <w:rsid w:val="00F231FE"/>
    <w:rsid w:val="00F24B73"/>
    <w:rsid w:val="00F2572C"/>
    <w:rsid w:val="00F2613A"/>
    <w:rsid w:val="00F3191E"/>
    <w:rsid w:val="00F32E30"/>
    <w:rsid w:val="00F375F1"/>
    <w:rsid w:val="00F41787"/>
    <w:rsid w:val="00F42137"/>
    <w:rsid w:val="00F42B18"/>
    <w:rsid w:val="00F61AE4"/>
    <w:rsid w:val="00F61B1C"/>
    <w:rsid w:val="00F62388"/>
    <w:rsid w:val="00F65BF5"/>
    <w:rsid w:val="00F677B9"/>
    <w:rsid w:val="00F72503"/>
    <w:rsid w:val="00F77031"/>
    <w:rsid w:val="00F77C1F"/>
    <w:rsid w:val="00F84ADA"/>
    <w:rsid w:val="00F87295"/>
    <w:rsid w:val="00F91473"/>
    <w:rsid w:val="00F969F0"/>
    <w:rsid w:val="00FA6219"/>
    <w:rsid w:val="00FB46C2"/>
    <w:rsid w:val="00FB4933"/>
    <w:rsid w:val="00FC27C5"/>
    <w:rsid w:val="00FC3208"/>
    <w:rsid w:val="00FC350F"/>
    <w:rsid w:val="00FC3E56"/>
    <w:rsid w:val="00FD2882"/>
    <w:rsid w:val="00FD5246"/>
    <w:rsid w:val="00FD7448"/>
    <w:rsid w:val="00FE1D9B"/>
    <w:rsid w:val="00FE404F"/>
    <w:rsid w:val="00FE773E"/>
    <w:rsid w:val="00FF3994"/>
    <w:rsid w:val="00FF75E9"/>
    <w:rsid w:val="01036F61"/>
    <w:rsid w:val="01B369A9"/>
    <w:rsid w:val="03305B7A"/>
    <w:rsid w:val="046A1EB2"/>
    <w:rsid w:val="05AC12C2"/>
    <w:rsid w:val="06B3710C"/>
    <w:rsid w:val="06EB4201"/>
    <w:rsid w:val="09312353"/>
    <w:rsid w:val="099D2082"/>
    <w:rsid w:val="09D81825"/>
    <w:rsid w:val="0F83278F"/>
    <w:rsid w:val="17EF4C1D"/>
    <w:rsid w:val="188F4594"/>
    <w:rsid w:val="18FD37A5"/>
    <w:rsid w:val="1A0501B8"/>
    <w:rsid w:val="1A471116"/>
    <w:rsid w:val="1CA1339F"/>
    <w:rsid w:val="227F0B2C"/>
    <w:rsid w:val="232D1C4D"/>
    <w:rsid w:val="23D21677"/>
    <w:rsid w:val="247038E0"/>
    <w:rsid w:val="26C43538"/>
    <w:rsid w:val="2730516F"/>
    <w:rsid w:val="279052ED"/>
    <w:rsid w:val="28405BD0"/>
    <w:rsid w:val="2A6B5784"/>
    <w:rsid w:val="2B4F321D"/>
    <w:rsid w:val="2B585007"/>
    <w:rsid w:val="2BD1056E"/>
    <w:rsid w:val="2FFAA9F9"/>
    <w:rsid w:val="32123BBA"/>
    <w:rsid w:val="322A332E"/>
    <w:rsid w:val="33E5260E"/>
    <w:rsid w:val="34885489"/>
    <w:rsid w:val="34ED7206"/>
    <w:rsid w:val="350A255B"/>
    <w:rsid w:val="36C533F4"/>
    <w:rsid w:val="37CA034E"/>
    <w:rsid w:val="39FF4EF7"/>
    <w:rsid w:val="3D2D03C8"/>
    <w:rsid w:val="3E1833E0"/>
    <w:rsid w:val="3F1E5AF2"/>
    <w:rsid w:val="402D534F"/>
    <w:rsid w:val="43B80692"/>
    <w:rsid w:val="446C7378"/>
    <w:rsid w:val="44A55601"/>
    <w:rsid w:val="46C05213"/>
    <w:rsid w:val="488678C3"/>
    <w:rsid w:val="4E472682"/>
    <w:rsid w:val="4FFF2668"/>
    <w:rsid w:val="54511FE4"/>
    <w:rsid w:val="55336EC0"/>
    <w:rsid w:val="55D234F5"/>
    <w:rsid w:val="5D40355F"/>
    <w:rsid w:val="5D89021C"/>
    <w:rsid w:val="5F87234B"/>
    <w:rsid w:val="5FD81B48"/>
    <w:rsid w:val="60EB21C4"/>
    <w:rsid w:val="611B1290"/>
    <w:rsid w:val="61740121"/>
    <w:rsid w:val="61AC290F"/>
    <w:rsid w:val="61F86220"/>
    <w:rsid w:val="673D3C74"/>
    <w:rsid w:val="696F1D73"/>
    <w:rsid w:val="6A6648E7"/>
    <w:rsid w:val="6C4E3C4E"/>
    <w:rsid w:val="6C7F32CA"/>
    <w:rsid w:val="6DF57AD0"/>
    <w:rsid w:val="6F5C15A7"/>
    <w:rsid w:val="7160306A"/>
    <w:rsid w:val="741B625A"/>
    <w:rsid w:val="75032837"/>
    <w:rsid w:val="75CE10D4"/>
    <w:rsid w:val="75FF533C"/>
    <w:rsid w:val="761C5440"/>
    <w:rsid w:val="76E47B69"/>
    <w:rsid w:val="79193D18"/>
    <w:rsid w:val="7A9E2DC6"/>
    <w:rsid w:val="7BF7E565"/>
    <w:rsid w:val="7E1DC6EF"/>
    <w:rsid w:val="7E3FC2A3"/>
    <w:rsid w:val="7E430F26"/>
    <w:rsid w:val="7EF7D6EB"/>
    <w:rsid w:val="7F0F707D"/>
    <w:rsid w:val="7F130076"/>
    <w:rsid w:val="7FD9E53A"/>
    <w:rsid w:val="BFB22670"/>
    <w:rsid w:val="BFEBD90C"/>
    <w:rsid w:val="D4FF850B"/>
    <w:rsid w:val="D7F137BD"/>
    <w:rsid w:val="E3EF4ADC"/>
    <w:rsid w:val="EFFF2C0F"/>
    <w:rsid w:val="F7BB2DC9"/>
    <w:rsid w:val="FCFFCFCE"/>
    <w:rsid w:val="FD7D03F1"/>
    <w:rsid w:val="FF74C008"/>
    <w:rsid w:val="FFE37F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ocked="1"/>
    <w:lsdException w:qFormat="1" w:uiPriority="0" w:semiHidden="0" w:name="heading 6" w:locked="1"/>
    <w:lsdException w:qFormat="1" w:uiPriority="0" w:semiHidden="0" w:name="heading 7" w:locked="1"/>
    <w:lsdException w:qFormat="1" w:uiPriority="9" w:semiHidden="0" w:name="heading 8" w:locked="1"/>
    <w:lsdException w:qFormat="1" w:uiPriority="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paragraph" w:styleId="6">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5"/>
    <w:unhideWhenUsed/>
    <w:qFormat/>
    <w:locked/>
    <w:uiPriority w:val="0"/>
    <w:pPr>
      <w:keepNext/>
      <w:keepLines/>
      <w:spacing w:line="360" w:lineRule="auto"/>
      <w:ind w:left="1008"/>
      <w:outlineLvl w:val="4"/>
    </w:pPr>
    <w:rPr>
      <w:b/>
      <w:bCs/>
      <w:sz w:val="28"/>
      <w:szCs w:val="28"/>
    </w:rPr>
  </w:style>
  <w:style w:type="paragraph" w:styleId="8">
    <w:name w:val="heading 6"/>
    <w:basedOn w:val="1"/>
    <w:next w:val="1"/>
    <w:link w:val="46"/>
    <w:unhideWhenUsed/>
    <w:qFormat/>
    <w:locked/>
    <w:uiPriority w:val="0"/>
    <w:pPr>
      <w:keepNext/>
      <w:keepLines/>
      <w:spacing w:line="360" w:lineRule="auto"/>
      <w:ind w:left="1151"/>
      <w:outlineLvl w:val="5"/>
    </w:pPr>
    <w:rPr>
      <w:rFonts w:ascii="Calibri Light" w:hAnsi="Calibri Light"/>
      <w:b/>
      <w:bCs/>
      <w:sz w:val="24"/>
      <w:szCs w:val="24"/>
    </w:rPr>
  </w:style>
  <w:style w:type="paragraph" w:styleId="9">
    <w:name w:val="heading 7"/>
    <w:basedOn w:val="1"/>
    <w:next w:val="1"/>
    <w:link w:val="47"/>
    <w:unhideWhenUsed/>
    <w:qFormat/>
    <w:locked/>
    <w:uiPriority w:val="0"/>
    <w:pPr>
      <w:keepNext/>
      <w:keepLines/>
      <w:spacing w:before="240" w:after="64" w:line="320" w:lineRule="auto"/>
      <w:ind w:left="1296"/>
      <w:outlineLvl w:val="6"/>
    </w:pPr>
    <w:rPr>
      <w:b/>
      <w:bCs/>
      <w:sz w:val="24"/>
      <w:szCs w:val="24"/>
    </w:rPr>
  </w:style>
  <w:style w:type="paragraph" w:styleId="10">
    <w:name w:val="heading 8"/>
    <w:basedOn w:val="1"/>
    <w:next w:val="1"/>
    <w:link w:val="48"/>
    <w:unhideWhenUsed/>
    <w:qFormat/>
    <w:locked/>
    <w:uiPriority w:val="9"/>
    <w:pPr>
      <w:keepNext/>
      <w:keepLines/>
      <w:spacing w:before="240" w:after="64" w:line="320" w:lineRule="auto"/>
      <w:ind w:left="1440"/>
      <w:outlineLvl w:val="7"/>
    </w:pPr>
    <w:rPr>
      <w:rFonts w:ascii="Calibri Light" w:hAnsi="Calibri Light"/>
      <w:sz w:val="24"/>
      <w:szCs w:val="24"/>
    </w:rPr>
  </w:style>
  <w:style w:type="paragraph" w:styleId="11">
    <w:name w:val="heading 9"/>
    <w:basedOn w:val="1"/>
    <w:next w:val="1"/>
    <w:link w:val="49"/>
    <w:unhideWhenUsed/>
    <w:qFormat/>
    <w:locked/>
    <w:uiPriority w:val="9"/>
    <w:pPr>
      <w:keepNext/>
      <w:keepLines/>
      <w:spacing w:before="240" w:after="64" w:line="320" w:lineRule="auto"/>
      <w:ind w:left="1583"/>
      <w:outlineLvl w:val="8"/>
    </w:pPr>
    <w:rPr>
      <w:rFonts w:ascii="Calibri Light" w:hAnsi="Calibri Light"/>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w:basedOn w:val="1"/>
    <w:link w:val="51"/>
    <w:qFormat/>
    <w:uiPriority w:val="99"/>
    <w:pPr>
      <w:spacing w:before="60"/>
      <w:jc w:val="center"/>
    </w:pPr>
    <w:rPr>
      <w:rFonts w:ascii="Impact" w:hAnsi="Impact"/>
      <w:sz w:val="24"/>
      <w:szCs w:val="22"/>
    </w:rPr>
  </w:style>
  <w:style w:type="paragraph" w:styleId="12">
    <w:name w:val="toc 7"/>
    <w:basedOn w:val="1"/>
    <w:next w:val="1"/>
    <w:unhideWhenUsed/>
    <w:qFormat/>
    <w:locked/>
    <w:uiPriority w:val="39"/>
    <w:pPr>
      <w:ind w:left="2520" w:leftChars="1200"/>
    </w:pPr>
    <w:rPr>
      <w:szCs w:val="22"/>
    </w:rPr>
  </w:style>
  <w:style w:type="paragraph" w:styleId="13">
    <w:name w:val="Normal Indent"/>
    <w:basedOn w:val="1"/>
    <w:link w:val="74"/>
    <w:qFormat/>
    <w:uiPriority w:val="99"/>
    <w:pPr>
      <w:autoSpaceDE w:val="0"/>
      <w:autoSpaceDN w:val="0"/>
      <w:spacing w:line="360" w:lineRule="auto"/>
      <w:ind w:left="181" w:firstLine="420" w:firstLineChars="200"/>
    </w:pPr>
    <w:rPr>
      <w:rFonts w:ascii="Times New Roman" w:hAnsi="Times New Roman"/>
      <w:szCs w:val="20"/>
      <w:lang w:val="zh-CN"/>
    </w:rPr>
  </w:style>
  <w:style w:type="paragraph" w:styleId="14">
    <w:name w:val="caption"/>
    <w:basedOn w:val="1"/>
    <w:next w:val="1"/>
    <w:link w:val="75"/>
    <w:qFormat/>
    <w:locked/>
    <w:uiPriority w:val="0"/>
    <w:pPr>
      <w:spacing w:line="360" w:lineRule="auto"/>
      <w:ind w:firstLine="200" w:firstLineChars="200"/>
    </w:pPr>
    <w:rPr>
      <w:rFonts w:ascii="Arial" w:hAnsi="Arial" w:eastAsia="黑体"/>
      <w:sz w:val="20"/>
      <w:szCs w:val="20"/>
      <w:lang w:val="zh-CN"/>
    </w:rPr>
  </w:style>
  <w:style w:type="paragraph" w:styleId="15">
    <w:name w:val="Document Map"/>
    <w:basedOn w:val="1"/>
    <w:link w:val="93"/>
    <w:qFormat/>
    <w:uiPriority w:val="0"/>
    <w:pPr>
      <w:spacing w:line="360" w:lineRule="auto"/>
      <w:ind w:firstLine="200" w:firstLineChars="200"/>
    </w:pPr>
    <w:rPr>
      <w:rFonts w:ascii="宋体"/>
      <w:sz w:val="18"/>
      <w:szCs w:val="18"/>
    </w:rPr>
  </w:style>
  <w:style w:type="paragraph" w:styleId="16">
    <w:name w:val="annotation text"/>
    <w:basedOn w:val="1"/>
    <w:link w:val="50"/>
    <w:qFormat/>
    <w:uiPriority w:val="99"/>
    <w:pPr>
      <w:jc w:val="left"/>
    </w:pPr>
    <w:rPr>
      <w:szCs w:val="22"/>
    </w:rPr>
  </w:style>
  <w:style w:type="paragraph" w:styleId="17">
    <w:name w:val="Body Text Indent"/>
    <w:basedOn w:val="1"/>
    <w:link w:val="76"/>
    <w:unhideWhenUsed/>
    <w:qFormat/>
    <w:uiPriority w:val="99"/>
    <w:pPr>
      <w:spacing w:after="120" w:line="360" w:lineRule="auto"/>
      <w:ind w:left="420" w:leftChars="200" w:firstLine="200" w:firstLineChars="200"/>
    </w:pPr>
    <w:rPr>
      <w:szCs w:val="22"/>
    </w:rPr>
  </w:style>
  <w:style w:type="paragraph" w:styleId="18">
    <w:name w:val="toc 5"/>
    <w:basedOn w:val="1"/>
    <w:next w:val="1"/>
    <w:unhideWhenUsed/>
    <w:qFormat/>
    <w:locked/>
    <w:uiPriority w:val="39"/>
    <w:pPr>
      <w:ind w:left="1680" w:leftChars="800"/>
    </w:pPr>
    <w:rPr>
      <w:szCs w:val="22"/>
    </w:rPr>
  </w:style>
  <w:style w:type="paragraph" w:styleId="19">
    <w:name w:val="toc 3"/>
    <w:basedOn w:val="1"/>
    <w:next w:val="1"/>
    <w:unhideWhenUsed/>
    <w:qFormat/>
    <w:locked/>
    <w:uiPriority w:val="39"/>
    <w:pPr>
      <w:spacing w:line="360" w:lineRule="auto"/>
      <w:ind w:left="840" w:leftChars="400" w:firstLine="200" w:firstLineChars="200"/>
    </w:pPr>
    <w:rPr>
      <w:szCs w:val="22"/>
    </w:rPr>
  </w:style>
  <w:style w:type="paragraph" w:styleId="20">
    <w:name w:val="toc 8"/>
    <w:basedOn w:val="1"/>
    <w:next w:val="1"/>
    <w:unhideWhenUsed/>
    <w:qFormat/>
    <w:locked/>
    <w:uiPriority w:val="39"/>
    <w:pPr>
      <w:ind w:left="2940" w:leftChars="1400"/>
    </w:pPr>
    <w:rPr>
      <w:szCs w:val="22"/>
    </w:rPr>
  </w:style>
  <w:style w:type="paragraph" w:styleId="21">
    <w:name w:val="Balloon Text"/>
    <w:basedOn w:val="1"/>
    <w:link w:val="52"/>
    <w:qFormat/>
    <w:uiPriority w:val="99"/>
    <w:rPr>
      <w:sz w:val="18"/>
      <w:szCs w:val="18"/>
    </w:rPr>
  </w:style>
  <w:style w:type="paragraph" w:styleId="22">
    <w:name w:val="footer"/>
    <w:basedOn w:val="1"/>
    <w:link w:val="53"/>
    <w:qFormat/>
    <w:uiPriority w:val="99"/>
    <w:pPr>
      <w:tabs>
        <w:tab w:val="center" w:pos="4153"/>
        <w:tab w:val="right" w:pos="8306"/>
      </w:tabs>
      <w:snapToGrid w:val="0"/>
      <w:jc w:val="left"/>
    </w:pPr>
    <w:rPr>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widowControl/>
      <w:tabs>
        <w:tab w:val="left" w:pos="1176"/>
        <w:tab w:val="right" w:leader="dot" w:pos="9514"/>
      </w:tabs>
      <w:spacing w:line="440" w:lineRule="exact"/>
      <w:jc w:val="left"/>
    </w:pPr>
    <w:rPr>
      <w:rFonts w:eastAsia="黑体"/>
      <w:b/>
      <w:kern w:val="0"/>
      <w:sz w:val="30"/>
    </w:rPr>
  </w:style>
  <w:style w:type="paragraph" w:styleId="25">
    <w:name w:val="toc 4"/>
    <w:basedOn w:val="1"/>
    <w:next w:val="1"/>
    <w:unhideWhenUsed/>
    <w:qFormat/>
    <w:locked/>
    <w:uiPriority w:val="39"/>
    <w:pPr>
      <w:ind w:left="1260" w:leftChars="600"/>
    </w:pPr>
    <w:rPr>
      <w:szCs w:val="22"/>
    </w:rPr>
  </w:style>
  <w:style w:type="paragraph" w:styleId="26">
    <w:name w:val="Subtitle"/>
    <w:basedOn w:val="1"/>
    <w:next w:val="1"/>
    <w:link w:val="95"/>
    <w:qFormat/>
    <w:locked/>
    <w:uiPriority w:val="0"/>
    <w:pPr>
      <w:framePr w:wrap="around" w:vAnchor="margin" w:hAnchor="text" w:y="1"/>
      <w:widowControl/>
      <w:spacing w:before="240" w:after="60" w:line="312" w:lineRule="auto"/>
      <w:jc w:val="center"/>
      <w:outlineLvl w:val="1"/>
    </w:pPr>
    <w:rPr>
      <w:rFonts w:ascii="Cambria" w:hAnsi="Cambria" w:eastAsia="Arial Unicode MS"/>
      <w:b/>
      <w:bCs/>
      <w:kern w:val="28"/>
      <w:sz w:val="32"/>
      <w:szCs w:val="32"/>
      <w:lang w:eastAsia="en-US"/>
    </w:rPr>
  </w:style>
  <w:style w:type="paragraph" w:styleId="27">
    <w:name w:val="toc 6"/>
    <w:basedOn w:val="1"/>
    <w:next w:val="1"/>
    <w:unhideWhenUsed/>
    <w:qFormat/>
    <w:locked/>
    <w:uiPriority w:val="39"/>
    <w:pPr>
      <w:ind w:left="2100" w:leftChars="1000"/>
    </w:pPr>
    <w:rPr>
      <w:szCs w:val="22"/>
    </w:rPr>
  </w:style>
  <w:style w:type="paragraph" w:styleId="28">
    <w:name w:val="toc 2"/>
    <w:basedOn w:val="29"/>
    <w:next w:val="4"/>
    <w:qFormat/>
    <w:uiPriority w:val="39"/>
    <w:pPr>
      <w:widowControl/>
      <w:tabs>
        <w:tab w:val="left" w:pos="709"/>
        <w:tab w:val="left" w:pos="952"/>
        <w:tab w:val="left" w:pos="1190"/>
        <w:tab w:val="left" w:pos="1428"/>
        <w:tab w:val="right" w:leader="dot" w:pos="9514"/>
      </w:tabs>
      <w:spacing w:line="276" w:lineRule="auto"/>
      <w:ind w:left="221"/>
      <w:jc w:val="left"/>
    </w:pPr>
    <w:rPr>
      <w:rFonts w:ascii="黑体" w:hAnsi="黑体" w:eastAsia="黑体"/>
      <w:i w:val="0"/>
      <w:kern w:val="0"/>
      <w:sz w:val="24"/>
    </w:rPr>
  </w:style>
  <w:style w:type="paragraph" w:customStyle="1" w:styleId="29">
    <w:name w:val="引用1"/>
    <w:basedOn w:val="1"/>
    <w:next w:val="1"/>
    <w:link w:val="55"/>
    <w:qFormat/>
    <w:uiPriority w:val="99"/>
    <w:rPr>
      <w:i/>
      <w:iCs/>
      <w:color w:val="000000"/>
      <w:szCs w:val="22"/>
    </w:rPr>
  </w:style>
  <w:style w:type="paragraph" w:styleId="30">
    <w:name w:val="toc 9"/>
    <w:basedOn w:val="1"/>
    <w:next w:val="1"/>
    <w:unhideWhenUsed/>
    <w:qFormat/>
    <w:locked/>
    <w:uiPriority w:val="39"/>
    <w:pPr>
      <w:ind w:left="3360" w:leftChars="1600"/>
    </w:pPr>
    <w:rPr>
      <w:szCs w:val="22"/>
    </w:rPr>
  </w:style>
  <w:style w:type="paragraph" w:styleId="31">
    <w:name w:val="Normal (Web)"/>
    <w:basedOn w:val="1"/>
    <w:unhideWhenUsed/>
    <w:qFormat/>
    <w:uiPriority w:val="99"/>
    <w:pPr>
      <w:spacing w:beforeAutospacing="1" w:afterAutospacing="1" w:line="360" w:lineRule="auto"/>
      <w:ind w:firstLine="200" w:firstLineChars="200"/>
      <w:jc w:val="left"/>
    </w:pPr>
    <w:rPr>
      <w:kern w:val="0"/>
      <w:sz w:val="24"/>
      <w:szCs w:val="22"/>
    </w:rPr>
  </w:style>
  <w:style w:type="paragraph" w:styleId="32">
    <w:name w:val="annotation subject"/>
    <w:basedOn w:val="16"/>
    <w:next w:val="16"/>
    <w:link w:val="56"/>
    <w:qFormat/>
    <w:uiPriority w:val="99"/>
    <w:rPr>
      <w:b/>
      <w:bCs/>
    </w:rPr>
  </w:style>
  <w:style w:type="paragraph" w:styleId="33">
    <w:name w:val="Body Text First Indent"/>
    <w:basedOn w:val="2"/>
    <w:link w:val="77"/>
    <w:qFormat/>
    <w:uiPriority w:val="0"/>
    <w:pPr>
      <w:widowControl/>
      <w:spacing w:before="0" w:afterLines="100" w:line="360" w:lineRule="auto"/>
      <w:ind w:firstLine="200" w:firstLineChars="200"/>
      <w:jc w:val="left"/>
    </w:pPr>
    <w:rPr>
      <w:rFonts w:ascii="宋体" w:hAnsi="宋体"/>
      <w:sz w:val="21"/>
      <w:lang w:val="zh-CN"/>
    </w:rPr>
  </w:style>
  <w:style w:type="paragraph" w:styleId="34">
    <w:name w:val="Body Text First Indent 2"/>
    <w:basedOn w:val="17"/>
    <w:link w:val="78"/>
    <w:unhideWhenUsed/>
    <w:qFormat/>
    <w:uiPriority w:val="99"/>
    <w:pPr>
      <w:ind w:firstLine="420"/>
    </w:p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locked/>
    <w:uiPriority w:val="0"/>
    <w:rPr>
      <w:b/>
      <w:bCs/>
    </w:rPr>
  </w:style>
  <w:style w:type="character" w:styleId="39">
    <w:name w:val="Hyperlink"/>
    <w:qFormat/>
    <w:uiPriority w:val="99"/>
    <w:rPr>
      <w:rFonts w:eastAsia="宋体" w:cs="Times New Roman"/>
      <w:color w:val="0000FF"/>
      <w:u w:val="none"/>
    </w:rPr>
  </w:style>
  <w:style w:type="character" w:styleId="40">
    <w:name w:val="annotation reference"/>
    <w:qFormat/>
    <w:uiPriority w:val="99"/>
    <w:rPr>
      <w:rFonts w:cs="Times New Roman"/>
      <w:sz w:val="21"/>
    </w:rPr>
  </w:style>
  <w:style w:type="character" w:customStyle="1" w:styleId="41">
    <w:name w:val="标题 1 Char"/>
    <w:link w:val="3"/>
    <w:qFormat/>
    <w:locked/>
    <w:uiPriority w:val="0"/>
    <w:rPr>
      <w:rFonts w:cs="Times New Roman"/>
      <w:b/>
      <w:bCs/>
      <w:kern w:val="44"/>
      <w:sz w:val="44"/>
      <w:szCs w:val="44"/>
    </w:rPr>
  </w:style>
  <w:style w:type="character" w:customStyle="1" w:styleId="42">
    <w:name w:val="标题 2 Char"/>
    <w:link w:val="4"/>
    <w:qFormat/>
    <w:locked/>
    <w:uiPriority w:val="0"/>
    <w:rPr>
      <w:rFonts w:ascii="Cambria" w:hAnsi="Cambria" w:eastAsia="宋体" w:cs="Times New Roman"/>
      <w:b/>
      <w:bCs/>
      <w:sz w:val="32"/>
      <w:szCs w:val="32"/>
    </w:rPr>
  </w:style>
  <w:style w:type="character" w:customStyle="1" w:styleId="43">
    <w:name w:val="标题 3 Char"/>
    <w:link w:val="5"/>
    <w:qFormat/>
    <w:locked/>
    <w:uiPriority w:val="0"/>
    <w:rPr>
      <w:rFonts w:ascii="Calibri" w:hAnsi="Calibri" w:eastAsia="宋体" w:cs="Times New Roman"/>
      <w:b/>
      <w:bCs/>
      <w:sz w:val="32"/>
      <w:szCs w:val="32"/>
    </w:rPr>
  </w:style>
  <w:style w:type="character" w:customStyle="1" w:styleId="44">
    <w:name w:val="标题 4 Char"/>
    <w:link w:val="6"/>
    <w:qFormat/>
    <w:locked/>
    <w:uiPriority w:val="0"/>
    <w:rPr>
      <w:rFonts w:ascii="Cambria" w:hAnsi="Cambria" w:eastAsia="宋体" w:cs="Times New Roman"/>
      <w:b/>
      <w:bCs/>
      <w:sz w:val="28"/>
      <w:szCs w:val="28"/>
    </w:rPr>
  </w:style>
  <w:style w:type="character" w:customStyle="1" w:styleId="45">
    <w:name w:val="标题 5 Char"/>
    <w:link w:val="7"/>
    <w:qFormat/>
    <w:uiPriority w:val="0"/>
    <w:rPr>
      <w:b/>
      <w:bCs/>
      <w:kern w:val="2"/>
      <w:sz w:val="28"/>
      <w:szCs w:val="28"/>
    </w:rPr>
  </w:style>
  <w:style w:type="character" w:customStyle="1" w:styleId="46">
    <w:name w:val="标题 6 Char"/>
    <w:link w:val="8"/>
    <w:qFormat/>
    <w:uiPriority w:val="0"/>
    <w:rPr>
      <w:rFonts w:ascii="Calibri Light" w:hAnsi="Calibri Light"/>
      <w:b/>
      <w:bCs/>
      <w:kern w:val="2"/>
      <w:sz w:val="24"/>
      <w:szCs w:val="24"/>
    </w:rPr>
  </w:style>
  <w:style w:type="character" w:customStyle="1" w:styleId="47">
    <w:name w:val="标题 7 Char"/>
    <w:link w:val="9"/>
    <w:qFormat/>
    <w:uiPriority w:val="9"/>
    <w:rPr>
      <w:b/>
      <w:bCs/>
      <w:kern w:val="2"/>
      <w:sz w:val="24"/>
      <w:szCs w:val="24"/>
    </w:rPr>
  </w:style>
  <w:style w:type="character" w:customStyle="1" w:styleId="48">
    <w:name w:val="标题 8 Char"/>
    <w:link w:val="10"/>
    <w:qFormat/>
    <w:uiPriority w:val="9"/>
    <w:rPr>
      <w:rFonts w:ascii="Calibri Light" w:hAnsi="Calibri Light"/>
      <w:kern w:val="2"/>
      <w:sz w:val="24"/>
      <w:szCs w:val="24"/>
    </w:rPr>
  </w:style>
  <w:style w:type="character" w:customStyle="1" w:styleId="49">
    <w:name w:val="标题 9 Char"/>
    <w:link w:val="11"/>
    <w:qFormat/>
    <w:uiPriority w:val="9"/>
    <w:rPr>
      <w:rFonts w:ascii="Calibri Light" w:hAnsi="Calibri Light"/>
      <w:kern w:val="2"/>
      <w:sz w:val="21"/>
      <w:szCs w:val="21"/>
    </w:rPr>
  </w:style>
  <w:style w:type="character" w:customStyle="1" w:styleId="50">
    <w:name w:val="批注文字 Char"/>
    <w:link w:val="16"/>
    <w:qFormat/>
    <w:locked/>
    <w:uiPriority w:val="99"/>
    <w:rPr>
      <w:rFonts w:cs="Times New Roman"/>
    </w:rPr>
  </w:style>
  <w:style w:type="character" w:customStyle="1" w:styleId="51">
    <w:name w:val="正文文本 Char"/>
    <w:link w:val="2"/>
    <w:semiHidden/>
    <w:qFormat/>
    <w:locked/>
    <w:uiPriority w:val="99"/>
    <w:rPr>
      <w:rFonts w:ascii="Impact" w:hAnsi="Impact" w:cs="Times New Roman"/>
      <w:sz w:val="24"/>
    </w:rPr>
  </w:style>
  <w:style w:type="character" w:customStyle="1" w:styleId="52">
    <w:name w:val="批注框文本 Char"/>
    <w:link w:val="21"/>
    <w:semiHidden/>
    <w:qFormat/>
    <w:locked/>
    <w:uiPriority w:val="99"/>
    <w:rPr>
      <w:rFonts w:cs="Times New Roman"/>
      <w:sz w:val="18"/>
      <w:szCs w:val="18"/>
    </w:rPr>
  </w:style>
  <w:style w:type="character" w:customStyle="1" w:styleId="53">
    <w:name w:val="页脚 Char"/>
    <w:link w:val="22"/>
    <w:qFormat/>
    <w:locked/>
    <w:uiPriority w:val="99"/>
    <w:rPr>
      <w:rFonts w:cs="Times New Roman"/>
      <w:sz w:val="18"/>
      <w:szCs w:val="18"/>
    </w:rPr>
  </w:style>
  <w:style w:type="character" w:customStyle="1" w:styleId="54">
    <w:name w:val="页眉 Char"/>
    <w:link w:val="23"/>
    <w:qFormat/>
    <w:locked/>
    <w:uiPriority w:val="99"/>
    <w:rPr>
      <w:rFonts w:cs="Times New Roman"/>
      <w:sz w:val="18"/>
      <w:szCs w:val="18"/>
    </w:rPr>
  </w:style>
  <w:style w:type="character" w:customStyle="1" w:styleId="55">
    <w:name w:val="引用字符"/>
    <w:link w:val="29"/>
    <w:qFormat/>
    <w:locked/>
    <w:uiPriority w:val="99"/>
    <w:rPr>
      <w:rFonts w:cs="Times New Roman"/>
      <w:i/>
      <w:iCs/>
      <w:color w:val="000000"/>
    </w:rPr>
  </w:style>
  <w:style w:type="character" w:customStyle="1" w:styleId="56">
    <w:name w:val="批注主题 Char"/>
    <w:link w:val="32"/>
    <w:semiHidden/>
    <w:qFormat/>
    <w:locked/>
    <w:uiPriority w:val="99"/>
    <w:rPr>
      <w:rFonts w:cs="Times New Roman"/>
      <w:b/>
      <w:bCs/>
    </w:rPr>
  </w:style>
  <w:style w:type="paragraph" w:customStyle="1" w:styleId="57">
    <w:name w:val="列出段落1"/>
    <w:basedOn w:val="1"/>
    <w:link w:val="58"/>
    <w:qFormat/>
    <w:uiPriority w:val="34"/>
    <w:pPr>
      <w:ind w:firstLine="420" w:firstLineChars="200"/>
    </w:pPr>
    <w:rPr>
      <w:szCs w:val="22"/>
    </w:rPr>
  </w:style>
  <w:style w:type="character" w:customStyle="1" w:styleId="58">
    <w:name w:val="列出段落字符"/>
    <w:link w:val="57"/>
    <w:qFormat/>
    <w:locked/>
    <w:uiPriority w:val="34"/>
  </w:style>
  <w:style w:type="paragraph" w:customStyle="1" w:styleId="59">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60">
    <w:name w:val="Char Char Char"/>
    <w:basedOn w:val="1"/>
    <w:qFormat/>
    <w:uiPriority w:val="99"/>
    <w:rPr>
      <w:rFonts w:ascii="Tahoma" w:hAnsi="Tahoma"/>
      <w:sz w:val="24"/>
      <w:szCs w:val="20"/>
    </w:rPr>
  </w:style>
  <w:style w:type="character" w:customStyle="1" w:styleId="61">
    <w:name w:val="标准文本 Char"/>
    <w:link w:val="62"/>
    <w:qFormat/>
    <w:locked/>
    <w:uiPriority w:val="0"/>
    <w:rPr>
      <w:rFonts w:ascii="Calibri" w:hAnsi="Calibri"/>
      <w:sz w:val="24"/>
    </w:rPr>
  </w:style>
  <w:style w:type="paragraph" w:customStyle="1" w:styleId="62">
    <w:name w:val="标准文本"/>
    <w:basedOn w:val="1"/>
    <w:link w:val="61"/>
    <w:qFormat/>
    <w:uiPriority w:val="0"/>
    <w:pPr>
      <w:spacing w:line="360" w:lineRule="auto"/>
      <w:ind w:firstLine="480" w:firstLineChars="200"/>
    </w:pPr>
    <w:rPr>
      <w:kern w:val="0"/>
      <w:sz w:val="24"/>
      <w:szCs w:val="20"/>
    </w:rPr>
  </w:style>
  <w:style w:type="paragraph" w:customStyle="1" w:styleId="63">
    <w:name w:val="列出段落2"/>
    <w:basedOn w:val="1"/>
    <w:qFormat/>
    <w:uiPriority w:val="99"/>
    <w:pPr>
      <w:widowControl/>
      <w:ind w:left="720"/>
      <w:contextualSpacing/>
      <w:jc w:val="left"/>
    </w:pPr>
    <w:rPr>
      <w:kern w:val="0"/>
      <w:sz w:val="24"/>
      <w:szCs w:val="24"/>
      <w:lang w:eastAsia="en-US"/>
    </w:rPr>
  </w:style>
  <w:style w:type="paragraph" w:customStyle="1" w:styleId="6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列出段落3"/>
    <w:basedOn w:val="1"/>
    <w:qFormat/>
    <w:uiPriority w:val="99"/>
    <w:pPr>
      <w:ind w:firstLine="420" w:firstLineChars="200"/>
    </w:pPr>
    <w:rPr>
      <w:szCs w:val="22"/>
    </w:rPr>
  </w:style>
  <w:style w:type="paragraph" w:customStyle="1" w:styleId="6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7">
    <w:name w:val="List Paragraph1"/>
    <w:basedOn w:val="1"/>
    <w:qFormat/>
    <w:uiPriority w:val="99"/>
    <w:pPr>
      <w:ind w:firstLine="420" w:firstLineChars="200"/>
    </w:pPr>
    <w:rPr>
      <w:szCs w:val="24"/>
    </w:rPr>
  </w:style>
  <w:style w:type="paragraph" w:customStyle="1" w:styleId="68">
    <w:name w:val="_Style 1"/>
    <w:basedOn w:val="1"/>
    <w:qFormat/>
    <w:uiPriority w:val="99"/>
    <w:pPr>
      <w:ind w:firstLine="420" w:firstLineChars="200"/>
      <w:jc w:val="left"/>
    </w:pPr>
    <w:rPr>
      <w:szCs w:val="22"/>
    </w:rPr>
  </w:style>
  <w:style w:type="paragraph" w:customStyle="1" w:styleId="69">
    <w:name w:val="列出段落11"/>
    <w:basedOn w:val="1"/>
    <w:qFormat/>
    <w:uiPriority w:val="0"/>
    <w:pPr>
      <w:suppressAutoHyphens/>
      <w:ind w:firstLine="420"/>
    </w:pPr>
    <w:rPr>
      <w:kern w:val="1"/>
      <w:szCs w:val="22"/>
      <w:lang w:val="zh-CN" w:eastAsia="ar-SA"/>
    </w:rPr>
  </w:style>
  <w:style w:type="character" w:customStyle="1" w:styleId="70">
    <w:name w:val="列出段落 Char"/>
    <w:qFormat/>
    <w:uiPriority w:val="34"/>
  </w:style>
  <w:style w:type="paragraph" w:customStyle="1" w:styleId="71">
    <w:name w:val="表格内容"/>
    <w:basedOn w:val="1"/>
    <w:link w:val="72"/>
    <w:qFormat/>
    <w:uiPriority w:val="0"/>
    <w:pPr>
      <w:jc w:val="center"/>
    </w:pPr>
    <w:rPr>
      <w:szCs w:val="22"/>
      <w:lang w:val="zh-CN"/>
    </w:rPr>
  </w:style>
  <w:style w:type="character" w:customStyle="1" w:styleId="72">
    <w:name w:val="表格内容 Char"/>
    <w:link w:val="71"/>
    <w:qFormat/>
    <w:uiPriority w:val="0"/>
    <w:rPr>
      <w:kern w:val="2"/>
      <w:sz w:val="21"/>
      <w:szCs w:val="22"/>
      <w:lang w:val="zh-CN"/>
    </w:rPr>
  </w:style>
  <w:style w:type="character" w:customStyle="1" w:styleId="73">
    <w:name w:val="文档结构图字符"/>
    <w:qFormat/>
    <w:uiPriority w:val="0"/>
    <w:rPr>
      <w:rFonts w:ascii="宋体"/>
      <w:kern w:val="2"/>
      <w:sz w:val="18"/>
      <w:szCs w:val="18"/>
    </w:rPr>
  </w:style>
  <w:style w:type="character" w:customStyle="1" w:styleId="74">
    <w:name w:val="正文缩进 Char"/>
    <w:link w:val="13"/>
    <w:qFormat/>
    <w:uiPriority w:val="0"/>
    <w:rPr>
      <w:rFonts w:ascii="Times New Roman" w:hAnsi="Times New Roman"/>
      <w:kern w:val="2"/>
      <w:sz w:val="21"/>
      <w:lang w:val="zh-CN"/>
    </w:rPr>
  </w:style>
  <w:style w:type="character" w:customStyle="1" w:styleId="75">
    <w:name w:val="题注 Char"/>
    <w:link w:val="14"/>
    <w:qFormat/>
    <w:uiPriority w:val="0"/>
    <w:rPr>
      <w:rFonts w:ascii="Arial" w:hAnsi="Arial" w:eastAsia="黑体"/>
      <w:kern w:val="2"/>
      <w:lang w:val="zh-CN"/>
    </w:rPr>
  </w:style>
  <w:style w:type="character" w:customStyle="1" w:styleId="76">
    <w:name w:val="正文文本缩进 Char"/>
    <w:link w:val="17"/>
    <w:semiHidden/>
    <w:qFormat/>
    <w:uiPriority w:val="99"/>
    <w:rPr>
      <w:kern w:val="2"/>
      <w:sz w:val="21"/>
      <w:szCs w:val="22"/>
    </w:rPr>
  </w:style>
  <w:style w:type="character" w:customStyle="1" w:styleId="77">
    <w:name w:val="正文首行缩进 Char"/>
    <w:link w:val="33"/>
    <w:qFormat/>
    <w:uiPriority w:val="0"/>
    <w:rPr>
      <w:rFonts w:ascii="宋体" w:hAnsi="宋体" w:cs="Times New Roman"/>
      <w:kern w:val="2"/>
      <w:sz w:val="21"/>
      <w:szCs w:val="22"/>
      <w:lang w:val="zh-CN"/>
    </w:rPr>
  </w:style>
  <w:style w:type="character" w:customStyle="1" w:styleId="78">
    <w:name w:val="正文首行缩进 2 Char"/>
    <w:link w:val="34"/>
    <w:semiHidden/>
    <w:qFormat/>
    <w:uiPriority w:val="99"/>
    <w:rPr>
      <w:kern w:val="2"/>
      <w:sz w:val="21"/>
      <w:szCs w:val="22"/>
    </w:rPr>
  </w:style>
  <w:style w:type="paragraph" w:customStyle="1" w:styleId="79">
    <w:name w:val="图"/>
    <w:basedOn w:val="1"/>
    <w:link w:val="80"/>
    <w:qFormat/>
    <w:uiPriority w:val="0"/>
    <w:pPr>
      <w:framePr w:wrap="notBeside" w:vAnchor="text" w:hAnchor="text" w:xAlign="center" w:y="1"/>
      <w:adjustRightInd w:val="0"/>
      <w:jc w:val="center"/>
      <w:textAlignment w:val="center"/>
    </w:pPr>
    <w:rPr>
      <w:rFonts w:ascii="Times New Roman" w:hAnsi="Times New Roman"/>
      <w:b/>
      <w:snapToGrid w:val="0"/>
      <w:spacing w:val="20"/>
      <w:kern w:val="0"/>
      <w:sz w:val="18"/>
      <w:szCs w:val="20"/>
    </w:rPr>
  </w:style>
  <w:style w:type="character" w:customStyle="1" w:styleId="80">
    <w:name w:val="图 Char"/>
    <w:link w:val="79"/>
    <w:qFormat/>
    <w:uiPriority w:val="0"/>
    <w:rPr>
      <w:rFonts w:ascii="Times New Roman" w:hAnsi="Times New Roman"/>
      <w:b/>
      <w:snapToGrid w:val="0"/>
      <w:spacing w:val="20"/>
      <w:sz w:val="18"/>
    </w:rPr>
  </w:style>
  <w:style w:type="paragraph" w:customStyle="1" w:styleId="81">
    <w:name w:val="样式2"/>
    <w:basedOn w:val="1"/>
    <w:qFormat/>
    <w:uiPriority w:val="0"/>
    <w:pPr>
      <w:keepLines/>
      <w:numPr>
        <w:ilvl w:val="0"/>
        <w:numId w:val="1"/>
      </w:numPr>
      <w:spacing w:line="360" w:lineRule="auto"/>
      <w:jc w:val="left"/>
      <w:outlineLvl w:val="3"/>
    </w:pPr>
    <w:rPr>
      <w:rFonts w:ascii="仿宋_GB2312" w:hAnsi="Arial"/>
      <w:b/>
      <w:bCs/>
      <w:lang w:val="zh-CN"/>
    </w:rPr>
  </w:style>
  <w:style w:type="paragraph" w:customStyle="1" w:styleId="82">
    <w:name w:val="列出段落4"/>
    <w:basedOn w:val="1"/>
    <w:qFormat/>
    <w:uiPriority w:val="34"/>
    <w:pPr>
      <w:spacing w:line="360" w:lineRule="auto"/>
      <w:ind w:firstLine="420" w:firstLineChars="200"/>
    </w:pPr>
    <w:rPr>
      <w:szCs w:val="22"/>
      <w:lang w:val="zh-CN"/>
    </w:rPr>
  </w:style>
  <w:style w:type="paragraph" w:customStyle="1" w:styleId="83">
    <w:name w:val="Char14"/>
    <w:basedOn w:val="1"/>
    <w:qFormat/>
    <w:uiPriority w:val="0"/>
    <w:pPr>
      <w:tabs>
        <w:tab w:val="left" w:pos="360"/>
      </w:tabs>
      <w:spacing w:line="360" w:lineRule="auto"/>
      <w:ind w:firstLine="200" w:firstLineChars="200"/>
    </w:pPr>
    <w:rPr>
      <w:rFonts w:ascii="Times New Roman" w:hAnsi="Times New Roman"/>
      <w:szCs w:val="24"/>
      <w:lang w:val="zh-CN"/>
    </w:rPr>
  </w:style>
  <w:style w:type="paragraph" w:customStyle="1" w:styleId="84">
    <w:name w:val="图片"/>
    <w:basedOn w:val="1"/>
    <w:next w:val="1"/>
    <w:qFormat/>
    <w:uiPriority w:val="0"/>
    <w:pPr>
      <w:widowControl/>
      <w:adjustRightInd w:val="0"/>
      <w:snapToGrid w:val="0"/>
      <w:spacing w:afterLines="100" w:line="360" w:lineRule="auto"/>
      <w:ind w:firstLine="200" w:firstLineChars="200"/>
      <w:jc w:val="center"/>
      <w:textAlignment w:val="baseline"/>
    </w:pPr>
    <w:rPr>
      <w:rFonts w:ascii="Times New Roman" w:hAnsi="Times New Roman"/>
      <w:snapToGrid w:val="0"/>
      <w:kern w:val="0"/>
      <w:sz w:val="28"/>
      <w:szCs w:val="20"/>
      <w:lang w:val="zh-CN" w:eastAsia="en-US"/>
    </w:rPr>
  </w:style>
  <w:style w:type="paragraph" w:customStyle="1" w:styleId="85">
    <w:name w:val="TOC 标题1"/>
    <w:basedOn w:val="3"/>
    <w:next w:val="1"/>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86">
    <w:name w:val="p0"/>
    <w:basedOn w:val="1"/>
    <w:qFormat/>
    <w:uiPriority w:val="0"/>
    <w:pPr>
      <w:widowControl/>
      <w:spacing w:line="360" w:lineRule="auto"/>
      <w:ind w:firstLine="480" w:firstLineChars="200"/>
    </w:pPr>
    <w:rPr>
      <w:rFonts w:ascii="Times New Roman" w:hAnsi="Times New Roman"/>
      <w:kern w:val="0"/>
      <w:szCs w:val="24"/>
      <w:lang w:val="zh-CN"/>
    </w:rPr>
  </w:style>
  <w:style w:type="character" w:customStyle="1" w:styleId="87">
    <w:name w:val="图 Char Char"/>
    <w:qFormat/>
    <w:locked/>
    <w:uiPriority w:val="0"/>
    <w:rPr>
      <w:rFonts w:ascii="Times New Roman" w:hAnsi="Times New Roman" w:eastAsia="宋体" w:cs="Times New Roman"/>
      <w:b/>
      <w:snapToGrid w:val="0"/>
      <w:spacing w:val="20"/>
      <w:kern w:val="0"/>
      <w:sz w:val="18"/>
      <w:szCs w:val="20"/>
    </w:rPr>
  </w:style>
  <w:style w:type="paragraph" w:customStyle="1" w:styleId="88">
    <w:name w:val="样式36"/>
    <w:basedOn w:val="6"/>
    <w:semiHidden/>
    <w:qFormat/>
    <w:uiPriority w:val="0"/>
    <w:pPr>
      <w:keepNext w:val="0"/>
      <w:keepLines w:val="0"/>
      <w:numPr>
        <w:ilvl w:val="0"/>
        <w:numId w:val="2"/>
      </w:numPr>
      <w:spacing w:before="120" w:after="120" w:line="360" w:lineRule="auto"/>
      <w:jc w:val="left"/>
    </w:pPr>
    <w:rPr>
      <w:rFonts w:ascii="Arial" w:hAnsi="Arial"/>
      <w:sz w:val="21"/>
      <w:szCs w:val="21"/>
      <w:lang w:val="zh-CN"/>
    </w:rPr>
  </w:style>
  <w:style w:type="paragraph" w:customStyle="1" w:styleId="89">
    <w:name w:val="列出段落41"/>
    <w:basedOn w:val="1"/>
    <w:qFormat/>
    <w:uiPriority w:val="0"/>
    <w:pPr>
      <w:spacing w:line="360" w:lineRule="auto"/>
      <w:ind w:firstLine="420" w:firstLineChars="200"/>
    </w:pPr>
    <w:rPr>
      <w:sz w:val="24"/>
      <w:szCs w:val="22"/>
      <w:lang w:val="zh-CN"/>
    </w:rPr>
  </w:style>
  <w:style w:type="character" w:customStyle="1" w:styleId="90">
    <w:name w:val="_正文段落 Char Char"/>
    <w:qFormat/>
    <w:uiPriority w:val="0"/>
    <w:rPr>
      <w:szCs w:val="24"/>
    </w:rPr>
  </w:style>
  <w:style w:type="paragraph" w:customStyle="1" w:styleId="91">
    <w:name w:val="FCH Bid缩进1"/>
    <w:basedOn w:val="1"/>
    <w:qFormat/>
    <w:uiPriority w:val="0"/>
    <w:pPr>
      <w:numPr>
        <w:ilvl w:val="0"/>
        <w:numId w:val="3"/>
      </w:numPr>
      <w:tabs>
        <w:tab w:val="left" w:pos="540"/>
        <w:tab w:val="clear" w:pos="620"/>
      </w:tabs>
      <w:snapToGrid w:val="0"/>
      <w:spacing w:beforeLines="50" w:line="288" w:lineRule="auto"/>
      <w:ind w:left="540" w:hanging="540" w:firstLineChars="200"/>
      <w:jc w:val="left"/>
    </w:pPr>
    <w:rPr>
      <w:rFonts w:ascii="Times New Roman" w:hAnsi="Times New Roman"/>
      <w:szCs w:val="24"/>
      <w:lang w:val="zh-CN"/>
    </w:rPr>
  </w:style>
  <w:style w:type="character" w:customStyle="1" w:styleId="92">
    <w:name w:val="apple-converted-space"/>
    <w:qFormat/>
    <w:uiPriority w:val="0"/>
  </w:style>
  <w:style w:type="character" w:customStyle="1" w:styleId="93">
    <w:name w:val="文档结构图 Char"/>
    <w:link w:val="15"/>
    <w:qFormat/>
    <w:uiPriority w:val="0"/>
    <w:rPr>
      <w:rFonts w:hint="eastAsia" w:ascii="宋体" w:hAnsi="Calibri" w:eastAsia="宋体" w:cs="Times New Roman"/>
      <w:kern w:val="2"/>
      <w:sz w:val="18"/>
      <w:szCs w:val="18"/>
    </w:rPr>
  </w:style>
  <w:style w:type="paragraph" w:customStyle="1" w:styleId="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character" w:customStyle="1" w:styleId="95">
    <w:name w:val="副标题 Char"/>
    <w:link w:val="26"/>
    <w:qFormat/>
    <w:uiPriority w:val="0"/>
    <w:rPr>
      <w:rFonts w:ascii="Cambria" w:hAnsi="Cambria" w:eastAsia="Arial Unicode MS"/>
      <w:b/>
      <w:bCs/>
      <w:kern w:val="28"/>
      <w:sz w:val="32"/>
      <w:szCs w:val="32"/>
      <w:lang w:eastAsia="en-US"/>
    </w:rPr>
  </w:style>
  <w:style w:type="paragraph" w:customStyle="1" w:styleId="96">
    <w:name w:val="正文文本 21"/>
    <w:basedOn w:val="1"/>
    <w:qFormat/>
    <w:uiPriority w:val="0"/>
    <w:pPr>
      <w:spacing w:line="480" w:lineRule="atLeast"/>
    </w:pPr>
    <w:rPr>
      <w:rFonts w:ascii="宋体" w:hAnsi="宋体"/>
      <w:color w:val="000000"/>
      <w:sz w:val="28"/>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4946</Words>
  <Characters>28194</Characters>
  <Lines>234</Lines>
  <Paragraphs>66</Paragraphs>
  <TotalTime>10</TotalTime>
  <ScaleCrop>false</ScaleCrop>
  <LinksUpToDate>false</LinksUpToDate>
  <CharactersWithSpaces>33074</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2022-05-28T01:57:00Z</dcterms:created>
  <dc:creator>502-2钱进</dc:creator>
  <cp:lastModifiedBy>佳龍</cp:lastModifiedBy>
  <cp:lastPrinted>2020-12-10T07:57:00Z</cp:lastPrinted>
  <dcterms:modified xsi:type="dcterms:W3CDTF">2022-05-30T11:59:45Z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56586D5726E64788314194627829259E</vt:lpwstr>
  </property>
</Properties>
</file>