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bookmarkStart w:id="0" w:name="_Toc28359011"/>
      <w:bookmarkStart w:id="1" w:name="_Toc35393797"/>
      <w:r>
        <w:rPr>
          <w:rFonts w:hint="eastAsia"/>
          <w:b w:val="0"/>
          <w:bCs w:val="0"/>
          <w:sz w:val="24"/>
          <w:szCs w:val="24"/>
          <w:lang w:eastAsia="zh-CN"/>
        </w:rPr>
        <w:t>黑河市公安交通警察支队_城区重点区域道路交通设备采购项目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竞争性</w:t>
      </w:r>
      <w:r>
        <w:rPr>
          <w:rFonts w:hint="eastAsia"/>
          <w:b w:val="0"/>
          <w:bCs w:val="0"/>
          <w:sz w:val="24"/>
          <w:szCs w:val="24"/>
          <w:lang w:eastAsia="zh-CN"/>
        </w:rPr>
        <w:t>谈判</w:t>
      </w:r>
      <w:r>
        <w:rPr>
          <w:rFonts w:hint="eastAsia"/>
          <w:b w:val="0"/>
          <w:bCs w:val="0"/>
          <w:sz w:val="24"/>
          <w:szCs w:val="24"/>
        </w:rPr>
        <w:t>公告</w:t>
      </w:r>
      <w:bookmarkEnd w:id="0"/>
      <w:bookmarkEnd w:id="1"/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项目概况 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黑河市公安交通警察支队_</w:t>
      </w:r>
      <w:r>
        <w:rPr>
          <w:rFonts w:hint="eastAsia"/>
          <w:b w:val="0"/>
          <w:bCs w:val="0"/>
          <w:sz w:val="24"/>
          <w:szCs w:val="24"/>
          <w:lang w:eastAsia="zh-CN"/>
        </w:rPr>
        <w:t>城区重点区域道路交通设备采购项目</w:t>
      </w:r>
      <w:r>
        <w:rPr>
          <w:rFonts w:hint="eastAsia"/>
          <w:b w:val="0"/>
          <w:bCs w:val="0"/>
          <w:sz w:val="24"/>
          <w:szCs w:val="24"/>
        </w:rPr>
        <w:t>招标项目的潜在投标人应在黑龙江圣日招标代理有限公司（黑河市北国明珠二期B栋4号门市）获取</w:t>
      </w:r>
      <w:r>
        <w:rPr>
          <w:rFonts w:hint="eastAsia"/>
          <w:b w:val="0"/>
          <w:bCs w:val="0"/>
          <w:sz w:val="24"/>
          <w:szCs w:val="24"/>
          <w:lang w:eastAsia="zh-CN"/>
        </w:rPr>
        <w:t>竞争性谈判</w:t>
      </w:r>
      <w:r>
        <w:rPr>
          <w:rFonts w:hint="eastAsia"/>
          <w:b w:val="0"/>
          <w:bCs w:val="0"/>
          <w:sz w:val="24"/>
          <w:szCs w:val="24"/>
        </w:rPr>
        <w:t>文件，并于 2021年08月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31</w:t>
      </w:r>
      <w:r>
        <w:rPr>
          <w:rFonts w:hint="eastAsia"/>
          <w:b w:val="0"/>
          <w:bCs w:val="0"/>
          <w:sz w:val="24"/>
          <w:szCs w:val="24"/>
        </w:rPr>
        <w:t>日14点30分（北京时间）前递交</w:t>
      </w:r>
      <w:r>
        <w:rPr>
          <w:rFonts w:hint="eastAsia"/>
          <w:b w:val="0"/>
          <w:bCs w:val="0"/>
          <w:sz w:val="24"/>
          <w:szCs w:val="24"/>
          <w:lang w:eastAsia="zh-CN"/>
        </w:rPr>
        <w:t>响应</w:t>
      </w:r>
      <w:r>
        <w:rPr>
          <w:rFonts w:hint="eastAsia"/>
          <w:b w:val="0"/>
          <w:bCs w:val="0"/>
          <w:sz w:val="24"/>
          <w:szCs w:val="24"/>
        </w:rPr>
        <w:t>文件。</w:t>
      </w:r>
    </w:p>
    <w:p>
      <w:pPr>
        <w:pStyle w:val="2"/>
        <w:rPr>
          <w:rFonts w:hint="eastAsia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bookmarkStart w:id="2" w:name="_Toc35393629"/>
      <w:bookmarkStart w:id="3" w:name="_Toc35393798"/>
      <w:bookmarkStart w:id="4" w:name="_Toc28359012"/>
      <w:bookmarkStart w:id="5" w:name="_Toc2835908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一、项目基本情况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项目编号：HLJSR-JC-20220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项目名称：</w:t>
      </w:r>
      <w:r>
        <w:rPr>
          <w:rFonts w:hint="eastAsia"/>
          <w:b w:val="0"/>
          <w:bCs w:val="0"/>
          <w:sz w:val="24"/>
          <w:szCs w:val="24"/>
          <w:lang w:eastAsia="zh-CN"/>
        </w:rPr>
        <w:t>黑河市公安交通警察支队_城区重点区域道路交通设备采购项目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采购方式：竞争性</w:t>
      </w:r>
      <w:r>
        <w:rPr>
          <w:rFonts w:hint="eastAsia"/>
          <w:b w:val="0"/>
          <w:bCs w:val="0"/>
          <w:sz w:val="24"/>
          <w:szCs w:val="24"/>
          <w:lang w:eastAsia="zh-CN"/>
        </w:rPr>
        <w:t>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预算金额：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250000</w:t>
      </w:r>
      <w:r>
        <w:rPr>
          <w:rFonts w:hint="eastAsia"/>
          <w:b w:val="0"/>
          <w:bCs w:val="0"/>
          <w:sz w:val="24"/>
          <w:szCs w:val="24"/>
        </w:rPr>
        <w:t xml:space="preserve">.00元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最高限价：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250000.00元</w:t>
      </w:r>
      <w:r>
        <w:rPr>
          <w:rFonts w:hint="eastAsia"/>
          <w:b w:val="0"/>
          <w:bCs w:val="0"/>
          <w:sz w:val="24"/>
          <w:szCs w:val="24"/>
        </w:rPr>
        <w:t>，高于最高限价的报价视为无效报价。</w:t>
      </w:r>
    </w:p>
    <w:p>
      <w:pPr>
        <w:keepNext w:val="0"/>
        <w:keepLines w:val="0"/>
        <w:pageBreakBefore w:val="0"/>
        <w:widowControl w:val="0"/>
        <w:tabs>
          <w:tab w:val="left" w:pos="67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采购需求：</w:t>
      </w:r>
      <w:r>
        <w:rPr>
          <w:rFonts w:hint="eastAsia"/>
          <w:b w:val="0"/>
          <w:bCs w:val="0"/>
          <w:sz w:val="24"/>
          <w:szCs w:val="24"/>
          <w:lang w:eastAsia="zh-CN"/>
        </w:rPr>
        <w:tab/>
      </w:r>
      <w:r>
        <w:rPr>
          <w:rFonts w:hint="eastAsia"/>
          <w:b w:val="0"/>
          <w:bCs w:val="0"/>
          <w:sz w:val="24"/>
          <w:szCs w:val="24"/>
          <w:lang w:eastAsia="zh-CN"/>
        </w:rPr>
        <w:t>单位：元</w:t>
      </w:r>
    </w:p>
    <w:tbl>
      <w:tblPr>
        <w:tblStyle w:val="12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93"/>
        <w:gridCol w:w="3793"/>
        <w:gridCol w:w="756"/>
        <w:gridCol w:w="817"/>
        <w:gridCol w:w="927"/>
        <w:gridCol w:w="1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79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5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8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04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网络音柱</w:t>
            </w:r>
          </w:p>
        </w:tc>
        <w:tc>
          <w:tcPr>
            <w:tcW w:w="3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设备支持通过3.5mm输入进行广播。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★设备支持接收Web端、管理机、平台下发的定时任务，保证设备断网时能够播放定时任务。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★设备支持通过报警输入联动播放音箱内置的音频文件。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★设备支持对讲功能，可跟广播管理机进行对讲；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设备具有指示灯，展示设备工作状态。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设备支持通过WEB进行系统配置；支持通过WEB进行网络配置；支持通过WEB进行设备系统维护。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★设备支持选配Wi-Fi，4G，5G等模块进行广播。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设备具有丰富的硬件接口，应不少于以下硬件接口及能力：网络音频输入接口*1；3.5mm音频输入接口*1；线路输入接口*1；LAN*1；报警输入*2；报警输出*2；复位按钮*1；USB*1；TF卡（内置）*1；RTC*1；指示灯*1。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设备支持IP65防水等级。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textAlignment w:val="center"/>
              <w:rPr>
                <w:rFonts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适用温度范围：-30℃至60℃。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ind w:left="425" w:leftChars="0" w:hanging="425" w:firstLineChars="0"/>
              <w:jc w:val="left"/>
              <w:textAlignment w:val="center"/>
              <w:rPr>
                <w:rFonts w:hint="eastAsia" w:eastAsia="宋体" w:cs="宋体" w:asciiTheme="minorEastAsia" w:hAnsiTheme="minorEastAsia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现场安装调试及联入专网。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宋体" w:cs="Times New Roman" w:asciiTheme="minorEastAsia" w:hAnsi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网络音频中心管理机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★设备采用10.1英寸IPS触摸显示屏，安卓操作系统，支持扩展第三方app。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设备支持通过WEB导入MP3、wav格式的音频文件。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设备支持向前端音箱音柱或者分区进行实时广播或者喊话。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★设备支持文字转语音广播功能，能够用预装APP的音源进行广播。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★设备支持下发定时任务，保证断网时能够播放定时任务。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设备支持设置实时任务、定时任务、喊话的优先级。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★设备支持对讲功能，支持与网络音箱、网络音柱进行对讲。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★设备支持通过HDMI接口进行投屏。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设备支持通过账号密码登录。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设备支持通过WEB进行参数配置；支持通过WEB进行账号管理；支持通过WEB进行系统维护。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适用温度范围：-10℃至50℃。</w:t>
            </w:r>
          </w:p>
          <w:p>
            <w:pPr>
              <w:numPr>
                <w:ilvl w:val="0"/>
                <w:numId w:val="2"/>
              </w:numPr>
              <w:spacing w:line="276" w:lineRule="auto"/>
              <w:ind w:left="425" w:leftChars="0" w:hanging="425" w:firstLineChars="0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设备支持桌面、墙面等多种安装方式。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网络球型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摄像机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★摄像机靶面尺寸不小于1/1.8英寸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★内置GPU芯片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★摄像机内置镜头，支持不小于32倍光学变倍，镜头最大焦距不小于192mm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红外距离不小于250米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★支持最低照度可达彩色0.0002Lux，黑白0.0001Lux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支持300个预置位，可按照所设置的预置位完成不小于8条巡航路径，每条巡航路径可设置不小于32个预置点。支持预置位视频冻结功能；支持优先控制功能。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★支持快速聚焦功能，当设备跟踪行人或机动车等移动目标并录像时，单帧回放录像文件，每1帧画面均应清晰可见。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★支持采用H.264、MJPEG、H.265视频编码标准；支持smart265功能。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★支持违法停车抓拍功能，且白天和晚上违法停车捕获率、捕获有效率均大于99%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★可识别11种车辆颜色，车辆车身颜色识别准确率大于97%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具备较好的环境适应性，工作温度范围可达-40℃到70℃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★支持违法停车抓拍功能，且白天和晚上违法停车捕获率、捕获有效率均大于99%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满足等级保护中关于网络安全、主机安全、风险管理等相关事件统计要求；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bidi="ar"/>
              </w:rPr>
              <w:t>★提供三年原厂质保服务。</w:t>
            </w:r>
          </w:p>
          <w:p>
            <w:pPr>
              <w:pStyle w:val="18"/>
              <w:numPr>
                <w:ilvl w:val="0"/>
                <w:numId w:val="3"/>
              </w:numPr>
              <w:spacing w:line="276" w:lineRule="auto"/>
              <w:ind w:left="420" w:leftChars="0" w:hanging="420" w:firstLineChars="0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现场安装调试及联入专网。</w:t>
            </w:r>
          </w:p>
          <w:p>
            <w:pPr>
              <w:pStyle w:val="18"/>
              <w:numPr>
                <w:ilvl w:val="0"/>
                <w:numId w:val="0"/>
              </w:numPr>
              <w:spacing w:line="276" w:lineRule="auto"/>
              <w:ind w:left="0" w:leftChars="0" w:firstLine="0" w:firstLineChars="0"/>
              <w:rPr>
                <w:rFonts w:hint="eastAsia" w:eastAsia="宋体" w:cs="Times New Roman" w:asciiTheme="minorEastAsia" w:hAnsiTheme="minorEastAsia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室外全彩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显示屏显尺寸：宽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3.072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米高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1.92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 xml:space="preserve"> 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eastAsia="zh-CN"/>
              </w:rPr>
              <w:t>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户外1.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highlight w:val="none"/>
              </w:rPr>
              <w:t>壁厚冷轧钢的防雨箱体施工模式。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像素间距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6mm</w:t>
            </w: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,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像素密度：≥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27777</w:t>
            </w:r>
            <w:r>
              <w:rPr>
                <w:rFonts w:hint="eastAsia" w:ascii="宋体" w:hAnsi="宋体" w:cs="Arial"/>
                <w:sz w:val="21"/>
                <w:szCs w:val="21"/>
              </w:rPr>
              <w:t>Dots/㎡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模组尺寸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192*192mm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模块采用高强度塑胶套件，产品轻巧安装精度高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模组平整度：≤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0.2mm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模组电源接口采用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4P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接插头，免工具维护，同时有防呆设计，预防接错电源线短路而导致的烧毁模组行为；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采用集成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HUB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接收卡控制，支持通讯状态监测，高灰度，高刷新。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支持接收卡画面预置，支持配置文件回读。单卡支持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256*256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像素点，带载尺寸更大。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单元重量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0.46Kg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，便于磁吸安装，前维护操作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可采用方通背条和箱体结构等多种安装方式，不受安装环境限制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采用抗消隐设计，无“毛毛虫”“鬼影”跟随现象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支持单点校正，一键调节亮、暗线功能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软件功能，实时监控，自动报警功能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白平衡亮度</w:t>
            </w:r>
            <w:r>
              <w:rPr>
                <w:rFonts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≥600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cd/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㎡（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6500K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，校正后）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色温可调范围：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3000k~15000k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，并可自定义色温值。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对比度≥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5000:1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  <w:highlight w:val="cya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视角：水平视角≥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°，垂直视角≥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★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刷新频率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3840HZ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  <w:highlight w:val="cya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换帧频率：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50&amp;60HZ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灰度：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亮度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16bit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灰度，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20%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亮度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12bit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灰度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  <w:highlight w:val="red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20.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模组亮度均匀性≥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97%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峰值功耗≤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900W/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2313F3"/>
                <w:kern w:val="0"/>
                <w:sz w:val="21"/>
                <w:szCs w:val="21"/>
                <w:highlight w:val="cyan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★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寿命典型值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≥100000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小时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★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稳定性，支持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7*24H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连续工作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  <w:highlight w:val="red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产品满足盐雾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级要求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  <w:highlight w:val="cya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工作温度范围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-30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-40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  <w:highlight w:val="cya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存储温度范围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-40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-60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在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80%RH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恒定湿热环境下，工作正常。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  <w:highlight w:val="cya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28.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冷热冲击试验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-40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℃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-60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  <w:highlight w:val="red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29.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蓝光安全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30.IP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等级符合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IP68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31.PCB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阻燃等级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V-0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抗紫外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UV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辐射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sz w:val="21"/>
                <w:szCs w:val="21"/>
                <w:highlight w:val="cya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工作噪音，符合国家标准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防振动，模拟九级地震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35.额定输入电压范围：176～264V AC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36.</w:t>
            </w:r>
            <w:r>
              <w:rPr>
                <w:rFonts w:hint="eastAsia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室外超低温电源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>：5V额定电流40A</w:t>
            </w: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37.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屏幕框架下沿距离地面6.5米高。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38.主杆直径≥402MM，壁厚≥8MM。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39.横杆框架直径≥200MM*150MM,壁厚≥6MM。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40.主杆侧面带爬梯，屏体框架后置工作维修台。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41.含基础建设。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red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42.现场安装调试及联入专网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53900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接收卡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集成HUB75，无需再配转接板，更方便，成本更低；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减少接插连接件，减少故障点，故障率更低；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支持常规芯片实现高刷新、高灰度、高亮度；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全新灰度引擎，低灰度表现更佳；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细节处理更完美，可消除单元板设计引起的某行偏暗、低灰偏红、鬼影等细节问题；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支持14bit精度逐点校正；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支持所有常规芯片、PWM芯片和灯饰芯片；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8.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支持静态屏、1/2~1/32扫之间的任意扫描类型；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支持任意抽点，支持数据偏移，可轻松实现各种异型屏、球形屏、创意显示屏；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单卡支持32组RGB信号输出；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支持超大带载面积；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先进设计，优质元器件，全自动高低温老化测试，零故障出厂；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支持DC 3.3V~6V超宽工作电压，有效减弱电压波动带来的影响；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  <w:highlight w:val="red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14.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为保证接收卡在使用过程的安全性，接收卡具有电击和能量危险的防护特性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asciiTheme="minorEastAsia" w:hAnsiTheme="minorEastAsia" w:eastAsiaTheme="minorEastAsia"/>
                <w:sz w:val="21"/>
                <w:szCs w:val="21"/>
                <w:highlight w:val="red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为保证播放的流畅性，发送端到接收端只需一帧延迟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Theme="minorEastAsia" w:hAnsiTheme="minorEastAsia" w:eastAsiaTheme="minorEastAsia"/>
                <w:sz w:val="21"/>
                <w:szCs w:val="21"/>
                <w:highlight w:val="red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16.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接收卡支持亮色度校正，支持14bit精度的色度、亮度一体化逐点校正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hint="eastAsia" w:asciiTheme="minorEastAsia" w:hAnsiTheme="minorEastAsia" w:eastAsiaTheme="minorEastAsia"/>
                <w:sz w:val="21"/>
                <w:szCs w:val="21"/>
                <w:highlight w:val="red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接收卡可设定温度策略，当侦测到温度高于设定策略值时，可控制风扇启动，低于设定策略，可控制风扇关闭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highlight w:val="red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现场安装调试及联入专网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联网播放器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t>支持最大</w:t>
            </w:r>
            <w:r>
              <w:rPr>
                <w:rFonts w:hint="eastAsia"/>
              </w:rPr>
              <w:t>65</w:t>
            </w:r>
            <w:r>
              <w:t xml:space="preserve">万像素带载能力，最宽 </w:t>
            </w:r>
            <w:r>
              <w:rPr>
                <w:rFonts w:hint="eastAsia"/>
              </w:rPr>
              <w:t>4096</w:t>
            </w:r>
            <w:r>
              <w:t>像素，最高</w:t>
            </w:r>
            <w:r>
              <w:rPr>
                <w:rFonts w:hint="eastAsia"/>
              </w:rPr>
              <w:t>3840</w:t>
            </w:r>
            <w:r>
              <w:t xml:space="preserve"> 像素</w:t>
            </w:r>
            <w:r>
              <w:rPr>
                <w:rFonts w:hint="eastAsia"/>
                <w:lang w:eastAsia="zh-CN"/>
              </w:rPr>
              <w:t>，</w:t>
            </w:r>
            <w:r>
              <w:t>支持云分级管理和多角色节目发布</w:t>
            </w:r>
            <w:r>
              <w:rPr>
                <w:rFonts w:hint="eastAsia"/>
                <w:lang w:eastAsia="zh-CN"/>
              </w:rPr>
              <w:t>，</w:t>
            </w:r>
            <w:r>
              <w:t>支持云监测报警并自动联动</w:t>
            </w:r>
            <w:r>
              <w:rPr>
                <w:rFonts w:hint="eastAsia"/>
                <w:lang w:eastAsia="zh-CN"/>
              </w:rPr>
              <w:t>，</w:t>
            </w:r>
            <w:r>
              <w:t>处理性能强大，支持 H.265 4K 高清视频硬解码播放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bidi w:val="0"/>
              <w:rPr>
                <w:highlight w:val="red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t>多种播放方式</w:t>
            </w:r>
            <w:r>
              <w:rPr>
                <w:rFonts w:hint="eastAsia"/>
                <w:lang w:eastAsia="zh-CN"/>
              </w:rPr>
              <w:t>：</w:t>
            </w:r>
            <w:r>
              <w:t>支持U盘即插即播</w:t>
            </w:r>
            <w:r>
              <w:rPr>
                <w:rFonts w:hint="eastAsia"/>
                <w:lang w:eastAsia="zh-CN"/>
              </w:rPr>
              <w:t>，</w:t>
            </w:r>
            <w:r>
              <w:t>支持多屏同步播放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支持节目排程和指令排程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</w:rPr>
              <w:t xml:space="preserve">     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>3.</w:t>
            </w:r>
            <w:r>
              <w:t>支持4G网络</w:t>
            </w:r>
            <w:r>
              <w:rPr>
                <w:rFonts w:hint="eastAsia"/>
                <w:lang w:eastAsia="zh-CN"/>
              </w:rPr>
              <w:t>，</w:t>
            </w:r>
            <w:r>
              <w:t>GPS定位</w:t>
            </w:r>
          </w:p>
          <w:p>
            <w:pPr>
              <w:bidi w:val="0"/>
              <w:rPr>
                <w:color w:val="auto"/>
                <w:highlight w:val="red"/>
              </w:rPr>
            </w:pPr>
            <w:r>
              <w:rPr>
                <w:rFonts w:hint="eastAsia"/>
                <w:color w:val="auto"/>
                <w:lang w:val="en-US" w:eastAsia="zh-CN"/>
              </w:rPr>
              <w:t>★4.</w:t>
            </w:r>
            <w:r>
              <w:rPr>
                <w:rFonts w:hint="eastAsia"/>
                <w:color w:val="auto"/>
              </w:rPr>
              <w:t>联网主控兼容多平台发布节目，如windows、moc os、ios、Android等</w:t>
            </w:r>
          </w:p>
          <w:p>
            <w:pPr>
              <w:bidi w:val="0"/>
              <w:rPr>
                <w:color w:val="auto"/>
                <w:highlight w:val="red"/>
              </w:rPr>
            </w:pPr>
            <w:r>
              <w:rPr>
                <w:rFonts w:hint="eastAsia"/>
                <w:color w:val="auto"/>
                <w:lang w:val="en-US" w:eastAsia="zh-CN"/>
              </w:rPr>
              <w:t>★5.</w:t>
            </w:r>
            <w:r>
              <w:rPr>
                <w:rFonts w:hint="eastAsia"/>
                <w:color w:val="auto"/>
              </w:rPr>
              <w:t>联网主控可通过GPS\WIFI\局域网\4G等多种方式，可使多台设备画面完全同步</w:t>
            </w:r>
          </w:p>
          <w:p>
            <w:pPr>
              <w:bidi w:val="0"/>
              <w:rPr>
                <w:rFonts w:hint="eastAsia"/>
                <w:color w:val="auto"/>
                <w:highlight w:val="red"/>
              </w:rPr>
            </w:pPr>
            <w:r>
              <w:rPr>
                <w:rFonts w:hint="eastAsia"/>
                <w:color w:val="auto"/>
                <w:lang w:val="en-US" w:eastAsia="zh-CN"/>
              </w:rPr>
              <w:t>★6.</w:t>
            </w:r>
            <w:r>
              <w:rPr>
                <w:rFonts w:hint="eastAsia"/>
                <w:color w:val="auto"/>
              </w:rPr>
              <w:t>为保证播放内容的安全性，同时保证云服务器的安全可靠性，云发布服务器使用AES加密服务、防网络DDOS工具、WFS防火墙、HTTPS加密通道</w:t>
            </w:r>
          </w:p>
          <w:p>
            <w:pPr>
              <w:bidi w:val="0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7.</w:t>
            </w:r>
            <w:r>
              <w:rPr>
                <w:rFonts w:hint="eastAsia"/>
                <w:lang w:eastAsia="zh-CN"/>
              </w:rPr>
              <w:t>现场安装调试及联入专网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cs="Times New Roman" w:asciiTheme="minorEastAsia" w:hAnsiTheme="minorEastAsia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合同履行期限：</w:t>
      </w:r>
      <w:r>
        <w:rPr>
          <w:rFonts w:hint="eastAsia"/>
          <w:b w:val="0"/>
          <w:bCs w:val="0"/>
          <w:sz w:val="24"/>
          <w:szCs w:val="24"/>
          <w:lang w:eastAsia="zh-CN"/>
        </w:rPr>
        <w:t>由合同约定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本项目</w:t>
      </w:r>
      <w:r>
        <w:rPr>
          <w:rFonts w:hint="eastAsia"/>
          <w:b w:val="0"/>
          <w:bCs w:val="0"/>
          <w:sz w:val="24"/>
          <w:szCs w:val="24"/>
          <w:lang w:eastAsia="zh-CN"/>
        </w:rPr>
        <w:t>不</w:t>
      </w:r>
      <w:r>
        <w:rPr>
          <w:rFonts w:hint="eastAsia"/>
          <w:b w:val="0"/>
          <w:bCs w:val="0"/>
          <w:sz w:val="24"/>
          <w:szCs w:val="24"/>
        </w:rPr>
        <w:t>接受联合体。</w:t>
      </w:r>
      <w:bookmarkStart w:id="6" w:name="_Toc35393630"/>
      <w:bookmarkStart w:id="7" w:name="_Toc28359090"/>
      <w:bookmarkStart w:id="8" w:name="_Toc28359013"/>
      <w:bookmarkStart w:id="9" w:name="_Toc3539379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二、</w:t>
      </w:r>
      <w:r>
        <w:rPr>
          <w:rFonts w:hint="eastAsia"/>
          <w:b w:val="0"/>
          <w:bCs w:val="0"/>
          <w:sz w:val="24"/>
          <w:szCs w:val="24"/>
        </w:rPr>
        <w:t>申请人的资格要求：</w:t>
      </w:r>
      <w:bookmarkEnd w:id="6"/>
      <w:bookmarkEnd w:id="7"/>
      <w:bookmarkEnd w:id="8"/>
      <w:bookmarkEnd w:id="9"/>
      <w:bookmarkStart w:id="10" w:name="_Toc28359014"/>
      <w:bookmarkStart w:id="11" w:name="_Toc35393631"/>
      <w:bookmarkStart w:id="12" w:name="_Toc35393800"/>
      <w:bookmarkStart w:id="13" w:name="_Toc28359091"/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参加本项目竞争性</w:t>
      </w:r>
      <w:r>
        <w:rPr>
          <w:rFonts w:hint="eastAsia"/>
          <w:b w:val="0"/>
          <w:bCs w:val="0"/>
          <w:sz w:val="24"/>
          <w:szCs w:val="24"/>
          <w:lang w:eastAsia="zh-CN"/>
        </w:rPr>
        <w:t>谈判</w:t>
      </w:r>
      <w:r>
        <w:rPr>
          <w:rFonts w:hint="eastAsia"/>
          <w:b w:val="0"/>
          <w:bCs w:val="0"/>
          <w:sz w:val="24"/>
          <w:szCs w:val="24"/>
        </w:rPr>
        <w:t xml:space="preserve">的潜在供应商应具备《政府采购法》第二十二条规定的资格条件。 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落实政府采购政策需满足的资格要求：如属于专门面向中小企业采购的项目,供应商应为中小微企业、监狱企业、残疾人福利性单位。 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参加本项目</w:t>
      </w:r>
      <w:r>
        <w:rPr>
          <w:rFonts w:hint="eastAsia"/>
          <w:b w:val="0"/>
          <w:bCs w:val="0"/>
          <w:sz w:val="24"/>
          <w:szCs w:val="24"/>
          <w:lang w:eastAsia="zh-CN"/>
        </w:rPr>
        <w:t>谈判</w:t>
      </w:r>
      <w:r>
        <w:rPr>
          <w:rFonts w:hint="eastAsia"/>
          <w:b w:val="0"/>
          <w:bCs w:val="0"/>
          <w:sz w:val="24"/>
          <w:szCs w:val="24"/>
        </w:rPr>
        <w:t xml:space="preserve">的潜在供应商须在黑龙江省政府采购网注册登记并审核合格。（不符合本条要求的供应商需提前办理注册登记并审核合格） </w:t>
      </w:r>
    </w:p>
    <w:p>
      <w:pPr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0" w:firstLine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具有本项目的经营资质和服务能力：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4.1企业营业执照（正本或副本）（三证合一的提供营业执照，如非三证合一的请额外提供税务登记证原件和组织机构代码证原件）；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4.2基本账户开户许可证或“基本存款账户信息”证明；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4.3提供在黑龙江省政府采购网注册登记并审核合格打印页；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4.4供应商法定代表人参加</w:t>
      </w:r>
      <w:r>
        <w:rPr>
          <w:rFonts w:hint="eastAsia"/>
          <w:b w:val="0"/>
          <w:bCs w:val="0"/>
          <w:sz w:val="24"/>
          <w:szCs w:val="24"/>
          <w:lang w:eastAsia="zh-CN"/>
        </w:rPr>
        <w:t>谈判</w:t>
      </w:r>
      <w:r>
        <w:rPr>
          <w:rFonts w:hint="eastAsia"/>
          <w:b w:val="0"/>
          <w:bCs w:val="0"/>
          <w:sz w:val="24"/>
          <w:szCs w:val="24"/>
        </w:rPr>
        <w:t>会议的需持本人身份证原件，不是法定代表人的须持有《法定代表人授权委托书》（统一格式）及身份证原件；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4.5企业法人和法定代表人无行贿犯罪声明函(提供在中国裁判文书网上查询并出具有效的法人、法定代表人无行贿犯罪记录查询结果,（网页打印页或截图并加盖单位公章），http://wenshu.court.gov.cn/，如有行贿犯罪行为的将否决其投标）；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4.6供应商自行通过“信用中国”网站（www.creditchina.gov.cn）对供应商及其法定代表人进行信用查询（提供网页打印页或截图并加盖单位公章），若有被列入失信被执行人、</w:t>
      </w:r>
      <w:r>
        <w:rPr>
          <w:rFonts w:hint="eastAsia"/>
          <w:b w:val="0"/>
          <w:bCs w:val="0"/>
          <w:sz w:val="24"/>
          <w:szCs w:val="24"/>
          <w:lang w:eastAsia="zh-CN"/>
        </w:rPr>
        <w:t>重大税收</w:t>
      </w:r>
      <w:r>
        <w:rPr>
          <w:rFonts w:hint="eastAsia"/>
          <w:b w:val="0"/>
          <w:bCs w:val="0"/>
          <w:sz w:val="24"/>
          <w:szCs w:val="24"/>
        </w:rPr>
        <w:t xml:space="preserve">违法案件当事人名单记录的，投标将被拒绝。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4.7供应商自行通过“中国政府采购网”（网址：http://www.ccgp.gov.cn）核查供应商政府采购严重违法失信名单；（提供网页打印或截图并盖单位公章），列入被禁止参加政府采购活动，严重违法失信名单采购将被拒绝。 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4.8本项目不接受联合体投标。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三、获取采购文件</w:t>
      </w:r>
      <w:bookmarkEnd w:id="10"/>
      <w:bookmarkEnd w:id="11"/>
      <w:bookmarkEnd w:id="12"/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</w:rPr>
        <w:t>时间：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2022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年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06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月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22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日至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2022</w:t>
      </w:r>
      <w:r>
        <w:rPr>
          <w:rFonts w:hint="eastAsia"/>
          <w:b w:val="0"/>
          <w:bCs w:val="0"/>
          <w:sz w:val="24"/>
          <w:szCs w:val="24"/>
          <w:u w:val="single"/>
        </w:rPr>
        <w:t>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06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24</w:t>
      </w:r>
      <w:r>
        <w:rPr>
          <w:rFonts w:hint="eastAsia"/>
          <w:b w:val="0"/>
          <w:bCs w:val="0"/>
          <w:sz w:val="24"/>
          <w:szCs w:val="24"/>
          <w:u w:val="single"/>
        </w:rPr>
        <w:t>日，每天上午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09:00</w:t>
      </w:r>
      <w:r>
        <w:rPr>
          <w:rFonts w:hint="eastAsia"/>
          <w:b w:val="0"/>
          <w:bCs w:val="0"/>
          <w:sz w:val="24"/>
          <w:szCs w:val="24"/>
          <w:u w:val="single"/>
        </w:rPr>
        <w:t>至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11:30</w:t>
      </w:r>
      <w:r>
        <w:rPr>
          <w:rFonts w:hint="eastAsia"/>
          <w:b w:val="0"/>
          <w:bCs w:val="0"/>
          <w:sz w:val="24"/>
          <w:szCs w:val="24"/>
          <w:u w:val="single"/>
        </w:rPr>
        <w:t>，下午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14:00</w:t>
      </w:r>
      <w:r>
        <w:rPr>
          <w:rFonts w:hint="eastAsia"/>
          <w:b w:val="0"/>
          <w:bCs w:val="0"/>
          <w:sz w:val="24"/>
          <w:szCs w:val="24"/>
          <w:u w:val="single"/>
        </w:rPr>
        <w:t>至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17:00</w:t>
      </w:r>
      <w:r>
        <w:rPr>
          <w:rFonts w:hint="eastAsia"/>
          <w:b w:val="0"/>
          <w:bCs w:val="0"/>
          <w:sz w:val="24"/>
          <w:szCs w:val="24"/>
          <w:u w:val="single"/>
        </w:rPr>
        <w:t>（北京时间，法定节假日除外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</w:rPr>
        <w:t>地点：</w:t>
      </w:r>
      <w:r>
        <w:rPr>
          <w:rFonts w:hint="eastAsia"/>
          <w:b w:val="0"/>
          <w:bCs w:val="0"/>
          <w:sz w:val="24"/>
          <w:szCs w:val="24"/>
          <w:u w:val="single"/>
        </w:rPr>
        <w:t>黑龙江圣日招标代理有限公司（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黑河市北国明珠二期B栋4号门市</w:t>
      </w:r>
      <w:r>
        <w:rPr>
          <w:rFonts w:hint="eastAsia"/>
          <w:b w:val="0"/>
          <w:bCs w:val="0"/>
          <w:sz w:val="24"/>
          <w:szCs w:val="24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eastAsia="宋体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方式：</w:t>
      </w:r>
      <w:r>
        <w:rPr>
          <w:rFonts w:hint="eastAsia"/>
          <w:b w:val="0"/>
          <w:bCs w:val="0"/>
          <w:sz w:val="24"/>
          <w:szCs w:val="24"/>
          <w:lang w:eastAsia="zh-CN"/>
        </w:rPr>
        <w:t>现场获取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请前往</w:t>
      </w:r>
      <w:r>
        <w:rPr>
          <w:rFonts w:hint="eastAsia"/>
          <w:b w:val="0"/>
          <w:bCs w:val="0"/>
          <w:sz w:val="24"/>
          <w:szCs w:val="24"/>
          <w:u w:val="single"/>
        </w:rPr>
        <w:t>黑龙江圣日招标代理有限公司（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黑河市北国明珠二期B栋4号门市</w:t>
      </w:r>
      <w:r>
        <w:rPr>
          <w:rFonts w:hint="eastAsia"/>
          <w:b w:val="0"/>
          <w:bCs w:val="0"/>
          <w:sz w:val="24"/>
          <w:szCs w:val="24"/>
          <w:u w:val="single"/>
        </w:rPr>
        <w:t>）</w:t>
      </w:r>
      <w:r>
        <w:rPr>
          <w:rFonts w:hint="eastAsia"/>
          <w:b w:val="0"/>
          <w:bCs w:val="0"/>
          <w:sz w:val="24"/>
          <w:szCs w:val="24"/>
        </w:rPr>
        <w:t>获取</w:t>
      </w:r>
      <w:r>
        <w:rPr>
          <w:rFonts w:hint="eastAsia"/>
          <w:b w:val="0"/>
          <w:bCs w:val="0"/>
          <w:sz w:val="24"/>
          <w:szCs w:val="24"/>
          <w:lang w:eastAsia="zh-CN"/>
        </w:rPr>
        <w:t>竞争性谈判</w:t>
      </w:r>
      <w:r>
        <w:rPr>
          <w:rFonts w:hint="eastAsia"/>
          <w:b w:val="0"/>
          <w:bCs w:val="0"/>
          <w:sz w:val="24"/>
          <w:szCs w:val="24"/>
        </w:rPr>
        <w:t>文件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售价：人民币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0</w:t>
      </w:r>
      <w:r>
        <w:rPr>
          <w:rFonts w:hint="eastAsia"/>
          <w:b w:val="0"/>
          <w:bCs w:val="0"/>
          <w:sz w:val="24"/>
          <w:szCs w:val="24"/>
        </w:rPr>
        <w:t>元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只有通过上述方式获取</w:t>
      </w:r>
      <w:r>
        <w:rPr>
          <w:rFonts w:hint="eastAsia"/>
          <w:b w:val="0"/>
          <w:bCs w:val="0"/>
          <w:sz w:val="24"/>
          <w:szCs w:val="24"/>
          <w:lang w:eastAsia="zh-CN"/>
        </w:rPr>
        <w:t>竞争性谈判</w:t>
      </w:r>
      <w:r>
        <w:rPr>
          <w:rFonts w:hint="eastAsia"/>
          <w:b w:val="0"/>
          <w:bCs w:val="0"/>
          <w:sz w:val="24"/>
          <w:szCs w:val="24"/>
        </w:rPr>
        <w:t>文件的供应商方有资格参加本项目的</w:t>
      </w:r>
      <w:r>
        <w:rPr>
          <w:rFonts w:hint="eastAsia"/>
          <w:b w:val="0"/>
          <w:bCs w:val="0"/>
          <w:sz w:val="24"/>
          <w:szCs w:val="24"/>
          <w:lang w:eastAsia="zh-CN"/>
        </w:rPr>
        <w:t>竞争性谈判</w:t>
      </w:r>
      <w:r>
        <w:rPr>
          <w:rFonts w:hint="eastAsia"/>
          <w:b w:val="0"/>
          <w:bCs w:val="0"/>
          <w:sz w:val="24"/>
          <w:szCs w:val="24"/>
        </w:rPr>
        <w:t>活动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bookmarkStart w:id="14" w:name="_Toc28359015"/>
      <w:bookmarkStart w:id="15" w:name="_Toc35393632"/>
      <w:bookmarkStart w:id="16" w:name="_Toc35393801"/>
      <w:bookmarkStart w:id="17" w:name="_Toc28359092"/>
      <w:r>
        <w:rPr>
          <w:rFonts w:hint="eastAsia"/>
          <w:b w:val="0"/>
          <w:bCs w:val="0"/>
          <w:sz w:val="24"/>
          <w:szCs w:val="24"/>
        </w:rPr>
        <w:t>四、响应文件提交</w:t>
      </w:r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截止时间：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2022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06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 w:val="0"/>
          <w:bCs w:val="0"/>
          <w:sz w:val="24"/>
          <w:szCs w:val="24"/>
          <w:u w:val="single"/>
        </w:rPr>
        <w:t>日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14</w:t>
      </w:r>
      <w:r>
        <w:rPr>
          <w:rFonts w:hint="eastAsia"/>
          <w:b w:val="0"/>
          <w:bCs w:val="0"/>
          <w:sz w:val="24"/>
          <w:szCs w:val="24"/>
          <w:u w:val="single"/>
        </w:rPr>
        <w:t>点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b w:val="0"/>
          <w:bCs w:val="0"/>
          <w:sz w:val="24"/>
          <w:szCs w:val="24"/>
          <w:u w:val="single"/>
        </w:rPr>
        <w:t>分（北京时间</w:t>
      </w:r>
      <w:r>
        <w:rPr>
          <w:rFonts w:hint="eastAsia"/>
          <w:b w:val="0"/>
          <w:bCs w:val="0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</w:rPr>
        <w:t>地点：</w:t>
      </w:r>
      <w:r>
        <w:rPr>
          <w:rFonts w:hint="eastAsia"/>
          <w:b w:val="0"/>
          <w:bCs w:val="0"/>
          <w:sz w:val="24"/>
          <w:szCs w:val="24"/>
          <w:u w:val="single"/>
        </w:rPr>
        <w:t>黑龙江圣日招标代理有限公司（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黑河市北国明珠二期B栋4号门市</w:t>
      </w:r>
      <w:r>
        <w:rPr>
          <w:rFonts w:hint="eastAsia"/>
          <w:b w:val="0"/>
          <w:bCs w:val="0"/>
          <w:sz w:val="24"/>
          <w:szCs w:val="24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bookmarkStart w:id="18" w:name="_Toc28359093"/>
      <w:bookmarkStart w:id="19" w:name="_Toc28359016"/>
      <w:bookmarkStart w:id="20" w:name="_Toc35393802"/>
      <w:bookmarkStart w:id="21" w:name="_Toc35393633"/>
      <w:r>
        <w:rPr>
          <w:rFonts w:hint="eastAsia"/>
          <w:b w:val="0"/>
          <w:bCs w:val="0"/>
          <w:sz w:val="24"/>
          <w:szCs w:val="24"/>
        </w:rPr>
        <w:t>五、开启</w:t>
      </w:r>
      <w:bookmarkEnd w:id="18"/>
      <w:bookmarkEnd w:id="19"/>
      <w:bookmarkEnd w:id="20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时间：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2022</w:t>
      </w:r>
      <w:r>
        <w:rPr>
          <w:rFonts w:hint="eastAsia"/>
          <w:b w:val="0"/>
          <w:bCs w:val="0"/>
          <w:sz w:val="24"/>
          <w:szCs w:val="24"/>
          <w:u w:val="single"/>
        </w:rPr>
        <w:t xml:space="preserve"> 年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06</w:t>
      </w:r>
      <w:r>
        <w:rPr>
          <w:rFonts w:hint="eastAsia"/>
          <w:b w:val="0"/>
          <w:bCs w:val="0"/>
          <w:sz w:val="24"/>
          <w:szCs w:val="24"/>
          <w:u w:val="single"/>
        </w:rPr>
        <w:t>月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28</w:t>
      </w:r>
      <w:r>
        <w:rPr>
          <w:rFonts w:hint="eastAsia"/>
          <w:b w:val="0"/>
          <w:bCs w:val="0"/>
          <w:sz w:val="24"/>
          <w:szCs w:val="24"/>
          <w:u w:val="single"/>
        </w:rPr>
        <w:t>日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14</w:t>
      </w:r>
      <w:r>
        <w:rPr>
          <w:rFonts w:hint="eastAsia"/>
          <w:b w:val="0"/>
          <w:bCs w:val="0"/>
          <w:sz w:val="24"/>
          <w:szCs w:val="24"/>
          <w:u w:val="single"/>
        </w:rPr>
        <w:t>点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30</w:t>
      </w:r>
      <w:r>
        <w:rPr>
          <w:rFonts w:hint="eastAsia"/>
          <w:b w:val="0"/>
          <w:bCs w:val="0"/>
          <w:sz w:val="24"/>
          <w:szCs w:val="24"/>
          <w:u w:val="single"/>
        </w:rPr>
        <w:t>分（北京时间）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</w:rPr>
        <w:t>地点：</w:t>
      </w:r>
      <w:r>
        <w:rPr>
          <w:rFonts w:hint="eastAsia"/>
          <w:b w:val="0"/>
          <w:bCs w:val="0"/>
          <w:sz w:val="24"/>
          <w:szCs w:val="24"/>
          <w:u w:val="single"/>
        </w:rPr>
        <w:t>黑龙江圣日招标代理有限公司（</w:t>
      </w:r>
      <w:r>
        <w:rPr>
          <w:rFonts w:hint="eastAsia"/>
          <w:b w:val="0"/>
          <w:bCs w:val="0"/>
          <w:sz w:val="24"/>
          <w:szCs w:val="24"/>
          <w:u w:val="single"/>
          <w:lang w:eastAsia="zh-CN"/>
        </w:rPr>
        <w:t>黑河市北国明珠二期B栋4号门市</w:t>
      </w:r>
      <w:r>
        <w:rPr>
          <w:rFonts w:hint="eastAsia"/>
          <w:b w:val="0"/>
          <w:bCs w:val="0"/>
          <w:sz w:val="24"/>
          <w:szCs w:val="24"/>
          <w:u w:val="singl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bookmarkStart w:id="22" w:name="_Toc35393634"/>
      <w:bookmarkStart w:id="23" w:name="_Toc28359017"/>
      <w:bookmarkStart w:id="24" w:name="_Toc28359094"/>
      <w:bookmarkStart w:id="25" w:name="_Toc35393803"/>
      <w:r>
        <w:rPr>
          <w:rFonts w:hint="eastAsia"/>
          <w:b w:val="0"/>
          <w:bCs w:val="0"/>
          <w:sz w:val="24"/>
          <w:szCs w:val="24"/>
        </w:rPr>
        <w:t>六、公告期限</w:t>
      </w:r>
      <w:bookmarkEnd w:id="22"/>
      <w:bookmarkEnd w:id="23"/>
      <w:bookmarkEnd w:id="24"/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自本公告发布之日起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24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bookmarkStart w:id="26" w:name="_Toc35393804"/>
      <w:bookmarkStart w:id="27" w:name="_Toc35393635"/>
      <w:r>
        <w:rPr>
          <w:rFonts w:hint="eastAsia"/>
          <w:b w:val="0"/>
          <w:bCs w:val="0"/>
          <w:sz w:val="24"/>
          <w:szCs w:val="24"/>
        </w:rPr>
        <w:t>七、其他补充事宜</w:t>
      </w:r>
      <w:bookmarkEnd w:id="26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文件质疑：供应商认为竞争性谈判公告、竞争性谈判文件使自己的权益受到损害的，可以在知道或者应知其权益受到损害之日起七个工作日内，以书面形式一次性向采购人、采购代理机构提出质疑。质疑文件应按照黑河市政府采购网--办事指南《政府采购供应商质疑函范本》编制，并提交正本一份，副本二份。</w:t>
      </w:r>
      <w:bookmarkStart w:id="28" w:name="_Toc35393636"/>
      <w:bookmarkStart w:id="29" w:name="_Toc28359095"/>
      <w:bookmarkStart w:id="30" w:name="_Toc28359018"/>
      <w:bookmarkStart w:id="31" w:name="_Toc3539380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u w:val="single"/>
        </w:rPr>
      </w:pPr>
      <w:r>
        <w:rPr>
          <w:rFonts w:hint="eastAsia"/>
          <w:b w:val="0"/>
          <w:bCs w:val="0"/>
          <w:sz w:val="24"/>
          <w:szCs w:val="24"/>
          <w:u w:val="singl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八</w:t>
      </w:r>
      <w:r>
        <w:rPr>
          <w:rFonts w:hint="eastAsia"/>
          <w:b w:val="0"/>
          <w:bCs w:val="0"/>
          <w:sz w:val="24"/>
          <w:szCs w:val="24"/>
        </w:rPr>
        <w:t>、凡对本次采购提出询问，请按以下方式联系。</w:t>
      </w:r>
      <w:bookmarkEnd w:id="28"/>
      <w:bookmarkEnd w:id="29"/>
      <w:bookmarkEnd w:id="30"/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bookmarkStart w:id="32" w:name="_Toc35393637"/>
      <w:bookmarkStart w:id="33" w:name="_Toc35393806"/>
      <w:bookmarkStart w:id="34" w:name="_Toc28359096"/>
      <w:bookmarkStart w:id="35" w:name="_Toc28359019"/>
      <w:r>
        <w:rPr>
          <w:rFonts w:hint="eastAsia"/>
          <w:b w:val="0"/>
          <w:bCs w:val="0"/>
          <w:sz w:val="24"/>
          <w:szCs w:val="24"/>
        </w:rPr>
        <w:t>1.采购人信息</w:t>
      </w:r>
      <w:bookmarkEnd w:id="32"/>
      <w:bookmarkEnd w:id="33"/>
      <w:bookmarkEnd w:id="34"/>
      <w:bookmarkEnd w:id="3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名    称：　黑河市公安交通警察支队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地    址：　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魁星路与铁路街交叉口</w:t>
      </w:r>
      <w:r>
        <w:rPr>
          <w:rFonts w:hint="eastAsia"/>
          <w:b w:val="0"/>
          <w:bCs w:val="0"/>
          <w:sz w:val="24"/>
          <w:szCs w:val="24"/>
        </w:rPr>
        <w:t>　</w:t>
      </w:r>
    </w:p>
    <w:p>
      <w:pPr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联系方式：　</w:t>
      </w:r>
      <w:r>
        <w:rPr>
          <w:rFonts w:hint="eastAsia"/>
          <w:b w:val="0"/>
          <w:bCs w:val="0"/>
          <w:sz w:val="24"/>
          <w:szCs w:val="24"/>
          <w:lang w:eastAsia="zh-CN"/>
        </w:rPr>
        <w:t>龙先生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19104563659</w:t>
      </w:r>
      <w:r>
        <w:rPr>
          <w:rFonts w:hint="eastAsia"/>
          <w:b w:val="0"/>
          <w:b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bookmarkStart w:id="36" w:name="_Toc28359097"/>
      <w:bookmarkStart w:id="37" w:name="_Toc35393807"/>
      <w:bookmarkStart w:id="38" w:name="_Toc28359020"/>
      <w:bookmarkStart w:id="39" w:name="_Toc35393638"/>
      <w:r>
        <w:rPr>
          <w:rFonts w:hint="eastAsia"/>
          <w:b w:val="0"/>
          <w:bCs w:val="0"/>
          <w:sz w:val="24"/>
          <w:szCs w:val="24"/>
        </w:rPr>
        <w:t>2.采购代理机构信息</w:t>
      </w:r>
      <w:bookmarkEnd w:id="36"/>
      <w:bookmarkEnd w:id="37"/>
      <w:bookmarkEnd w:id="38"/>
      <w:bookmarkEnd w:id="3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名    称：　黑龙江圣日招标代理有限公司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地　　址：　</w:t>
      </w:r>
      <w:r>
        <w:rPr>
          <w:rFonts w:hint="eastAsia"/>
          <w:b w:val="0"/>
          <w:bCs w:val="0"/>
          <w:sz w:val="24"/>
          <w:szCs w:val="24"/>
          <w:lang w:eastAsia="zh-CN"/>
        </w:rPr>
        <w:t>黑河市北国明珠二期B栋4号门市</w:t>
      </w:r>
      <w:r>
        <w:rPr>
          <w:rFonts w:hint="eastAsia"/>
          <w:b w:val="0"/>
          <w:bCs w:val="0"/>
          <w:sz w:val="24"/>
          <w:szCs w:val="24"/>
        </w:rPr>
        <w:t> 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联系方式：　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18645650591</w:t>
      </w:r>
      <w:r>
        <w:rPr>
          <w:rFonts w:hint="eastAsia"/>
          <w:b w:val="0"/>
          <w:bCs w:val="0"/>
          <w:sz w:val="24"/>
          <w:szCs w:val="2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bookmarkStart w:id="40" w:name="_Toc35393808"/>
      <w:bookmarkStart w:id="41" w:name="_Toc28359098"/>
      <w:bookmarkStart w:id="42" w:name="_Toc35393639"/>
      <w:bookmarkStart w:id="43" w:name="_Toc28359021"/>
      <w:r>
        <w:rPr>
          <w:rFonts w:hint="eastAsia"/>
          <w:b w:val="0"/>
          <w:bCs w:val="0"/>
          <w:sz w:val="24"/>
          <w:szCs w:val="24"/>
        </w:rPr>
        <w:t>3.项目联系方式</w:t>
      </w:r>
      <w:bookmarkEnd w:id="40"/>
      <w:bookmarkEnd w:id="41"/>
      <w:bookmarkEnd w:id="42"/>
      <w:bookmarkEnd w:id="4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</w:rPr>
        <w:t>项目联系人：</w:t>
      </w:r>
      <w:r>
        <w:rPr>
          <w:rFonts w:hint="eastAsia"/>
          <w:b w:val="0"/>
          <w:bCs w:val="0"/>
          <w:sz w:val="24"/>
          <w:szCs w:val="24"/>
          <w:lang w:eastAsia="zh-CN"/>
        </w:rPr>
        <w:t>陈女士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电　　 话：　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18645650591</w:t>
      </w:r>
      <w:r>
        <w:rPr>
          <w:rFonts w:hint="eastAsia"/>
          <w:b w:val="0"/>
          <w:bCs w:val="0"/>
          <w:sz w:val="24"/>
          <w:szCs w:val="24"/>
        </w:rPr>
        <w:t>　　　</w:t>
      </w:r>
    </w:p>
    <w:p>
      <w:pPr>
        <w:pStyle w:val="2"/>
        <w:jc w:val="righ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黑河市公安交通警察支队</w:t>
      </w:r>
    </w:p>
    <w:p>
      <w:pPr>
        <w:pStyle w:val="2"/>
        <w:jc w:val="right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黑龙江圣日招标代理有限公司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2022年06月21</w:t>
      </w:r>
      <w:bookmarkStart w:id="44" w:name="_GoBack"/>
      <w:bookmarkEnd w:id="44"/>
      <w:r>
        <w:rPr>
          <w:rFonts w:hint="eastAsia"/>
          <w:b w:val="0"/>
          <w:bCs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865CB"/>
    <w:multiLevelType w:val="singleLevel"/>
    <w:tmpl w:val="27B865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CFF0991"/>
    <w:multiLevelType w:val="multilevel"/>
    <w:tmpl w:val="4CFF0991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E91757"/>
    <w:multiLevelType w:val="singleLevel"/>
    <w:tmpl w:val="51E9175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02F7F06"/>
    <w:multiLevelType w:val="singleLevel"/>
    <w:tmpl w:val="602F7F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NTVlOTJmZDU1MzdjZDljOTg1ZTNmZmUyN2Q4MGUifQ=="/>
  </w:docVars>
  <w:rsids>
    <w:rsidRoot w:val="7FFB63B1"/>
    <w:rsid w:val="08DA2C01"/>
    <w:rsid w:val="0A031B10"/>
    <w:rsid w:val="0C0F44B0"/>
    <w:rsid w:val="0DF351EF"/>
    <w:rsid w:val="0F853B1A"/>
    <w:rsid w:val="18174308"/>
    <w:rsid w:val="1A50402E"/>
    <w:rsid w:val="1E1F09BE"/>
    <w:rsid w:val="30E752D3"/>
    <w:rsid w:val="365513B4"/>
    <w:rsid w:val="36FF52DE"/>
    <w:rsid w:val="3A2A4D8B"/>
    <w:rsid w:val="3A7A7A5E"/>
    <w:rsid w:val="4F576707"/>
    <w:rsid w:val="50142AC1"/>
    <w:rsid w:val="529B5955"/>
    <w:rsid w:val="5F7E36BA"/>
    <w:rsid w:val="767465C3"/>
    <w:rsid w:val="7F094856"/>
    <w:rsid w:val="7FFB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annotation text"/>
    <w:basedOn w:val="1"/>
    <w:unhideWhenUsed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99"/>
    <w:pPr>
      <w:adjustRightInd w:val="0"/>
      <w:spacing w:line="360" w:lineRule="atLeast"/>
      <w:jc w:val="center"/>
    </w:pPr>
    <w:rPr>
      <w:rFonts w:ascii="Times New Roman" w:hAnsi="Times New Roman"/>
      <w:kern w:val="0"/>
      <w:sz w:val="24"/>
    </w:rPr>
  </w:style>
  <w:style w:type="paragraph" w:styleId="7">
    <w:name w:val="Body Text Indent"/>
    <w:basedOn w:val="1"/>
    <w:unhideWhenUsed/>
    <w:qFormat/>
    <w:uiPriority w:val="99"/>
    <w:pPr>
      <w:ind w:firstLine="600" w:firstLineChars="200"/>
    </w:pPr>
    <w:rPr>
      <w:rFonts w:eastAsia="楷体_GB2312"/>
      <w:sz w:val="30"/>
      <w:szCs w:val="24"/>
    </w:rPr>
  </w:style>
  <w:style w:type="paragraph" w:styleId="8">
    <w:name w:val="Date"/>
    <w:basedOn w:val="1"/>
    <w:next w:val="1"/>
    <w:unhideWhenUsed/>
    <w:qFormat/>
    <w:uiPriority w:val="99"/>
    <w:pPr>
      <w:ind w:left="100" w:leftChars="2500"/>
    </w:pPr>
    <w:rPr>
      <w:rFonts w:ascii="Times New Roman" w:hAnsi="Times New Roman" w:cs="Times New Roman"/>
      <w:szCs w:val="24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font21"/>
    <w:basedOn w:val="14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01"/>
    <w:basedOn w:val="14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4136</Words>
  <Characters>4867</Characters>
  <Lines>0</Lines>
  <Paragraphs>0</Paragraphs>
  <TotalTime>3</TotalTime>
  <ScaleCrop>false</ScaleCrop>
  <LinksUpToDate>false</LinksUpToDate>
  <CharactersWithSpaces>5050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2020-07-24T00:41:00Z</dcterms:created>
  <dc:creator> 左 手 边 。</dc:creator>
  <cp:lastModifiedBy> 左 手 边 。</cp:lastModifiedBy>
  <dcterms:modified xsi:type="dcterms:W3CDTF">2022-06-21T07:32:12Z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21BC876D203C4CE88574ABA41C0FB5F1</vt:lpwstr>
  </property>
</Properties>
</file>