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right="75" w:rightChars="34"/>
        <w:jc w:val="center"/>
        <w:rPr>
          <w:sz w:val="44"/>
          <w:szCs w:val="44"/>
        </w:rPr>
      </w:pPr>
      <w:r>
        <w:rPr>
          <w:rFonts w:hint="eastAsia"/>
          <w:sz w:val="44"/>
          <w:szCs w:val="44"/>
        </w:rPr>
        <w:t>2022年呼伦贝尔市档案馆馆藏部分永久档案数字化项目（三次）</w:t>
      </w:r>
    </w:p>
    <w:p>
      <w:pPr>
        <w:spacing w:line="698" w:lineRule="auto"/>
        <w:ind w:left="12" w:right="76" w:hanging="12"/>
        <w:jc w:val="center"/>
        <w:rPr>
          <w:sz w:val="52"/>
          <w:szCs w:val="52"/>
        </w:rPr>
      </w:pPr>
    </w:p>
    <w:p>
      <w:pPr>
        <w:spacing w:line="698" w:lineRule="auto"/>
        <w:ind w:right="76" w:firstLine="2080" w:firstLineChars="400"/>
        <w:jc w:val="both"/>
        <w:rPr>
          <w:sz w:val="52"/>
          <w:szCs w:val="52"/>
        </w:rPr>
      </w:pPr>
      <w:r>
        <w:rPr>
          <w:sz w:val="52"/>
          <w:szCs w:val="52"/>
        </w:rPr>
        <w:t>竞争性谈判文件</w:t>
      </w:r>
    </w:p>
    <w:p>
      <w:pPr>
        <w:pStyle w:val="2"/>
        <w:rPr>
          <w:sz w:val="52"/>
          <w:szCs w:val="52"/>
        </w:rPr>
      </w:pPr>
    </w:p>
    <w:p>
      <w:pPr>
        <w:pStyle w:val="9"/>
        <w:widowControl/>
        <w:adjustRightInd w:val="0"/>
        <w:snapToGrid w:val="0"/>
        <w:spacing w:before="11"/>
        <w:ind w:left="0"/>
        <w:rPr>
          <w:bCs/>
          <w:sz w:val="36"/>
        </w:rPr>
      </w:pPr>
    </w:p>
    <w:p>
      <w:pPr>
        <w:rPr>
          <w:sz w:val="28"/>
          <w:szCs w:val="28"/>
        </w:rPr>
      </w:pPr>
      <w:r>
        <w:rPr>
          <w:rFonts w:hint="eastAsia"/>
          <w:b/>
          <w:bCs/>
          <w:sz w:val="28"/>
          <w:szCs w:val="28"/>
        </w:rPr>
        <w:t>项目名称：</w:t>
      </w:r>
      <w:r>
        <w:rPr>
          <w:rFonts w:hint="eastAsia"/>
          <w:sz w:val="28"/>
          <w:szCs w:val="28"/>
        </w:rPr>
        <w:t>2022年呼伦贝尔市档案馆馆藏部分永久档案数字化项目（三次）</w:t>
      </w:r>
    </w:p>
    <w:p>
      <w:pPr>
        <w:widowControl/>
        <w:adjustRightInd w:val="0"/>
        <w:snapToGrid w:val="0"/>
        <w:spacing w:before="85"/>
        <w:jc w:val="both"/>
        <w:rPr>
          <w:spacing w:val="-17"/>
          <w:sz w:val="28"/>
          <w:szCs w:val="28"/>
        </w:rPr>
      </w:pPr>
    </w:p>
    <w:p>
      <w:pPr>
        <w:widowControl/>
        <w:adjustRightInd w:val="0"/>
        <w:snapToGrid w:val="0"/>
        <w:spacing w:before="85"/>
        <w:jc w:val="both"/>
        <w:rPr>
          <w:bCs/>
          <w:sz w:val="36"/>
        </w:rPr>
      </w:pPr>
      <w:r>
        <w:rPr>
          <w:rFonts w:hint="eastAsia"/>
          <w:b/>
          <w:bCs/>
          <w:spacing w:val="-17"/>
          <w:sz w:val="28"/>
          <w:szCs w:val="28"/>
        </w:rPr>
        <w:t>项目编号：</w:t>
      </w:r>
      <w:r>
        <w:rPr>
          <w:rFonts w:hint="eastAsia"/>
          <w:b/>
          <w:bCs/>
          <w:spacing w:val="67"/>
          <w:sz w:val="28"/>
          <w:szCs w:val="28"/>
        </w:rPr>
        <w:t xml:space="preserve"> </w:t>
      </w:r>
      <w:r>
        <w:rPr>
          <w:rFonts w:hint="eastAsia" w:cs="宋体"/>
          <w:spacing w:val="-17"/>
          <w:sz w:val="28"/>
          <w:szCs w:val="28"/>
          <w:lang w:val="en-US" w:eastAsia="zh-CN"/>
        </w:rPr>
        <w:t>2022-BY-ZC-TP-001</w:t>
      </w:r>
      <w:r>
        <w:rPr>
          <w:rFonts w:hint="eastAsia"/>
          <w:spacing w:val="-17"/>
          <w:sz w:val="28"/>
          <w:szCs w:val="28"/>
          <w:lang w:val="en-US"/>
        </w:rPr>
        <w:t xml:space="preserve"> </w:t>
      </w:r>
    </w:p>
    <w:p>
      <w:pPr>
        <w:pStyle w:val="9"/>
        <w:widowControl/>
        <w:adjustRightInd w:val="0"/>
        <w:snapToGrid w:val="0"/>
        <w:spacing w:before="11"/>
        <w:ind w:left="0"/>
        <w:rPr>
          <w:bCs/>
          <w:sz w:val="36"/>
        </w:rPr>
      </w:pPr>
    </w:p>
    <w:p>
      <w:pPr>
        <w:pStyle w:val="9"/>
        <w:widowControl/>
        <w:adjustRightInd w:val="0"/>
        <w:snapToGrid w:val="0"/>
        <w:spacing w:before="11"/>
        <w:ind w:left="0"/>
        <w:rPr>
          <w:bCs/>
          <w:sz w:val="36"/>
        </w:rPr>
      </w:pPr>
    </w:p>
    <w:p>
      <w:pPr>
        <w:pStyle w:val="9"/>
        <w:widowControl/>
        <w:adjustRightInd w:val="0"/>
        <w:snapToGrid w:val="0"/>
        <w:spacing w:before="11"/>
        <w:ind w:left="0"/>
        <w:rPr>
          <w:bCs/>
          <w:sz w:val="36"/>
        </w:rPr>
      </w:pPr>
    </w:p>
    <w:p>
      <w:pPr>
        <w:pStyle w:val="9"/>
        <w:widowControl/>
        <w:adjustRightInd w:val="0"/>
        <w:snapToGrid w:val="0"/>
        <w:spacing w:before="11"/>
        <w:ind w:left="0"/>
        <w:rPr>
          <w:bCs/>
          <w:sz w:val="36"/>
        </w:rPr>
      </w:pPr>
    </w:p>
    <w:p>
      <w:pPr>
        <w:pStyle w:val="9"/>
        <w:widowControl/>
        <w:adjustRightInd w:val="0"/>
        <w:snapToGrid w:val="0"/>
        <w:spacing w:before="11"/>
        <w:ind w:left="0"/>
        <w:rPr>
          <w:bCs/>
          <w:sz w:val="28"/>
          <w:szCs w:val="28"/>
        </w:rPr>
      </w:pPr>
      <w:r>
        <w:rPr>
          <w:rFonts w:hint="eastAsia"/>
          <w:bCs/>
          <w:sz w:val="28"/>
          <w:szCs w:val="28"/>
        </w:rPr>
        <w:t>采</w:t>
      </w:r>
      <w:r>
        <w:rPr>
          <w:rFonts w:hint="eastAsia"/>
          <w:bCs/>
          <w:sz w:val="28"/>
          <w:szCs w:val="28"/>
          <w:lang w:val="en-US"/>
        </w:rPr>
        <w:t xml:space="preserve">   </w:t>
      </w:r>
      <w:r>
        <w:rPr>
          <w:rFonts w:hint="eastAsia"/>
          <w:bCs/>
          <w:sz w:val="28"/>
          <w:szCs w:val="28"/>
        </w:rPr>
        <w:t>购</w:t>
      </w:r>
      <w:r>
        <w:rPr>
          <w:rFonts w:hint="eastAsia"/>
          <w:bCs/>
          <w:sz w:val="28"/>
          <w:szCs w:val="28"/>
          <w:lang w:val="en-US"/>
        </w:rPr>
        <w:t xml:space="preserve">  </w:t>
      </w:r>
      <w:r>
        <w:rPr>
          <w:rFonts w:hint="eastAsia"/>
          <w:bCs/>
          <w:sz w:val="28"/>
          <w:szCs w:val="28"/>
        </w:rPr>
        <w:t>人：呼伦贝尔市档案馆</w:t>
      </w:r>
    </w:p>
    <w:p>
      <w:pPr>
        <w:widowControl/>
        <w:tabs>
          <w:tab w:val="left" w:pos="7560"/>
        </w:tabs>
        <w:adjustRightInd w:val="0"/>
        <w:snapToGrid w:val="0"/>
        <w:spacing w:line="429" w:lineRule="auto"/>
        <w:ind w:right="58"/>
        <w:rPr>
          <w:bCs/>
          <w:w w:val="95"/>
          <w:sz w:val="28"/>
          <w:szCs w:val="28"/>
        </w:rPr>
      </w:pPr>
      <w:r>
        <w:rPr>
          <w:rFonts w:hint="eastAsia"/>
          <w:bCs/>
          <w:w w:val="95"/>
          <w:sz w:val="28"/>
          <w:szCs w:val="28"/>
        </w:rPr>
        <w:t>招标代理机构：内蒙古百亚工程项目管理有限公司</w:t>
      </w:r>
    </w:p>
    <w:p>
      <w:pPr>
        <w:widowControl/>
        <w:adjustRightInd w:val="0"/>
        <w:snapToGrid w:val="0"/>
        <w:spacing w:line="429" w:lineRule="auto"/>
        <w:ind w:left="2431" w:leftChars="395" w:right="1992" w:hanging="1562" w:hangingChars="558"/>
        <w:jc w:val="center"/>
        <w:rPr>
          <w:bCs/>
          <w:sz w:val="28"/>
          <w:szCs w:val="28"/>
        </w:rPr>
      </w:pPr>
      <w:r>
        <w:rPr>
          <w:rFonts w:hint="eastAsia"/>
          <w:bCs/>
          <w:sz w:val="28"/>
          <w:szCs w:val="28"/>
        </w:rPr>
        <w:t>日期：202</w:t>
      </w:r>
      <w:r>
        <w:rPr>
          <w:rFonts w:hint="eastAsia"/>
          <w:bCs/>
          <w:sz w:val="28"/>
          <w:szCs w:val="28"/>
          <w:lang w:val="en-US"/>
        </w:rPr>
        <w:t>2</w:t>
      </w:r>
      <w:r>
        <w:rPr>
          <w:rFonts w:hint="eastAsia"/>
          <w:bCs/>
          <w:sz w:val="28"/>
          <w:szCs w:val="28"/>
        </w:rPr>
        <w:t>年</w:t>
      </w:r>
      <w:r>
        <w:rPr>
          <w:rFonts w:hint="eastAsia"/>
          <w:bCs/>
          <w:sz w:val="28"/>
          <w:szCs w:val="28"/>
          <w:lang w:val="en-US"/>
        </w:rPr>
        <w:t>0</w:t>
      </w:r>
      <w:r>
        <w:rPr>
          <w:bCs/>
          <w:sz w:val="28"/>
          <w:szCs w:val="28"/>
          <w:lang w:val="en-US"/>
        </w:rPr>
        <w:t>6</w:t>
      </w:r>
      <w:r>
        <w:rPr>
          <w:rFonts w:hint="eastAsia"/>
          <w:bCs/>
          <w:sz w:val="28"/>
          <w:szCs w:val="28"/>
        </w:rPr>
        <w:t>月</w:t>
      </w:r>
      <w:r>
        <w:rPr>
          <w:rFonts w:hint="eastAsia"/>
          <w:bCs/>
          <w:sz w:val="28"/>
          <w:szCs w:val="28"/>
          <w:lang w:val="en-US" w:eastAsia="zh-CN"/>
        </w:rPr>
        <w:t>24</w:t>
      </w:r>
      <w:r>
        <w:rPr>
          <w:rFonts w:hint="eastAsia"/>
          <w:bCs/>
          <w:sz w:val="28"/>
          <w:szCs w:val="28"/>
        </w:rPr>
        <w:t>日</w:t>
      </w:r>
    </w:p>
    <w:p>
      <w:r>
        <w:br w:type="page"/>
      </w:r>
    </w:p>
    <w:p>
      <w:pPr>
        <w:jc w:val="center"/>
      </w:pPr>
    </w:p>
    <w:p>
      <w:pPr>
        <w:jc w:val="center"/>
      </w:pPr>
    </w:p>
    <w:p>
      <w:pPr>
        <w:jc w:val="center"/>
        <w:rPr>
          <w:sz w:val="44"/>
          <w:szCs w:val="44"/>
          <w:lang w:val="en-US"/>
        </w:rPr>
      </w:pPr>
      <w:r>
        <w:rPr>
          <w:rFonts w:hint="eastAsia"/>
          <w:sz w:val="44"/>
          <w:szCs w:val="44"/>
        </w:rPr>
        <w:t>目</w:t>
      </w:r>
      <w:r>
        <w:rPr>
          <w:rFonts w:hint="eastAsia"/>
          <w:sz w:val="44"/>
          <w:szCs w:val="44"/>
          <w:lang w:val="en-US"/>
        </w:rPr>
        <w:t xml:space="preserve">  </w:t>
      </w:r>
      <w:r>
        <w:rPr>
          <w:rFonts w:hint="eastAsia"/>
          <w:sz w:val="44"/>
          <w:szCs w:val="44"/>
        </w:rPr>
        <w:t>录</w:t>
      </w:r>
      <w:r>
        <w:rPr>
          <w:rFonts w:hint="eastAsia"/>
          <w:sz w:val="44"/>
          <w:szCs w:val="44"/>
          <w:lang w:val="en-US"/>
        </w:rPr>
        <w:t xml:space="preserve"> </w:t>
      </w:r>
    </w:p>
    <w:sdt>
      <w:sdtPr>
        <w:rPr>
          <w:sz w:val="21"/>
        </w:rPr>
        <w:id w:val="147477793"/>
        <w15:color w:val="DBDBDB"/>
        <w:docPartObj>
          <w:docPartGallery w:val="Table of Contents"/>
          <w:docPartUnique/>
        </w:docPartObj>
      </w:sdtPr>
      <w:sdtEndPr>
        <w:rPr>
          <w:sz w:val="21"/>
        </w:rPr>
      </w:sdtEndPr>
      <w:sdtContent>
        <w:p>
          <w:pPr>
            <w:jc w:val="center"/>
          </w:pPr>
        </w:p>
        <w:p>
          <w:pPr>
            <w:pStyle w:val="14"/>
            <w:tabs>
              <w:tab w:val="right" w:leader="dot" w:pos="8300"/>
            </w:tabs>
            <w:spacing w:line="360" w:lineRule="auto"/>
            <w:rPr>
              <w:sz w:val="32"/>
            </w:rPr>
          </w:pPr>
          <w:r>
            <w:rPr>
              <w:sz w:val="32"/>
            </w:rPr>
            <w:fldChar w:fldCharType="begin"/>
          </w:r>
          <w:r>
            <w:rPr>
              <w:sz w:val="32"/>
            </w:rPr>
            <w:instrText xml:space="preserve">TOC \o "1-1" \h \u </w:instrText>
          </w:r>
          <w:r>
            <w:rPr>
              <w:sz w:val="32"/>
            </w:rPr>
            <w:fldChar w:fldCharType="separate"/>
          </w:r>
          <w:r>
            <w:fldChar w:fldCharType="begin"/>
          </w:r>
          <w:r>
            <w:instrText xml:space="preserve"> HYPERLINK \l "_Toc31502" </w:instrText>
          </w:r>
          <w:r>
            <w:fldChar w:fldCharType="separate"/>
          </w:r>
          <w:r>
            <w:rPr>
              <w:rFonts w:hint="eastAsia" w:asciiTheme="minorEastAsia" w:hAnsiTheme="minorEastAsia" w:eastAsiaTheme="minorEastAsia" w:cstheme="minorEastAsia"/>
              <w:bCs/>
              <w:sz w:val="32"/>
              <w:szCs w:val="44"/>
              <w:lang w:val="en-US"/>
            </w:rPr>
            <w:t>第一章  竞争性谈判公告</w:t>
          </w:r>
          <w:r>
            <w:rPr>
              <w:sz w:val="32"/>
            </w:rPr>
            <w:tab/>
          </w:r>
          <w:r>
            <w:rPr>
              <w:sz w:val="32"/>
            </w:rPr>
            <w:fldChar w:fldCharType="begin"/>
          </w:r>
          <w:r>
            <w:rPr>
              <w:sz w:val="32"/>
            </w:rPr>
            <w:instrText xml:space="preserve"> PAGEREF _Toc31502 \h </w:instrText>
          </w:r>
          <w:r>
            <w:rPr>
              <w:sz w:val="32"/>
            </w:rPr>
            <w:fldChar w:fldCharType="separate"/>
          </w:r>
          <w:r>
            <w:rPr>
              <w:sz w:val="32"/>
            </w:rPr>
            <w:t>4</w:t>
          </w:r>
          <w:r>
            <w:rPr>
              <w:sz w:val="32"/>
            </w:rPr>
            <w:fldChar w:fldCharType="end"/>
          </w:r>
          <w:r>
            <w:rPr>
              <w:sz w:val="32"/>
            </w:rPr>
            <w:fldChar w:fldCharType="end"/>
          </w:r>
        </w:p>
        <w:p>
          <w:pPr>
            <w:pStyle w:val="14"/>
            <w:tabs>
              <w:tab w:val="right" w:leader="dot" w:pos="8300"/>
            </w:tabs>
            <w:spacing w:line="360" w:lineRule="auto"/>
            <w:rPr>
              <w:sz w:val="32"/>
            </w:rPr>
          </w:pPr>
          <w:r>
            <w:fldChar w:fldCharType="begin"/>
          </w:r>
          <w:r>
            <w:instrText xml:space="preserve"> HYPERLINK \l "_Toc19141" </w:instrText>
          </w:r>
          <w:r>
            <w:fldChar w:fldCharType="separate"/>
          </w:r>
          <w:r>
            <w:rPr>
              <w:rFonts w:hint="eastAsia"/>
              <w:bCs/>
              <w:sz w:val="32"/>
              <w:szCs w:val="44"/>
            </w:rPr>
            <w:t>第二章</w:t>
          </w:r>
          <w:r>
            <w:rPr>
              <w:rFonts w:hint="eastAsia"/>
              <w:bCs/>
              <w:sz w:val="32"/>
              <w:szCs w:val="44"/>
              <w:lang w:val="en-US"/>
            </w:rPr>
            <w:t xml:space="preserve">  </w:t>
          </w:r>
          <w:r>
            <w:rPr>
              <w:rFonts w:hint="eastAsia"/>
              <w:bCs/>
              <w:sz w:val="32"/>
              <w:szCs w:val="44"/>
            </w:rPr>
            <w:t>投标人须知表</w:t>
          </w:r>
          <w:r>
            <w:rPr>
              <w:sz w:val="32"/>
            </w:rPr>
            <w:tab/>
          </w:r>
          <w:r>
            <w:rPr>
              <w:sz w:val="32"/>
            </w:rPr>
            <w:fldChar w:fldCharType="begin"/>
          </w:r>
          <w:r>
            <w:rPr>
              <w:sz w:val="32"/>
            </w:rPr>
            <w:instrText xml:space="preserve"> PAGEREF _Toc19141 \h </w:instrText>
          </w:r>
          <w:r>
            <w:rPr>
              <w:sz w:val="32"/>
            </w:rPr>
            <w:fldChar w:fldCharType="separate"/>
          </w:r>
          <w:r>
            <w:rPr>
              <w:sz w:val="32"/>
            </w:rPr>
            <w:t>7</w:t>
          </w:r>
          <w:r>
            <w:rPr>
              <w:sz w:val="32"/>
            </w:rPr>
            <w:fldChar w:fldCharType="end"/>
          </w:r>
          <w:r>
            <w:rPr>
              <w:sz w:val="32"/>
            </w:rPr>
            <w:fldChar w:fldCharType="end"/>
          </w:r>
        </w:p>
        <w:p>
          <w:pPr>
            <w:pStyle w:val="14"/>
            <w:tabs>
              <w:tab w:val="right" w:leader="dot" w:pos="8300"/>
            </w:tabs>
            <w:spacing w:line="360" w:lineRule="auto"/>
            <w:rPr>
              <w:sz w:val="32"/>
            </w:rPr>
          </w:pPr>
          <w:r>
            <w:fldChar w:fldCharType="begin"/>
          </w:r>
          <w:r>
            <w:instrText xml:space="preserve"> HYPERLINK \l "_Toc32415" </w:instrText>
          </w:r>
          <w:r>
            <w:fldChar w:fldCharType="separate"/>
          </w:r>
          <w:r>
            <w:rPr>
              <w:sz w:val="32"/>
              <w:szCs w:val="44"/>
            </w:rPr>
            <w:t>第三章</w:t>
          </w:r>
          <w:r>
            <w:rPr>
              <w:rFonts w:hint="eastAsia"/>
              <w:sz w:val="32"/>
              <w:szCs w:val="44"/>
              <w:lang w:val="en-US"/>
            </w:rPr>
            <w:t xml:space="preserve">  </w:t>
          </w:r>
          <w:r>
            <w:rPr>
              <w:sz w:val="32"/>
              <w:szCs w:val="44"/>
            </w:rPr>
            <w:t>合同与验收</w:t>
          </w:r>
          <w:r>
            <w:rPr>
              <w:sz w:val="32"/>
            </w:rPr>
            <w:tab/>
          </w:r>
          <w:r>
            <w:rPr>
              <w:sz w:val="32"/>
            </w:rPr>
            <w:fldChar w:fldCharType="begin"/>
          </w:r>
          <w:r>
            <w:rPr>
              <w:sz w:val="32"/>
            </w:rPr>
            <w:instrText xml:space="preserve"> PAGEREF _Toc32415 \h </w:instrText>
          </w:r>
          <w:r>
            <w:rPr>
              <w:sz w:val="32"/>
            </w:rPr>
            <w:fldChar w:fldCharType="separate"/>
          </w:r>
          <w:r>
            <w:rPr>
              <w:sz w:val="32"/>
            </w:rPr>
            <w:t>15</w:t>
          </w:r>
          <w:r>
            <w:rPr>
              <w:sz w:val="32"/>
            </w:rPr>
            <w:fldChar w:fldCharType="end"/>
          </w:r>
          <w:r>
            <w:rPr>
              <w:sz w:val="32"/>
            </w:rPr>
            <w:fldChar w:fldCharType="end"/>
          </w:r>
        </w:p>
        <w:p>
          <w:pPr>
            <w:pStyle w:val="14"/>
            <w:tabs>
              <w:tab w:val="right" w:leader="dot" w:pos="8300"/>
            </w:tabs>
            <w:spacing w:line="360" w:lineRule="auto"/>
            <w:rPr>
              <w:sz w:val="32"/>
            </w:rPr>
          </w:pPr>
          <w:r>
            <w:fldChar w:fldCharType="begin"/>
          </w:r>
          <w:r>
            <w:instrText xml:space="preserve"> HYPERLINK \l "_Toc21887" </w:instrText>
          </w:r>
          <w:r>
            <w:fldChar w:fldCharType="separate"/>
          </w:r>
          <w:r>
            <w:rPr>
              <w:rFonts w:hint="eastAsia"/>
              <w:sz w:val="32"/>
              <w:szCs w:val="44"/>
            </w:rPr>
            <w:t>第四章</w:t>
          </w:r>
          <w:r>
            <w:rPr>
              <w:rFonts w:hint="eastAsia"/>
              <w:sz w:val="32"/>
              <w:szCs w:val="44"/>
              <w:lang w:val="en-US"/>
            </w:rPr>
            <w:t xml:space="preserve">  </w:t>
          </w:r>
          <w:r>
            <w:rPr>
              <w:sz w:val="32"/>
              <w:szCs w:val="44"/>
            </w:rPr>
            <w:t>谈判内容与技术要求</w:t>
          </w:r>
          <w:r>
            <w:rPr>
              <w:sz w:val="32"/>
            </w:rPr>
            <w:tab/>
          </w:r>
          <w:r>
            <w:rPr>
              <w:sz w:val="32"/>
            </w:rPr>
            <w:fldChar w:fldCharType="begin"/>
          </w:r>
          <w:r>
            <w:rPr>
              <w:sz w:val="32"/>
            </w:rPr>
            <w:instrText xml:space="preserve"> PAGEREF _Toc21887 \h </w:instrText>
          </w:r>
          <w:r>
            <w:rPr>
              <w:sz w:val="32"/>
            </w:rPr>
            <w:fldChar w:fldCharType="separate"/>
          </w:r>
          <w:r>
            <w:rPr>
              <w:sz w:val="32"/>
            </w:rPr>
            <w:t>19</w:t>
          </w:r>
          <w:r>
            <w:rPr>
              <w:sz w:val="32"/>
            </w:rPr>
            <w:fldChar w:fldCharType="end"/>
          </w:r>
          <w:r>
            <w:rPr>
              <w:sz w:val="32"/>
            </w:rPr>
            <w:fldChar w:fldCharType="end"/>
          </w:r>
        </w:p>
        <w:p>
          <w:pPr>
            <w:pStyle w:val="14"/>
            <w:tabs>
              <w:tab w:val="right" w:leader="dot" w:pos="8300"/>
            </w:tabs>
            <w:spacing w:line="360" w:lineRule="auto"/>
            <w:rPr>
              <w:sz w:val="32"/>
            </w:rPr>
          </w:pPr>
          <w:r>
            <w:fldChar w:fldCharType="begin"/>
          </w:r>
          <w:r>
            <w:instrText xml:space="preserve"> HYPERLINK \l "_Toc10049" </w:instrText>
          </w:r>
          <w:r>
            <w:fldChar w:fldCharType="separate"/>
          </w:r>
          <w:r>
            <w:rPr>
              <w:sz w:val="32"/>
              <w:szCs w:val="44"/>
            </w:rPr>
            <w:t>第五章</w:t>
          </w:r>
          <w:r>
            <w:rPr>
              <w:rFonts w:hint="eastAsia"/>
              <w:sz w:val="32"/>
              <w:szCs w:val="44"/>
              <w:lang w:val="en-US"/>
            </w:rPr>
            <w:t xml:space="preserve">  </w:t>
          </w:r>
          <w:r>
            <w:rPr>
              <w:sz w:val="32"/>
              <w:szCs w:val="44"/>
            </w:rPr>
            <w:t>供应商应当提交的资格、资信证明文件</w:t>
          </w:r>
          <w:r>
            <w:rPr>
              <w:sz w:val="32"/>
            </w:rPr>
            <w:tab/>
          </w:r>
          <w:r>
            <w:rPr>
              <w:sz w:val="32"/>
            </w:rPr>
            <w:fldChar w:fldCharType="begin"/>
          </w:r>
          <w:r>
            <w:rPr>
              <w:sz w:val="32"/>
            </w:rPr>
            <w:instrText xml:space="preserve"> PAGEREF _Toc10049 \h </w:instrText>
          </w:r>
          <w:r>
            <w:rPr>
              <w:sz w:val="32"/>
            </w:rPr>
            <w:fldChar w:fldCharType="separate"/>
          </w:r>
          <w:r>
            <w:rPr>
              <w:sz w:val="32"/>
            </w:rPr>
            <w:t>30</w:t>
          </w:r>
          <w:r>
            <w:rPr>
              <w:sz w:val="32"/>
            </w:rPr>
            <w:fldChar w:fldCharType="end"/>
          </w:r>
          <w:r>
            <w:rPr>
              <w:sz w:val="32"/>
            </w:rPr>
            <w:fldChar w:fldCharType="end"/>
          </w:r>
        </w:p>
        <w:p>
          <w:pPr>
            <w:pStyle w:val="14"/>
            <w:tabs>
              <w:tab w:val="right" w:leader="dot" w:pos="8300"/>
            </w:tabs>
            <w:spacing w:line="360" w:lineRule="auto"/>
            <w:rPr>
              <w:sz w:val="32"/>
            </w:rPr>
          </w:pPr>
          <w:r>
            <w:fldChar w:fldCharType="begin"/>
          </w:r>
          <w:r>
            <w:instrText xml:space="preserve"> HYPERLINK \l "_Toc26057" </w:instrText>
          </w:r>
          <w:r>
            <w:fldChar w:fldCharType="separate"/>
          </w:r>
          <w:r>
            <w:rPr>
              <w:sz w:val="32"/>
              <w:szCs w:val="44"/>
            </w:rPr>
            <w:t>第六章</w:t>
          </w:r>
          <w:r>
            <w:rPr>
              <w:rFonts w:hint="eastAsia"/>
              <w:sz w:val="32"/>
              <w:szCs w:val="44"/>
              <w:lang w:val="en-US"/>
            </w:rPr>
            <w:t xml:space="preserve">  </w:t>
          </w:r>
          <w:r>
            <w:rPr>
              <w:sz w:val="32"/>
              <w:szCs w:val="44"/>
            </w:rPr>
            <w:t>评审</w:t>
          </w:r>
          <w:r>
            <w:rPr>
              <w:sz w:val="32"/>
            </w:rPr>
            <w:tab/>
          </w:r>
          <w:r>
            <w:rPr>
              <w:sz w:val="32"/>
            </w:rPr>
            <w:fldChar w:fldCharType="begin"/>
          </w:r>
          <w:r>
            <w:rPr>
              <w:sz w:val="32"/>
            </w:rPr>
            <w:instrText xml:space="preserve"> PAGEREF _Toc26057 \h </w:instrText>
          </w:r>
          <w:r>
            <w:rPr>
              <w:sz w:val="32"/>
            </w:rPr>
            <w:fldChar w:fldCharType="separate"/>
          </w:r>
          <w:r>
            <w:rPr>
              <w:sz w:val="32"/>
            </w:rPr>
            <w:t>32</w:t>
          </w:r>
          <w:r>
            <w:rPr>
              <w:sz w:val="32"/>
            </w:rPr>
            <w:fldChar w:fldCharType="end"/>
          </w:r>
          <w:r>
            <w:rPr>
              <w:sz w:val="32"/>
            </w:rPr>
            <w:fldChar w:fldCharType="end"/>
          </w:r>
        </w:p>
        <w:p>
          <w:pPr>
            <w:pStyle w:val="14"/>
            <w:tabs>
              <w:tab w:val="right" w:leader="dot" w:pos="8300"/>
            </w:tabs>
            <w:spacing w:line="360" w:lineRule="auto"/>
            <w:rPr>
              <w:sz w:val="32"/>
            </w:rPr>
          </w:pPr>
          <w:r>
            <w:fldChar w:fldCharType="begin"/>
          </w:r>
          <w:r>
            <w:instrText xml:space="preserve"> HYPERLINK \l "_Toc10745" </w:instrText>
          </w:r>
          <w:r>
            <w:fldChar w:fldCharType="separate"/>
          </w:r>
          <w:r>
            <w:rPr>
              <w:rFonts w:hint="eastAsia"/>
              <w:bCs/>
              <w:sz w:val="32"/>
              <w:szCs w:val="44"/>
            </w:rPr>
            <w:t>第七章</w:t>
          </w:r>
          <w:r>
            <w:rPr>
              <w:rFonts w:hint="eastAsia"/>
              <w:bCs/>
              <w:sz w:val="32"/>
              <w:szCs w:val="44"/>
              <w:lang w:val="en-US"/>
            </w:rPr>
            <w:t xml:space="preserve">  </w:t>
          </w:r>
          <w:r>
            <w:rPr>
              <w:rFonts w:hint="eastAsia"/>
              <w:bCs/>
              <w:sz w:val="32"/>
              <w:szCs w:val="44"/>
            </w:rPr>
            <w:t>响应文件格式与要求</w:t>
          </w:r>
          <w:r>
            <w:rPr>
              <w:sz w:val="32"/>
            </w:rPr>
            <w:tab/>
          </w:r>
          <w:r>
            <w:rPr>
              <w:sz w:val="32"/>
            </w:rPr>
            <w:fldChar w:fldCharType="begin"/>
          </w:r>
          <w:r>
            <w:rPr>
              <w:sz w:val="32"/>
            </w:rPr>
            <w:instrText xml:space="preserve"> PAGEREF _Toc10745 \h </w:instrText>
          </w:r>
          <w:r>
            <w:rPr>
              <w:sz w:val="32"/>
            </w:rPr>
            <w:fldChar w:fldCharType="separate"/>
          </w:r>
          <w:r>
            <w:rPr>
              <w:sz w:val="32"/>
            </w:rPr>
            <w:t>40</w:t>
          </w:r>
          <w:r>
            <w:rPr>
              <w:sz w:val="32"/>
            </w:rPr>
            <w:fldChar w:fldCharType="end"/>
          </w:r>
          <w:r>
            <w:rPr>
              <w:sz w:val="32"/>
            </w:rPr>
            <w:fldChar w:fldCharType="end"/>
          </w:r>
        </w:p>
        <w:p>
          <w:pPr>
            <w:spacing w:line="360" w:lineRule="auto"/>
            <w:outlineLvl w:val="0"/>
          </w:pPr>
          <w:r>
            <w:rPr>
              <w:sz w:val="32"/>
            </w:rPr>
            <w:fldChar w:fldCharType="end"/>
          </w:r>
        </w:p>
      </w:sdtContent>
    </w:sdt>
    <w:p>
      <w:pPr>
        <w:jc w:val="both"/>
      </w:pPr>
      <w:r>
        <w:br w:type="page"/>
      </w:r>
    </w:p>
    <w:p>
      <w:pPr>
        <w:jc w:val="center"/>
        <w:outlineLvl w:val="0"/>
        <w:rPr>
          <w:rFonts w:asciiTheme="minorEastAsia" w:hAnsiTheme="minorEastAsia" w:eastAsiaTheme="minorEastAsia" w:cstheme="minorEastAsia"/>
          <w:b/>
          <w:bCs/>
          <w:color w:val="000000"/>
          <w:sz w:val="44"/>
          <w:szCs w:val="44"/>
          <w:lang w:val="en-US"/>
        </w:rPr>
      </w:pPr>
      <w:bookmarkStart w:id="0" w:name="_Toc31502"/>
      <w:r>
        <w:rPr>
          <w:rFonts w:hint="eastAsia" w:asciiTheme="minorEastAsia" w:hAnsiTheme="minorEastAsia" w:eastAsiaTheme="minorEastAsia" w:cstheme="minorEastAsia"/>
          <w:b/>
          <w:bCs/>
          <w:color w:val="000000"/>
          <w:sz w:val="44"/>
          <w:szCs w:val="44"/>
          <w:lang w:val="en-US"/>
        </w:rPr>
        <w:t>第一章  竞争性谈判公告</w:t>
      </w:r>
      <w:bookmarkEnd w:id="0"/>
    </w:p>
    <w:p>
      <w:pPr>
        <w:pStyle w:val="2"/>
        <w:ind w:left="431" w:firstLine="0"/>
        <w:rPr>
          <w:lang w:val="en-US"/>
        </w:rPr>
      </w:pPr>
    </w:p>
    <w:p>
      <w:pPr>
        <w:jc w:val="center"/>
        <w:rPr>
          <w:rFonts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rPr>
        <w:t>呼伦贝尔市档案馆的2022年呼伦贝尔市档案馆馆藏部分永久档案数字化项目（三次）</w:t>
      </w: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color w:val="000000"/>
          <w:sz w:val="44"/>
          <w:szCs w:val="44"/>
          <w:shd w:val="clear" w:color="auto" w:fill="FFFFFF"/>
        </w:rPr>
        <w:t>竞争性谈判公告</w:t>
      </w:r>
    </w:p>
    <w:p>
      <w:pPr>
        <w:widowControl/>
        <w:wordWrap w:val="0"/>
        <w:spacing w:before="120" w:after="120" w:line="360" w:lineRule="auto"/>
        <w:jc w:val="both"/>
        <w:rPr>
          <w:sz w:val="24"/>
          <w:szCs w:val="24"/>
        </w:rPr>
      </w:pPr>
      <w:r>
        <w:rPr>
          <w:rStyle w:val="19"/>
          <w:rFonts w:hint="eastAsia"/>
          <w:color w:val="333333"/>
          <w:sz w:val="24"/>
          <w:szCs w:val="24"/>
        </w:rPr>
        <w:t>项目概况</w:t>
      </w:r>
    </w:p>
    <w:p>
      <w:pPr>
        <w:pStyle w:val="15"/>
        <w:widowControl/>
        <w:wordWrap w:val="0"/>
        <w:spacing w:before="120" w:line="360" w:lineRule="auto"/>
        <w:ind w:firstLine="676" w:firstLineChars="282"/>
        <w:jc w:val="both"/>
        <w:rPr>
          <w:rFonts w:cs="宋体"/>
          <w:color w:val="000000"/>
          <w:szCs w:val="24"/>
          <w:highlight w:val="cyan"/>
        </w:rPr>
      </w:pPr>
      <w:r>
        <w:rPr>
          <w:rFonts w:hint="eastAsia" w:cs="宋体"/>
          <w:color w:val="000000"/>
          <w:szCs w:val="24"/>
        </w:rPr>
        <w:t>呼伦贝尔市档案馆的2022年呼伦贝尔市档案馆馆藏部分永久档案数字化项目（三次）已具备招标条件，请潜在供应商（投标人）在中国政府采购网</w:t>
      </w:r>
      <w:r>
        <w:rPr>
          <w:rFonts w:hint="eastAsia" w:cs="宋体"/>
          <w:color w:val="auto"/>
          <w:szCs w:val="24"/>
        </w:rPr>
        <w:t>（</w:t>
      </w:r>
      <w:r>
        <w:rPr>
          <w:color w:val="auto"/>
        </w:rPr>
        <w:fldChar w:fldCharType="begin"/>
      </w:r>
      <w:r>
        <w:rPr>
          <w:color w:val="auto"/>
        </w:rPr>
        <w:instrText xml:space="preserve"> HYPERLINK "http://www.ccgp.gov.cn/）获取采购文件，并于2022年06月" </w:instrText>
      </w:r>
      <w:r>
        <w:rPr>
          <w:color w:val="auto"/>
        </w:rPr>
        <w:fldChar w:fldCharType="separate"/>
      </w:r>
      <w:r>
        <w:rPr>
          <w:rStyle w:val="20"/>
          <w:rFonts w:hint="eastAsia" w:cs="宋体"/>
          <w:color w:val="auto"/>
          <w:szCs w:val="24"/>
        </w:rPr>
        <w:t>http://www.ccgp.gov.cn/）获取采购文件，</w:t>
      </w:r>
      <w:r>
        <w:rPr>
          <w:rStyle w:val="20"/>
          <w:rFonts w:hint="eastAsia" w:cs="宋体"/>
          <w:color w:val="auto"/>
          <w:szCs w:val="24"/>
          <w:highlight w:val="green"/>
        </w:rPr>
        <w:t>并于2022年</w:t>
      </w:r>
      <w:r>
        <w:rPr>
          <w:rStyle w:val="20"/>
          <w:rFonts w:hint="eastAsia" w:cs="宋体"/>
          <w:color w:val="auto"/>
          <w:szCs w:val="24"/>
          <w:highlight w:val="green"/>
          <w:lang w:val="en-US" w:eastAsia="zh-CN"/>
        </w:rPr>
        <w:t>07</w:t>
      </w:r>
      <w:r>
        <w:rPr>
          <w:rStyle w:val="20"/>
          <w:rFonts w:hint="eastAsia" w:cs="宋体"/>
          <w:color w:val="auto"/>
          <w:szCs w:val="24"/>
          <w:highlight w:val="green"/>
        </w:rPr>
        <w:t>月</w:t>
      </w:r>
      <w:r>
        <w:rPr>
          <w:rStyle w:val="20"/>
          <w:rFonts w:hint="eastAsia" w:cs="宋体"/>
          <w:color w:val="auto"/>
          <w:szCs w:val="24"/>
          <w:highlight w:val="green"/>
        </w:rPr>
        <w:fldChar w:fldCharType="end"/>
      </w:r>
      <w:r>
        <w:rPr>
          <w:rFonts w:hint="eastAsia" w:cs="宋体"/>
          <w:color w:val="auto"/>
          <w:szCs w:val="24"/>
          <w:highlight w:val="green"/>
          <w:lang w:val="en-US" w:eastAsia="zh-CN"/>
        </w:rPr>
        <w:t>05</w:t>
      </w:r>
      <w:r>
        <w:rPr>
          <w:rFonts w:hint="eastAsia" w:cs="宋体"/>
          <w:color w:val="auto"/>
          <w:szCs w:val="24"/>
          <w:highlight w:val="green"/>
        </w:rPr>
        <w:t>日</w:t>
      </w:r>
      <w:r>
        <w:rPr>
          <w:rFonts w:hint="eastAsia" w:cs="宋体"/>
          <w:color w:val="auto"/>
          <w:szCs w:val="24"/>
          <w:highlight w:val="green"/>
          <w:lang w:val="en-US" w:eastAsia="zh-CN"/>
        </w:rPr>
        <w:t>09</w:t>
      </w:r>
      <w:r>
        <w:rPr>
          <w:rFonts w:hint="eastAsia" w:cs="宋体"/>
          <w:color w:val="auto"/>
          <w:szCs w:val="24"/>
          <w:highlight w:val="green"/>
        </w:rPr>
        <w:t>时</w:t>
      </w:r>
      <w:r>
        <w:rPr>
          <w:rFonts w:hint="eastAsia" w:cs="宋体"/>
          <w:color w:val="auto"/>
          <w:szCs w:val="24"/>
          <w:highlight w:val="green"/>
          <w:lang w:val="en-US" w:eastAsia="zh-CN"/>
        </w:rPr>
        <w:t>30</w:t>
      </w:r>
      <w:r>
        <w:rPr>
          <w:rFonts w:hint="eastAsia" w:cs="宋体"/>
          <w:color w:val="auto"/>
          <w:szCs w:val="24"/>
          <w:highlight w:val="green"/>
        </w:rPr>
        <w:t>分（北京时间）在开标地点递交投标文件</w:t>
      </w:r>
      <w:r>
        <w:rPr>
          <w:rFonts w:hint="eastAsia" w:cs="宋体"/>
          <w:color w:val="auto"/>
          <w:szCs w:val="24"/>
        </w:rPr>
        <w:t>，</w:t>
      </w:r>
      <w:r>
        <w:rPr>
          <w:rFonts w:hint="eastAsia" w:cs="宋体"/>
          <w:color w:val="000000"/>
          <w:szCs w:val="24"/>
        </w:rPr>
        <w:t>具体要求详见采购文件。</w:t>
      </w:r>
    </w:p>
    <w:p>
      <w:pPr>
        <w:widowControl/>
        <w:wordWrap w:val="0"/>
        <w:spacing w:line="360" w:lineRule="auto"/>
        <w:jc w:val="both"/>
        <w:rPr>
          <w:sz w:val="24"/>
          <w:szCs w:val="24"/>
        </w:rPr>
      </w:pPr>
      <w:r>
        <w:rPr>
          <w:rStyle w:val="19"/>
          <w:rFonts w:hint="eastAsia"/>
          <w:color w:val="333333"/>
          <w:sz w:val="24"/>
          <w:szCs w:val="24"/>
        </w:rPr>
        <w:t>一、项目基本情况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cs="宋体"/>
          <w:color w:val="000000"/>
          <w:szCs w:val="24"/>
        </w:rPr>
      </w:pPr>
      <w:r>
        <w:rPr>
          <w:rFonts w:hint="eastAsia" w:cs="宋体"/>
          <w:color w:val="000000"/>
          <w:szCs w:val="24"/>
        </w:rPr>
        <w:t>项目编号：</w:t>
      </w:r>
      <w:r>
        <w:rPr>
          <w:rFonts w:hint="eastAsia" w:cs="宋体"/>
          <w:b/>
          <w:bCs/>
          <w:spacing w:val="-17"/>
          <w:sz w:val="24"/>
          <w:szCs w:val="24"/>
          <w:lang w:val="en-US" w:eastAsia="zh-CN"/>
        </w:rPr>
        <w:t>2022-BY-ZC-TP-001</w:t>
      </w:r>
    </w:p>
    <w:p>
      <w:pPr>
        <w:pStyle w:val="15"/>
        <w:widowControl/>
        <w:wordWrap w:val="0"/>
        <w:spacing w:after="0" w:line="360" w:lineRule="auto"/>
        <w:ind w:firstLine="384"/>
        <w:jc w:val="both"/>
        <w:rPr>
          <w:rFonts w:cs="宋体"/>
          <w:color w:val="000000"/>
          <w:szCs w:val="24"/>
        </w:rPr>
      </w:pPr>
      <w:r>
        <w:rPr>
          <w:rFonts w:hint="eastAsia" w:cs="宋体"/>
          <w:color w:val="000000"/>
          <w:szCs w:val="24"/>
        </w:rPr>
        <w:t>项目名称：2022年呼伦贝尔市档案馆馆藏部分永久档案数字化项目（三次）</w:t>
      </w:r>
    </w:p>
    <w:p>
      <w:pPr>
        <w:pStyle w:val="15"/>
        <w:widowControl/>
        <w:wordWrap w:val="0"/>
        <w:spacing w:after="0" w:line="360" w:lineRule="auto"/>
        <w:ind w:firstLine="384"/>
        <w:jc w:val="both"/>
        <w:rPr>
          <w:rFonts w:cs="宋体"/>
          <w:color w:val="000000"/>
          <w:szCs w:val="24"/>
        </w:rPr>
      </w:pPr>
      <w:r>
        <w:rPr>
          <w:rFonts w:hint="eastAsia" w:cs="宋体"/>
          <w:color w:val="000000"/>
          <w:szCs w:val="24"/>
        </w:rPr>
        <w:t>采购方式：竞争性谈判</w:t>
      </w:r>
    </w:p>
    <w:p>
      <w:pPr>
        <w:pStyle w:val="15"/>
        <w:widowControl/>
        <w:wordWrap w:val="0"/>
        <w:spacing w:after="0" w:line="360" w:lineRule="auto"/>
        <w:ind w:firstLine="384"/>
        <w:jc w:val="both"/>
        <w:rPr>
          <w:rFonts w:cs="宋体"/>
          <w:color w:val="000000"/>
          <w:szCs w:val="24"/>
        </w:rPr>
      </w:pPr>
      <w:r>
        <w:rPr>
          <w:rFonts w:hint="eastAsia" w:cs="宋体"/>
          <w:color w:val="000000"/>
          <w:szCs w:val="24"/>
        </w:rPr>
        <w:t>预算金额：2</w:t>
      </w:r>
      <w:r>
        <w:rPr>
          <w:rFonts w:cs="宋体"/>
          <w:color w:val="000000"/>
          <w:szCs w:val="24"/>
        </w:rPr>
        <w:t>49,700.00</w:t>
      </w:r>
      <w:r>
        <w:rPr>
          <w:rFonts w:hint="eastAsia" w:cs="宋体"/>
          <w:color w:val="000000"/>
          <w:szCs w:val="24"/>
        </w:rPr>
        <w:t>元</w:t>
      </w:r>
    </w:p>
    <w:p>
      <w:pPr>
        <w:pStyle w:val="15"/>
        <w:widowControl/>
        <w:tabs>
          <w:tab w:val="left" w:pos="6762"/>
        </w:tabs>
        <w:wordWrap w:val="0"/>
        <w:spacing w:after="0" w:line="360" w:lineRule="auto"/>
        <w:ind w:firstLine="384"/>
        <w:jc w:val="both"/>
        <w:rPr>
          <w:rFonts w:cs="宋体"/>
          <w:color w:val="000000"/>
          <w:szCs w:val="24"/>
        </w:rPr>
      </w:pPr>
      <w:r>
        <w:rPr>
          <w:rFonts w:hint="eastAsia" w:cs="宋体"/>
          <w:color w:val="000000"/>
          <w:szCs w:val="24"/>
        </w:rPr>
        <w:t>采购需求：</w:t>
      </w:r>
      <w:r>
        <w:rPr>
          <w:rFonts w:hint="eastAsia" w:cs="宋体"/>
          <w:color w:val="000000"/>
          <w:szCs w:val="24"/>
        </w:rPr>
        <w:tab/>
      </w:r>
    </w:p>
    <w:p>
      <w:pPr>
        <w:pStyle w:val="15"/>
        <w:widowControl/>
        <w:wordWrap w:val="0"/>
        <w:spacing w:after="0" w:line="360" w:lineRule="auto"/>
        <w:ind w:firstLine="384"/>
        <w:jc w:val="both"/>
        <w:rPr>
          <w:rFonts w:cs="宋体"/>
          <w:color w:val="000000"/>
          <w:szCs w:val="24"/>
        </w:rPr>
      </w:pPr>
      <w:r>
        <w:rPr>
          <w:rFonts w:hint="eastAsia" w:cs="宋体"/>
          <w:color w:val="000000"/>
          <w:szCs w:val="24"/>
        </w:rPr>
        <w:t>合同包1(2022年呼伦贝尔市档案馆馆藏部分永久档案数字化项目（三次）):</w:t>
      </w:r>
    </w:p>
    <w:tbl>
      <w:tblPr>
        <w:tblStyle w:val="16"/>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07"/>
        <w:gridCol w:w="1739"/>
        <w:gridCol w:w="1928"/>
        <w:gridCol w:w="717"/>
        <w:gridCol w:w="1113"/>
        <w:gridCol w:w="1242"/>
        <w:gridCol w:w="12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33"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center"/>
              <w:rPr>
                <w:b/>
                <w:bCs/>
              </w:rPr>
            </w:pPr>
            <w:r>
              <w:rPr>
                <w:rFonts w:hint="eastAsia"/>
                <w:b/>
                <w:bCs/>
                <w:snapToGrid w:val="0"/>
                <w:color w:val="000000"/>
                <w:lang w:val="en-US" w:bidi="ar"/>
              </w:rPr>
              <w:t>品目号</w:t>
            </w:r>
          </w:p>
        </w:tc>
        <w:tc>
          <w:tcPr>
            <w:tcW w:w="1143"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center"/>
              <w:rPr>
                <w:b/>
                <w:bCs/>
              </w:rPr>
            </w:pPr>
            <w:r>
              <w:rPr>
                <w:rFonts w:hint="eastAsia"/>
                <w:b/>
                <w:bCs/>
                <w:snapToGrid w:val="0"/>
                <w:color w:val="000000"/>
                <w:lang w:val="en-US" w:bidi="ar"/>
              </w:rPr>
              <w:t>品目名称</w:t>
            </w:r>
          </w:p>
        </w:tc>
        <w:tc>
          <w:tcPr>
            <w:tcW w:w="1212"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center"/>
              <w:rPr>
                <w:b/>
                <w:bCs/>
              </w:rPr>
            </w:pPr>
            <w:r>
              <w:rPr>
                <w:rFonts w:hint="eastAsia"/>
                <w:b/>
                <w:bCs/>
                <w:snapToGrid w:val="0"/>
                <w:color w:val="000000"/>
                <w:lang w:val="en-US" w:bidi="ar"/>
              </w:rPr>
              <w:t>采购标的</w:t>
            </w:r>
          </w:p>
        </w:tc>
        <w:tc>
          <w:tcPr>
            <w:tcW w:w="436"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center"/>
              <w:rPr>
                <w:b/>
                <w:bCs/>
              </w:rPr>
            </w:pPr>
            <w:r>
              <w:rPr>
                <w:rFonts w:hint="eastAsia"/>
                <w:b/>
                <w:bCs/>
                <w:snapToGrid w:val="0"/>
                <w:color w:val="000000"/>
                <w:lang w:val="en-US" w:bidi="ar"/>
              </w:rPr>
              <w:t>数量（单位）</w:t>
            </w:r>
          </w:p>
        </w:tc>
        <w:tc>
          <w:tcPr>
            <w:tcW w:w="795"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center"/>
              <w:rPr>
                <w:b/>
                <w:bCs/>
              </w:rPr>
            </w:pPr>
            <w:r>
              <w:rPr>
                <w:rFonts w:hint="eastAsia"/>
                <w:b/>
                <w:bCs/>
                <w:snapToGrid w:val="0"/>
                <w:color w:val="000000"/>
                <w:lang w:val="en-US" w:bidi="ar"/>
              </w:rPr>
              <w:t>技术规格、参数及要求</w:t>
            </w:r>
          </w:p>
        </w:tc>
        <w:tc>
          <w:tcPr>
            <w:tcW w:w="578"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center"/>
              <w:rPr>
                <w:b/>
                <w:bCs/>
              </w:rPr>
            </w:pPr>
            <w:r>
              <w:rPr>
                <w:rFonts w:hint="eastAsia"/>
                <w:b/>
                <w:bCs/>
                <w:snapToGrid w:val="0"/>
                <w:color w:val="000000"/>
                <w:lang w:val="en-US" w:bidi="ar"/>
              </w:rPr>
              <w:t>品目预算(元)</w:t>
            </w:r>
          </w:p>
        </w:tc>
        <w:tc>
          <w:tcPr>
            <w:tcW w:w="500"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center"/>
              <w:rPr>
                <w:b/>
                <w:bCs/>
              </w:rPr>
            </w:pPr>
            <w:r>
              <w:rPr>
                <w:rFonts w:hint="eastAsia"/>
                <w:b/>
                <w:bCs/>
                <w:snapToGrid w:val="0"/>
                <w:color w:val="000000"/>
                <w:lang w:val="en-US"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333"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center"/>
              <w:rPr>
                <w:sz w:val="21"/>
                <w:szCs w:val="21"/>
              </w:rPr>
            </w:pPr>
            <w:r>
              <w:rPr>
                <w:rFonts w:hint="eastAsia"/>
                <w:snapToGrid w:val="0"/>
                <w:color w:val="000000"/>
                <w:sz w:val="21"/>
                <w:szCs w:val="21"/>
                <w:lang w:val="en-US" w:bidi="ar"/>
              </w:rPr>
              <w:t>1-1</w:t>
            </w:r>
          </w:p>
        </w:tc>
        <w:tc>
          <w:tcPr>
            <w:tcW w:w="1143"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center"/>
              <w:rPr>
                <w:sz w:val="21"/>
                <w:szCs w:val="21"/>
              </w:rPr>
            </w:pPr>
            <w:r>
              <w:rPr>
                <w:rFonts w:hint="eastAsia"/>
                <w:color w:val="000000"/>
                <w:sz w:val="21"/>
                <w:szCs w:val="21"/>
              </w:rPr>
              <w:t>2022年呼伦贝尔市档案馆馆藏部分永久档案数字化项目（三次）</w:t>
            </w:r>
          </w:p>
        </w:tc>
        <w:tc>
          <w:tcPr>
            <w:tcW w:w="1212"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center"/>
              <w:rPr>
                <w:sz w:val="21"/>
                <w:szCs w:val="21"/>
              </w:rPr>
            </w:pPr>
            <w:r>
              <w:rPr>
                <w:rFonts w:hint="eastAsia"/>
                <w:color w:val="000000"/>
                <w:sz w:val="21"/>
                <w:szCs w:val="21"/>
              </w:rPr>
              <w:t>2022年呼伦贝尔市档案馆馆藏部分永久档案数字化项目（三次）</w:t>
            </w:r>
          </w:p>
        </w:tc>
        <w:tc>
          <w:tcPr>
            <w:tcW w:w="436"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center"/>
              <w:rPr>
                <w:sz w:val="21"/>
                <w:szCs w:val="21"/>
              </w:rPr>
            </w:pPr>
            <w:r>
              <w:rPr>
                <w:rFonts w:hint="eastAsia"/>
                <w:snapToGrid w:val="0"/>
                <w:color w:val="000000"/>
                <w:sz w:val="21"/>
                <w:szCs w:val="21"/>
                <w:lang w:val="en-US" w:bidi="ar"/>
              </w:rPr>
              <w:t>1(项)</w:t>
            </w:r>
          </w:p>
        </w:tc>
        <w:tc>
          <w:tcPr>
            <w:tcW w:w="795"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center"/>
              <w:rPr>
                <w:sz w:val="21"/>
                <w:szCs w:val="21"/>
              </w:rPr>
            </w:pPr>
            <w:r>
              <w:rPr>
                <w:rFonts w:hint="eastAsia"/>
                <w:snapToGrid w:val="0"/>
                <w:color w:val="000000"/>
                <w:sz w:val="21"/>
                <w:szCs w:val="21"/>
                <w:lang w:val="en-US" w:bidi="ar"/>
              </w:rPr>
              <w:t>详见采购文件</w:t>
            </w:r>
          </w:p>
        </w:tc>
        <w:tc>
          <w:tcPr>
            <w:tcW w:w="578"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right"/>
              <w:rPr>
                <w:sz w:val="21"/>
                <w:szCs w:val="21"/>
              </w:rPr>
            </w:pPr>
            <w:r>
              <w:rPr>
                <w:rFonts w:hint="eastAsia"/>
                <w:snapToGrid w:val="0"/>
                <w:color w:val="000000"/>
                <w:sz w:val="21"/>
                <w:szCs w:val="21"/>
                <w:lang w:val="en-US" w:bidi="ar"/>
              </w:rPr>
              <w:t>2</w:t>
            </w:r>
            <w:r>
              <w:rPr>
                <w:snapToGrid w:val="0"/>
                <w:color w:val="000000"/>
                <w:sz w:val="21"/>
                <w:szCs w:val="21"/>
                <w:lang w:val="en-US" w:bidi="ar"/>
              </w:rPr>
              <w:t>4</w:t>
            </w:r>
            <w:r>
              <w:rPr>
                <w:rFonts w:hint="eastAsia"/>
                <w:snapToGrid w:val="0"/>
                <w:color w:val="000000"/>
                <w:sz w:val="21"/>
                <w:szCs w:val="21"/>
                <w:lang w:val="en-US" w:bidi="ar"/>
              </w:rPr>
              <w:t>9,700.00</w:t>
            </w:r>
          </w:p>
        </w:tc>
        <w:tc>
          <w:tcPr>
            <w:tcW w:w="500" w:type="pct"/>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spacing w:line="360" w:lineRule="auto"/>
              <w:jc w:val="right"/>
              <w:rPr>
                <w:sz w:val="21"/>
                <w:szCs w:val="21"/>
              </w:rPr>
            </w:pPr>
            <w:r>
              <w:rPr>
                <w:rFonts w:hint="eastAsia"/>
                <w:snapToGrid w:val="0"/>
                <w:color w:val="000000"/>
                <w:sz w:val="21"/>
                <w:szCs w:val="21"/>
                <w:lang w:val="en-US" w:bidi="ar"/>
              </w:rPr>
              <w:t>2</w:t>
            </w:r>
            <w:r>
              <w:rPr>
                <w:snapToGrid w:val="0"/>
                <w:color w:val="000000"/>
                <w:sz w:val="21"/>
                <w:szCs w:val="21"/>
                <w:lang w:val="en-US" w:bidi="ar"/>
              </w:rPr>
              <w:t>4</w:t>
            </w:r>
            <w:r>
              <w:rPr>
                <w:rFonts w:hint="eastAsia"/>
                <w:snapToGrid w:val="0"/>
                <w:color w:val="000000"/>
                <w:sz w:val="21"/>
                <w:szCs w:val="21"/>
                <w:lang w:val="en-US" w:bidi="ar"/>
              </w:rPr>
              <w:t>9,700.00</w:t>
            </w:r>
          </w:p>
        </w:tc>
      </w:tr>
    </w:tbl>
    <w:p>
      <w:pPr>
        <w:pStyle w:val="15"/>
        <w:widowControl/>
        <w:wordWrap w:val="0"/>
        <w:spacing w:after="0" w:line="360" w:lineRule="auto"/>
        <w:ind w:firstLine="504"/>
        <w:jc w:val="both"/>
        <w:rPr>
          <w:rStyle w:val="19"/>
          <w:rFonts w:cs="宋体"/>
          <w:color w:val="333333"/>
          <w:sz w:val="28"/>
          <w:szCs w:val="28"/>
        </w:rPr>
      </w:pPr>
      <w:r>
        <w:rPr>
          <w:rFonts w:hint="eastAsia" w:cs="宋体"/>
          <w:color w:val="000000"/>
          <w:sz w:val="28"/>
          <w:szCs w:val="28"/>
        </w:rPr>
        <w:t>合同履行期限：合同签订后120个</w:t>
      </w:r>
      <w:r>
        <w:rPr>
          <w:rFonts w:hint="eastAsia" w:cs="宋体"/>
          <w:color w:val="000000"/>
          <w:sz w:val="28"/>
          <w:szCs w:val="28"/>
          <w:highlight w:val="none"/>
          <w:lang w:eastAsia="zh-CN"/>
        </w:rPr>
        <w:t>日历天</w:t>
      </w:r>
      <w:r>
        <w:rPr>
          <w:rFonts w:hint="eastAsia" w:cs="宋体"/>
          <w:color w:val="000000"/>
          <w:sz w:val="28"/>
          <w:szCs w:val="28"/>
        </w:rPr>
        <w:t>完成。</w:t>
      </w:r>
    </w:p>
    <w:p>
      <w:pPr>
        <w:widowControl/>
        <w:wordWrap w:val="0"/>
        <w:spacing w:line="360" w:lineRule="auto"/>
        <w:jc w:val="both"/>
        <w:rPr>
          <w:sz w:val="24"/>
          <w:szCs w:val="24"/>
        </w:rPr>
      </w:pPr>
      <w:r>
        <w:rPr>
          <w:rStyle w:val="19"/>
          <w:rFonts w:hint="eastAsia"/>
          <w:color w:val="333333"/>
          <w:sz w:val="24"/>
          <w:szCs w:val="24"/>
        </w:rPr>
        <w:t>二、供应商的资格要求：</w:t>
      </w:r>
    </w:p>
    <w:p>
      <w:pPr>
        <w:pStyle w:val="22"/>
        <w:numPr>
          <w:ilvl w:val="0"/>
          <w:numId w:val="1"/>
        </w:numPr>
        <w:spacing w:line="360" w:lineRule="auto"/>
        <w:rPr>
          <w:bCs/>
          <w:sz w:val="24"/>
          <w:szCs w:val="24"/>
        </w:rPr>
      </w:pPr>
      <w:r>
        <w:rPr>
          <w:rFonts w:hint="eastAsia"/>
          <w:bCs/>
          <w:sz w:val="24"/>
          <w:szCs w:val="24"/>
        </w:rPr>
        <w:t>供应商的资格要求:</w:t>
      </w:r>
    </w:p>
    <w:p>
      <w:pPr>
        <w:pStyle w:val="22"/>
        <w:spacing w:line="360" w:lineRule="auto"/>
        <w:ind w:left="425" w:firstLine="0"/>
        <w:rPr>
          <w:sz w:val="24"/>
          <w:szCs w:val="24"/>
        </w:rPr>
      </w:pPr>
      <w:r>
        <w:rPr>
          <w:rFonts w:hint="eastAsia"/>
          <w:sz w:val="24"/>
          <w:szCs w:val="24"/>
        </w:rPr>
        <w:t>具备《中华人民共和国政府采购法》第二十二条规定的条件；</w:t>
      </w:r>
    </w:p>
    <w:p>
      <w:pPr>
        <w:pStyle w:val="22"/>
        <w:spacing w:line="360" w:lineRule="auto"/>
        <w:ind w:left="425" w:firstLine="0"/>
        <w:rPr>
          <w:sz w:val="24"/>
          <w:szCs w:val="24"/>
        </w:rPr>
      </w:pPr>
      <w:r>
        <w:rPr>
          <w:rFonts w:hint="eastAsia"/>
          <w:sz w:val="24"/>
          <w:szCs w:val="24"/>
          <w:lang w:val="en-US"/>
        </w:rPr>
        <w:t>2、</w:t>
      </w:r>
      <w:r>
        <w:rPr>
          <w:rFonts w:hint="eastAsia"/>
          <w:sz w:val="24"/>
          <w:szCs w:val="24"/>
        </w:rPr>
        <w:t>法人或其他组织的营业执照副本、自然人的身份证明；</w:t>
      </w:r>
    </w:p>
    <w:p>
      <w:pPr>
        <w:pStyle w:val="22"/>
        <w:tabs>
          <w:tab w:val="left" w:pos="5853"/>
        </w:tabs>
        <w:spacing w:line="360" w:lineRule="auto"/>
        <w:ind w:left="425" w:firstLine="0"/>
        <w:rPr>
          <w:sz w:val="24"/>
          <w:szCs w:val="24"/>
        </w:rPr>
      </w:pPr>
      <w:r>
        <w:rPr>
          <w:rFonts w:hint="eastAsia"/>
          <w:sz w:val="24"/>
          <w:szCs w:val="24"/>
          <w:lang w:val="en-US"/>
        </w:rPr>
        <w:t>3、</w:t>
      </w:r>
      <w:r>
        <w:rPr>
          <w:rFonts w:hint="eastAsia"/>
          <w:sz w:val="24"/>
          <w:szCs w:val="24"/>
        </w:rPr>
        <w:t>本次投标法人代表授权书；</w:t>
      </w:r>
      <w:r>
        <w:rPr>
          <w:rFonts w:hint="eastAsia"/>
          <w:sz w:val="24"/>
          <w:szCs w:val="24"/>
        </w:rPr>
        <w:tab/>
      </w:r>
    </w:p>
    <w:p>
      <w:pPr>
        <w:pStyle w:val="22"/>
        <w:spacing w:line="360" w:lineRule="auto"/>
        <w:ind w:left="425" w:firstLine="0"/>
        <w:rPr>
          <w:sz w:val="24"/>
          <w:szCs w:val="24"/>
        </w:rPr>
      </w:pPr>
      <w:r>
        <w:rPr>
          <w:rFonts w:hint="eastAsia"/>
          <w:sz w:val="24"/>
          <w:szCs w:val="24"/>
          <w:lang w:val="en-US"/>
        </w:rPr>
        <w:t>4、</w:t>
      </w:r>
      <w:r>
        <w:rPr>
          <w:rFonts w:hint="eastAsia"/>
          <w:sz w:val="24"/>
          <w:szCs w:val="24"/>
        </w:rPr>
        <w:t>投标人未发生过档案安全事故、泄密事件，无非法获取或非法持有档案、档案复印件、国家秘密载体等行为的书面承诺书；</w:t>
      </w:r>
    </w:p>
    <w:p>
      <w:pPr>
        <w:pStyle w:val="22"/>
        <w:spacing w:line="360" w:lineRule="auto"/>
        <w:ind w:left="425" w:firstLine="0"/>
        <w:rPr>
          <w:sz w:val="24"/>
          <w:szCs w:val="24"/>
        </w:rPr>
      </w:pPr>
      <w:r>
        <w:rPr>
          <w:rFonts w:hint="eastAsia"/>
          <w:sz w:val="24"/>
          <w:szCs w:val="24"/>
          <w:lang w:val="en-US"/>
        </w:rPr>
        <w:t>5、</w:t>
      </w:r>
      <w:r>
        <w:rPr>
          <w:rFonts w:hint="eastAsia"/>
          <w:sz w:val="24"/>
          <w:szCs w:val="24"/>
        </w:rPr>
        <w:t>投标人参加政府采购前三年内在经营活动中没有重大违法记录书面声明；（公司成立未满三年的，提供公司成立年度至今的书面声明；成立不足一年的公司提供成立至今的书面声明。）</w:t>
      </w:r>
    </w:p>
    <w:p>
      <w:pPr>
        <w:spacing w:line="360" w:lineRule="auto"/>
        <w:ind w:firstLine="488"/>
        <w:jc w:val="both"/>
        <w:rPr>
          <w:sz w:val="24"/>
          <w:szCs w:val="24"/>
        </w:rPr>
      </w:pPr>
      <w:r>
        <w:rPr>
          <w:rFonts w:hint="eastAsia"/>
          <w:spacing w:val="1"/>
          <w:sz w:val="24"/>
          <w:szCs w:val="24"/>
          <w:lang w:val="en-US"/>
        </w:rPr>
        <w:t>6、</w:t>
      </w:r>
      <w:r>
        <w:rPr>
          <w:rFonts w:hint="eastAsia"/>
          <w:spacing w:val="1"/>
          <w:sz w:val="24"/>
          <w:szCs w:val="24"/>
        </w:rPr>
        <w:t xml:space="preserve">供应商须为未被列入“信用中国”网站记录失信被执行人或重大税收违法案件当事人名单或政府采购严重违法失信行为记录名单；未被列入“信用中国”网站记录失信被执行人或财政性资金管理使用领域相关失信责任主体、统计领域严重失信企业及其有关人员等；不处于中国政府采购网政府采购严重违法失信行为信息记录中的禁止参加政府采购活动期间的方可参加项目投标，查询网址：信用中国（ </w:t>
      </w:r>
      <w:r>
        <w:fldChar w:fldCharType="begin"/>
      </w:r>
      <w:r>
        <w:instrText xml:space="preserve"> HYPERLINK "http://www.creditchina.gov.cn/" \h </w:instrText>
      </w:r>
      <w:r>
        <w:fldChar w:fldCharType="separate"/>
      </w:r>
      <w:r>
        <w:rPr>
          <w:rFonts w:hint="eastAsia"/>
          <w:spacing w:val="1"/>
          <w:sz w:val="24"/>
          <w:szCs w:val="24"/>
        </w:rPr>
        <w:t xml:space="preserve">https://www.creditchina.gov.cn/ </w:t>
      </w:r>
      <w:r>
        <w:rPr>
          <w:rFonts w:hint="eastAsia"/>
          <w:spacing w:val="1"/>
          <w:sz w:val="24"/>
          <w:szCs w:val="24"/>
        </w:rPr>
        <w:fldChar w:fldCharType="end"/>
      </w:r>
      <w:r>
        <w:rPr>
          <w:rFonts w:hint="eastAsia"/>
          <w:spacing w:val="1"/>
          <w:sz w:val="24"/>
          <w:szCs w:val="24"/>
        </w:rPr>
        <w:t>）</w:t>
      </w:r>
      <w:r>
        <w:rPr>
          <w:rFonts w:hint="eastAsia"/>
          <w:spacing w:val="1"/>
          <w:sz w:val="24"/>
          <w:szCs w:val="24"/>
          <w:lang w:val="en-US"/>
        </w:rPr>
        <w:t>；</w:t>
      </w:r>
      <w:r>
        <w:rPr>
          <w:rFonts w:hint="eastAsia"/>
          <w:spacing w:val="1"/>
          <w:sz w:val="24"/>
          <w:szCs w:val="24"/>
        </w:rPr>
        <w:t>和“中国政府采购网”（www.ccgp.gov.cn）进行查询；</w:t>
      </w:r>
    </w:p>
    <w:p>
      <w:pPr>
        <w:spacing w:before="203" w:line="360" w:lineRule="auto"/>
        <w:ind w:right="1" w:firstLine="484" w:firstLineChars="200"/>
        <w:rPr>
          <w:spacing w:val="1"/>
          <w:sz w:val="24"/>
          <w:szCs w:val="24"/>
          <w:lang w:val="en-US"/>
        </w:rPr>
      </w:pPr>
      <w:r>
        <w:rPr>
          <w:rFonts w:hint="eastAsia"/>
          <w:spacing w:val="1"/>
          <w:sz w:val="24"/>
          <w:szCs w:val="24"/>
          <w:lang w:val="en-US"/>
        </w:rPr>
        <w:t>7、本项目不接受联合体投标；</w:t>
      </w:r>
    </w:p>
    <w:p>
      <w:pPr>
        <w:widowControl/>
        <w:wordWrap w:val="0"/>
        <w:spacing w:line="360" w:lineRule="auto"/>
        <w:jc w:val="both"/>
        <w:rPr>
          <w:sz w:val="24"/>
          <w:szCs w:val="24"/>
        </w:rPr>
      </w:pPr>
      <w:r>
        <w:rPr>
          <w:rStyle w:val="19"/>
          <w:rFonts w:hint="eastAsia"/>
          <w:color w:val="333333"/>
          <w:sz w:val="24"/>
          <w:szCs w:val="24"/>
        </w:rPr>
        <w:t>三、获取招标文件</w:t>
      </w:r>
    </w:p>
    <w:p>
      <w:pPr>
        <w:pStyle w:val="15"/>
        <w:widowControl/>
        <w:wordWrap w:val="0"/>
        <w:spacing w:after="0" w:line="360" w:lineRule="auto"/>
        <w:ind w:firstLine="384"/>
        <w:jc w:val="both"/>
        <w:rPr>
          <w:rFonts w:cs="宋体"/>
          <w:color w:val="000000"/>
          <w:szCs w:val="24"/>
        </w:rPr>
      </w:pPr>
      <w:r>
        <w:rPr>
          <w:rFonts w:hint="eastAsia" w:cs="宋体"/>
          <w:color w:val="000000"/>
          <w:szCs w:val="24"/>
        </w:rPr>
        <w:t>获取谈判文件的期限：</w:t>
      </w:r>
      <w:r>
        <w:rPr>
          <w:rFonts w:hint="eastAsia" w:cs="宋体"/>
          <w:color w:val="FF0000"/>
          <w:szCs w:val="24"/>
          <w:shd w:val="pct10" w:color="auto" w:fill="FFFFFF"/>
        </w:rPr>
        <w:t>2022年0</w:t>
      </w:r>
      <w:r>
        <w:rPr>
          <w:rFonts w:cs="宋体"/>
          <w:color w:val="FF0000"/>
          <w:szCs w:val="24"/>
          <w:shd w:val="pct10" w:color="auto" w:fill="FFFFFF"/>
        </w:rPr>
        <w:t>6</w:t>
      </w:r>
      <w:r>
        <w:rPr>
          <w:rFonts w:hint="eastAsia" w:cs="宋体"/>
          <w:color w:val="FF0000"/>
          <w:szCs w:val="24"/>
          <w:shd w:val="pct10" w:color="auto" w:fill="FFFFFF"/>
        </w:rPr>
        <w:t>月</w:t>
      </w:r>
      <w:r>
        <w:rPr>
          <w:rFonts w:hint="eastAsia" w:cs="宋体"/>
          <w:color w:val="FF0000"/>
          <w:szCs w:val="24"/>
          <w:shd w:val="pct10" w:color="auto" w:fill="FFFFFF"/>
          <w:lang w:val="en-US" w:eastAsia="zh-CN"/>
        </w:rPr>
        <w:t>24</w:t>
      </w:r>
      <w:r>
        <w:rPr>
          <w:rFonts w:hint="eastAsia" w:cs="宋体"/>
          <w:color w:val="FF0000"/>
          <w:szCs w:val="24"/>
          <w:shd w:val="pct10" w:color="auto" w:fill="FFFFFF"/>
        </w:rPr>
        <w:t>日至2022年</w:t>
      </w:r>
      <w:r>
        <w:rPr>
          <w:rFonts w:hint="eastAsia" w:cs="宋体"/>
          <w:color w:val="FF0000"/>
          <w:szCs w:val="24"/>
          <w:shd w:val="pct10" w:color="auto" w:fill="FFFFFF"/>
          <w:lang w:val="en-US" w:eastAsia="zh-CN"/>
        </w:rPr>
        <w:t>07</w:t>
      </w:r>
      <w:r>
        <w:rPr>
          <w:rFonts w:hint="eastAsia" w:cs="宋体"/>
          <w:color w:val="FF0000"/>
          <w:szCs w:val="24"/>
          <w:shd w:val="pct10" w:color="auto" w:fill="FFFFFF"/>
        </w:rPr>
        <w:t>月</w:t>
      </w:r>
      <w:r>
        <w:rPr>
          <w:rFonts w:hint="eastAsia" w:cs="宋体"/>
          <w:color w:val="FF0000"/>
          <w:szCs w:val="24"/>
          <w:shd w:val="pct10" w:color="auto" w:fill="FFFFFF"/>
          <w:lang w:val="en-US" w:eastAsia="zh-CN"/>
        </w:rPr>
        <w:t>05</w:t>
      </w:r>
      <w:r>
        <w:rPr>
          <w:rFonts w:hint="eastAsia" w:cs="宋体"/>
          <w:color w:val="FF0000"/>
          <w:szCs w:val="24"/>
          <w:shd w:val="pct10" w:color="auto" w:fill="FFFFFF"/>
        </w:rPr>
        <w:t>日</w:t>
      </w:r>
      <w:r>
        <w:rPr>
          <w:rFonts w:hint="eastAsia" w:cs="宋体"/>
          <w:color w:val="000000"/>
          <w:szCs w:val="24"/>
        </w:rPr>
        <w:t>（从公告发布时间起到开标日前零点结束）；</w:t>
      </w:r>
    </w:p>
    <w:p>
      <w:pPr>
        <w:pStyle w:val="15"/>
        <w:widowControl/>
        <w:wordWrap w:val="0"/>
        <w:spacing w:after="0" w:line="360" w:lineRule="auto"/>
        <w:ind w:firstLine="384"/>
        <w:jc w:val="both"/>
        <w:rPr>
          <w:rFonts w:cs="宋体"/>
          <w:color w:val="000000"/>
          <w:szCs w:val="24"/>
        </w:rPr>
      </w:pPr>
      <w:r>
        <w:rPr>
          <w:rFonts w:hint="eastAsia" w:cs="宋体"/>
          <w:color w:val="000000"/>
          <w:szCs w:val="24"/>
        </w:rPr>
        <w:t>获取谈判文件的方式：网上自行获取，详见公告附件；</w:t>
      </w:r>
    </w:p>
    <w:p>
      <w:pPr>
        <w:pStyle w:val="15"/>
        <w:widowControl/>
        <w:wordWrap w:val="0"/>
        <w:spacing w:after="0" w:line="360" w:lineRule="auto"/>
        <w:ind w:firstLine="384"/>
        <w:jc w:val="both"/>
        <w:rPr>
          <w:rFonts w:cs="宋体"/>
          <w:color w:val="000000"/>
          <w:szCs w:val="24"/>
        </w:rPr>
      </w:pPr>
      <w:r>
        <w:rPr>
          <w:rFonts w:hint="eastAsia" w:cs="宋体"/>
          <w:color w:val="000000"/>
          <w:szCs w:val="24"/>
        </w:rPr>
        <w:t>文件售价：免费获取。</w:t>
      </w:r>
    </w:p>
    <w:p>
      <w:pPr>
        <w:widowControl/>
        <w:numPr>
          <w:ilvl w:val="0"/>
          <w:numId w:val="2"/>
        </w:numPr>
        <w:wordWrap w:val="0"/>
        <w:spacing w:line="360" w:lineRule="auto"/>
        <w:jc w:val="both"/>
        <w:rPr>
          <w:rStyle w:val="19"/>
          <w:color w:val="333333"/>
          <w:sz w:val="24"/>
          <w:szCs w:val="24"/>
        </w:rPr>
      </w:pPr>
      <w:r>
        <w:rPr>
          <w:rStyle w:val="19"/>
          <w:rFonts w:hint="eastAsia"/>
          <w:color w:val="333333"/>
          <w:sz w:val="24"/>
          <w:szCs w:val="24"/>
        </w:rPr>
        <w:t>公布媒体</w:t>
      </w:r>
    </w:p>
    <w:p>
      <w:pPr>
        <w:ind w:firstLine="360" w:firstLineChars="150"/>
        <w:rPr>
          <w:color w:val="333333"/>
          <w:sz w:val="24"/>
          <w:szCs w:val="24"/>
        </w:rPr>
      </w:pPr>
      <w:r>
        <w:rPr>
          <w:rFonts w:hint="eastAsia"/>
          <w:color w:val="000000"/>
          <w:sz w:val="24"/>
          <w:szCs w:val="24"/>
          <w:lang w:val="en-US"/>
        </w:rPr>
        <w:t>本项目采购（招标）人同时在，</w:t>
      </w:r>
      <w:r>
        <w:rPr>
          <w:rFonts w:hint="eastAsia"/>
          <w:color w:val="000000"/>
          <w:sz w:val="24"/>
          <w:szCs w:val="24"/>
        </w:rPr>
        <w:t>中国政府采购网（http://www.ccgp.gov.cn/）、</w:t>
      </w:r>
      <w:r>
        <w:rPr>
          <w:rFonts w:hint="eastAsia"/>
          <w:snapToGrid w:val="0"/>
          <w:color w:val="333333"/>
          <w:sz w:val="24"/>
          <w:szCs w:val="24"/>
          <w:shd w:val="clear" w:color="auto" w:fill="FFFFFF"/>
          <w:lang w:val="en-US" w:bidi="ar"/>
        </w:rPr>
        <w:t>中国采购与招标网（https://www.chinabidding.cn/）、内蒙古招标投标网（http://zbgg.nmgztb.com.cn/）发布公告</w:t>
      </w:r>
    </w:p>
    <w:p>
      <w:pPr>
        <w:widowControl/>
        <w:wordWrap w:val="0"/>
        <w:spacing w:line="360" w:lineRule="auto"/>
        <w:jc w:val="both"/>
        <w:rPr>
          <w:rStyle w:val="19"/>
          <w:color w:val="333333"/>
          <w:sz w:val="24"/>
          <w:szCs w:val="24"/>
        </w:rPr>
      </w:pPr>
    </w:p>
    <w:p>
      <w:pPr>
        <w:widowControl/>
        <w:wordWrap w:val="0"/>
        <w:spacing w:line="360" w:lineRule="auto"/>
        <w:jc w:val="both"/>
        <w:rPr>
          <w:sz w:val="24"/>
          <w:szCs w:val="24"/>
        </w:rPr>
      </w:pPr>
      <w:r>
        <w:rPr>
          <w:rStyle w:val="19"/>
          <w:rFonts w:hint="eastAsia"/>
          <w:color w:val="333333"/>
          <w:sz w:val="24"/>
          <w:szCs w:val="24"/>
        </w:rPr>
        <w:t>五、提交投标文件截止时间、开标时间和地点</w:t>
      </w:r>
    </w:p>
    <w:p>
      <w:pPr>
        <w:pStyle w:val="15"/>
        <w:widowControl/>
        <w:wordWrap w:val="0"/>
        <w:adjustRightInd w:val="0"/>
        <w:snapToGrid w:val="0"/>
        <w:spacing w:after="0" w:line="360" w:lineRule="auto"/>
        <w:ind w:firstLine="480" w:firstLineChars="200"/>
        <w:jc w:val="both"/>
        <w:rPr>
          <w:rFonts w:cs="宋体"/>
          <w:szCs w:val="24"/>
        </w:rPr>
      </w:pPr>
      <w:r>
        <w:rPr>
          <w:rFonts w:hint="eastAsia" w:cs="宋体"/>
          <w:szCs w:val="24"/>
        </w:rPr>
        <w:t>提交投标文件截止时间：</w:t>
      </w:r>
      <w:r>
        <w:rPr>
          <w:rFonts w:hint="eastAsia" w:cs="宋体"/>
          <w:color w:val="FF0000"/>
          <w:szCs w:val="24"/>
          <w:shd w:val="pct10" w:color="auto" w:fill="FFFFFF"/>
        </w:rPr>
        <w:t>2022年0</w:t>
      </w:r>
      <w:r>
        <w:rPr>
          <w:rFonts w:hint="eastAsia" w:cs="宋体"/>
          <w:color w:val="FF0000"/>
          <w:szCs w:val="24"/>
          <w:shd w:val="pct10" w:color="auto" w:fill="FFFFFF"/>
          <w:lang w:val="en-US" w:eastAsia="zh-CN"/>
        </w:rPr>
        <w:t>7</w:t>
      </w:r>
      <w:r>
        <w:rPr>
          <w:rFonts w:hint="eastAsia" w:cs="宋体"/>
          <w:color w:val="FF0000"/>
          <w:szCs w:val="24"/>
          <w:shd w:val="pct10" w:color="auto" w:fill="FFFFFF"/>
        </w:rPr>
        <w:t>月</w:t>
      </w:r>
      <w:r>
        <w:rPr>
          <w:rFonts w:hint="eastAsia" w:cs="宋体"/>
          <w:color w:val="FF0000"/>
          <w:szCs w:val="24"/>
          <w:shd w:val="pct10" w:color="auto" w:fill="FFFFFF"/>
          <w:lang w:val="en-US" w:eastAsia="zh-CN"/>
        </w:rPr>
        <w:t>05</w:t>
      </w:r>
      <w:r>
        <w:rPr>
          <w:rFonts w:hint="eastAsia" w:cs="宋体"/>
          <w:color w:val="FF0000"/>
          <w:szCs w:val="24"/>
          <w:shd w:val="pct10" w:color="auto" w:fill="FFFFFF"/>
        </w:rPr>
        <w:t>日 09时30分00秒（</w:t>
      </w:r>
      <w:r>
        <w:rPr>
          <w:rFonts w:hint="eastAsia" w:cs="宋体"/>
          <w:szCs w:val="24"/>
        </w:rPr>
        <w:t>北京时间）</w:t>
      </w:r>
    </w:p>
    <w:p>
      <w:pPr>
        <w:pStyle w:val="15"/>
        <w:widowControl/>
        <w:wordWrap w:val="0"/>
        <w:adjustRightInd w:val="0"/>
        <w:snapToGrid w:val="0"/>
        <w:spacing w:after="0" w:line="360" w:lineRule="auto"/>
        <w:ind w:firstLine="480" w:firstLineChars="200"/>
        <w:jc w:val="both"/>
        <w:rPr>
          <w:rFonts w:cs="宋体"/>
          <w:szCs w:val="24"/>
        </w:rPr>
      </w:pPr>
      <w:r>
        <w:rPr>
          <w:rFonts w:hint="eastAsia" w:cs="宋体"/>
          <w:szCs w:val="24"/>
        </w:rPr>
        <w:t>提交投标文件开启时间：</w:t>
      </w:r>
      <w:r>
        <w:rPr>
          <w:rFonts w:hint="eastAsia" w:cs="宋体"/>
          <w:color w:val="FF0000"/>
          <w:szCs w:val="24"/>
          <w:shd w:val="pct10" w:color="auto" w:fill="FFFFFF"/>
        </w:rPr>
        <w:t>2022年0</w:t>
      </w:r>
      <w:r>
        <w:rPr>
          <w:rFonts w:hint="eastAsia" w:cs="宋体"/>
          <w:color w:val="FF0000"/>
          <w:szCs w:val="24"/>
          <w:shd w:val="pct10" w:color="auto" w:fill="FFFFFF"/>
          <w:lang w:val="en-US" w:eastAsia="zh-CN"/>
        </w:rPr>
        <w:t>7</w:t>
      </w:r>
      <w:r>
        <w:rPr>
          <w:rFonts w:hint="eastAsia" w:cs="宋体"/>
          <w:color w:val="FF0000"/>
          <w:szCs w:val="24"/>
          <w:shd w:val="pct10" w:color="auto" w:fill="FFFFFF"/>
        </w:rPr>
        <w:t>月</w:t>
      </w:r>
      <w:r>
        <w:rPr>
          <w:rFonts w:hint="eastAsia" w:cs="宋体"/>
          <w:color w:val="FF0000"/>
          <w:szCs w:val="24"/>
          <w:shd w:val="pct10" w:color="auto" w:fill="FFFFFF"/>
          <w:lang w:val="en-US" w:eastAsia="zh-CN"/>
        </w:rPr>
        <w:t>05</w:t>
      </w:r>
      <w:r>
        <w:rPr>
          <w:rFonts w:hint="eastAsia" w:cs="宋体"/>
          <w:color w:val="FF0000"/>
          <w:szCs w:val="24"/>
          <w:shd w:val="pct10" w:color="auto" w:fill="FFFFFF"/>
        </w:rPr>
        <w:t>日 09时30分00秒</w:t>
      </w:r>
      <w:r>
        <w:rPr>
          <w:rFonts w:hint="eastAsia" w:cs="宋体"/>
          <w:szCs w:val="24"/>
        </w:rPr>
        <w:t>（北京时间）</w:t>
      </w:r>
    </w:p>
    <w:p>
      <w:pPr>
        <w:pStyle w:val="15"/>
        <w:widowControl/>
        <w:wordWrap w:val="0"/>
        <w:adjustRightInd w:val="0"/>
        <w:snapToGrid w:val="0"/>
        <w:spacing w:after="0" w:line="360" w:lineRule="auto"/>
        <w:ind w:firstLine="480" w:firstLineChars="200"/>
        <w:jc w:val="both"/>
        <w:rPr>
          <w:rFonts w:cs="宋体"/>
          <w:szCs w:val="24"/>
        </w:rPr>
      </w:pPr>
      <w:r>
        <w:rPr>
          <w:rFonts w:hint="eastAsia" w:cs="宋体"/>
          <w:szCs w:val="24"/>
        </w:rPr>
        <w:t>开标地点：呼伦贝尔市档案馆四楼会议室</w:t>
      </w:r>
    </w:p>
    <w:p>
      <w:pPr>
        <w:pStyle w:val="15"/>
        <w:widowControl/>
        <w:wordWrap w:val="0"/>
        <w:adjustRightInd w:val="0"/>
        <w:snapToGrid w:val="0"/>
        <w:spacing w:after="0" w:line="360" w:lineRule="auto"/>
        <w:ind w:firstLine="480" w:firstLineChars="200"/>
        <w:jc w:val="both"/>
        <w:rPr>
          <w:rFonts w:cs="宋体"/>
          <w:szCs w:val="24"/>
        </w:rPr>
      </w:pPr>
      <w:r>
        <w:rPr>
          <w:rFonts w:hint="eastAsia" w:cs="宋体"/>
          <w:szCs w:val="24"/>
        </w:rPr>
        <w:t>投标人在开标地点开启投标文件及相关资料，没有报名环节，直接投标.</w:t>
      </w:r>
    </w:p>
    <w:p>
      <w:pPr>
        <w:widowControl/>
        <w:wordWrap w:val="0"/>
        <w:spacing w:line="360" w:lineRule="auto"/>
        <w:jc w:val="both"/>
        <w:rPr>
          <w:sz w:val="24"/>
          <w:szCs w:val="24"/>
        </w:rPr>
      </w:pPr>
      <w:r>
        <w:rPr>
          <w:rStyle w:val="19"/>
          <w:rFonts w:hint="eastAsia"/>
          <w:color w:val="333333"/>
          <w:sz w:val="24"/>
          <w:szCs w:val="24"/>
        </w:rPr>
        <w:t>六、其他补充事宜</w:t>
      </w:r>
    </w:p>
    <w:p>
      <w:pPr>
        <w:pStyle w:val="15"/>
        <w:widowControl/>
        <w:wordWrap w:val="0"/>
        <w:spacing w:after="0" w:line="360" w:lineRule="auto"/>
        <w:ind w:firstLine="480" w:firstLineChars="200"/>
        <w:jc w:val="both"/>
        <w:rPr>
          <w:szCs w:val="24"/>
        </w:rPr>
      </w:pPr>
      <w:r>
        <w:rPr>
          <w:rFonts w:hint="eastAsia"/>
          <w:szCs w:val="24"/>
        </w:rPr>
        <w:t>1.各潜在供应商（投标人）获取采购（招标）文件后，有意向参与本项目投标的请按本公告第三款内容及时递交报名资料。</w:t>
      </w:r>
    </w:p>
    <w:p>
      <w:pPr>
        <w:pStyle w:val="15"/>
        <w:widowControl/>
        <w:wordWrap w:val="0"/>
        <w:spacing w:after="0" w:line="360" w:lineRule="auto"/>
        <w:ind w:firstLine="384"/>
        <w:jc w:val="both"/>
        <w:rPr>
          <w:rFonts w:cs="宋体"/>
          <w:color w:val="000000"/>
          <w:szCs w:val="24"/>
        </w:rPr>
      </w:pPr>
    </w:p>
    <w:p>
      <w:pPr>
        <w:widowControl/>
        <w:wordWrap w:val="0"/>
        <w:spacing w:line="360" w:lineRule="auto"/>
        <w:jc w:val="both"/>
        <w:rPr>
          <w:sz w:val="24"/>
          <w:szCs w:val="24"/>
        </w:rPr>
      </w:pPr>
      <w:r>
        <w:rPr>
          <w:rStyle w:val="19"/>
          <w:rFonts w:hint="eastAsia"/>
          <w:color w:val="333333"/>
          <w:sz w:val="24"/>
          <w:szCs w:val="24"/>
        </w:rPr>
        <w:t>七、对本次招标提出询问，请按以下方式联系。</w:t>
      </w:r>
    </w:p>
    <w:p>
      <w:pPr>
        <w:pStyle w:val="9"/>
        <w:spacing w:before="177"/>
        <w:ind w:left="5" w:firstLine="435"/>
        <w:rPr>
          <w:sz w:val="24"/>
          <w:szCs w:val="24"/>
        </w:rPr>
      </w:pPr>
      <w:r>
        <w:rPr>
          <w:rFonts w:hint="eastAsia"/>
          <w:sz w:val="24"/>
          <w:szCs w:val="24"/>
        </w:rPr>
        <w:t>1.釆购人信息</w:t>
      </w:r>
    </w:p>
    <w:p>
      <w:pPr>
        <w:pStyle w:val="9"/>
        <w:spacing w:before="177"/>
        <w:ind w:left="5" w:firstLine="435"/>
        <w:rPr>
          <w:sz w:val="24"/>
          <w:szCs w:val="24"/>
        </w:rPr>
      </w:pPr>
      <w:r>
        <w:rPr>
          <w:rFonts w:hint="eastAsia"/>
          <w:sz w:val="24"/>
          <w:szCs w:val="24"/>
        </w:rPr>
        <w:t>名称：呼伦贝尔市档案馆</w:t>
      </w:r>
    </w:p>
    <w:p>
      <w:pPr>
        <w:pStyle w:val="9"/>
        <w:spacing w:before="177"/>
        <w:ind w:left="5" w:firstLine="435"/>
        <w:rPr>
          <w:sz w:val="24"/>
          <w:szCs w:val="24"/>
        </w:rPr>
      </w:pPr>
      <w:r>
        <w:rPr>
          <w:rFonts w:hint="eastAsia"/>
          <w:sz w:val="24"/>
          <w:szCs w:val="24"/>
        </w:rPr>
        <w:t>地址：呼伦贝尔市鄂温克族自治旗新区规划九街呼伦贝尔市档案馆</w:t>
      </w:r>
    </w:p>
    <w:p>
      <w:pPr>
        <w:pStyle w:val="9"/>
        <w:spacing w:before="177"/>
        <w:ind w:left="5" w:firstLine="435"/>
        <w:rPr>
          <w:sz w:val="24"/>
          <w:szCs w:val="24"/>
        </w:rPr>
      </w:pPr>
      <w:r>
        <w:rPr>
          <w:rFonts w:hint="eastAsia"/>
          <w:sz w:val="24"/>
          <w:szCs w:val="24"/>
        </w:rPr>
        <w:t>联系方式：15694703896</w:t>
      </w:r>
      <w:r>
        <w:rPr>
          <w:rFonts w:hint="eastAsia"/>
          <w:sz w:val="24"/>
          <w:szCs w:val="24"/>
        </w:rPr>
        <w:tab/>
      </w:r>
    </w:p>
    <w:p>
      <w:pPr>
        <w:pStyle w:val="9"/>
        <w:spacing w:before="177"/>
        <w:ind w:left="5" w:firstLine="435"/>
        <w:rPr>
          <w:sz w:val="24"/>
          <w:szCs w:val="24"/>
        </w:rPr>
      </w:pPr>
      <w:r>
        <w:rPr>
          <w:rFonts w:hint="eastAsia"/>
          <w:sz w:val="24"/>
          <w:szCs w:val="24"/>
        </w:rPr>
        <w:t>2.釆购代理机构信息</w:t>
      </w:r>
    </w:p>
    <w:p>
      <w:pPr>
        <w:pStyle w:val="9"/>
        <w:spacing w:before="177"/>
        <w:ind w:left="5" w:firstLine="435"/>
        <w:rPr>
          <w:sz w:val="24"/>
          <w:szCs w:val="24"/>
        </w:rPr>
      </w:pPr>
      <w:r>
        <w:rPr>
          <w:rFonts w:hint="eastAsia"/>
          <w:sz w:val="24"/>
          <w:szCs w:val="24"/>
        </w:rPr>
        <w:t>名称：内蒙古百亚工程项目管理有限公司</w:t>
      </w:r>
    </w:p>
    <w:p>
      <w:pPr>
        <w:pStyle w:val="9"/>
        <w:spacing w:before="177"/>
        <w:ind w:left="5" w:firstLine="435"/>
        <w:rPr>
          <w:sz w:val="24"/>
          <w:szCs w:val="24"/>
        </w:rPr>
      </w:pPr>
      <w:r>
        <w:rPr>
          <w:rFonts w:hint="eastAsia"/>
          <w:sz w:val="24"/>
          <w:szCs w:val="24"/>
        </w:rPr>
        <w:t>地址：内蒙古自治区呼伦贝尔市海拉尔区友谊南苑小区10号楼西门</w:t>
      </w:r>
    </w:p>
    <w:p>
      <w:pPr>
        <w:pStyle w:val="9"/>
        <w:spacing w:before="177"/>
        <w:ind w:left="5" w:firstLine="435"/>
        <w:rPr>
          <w:rStyle w:val="27"/>
        </w:rPr>
      </w:pPr>
      <w:r>
        <w:rPr>
          <w:rFonts w:hint="eastAsia"/>
          <w:sz w:val="24"/>
          <w:szCs w:val="24"/>
        </w:rPr>
        <w:t>联系方式：</w:t>
      </w:r>
      <w:r>
        <w:rPr>
          <w:rStyle w:val="27"/>
          <w:rFonts w:hint="eastAsia"/>
        </w:rPr>
        <w:t>0470-8187999</w:t>
      </w:r>
    </w:p>
    <w:p>
      <w:pPr>
        <w:pStyle w:val="9"/>
        <w:spacing w:before="177"/>
        <w:ind w:left="5" w:firstLine="435"/>
        <w:rPr>
          <w:sz w:val="24"/>
          <w:szCs w:val="24"/>
        </w:rPr>
      </w:pPr>
      <w:r>
        <w:rPr>
          <w:rFonts w:hint="eastAsia"/>
          <w:sz w:val="24"/>
          <w:szCs w:val="24"/>
        </w:rPr>
        <w:t>3.项目联系方式</w:t>
      </w:r>
    </w:p>
    <w:p>
      <w:pPr>
        <w:pStyle w:val="9"/>
        <w:spacing w:before="177"/>
        <w:ind w:left="5" w:firstLine="435"/>
        <w:rPr>
          <w:sz w:val="24"/>
          <w:szCs w:val="24"/>
        </w:rPr>
      </w:pPr>
      <w:r>
        <w:rPr>
          <w:rFonts w:hint="eastAsia"/>
          <w:sz w:val="24"/>
          <w:szCs w:val="24"/>
        </w:rPr>
        <w:t>项目联系人：王先生</w:t>
      </w:r>
    </w:p>
    <w:p>
      <w:pPr>
        <w:pStyle w:val="9"/>
        <w:spacing w:before="177"/>
        <w:ind w:left="5" w:firstLine="435"/>
        <w:rPr>
          <w:sz w:val="24"/>
          <w:szCs w:val="24"/>
        </w:rPr>
      </w:pPr>
      <w:r>
        <w:rPr>
          <w:rFonts w:hint="eastAsia"/>
          <w:sz w:val="24"/>
          <w:szCs w:val="24"/>
        </w:rPr>
        <w:t>邮箱：3605304610@qq.com</w:t>
      </w:r>
    </w:p>
    <w:p>
      <w:pPr>
        <w:pStyle w:val="15"/>
        <w:widowControl/>
        <w:wordWrap w:val="0"/>
        <w:spacing w:after="0" w:line="360" w:lineRule="auto"/>
        <w:ind w:firstLine="384"/>
        <w:jc w:val="both"/>
        <w:rPr>
          <w:rFonts w:cs="宋体"/>
          <w:szCs w:val="24"/>
          <w:lang w:val="zh-CN" w:bidi="zh-CN"/>
        </w:rPr>
      </w:pPr>
      <w:r>
        <w:rPr>
          <w:rFonts w:hint="eastAsia" w:cs="宋体"/>
          <w:szCs w:val="24"/>
          <w:lang w:val="zh-CN" w:bidi="zh-CN"/>
        </w:rPr>
        <w:t>电话：0470-8187999</w:t>
      </w:r>
    </w:p>
    <w:p>
      <w:pPr>
        <w:pStyle w:val="15"/>
        <w:widowControl/>
        <w:wordWrap w:val="0"/>
        <w:spacing w:after="0" w:line="30" w:lineRule="atLeast"/>
        <w:ind w:firstLine="384"/>
        <w:jc w:val="right"/>
        <w:rPr>
          <w:rFonts w:cs="宋体"/>
          <w:color w:val="000000"/>
          <w:szCs w:val="24"/>
        </w:rPr>
      </w:pPr>
      <w:r>
        <w:rPr>
          <w:rFonts w:hint="eastAsia" w:cs="宋体"/>
          <w:color w:val="000000"/>
          <w:szCs w:val="24"/>
        </w:rPr>
        <w:t>内蒙古百亚工程项目管理有限公司</w:t>
      </w:r>
    </w:p>
    <w:p>
      <w:pPr>
        <w:pStyle w:val="15"/>
        <w:widowControl/>
        <w:spacing w:after="0" w:line="30" w:lineRule="atLeast"/>
        <w:ind w:right="480" w:firstLine="384"/>
        <w:jc w:val="right"/>
        <w:rPr>
          <w:rFonts w:cs="宋体"/>
          <w:color w:val="000000"/>
          <w:szCs w:val="24"/>
        </w:rPr>
      </w:pPr>
      <w:r>
        <w:rPr>
          <w:rFonts w:hint="eastAsia" w:cs="宋体"/>
          <w:color w:val="000000"/>
          <w:szCs w:val="24"/>
        </w:rPr>
        <w:t>2022年</w:t>
      </w:r>
      <w:r>
        <w:rPr>
          <w:rFonts w:hint="eastAsia" w:cs="宋体"/>
          <w:color w:val="000000"/>
          <w:szCs w:val="24"/>
          <w:lang w:val="en-US" w:eastAsia="zh-CN"/>
        </w:rPr>
        <w:t>6</w:t>
      </w:r>
      <w:r>
        <w:rPr>
          <w:rFonts w:hint="eastAsia" w:cs="宋体"/>
          <w:color w:val="000000"/>
          <w:szCs w:val="24"/>
        </w:rPr>
        <w:t>月</w:t>
      </w:r>
      <w:r>
        <w:rPr>
          <w:rFonts w:hint="eastAsia" w:cs="宋体"/>
          <w:color w:val="000000"/>
          <w:szCs w:val="24"/>
          <w:lang w:val="en-US" w:eastAsia="zh-CN"/>
        </w:rPr>
        <w:t>24</w:t>
      </w:r>
      <w:r>
        <w:rPr>
          <w:rFonts w:hint="eastAsia" w:cs="宋体"/>
          <w:color w:val="000000"/>
          <w:szCs w:val="24"/>
        </w:rPr>
        <w:t>日</w:t>
      </w:r>
    </w:p>
    <w:p>
      <w:pPr>
        <w:pStyle w:val="15"/>
        <w:widowControl/>
        <w:wordWrap w:val="0"/>
        <w:spacing w:after="0" w:line="30" w:lineRule="atLeast"/>
        <w:ind w:firstLine="384"/>
        <w:jc w:val="right"/>
        <w:rPr>
          <w:rFonts w:cs="宋体"/>
          <w:color w:val="000000"/>
          <w:szCs w:val="24"/>
        </w:rPr>
      </w:pPr>
      <w:r>
        <w:rPr>
          <w:rFonts w:hint="eastAsia" w:cs="宋体"/>
          <w:color w:val="000000"/>
          <w:szCs w:val="24"/>
        </w:rPr>
        <w:t xml:space="preserve"> </w:t>
      </w:r>
    </w:p>
    <w:p>
      <w:r>
        <w:br w:type="page"/>
      </w:r>
    </w:p>
    <w:p>
      <w:pPr>
        <w:pStyle w:val="2"/>
        <w:ind w:firstLine="0"/>
        <w:jc w:val="center"/>
        <w:outlineLvl w:val="0"/>
        <w:rPr>
          <w:b/>
          <w:bCs/>
          <w:sz w:val="44"/>
          <w:szCs w:val="44"/>
        </w:rPr>
      </w:pPr>
      <w:bookmarkStart w:id="1" w:name="_Toc19141"/>
      <w:r>
        <w:rPr>
          <w:rFonts w:hint="eastAsia"/>
          <w:b/>
          <w:bCs/>
          <w:sz w:val="44"/>
          <w:szCs w:val="44"/>
        </w:rPr>
        <w:t>第二章</w:t>
      </w:r>
      <w:r>
        <w:rPr>
          <w:rFonts w:hint="eastAsia"/>
          <w:b/>
          <w:bCs/>
          <w:sz w:val="44"/>
          <w:szCs w:val="44"/>
          <w:lang w:val="en-US"/>
        </w:rPr>
        <w:t xml:space="preserve">  </w:t>
      </w:r>
      <w:r>
        <w:rPr>
          <w:rFonts w:hint="eastAsia"/>
          <w:b/>
          <w:bCs/>
          <w:sz w:val="44"/>
          <w:szCs w:val="44"/>
        </w:rPr>
        <w:t>投标人须知表</w:t>
      </w:r>
      <w:bookmarkEnd w:id="1"/>
    </w:p>
    <w:tbl>
      <w:tblPr>
        <w:tblStyle w:val="16"/>
        <w:tblW w:w="4998"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autofit"/>
        <w:tblCellMar>
          <w:top w:w="0" w:type="dxa"/>
          <w:left w:w="0" w:type="dxa"/>
          <w:bottom w:w="0" w:type="dxa"/>
          <w:right w:w="0" w:type="dxa"/>
        </w:tblCellMar>
      </w:tblPr>
      <w:tblGrid>
        <w:gridCol w:w="456"/>
        <w:gridCol w:w="1059"/>
        <w:gridCol w:w="679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17" w:hRule="atLeast"/>
          <w:jc w:val="center"/>
        </w:trPr>
        <w:tc>
          <w:tcPr>
            <w:tcW w:w="274" w:type="pct"/>
            <w:tcBorders>
              <w:tl2br w:val="nil"/>
              <w:tr2bl w:val="nil"/>
            </w:tcBorders>
            <w:shd w:val="clear" w:color="auto" w:fill="FFFFFF" w:themeFill="background1"/>
          </w:tcPr>
          <w:p>
            <w:pPr>
              <w:pStyle w:val="21"/>
              <w:spacing w:before="48"/>
              <w:ind w:left="106"/>
              <w:rPr>
                <w:b/>
                <w:sz w:val="19"/>
              </w:rPr>
            </w:pPr>
            <w:r>
              <w:rPr>
                <w:b/>
                <w:sz w:val="19"/>
              </w:rPr>
              <w:t>序</w:t>
            </w:r>
          </w:p>
          <w:p>
            <w:pPr>
              <w:pStyle w:val="21"/>
              <w:spacing w:before="117"/>
              <w:ind w:left="70"/>
              <w:rPr>
                <w:b/>
                <w:sz w:val="19"/>
              </w:rPr>
            </w:pPr>
            <w:r>
              <w:rPr>
                <w:b/>
                <w:sz w:val="19"/>
              </w:rPr>
              <w:t>号</w:t>
            </w:r>
          </w:p>
        </w:tc>
        <w:tc>
          <w:tcPr>
            <w:tcW w:w="637" w:type="pct"/>
            <w:tcBorders>
              <w:tl2br w:val="nil"/>
              <w:tr2bl w:val="nil"/>
            </w:tcBorders>
            <w:shd w:val="clear" w:color="auto" w:fill="FFFFFF" w:themeFill="background1"/>
          </w:tcPr>
          <w:p>
            <w:pPr>
              <w:pStyle w:val="21"/>
              <w:spacing w:before="48"/>
              <w:ind w:left="56" w:right="65"/>
              <w:jc w:val="center"/>
              <w:rPr>
                <w:b/>
                <w:sz w:val="19"/>
              </w:rPr>
            </w:pPr>
            <w:r>
              <w:rPr>
                <w:b/>
                <w:sz w:val="19"/>
              </w:rPr>
              <w:t>条款</w:t>
            </w:r>
          </w:p>
          <w:p>
            <w:pPr>
              <w:pStyle w:val="21"/>
              <w:spacing w:before="48"/>
              <w:ind w:left="56" w:right="65"/>
              <w:jc w:val="center"/>
              <w:rPr>
                <w:b/>
                <w:sz w:val="19"/>
              </w:rPr>
            </w:pPr>
            <w:r>
              <w:rPr>
                <w:b/>
                <w:sz w:val="19"/>
              </w:rPr>
              <w:t>名称</w:t>
            </w:r>
          </w:p>
        </w:tc>
        <w:tc>
          <w:tcPr>
            <w:tcW w:w="4087" w:type="pct"/>
            <w:tcBorders>
              <w:tl2br w:val="nil"/>
              <w:tr2bl w:val="nil"/>
            </w:tcBorders>
            <w:shd w:val="clear" w:color="auto" w:fill="FFFFFF" w:themeFill="background1"/>
          </w:tcPr>
          <w:p>
            <w:pPr>
              <w:pStyle w:val="21"/>
              <w:spacing w:before="10"/>
              <w:rPr>
                <w:b/>
                <w:sz w:val="17"/>
              </w:rPr>
            </w:pPr>
          </w:p>
          <w:p>
            <w:pPr>
              <w:pStyle w:val="21"/>
              <w:spacing w:before="1"/>
              <w:ind w:left="72" w:right="11"/>
              <w:jc w:val="center"/>
              <w:rPr>
                <w:b/>
                <w:sz w:val="19"/>
              </w:rPr>
            </w:pPr>
            <w:r>
              <w:rPr>
                <w:b/>
                <w:sz w:val="19"/>
              </w:rPr>
              <w:t>内容及要求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17" w:hRule="atLeast"/>
          <w:jc w:val="center"/>
        </w:trPr>
        <w:tc>
          <w:tcPr>
            <w:tcW w:w="274" w:type="pct"/>
            <w:tcBorders>
              <w:tl2br w:val="nil"/>
              <w:tr2bl w:val="nil"/>
            </w:tcBorders>
            <w:shd w:val="clear" w:color="auto" w:fill="FFFFFF" w:themeFill="background1"/>
            <w:vAlign w:val="center"/>
          </w:tcPr>
          <w:p>
            <w:pPr>
              <w:pStyle w:val="21"/>
              <w:spacing w:before="10"/>
              <w:jc w:val="both"/>
              <w:rPr>
                <w:b/>
                <w:sz w:val="17"/>
              </w:rPr>
            </w:pPr>
          </w:p>
          <w:p>
            <w:pPr>
              <w:pStyle w:val="21"/>
              <w:spacing w:before="1"/>
              <w:ind w:left="154"/>
              <w:jc w:val="both"/>
              <w:rPr>
                <w:sz w:val="19"/>
              </w:rPr>
            </w:pPr>
            <w:r>
              <w:rPr>
                <w:w w:val="128"/>
                <w:sz w:val="19"/>
              </w:rPr>
              <w:t>1</w:t>
            </w:r>
          </w:p>
        </w:tc>
        <w:tc>
          <w:tcPr>
            <w:tcW w:w="637" w:type="pct"/>
            <w:tcBorders>
              <w:tl2br w:val="nil"/>
              <w:tr2bl w:val="nil"/>
            </w:tcBorders>
            <w:shd w:val="clear" w:color="auto" w:fill="FFFFFF" w:themeFill="background1"/>
            <w:vAlign w:val="center"/>
          </w:tcPr>
          <w:p>
            <w:pPr>
              <w:pStyle w:val="21"/>
              <w:spacing w:before="48"/>
              <w:ind w:right="65"/>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分包情</w:t>
            </w:r>
            <w:r>
              <w:rPr>
                <w:rFonts w:hint="eastAsia" w:asciiTheme="minorEastAsia" w:hAnsiTheme="minorEastAsia" w:eastAsiaTheme="minorEastAsia" w:cstheme="minorEastAsia"/>
                <w:w w:val="101"/>
                <w:sz w:val="21"/>
                <w:szCs w:val="21"/>
              </w:rPr>
              <w:t>况</w:t>
            </w:r>
          </w:p>
        </w:tc>
        <w:tc>
          <w:tcPr>
            <w:tcW w:w="4087" w:type="pct"/>
            <w:tcBorders>
              <w:tl2br w:val="nil"/>
              <w:tr2bl w:val="nil"/>
            </w:tcBorders>
            <w:shd w:val="clear" w:color="auto" w:fill="FFFFFF" w:themeFill="background1"/>
            <w:vAlign w:val="center"/>
          </w:tcPr>
          <w:p>
            <w:pPr>
              <w:pStyle w:val="21"/>
              <w:spacing w:before="10"/>
              <w:jc w:val="both"/>
              <w:rPr>
                <w:rFonts w:asciiTheme="minorEastAsia" w:hAnsiTheme="minorEastAsia" w:eastAsiaTheme="minorEastAsia" w:cstheme="minorEastAsia"/>
                <w:b/>
                <w:sz w:val="21"/>
                <w:szCs w:val="21"/>
              </w:rPr>
            </w:pPr>
          </w:p>
          <w:p>
            <w:pPr>
              <w:pStyle w:val="21"/>
              <w:spacing w:before="1"/>
              <w:ind w:left="64"/>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w w:val="110"/>
                <w:sz w:val="21"/>
                <w:szCs w:val="21"/>
              </w:rPr>
              <w:t>共1包</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17" w:hRule="atLeast"/>
          <w:jc w:val="center"/>
        </w:trPr>
        <w:tc>
          <w:tcPr>
            <w:tcW w:w="274" w:type="pct"/>
            <w:tcBorders>
              <w:tl2br w:val="nil"/>
              <w:tr2bl w:val="nil"/>
            </w:tcBorders>
            <w:shd w:val="clear" w:color="auto" w:fill="FFFFFF" w:themeFill="background1"/>
            <w:vAlign w:val="center"/>
          </w:tcPr>
          <w:p>
            <w:pPr>
              <w:pStyle w:val="21"/>
              <w:spacing w:before="10"/>
              <w:jc w:val="both"/>
              <w:rPr>
                <w:b/>
                <w:sz w:val="17"/>
              </w:rPr>
            </w:pPr>
          </w:p>
          <w:p>
            <w:pPr>
              <w:pStyle w:val="21"/>
              <w:spacing w:before="1"/>
              <w:ind w:left="154"/>
              <w:jc w:val="both"/>
              <w:rPr>
                <w:sz w:val="19"/>
              </w:rPr>
            </w:pPr>
            <w:r>
              <w:rPr>
                <w:w w:val="128"/>
                <w:sz w:val="19"/>
              </w:rPr>
              <w:t>2</w:t>
            </w:r>
          </w:p>
        </w:tc>
        <w:tc>
          <w:tcPr>
            <w:tcW w:w="637" w:type="pct"/>
            <w:tcBorders>
              <w:tl2br w:val="nil"/>
              <w:tr2bl w:val="nil"/>
            </w:tcBorders>
            <w:shd w:val="clear" w:color="auto" w:fill="FFFFFF" w:themeFill="background1"/>
            <w:vAlign w:val="center"/>
          </w:tcPr>
          <w:p>
            <w:pPr>
              <w:pStyle w:val="21"/>
              <w:spacing w:before="48"/>
              <w:ind w:right="53"/>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采购方</w:t>
            </w:r>
            <w:r>
              <w:rPr>
                <w:rFonts w:hint="eastAsia" w:asciiTheme="minorEastAsia" w:hAnsiTheme="minorEastAsia" w:eastAsiaTheme="minorEastAsia" w:cstheme="minorEastAsia"/>
                <w:w w:val="101"/>
                <w:sz w:val="21"/>
                <w:szCs w:val="21"/>
              </w:rPr>
              <w:t>式</w:t>
            </w:r>
          </w:p>
        </w:tc>
        <w:tc>
          <w:tcPr>
            <w:tcW w:w="4087" w:type="pct"/>
            <w:tcBorders>
              <w:tl2br w:val="nil"/>
              <w:tr2bl w:val="nil"/>
            </w:tcBorders>
            <w:shd w:val="clear" w:color="auto" w:fill="FFFFFF" w:themeFill="background1"/>
            <w:vAlign w:val="center"/>
          </w:tcPr>
          <w:p>
            <w:pPr>
              <w:pStyle w:val="21"/>
              <w:spacing w:before="10"/>
              <w:jc w:val="both"/>
              <w:rPr>
                <w:rFonts w:asciiTheme="minorEastAsia" w:hAnsiTheme="minorEastAsia" w:eastAsiaTheme="minorEastAsia" w:cstheme="minorEastAsia"/>
                <w:b/>
                <w:sz w:val="21"/>
                <w:szCs w:val="21"/>
              </w:rPr>
            </w:pPr>
          </w:p>
          <w:p>
            <w:pPr>
              <w:pStyle w:val="21"/>
              <w:spacing w:before="1"/>
              <w:ind w:left="64"/>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竞争性谈判</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17" w:hRule="atLeast"/>
          <w:jc w:val="center"/>
        </w:trPr>
        <w:tc>
          <w:tcPr>
            <w:tcW w:w="274" w:type="pct"/>
            <w:tcBorders>
              <w:tl2br w:val="nil"/>
              <w:tr2bl w:val="nil"/>
            </w:tcBorders>
            <w:shd w:val="clear" w:color="auto" w:fill="FFFFFF" w:themeFill="background1"/>
            <w:vAlign w:val="center"/>
          </w:tcPr>
          <w:p>
            <w:pPr>
              <w:pStyle w:val="21"/>
              <w:spacing w:before="10"/>
              <w:jc w:val="both"/>
              <w:rPr>
                <w:b/>
                <w:sz w:val="17"/>
              </w:rPr>
            </w:pPr>
          </w:p>
          <w:p>
            <w:pPr>
              <w:pStyle w:val="21"/>
              <w:spacing w:before="1"/>
              <w:ind w:left="154"/>
              <w:jc w:val="both"/>
              <w:rPr>
                <w:sz w:val="19"/>
              </w:rPr>
            </w:pPr>
            <w:r>
              <w:rPr>
                <w:w w:val="128"/>
                <w:sz w:val="19"/>
              </w:rPr>
              <w:t>3</w:t>
            </w:r>
          </w:p>
        </w:tc>
        <w:tc>
          <w:tcPr>
            <w:tcW w:w="637" w:type="pct"/>
            <w:tcBorders>
              <w:tl2br w:val="nil"/>
              <w:tr2bl w:val="nil"/>
            </w:tcBorders>
            <w:shd w:val="clear" w:color="auto" w:fill="FFFFFF" w:themeFill="background1"/>
            <w:vAlign w:val="center"/>
          </w:tcPr>
          <w:p>
            <w:pPr>
              <w:pStyle w:val="21"/>
              <w:spacing w:before="48"/>
              <w:ind w:right="53"/>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开标方</w:t>
            </w:r>
            <w:r>
              <w:rPr>
                <w:rFonts w:hint="eastAsia" w:asciiTheme="minorEastAsia" w:hAnsiTheme="minorEastAsia" w:eastAsiaTheme="minorEastAsia" w:cstheme="minorEastAsia"/>
                <w:w w:val="101"/>
                <w:sz w:val="21"/>
                <w:szCs w:val="21"/>
              </w:rPr>
              <w:t>式</w:t>
            </w:r>
          </w:p>
        </w:tc>
        <w:tc>
          <w:tcPr>
            <w:tcW w:w="4087" w:type="pct"/>
            <w:tcBorders>
              <w:tl2br w:val="nil"/>
              <w:tr2bl w:val="nil"/>
            </w:tcBorders>
            <w:shd w:val="clear" w:color="auto" w:fill="FFFFFF" w:themeFill="background1"/>
            <w:vAlign w:val="center"/>
          </w:tcPr>
          <w:p>
            <w:pPr>
              <w:pStyle w:val="21"/>
              <w:spacing w:before="10"/>
              <w:jc w:val="both"/>
              <w:rPr>
                <w:rFonts w:asciiTheme="minorEastAsia" w:hAnsiTheme="minorEastAsia" w:eastAsiaTheme="minorEastAsia" w:cstheme="minorEastAsia"/>
                <w:b/>
                <w:sz w:val="21"/>
                <w:szCs w:val="21"/>
              </w:rPr>
            </w:pPr>
          </w:p>
          <w:p>
            <w:pPr>
              <w:pStyle w:val="15"/>
              <w:widowControl/>
              <w:wordWrap w:val="0"/>
              <w:adjustRightInd w:val="0"/>
              <w:snapToGrid w:val="0"/>
              <w:spacing w:after="0"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开标时间：</w:t>
            </w:r>
            <w:r>
              <w:rPr>
                <w:rFonts w:hint="eastAsia" w:asciiTheme="minorEastAsia" w:hAnsiTheme="minorEastAsia" w:eastAsiaTheme="minorEastAsia" w:cstheme="minorEastAsia"/>
                <w:color w:val="0000FF"/>
                <w:sz w:val="21"/>
                <w:szCs w:val="21"/>
              </w:rPr>
              <w:t>2022年0</w:t>
            </w:r>
            <w:r>
              <w:rPr>
                <w:rFonts w:hint="eastAsia" w:asciiTheme="minorEastAsia" w:hAnsiTheme="minorEastAsia" w:eastAsiaTheme="minorEastAsia" w:cstheme="minorEastAsia"/>
                <w:color w:val="0000FF"/>
                <w:sz w:val="21"/>
                <w:szCs w:val="21"/>
                <w:lang w:val="en-US" w:eastAsia="zh-CN"/>
              </w:rPr>
              <w:t>7</w:t>
            </w:r>
            <w:r>
              <w:rPr>
                <w:rFonts w:hint="eastAsia" w:asciiTheme="minorEastAsia" w:hAnsiTheme="minorEastAsia" w:eastAsiaTheme="minorEastAsia" w:cstheme="minorEastAsia"/>
                <w:color w:val="0000FF"/>
                <w:sz w:val="21"/>
                <w:szCs w:val="21"/>
              </w:rPr>
              <w:t>月</w:t>
            </w:r>
            <w:r>
              <w:rPr>
                <w:rFonts w:hint="eastAsia" w:asciiTheme="minorEastAsia" w:hAnsiTheme="minorEastAsia" w:eastAsiaTheme="minorEastAsia" w:cstheme="minorEastAsia"/>
                <w:color w:val="0000FF"/>
                <w:sz w:val="21"/>
                <w:szCs w:val="21"/>
                <w:lang w:val="en-US" w:eastAsia="zh-CN"/>
              </w:rPr>
              <w:t>05</w:t>
            </w:r>
            <w:r>
              <w:rPr>
                <w:rFonts w:hint="eastAsia" w:asciiTheme="minorEastAsia" w:hAnsiTheme="minorEastAsia" w:eastAsiaTheme="minorEastAsia" w:cstheme="minorEastAsia"/>
                <w:color w:val="0000FF"/>
                <w:sz w:val="21"/>
                <w:szCs w:val="21"/>
              </w:rPr>
              <w:t>日 09时30分00秒（北京时间）</w:t>
            </w:r>
          </w:p>
          <w:p>
            <w:pPr>
              <w:pStyle w:val="15"/>
              <w:widowControl/>
              <w:wordWrap w:val="0"/>
              <w:adjustRightInd w:val="0"/>
              <w:snapToGrid w:val="0"/>
              <w:spacing w:after="0"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开标地点：呼伦贝尔市档案馆四楼会议室</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17" w:hRule="atLeast"/>
          <w:jc w:val="center"/>
        </w:trPr>
        <w:tc>
          <w:tcPr>
            <w:tcW w:w="274" w:type="pct"/>
            <w:tcBorders>
              <w:tl2br w:val="nil"/>
              <w:tr2bl w:val="nil"/>
            </w:tcBorders>
            <w:shd w:val="clear" w:color="auto" w:fill="FFFFFF" w:themeFill="background1"/>
            <w:vAlign w:val="center"/>
          </w:tcPr>
          <w:p>
            <w:pPr>
              <w:pStyle w:val="21"/>
              <w:spacing w:before="10"/>
              <w:jc w:val="both"/>
              <w:rPr>
                <w:b/>
                <w:sz w:val="17"/>
              </w:rPr>
            </w:pPr>
          </w:p>
          <w:p>
            <w:pPr>
              <w:pStyle w:val="21"/>
              <w:spacing w:before="1"/>
              <w:ind w:left="154"/>
              <w:jc w:val="both"/>
              <w:rPr>
                <w:sz w:val="19"/>
              </w:rPr>
            </w:pPr>
            <w:r>
              <w:rPr>
                <w:w w:val="128"/>
                <w:sz w:val="19"/>
              </w:rPr>
              <w:t>4</w:t>
            </w:r>
          </w:p>
        </w:tc>
        <w:tc>
          <w:tcPr>
            <w:tcW w:w="637" w:type="pct"/>
            <w:tcBorders>
              <w:tl2br w:val="nil"/>
              <w:tr2bl w:val="nil"/>
            </w:tcBorders>
            <w:shd w:val="clear" w:color="auto" w:fill="FFFFFF" w:themeFill="background1"/>
            <w:vAlign w:val="center"/>
          </w:tcPr>
          <w:p>
            <w:pPr>
              <w:pStyle w:val="21"/>
              <w:spacing w:before="48"/>
              <w:ind w:right="53"/>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w:t>
            </w:r>
            <w:r>
              <w:rPr>
                <w:rFonts w:hint="eastAsia" w:asciiTheme="minorEastAsia" w:hAnsiTheme="minorEastAsia" w:eastAsiaTheme="minorEastAsia" w:cstheme="minorEastAsia"/>
                <w:w w:val="101"/>
                <w:sz w:val="21"/>
                <w:szCs w:val="21"/>
              </w:rPr>
              <w:t>式</w:t>
            </w:r>
          </w:p>
        </w:tc>
        <w:tc>
          <w:tcPr>
            <w:tcW w:w="4087" w:type="pct"/>
            <w:tcBorders>
              <w:tl2br w:val="nil"/>
              <w:tr2bl w:val="nil"/>
            </w:tcBorders>
            <w:shd w:val="clear" w:color="auto" w:fill="FFFFFF" w:themeFill="background1"/>
            <w:vAlign w:val="center"/>
          </w:tcPr>
          <w:p>
            <w:pPr>
              <w:pStyle w:val="21"/>
              <w:spacing w:before="10"/>
              <w:jc w:val="both"/>
              <w:rPr>
                <w:rFonts w:asciiTheme="minorEastAsia" w:hAnsiTheme="minorEastAsia" w:eastAsiaTheme="minorEastAsia" w:cstheme="minorEastAsia"/>
                <w:b/>
                <w:sz w:val="21"/>
                <w:szCs w:val="21"/>
              </w:rPr>
            </w:pPr>
          </w:p>
          <w:p>
            <w:pPr>
              <w:pStyle w:val="21"/>
              <w:spacing w:before="1"/>
              <w:ind w:left="64"/>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现场评标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17" w:hRule="atLeast"/>
          <w:jc w:val="center"/>
        </w:trPr>
        <w:tc>
          <w:tcPr>
            <w:tcW w:w="274" w:type="pct"/>
            <w:tcBorders>
              <w:tl2br w:val="nil"/>
              <w:tr2bl w:val="nil"/>
            </w:tcBorders>
            <w:shd w:val="clear" w:color="auto" w:fill="FFFFFF" w:themeFill="background1"/>
            <w:vAlign w:val="center"/>
          </w:tcPr>
          <w:p>
            <w:pPr>
              <w:pStyle w:val="21"/>
              <w:spacing w:before="10"/>
              <w:jc w:val="both"/>
              <w:rPr>
                <w:b/>
                <w:sz w:val="17"/>
              </w:rPr>
            </w:pPr>
          </w:p>
          <w:p>
            <w:pPr>
              <w:pStyle w:val="21"/>
              <w:spacing w:before="1"/>
              <w:ind w:left="154"/>
              <w:jc w:val="both"/>
              <w:rPr>
                <w:sz w:val="19"/>
              </w:rPr>
            </w:pPr>
            <w:r>
              <w:rPr>
                <w:w w:val="128"/>
                <w:sz w:val="19"/>
              </w:rPr>
              <w:t>5</w:t>
            </w:r>
          </w:p>
        </w:tc>
        <w:tc>
          <w:tcPr>
            <w:tcW w:w="637" w:type="pct"/>
            <w:tcBorders>
              <w:tl2br w:val="nil"/>
              <w:tr2bl w:val="nil"/>
            </w:tcBorders>
            <w:shd w:val="clear" w:color="auto" w:fill="FFFFFF" w:themeFill="background1"/>
            <w:vAlign w:val="center"/>
          </w:tcPr>
          <w:p>
            <w:pPr>
              <w:pStyle w:val="21"/>
              <w:spacing w:before="48"/>
              <w:ind w:right="53"/>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评标办</w:t>
            </w:r>
            <w:r>
              <w:rPr>
                <w:rFonts w:hint="eastAsia" w:asciiTheme="minorEastAsia" w:hAnsiTheme="minorEastAsia" w:eastAsiaTheme="minorEastAsia" w:cstheme="minorEastAsia"/>
                <w:w w:val="101"/>
                <w:sz w:val="21"/>
                <w:szCs w:val="21"/>
              </w:rPr>
              <w:t>法</w:t>
            </w:r>
          </w:p>
        </w:tc>
        <w:tc>
          <w:tcPr>
            <w:tcW w:w="4087" w:type="pct"/>
            <w:tcBorders>
              <w:tl2br w:val="nil"/>
              <w:tr2bl w:val="nil"/>
            </w:tcBorders>
            <w:shd w:val="clear" w:color="auto" w:fill="FFFFFF" w:themeFill="background1"/>
            <w:vAlign w:val="center"/>
          </w:tcPr>
          <w:p>
            <w:pPr>
              <w:pStyle w:val="21"/>
              <w:spacing w:before="10"/>
              <w:jc w:val="both"/>
              <w:rPr>
                <w:rFonts w:asciiTheme="minorEastAsia" w:hAnsiTheme="minorEastAsia" w:eastAsiaTheme="minorEastAsia" w:cstheme="minorEastAsia"/>
                <w:b/>
                <w:sz w:val="21"/>
                <w:szCs w:val="21"/>
              </w:rPr>
            </w:pPr>
          </w:p>
          <w:p>
            <w:pPr>
              <w:pStyle w:val="21"/>
              <w:spacing w:before="1"/>
              <w:ind w:left="64"/>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最低评标价法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1875" w:hRule="atLeast"/>
          <w:jc w:val="center"/>
        </w:trPr>
        <w:tc>
          <w:tcPr>
            <w:tcW w:w="274" w:type="pct"/>
            <w:tcBorders>
              <w:tl2br w:val="nil"/>
              <w:tr2bl w:val="nil"/>
            </w:tcBorders>
            <w:shd w:val="clear" w:color="auto" w:fill="FFFFFF" w:themeFill="background1"/>
            <w:vAlign w:val="center"/>
          </w:tcPr>
          <w:p>
            <w:pPr>
              <w:pStyle w:val="21"/>
              <w:jc w:val="both"/>
              <w:rPr>
                <w:b/>
              </w:rPr>
            </w:pPr>
          </w:p>
          <w:p>
            <w:pPr>
              <w:pStyle w:val="21"/>
              <w:jc w:val="both"/>
              <w:rPr>
                <w:b/>
              </w:rPr>
            </w:pPr>
          </w:p>
          <w:p>
            <w:pPr>
              <w:pStyle w:val="21"/>
              <w:jc w:val="both"/>
              <w:rPr>
                <w:b/>
              </w:rPr>
            </w:pPr>
          </w:p>
          <w:p>
            <w:pPr>
              <w:pStyle w:val="21"/>
              <w:spacing w:before="1"/>
              <w:jc w:val="both"/>
              <w:rPr>
                <w:b/>
              </w:rPr>
            </w:pPr>
          </w:p>
          <w:p>
            <w:pPr>
              <w:pStyle w:val="21"/>
              <w:ind w:left="154"/>
              <w:jc w:val="both"/>
              <w:rPr>
                <w:sz w:val="19"/>
              </w:rPr>
            </w:pPr>
            <w:r>
              <w:rPr>
                <w:w w:val="128"/>
                <w:sz w:val="19"/>
              </w:rPr>
              <w:t>6</w:t>
            </w:r>
          </w:p>
        </w:tc>
        <w:tc>
          <w:tcPr>
            <w:tcW w:w="637" w:type="pct"/>
            <w:tcBorders>
              <w:tl2br w:val="nil"/>
              <w:tr2bl w:val="nil"/>
            </w:tcBorders>
            <w:shd w:val="clear" w:color="auto" w:fill="FFFFFF" w:themeFill="background1"/>
            <w:vAlign w:val="center"/>
          </w:tcPr>
          <w:p>
            <w:pPr>
              <w:pStyle w:val="21"/>
              <w:spacing w:before="48" w:line="355" w:lineRule="auto"/>
              <w:ind w:right="126"/>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获取谈判文件时间（同谈判文件提供期限）</w:t>
            </w:r>
          </w:p>
        </w:tc>
        <w:tc>
          <w:tcPr>
            <w:tcW w:w="4087" w:type="pct"/>
            <w:tcBorders>
              <w:tl2br w:val="nil"/>
              <w:tr2bl w:val="nil"/>
            </w:tcBorders>
            <w:shd w:val="clear" w:color="auto" w:fill="FFFFFF" w:themeFill="background1"/>
            <w:vAlign w:val="center"/>
          </w:tcPr>
          <w:p>
            <w:pPr>
              <w:pStyle w:val="21"/>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详见谈判公告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2209" w:hRule="atLeast"/>
          <w:jc w:val="center"/>
        </w:trPr>
        <w:tc>
          <w:tcPr>
            <w:tcW w:w="274" w:type="pct"/>
            <w:tcBorders>
              <w:tl2br w:val="nil"/>
              <w:tr2bl w:val="nil"/>
            </w:tcBorders>
            <w:shd w:val="clear" w:color="auto" w:fill="FFFFFF" w:themeFill="background1"/>
            <w:vAlign w:val="center"/>
          </w:tcPr>
          <w:p>
            <w:pPr>
              <w:pStyle w:val="21"/>
              <w:jc w:val="both"/>
              <w:rPr>
                <w:b/>
              </w:rPr>
            </w:pPr>
          </w:p>
          <w:p>
            <w:pPr>
              <w:pStyle w:val="21"/>
              <w:jc w:val="both"/>
              <w:rPr>
                <w:b/>
              </w:rPr>
            </w:pPr>
          </w:p>
          <w:p>
            <w:pPr>
              <w:pStyle w:val="21"/>
              <w:jc w:val="both"/>
              <w:rPr>
                <w:b/>
              </w:rPr>
            </w:pPr>
          </w:p>
          <w:p>
            <w:pPr>
              <w:pStyle w:val="21"/>
              <w:jc w:val="both"/>
              <w:rPr>
                <w:b/>
              </w:rPr>
            </w:pPr>
          </w:p>
          <w:p>
            <w:pPr>
              <w:pStyle w:val="21"/>
              <w:spacing w:before="181"/>
              <w:ind w:left="154"/>
              <w:jc w:val="both"/>
              <w:rPr>
                <w:sz w:val="19"/>
              </w:rPr>
            </w:pPr>
            <w:r>
              <w:rPr>
                <w:w w:val="128"/>
                <w:sz w:val="19"/>
              </w:rPr>
              <w:t>7</w:t>
            </w:r>
          </w:p>
        </w:tc>
        <w:tc>
          <w:tcPr>
            <w:tcW w:w="637" w:type="pct"/>
            <w:tcBorders>
              <w:tl2br w:val="nil"/>
              <w:tr2bl w:val="nil"/>
            </w:tcBorders>
            <w:shd w:val="clear" w:color="auto" w:fill="FFFFFF" w:themeFill="background1"/>
            <w:vAlign w:val="center"/>
          </w:tcPr>
          <w:p>
            <w:pPr>
              <w:pStyle w:val="21"/>
              <w:spacing w:before="48" w:line="355" w:lineRule="auto"/>
              <w:ind w:right="126"/>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保证金缴纳截止时间（</w:t>
            </w:r>
            <w:r>
              <w:rPr>
                <w:rFonts w:hint="eastAsia" w:asciiTheme="minorEastAsia" w:hAnsiTheme="minorEastAsia" w:eastAsiaTheme="minorEastAsia" w:cstheme="minorEastAsia"/>
                <w:spacing w:val="-9"/>
                <w:sz w:val="21"/>
                <w:szCs w:val="21"/>
              </w:rPr>
              <w:t>同递</w:t>
            </w:r>
            <w:r>
              <w:rPr>
                <w:rFonts w:hint="eastAsia" w:asciiTheme="minorEastAsia" w:hAnsiTheme="minorEastAsia" w:eastAsiaTheme="minorEastAsia" w:cstheme="minorEastAsia"/>
                <w:spacing w:val="-7"/>
                <w:sz w:val="21"/>
                <w:szCs w:val="21"/>
              </w:rPr>
              <w:t>交响应文件截</w:t>
            </w:r>
            <w:r>
              <w:rPr>
                <w:rFonts w:hint="eastAsia" w:asciiTheme="minorEastAsia" w:hAnsiTheme="minorEastAsia" w:eastAsiaTheme="minorEastAsia" w:cstheme="minorEastAsia"/>
                <w:sz w:val="21"/>
                <w:szCs w:val="21"/>
              </w:rPr>
              <w:t>止时间）</w:t>
            </w:r>
          </w:p>
        </w:tc>
        <w:tc>
          <w:tcPr>
            <w:tcW w:w="4087" w:type="pct"/>
            <w:tcBorders>
              <w:tl2br w:val="nil"/>
              <w:tr2bl w:val="nil"/>
            </w:tcBorders>
            <w:shd w:val="clear" w:color="auto" w:fill="FFFFFF" w:themeFill="background1"/>
            <w:vAlign w:val="center"/>
          </w:tcPr>
          <w:p>
            <w:pPr>
              <w:pStyle w:val="21"/>
              <w:spacing w:before="155"/>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本项目无需缴纳投标保证金</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809" w:hRule="atLeast"/>
          <w:jc w:val="center"/>
        </w:trPr>
        <w:tc>
          <w:tcPr>
            <w:tcW w:w="274" w:type="pct"/>
            <w:tcBorders>
              <w:tl2br w:val="nil"/>
              <w:tr2bl w:val="nil"/>
            </w:tcBorders>
            <w:shd w:val="clear" w:color="auto" w:fill="FFFFFF" w:themeFill="background1"/>
            <w:vAlign w:val="center"/>
          </w:tcPr>
          <w:p>
            <w:pPr>
              <w:pStyle w:val="21"/>
              <w:spacing w:before="11"/>
              <w:jc w:val="both"/>
              <w:rPr>
                <w:b/>
                <w:sz w:val="31"/>
              </w:rPr>
            </w:pPr>
          </w:p>
          <w:p>
            <w:pPr>
              <w:pStyle w:val="21"/>
              <w:ind w:left="154"/>
              <w:jc w:val="both"/>
              <w:rPr>
                <w:sz w:val="19"/>
              </w:rPr>
            </w:pPr>
            <w:r>
              <w:rPr>
                <w:w w:val="128"/>
                <w:sz w:val="19"/>
              </w:rPr>
              <w:t>8</w:t>
            </w:r>
          </w:p>
        </w:tc>
        <w:tc>
          <w:tcPr>
            <w:tcW w:w="637" w:type="pct"/>
            <w:tcBorders>
              <w:tl2br w:val="nil"/>
              <w:tr2bl w:val="nil"/>
            </w:tcBorders>
            <w:shd w:val="clear" w:color="auto" w:fill="FFFFFF" w:themeFill="background1"/>
            <w:vAlign w:val="center"/>
          </w:tcPr>
          <w:p>
            <w:pPr>
              <w:pStyle w:val="21"/>
              <w:spacing w:before="48"/>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电子响应文件递交</w:t>
            </w:r>
          </w:p>
        </w:tc>
        <w:tc>
          <w:tcPr>
            <w:tcW w:w="4087" w:type="pct"/>
            <w:tcBorders>
              <w:tl2br w:val="nil"/>
              <w:tr2bl w:val="nil"/>
            </w:tcBorders>
            <w:shd w:val="clear" w:color="auto" w:fill="FFFFFF" w:themeFill="background1"/>
            <w:vAlign w:val="center"/>
          </w:tcPr>
          <w:p>
            <w:pPr>
              <w:pStyle w:val="21"/>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电子响应文件</w:t>
            </w:r>
            <w:r>
              <w:rPr>
                <w:rFonts w:hint="eastAsia" w:asciiTheme="minorEastAsia" w:hAnsiTheme="minorEastAsia" w:eastAsiaTheme="minorEastAsia" w:cstheme="minorEastAsia"/>
                <w:sz w:val="21"/>
                <w:szCs w:val="21"/>
                <w:lang w:val="en-US"/>
              </w:rPr>
              <w:t>U盘形式</w:t>
            </w:r>
            <w:r>
              <w:rPr>
                <w:rFonts w:hint="eastAsia" w:asciiTheme="minorEastAsia" w:hAnsiTheme="minorEastAsia" w:eastAsiaTheme="minorEastAsia" w:cstheme="minorEastAsia"/>
                <w:sz w:val="21"/>
                <w:szCs w:val="21"/>
              </w:rPr>
              <w:t>投标截止时间前与纸质响应文件一同递交至招标代理处</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881" w:hRule="atLeast"/>
          <w:jc w:val="center"/>
        </w:trPr>
        <w:tc>
          <w:tcPr>
            <w:tcW w:w="274" w:type="pct"/>
            <w:tcBorders>
              <w:tl2br w:val="nil"/>
              <w:tr2bl w:val="nil"/>
            </w:tcBorders>
            <w:shd w:val="clear" w:color="auto" w:fill="FFFFFF" w:themeFill="background1"/>
            <w:vAlign w:val="center"/>
          </w:tcPr>
          <w:p>
            <w:pPr>
              <w:pStyle w:val="21"/>
              <w:ind w:left="154"/>
              <w:jc w:val="both"/>
              <w:rPr>
                <w:w w:val="128"/>
                <w:sz w:val="19"/>
                <w:lang w:val="en-US"/>
              </w:rPr>
            </w:pPr>
            <w:r>
              <w:rPr>
                <w:rFonts w:hint="eastAsia"/>
                <w:w w:val="128"/>
                <w:sz w:val="19"/>
                <w:lang w:val="en-US"/>
              </w:rPr>
              <w:t>9</w:t>
            </w:r>
          </w:p>
        </w:tc>
        <w:tc>
          <w:tcPr>
            <w:tcW w:w="637" w:type="pct"/>
            <w:tcBorders>
              <w:tl2br w:val="nil"/>
              <w:tr2bl w:val="nil"/>
            </w:tcBorders>
            <w:shd w:val="clear" w:color="auto" w:fill="FFFFFF" w:themeFill="background1"/>
            <w:vAlign w:val="center"/>
          </w:tcPr>
          <w:p>
            <w:pPr>
              <w:widowControl/>
              <w:adjustRightInd w:val="0"/>
              <w:snapToGrid w:val="0"/>
              <w:spacing w:before="71" w:line="360" w:lineRule="auto"/>
              <w:jc w:val="both"/>
              <w:rPr>
                <w:rFonts w:asciiTheme="minorEastAsia" w:hAnsiTheme="minorEastAsia" w:eastAsiaTheme="minorEastAsia" w:cstheme="minorEastAsia"/>
                <w:sz w:val="21"/>
                <w:szCs w:val="21"/>
              </w:rPr>
            </w:pPr>
            <w:r>
              <w:rPr>
                <w:rFonts w:hint="eastAsia"/>
                <w:color w:val="000000"/>
                <w:sz w:val="21"/>
                <w:szCs w:val="21"/>
              </w:rPr>
              <w:t>投标文件签字、盖章要求</w:t>
            </w:r>
          </w:p>
        </w:tc>
        <w:tc>
          <w:tcPr>
            <w:tcW w:w="4087" w:type="pct"/>
            <w:tcBorders>
              <w:tl2br w:val="nil"/>
              <w:tr2bl w:val="nil"/>
            </w:tcBorders>
            <w:shd w:val="clear" w:color="auto" w:fill="FFFFFF" w:themeFill="background1"/>
            <w:vAlign w:val="center"/>
          </w:tcPr>
          <w:p>
            <w:pPr>
              <w:widowControl/>
              <w:adjustRightInd w:val="0"/>
              <w:snapToGrid w:val="0"/>
              <w:spacing w:before="71" w:line="360" w:lineRule="auto"/>
              <w:jc w:val="both"/>
              <w:rPr>
                <w:color w:val="000000"/>
                <w:sz w:val="21"/>
                <w:szCs w:val="21"/>
              </w:rPr>
            </w:pPr>
            <w:r>
              <w:rPr>
                <w:rFonts w:hint="eastAsia"/>
                <w:color w:val="000000"/>
                <w:sz w:val="21"/>
                <w:szCs w:val="21"/>
              </w:rPr>
              <w:t>（1）单位公章其内容必须与单位营业执照名称一致</w:t>
            </w:r>
          </w:p>
          <w:p>
            <w:pPr>
              <w:widowControl/>
              <w:adjustRightInd w:val="0"/>
              <w:snapToGrid w:val="0"/>
              <w:spacing w:before="71" w:line="360" w:lineRule="auto"/>
              <w:jc w:val="both"/>
              <w:rPr>
                <w:rFonts w:asciiTheme="minorEastAsia" w:hAnsiTheme="minorEastAsia" w:eastAsiaTheme="minorEastAsia" w:cstheme="minorEastAsia"/>
                <w:color w:val="000000"/>
                <w:sz w:val="21"/>
                <w:szCs w:val="21"/>
              </w:rPr>
            </w:pPr>
            <w:r>
              <w:rPr>
                <w:rFonts w:hint="eastAsia"/>
                <w:color w:val="000000"/>
                <w:sz w:val="21"/>
                <w:szCs w:val="21"/>
              </w:rPr>
              <w:t>（2）投标文件必须在指定位置加盖单位公章，并由投标人的法定代表人或授权委托人按规定在指定签字位置亲笔签署姓名。</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881" w:hRule="atLeast"/>
          <w:jc w:val="center"/>
        </w:trPr>
        <w:tc>
          <w:tcPr>
            <w:tcW w:w="274" w:type="pct"/>
            <w:tcBorders>
              <w:tl2br w:val="nil"/>
              <w:tr2bl w:val="nil"/>
            </w:tcBorders>
            <w:shd w:val="clear" w:color="auto" w:fill="FFFFFF" w:themeFill="background1"/>
          </w:tcPr>
          <w:p>
            <w:pPr>
              <w:pStyle w:val="21"/>
              <w:rPr>
                <w:b/>
              </w:rPr>
            </w:pPr>
          </w:p>
          <w:p>
            <w:pPr>
              <w:pStyle w:val="21"/>
              <w:spacing w:before="5"/>
              <w:rPr>
                <w:b/>
                <w:sz w:val="31"/>
              </w:rPr>
            </w:pPr>
          </w:p>
          <w:p>
            <w:pPr>
              <w:pStyle w:val="21"/>
              <w:ind w:left="154"/>
              <w:rPr>
                <w:sz w:val="19"/>
                <w:lang w:val="en-US"/>
              </w:rPr>
            </w:pPr>
            <w:r>
              <w:rPr>
                <w:rFonts w:hint="eastAsia"/>
                <w:w w:val="128"/>
                <w:sz w:val="19"/>
                <w:lang w:val="en-US"/>
              </w:rPr>
              <w:t>10</w:t>
            </w:r>
          </w:p>
        </w:tc>
        <w:tc>
          <w:tcPr>
            <w:tcW w:w="637" w:type="pct"/>
            <w:tcBorders>
              <w:tl2br w:val="nil"/>
              <w:tr2bl w:val="nil"/>
            </w:tcBorders>
            <w:shd w:val="clear" w:color="auto" w:fill="FFFFFF" w:themeFill="background1"/>
          </w:tcPr>
          <w:p>
            <w:pPr>
              <w:pStyle w:val="21"/>
              <w:rPr>
                <w:rFonts w:asciiTheme="minorEastAsia" w:hAnsiTheme="minorEastAsia" w:eastAsiaTheme="minorEastAsia" w:cstheme="minorEastAsia"/>
                <w:b/>
                <w:sz w:val="21"/>
                <w:szCs w:val="21"/>
              </w:rPr>
            </w:pPr>
          </w:p>
          <w:p>
            <w:pPr>
              <w:pStyle w:val="21"/>
              <w:spacing w:before="5"/>
              <w:rPr>
                <w:rFonts w:asciiTheme="minorEastAsia" w:hAnsiTheme="minorEastAsia" w:eastAsiaTheme="minorEastAsia" w:cstheme="minorEastAsia"/>
                <w:b/>
                <w:sz w:val="21"/>
                <w:szCs w:val="21"/>
              </w:rPr>
            </w:pPr>
          </w:p>
          <w:p>
            <w:pPr>
              <w:pStyle w:val="21"/>
              <w:spacing w:line="355" w:lineRule="auto"/>
              <w:ind w:right="11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响应文件数量</w:t>
            </w:r>
          </w:p>
        </w:tc>
        <w:tc>
          <w:tcPr>
            <w:tcW w:w="4087" w:type="pct"/>
            <w:tcBorders>
              <w:tl2br w:val="nil"/>
              <w:tr2bl w:val="nil"/>
            </w:tcBorders>
            <w:shd w:val="clear" w:color="auto" w:fill="FFFFFF" w:themeFill="background1"/>
          </w:tcPr>
          <w:p>
            <w:pPr>
              <w:widowControl/>
              <w:adjustRightInd w:val="0"/>
              <w:snapToGrid w:val="0"/>
              <w:spacing w:before="71" w:line="360" w:lineRule="auto"/>
              <w:jc w:val="both"/>
              <w:rPr>
                <w:rFonts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rPr>
              <w:t>1</w:t>
            </w:r>
            <w:r>
              <w:rPr>
                <w:rFonts w:hint="eastAsia" w:asciiTheme="minorEastAsia" w:hAnsiTheme="minorEastAsia" w:eastAsiaTheme="minorEastAsia" w:cstheme="minorEastAsia"/>
                <w:color w:val="000000"/>
                <w:sz w:val="21"/>
                <w:szCs w:val="21"/>
              </w:rPr>
              <w:t>）数量：纸质投标文件正本</w:t>
            </w:r>
            <w:r>
              <w:rPr>
                <w:rFonts w:hint="eastAsia" w:asciiTheme="minorEastAsia" w:hAnsiTheme="minorEastAsia" w:eastAsiaTheme="minorEastAsia" w:cstheme="minorEastAsia"/>
                <w:color w:val="000000"/>
                <w:sz w:val="21"/>
                <w:szCs w:val="21"/>
                <w:lang w:val="en-US"/>
              </w:rPr>
              <w:t>1</w:t>
            </w:r>
            <w:r>
              <w:rPr>
                <w:rFonts w:hint="eastAsia" w:asciiTheme="minorEastAsia" w:hAnsiTheme="minorEastAsia" w:eastAsiaTheme="minorEastAsia" w:cstheme="minorEastAsia"/>
                <w:color w:val="000000"/>
                <w:sz w:val="21"/>
                <w:szCs w:val="21"/>
              </w:rPr>
              <w:t>份，副本</w:t>
            </w:r>
            <w:r>
              <w:rPr>
                <w:rFonts w:hint="eastAsia" w:asciiTheme="minorEastAsia" w:hAnsiTheme="minorEastAsia" w:eastAsiaTheme="minorEastAsia" w:cstheme="minorEastAsia"/>
                <w:color w:val="000000"/>
                <w:sz w:val="21"/>
                <w:szCs w:val="21"/>
                <w:lang w:val="en-US"/>
              </w:rPr>
              <w:t>3</w:t>
            </w:r>
            <w:r>
              <w:rPr>
                <w:rFonts w:hint="eastAsia" w:asciiTheme="minorEastAsia" w:hAnsiTheme="minorEastAsia" w:eastAsiaTheme="minorEastAsia" w:cstheme="minorEastAsia"/>
                <w:color w:val="000000"/>
                <w:sz w:val="21"/>
                <w:szCs w:val="21"/>
              </w:rPr>
              <w:t>份，电子版</w:t>
            </w:r>
            <w:r>
              <w:rPr>
                <w:rFonts w:hint="eastAsia" w:asciiTheme="minorEastAsia" w:hAnsiTheme="minorEastAsia" w:eastAsiaTheme="minorEastAsia" w:cstheme="minorEastAsia"/>
                <w:color w:val="000000"/>
                <w:sz w:val="21"/>
                <w:szCs w:val="21"/>
                <w:lang w:val="en-US"/>
              </w:rPr>
              <w:t>U盘一份（标明供应商名称，并单独密封）</w:t>
            </w:r>
          </w:p>
          <w:p>
            <w:pPr>
              <w:widowControl/>
              <w:adjustRightInd w:val="0"/>
              <w:snapToGrid w:val="0"/>
              <w:spacing w:before="71" w:line="360"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装订要求：投标文件均应统一采用A4纸编制，图表可除外，但也应按A4纸张大小装订。投标文件应编目录和页码，不得采用活页夹装订。不分册装订；</w:t>
            </w:r>
          </w:p>
          <w:p>
            <w:pPr>
              <w:widowControl/>
              <w:adjustRightInd w:val="0"/>
              <w:snapToGrid w:val="0"/>
              <w:spacing w:before="71"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rPr>
              <w:t>2</w:t>
            </w:r>
            <w:r>
              <w:rPr>
                <w:rFonts w:hint="eastAsia" w:asciiTheme="minorEastAsia" w:hAnsiTheme="minorEastAsia" w:eastAsiaTheme="minorEastAsia" w:cstheme="minorEastAsia"/>
                <w:color w:val="000000"/>
                <w:sz w:val="21"/>
                <w:szCs w:val="21"/>
              </w:rPr>
              <w:t>）密封要求：投标文件的正本与副本应分别装袋密封，封袋上应清楚地标记“正本”或“副本”字样，再一同封入一个密封套中，加贴封条，并在封套的所有封口处加盖投标人单位公章。不密封的投标文件视为无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17" w:hRule="atLeast"/>
          <w:jc w:val="center"/>
        </w:trPr>
        <w:tc>
          <w:tcPr>
            <w:tcW w:w="274" w:type="pct"/>
            <w:tcBorders>
              <w:tl2br w:val="nil"/>
              <w:tr2bl w:val="nil"/>
            </w:tcBorders>
            <w:shd w:val="clear" w:color="auto" w:fill="FFFFFF" w:themeFill="background1"/>
            <w:vAlign w:val="center"/>
          </w:tcPr>
          <w:p>
            <w:pPr>
              <w:pStyle w:val="21"/>
              <w:spacing w:before="10"/>
              <w:jc w:val="both"/>
              <w:rPr>
                <w:b/>
                <w:sz w:val="17"/>
              </w:rPr>
            </w:pPr>
          </w:p>
          <w:p>
            <w:pPr>
              <w:pStyle w:val="21"/>
              <w:spacing w:before="1"/>
              <w:ind w:left="94"/>
              <w:jc w:val="both"/>
              <w:rPr>
                <w:sz w:val="19"/>
              </w:rPr>
            </w:pPr>
            <w:r>
              <w:rPr>
                <w:w w:val="130"/>
                <w:sz w:val="19"/>
              </w:rPr>
              <w:t>1</w:t>
            </w:r>
            <w:r>
              <w:rPr>
                <w:rFonts w:hint="eastAsia"/>
                <w:w w:val="130"/>
                <w:sz w:val="19"/>
                <w:lang w:val="en-US"/>
              </w:rPr>
              <w:t>1</w:t>
            </w:r>
          </w:p>
        </w:tc>
        <w:tc>
          <w:tcPr>
            <w:tcW w:w="637" w:type="pct"/>
            <w:tcBorders>
              <w:tl2br w:val="nil"/>
              <w:tr2bl w:val="nil"/>
            </w:tcBorders>
            <w:shd w:val="clear" w:color="auto" w:fill="FFFFFF" w:themeFill="background1"/>
            <w:vAlign w:val="center"/>
          </w:tcPr>
          <w:p>
            <w:pPr>
              <w:pStyle w:val="21"/>
              <w:spacing w:before="48"/>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成交人确定</w:t>
            </w:r>
          </w:p>
        </w:tc>
        <w:tc>
          <w:tcPr>
            <w:tcW w:w="4087" w:type="pct"/>
            <w:tcBorders>
              <w:tl2br w:val="nil"/>
              <w:tr2bl w:val="nil"/>
            </w:tcBorders>
            <w:shd w:val="clear" w:color="auto" w:fill="FFFFFF" w:themeFill="background1"/>
            <w:vAlign w:val="center"/>
          </w:tcPr>
          <w:p>
            <w:pPr>
              <w:pStyle w:val="21"/>
              <w:spacing w:before="1"/>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采购人授权谈判小组按照评审原则推荐确定中标（成交）人。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17" w:hRule="atLeast"/>
          <w:jc w:val="center"/>
        </w:trPr>
        <w:tc>
          <w:tcPr>
            <w:tcW w:w="274" w:type="pct"/>
            <w:tcBorders>
              <w:tl2br w:val="nil"/>
              <w:tr2bl w:val="nil"/>
            </w:tcBorders>
            <w:shd w:val="clear" w:color="auto" w:fill="FFFFFF" w:themeFill="background1"/>
            <w:vAlign w:val="center"/>
          </w:tcPr>
          <w:p>
            <w:pPr>
              <w:pStyle w:val="21"/>
              <w:spacing w:before="10"/>
              <w:jc w:val="both"/>
              <w:rPr>
                <w:b/>
                <w:sz w:val="17"/>
              </w:rPr>
            </w:pPr>
          </w:p>
          <w:p>
            <w:pPr>
              <w:pStyle w:val="21"/>
              <w:spacing w:before="1"/>
              <w:ind w:left="94"/>
              <w:jc w:val="both"/>
              <w:rPr>
                <w:sz w:val="19"/>
              </w:rPr>
            </w:pPr>
            <w:r>
              <w:rPr>
                <w:w w:val="130"/>
                <w:sz w:val="19"/>
              </w:rPr>
              <w:t>1</w:t>
            </w:r>
            <w:r>
              <w:rPr>
                <w:rFonts w:hint="eastAsia"/>
                <w:w w:val="130"/>
                <w:sz w:val="19"/>
                <w:lang w:val="en-US"/>
              </w:rPr>
              <w:t>2</w:t>
            </w:r>
          </w:p>
        </w:tc>
        <w:tc>
          <w:tcPr>
            <w:tcW w:w="637" w:type="pct"/>
            <w:tcBorders>
              <w:tl2br w:val="nil"/>
              <w:tr2bl w:val="nil"/>
            </w:tcBorders>
            <w:shd w:val="clear" w:color="auto" w:fill="FFFFFF" w:themeFill="background1"/>
            <w:vAlign w:val="center"/>
          </w:tcPr>
          <w:p>
            <w:pPr>
              <w:pStyle w:val="21"/>
              <w:spacing w:before="48"/>
              <w:ind w:right="53"/>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备选方</w:t>
            </w:r>
            <w:r>
              <w:rPr>
                <w:rFonts w:hint="eastAsia" w:asciiTheme="minorEastAsia" w:hAnsiTheme="minorEastAsia" w:eastAsiaTheme="minorEastAsia" w:cstheme="minorEastAsia"/>
                <w:w w:val="101"/>
                <w:sz w:val="21"/>
                <w:szCs w:val="21"/>
              </w:rPr>
              <w:t>案</w:t>
            </w:r>
          </w:p>
        </w:tc>
        <w:tc>
          <w:tcPr>
            <w:tcW w:w="4087" w:type="pct"/>
            <w:tcBorders>
              <w:tl2br w:val="nil"/>
              <w:tr2bl w:val="nil"/>
            </w:tcBorders>
            <w:shd w:val="clear" w:color="auto" w:fill="FFFFFF" w:themeFill="background1"/>
            <w:vAlign w:val="center"/>
          </w:tcPr>
          <w:p>
            <w:pPr>
              <w:pStyle w:val="21"/>
              <w:spacing w:before="1"/>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17" w:hRule="atLeast"/>
          <w:jc w:val="center"/>
        </w:trPr>
        <w:tc>
          <w:tcPr>
            <w:tcW w:w="274" w:type="pct"/>
            <w:tcBorders>
              <w:tl2br w:val="nil"/>
              <w:tr2bl w:val="nil"/>
            </w:tcBorders>
            <w:shd w:val="clear" w:color="auto" w:fill="FFFFFF" w:themeFill="background1"/>
            <w:vAlign w:val="center"/>
          </w:tcPr>
          <w:p>
            <w:pPr>
              <w:pStyle w:val="21"/>
              <w:spacing w:before="10"/>
              <w:jc w:val="both"/>
              <w:rPr>
                <w:b/>
                <w:sz w:val="17"/>
              </w:rPr>
            </w:pPr>
          </w:p>
          <w:p>
            <w:pPr>
              <w:pStyle w:val="21"/>
              <w:spacing w:before="1"/>
              <w:ind w:left="94"/>
              <w:jc w:val="both"/>
              <w:rPr>
                <w:sz w:val="19"/>
              </w:rPr>
            </w:pPr>
            <w:r>
              <w:rPr>
                <w:w w:val="130"/>
                <w:sz w:val="19"/>
              </w:rPr>
              <w:t>1</w:t>
            </w:r>
            <w:r>
              <w:rPr>
                <w:rFonts w:hint="eastAsia"/>
                <w:w w:val="130"/>
                <w:sz w:val="19"/>
                <w:lang w:val="en-US"/>
              </w:rPr>
              <w:t>3</w:t>
            </w:r>
          </w:p>
        </w:tc>
        <w:tc>
          <w:tcPr>
            <w:tcW w:w="637" w:type="pct"/>
            <w:tcBorders>
              <w:tl2br w:val="nil"/>
              <w:tr2bl w:val="nil"/>
            </w:tcBorders>
            <w:shd w:val="clear" w:color="auto" w:fill="FFFFFF" w:themeFill="background1"/>
            <w:vAlign w:val="center"/>
          </w:tcPr>
          <w:p>
            <w:pPr>
              <w:pStyle w:val="21"/>
              <w:spacing w:before="48"/>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联合体投标</w:t>
            </w:r>
          </w:p>
        </w:tc>
        <w:tc>
          <w:tcPr>
            <w:tcW w:w="4087" w:type="pct"/>
            <w:tcBorders>
              <w:tl2br w:val="nil"/>
              <w:tr2bl w:val="nil"/>
            </w:tcBorders>
            <w:shd w:val="clear" w:color="auto" w:fill="FFFFFF" w:themeFill="background1"/>
            <w:vAlign w:val="center"/>
          </w:tcPr>
          <w:p>
            <w:pPr>
              <w:pStyle w:val="21"/>
              <w:spacing w:before="132"/>
              <w:ind w:left="72" w:right="59"/>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w w:val="105"/>
                <w:sz w:val="21"/>
                <w:szCs w:val="21"/>
              </w:rPr>
              <w:t>包1： 不接受</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17" w:hRule="atLeast"/>
          <w:jc w:val="center"/>
        </w:trPr>
        <w:tc>
          <w:tcPr>
            <w:tcW w:w="274" w:type="pct"/>
            <w:tcBorders>
              <w:tl2br w:val="nil"/>
              <w:tr2bl w:val="nil"/>
            </w:tcBorders>
            <w:shd w:val="clear" w:color="auto" w:fill="FFFFFF" w:themeFill="background1"/>
            <w:vAlign w:val="center"/>
          </w:tcPr>
          <w:p>
            <w:pPr>
              <w:pStyle w:val="21"/>
              <w:spacing w:before="1"/>
              <w:ind w:left="94"/>
              <w:jc w:val="both"/>
              <w:rPr>
                <w:w w:val="130"/>
                <w:sz w:val="19"/>
                <w:lang w:val="en-US"/>
              </w:rPr>
            </w:pPr>
            <w:r>
              <w:rPr>
                <w:rFonts w:hint="eastAsia"/>
                <w:w w:val="130"/>
                <w:sz w:val="19"/>
                <w:lang w:val="en-US"/>
              </w:rPr>
              <w:t>14</w:t>
            </w:r>
          </w:p>
        </w:tc>
        <w:tc>
          <w:tcPr>
            <w:tcW w:w="637" w:type="pct"/>
            <w:tcBorders>
              <w:tl2br w:val="nil"/>
              <w:tr2bl w:val="nil"/>
            </w:tcBorders>
            <w:shd w:val="clear" w:color="auto" w:fill="FFFFFF" w:themeFill="background1"/>
            <w:vAlign w:val="center"/>
          </w:tcPr>
          <w:p>
            <w:pPr>
              <w:widowControl/>
              <w:adjustRightInd w:val="0"/>
              <w:snapToGrid w:val="0"/>
              <w:spacing w:before="71" w:line="360" w:lineRule="auto"/>
              <w:jc w:val="both"/>
              <w:rPr>
                <w:rFonts w:asciiTheme="minorEastAsia" w:hAnsiTheme="minorEastAsia" w:eastAsiaTheme="minorEastAsia" w:cstheme="minorEastAsia"/>
                <w:sz w:val="21"/>
                <w:szCs w:val="21"/>
              </w:rPr>
            </w:pPr>
            <w:r>
              <w:rPr>
                <w:rFonts w:hint="eastAsia"/>
                <w:color w:val="000000"/>
                <w:sz w:val="21"/>
                <w:szCs w:val="21"/>
              </w:rPr>
              <w:t>投标有效期</w:t>
            </w:r>
          </w:p>
        </w:tc>
        <w:tc>
          <w:tcPr>
            <w:tcW w:w="4087" w:type="pct"/>
            <w:tcBorders>
              <w:tl2br w:val="nil"/>
              <w:tr2bl w:val="nil"/>
            </w:tcBorders>
            <w:shd w:val="clear" w:color="auto" w:fill="FFFFFF" w:themeFill="background1"/>
            <w:vAlign w:val="center"/>
          </w:tcPr>
          <w:p>
            <w:pPr>
              <w:widowControl/>
              <w:adjustRightInd w:val="0"/>
              <w:snapToGrid w:val="0"/>
              <w:spacing w:before="71" w:line="360" w:lineRule="auto"/>
              <w:jc w:val="both"/>
              <w:rPr>
                <w:rFonts w:asciiTheme="minorEastAsia" w:hAnsiTheme="minorEastAsia" w:eastAsiaTheme="minorEastAsia" w:cstheme="minorEastAsia"/>
                <w:w w:val="105"/>
                <w:sz w:val="21"/>
                <w:szCs w:val="21"/>
              </w:rPr>
            </w:pPr>
            <w:r>
              <w:rPr>
                <w:rFonts w:hint="eastAsia"/>
                <w:color w:val="000000"/>
                <w:sz w:val="21"/>
                <w:szCs w:val="21"/>
                <w:lang w:val="en-US"/>
              </w:rPr>
              <w:t>投标文件递交截止之日起90日历天</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17" w:hRule="atLeast"/>
          <w:jc w:val="center"/>
        </w:trPr>
        <w:tc>
          <w:tcPr>
            <w:tcW w:w="274" w:type="pct"/>
            <w:tcBorders>
              <w:tl2br w:val="nil"/>
              <w:tr2bl w:val="nil"/>
            </w:tcBorders>
            <w:shd w:val="clear" w:color="auto" w:fill="FFFFFF" w:themeFill="background1"/>
            <w:vAlign w:val="center"/>
          </w:tcPr>
          <w:p>
            <w:pPr>
              <w:pStyle w:val="21"/>
              <w:spacing w:before="1"/>
              <w:ind w:left="94"/>
              <w:jc w:val="both"/>
              <w:rPr>
                <w:w w:val="130"/>
                <w:sz w:val="19"/>
                <w:lang w:val="en-US"/>
              </w:rPr>
            </w:pPr>
            <w:r>
              <w:rPr>
                <w:rFonts w:hint="eastAsia"/>
                <w:w w:val="130"/>
                <w:sz w:val="19"/>
                <w:lang w:val="en-US"/>
              </w:rPr>
              <w:t>15</w:t>
            </w:r>
          </w:p>
        </w:tc>
        <w:tc>
          <w:tcPr>
            <w:tcW w:w="637" w:type="pct"/>
            <w:tcBorders>
              <w:tl2br w:val="nil"/>
              <w:tr2bl w:val="nil"/>
            </w:tcBorders>
            <w:shd w:val="clear" w:color="auto" w:fill="FFFFFF" w:themeFill="background1"/>
            <w:vAlign w:val="center"/>
          </w:tcPr>
          <w:p>
            <w:pPr>
              <w:widowControl/>
              <w:adjustRightInd w:val="0"/>
              <w:snapToGrid w:val="0"/>
              <w:spacing w:before="71" w:line="360" w:lineRule="auto"/>
              <w:jc w:val="both"/>
              <w:rPr>
                <w:rFonts w:asciiTheme="minorEastAsia" w:hAnsiTheme="minorEastAsia" w:eastAsiaTheme="minorEastAsia" w:cstheme="minorEastAsia"/>
                <w:sz w:val="21"/>
                <w:szCs w:val="21"/>
              </w:rPr>
            </w:pPr>
            <w:r>
              <w:rPr>
                <w:rFonts w:hint="eastAsia"/>
                <w:color w:val="000000"/>
                <w:sz w:val="21"/>
                <w:szCs w:val="21"/>
              </w:rPr>
              <w:t>开标程序</w:t>
            </w:r>
          </w:p>
        </w:tc>
        <w:tc>
          <w:tcPr>
            <w:tcW w:w="4087" w:type="pct"/>
            <w:tcBorders>
              <w:tl2br w:val="nil"/>
              <w:tr2bl w:val="nil"/>
            </w:tcBorders>
            <w:shd w:val="clear" w:color="auto" w:fill="FFFFFF" w:themeFill="background1"/>
            <w:vAlign w:val="center"/>
          </w:tcPr>
          <w:p>
            <w:pPr>
              <w:widowControl/>
              <w:adjustRightInd w:val="0"/>
              <w:snapToGrid w:val="0"/>
              <w:spacing w:before="71" w:line="360" w:lineRule="auto"/>
              <w:jc w:val="both"/>
              <w:rPr>
                <w:color w:val="000000"/>
                <w:sz w:val="21"/>
                <w:szCs w:val="21"/>
              </w:rPr>
            </w:pPr>
            <w:r>
              <w:rPr>
                <w:rFonts w:hint="eastAsia"/>
                <w:color w:val="000000"/>
                <w:sz w:val="21"/>
                <w:szCs w:val="21"/>
              </w:rPr>
              <w:t>1、密封情况检查：投标人相互检查及采购人检查</w:t>
            </w:r>
          </w:p>
          <w:p>
            <w:pPr>
              <w:widowControl/>
              <w:adjustRightInd w:val="0"/>
              <w:snapToGrid w:val="0"/>
              <w:spacing w:before="71" w:line="360" w:lineRule="auto"/>
              <w:jc w:val="both"/>
              <w:rPr>
                <w:rFonts w:asciiTheme="minorEastAsia" w:hAnsiTheme="minorEastAsia" w:eastAsiaTheme="minorEastAsia" w:cstheme="minorEastAsia"/>
                <w:w w:val="105"/>
                <w:sz w:val="21"/>
                <w:szCs w:val="21"/>
              </w:rPr>
            </w:pPr>
            <w:r>
              <w:rPr>
                <w:rFonts w:hint="eastAsia"/>
                <w:color w:val="000000"/>
                <w:sz w:val="21"/>
                <w:szCs w:val="21"/>
              </w:rPr>
              <w:t>2、开标顺序：投标文件按照递交时间先后顺序开启</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17" w:hRule="atLeast"/>
          <w:jc w:val="center"/>
        </w:trPr>
        <w:tc>
          <w:tcPr>
            <w:tcW w:w="274" w:type="pct"/>
            <w:tcBorders>
              <w:bottom w:val="single" w:color="000000" w:themeColor="text1" w:sz="6" w:space="0"/>
              <w:tl2br w:val="nil"/>
              <w:tr2bl w:val="nil"/>
            </w:tcBorders>
            <w:shd w:val="clear" w:color="auto" w:fill="FFFFFF" w:themeFill="background1"/>
            <w:vAlign w:val="center"/>
          </w:tcPr>
          <w:p>
            <w:pPr>
              <w:pStyle w:val="21"/>
              <w:spacing w:before="1"/>
              <w:ind w:left="94"/>
              <w:jc w:val="both"/>
              <w:rPr>
                <w:w w:val="130"/>
                <w:sz w:val="19"/>
                <w:lang w:val="en-US"/>
              </w:rPr>
            </w:pPr>
            <w:r>
              <w:rPr>
                <w:rFonts w:hint="eastAsia"/>
                <w:w w:val="130"/>
                <w:sz w:val="19"/>
                <w:lang w:val="en-US"/>
              </w:rPr>
              <w:t>16</w:t>
            </w:r>
          </w:p>
        </w:tc>
        <w:tc>
          <w:tcPr>
            <w:tcW w:w="637" w:type="pct"/>
            <w:tcBorders>
              <w:bottom w:val="single" w:color="000000" w:themeColor="text1" w:sz="6" w:space="0"/>
              <w:tl2br w:val="nil"/>
              <w:tr2bl w:val="nil"/>
            </w:tcBorders>
            <w:shd w:val="clear" w:color="auto" w:fill="FFFFFF" w:themeFill="background1"/>
            <w:vAlign w:val="center"/>
          </w:tcPr>
          <w:p>
            <w:pPr>
              <w:widowControl/>
              <w:adjustRightInd w:val="0"/>
              <w:snapToGrid w:val="0"/>
              <w:spacing w:before="71" w:line="360" w:lineRule="auto"/>
              <w:jc w:val="both"/>
              <w:rPr>
                <w:color w:val="000000"/>
                <w:sz w:val="21"/>
                <w:szCs w:val="21"/>
              </w:rPr>
            </w:pPr>
            <w:r>
              <w:rPr>
                <w:rFonts w:hint="eastAsia"/>
                <w:color w:val="000000"/>
                <w:sz w:val="21"/>
                <w:szCs w:val="21"/>
              </w:rPr>
              <w:t>采购机构代理费用</w:t>
            </w:r>
          </w:p>
        </w:tc>
        <w:tc>
          <w:tcPr>
            <w:tcW w:w="4087" w:type="pct"/>
            <w:tcBorders>
              <w:bottom w:val="single" w:color="000000" w:themeColor="text1" w:sz="6" w:space="0"/>
              <w:tl2br w:val="nil"/>
              <w:tr2bl w:val="nil"/>
            </w:tcBorders>
            <w:shd w:val="clear" w:color="auto" w:fill="FFFFFF" w:themeFill="background1"/>
            <w:vAlign w:val="center"/>
          </w:tcPr>
          <w:p>
            <w:pPr>
              <w:widowControl/>
              <w:adjustRightInd w:val="0"/>
              <w:snapToGrid w:val="0"/>
              <w:spacing w:before="71" w:line="360" w:lineRule="auto"/>
              <w:jc w:val="both"/>
              <w:rPr>
                <w:color w:val="000000"/>
                <w:sz w:val="21"/>
                <w:szCs w:val="21"/>
                <w:lang w:val="en-US"/>
              </w:rPr>
            </w:pPr>
            <w:r>
              <w:rPr>
                <w:rFonts w:hint="eastAsia"/>
                <w:color w:val="000000"/>
                <w:sz w:val="21"/>
                <w:szCs w:val="21"/>
              </w:rPr>
              <w:t>本项目代理费用由采购人支付</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shd w:val="clear" w:color="auto" w:fill="FFFFFF" w:themeFill="background1"/>
          <w:tblCellMar>
            <w:top w:w="0" w:type="dxa"/>
            <w:left w:w="0" w:type="dxa"/>
            <w:bottom w:w="0" w:type="dxa"/>
            <w:right w:w="0" w:type="dxa"/>
          </w:tblCellMar>
        </w:tblPrEx>
        <w:trPr>
          <w:trHeight w:val="1022" w:hRule="atLeast"/>
          <w:jc w:val="center"/>
        </w:trPr>
        <w:tc>
          <w:tcPr>
            <w:tcW w:w="274"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pPr>
              <w:pStyle w:val="21"/>
              <w:spacing w:before="48"/>
              <w:jc w:val="center"/>
              <w:rPr>
                <w:color w:val="000000"/>
                <w:sz w:val="21"/>
                <w:szCs w:val="21"/>
                <w:lang w:val="en-US"/>
              </w:rPr>
            </w:pPr>
            <w:r>
              <w:rPr>
                <w:rFonts w:hint="eastAsia"/>
                <w:color w:val="000000"/>
                <w:sz w:val="21"/>
                <w:szCs w:val="21"/>
                <w:lang w:val="en-US"/>
              </w:rPr>
              <w:t>17</w:t>
            </w:r>
          </w:p>
        </w:tc>
        <w:tc>
          <w:tcPr>
            <w:tcW w:w="63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pPr>
              <w:pStyle w:val="21"/>
              <w:spacing w:before="48"/>
              <w:ind w:left="106"/>
              <w:rPr>
                <w:color w:val="000000"/>
                <w:sz w:val="21"/>
                <w:szCs w:val="21"/>
              </w:rPr>
            </w:pPr>
            <w:r>
              <w:rPr>
                <w:rFonts w:hint="eastAsia"/>
                <w:color w:val="000000"/>
                <w:sz w:val="21"/>
                <w:szCs w:val="21"/>
              </w:rPr>
              <w:t>是否专门面向中小企业采购</w:t>
            </w:r>
          </w:p>
        </w:tc>
        <w:tc>
          <w:tcPr>
            <w:tcW w:w="408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pPr>
              <w:pStyle w:val="21"/>
              <w:spacing w:before="48"/>
              <w:rPr>
                <w:color w:val="000000"/>
                <w:sz w:val="21"/>
                <w:szCs w:val="21"/>
              </w:rPr>
            </w:pPr>
            <w:r>
              <w:rPr>
                <w:rFonts w:hint="eastAsia"/>
                <w:color w:val="000000"/>
                <w:sz w:val="21"/>
                <w:szCs w:val="21"/>
              </w:rPr>
              <w:t>合同包1（2022年呼伦贝尔市档案馆馆藏部分永久档案数字化项目（三次））：否</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558" w:hRule="atLeast"/>
          <w:jc w:val="center"/>
        </w:trPr>
        <w:tc>
          <w:tcPr>
            <w:tcW w:w="274"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pPr>
              <w:pStyle w:val="21"/>
              <w:spacing w:before="48"/>
              <w:jc w:val="center"/>
              <w:rPr>
                <w:color w:val="000000"/>
                <w:sz w:val="21"/>
                <w:szCs w:val="21"/>
                <w:lang w:val="en-US"/>
              </w:rPr>
            </w:pPr>
            <w:r>
              <w:rPr>
                <w:rFonts w:hint="eastAsia"/>
                <w:color w:val="000000"/>
                <w:sz w:val="21"/>
                <w:szCs w:val="21"/>
                <w:lang w:val="en-US"/>
              </w:rPr>
              <w:t>18</w:t>
            </w:r>
          </w:p>
        </w:tc>
        <w:tc>
          <w:tcPr>
            <w:tcW w:w="10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pPr>
              <w:pStyle w:val="21"/>
              <w:spacing w:before="48"/>
              <w:ind w:left="106"/>
              <w:rPr>
                <w:color w:val="auto"/>
                <w:sz w:val="21"/>
                <w:szCs w:val="21"/>
                <w:highlight w:val="none"/>
              </w:rPr>
            </w:pPr>
            <w:r>
              <w:rPr>
                <w:rFonts w:hint="eastAsia"/>
                <w:color w:val="auto"/>
                <w:sz w:val="21"/>
                <w:szCs w:val="21"/>
                <w:highlight w:val="none"/>
              </w:rPr>
              <w:t>履约保证金</w:t>
            </w:r>
          </w:p>
        </w:tc>
        <w:tc>
          <w:tcPr>
            <w:tcW w:w="679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pPr>
              <w:pStyle w:val="21"/>
              <w:spacing w:before="48"/>
              <w:ind w:left="106"/>
              <w:rPr>
                <w:color w:val="auto"/>
                <w:sz w:val="21"/>
                <w:szCs w:val="21"/>
                <w:highlight w:val="none"/>
              </w:rPr>
            </w:pPr>
            <w:r>
              <w:rPr>
                <w:rFonts w:hint="eastAsia"/>
                <w:color w:val="auto"/>
                <w:sz w:val="21"/>
                <w:szCs w:val="21"/>
                <w:highlight w:val="none"/>
              </w:rPr>
              <w:t>中标金额的1</w:t>
            </w:r>
            <w:r>
              <w:rPr>
                <w:color w:val="auto"/>
                <w:sz w:val="21"/>
                <w:szCs w:val="21"/>
                <w:highlight w:val="none"/>
              </w:rPr>
              <w:t>0</w:t>
            </w:r>
            <w:r>
              <w:rPr>
                <w:rFonts w:hint="eastAsia"/>
                <w:color w:val="auto"/>
                <w:sz w:val="21"/>
                <w:szCs w:val="21"/>
                <w:highlight w:val="none"/>
                <w:lang w:val="en-US"/>
              </w:rPr>
              <w:t>%</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55" w:hRule="atLeast"/>
          <w:jc w:val="center"/>
        </w:trPr>
        <w:tc>
          <w:tcPr>
            <w:tcW w:w="274"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pPr>
              <w:pStyle w:val="21"/>
              <w:spacing w:before="48"/>
              <w:jc w:val="center"/>
              <w:rPr>
                <w:color w:val="000000"/>
                <w:sz w:val="21"/>
                <w:szCs w:val="21"/>
                <w:lang w:val="en-US"/>
              </w:rPr>
            </w:pPr>
            <w:r>
              <w:rPr>
                <w:rFonts w:hint="eastAsia"/>
                <w:color w:val="000000"/>
                <w:sz w:val="21"/>
                <w:szCs w:val="21"/>
                <w:lang w:val="en-US"/>
              </w:rPr>
              <w:t>19</w:t>
            </w:r>
          </w:p>
        </w:tc>
        <w:tc>
          <w:tcPr>
            <w:tcW w:w="63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pPr>
              <w:pStyle w:val="21"/>
              <w:spacing w:before="48"/>
              <w:ind w:left="106"/>
              <w:rPr>
                <w:color w:val="000000"/>
                <w:sz w:val="21"/>
                <w:szCs w:val="21"/>
              </w:rPr>
            </w:pPr>
            <w:r>
              <w:rPr>
                <w:rFonts w:hint="eastAsia"/>
                <w:color w:val="000000"/>
                <w:sz w:val="21"/>
                <w:szCs w:val="21"/>
              </w:rPr>
              <w:t>项目兼头兼中规则</w:t>
            </w:r>
          </w:p>
        </w:tc>
        <w:tc>
          <w:tcPr>
            <w:tcW w:w="408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pPr>
              <w:pStyle w:val="21"/>
              <w:spacing w:before="48"/>
              <w:rPr>
                <w:color w:val="000000"/>
                <w:sz w:val="21"/>
                <w:szCs w:val="21"/>
              </w:rPr>
            </w:pPr>
            <w:r>
              <w:rPr>
                <w:rFonts w:hint="eastAsia"/>
                <w:color w:val="000000"/>
                <w:sz w:val="21"/>
                <w:szCs w:val="21"/>
              </w:rPr>
              <w:t>兼投兼中：本项目兼投兼中。</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269" w:hRule="atLeast"/>
          <w:jc w:val="center"/>
        </w:trPr>
        <w:tc>
          <w:tcPr>
            <w:tcW w:w="274"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pPr>
              <w:pStyle w:val="21"/>
              <w:spacing w:before="48"/>
              <w:ind w:left="106"/>
              <w:jc w:val="center"/>
              <w:rPr>
                <w:color w:val="000000"/>
                <w:sz w:val="21"/>
                <w:szCs w:val="21"/>
              </w:rPr>
            </w:pPr>
          </w:p>
          <w:p>
            <w:pPr>
              <w:pStyle w:val="21"/>
              <w:spacing w:before="48"/>
              <w:jc w:val="center"/>
              <w:rPr>
                <w:color w:val="000000"/>
                <w:sz w:val="21"/>
                <w:szCs w:val="21"/>
              </w:rPr>
            </w:pPr>
            <w:r>
              <w:rPr>
                <w:rFonts w:hint="eastAsia"/>
                <w:color w:val="000000"/>
                <w:sz w:val="21"/>
                <w:szCs w:val="21"/>
              </w:rPr>
              <w:t>2</w:t>
            </w:r>
            <w:r>
              <w:rPr>
                <w:rFonts w:hint="eastAsia"/>
                <w:color w:val="000000"/>
                <w:sz w:val="21"/>
                <w:szCs w:val="21"/>
                <w:lang w:val="en-US"/>
              </w:rPr>
              <w:t>0</w:t>
            </w:r>
          </w:p>
        </w:tc>
        <w:tc>
          <w:tcPr>
            <w:tcW w:w="63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pPr>
              <w:pStyle w:val="21"/>
              <w:spacing w:before="48"/>
              <w:ind w:left="106"/>
              <w:rPr>
                <w:color w:val="000000"/>
                <w:sz w:val="21"/>
                <w:szCs w:val="21"/>
              </w:rPr>
            </w:pPr>
            <w:r>
              <w:rPr>
                <w:rFonts w:hint="eastAsia"/>
                <w:color w:val="000000"/>
                <w:sz w:val="21"/>
                <w:szCs w:val="21"/>
              </w:rPr>
              <w:t>有效供应商家数</w:t>
            </w:r>
          </w:p>
        </w:tc>
        <w:tc>
          <w:tcPr>
            <w:tcW w:w="408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pPr>
              <w:pStyle w:val="21"/>
              <w:spacing w:before="48"/>
              <w:ind w:left="106"/>
              <w:rPr>
                <w:color w:val="000000"/>
                <w:sz w:val="21"/>
                <w:szCs w:val="21"/>
              </w:rPr>
            </w:pPr>
            <w:r>
              <w:rPr>
                <w:rFonts w:hint="eastAsia"/>
                <w:color w:val="000000"/>
                <w:sz w:val="21"/>
                <w:szCs w:val="21"/>
              </w:rPr>
              <w:t>包1：3</w:t>
            </w:r>
          </w:p>
          <w:p>
            <w:pPr>
              <w:pStyle w:val="21"/>
              <w:spacing w:before="48"/>
              <w:ind w:left="106"/>
              <w:rPr>
                <w:color w:val="000000"/>
                <w:sz w:val="21"/>
                <w:szCs w:val="21"/>
              </w:rPr>
            </w:pPr>
            <w:r>
              <w:rPr>
                <w:rFonts w:hint="eastAsia"/>
                <w:color w:val="000000"/>
                <w:sz w:val="21"/>
                <w:szCs w:val="21"/>
              </w:rPr>
              <w:t>此数约定了开标与评标过程中的最低有效供应商家数，当家数不足时项目将不得开标、评标或直接废标；文件中其他描述若与此规定矛盾以此为准。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jc w:val="center"/>
        </w:trPr>
        <w:tc>
          <w:tcPr>
            <w:tcW w:w="274"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pPr>
              <w:pStyle w:val="21"/>
              <w:spacing w:before="48"/>
              <w:jc w:val="center"/>
              <w:rPr>
                <w:color w:val="000000"/>
                <w:sz w:val="21"/>
                <w:szCs w:val="21"/>
              </w:rPr>
            </w:pPr>
            <w:r>
              <w:rPr>
                <w:rFonts w:hint="eastAsia"/>
                <w:color w:val="000000"/>
                <w:sz w:val="21"/>
                <w:szCs w:val="21"/>
              </w:rPr>
              <w:t>2</w:t>
            </w:r>
            <w:r>
              <w:rPr>
                <w:rFonts w:hint="eastAsia"/>
                <w:color w:val="000000"/>
                <w:sz w:val="21"/>
                <w:szCs w:val="21"/>
                <w:lang w:val="en-US"/>
              </w:rPr>
              <w:t>1</w:t>
            </w:r>
          </w:p>
        </w:tc>
        <w:tc>
          <w:tcPr>
            <w:tcW w:w="63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pPr>
              <w:pStyle w:val="21"/>
              <w:spacing w:before="48"/>
              <w:ind w:left="106"/>
              <w:rPr>
                <w:color w:val="000000"/>
                <w:sz w:val="21"/>
                <w:szCs w:val="21"/>
              </w:rPr>
            </w:pPr>
            <w:r>
              <w:rPr>
                <w:rFonts w:hint="eastAsia"/>
                <w:color w:val="000000"/>
                <w:sz w:val="21"/>
                <w:szCs w:val="21"/>
              </w:rPr>
              <w:t>报价形式</w:t>
            </w:r>
          </w:p>
        </w:tc>
        <w:tc>
          <w:tcPr>
            <w:tcW w:w="408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pPr>
              <w:pStyle w:val="21"/>
              <w:spacing w:before="48"/>
              <w:rPr>
                <w:color w:val="000000"/>
                <w:sz w:val="21"/>
                <w:szCs w:val="21"/>
              </w:rPr>
            </w:pPr>
            <w:r>
              <w:rPr>
                <w:rFonts w:hint="eastAsia"/>
                <w:color w:val="000000"/>
                <w:sz w:val="21"/>
                <w:szCs w:val="21"/>
              </w:rPr>
              <w:t>合同包1（2022年呼伦贝尔市档案馆馆藏部分永久档案数字化项目（三次）</w:t>
            </w:r>
            <w:r>
              <w:rPr>
                <w:rFonts w:hint="eastAsia"/>
                <w:color w:val="000000"/>
                <w:sz w:val="21"/>
                <w:szCs w:val="21"/>
                <w:lang w:eastAsia="zh-CN"/>
              </w:rPr>
              <w:t>）</w:t>
            </w:r>
            <w:r>
              <w:rPr>
                <w:rFonts w:hint="eastAsia"/>
                <w:color w:val="000000"/>
                <w:sz w:val="21"/>
                <w:szCs w:val="21"/>
              </w:rPr>
              <w:t>:总价</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jc w:val="center"/>
        </w:trPr>
        <w:tc>
          <w:tcPr>
            <w:tcW w:w="274"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pPr>
              <w:pStyle w:val="21"/>
              <w:spacing w:before="48"/>
              <w:jc w:val="center"/>
              <w:rPr>
                <w:color w:val="000000"/>
                <w:sz w:val="21"/>
                <w:szCs w:val="21"/>
                <w:lang w:val="en-US"/>
              </w:rPr>
            </w:pPr>
            <w:r>
              <w:rPr>
                <w:rFonts w:hint="eastAsia"/>
                <w:color w:val="000000"/>
                <w:sz w:val="21"/>
                <w:szCs w:val="21"/>
                <w:lang w:val="en-US"/>
              </w:rPr>
              <w:t>22</w:t>
            </w:r>
          </w:p>
        </w:tc>
        <w:tc>
          <w:tcPr>
            <w:tcW w:w="63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pPr>
              <w:pStyle w:val="21"/>
              <w:spacing w:before="48"/>
              <w:ind w:left="106"/>
              <w:rPr>
                <w:color w:val="000000"/>
                <w:sz w:val="21"/>
                <w:szCs w:val="21"/>
              </w:rPr>
            </w:pPr>
            <w:r>
              <w:rPr>
                <w:rFonts w:hint="eastAsia"/>
                <w:color w:val="000000"/>
                <w:sz w:val="21"/>
                <w:szCs w:val="21"/>
              </w:rPr>
              <w:t>其他</w:t>
            </w:r>
          </w:p>
        </w:tc>
        <w:tc>
          <w:tcPr>
            <w:tcW w:w="408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pPr>
              <w:pStyle w:val="21"/>
              <w:spacing w:before="48"/>
              <w:rPr>
                <w:color w:val="000000"/>
                <w:sz w:val="21"/>
                <w:szCs w:val="21"/>
              </w:rPr>
            </w:pPr>
          </w:p>
        </w:tc>
      </w:tr>
    </w:tbl>
    <w:p>
      <w:pPr>
        <w:pStyle w:val="2"/>
      </w:pPr>
    </w:p>
    <w:p>
      <w:pPr>
        <w:pStyle w:val="2"/>
      </w:pPr>
    </w:p>
    <w:p>
      <w:r>
        <w:br w:type="page"/>
      </w:r>
    </w:p>
    <w:p>
      <w:pPr>
        <w:pStyle w:val="2"/>
        <w:jc w:val="center"/>
        <w:rPr>
          <w:sz w:val="44"/>
          <w:szCs w:val="44"/>
        </w:rPr>
      </w:pPr>
      <w:r>
        <w:rPr>
          <w:rFonts w:hint="eastAsia"/>
          <w:sz w:val="44"/>
          <w:szCs w:val="44"/>
        </w:rPr>
        <w:t>投标人须知</w:t>
      </w:r>
    </w:p>
    <w:p>
      <w:pPr>
        <w:pStyle w:val="22"/>
        <w:tabs>
          <w:tab w:val="left" w:pos="887"/>
        </w:tabs>
        <w:spacing w:before="16" w:line="360" w:lineRule="auto"/>
        <w:ind w:left="0" w:right="3938" w:firstLine="0"/>
        <w:rPr>
          <w:b/>
          <w:sz w:val="24"/>
          <w:szCs w:val="24"/>
        </w:rPr>
      </w:pPr>
      <w:r>
        <w:rPr>
          <w:rFonts w:hint="eastAsia"/>
          <w:b/>
          <w:spacing w:val="-7"/>
          <w:w w:val="115"/>
          <w:sz w:val="24"/>
          <w:szCs w:val="24"/>
        </w:rPr>
        <w:t>一.</w:t>
      </w:r>
      <w:r>
        <w:rPr>
          <w:rFonts w:hint="eastAsia"/>
          <w:b/>
          <w:spacing w:val="6"/>
          <w:sz w:val="24"/>
          <w:szCs w:val="24"/>
        </w:rPr>
        <w:t>说明</w:t>
      </w:r>
    </w:p>
    <w:p>
      <w:pPr>
        <w:pStyle w:val="5"/>
        <w:numPr>
          <w:ilvl w:val="0"/>
          <w:numId w:val="3"/>
        </w:numPr>
        <w:tabs>
          <w:tab w:val="left" w:pos="313"/>
        </w:tabs>
        <w:spacing w:line="360" w:lineRule="auto"/>
        <w:ind w:hanging="207"/>
        <w:rPr>
          <w:sz w:val="24"/>
          <w:szCs w:val="24"/>
        </w:rPr>
      </w:pPr>
      <w:r>
        <w:rPr>
          <w:rFonts w:hint="eastAsia"/>
          <w:spacing w:val="6"/>
          <w:sz w:val="24"/>
          <w:szCs w:val="24"/>
        </w:rPr>
        <w:t>总则</w:t>
      </w:r>
    </w:p>
    <w:p>
      <w:pPr>
        <w:spacing w:line="360" w:lineRule="auto"/>
        <w:ind w:firstLine="480" w:firstLineChars="200"/>
        <w:jc w:val="both"/>
        <w:rPr>
          <w:sz w:val="24"/>
          <w:szCs w:val="24"/>
        </w:rPr>
      </w:pPr>
      <w:r>
        <w:rPr>
          <w:rFonts w:hint="eastAsia"/>
          <w:sz w:val="24"/>
          <w:szCs w:val="24"/>
        </w:rPr>
        <w:t>本谈判文件依据《中华人民共和国政府采购法》、《中华人民共和国政府采购法实施条例》和《政府采购非招标采购方式管理办法》（财政部令第74号）及国家和自治区有关法律、法规、规章制度编制。</w:t>
      </w:r>
    </w:p>
    <w:p>
      <w:pPr>
        <w:spacing w:line="360" w:lineRule="auto"/>
        <w:ind w:firstLine="480" w:firstLineChars="200"/>
        <w:jc w:val="both"/>
        <w:rPr>
          <w:sz w:val="24"/>
          <w:szCs w:val="24"/>
        </w:rPr>
      </w:pPr>
      <w:r>
        <w:rPr>
          <w:rFonts w:hint="eastAsia"/>
          <w:sz w:val="24"/>
          <w:szCs w:val="24"/>
        </w:rPr>
        <w:t>供应商应仔细阅读本项目信息公告及谈判文件的所有内容（包括变更、补充、澄清以及修改等，且均为谈判文件的组成部分），按照谈判文件要求以及格式编制响应文件，并保证其真实性，否则一切后果自负。</w:t>
      </w:r>
    </w:p>
    <w:p>
      <w:pPr>
        <w:spacing w:line="360" w:lineRule="auto"/>
        <w:ind w:firstLine="480" w:firstLineChars="200"/>
        <w:jc w:val="both"/>
        <w:rPr>
          <w:sz w:val="24"/>
          <w:szCs w:val="24"/>
        </w:rPr>
      </w:pPr>
      <w:r>
        <w:rPr>
          <w:rFonts w:hint="eastAsia"/>
          <w:sz w:val="24"/>
          <w:szCs w:val="24"/>
        </w:rPr>
        <w:t>本次采购项目，是以谈判公告的方式邀请非特定的供应商参加投标。</w:t>
      </w:r>
    </w:p>
    <w:p>
      <w:pPr>
        <w:pStyle w:val="5"/>
        <w:numPr>
          <w:ilvl w:val="0"/>
          <w:numId w:val="3"/>
        </w:numPr>
        <w:tabs>
          <w:tab w:val="left" w:pos="313"/>
        </w:tabs>
        <w:spacing w:before="116" w:line="360" w:lineRule="auto"/>
        <w:ind w:hanging="207"/>
        <w:rPr>
          <w:sz w:val="24"/>
          <w:szCs w:val="24"/>
        </w:rPr>
      </w:pPr>
      <w:r>
        <w:rPr>
          <w:rFonts w:hint="eastAsia"/>
          <w:spacing w:val="8"/>
          <w:sz w:val="24"/>
          <w:szCs w:val="24"/>
        </w:rPr>
        <w:t>适用范围</w:t>
      </w:r>
    </w:p>
    <w:p>
      <w:pPr>
        <w:spacing w:line="360" w:lineRule="auto"/>
        <w:ind w:firstLine="480" w:firstLineChars="200"/>
        <w:rPr>
          <w:sz w:val="24"/>
          <w:szCs w:val="24"/>
        </w:rPr>
      </w:pPr>
      <w:r>
        <w:rPr>
          <w:rFonts w:hint="eastAsia"/>
          <w:sz w:val="24"/>
          <w:szCs w:val="24"/>
        </w:rPr>
        <w:t>本谈判文件仅适用于本次谈判公告中所涉及的项目和内容。</w:t>
      </w:r>
    </w:p>
    <w:p>
      <w:pPr>
        <w:pStyle w:val="5"/>
        <w:numPr>
          <w:ilvl w:val="0"/>
          <w:numId w:val="3"/>
        </w:numPr>
        <w:tabs>
          <w:tab w:val="left" w:pos="313"/>
        </w:tabs>
        <w:spacing w:line="360" w:lineRule="auto"/>
        <w:ind w:hanging="207"/>
        <w:rPr>
          <w:sz w:val="24"/>
          <w:szCs w:val="24"/>
        </w:rPr>
      </w:pPr>
      <w:r>
        <w:rPr>
          <w:rFonts w:hint="eastAsia"/>
          <w:spacing w:val="8"/>
          <w:sz w:val="24"/>
          <w:szCs w:val="24"/>
        </w:rPr>
        <w:t>投标费用</w:t>
      </w:r>
    </w:p>
    <w:p>
      <w:pPr>
        <w:pStyle w:val="9"/>
        <w:spacing w:line="360" w:lineRule="auto"/>
        <w:ind w:firstLine="480" w:firstLineChars="200"/>
        <w:rPr>
          <w:sz w:val="24"/>
          <w:szCs w:val="24"/>
        </w:rPr>
      </w:pPr>
      <w:r>
        <w:rPr>
          <w:rFonts w:hint="eastAsia"/>
          <w:sz w:val="24"/>
          <w:szCs w:val="24"/>
        </w:rPr>
        <w:t>供应商应承担所有与准备和参加投标有关的费用。不论投标结果如何，采购代理机构和采购人均无义务和责任承担相关费用。</w:t>
      </w:r>
    </w:p>
    <w:p>
      <w:pPr>
        <w:pStyle w:val="5"/>
        <w:numPr>
          <w:ilvl w:val="0"/>
          <w:numId w:val="3"/>
        </w:numPr>
        <w:tabs>
          <w:tab w:val="left" w:pos="313"/>
        </w:tabs>
        <w:spacing w:before="116" w:line="360" w:lineRule="auto"/>
        <w:ind w:hanging="207"/>
        <w:rPr>
          <w:sz w:val="24"/>
          <w:szCs w:val="24"/>
        </w:rPr>
      </w:pPr>
      <w:r>
        <w:rPr>
          <w:rFonts w:hint="eastAsia"/>
          <w:spacing w:val="7"/>
          <w:sz w:val="24"/>
          <w:szCs w:val="24"/>
        </w:rPr>
        <w:t>当事人</w:t>
      </w:r>
    </w:p>
    <w:p>
      <w:pPr>
        <w:spacing w:line="360" w:lineRule="auto"/>
        <w:ind w:firstLine="480" w:firstLineChars="200"/>
        <w:rPr>
          <w:sz w:val="24"/>
          <w:szCs w:val="24"/>
        </w:rPr>
      </w:pPr>
      <w:r>
        <w:rPr>
          <w:rFonts w:hint="eastAsia"/>
          <w:sz w:val="24"/>
          <w:szCs w:val="24"/>
        </w:rPr>
        <w:t>“采购人”是指依法进行政府采购的国家机关、事业单位、团体组织。本谈判文件的采购人特指本项目采购单位。</w:t>
      </w:r>
    </w:p>
    <w:p>
      <w:pPr>
        <w:spacing w:line="360" w:lineRule="auto"/>
        <w:ind w:firstLine="480" w:firstLineChars="200"/>
        <w:rPr>
          <w:sz w:val="24"/>
          <w:szCs w:val="24"/>
        </w:rPr>
      </w:pPr>
      <w:r>
        <w:rPr>
          <w:rFonts w:hint="eastAsia"/>
          <w:sz w:val="24"/>
          <w:szCs w:val="24"/>
        </w:rPr>
        <w:t>“采购代理机构”是指本次采购项目活动组织方。本谈判文件的采购代理机构特指内蒙古百亚工程项目管理有限公司。</w:t>
      </w:r>
    </w:p>
    <w:p>
      <w:pPr>
        <w:spacing w:line="360" w:lineRule="auto"/>
        <w:ind w:firstLine="480" w:firstLineChars="200"/>
        <w:rPr>
          <w:sz w:val="24"/>
          <w:szCs w:val="24"/>
        </w:rPr>
      </w:pPr>
      <w:r>
        <w:rPr>
          <w:rFonts w:hint="eastAsia"/>
          <w:sz w:val="24"/>
          <w:szCs w:val="24"/>
        </w:rPr>
        <w:t>“供应商”是指向采购人提供货物、工程或者服务的法人、其他组织或者自然人。</w:t>
      </w:r>
    </w:p>
    <w:p>
      <w:pPr>
        <w:spacing w:line="360" w:lineRule="auto"/>
        <w:ind w:firstLine="480" w:firstLineChars="200"/>
        <w:rPr>
          <w:sz w:val="24"/>
          <w:szCs w:val="24"/>
        </w:rPr>
      </w:pPr>
      <w:r>
        <w:rPr>
          <w:rFonts w:hint="eastAsia"/>
          <w:sz w:val="24"/>
          <w:szCs w:val="24"/>
        </w:rPr>
        <w:t>“谈判小组”是指根据《中华人民共和国政府采购法》等法律法规规定，由采购人代表和有关专家组成以确定成交供应商或者推荐成交候选人的临时组织。</w:t>
      </w:r>
    </w:p>
    <w:p>
      <w:pPr>
        <w:spacing w:line="360" w:lineRule="auto"/>
        <w:ind w:firstLine="480" w:firstLineChars="200"/>
        <w:rPr>
          <w:sz w:val="24"/>
          <w:szCs w:val="24"/>
        </w:rPr>
      </w:pPr>
      <w:r>
        <w:rPr>
          <w:rFonts w:hint="eastAsia"/>
          <w:sz w:val="24"/>
          <w:szCs w:val="24"/>
        </w:rPr>
        <w:t>“成交人”是指经谈判小组评审确定的对谈判文件做出实质性响应，取得与采购人签订合同资格的供应商。</w:t>
      </w:r>
    </w:p>
    <w:p>
      <w:pPr>
        <w:pStyle w:val="5"/>
        <w:numPr>
          <w:ilvl w:val="0"/>
          <w:numId w:val="3"/>
        </w:numPr>
        <w:tabs>
          <w:tab w:val="left" w:pos="313"/>
        </w:tabs>
        <w:spacing w:before="116" w:line="360" w:lineRule="auto"/>
        <w:ind w:hanging="207"/>
        <w:rPr>
          <w:sz w:val="24"/>
          <w:szCs w:val="24"/>
        </w:rPr>
      </w:pPr>
      <w:r>
        <w:rPr>
          <w:rFonts w:hint="eastAsia"/>
          <w:spacing w:val="10"/>
          <w:sz w:val="24"/>
          <w:szCs w:val="24"/>
        </w:rPr>
        <w:t>合格的供应商</w:t>
      </w:r>
    </w:p>
    <w:p>
      <w:pPr>
        <w:spacing w:line="360" w:lineRule="auto"/>
        <w:ind w:firstLine="480" w:firstLineChars="200"/>
        <w:rPr>
          <w:sz w:val="24"/>
          <w:szCs w:val="24"/>
        </w:rPr>
      </w:pPr>
      <w:r>
        <w:rPr>
          <w:rFonts w:hint="eastAsia"/>
          <w:sz w:val="24"/>
          <w:szCs w:val="24"/>
        </w:rPr>
        <w:t>符合本谈判文件规定的资格要求，并按照要求提供相关证明材料。</w:t>
      </w:r>
    </w:p>
    <w:p>
      <w:pPr>
        <w:spacing w:line="360" w:lineRule="auto"/>
        <w:ind w:firstLine="480" w:firstLineChars="200"/>
        <w:rPr>
          <w:sz w:val="24"/>
          <w:szCs w:val="24"/>
        </w:rPr>
      </w:pPr>
      <w:r>
        <w:rPr>
          <w:rFonts w:hint="eastAsia"/>
          <w:sz w:val="24"/>
          <w:szCs w:val="24"/>
        </w:rPr>
        <w:t>单位负责人为同一人或者存在直接控股、管理关系的不同供应商，不得参加同一合同项下的政府采购活动。</w:t>
      </w:r>
    </w:p>
    <w:p>
      <w:pPr>
        <w:spacing w:line="360" w:lineRule="auto"/>
        <w:ind w:firstLine="480" w:firstLineChars="200"/>
        <w:rPr>
          <w:sz w:val="24"/>
          <w:szCs w:val="24"/>
        </w:rPr>
      </w:pPr>
      <w:r>
        <w:rPr>
          <w:rFonts w:hint="eastAsia"/>
          <w:sz w:val="24"/>
          <w:szCs w:val="24"/>
        </w:rPr>
        <w:t>为采购项目提供整体设计、规范编制或者项目管理、监理、检测等服务的供应商，不得再参加该采购项目的其他采购活动。</w:t>
      </w:r>
    </w:p>
    <w:p>
      <w:pPr>
        <w:pStyle w:val="5"/>
        <w:numPr>
          <w:ilvl w:val="0"/>
          <w:numId w:val="3"/>
        </w:numPr>
        <w:tabs>
          <w:tab w:val="left" w:pos="313"/>
        </w:tabs>
        <w:spacing w:before="118" w:line="360" w:lineRule="auto"/>
        <w:ind w:hanging="207"/>
        <w:rPr>
          <w:sz w:val="24"/>
          <w:szCs w:val="24"/>
        </w:rPr>
      </w:pPr>
      <w:r>
        <w:rPr>
          <w:rFonts w:hint="eastAsia"/>
          <w:spacing w:val="11"/>
          <w:sz w:val="24"/>
          <w:szCs w:val="24"/>
        </w:rPr>
        <w:t>以联合体形式投标的，应符合以下规定：</w:t>
      </w:r>
    </w:p>
    <w:p>
      <w:pPr>
        <w:spacing w:line="360" w:lineRule="auto"/>
        <w:ind w:firstLine="480" w:firstLineChars="200"/>
        <w:rPr>
          <w:sz w:val="24"/>
          <w:szCs w:val="24"/>
        </w:rPr>
      </w:pPr>
      <w:r>
        <w:rPr>
          <w:rFonts w:hint="eastAsia"/>
          <w:sz w:val="24"/>
          <w:szCs w:val="24"/>
        </w:rPr>
        <w:t>联合体各方应签订联合体协议书，明确联合体牵头人和各方权利义务，并作为响应文件组成分部分。</w:t>
      </w:r>
    </w:p>
    <w:p>
      <w:pPr>
        <w:spacing w:line="360" w:lineRule="auto"/>
        <w:ind w:firstLine="480" w:firstLineChars="200"/>
        <w:rPr>
          <w:sz w:val="24"/>
          <w:szCs w:val="24"/>
        </w:rPr>
      </w:pPr>
      <w:r>
        <w:rPr>
          <w:rFonts w:hint="eastAsia"/>
          <w:sz w:val="24"/>
          <w:szCs w:val="24"/>
        </w:rPr>
        <w:t>联合体各方均应当具备政府采购法第二十二条规定的条件，并在响应文件中提供联合体各方的相关证明材料。</w:t>
      </w:r>
    </w:p>
    <w:p>
      <w:pPr>
        <w:spacing w:line="360" w:lineRule="auto"/>
        <w:ind w:firstLine="480" w:firstLineChars="200"/>
        <w:rPr>
          <w:sz w:val="24"/>
          <w:szCs w:val="24"/>
        </w:rPr>
      </w:pPr>
      <w:r>
        <w:rPr>
          <w:rFonts w:hint="eastAsia"/>
          <w:sz w:val="24"/>
          <w:szCs w:val="24"/>
        </w:rPr>
        <w:t>联合体成员存在不良信用记录的，视同联合体存在不良信用记录。</w:t>
      </w:r>
    </w:p>
    <w:p>
      <w:pPr>
        <w:spacing w:line="360" w:lineRule="auto"/>
        <w:ind w:firstLine="480" w:firstLineChars="200"/>
        <w:rPr>
          <w:sz w:val="24"/>
          <w:szCs w:val="24"/>
        </w:rPr>
      </w:pPr>
      <w:r>
        <w:rPr>
          <w:rFonts w:hint="eastAsia"/>
          <w:sz w:val="24"/>
          <w:szCs w:val="24"/>
        </w:rPr>
        <w:t>联合体各方中至少应当有一方符合采购人规定的资格要求。由同一资质条件的供应商组成的联合体，应当按照资质等级较低的供应商确定联合体资质等级。</w:t>
      </w:r>
    </w:p>
    <w:p>
      <w:pPr>
        <w:spacing w:line="360" w:lineRule="auto"/>
        <w:ind w:firstLine="480" w:firstLineChars="200"/>
        <w:rPr>
          <w:sz w:val="24"/>
          <w:szCs w:val="24"/>
        </w:rPr>
      </w:pPr>
      <w:r>
        <w:rPr>
          <w:rFonts w:hint="eastAsia"/>
          <w:sz w:val="24"/>
          <w:szCs w:val="24"/>
        </w:rPr>
        <w:t>联合体各方不得再以自己名义单独在同一项目中投标，也不得组成新的联合体参加同一项目投标。</w:t>
      </w:r>
    </w:p>
    <w:p>
      <w:pPr>
        <w:spacing w:line="360" w:lineRule="auto"/>
        <w:ind w:firstLine="480" w:firstLineChars="200"/>
        <w:rPr>
          <w:sz w:val="24"/>
          <w:szCs w:val="24"/>
        </w:rPr>
      </w:pPr>
      <w:r>
        <w:rPr>
          <w:rFonts w:hint="eastAsia"/>
          <w:sz w:val="24"/>
          <w:szCs w:val="24"/>
        </w:rPr>
        <w:t>联合体各方应当共同与采购人签订采购合同，就合同约定的事项对采购人承担连带责任。</w:t>
      </w:r>
    </w:p>
    <w:p>
      <w:pPr>
        <w:spacing w:line="360" w:lineRule="auto"/>
        <w:ind w:firstLine="480" w:firstLineChars="200"/>
        <w:rPr>
          <w:sz w:val="24"/>
          <w:szCs w:val="24"/>
        </w:rPr>
      </w:pPr>
      <w:r>
        <w:rPr>
          <w:rFonts w:hint="eastAsia"/>
          <w:sz w:val="24"/>
          <w:szCs w:val="24"/>
        </w:rPr>
        <w:t>投标时，应以联合体协议中确定的主体方名义投标，以主体方名义缴纳投标保证金，对联合体各方均具有约束力。</w:t>
      </w:r>
    </w:p>
    <w:p>
      <w:pPr>
        <w:pStyle w:val="5"/>
        <w:numPr>
          <w:ilvl w:val="0"/>
          <w:numId w:val="3"/>
        </w:numPr>
        <w:tabs>
          <w:tab w:val="left" w:pos="313"/>
        </w:tabs>
        <w:spacing w:before="116" w:line="360" w:lineRule="auto"/>
        <w:ind w:hanging="207"/>
        <w:rPr>
          <w:sz w:val="24"/>
          <w:szCs w:val="24"/>
        </w:rPr>
      </w:pPr>
      <w:r>
        <w:rPr>
          <w:rFonts w:hint="eastAsia"/>
          <w:spacing w:val="10"/>
          <w:sz w:val="24"/>
          <w:szCs w:val="24"/>
        </w:rPr>
        <w:t>语言文字以及度量衡单位</w:t>
      </w:r>
    </w:p>
    <w:p>
      <w:pPr>
        <w:spacing w:line="360" w:lineRule="auto"/>
        <w:ind w:firstLine="480" w:firstLineChars="200"/>
        <w:rPr>
          <w:sz w:val="24"/>
          <w:szCs w:val="24"/>
        </w:rPr>
      </w:pPr>
      <w:r>
        <w:rPr>
          <w:rFonts w:hint="eastAsia"/>
          <w:sz w:val="24"/>
          <w:szCs w:val="24"/>
        </w:rPr>
        <w:t>所有文件使用的语言文字为简体中文。专用术语使用外文的，应附有简体中文注释，否则视为无效。</w:t>
      </w:r>
    </w:p>
    <w:p>
      <w:pPr>
        <w:spacing w:line="360" w:lineRule="auto"/>
        <w:ind w:firstLine="480" w:firstLineChars="200"/>
        <w:rPr>
          <w:sz w:val="24"/>
          <w:szCs w:val="24"/>
        </w:rPr>
      </w:pPr>
      <w:r>
        <w:rPr>
          <w:rFonts w:hint="eastAsia"/>
          <w:sz w:val="24"/>
          <w:szCs w:val="24"/>
        </w:rPr>
        <w:t>所有计量均采用中国法定的计量单位。</w:t>
      </w:r>
    </w:p>
    <w:p>
      <w:pPr>
        <w:spacing w:line="360" w:lineRule="auto"/>
        <w:ind w:firstLine="480" w:firstLineChars="200"/>
        <w:rPr>
          <w:sz w:val="24"/>
          <w:szCs w:val="24"/>
        </w:rPr>
      </w:pPr>
      <w:r>
        <w:rPr>
          <w:rFonts w:hint="eastAsia"/>
          <w:sz w:val="24"/>
          <w:szCs w:val="24"/>
        </w:rPr>
        <w:t>所有报价一律使用人民币，货币单位：元。</w:t>
      </w:r>
    </w:p>
    <w:p>
      <w:pPr>
        <w:pStyle w:val="5"/>
        <w:numPr>
          <w:ilvl w:val="0"/>
          <w:numId w:val="3"/>
        </w:numPr>
        <w:tabs>
          <w:tab w:val="left" w:pos="377"/>
        </w:tabs>
        <w:spacing w:before="116" w:line="360" w:lineRule="auto"/>
        <w:ind w:left="491" w:hanging="271"/>
        <w:rPr>
          <w:sz w:val="24"/>
          <w:szCs w:val="24"/>
        </w:rPr>
      </w:pPr>
      <w:r>
        <w:rPr>
          <w:rFonts w:hint="eastAsia"/>
          <w:spacing w:val="8"/>
          <w:sz w:val="24"/>
          <w:szCs w:val="24"/>
        </w:rPr>
        <w:t>现场踏勘</w:t>
      </w:r>
    </w:p>
    <w:p>
      <w:pPr>
        <w:spacing w:line="360" w:lineRule="auto"/>
        <w:ind w:firstLine="480" w:firstLineChars="200"/>
        <w:rPr>
          <w:sz w:val="24"/>
          <w:szCs w:val="24"/>
        </w:rPr>
      </w:pPr>
      <w:r>
        <w:rPr>
          <w:rFonts w:hint="eastAsia"/>
          <w:sz w:val="24"/>
          <w:szCs w:val="24"/>
        </w:rPr>
        <w:t>谈判文件规定组织踏勘现场的，采购人按谈判文件规定的时间、地点组织供应商踏勘项目现场。</w:t>
      </w:r>
    </w:p>
    <w:p>
      <w:pPr>
        <w:spacing w:line="360" w:lineRule="auto"/>
        <w:ind w:firstLine="480" w:firstLineChars="200"/>
        <w:rPr>
          <w:sz w:val="24"/>
          <w:szCs w:val="24"/>
        </w:rPr>
      </w:pPr>
      <w:r>
        <w:rPr>
          <w:rFonts w:hint="eastAsia"/>
          <w:sz w:val="24"/>
          <w:szCs w:val="24"/>
        </w:rPr>
        <w:t>供应商自行承担踏勘现场发生的责任、风险和自身费用。</w:t>
      </w:r>
    </w:p>
    <w:p>
      <w:pPr>
        <w:spacing w:line="360" w:lineRule="auto"/>
        <w:ind w:firstLine="480" w:firstLineChars="200"/>
        <w:rPr>
          <w:sz w:val="24"/>
          <w:szCs w:val="24"/>
        </w:rPr>
      </w:pPr>
      <w:r>
        <w:rPr>
          <w:rFonts w:hint="eastAsia"/>
          <w:sz w:val="24"/>
          <w:szCs w:val="24"/>
        </w:rPr>
        <w:t>采购人在踏勘现场中介绍的资料和数据，不构成对谈判文件的修改或不作为供应商编制响应文件的依据。</w:t>
      </w:r>
    </w:p>
    <w:p>
      <w:pPr>
        <w:pStyle w:val="5"/>
        <w:numPr>
          <w:ilvl w:val="0"/>
          <w:numId w:val="3"/>
        </w:numPr>
        <w:tabs>
          <w:tab w:val="left" w:pos="313"/>
        </w:tabs>
        <w:spacing w:before="116" w:line="360" w:lineRule="auto"/>
        <w:ind w:hanging="207"/>
        <w:rPr>
          <w:sz w:val="24"/>
          <w:szCs w:val="24"/>
        </w:rPr>
      </w:pPr>
      <w:r>
        <w:rPr>
          <w:rFonts w:hint="eastAsia"/>
          <w:spacing w:val="8"/>
          <w:sz w:val="24"/>
          <w:szCs w:val="24"/>
        </w:rPr>
        <w:t>其他条款</w:t>
      </w:r>
    </w:p>
    <w:p>
      <w:pPr>
        <w:spacing w:line="360" w:lineRule="auto"/>
        <w:ind w:firstLine="480" w:firstLineChars="200"/>
        <w:rPr>
          <w:sz w:val="24"/>
          <w:szCs w:val="24"/>
        </w:rPr>
      </w:pPr>
      <w:r>
        <w:rPr>
          <w:rFonts w:hint="eastAsia"/>
          <w:sz w:val="24"/>
          <w:szCs w:val="24"/>
        </w:rPr>
        <w:t>无论成交与否供应商递交的响应文件均不予退还。</w:t>
      </w:r>
    </w:p>
    <w:p>
      <w:pPr>
        <w:pStyle w:val="5"/>
        <w:spacing w:before="115" w:line="360" w:lineRule="auto"/>
        <w:ind w:left="100" w:firstLine="0"/>
        <w:rPr>
          <w:sz w:val="24"/>
          <w:szCs w:val="24"/>
        </w:rPr>
      </w:pPr>
      <w:r>
        <w:rPr>
          <w:rFonts w:hint="eastAsia"/>
          <w:sz w:val="24"/>
          <w:szCs w:val="24"/>
        </w:rPr>
        <w:t>二</w:t>
      </w:r>
      <w:r>
        <w:rPr>
          <w:rFonts w:hint="eastAsia"/>
          <w:w w:val="115"/>
          <w:sz w:val="24"/>
          <w:szCs w:val="24"/>
        </w:rPr>
        <w:t>.</w:t>
      </w:r>
      <w:r>
        <w:rPr>
          <w:rFonts w:hint="eastAsia"/>
          <w:sz w:val="24"/>
          <w:szCs w:val="24"/>
        </w:rPr>
        <w:t>谈判文件的澄清或者修改</w:t>
      </w:r>
    </w:p>
    <w:p>
      <w:pPr>
        <w:spacing w:line="360" w:lineRule="auto"/>
        <w:ind w:firstLine="480" w:firstLineChars="200"/>
        <w:rPr>
          <w:sz w:val="24"/>
          <w:szCs w:val="24"/>
        </w:rPr>
      </w:pPr>
      <w:r>
        <w:rPr>
          <w:rFonts w:hint="eastAsia"/>
          <w:sz w:val="24"/>
          <w:szCs w:val="24"/>
        </w:rPr>
        <w:t>采购人或采购代理机构需对谈判文件作实质性变动的，应当在规定的截止时间前3个工作日以公告形式告知所有参加谈判的供应商，不足3个工作日的，顺延提交首次响应文件截止之日，在网上发布澄清或者变更公告。澄清或者变更公告的内容为谈判文件的组成部分，供应商应自行上网查询，采购人或采购代理机构不承担供应商未及时关注相关信息的责任。</w:t>
      </w:r>
    </w:p>
    <w:p>
      <w:pPr>
        <w:pStyle w:val="5"/>
        <w:spacing w:before="154" w:line="360" w:lineRule="auto"/>
        <w:ind w:left="100" w:firstLine="0"/>
        <w:rPr>
          <w:sz w:val="24"/>
          <w:szCs w:val="24"/>
        </w:rPr>
      </w:pPr>
      <w:r>
        <w:rPr>
          <w:rFonts w:hint="eastAsia"/>
          <w:spacing w:val="18"/>
          <w:sz w:val="24"/>
          <w:szCs w:val="24"/>
        </w:rPr>
        <w:t>三</w:t>
      </w:r>
      <w:r>
        <w:rPr>
          <w:rFonts w:hint="eastAsia"/>
          <w:spacing w:val="-7"/>
          <w:sz w:val="24"/>
          <w:szCs w:val="24"/>
        </w:rPr>
        <w:t>.</w:t>
      </w:r>
      <w:r>
        <w:rPr>
          <w:rFonts w:hint="eastAsia"/>
          <w:spacing w:val="8"/>
          <w:sz w:val="24"/>
          <w:szCs w:val="24"/>
        </w:rPr>
        <w:t>响应文件</w:t>
      </w:r>
    </w:p>
    <w:p>
      <w:pPr>
        <w:pStyle w:val="22"/>
        <w:numPr>
          <w:ilvl w:val="0"/>
          <w:numId w:val="4"/>
        </w:numPr>
        <w:tabs>
          <w:tab w:val="left" w:pos="313"/>
        </w:tabs>
        <w:spacing w:line="360" w:lineRule="auto"/>
        <w:ind w:hanging="207"/>
        <w:rPr>
          <w:b/>
          <w:sz w:val="24"/>
          <w:szCs w:val="24"/>
        </w:rPr>
      </w:pPr>
      <w:r>
        <w:rPr>
          <w:rFonts w:hint="eastAsia"/>
          <w:b/>
          <w:spacing w:val="10"/>
          <w:sz w:val="24"/>
          <w:szCs w:val="24"/>
        </w:rPr>
        <w:t>响应文件的构成</w:t>
      </w:r>
    </w:p>
    <w:p>
      <w:pPr>
        <w:spacing w:line="360" w:lineRule="auto"/>
        <w:ind w:firstLine="480" w:firstLineChars="200"/>
        <w:rPr>
          <w:sz w:val="24"/>
          <w:szCs w:val="24"/>
        </w:rPr>
      </w:pPr>
      <w:r>
        <w:rPr>
          <w:rFonts w:hint="eastAsia"/>
          <w:sz w:val="24"/>
          <w:szCs w:val="24"/>
        </w:rPr>
        <w:t>响应文件应按照谈判文件第七章“响应文件格式”进行编写（可以增加附页），作为响应文件的组成部分。</w:t>
      </w:r>
    </w:p>
    <w:p>
      <w:pPr>
        <w:pStyle w:val="5"/>
        <w:numPr>
          <w:ilvl w:val="0"/>
          <w:numId w:val="4"/>
        </w:numPr>
        <w:tabs>
          <w:tab w:val="left" w:pos="313"/>
        </w:tabs>
        <w:spacing w:line="360" w:lineRule="auto"/>
        <w:ind w:hanging="207"/>
        <w:rPr>
          <w:sz w:val="24"/>
          <w:szCs w:val="24"/>
        </w:rPr>
      </w:pPr>
      <w:r>
        <w:rPr>
          <w:rFonts w:hint="eastAsia"/>
          <w:spacing w:val="8"/>
          <w:sz w:val="24"/>
          <w:szCs w:val="24"/>
        </w:rPr>
        <w:t>投标报价</w:t>
      </w:r>
    </w:p>
    <w:p>
      <w:pPr>
        <w:spacing w:line="360" w:lineRule="auto"/>
        <w:ind w:firstLine="480" w:firstLineChars="200"/>
        <w:rPr>
          <w:sz w:val="24"/>
          <w:szCs w:val="24"/>
        </w:rPr>
      </w:pPr>
      <w:r>
        <w:rPr>
          <w:rFonts w:hint="eastAsia"/>
          <w:sz w:val="24"/>
          <w:szCs w:val="24"/>
        </w:rPr>
        <w:t>供应商应按照“第四章采购内容与要求”的需求内容、责任范围以及合同条款进行报价。并按“首轮报价表”和“分项报价明细表”规定的格式报出总价和分项价格。投标总价中不得包含谈判文件要求以外的内容，否则，在评审时不予核减。</w:t>
      </w:r>
    </w:p>
    <w:p>
      <w:pPr>
        <w:spacing w:line="360" w:lineRule="auto"/>
        <w:ind w:firstLine="480" w:firstLineChars="200"/>
        <w:rPr>
          <w:sz w:val="24"/>
          <w:szCs w:val="24"/>
        </w:rPr>
      </w:pPr>
      <w:r>
        <w:rPr>
          <w:rFonts w:hint="eastAsia"/>
          <w:sz w:val="24"/>
          <w:szCs w:val="24"/>
        </w:rPr>
        <w:t>投标报价包括本项目采购需求和投入使用的所有费用，如主件、标准附件、备品备件、施工、服务、专用工具、安装、调试、检验、培训、运输、保险、税款等。</w:t>
      </w:r>
    </w:p>
    <w:p>
      <w:pPr>
        <w:spacing w:line="360" w:lineRule="auto"/>
        <w:ind w:firstLine="480" w:firstLineChars="200"/>
        <w:rPr>
          <w:sz w:val="24"/>
          <w:szCs w:val="24"/>
        </w:rPr>
      </w:pPr>
      <w:r>
        <w:rPr>
          <w:rFonts w:hint="eastAsia"/>
          <w:sz w:val="24"/>
          <w:szCs w:val="24"/>
        </w:rPr>
        <w:t>投标报价不得有选择性报价和附有条件的报价。</w:t>
      </w:r>
    </w:p>
    <w:p>
      <w:pPr>
        <w:spacing w:line="360" w:lineRule="auto"/>
        <w:ind w:firstLine="480" w:firstLineChars="200"/>
        <w:rPr>
          <w:sz w:val="24"/>
          <w:szCs w:val="24"/>
        </w:rPr>
      </w:pPr>
      <w:r>
        <w:rPr>
          <w:rFonts w:hint="eastAsia"/>
          <w:sz w:val="24"/>
          <w:szCs w:val="24"/>
        </w:rPr>
        <w:t>对报价的计算错误按以下原则修正：</w:t>
      </w:r>
    </w:p>
    <w:p>
      <w:pPr>
        <w:pStyle w:val="22"/>
        <w:numPr>
          <w:ilvl w:val="0"/>
          <w:numId w:val="5"/>
        </w:numPr>
        <w:tabs>
          <w:tab w:val="left" w:pos="1092"/>
        </w:tabs>
        <w:spacing w:line="360" w:lineRule="auto"/>
        <w:rPr>
          <w:sz w:val="24"/>
          <w:szCs w:val="24"/>
        </w:rPr>
      </w:pPr>
      <w:r>
        <w:rPr>
          <w:rFonts w:hint="eastAsia"/>
          <w:sz w:val="24"/>
          <w:szCs w:val="24"/>
        </w:rPr>
        <w:t>响应文件中首轮报价表（报价表）内容与响应文件中相应内容不一致的，以首轮报价表（报价表）为准；</w:t>
      </w:r>
    </w:p>
    <w:p>
      <w:pPr>
        <w:pStyle w:val="22"/>
        <w:numPr>
          <w:ilvl w:val="0"/>
          <w:numId w:val="5"/>
        </w:numPr>
        <w:tabs>
          <w:tab w:val="left" w:pos="1092"/>
        </w:tabs>
        <w:spacing w:line="360" w:lineRule="auto"/>
        <w:rPr>
          <w:sz w:val="24"/>
          <w:szCs w:val="24"/>
        </w:rPr>
      </w:pPr>
      <w:r>
        <w:rPr>
          <w:rFonts w:hint="eastAsia"/>
          <w:sz w:val="24"/>
          <w:szCs w:val="24"/>
        </w:rPr>
        <w:t>大写金额和小写金额不一致的，以大写金额为准；</w:t>
      </w:r>
    </w:p>
    <w:p>
      <w:pPr>
        <w:pStyle w:val="22"/>
        <w:numPr>
          <w:ilvl w:val="0"/>
          <w:numId w:val="5"/>
        </w:numPr>
        <w:tabs>
          <w:tab w:val="left" w:pos="1092"/>
        </w:tabs>
        <w:spacing w:line="360" w:lineRule="auto"/>
        <w:rPr>
          <w:sz w:val="24"/>
          <w:szCs w:val="24"/>
        </w:rPr>
      </w:pPr>
      <w:r>
        <w:rPr>
          <w:rFonts w:hint="eastAsia"/>
          <w:sz w:val="24"/>
          <w:szCs w:val="24"/>
        </w:rPr>
        <w:t>单价金额小数点或者百分比有明显错位的，以首轮报价表的总价为准，并修改单价。</w:t>
      </w:r>
    </w:p>
    <w:p>
      <w:pPr>
        <w:pStyle w:val="9"/>
        <w:spacing w:before="4" w:line="360" w:lineRule="auto"/>
        <w:ind w:right="169" w:firstLine="576"/>
        <w:rPr>
          <w:sz w:val="24"/>
          <w:szCs w:val="24"/>
        </w:rPr>
      </w:pPr>
      <w:r>
        <w:rPr>
          <w:rFonts w:hint="eastAsia"/>
          <w:sz w:val="24"/>
          <w:szCs w:val="24"/>
        </w:rPr>
        <w:t>注：修正后的报价供应商应当采用书面形式，并加盖公章，或者由法定代表人或其授权的代表签字确认后产生约束力， 但不得超出响应文件的范围或者改变响应文件的实质性内容，供应商不确认的，其投标无效。</w:t>
      </w:r>
    </w:p>
    <w:p>
      <w:pPr>
        <w:pStyle w:val="5"/>
        <w:numPr>
          <w:ilvl w:val="0"/>
          <w:numId w:val="4"/>
        </w:numPr>
        <w:tabs>
          <w:tab w:val="left" w:pos="313"/>
        </w:tabs>
        <w:spacing w:before="118" w:line="360" w:lineRule="auto"/>
        <w:ind w:hanging="207"/>
        <w:rPr>
          <w:sz w:val="24"/>
          <w:szCs w:val="24"/>
        </w:rPr>
      </w:pPr>
      <w:r>
        <w:rPr>
          <w:rFonts w:hint="eastAsia"/>
          <w:spacing w:val="9"/>
          <w:sz w:val="24"/>
          <w:szCs w:val="24"/>
        </w:rPr>
        <w:t>投标有效期</w:t>
      </w:r>
    </w:p>
    <w:p>
      <w:pPr>
        <w:spacing w:line="360" w:lineRule="auto"/>
        <w:ind w:firstLine="480" w:firstLineChars="200"/>
        <w:rPr>
          <w:sz w:val="24"/>
          <w:szCs w:val="24"/>
        </w:rPr>
      </w:pPr>
      <w:r>
        <w:rPr>
          <w:rFonts w:hint="eastAsia"/>
          <w:sz w:val="24"/>
          <w:szCs w:val="24"/>
        </w:rPr>
        <w:t>投标有效期从提交响应文件的截止之日起算。响应文件中承诺的投标有效期应当不少于谈判文件中载明的投标有效期。投标有效期内供应商撤销响应文件的，采购人或者采购代理机构可以不退还投标保证金。</w:t>
      </w:r>
    </w:p>
    <w:p>
      <w:pPr>
        <w:spacing w:line="360" w:lineRule="auto"/>
        <w:ind w:firstLine="480" w:firstLineChars="200"/>
        <w:rPr>
          <w:sz w:val="24"/>
          <w:szCs w:val="24"/>
        </w:rPr>
      </w:pPr>
      <w:r>
        <w:rPr>
          <w:rFonts w:hint="eastAsia"/>
          <w:sz w:val="24"/>
          <w:szCs w:val="24"/>
        </w:rPr>
        <w:t>出现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pPr>
        <w:pStyle w:val="5"/>
        <w:numPr>
          <w:ilvl w:val="0"/>
          <w:numId w:val="4"/>
        </w:numPr>
        <w:tabs>
          <w:tab w:val="left" w:pos="313"/>
        </w:tabs>
        <w:spacing w:before="117" w:line="360" w:lineRule="auto"/>
        <w:ind w:hanging="207"/>
        <w:rPr>
          <w:sz w:val="24"/>
          <w:szCs w:val="24"/>
        </w:rPr>
      </w:pPr>
      <w:r>
        <w:rPr>
          <w:rFonts w:hint="eastAsia"/>
          <w:spacing w:val="9"/>
          <w:sz w:val="24"/>
          <w:szCs w:val="24"/>
        </w:rPr>
        <w:t>投标保证金</w:t>
      </w:r>
    </w:p>
    <w:p>
      <w:pPr>
        <w:spacing w:line="360" w:lineRule="auto"/>
        <w:ind w:firstLine="480" w:firstLineChars="200"/>
        <w:rPr>
          <w:sz w:val="24"/>
          <w:szCs w:val="24"/>
        </w:rPr>
      </w:pPr>
      <w:r>
        <w:rPr>
          <w:rFonts w:hint="eastAsia"/>
          <w:sz w:val="24"/>
          <w:szCs w:val="24"/>
          <w:lang w:val="en-US"/>
        </w:rPr>
        <w:t xml:space="preserve">4.1 </w:t>
      </w:r>
      <w:r>
        <w:rPr>
          <w:rFonts w:hint="eastAsia"/>
          <w:sz w:val="24"/>
          <w:szCs w:val="24"/>
        </w:rPr>
        <w:t>投标保证金的缴纳</w:t>
      </w:r>
    </w:p>
    <w:p>
      <w:pPr>
        <w:spacing w:line="360" w:lineRule="auto"/>
        <w:ind w:firstLine="480" w:firstLineChars="200"/>
        <w:rPr>
          <w:sz w:val="24"/>
          <w:szCs w:val="24"/>
        </w:rPr>
      </w:pPr>
      <w:r>
        <w:rPr>
          <w:rFonts w:hint="eastAsia"/>
          <w:sz w:val="24"/>
          <w:szCs w:val="24"/>
        </w:rPr>
        <w:t>供应商在提交响应文件的同时，应按供应商须知前附表规定的金额、开户银行、行号、开户单位、账号和谈判文件本章“投标须知”规定的投标保证金缴纳要求递交投标保证金，并作为其响应文件的组成部分。</w:t>
      </w:r>
    </w:p>
    <w:p>
      <w:pPr>
        <w:spacing w:line="360" w:lineRule="auto"/>
        <w:ind w:firstLine="480" w:firstLineChars="200"/>
        <w:rPr>
          <w:sz w:val="24"/>
          <w:szCs w:val="24"/>
        </w:rPr>
      </w:pPr>
      <w:r>
        <w:rPr>
          <w:rFonts w:hint="eastAsia"/>
          <w:sz w:val="24"/>
          <w:szCs w:val="24"/>
          <w:lang w:val="en-US"/>
        </w:rPr>
        <w:t xml:space="preserve">4.2 </w:t>
      </w:r>
      <w:r>
        <w:rPr>
          <w:rFonts w:hint="eastAsia"/>
          <w:sz w:val="24"/>
          <w:szCs w:val="24"/>
        </w:rPr>
        <w:t>投标保证金的退还：</w:t>
      </w:r>
    </w:p>
    <w:p>
      <w:pPr>
        <w:pStyle w:val="22"/>
        <w:numPr>
          <w:ilvl w:val="0"/>
          <w:numId w:val="6"/>
        </w:numPr>
        <w:tabs>
          <w:tab w:val="left" w:pos="1140"/>
        </w:tabs>
        <w:spacing w:before="4" w:line="360" w:lineRule="auto"/>
        <w:ind w:right="169"/>
        <w:rPr>
          <w:sz w:val="24"/>
          <w:szCs w:val="24"/>
        </w:rPr>
      </w:pPr>
      <w:r>
        <w:rPr>
          <w:rFonts w:hint="eastAsia"/>
          <w:sz w:val="24"/>
          <w:szCs w:val="24"/>
        </w:rPr>
        <w:t>供应商在投标截止时间前放弃投标的，自所投合同包结果公告发出后</w:t>
      </w:r>
      <w:r>
        <w:rPr>
          <w:rFonts w:hint="eastAsia"/>
          <w:spacing w:val="-3"/>
          <w:w w:val="110"/>
          <w:sz w:val="24"/>
          <w:szCs w:val="24"/>
        </w:rPr>
        <w:t>5</w:t>
      </w:r>
      <w:r>
        <w:rPr>
          <w:rFonts w:hint="eastAsia"/>
          <w:spacing w:val="-1"/>
          <w:sz w:val="24"/>
          <w:szCs w:val="24"/>
        </w:rPr>
        <w:t>个工作日内退还，但因供应商自身原因导致</w:t>
      </w:r>
      <w:r>
        <w:rPr>
          <w:rFonts w:hint="eastAsia"/>
          <w:sz w:val="24"/>
          <w:szCs w:val="24"/>
        </w:rPr>
        <w:t>无法及时退还的除外；</w:t>
      </w:r>
    </w:p>
    <w:p>
      <w:pPr>
        <w:pStyle w:val="22"/>
        <w:numPr>
          <w:ilvl w:val="0"/>
          <w:numId w:val="6"/>
        </w:numPr>
        <w:tabs>
          <w:tab w:val="left" w:pos="0"/>
        </w:tabs>
        <w:spacing w:before="60" w:line="360" w:lineRule="auto"/>
        <w:rPr>
          <w:sz w:val="24"/>
          <w:szCs w:val="24"/>
        </w:rPr>
      </w:pPr>
      <w:r>
        <w:rPr>
          <w:rFonts w:hint="eastAsia"/>
          <w:sz w:val="24"/>
          <w:szCs w:val="24"/>
        </w:rPr>
        <w:t>未成交人投标保证金，自成交通知书发出之日起</w:t>
      </w:r>
      <w:r>
        <w:rPr>
          <w:rFonts w:hint="eastAsia"/>
          <w:spacing w:val="-3"/>
          <w:w w:val="110"/>
          <w:sz w:val="24"/>
          <w:szCs w:val="24"/>
        </w:rPr>
        <w:t>5</w:t>
      </w:r>
      <w:r>
        <w:rPr>
          <w:rFonts w:hint="eastAsia"/>
          <w:sz w:val="24"/>
          <w:szCs w:val="24"/>
        </w:rPr>
        <w:t>个工作日内退还；</w:t>
      </w:r>
    </w:p>
    <w:p>
      <w:pPr>
        <w:pStyle w:val="22"/>
        <w:numPr>
          <w:ilvl w:val="0"/>
          <w:numId w:val="6"/>
        </w:numPr>
        <w:tabs>
          <w:tab w:val="left" w:pos="0"/>
        </w:tabs>
        <w:spacing w:line="360" w:lineRule="auto"/>
        <w:rPr>
          <w:sz w:val="24"/>
          <w:szCs w:val="24"/>
        </w:rPr>
      </w:pPr>
      <w:r>
        <w:rPr>
          <w:rFonts w:hint="eastAsia"/>
          <w:sz w:val="24"/>
          <w:szCs w:val="24"/>
        </w:rPr>
        <w:t>成交人投标保证金，自政府采购合同签订之日起</w:t>
      </w:r>
      <w:r>
        <w:rPr>
          <w:rFonts w:hint="eastAsia"/>
          <w:spacing w:val="-3"/>
          <w:w w:val="110"/>
          <w:sz w:val="24"/>
          <w:szCs w:val="24"/>
        </w:rPr>
        <w:t>5</w:t>
      </w:r>
      <w:r>
        <w:rPr>
          <w:rFonts w:hint="eastAsia"/>
          <w:sz w:val="24"/>
          <w:szCs w:val="24"/>
        </w:rPr>
        <w:t>个工作日内退还。</w:t>
      </w:r>
    </w:p>
    <w:p>
      <w:pPr>
        <w:pStyle w:val="22"/>
        <w:tabs>
          <w:tab w:val="left" w:pos="890"/>
        </w:tabs>
        <w:spacing w:line="360" w:lineRule="auto"/>
        <w:ind w:left="585" w:firstLine="0"/>
        <w:rPr>
          <w:sz w:val="24"/>
          <w:szCs w:val="24"/>
        </w:rPr>
      </w:pPr>
      <w:r>
        <w:rPr>
          <w:rFonts w:hint="eastAsia"/>
          <w:sz w:val="24"/>
          <w:szCs w:val="24"/>
          <w:lang w:val="en-US"/>
        </w:rPr>
        <w:t xml:space="preserve">4.3 </w:t>
      </w:r>
      <w:r>
        <w:rPr>
          <w:rFonts w:hint="eastAsia"/>
          <w:sz w:val="24"/>
          <w:szCs w:val="24"/>
        </w:rPr>
        <w:t>有下列情形之一的，</w:t>
      </w:r>
      <w:r>
        <w:rPr>
          <w:rFonts w:hint="eastAsia"/>
          <w:sz w:val="24"/>
          <w:szCs w:val="24"/>
          <w:lang w:val="en-US"/>
        </w:rPr>
        <w:t xml:space="preserve"> </w:t>
      </w:r>
      <w:r>
        <w:rPr>
          <w:rFonts w:hint="eastAsia"/>
          <w:sz w:val="24"/>
          <w:szCs w:val="24"/>
        </w:rPr>
        <w:t>投标保证金将不予退还：</w:t>
      </w:r>
    </w:p>
    <w:p>
      <w:pPr>
        <w:pStyle w:val="22"/>
        <w:numPr>
          <w:ilvl w:val="0"/>
          <w:numId w:val="7"/>
        </w:numPr>
        <w:tabs>
          <w:tab w:val="left" w:pos="1092"/>
        </w:tabs>
        <w:spacing w:line="360" w:lineRule="auto"/>
        <w:rPr>
          <w:sz w:val="24"/>
          <w:szCs w:val="24"/>
        </w:rPr>
      </w:pPr>
      <w:r>
        <w:rPr>
          <w:rFonts w:hint="eastAsia"/>
          <w:sz w:val="24"/>
          <w:szCs w:val="24"/>
        </w:rPr>
        <w:t>成交后，无正当理由放弃中标资格；</w:t>
      </w:r>
    </w:p>
    <w:p>
      <w:pPr>
        <w:pStyle w:val="22"/>
        <w:numPr>
          <w:ilvl w:val="0"/>
          <w:numId w:val="7"/>
        </w:numPr>
        <w:tabs>
          <w:tab w:val="left" w:pos="1092"/>
        </w:tabs>
        <w:spacing w:line="360" w:lineRule="auto"/>
        <w:rPr>
          <w:sz w:val="24"/>
          <w:szCs w:val="24"/>
        </w:rPr>
      </w:pPr>
      <w:r>
        <w:rPr>
          <w:rFonts w:hint="eastAsia"/>
          <w:sz w:val="24"/>
          <w:szCs w:val="24"/>
        </w:rPr>
        <w:t>成交后，无正当理由不与谈判人签订合同；</w:t>
      </w:r>
    </w:p>
    <w:p>
      <w:pPr>
        <w:pStyle w:val="22"/>
        <w:numPr>
          <w:ilvl w:val="0"/>
          <w:numId w:val="7"/>
        </w:numPr>
        <w:tabs>
          <w:tab w:val="left" w:pos="1092"/>
        </w:tabs>
        <w:spacing w:line="360" w:lineRule="auto"/>
        <w:rPr>
          <w:sz w:val="24"/>
          <w:szCs w:val="24"/>
        </w:rPr>
      </w:pPr>
      <w:r>
        <w:rPr>
          <w:rFonts w:hint="eastAsia"/>
          <w:sz w:val="24"/>
          <w:szCs w:val="24"/>
        </w:rPr>
        <w:t>在签订合同时，向采购人提出附加条件；</w:t>
      </w:r>
    </w:p>
    <w:p>
      <w:pPr>
        <w:pStyle w:val="22"/>
        <w:numPr>
          <w:ilvl w:val="0"/>
          <w:numId w:val="7"/>
        </w:numPr>
        <w:tabs>
          <w:tab w:val="left" w:pos="1092"/>
        </w:tabs>
        <w:spacing w:line="360" w:lineRule="auto"/>
        <w:rPr>
          <w:sz w:val="24"/>
          <w:szCs w:val="24"/>
        </w:rPr>
      </w:pPr>
      <w:r>
        <w:rPr>
          <w:rFonts w:hint="eastAsia"/>
          <w:sz w:val="24"/>
          <w:szCs w:val="24"/>
        </w:rPr>
        <w:t>不按照谈判文件要求提交履约保证金；</w:t>
      </w:r>
    </w:p>
    <w:p>
      <w:pPr>
        <w:pStyle w:val="22"/>
        <w:numPr>
          <w:ilvl w:val="0"/>
          <w:numId w:val="7"/>
        </w:numPr>
        <w:tabs>
          <w:tab w:val="left" w:pos="1092"/>
        </w:tabs>
        <w:spacing w:line="360" w:lineRule="auto"/>
        <w:rPr>
          <w:sz w:val="24"/>
          <w:szCs w:val="24"/>
        </w:rPr>
      </w:pPr>
      <w:r>
        <w:rPr>
          <w:rFonts w:hint="eastAsia"/>
          <w:sz w:val="24"/>
          <w:szCs w:val="24"/>
        </w:rPr>
        <w:t>要求修改、补充和撤销响应文件的实质性内容；</w:t>
      </w:r>
    </w:p>
    <w:p>
      <w:pPr>
        <w:pStyle w:val="22"/>
        <w:numPr>
          <w:ilvl w:val="0"/>
          <w:numId w:val="7"/>
        </w:numPr>
        <w:tabs>
          <w:tab w:val="left" w:pos="1092"/>
        </w:tabs>
        <w:spacing w:line="360" w:lineRule="auto"/>
        <w:rPr>
          <w:sz w:val="24"/>
          <w:szCs w:val="24"/>
        </w:rPr>
      </w:pPr>
      <w:r>
        <w:rPr>
          <w:rFonts w:hint="eastAsia"/>
          <w:sz w:val="24"/>
          <w:szCs w:val="24"/>
        </w:rPr>
        <w:t>要求更改谈判文件和成交结果公告的实质性内容；</w:t>
      </w:r>
    </w:p>
    <w:p>
      <w:pPr>
        <w:pStyle w:val="22"/>
        <w:numPr>
          <w:ilvl w:val="0"/>
          <w:numId w:val="7"/>
        </w:numPr>
        <w:tabs>
          <w:tab w:val="left" w:pos="1092"/>
        </w:tabs>
        <w:spacing w:line="360" w:lineRule="auto"/>
        <w:rPr>
          <w:sz w:val="24"/>
          <w:szCs w:val="24"/>
        </w:rPr>
      </w:pPr>
      <w:r>
        <w:rPr>
          <w:rFonts w:hint="eastAsia"/>
          <w:sz w:val="24"/>
          <w:szCs w:val="24"/>
        </w:rPr>
        <w:t>法律法规和谈判文件规定的其他情形。</w:t>
      </w:r>
    </w:p>
    <w:p>
      <w:pPr>
        <w:pStyle w:val="5"/>
        <w:numPr>
          <w:ilvl w:val="0"/>
          <w:numId w:val="4"/>
        </w:numPr>
        <w:tabs>
          <w:tab w:val="left" w:pos="313"/>
        </w:tabs>
        <w:spacing w:line="360" w:lineRule="auto"/>
        <w:ind w:hanging="207"/>
        <w:rPr>
          <w:sz w:val="24"/>
          <w:szCs w:val="24"/>
        </w:rPr>
      </w:pPr>
      <w:r>
        <w:rPr>
          <w:rFonts w:hint="eastAsia"/>
          <w:spacing w:val="10"/>
          <w:sz w:val="24"/>
          <w:szCs w:val="24"/>
        </w:rPr>
        <w:t>响应文件的修改和撤回</w:t>
      </w:r>
    </w:p>
    <w:p>
      <w:pPr>
        <w:spacing w:line="360" w:lineRule="auto"/>
        <w:ind w:firstLine="480" w:firstLineChars="200"/>
        <w:rPr>
          <w:sz w:val="24"/>
          <w:szCs w:val="24"/>
        </w:rPr>
      </w:pPr>
      <w:r>
        <w:rPr>
          <w:rFonts w:hint="eastAsia"/>
          <w:sz w:val="24"/>
          <w:szCs w:val="24"/>
        </w:rPr>
        <w:t>供应商在提交投标截止时间前，可以对所递交的响应文件进行补充、修改或者撤回。补充、修改的内容旁签署（法人或授权委托人签署）、盖章、密封和上传至系统后生效，并作为响应文件的组成部分。</w:t>
      </w:r>
    </w:p>
    <w:p>
      <w:pPr>
        <w:spacing w:line="360" w:lineRule="auto"/>
        <w:ind w:firstLine="480" w:firstLineChars="200"/>
        <w:rPr>
          <w:sz w:val="24"/>
          <w:szCs w:val="24"/>
        </w:rPr>
      </w:pPr>
      <w:r>
        <w:rPr>
          <w:rFonts w:hint="eastAsia"/>
          <w:sz w:val="24"/>
          <w:szCs w:val="24"/>
        </w:rPr>
        <w:t>在提交响应文件截止时间后到谈判文件规定的投标有效期终止之前，供应商不得补充、修改、替代或者撤回其响应文件。</w:t>
      </w:r>
    </w:p>
    <w:p>
      <w:pPr>
        <w:pStyle w:val="5"/>
        <w:numPr>
          <w:ilvl w:val="0"/>
          <w:numId w:val="4"/>
        </w:numPr>
        <w:tabs>
          <w:tab w:val="left" w:pos="313"/>
        </w:tabs>
        <w:spacing w:before="116" w:line="360" w:lineRule="auto"/>
        <w:ind w:hanging="207"/>
        <w:rPr>
          <w:sz w:val="24"/>
          <w:szCs w:val="24"/>
        </w:rPr>
      </w:pPr>
      <w:r>
        <w:rPr>
          <w:rFonts w:hint="eastAsia"/>
          <w:spacing w:val="10"/>
          <w:sz w:val="24"/>
          <w:szCs w:val="24"/>
        </w:rPr>
        <w:t>响应文件的递交</w:t>
      </w:r>
    </w:p>
    <w:p>
      <w:pPr>
        <w:spacing w:line="360" w:lineRule="auto"/>
        <w:ind w:firstLine="480" w:firstLineChars="200"/>
        <w:rPr>
          <w:sz w:val="24"/>
          <w:szCs w:val="24"/>
        </w:rPr>
      </w:pPr>
      <w:r>
        <w:rPr>
          <w:rFonts w:hint="eastAsia"/>
          <w:sz w:val="24"/>
          <w:szCs w:val="24"/>
        </w:rPr>
        <w:t>在谈判文件要求提交响应文件的截止时间之后送达的响应文件或上传的响应文件，为无效响应文件，采购单位或采购代理机构拒收。</w:t>
      </w:r>
    </w:p>
    <w:p>
      <w:pPr>
        <w:spacing w:line="360" w:lineRule="auto"/>
        <w:ind w:firstLine="480" w:firstLineChars="200"/>
        <w:rPr>
          <w:sz w:val="24"/>
          <w:szCs w:val="24"/>
        </w:rPr>
      </w:pPr>
      <w:r>
        <w:rPr>
          <w:rFonts w:hint="eastAsia"/>
          <w:sz w:val="24"/>
          <w:szCs w:val="24"/>
        </w:rPr>
        <w:t>采购人、采购代理机构对误投或未按规定时间、地点或模式进行投标的概不负责。</w:t>
      </w:r>
    </w:p>
    <w:p>
      <w:pPr>
        <w:pStyle w:val="5"/>
        <w:numPr>
          <w:ilvl w:val="0"/>
          <w:numId w:val="4"/>
        </w:numPr>
        <w:tabs>
          <w:tab w:val="left" w:pos="313"/>
        </w:tabs>
        <w:spacing w:before="116" w:line="360" w:lineRule="auto"/>
        <w:ind w:hanging="207"/>
        <w:rPr>
          <w:sz w:val="24"/>
          <w:szCs w:val="24"/>
        </w:rPr>
      </w:pPr>
      <w:r>
        <w:rPr>
          <w:rFonts w:hint="eastAsia"/>
          <w:spacing w:val="12"/>
          <w:sz w:val="24"/>
          <w:szCs w:val="24"/>
        </w:rPr>
        <w:t>样品（演示</w:t>
      </w:r>
      <w:r>
        <w:rPr>
          <w:rFonts w:hint="eastAsia"/>
          <w:sz w:val="24"/>
          <w:szCs w:val="24"/>
        </w:rPr>
        <w:t>）</w:t>
      </w:r>
    </w:p>
    <w:p>
      <w:pPr>
        <w:pStyle w:val="22"/>
        <w:tabs>
          <w:tab w:val="left" w:pos="890"/>
        </w:tabs>
        <w:spacing w:line="360" w:lineRule="auto"/>
        <w:ind w:left="5" w:firstLine="434" w:firstLineChars="181"/>
        <w:rPr>
          <w:sz w:val="24"/>
          <w:szCs w:val="24"/>
        </w:rPr>
      </w:pPr>
      <w:r>
        <w:rPr>
          <w:rFonts w:hint="eastAsia"/>
          <w:sz w:val="24"/>
          <w:szCs w:val="24"/>
          <w:lang w:val="en-US"/>
        </w:rPr>
        <w:t>7.1</w:t>
      </w:r>
      <w:r>
        <w:rPr>
          <w:rFonts w:hint="eastAsia"/>
          <w:sz w:val="24"/>
          <w:szCs w:val="24"/>
        </w:rPr>
        <w:t>谈判文件规定供应商提交样品的，样品属于响应文件的组成部分。样品的生产、运输、安装、保全等一切费用由供应商自理。</w:t>
      </w:r>
    </w:p>
    <w:p>
      <w:pPr>
        <w:pStyle w:val="22"/>
        <w:tabs>
          <w:tab w:val="left" w:pos="890"/>
        </w:tabs>
        <w:spacing w:before="3" w:line="360" w:lineRule="auto"/>
        <w:ind w:left="5" w:right="349" w:firstLine="430" w:firstLineChars="181"/>
        <w:rPr>
          <w:sz w:val="24"/>
          <w:szCs w:val="24"/>
        </w:rPr>
      </w:pPr>
      <w:r>
        <w:rPr>
          <w:rFonts w:hint="eastAsia"/>
          <w:spacing w:val="-1"/>
          <w:sz w:val="24"/>
          <w:szCs w:val="24"/>
          <w:lang w:val="en-US"/>
        </w:rPr>
        <w:t>7.2</w:t>
      </w:r>
      <w:r>
        <w:rPr>
          <w:rFonts w:hint="eastAsia"/>
          <w:spacing w:val="-1"/>
          <w:sz w:val="24"/>
          <w:szCs w:val="24"/>
        </w:rPr>
        <w:t>开标前，供应商应将样品送达至指定地点，并按要求摆放并做好展示。若需要现场演示的，供应商应提前做好演示</w:t>
      </w:r>
      <w:r>
        <w:rPr>
          <w:rFonts w:hint="eastAsia"/>
          <w:sz w:val="24"/>
          <w:szCs w:val="24"/>
        </w:rPr>
        <w:t>准备（包括演示设备）。</w:t>
      </w:r>
    </w:p>
    <w:p>
      <w:pPr>
        <w:pStyle w:val="22"/>
        <w:tabs>
          <w:tab w:val="left" w:pos="890"/>
        </w:tabs>
        <w:spacing w:line="360" w:lineRule="auto"/>
        <w:ind w:left="5" w:right="349" w:firstLine="430" w:firstLineChars="181"/>
        <w:rPr>
          <w:sz w:val="24"/>
          <w:szCs w:val="24"/>
        </w:rPr>
      </w:pPr>
      <w:r>
        <w:rPr>
          <w:rFonts w:hint="eastAsia"/>
          <w:spacing w:val="-1"/>
          <w:sz w:val="24"/>
          <w:szCs w:val="24"/>
          <w:lang w:val="en-US"/>
        </w:rPr>
        <w:t>7.3</w:t>
      </w:r>
      <w:r>
        <w:rPr>
          <w:rFonts w:hint="eastAsia"/>
          <w:spacing w:val="-1"/>
          <w:sz w:val="24"/>
          <w:szCs w:val="24"/>
        </w:rPr>
        <w:t>评标结束后，成交人与采购人共同清点、检查和密封样品，由成交人送至采购人指定地点封存。未成交供应商将样</w:t>
      </w:r>
      <w:r>
        <w:rPr>
          <w:rFonts w:hint="eastAsia"/>
          <w:sz w:val="24"/>
          <w:szCs w:val="24"/>
        </w:rPr>
        <w:t>品自行带回。</w:t>
      </w:r>
    </w:p>
    <w:p>
      <w:pPr>
        <w:pStyle w:val="5"/>
        <w:spacing w:line="360" w:lineRule="auto"/>
        <w:ind w:left="100" w:firstLine="0"/>
        <w:rPr>
          <w:sz w:val="24"/>
          <w:szCs w:val="24"/>
        </w:rPr>
      </w:pPr>
      <w:r>
        <w:rPr>
          <w:rFonts w:hint="eastAsia"/>
          <w:sz w:val="24"/>
          <w:szCs w:val="24"/>
        </w:rPr>
        <w:t>四</w:t>
      </w:r>
      <w:r>
        <w:rPr>
          <w:rFonts w:hint="eastAsia"/>
          <w:w w:val="115"/>
          <w:sz w:val="24"/>
          <w:szCs w:val="24"/>
        </w:rPr>
        <w:t>.</w:t>
      </w:r>
      <w:r>
        <w:rPr>
          <w:rFonts w:hint="eastAsia"/>
          <w:sz w:val="24"/>
          <w:szCs w:val="24"/>
        </w:rPr>
        <w:t>开标、评审、结果公告、成交通知书发放</w:t>
      </w:r>
    </w:p>
    <w:p>
      <w:pPr>
        <w:pStyle w:val="22"/>
        <w:numPr>
          <w:ilvl w:val="0"/>
          <w:numId w:val="8"/>
        </w:numPr>
        <w:tabs>
          <w:tab w:val="left" w:pos="313"/>
        </w:tabs>
        <w:spacing w:line="360" w:lineRule="auto"/>
        <w:ind w:hanging="207"/>
        <w:rPr>
          <w:b/>
          <w:sz w:val="24"/>
          <w:szCs w:val="24"/>
        </w:rPr>
      </w:pPr>
      <w:r>
        <w:rPr>
          <w:rFonts w:hint="eastAsia"/>
          <w:b/>
          <w:spacing w:val="8"/>
          <w:sz w:val="24"/>
          <w:szCs w:val="24"/>
        </w:rPr>
        <w:t>开标程序</w:t>
      </w:r>
    </w:p>
    <w:p>
      <w:pPr>
        <w:pStyle w:val="22"/>
        <w:tabs>
          <w:tab w:val="left" w:pos="890"/>
        </w:tabs>
        <w:spacing w:before="129" w:line="360" w:lineRule="auto"/>
        <w:ind w:left="585" w:firstLine="0"/>
        <w:rPr>
          <w:sz w:val="24"/>
          <w:szCs w:val="24"/>
        </w:rPr>
      </w:pPr>
      <w:r>
        <w:rPr>
          <w:rFonts w:hint="eastAsia"/>
          <w:sz w:val="24"/>
          <w:szCs w:val="24"/>
          <w:lang w:val="en-US"/>
        </w:rPr>
        <w:t>1.1.</w:t>
      </w:r>
      <w:r>
        <w:rPr>
          <w:rFonts w:hint="eastAsia"/>
          <w:sz w:val="24"/>
          <w:szCs w:val="24"/>
        </w:rPr>
        <w:t>主持人按下列程序进行开标：</w:t>
      </w:r>
    </w:p>
    <w:p>
      <w:pPr>
        <w:pStyle w:val="22"/>
        <w:numPr>
          <w:ilvl w:val="0"/>
          <w:numId w:val="9"/>
        </w:numPr>
        <w:tabs>
          <w:tab w:val="left" w:pos="1092"/>
        </w:tabs>
        <w:spacing w:line="360" w:lineRule="auto"/>
        <w:ind w:left="946" w:leftChars="0" w:firstLineChars="0"/>
        <w:rPr>
          <w:sz w:val="24"/>
          <w:szCs w:val="24"/>
        </w:rPr>
      </w:pPr>
      <w:r>
        <w:rPr>
          <w:rFonts w:hint="eastAsia"/>
          <w:sz w:val="24"/>
          <w:szCs w:val="24"/>
        </w:rPr>
        <w:t>宣布开标纪律；</w:t>
      </w:r>
    </w:p>
    <w:p>
      <w:pPr>
        <w:pStyle w:val="22"/>
        <w:numPr>
          <w:ilvl w:val="0"/>
          <w:numId w:val="9"/>
        </w:numPr>
        <w:tabs>
          <w:tab w:val="left" w:pos="1092"/>
        </w:tabs>
        <w:spacing w:line="360" w:lineRule="auto"/>
        <w:ind w:left="946" w:leftChars="0" w:firstLineChars="0"/>
        <w:rPr>
          <w:sz w:val="24"/>
          <w:szCs w:val="24"/>
        </w:rPr>
      </w:pPr>
      <w:r>
        <w:rPr>
          <w:rFonts w:hint="eastAsia"/>
          <w:sz w:val="24"/>
          <w:szCs w:val="24"/>
        </w:rPr>
        <w:t>宣布开标会议相关人员姓名；</w:t>
      </w:r>
    </w:p>
    <w:p>
      <w:pPr>
        <w:pStyle w:val="22"/>
        <w:numPr>
          <w:ilvl w:val="0"/>
          <w:numId w:val="9"/>
        </w:numPr>
        <w:tabs>
          <w:tab w:val="left" w:pos="1092"/>
        </w:tabs>
        <w:spacing w:line="360" w:lineRule="auto"/>
        <w:ind w:left="946" w:leftChars="0" w:firstLineChars="0"/>
        <w:rPr>
          <w:sz w:val="24"/>
          <w:szCs w:val="24"/>
        </w:rPr>
      </w:pPr>
      <w:r>
        <w:rPr>
          <w:rFonts w:hint="eastAsia"/>
          <w:sz w:val="24"/>
          <w:szCs w:val="24"/>
        </w:rPr>
        <w:t>由采购人或者采购代理机构工作人员当众宣布供应商名称；</w:t>
      </w:r>
    </w:p>
    <w:p>
      <w:pPr>
        <w:pStyle w:val="22"/>
        <w:numPr>
          <w:ilvl w:val="0"/>
          <w:numId w:val="9"/>
        </w:numPr>
        <w:tabs>
          <w:tab w:val="left" w:pos="1092"/>
        </w:tabs>
        <w:spacing w:line="360" w:lineRule="auto"/>
        <w:ind w:left="946" w:leftChars="0" w:firstLineChars="0"/>
        <w:rPr>
          <w:sz w:val="24"/>
          <w:szCs w:val="24"/>
        </w:rPr>
      </w:pPr>
      <w:r>
        <w:rPr>
          <w:rFonts w:hint="eastAsia"/>
          <w:sz w:val="24"/>
          <w:szCs w:val="24"/>
        </w:rPr>
        <w:t>开标结束，响应文件移交谈判小组。</w:t>
      </w:r>
    </w:p>
    <w:p>
      <w:pPr>
        <w:pStyle w:val="22"/>
        <w:tabs>
          <w:tab w:val="left" w:pos="890"/>
        </w:tabs>
        <w:spacing w:before="177" w:line="360" w:lineRule="auto"/>
        <w:ind w:left="585" w:firstLine="0"/>
        <w:rPr>
          <w:sz w:val="24"/>
          <w:szCs w:val="24"/>
        </w:rPr>
      </w:pPr>
      <w:r>
        <w:rPr>
          <w:rFonts w:hint="eastAsia"/>
          <w:sz w:val="24"/>
          <w:szCs w:val="24"/>
          <w:lang w:val="en-US"/>
        </w:rPr>
        <w:t>1.2.</w:t>
      </w:r>
      <w:r>
        <w:rPr>
          <w:rFonts w:hint="eastAsia"/>
          <w:sz w:val="24"/>
          <w:szCs w:val="24"/>
        </w:rPr>
        <w:t>开标异议</w:t>
      </w:r>
    </w:p>
    <w:p>
      <w:pPr>
        <w:pStyle w:val="9"/>
        <w:spacing w:before="4" w:line="360" w:lineRule="auto"/>
        <w:ind w:right="169" w:firstLine="576"/>
        <w:rPr>
          <w:sz w:val="24"/>
          <w:szCs w:val="24"/>
        </w:rPr>
      </w:pPr>
      <w:r>
        <w:rPr>
          <w:rFonts w:hint="eastAsia"/>
          <w:sz w:val="24"/>
          <w:szCs w:val="24"/>
        </w:rPr>
        <w:t>供应商代表对开标过程和开标记录有疑义，以及认为采购人、采购代理机构相关工作人员有需要回避的情形的，应当当场提出询问或者回避申请，开标会议结束后不再接受相关询问、质疑或者回避申请。</w:t>
      </w:r>
    </w:p>
    <w:p>
      <w:pPr>
        <w:pStyle w:val="9"/>
        <w:spacing w:before="12" w:line="360" w:lineRule="auto"/>
        <w:ind w:left="0"/>
        <w:rPr>
          <w:sz w:val="24"/>
          <w:szCs w:val="24"/>
          <w:highlight w:val="magenta"/>
        </w:rPr>
      </w:pPr>
    </w:p>
    <w:p>
      <w:pPr>
        <w:pStyle w:val="22"/>
        <w:tabs>
          <w:tab w:val="left" w:pos="890"/>
        </w:tabs>
        <w:spacing w:line="360" w:lineRule="auto"/>
        <w:ind w:left="585" w:firstLine="0"/>
        <w:rPr>
          <w:sz w:val="24"/>
          <w:szCs w:val="24"/>
        </w:rPr>
      </w:pPr>
      <w:r>
        <w:rPr>
          <w:rFonts w:hint="eastAsia"/>
          <w:sz w:val="24"/>
          <w:szCs w:val="24"/>
          <w:lang w:val="en-US"/>
        </w:rPr>
        <w:t>1.3.</w:t>
      </w:r>
      <w:r>
        <w:rPr>
          <w:rFonts w:hint="eastAsia"/>
          <w:sz w:val="24"/>
          <w:szCs w:val="24"/>
        </w:rPr>
        <w:t>备注说明：</w:t>
      </w:r>
    </w:p>
    <w:p>
      <w:pPr>
        <w:pStyle w:val="22"/>
        <w:tabs>
          <w:tab w:val="left" w:pos="1214"/>
        </w:tabs>
        <w:spacing w:line="360" w:lineRule="auto"/>
        <w:ind w:left="0" w:right="170" w:firstLine="480" w:firstLineChars="200"/>
        <w:rPr>
          <w:sz w:val="24"/>
          <w:szCs w:val="24"/>
        </w:rPr>
      </w:pPr>
      <w:r>
        <w:rPr>
          <w:rFonts w:hint="eastAsia"/>
          <w:sz w:val="24"/>
          <w:szCs w:val="24"/>
          <w:lang w:val="en-US"/>
        </w:rPr>
        <w:t xml:space="preserve">1.3.1 </w:t>
      </w:r>
      <w:r>
        <w:rPr>
          <w:rFonts w:hint="eastAsia"/>
          <w:sz w:val="24"/>
          <w:szCs w:val="24"/>
        </w:rPr>
        <w:t>本项目采用竞争性谈判方式开标，供应商在开标时间前</w:t>
      </w:r>
      <w:r>
        <w:rPr>
          <w:rFonts w:hint="eastAsia"/>
          <w:spacing w:val="-3"/>
          <w:sz w:val="24"/>
          <w:szCs w:val="24"/>
        </w:rPr>
        <w:t>30</w:t>
      </w:r>
      <w:r>
        <w:rPr>
          <w:rFonts w:hint="eastAsia"/>
          <w:spacing w:val="-1"/>
          <w:sz w:val="24"/>
          <w:szCs w:val="24"/>
        </w:rPr>
        <w:t>分钟，应当提前进行签到，填写联系人姓名与联</w:t>
      </w:r>
      <w:r>
        <w:rPr>
          <w:rFonts w:hint="eastAsia"/>
          <w:spacing w:val="-5"/>
          <w:w w:val="110"/>
          <w:sz w:val="24"/>
          <w:szCs w:val="24"/>
        </w:rPr>
        <w:t>系号码；并于投标截止时间前按规定递交谈判响应文件</w:t>
      </w:r>
      <w:r>
        <w:rPr>
          <w:rFonts w:hint="eastAsia"/>
          <w:w w:val="110"/>
          <w:sz w:val="24"/>
          <w:szCs w:val="24"/>
        </w:rPr>
        <w:t>，未成功签到或未成递交响应文件的视为其无效投标。</w:t>
      </w:r>
    </w:p>
    <w:p>
      <w:pPr>
        <w:pStyle w:val="22"/>
        <w:tabs>
          <w:tab w:val="left" w:pos="1070"/>
        </w:tabs>
        <w:spacing w:line="360" w:lineRule="auto"/>
        <w:ind w:left="0" w:right="170" w:firstLine="476" w:firstLineChars="200"/>
        <w:rPr>
          <w:sz w:val="24"/>
          <w:szCs w:val="24"/>
        </w:rPr>
      </w:pPr>
      <w:r>
        <w:rPr>
          <w:rFonts w:hint="eastAsia"/>
          <w:spacing w:val="-1"/>
          <w:sz w:val="24"/>
          <w:szCs w:val="24"/>
          <w:lang w:val="en-US"/>
        </w:rPr>
        <w:t xml:space="preserve">1.3.2 </w:t>
      </w:r>
      <w:r>
        <w:rPr>
          <w:rFonts w:hint="eastAsia"/>
          <w:spacing w:val="-1"/>
          <w:sz w:val="24"/>
          <w:szCs w:val="24"/>
        </w:rPr>
        <w:t>供应商对开标过程和开标记录有疑义，应当在开标时提出异议，采购代理机构在</w:t>
      </w:r>
      <w:r>
        <w:rPr>
          <w:rFonts w:hint="eastAsia"/>
          <w:sz w:val="24"/>
          <w:szCs w:val="24"/>
        </w:rPr>
        <w:t>开标过程中进行查看及回复。开标会议结束后不再接受相关询问、质疑或者回避申请。</w:t>
      </w:r>
    </w:p>
    <w:p>
      <w:pPr>
        <w:pStyle w:val="5"/>
        <w:numPr>
          <w:ilvl w:val="0"/>
          <w:numId w:val="8"/>
        </w:numPr>
        <w:tabs>
          <w:tab w:val="left" w:pos="313"/>
        </w:tabs>
        <w:spacing w:before="116" w:line="360" w:lineRule="auto"/>
        <w:ind w:hanging="207"/>
        <w:rPr>
          <w:sz w:val="24"/>
          <w:szCs w:val="24"/>
        </w:rPr>
      </w:pPr>
      <w:r>
        <w:rPr>
          <w:rFonts w:hint="eastAsia"/>
          <w:spacing w:val="12"/>
          <w:sz w:val="24"/>
          <w:szCs w:val="24"/>
        </w:rPr>
        <w:t>评审（详见第六章</w:t>
      </w:r>
      <w:r>
        <w:rPr>
          <w:rFonts w:hint="eastAsia"/>
          <w:sz w:val="24"/>
          <w:szCs w:val="24"/>
        </w:rPr>
        <w:t>）</w:t>
      </w:r>
    </w:p>
    <w:p>
      <w:pPr>
        <w:pStyle w:val="22"/>
        <w:numPr>
          <w:ilvl w:val="0"/>
          <w:numId w:val="8"/>
        </w:numPr>
        <w:tabs>
          <w:tab w:val="left" w:pos="313"/>
        </w:tabs>
        <w:spacing w:before="70" w:line="360" w:lineRule="auto"/>
        <w:ind w:hanging="207"/>
        <w:rPr>
          <w:b/>
          <w:sz w:val="24"/>
          <w:szCs w:val="24"/>
        </w:rPr>
      </w:pPr>
      <w:r>
        <w:rPr>
          <w:rFonts w:hint="eastAsia"/>
          <w:b/>
          <w:spacing w:val="8"/>
          <w:sz w:val="24"/>
          <w:szCs w:val="24"/>
        </w:rPr>
        <w:t>结果公告</w:t>
      </w:r>
    </w:p>
    <w:p>
      <w:pPr>
        <w:pStyle w:val="9"/>
        <w:spacing w:line="360" w:lineRule="auto"/>
        <w:ind w:left="108" w:firstLine="480" w:firstLineChars="200"/>
        <w:rPr>
          <w:sz w:val="24"/>
          <w:szCs w:val="24"/>
        </w:rPr>
      </w:pPr>
      <w:r>
        <w:rPr>
          <w:rFonts w:hint="eastAsia"/>
          <w:sz w:val="24"/>
          <w:szCs w:val="24"/>
        </w:rPr>
        <w:t>成交人确定后，采购代理机构将在采购（招标）人同时在，中</w:t>
      </w:r>
      <w:r>
        <w:rPr>
          <w:rFonts w:hint="eastAsia"/>
          <w:b/>
          <w:bCs/>
          <w:sz w:val="24"/>
          <w:szCs w:val="24"/>
        </w:rPr>
        <w:t>国政府采购网（http://www.ccgp.gov.cn/）、中国采购与招标网（https://www.chinabidding.cn/）、内蒙古招标投标网（http://zbgg.nmgztb.com.cn/）</w:t>
      </w:r>
      <w:r>
        <w:rPr>
          <w:rFonts w:hint="eastAsia"/>
          <w:sz w:val="24"/>
          <w:szCs w:val="24"/>
        </w:rPr>
        <w:t xml:space="preserve">发布成交结果公告，同时将成交结果以公告形式通知未成交的供应商，成交结果公告期为 </w:t>
      </w:r>
      <w:r>
        <w:rPr>
          <w:rFonts w:hint="eastAsia"/>
          <w:w w:val="110"/>
          <w:sz w:val="24"/>
          <w:szCs w:val="24"/>
        </w:rPr>
        <w:t xml:space="preserve">1 </w:t>
      </w:r>
      <w:r>
        <w:rPr>
          <w:rFonts w:hint="eastAsia"/>
          <w:sz w:val="24"/>
          <w:szCs w:val="24"/>
        </w:rPr>
        <w:t>个工作日。</w:t>
      </w:r>
    </w:p>
    <w:p>
      <w:pPr>
        <w:pStyle w:val="9"/>
        <w:spacing w:line="360" w:lineRule="auto"/>
        <w:ind w:left="108" w:firstLine="480" w:firstLineChars="200"/>
        <w:rPr>
          <w:sz w:val="24"/>
          <w:szCs w:val="24"/>
        </w:rPr>
      </w:pPr>
      <w:r>
        <w:rPr>
          <w:rFonts w:hint="eastAsia"/>
          <w:sz w:val="24"/>
          <w:szCs w:val="24"/>
        </w:rPr>
        <w:t>项目废标后，采购代理机构将在采购（招标）人同时在，</w:t>
      </w:r>
      <w:r>
        <w:rPr>
          <w:rFonts w:hint="eastAsia"/>
          <w:b/>
          <w:bCs/>
          <w:sz w:val="24"/>
          <w:szCs w:val="24"/>
        </w:rPr>
        <w:t>中国政府采购网（http://www.ccgp.gov.cn/）、中国采购与招标网（https://www.chinabidding.cn/）、内蒙古招标投标网（http://zbgg.nmgztb.com.cn/）</w:t>
      </w:r>
      <w:r>
        <w:rPr>
          <w:rFonts w:hint="eastAsia"/>
          <w:sz w:val="24"/>
          <w:szCs w:val="24"/>
        </w:rPr>
        <w:t xml:space="preserve">发布废标公告，废标结果公告期为 </w:t>
      </w:r>
      <w:r>
        <w:rPr>
          <w:rFonts w:hint="eastAsia"/>
          <w:w w:val="110"/>
          <w:sz w:val="24"/>
          <w:szCs w:val="24"/>
        </w:rPr>
        <w:t xml:space="preserve">1 </w:t>
      </w:r>
      <w:r>
        <w:rPr>
          <w:rFonts w:hint="eastAsia"/>
          <w:sz w:val="24"/>
          <w:szCs w:val="24"/>
        </w:rPr>
        <w:t>个工作日。</w:t>
      </w:r>
    </w:p>
    <w:p>
      <w:pPr>
        <w:pStyle w:val="5"/>
        <w:numPr>
          <w:ilvl w:val="0"/>
          <w:numId w:val="8"/>
        </w:numPr>
        <w:tabs>
          <w:tab w:val="left" w:pos="313"/>
        </w:tabs>
        <w:spacing w:before="116" w:line="360" w:lineRule="auto"/>
        <w:ind w:hanging="207"/>
        <w:rPr>
          <w:sz w:val="24"/>
          <w:szCs w:val="24"/>
        </w:rPr>
      </w:pPr>
      <w:r>
        <w:rPr>
          <w:rFonts w:hint="eastAsia"/>
          <w:spacing w:val="10"/>
          <w:sz w:val="24"/>
          <w:szCs w:val="24"/>
        </w:rPr>
        <w:t>成交通知书发放</w:t>
      </w:r>
    </w:p>
    <w:p>
      <w:pPr>
        <w:pStyle w:val="9"/>
        <w:spacing w:line="360" w:lineRule="auto"/>
        <w:ind w:firstLine="480" w:firstLineChars="200"/>
        <w:rPr>
          <w:sz w:val="24"/>
          <w:szCs w:val="24"/>
        </w:rPr>
      </w:pPr>
      <w:r>
        <w:rPr>
          <w:rFonts w:hint="eastAsia"/>
          <w:sz w:val="24"/>
          <w:szCs w:val="24"/>
        </w:rPr>
        <w:t>发布成交结果的同时，</w:t>
      </w:r>
      <w:r>
        <w:rPr>
          <w:rFonts w:hint="eastAsia"/>
          <w:spacing w:val="1"/>
          <w:sz w:val="24"/>
          <w:szCs w:val="24"/>
        </w:rPr>
        <w:t>采购人依据评标报告发布</w:t>
      </w:r>
      <w:r>
        <w:rPr>
          <w:rFonts w:hint="eastAsia"/>
          <w:sz w:val="24"/>
          <w:szCs w:val="24"/>
        </w:rPr>
        <w:t>成交通知书，成交通知书是合同的组成部分，成交通知书对采购人和成交供应商具有同等法律效力。</w:t>
      </w:r>
    </w:p>
    <w:p>
      <w:pPr>
        <w:spacing w:before="30" w:line="360" w:lineRule="auto"/>
        <w:ind w:left="100" w:right="-32" w:firstLine="480" w:firstLineChars="200"/>
        <w:rPr>
          <w:sz w:val="24"/>
          <w:szCs w:val="24"/>
        </w:rPr>
      </w:pPr>
      <w:r>
        <w:rPr>
          <w:rFonts w:hint="eastAsia"/>
          <w:sz w:val="24"/>
          <w:szCs w:val="24"/>
        </w:rPr>
        <w:t>成交通知书发出后，采购人不得违法改变成交结果，成交人无正当理由不得放弃成交。</w:t>
      </w:r>
    </w:p>
    <w:p>
      <w:pPr>
        <w:spacing w:before="30" w:line="360" w:lineRule="auto"/>
        <w:ind w:left="100" w:right="3433" w:firstLine="6"/>
        <w:rPr>
          <w:b/>
          <w:sz w:val="24"/>
          <w:szCs w:val="24"/>
        </w:rPr>
      </w:pPr>
      <w:r>
        <w:rPr>
          <w:rFonts w:hint="eastAsia"/>
          <w:b/>
          <w:sz w:val="24"/>
          <w:szCs w:val="24"/>
        </w:rPr>
        <w:t>五</w:t>
      </w:r>
      <w:r>
        <w:rPr>
          <w:rFonts w:hint="eastAsia"/>
          <w:b/>
          <w:w w:val="115"/>
          <w:sz w:val="24"/>
          <w:szCs w:val="24"/>
        </w:rPr>
        <w:t xml:space="preserve">. </w:t>
      </w:r>
      <w:r>
        <w:rPr>
          <w:rFonts w:hint="eastAsia"/>
          <w:b/>
          <w:sz w:val="24"/>
          <w:szCs w:val="24"/>
        </w:rPr>
        <w:t>询问、质疑与投诉</w:t>
      </w:r>
    </w:p>
    <w:p>
      <w:pPr>
        <w:pStyle w:val="5"/>
        <w:numPr>
          <w:ilvl w:val="0"/>
          <w:numId w:val="10"/>
        </w:numPr>
        <w:tabs>
          <w:tab w:val="left" w:pos="313"/>
        </w:tabs>
        <w:spacing w:line="360" w:lineRule="auto"/>
        <w:ind w:hanging="207"/>
        <w:rPr>
          <w:sz w:val="24"/>
          <w:szCs w:val="24"/>
        </w:rPr>
      </w:pPr>
      <w:r>
        <w:rPr>
          <w:rFonts w:hint="eastAsia"/>
          <w:spacing w:val="6"/>
          <w:sz w:val="24"/>
          <w:szCs w:val="24"/>
        </w:rPr>
        <w:t>询问</w:t>
      </w:r>
    </w:p>
    <w:p>
      <w:pPr>
        <w:pStyle w:val="9"/>
        <w:spacing w:line="360" w:lineRule="auto"/>
        <w:ind w:left="108" w:right="170" w:firstLine="480" w:firstLineChars="200"/>
        <w:jc w:val="both"/>
        <w:rPr>
          <w:sz w:val="24"/>
          <w:szCs w:val="24"/>
        </w:rPr>
      </w:pPr>
      <w:r>
        <w:rPr>
          <w:rFonts w:hint="eastAsia"/>
          <w:sz w:val="24"/>
          <w:szCs w:val="24"/>
          <w:lang w:val="en-US"/>
        </w:rPr>
        <w:t xml:space="preserve">1.1 </w:t>
      </w:r>
      <w:r>
        <w:rPr>
          <w:rFonts w:hint="eastAsia"/>
          <w:sz w:val="24"/>
          <w:szCs w:val="24"/>
        </w:rPr>
        <w:t>供应商对政府采购活动事项有疑问的，可以向采购人或采购代理机构提出询问，采购人或采购代理机构应当在</w:t>
      </w:r>
      <w:r>
        <w:rPr>
          <w:rFonts w:hint="eastAsia"/>
          <w:w w:val="110"/>
          <w:sz w:val="24"/>
          <w:szCs w:val="24"/>
        </w:rPr>
        <w:t>3</w:t>
      </w:r>
      <w:r>
        <w:rPr>
          <w:rFonts w:hint="eastAsia"/>
          <w:sz w:val="24"/>
          <w:szCs w:val="24"/>
        </w:rPr>
        <w:t>个工作日内做出答复，但答复的内容不得涉及商业秘密。供应商提出的询问超出采购人对采购代理机构委托授权范围的，采购代理机构应当告知其向采购人提出。</w:t>
      </w:r>
    </w:p>
    <w:p>
      <w:pPr>
        <w:pStyle w:val="9"/>
        <w:spacing w:line="360" w:lineRule="auto"/>
        <w:ind w:left="108" w:right="170" w:firstLine="480" w:firstLineChars="200"/>
        <w:rPr>
          <w:sz w:val="24"/>
          <w:szCs w:val="24"/>
        </w:rPr>
      </w:pPr>
      <w:r>
        <w:rPr>
          <w:rFonts w:hint="eastAsia"/>
          <w:sz w:val="24"/>
          <w:szCs w:val="24"/>
          <w:lang w:val="en-US"/>
        </w:rPr>
        <w:t xml:space="preserve">1.2 </w:t>
      </w:r>
      <w:r>
        <w:rPr>
          <w:rFonts w:hint="eastAsia"/>
          <w:sz w:val="24"/>
          <w:szCs w:val="24"/>
        </w:rPr>
        <w:t>为了使提出的询问事项在规定时间内得到有效回复，询问采用实名制，询问内容以书面材料的形式亲自递交到采购代理机构，正式受理后方可生效，否则，为无效询问。</w:t>
      </w:r>
    </w:p>
    <w:p>
      <w:pPr>
        <w:pStyle w:val="22"/>
        <w:tabs>
          <w:tab w:val="left" w:pos="890"/>
        </w:tabs>
        <w:spacing w:line="360" w:lineRule="auto"/>
        <w:ind w:left="586" w:right="349" w:firstLine="0"/>
        <w:rPr>
          <w:sz w:val="24"/>
          <w:szCs w:val="24"/>
        </w:rPr>
      </w:pPr>
    </w:p>
    <w:p>
      <w:pPr>
        <w:pStyle w:val="5"/>
        <w:numPr>
          <w:ilvl w:val="0"/>
          <w:numId w:val="10"/>
        </w:numPr>
        <w:tabs>
          <w:tab w:val="left" w:pos="313"/>
        </w:tabs>
        <w:spacing w:line="360" w:lineRule="auto"/>
        <w:ind w:hanging="207"/>
        <w:rPr>
          <w:sz w:val="24"/>
          <w:szCs w:val="24"/>
        </w:rPr>
      </w:pPr>
      <w:r>
        <w:rPr>
          <w:rFonts w:hint="eastAsia"/>
          <w:spacing w:val="6"/>
          <w:sz w:val="24"/>
          <w:szCs w:val="24"/>
        </w:rPr>
        <w:t>质疑</w:t>
      </w:r>
    </w:p>
    <w:p>
      <w:pPr>
        <w:pStyle w:val="22"/>
        <w:tabs>
          <w:tab w:val="left" w:pos="0"/>
        </w:tabs>
        <w:spacing w:line="360" w:lineRule="auto"/>
        <w:ind w:left="0" w:firstLine="439" w:firstLineChars="183"/>
        <w:rPr>
          <w:sz w:val="24"/>
          <w:szCs w:val="24"/>
        </w:rPr>
      </w:pPr>
      <w:r>
        <w:rPr>
          <w:rFonts w:hint="eastAsia"/>
          <w:sz w:val="24"/>
          <w:szCs w:val="24"/>
          <w:lang w:val="en-US"/>
        </w:rPr>
        <w:t>2.1</w:t>
      </w:r>
      <w:r>
        <w:rPr>
          <w:rFonts w:hint="eastAsia"/>
          <w:sz w:val="24"/>
          <w:szCs w:val="24"/>
        </w:rPr>
        <w:t>供应商认为采购文件、采购过程和成交、成交结果使自己的权益受到损害的，可以在知道或者应知其权益受到损害之日起七个工作日内，以书面形式向采购人提出质疑。</w:t>
      </w:r>
    </w:p>
    <w:p>
      <w:pPr>
        <w:pStyle w:val="9"/>
        <w:spacing w:before="3" w:line="360" w:lineRule="auto"/>
        <w:ind w:left="0" w:right="-34" w:firstLine="480" w:firstLineChars="200"/>
        <w:rPr>
          <w:sz w:val="24"/>
          <w:szCs w:val="24"/>
        </w:rPr>
      </w:pPr>
      <w:r>
        <w:rPr>
          <w:rFonts w:hint="eastAsia"/>
          <w:sz w:val="24"/>
          <w:szCs w:val="24"/>
        </w:rPr>
        <w:t>供应商在法定质疑期内应当一次性提出针对同一采购程序环节的质疑。提出质疑的供应商应当是参与所质疑项目采购活动的供应商。</w:t>
      </w:r>
    </w:p>
    <w:p>
      <w:pPr>
        <w:pStyle w:val="9"/>
        <w:spacing w:line="360" w:lineRule="auto"/>
        <w:ind w:left="108" w:right="170" w:firstLine="480" w:firstLineChars="200"/>
        <w:rPr>
          <w:sz w:val="24"/>
          <w:szCs w:val="24"/>
        </w:rPr>
      </w:pPr>
      <w:r>
        <w:rPr>
          <w:rFonts w:hint="eastAsia"/>
          <w:sz w:val="24"/>
          <w:szCs w:val="24"/>
        </w:rPr>
        <w:t>潜在供应商已依法获取其可质疑的采购文件的，可以对该文件提出质疑。对采购文件提出质疑的，应当在获取采购文件或者采购文件公告期限届满之日起</w:t>
      </w:r>
      <w:r>
        <w:rPr>
          <w:rFonts w:hint="eastAsia"/>
          <w:w w:val="110"/>
          <w:sz w:val="24"/>
          <w:szCs w:val="24"/>
        </w:rPr>
        <w:t>7</w:t>
      </w:r>
      <w:r>
        <w:rPr>
          <w:rFonts w:hint="eastAsia"/>
          <w:sz w:val="24"/>
          <w:szCs w:val="24"/>
        </w:rPr>
        <w:t>个工作日内提出。</w:t>
      </w:r>
    </w:p>
    <w:p>
      <w:pPr>
        <w:pStyle w:val="22"/>
        <w:tabs>
          <w:tab w:val="left" w:pos="0"/>
        </w:tabs>
        <w:spacing w:line="360" w:lineRule="auto"/>
        <w:ind w:left="0" w:firstLine="439" w:firstLineChars="183"/>
        <w:rPr>
          <w:sz w:val="24"/>
          <w:szCs w:val="24"/>
        </w:rPr>
      </w:pPr>
      <w:r>
        <w:rPr>
          <w:rFonts w:hint="eastAsia"/>
          <w:sz w:val="24"/>
          <w:szCs w:val="24"/>
          <w:lang w:val="en-US"/>
        </w:rPr>
        <w:t>2.2</w:t>
      </w:r>
      <w:r>
        <w:rPr>
          <w:rFonts w:hint="eastAsia"/>
          <w:sz w:val="24"/>
          <w:szCs w:val="24"/>
        </w:rPr>
        <w:t>采购人应当在收到供应商的书面质疑后七个工作日内作出答复，并以书面形式通知质疑供应商和其他有关供应商， 但答复的内容不得涉及商业秘密。</w:t>
      </w:r>
    </w:p>
    <w:p>
      <w:pPr>
        <w:pStyle w:val="22"/>
        <w:tabs>
          <w:tab w:val="left" w:pos="0"/>
        </w:tabs>
        <w:spacing w:line="360" w:lineRule="auto"/>
        <w:ind w:left="0" w:firstLine="439" w:firstLineChars="183"/>
        <w:rPr>
          <w:sz w:val="24"/>
          <w:szCs w:val="24"/>
        </w:rPr>
      </w:pPr>
      <w:r>
        <w:rPr>
          <w:rFonts w:hint="eastAsia"/>
          <w:sz w:val="24"/>
          <w:szCs w:val="24"/>
          <w:lang w:val="en-US"/>
        </w:rPr>
        <w:t>2.3</w:t>
      </w:r>
      <w:r>
        <w:rPr>
          <w:rFonts w:hint="eastAsia"/>
          <w:sz w:val="24"/>
          <w:szCs w:val="24"/>
        </w:rPr>
        <w:t>询问或者质疑事项可能影响成交结果的，采购人应当暂停签订合同，已经签订合同的，应当中止履行合同。</w:t>
      </w:r>
    </w:p>
    <w:p>
      <w:pPr>
        <w:pStyle w:val="22"/>
        <w:tabs>
          <w:tab w:val="left" w:pos="0"/>
        </w:tabs>
        <w:spacing w:line="360" w:lineRule="auto"/>
        <w:ind w:left="440" w:leftChars="200" w:firstLine="0"/>
        <w:rPr>
          <w:sz w:val="24"/>
          <w:szCs w:val="24"/>
        </w:rPr>
      </w:pPr>
      <w:r>
        <w:rPr>
          <w:rFonts w:hint="eastAsia"/>
          <w:sz w:val="24"/>
          <w:szCs w:val="24"/>
          <w:lang w:val="en-US"/>
        </w:rPr>
        <w:t>2.4</w:t>
      </w:r>
      <w:r>
        <w:rPr>
          <w:rFonts w:hint="eastAsia"/>
          <w:sz w:val="24"/>
          <w:szCs w:val="24"/>
        </w:rPr>
        <w:t>供应商提出质疑应当提交质疑函和必要的证明材料。质疑函应当包括下列内容：</w:t>
      </w:r>
    </w:p>
    <w:p>
      <w:pPr>
        <w:pStyle w:val="9"/>
        <w:spacing w:line="360" w:lineRule="auto"/>
        <w:ind w:left="586"/>
        <w:rPr>
          <w:sz w:val="24"/>
          <w:szCs w:val="24"/>
        </w:rPr>
      </w:pPr>
      <w:r>
        <w:rPr>
          <w:rFonts w:hint="eastAsia"/>
          <w:sz w:val="24"/>
          <w:szCs w:val="24"/>
        </w:rPr>
        <w:t>（一）供应商的姓名或者名称、地址、邮编、联系人及联系电话；</w:t>
      </w:r>
    </w:p>
    <w:p>
      <w:pPr>
        <w:pStyle w:val="9"/>
        <w:spacing w:line="360" w:lineRule="auto"/>
        <w:ind w:left="586"/>
        <w:rPr>
          <w:sz w:val="24"/>
          <w:szCs w:val="24"/>
        </w:rPr>
      </w:pPr>
      <w:r>
        <w:rPr>
          <w:rFonts w:hint="eastAsia"/>
          <w:sz w:val="24"/>
          <w:szCs w:val="24"/>
        </w:rPr>
        <w:t>（二）质疑项目的名称、编号；</w:t>
      </w:r>
    </w:p>
    <w:p>
      <w:pPr>
        <w:pStyle w:val="9"/>
        <w:spacing w:line="360" w:lineRule="auto"/>
        <w:ind w:left="586"/>
        <w:rPr>
          <w:sz w:val="24"/>
          <w:szCs w:val="24"/>
        </w:rPr>
      </w:pPr>
      <w:r>
        <w:rPr>
          <w:rFonts w:hint="eastAsia"/>
          <w:sz w:val="24"/>
          <w:szCs w:val="24"/>
        </w:rPr>
        <w:t>（三）具体、明确的质疑事项和与质疑事项相关的请求；</w:t>
      </w:r>
    </w:p>
    <w:p>
      <w:pPr>
        <w:pStyle w:val="9"/>
        <w:spacing w:line="360" w:lineRule="auto"/>
        <w:ind w:left="586"/>
        <w:rPr>
          <w:sz w:val="24"/>
          <w:szCs w:val="24"/>
        </w:rPr>
      </w:pPr>
      <w:r>
        <w:rPr>
          <w:rFonts w:hint="eastAsia"/>
          <w:sz w:val="24"/>
          <w:szCs w:val="24"/>
        </w:rPr>
        <w:t>（四）事实依据；</w:t>
      </w:r>
    </w:p>
    <w:p>
      <w:pPr>
        <w:pStyle w:val="9"/>
        <w:spacing w:line="360" w:lineRule="auto"/>
        <w:ind w:left="586"/>
        <w:rPr>
          <w:sz w:val="24"/>
          <w:szCs w:val="24"/>
        </w:rPr>
      </w:pPr>
      <w:r>
        <w:rPr>
          <w:rFonts w:hint="eastAsia"/>
          <w:sz w:val="24"/>
          <w:szCs w:val="24"/>
        </w:rPr>
        <w:t>（五）必要的法律依据；</w:t>
      </w:r>
    </w:p>
    <w:p>
      <w:pPr>
        <w:pStyle w:val="9"/>
        <w:spacing w:line="360" w:lineRule="auto"/>
        <w:ind w:left="586"/>
        <w:rPr>
          <w:sz w:val="24"/>
          <w:szCs w:val="24"/>
        </w:rPr>
      </w:pPr>
      <w:r>
        <w:rPr>
          <w:rFonts w:hint="eastAsia"/>
          <w:sz w:val="24"/>
          <w:szCs w:val="24"/>
        </w:rPr>
        <w:t>（六）提出质疑的日期。</w:t>
      </w:r>
    </w:p>
    <w:p>
      <w:pPr>
        <w:pStyle w:val="9"/>
        <w:spacing w:before="7" w:line="360" w:lineRule="auto"/>
        <w:ind w:left="0"/>
        <w:rPr>
          <w:sz w:val="24"/>
          <w:szCs w:val="24"/>
        </w:rPr>
      </w:pPr>
    </w:p>
    <w:p>
      <w:pPr>
        <w:pStyle w:val="9"/>
        <w:spacing w:line="360" w:lineRule="auto"/>
        <w:ind w:firstLine="480" w:firstLineChars="200"/>
        <w:rPr>
          <w:sz w:val="24"/>
          <w:szCs w:val="24"/>
        </w:rPr>
      </w:pPr>
      <w:r>
        <w:rPr>
          <w:rFonts w:hint="eastAsia"/>
          <w:sz w:val="24"/>
          <w:szCs w:val="24"/>
        </w:rPr>
        <w:t>注：对谈判文件质疑的，还需提供已依法获取其可质疑的采购文件的证明材料（在包括相关截图）供应商为自然人的，应当由本人签字；供应商为法人或者其他组织的，应当由法定代表人、主要负责人，或者其授权代表签字或者盖章，并加盖公章。</w:t>
      </w:r>
    </w:p>
    <w:p>
      <w:pPr>
        <w:pStyle w:val="9"/>
        <w:spacing w:line="360" w:lineRule="auto"/>
        <w:ind w:right="169" w:firstLine="480" w:firstLineChars="200"/>
        <w:rPr>
          <w:sz w:val="24"/>
          <w:szCs w:val="24"/>
        </w:rPr>
      </w:pPr>
      <w:r>
        <w:rPr>
          <w:rFonts w:hint="eastAsia"/>
          <w:sz w:val="24"/>
          <w:szCs w:val="24"/>
        </w:rPr>
        <w:t>供应商可以授权代表进行质疑，且应当提交供应商签署的授权委托书。其授权委托书应当载明代理人的姓名或者名称、代理事项、具体权限、期限和相关事项。</w:t>
      </w:r>
    </w:p>
    <w:p>
      <w:pPr>
        <w:pStyle w:val="22"/>
        <w:tabs>
          <w:tab w:val="left" w:pos="890"/>
        </w:tabs>
        <w:spacing w:line="360" w:lineRule="auto"/>
        <w:ind w:left="5" w:firstLine="578" w:firstLineChars="241"/>
        <w:rPr>
          <w:sz w:val="24"/>
          <w:szCs w:val="24"/>
        </w:rPr>
      </w:pPr>
      <w:r>
        <w:rPr>
          <w:rFonts w:hint="eastAsia"/>
          <w:sz w:val="24"/>
          <w:szCs w:val="24"/>
          <w:lang w:val="en-US"/>
        </w:rPr>
        <w:t>2.5</w:t>
      </w:r>
      <w:r>
        <w:rPr>
          <w:rFonts w:hint="eastAsia"/>
          <w:sz w:val="24"/>
          <w:szCs w:val="24"/>
        </w:rPr>
        <w:t>供应商在提出质疑时，请严格按照相关法律法规及质疑函范本要求提出和制作，否则，自行承担相关不利后果。</w:t>
      </w:r>
    </w:p>
    <w:p>
      <w:pPr>
        <w:pStyle w:val="9"/>
        <w:spacing w:line="360" w:lineRule="auto"/>
        <w:ind w:left="5" w:firstLine="578" w:firstLineChars="241"/>
        <w:rPr>
          <w:sz w:val="24"/>
          <w:szCs w:val="24"/>
        </w:rPr>
      </w:pPr>
      <w:r>
        <w:rPr>
          <w:rFonts w:hint="eastAsia"/>
          <w:sz w:val="24"/>
          <w:szCs w:val="24"/>
        </w:rPr>
        <w:t>对捏造事实，提供虚假材料或者以非法手段取得证明材料进行恶意质疑的，一经查实，将上报监督部门，并给以相应处罚。</w:t>
      </w:r>
    </w:p>
    <w:p>
      <w:pPr>
        <w:pStyle w:val="22"/>
        <w:tabs>
          <w:tab w:val="left" w:pos="1070"/>
        </w:tabs>
        <w:spacing w:line="360" w:lineRule="auto"/>
        <w:ind w:left="0" w:firstLine="480" w:firstLineChars="200"/>
        <w:rPr>
          <w:spacing w:val="-1"/>
          <w:sz w:val="24"/>
          <w:szCs w:val="24"/>
        </w:rPr>
      </w:pPr>
      <w:r>
        <w:rPr>
          <w:rFonts w:hint="eastAsia"/>
          <w:sz w:val="24"/>
          <w:szCs w:val="24"/>
          <w:lang w:val="en-US"/>
        </w:rPr>
        <w:t>2.6</w:t>
      </w:r>
      <w:r>
        <w:rPr>
          <w:rFonts w:hint="eastAsia"/>
          <w:sz w:val="24"/>
          <w:szCs w:val="24"/>
        </w:rPr>
        <w:t>接收质疑函的方式：为了使提出的质疑事项在规定时间内得到有效答复、处理，质疑采用实名制，且由法定代表人</w:t>
      </w:r>
      <w:r>
        <w:rPr>
          <w:rFonts w:hint="eastAsia"/>
          <w:spacing w:val="-1"/>
          <w:sz w:val="24"/>
          <w:szCs w:val="24"/>
        </w:rPr>
        <w:t>或授权代表亲自递交至采购人或采购代理机构，正式受理后方可生效。</w:t>
      </w:r>
    </w:p>
    <w:p>
      <w:pPr>
        <w:pStyle w:val="22"/>
        <w:tabs>
          <w:tab w:val="left" w:pos="1070"/>
        </w:tabs>
        <w:spacing w:line="360" w:lineRule="auto"/>
        <w:ind w:left="0" w:firstLine="480" w:firstLineChars="200"/>
        <w:rPr>
          <w:sz w:val="24"/>
          <w:szCs w:val="24"/>
        </w:rPr>
      </w:pPr>
      <w:r>
        <w:rPr>
          <w:rFonts w:hint="eastAsia"/>
          <w:sz w:val="24"/>
          <w:szCs w:val="24"/>
        </w:rPr>
        <w:t>联系部门：采购人、采购代理机构（</w:t>
      </w:r>
      <w:r>
        <w:rPr>
          <w:rFonts w:hint="eastAsia"/>
          <w:spacing w:val="-4"/>
          <w:sz w:val="24"/>
          <w:szCs w:val="24"/>
        </w:rPr>
        <w:t>详见第一章 投标邀请</w:t>
      </w:r>
      <w:r>
        <w:rPr>
          <w:rFonts w:hint="eastAsia"/>
          <w:sz w:val="24"/>
          <w:szCs w:val="24"/>
        </w:rPr>
        <w:t>）。</w:t>
      </w:r>
    </w:p>
    <w:p>
      <w:pPr>
        <w:pStyle w:val="22"/>
        <w:tabs>
          <w:tab w:val="left" w:pos="1070"/>
        </w:tabs>
        <w:spacing w:line="360" w:lineRule="auto"/>
        <w:ind w:left="0" w:firstLine="480" w:firstLineChars="200"/>
        <w:rPr>
          <w:spacing w:val="-18"/>
          <w:sz w:val="24"/>
          <w:szCs w:val="24"/>
        </w:rPr>
      </w:pPr>
      <w:r>
        <w:rPr>
          <w:rFonts w:hint="eastAsia"/>
          <w:sz w:val="24"/>
          <w:szCs w:val="24"/>
        </w:rPr>
        <w:t>联系电话：采购人、采购代理机构（详见第一章 投标邀请）</w:t>
      </w:r>
      <w:r>
        <w:rPr>
          <w:rFonts w:hint="eastAsia"/>
          <w:spacing w:val="-18"/>
          <w:sz w:val="24"/>
          <w:szCs w:val="24"/>
        </w:rPr>
        <w:t>。</w:t>
      </w:r>
    </w:p>
    <w:p>
      <w:pPr>
        <w:pStyle w:val="22"/>
        <w:tabs>
          <w:tab w:val="left" w:pos="1070"/>
        </w:tabs>
        <w:spacing w:line="360" w:lineRule="auto"/>
        <w:ind w:left="0" w:firstLine="480" w:firstLineChars="200"/>
        <w:rPr>
          <w:sz w:val="24"/>
          <w:szCs w:val="24"/>
        </w:rPr>
      </w:pPr>
      <w:r>
        <w:rPr>
          <w:rFonts w:hint="eastAsia"/>
          <w:sz w:val="24"/>
          <w:szCs w:val="24"/>
        </w:rPr>
        <w:t>通讯地址：采购人、采购代理机构（详见第一章 投标邀请）</w:t>
      </w:r>
      <w:r>
        <w:rPr>
          <w:rFonts w:hint="eastAsia"/>
          <w:spacing w:val="-18"/>
          <w:sz w:val="24"/>
          <w:szCs w:val="24"/>
        </w:rPr>
        <w:t>。</w:t>
      </w:r>
    </w:p>
    <w:p>
      <w:pPr>
        <w:pStyle w:val="5"/>
        <w:numPr>
          <w:ilvl w:val="0"/>
          <w:numId w:val="10"/>
        </w:numPr>
        <w:tabs>
          <w:tab w:val="left" w:pos="313"/>
        </w:tabs>
        <w:spacing w:line="360" w:lineRule="auto"/>
        <w:ind w:hanging="207"/>
        <w:rPr>
          <w:sz w:val="24"/>
          <w:szCs w:val="24"/>
        </w:rPr>
      </w:pPr>
      <w:r>
        <w:rPr>
          <w:rFonts w:hint="eastAsia"/>
          <w:spacing w:val="6"/>
          <w:sz w:val="24"/>
          <w:szCs w:val="24"/>
        </w:rPr>
        <w:t>投诉</w:t>
      </w:r>
    </w:p>
    <w:p>
      <w:pPr>
        <w:pStyle w:val="9"/>
        <w:spacing w:line="360" w:lineRule="auto"/>
        <w:ind w:left="0" w:firstLine="679" w:firstLineChars="283"/>
        <w:rPr>
          <w:sz w:val="24"/>
          <w:szCs w:val="24"/>
        </w:rPr>
      </w:pPr>
      <w:r>
        <w:rPr>
          <w:rFonts w:hint="eastAsia"/>
          <w:sz w:val="24"/>
          <w:szCs w:val="24"/>
        </w:rPr>
        <w:t>质疑人对采购人、采购代理机构的答复不满意或者采购人、采购代理机构未在规定的时间内做出书面答复的，可以在答复期满后十五个工作日内向监督部门进行投诉。投诉程序按《政府采购法》及相关规定执行。供应商投诉的事项不得超出已质疑事项的范围。</w:t>
      </w:r>
    </w:p>
    <w:p>
      <w:r>
        <w:rPr>
          <w:rFonts w:hint="eastAsia"/>
          <w:sz w:val="24"/>
          <w:szCs w:val="24"/>
        </w:rPr>
        <w:br w:type="page"/>
      </w:r>
    </w:p>
    <w:p>
      <w:pPr>
        <w:pStyle w:val="3"/>
        <w:spacing w:before="60"/>
        <w:ind w:left="9" w:hanging="9"/>
        <w:rPr>
          <w:sz w:val="44"/>
          <w:szCs w:val="44"/>
        </w:rPr>
      </w:pPr>
      <w:bookmarkStart w:id="2" w:name="_Toc32415"/>
      <w:r>
        <w:rPr>
          <w:sz w:val="44"/>
          <w:szCs w:val="44"/>
        </w:rPr>
        <w:t>第三章</w:t>
      </w:r>
      <w:r>
        <w:rPr>
          <w:rFonts w:hint="eastAsia"/>
          <w:sz w:val="44"/>
          <w:szCs w:val="44"/>
          <w:lang w:val="en-US"/>
        </w:rPr>
        <w:t xml:space="preserve">  </w:t>
      </w:r>
      <w:r>
        <w:rPr>
          <w:sz w:val="44"/>
          <w:szCs w:val="44"/>
        </w:rPr>
        <w:t>合同与验收</w:t>
      </w:r>
      <w:bookmarkEnd w:id="2"/>
    </w:p>
    <w:p>
      <w:pPr>
        <w:spacing w:before="116" w:line="360" w:lineRule="auto"/>
        <w:ind w:left="100"/>
        <w:rPr>
          <w:b/>
          <w:sz w:val="24"/>
          <w:szCs w:val="24"/>
        </w:rPr>
      </w:pPr>
      <w:r>
        <w:rPr>
          <w:b/>
          <w:w w:val="105"/>
          <w:sz w:val="24"/>
          <w:szCs w:val="24"/>
        </w:rPr>
        <w:t>一</w:t>
      </w:r>
      <w:r>
        <w:rPr>
          <w:rFonts w:hint="eastAsia" w:ascii="微软雅黑" w:eastAsia="微软雅黑"/>
          <w:b/>
          <w:w w:val="115"/>
          <w:sz w:val="24"/>
          <w:szCs w:val="24"/>
        </w:rPr>
        <w:t>.</w:t>
      </w:r>
      <w:r>
        <w:rPr>
          <w:b/>
          <w:w w:val="105"/>
          <w:sz w:val="24"/>
          <w:szCs w:val="24"/>
        </w:rPr>
        <w:t>合同要求</w:t>
      </w:r>
    </w:p>
    <w:p>
      <w:pPr>
        <w:pStyle w:val="22"/>
        <w:tabs>
          <w:tab w:val="left" w:pos="0"/>
        </w:tabs>
        <w:spacing w:line="360" w:lineRule="auto"/>
        <w:ind w:left="0" w:firstLine="480" w:firstLineChars="200"/>
        <w:rPr>
          <w:sz w:val="24"/>
          <w:szCs w:val="24"/>
        </w:rPr>
      </w:pPr>
      <w:r>
        <w:rPr>
          <w:rFonts w:hint="eastAsia"/>
          <w:sz w:val="24"/>
          <w:szCs w:val="24"/>
          <w:lang w:val="en-US"/>
        </w:rPr>
        <w:t>1.</w:t>
      </w:r>
      <w:r>
        <w:rPr>
          <w:sz w:val="24"/>
          <w:szCs w:val="24"/>
        </w:rPr>
        <w:t>一般要求</w:t>
      </w:r>
    </w:p>
    <w:p>
      <w:pPr>
        <w:pStyle w:val="22"/>
        <w:tabs>
          <w:tab w:val="left" w:pos="1022"/>
        </w:tabs>
        <w:spacing w:line="360" w:lineRule="auto"/>
        <w:ind w:left="0" w:right="169" w:firstLine="480" w:firstLineChars="200"/>
        <w:rPr>
          <w:sz w:val="24"/>
          <w:szCs w:val="24"/>
        </w:rPr>
      </w:pPr>
      <w:r>
        <w:rPr>
          <w:rFonts w:hint="eastAsia"/>
          <w:sz w:val="24"/>
          <w:szCs w:val="24"/>
          <w:lang w:val="en-US"/>
        </w:rPr>
        <w:t xml:space="preserve">1.1 </w:t>
      </w:r>
      <w:r>
        <w:rPr>
          <w:sz w:val="24"/>
          <w:szCs w:val="24"/>
        </w:rPr>
        <w:t>采购人应当自成交通知书发出之日起</w:t>
      </w:r>
      <w:r>
        <w:rPr>
          <w:spacing w:val="-3"/>
          <w:sz w:val="24"/>
          <w:szCs w:val="24"/>
        </w:rPr>
        <w:t>30</w:t>
      </w:r>
      <w:r>
        <w:rPr>
          <w:spacing w:val="-1"/>
          <w:sz w:val="24"/>
          <w:szCs w:val="24"/>
        </w:rPr>
        <w:t>日内，按照谈判文件和成交人响应文件的规定，与成交人签订书面合同。所</w:t>
      </w:r>
      <w:r>
        <w:rPr>
          <w:w w:val="110"/>
          <w:sz w:val="24"/>
          <w:szCs w:val="24"/>
        </w:rPr>
        <w:t>签订的合同不得对谈判文件确定的事项和成交人响应文件作实质性修改。</w:t>
      </w:r>
    </w:p>
    <w:p>
      <w:pPr>
        <w:pStyle w:val="9"/>
        <w:spacing w:line="360" w:lineRule="auto"/>
        <w:ind w:left="0" w:firstLine="480" w:firstLineChars="200"/>
        <w:rPr>
          <w:sz w:val="24"/>
          <w:szCs w:val="24"/>
        </w:rPr>
      </w:pPr>
      <w:r>
        <w:rPr>
          <w:sz w:val="24"/>
          <w:szCs w:val="24"/>
        </w:rPr>
        <w:t>合同签订双方不得提出任何不合理的要求作为签订合同的条件。</w:t>
      </w:r>
    </w:p>
    <w:p>
      <w:pPr>
        <w:pStyle w:val="22"/>
        <w:tabs>
          <w:tab w:val="left" w:pos="1262"/>
        </w:tabs>
        <w:spacing w:before="3" w:line="360" w:lineRule="auto"/>
        <w:ind w:left="0" w:right="169" w:firstLine="476" w:firstLineChars="200"/>
        <w:rPr>
          <w:sz w:val="24"/>
          <w:szCs w:val="24"/>
        </w:rPr>
      </w:pPr>
      <w:r>
        <w:rPr>
          <w:rFonts w:hint="eastAsia"/>
          <w:spacing w:val="-1"/>
          <w:sz w:val="24"/>
          <w:szCs w:val="24"/>
          <w:lang w:val="en-US"/>
        </w:rPr>
        <w:t xml:space="preserve">1.2 </w:t>
      </w:r>
      <w:r>
        <w:rPr>
          <w:spacing w:val="-1"/>
          <w:sz w:val="24"/>
          <w:szCs w:val="24"/>
        </w:rPr>
        <w:t>政府采购合同应当包括采购人与中标人的名称和住所、标的、数量、质量、价款或者报酬、履行期限及地点和方</w:t>
      </w:r>
      <w:r>
        <w:rPr>
          <w:sz w:val="24"/>
          <w:szCs w:val="24"/>
        </w:rPr>
        <w:t>式、验收要求、违约责任、解决争议的方法等内容。</w:t>
      </w:r>
    </w:p>
    <w:p>
      <w:pPr>
        <w:pStyle w:val="22"/>
        <w:tabs>
          <w:tab w:val="left" w:pos="890"/>
        </w:tabs>
        <w:spacing w:line="360" w:lineRule="auto"/>
        <w:ind w:left="0" w:firstLine="480" w:firstLineChars="200"/>
        <w:rPr>
          <w:sz w:val="24"/>
          <w:szCs w:val="24"/>
        </w:rPr>
      </w:pPr>
      <w:r>
        <w:rPr>
          <w:rFonts w:hint="eastAsia"/>
          <w:sz w:val="24"/>
          <w:szCs w:val="24"/>
          <w:lang w:val="en-US"/>
        </w:rPr>
        <w:t xml:space="preserve">1.3 </w:t>
      </w:r>
      <w:r>
        <w:rPr>
          <w:sz w:val="24"/>
          <w:szCs w:val="24"/>
        </w:rPr>
        <w:t>采购人与成交人应当根据合同的约定依法履行合同义务。</w:t>
      </w:r>
    </w:p>
    <w:p>
      <w:pPr>
        <w:pStyle w:val="9"/>
        <w:spacing w:before="4" w:line="360" w:lineRule="auto"/>
        <w:ind w:left="0" w:right="-60" w:firstLine="480" w:firstLineChars="200"/>
        <w:rPr>
          <w:sz w:val="24"/>
          <w:szCs w:val="24"/>
        </w:rPr>
      </w:pPr>
      <w:r>
        <w:rPr>
          <w:sz w:val="24"/>
          <w:szCs w:val="24"/>
        </w:rPr>
        <w:t>政府采购合同的履行、违约责任和解决争议的方法等适用《中华人民共和国民法典》。政府采购合同的双方当事人不得擅自变更、中止或者终止合同。</w:t>
      </w:r>
    </w:p>
    <w:p>
      <w:pPr>
        <w:pStyle w:val="22"/>
        <w:tabs>
          <w:tab w:val="left" w:pos="890"/>
        </w:tabs>
        <w:spacing w:line="360" w:lineRule="auto"/>
        <w:ind w:left="0" w:firstLine="480" w:firstLineChars="200"/>
        <w:rPr>
          <w:sz w:val="24"/>
          <w:szCs w:val="24"/>
        </w:rPr>
      </w:pPr>
      <w:r>
        <w:rPr>
          <w:rFonts w:hint="eastAsia"/>
          <w:sz w:val="24"/>
          <w:szCs w:val="24"/>
          <w:lang w:val="en-US"/>
        </w:rPr>
        <w:t xml:space="preserve">1.4 </w:t>
      </w:r>
      <w:r>
        <w:rPr>
          <w:sz w:val="24"/>
          <w:szCs w:val="24"/>
        </w:rPr>
        <w:t>拒绝签订采购合同的按照相关规定处理，并承担相应法律责任。</w:t>
      </w:r>
    </w:p>
    <w:p>
      <w:pPr>
        <w:pStyle w:val="22"/>
        <w:tabs>
          <w:tab w:val="left" w:pos="950"/>
        </w:tabs>
        <w:spacing w:before="4" w:line="360" w:lineRule="auto"/>
        <w:ind w:left="0" w:right="169" w:firstLine="480" w:firstLineChars="200"/>
        <w:rPr>
          <w:sz w:val="24"/>
          <w:szCs w:val="24"/>
        </w:rPr>
      </w:pPr>
      <w:r>
        <w:rPr>
          <w:rFonts w:hint="eastAsia"/>
          <w:sz w:val="24"/>
          <w:szCs w:val="24"/>
          <w:lang w:val="en-US"/>
        </w:rPr>
        <w:t xml:space="preserve">1.5 </w:t>
      </w:r>
      <w:r>
        <w:rPr>
          <w:sz w:val="24"/>
          <w:szCs w:val="24"/>
        </w:rPr>
        <w:t>采购人应当自政府采购合同签订之日起</w:t>
      </w:r>
      <w:r>
        <w:rPr>
          <w:spacing w:val="-3"/>
          <w:w w:val="110"/>
          <w:sz w:val="24"/>
          <w:szCs w:val="24"/>
        </w:rPr>
        <w:t>2</w:t>
      </w:r>
      <w:r>
        <w:rPr>
          <w:spacing w:val="-1"/>
          <w:sz w:val="24"/>
          <w:szCs w:val="24"/>
        </w:rPr>
        <w:t>个工作日内，将政府采购合同在省级以上人民政府财政部门指定的媒体上公</w:t>
      </w:r>
      <w:r>
        <w:rPr>
          <w:sz w:val="24"/>
          <w:szCs w:val="24"/>
        </w:rPr>
        <w:t>告，但政府采购合同中涉及国家秘密、商业秘密的内容除外。</w:t>
      </w:r>
    </w:p>
    <w:p>
      <w:pPr>
        <w:pStyle w:val="9"/>
        <w:spacing w:before="12" w:line="360" w:lineRule="auto"/>
        <w:ind w:left="0" w:firstLine="480" w:firstLineChars="200"/>
        <w:rPr>
          <w:sz w:val="24"/>
          <w:szCs w:val="24"/>
        </w:rPr>
      </w:pPr>
    </w:p>
    <w:p>
      <w:pPr>
        <w:pStyle w:val="22"/>
        <w:tabs>
          <w:tab w:val="left" w:pos="827"/>
        </w:tabs>
        <w:spacing w:line="360" w:lineRule="auto"/>
        <w:ind w:left="0" w:firstLine="480" w:firstLineChars="200"/>
        <w:rPr>
          <w:sz w:val="24"/>
          <w:szCs w:val="24"/>
        </w:rPr>
      </w:pPr>
      <w:r>
        <w:rPr>
          <w:rFonts w:hint="eastAsia"/>
          <w:sz w:val="24"/>
          <w:szCs w:val="24"/>
          <w:lang w:val="en-US"/>
        </w:rPr>
        <w:t>2.</w:t>
      </w:r>
      <w:r>
        <w:rPr>
          <w:sz w:val="24"/>
          <w:szCs w:val="24"/>
        </w:rPr>
        <w:t>合同格式及内容</w:t>
      </w:r>
    </w:p>
    <w:p>
      <w:pPr>
        <w:pStyle w:val="22"/>
        <w:tabs>
          <w:tab w:val="left" w:pos="890"/>
        </w:tabs>
        <w:spacing w:line="360" w:lineRule="auto"/>
        <w:ind w:left="0" w:firstLine="480" w:firstLineChars="200"/>
        <w:rPr>
          <w:sz w:val="24"/>
          <w:szCs w:val="24"/>
        </w:rPr>
      </w:pPr>
      <w:r>
        <w:rPr>
          <w:rFonts w:hint="eastAsia"/>
          <w:sz w:val="24"/>
          <w:szCs w:val="24"/>
          <w:lang w:val="en-US"/>
        </w:rPr>
        <w:t xml:space="preserve">2.1 </w:t>
      </w:r>
      <w:r>
        <w:rPr>
          <w:sz w:val="24"/>
          <w:szCs w:val="24"/>
        </w:rPr>
        <w:t>具体格式见本谈判文件后附拟签订的《合同文本》（部分合同条款），响应文件中可以不提供《合同文本》。</w:t>
      </w:r>
    </w:p>
    <w:p>
      <w:pPr>
        <w:pStyle w:val="22"/>
        <w:tabs>
          <w:tab w:val="left" w:pos="890"/>
        </w:tabs>
        <w:spacing w:before="40" w:line="360" w:lineRule="auto"/>
        <w:ind w:left="0" w:right="349" w:firstLine="476" w:firstLineChars="200"/>
        <w:rPr>
          <w:b/>
          <w:sz w:val="24"/>
          <w:szCs w:val="24"/>
        </w:rPr>
      </w:pPr>
      <w:r>
        <w:rPr>
          <w:rFonts w:hint="eastAsia"/>
          <w:spacing w:val="-1"/>
          <w:sz w:val="24"/>
          <w:szCs w:val="24"/>
          <w:lang w:val="en-US"/>
        </w:rPr>
        <w:t xml:space="preserve">2.2 </w:t>
      </w:r>
      <w:r>
        <w:rPr>
          <w:spacing w:val="-1"/>
          <w:sz w:val="24"/>
          <w:szCs w:val="24"/>
        </w:rPr>
        <w:t>《合同文本》的内容可以根据《民法典》和合同签订双方的实际要求进行修改，但不得改变范本中的实质性内容。</w:t>
      </w:r>
    </w:p>
    <w:p>
      <w:pPr>
        <w:pStyle w:val="22"/>
        <w:tabs>
          <w:tab w:val="left" w:pos="890"/>
        </w:tabs>
        <w:spacing w:before="40" w:line="360" w:lineRule="auto"/>
        <w:ind w:left="0" w:right="349" w:firstLine="0"/>
        <w:rPr>
          <w:b/>
          <w:sz w:val="24"/>
          <w:szCs w:val="24"/>
        </w:rPr>
      </w:pPr>
      <w:r>
        <w:rPr>
          <w:b/>
          <w:spacing w:val="18"/>
          <w:sz w:val="24"/>
          <w:szCs w:val="24"/>
        </w:rPr>
        <w:t>二</w:t>
      </w:r>
      <w:r>
        <w:rPr>
          <w:rFonts w:hint="eastAsia" w:ascii="微软雅黑" w:eastAsia="微软雅黑"/>
          <w:b/>
          <w:spacing w:val="-7"/>
          <w:w w:val="115"/>
          <w:sz w:val="24"/>
          <w:szCs w:val="24"/>
        </w:rPr>
        <w:t>.</w:t>
      </w:r>
      <w:r>
        <w:rPr>
          <w:b/>
          <w:spacing w:val="6"/>
          <w:sz w:val="24"/>
          <w:szCs w:val="24"/>
        </w:rPr>
        <w:t>验收</w:t>
      </w:r>
    </w:p>
    <w:p>
      <w:pPr>
        <w:pStyle w:val="9"/>
        <w:spacing w:line="360" w:lineRule="auto"/>
        <w:ind w:left="-6" w:firstLine="480" w:firstLineChars="200"/>
        <w:rPr>
          <w:sz w:val="24"/>
          <w:szCs w:val="24"/>
        </w:rPr>
      </w:pPr>
      <w:r>
        <w:rPr>
          <w:sz w:val="24"/>
          <w:szCs w:val="24"/>
        </w:rPr>
        <w:t>成交人在供货、工程竣工或服务结束后，采购人应及时组织验收，并按照谈判文件、响应文件及合同约定填写验收单。</w:t>
      </w:r>
    </w:p>
    <w:p>
      <w:pPr>
        <w:pStyle w:val="9"/>
        <w:spacing w:before="10"/>
        <w:ind w:left="0"/>
        <w:rPr>
          <w:sz w:val="13"/>
        </w:rPr>
      </w:pPr>
    </w:p>
    <w:p>
      <w:pPr>
        <w:rPr>
          <w:b/>
          <w:spacing w:val="6"/>
          <w:sz w:val="24"/>
          <w:szCs w:val="24"/>
        </w:rPr>
      </w:pPr>
      <w:r>
        <w:rPr>
          <w:rFonts w:hint="eastAsia"/>
          <w:b/>
          <w:spacing w:val="6"/>
          <w:sz w:val="24"/>
          <w:szCs w:val="24"/>
        </w:rPr>
        <w:t>三.履约保证金</w:t>
      </w:r>
    </w:p>
    <w:p>
      <w:r>
        <w:rPr>
          <w:rFonts w:hint="eastAsia"/>
          <w:sz w:val="24"/>
          <w:szCs w:val="24"/>
        </w:rPr>
        <w:t>中标总金额的5%作为履约保证金，在项目验收后退回。</w:t>
      </w:r>
      <w:r>
        <w:br w:type="page"/>
      </w:r>
    </w:p>
    <w:p>
      <w:pPr>
        <w:pStyle w:val="9"/>
        <w:ind w:left="0"/>
        <w:rPr>
          <w:b/>
          <w:sz w:val="16"/>
        </w:rPr>
      </w:pPr>
      <w:r>
        <w:rPr>
          <w:rFonts w:hint="eastAsia"/>
          <w:sz w:val="44"/>
          <w:szCs w:val="44"/>
          <w:lang w:val="en-US"/>
        </w:rPr>
        <w:t xml:space="preserve"> </w:t>
      </w:r>
    </w:p>
    <w:p>
      <w:pPr>
        <w:spacing w:line="360" w:lineRule="auto"/>
        <w:jc w:val="center"/>
        <w:rPr>
          <w:b/>
          <w:bCs/>
          <w:color w:val="000000" w:themeColor="text1"/>
          <w:sz w:val="40"/>
          <w:szCs w:val="36"/>
          <w14:textFill>
            <w14:solidFill>
              <w14:schemeClr w14:val="tx1"/>
            </w14:solidFill>
          </w14:textFill>
        </w:rPr>
      </w:pPr>
      <w:r>
        <w:rPr>
          <w:rFonts w:hint="eastAsia"/>
          <w:b/>
          <w:bCs/>
          <w:color w:val="000000" w:themeColor="text1"/>
          <w:sz w:val="40"/>
          <w:szCs w:val="36"/>
          <w14:textFill>
            <w14:solidFill>
              <w14:schemeClr w14:val="tx1"/>
            </w14:solidFill>
          </w14:textFill>
        </w:rPr>
        <w:t>呼伦贝尔市档案馆馆藏部分永久档案</w:t>
      </w:r>
    </w:p>
    <w:p>
      <w:pPr>
        <w:pStyle w:val="3"/>
        <w:spacing w:line="360" w:lineRule="auto"/>
        <w:jc w:val="left"/>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数字化项目采购合同（合同文本）</w:t>
      </w:r>
    </w:p>
    <w:p>
      <w:pPr>
        <w:adjustRightInd w:val="0"/>
        <w:spacing w:line="360" w:lineRule="auto"/>
        <w:jc w:val="both"/>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甲方</w:t>
      </w:r>
      <w:r>
        <w:rPr>
          <w:b/>
          <w:color w:val="000000" w:themeColor="text1"/>
          <w:sz w:val="24"/>
          <w:szCs w:val="24"/>
          <w14:textFill>
            <w14:solidFill>
              <w14:schemeClr w14:val="tx1"/>
            </w14:solidFill>
          </w14:textFill>
        </w:rPr>
        <w:t>:</w:t>
      </w:r>
      <w:r>
        <w:rPr>
          <w:b/>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发包方</w:t>
      </w:r>
      <w:r>
        <w:rPr>
          <w:b/>
          <w:color w:val="000000" w:themeColor="text1"/>
          <w:sz w:val="24"/>
          <w:szCs w:val="24"/>
          <w14:textFill>
            <w14:solidFill>
              <w14:schemeClr w14:val="tx1"/>
            </w14:solidFill>
          </w14:textFill>
        </w:rPr>
        <w:t>)</w:t>
      </w:r>
    </w:p>
    <w:p>
      <w:pPr>
        <w:adjustRightInd w:val="0"/>
        <w:spacing w:line="360" w:lineRule="auto"/>
        <w:jc w:val="both"/>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乙方</w:t>
      </w:r>
      <w:r>
        <w:rPr>
          <w:b/>
          <w:color w:val="000000" w:themeColor="text1"/>
          <w:sz w:val="24"/>
          <w:szCs w:val="24"/>
          <w14:textFill>
            <w14:solidFill>
              <w14:schemeClr w14:val="tx1"/>
            </w14:solidFill>
          </w14:textFill>
        </w:rPr>
        <w:t>:</w:t>
      </w:r>
      <w:r>
        <w:rPr>
          <w:b/>
          <w:color w:val="000000" w:themeColor="text1"/>
          <w:sz w:val="24"/>
          <w:szCs w:val="24"/>
          <w:u w:val="single"/>
          <w14:textFill>
            <w14:solidFill>
              <w14:schemeClr w14:val="tx1"/>
            </w14:solidFill>
          </w14:textFill>
        </w:rPr>
        <w:t xml:space="preserve">                        </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承包方</w:t>
      </w:r>
      <w:r>
        <w:rPr>
          <w:b/>
          <w:color w:val="000000" w:themeColor="text1"/>
          <w:sz w:val="24"/>
          <w:szCs w:val="24"/>
          <w14:textFill>
            <w14:solidFill>
              <w14:schemeClr w14:val="tx1"/>
            </w14:solidFill>
          </w14:textFill>
        </w:rPr>
        <w:t>)</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根据《中华人民共和国合同法》及相关法律法规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甲乙双方就事项协商一</w:t>
      </w:r>
    </w:p>
    <w:p>
      <w:pPr>
        <w:adjustRightInd w:val="0"/>
        <w:spacing w:line="36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致</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共同订立本合同</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以明确双方的权利与义务。</w:t>
      </w:r>
    </w:p>
    <w:p>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第一章</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总</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则</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第一条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除非本合同另有明确规定或双方书面同意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否则本合同的全部条款及所有附录</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合称“本合同”</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构成双方就本合同内事项的协议和谅解</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并优先于双方之前就该事项达成的其他所有协议。双方确认其在同意签署本合同时</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并未依赖本合同以外的任何声明、保证或其他担保。</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本合同如需修订</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须经甲乙双方协商同意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并达成书面修改合同</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方为有效。在修改合同达成之前</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本合同继续有效。</w:t>
      </w:r>
    </w:p>
    <w:p>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第二章</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服务内容、范围、地点和时间</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服务内容</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详见本文件（《2022年呼伦贝尔市档案馆馆藏部分永久档案数字化项目（三次）竞争性谈判文件》第四章谈判内容与技术要求）</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详见本文件（《2022年呼伦贝尔市档案馆馆藏部分永久档案数字化项目（三次）竞争性谈判文件》第四章谈判内容与技术要求）</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第五条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工作场地</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乙方在呼伦贝尔市档案馆数字化室为甲方提供服务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并应主动接受甲方对工作场地的监督、检查。</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第六条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服务时间</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022</w:t>
      </w:r>
      <w:r>
        <w:rPr>
          <w:rFonts w:hint="eastAsia"/>
          <w:color w:val="000000" w:themeColor="text1"/>
          <w:sz w:val="24"/>
          <w:szCs w:val="24"/>
          <w14:textFill>
            <w14:solidFill>
              <w14:schemeClr w14:val="tx1"/>
            </w14:solidFill>
          </w14:textFill>
        </w:rPr>
        <w:t>年</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日至2</w:t>
      </w:r>
      <w:r>
        <w:rPr>
          <w:color w:val="000000" w:themeColor="text1"/>
          <w:sz w:val="24"/>
          <w:szCs w:val="24"/>
          <w14:textFill>
            <w14:solidFill>
              <w14:schemeClr w14:val="tx1"/>
            </w14:solidFill>
          </w14:textFill>
        </w:rPr>
        <w:t>022</w:t>
      </w:r>
      <w:r>
        <w:rPr>
          <w:rFonts w:hint="eastAsia"/>
          <w:color w:val="000000" w:themeColor="text1"/>
          <w:sz w:val="24"/>
          <w:szCs w:val="24"/>
          <w14:textFill>
            <w14:solidFill>
              <w14:schemeClr w14:val="tx1"/>
            </w14:solidFill>
          </w14:textFill>
        </w:rPr>
        <w:t>年</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w:t>
      </w:r>
      <w:r>
        <w:rPr>
          <w:color w:val="000000" w:themeColor="text1"/>
          <w:sz w:val="24"/>
          <w:szCs w:val="24"/>
          <w14:textFill>
            <w14:solidFill>
              <w14:schemeClr w14:val="tx1"/>
            </w14:solidFill>
          </w14:textFill>
        </w:rPr>
        <w:t>)</w:t>
      </w:r>
    </w:p>
    <w:p>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第三章</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服务质量要求</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第七条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乙方在整个服务过程中应确保甲方档案的真实、完整、可用和安全。</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第八条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乙方的档案整理服务质量应满足以下标准的要求</w:t>
      </w:r>
      <w:r>
        <w:rPr>
          <w:color w:val="000000" w:themeColor="text1"/>
          <w:sz w:val="24"/>
          <w:szCs w:val="24"/>
          <w14:textFill>
            <w14:solidFill>
              <w14:schemeClr w14:val="tx1"/>
            </w14:solidFill>
          </w14:textFill>
        </w:rPr>
        <w:t>:</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(1)GB/T9705 </w:t>
      </w:r>
      <w:r>
        <w:rPr>
          <w:rFonts w:hint="eastAsia"/>
          <w:color w:val="000000" w:themeColor="text1"/>
          <w:sz w:val="24"/>
          <w:szCs w:val="24"/>
          <w14:textFill>
            <w14:solidFill>
              <w14:schemeClr w14:val="tx1"/>
            </w14:solidFill>
          </w14:textFill>
        </w:rPr>
        <w:t>文书档案案卷格式</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(2)GB/T11821 </w:t>
      </w:r>
      <w:r>
        <w:rPr>
          <w:rFonts w:hint="eastAsia"/>
          <w:color w:val="000000" w:themeColor="text1"/>
          <w:sz w:val="24"/>
          <w:szCs w:val="24"/>
          <w14:textFill>
            <w14:solidFill>
              <w14:schemeClr w14:val="tx1"/>
            </w14:solidFill>
          </w14:textFill>
        </w:rPr>
        <w:t>照片档案管理规范</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(3)GB/T11822 </w:t>
      </w:r>
      <w:r>
        <w:rPr>
          <w:rFonts w:hint="eastAsia"/>
          <w:color w:val="000000" w:themeColor="text1"/>
          <w:sz w:val="24"/>
          <w:szCs w:val="24"/>
          <w14:textFill>
            <w14:solidFill>
              <w14:schemeClr w14:val="tx1"/>
            </w14:solidFill>
          </w14:textFill>
        </w:rPr>
        <w:t>科学技术档案案卷构成的一般要求</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(4)GB/T17678.1 CAD</w:t>
      </w:r>
      <w:r>
        <w:rPr>
          <w:rFonts w:hint="eastAsia"/>
          <w:color w:val="000000" w:themeColor="text1"/>
          <w:sz w:val="24"/>
          <w:szCs w:val="24"/>
          <w14:textFill>
            <w14:solidFill>
              <w14:schemeClr w14:val="tx1"/>
            </w14:solidFill>
          </w14:textFill>
        </w:rPr>
        <w:t>电子文件光盘存储、归档与档案管理要求</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第一部分</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电子文件归档与档案管理</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(5)GB/T18894 </w:t>
      </w:r>
      <w:r>
        <w:rPr>
          <w:rFonts w:hint="eastAsia"/>
          <w:color w:val="000000" w:themeColor="text1"/>
          <w:sz w:val="24"/>
          <w:szCs w:val="24"/>
          <w14:textFill>
            <w14:solidFill>
              <w14:schemeClr w14:val="tx1"/>
            </w14:solidFill>
          </w14:textFill>
        </w:rPr>
        <w:t>电子文件归档与电子档案管理规范</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(7)DA/T13 </w:t>
      </w:r>
      <w:r>
        <w:rPr>
          <w:rFonts w:hint="eastAsia"/>
          <w:color w:val="000000" w:themeColor="text1"/>
          <w:sz w:val="24"/>
          <w:szCs w:val="24"/>
          <w14:textFill>
            <w14:solidFill>
              <w14:schemeClr w14:val="tx1"/>
            </w14:solidFill>
          </w14:textFill>
        </w:rPr>
        <w:t>档号编制规则</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(8)DA/T15 </w:t>
      </w:r>
      <w:r>
        <w:rPr>
          <w:rFonts w:hint="eastAsia"/>
          <w:color w:val="000000" w:themeColor="text1"/>
          <w:sz w:val="24"/>
          <w:szCs w:val="24"/>
          <w14:textFill>
            <w14:solidFill>
              <w14:schemeClr w14:val="tx1"/>
            </w14:solidFill>
          </w14:textFill>
        </w:rPr>
        <w:t>磁性载体档案管理与保护规范</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(9)DA/T18 </w:t>
      </w:r>
      <w:r>
        <w:rPr>
          <w:rFonts w:hint="eastAsia"/>
          <w:color w:val="000000" w:themeColor="text1"/>
          <w:sz w:val="24"/>
          <w:szCs w:val="24"/>
          <w14:textFill>
            <w14:solidFill>
              <w14:schemeClr w14:val="tx1"/>
            </w14:solidFill>
          </w14:textFill>
        </w:rPr>
        <w:t>档案著录规则</w:t>
      </w:r>
    </w:p>
    <w:p>
      <w:pPr>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(10)DA/T19 </w:t>
      </w:r>
      <w:r>
        <w:rPr>
          <w:rFonts w:hint="eastAsia"/>
          <w:color w:val="000000" w:themeColor="text1"/>
          <w:sz w:val="24"/>
          <w:szCs w:val="24"/>
          <w14:textFill>
            <w14:solidFill>
              <w14:schemeClr w14:val="tx1"/>
            </w14:solidFill>
          </w14:textFill>
        </w:rPr>
        <w:t>档案主题标引规则</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(11)DA/T22 </w:t>
      </w:r>
      <w:r>
        <w:rPr>
          <w:rFonts w:hint="eastAsia"/>
          <w:color w:val="000000" w:themeColor="text1"/>
          <w:sz w:val="24"/>
          <w:szCs w:val="24"/>
          <w14:textFill>
            <w14:solidFill>
              <w14:schemeClr w14:val="tx1"/>
            </w14:solidFill>
          </w14:textFill>
        </w:rPr>
        <w:t>归档文件整理规则</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(12)DA/T28 </w:t>
      </w:r>
      <w:r>
        <w:rPr>
          <w:rFonts w:hint="eastAsia"/>
          <w:color w:val="000000" w:themeColor="text1"/>
          <w:sz w:val="24"/>
          <w:szCs w:val="24"/>
          <w14:textFill>
            <w14:solidFill>
              <w14:schemeClr w14:val="tx1"/>
            </w14:solidFill>
          </w14:textFill>
        </w:rPr>
        <w:t>国家重大建设项目文件归档要求与档案整理规范</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(13)DA/T38 </w:t>
      </w:r>
      <w:r>
        <w:rPr>
          <w:rFonts w:hint="eastAsia"/>
          <w:color w:val="000000" w:themeColor="text1"/>
          <w:sz w:val="24"/>
          <w:szCs w:val="24"/>
          <w14:textFill>
            <w14:solidFill>
              <w14:schemeClr w14:val="tx1"/>
            </w14:solidFill>
          </w14:textFill>
        </w:rPr>
        <w:t>电子文件归档光盘技术要求和应用规范</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(14)</w:t>
      </w:r>
      <w:r>
        <w:rPr>
          <w:color w:val="000000" w:themeColor="text1"/>
          <w:sz w:val="24"/>
          <w:szCs w:val="24"/>
          <w:u w:val="single"/>
          <w14:textFill>
            <w14:solidFill>
              <w14:schemeClr w14:val="tx1"/>
            </w14:solidFill>
          </w14:textFill>
        </w:rPr>
        <w:t xml:space="preserve">                                         </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(15)</w:t>
      </w:r>
      <w:r>
        <w:rPr>
          <w:color w:val="000000" w:themeColor="text1"/>
          <w:sz w:val="24"/>
          <w:szCs w:val="24"/>
          <w:u w:val="single"/>
          <w14:textFill>
            <w14:solidFill>
              <w14:schemeClr w14:val="tx1"/>
            </w14:solidFill>
          </w14:textFill>
        </w:rPr>
        <w:t xml:space="preserve">                                         </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第九条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乙方的档案数字化服务质量应满足以下标准的要求</w:t>
      </w:r>
      <w:r>
        <w:rPr>
          <w:color w:val="000000" w:themeColor="text1"/>
          <w:sz w:val="24"/>
          <w:szCs w:val="24"/>
          <w14:textFill>
            <w14:solidFill>
              <w14:schemeClr w14:val="tx1"/>
            </w14:solidFill>
          </w14:textFill>
        </w:rPr>
        <w:t>:</w:t>
      </w:r>
    </w:p>
    <w:p>
      <w:pP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(1)DA/T31 </w:t>
      </w:r>
      <w:r>
        <w:rPr>
          <w:rFonts w:hint="eastAsia"/>
          <w:color w:val="000000" w:themeColor="text1"/>
          <w:sz w:val="24"/>
          <w:szCs w:val="24"/>
          <w14:textFill>
            <w14:solidFill>
              <w14:schemeClr w14:val="tx1"/>
            </w14:solidFill>
          </w14:textFill>
        </w:rPr>
        <w:t>纸质档案数字化技术规范</w:t>
      </w:r>
    </w:p>
    <w:p>
      <w:pPr>
        <w:adjustRightInd w:val="0"/>
        <w:spacing w:line="360" w:lineRule="auto"/>
        <w:ind w:firstLine="4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color w:val="000000" w:themeColor="text1"/>
          <w:sz w:val="24"/>
          <w:szCs w:val="24"/>
          <w:u w:val="single"/>
          <w14:textFill>
            <w14:solidFill>
              <w14:schemeClr w14:val="tx1"/>
            </w14:solidFill>
          </w14:textFill>
        </w:rPr>
        <w:t xml:space="preserve">                                         </w:t>
      </w:r>
    </w:p>
    <w:p>
      <w:pPr>
        <w:adjustRightInd w:val="0"/>
        <w:spacing w:line="360" w:lineRule="auto"/>
        <w:ind w:firstLine="4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color w:val="000000" w:themeColor="text1"/>
          <w:sz w:val="24"/>
          <w:szCs w:val="24"/>
          <w:u w:val="single"/>
          <w14:textFill>
            <w14:solidFill>
              <w14:schemeClr w14:val="tx1"/>
            </w14:solidFill>
          </w14:textFill>
        </w:rPr>
        <w:t xml:space="preserve">                                         </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乙方的其他档案管理服务质量应满足国家、行业相关标准的要求。</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第十一条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如果本合同第八、九、十条所提及的标准存在相矛盾之处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以甲方的规定或要求为准。</w:t>
      </w:r>
    </w:p>
    <w:p>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第四章</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服务费用与付款方式</w:t>
      </w:r>
    </w:p>
    <w:p>
      <w:pPr>
        <w:adjustRightInd w:val="0"/>
        <w:spacing w:line="360" w:lineRule="auto"/>
        <w:ind w:left="2840" w:leftChars="200" w:hanging="2400" w:hangingChars="10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第十二条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服务价格为中标最终报价</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元</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pPr>
        <w:adjustRightInd w:val="0"/>
        <w:spacing w:line="360" w:lineRule="auto"/>
        <w:ind w:left="2840" w:leftChars="200" w:hanging="2400" w:hangingChars="10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数字化档案数量为</w:t>
      </w:r>
      <w:r>
        <w:rPr>
          <w:color w:val="000000" w:themeColor="text1"/>
          <w:sz w:val="24"/>
          <w:szCs w:val="24"/>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页</w:t>
      </w:r>
      <w:r>
        <w:rPr>
          <w:color w:val="000000" w:themeColor="text1"/>
          <w:sz w:val="24"/>
          <w:szCs w:val="24"/>
          <w14:textFill>
            <w14:solidFill>
              <w14:schemeClr w14:val="tx1"/>
            </w14:solidFill>
          </w14:textFill>
        </w:rPr>
        <w:t xml:space="preserve"> </w:t>
      </w:r>
    </w:p>
    <w:p>
      <w:pPr>
        <w:numPr>
          <w:ilvl w:val="0"/>
          <w:numId w:val="11"/>
        </w:numPr>
        <w:autoSpaceDE/>
        <w:autoSpaceDN/>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付款方式分三期支付</w:t>
      </w:r>
    </w:p>
    <w:p>
      <w:pPr>
        <w:autoSpaceDE/>
        <w:autoSpaceDN/>
        <w:adjustRightInd w:val="0"/>
        <w:spacing w:line="360" w:lineRule="auto"/>
        <w:ind w:firstLine="720" w:firstLineChars="3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期：支付比例</w:t>
      </w:r>
      <w:r>
        <w:rPr>
          <w:color w:val="000000" w:themeColor="text1"/>
          <w:sz w:val="24"/>
          <w:szCs w:val="24"/>
          <w14:textFill>
            <w14:solidFill>
              <w14:schemeClr w14:val="tx1"/>
            </w14:solidFill>
          </w14:textFill>
        </w:rPr>
        <w:t>10%</w:t>
      </w:r>
      <w:r>
        <w:rPr>
          <w:rFonts w:hint="eastAsia"/>
          <w:color w:val="000000" w:themeColor="text1"/>
          <w:sz w:val="24"/>
          <w:szCs w:val="24"/>
          <w14:textFill>
            <w14:solidFill>
              <w14:schemeClr w14:val="tx1"/>
            </w14:solidFill>
          </w14:textFill>
        </w:rPr>
        <w:t>，自合同签订起的</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个工作日内支付。</w:t>
      </w:r>
    </w:p>
    <w:p>
      <w:pPr>
        <w:autoSpaceDE/>
        <w:autoSpaceDN/>
        <w:adjustRightInd w:val="0"/>
        <w:spacing w:line="360" w:lineRule="auto"/>
        <w:ind w:firstLine="720" w:firstLineChars="3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期：支付比例</w:t>
      </w:r>
      <w:r>
        <w:rPr>
          <w:color w:val="000000" w:themeColor="text1"/>
          <w:sz w:val="24"/>
          <w:szCs w:val="24"/>
          <w14:textFill>
            <w14:solidFill>
              <w14:schemeClr w14:val="tx1"/>
            </w14:solidFill>
          </w14:textFill>
        </w:rPr>
        <w:t>40%</w:t>
      </w:r>
      <w:r>
        <w:rPr>
          <w:rFonts w:hint="eastAsia"/>
          <w:color w:val="000000" w:themeColor="text1"/>
          <w:sz w:val="24"/>
          <w:szCs w:val="24"/>
          <w14:textFill>
            <w14:solidFill>
              <w14:schemeClr w14:val="tx1"/>
            </w14:solidFill>
          </w14:textFill>
        </w:rPr>
        <w:t>，扫描量达到总量的</w:t>
      </w:r>
      <w:r>
        <w:rPr>
          <w:color w:val="000000" w:themeColor="text1"/>
          <w:sz w:val="24"/>
          <w:szCs w:val="24"/>
          <w14:textFill>
            <w14:solidFill>
              <w14:schemeClr w14:val="tx1"/>
            </w14:solidFill>
          </w14:textFill>
        </w:rPr>
        <w:t>50%</w:t>
      </w:r>
      <w:r>
        <w:rPr>
          <w:rFonts w:hint="eastAsia"/>
          <w:color w:val="000000" w:themeColor="text1"/>
          <w:sz w:val="24"/>
          <w:szCs w:val="24"/>
          <w14:textFill>
            <w14:solidFill>
              <w14:schemeClr w14:val="tx1"/>
            </w14:solidFill>
          </w14:textFill>
        </w:rPr>
        <w:t>，经采购人验收后，在</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个工作日内支付合同金额的</w:t>
      </w:r>
      <w:r>
        <w:rPr>
          <w:color w:val="000000" w:themeColor="text1"/>
          <w:sz w:val="24"/>
          <w:szCs w:val="24"/>
          <w14:textFill>
            <w14:solidFill>
              <w14:schemeClr w14:val="tx1"/>
            </w14:solidFill>
          </w14:textFill>
        </w:rPr>
        <w:t>40%</w:t>
      </w:r>
      <w:r>
        <w:rPr>
          <w:rFonts w:hint="eastAsia"/>
          <w:color w:val="000000" w:themeColor="text1"/>
          <w:sz w:val="24"/>
          <w:szCs w:val="24"/>
          <w14:textFill>
            <w14:solidFill>
              <w14:schemeClr w14:val="tx1"/>
            </w14:solidFill>
          </w14:textFill>
        </w:rPr>
        <w:t>。</w:t>
      </w:r>
    </w:p>
    <w:p>
      <w:pPr>
        <w:autoSpaceDE/>
        <w:autoSpaceDN/>
        <w:adjustRightInd w:val="0"/>
        <w:spacing w:line="360" w:lineRule="auto"/>
        <w:ind w:firstLine="720" w:firstLineChars="300"/>
        <w:jc w:val="both"/>
        <w:rPr>
          <w:color w:val="auto"/>
          <w:sz w:val="24"/>
          <w:szCs w:val="24"/>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期：支付比例</w:t>
      </w:r>
      <w:r>
        <w:rPr>
          <w:color w:val="000000" w:themeColor="text1"/>
          <w:sz w:val="24"/>
          <w:szCs w:val="24"/>
          <w14:textFill>
            <w14:solidFill>
              <w14:schemeClr w14:val="tx1"/>
            </w14:solidFill>
          </w14:textFill>
        </w:rPr>
        <w:t>50%</w:t>
      </w:r>
      <w:r>
        <w:rPr>
          <w:rFonts w:hint="eastAsia"/>
          <w:color w:val="000000" w:themeColor="text1"/>
          <w:sz w:val="24"/>
          <w:szCs w:val="24"/>
          <w14:textFill>
            <w14:solidFill>
              <w14:schemeClr w14:val="tx1"/>
            </w14:solidFill>
          </w14:textFill>
        </w:rPr>
        <w:t>，项目整体</w:t>
      </w: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完成后，经采购人进行最终验收。采购人验收合格后，中标人按照评审价开具合法的发票，保留项目总金额的</w:t>
      </w:r>
      <w:r>
        <w:rPr>
          <w:color w:val="000000" w:themeColor="text1"/>
          <w:sz w:val="24"/>
          <w:szCs w:val="24"/>
          <w14:textFill>
            <w14:solidFill>
              <w14:schemeClr w14:val="tx1"/>
            </w14:solidFill>
          </w14:textFill>
        </w:rPr>
        <w:t>10</w:t>
      </w:r>
      <w:r>
        <w:rPr>
          <w:rFonts w:hint="eastAsia"/>
          <w:color w:val="000000" w:themeColor="text1"/>
          <w:sz w:val="24"/>
          <w:szCs w:val="24"/>
          <w14:textFill>
            <w14:solidFill>
              <w14:schemeClr w14:val="tx1"/>
            </w14:solidFill>
          </w14:textFill>
        </w:rPr>
        <w:t>%作为质保金（质保金从验收合格之日起满一年返还），</w:t>
      </w:r>
      <w:r>
        <w:rPr>
          <w:rFonts w:hint="eastAsia"/>
          <w:color w:val="auto"/>
          <w:sz w:val="24"/>
          <w:szCs w:val="24"/>
        </w:rPr>
        <w:t>采购方在</w:t>
      </w:r>
      <w:r>
        <w:rPr>
          <w:color w:val="auto"/>
          <w:sz w:val="24"/>
          <w:szCs w:val="24"/>
        </w:rPr>
        <w:t>5</w:t>
      </w:r>
      <w:r>
        <w:rPr>
          <w:rFonts w:hint="eastAsia"/>
          <w:color w:val="auto"/>
          <w:sz w:val="24"/>
          <w:szCs w:val="24"/>
        </w:rPr>
        <w:t>个工作日内支付全部尾款，并返还中标金额</w:t>
      </w:r>
      <w:r>
        <w:rPr>
          <w:color w:val="auto"/>
          <w:sz w:val="24"/>
          <w:szCs w:val="24"/>
        </w:rPr>
        <w:t>10</w:t>
      </w:r>
      <w:r>
        <w:rPr>
          <w:rFonts w:hint="eastAsia"/>
          <w:color w:val="auto"/>
          <w:sz w:val="24"/>
          <w:szCs w:val="24"/>
        </w:rPr>
        <w:t>%的合同履约保证金。</w:t>
      </w:r>
    </w:p>
    <w:p>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第五章</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甲方责任</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第十四条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甲方应按照本合同第四章约定的金额和付款时间向乙方支付服务费用。</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第十五条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甲方应指定工作人员负责执行本合同</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支持和配合乙方的工作</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并为乙方完成本合同规定服务提供必要的条件。</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第十六条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甲方的委托行为及其他相关档案管理行为</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须遵守国家法律法规规定。由于甲方违法违规操作造成的损失</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责任由甲方承担。</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第十七条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甲方须尊重并保护乙方的商业秘密和知识产权。</w:t>
      </w:r>
    </w:p>
    <w:p>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第六章</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乙方责任</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第十八条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乙方保证已获取并持有提供本合同规定服务所必须具备的所有许可证、执照及批文。</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第十九条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乙方应确保甲方档案的实体安全和信息安全</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保护国家秘密、甲方商业秘密和个人隐私安全</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保护甲方的知识产权。</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乙方严格按照国家法律法规及与甲方约定的档案保管条件、业务操作程序、服务质量标准</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开展档案服务。</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第二十一条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乙方应主动接受并积极配合档案行政管理部门、保密行政管理部门、甲方上级主管部门及甲方的业务指导、监督和检查。</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第二十二条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在本合同有效期内</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乙方应每年向甲方提交一次服务能力自我评估报告。评估报告应如实反映如下内容</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包括但不限于</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乙方的股权结构、实际控制人、关键岗位人员、财务状况、重要技术、重要基础设施的变化情况</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以及突发事件及处置、业务流程管理、质量管理、保密管理等方面的情况。</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第二十三条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乙方应将可能接触到甲方档案内容或数据的员工名单向甲方备案</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未向甲方备案的员工不得接触到甲方档案内容或数据</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原已备案员工离职也应及时书面告知甲方。</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第二十四条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未经甲方书面授权</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乙方不得将本合同服务内容转包给第三方公司。如发现乙方有擅自转包行为</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甲方有权解除合同</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并要求乙方承担违约责任。</w:t>
      </w:r>
    </w:p>
    <w:p>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第七章</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保密要求</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第二十五条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乙方应做到完成本合同服务所必需的相关保密要求。</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第二十六条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乙方须与员工签订保密协议或要求员工签订保密承诺</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确保员工保守国家秘密、甲方商业秘密或相关个人隐私。</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第二十七条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对于甲方因本合同提供乙方持有或处理的档案</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及其他涉密息或敏感信息</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乙方须采取必要的安全措施</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确保其不被损伤、销毁、丢弃、窃取、删除、更改、摘抄、公布、出版</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不被未经甲方同意或授权的组织或个人接触、复制、使用。</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第二十八条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乙方保证在收集、持有、处理或使用甲方档案</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及其他涉密或敏感信息</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时</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只用于完成本合同规定的服务。</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第二十九条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乙方保证只允许已向甲方备案的员工因完成本合同规定服务的需要</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而接触、复制或使用甲方档案</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及其他涉密或敏感信息</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并确保接触、复制或使用该档案</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及其他涉密或敏感信息</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的乙方员工接受与乙方同样的约束。</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第三十条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乙方未经甲方事先书面许可不得向任何第三方披露甲方档案</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及其他涉密信息或敏感信息</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若被国家司法机关、国家行政管理机关依法要求披露该档案</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及其他涉密或敏感信息</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须立即通知甲方。</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第三十一条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乙方不得擅自存留甲方的任何档案</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及其他涉密或敏感信息</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或其任何形式的复制件。</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第三十二条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甲方有义务保守乙方的商业秘密</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包括但不限于服务内容、服务价格标准、操作流程、技术方法、软件系统、仪器设备等。</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第三十三条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在得知本方员工违反保密规定或协议</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导致对方秘密被泄露时</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甲方或乙方应立即采取补救措施</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并及时通知对方。</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第三十四条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甲方和乙方均应主动接受、积极配合保密行政管理部门、档案行政管理部门及其他有关部门的保密监督检查和泄露事件调查取证。</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第三十五条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本合同第二十四条至第三十四条规定在本合同到期或终止后仍然有效。</w:t>
      </w:r>
    </w:p>
    <w:p>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第八章</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知识产权</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第三十六条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甲方档案本身所包含的知识产权由原所有人所有。</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第三十七条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乙方根据本合同规定服务对甲方档案进行著录、标引、扫描、摘录、汇编、研究、出版等而产生的知识产权归甲方所有。</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第三十八条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由乙方形成的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可脱离于甲方档案或本合同服务内容而独立存在的知识产权</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如商标、软件著作权、专利技术、商业秘密等</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归乙方所有。</w:t>
      </w:r>
    </w:p>
    <w:p>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第九章</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违约责任</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第三十九条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乙方未按照合同规定提供服务或服务质量未达要求而导致甲方蒙受经济损失的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乙方应向甲方赔偿直接经济损失。</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第四十条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因乙方原因造成甲方档案被损毁、丢失、泄密或甲方知识产权被侵害的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乙方应向甲方赔偿由此导致的直接经济损失和相应间接经济损失。间接经济损失难以估量的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经双方友好协商确定</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或提交仲裁机构裁决。</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第四十一条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因甲方原因导致乙方不能按照约定履行合同或乙方知识产权被侵害的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甲方应向乙方赔偿由此导致的直接经济损失和相应间接经济损失。</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第四十二条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由甲方原因造成甲方档案丢失、损毁或泄密的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由甲方承担相应责任</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乙方配合甲方开展调查取证。</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第四十三条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甲方未按照本合同约定的金额和付款时间履行付款义务的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乙方有权要求甲方支付应付而未付的服务费。每逾期支付一天</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甲方应承担欠付金额</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的违约金</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逾期付款超过个月的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乙方有权中止履行合同义务并解除合同</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并要求甲方承担违约责任。</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第四十四条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乙方未按照本合同约定的时间完成服务内容、交付服务成果的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甲方有权要求乙方予以赔偿。每逾期一天</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乙方应赔偿甲方合同金额</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的违约金</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逾期超过个月的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甲方有权中止或解除合同</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并要求乙方承担违约责任。</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第四十五条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因乙方原因造成甲方档案被损毁、丢失或泄密的重大事件</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或使甲方档案面临严重威胁时</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甲方有权解除合同</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并要求乙方承担违约责任。</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第四十六条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合同有效期内</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因不可抗力任一方单方要求解除合同的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需提前天书面通知对方。本条款所称“不可抗力”指合同任一方无法合理控制并导致其无法履行本合同承诺或义务的情形。这些情形包括但不限于</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地震、旱灾、风灾、雨灾、雪灾、雷电、火山、泥石流、山体滑坡、地陷及任何其他自然灾害</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战争行为、公敌行为、恐怖活动、暴动、内乱、罢工、恶意损坏、革命、政变、政府干预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包括新法律、法规或法令</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w:t>
      </w:r>
    </w:p>
    <w:p>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第十章</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反商业贿赂</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第四十七条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甲乙双方都清楚并愿意严格遵守中华人民共和国反商业贿赂的法律规定</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双方都清楚任何形式的贿赂和贪渎行为都将触犯法律</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并将受到法律的严惩。</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第四十八条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甲方或甲方经办人、乙方或乙方经办人均不得向对方、对方经办人、甲方客户或其他相关人员索要、收受、提供、给予合同约定外的任何利益</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包括但不限于明扣、暗扣、现金、购物卡、实物、有价证券、旅游或其他非物质性利益等</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但如该等利益属于行业惯例或通常做法</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则须在合同中明示。</w:t>
      </w:r>
    </w:p>
    <w:p>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第十一章</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争议解决</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第四十九条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在求助于外部争议解决机制前</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合同双方应试图通过友好协商解决与本合同相关的争议。</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第五十条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协商不成</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交由呼伦贝尔市仲裁委员会仲裁。</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第五十一条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即使存在争议</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双方应继续最大程度地履行各自在本合同下的义务。</w:t>
      </w:r>
    </w:p>
    <w:p>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第十二章</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其他</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第五十二条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本合同受中华人民共和国法律约束</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并依据中华人民共和国法律进行解释。本合同未尽事宜</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依照有关法律法规执行</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法律法规未作规定的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甲乙双方可以达成书面补充协议。</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第五十三条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本合同的附录和补充协议均为本合同不可分割的组成部分</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与本合同具有同等的法律效力。</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第五十四条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本合同经双方签字盖章后生效。</w:t>
      </w: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第五十五条</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本合同一式份</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双方各执份</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对双方均具有同等法律效力。</w:t>
      </w:r>
    </w:p>
    <w:p>
      <w:pPr>
        <w:adjustRightInd w:val="0"/>
        <w:spacing w:line="360" w:lineRule="auto"/>
        <w:ind w:firstLine="480" w:firstLineChars="200"/>
        <w:jc w:val="both"/>
        <w:rPr>
          <w:color w:val="000000" w:themeColor="text1"/>
          <w:sz w:val="24"/>
          <w:szCs w:val="24"/>
          <w14:textFill>
            <w14:solidFill>
              <w14:schemeClr w14:val="tx1"/>
            </w14:solidFill>
          </w14:textFill>
        </w:rPr>
      </w:pP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甲</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方</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盖章</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乙</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方</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盖章</w:t>
      </w:r>
      <w:r>
        <w:rPr>
          <w:color w:val="000000" w:themeColor="text1"/>
          <w:sz w:val="24"/>
          <w:szCs w:val="24"/>
          <w14:textFill>
            <w14:solidFill>
              <w14:schemeClr w14:val="tx1"/>
            </w14:solidFill>
          </w14:textFill>
        </w:rPr>
        <w:t>)</w:t>
      </w:r>
    </w:p>
    <w:p>
      <w:pPr>
        <w:adjustRightInd w:val="0"/>
        <w:spacing w:line="360" w:lineRule="auto"/>
        <w:ind w:firstLine="480" w:firstLineChars="200"/>
        <w:jc w:val="both"/>
        <w:rPr>
          <w:color w:val="000000" w:themeColor="text1"/>
          <w:sz w:val="24"/>
          <w:szCs w:val="24"/>
          <w14:textFill>
            <w14:solidFill>
              <w14:schemeClr w14:val="tx1"/>
            </w14:solidFill>
          </w14:textFill>
        </w:rPr>
      </w:pP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授权代表人</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签章</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法定代表人</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授权代表人</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签章</w:t>
      </w:r>
      <w:r>
        <w:rPr>
          <w:color w:val="000000" w:themeColor="text1"/>
          <w:sz w:val="24"/>
          <w:szCs w:val="24"/>
          <w14:textFill>
            <w14:solidFill>
              <w14:schemeClr w14:val="tx1"/>
            </w14:solidFill>
          </w14:textFill>
        </w:rPr>
        <w:t>)</w:t>
      </w:r>
    </w:p>
    <w:p>
      <w:pPr>
        <w:adjustRightInd w:val="0"/>
        <w:spacing w:line="360" w:lineRule="auto"/>
        <w:ind w:firstLine="480" w:firstLineChars="200"/>
        <w:jc w:val="both"/>
        <w:rPr>
          <w:color w:val="000000" w:themeColor="text1"/>
          <w:sz w:val="24"/>
          <w:szCs w:val="24"/>
          <w14:textFill>
            <w14:solidFill>
              <w14:schemeClr w14:val="tx1"/>
            </w14:solidFill>
          </w14:textFill>
        </w:rPr>
      </w:pPr>
    </w:p>
    <w:p>
      <w:pPr>
        <w:adjustRightInd w:val="0"/>
        <w:spacing w:line="36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日期</w:t>
      </w:r>
      <w:r>
        <w:rPr>
          <w:color w:val="000000" w:themeColor="text1"/>
          <w:sz w:val="24"/>
          <w:szCs w:val="24"/>
          <w14:textFill>
            <w14:solidFill>
              <w14:schemeClr w14:val="tx1"/>
            </w14:solidFill>
          </w14:textFill>
        </w:rPr>
        <w:t>:</w:t>
      </w:r>
    </w:p>
    <w:p>
      <w:pPr>
        <w:pStyle w:val="2"/>
        <w:rPr>
          <w:color w:val="000000" w:themeColor="text1"/>
          <w14:textFill>
            <w14:solidFill>
              <w14:schemeClr w14:val="tx1"/>
            </w14:solidFill>
          </w14:textFill>
        </w:rPr>
      </w:pPr>
    </w:p>
    <w:p>
      <w:pPr>
        <w:rPr>
          <w:sz w:val="24"/>
          <w:szCs w:val="24"/>
        </w:rPr>
      </w:pPr>
      <w:r>
        <w:rPr>
          <w:sz w:val="24"/>
          <w:szCs w:val="24"/>
        </w:rPr>
        <w:br w:type="page"/>
      </w:r>
    </w:p>
    <w:p>
      <w:pPr>
        <w:pStyle w:val="9"/>
        <w:rPr>
          <w:sz w:val="24"/>
          <w:szCs w:val="24"/>
        </w:rPr>
      </w:pPr>
      <w:r>
        <w:rPr>
          <w:sz w:val="24"/>
          <w:szCs w:val="24"/>
        </w:rPr>
        <w:t>附表：标的物清单（主要技术参数需与响应文件相一致）（工程类的附工程量清单等）</w:t>
      </w:r>
    </w:p>
    <w:tbl>
      <w:tblPr>
        <w:tblStyle w:val="16"/>
        <w:tblW w:w="4997"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autofit"/>
        <w:tblCellMar>
          <w:top w:w="0" w:type="dxa"/>
          <w:left w:w="0" w:type="dxa"/>
          <w:bottom w:w="0" w:type="dxa"/>
          <w:right w:w="0" w:type="dxa"/>
        </w:tblCellMar>
      </w:tblPr>
      <w:tblGrid>
        <w:gridCol w:w="593"/>
        <w:gridCol w:w="3376"/>
        <w:gridCol w:w="593"/>
        <w:gridCol w:w="594"/>
        <w:gridCol w:w="594"/>
        <w:gridCol w:w="1284"/>
        <w:gridCol w:w="127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357" w:hRule="atLeast"/>
          <w:jc w:val="center"/>
        </w:trPr>
        <w:tc>
          <w:tcPr>
            <w:tcW w:w="357" w:type="pct"/>
            <w:tcBorders>
              <w:tl2br w:val="nil"/>
              <w:tr2bl w:val="nil"/>
            </w:tcBorders>
            <w:shd w:val="clear" w:color="auto" w:fill="FFFFFF" w:themeFill="background1"/>
          </w:tcPr>
          <w:p>
            <w:pPr>
              <w:pStyle w:val="21"/>
              <w:spacing w:before="48"/>
              <w:ind w:left="154" w:right="163"/>
              <w:jc w:val="center"/>
              <w:rPr>
                <w:b/>
                <w:sz w:val="19"/>
              </w:rPr>
            </w:pPr>
            <w:r>
              <w:rPr>
                <w:b/>
                <w:sz w:val="19"/>
              </w:rPr>
              <w:t>名称</w:t>
            </w:r>
          </w:p>
        </w:tc>
        <w:tc>
          <w:tcPr>
            <w:tcW w:w="2031" w:type="pct"/>
            <w:tcBorders>
              <w:tl2br w:val="nil"/>
              <w:tr2bl w:val="nil"/>
            </w:tcBorders>
            <w:shd w:val="clear" w:color="auto" w:fill="FFFFFF" w:themeFill="background1"/>
          </w:tcPr>
          <w:p>
            <w:pPr>
              <w:pStyle w:val="21"/>
              <w:spacing w:line="337" w:lineRule="exact"/>
              <w:ind w:left="730" w:right="739"/>
              <w:jc w:val="center"/>
              <w:rPr>
                <w:b/>
                <w:sz w:val="19"/>
              </w:rPr>
            </w:pPr>
            <w:r>
              <w:rPr>
                <w:b/>
                <w:sz w:val="19"/>
              </w:rPr>
              <w:t>品牌、规格、标准</w:t>
            </w:r>
            <w:r>
              <w:rPr>
                <w:rFonts w:hint="eastAsia" w:ascii="微软雅黑" w:eastAsia="微软雅黑"/>
                <w:b/>
                <w:sz w:val="19"/>
              </w:rPr>
              <w:t>/</w:t>
            </w:r>
            <w:r>
              <w:rPr>
                <w:b/>
                <w:sz w:val="19"/>
              </w:rPr>
              <w:t>主要服务内容</w:t>
            </w:r>
          </w:p>
        </w:tc>
        <w:tc>
          <w:tcPr>
            <w:tcW w:w="357" w:type="pct"/>
            <w:tcBorders>
              <w:tl2br w:val="nil"/>
              <w:tr2bl w:val="nil"/>
            </w:tcBorders>
            <w:shd w:val="clear" w:color="auto" w:fill="FFFFFF" w:themeFill="background1"/>
          </w:tcPr>
          <w:p>
            <w:pPr>
              <w:pStyle w:val="21"/>
              <w:spacing w:before="48"/>
              <w:ind w:left="155" w:right="163"/>
              <w:jc w:val="center"/>
              <w:rPr>
                <w:b/>
                <w:sz w:val="19"/>
              </w:rPr>
            </w:pPr>
            <w:r>
              <w:rPr>
                <w:b/>
                <w:sz w:val="19"/>
              </w:rPr>
              <w:t>产地</w:t>
            </w:r>
          </w:p>
        </w:tc>
        <w:tc>
          <w:tcPr>
            <w:tcW w:w="357" w:type="pct"/>
            <w:tcBorders>
              <w:tl2br w:val="nil"/>
              <w:tr2bl w:val="nil"/>
            </w:tcBorders>
            <w:shd w:val="clear" w:color="auto" w:fill="FFFFFF" w:themeFill="background1"/>
          </w:tcPr>
          <w:p>
            <w:pPr>
              <w:pStyle w:val="21"/>
              <w:spacing w:before="48"/>
              <w:ind w:left="155" w:right="163"/>
              <w:jc w:val="center"/>
              <w:rPr>
                <w:b/>
                <w:sz w:val="19"/>
              </w:rPr>
            </w:pPr>
            <w:r>
              <w:rPr>
                <w:b/>
                <w:sz w:val="19"/>
              </w:rPr>
              <w:t>数量</w:t>
            </w:r>
          </w:p>
        </w:tc>
        <w:tc>
          <w:tcPr>
            <w:tcW w:w="357" w:type="pct"/>
            <w:tcBorders>
              <w:tl2br w:val="nil"/>
              <w:tr2bl w:val="nil"/>
            </w:tcBorders>
            <w:shd w:val="clear" w:color="auto" w:fill="FFFFFF" w:themeFill="background1"/>
          </w:tcPr>
          <w:p>
            <w:pPr>
              <w:pStyle w:val="21"/>
              <w:spacing w:before="48"/>
              <w:ind w:left="155" w:right="163"/>
              <w:jc w:val="center"/>
              <w:rPr>
                <w:b/>
                <w:sz w:val="19"/>
              </w:rPr>
            </w:pPr>
            <w:r>
              <w:rPr>
                <w:b/>
                <w:sz w:val="19"/>
              </w:rPr>
              <w:t>单位</w:t>
            </w:r>
          </w:p>
        </w:tc>
        <w:tc>
          <w:tcPr>
            <w:tcW w:w="768" w:type="pct"/>
            <w:tcBorders>
              <w:tl2br w:val="nil"/>
              <w:tr2bl w:val="nil"/>
            </w:tcBorders>
            <w:shd w:val="clear" w:color="auto" w:fill="FFFFFF" w:themeFill="background1"/>
          </w:tcPr>
          <w:p>
            <w:pPr>
              <w:pStyle w:val="21"/>
              <w:spacing w:before="48"/>
              <w:ind w:left="301" w:right="308"/>
              <w:jc w:val="center"/>
              <w:rPr>
                <w:b/>
                <w:sz w:val="19"/>
              </w:rPr>
            </w:pPr>
            <w:r>
              <w:rPr>
                <w:b/>
                <w:sz w:val="19"/>
              </w:rPr>
              <w:t>单价（元）</w:t>
            </w:r>
          </w:p>
        </w:tc>
        <w:tc>
          <w:tcPr>
            <w:tcW w:w="768" w:type="pct"/>
            <w:tcBorders>
              <w:tl2br w:val="nil"/>
              <w:tr2bl w:val="nil"/>
            </w:tcBorders>
            <w:shd w:val="clear" w:color="auto" w:fill="FFFFFF" w:themeFill="background1"/>
          </w:tcPr>
          <w:p>
            <w:pPr>
              <w:pStyle w:val="21"/>
              <w:spacing w:before="48"/>
              <w:ind w:left="302" w:right="308"/>
              <w:jc w:val="center"/>
              <w:rPr>
                <w:b/>
                <w:sz w:val="19"/>
              </w:rPr>
            </w:pPr>
            <w:r>
              <w:rPr>
                <w:b/>
                <w:sz w:val="19"/>
              </w:rPr>
              <w:t>金额（元）</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357" w:hRule="atLeast"/>
          <w:jc w:val="center"/>
        </w:trPr>
        <w:tc>
          <w:tcPr>
            <w:tcW w:w="357" w:type="pct"/>
            <w:tcBorders>
              <w:tl2br w:val="nil"/>
              <w:tr2bl w:val="nil"/>
            </w:tcBorders>
            <w:shd w:val="clear" w:color="auto" w:fill="FFFFFF" w:themeFill="background1"/>
          </w:tcPr>
          <w:p>
            <w:pPr>
              <w:pStyle w:val="21"/>
              <w:spacing w:before="48"/>
              <w:ind w:left="155" w:right="143"/>
              <w:jc w:val="center"/>
              <w:rPr>
                <w:sz w:val="19"/>
              </w:rPr>
            </w:pPr>
            <w:r>
              <w:rPr>
                <w:sz w:val="19"/>
              </w:rPr>
              <w:t>**</w:t>
            </w:r>
          </w:p>
        </w:tc>
        <w:tc>
          <w:tcPr>
            <w:tcW w:w="2031" w:type="pct"/>
            <w:tcBorders>
              <w:tl2br w:val="nil"/>
              <w:tr2bl w:val="nil"/>
            </w:tcBorders>
            <w:shd w:val="clear" w:color="auto" w:fill="FFFFFF" w:themeFill="background1"/>
          </w:tcPr>
          <w:p>
            <w:pPr>
              <w:pStyle w:val="21"/>
              <w:spacing w:before="48"/>
              <w:ind w:left="730" w:right="718"/>
              <w:jc w:val="center"/>
              <w:rPr>
                <w:sz w:val="19"/>
              </w:rPr>
            </w:pPr>
            <w:r>
              <w:rPr>
                <w:sz w:val="19"/>
              </w:rPr>
              <w:t>**</w:t>
            </w:r>
          </w:p>
        </w:tc>
        <w:tc>
          <w:tcPr>
            <w:tcW w:w="357" w:type="pct"/>
            <w:tcBorders>
              <w:tl2br w:val="nil"/>
              <w:tr2bl w:val="nil"/>
            </w:tcBorders>
            <w:shd w:val="clear" w:color="auto" w:fill="FFFFFF" w:themeFill="background1"/>
          </w:tcPr>
          <w:p>
            <w:pPr>
              <w:pStyle w:val="21"/>
              <w:spacing w:before="48"/>
              <w:ind w:left="155" w:right="142"/>
              <w:jc w:val="center"/>
              <w:rPr>
                <w:sz w:val="19"/>
              </w:rPr>
            </w:pPr>
            <w:r>
              <w:rPr>
                <w:sz w:val="19"/>
              </w:rPr>
              <w:t>**</w:t>
            </w:r>
          </w:p>
        </w:tc>
        <w:tc>
          <w:tcPr>
            <w:tcW w:w="357" w:type="pct"/>
            <w:tcBorders>
              <w:tl2br w:val="nil"/>
              <w:tr2bl w:val="nil"/>
            </w:tcBorders>
            <w:shd w:val="clear" w:color="auto" w:fill="FFFFFF" w:themeFill="background1"/>
          </w:tcPr>
          <w:p>
            <w:pPr>
              <w:pStyle w:val="21"/>
              <w:spacing w:before="48"/>
              <w:ind w:left="155" w:right="142"/>
              <w:jc w:val="center"/>
              <w:rPr>
                <w:sz w:val="19"/>
              </w:rPr>
            </w:pPr>
            <w:r>
              <w:rPr>
                <w:sz w:val="19"/>
              </w:rPr>
              <w:t>**</w:t>
            </w:r>
          </w:p>
        </w:tc>
        <w:tc>
          <w:tcPr>
            <w:tcW w:w="357" w:type="pct"/>
            <w:tcBorders>
              <w:tl2br w:val="nil"/>
              <w:tr2bl w:val="nil"/>
            </w:tcBorders>
            <w:shd w:val="clear" w:color="auto" w:fill="FFFFFF" w:themeFill="background1"/>
          </w:tcPr>
          <w:p>
            <w:pPr>
              <w:pStyle w:val="21"/>
              <w:spacing w:before="48"/>
              <w:ind w:left="155" w:right="142"/>
              <w:jc w:val="center"/>
              <w:rPr>
                <w:sz w:val="19"/>
              </w:rPr>
            </w:pPr>
            <w:r>
              <w:rPr>
                <w:sz w:val="19"/>
              </w:rPr>
              <w:t>**</w:t>
            </w:r>
          </w:p>
        </w:tc>
        <w:tc>
          <w:tcPr>
            <w:tcW w:w="768" w:type="pct"/>
            <w:tcBorders>
              <w:tl2br w:val="nil"/>
              <w:tr2bl w:val="nil"/>
            </w:tcBorders>
            <w:shd w:val="clear" w:color="auto" w:fill="FFFFFF" w:themeFill="background1"/>
          </w:tcPr>
          <w:p>
            <w:pPr>
              <w:pStyle w:val="21"/>
              <w:spacing w:before="48"/>
              <w:ind w:left="302" w:right="288"/>
              <w:jc w:val="center"/>
              <w:rPr>
                <w:sz w:val="19"/>
              </w:rPr>
            </w:pPr>
            <w:r>
              <w:rPr>
                <w:sz w:val="19"/>
              </w:rPr>
              <w:t>**</w:t>
            </w:r>
          </w:p>
        </w:tc>
        <w:tc>
          <w:tcPr>
            <w:tcW w:w="768" w:type="pct"/>
            <w:tcBorders>
              <w:tl2br w:val="nil"/>
              <w:tr2bl w:val="nil"/>
            </w:tcBorders>
            <w:shd w:val="clear" w:color="auto" w:fill="FFFFFF" w:themeFill="background1"/>
          </w:tcPr>
          <w:p>
            <w:pPr>
              <w:pStyle w:val="21"/>
              <w:spacing w:before="48"/>
              <w:ind w:left="302" w:right="287"/>
              <w:jc w:val="center"/>
              <w:rPr>
                <w:sz w:val="19"/>
              </w:rPr>
            </w:pPr>
            <w:r>
              <w:rPr>
                <w:sz w:val="19"/>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357" w:hRule="atLeast"/>
          <w:jc w:val="center"/>
        </w:trPr>
        <w:tc>
          <w:tcPr>
            <w:tcW w:w="357" w:type="pct"/>
            <w:tcBorders>
              <w:tl2br w:val="nil"/>
              <w:tr2bl w:val="nil"/>
            </w:tcBorders>
            <w:shd w:val="clear" w:color="auto" w:fill="FFFFFF" w:themeFill="background1"/>
          </w:tcPr>
          <w:p>
            <w:pPr>
              <w:pStyle w:val="21"/>
              <w:rPr>
                <w:rFonts w:ascii="Times New Roman"/>
                <w:sz w:val="18"/>
              </w:rPr>
            </w:pPr>
          </w:p>
        </w:tc>
        <w:tc>
          <w:tcPr>
            <w:tcW w:w="2031"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768" w:type="pct"/>
            <w:tcBorders>
              <w:tl2br w:val="nil"/>
              <w:tr2bl w:val="nil"/>
            </w:tcBorders>
            <w:shd w:val="clear" w:color="auto" w:fill="FFFFFF" w:themeFill="background1"/>
          </w:tcPr>
          <w:p>
            <w:pPr>
              <w:pStyle w:val="21"/>
              <w:rPr>
                <w:rFonts w:ascii="Times New Roman"/>
                <w:sz w:val="18"/>
              </w:rPr>
            </w:pPr>
          </w:p>
        </w:tc>
        <w:tc>
          <w:tcPr>
            <w:tcW w:w="768" w:type="pct"/>
            <w:tcBorders>
              <w:tl2br w:val="nil"/>
              <w:tr2bl w:val="nil"/>
            </w:tcBorders>
            <w:shd w:val="clear" w:color="auto" w:fill="FFFFFF" w:themeFill="background1"/>
          </w:tcPr>
          <w:p>
            <w:pPr>
              <w:pStyle w:val="21"/>
              <w:rPr>
                <w:rFonts w:ascii="Times New Roman"/>
                <w:sz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357" w:hRule="atLeast"/>
          <w:jc w:val="center"/>
        </w:trPr>
        <w:tc>
          <w:tcPr>
            <w:tcW w:w="357" w:type="pct"/>
            <w:tcBorders>
              <w:tl2br w:val="nil"/>
              <w:tr2bl w:val="nil"/>
            </w:tcBorders>
            <w:shd w:val="clear" w:color="auto" w:fill="FFFFFF" w:themeFill="background1"/>
          </w:tcPr>
          <w:p>
            <w:pPr>
              <w:pStyle w:val="21"/>
              <w:rPr>
                <w:rFonts w:ascii="Times New Roman"/>
                <w:sz w:val="18"/>
              </w:rPr>
            </w:pPr>
          </w:p>
        </w:tc>
        <w:tc>
          <w:tcPr>
            <w:tcW w:w="2031"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768" w:type="pct"/>
            <w:tcBorders>
              <w:tl2br w:val="nil"/>
              <w:tr2bl w:val="nil"/>
            </w:tcBorders>
            <w:shd w:val="clear" w:color="auto" w:fill="FFFFFF" w:themeFill="background1"/>
          </w:tcPr>
          <w:p>
            <w:pPr>
              <w:pStyle w:val="21"/>
              <w:rPr>
                <w:rFonts w:ascii="Times New Roman"/>
                <w:sz w:val="18"/>
              </w:rPr>
            </w:pPr>
          </w:p>
        </w:tc>
        <w:tc>
          <w:tcPr>
            <w:tcW w:w="768" w:type="pct"/>
            <w:tcBorders>
              <w:tl2br w:val="nil"/>
              <w:tr2bl w:val="nil"/>
            </w:tcBorders>
            <w:shd w:val="clear" w:color="auto" w:fill="FFFFFF" w:themeFill="background1"/>
          </w:tcPr>
          <w:p>
            <w:pPr>
              <w:pStyle w:val="21"/>
              <w:rPr>
                <w:rFonts w:ascii="Times New Roman"/>
                <w:sz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357" w:hRule="atLeast"/>
          <w:jc w:val="center"/>
        </w:trPr>
        <w:tc>
          <w:tcPr>
            <w:tcW w:w="357" w:type="pct"/>
            <w:tcBorders>
              <w:tl2br w:val="nil"/>
              <w:tr2bl w:val="nil"/>
            </w:tcBorders>
            <w:shd w:val="clear" w:color="auto" w:fill="FFFFFF" w:themeFill="background1"/>
          </w:tcPr>
          <w:p>
            <w:pPr>
              <w:pStyle w:val="21"/>
              <w:rPr>
                <w:rFonts w:ascii="Times New Roman"/>
                <w:sz w:val="18"/>
              </w:rPr>
            </w:pPr>
          </w:p>
        </w:tc>
        <w:tc>
          <w:tcPr>
            <w:tcW w:w="2031"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768" w:type="pct"/>
            <w:tcBorders>
              <w:tl2br w:val="nil"/>
              <w:tr2bl w:val="nil"/>
            </w:tcBorders>
            <w:shd w:val="clear" w:color="auto" w:fill="FFFFFF" w:themeFill="background1"/>
          </w:tcPr>
          <w:p>
            <w:pPr>
              <w:pStyle w:val="21"/>
              <w:rPr>
                <w:rFonts w:ascii="Times New Roman"/>
                <w:sz w:val="18"/>
              </w:rPr>
            </w:pPr>
          </w:p>
        </w:tc>
        <w:tc>
          <w:tcPr>
            <w:tcW w:w="768" w:type="pct"/>
            <w:tcBorders>
              <w:tl2br w:val="nil"/>
              <w:tr2bl w:val="nil"/>
            </w:tcBorders>
            <w:shd w:val="clear" w:color="auto" w:fill="FFFFFF" w:themeFill="background1"/>
          </w:tcPr>
          <w:p>
            <w:pPr>
              <w:pStyle w:val="21"/>
              <w:rPr>
                <w:rFonts w:ascii="Times New Roman"/>
                <w:sz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357" w:hRule="atLeast"/>
          <w:jc w:val="center"/>
        </w:trPr>
        <w:tc>
          <w:tcPr>
            <w:tcW w:w="357" w:type="pct"/>
            <w:tcBorders>
              <w:tl2br w:val="nil"/>
              <w:tr2bl w:val="nil"/>
            </w:tcBorders>
            <w:shd w:val="clear" w:color="auto" w:fill="FFFFFF" w:themeFill="background1"/>
          </w:tcPr>
          <w:p>
            <w:pPr>
              <w:pStyle w:val="21"/>
              <w:rPr>
                <w:rFonts w:ascii="Times New Roman"/>
                <w:sz w:val="18"/>
              </w:rPr>
            </w:pPr>
          </w:p>
        </w:tc>
        <w:tc>
          <w:tcPr>
            <w:tcW w:w="2031"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768" w:type="pct"/>
            <w:tcBorders>
              <w:tl2br w:val="nil"/>
              <w:tr2bl w:val="nil"/>
            </w:tcBorders>
            <w:shd w:val="clear" w:color="auto" w:fill="FFFFFF" w:themeFill="background1"/>
          </w:tcPr>
          <w:p>
            <w:pPr>
              <w:pStyle w:val="21"/>
              <w:rPr>
                <w:rFonts w:ascii="Times New Roman"/>
                <w:sz w:val="18"/>
              </w:rPr>
            </w:pPr>
          </w:p>
        </w:tc>
        <w:tc>
          <w:tcPr>
            <w:tcW w:w="768" w:type="pct"/>
            <w:tcBorders>
              <w:tl2br w:val="nil"/>
              <w:tr2bl w:val="nil"/>
            </w:tcBorders>
            <w:shd w:val="clear" w:color="auto" w:fill="FFFFFF" w:themeFill="background1"/>
          </w:tcPr>
          <w:p>
            <w:pPr>
              <w:pStyle w:val="21"/>
              <w:rPr>
                <w:rFonts w:ascii="Times New Roman"/>
                <w:sz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357" w:hRule="atLeast"/>
          <w:jc w:val="center"/>
        </w:trPr>
        <w:tc>
          <w:tcPr>
            <w:tcW w:w="357" w:type="pct"/>
            <w:tcBorders>
              <w:tl2br w:val="nil"/>
              <w:tr2bl w:val="nil"/>
            </w:tcBorders>
            <w:shd w:val="clear" w:color="auto" w:fill="FFFFFF" w:themeFill="background1"/>
          </w:tcPr>
          <w:p>
            <w:pPr>
              <w:pStyle w:val="21"/>
              <w:rPr>
                <w:rFonts w:ascii="Times New Roman"/>
                <w:sz w:val="18"/>
              </w:rPr>
            </w:pPr>
          </w:p>
        </w:tc>
        <w:tc>
          <w:tcPr>
            <w:tcW w:w="2031"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357" w:type="pct"/>
            <w:tcBorders>
              <w:tl2br w:val="nil"/>
              <w:tr2bl w:val="nil"/>
            </w:tcBorders>
            <w:shd w:val="clear" w:color="auto" w:fill="FFFFFF" w:themeFill="background1"/>
          </w:tcPr>
          <w:p>
            <w:pPr>
              <w:pStyle w:val="21"/>
              <w:rPr>
                <w:rFonts w:ascii="Times New Roman"/>
                <w:sz w:val="18"/>
              </w:rPr>
            </w:pPr>
          </w:p>
        </w:tc>
        <w:tc>
          <w:tcPr>
            <w:tcW w:w="768" w:type="pct"/>
            <w:tcBorders>
              <w:tl2br w:val="nil"/>
              <w:tr2bl w:val="nil"/>
            </w:tcBorders>
            <w:shd w:val="clear" w:color="auto" w:fill="FFFFFF" w:themeFill="background1"/>
          </w:tcPr>
          <w:p>
            <w:pPr>
              <w:pStyle w:val="21"/>
              <w:rPr>
                <w:rFonts w:ascii="Times New Roman"/>
                <w:sz w:val="18"/>
              </w:rPr>
            </w:pPr>
          </w:p>
        </w:tc>
        <w:tc>
          <w:tcPr>
            <w:tcW w:w="768" w:type="pct"/>
            <w:tcBorders>
              <w:tl2br w:val="nil"/>
              <w:tr2bl w:val="nil"/>
            </w:tcBorders>
            <w:shd w:val="clear" w:color="auto" w:fill="FFFFFF" w:themeFill="background1"/>
          </w:tcPr>
          <w:p>
            <w:pPr>
              <w:pStyle w:val="21"/>
              <w:rPr>
                <w:rFonts w:ascii="Times New Roman"/>
                <w:sz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357" w:hRule="atLeast"/>
          <w:jc w:val="center"/>
        </w:trPr>
        <w:tc>
          <w:tcPr>
            <w:tcW w:w="4231" w:type="pct"/>
            <w:gridSpan w:val="6"/>
            <w:tcBorders>
              <w:tl2br w:val="nil"/>
              <w:tr2bl w:val="nil"/>
            </w:tcBorders>
            <w:shd w:val="clear" w:color="auto" w:fill="FFFFFF" w:themeFill="background1"/>
          </w:tcPr>
          <w:p>
            <w:pPr>
              <w:pStyle w:val="21"/>
              <w:spacing w:before="48"/>
              <w:ind w:left="-1" w:right="3290"/>
              <w:jc w:val="both"/>
              <w:rPr>
                <w:sz w:val="19"/>
              </w:rPr>
            </w:pPr>
            <w:r>
              <w:rPr>
                <w:sz w:val="19"/>
              </w:rPr>
              <w:t>合计：人民币大写：**元整</w:t>
            </w:r>
          </w:p>
        </w:tc>
        <w:tc>
          <w:tcPr>
            <w:tcW w:w="768" w:type="pct"/>
            <w:tcBorders>
              <w:tl2br w:val="nil"/>
              <w:tr2bl w:val="nil"/>
            </w:tcBorders>
            <w:shd w:val="clear" w:color="auto" w:fill="FFFFFF" w:themeFill="background1"/>
          </w:tcPr>
          <w:p>
            <w:pPr>
              <w:pStyle w:val="21"/>
              <w:spacing w:before="48"/>
              <w:ind w:left="302" w:right="287"/>
              <w:jc w:val="center"/>
              <w:rPr>
                <w:sz w:val="19"/>
              </w:rPr>
            </w:pPr>
            <w:r>
              <w:rPr>
                <w:sz w:val="19"/>
              </w:rPr>
              <w:t>￥：**</w:t>
            </w:r>
          </w:p>
        </w:tc>
      </w:tr>
    </w:tbl>
    <w:p>
      <w:pPr>
        <w:pStyle w:val="9"/>
        <w:ind w:left="0" w:firstLine="380" w:firstLineChars="200"/>
      </w:pPr>
    </w:p>
    <w:p>
      <w:r>
        <w:br w:type="page"/>
      </w:r>
    </w:p>
    <w:p>
      <w:pPr>
        <w:pStyle w:val="3"/>
        <w:spacing w:before="60"/>
        <w:ind w:left="9" w:hanging="9"/>
        <w:rPr>
          <w:sz w:val="44"/>
          <w:szCs w:val="44"/>
        </w:rPr>
      </w:pPr>
      <w:bookmarkStart w:id="3" w:name="_Toc21887"/>
      <w:r>
        <w:rPr>
          <w:rFonts w:hint="eastAsia"/>
          <w:sz w:val="44"/>
          <w:szCs w:val="44"/>
        </w:rPr>
        <w:t>第四章</w:t>
      </w:r>
      <w:r>
        <w:rPr>
          <w:rFonts w:hint="eastAsia"/>
          <w:sz w:val="44"/>
          <w:szCs w:val="44"/>
          <w:lang w:val="en-US"/>
        </w:rPr>
        <w:t xml:space="preserve">  </w:t>
      </w:r>
      <w:r>
        <w:rPr>
          <w:sz w:val="44"/>
          <w:szCs w:val="44"/>
        </w:rPr>
        <w:t>谈判内容与技术要求</w:t>
      </w:r>
      <w:bookmarkEnd w:id="3"/>
    </w:p>
    <w:p>
      <w:pPr>
        <w:pStyle w:val="2"/>
      </w:pPr>
    </w:p>
    <w:p>
      <w:pPr>
        <w:spacing w:before="36" w:line="360" w:lineRule="auto"/>
        <w:ind w:firstLine="23"/>
        <w:rPr>
          <w:sz w:val="24"/>
          <w:szCs w:val="24"/>
        </w:rPr>
      </w:pPr>
      <w:r>
        <w:rPr>
          <w:rFonts w:hint="eastAsia"/>
          <w:spacing w:val="3"/>
          <w:position w:val="16"/>
          <w:sz w:val="24"/>
          <w:szCs w:val="24"/>
        </w:rPr>
        <w:t>一</w:t>
      </w:r>
      <w:r>
        <w:rPr>
          <w:rFonts w:hint="eastAsia"/>
          <w:spacing w:val="-51"/>
          <w:position w:val="16"/>
          <w:sz w:val="24"/>
          <w:szCs w:val="24"/>
        </w:rPr>
        <w:t xml:space="preserve"> </w:t>
      </w:r>
      <w:r>
        <w:rPr>
          <w:rFonts w:hint="eastAsia"/>
          <w:b/>
          <w:bCs/>
          <w:spacing w:val="3"/>
          <w:position w:val="16"/>
          <w:sz w:val="24"/>
          <w:szCs w:val="24"/>
        </w:rPr>
        <w:t>.</w:t>
      </w:r>
      <w:r>
        <w:rPr>
          <w:rFonts w:hint="eastAsia"/>
          <w:spacing w:val="29"/>
          <w:position w:val="16"/>
          <w:sz w:val="24"/>
          <w:szCs w:val="24"/>
        </w:rPr>
        <w:t xml:space="preserve"> </w:t>
      </w:r>
      <w:r>
        <w:rPr>
          <w:rFonts w:hint="eastAsia"/>
          <w:spacing w:val="3"/>
          <w:position w:val="16"/>
          <w:sz w:val="24"/>
          <w:szCs w:val="24"/>
        </w:rPr>
        <w:t>项目概况</w:t>
      </w:r>
      <w:r>
        <w:rPr>
          <w:rFonts w:hint="eastAsia"/>
          <w:spacing w:val="-9"/>
          <w:position w:val="16"/>
          <w:sz w:val="24"/>
          <w:szCs w:val="24"/>
        </w:rPr>
        <w:t xml:space="preserve"> </w:t>
      </w:r>
      <w:r>
        <w:rPr>
          <w:rFonts w:hint="eastAsia"/>
          <w:spacing w:val="3"/>
          <w:position w:val="16"/>
          <w:sz w:val="24"/>
          <w:szCs w:val="24"/>
        </w:rPr>
        <w:t>：</w:t>
      </w:r>
    </w:p>
    <w:p>
      <w:pPr>
        <w:spacing w:before="170" w:line="360" w:lineRule="auto"/>
        <w:ind w:firstLine="27"/>
        <w:rPr>
          <w:sz w:val="24"/>
          <w:szCs w:val="24"/>
        </w:rPr>
      </w:pPr>
      <w:r>
        <w:rPr>
          <w:rFonts w:hint="eastAsia"/>
          <w:sz w:val="24"/>
          <w:szCs w:val="24"/>
        </w:rPr>
        <w:t>2022年呼伦贝尔市档案馆馆藏部分永久档案数字化项目（三次）</w:t>
      </w:r>
    </w:p>
    <w:p>
      <w:pPr>
        <w:spacing w:before="170" w:line="360" w:lineRule="auto"/>
        <w:ind w:firstLine="27"/>
        <w:rPr>
          <w:sz w:val="24"/>
          <w:szCs w:val="24"/>
        </w:rPr>
      </w:pPr>
      <w:r>
        <w:rPr>
          <w:rFonts w:hint="eastAsia"/>
          <w:sz w:val="24"/>
          <w:szCs w:val="24"/>
        </w:rPr>
        <w:t>合同包1（2022年呼伦贝尔市档案馆馆藏部分永久档案数字化项目（三次））</w:t>
      </w:r>
    </w:p>
    <w:p>
      <w:pPr>
        <w:spacing w:before="202" w:line="360" w:lineRule="auto"/>
        <w:ind w:firstLine="40"/>
        <w:outlineLvl w:val="3"/>
        <w:rPr>
          <w:sz w:val="24"/>
          <w:szCs w:val="24"/>
        </w:rPr>
      </w:pPr>
      <w:r>
        <w:rPr>
          <w:rFonts w:hint="eastAsia"/>
          <w:b/>
          <w:bCs/>
          <w:spacing w:val="5"/>
          <w:w w:val="102"/>
          <w:sz w:val="24"/>
          <w:szCs w:val="24"/>
        </w:rPr>
        <w:t>1</w:t>
      </w:r>
      <w:r>
        <w:rPr>
          <w:rFonts w:hint="eastAsia"/>
          <w:spacing w:val="-28"/>
          <w:sz w:val="24"/>
          <w:szCs w:val="24"/>
        </w:rPr>
        <w:t xml:space="preserve"> </w:t>
      </w:r>
      <w:r>
        <w:rPr>
          <w:rFonts w:hint="eastAsia"/>
          <w:b/>
          <w:bCs/>
          <w:spacing w:val="5"/>
          <w:w w:val="102"/>
          <w:sz w:val="24"/>
          <w:szCs w:val="24"/>
        </w:rPr>
        <w:t>.</w:t>
      </w:r>
      <w:r>
        <w:rPr>
          <w:rFonts w:hint="eastAsia"/>
          <w:spacing w:val="5"/>
          <w:w w:val="102"/>
          <w:sz w:val="24"/>
          <w:szCs w:val="24"/>
        </w:rPr>
        <w:t>主要商务要求</w:t>
      </w:r>
    </w:p>
    <w:tbl>
      <w:tblPr>
        <w:tblStyle w:val="23"/>
        <w:tblW w:w="50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0" w:type="dxa"/>
          <w:bottom w:w="0" w:type="dxa"/>
          <w:right w:w="0" w:type="dxa"/>
        </w:tblCellMar>
      </w:tblPr>
      <w:tblGrid>
        <w:gridCol w:w="2119"/>
        <w:gridCol w:w="6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66" w:hRule="atLeast"/>
        </w:trPr>
        <w:tc>
          <w:tcPr>
            <w:tcW w:w="1272" w:type="pct"/>
            <w:tcBorders>
              <w:tl2br w:val="nil"/>
              <w:tr2bl w:val="nil"/>
            </w:tcBorders>
            <w:shd w:val="clear" w:color="auto" w:fill="FFFFFF"/>
          </w:tcPr>
          <w:p>
            <w:pPr>
              <w:spacing w:before="77"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标的服务的时间</w:t>
            </w:r>
          </w:p>
        </w:tc>
        <w:tc>
          <w:tcPr>
            <w:tcW w:w="3727" w:type="pct"/>
            <w:tcBorders>
              <w:tl2br w:val="nil"/>
              <w:tr2bl w:val="nil"/>
            </w:tcBorders>
            <w:shd w:val="clear" w:color="auto" w:fill="FFFFFF"/>
          </w:tcPr>
          <w:p>
            <w:pPr>
              <w:spacing w:before="76" w:line="360" w:lineRule="auto"/>
              <w:ind w:firstLine="68"/>
              <w:rPr>
                <w:color w:val="000000" w:themeColor="text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合同签订后</w:t>
            </w:r>
            <w:r>
              <w:rPr>
                <w:rFonts w:hint="eastAsia"/>
                <w:color w:val="000000" w:themeColor="text1"/>
                <w:spacing w:val="1"/>
                <w:sz w:val="24"/>
                <w:szCs w:val="24"/>
                <w:lang w:val="en-US"/>
                <w14:textFill>
                  <w14:solidFill>
                    <w14:schemeClr w14:val="tx1"/>
                  </w14:solidFill>
                </w14:textFill>
              </w:rPr>
              <w:t>120个</w:t>
            </w:r>
            <w:r>
              <w:rPr>
                <w:rFonts w:hint="eastAsia"/>
                <w:color w:val="000000" w:themeColor="text1"/>
                <w:spacing w:val="1"/>
                <w:sz w:val="24"/>
                <w:szCs w:val="24"/>
                <w:lang w:val="en-US" w:eastAsia="zh-CN"/>
                <w14:textFill>
                  <w14:solidFill>
                    <w14:schemeClr w14:val="tx1"/>
                  </w14:solidFill>
                </w14:textFill>
              </w:rPr>
              <w:t>日历天</w:t>
            </w:r>
            <w:r>
              <w:rPr>
                <w:rFonts w:hint="eastAsia"/>
                <w:color w:val="000000" w:themeColor="text1"/>
                <w:spacing w:val="1"/>
                <w:sz w:val="24"/>
                <w:szCs w:val="24"/>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60" w:hRule="atLeast"/>
        </w:trPr>
        <w:tc>
          <w:tcPr>
            <w:tcW w:w="1272" w:type="pct"/>
            <w:tcBorders>
              <w:tl2br w:val="nil"/>
              <w:tr2bl w:val="nil"/>
            </w:tcBorders>
            <w:shd w:val="clear" w:color="auto" w:fill="FFFFFF"/>
          </w:tcPr>
          <w:p>
            <w:pPr>
              <w:spacing w:before="73"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标的服务的地点</w:t>
            </w:r>
          </w:p>
        </w:tc>
        <w:tc>
          <w:tcPr>
            <w:tcW w:w="3727" w:type="pct"/>
            <w:tcBorders>
              <w:tl2br w:val="nil"/>
              <w:tr2bl w:val="nil"/>
            </w:tcBorders>
            <w:shd w:val="clear" w:color="auto" w:fill="FFFFFF"/>
          </w:tcPr>
          <w:p>
            <w:pPr>
              <w:spacing w:before="73" w:line="360" w:lineRule="auto"/>
              <w:ind w:firstLine="7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呼伦贝尔市档案馆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360" w:hRule="atLeast"/>
        </w:trPr>
        <w:tc>
          <w:tcPr>
            <w:tcW w:w="1272" w:type="pct"/>
            <w:tcBorders>
              <w:tl2br w:val="nil"/>
              <w:tr2bl w:val="nil"/>
            </w:tcBorders>
            <w:shd w:val="clear" w:color="auto" w:fill="FFFFFF"/>
          </w:tcPr>
          <w:p>
            <w:pPr>
              <w:spacing w:before="75" w:line="360" w:lineRule="auto"/>
              <w:rPr>
                <w:color w:val="000000" w:themeColor="text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投标有效期</w:t>
            </w:r>
          </w:p>
        </w:tc>
        <w:tc>
          <w:tcPr>
            <w:tcW w:w="3727" w:type="pct"/>
            <w:tcBorders>
              <w:tl2br w:val="nil"/>
              <w:tr2bl w:val="nil"/>
            </w:tcBorders>
            <w:shd w:val="clear" w:color="auto" w:fill="FFFFFF"/>
          </w:tcPr>
          <w:p>
            <w:pPr>
              <w:spacing w:before="74" w:line="360" w:lineRule="auto"/>
              <w:ind w:firstLine="69"/>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从提交投标（响应）</w:t>
            </w:r>
            <w:r>
              <w:rPr>
                <w:rFonts w:hint="eastAsia"/>
                <w:color w:val="000000" w:themeColor="text1"/>
                <w:sz w:val="24"/>
                <w:szCs w:val="24"/>
                <w14:textFill>
                  <w14:solidFill>
                    <w14:schemeClr w14:val="tx1"/>
                  </w14:solidFill>
                </w14:textFill>
              </w:rPr>
              <w:t xml:space="preserve"> </w:t>
            </w:r>
            <w:r>
              <w:rPr>
                <w:rFonts w:hint="eastAsia"/>
                <w:color w:val="000000" w:themeColor="text1"/>
                <w:spacing w:val="-3"/>
                <w:sz w:val="24"/>
                <w:szCs w:val="24"/>
                <w14:textFill>
                  <w14:solidFill>
                    <w14:schemeClr w14:val="tx1"/>
                  </w14:solidFill>
                </w14:textFill>
              </w:rPr>
              <w:t>文件的截止之日起90日历天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21" w:hRule="atLeast"/>
        </w:trPr>
        <w:tc>
          <w:tcPr>
            <w:tcW w:w="1272" w:type="pct"/>
            <w:tcBorders>
              <w:tl2br w:val="nil"/>
              <w:tr2bl w:val="nil"/>
            </w:tcBorders>
            <w:shd w:val="clear" w:color="auto" w:fill="FFFFFF"/>
          </w:tcPr>
          <w:p>
            <w:pPr>
              <w:spacing w:before="257" w:line="360" w:lineRule="auto"/>
              <w:rPr>
                <w:color w:val="000000" w:themeColor="text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付款方式</w:t>
            </w:r>
          </w:p>
        </w:tc>
        <w:tc>
          <w:tcPr>
            <w:tcW w:w="3727" w:type="pct"/>
            <w:tcBorders>
              <w:tl2br w:val="nil"/>
              <w:tr2bl w:val="nil"/>
            </w:tcBorders>
            <w:shd w:val="clear" w:color="auto" w:fill="FFFFFF"/>
          </w:tcPr>
          <w:p>
            <w:pPr>
              <w:adjustRightInd w:val="0"/>
              <w:spacing w:line="360" w:lineRule="auto"/>
              <w:ind w:firstLine="230" w:firstLineChars="100"/>
              <w:rPr>
                <w:color w:val="000000" w:themeColor="text1"/>
                <w:spacing w:val="-5"/>
                <w:sz w:val="24"/>
                <w:szCs w:val="24"/>
                <w14:textFill>
                  <w14:solidFill>
                    <w14:schemeClr w14:val="tx1"/>
                  </w14:solidFill>
                </w14:textFill>
              </w:rPr>
            </w:pPr>
            <w:r>
              <w:rPr>
                <w:color w:val="000000" w:themeColor="text1"/>
                <w:spacing w:val="-5"/>
                <w:sz w:val="24"/>
                <w:szCs w:val="24"/>
                <w14:textFill>
                  <w14:solidFill>
                    <w14:schemeClr w14:val="tx1"/>
                  </w14:solidFill>
                </w14:textFill>
              </w:rPr>
              <w:t>1</w:t>
            </w:r>
            <w:r>
              <w:rPr>
                <w:rFonts w:hint="eastAsia"/>
                <w:color w:val="000000" w:themeColor="text1"/>
                <w:spacing w:val="-5"/>
                <w:sz w:val="24"/>
                <w:szCs w:val="24"/>
                <w14:textFill>
                  <w14:solidFill>
                    <w14:schemeClr w14:val="tx1"/>
                  </w14:solidFill>
                </w14:textFill>
              </w:rPr>
              <w:t>期：支付比例1</w:t>
            </w:r>
            <w:r>
              <w:rPr>
                <w:color w:val="000000" w:themeColor="text1"/>
                <w:spacing w:val="-5"/>
                <w:sz w:val="24"/>
                <w:szCs w:val="24"/>
                <w14:textFill>
                  <w14:solidFill>
                    <w14:schemeClr w14:val="tx1"/>
                  </w14:solidFill>
                </w14:textFill>
              </w:rPr>
              <w:t>0%</w:t>
            </w:r>
            <w:r>
              <w:rPr>
                <w:rFonts w:hint="eastAsia"/>
                <w:color w:val="000000" w:themeColor="text1"/>
                <w:spacing w:val="-5"/>
                <w:sz w:val="24"/>
                <w:szCs w:val="24"/>
                <w14:textFill>
                  <w14:solidFill>
                    <w14:schemeClr w14:val="tx1"/>
                  </w14:solidFill>
                </w14:textFill>
              </w:rPr>
              <w:t>，自合同签订起的</w:t>
            </w:r>
            <w:r>
              <w:rPr>
                <w:color w:val="000000" w:themeColor="text1"/>
                <w:spacing w:val="-5"/>
                <w:sz w:val="24"/>
                <w:szCs w:val="24"/>
                <w14:textFill>
                  <w14:solidFill>
                    <w14:schemeClr w14:val="tx1"/>
                  </w14:solidFill>
                </w14:textFill>
              </w:rPr>
              <w:t>5</w:t>
            </w:r>
            <w:r>
              <w:rPr>
                <w:rFonts w:hint="eastAsia"/>
                <w:color w:val="000000" w:themeColor="text1"/>
                <w:spacing w:val="-5"/>
                <w:sz w:val="24"/>
                <w:szCs w:val="24"/>
                <w14:textFill>
                  <w14:solidFill>
                    <w14:schemeClr w14:val="tx1"/>
                  </w14:solidFill>
                </w14:textFill>
              </w:rPr>
              <w:t>个工作日内支付。</w:t>
            </w:r>
          </w:p>
          <w:p>
            <w:pPr>
              <w:pStyle w:val="2"/>
              <w:rPr>
                <w:color w:val="000000" w:themeColor="text1"/>
                <w14:textFill>
                  <w14:solidFill>
                    <w14:schemeClr w14:val="tx1"/>
                  </w14:solidFill>
                </w14:textFill>
              </w:rPr>
            </w:pPr>
          </w:p>
          <w:p>
            <w:pPr>
              <w:adjustRightInd w:val="0"/>
              <w:spacing w:line="360" w:lineRule="auto"/>
              <w:ind w:firstLine="230" w:firstLineChars="100"/>
              <w:rPr>
                <w:color w:val="000000" w:themeColor="text1"/>
                <w:spacing w:val="-5"/>
                <w:sz w:val="24"/>
                <w:szCs w:val="24"/>
                <w14:textFill>
                  <w14:solidFill>
                    <w14:schemeClr w14:val="tx1"/>
                  </w14:solidFill>
                </w14:textFill>
              </w:rPr>
            </w:pPr>
            <w:r>
              <w:rPr>
                <w:color w:val="000000" w:themeColor="text1"/>
                <w:spacing w:val="-5"/>
                <w:sz w:val="24"/>
                <w:szCs w:val="24"/>
                <w14:textFill>
                  <w14:solidFill>
                    <w14:schemeClr w14:val="tx1"/>
                  </w14:solidFill>
                </w14:textFill>
              </w:rPr>
              <w:t>2</w:t>
            </w:r>
            <w:r>
              <w:rPr>
                <w:rFonts w:hint="eastAsia"/>
                <w:color w:val="000000" w:themeColor="text1"/>
                <w:spacing w:val="-5"/>
                <w:sz w:val="24"/>
                <w:szCs w:val="24"/>
                <w14:textFill>
                  <w14:solidFill>
                    <w14:schemeClr w14:val="tx1"/>
                  </w14:solidFill>
                </w14:textFill>
              </w:rPr>
              <w:t>期：支付比例4</w:t>
            </w:r>
            <w:r>
              <w:rPr>
                <w:color w:val="000000" w:themeColor="text1"/>
                <w:spacing w:val="-5"/>
                <w:sz w:val="24"/>
                <w:szCs w:val="24"/>
                <w14:textFill>
                  <w14:solidFill>
                    <w14:schemeClr w14:val="tx1"/>
                  </w14:solidFill>
                </w14:textFill>
              </w:rPr>
              <w:t>0%</w:t>
            </w:r>
            <w:r>
              <w:rPr>
                <w:rFonts w:hint="eastAsia"/>
                <w:color w:val="000000" w:themeColor="text1"/>
                <w:spacing w:val="-5"/>
                <w:sz w:val="24"/>
                <w:szCs w:val="24"/>
                <w14:textFill>
                  <w14:solidFill>
                    <w14:schemeClr w14:val="tx1"/>
                  </w14:solidFill>
                </w14:textFill>
              </w:rPr>
              <w:t>，扫描量达到总量的</w:t>
            </w:r>
            <w:r>
              <w:rPr>
                <w:color w:val="000000" w:themeColor="text1"/>
                <w:spacing w:val="-5"/>
                <w:sz w:val="24"/>
                <w:szCs w:val="24"/>
                <w14:textFill>
                  <w14:solidFill>
                    <w14:schemeClr w14:val="tx1"/>
                  </w14:solidFill>
                </w14:textFill>
              </w:rPr>
              <w:t>50%</w:t>
            </w:r>
            <w:r>
              <w:rPr>
                <w:rFonts w:hint="eastAsia"/>
                <w:color w:val="000000" w:themeColor="text1"/>
                <w:spacing w:val="-5"/>
                <w:sz w:val="24"/>
                <w:szCs w:val="24"/>
                <w14:textFill>
                  <w14:solidFill>
                    <w14:schemeClr w14:val="tx1"/>
                  </w14:solidFill>
                </w14:textFill>
              </w:rPr>
              <w:t>，经采购人验收后，在</w:t>
            </w:r>
            <w:r>
              <w:rPr>
                <w:color w:val="000000" w:themeColor="text1"/>
                <w:spacing w:val="-5"/>
                <w:sz w:val="24"/>
                <w:szCs w:val="24"/>
                <w14:textFill>
                  <w14:solidFill>
                    <w14:schemeClr w14:val="tx1"/>
                  </w14:solidFill>
                </w14:textFill>
              </w:rPr>
              <w:t>5</w:t>
            </w:r>
            <w:r>
              <w:rPr>
                <w:rFonts w:hint="eastAsia"/>
                <w:color w:val="000000" w:themeColor="text1"/>
                <w:spacing w:val="-5"/>
                <w:sz w:val="24"/>
                <w:szCs w:val="24"/>
                <w14:textFill>
                  <w14:solidFill>
                    <w14:schemeClr w14:val="tx1"/>
                  </w14:solidFill>
                </w14:textFill>
              </w:rPr>
              <w:t>个工作日内支付合同金额的4</w:t>
            </w:r>
            <w:r>
              <w:rPr>
                <w:color w:val="000000" w:themeColor="text1"/>
                <w:spacing w:val="-5"/>
                <w:sz w:val="24"/>
                <w:szCs w:val="24"/>
                <w14:textFill>
                  <w14:solidFill>
                    <w14:schemeClr w14:val="tx1"/>
                  </w14:solidFill>
                </w14:textFill>
              </w:rPr>
              <w:t>0%</w:t>
            </w:r>
            <w:r>
              <w:rPr>
                <w:rFonts w:hint="eastAsia"/>
                <w:color w:val="000000" w:themeColor="text1"/>
                <w:spacing w:val="-5"/>
                <w:sz w:val="24"/>
                <w:szCs w:val="24"/>
                <w14:textFill>
                  <w14:solidFill>
                    <w14:schemeClr w14:val="tx1"/>
                  </w14:solidFill>
                </w14:textFill>
              </w:rPr>
              <w:t>。</w:t>
            </w:r>
          </w:p>
          <w:p>
            <w:pPr>
              <w:pStyle w:val="2"/>
              <w:rPr>
                <w:color w:val="000000" w:themeColor="text1"/>
                <w14:textFill>
                  <w14:solidFill>
                    <w14:schemeClr w14:val="tx1"/>
                  </w14:solidFill>
                </w14:textFill>
              </w:rPr>
            </w:pPr>
          </w:p>
          <w:p>
            <w:pPr>
              <w:adjustRightInd w:val="0"/>
              <w:spacing w:line="360" w:lineRule="auto"/>
              <w:ind w:firstLine="230" w:firstLineChars="100"/>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3</w:t>
            </w:r>
            <w:r>
              <w:rPr>
                <w:rFonts w:hint="eastAsia"/>
                <w:color w:val="000000" w:themeColor="text1"/>
                <w:spacing w:val="-5"/>
                <w:sz w:val="24"/>
                <w:szCs w:val="24"/>
                <w14:textFill>
                  <w14:solidFill>
                    <w14:schemeClr w14:val="tx1"/>
                  </w14:solidFill>
                </w14:textFill>
              </w:rPr>
              <w:t>期：支付比例</w:t>
            </w:r>
            <w:r>
              <w:rPr>
                <w:color w:val="000000" w:themeColor="text1"/>
                <w:spacing w:val="-5"/>
                <w:sz w:val="24"/>
                <w:szCs w:val="24"/>
                <w14:textFill>
                  <w14:solidFill>
                    <w14:schemeClr w14:val="tx1"/>
                  </w14:solidFill>
                </w14:textFill>
              </w:rPr>
              <w:t>50%</w:t>
            </w:r>
            <w:r>
              <w:rPr>
                <w:rFonts w:hint="eastAsia"/>
                <w:color w:val="000000" w:themeColor="text1"/>
                <w:spacing w:val="-5"/>
                <w:sz w:val="24"/>
                <w:szCs w:val="24"/>
                <w14:textFill>
                  <w14:solidFill>
                    <w14:schemeClr w14:val="tx1"/>
                  </w14:solidFill>
                </w14:textFill>
              </w:rPr>
              <w:t>，项目整体</w:t>
            </w:r>
            <w:r>
              <w:rPr>
                <w:color w:val="000000" w:themeColor="text1"/>
                <w:spacing w:val="-5"/>
                <w:sz w:val="24"/>
                <w:szCs w:val="24"/>
                <w14:textFill>
                  <w14:solidFill>
                    <w14:schemeClr w14:val="tx1"/>
                  </w14:solidFill>
                </w14:textFill>
              </w:rPr>
              <w:t>100%</w:t>
            </w:r>
            <w:r>
              <w:rPr>
                <w:rFonts w:hint="eastAsia"/>
                <w:color w:val="000000" w:themeColor="text1"/>
                <w:spacing w:val="-5"/>
                <w:sz w:val="24"/>
                <w:szCs w:val="24"/>
                <w14:textFill>
                  <w14:solidFill>
                    <w14:schemeClr w14:val="tx1"/>
                  </w14:solidFill>
                </w14:textFill>
              </w:rPr>
              <w:t>完成后，经采购人进行最终验收。采购人验收合格后</w:t>
            </w:r>
            <w:r>
              <w:rPr>
                <w:rFonts w:hint="eastAsia"/>
                <w:color w:val="000000" w:themeColor="text1"/>
                <w:spacing w:val="-5"/>
                <w:sz w:val="24"/>
                <w:szCs w:val="24"/>
                <w:u w:val="single"/>
                <w14:textFill>
                  <w14:solidFill>
                    <w14:schemeClr w14:val="tx1"/>
                  </w14:solidFill>
                </w14:textFill>
              </w:rPr>
              <w:t>，中标人按照评审价开具合法的发票，</w:t>
            </w:r>
            <w:r>
              <w:rPr>
                <w:rFonts w:hint="eastAsia"/>
                <w:color w:val="000000" w:themeColor="text1"/>
                <w:spacing w:val="-5"/>
                <w:sz w:val="24"/>
                <w:szCs w:val="24"/>
                <w:highlight w:val="none"/>
                <w14:textFill>
                  <w14:solidFill>
                    <w14:schemeClr w14:val="tx1"/>
                  </w14:solidFill>
                </w14:textFill>
              </w:rPr>
              <w:t>保留项目总金额的1</w:t>
            </w:r>
            <w:r>
              <w:rPr>
                <w:color w:val="000000" w:themeColor="text1"/>
                <w:spacing w:val="-5"/>
                <w:sz w:val="24"/>
                <w:szCs w:val="24"/>
                <w:highlight w:val="none"/>
                <w14:textFill>
                  <w14:solidFill>
                    <w14:schemeClr w14:val="tx1"/>
                  </w14:solidFill>
                </w14:textFill>
              </w:rPr>
              <w:t>0</w:t>
            </w:r>
            <w:r>
              <w:rPr>
                <w:rFonts w:hint="eastAsia"/>
                <w:color w:val="000000" w:themeColor="text1"/>
                <w:spacing w:val="-5"/>
                <w:sz w:val="24"/>
                <w:szCs w:val="24"/>
                <w:highlight w:val="none"/>
                <w14:textFill>
                  <w14:solidFill>
                    <w14:schemeClr w14:val="tx1"/>
                  </w14:solidFill>
                </w14:textFill>
              </w:rPr>
              <w:t>%作为质保金（质保金从验收合格之日起满一年返还），采购方在</w:t>
            </w:r>
            <w:r>
              <w:rPr>
                <w:color w:val="000000" w:themeColor="text1"/>
                <w:spacing w:val="-5"/>
                <w:sz w:val="24"/>
                <w:szCs w:val="24"/>
                <w:highlight w:val="none"/>
                <w14:textFill>
                  <w14:solidFill>
                    <w14:schemeClr w14:val="tx1"/>
                  </w14:solidFill>
                </w14:textFill>
              </w:rPr>
              <w:t>5</w:t>
            </w:r>
            <w:r>
              <w:rPr>
                <w:rFonts w:hint="eastAsia"/>
                <w:color w:val="000000" w:themeColor="text1"/>
                <w:sz w:val="24"/>
                <w:szCs w:val="24"/>
                <w:highlight w:val="none"/>
                <w14:textFill>
                  <w14:solidFill>
                    <w14:schemeClr w14:val="tx1"/>
                  </w14:solidFill>
                </w14:textFill>
              </w:rPr>
              <w:t>个工作日内支付全部尾款，并返还中标额1</w:t>
            </w:r>
            <w:r>
              <w:rPr>
                <w:color w:val="000000" w:themeColor="text1"/>
                <w:sz w:val="24"/>
                <w:szCs w:val="24"/>
                <w:highlight w:val="none"/>
                <w14:textFill>
                  <w14:solidFill>
                    <w14:schemeClr w14:val="tx1"/>
                  </w14:solidFill>
                </w14:textFill>
              </w:rPr>
              <w:t>0</w:t>
            </w:r>
            <w:r>
              <w:rPr>
                <w:rFonts w:hint="eastAsia"/>
                <w:color w:val="000000" w:themeColor="text1"/>
                <w:sz w:val="24"/>
                <w:szCs w:val="24"/>
                <w:highlight w:val="none"/>
                <w14:textFill>
                  <w14:solidFill>
                    <w14:schemeClr w14:val="tx1"/>
                  </w14:solidFill>
                </w14:textFill>
              </w:rPr>
              <w:t>%的合同履约保证金。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60" w:hRule="atLeast"/>
        </w:trPr>
        <w:tc>
          <w:tcPr>
            <w:tcW w:w="1272" w:type="pct"/>
            <w:tcBorders>
              <w:tl2br w:val="nil"/>
              <w:tr2bl w:val="nil"/>
            </w:tcBorders>
            <w:shd w:val="clear" w:color="auto" w:fill="FFFFFF"/>
          </w:tcPr>
          <w:p>
            <w:pPr>
              <w:spacing w:before="79" w:line="360" w:lineRule="auto"/>
              <w:rPr>
                <w:color w:val="000000" w:themeColor="text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验收要求</w:t>
            </w:r>
          </w:p>
        </w:tc>
        <w:tc>
          <w:tcPr>
            <w:tcW w:w="3727" w:type="pct"/>
            <w:tcBorders>
              <w:tl2br w:val="nil"/>
              <w:tr2bl w:val="nil"/>
            </w:tcBorders>
            <w:shd w:val="clear" w:color="auto" w:fill="FFFFFF"/>
          </w:tcPr>
          <w:p>
            <w:pPr>
              <w:spacing w:before="78" w:line="360" w:lineRule="auto"/>
              <w:ind w:firstLine="81"/>
              <w:rPr>
                <w:color w:val="000000" w:themeColor="text1"/>
                <w:sz w:val="24"/>
                <w:szCs w:val="24"/>
                <w14:textFill>
                  <w14:solidFill>
                    <w14:schemeClr w14:val="tx1"/>
                  </w14:solidFill>
                </w14:textFill>
              </w:rPr>
            </w:pPr>
            <w:r>
              <w:rPr>
                <w:rFonts w:hint="eastAsia"/>
                <w:color w:val="000000" w:themeColor="text1"/>
                <w:spacing w:val="-7"/>
                <w:sz w:val="24"/>
                <w:szCs w:val="24"/>
                <w14:textFill>
                  <w14:solidFill>
                    <w14:schemeClr w14:val="tx1"/>
                  </w14:solidFill>
                </w14:textFill>
              </w:rPr>
              <w:t>根据相关指标内容进行验收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60" w:hRule="atLeast"/>
        </w:trPr>
        <w:tc>
          <w:tcPr>
            <w:tcW w:w="1272" w:type="pct"/>
            <w:tcBorders>
              <w:tl2br w:val="nil"/>
              <w:tr2bl w:val="nil"/>
            </w:tcBorders>
            <w:shd w:val="clear" w:color="auto" w:fill="FFFFFF"/>
          </w:tcPr>
          <w:p>
            <w:pPr>
              <w:spacing w:before="81" w:line="360" w:lineRule="auto"/>
              <w:rPr>
                <w:color w:val="000000" w:themeColor="text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履约保证金</w:t>
            </w:r>
          </w:p>
        </w:tc>
        <w:tc>
          <w:tcPr>
            <w:tcW w:w="3727" w:type="pct"/>
            <w:tcBorders>
              <w:tl2br w:val="nil"/>
              <w:tr2bl w:val="nil"/>
            </w:tcBorders>
            <w:shd w:val="clear" w:color="auto" w:fill="FFFFFF"/>
          </w:tcPr>
          <w:p>
            <w:pPr>
              <w:spacing w:before="81" w:line="360" w:lineRule="auto"/>
              <w:ind w:firstLine="70"/>
              <w:rPr>
                <w:color w:val="000000" w:themeColor="text1"/>
                <w:sz w:val="24"/>
                <w:szCs w:val="24"/>
                <w14:textFill>
                  <w14:solidFill>
                    <w14:schemeClr w14:val="tx1"/>
                  </w14:solidFill>
                </w14:textFill>
              </w:rPr>
            </w:pPr>
            <w:r>
              <w:rPr>
                <w:rFonts w:hint="eastAsia"/>
                <w:color w:val="000000" w:themeColor="text1"/>
                <w:sz w:val="24"/>
                <w:szCs w:val="24"/>
                <w:highlight w:val="none"/>
                <w14:textFill>
                  <w14:solidFill>
                    <w14:schemeClr w14:val="tx1"/>
                  </w14:solidFill>
                </w14:textFill>
              </w:rPr>
              <w:t>中标金额的1</w:t>
            </w:r>
            <w:r>
              <w:rPr>
                <w:color w:val="000000" w:themeColor="text1"/>
                <w:sz w:val="24"/>
                <w:szCs w:val="24"/>
                <w:highlight w:val="none"/>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1272" w:type="pct"/>
            <w:tcBorders>
              <w:tl2br w:val="nil"/>
              <w:tr2bl w:val="nil"/>
            </w:tcBorders>
            <w:shd w:val="clear" w:color="auto" w:fill="FFFFFF"/>
          </w:tcPr>
          <w:p>
            <w:pPr>
              <w:spacing w:before="83"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其它</w:t>
            </w:r>
          </w:p>
        </w:tc>
        <w:tc>
          <w:tcPr>
            <w:tcW w:w="3727" w:type="pct"/>
            <w:tcBorders>
              <w:tl2br w:val="nil"/>
              <w:tr2bl w:val="nil"/>
            </w:tcBorders>
            <w:shd w:val="clear" w:color="auto" w:fill="FFFFFF"/>
          </w:tcPr>
          <w:p>
            <w:pPr>
              <w:spacing w:line="360" w:lineRule="auto"/>
              <w:rPr>
                <w:color w:val="000000" w:themeColor="text1"/>
                <w:sz w:val="24"/>
                <w:szCs w:val="24"/>
                <w14:textFill>
                  <w14:solidFill>
                    <w14:schemeClr w14:val="tx1"/>
                  </w14:solidFill>
                </w14:textFill>
              </w:rPr>
            </w:pPr>
          </w:p>
        </w:tc>
      </w:tr>
    </w:tbl>
    <w:p>
      <w:pPr>
        <w:spacing w:line="360" w:lineRule="auto"/>
        <w:rPr>
          <w:sz w:val="21"/>
          <w:szCs w:val="21"/>
          <w:highlight w:val="red"/>
        </w:rPr>
      </w:pPr>
    </w:p>
    <w:p>
      <w:pPr>
        <w:pStyle w:val="24"/>
        <w:numPr>
          <w:ilvl w:val="1"/>
          <w:numId w:val="12"/>
        </w:numPr>
        <w:tabs>
          <w:tab w:val="left" w:pos="709"/>
        </w:tabs>
        <w:spacing w:line="360" w:lineRule="auto"/>
        <w:ind w:hanging="992" w:firstLineChars="0"/>
        <w:outlineLvl w:val="1"/>
        <w:rPr>
          <w:rFonts w:ascii="宋体" w:hAnsi="宋体" w:cs="宋体"/>
          <w:b/>
          <w:sz w:val="28"/>
          <w:szCs w:val="28"/>
        </w:rPr>
      </w:pPr>
      <w:r>
        <w:rPr>
          <w:rFonts w:hint="eastAsia" w:ascii="宋体" w:hAnsi="宋体" w:cs="宋体"/>
          <w:b/>
          <w:sz w:val="28"/>
          <w:szCs w:val="28"/>
        </w:rPr>
        <w:t>数字化需求</w:t>
      </w:r>
    </w:p>
    <w:p>
      <w:pPr>
        <w:pStyle w:val="24"/>
        <w:numPr>
          <w:ilvl w:val="2"/>
          <w:numId w:val="12"/>
        </w:numPr>
        <w:tabs>
          <w:tab w:val="left" w:pos="851"/>
          <w:tab w:val="left" w:pos="993"/>
        </w:tabs>
        <w:spacing w:line="360" w:lineRule="auto"/>
        <w:ind w:hanging="1418" w:firstLineChars="0"/>
        <w:outlineLvl w:val="2"/>
        <w:rPr>
          <w:rFonts w:ascii="宋体" w:hAnsi="宋体" w:cs="宋体"/>
          <w:b/>
          <w:sz w:val="28"/>
          <w:szCs w:val="28"/>
        </w:rPr>
      </w:pPr>
      <w:r>
        <w:rPr>
          <w:rFonts w:hint="eastAsia" w:ascii="宋体" w:hAnsi="宋体" w:cs="宋体"/>
          <w:b/>
          <w:sz w:val="28"/>
          <w:szCs w:val="28"/>
        </w:rPr>
        <w:t>项目概况</w:t>
      </w:r>
    </w:p>
    <w:p>
      <w:pPr>
        <w:spacing w:line="360" w:lineRule="auto"/>
        <w:ind w:left="416" w:leftChars="189" w:firstLine="560" w:firstLineChars="200"/>
        <w:rPr>
          <w:sz w:val="28"/>
        </w:rPr>
      </w:pPr>
      <w:r>
        <w:rPr>
          <w:rFonts w:hint="eastAsia"/>
          <w:sz w:val="28"/>
        </w:rPr>
        <w:t>本项目为呼伦贝尔市档案馆馆藏部分档案数字化项目，档案原貌为大部分为A4、B5幅面形式，少部分A3幅面，部分档案需要先进行平整、修复等工艺处理，在本次项目中，需要少部分电子目录著录的，另外需要对本项目涉及到的库存档案进行电子化扫描、图像处理、数字化档案OCR识别、全文数据质检并提供质检报告等服务。以下为具体要求：</w:t>
      </w:r>
    </w:p>
    <w:p>
      <w:pPr>
        <w:pStyle w:val="24"/>
        <w:numPr>
          <w:ilvl w:val="2"/>
          <w:numId w:val="12"/>
        </w:numPr>
        <w:tabs>
          <w:tab w:val="left" w:pos="851"/>
          <w:tab w:val="left" w:pos="993"/>
        </w:tabs>
        <w:spacing w:line="360" w:lineRule="auto"/>
        <w:ind w:hanging="1418" w:firstLineChars="0"/>
        <w:outlineLvl w:val="2"/>
        <w:rPr>
          <w:rFonts w:ascii="宋体" w:hAnsi="宋体" w:cs="宋体"/>
          <w:b/>
          <w:sz w:val="28"/>
          <w:szCs w:val="28"/>
        </w:rPr>
      </w:pPr>
      <w:r>
        <w:rPr>
          <w:rFonts w:hint="eastAsia" w:ascii="宋体" w:hAnsi="宋体" w:cs="宋体"/>
          <w:b/>
          <w:sz w:val="28"/>
          <w:szCs w:val="28"/>
        </w:rPr>
        <w:t>馆藏档案数字化加工内容、范围、数量</w:t>
      </w:r>
    </w:p>
    <w:p>
      <w:pPr>
        <w:pStyle w:val="22"/>
        <w:widowControl/>
        <w:spacing w:line="360" w:lineRule="auto"/>
        <w:ind w:left="440" w:firstLine="0"/>
        <w:rPr>
          <w:sz w:val="28"/>
        </w:rPr>
      </w:pPr>
      <w:r>
        <w:rPr>
          <w:rFonts w:hint="eastAsia"/>
          <w:sz w:val="28"/>
        </w:rPr>
        <w:t>1.馆藏档案数字化范围为建国后档案；</w:t>
      </w:r>
    </w:p>
    <w:p>
      <w:pPr>
        <w:pStyle w:val="22"/>
        <w:widowControl/>
        <w:spacing w:line="360" w:lineRule="auto"/>
        <w:ind w:left="440" w:firstLine="0"/>
        <w:rPr>
          <w:sz w:val="28"/>
        </w:rPr>
      </w:pPr>
      <w:r>
        <w:rPr>
          <w:rFonts w:hint="eastAsia"/>
          <w:sz w:val="28"/>
        </w:rPr>
        <w:t>2.馆藏档案数字化扫描数量</w:t>
      </w:r>
      <w:r>
        <w:rPr>
          <w:rFonts w:hint="eastAsia"/>
          <w:color w:val="FF0000"/>
          <w:sz w:val="28"/>
        </w:rPr>
        <w:t>最少为</w:t>
      </w:r>
      <w:r>
        <w:rPr>
          <w:color w:val="FF0000"/>
          <w:sz w:val="28"/>
        </w:rPr>
        <w:t>454000</w:t>
      </w:r>
      <w:r>
        <w:rPr>
          <w:rFonts w:hint="eastAsia"/>
          <w:color w:val="FF0000"/>
          <w:sz w:val="28"/>
        </w:rPr>
        <w:t>页，</w:t>
      </w:r>
      <w:r>
        <w:rPr>
          <w:rFonts w:hint="eastAsia"/>
          <w:color w:val="FF0000"/>
          <w:sz w:val="28"/>
          <w:lang w:eastAsia="zh-CN"/>
        </w:rPr>
        <w:t>无</w:t>
      </w:r>
      <w:r>
        <w:rPr>
          <w:rFonts w:hint="eastAsia"/>
          <w:color w:val="FF0000"/>
          <w:sz w:val="28"/>
        </w:rPr>
        <w:t>上限</w:t>
      </w:r>
      <w:r>
        <w:rPr>
          <w:rFonts w:hint="eastAsia"/>
          <w:sz w:val="28"/>
        </w:rPr>
        <w:t>；</w:t>
      </w:r>
    </w:p>
    <w:p>
      <w:pPr>
        <w:pStyle w:val="24"/>
        <w:numPr>
          <w:ilvl w:val="2"/>
          <w:numId w:val="12"/>
        </w:numPr>
        <w:tabs>
          <w:tab w:val="left" w:pos="851"/>
          <w:tab w:val="left" w:pos="993"/>
        </w:tabs>
        <w:spacing w:line="360" w:lineRule="auto"/>
        <w:ind w:hanging="1418" w:firstLineChars="0"/>
        <w:outlineLvl w:val="2"/>
        <w:rPr>
          <w:rFonts w:ascii="宋体" w:hAnsi="宋体" w:cs="宋体"/>
          <w:b/>
          <w:sz w:val="28"/>
          <w:szCs w:val="28"/>
        </w:rPr>
      </w:pPr>
      <w:r>
        <w:rPr>
          <w:rFonts w:hint="eastAsia" w:ascii="宋体" w:hAnsi="宋体" w:cs="宋体"/>
          <w:b/>
          <w:sz w:val="28"/>
          <w:szCs w:val="28"/>
        </w:rPr>
        <w:t>标准依据</w:t>
      </w:r>
    </w:p>
    <w:p>
      <w:pPr>
        <w:pStyle w:val="22"/>
        <w:numPr>
          <w:ilvl w:val="0"/>
          <w:numId w:val="13"/>
        </w:numPr>
        <w:spacing w:line="360" w:lineRule="auto"/>
        <w:rPr>
          <w:sz w:val="28"/>
        </w:rPr>
      </w:pPr>
      <w:r>
        <w:rPr>
          <w:rFonts w:hint="eastAsia"/>
          <w:sz w:val="28"/>
        </w:rPr>
        <w:t>DA/T 31-2017 《纸质档案数字化技术规范》；</w:t>
      </w:r>
    </w:p>
    <w:p>
      <w:pPr>
        <w:pStyle w:val="22"/>
        <w:numPr>
          <w:ilvl w:val="0"/>
          <w:numId w:val="13"/>
        </w:numPr>
        <w:spacing w:line="360" w:lineRule="auto"/>
        <w:rPr>
          <w:sz w:val="28"/>
        </w:rPr>
      </w:pPr>
      <w:r>
        <w:rPr>
          <w:rFonts w:hint="eastAsia"/>
          <w:sz w:val="28"/>
        </w:rPr>
        <w:t>DA/T18-1999 《档案著录规则》</w:t>
      </w:r>
      <w:bookmarkStart w:id="4" w:name="_Toc201932190"/>
      <w:bookmarkStart w:id="5" w:name="_Toc201932766"/>
      <w:r>
        <w:rPr>
          <w:rFonts w:hint="eastAsia"/>
          <w:sz w:val="28"/>
        </w:rPr>
        <w:t>；</w:t>
      </w:r>
    </w:p>
    <w:p>
      <w:pPr>
        <w:pStyle w:val="22"/>
        <w:numPr>
          <w:ilvl w:val="0"/>
          <w:numId w:val="13"/>
        </w:numPr>
        <w:spacing w:line="360" w:lineRule="auto"/>
        <w:rPr>
          <w:sz w:val="28"/>
        </w:rPr>
      </w:pPr>
      <w:r>
        <w:rPr>
          <w:rFonts w:hint="eastAsia"/>
          <w:sz w:val="28"/>
        </w:rPr>
        <w:t>GB/T 18894-2002 《电子文件归档与管理规范</w:t>
      </w:r>
      <w:bookmarkEnd w:id="4"/>
      <w:bookmarkEnd w:id="5"/>
      <w:r>
        <w:rPr>
          <w:rFonts w:hint="eastAsia"/>
          <w:sz w:val="28"/>
        </w:rPr>
        <w:t>》；</w:t>
      </w:r>
    </w:p>
    <w:p>
      <w:pPr>
        <w:pStyle w:val="22"/>
        <w:numPr>
          <w:ilvl w:val="0"/>
          <w:numId w:val="13"/>
        </w:numPr>
        <w:spacing w:line="360" w:lineRule="auto"/>
        <w:rPr>
          <w:sz w:val="28"/>
        </w:rPr>
      </w:pPr>
      <w:r>
        <w:rPr>
          <w:rFonts w:hint="eastAsia"/>
          <w:sz w:val="28"/>
        </w:rPr>
        <w:t>DA/T25—2000 《档案修裱技术规范》；</w:t>
      </w:r>
    </w:p>
    <w:p>
      <w:pPr>
        <w:pStyle w:val="22"/>
        <w:numPr>
          <w:ilvl w:val="0"/>
          <w:numId w:val="13"/>
        </w:numPr>
        <w:spacing w:line="360" w:lineRule="auto"/>
        <w:rPr>
          <w:sz w:val="28"/>
        </w:rPr>
      </w:pPr>
      <w:r>
        <w:rPr>
          <w:rFonts w:hint="eastAsia"/>
          <w:sz w:val="28"/>
        </w:rPr>
        <w:t>GB/T9705—2008《文书档案案卷格式》；</w:t>
      </w:r>
    </w:p>
    <w:p>
      <w:pPr>
        <w:pStyle w:val="22"/>
        <w:numPr>
          <w:ilvl w:val="0"/>
          <w:numId w:val="13"/>
        </w:numPr>
        <w:spacing w:line="360" w:lineRule="auto"/>
        <w:rPr>
          <w:sz w:val="28"/>
        </w:rPr>
      </w:pPr>
      <w:r>
        <w:rPr>
          <w:sz w:val="28"/>
        </w:rPr>
        <w:t xml:space="preserve">DAT 52-2014 </w:t>
      </w:r>
      <w:r>
        <w:rPr>
          <w:rFonts w:hint="eastAsia"/>
          <w:sz w:val="28"/>
        </w:rPr>
        <w:t>《</w:t>
      </w:r>
      <w:r>
        <w:rPr>
          <w:sz w:val="28"/>
        </w:rPr>
        <w:t>档案数字化光盘标识规范</w:t>
      </w:r>
      <w:r>
        <w:rPr>
          <w:rFonts w:hint="eastAsia"/>
          <w:sz w:val="28"/>
        </w:rPr>
        <w:t>》；</w:t>
      </w:r>
    </w:p>
    <w:p>
      <w:pPr>
        <w:pStyle w:val="22"/>
        <w:numPr>
          <w:ilvl w:val="0"/>
          <w:numId w:val="13"/>
        </w:numPr>
        <w:spacing w:line="360" w:lineRule="auto"/>
        <w:rPr>
          <w:sz w:val="28"/>
        </w:rPr>
      </w:pPr>
      <w:r>
        <w:rPr>
          <w:rFonts w:hint="eastAsia"/>
          <w:sz w:val="28"/>
        </w:rPr>
        <w:t>DA/T 22—2015 《归档文件整理规则》；</w:t>
      </w:r>
    </w:p>
    <w:p>
      <w:pPr>
        <w:pStyle w:val="22"/>
        <w:numPr>
          <w:ilvl w:val="0"/>
          <w:numId w:val="13"/>
        </w:numPr>
        <w:spacing w:line="360" w:lineRule="auto"/>
        <w:rPr>
          <w:sz w:val="28"/>
        </w:rPr>
      </w:pPr>
      <w:r>
        <w:rPr>
          <w:rFonts w:hint="eastAsia"/>
          <w:sz w:val="28"/>
        </w:rPr>
        <w:t>DAT 31-2017 《纸质档案数字化规范》；</w:t>
      </w:r>
    </w:p>
    <w:p>
      <w:pPr>
        <w:pStyle w:val="22"/>
        <w:numPr>
          <w:ilvl w:val="0"/>
          <w:numId w:val="13"/>
        </w:numPr>
        <w:spacing w:line="360" w:lineRule="auto"/>
        <w:rPr>
          <w:sz w:val="28"/>
        </w:rPr>
      </w:pPr>
      <w:r>
        <w:rPr>
          <w:rFonts w:hint="eastAsia"/>
          <w:sz w:val="28"/>
        </w:rPr>
        <w:t>DA_T 68.1-2020 《档案服务外包工作规范 第1部分：总则》；</w:t>
      </w:r>
    </w:p>
    <w:p>
      <w:pPr>
        <w:pStyle w:val="22"/>
        <w:numPr>
          <w:ilvl w:val="0"/>
          <w:numId w:val="13"/>
        </w:numPr>
        <w:spacing w:line="360" w:lineRule="auto"/>
        <w:rPr>
          <w:sz w:val="28"/>
        </w:rPr>
      </w:pPr>
      <w:r>
        <w:rPr>
          <w:rFonts w:hint="eastAsia"/>
          <w:sz w:val="28"/>
        </w:rPr>
        <w:t>DA_T 68.2-2020 《档案服务外包工作规范 第2部分：档案数字化服务》；</w:t>
      </w:r>
    </w:p>
    <w:p>
      <w:pPr>
        <w:pStyle w:val="22"/>
        <w:numPr>
          <w:ilvl w:val="0"/>
          <w:numId w:val="13"/>
        </w:numPr>
        <w:spacing w:line="360" w:lineRule="auto"/>
        <w:rPr>
          <w:sz w:val="28"/>
        </w:rPr>
      </w:pPr>
      <w:r>
        <w:rPr>
          <w:sz w:val="28"/>
        </w:rPr>
        <w:t>国家档案局档办发〔2014〕7 号《档案数字化外包安全管理规范》</w:t>
      </w:r>
      <w:r>
        <w:rPr>
          <w:rFonts w:hint="eastAsia"/>
          <w:sz w:val="28"/>
        </w:rPr>
        <w:t>。</w:t>
      </w:r>
    </w:p>
    <w:p>
      <w:pPr>
        <w:pStyle w:val="5"/>
        <w:numPr>
          <w:ilvl w:val="0"/>
          <w:numId w:val="14"/>
        </w:numPr>
        <w:adjustRightInd w:val="0"/>
        <w:spacing w:line="360" w:lineRule="auto"/>
        <w:textAlignment w:val="baseline"/>
        <w:rPr>
          <w:bCs w:val="0"/>
          <w:sz w:val="28"/>
          <w:szCs w:val="28"/>
          <w:lang w:bidi="ar-SA"/>
        </w:rPr>
      </w:pPr>
      <w:bookmarkStart w:id="6" w:name="A02：著录要求"/>
      <w:r>
        <w:rPr>
          <w:rFonts w:hint="eastAsia"/>
          <w:bCs w:val="0"/>
          <w:sz w:val="28"/>
          <w:szCs w:val="28"/>
          <w:lang w:bidi="ar-SA"/>
        </w:rPr>
        <w:t>目录数据录入</w:t>
      </w:r>
      <w:bookmarkEnd w:id="6"/>
    </w:p>
    <w:p>
      <w:pPr>
        <w:spacing w:line="360" w:lineRule="auto"/>
        <w:ind w:left="455" w:leftChars="207" w:firstLine="624" w:firstLineChars="223"/>
        <w:rPr>
          <w:sz w:val="28"/>
        </w:rPr>
      </w:pPr>
      <w:r>
        <w:rPr>
          <w:rFonts w:hint="eastAsia"/>
          <w:sz w:val="28"/>
        </w:rPr>
        <w:t>档案目录需按照类型以不同字段进行录入，主要包括年度，全宗号、全宗名称、保管期限、责任者、档号、件号、页号、文件题名、文件编号、文件页数、备注等类型。</w:t>
      </w:r>
    </w:p>
    <w:p>
      <w:pPr>
        <w:pStyle w:val="5"/>
        <w:numPr>
          <w:ilvl w:val="0"/>
          <w:numId w:val="14"/>
        </w:numPr>
        <w:adjustRightInd w:val="0"/>
        <w:spacing w:line="360" w:lineRule="auto"/>
        <w:textAlignment w:val="baseline"/>
        <w:rPr>
          <w:bCs w:val="0"/>
          <w:sz w:val="28"/>
          <w:szCs w:val="28"/>
          <w:lang w:bidi="ar-SA"/>
        </w:rPr>
      </w:pPr>
      <w:r>
        <w:rPr>
          <w:rFonts w:hint="eastAsia"/>
          <w:bCs w:val="0"/>
          <w:sz w:val="28"/>
          <w:szCs w:val="28"/>
          <w:lang w:bidi="ar-SA"/>
        </w:rPr>
        <w:t>影像扫描</w:t>
      </w:r>
    </w:p>
    <w:p>
      <w:pPr>
        <w:spacing w:line="360" w:lineRule="auto"/>
        <w:ind w:left="667" w:leftChars="303"/>
        <w:rPr>
          <w:sz w:val="28"/>
        </w:rPr>
      </w:pPr>
      <w:r>
        <w:rPr>
          <w:rFonts w:hint="eastAsia"/>
          <w:sz w:val="28"/>
        </w:rPr>
        <w:t>1.工作量</w:t>
      </w:r>
    </w:p>
    <w:p>
      <w:pPr>
        <w:spacing w:line="360" w:lineRule="auto"/>
        <w:ind w:left="574" w:leftChars="261" w:firstLine="560" w:firstLineChars="200"/>
        <w:rPr>
          <w:sz w:val="28"/>
        </w:rPr>
      </w:pPr>
      <w:r>
        <w:rPr>
          <w:rFonts w:hint="eastAsia"/>
          <w:sz w:val="28"/>
        </w:rPr>
        <w:t>本次招标的数量最少为4</w:t>
      </w:r>
      <w:r>
        <w:rPr>
          <w:sz w:val="28"/>
        </w:rPr>
        <w:t>54000</w:t>
      </w:r>
      <w:r>
        <w:rPr>
          <w:rFonts w:hint="eastAsia"/>
          <w:color w:val="FF0000"/>
          <w:sz w:val="28"/>
        </w:rPr>
        <w:t>页，最多页数</w:t>
      </w:r>
      <w:r>
        <w:rPr>
          <w:rFonts w:hint="eastAsia"/>
          <w:color w:val="FF0000"/>
          <w:sz w:val="28"/>
          <w:lang w:eastAsia="zh-CN"/>
        </w:rPr>
        <w:t>无</w:t>
      </w:r>
      <w:r>
        <w:rPr>
          <w:rFonts w:hint="eastAsia"/>
          <w:color w:val="FF0000"/>
          <w:sz w:val="28"/>
        </w:rPr>
        <w:t>上限</w:t>
      </w:r>
      <w:r>
        <w:rPr>
          <w:rFonts w:hint="eastAsia"/>
          <w:sz w:val="28"/>
        </w:rPr>
        <w:t>，</w:t>
      </w:r>
      <w:bookmarkStart w:id="7" w:name="A05：全部彩色扫描"/>
      <w:r>
        <w:rPr>
          <w:rFonts w:hint="eastAsia"/>
          <w:sz w:val="28"/>
        </w:rPr>
        <w:t>要求提交成品为真彩24位JPG</w:t>
      </w:r>
      <w:bookmarkEnd w:id="7"/>
      <w:r>
        <w:rPr>
          <w:rFonts w:hint="eastAsia"/>
          <w:sz w:val="28"/>
        </w:rPr>
        <w:t>、双层PDF二种格式，JPG为</w:t>
      </w:r>
      <w:r>
        <w:rPr>
          <w:rStyle w:val="25"/>
          <w:rFonts w:hint="eastAsia" w:cs="宋体"/>
          <w:sz w:val="28"/>
        </w:rPr>
        <w:t>存储件</w:t>
      </w:r>
      <w:r>
        <w:rPr>
          <w:rFonts w:hint="eastAsia"/>
          <w:sz w:val="28"/>
        </w:rPr>
        <w:t>，双层PDF档案管理查询件</w:t>
      </w:r>
      <w:r>
        <w:rPr>
          <w:rStyle w:val="25"/>
          <w:rFonts w:hint="eastAsia" w:cs="宋体"/>
          <w:sz w:val="28"/>
        </w:rPr>
        <w:t>利用件</w:t>
      </w:r>
      <w:r>
        <w:rPr>
          <w:rFonts w:hint="eastAsia"/>
          <w:sz w:val="28"/>
        </w:rPr>
        <w:t>，实际工作量有可能增加。</w:t>
      </w:r>
    </w:p>
    <w:p>
      <w:pPr>
        <w:spacing w:line="360" w:lineRule="auto"/>
        <w:ind w:firstLine="638" w:firstLineChars="228"/>
        <w:rPr>
          <w:sz w:val="28"/>
        </w:rPr>
      </w:pPr>
      <w:bookmarkStart w:id="8" w:name="_Toc296432346"/>
      <w:bookmarkStart w:id="9" w:name="_Toc296431625"/>
      <w:bookmarkStart w:id="10" w:name="_Toc296437212"/>
      <w:bookmarkStart w:id="11" w:name="_Toc296522312"/>
      <w:bookmarkStart w:id="12" w:name="_Toc296437118"/>
      <w:r>
        <w:rPr>
          <w:rFonts w:hint="eastAsia"/>
          <w:sz w:val="28"/>
        </w:rPr>
        <w:t>2.数据格式与存储要求</w:t>
      </w:r>
      <w:bookmarkEnd w:id="8"/>
      <w:bookmarkEnd w:id="9"/>
      <w:bookmarkEnd w:id="10"/>
      <w:bookmarkEnd w:id="11"/>
      <w:bookmarkEnd w:id="12"/>
    </w:p>
    <w:p>
      <w:pPr>
        <w:numPr>
          <w:ilvl w:val="0"/>
          <w:numId w:val="15"/>
        </w:numPr>
        <w:spacing w:line="360" w:lineRule="auto"/>
        <w:ind w:hanging="20"/>
        <w:rPr>
          <w:sz w:val="28"/>
        </w:rPr>
      </w:pPr>
      <w:r>
        <w:rPr>
          <w:rFonts w:hint="eastAsia"/>
          <w:sz w:val="28"/>
        </w:rPr>
        <w:t>满足国家档案行业标准《纸质档案数字化技术规范》（DA/T31-2017）。</w:t>
      </w:r>
    </w:p>
    <w:p>
      <w:pPr>
        <w:numPr>
          <w:ilvl w:val="0"/>
          <w:numId w:val="15"/>
        </w:numPr>
        <w:spacing w:line="360" w:lineRule="auto"/>
        <w:ind w:hanging="20"/>
        <w:rPr>
          <w:sz w:val="28"/>
        </w:rPr>
      </w:pPr>
      <w:r>
        <w:rPr>
          <w:rFonts w:hint="eastAsia"/>
          <w:bCs/>
          <w:sz w:val="28"/>
        </w:rPr>
        <w:t>投标方</w:t>
      </w:r>
      <w:r>
        <w:rPr>
          <w:rFonts w:hint="eastAsia"/>
          <w:sz w:val="28"/>
        </w:rPr>
        <w:t>提交的加工成果是与呼伦贝尔市档案馆目前使用的档案管理系统完全一一正确对应的机读目录成品库和全文文件成品库。</w:t>
      </w:r>
    </w:p>
    <w:p>
      <w:pPr>
        <w:numPr>
          <w:ilvl w:val="0"/>
          <w:numId w:val="15"/>
        </w:numPr>
        <w:spacing w:line="360" w:lineRule="auto"/>
        <w:ind w:hanging="20"/>
        <w:rPr>
          <w:rStyle w:val="25"/>
          <w:rFonts w:cs="宋体"/>
          <w:sz w:val="28"/>
        </w:rPr>
      </w:pPr>
      <w:r>
        <w:rPr>
          <w:rFonts w:hint="eastAsia"/>
          <w:bCs/>
          <w:sz w:val="28"/>
        </w:rPr>
        <w:t>投标方</w:t>
      </w:r>
      <w:r>
        <w:rPr>
          <w:rStyle w:val="25"/>
          <w:rFonts w:hint="eastAsia" w:cs="宋体"/>
          <w:sz w:val="28"/>
        </w:rPr>
        <w:t>需提交存储级和利用级两套全文成品数据，数据必须达到以下所述质量控制技术指标：</w:t>
      </w:r>
    </w:p>
    <w:p>
      <w:pPr>
        <w:numPr>
          <w:ilvl w:val="0"/>
          <w:numId w:val="16"/>
        </w:numPr>
        <w:tabs>
          <w:tab w:val="left" w:pos="840"/>
        </w:tabs>
        <w:spacing w:line="360" w:lineRule="auto"/>
        <w:rPr>
          <w:rStyle w:val="25"/>
          <w:rFonts w:cs="宋体"/>
          <w:sz w:val="28"/>
        </w:rPr>
      </w:pPr>
      <w:r>
        <w:rPr>
          <w:rStyle w:val="25"/>
          <w:rFonts w:hint="eastAsia" w:cs="宋体"/>
          <w:sz w:val="28"/>
        </w:rPr>
        <w:t>存储级：采用300dpi分辨率扫描，存储格式为</w:t>
      </w:r>
      <w:r>
        <w:rPr>
          <w:rFonts w:hint="eastAsia"/>
          <w:sz w:val="28"/>
        </w:rPr>
        <w:t>真彩24位</w:t>
      </w:r>
      <w:r>
        <w:rPr>
          <w:rStyle w:val="25"/>
          <w:rFonts w:hint="eastAsia" w:cs="宋体"/>
          <w:sz w:val="28"/>
        </w:rPr>
        <w:t>JPG。并</w:t>
      </w:r>
      <w:r>
        <w:rPr>
          <w:rFonts w:hint="eastAsia"/>
          <w:sz w:val="28"/>
        </w:rPr>
        <w:t>提供档案级光盘介质1套。</w:t>
      </w:r>
    </w:p>
    <w:p>
      <w:pPr>
        <w:numPr>
          <w:ilvl w:val="0"/>
          <w:numId w:val="16"/>
        </w:numPr>
        <w:tabs>
          <w:tab w:val="left" w:pos="840"/>
        </w:tabs>
        <w:spacing w:line="360" w:lineRule="auto"/>
        <w:rPr>
          <w:sz w:val="28"/>
        </w:rPr>
      </w:pPr>
      <w:r>
        <w:rPr>
          <w:rStyle w:val="25"/>
          <w:rFonts w:hint="eastAsia" w:cs="宋体"/>
          <w:sz w:val="28"/>
        </w:rPr>
        <w:t>利用级：采用300分辨率扫描，存储格式为</w:t>
      </w:r>
      <w:r>
        <w:rPr>
          <w:rFonts w:hint="eastAsia"/>
          <w:sz w:val="28"/>
        </w:rPr>
        <w:t>真彩24位双层PDF</w:t>
      </w:r>
      <w:r>
        <w:rPr>
          <w:rStyle w:val="25"/>
          <w:rFonts w:hint="eastAsia" w:cs="宋体"/>
          <w:sz w:val="28"/>
        </w:rPr>
        <w:t>。并</w:t>
      </w:r>
      <w:r>
        <w:rPr>
          <w:rFonts w:hint="eastAsia"/>
          <w:sz w:val="28"/>
        </w:rPr>
        <w:t>提供档案级光盘介质1套，且数据在采购人的相关服务器上上线运行。</w:t>
      </w:r>
    </w:p>
    <w:p>
      <w:pPr>
        <w:numPr>
          <w:ilvl w:val="0"/>
          <w:numId w:val="16"/>
        </w:numPr>
        <w:tabs>
          <w:tab w:val="left" w:pos="840"/>
        </w:tabs>
        <w:spacing w:line="360" w:lineRule="auto"/>
        <w:rPr>
          <w:rStyle w:val="25"/>
          <w:rFonts w:cs="宋体"/>
          <w:sz w:val="28"/>
        </w:rPr>
      </w:pPr>
      <w:r>
        <w:rPr>
          <w:rFonts w:hint="eastAsia"/>
          <w:sz w:val="28"/>
        </w:rPr>
        <w:t>离线备份光盘介质要求采用单片盒装档案级专用光盘。</w:t>
      </w:r>
    </w:p>
    <w:p>
      <w:pPr>
        <w:pStyle w:val="5"/>
        <w:numPr>
          <w:ilvl w:val="0"/>
          <w:numId w:val="14"/>
        </w:numPr>
        <w:adjustRightInd w:val="0"/>
        <w:spacing w:line="360" w:lineRule="auto"/>
        <w:textAlignment w:val="baseline"/>
        <w:rPr>
          <w:bCs w:val="0"/>
          <w:sz w:val="28"/>
          <w:szCs w:val="28"/>
          <w:lang w:bidi="ar-SA"/>
        </w:rPr>
      </w:pPr>
      <w:r>
        <w:rPr>
          <w:rFonts w:hint="eastAsia"/>
          <w:bCs w:val="0"/>
          <w:sz w:val="28"/>
          <w:szCs w:val="28"/>
          <w:lang w:bidi="ar-SA"/>
        </w:rPr>
        <w:t>扫描过程要求</w:t>
      </w:r>
    </w:p>
    <w:p>
      <w:pPr>
        <w:numPr>
          <w:ilvl w:val="0"/>
          <w:numId w:val="17"/>
        </w:numPr>
        <w:spacing w:line="360" w:lineRule="auto"/>
        <w:ind w:left="856" w:leftChars="299" w:hanging="198" w:hangingChars="71"/>
        <w:rPr>
          <w:sz w:val="28"/>
        </w:rPr>
      </w:pPr>
      <w:r>
        <w:rPr>
          <w:rFonts w:hint="eastAsia"/>
          <w:sz w:val="28"/>
        </w:rPr>
        <w:t>扫描时应根据纸质档案的材质选择相应的扫描设备，由于馆藏部分档案纸质较薄、较脆的必须采用平板扫描方式。保证档案不受损伤，禁止使用拍照方式；</w:t>
      </w:r>
    </w:p>
    <w:p>
      <w:pPr>
        <w:numPr>
          <w:ilvl w:val="0"/>
          <w:numId w:val="17"/>
        </w:numPr>
        <w:spacing w:line="360" w:lineRule="auto"/>
        <w:ind w:left="856" w:leftChars="299" w:hanging="198" w:hangingChars="71"/>
        <w:rPr>
          <w:sz w:val="28"/>
        </w:rPr>
      </w:pPr>
      <w:r>
        <w:rPr>
          <w:rFonts w:hint="eastAsia"/>
          <w:sz w:val="28"/>
        </w:rPr>
        <w:t>扫描时应认真登记扫描的页码和页数，并核对实际扫描页码、页数与前处理时填写的页码、页数是否一致，不一致时应注明具体原因和处理方法；</w:t>
      </w:r>
    </w:p>
    <w:p>
      <w:pPr>
        <w:numPr>
          <w:ilvl w:val="0"/>
          <w:numId w:val="17"/>
        </w:numPr>
        <w:spacing w:line="360" w:lineRule="auto"/>
        <w:ind w:left="856" w:leftChars="299" w:hanging="198" w:hangingChars="71"/>
        <w:rPr>
          <w:sz w:val="28"/>
        </w:rPr>
      </w:pPr>
      <w:r>
        <w:rPr>
          <w:rFonts w:hint="eastAsia"/>
          <w:sz w:val="28"/>
        </w:rPr>
        <w:t>对档案件、案卷中漏编的页面进行合页处理，确保扫描好的影像页数与原件、案卷页数一致。</w:t>
      </w:r>
    </w:p>
    <w:p>
      <w:pPr>
        <w:numPr>
          <w:ilvl w:val="0"/>
          <w:numId w:val="17"/>
        </w:numPr>
        <w:spacing w:line="360" w:lineRule="auto"/>
        <w:ind w:left="856" w:leftChars="299" w:hanging="198" w:hangingChars="71"/>
        <w:rPr>
          <w:sz w:val="28"/>
        </w:rPr>
      </w:pPr>
      <w:r>
        <w:rPr>
          <w:rFonts w:hint="eastAsia"/>
          <w:sz w:val="28"/>
        </w:rPr>
        <w:t>同页有两个以上文件，需分别扫描处理；</w:t>
      </w:r>
    </w:p>
    <w:p>
      <w:pPr>
        <w:numPr>
          <w:ilvl w:val="0"/>
          <w:numId w:val="17"/>
        </w:numPr>
        <w:spacing w:line="360" w:lineRule="auto"/>
        <w:ind w:left="856" w:leftChars="299" w:hanging="198" w:hangingChars="71"/>
        <w:rPr>
          <w:sz w:val="28"/>
        </w:rPr>
      </w:pPr>
      <w:r>
        <w:rPr>
          <w:rFonts w:hint="eastAsia"/>
          <w:sz w:val="28"/>
        </w:rPr>
        <w:t>扫描全部采用彩色扫描，以扫描后的图像清晰、完整，档案内容信息与档案原件一致为准，最大限度保持档案原貌；</w:t>
      </w:r>
    </w:p>
    <w:p>
      <w:pPr>
        <w:numPr>
          <w:ilvl w:val="0"/>
          <w:numId w:val="17"/>
        </w:numPr>
        <w:spacing w:line="360" w:lineRule="auto"/>
        <w:ind w:left="856" w:leftChars="299" w:hanging="198" w:hangingChars="71"/>
        <w:rPr>
          <w:sz w:val="28"/>
        </w:rPr>
      </w:pPr>
      <w:r>
        <w:rPr>
          <w:rFonts w:hint="eastAsia"/>
          <w:sz w:val="28"/>
        </w:rPr>
        <w:t xml:space="preserve"> 扫描参数如下：</w:t>
      </w:r>
    </w:p>
    <w:p>
      <w:pPr>
        <w:numPr>
          <w:ilvl w:val="0"/>
          <w:numId w:val="18"/>
        </w:numPr>
        <w:spacing w:line="360" w:lineRule="auto"/>
        <w:rPr>
          <w:sz w:val="28"/>
        </w:rPr>
      </w:pPr>
      <w:r>
        <w:rPr>
          <w:rFonts w:hint="eastAsia"/>
          <w:sz w:val="28"/>
        </w:rPr>
        <w:t>彩色扫描分辨率采用300dpi或以上；</w:t>
      </w:r>
    </w:p>
    <w:p>
      <w:pPr>
        <w:numPr>
          <w:ilvl w:val="0"/>
          <w:numId w:val="18"/>
        </w:numPr>
        <w:spacing w:line="360" w:lineRule="auto"/>
        <w:rPr>
          <w:sz w:val="28"/>
        </w:rPr>
      </w:pPr>
      <w:r>
        <w:rPr>
          <w:rFonts w:hint="eastAsia"/>
          <w:sz w:val="28"/>
        </w:rPr>
        <w:t>扫描时保证放纸端正、不压边、不漏扫、错扫、严格确保图像质量；</w:t>
      </w:r>
    </w:p>
    <w:p>
      <w:pPr>
        <w:numPr>
          <w:ilvl w:val="0"/>
          <w:numId w:val="18"/>
        </w:numPr>
        <w:spacing w:line="360" w:lineRule="auto"/>
        <w:rPr>
          <w:sz w:val="28"/>
        </w:rPr>
      </w:pPr>
      <w:r>
        <w:rPr>
          <w:rFonts w:hint="eastAsia"/>
          <w:sz w:val="28"/>
        </w:rPr>
        <w:t>扫描中漏扫、压边的要即时补全、修正。</w:t>
      </w:r>
    </w:p>
    <w:p>
      <w:pPr>
        <w:pStyle w:val="5"/>
        <w:numPr>
          <w:ilvl w:val="0"/>
          <w:numId w:val="14"/>
        </w:numPr>
        <w:adjustRightInd w:val="0"/>
        <w:spacing w:line="360" w:lineRule="auto"/>
        <w:textAlignment w:val="baseline"/>
        <w:rPr>
          <w:bCs w:val="0"/>
          <w:sz w:val="28"/>
          <w:szCs w:val="28"/>
          <w:lang w:bidi="ar-SA"/>
        </w:rPr>
      </w:pPr>
      <w:r>
        <w:rPr>
          <w:rFonts w:hint="eastAsia"/>
          <w:bCs w:val="0"/>
          <w:sz w:val="28"/>
          <w:szCs w:val="28"/>
          <w:lang w:bidi="ar-SA"/>
        </w:rPr>
        <w:t>图像处理要求</w:t>
      </w:r>
    </w:p>
    <w:p>
      <w:pPr>
        <w:numPr>
          <w:ilvl w:val="0"/>
          <w:numId w:val="19"/>
        </w:numPr>
        <w:spacing w:line="360" w:lineRule="auto"/>
        <w:ind w:left="1120" w:leftChars="299" w:hanging="462" w:hangingChars="165"/>
        <w:rPr>
          <w:sz w:val="28"/>
        </w:rPr>
      </w:pPr>
      <w:r>
        <w:rPr>
          <w:rFonts w:hint="eastAsia"/>
          <w:sz w:val="28"/>
        </w:rPr>
        <w:t>图像处理后保证图像信息与原档案内容完全一致，不删除页面任何有用信息，包括正文内容、页眉、页脚、手写注释和印鉴等。扫描的页面内容基本居中显示，不出现明显偏左或偏右现象。不准出现页面内容残缺或将其它页面信息扫入本页的现象；</w:t>
      </w:r>
    </w:p>
    <w:p>
      <w:pPr>
        <w:numPr>
          <w:ilvl w:val="0"/>
          <w:numId w:val="19"/>
        </w:numPr>
        <w:spacing w:line="360" w:lineRule="auto"/>
        <w:ind w:left="1120" w:leftChars="299" w:hanging="462" w:hangingChars="165"/>
        <w:rPr>
          <w:sz w:val="28"/>
        </w:rPr>
      </w:pPr>
      <w:r>
        <w:rPr>
          <w:rFonts w:hint="eastAsia"/>
          <w:sz w:val="28"/>
        </w:rPr>
        <w:t>每页影像左右端正度控制在0.5度以内，以达到视觉上基本不感觉偏斜为准。对方向不正确的图像进行旋转还原，以符合阅读习惯。不出现图像的一部分出现倾斜或扭曲而影响阅读的现象；</w:t>
      </w:r>
    </w:p>
    <w:p>
      <w:pPr>
        <w:numPr>
          <w:ilvl w:val="0"/>
          <w:numId w:val="19"/>
        </w:numPr>
        <w:spacing w:line="360" w:lineRule="auto"/>
        <w:ind w:left="1120" w:leftChars="299" w:hanging="462" w:hangingChars="165"/>
        <w:rPr>
          <w:sz w:val="28"/>
        </w:rPr>
      </w:pPr>
      <w:r>
        <w:rPr>
          <w:rFonts w:hint="eastAsia"/>
          <w:sz w:val="28"/>
        </w:rPr>
        <w:t>去污：在保证文件内容完整的前提下，影像页无扫描过程中带来的污斑，无黑边，外观达到清晰、平直、干净。对图像页面中出现的影响图像质量的杂质如黑点、黑线、黑框、黑边等进行去污处理。处理过程中应遵循在不影响可读性和可理解性的前提下展现档案原貌的原则，由于档案本身因陈旧、破损或不洁等造成页面上有污点的，如果在页面视图下无法看清，或该污点嵌在文本行中无法清除，可不予清除；</w:t>
      </w:r>
    </w:p>
    <w:p>
      <w:pPr>
        <w:numPr>
          <w:ilvl w:val="0"/>
          <w:numId w:val="19"/>
        </w:numPr>
        <w:spacing w:line="360" w:lineRule="auto"/>
        <w:ind w:left="1120" w:leftChars="299" w:hanging="462" w:hangingChars="165"/>
        <w:rPr>
          <w:sz w:val="28"/>
        </w:rPr>
      </w:pPr>
      <w:r>
        <w:rPr>
          <w:rFonts w:hint="eastAsia"/>
          <w:sz w:val="28"/>
        </w:rPr>
        <w:t>保证扫描图像字迹清晰、颜色恰当，不宜过浅或过深，不出现字迹笔画残缺或字迹笔画叠合而影响阅读的情况，档案原件存在斑迹变质、颜色过浅、过深或深浅不一致，保证档案原件能辨认的扫描图像也必须可以辨认。纸张太薄或字体颜色过浓，扫描时倒映反面文字或文字上的污点无法去污时，应保证正文文字可以看清楚；</w:t>
      </w:r>
    </w:p>
    <w:p>
      <w:pPr>
        <w:numPr>
          <w:ilvl w:val="0"/>
          <w:numId w:val="19"/>
        </w:numPr>
        <w:spacing w:line="360" w:lineRule="auto"/>
        <w:ind w:left="1120" w:leftChars="299" w:hanging="462" w:hangingChars="165"/>
        <w:rPr>
          <w:sz w:val="28"/>
        </w:rPr>
      </w:pPr>
      <w:r>
        <w:rPr>
          <w:rFonts w:hint="eastAsia"/>
          <w:sz w:val="28"/>
        </w:rPr>
        <w:t>部分档案如有必要需进行图像高清处理已达到图像清晰可见。</w:t>
      </w:r>
    </w:p>
    <w:p>
      <w:pPr>
        <w:pStyle w:val="5"/>
        <w:numPr>
          <w:ilvl w:val="0"/>
          <w:numId w:val="14"/>
        </w:numPr>
        <w:adjustRightInd w:val="0"/>
        <w:spacing w:line="360" w:lineRule="auto"/>
        <w:textAlignment w:val="baseline"/>
        <w:rPr>
          <w:bCs w:val="0"/>
          <w:sz w:val="28"/>
          <w:szCs w:val="28"/>
          <w:lang w:bidi="ar-SA"/>
        </w:rPr>
      </w:pPr>
      <w:bookmarkStart w:id="13" w:name="_Toc296432347"/>
      <w:bookmarkStart w:id="14" w:name="_Toc296431626"/>
      <w:bookmarkStart w:id="15" w:name="_Toc296522313"/>
      <w:bookmarkStart w:id="16" w:name="_Toc296437119"/>
      <w:bookmarkStart w:id="17" w:name="_Toc296437213"/>
      <w:r>
        <w:rPr>
          <w:rFonts w:hint="eastAsia"/>
          <w:bCs w:val="0"/>
          <w:sz w:val="28"/>
          <w:szCs w:val="28"/>
          <w:lang w:bidi="ar-SA"/>
        </w:rPr>
        <w:t>数字化拆档、打码、装订、还档</w:t>
      </w:r>
    </w:p>
    <w:p>
      <w:pPr>
        <w:widowControl/>
        <w:shd w:val="clear" w:color="auto" w:fill="FFFFFF"/>
        <w:autoSpaceDE/>
        <w:autoSpaceDN/>
        <w:spacing w:before="336" w:after="336"/>
        <w:ind w:firstLine="560" w:firstLineChars="200"/>
        <w:rPr>
          <w:sz w:val="28"/>
        </w:rPr>
      </w:pPr>
      <w:r>
        <w:rPr>
          <w:rFonts w:hint="eastAsia"/>
          <w:sz w:val="28"/>
        </w:rPr>
        <w:t>1</w:t>
      </w:r>
      <w:r>
        <w:rPr>
          <w:sz w:val="28"/>
        </w:rPr>
        <w:t>.</w:t>
      </w:r>
      <w:r>
        <w:rPr>
          <w:rFonts w:hint="eastAsia"/>
          <w:sz w:val="28"/>
        </w:rPr>
        <w:t>领取</w:t>
      </w:r>
    </w:p>
    <w:p>
      <w:pPr>
        <w:widowControl/>
        <w:shd w:val="clear" w:color="auto" w:fill="FFFFFF"/>
        <w:autoSpaceDE/>
        <w:autoSpaceDN/>
        <w:spacing w:before="336" w:after="336"/>
        <w:ind w:firstLine="560" w:firstLineChars="200"/>
        <w:rPr>
          <w:sz w:val="28"/>
        </w:rPr>
      </w:pPr>
      <w:r>
        <w:rPr>
          <w:rFonts w:hint="eastAsia"/>
          <w:sz w:val="28"/>
        </w:rPr>
        <w:t>工序说明：将需要数字化加工的档案领至加工场地并在档案交接记录表上签字确认。</w:t>
      </w:r>
    </w:p>
    <w:p>
      <w:pPr>
        <w:widowControl/>
        <w:shd w:val="clear" w:color="auto" w:fill="FFFFFF"/>
        <w:autoSpaceDE/>
        <w:autoSpaceDN/>
        <w:spacing w:before="336" w:after="336"/>
        <w:ind w:firstLine="560" w:firstLineChars="200"/>
        <w:rPr>
          <w:sz w:val="28"/>
        </w:rPr>
      </w:pPr>
      <w:r>
        <w:rPr>
          <w:rFonts w:hint="eastAsia"/>
          <w:sz w:val="28"/>
        </w:rPr>
        <w:t>操作步骤：（1）做好领档工作准备，如：领档交接记录表、档案箱或收纳袋；（2）前往档案存放地，清点档案的全宗号、目录号、案卷号、案卷数。并在档案交接记录表详细记录领取档案的日期、全宗号、目录号、案卷号、档案卷数等信息；（3）档案数量确认无误后，在档案交接记录表上签字确认；（4）以上领档手续完成后将档案领出，运至加工场地。</w:t>
      </w:r>
    </w:p>
    <w:p>
      <w:pPr>
        <w:widowControl/>
        <w:shd w:val="clear" w:color="auto" w:fill="FFFFFF"/>
        <w:autoSpaceDE/>
        <w:autoSpaceDN/>
        <w:spacing w:before="336" w:after="336"/>
        <w:ind w:firstLine="560" w:firstLineChars="200"/>
        <w:rPr>
          <w:sz w:val="28"/>
        </w:rPr>
      </w:pPr>
      <w:r>
        <w:rPr>
          <w:rFonts w:hint="eastAsia"/>
          <w:sz w:val="28"/>
        </w:rPr>
        <w:t>注意事项：（</w:t>
      </w:r>
      <w:r>
        <w:rPr>
          <w:sz w:val="28"/>
        </w:rPr>
        <w:t>1</w:t>
      </w:r>
      <w:r>
        <w:rPr>
          <w:rFonts w:hint="eastAsia"/>
          <w:sz w:val="28"/>
        </w:rPr>
        <w:t>）认真核对全宗号、目录号、案卷号、档案卷数，做好档案交接记录表登记；（2）如有特殊情况在档案交接记录表上备注说明；（3）必须确保实物档案数量和交接表数量完全一致。</w:t>
      </w:r>
    </w:p>
    <w:p>
      <w:pPr>
        <w:widowControl/>
        <w:shd w:val="clear" w:color="auto" w:fill="FFFFFF"/>
        <w:autoSpaceDE/>
        <w:autoSpaceDN/>
        <w:spacing w:before="336" w:after="336"/>
        <w:ind w:firstLine="560" w:firstLineChars="200"/>
        <w:rPr>
          <w:sz w:val="28"/>
        </w:rPr>
      </w:pPr>
      <w:r>
        <w:rPr>
          <w:rFonts w:hint="eastAsia"/>
          <w:sz w:val="28"/>
        </w:rPr>
        <w:t>2</w:t>
      </w:r>
      <w:r>
        <w:rPr>
          <w:sz w:val="28"/>
        </w:rPr>
        <w:t>.</w:t>
      </w:r>
      <w:r>
        <w:rPr>
          <w:rFonts w:hint="eastAsia"/>
          <w:sz w:val="28"/>
        </w:rPr>
        <w:t>流水码标注</w:t>
      </w:r>
    </w:p>
    <w:p>
      <w:pPr>
        <w:widowControl/>
        <w:shd w:val="clear" w:color="auto" w:fill="FFFFFF"/>
        <w:autoSpaceDE/>
        <w:autoSpaceDN/>
        <w:spacing w:before="336" w:after="336"/>
        <w:ind w:firstLine="560" w:firstLineChars="200"/>
        <w:rPr>
          <w:sz w:val="28"/>
        </w:rPr>
      </w:pPr>
      <w:r>
        <w:rPr>
          <w:rFonts w:hint="eastAsia"/>
          <w:sz w:val="28"/>
        </w:rPr>
        <w:t>工序说明：用数字固定每份文件的顺序，为每页档案编写一个流水代码。</w:t>
      </w:r>
    </w:p>
    <w:p>
      <w:pPr>
        <w:widowControl/>
        <w:shd w:val="clear" w:color="auto" w:fill="FFFFFF"/>
        <w:autoSpaceDE/>
        <w:autoSpaceDN/>
        <w:spacing w:before="336" w:after="336"/>
        <w:ind w:firstLine="560" w:firstLineChars="200"/>
        <w:rPr>
          <w:sz w:val="28"/>
        </w:rPr>
      </w:pPr>
      <w:r>
        <w:rPr>
          <w:rFonts w:hint="eastAsia"/>
          <w:sz w:val="28"/>
        </w:rPr>
        <w:t>操作步骤：（1）卷级档案编码，先查看档案有无编写页码，如果已编写页码（需确认是否重新编码），如不再重新编码，则需要检查页码有无漏编、重编；（2）件级档案编码，以件为单位，从1开始编码，编写在页面正面右上角或背面左上角空白位置，编完一件后调整号码机继续以1开始编码；</w:t>
      </w:r>
    </w:p>
    <w:p>
      <w:pPr>
        <w:widowControl/>
        <w:shd w:val="clear" w:color="auto" w:fill="FFFFFF"/>
        <w:autoSpaceDE/>
        <w:autoSpaceDN/>
        <w:spacing w:before="336" w:after="336"/>
        <w:ind w:firstLine="560" w:firstLineChars="200"/>
        <w:rPr>
          <w:sz w:val="28"/>
        </w:rPr>
      </w:pPr>
      <w:r>
        <w:rPr>
          <w:rFonts w:hint="eastAsia"/>
          <w:sz w:val="28"/>
        </w:rPr>
        <w:t>注意事项：（1）有图、有文的页码均需打码；除卷内目录、备考表、空白页不需编码；（2）分清档案左装订、右装订，分清左右打码规则；（3）左手大拇指及食指带上指套，方便翻纸，翻纸过程中，一定要注意不能漏翻造成漏码现象；（4）需打码的档案应平整的放置在加工桌上，不能有杂物，否则会影响档案的受力面积，使码的效果变得模糊或不清楚；（5）档案放置的位置与人的坐姿一定要协调，达到不别扭；（6）打码时一定要注意不能把码打在档案的有效内容中。</w:t>
      </w:r>
    </w:p>
    <w:p>
      <w:pPr>
        <w:widowControl/>
        <w:shd w:val="clear" w:color="auto" w:fill="FFFFFF"/>
        <w:autoSpaceDE/>
        <w:autoSpaceDN/>
        <w:spacing w:before="336" w:after="336"/>
        <w:ind w:firstLine="560" w:firstLineChars="200"/>
        <w:rPr>
          <w:sz w:val="28"/>
        </w:rPr>
      </w:pPr>
      <w:r>
        <w:rPr>
          <w:rFonts w:hint="eastAsia"/>
          <w:sz w:val="28"/>
        </w:rPr>
        <w:t>3</w:t>
      </w:r>
      <w:r>
        <w:rPr>
          <w:sz w:val="28"/>
        </w:rPr>
        <w:t>.</w:t>
      </w:r>
      <w:r>
        <w:rPr>
          <w:rFonts w:hint="eastAsia"/>
          <w:sz w:val="28"/>
        </w:rPr>
        <w:t>拆档</w:t>
      </w:r>
    </w:p>
    <w:p>
      <w:pPr>
        <w:widowControl/>
        <w:shd w:val="clear" w:color="auto" w:fill="FFFFFF"/>
        <w:autoSpaceDE/>
        <w:autoSpaceDN/>
        <w:spacing w:before="336" w:after="336"/>
        <w:ind w:firstLine="560" w:firstLineChars="200"/>
        <w:rPr>
          <w:sz w:val="28"/>
        </w:rPr>
      </w:pPr>
      <w:r>
        <w:rPr>
          <w:rFonts w:hint="eastAsia"/>
          <w:sz w:val="28"/>
        </w:rPr>
        <w:t>工序说明：去除档案原有装订线或不锈钢钉，为扫描工序作好准备</w:t>
      </w:r>
    </w:p>
    <w:p>
      <w:pPr>
        <w:widowControl/>
        <w:shd w:val="clear" w:color="auto" w:fill="FFFFFF"/>
        <w:autoSpaceDE/>
        <w:autoSpaceDN/>
        <w:spacing w:before="336" w:after="336"/>
        <w:ind w:firstLine="560" w:firstLineChars="200"/>
        <w:rPr>
          <w:sz w:val="28"/>
        </w:rPr>
      </w:pPr>
      <w:r>
        <w:rPr>
          <w:rFonts w:hint="eastAsia"/>
          <w:sz w:val="28"/>
        </w:rPr>
        <w:t>操作步骤：（1）拿到一卷或一件档案，根据装订物选择工具拆除档案：三线一孔装订物用剪刀、不锈钢钉装订物用取钉器、胶装用刀子等；（2）左手摁住档案，右手剪开装订线或取出钉书钉；（3）用手将档案一页一页的拆分开，有粘贴在一起的需在不破坏档案完整性的情况下拆开，如若拆开需要损坏档案则不进行强拆，扫描时用平板扫描仪扫描；（4）拆开的档案用卷皮包裹，以防与其他卷档案交叉。</w:t>
      </w:r>
    </w:p>
    <w:p>
      <w:pPr>
        <w:widowControl/>
        <w:shd w:val="clear" w:color="auto" w:fill="FFFFFF"/>
        <w:autoSpaceDE/>
        <w:autoSpaceDN/>
        <w:spacing w:before="336" w:after="336"/>
        <w:ind w:firstLine="560" w:firstLineChars="200"/>
        <w:rPr>
          <w:sz w:val="28"/>
        </w:rPr>
      </w:pPr>
      <w:r>
        <w:rPr>
          <w:rFonts w:hint="eastAsia"/>
          <w:sz w:val="28"/>
        </w:rPr>
        <w:t>注意事项：（1）拆除装订时注意保护档案，不得损坏档案;（2）拆档后的档案必须放置妥当，防止掉落。</w:t>
      </w:r>
    </w:p>
    <w:p>
      <w:pPr>
        <w:widowControl/>
        <w:shd w:val="clear" w:color="auto" w:fill="FFFFFF"/>
        <w:autoSpaceDE/>
        <w:autoSpaceDN/>
        <w:spacing w:before="336" w:after="336"/>
        <w:ind w:firstLine="560" w:firstLineChars="200"/>
        <w:rPr>
          <w:sz w:val="28"/>
        </w:rPr>
      </w:pPr>
      <w:r>
        <w:rPr>
          <w:rFonts w:hint="eastAsia"/>
          <w:sz w:val="28"/>
        </w:rPr>
        <w:t>4</w:t>
      </w:r>
      <w:r>
        <w:rPr>
          <w:sz w:val="28"/>
        </w:rPr>
        <w:t>.</w:t>
      </w:r>
      <w:r>
        <w:rPr>
          <w:rFonts w:hint="eastAsia"/>
          <w:sz w:val="28"/>
        </w:rPr>
        <w:t>装订</w:t>
      </w:r>
    </w:p>
    <w:p>
      <w:pPr>
        <w:widowControl/>
        <w:shd w:val="clear" w:color="auto" w:fill="FFFFFF"/>
        <w:autoSpaceDE/>
        <w:autoSpaceDN/>
        <w:spacing w:before="336" w:after="336"/>
        <w:ind w:firstLine="560" w:firstLineChars="200"/>
        <w:rPr>
          <w:sz w:val="28"/>
        </w:rPr>
      </w:pPr>
      <w:r>
        <w:rPr>
          <w:rFonts w:hint="eastAsia"/>
          <w:sz w:val="28"/>
        </w:rPr>
        <w:t>工序说明：将数字化扫描后的档案重新装订成册，方便查阅使用。[卷级管理及件级管理装订方式及工具不一样。</w:t>
      </w:r>
    </w:p>
    <w:p>
      <w:pPr>
        <w:widowControl/>
        <w:shd w:val="clear" w:color="auto" w:fill="FFFFFF"/>
        <w:autoSpaceDE/>
        <w:autoSpaceDN/>
        <w:spacing w:before="336" w:after="336"/>
        <w:ind w:firstLine="560" w:firstLineChars="200"/>
        <w:rPr>
          <w:sz w:val="28"/>
        </w:rPr>
      </w:pPr>
      <w:r>
        <w:rPr>
          <w:rFonts w:hint="eastAsia"/>
          <w:sz w:val="28"/>
        </w:rPr>
        <w:t>操作步骤：（1）核对卷内文件目录与档案是否相符；（2）核对卷内文目录与卷皮上的件数、页数是否相符；（3）检查扫描完毕的有无破损、幅面过小的情况，对破损、幅面过小的档案进行裱糊的方式修补；（4）按照档案左齐、下齐的原则齐整档案，将整齐的档案用两个装订夹同时夹住档案与装订边上方、下方；（5）将已夹整齐的档案放至装订台，左手食指与中指分开，摁住装订边的中间位置，右手持打孔工具在食指与中指之间打孔，打孔工具应垂直于档案，用同样的方法将档案装订边打三孔；（6）将已打孔的档案平放于桌面，抽取一根装订订平放装订边，左手持档案下边，右手握锥子从中间孔往上穿出，勾住装订线后往下拉出，然后用同样的方法勾出上下方的装订线后取出锥子，将档案背面朝上，把上下方的装订线穿入中间孔线圈拉紧打结；（7）折叠卷皮，将档案用卷皮全同包裹，即完成装订。（8）文件级管理装订：用双头不锈钢钉书机装订，将档案左对齐、下对齐后，把档案左边放入装订机，按压装订机柄后即可完成档案两颗订书钉装订。较厚的档案，双头钉书机无法装订的采用三孔一线装订。</w:t>
      </w:r>
    </w:p>
    <w:p>
      <w:pPr>
        <w:widowControl/>
        <w:shd w:val="clear" w:color="auto" w:fill="FFFFFF"/>
        <w:autoSpaceDE/>
        <w:autoSpaceDN/>
        <w:spacing w:before="336" w:after="336"/>
        <w:ind w:firstLine="560" w:firstLineChars="200"/>
        <w:rPr>
          <w:sz w:val="28"/>
        </w:rPr>
      </w:pPr>
      <w:r>
        <w:rPr>
          <w:rFonts w:hint="eastAsia"/>
          <w:sz w:val="28"/>
        </w:rPr>
        <w:t>注意事项：（1）较薄档案拉线时不要将档案卷宗损坏，可适当的放松一些，但要保证不掉纸，保持原档原貌；（2）齐整档案时，需确保每一页都能装订，不掉纸、不压字；（3）使用电钻时应注意力集中，注意人身安全；（4）核对档案的总件数是否和领档交接记录表上的一致。</w:t>
      </w:r>
    </w:p>
    <w:p>
      <w:pPr>
        <w:widowControl/>
        <w:shd w:val="clear" w:color="auto" w:fill="FFFFFF"/>
        <w:autoSpaceDE/>
        <w:autoSpaceDN/>
        <w:spacing w:before="336" w:after="336"/>
        <w:ind w:firstLine="560" w:firstLineChars="200"/>
        <w:rPr>
          <w:sz w:val="28"/>
        </w:rPr>
      </w:pPr>
      <w:r>
        <w:rPr>
          <w:rFonts w:hint="eastAsia"/>
          <w:sz w:val="28"/>
        </w:rPr>
        <w:t>5</w:t>
      </w:r>
      <w:r>
        <w:rPr>
          <w:sz w:val="28"/>
        </w:rPr>
        <w:t>.</w:t>
      </w:r>
      <w:r>
        <w:rPr>
          <w:rFonts w:hint="eastAsia"/>
          <w:sz w:val="28"/>
        </w:rPr>
        <w:t>还档</w:t>
      </w:r>
    </w:p>
    <w:p>
      <w:pPr>
        <w:widowControl/>
        <w:shd w:val="clear" w:color="auto" w:fill="FFFFFF"/>
        <w:autoSpaceDE/>
        <w:autoSpaceDN/>
        <w:spacing w:before="336" w:after="336"/>
        <w:ind w:firstLine="560" w:firstLineChars="200"/>
        <w:rPr>
          <w:sz w:val="28"/>
        </w:rPr>
      </w:pPr>
      <w:r>
        <w:rPr>
          <w:rFonts w:hint="eastAsia"/>
          <w:sz w:val="28"/>
        </w:rPr>
        <w:t>工序说明：将数字化加工完毕的档案归还档案存放处所。</w:t>
      </w:r>
    </w:p>
    <w:p>
      <w:pPr>
        <w:widowControl/>
        <w:shd w:val="clear" w:color="auto" w:fill="FFFFFF"/>
        <w:autoSpaceDE/>
        <w:autoSpaceDN/>
        <w:spacing w:before="336" w:after="336"/>
        <w:ind w:firstLine="560" w:firstLineChars="200"/>
        <w:rPr>
          <w:sz w:val="28"/>
        </w:rPr>
      </w:pPr>
      <w:r>
        <w:rPr>
          <w:rFonts w:hint="eastAsia"/>
          <w:sz w:val="28"/>
        </w:rPr>
        <w:t>操作步骤：（1）提前清理好需归还的档案，作好档案排序、数量清点工作；（2）联系归还档案对接人；（3）将档案运送至指定地点，共同清点数量；（4）双方确认无误后在领还档交接记录表上签字确认。（交接记录表见领档环节）</w:t>
      </w:r>
    </w:p>
    <w:p>
      <w:pPr>
        <w:widowControl/>
        <w:shd w:val="clear" w:color="auto" w:fill="FFFFFF"/>
        <w:autoSpaceDE/>
        <w:autoSpaceDN/>
        <w:spacing w:before="336" w:after="336"/>
        <w:ind w:firstLine="560" w:firstLineChars="200"/>
        <w:rPr>
          <w:sz w:val="28"/>
        </w:rPr>
      </w:pPr>
      <w:r>
        <w:rPr>
          <w:rFonts w:hint="eastAsia"/>
          <w:sz w:val="28"/>
        </w:rPr>
        <w:t>注意事项：（1）提前做好档案数量清点工作，做好心中有数；（2）档案清理、归还过程中保护好档案，不得将档案堆放地上或离开视线；（3）领还档交接记录表必须要求双方签字确认；（4）做好领还档交接记录表的存档工作。</w:t>
      </w:r>
    </w:p>
    <w:p>
      <w:pPr>
        <w:pStyle w:val="5"/>
        <w:numPr>
          <w:ilvl w:val="0"/>
          <w:numId w:val="14"/>
        </w:numPr>
        <w:adjustRightInd w:val="0"/>
        <w:spacing w:line="360" w:lineRule="auto"/>
        <w:textAlignment w:val="baseline"/>
        <w:rPr>
          <w:bCs w:val="0"/>
          <w:sz w:val="28"/>
          <w:szCs w:val="28"/>
          <w:lang w:bidi="ar-SA"/>
        </w:rPr>
      </w:pPr>
      <w:r>
        <w:rPr>
          <w:rFonts w:hint="eastAsia"/>
          <w:bCs w:val="0"/>
          <w:sz w:val="28"/>
          <w:szCs w:val="28"/>
          <w:lang w:bidi="ar-SA"/>
        </w:rPr>
        <w:t>数字化流程要求</w:t>
      </w:r>
      <w:bookmarkEnd w:id="13"/>
      <w:bookmarkEnd w:id="14"/>
      <w:bookmarkEnd w:id="15"/>
      <w:bookmarkEnd w:id="16"/>
      <w:bookmarkEnd w:id="17"/>
    </w:p>
    <w:p>
      <w:pPr>
        <w:numPr>
          <w:ilvl w:val="0"/>
          <w:numId w:val="20"/>
        </w:numPr>
        <w:tabs>
          <w:tab w:val="left" w:pos="312"/>
        </w:tabs>
        <w:spacing w:line="360" w:lineRule="auto"/>
        <w:ind w:left="669" w:leftChars="304" w:firstLine="0"/>
        <w:rPr>
          <w:sz w:val="28"/>
          <w:lang w:val="en-GB"/>
        </w:rPr>
      </w:pPr>
      <w:r>
        <w:rPr>
          <w:rFonts w:hint="eastAsia"/>
          <w:sz w:val="28"/>
        </w:rPr>
        <w:t>在数字化加工过程中，需全程使用专业的数字化加工流程管理软件进行全过程管理监控；数字化流程至少应包括：出库、查卷、整理、条目著录、挑密、扫描、图像处理、质检、装订、数据备份、提交、还卷等；</w:t>
      </w:r>
    </w:p>
    <w:p>
      <w:pPr>
        <w:numPr>
          <w:ilvl w:val="0"/>
          <w:numId w:val="20"/>
        </w:numPr>
        <w:tabs>
          <w:tab w:val="left" w:pos="312"/>
        </w:tabs>
        <w:spacing w:line="360" w:lineRule="auto"/>
        <w:ind w:left="669" w:leftChars="304" w:firstLine="0"/>
        <w:rPr>
          <w:sz w:val="28"/>
        </w:rPr>
      </w:pPr>
      <w:r>
        <w:rPr>
          <w:rFonts w:hint="eastAsia"/>
          <w:sz w:val="28"/>
        </w:rPr>
        <w:t>形成相应的</w:t>
      </w:r>
      <w:r>
        <w:rPr>
          <w:rFonts w:hint="eastAsia"/>
          <w:sz w:val="28"/>
          <w:lang w:val="en-GB"/>
        </w:rPr>
        <w:t>员工操作记录，控制员工操作中的每一步，系统自动生成数据记录操作过程，随时检查任何工序的质量及完成情况，确保一次性达到成品质量要求。</w:t>
      </w:r>
    </w:p>
    <w:p>
      <w:pPr>
        <w:pStyle w:val="5"/>
        <w:numPr>
          <w:ilvl w:val="0"/>
          <w:numId w:val="14"/>
        </w:numPr>
        <w:adjustRightInd w:val="0"/>
        <w:spacing w:line="360" w:lineRule="auto"/>
        <w:textAlignment w:val="baseline"/>
        <w:rPr>
          <w:bCs w:val="0"/>
          <w:sz w:val="28"/>
          <w:szCs w:val="28"/>
          <w:lang w:bidi="ar-SA"/>
        </w:rPr>
      </w:pPr>
      <w:bookmarkStart w:id="18" w:name="_Toc296437215"/>
      <w:bookmarkStart w:id="19" w:name="_Toc296522315"/>
      <w:bookmarkStart w:id="20" w:name="_Toc296431628"/>
      <w:bookmarkStart w:id="21" w:name="_Toc296437121"/>
      <w:bookmarkStart w:id="22" w:name="_Toc296432349"/>
      <w:r>
        <w:rPr>
          <w:rFonts w:hint="eastAsia"/>
          <w:bCs w:val="0"/>
          <w:sz w:val="28"/>
          <w:szCs w:val="28"/>
          <w:lang w:bidi="ar-SA"/>
        </w:rPr>
        <w:t>数据安全要求</w:t>
      </w:r>
      <w:bookmarkEnd w:id="18"/>
      <w:bookmarkEnd w:id="19"/>
      <w:bookmarkEnd w:id="20"/>
      <w:bookmarkEnd w:id="21"/>
      <w:bookmarkEnd w:id="22"/>
    </w:p>
    <w:p>
      <w:pPr>
        <w:spacing w:line="360" w:lineRule="auto"/>
        <w:ind w:firstLine="697" w:firstLineChars="249"/>
        <w:rPr>
          <w:sz w:val="28"/>
        </w:rPr>
      </w:pPr>
      <w:r>
        <w:rPr>
          <w:rFonts w:hint="eastAsia"/>
          <w:sz w:val="28"/>
        </w:rPr>
        <w:t>需要提供对关键数据影像的安全技术措施,采用技术手段对设备端口进行控制，对加工数据进行加密，实现档案数据拿不走、非法拷贝打不开，待移交正式成品数据时再进行解密，以实现事先防范。配合场地安全控制、设备安全控制、管理制度安全控制和人员安全控制手段，确保数字化加工过程中数据的安全。</w:t>
      </w:r>
    </w:p>
    <w:p>
      <w:pPr>
        <w:pStyle w:val="5"/>
        <w:numPr>
          <w:ilvl w:val="0"/>
          <w:numId w:val="14"/>
        </w:numPr>
        <w:adjustRightInd w:val="0"/>
        <w:spacing w:line="360" w:lineRule="auto"/>
        <w:textAlignment w:val="baseline"/>
        <w:rPr>
          <w:bCs w:val="0"/>
          <w:sz w:val="28"/>
          <w:szCs w:val="28"/>
          <w:lang w:bidi="ar-SA"/>
        </w:rPr>
      </w:pPr>
      <w:r>
        <w:rPr>
          <w:rFonts w:hint="eastAsia"/>
          <w:bCs w:val="0"/>
          <w:sz w:val="28"/>
          <w:szCs w:val="28"/>
          <w:lang w:bidi="ar-SA"/>
        </w:rPr>
        <w:t>图像数据命名方式</w:t>
      </w:r>
    </w:p>
    <w:p>
      <w:pPr>
        <w:spacing w:line="360" w:lineRule="auto"/>
        <w:ind w:firstLine="638" w:firstLineChars="228"/>
        <w:rPr>
          <w:sz w:val="28"/>
        </w:rPr>
      </w:pPr>
      <w:r>
        <w:rPr>
          <w:rFonts w:hint="eastAsia"/>
          <w:sz w:val="28"/>
        </w:rPr>
        <w:t>1.案卷级归档档案实体图像命名方式</w:t>
      </w:r>
    </w:p>
    <w:p>
      <w:pPr>
        <w:spacing w:line="360" w:lineRule="auto"/>
        <w:ind w:firstLine="560" w:firstLineChars="200"/>
        <w:rPr>
          <w:sz w:val="28"/>
        </w:rPr>
      </w:pPr>
      <w:r>
        <w:rPr>
          <w:rFonts w:hint="eastAsia"/>
          <w:sz w:val="28"/>
        </w:rPr>
        <w:t>JPG格式文件命名方式为：</w:t>
      </w:r>
    </w:p>
    <w:p>
      <w:pPr>
        <w:spacing w:line="360" w:lineRule="auto"/>
        <w:ind w:firstLine="560" w:firstLineChars="200"/>
        <w:rPr>
          <w:sz w:val="28"/>
        </w:rPr>
      </w:pPr>
      <w:r>
        <w:rPr>
          <w:rFonts w:hint="eastAsia"/>
          <w:sz w:val="28"/>
        </w:rPr>
        <w:t>全宗号+分隔符+目录号+分隔符+案卷号+分隔符+件号。</w:t>
      </w:r>
    </w:p>
    <w:p>
      <w:pPr>
        <w:spacing w:line="360" w:lineRule="auto"/>
        <w:ind w:firstLine="638" w:firstLineChars="228"/>
        <w:rPr>
          <w:sz w:val="28"/>
        </w:rPr>
      </w:pPr>
      <w:r>
        <w:rPr>
          <w:rFonts w:hint="eastAsia"/>
          <w:sz w:val="28"/>
        </w:rPr>
        <w:t>2.件盒级归档档案实体图像命名方式</w:t>
      </w:r>
    </w:p>
    <w:p>
      <w:pPr>
        <w:spacing w:line="360" w:lineRule="auto"/>
        <w:ind w:firstLine="560" w:firstLineChars="200"/>
        <w:rPr>
          <w:b/>
          <w:sz w:val="28"/>
        </w:rPr>
      </w:pPr>
      <w:r>
        <w:rPr>
          <w:rFonts w:hint="eastAsia"/>
          <w:sz w:val="28"/>
        </w:rPr>
        <w:t>图像数据分四层文件夹存放，第一层文件夹以全宗号命名，第二层文件夹以目录号命名，文件夹内存放该目录的所有件，第三层文件夹以案卷号命名，第四层文件夹以档号命名，文件夹内存放图像文件，图像文件以页码命名。</w:t>
      </w:r>
    </w:p>
    <w:p>
      <w:pPr>
        <w:pStyle w:val="5"/>
        <w:numPr>
          <w:ilvl w:val="0"/>
          <w:numId w:val="14"/>
        </w:numPr>
        <w:adjustRightInd w:val="0"/>
        <w:spacing w:line="360" w:lineRule="auto"/>
        <w:textAlignment w:val="baseline"/>
        <w:rPr>
          <w:bCs w:val="0"/>
          <w:sz w:val="28"/>
          <w:szCs w:val="28"/>
          <w:lang w:bidi="ar-SA"/>
        </w:rPr>
      </w:pPr>
      <w:bookmarkStart w:id="23" w:name="_Toc296432356"/>
      <w:bookmarkStart w:id="24" w:name="_Toc296437128"/>
      <w:bookmarkStart w:id="25" w:name="_Toc296431635"/>
      <w:bookmarkStart w:id="26" w:name="_Toc296522322"/>
      <w:bookmarkStart w:id="27" w:name="_Toc296437222"/>
      <w:r>
        <w:rPr>
          <w:rFonts w:hint="eastAsia"/>
          <w:bCs w:val="0"/>
          <w:sz w:val="28"/>
          <w:szCs w:val="28"/>
          <w:lang w:bidi="ar-SA"/>
        </w:rPr>
        <w:t>数据备份与提交</w:t>
      </w:r>
      <w:bookmarkEnd w:id="23"/>
      <w:bookmarkEnd w:id="24"/>
      <w:bookmarkEnd w:id="25"/>
      <w:bookmarkEnd w:id="26"/>
      <w:bookmarkEnd w:id="27"/>
    </w:p>
    <w:p>
      <w:pPr>
        <w:spacing w:line="360" w:lineRule="auto"/>
        <w:rPr>
          <w:sz w:val="28"/>
        </w:rPr>
      </w:pPr>
      <w:r>
        <w:rPr>
          <w:rFonts w:hint="eastAsia"/>
          <w:sz w:val="28"/>
        </w:rPr>
        <w:t xml:space="preserve">    在数字化加工过程中，加工方应做好半成品数据（特别是原始扫描影像文件）和成品数据的存储备份工作。加工方自备存储设备，等项目验收数据提交完成后，中标单位收到数据提交明细验收清单后，方可将数据从备份载体中删除。</w:t>
      </w:r>
    </w:p>
    <w:p>
      <w:pPr>
        <w:spacing w:line="360" w:lineRule="auto"/>
        <w:ind w:firstLine="638" w:firstLineChars="228"/>
        <w:rPr>
          <w:sz w:val="28"/>
        </w:rPr>
      </w:pPr>
      <w:r>
        <w:rPr>
          <w:rFonts w:hint="eastAsia"/>
          <w:sz w:val="28"/>
        </w:rPr>
        <w:t>1.数据备份载体要求</w:t>
      </w:r>
    </w:p>
    <w:p>
      <w:pPr>
        <w:adjustRightInd w:val="0"/>
        <w:spacing w:line="360" w:lineRule="auto"/>
        <w:ind w:firstLine="560" w:firstLineChars="200"/>
        <w:rPr>
          <w:sz w:val="28"/>
        </w:rPr>
      </w:pPr>
      <w:r>
        <w:rPr>
          <w:rFonts w:hint="eastAsia"/>
          <w:sz w:val="28"/>
        </w:rPr>
        <w:t>数据采用两种载体装载：移动硬盘和光盘各一套，光盘要求为单片盒装。使用档案级光盘。</w:t>
      </w:r>
    </w:p>
    <w:p>
      <w:pPr>
        <w:spacing w:line="360" w:lineRule="auto"/>
        <w:ind w:firstLine="638" w:firstLineChars="228"/>
        <w:rPr>
          <w:sz w:val="28"/>
        </w:rPr>
      </w:pPr>
      <w:r>
        <w:rPr>
          <w:rFonts w:hint="eastAsia"/>
          <w:sz w:val="28"/>
        </w:rPr>
        <w:t>2.移交数据清单</w:t>
      </w:r>
    </w:p>
    <w:p>
      <w:pPr>
        <w:adjustRightInd w:val="0"/>
        <w:spacing w:line="360" w:lineRule="auto"/>
        <w:ind w:firstLine="560" w:firstLineChars="200"/>
        <w:rPr>
          <w:sz w:val="28"/>
        </w:rPr>
      </w:pPr>
      <w:r>
        <w:rPr>
          <w:rFonts w:hint="eastAsia"/>
          <w:sz w:val="28"/>
        </w:rPr>
        <w:t>加工方应提交硬盘数据和光盘数据移交清单，说明每张硬盘和光盘是什么数据以及移交数据总量，包括全宗号、目录数、案卷数、件数、页数、数据容量和移交数据的其它说明。</w:t>
      </w:r>
    </w:p>
    <w:p>
      <w:pPr>
        <w:spacing w:line="360" w:lineRule="auto"/>
        <w:ind w:firstLine="638" w:firstLineChars="228"/>
        <w:rPr>
          <w:sz w:val="28"/>
        </w:rPr>
      </w:pPr>
      <w:r>
        <w:rPr>
          <w:rFonts w:hint="eastAsia"/>
          <w:sz w:val="28"/>
        </w:rPr>
        <w:t>3.数据载体标识</w:t>
      </w:r>
    </w:p>
    <w:p>
      <w:pPr>
        <w:adjustRightInd w:val="0"/>
        <w:spacing w:line="360" w:lineRule="auto"/>
        <w:ind w:firstLine="560" w:firstLineChars="200"/>
        <w:rPr>
          <w:sz w:val="28"/>
        </w:rPr>
      </w:pPr>
      <w:r>
        <w:rPr>
          <w:rFonts w:hint="eastAsia"/>
          <w:sz w:val="28"/>
        </w:rPr>
        <w:t>每个硬盘或光盘都作标识，光盘盒正面及侧面标记盘号及内容，光盘盘片不可粘贴纸质标签，应采用标准涂层或记号笔书写，标识应反映出光盘内容。</w:t>
      </w:r>
    </w:p>
    <w:p>
      <w:pPr>
        <w:pStyle w:val="5"/>
        <w:numPr>
          <w:ilvl w:val="0"/>
          <w:numId w:val="14"/>
        </w:numPr>
        <w:adjustRightInd w:val="0"/>
        <w:spacing w:line="360" w:lineRule="auto"/>
        <w:textAlignment w:val="baseline"/>
        <w:rPr>
          <w:bCs w:val="0"/>
          <w:sz w:val="28"/>
          <w:szCs w:val="28"/>
          <w:lang w:bidi="ar-SA"/>
        </w:rPr>
      </w:pPr>
      <w:r>
        <w:rPr>
          <w:rFonts w:hint="eastAsia"/>
          <w:bCs w:val="0"/>
          <w:sz w:val="28"/>
          <w:szCs w:val="28"/>
          <w:lang w:bidi="ar-SA"/>
        </w:rPr>
        <w:t>设备要求</w:t>
      </w:r>
    </w:p>
    <w:p>
      <w:pPr>
        <w:spacing w:line="360" w:lineRule="auto"/>
        <w:ind w:firstLine="560" w:firstLineChars="200"/>
        <w:rPr>
          <w:sz w:val="28"/>
          <w:lang w:bidi="ar-SA"/>
        </w:rPr>
      </w:pPr>
      <w:r>
        <w:rPr>
          <w:rFonts w:hint="eastAsia"/>
          <w:sz w:val="28"/>
          <w:lang w:bidi="ar-SA"/>
        </w:rPr>
        <w:t>数字化扫描设备均需采用高指标设备，在加工过程中设备不能损毁档案原件，扫描图像清晰可见，与原件相同，</w:t>
      </w:r>
      <w:r>
        <w:rPr>
          <w:rFonts w:hint="eastAsia"/>
          <w:sz w:val="28"/>
        </w:rPr>
        <w:t>数字化加工小部分采取特种行业高速</w:t>
      </w:r>
      <w:r>
        <w:fldChar w:fldCharType="begin"/>
      </w:r>
      <w:r>
        <w:instrText xml:space="preserve"> HYPERLINK "http://detail.zol.com.cn/scanner/s2937/" </w:instrText>
      </w:r>
      <w:r>
        <w:fldChar w:fldCharType="separate"/>
      </w:r>
      <w:r>
        <w:rPr>
          <w:rFonts w:hint="eastAsia"/>
          <w:sz w:val="28"/>
        </w:rPr>
        <w:t>馈纸式</w:t>
      </w:r>
      <w:r>
        <w:rPr>
          <w:rFonts w:hint="eastAsia"/>
          <w:sz w:val="28"/>
        </w:rPr>
        <w:fldChar w:fldCharType="end"/>
      </w:r>
      <w:r>
        <w:rPr>
          <w:rFonts w:hint="eastAsia"/>
          <w:sz w:val="28"/>
        </w:rPr>
        <w:t>扫描仪进行数字化加工，需要高质量高清晰度A3零边界扫描仪。</w:t>
      </w:r>
      <w:r>
        <w:rPr>
          <w:rFonts w:hint="eastAsia"/>
          <w:sz w:val="28"/>
          <w:lang w:bidi="ar-SA"/>
        </w:rPr>
        <w:t>所有设备在项目实施前须经我馆现场评定允许后方可使用。</w:t>
      </w:r>
    </w:p>
    <w:p>
      <w:pPr>
        <w:pStyle w:val="5"/>
        <w:numPr>
          <w:ilvl w:val="0"/>
          <w:numId w:val="14"/>
        </w:numPr>
        <w:adjustRightInd w:val="0"/>
        <w:spacing w:line="360" w:lineRule="auto"/>
        <w:textAlignment w:val="baseline"/>
        <w:rPr>
          <w:bCs w:val="0"/>
          <w:sz w:val="28"/>
          <w:szCs w:val="28"/>
          <w:lang w:bidi="ar-SA"/>
        </w:rPr>
      </w:pPr>
      <w:r>
        <w:rPr>
          <w:rFonts w:hint="eastAsia"/>
          <w:bCs w:val="0"/>
          <w:sz w:val="28"/>
          <w:szCs w:val="28"/>
          <w:lang w:bidi="ar-SA"/>
        </w:rPr>
        <w:t>数据验收</w:t>
      </w:r>
    </w:p>
    <w:p>
      <w:pPr>
        <w:pStyle w:val="6"/>
        <w:spacing w:line="360" w:lineRule="auto"/>
        <w:rPr>
          <w:rFonts w:ascii="宋体" w:hAnsi="宋体" w:cs="宋体"/>
          <w:sz w:val="28"/>
          <w:szCs w:val="28"/>
        </w:rPr>
      </w:pPr>
      <w:r>
        <w:rPr>
          <w:rFonts w:hint="eastAsia" w:ascii="宋体" w:hAnsi="宋体" w:cs="宋体"/>
          <w:sz w:val="28"/>
          <w:szCs w:val="28"/>
        </w:rPr>
        <w:t>1.1.3.10.1数据检查验收</w:t>
      </w:r>
    </w:p>
    <w:p>
      <w:pPr>
        <w:pStyle w:val="7"/>
        <w:adjustRightInd w:val="0"/>
        <w:spacing w:line="360" w:lineRule="auto"/>
        <w:ind w:firstLine="638" w:firstLineChars="228"/>
        <w:textAlignment w:val="baseline"/>
        <w:rPr>
          <w:rFonts w:ascii="宋体" w:hAnsi="宋体" w:cs="宋体"/>
          <w:b w:val="0"/>
          <w:bCs w:val="0"/>
          <w:sz w:val="28"/>
          <w:szCs w:val="28"/>
        </w:rPr>
      </w:pPr>
      <w:r>
        <w:rPr>
          <w:rFonts w:hint="eastAsia" w:ascii="宋体" w:hAnsi="宋体" w:cs="宋体"/>
          <w:b w:val="0"/>
          <w:bCs w:val="0"/>
          <w:sz w:val="28"/>
          <w:szCs w:val="28"/>
        </w:rPr>
        <w:t>1.目录数据验收质量要求</w:t>
      </w:r>
    </w:p>
    <w:p>
      <w:pPr>
        <w:spacing w:line="360" w:lineRule="auto"/>
        <w:ind w:firstLine="560" w:firstLineChars="200"/>
        <w:rPr>
          <w:sz w:val="28"/>
          <w:lang w:bidi="ar-SA"/>
        </w:rPr>
      </w:pPr>
      <w:r>
        <w:rPr>
          <w:rFonts w:hint="eastAsia"/>
          <w:sz w:val="28"/>
          <w:lang w:bidi="ar-SA"/>
        </w:rPr>
        <w:t>采用人工校对，对目录数据库的建库质量进行检查。以附录A 为标准，核对著录项目是否完整、著录内容是否规范、准确，对不合格的数据进行修改。详细要求见下表：</w:t>
      </w:r>
    </w:p>
    <w:tbl>
      <w:tblPr>
        <w:tblStyle w:val="16"/>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1592"/>
        <w:gridCol w:w="1175"/>
        <w:gridCol w:w="5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tcPr>
          <w:p>
            <w:pPr>
              <w:adjustRightInd w:val="0"/>
              <w:spacing w:line="360" w:lineRule="auto"/>
              <w:rPr>
                <w:sz w:val="28"/>
              </w:rPr>
            </w:pPr>
            <w:r>
              <w:rPr>
                <w:rFonts w:hint="eastAsia"/>
                <w:sz w:val="28"/>
              </w:rPr>
              <w:t>序号</w:t>
            </w:r>
          </w:p>
        </w:tc>
        <w:tc>
          <w:tcPr>
            <w:tcW w:w="1592" w:type="dxa"/>
          </w:tcPr>
          <w:p>
            <w:pPr>
              <w:adjustRightInd w:val="0"/>
              <w:spacing w:line="360" w:lineRule="auto"/>
              <w:rPr>
                <w:sz w:val="28"/>
              </w:rPr>
            </w:pPr>
            <w:r>
              <w:rPr>
                <w:rFonts w:hint="eastAsia"/>
                <w:sz w:val="28"/>
              </w:rPr>
              <w:t>质量项</w:t>
            </w:r>
          </w:p>
        </w:tc>
        <w:tc>
          <w:tcPr>
            <w:tcW w:w="6854" w:type="dxa"/>
            <w:gridSpan w:val="2"/>
          </w:tcPr>
          <w:p>
            <w:pPr>
              <w:adjustRightInd w:val="0"/>
              <w:spacing w:line="360" w:lineRule="auto"/>
              <w:jc w:val="center"/>
              <w:rPr>
                <w:sz w:val="28"/>
              </w:rPr>
            </w:pPr>
            <w:r>
              <w:rPr>
                <w:rFonts w:hint="eastAsia"/>
                <w:sz w:val="28"/>
              </w:rPr>
              <w:t>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tcPr>
          <w:p>
            <w:pPr>
              <w:adjustRightInd w:val="0"/>
              <w:spacing w:line="360" w:lineRule="auto"/>
              <w:rPr>
                <w:sz w:val="28"/>
              </w:rPr>
            </w:pPr>
            <w:r>
              <w:rPr>
                <w:rFonts w:hint="eastAsia"/>
                <w:sz w:val="28"/>
              </w:rPr>
              <w:t>1</w:t>
            </w:r>
          </w:p>
        </w:tc>
        <w:tc>
          <w:tcPr>
            <w:tcW w:w="1592" w:type="dxa"/>
          </w:tcPr>
          <w:p>
            <w:pPr>
              <w:adjustRightInd w:val="0"/>
              <w:spacing w:line="360" w:lineRule="auto"/>
              <w:rPr>
                <w:sz w:val="28"/>
              </w:rPr>
            </w:pPr>
            <w:r>
              <w:rPr>
                <w:rFonts w:hint="eastAsia"/>
                <w:sz w:val="28"/>
              </w:rPr>
              <w:t>条目划分</w:t>
            </w:r>
          </w:p>
        </w:tc>
        <w:tc>
          <w:tcPr>
            <w:tcW w:w="1175" w:type="dxa"/>
          </w:tcPr>
          <w:p>
            <w:pPr>
              <w:adjustRightInd w:val="0"/>
              <w:spacing w:line="360" w:lineRule="auto"/>
              <w:rPr>
                <w:sz w:val="28"/>
              </w:rPr>
            </w:pPr>
            <w:r>
              <w:rPr>
                <w:rFonts w:hint="eastAsia"/>
                <w:sz w:val="28"/>
              </w:rPr>
              <w:t>可靠性</w:t>
            </w:r>
          </w:p>
        </w:tc>
        <w:tc>
          <w:tcPr>
            <w:tcW w:w="5679" w:type="dxa"/>
          </w:tcPr>
          <w:p>
            <w:pPr>
              <w:adjustRightInd w:val="0"/>
              <w:spacing w:line="360" w:lineRule="auto"/>
              <w:rPr>
                <w:sz w:val="28"/>
              </w:rPr>
            </w:pPr>
            <w:r>
              <w:rPr>
                <w:rFonts w:hint="eastAsia"/>
                <w:sz w:val="28"/>
              </w:rPr>
              <w:t>符合DA/T22-2000中第2.3节对“件”的要求和定义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restart"/>
          </w:tcPr>
          <w:p>
            <w:pPr>
              <w:adjustRightInd w:val="0"/>
              <w:spacing w:line="360" w:lineRule="auto"/>
              <w:rPr>
                <w:sz w:val="28"/>
              </w:rPr>
            </w:pPr>
            <w:r>
              <w:rPr>
                <w:rFonts w:hint="eastAsia"/>
                <w:sz w:val="28"/>
              </w:rPr>
              <w:t>2</w:t>
            </w:r>
          </w:p>
        </w:tc>
        <w:tc>
          <w:tcPr>
            <w:tcW w:w="1592" w:type="dxa"/>
            <w:vMerge w:val="restart"/>
          </w:tcPr>
          <w:p>
            <w:pPr>
              <w:adjustRightInd w:val="0"/>
              <w:spacing w:line="360" w:lineRule="auto"/>
              <w:rPr>
                <w:sz w:val="28"/>
              </w:rPr>
            </w:pPr>
            <w:r>
              <w:rPr>
                <w:rFonts w:hint="eastAsia"/>
                <w:sz w:val="28"/>
              </w:rPr>
              <w:t>著录项目</w:t>
            </w:r>
          </w:p>
        </w:tc>
        <w:tc>
          <w:tcPr>
            <w:tcW w:w="1175" w:type="dxa"/>
            <w:vMerge w:val="restart"/>
          </w:tcPr>
          <w:p>
            <w:pPr>
              <w:adjustRightInd w:val="0"/>
              <w:spacing w:line="360" w:lineRule="auto"/>
              <w:rPr>
                <w:sz w:val="28"/>
              </w:rPr>
            </w:pPr>
            <w:r>
              <w:rPr>
                <w:rFonts w:hint="eastAsia"/>
                <w:sz w:val="28"/>
              </w:rPr>
              <w:t>真实性</w:t>
            </w:r>
          </w:p>
        </w:tc>
        <w:tc>
          <w:tcPr>
            <w:tcW w:w="5679" w:type="dxa"/>
          </w:tcPr>
          <w:p>
            <w:pPr>
              <w:adjustRightInd w:val="0"/>
              <w:spacing w:line="360" w:lineRule="auto"/>
              <w:rPr>
                <w:sz w:val="28"/>
              </w:rPr>
            </w:pPr>
            <w:r>
              <w:rPr>
                <w:rFonts w:hint="eastAsia"/>
                <w:sz w:val="28"/>
              </w:rPr>
              <w:t>著录项目数据内容与档案原文内容相符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continue"/>
          </w:tcPr>
          <w:p>
            <w:pPr>
              <w:adjustRightInd w:val="0"/>
              <w:spacing w:line="360" w:lineRule="auto"/>
              <w:rPr>
                <w:sz w:val="28"/>
              </w:rPr>
            </w:pPr>
          </w:p>
        </w:tc>
        <w:tc>
          <w:tcPr>
            <w:tcW w:w="1592" w:type="dxa"/>
            <w:vMerge w:val="continue"/>
          </w:tcPr>
          <w:p>
            <w:pPr>
              <w:adjustRightInd w:val="0"/>
              <w:spacing w:line="360" w:lineRule="auto"/>
              <w:rPr>
                <w:sz w:val="28"/>
              </w:rPr>
            </w:pPr>
          </w:p>
        </w:tc>
        <w:tc>
          <w:tcPr>
            <w:tcW w:w="1175" w:type="dxa"/>
            <w:vMerge w:val="continue"/>
          </w:tcPr>
          <w:p>
            <w:pPr>
              <w:adjustRightInd w:val="0"/>
              <w:spacing w:line="360" w:lineRule="auto"/>
              <w:rPr>
                <w:sz w:val="28"/>
              </w:rPr>
            </w:pPr>
          </w:p>
        </w:tc>
        <w:tc>
          <w:tcPr>
            <w:tcW w:w="5679" w:type="dxa"/>
          </w:tcPr>
          <w:p>
            <w:pPr>
              <w:adjustRightInd w:val="0"/>
              <w:spacing w:line="360" w:lineRule="auto"/>
              <w:rPr>
                <w:sz w:val="28"/>
              </w:rPr>
            </w:pPr>
            <w:r>
              <w:rPr>
                <w:rFonts w:hint="eastAsia"/>
                <w:sz w:val="28"/>
              </w:rPr>
              <w:t>不存在异于原文的多余字、错别字、遗漏字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continue"/>
          </w:tcPr>
          <w:p>
            <w:pPr>
              <w:adjustRightInd w:val="0"/>
              <w:spacing w:line="360" w:lineRule="auto"/>
              <w:rPr>
                <w:sz w:val="28"/>
              </w:rPr>
            </w:pPr>
          </w:p>
        </w:tc>
        <w:tc>
          <w:tcPr>
            <w:tcW w:w="1592" w:type="dxa"/>
            <w:vMerge w:val="continue"/>
          </w:tcPr>
          <w:p>
            <w:pPr>
              <w:adjustRightInd w:val="0"/>
              <w:spacing w:line="360" w:lineRule="auto"/>
              <w:rPr>
                <w:sz w:val="28"/>
              </w:rPr>
            </w:pPr>
          </w:p>
        </w:tc>
        <w:tc>
          <w:tcPr>
            <w:tcW w:w="1175" w:type="dxa"/>
            <w:vMerge w:val="restart"/>
          </w:tcPr>
          <w:p>
            <w:pPr>
              <w:adjustRightInd w:val="0"/>
              <w:spacing w:line="360" w:lineRule="auto"/>
              <w:rPr>
                <w:sz w:val="28"/>
              </w:rPr>
            </w:pPr>
            <w:r>
              <w:rPr>
                <w:rFonts w:hint="eastAsia"/>
                <w:sz w:val="28"/>
              </w:rPr>
              <w:t>可靠性</w:t>
            </w:r>
          </w:p>
        </w:tc>
        <w:tc>
          <w:tcPr>
            <w:tcW w:w="5679" w:type="dxa"/>
          </w:tcPr>
          <w:p>
            <w:pPr>
              <w:adjustRightInd w:val="0"/>
              <w:spacing w:line="360" w:lineRule="auto"/>
              <w:rPr>
                <w:sz w:val="28"/>
              </w:rPr>
            </w:pPr>
            <w:r>
              <w:rPr>
                <w:rFonts w:hint="eastAsia"/>
                <w:sz w:val="28"/>
              </w:rPr>
              <w:t>题名中的年度使用半角阿拉伯数字著录年度全称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continue"/>
          </w:tcPr>
          <w:p>
            <w:pPr>
              <w:adjustRightInd w:val="0"/>
              <w:spacing w:line="360" w:lineRule="auto"/>
              <w:rPr>
                <w:sz w:val="28"/>
              </w:rPr>
            </w:pPr>
          </w:p>
        </w:tc>
        <w:tc>
          <w:tcPr>
            <w:tcW w:w="1592" w:type="dxa"/>
            <w:vMerge w:val="continue"/>
          </w:tcPr>
          <w:p>
            <w:pPr>
              <w:adjustRightInd w:val="0"/>
              <w:spacing w:line="360" w:lineRule="auto"/>
              <w:rPr>
                <w:sz w:val="28"/>
              </w:rPr>
            </w:pPr>
          </w:p>
        </w:tc>
        <w:tc>
          <w:tcPr>
            <w:tcW w:w="1175" w:type="dxa"/>
            <w:vMerge w:val="continue"/>
          </w:tcPr>
          <w:p>
            <w:pPr>
              <w:adjustRightInd w:val="0"/>
              <w:spacing w:line="360" w:lineRule="auto"/>
              <w:rPr>
                <w:sz w:val="28"/>
              </w:rPr>
            </w:pPr>
          </w:p>
        </w:tc>
        <w:tc>
          <w:tcPr>
            <w:tcW w:w="5679" w:type="dxa"/>
          </w:tcPr>
          <w:p>
            <w:pPr>
              <w:adjustRightInd w:val="0"/>
              <w:spacing w:line="360" w:lineRule="auto"/>
              <w:rPr>
                <w:sz w:val="28"/>
              </w:rPr>
            </w:pPr>
            <w:r>
              <w:rPr>
                <w:rFonts w:hint="eastAsia"/>
                <w:sz w:val="28"/>
              </w:rPr>
              <w:t>著录规则、著录文字、著录用的数字及标示符应符合DA/T18-1999的要求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continue"/>
          </w:tcPr>
          <w:p>
            <w:pPr>
              <w:adjustRightInd w:val="0"/>
              <w:spacing w:line="360" w:lineRule="auto"/>
              <w:rPr>
                <w:sz w:val="28"/>
              </w:rPr>
            </w:pPr>
          </w:p>
        </w:tc>
        <w:tc>
          <w:tcPr>
            <w:tcW w:w="1592" w:type="dxa"/>
            <w:vMerge w:val="continue"/>
          </w:tcPr>
          <w:p>
            <w:pPr>
              <w:adjustRightInd w:val="0"/>
              <w:spacing w:line="360" w:lineRule="auto"/>
              <w:rPr>
                <w:sz w:val="28"/>
              </w:rPr>
            </w:pPr>
          </w:p>
        </w:tc>
        <w:tc>
          <w:tcPr>
            <w:tcW w:w="1175" w:type="dxa"/>
            <w:vMerge w:val="continue"/>
          </w:tcPr>
          <w:p>
            <w:pPr>
              <w:adjustRightInd w:val="0"/>
              <w:spacing w:line="360" w:lineRule="auto"/>
              <w:rPr>
                <w:sz w:val="28"/>
              </w:rPr>
            </w:pPr>
          </w:p>
        </w:tc>
        <w:tc>
          <w:tcPr>
            <w:tcW w:w="5679" w:type="dxa"/>
          </w:tcPr>
          <w:p>
            <w:pPr>
              <w:adjustRightInd w:val="0"/>
              <w:spacing w:line="360" w:lineRule="auto"/>
              <w:rPr>
                <w:sz w:val="28"/>
              </w:rPr>
            </w:pPr>
            <w:r>
              <w:rPr>
                <w:rFonts w:hint="eastAsia"/>
                <w:sz w:val="28"/>
              </w:rPr>
              <w:t>不存在不明确的代称词，如“本局”“本单位”等容易引起误解的简称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continue"/>
          </w:tcPr>
          <w:p>
            <w:pPr>
              <w:adjustRightInd w:val="0"/>
              <w:spacing w:line="360" w:lineRule="auto"/>
              <w:rPr>
                <w:sz w:val="28"/>
              </w:rPr>
            </w:pPr>
          </w:p>
        </w:tc>
        <w:tc>
          <w:tcPr>
            <w:tcW w:w="1592" w:type="dxa"/>
            <w:vMerge w:val="continue"/>
          </w:tcPr>
          <w:p>
            <w:pPr>
              <w:adjustRightInd w:val="0"/>
              <w:spacing w:line="360" w:lineRule="auto"/>
              <w:rPr>
                <w:sz w:val="28"/>
              </w:rPr>
            </w:pPr>
          </w:p>
        </w:tc>
        <w:tc>
          <w:tcPr>
            <w:tcW w:w="1175" w:type="dxa"/>
            <w:vMerge w:val="restart"/>
          </w:tcPr>
          <w:p>
            <w:pPr>
              <w:adjustRightInd w:val="0"/>
              <w:spacing w:line="360" w:lineRule="auto"/>
              <w:rPr>
                <w:sz w:val="28"/>
              </w:rPr>
            </w:pPr>
            <w:r>
              <w:rPr>
                <w:rFonts w:hint="eastAsia"/>
                <w:sz w:val="28"/>
              </w:rPr>
              <w:t>完整性</w:t>
            </w:r>
          </w:p>
        </w:tc>
        <w:tc>
          <w:tcPr>
            <w:tcW w:w="5679" w:type="dxa"/>
          </w:tcPr>
          <w:p>
            <w:pPr>
              <w:adjustRightInd w:val="0"/>
              <w:spacing w:line="360" w:lineRule="auto"/>
              <w:rPr>
                <w:sz w:val="28"/>
              </w:rPr>
            </w:pPr>
            <w:r>
              <w:rPr>
                <w:rFonts w:hint="eastAsia"/>
                <w:sz w:val="28"/>
              </w:rPr>
              <w:t>标题应能反映档案内容，通过标题可以检索到该份档案。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continue"/>
          </w:tcPr>
          <w:p>
            <w:pPr>
              <w:adjustRightInd w:val="0"/>
              <w:spacing w:line="360" w:lineRule="auto"/>
              <w:rPr>
                <w:sz w:val="28"/>
              </w:rPr>
            </w:pPr>
          </w:p>
        </w:tc>
        <w:tc>
          <w:tcPr>
            <w:tcW w:w="1592" w:type="dxa"/>
            <w:vMerge w:val="continue"/>
          </w:tcPr>
          <w:p>
            <w:pPr>
              <w:adjustRightInd w:val="0"/>
              <w:spacing w:line="360" w:lineRule="auto"/>
              <w:rPr>
                <w:sz w:val="28"/>
              </w:rPr>
            </w:pPr>
          </w:p>
        </w:tc>
        <w:tc>
          <w:tcPr>
            <w:tcW w:w="1175" w:type="dxa"/>
            <w:vMerge w:val="continue"/>
          </w:tcPr>
          <w:p>
            <w:pPr>
              <w:adjustRightInd w:val="0"/>
              <w:spacing w:line="360" w:lineRule="auto"/>
              <w:rPr>
                <w:sz w:val="28"/>
              </w:rPr>
            </w:pPr>
          </w:p>
        </w:tc>
        <w:tc>
          <w:tcPr>
            <w:tcW w:w="5679" w:type="dxa"/>
          </w:tcPr>
          <w:p>
            <w:pPr>
              <w:adjustRightInd w:val="0"/>
              <w:spacing w:line="360" w:lineRule="auto"/>
              <w:rPr>
                <w:sz w:val="28"/>
              </w:rPr>
            </w:pPr>
            <w:r>
              <w:rPr>
                <w:rFonts w:hint="eastAsia"/>
                <w:sz w:val="28"/>
              </w:rPr>
              <w:t>对于标题不完整的情况，应增加副标题著录项补充完整。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continue"/>
          </w:tcPr>
          <w:p>
            <w:pPr>
              <w:adjustRightInd w:val="0"/>
              <w:spacing w:line="360" w:lineRule="auto"/>
              <w:rPr>
                <w:sz w:val="28"/>
              </w:rPr>
            </w:pPr>
          </w:p>
        </w:tc>
        <w:tc>
          <w:tcPr>
            <w:tcW w:w="1592" w:type="dxa"/>
            <w:vMerge w:val="continue"/>
          </w:tcPr>
          <w:p>
            <w:pPr>
              <w:adjustRightInd w:val="0"/>
              <w:spacing w:line="360" w:lineRule="auto"/>
              <w:rPr>
                <w:sz w:val="28"/>
              </w:rPr>
            </w:pPr>
          </w:p>
        </w:tc>
        <w:tc>
          <w:tcPr>
            <w:tcW w:w="1175" w:type="dxa"/>
          </w:tcPr>
          <w:p>
            <w:pPr>
              <w:adjustRightInd w:val="0"/>
              <w:spacing w:line="360" w:lineRule="auto"/>
              <w:rPr>
                <w:sz w:val="28"/>
              </w:rPr>
            </w:pPr>
            <w:r>
              <w:rPr>
                <w:rFonts w:hint="eastAsia"/>
                <w:sz w:val="28"/>
              </w:rPr>
              <w:t>安全性</w:t>
            </w:r>
          </w:p>
        </w:tc>
        <w:tc>
          <w:tcPr>
            <w:tcW w:w="5679" w:type="dxa"/>
          </w:tcPr>
          <w:p>
            <w:pPr>
              <w:adjustRightInd w:val="0"/>
              <w:spacing w:line="360" w:lineRule="auto"/>
              <w:rPr>
                <w:sz w:val="28"/>
              </w:rPr>
            </w:pPr>
            <w:r>
              <w:rPr>
                <w:rFonts w:hint="eastAsia"/>
                <w:sz w:val="28"/>
              </w:rPr>
              <w:t>作为公开信息查询的目录信息应该经过鉴定后开放，提供局域网及政务网查询利用的目录信息不得涉及敏感信息。为保持查询的完整性，可将敏感信息用****号隐去。未经解密的涉密档案目录及原文应与各种网络物理隔离存放于涉密计算机上。</w:t>
            </w:r>
          </w:p>
        </w:tc>
      </w:tr>
    </w:tbl>
    <w:p>
      <w:pPr>
        <w:pStyle w:val="7"/>
        <w:adjustRightInd w:val="0"/>
        <w:spacing w:line="360" w:lineRule="auto"/>
        <w:ind w:firstLine="638" w:firstLineChars="228"/>
        <w:textAlignment w:val="baseline"/>
        <w:rPr>
          <w:rFonts w:ascii="宋体" w:hAnsi="宋体" w:cs="宋体"/>
          <w:b w:val="0"/>
          <w:bCs w:val="0"/>
          <w:sz w:val="28"/>
          <w:szCs w:val="28"/>
        </w:rPr>
      </w:pPr>
      <w:r>
        <w:rPr>
          <w:rFonts w:hint="eastAsia" w:ascii="宋体" w:hAnsi="宋体" w:cs="宋体"/>
          <w:b w:val="0"/>
          <w:bCs w:val="0"/>
          <w:sz w:val="28"/>
          <w:szCs w:val="28"/>
        </w:rPr>
        <w:t>2.图像数据验收质量要求</w:t>
      </w:r>
    </w:p>
    <w:p>
      <w:pPr>
        <w:spacing w:line="360" w:lineRule="auto"/>
        <w:ind w:firstLine="560" w:firstLineChars="200"/>
        <w:rPr>
          <w:sz w:val="28"/>
          <w:lang w:bidi="ar-SA"/>
        </w:rPr>
      </w:pPr>
      <w:r>
        <w:rPr>
          <w:rFonts w:hint="eastAsia"/>
          <w:sz w:val="28"/>
          <w:lang w:bidi="ar-SA"/>
        </w:rPr>
        <w:t>图像数据中不能出现扫描格式错误、命名错误、歪斜、黑边、多扫、漏扫、扫描质量模糊等问题。具体要求见下表：</w:t>
      </w:r>
    </w:p>
    <w:tbl>
      <w:tblPr>
        <w:tblStyle w:val="16"/>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1217"/>
        <w:gridCol w:w="1134"/>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tcPr>
          <w:p>
            <w:pPr>
              <w:adjustRightInd w:val="0"/>
              <w:spacing w:line="360" w:lineRule="auto"/>
              <w:rPr>
                <w:sz w:val="28"/>
              </w:rPr>
            </w:pPr>
            <w:r>
              <w:rPr>
                <w:rFonts w:hint="eastAsia"/>
                <w:sz w:val="28"/>
              </w:rPr>
              <w:t>序号</w:t>
            </w:r>
          </w:p>
        </w:tc>
        <w:tc>
          <w:tcPr>
            <w:tcW w:w="1217" w:type="dxa"/>
          </w:tcPr>
          <w:p>
            <w:pPr>
              <w:adjustRightInd w:val="0"/>
              <w:spacing w:line="360" w:lineRule="auto"/>
              <w:rPr>
                <w:sz w:val="28"/>
              </w:rPr>
            </w:pPr>
            <w:r>
              <w:rPr>
                <w:rFonts w:hint="eastAsia"/>
                <w:sz w:val="28"/>
              </w:rPr>
              <w:t>质量项</w:t>
            </w:r>
          </w:p>
        </w:tc>
        <w:tc>
          <w:tcPr>
            <w:tcW w:w="7229" w:type="dxa"/>
            <w:gridSpan w:val="2"/>
          </w:tcPr>
          <w:p>
            <w:pPr>
              <w:adjustRightInd w:val="0"/>
              <w:spacing w:line="360" w:lineRule="auto"/>
              <w:jc w:val="center"/>
              <w:rPr>
                <w:sz w:val="28"/>
              </w:rPr>
            </w:pPr>
            <w:r>
              <w:rPr>
                <w:rFonts w:hint="eastAsia"/>
                <w:sz w:val="28"/>
              </w:rPr>
              <w:t>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restart"/>
          </w:tcPr>
          <w:p>
            <w:pPr>
              <w:adjustRightInd w:val="0"/>
              <w:spacing w:line="360" w:lineRule="auto"/>
              <w:rPr>
                <w:sz w:val="28"/>
              </w:rPr>
            </w:pPr>
            <w:r>
              <w:rPr>
                <w:rFonts w:hint="eastAsia"/>
                <w:sz w:val="28"/>
              </w:rPr>
              <w:t>1</w:t>
            </w:r>
          </w:p>
        </w:tc>
        <w:tc>
          <w:tcPr>
            <w:tcW w:w="1217" w:type="dxa"/>
            <w:vMerge w:val="restart"/>
          </w:tcPr>
          <w:p>
            <w:pPr>
              <w:adjustRightInd w:val="0"/>
              <w:spacing w:line="360" w:lineRule="auto"/>
              <w:rPr>
                <w:sz w:val="28"/>
              </w:rPr>
            </w:pPr>
            <w:r>
              <w:rPr>
                <w:rFonts w:hint="eastAsia"/>
                <w:sz w:val="28"/>
              </w:rPr>
              <w:t>图像存储</w:t>
            </w:r>
          </w:p>
        </w:tc>
        <w:tc>
          <w:tcPr>
            <w:tcW w:w="1134" w:type="dxa"/>
            <w:vMerge w:val="restart"/>
          </w:tcPr>
          <w:p>
            <w:pPr>
              <w:adjustRightInd w:val="0"/>
              <w:spacing w:line="360" w:lineRule="auto"/>
              <w:rPr>
                <w:sz w:val="28"/>
              </w:rPr>
            </w:pPr>
            <w:r>
              <w:rPr>
                <w:rFonts w:hint="eastAsia"/>
                <w:sz w:val="28"/>
              </w:rPr>
              <w:t>自洽性</w:t>
            </w:r>
          </w:p>
        </w:tc>
        <w:tc>
          <w:tcPr>
            <w:tcW w:w="6095" w:type="dxa"/>
          </w:tcPr>
          <w:p>
            <w:pPr>
              <w:adjustRightInd w:val="0"/>
              <w:spacing w:line="360" w:lineRule="auto"/>
              <w:rPr>
                <w:sz w:val="28"/>
              </w:rPr>
            </w:pPr>
            <w:r>
              <w:rPr>
                <w:rFonts w:hint="eastAsia"/>
                <w:sz w:val="28"/>
              </w:rPr>
              <w:t>图像存储应遵循国家标准，彩色图像采用JPG等业内通用格式。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continue"/>
          </w:tcPr>
          <w:p>
            <w:pPr>
              <w:adjustRightInd w:val="0"/>
              <w:spacing w:line="360" w:lineRule="auto"/>
              <w:rPr>
                <w:sz w:val="28"/>
              </w:rPr>
            </w:pPr>
          </w:p>
        </w:tc>
        <w:tc>
          <w:tcPr>
            <w:tcW w:w="1217" w:type="dxa"/>
            <w:vMerge w:val="continue"/>
          </w:tcPr>
          <w:p>
            <w:pPr>
              <w:adjustRightInd w:val="0"/>
              <w:spacing w:line="360" w:lineRule="auto"/>
              <w:rPr>
                <w:sz w:val="28"/>
              </w:rPr>
            </w:pPr>
          </w:p>
        </w:tc>
        <w:tc>
          <w:tcPr>
            <w:tcW w:w="1134" w:type="dxa"/>
            <w:vMerge w:val="continue"/>
          </w:tcPr>
          <w:p>
            <w:pPr>
              <w:adjustRightInd w:val="0"/>
              <w:spacing w:line="360" w:lineRule="auto"/>
              <w:rPr>
                <w:sz w:val="28"/>
              </w:rPr>
            </w:pPr>
          </w:p>
        </w:tc>
        <w:tc>
          <w:tcPr>
            <w:tcW w:w="6095" w:type="dxa"/>
          </w:tcPr>
          <w:p>
            <w:pPr>
              <w:adjustRightInd w:val="0"/>
              <w:spacing w:line="360" w:lineRule="auto"/>
              <w:rPr>
                <w:sz w:val="28"/>
              </w:rPr>
            </w:pPr>
            <w:r>
              <w:rPr>
                <w:rFonts w:hint="eastAsia"/>
                <w:sz w:val="28"/>
              </w:rPr>
              <w:t>同一个文件的所有图像存储在同一个磁盘文件夹下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continue"/>
          </w:tcPr>
          <w:p>
            <w:pPr>
              <w:adjustRightInd w:val="0"/>
              <w:spacing w:line="360" w:lineRule="auto"/>
              <w:rPr>
                <w:sz w:val="28"/>
              </w:rPr>
            </w:pPr>
          </w:p>
        </w:tc>
        <w:tc>
          <w:tcPr>
            <w:tcW w:w="1217" w:type="dxa"/>
            <w:vMerge w:val="continue"/>
          </w:tcPr>
          <w:p>
            <w:pPr>
              <w:adjustRightInd w:val="0"/>
              <w:spacing w:line="360" w:lineRule="auto"/>
              <w:rPr>
                <w:sz w:val="28"/>
              </w:rPr>
            </w:pPr>
          </w:p>
        </w:tc>
        <w:tc>
          <w:tcPr>
            <w:tcW w:w="1134" w:type="dxa"/>
            <w:vMerge w:val="continue"/>
          </w:tcPr>
          <w:p>
            <w:pPr>
              <w:adjustRightInd w:val="0"/>
              <w:spacing w:line="360" w:lineRule="auto"/>
              <w:rPr>
                <w:sz w:val="28"/>
              </w:rPr>
            </w:pPr>
          </w:p>
        </w:tc>
        <w:tc>
          <w:tcPr>
            <w:tcW w:w="6095" w:type="dxa"/>
          </w:tcPr>
          <w:p>
            <w:pPr>
              <w:adjustRightInd w:val="0"/>
              <w:spacing w:line="360" w:lineRule="auto"/>
              <w:rPr>
                <w:sz w:val="28"/>
              </w:rPr>
            </w:pPr>
            <w:r>
              <w:rPr>
                <w:rFonts w:hint="eastAsia"/>
                <w:sz w:val="28"/>
              </w:rPr>
              <w:t>未经解密的涉密文件的图像信息需单独保存在涉密机上，不得提供网络利用。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restart"/>
          </w:tcPr>
          <w:p>
            <w:pPr>
              <w:adjustRightInd w:val="0"/>
              <w:spacing w:line="360" w:lineRule="auto"/>
              <w:rPr>
                <w:sz w:val="28"/>
              </w:rPr>
            </w:pPr>
            <w:r>
              <w:rPr>
                <w:rFonts w:hint="eastAsia"/>
                <w:sz w:val="28"/>
              </w:rPr>
              <w:t>2</w:t>
            </w:r>
          </w:p>
        </w:tc>
        <w:tc>
          <w:tcPr>
            <w:tcW w:w="1217" w:type="dxa"/>
            <w:vMerge w:val="restart"/>
          </w:tcPr>
          <w:p>
            <w:pPr>
              <w:adjustRightInd w:val="0"/>
              <w:spacing w:line="360" w:lineRule="auto"/>
              <w:rPr>
                <w:sz w:val="28"/>
              </w:rPr>
            </w:pPr>
            <w:r>
              <w:rPr>
                <w:rFonts w:hint="eastAsia"/>
                <w:sz w:val="28"/>
              </w:rPr>
              <w:t>视觉效果</w:t>
            </w:r>
          </w:p>
        </w:tc>
        <w:tc>
          <w:tcPr>
            <w:tcW w:w="1134" w:type="dxa"/>
            <w:vMerge w:val="restart"/>
          </w:tcPr>
          <w:p>
            <w:pPr>
              <w:adjustRightInd w:val="0"/>
              <w:spacing w:line="360" w:lineRule="auto"/>
              <w:rPr>
                <w:sz w:val="28"/>
              </w:rPr>
            </w:pPr>
            <w:r>
              <w:rPr>
                <w:rFonts w:hint="eastAsia"/>
                <w:sz w:val="28"/>
              </w:rPr>
              <w:t>真实性</w:t>
            </w:r>
          </w:p>
        </w:tc>
        <w:tc>
          <w:tcPr>
            <w:tcW w:w="6095" w:type="dxa"/>
          </w:tcPr>
          <w:p>
            <w:pPr>
              <w:adjustRightInd w:val="0"/>
              <w:spacing w:line="360" w:lineRule="auto"/>
              <w:rPr>
                <w:sz w:val="28"/>
              </w:rPr>
            </w:pPr>
            <w:r>
              <w:rPr>
                <w:rFonts w:hint="eastAsia"/>
                <w:sz w:val="28"/>
              </w:rPr>
              <w:t>图像文件的色彩、亮度、对比度等参数应接近或符合档案实体历史原貌，不影响档案可读可懂性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continue"/>
          </w:tcPr>
          <w:p>
            <w:pPr>
              <w:adjustRightInd w:val="0"/>
              <w:spacing w:line="360" w:lineRule="auto"/>
              <w:rPr>
                <w:sz w:val="28"/>
              </w:rPr>
            </w:pPr>
          </w:p>
        </w:tc>
        <w:tc>
          <w:tcPr>
            <w:tcW w:w="1217" w:type="dxa"/>
            <w:vMerge w:val="continue"/>
          </w:tcPr>
          <w:p>
            <w:pPr>
              <w:adjustRightInd w:val="0"/>
              <w:spacing w:line="360" w:lineRule="auto"/>
              <w:rPr>
                <w:sz w:val="28"/>
              </w:rPr>
            </w:pPr>
          </w:p>
        </w:tc>
        <w:tc>
          <w:tcPr>
            <w:tcW w:w="1134" w:type="dxa"/>
            <w:vMerge w:val="continue"/>
          </w:tcPr>
          <w:p>
            <w:pPr>
              <w:adjustRightInd w:val="0"/>
              <w:spacing w:line="360" w:lineRule="auto"/>
              <w:rPr>
                <w:sz w:val="28"/>
              </w:rPr>
            </w:pPr>
          </w:p>
        </w:tc>
        <w:tc>
          <w:tcPr>
            <w:tcW w:w="6095" w:type="dxa"/>
          </w:tcPr>
          <w:p>
            <w:pPr>
              <w:adjustRightInd w:val="0"/>
              <w:spacing w:line="360" w:lineRule="auto"/>
              <w:rPr>
                <w:sz w:val="28"/>
              </w:rPr>
            </w:pPr>
            <w:r>
              <w:rPr>
                <w:rFonts w:hint="eastAsia"/>
                <w:sz w:val="28"/>
              </w:rPr>
              <w:t>图像文件顺序排列正确、不缺页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continue"/>
          </w:tcPr>
          <w:p>
            <w:pPr>
              <w:adjustRightInd w:val="0"/>
              <w:spacing w:line="360" w:lineRule="auto"/>
              <w:rPr>
                <w:sz w:val="28"/>
              </w:rPr>
            </w:pPr>
          </w:p>
        </w:tc>
        <w:tc>
          <w:tcPr>
            <w:tcW w:w="1217" w:type="dxa"/>
            <w:vMerge w:val="continue"/>
          </w:tcPr>
          <w:p>
            <w:pPr>
              <w:adjustRightInd w:val="0"/>
              <w:spacing w:line="360" w:lineRule="auto"/>
              <w:rPr>
                <w:sz w:val="28"/>
              </w:rPr>
            </w:pPr>
          </w:p>
        </w:tc>
        <w:tc>
          <w:tcPr>
            <w:tcW w:w="1134" w:type="dxa"/>
            <w:vMerge w:val="restart"/>
          </w:tcPr>
          <w:p>
            <w:pPr>
              <w:adjustRightInd w:val="0"/>
              <w:spacing w:line="360" w:lineRule="auto"/>
              <w:rPr>
                <w:sz w:val="28"/>
              </w:rPr>
            </w:pPr>
            <w:r>
              <w:rPr>
                <w:rFonts w:hint="eastAsia"/>
                <w:sz w:val="28"/>
              </w:rPr>
              <w:t>可靠性</w:t>
            </w:r>
          </w:p>
        </w:tc>
        <w:tc>
          <w:tcPr>
            <w:tcW w:w="6095" w:type="dxa"/>
          </w:tcPr>
          <w:p>
            <w:pPr>
              <w:adjustRightInd w:val="0"/>
              <w:spacing w:line="360" w:lineRule="auto"/>
              <w:rPr>
                <w:sz w:val="28"/>
              </w:rPr>
            </w:pPr>
            <w:r>
              <w:rPr>
                <w:rFonts w:hint="eastAsia"/>
                <w:sz w:val="28"/>
              </w:rPr>
              <w:t>图像文件的清晰度应符合要求，在</w:t>
            </w:r>
            <w:r>
              <w:rPr>
                <w:sz w:val="28"/>
              </w:rPr>
              <w:t>3</w:t>
            </w:r>
            <w:r>
              <w:rPr>
                <w:rFonts w:hint="eastAsia"/>
                <w:sz w:val="28"/>
              </w:rPr>
              <w:t>00DPI分辨率且放大到30%的情况下看不到明显的污点和噪点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continue"/>
          </w:tcPr>
          <w:p>
            <w:pPr>
              <w:adjustRightInd w:val="0"/>
              <w:spacing w:line="360" w:lineRule="auto"/>
              <w:rPr>
                <w:sz w:val="28"/>
              </w:rPr>
            </w:pPr>
          </w:p>
        </w:tc>
        <w:tc>
          <w:tcPr>
            <w:tcW w:w="1217" w:type="dxa"/>
            <w:vMerge w:val="continue"/>
          </w:tcPr>
          <w:p>
            <w:pPr>
              <w:adjustRightInd w:val="0"/>
              <w:spacing w:line="360" w:lineRule="auto"/>
              <w:rPr>
                <w:sz w:val="28"/>
              </w:rPr>
            </w:pPr>
          </w:p>
        </w:tc>
        <w:tc>
          <w:tcPr>
            <w:tcW w:w="1134" w:type="dxa"/>
            <w:vMerge w:val="continue"/>
          </w:tcPr>
          <w:p>
            <w:pPr>
              <w:adjustRightInd w:val="0"/>
              <w:spacing w:line="360" w:lineRule="auto"/>
              <w:rPr>
                <w:sz w:val="28"/>
              </w:rPr>
            </w:pPr>
          </w:p>
        </w:tc>
        <w:tc>
          <w:tcPr>
            <w:tcW w:w="6095" w:type="dxa"/>
          </w:tcPr>
          <w:p>
            <w:pPr>
              <w:adjustRightInd w:val="0"/>
              <w:spacing w:line="360" w:lineRule="auto"/>
              <w:rPr>
                <w:sz w:val="28"/>
              </w:rPr>
            </w:pPr>
            <w:r>
              <w:rPr>
                <w:rFonts w:hint="eastAsia"/>
                <w:sz w:val="28"/>
              </w:rPr>
              <w:t>图像不能有黑边或歪斜现象，水平倾斜度小于1度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vMerge w:val="continue"/>
          </w:tcPr>
          <w:p>
            <w:pPr>
              <w:adjustRightInd w:val="0"/>
              <w:spacing w:line="360" w:lineRule="auto"/>
              <w:rPr>
                <w:sz w:val="28"/>
              </w:rPr>
            </w:pPr>
          </w:p>
        </w:tc>
        <w:tc>
          <w:tcPr>
            <w:tcW w:w="1217" w:type="dxa"/>
            <w:vMerge w:val="continue"/>
          </w:tcPr>
          <w:p>
            <w:pPr>
              <w:adjustRightInd w:val="0"/>
              <w:spacing w:line="360" w:lineRule="auto"/>
              <w:rPr>
                <w:sz w:val="28"/>
              </w:rPr>
            </w:pPr>
          </w:p>
        </w:tc>
        <w:tc>
          <w:tcPr>
            <w:tcW w:w="1134" w:type="dxa"/>
            <w:vMerge w:val="continue"/>
          </w:tcPr>
          <w:p>
            <w:pPr>
              <w:adjustRightInd w:val="0"/>
              <w:spacing w:line="360" w:lineRule="auto"/>
              <w:rPr>
                <w:sz w:val="28"/>
              </w:rPr>
            </w:pPr>
          </w:p>
        </w:tc>
        <w:tc>
          <w:tcPr>
            <w:tcW w:w="6095" w:type="dxa"/>
          </w:tcPr>
          <w:p>
            <w:pPr>
              <w:adjustRightInd w:val="0"/>
              <w:spacing w:line="360" w:lineRule="auto"/>
              <w:rPr>
                <w:sz w:val="28"/>
              </w:rPr>
            </w:pPr>
            <w:r>
              <w:rPr>
                <w:rFonts w:hint="eastAsia"/>
                <w:sz w:val="28"/>
              </w:rPr>
              <w:t>档案原件存在破损或装订压字等情况的应修复后再进行扫描。无法修复的应保持档案原貌，并在备考表中注明。</w:t>
            </w:r>
          </w:p>
        </w:tc>
      </w:tr>
    </w:tbl>
    <w:p>
      <w:pPr>
        <w:pStyle w:val="24"/>
        <w:numPr>
          <w:ilvl w:val="2"/>
          <w:numId w:val="12"/>
        </w:numPr>
        <w:tabs>
          <w:tab w:val="left" w:pos="851"/>
          <w:tab w:val="left" w:pos="993"/>
        </w:tabs>
        <w:spacing w:line="360" w:lineRule="auto"/>
        <w:ind w:hanging="1418" w:firstLineChars="0"/>
        <w:outlineLvl w:val="2"/>
        <w:rPr>
          <w:rFonts w:ascii="宋体" w:hAnsi="宋体" w:cs="宋体"/>
          <w:b/>
          <w:sz w:val="28"/>
          <w:szCs w:val="28"/>
        </w:rPr>
      </w:pPr>
      <w:r>
        <w:rPr>
          <w:rFonts w:hint="eastAsia" w:ascii="宋体" w:hAnsi="宋体" w:cs="宋体"/>
          <w:b/>
          <w:sz w:val="28"/>
          <w:szCs w:val="28"/>
        </w:rPr>
        <w:t>场地及环境说明</w:t>
      </w:r>
    </w:p>
    <w:p>
      <w:pPr>
        <w:pStyle w:val="22"/>
        <w:numPr>
          <w:ilvl w:val="0"/>
          <w:numId w:val="21"/>
        </w:numPr>
        <w:spacing w:line="360" w:lineRule="auto"/>
        <w:ind w:firstLine="560"/>
        <w:rPr>
          <w:sz w:val="28"/>
        </w:rPr>
      </w:pPr>
      <w:r>
        <w:rPr>
          <w:rFonts w:hint="eastAsia"/>
          <w:sz w:val="28"/>
        </w:rPr>
        <w:t>我馆可以为数字化加工工作提供加工场地。数字化加工所需的设备和耗材等，需要项目中标方负责提供；</w:t>
      </w:r>
    </w:p>
    <w:p>
      <w:pPr>
        <w:pStyle w:val="22"/>
        <w:numPr>
          <w:ilvl w:val="0"/>
          <w:numId w:val="21"/>
        </w:numPr>
        <w:spacing w:line="360" w:lineRule="auto"/>
        <w:ind w:firstLine="560"/>
        <w:rPr>
          <w:sz w:val="28"/>
        </w:rPr>
      </w:pPr>
      <w:r>
        <w:rPr>
          <w:rFonts w:hint="eastAsia"/>
          <w:sz w:val="28"/>
        </w:rPr>
        <w:t>投标商需自备档案数字化加工必要的专业技术和相应的软硬件设备进场加工；</w:t>
      </w:r>
    </w:p>
    <w:p>
      <w:pPr>
        <w:pStyle w:val="22"/>
        <w:numPr>
          <w:ilvl w:val="0"/>
          <w:numId w:val="21"/>
        </w:numPr>
        <w:spacing w:line="360" w:lineRule="auto"/>
        <w:ind w:firstLine="560"/>
        <w:rPr>
          <w:sz w:val="28"/>
        </w:rPr>
      </w:pPr>
      <w:r>
        <w:rPr>
          <w:rFonts w:hint="eastAsia"/>
          <w:sz w:val="28"/>
        </w:rPr>
        <w:t>针对本项目需求提出完整的解决方案，提出纸张质地状况较差档案扫描的实现方法，确保较薄纸张、破损纸张、底灰较深、字迹较浅等纸张质地状况较差的档案扫描图像清晰，又不损伤档案原件；</w:t>
      </w:r>
    </w:p>
    <w:p>
      <w:pPr>
        <w:pStyle w:val="22"/>
        <w:numPr>
          <w:ilvl w:val="0"/>
          <w:numId w:val="21"/>
        </w:numPr>
        <w:spacing w:line="360" w:lineRule="auto"/>
        <w:ind w:firstLine="560"/>
        <w:rPr>
          <w:sz w:val="28"/>
        </w:rPr>
      </w:pPr>
      <w:r>
        <w:rPr>
          <w:rFonts w:hint="eastAsia"/>
          <w:sz w:val="28"/>
        </w:rPr>
        <w:t>提供档案加工作业流程控制方案、设备及人员配置，质量控制及差错防范措施。申请人须在投标方案中明确加工场地规划，说明所配备的硬件数量及规格，软件和网络环境；</w:t>
      </w:r>
    </w:p>
    <w:p>
      <w:pPr>
        <w:pStyle w:val="22"/>
        <w:numPr>
          <w:ilvl w:val="0"/>
          <w:numId w:val="21"/>
        </w:numPr>
        <w:spacing w:line="360" w:lineRule="auto"/>
        <w:ind w:firstLine="560"/>
        <w:rPr>
          <w:sz w:val="28"/>
        </w:rPr>
      </w:pPr>
      <w:r>
        <w:rPr>
          <w:rFonts w:hint="eastAsia"/>
          <w:sz w:val="28"/>
        </w:rPr>
        <w:t>投标方需自备无死角有线视频监控设备；</w:t>
      </w:r>
    </w:p>
    <w:p>
      <w:pPr>
        <w:pStyle w:val="22"/>
        <w:numPr>
          <w:ilvl w:val="0"/>
          <w:numId w:val="21"/>
        </w:numPr>
        <w:spacing w:line="360" w:lineRule="auto"/>
        <w:ind w:firstLine="560"/>
        <w:rPr>
          <w:sz w:val="28"/>
        </w:rPr>
      </w:pPr>
      <w:r>
        <w:rPr>
          <w:rFonts w:hint="eastAsia"/>
          <w:sz w:val="28"/>
        </w:rPr>
        <w:t>投标人必须在投标文件中明确数字化加工现场的安全、保密、人员管理制度；</w:t>
      </w:r>
    </w:p>
    <w:p>
      <w:pPr>
        <w:pStyle w:val="22"/>
        <w:numPr>
          <w:ilvl w:val="0"/>
          <w:numId w:val="21"/>
        </w:numPr>
        <w:spacing w:line="360" w:lineRule="auto"/>
        <w:ind w:firstLine="560"/>
        <w:rPr>
          <w:sz w:val="28"/>
        </w:rPr>
      </w:pPr>
      <w:r>
        <w:rPr>
          <w:rFonts w:hint="eastAsia"/>
          <w:sz w:val="28"/>
        </w:rPr>
        <w:t>确保在扫描过程中不对档案原件造成二次损伤；</w:t>
      </w:r>
    </w:p>
    <w:p>
      <w:pPr>
        <w:pStyle w:val="22"/>
        <w:numPr>
          <w:ilvl w:val="0"/>
          <w:numId w:val="21"/>
        </w:numPr>
        <w:spacing w:line="360" w:lineRule="auto"/>
        <w:ind w:firstLine="560"/>
        <w:rPr>
          <w:sz w:val="28"/>
        </w:rPr>
      </w:pPr>
      <w:r>
        <w:rPr>
          <w:rFonts w:hint="eastAsia"/>
          <w:sz w:val="28"/>
        </w:rPr>
        <w:t>中标单位需要采用专业的档案数字化流程管理系统来对本次项目中涉及的所有数字化加工流程进行管理；</w:t>
      </w:r>
    </w:p>
    <w:p>
      <w:pPr>
        <w:pStyle w:val="24"/>
        <w:numPr>
          <w:ilvl w:val="2"/>
          <w:numId w:val="12"/>
        </w:numPr>
        <w:tabs>
          <w:tab w:val="left" w:pos="851"/>
          <w:tab w:val="left" w:pos="993"/>
        </w:tabs>
        <w:spacing w:line="360" w:lineRule="auto"/>
        <w:ind w:hanging="1418" w:firstLineChars="0"/>
        <w:outlineLvl w:val="2"/>
        <w:rPr>
          <w:rFonts w:ascii="宋体" w:hAnsi="宋体" w:cs="宋体"/>
          <w:b/>
          <w:sz w:val="28"/>
          <w:szCs w:val="28"/>
        </w:rPr>
      </w:pPr>
      <w:r>
        <w:rPr>
          <w:rFonts w:hint="eastAsia" w:ascii="宋体" w:hAnsi="宋体" w:cs="宋体"/>
          <w:b/>
          <w:sz w:val="28"/>
          <w:szCs w:val="28"/>
        </w:rPr>
        <w:t>档案尺寸及数字化成果说明</w:t>
      </w:r>
    </w:p>
    <w:p>
      <w:pPr>
        <w:pStyle w:val="24"/>
        <w:tabs>
          <w:tab w:val="left" w:pos="851"/>
          <w:tab w:val="left" w:pos="993"/>
        </w:tabs>
        <w:spacing w:line="360" w:lineRule="auto"/>
        <w:ind w:firstLine="560"/>
        <w:outlineLvl w:val="2"/>
        <w:rPr>
          <w:rFonts w:ascii="宋体" w:hAnsi="宋体" w:cs="宋体"/>
          <w:sz w:val="28"/>
          <w:szCs w:val="28"/>
        </w:rPr>
      </w:pPr>
      <w:r>
        <w:rPr>
          <w:rFonts w:hint="eastAsia" w:ascii="宋体" w:hAnsi="宋体" w:cs="宋体"/>
          <w:sz w:val="28"/>
          <w:szCs w:val="28"/>
        </w:rPr>
        <w:t>1</w:t>
      </w:r>
      <w:r>
        <w:rPr>
          <w:rFonts w:ascii="宋体" w:hAnsi="宋体" w:cs="宋体"/>
          <w:sz w:val="28"/>
          <w:szCs w:val="28"/>
        </w:rPr>
        <w:t>.</w:t>
      </w:r>
      <w:r>
        <w:rPr>
          <w:rFonts w:hint="eastAsia" w:ascii="宋体" w:hAnsi="宋体" w:cs="宋体"/>
          <w:sz w:val="28"/>
          <w:szCs w:val="28"/>
        </w:rPr>
        <w:t>馆藏档案档案原貌为大部分为B5、A4幅面形式，少部分A3幅面；</w:t>
      </w:r>
    </w:p>
    <w:p>
      <w:pPr>
        <w:pStyle w:val="24"/>
        <w:tabs>
          <w:tab w:val="left" w:pos="851"/>
          <w:tab w:val="left" w:pos="993"/>
        </w:tabs>
        <w:spacing w:line="360" w:lineRule="auto"/>
        <w:ind w:firstLine="560"/>
        <w:outlineLvl w:val="2"/>
        <w:rPr>
          <w:rFonts w:ascii="宋体" w:hAnsi="宋体" w:cs="宋体"/>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数字化成果提供中标单位需刻录蓝光光盘及提供胶封目录成册；</w:t>
      </w:r>
    </w:p>
    <w:p>
      <w:pPr>
        <w:pStyle w:val="24"/>
        <w:tabs>
          <w:tab w:val="left" w:pos="851"/>
          <w:tab w:val="left" w:pos="993"/>
        </w:tabs>
        <w:spacing w:line="360" w:lineRule="auto"/>
        <w:ind w:firstLine="560"/>
        <w:outlineLvl w:val="2"/>
        <w:rPr>
          <w:rFonts w:ascii="宋体" w:hAnsi="宋体" w:cs="宋体"/>
          <w:sz w:val="28"/>
          <w:szCs w:val="28"/>
        </w:rPr>
      </w:pPr>
      <w:r>
        <w:rPr>
          <w:rFonts w:hint="eastAsia" w:ascii="宋体" w:hAnsi="宋体" w:cs="宋体"/>
          <w:sz w:val="28"/>
          <w:szCs w:val="28"/>
        </w:rPr>
        <w:t>3</w:t>
      </w:r>
      <w:r>
        <w:rPr>
          <w:rFonts w:ascii="宋体" w:hAnsi="宋体" w:cs="宋体"/>
          <w:sz w:val="28"/>
          <w:szCs w:val="28"/>
        </w:rPr>
        <w:t>.</w:t>
      </w:r>
      <w:r>
        <w:rPr>
          <w:rFonts w:hint="eastAsia" w:ascii="宋体" w:hAnsi="宋体" w:cs="宋体"/>
          <w:sz w:val="28"/>
          <w:szCs w:val="28"/>
        </w:rPr>
        <w:t>以上数字化项目所需蓝光光盘及部分耗材由呼伦贝尔市档案馆提供。</w:t>
      </w:r>
    </w:p>
    <w:p>
      <w:pPr>
        <w:pStyle w:val="24"/>
        <w:numPr>
          <w:ilvl w:val="2"/>
          <w:numId w:val="12"/>
        </w:numPr>
        <w:tabs>
          <w:tab w:val="left" w:pos="851"/>
          <w:tab w:val="left" w:pos="993"/>
        </w:tabs>
        <w:spacing w:line="360" w:lineRule="auto"/>
        <w:ind w:hanging="1418" w:firstLineChars="0"/>
        <w:outlineLvl w:val="2"/>
        <w:rPr>
          <w:rFonts w:ascii="宋体" w:hAnsi="宋体" w:cs="宋体"/>
          <w:b/>
          <w:sz w:val="28"/>
          <w:szCs w:val="28"/>
        </w:rPr>
      </w:pPr>
      <w:r>
        <w:rPr>
          <w:rFonts w:hint="eastAsia" w:ascii="宋体" w:hAnsi="宋体" w:cs="宋体"/>
          <w:b/>
          <w:sz w:val="28"/>
          <w:szCs w:val="28"/>
        </w:rPr>
        <w:t>项目完成时限</w:t>
      </w:r>
    </w:p>
    <w:p>
      <w:pPr>
        <w:pStyle w:val="22"/>
        <w:numPr>
          <w:ilvl w:val="0"/>
          <w:numId w:val="22"/>
        </w:numPr>
        <w:spacing w:line="360" w:lineRule="auto"/>
        <w:rPr>
          <w:sz w:val="28"/>
        </w:rPr>
      </w:pPr>
      <w:r>
        <w:rPr>
          <w:rFonts w:hint="eastAsia"/>
          <w:sz w:val="28"/>
        </w:rPr>
        <w:t>项目完成时间：合同方签订后</w:t>
      </w:r>
      <w:r>
        <w:rPr>
          <w:sz w:val="28"/>
        </w:rPr>
        <w:t>120</w:t>
      </w:r>
      <w:r>
        <w:rPr>
          <w:rFonts w:hint="eastAsia"/>
          <w:sz w:val="28"/>
          <w:lang w:eastAsia="zh-CN"/>
        </w:rPr>
        <w:t>日历天</w:t>
      </w:r>
      <w:r>
        <w:rPr>
          <w:rFonts w:hint="eastAsia"/>
          <w:sz w:val="28"/>
        </w:rPr>
        <w:t>。</w:t>
      </w:r>
    </w:p>
    <w:p>
      <w:pPr>
        <w:pStyle w:val="24"/>
        <w:numPr>
          <w:ilvl w:val="2"/>
          <w:numId w:val="12"/>
        </w:numPr>
        <w:tabs>
          <w:tab w:val="left" w:pos="851"/>
          <w:tab w:val="left" w:pos="993"/>
        </w:tabs>
        <w:spacing w:line="360" w:lineRule="auto"/>
        <w:ind w:hanging="1418" w:firstLineChars="0"/>
        <w:outlineLvl w:val="2"/>
        <w:rPr>
          <w:rFonts w:ascii="宋体" w:hAnsi="宋体" w:cs="宋体"/>
          <w:b/>
          <w:sz w:val="28"/>
          <w:szCs w:val="28"/>
        </w:rPr>
      </w:pPr>
      <w:r>
        <w:rPr>
          <w:rFonts w:hint="eastAsia" w:ascii="宋体" w:hAnsi="宋体" w:cs="宋体"/>
          <w:b/>
          <w:sz w:val="28"/>
          <w:szCs w:val="28"/>
        </w:rPr>
        <w:t>项目费用构成</w:t>
      </w:r>
    </w:p>
    <w:p>
      <w:pPr>
        <w:spacing w:line="360" w:lineRule="auto"/>
        <w:ind w:left="220" w:leftChars="100" w:firstLine="280" w:firstLineChars="100"/>
        <w:rPr>
          <w:sz w:val="28"/>
        </w:rPr>
      </w:pPr>
      <w:r>
        <w:rPr>
          <w:rFonts w:hint="eastAsia"/>
          <w:sz w:val="28"/>
        </w:rPr>
        <w:t>1</w:t>
      </w:r>
      <w:r>
        <w:rPr>
          <w:sz w:val="28"/>
        </w:rPr>
        <w:t>.</w:t>
      </w:r>
      <w:r>
        <w:rPr>
          <w:rFonts w:hint="eastAsia"/>
          <w:sz w:val="28"/>
        </w:rPr>
        <w:t>档案数字化加工费价格为2</w:t>
      </w:r>
      <w:r>
        <w:rPr>
          <w:sz w:val="28"/>
        </w:rPr>
        <w:t>49,700.00</w:t>
      </w:r>
      <w:r>
        <w:rPr>
          <w:rFonts w:hint="eastAsia"/>
          <w:sz w:val="28"/>
        </w:rPr>
        <w:t>元。</w:t>
      </w:r>
    </w:p>
    <w:p>
      <w:pPr>
        <w:pStyle w:val="24"/>
        <w:numPr>
          <w:ilvl w:val="2"/>
          <w:numId w:val="12"/>
        </w:numPr>
        <w:tabs>
          <w:tab w:val="left" w:pos="851"/>
          <w:tab w:val="left" w:pos="993"/>
        </w:tabs>
        <w:spacing w:line="360" w:lineRule="auto"/>
        <w:ind w:hanging="1418" w:firstLineChars="0"/>
        <w:outlineLvl w:val="2"/>
        <w:rPr>
          <w:rFonts w:ascii="宋体" w:hAnsi="宋体" w:cs="宋体"/>
          <w:b/>
          <w:sz w:val="28"/>
          <w:szCs w:val="28"/>
        </w:rPr>
      </w:pPr>
      <w:r>
        <w:rPr>
          <w:rFonts w:hint="eastAsia" w:ascii="宋体" w:hAnsi="宋体" w:cs="宋体"/>
          <w:b/>
          <w:sz w:val="28"/>
          <w:szCs w:val="28"/>
        </w:rPr>
        <w:t>投标人要求</w:t>
      </w:r>
    </w:p>
    <w:p>
      <w:pPr>
        <w:spacing w:line="360" w:lineRule="auto"/>
        <w:ind w:left="425"/>
        <w:rPr>
          <w:bCs/>
          <w:sz w:val="28"/>
        </w:rPr>
      </w:pPr>
      <w:r>
        <w:rPr>
          <w:rFonts w:hint="eastAsia"/>
          <w:bCs/>
          <w:sz w:val="28"/>
        </w:rPr>
        <w:t>1</w:t>
      </w:r>
      <w:r>
        <w:rPr>
          <w:bCs/>
          <w:sz w:val="28"/>
        </w:rPr>
        <w:t>.</w:t>
      </w:r>
      <w:r>
        <w:rPr>
          <w:rFonts w:hint="eastAsia"/>
          <w:bCs/>
          <w:sz w:val="28"/>
        </w:rPr>
        <w:t>供应商的资格要求:</w:t>
      </w:r>
    </w:p>
    <w:p>
      <w:pPr>
        <w:pStyle w:val="22"/>
        <w:spacing w:line="360" w:lineRule="auto"/>
        <w:ind w:left="425" w:firstLine="0"/>
        <w:rPr>
          <w:sz w:val="28"/>
        </w:rPr>
      </w:pPr>
      <w:r>
        <w:rPr>
          <w:rFonts w:hint="eastAsia"/>
          <w:sz w:val="28"/>
        </w:rPr>
        <w:t>具备《中华人民共和国政府采购法》第二十二条规定的条件。</w:t>
      </w:r>
    </w:p>
    <w:p>
      <w:pPr>
        <w:pStyle w:val="22"/>
        <w:numPr>
          <w:ilvl w:val="0"/>
          <w:numId w:val="1"/>
        </w:numPr>
        <w:spacing w:line="360" w:lineRule="auto"/>
        <w:rPr>
          <w:bCs/>
          <w:sz w:val="28"/>
        </w:rPr>
      </w:pPr>
      <w:r>
        <w:rPr>
          <w:rFonts w:hint="eastAsia"/>
          <w:bCs/>
          <w:sz w:val="28"/>
        </w:rPr>
        <w:t>投标人及投标服务的资格性证明文件：</w:t>
      </w:r>
    </w:p>
    <w:p>
      <w:pPr>
        <w:pStyle w:val="22"/>
        <w:numPr>
          <w:ilvl w:val="0"/>
          <w:numId w:val="23"/>
        </w:numPr>
        <w:spacing w:line="360" w:lineRule="auto"/>
        <w:rPr>
          <w:sz w:val="28"/>
        </w:rPr>
      </w:pPr>
      <w:r>
        <w:rPr>
          <w:rFonts w:hint="eastAsia"/>
          <w:sz w:val="28"/>
        </w:rPr>
        <w:t>法人或其他组织的营业执照副本、自然人的身份证明；</w:t>
      </w:r>
    </w:p>
    <w:p>
      <w:pPr>
        <w:pStyle w:val="22"/>
        <w:numPr>
          <w:ilvl w:val="0"/>
          <w:numId w:val="23"/>
        </w:numPr>
        <w:spacing w:line="360" w:lineRule="auto"/>
        <w:rPr>
          <w:sz w:val="28"/>
        </w:rPr>
      </w:pPr>
      <w:r>
        <w:rPr>
          <w:rFonts w:hint="eastAsia"/>
          <w:sz w:val="28"/>
        </w:rPr>
        <w:t>委托代表投标时的法人代表授权书原件；</w:t>
      </w:r>
    </w:p>
    <w:p>
      <w:pPr>
        <w:pStyle w:val="22"/>
        <w:numPr>
          <w:ilvl w:val="0"/>
          <w:numId w:val="23"/>
        </w:numPr>
        <w:spacing w:line="360" w:lineRule="auto"/>
        <w:rPr>
          <w:sz w:val="28"/>
        </w:rPr>
      </w:pPr>
      <w:r>
        <w:rPr>
          <w:rFonts w:hint="eastAsia"/>
          <w:sz w:val="28"/>
        </w:rPr>
        <w:t>投标人未发生过档案安全事故、泄密事件，无非法获取或非法持有档案、档案复印件、国家秘密载体等行为的书面承诺书；</w:t>
      </w:r>
    </w:p>
    <w:p>
      <w:pPr>
        <w:pStyle w:val="22"/>
        <w:numPr>
          <w:ilvl w:val="0"/>
          <w:numId w:val="23"/>
        </w:numPr>
        <w:spacing w:line="360" w:lineRule="auto"/>
        <w:rPr>
          <w:sz w:val="28"/>
        </w:rPr>
      </w:pPr>
      <w:r>
        <w:rPr>
          <w:rFonts w:hint="eastAsia"/>
          <w:sz w:val="28"/>
        </w:rPr>
        <w:t>投标人参加政府采购前三年内在经营活动中没有重大违法记录书面声明。（公司成立未满三年的，提供公司成立年度至今的书面声明；成立不足一年的公司提供成立至今的书面声明。）</w:t>
      </w:r>
    </w:p>
    <w:p>
      <w:pPr>
        <w:pStyle w:val="22"/>
        <w:numPr>
          <w:ilvl w:val="0"/>
          <w:numId w:val="23"/>
        </w:numPr>
        <w:spacing w:line="360" w:lineRule="auto"/>
        <w:rPr>
          <w:sz w:val="28"/>
        </w:rPr>
      </w:pPr>
      <w:r>
        <w:rPr>
          <w:rFonts w:hint="eastAsia"/>
          <w:sz w:val="28"/>
        </w:rPr>
        <w:t>本项目不接受联合体投标。</w:t>
      </w:r>
    </w:p>
    <w:p>
      <w:pPr>
        <w:pStyle w:val="24"/>
        <w:numPr>
          <w:ilvl w:val="2"/>
          <w:numId w:val="12"/>
        </w:numPr>
        <w:tabs>
          <w:tab w:val="left" w:pos="851"/>
          <w:tab w:val="left" w:pos="993"/>
        </w:tabs>
        <w:spacing w:line="360" w:lineRule="auto"/>
        <w:ind w:hanging="1418" w:firstLineChars="0"/>
        <w:outlineLvl w:val="2"/>
        <w:rPr>
          <w:rFonts w:ascii="宋体" w:hAnsi="宋体" w:cs="宋体"/>
          <w:b/>
          <w:sz w:val="28"/>
          <w:szCs w:val="28"/>
        </w:rPr>
      </w:pPr>
      <w:r>
        <w:rPr>
          <w:rFonts w:ascii="宋体" w:hAnsi="宋体" w:cs="宋体"/>
          <w:b/>
          <w:sz w:val="28"/>
          <w:szCs w:val="28"/>
        </w:rPr>
        <w:t xml:space="preserve"> </w:t>
      </w:r>
      <w:r>
        <w:rPr>
          <w:rFonts w:hint="eastAsia" w:ascii="宋体" w:hAnsi="宋体" w:cs="宋体"/>
          <w:b/>
          <w:sz w:val="28"/>
          <w:szCs w:val="28"/>
        </w:rPr>
        <w:t>中标条件</w:t>
      </w:r>
    </w:p>
    <w:p>
      <w:pPr>
        <w:pStyle w:val="24"/>
        <w:tabs>
          <w:tab w:val="left" w:pos="851"/>
          <w:tab w:val="left" w:pos="993"/>
        </w:tabs>
        <w:spacing w:line="360" w:lineRule="auto"/>
        <w:ind w:firstLineChars="0"/>
        <w:outlineLvl w:val="2"/>
        <w:rPr>
          <w:rFonts w:ascii="宋体" w:hAnsi="宋体" w:cs="宋体"/>
          <w:b/>
          <w:sz w:val="28"/>
          <w:szCs w:val="28"/>
        </w:rPr>
      </w:pPr>
      <w:r>
        <w:rPr>
          <w:rFonts w:hint="eastAsia" w:ascii="宋体" w:hAnsi="宋体" w:cs="宋体"/>
          <w:b/>
          <w:sz w:val="28"/>
          <w:szCs w:val="28"/>
        </w:rPr>
        <w:t>1</w:t>
      </w:r>
      <w:r>
        <w:rPr>
          <w:rFonts w:ascii="宋体" w:hAnsi="宋体" w:cs="宋体"/>
          <w:b/>
          <w:sz w:val="28"/>
          <w:szCs w:val="28"/>
        </w:rPr>
        <w:t>.</w:t>
      </w:r>
      <w:r>
        <w:rPr>
          <w:rFonts w:hint="eastAsia" w:ascii="宋体" w:hAnsi="宋体" w:cs="宋体"/>
          <w:b/>
          <w:sz w:val="28"/>
          <w:szCs w:val="28"/>
        </w:rPr>
        <w:t>采取竞争性谈判方式招标；</w:t>
      </w:r>
    </w:p>
    <w:p>
      <w:pPr>
        <w:pStyle w:val="24"/>
        <w:tabs>
          <w:tab w:val="left" w:pos="851"/>
          <w:tab w:val="left" w:pos="993"/>
        </w:tabs>
        <w:spacing w:line="360" w:lineRule="auto"/>
        <w:ind w:firstLineChars="0"/>
        <w:outlineLvl w:val="2"/>
        <w:rPr>
          <w:rFonts w:ascii="宋体" w:hAnsi="宋体" w:cs="宋体"/>
          <w:b/>
          <w:sz w:val="28"/>
          <w:szCs w:val="28"/>
          <w:highlight w:val="green"/>
        </w:rPr>
      </w:pPr>
      <w:r>
        <w:rPr>
          <w:rFonts w:ascii="宋体" w:hAnsi="宋体" w:cs="宋体"/>
          <w:b/>
          <w:sz w:val="28"/>
          <w:szCs w:val="28"/>
        </w:rPr>
        <w:t>2.</w:t>
      </w:r>
      <w:r>
        <w:rPr>
          <w:rFonts w:hint="eastAsia" w:ascii="宋体" w:hAnsi="宋体" w:cs="宋体"/>
          <w:b/>
          <w:sz w:val="28"/>
          <w:szCs w:val="28"/>
        </w:rPr>
        <w:t>特别说明：</w:t>
      </w:r>
      <w:r>
        <w:rPr>
          <w:rFonts w:hint="eastAsia"/>
          <w:b/>
          <w:sz w:val="28"/>
          <w:szCs w:val="28"/>
        </w:rPr>
        <w:t>本项目以“</w:t>
      </w:r>
      <w:r>
        <w:rPr>
          <w:rFonts w:hint="eastAsia" w:ascii="宋体" w:hAnsi="宋体" w:cs="宋体"/>
          <w:b/>
          <w:sz w:val="28"/>
          <w:szCs w:val="28"/>
        </w:rPr>
        <w:t>档案数字化加工费</w:t>
      </w:r>
      <w:r>
        <w:rPr>
          <w:rFonts w:hint="eastAsia"/>
          <w:b/>
          <w:sz w:val="28"/>
          <w:szCs w:val="28"/>
        </w:rPr>
        <w:t>”</w:t>
      </w:r>
      <w:r>
        <w:rPr>
          <w:rFonts w:hint="eastAsia" w:ascii="宋体" w:hAnsi="宋体" w:cs="宋体"/>
          <w:b/>
          <w:sz w:val="28"/>
          <w:szCs w:val="28"/>
        </w:rPr>
        <w:t>为谈判内容即满足以</w:t>
      </w:r>
      <w:r>
        <w:rPr>
          <w:rFonts w:hint="eastAsia" w:ascii="宋体" w:hAnsi="宋体" w:cs="宋体"/>
          <w:b/>
          <w:sz w:val="28"/>
        </w:rPr>
        <w:t>2</w:t>
      </w:r>
      <w:r>
        <w:rPr>
          <w:rFonts w:ascii="宋体" w:hAnsi="宋体" w:cs="宋体"/>
          <w:b/>
          <w:sz w:val="28"/>
        </w:rPr>
        <w:t>49,700</w:t>
      </w:r>
      <w:r>
        <w:rPr>
          <w:rFonts w:hint="eastAsia" w:ascii="宋体" w:hAnsi="宋体" w:cs="宋体"/>
          <w:b/>
          <w:sz w:val="28"/>
        </w:rPr>
        <w:t>元</w:t>
      </w:r>
      <w:r>
        <w:rPr>
          <w:rFonts w:hint="eastAsia" w:ascii="宋体" w:hAnsi="宋体" w:cs="宋体"/>
          <w:b/>
          <w:sz w:val="28"/>
          <w:szCs w:val="28"/>
        </w:rPr>
        <w:t>为基础，数字化加工扫描页数最少4</w:t>
      </w:r>
      <w:r>
        <w:rPr>
          <w:rFonts w:ascii="宋体" w:hAnsi="宋体" w:cs="宋体"/>
          <w:b/>
          <w:sz w:val="28"/>
          <w:szCs w:val="28"/>
        </w:rPr>
        <w:t>54000</w:t>
      </w:r>
      <w:r>
        <w:rPr>
          <w:rFonts w:hint="eastAsia" w:ascii="宋体" w:hAnsi="宋体" w:cs="宋体"/>
          <w:b/>
          <w:sz w:val="28"/>
          <w:szCs w:val="28"/>
        </w:rPr>
        <w:t>页，最多页数</w:t>
      </w:r>
      <w:r>
        <w:rPr>
          <w:rFonts w:hint="eastAsia" w:ascii="宋体" w:hAnsi="宋体" w:cs="宋体"/>
          <w:b/>
          <w:sz w:val="28"/>
          <w:szCs w:val="28"/>
          <w:lang w:eastAsia="zh-CN"/>
        </w:rPr>
        <w:t>无</w:t>
      </w:r>
      <w:r>
        <w:rPr>
          <w:rFonts w:hint="eastAsia" w:ascii="宋体" w:hAnsi="宋体" w:cs="宋体"/>
          <w:b/>
          <w:sz w:val="28"/>
          <w:szCs w:val="28"/>
        </w:rPr>
        <w:t>上限，数字化加工成果（数字化扫描页数）最多者中标。</w:t>
      </w:r>
    </w:p>
    <w:p>
      <w:pPr>
        <w:pStyle w:val="24"/>
        <w:numPr>
          <w:ilvl w:val="2"/>
          <w:numId w:val="12"/>
        </w:numPr>
        <w:tabs>
          <w:tab w:val="left" w:pos="851"/>
          <w:tab w:val="left" w:pos="993"/>
        </w:tabs>
        <w:spacing w:line="360" w:lineRule="auto"/>
        <w:ind w:hanging="1418" w:firstLineChars="0"/>
        <w:outlineLvl w:val="2"/>
        <w:rPr>
          <w:rFonts w:ascii="宋体" w:hAnsi="宋体" w:cs="宋体"/>
          <w:b/>
          <w:sz w:val="28"/>
          <w:szCs w:val="28"/>
        </w:rPr>
      </w:pPr>
    </w:p>
    <w:p>
      <w:pPr>
        <w:pStyle w:val="9"/>
        <w:spacing w:line="360" w:lineRule="auto"/>
        <w:ind w:firstLine="560" w:firstLineChars="200"/>
        <w:rPr>
          <w:sz w:val="28"/>
        </w:rPr>
      </w:pPr>
      <w:r>
        <w:rPr>
          <w:sz w:val="28"/>
        </w:rPr>
        <w:t>1.</w:t>
      </w:r>
      <w:r>
        <w:rPr>
          <w:rFonts w:hint="eastAsia"/>
          <w:sz w:val="28"/>
        </w:rPr>
        <w:t>标的提供时间</w:t>
      </w:r>
    </w:p>
    <w:p>
      <w:pPr>
        <w:pStyle w:val="9"/>
        <w:spacing w:line="360" w:lineRule="auto"/>
        <w:ind w:firstLine="560" w:firstLineChars="200"/>
        <w:rPr>
          <w:sz w:val="28"/>
        </w:rPr>
      </w:pPr>
      <w:r>
        <w:rPr>
          <w:rFonts w:hint="eastAsia"/>
          <w:sz w:val="28"/>
        </w:rPr>
        <w:t>合同方签订后</w:t>
      </w:r>
      <w:r>
        <w:rPr>
          <w:sz w:val="28"/>
        </w:rPr>
        <w:t>120</w:t>
      </w:r>
      <w:r>
        <w:rPr>
          <w:rFonts w:hint="eastAsia"/>
          <w:sz w:val="28"/>
        </w:rPr>
        <w:t>个</w:t>
      </w:r>
      <w:r>
        <w:rPr>
          <w:rFonts w:hint="eastAsia"/>
          <w:sz w:val="28"/>
          <w:lang w:eastAsia="zh-CN"/>
        </w:rPr>
        <w:t>日历天</w:t>
      </w:r>
      <w:r>
        <w:rPr>
          <w:rFonts w:hint="eastAsia"/>
          <w:sz w:val="28"/>
        </w:rPr>
        <w:t>内完成</w:t>
      </w:r>
    </w:p>
    <w:p>
      <w:pPr>
        <w:pStyle w:val="9"/>
        <w:spacing w:line="360" w:lineRule="auto"/>
        <w:ind w:firstLine="560" w:firstLineChars="200"/>
        <w:rPr>
          <w:sz w:val="28"/>
        </w:rPr>
      </w:pPr>
      <w:r>
        <w:rPr>
          <w:rFonts w:hint="eastAsia"/>
          <w:sz w:val="28"/>
        </w:rPr>
        <w:t>2</w:t>
      </w:r>
      <w:r>
        <w:rPr>
          <w:sz w:val="28"/>
        </w:rPr>
        <w:t>.</w:t>
      </w:r>
      <w:r>
        <w:rPr>
          <w:rFonts w:hint="eastAsia"/>
          <w:sz w:val="28"/>
        </w:rPr>
        <w:t>标的提供的地点</w:t>
      </w:r>
    </w:p>
    <w:p>
      <w:pPr>
        <w:pStyle w:val="9"/>
        <w:spacing w:line="360" w:lineRule="auto"/>
        <w:ind w:firstLine="560" w:firstLineChars="200"/>
        <w:rPr>
          <w:sz w:val="28"/>
        </w:rPr>
      </w:pPr>
      <w:r>
        <w:rPr>
          <w:rFonts w:hint="eastAsia"/>
          <w:sz w:val="28"/>
        </w:rPr>
        <w:t>呼伦贝尔市档案馆</w:t>
      </w:r>
    </w:p>
    <w:p>
      <w:pPr>
        <w:pStyle w:val="9"/>
        <w:spacing w:line="360" w:lineRule="auto"/>
        <w:ind w:firstLine="560" w:firstLineChars="200"/>
        <w:rPr>
          <w:sz w:val="28"/>
        </w:rPr>
      </w:pPr>
      <w:r>
        <w:rPr>
          <w:rFonts w:hint="eastAsia"/>
          <w:sz w:val="28"/>
        </w:rPr>
        <w:t>3</w:t>
      </w:r>
      <w:r>
        <w:rPr>
          <w:sz w:val="28"/>
        </w:rPr>
        <w:t>.</w:t>
      </w:r>
      <w:r>
        <w:rPr>
          <w:rFonts w:hint="eastAsia"/>
          <w:sz w:val="28"/>
        </w:rPr>
        <w:t>付款方式</w:t>
      </w:r>
    </w:p>
    <w:p>
      <w:pPr>
        <w:adjustRightInd w:val="0"/>
        <w:spacing w:line="360" w:lineRule="auto"/>
        <w:ind w:firstLine="540" w:firstLineChars="200"/>
        <w:rPr>
          <w:color w:val="000000" w:themeColor="text1"/>
          <w:spacing w:val="-5"/>
          <w:sz w:val="28"/>
          <w14:textFill>
            <w14:solidFill>
              <w14:schemeClr w14:val="tx1"/>
            </w14:solidFill>
          </w14:textFill>
        </w:rPr>
      </w:pPr>
      <w:r>
        <w:rPr>
          <w:color w:val="000000" w:themeColor="text1"/>
          <w:spacing w:val="-5"/>
          <w:sz w:val="28"/>
          <w14:textFill>
            <w14:solidFill>
              <w14:schemeClr w14:val="tx1"/>
            </w14:solidFill>
          </w14:textFill>
        </w:rPr>
        <w:t>1</w:t>
      </w:r>
      <w:r>
        <w:rPr>
          <w:rFonts w:hint="eastAsia"/>
          <w:color w:val="000000" w:themeColor="text1"/>
          <w:spacing w:val="-5"/>
          <w:sz w:val="28"/>
          <w14:textFill>
            <w14:solidFill>
              <w14:schemeClr w14:val="tx1"/>
            </w14:solidFill>
          </w14:textFill>
        </w:rPr>
        <w:t>期：支付比例</w:t>
      </w:r>
      <w:r>
        <w:rPr>
          <w:color w:val="000000" w:themeColor="text1"/>
          <w:spacing w:val="-5"/>
          <w:sz w:val="28"/>
          <w14:textFill>
            <w14:solidFill>
              <w14:schemeClr w14:val="tx1"/>
            </w14:solidFill>
          </w14:textFill>
        </w:rPr>
        <w:t>10%</w:t>
      </w:r>
      <w:r>
        <w:rPr>
          <w:rFonts w:hint="eastAsia"/>
          <w:color w:val="000000" w:themeColor="text1"/>
          <w:spacing w:val="-5"/>
          <w:sz w:val="28"/>
          <w14:textFill>
            <w14:solidFill>
              <w14:schemeClr w14:val="tx1"/>
            </w14:solidFill>
          </w14:textFill>
        </w:rPr>
        <w:t>，自合同签订起的</w:t>
      </w:r>
      <w:r>
        <w:rPr>
          <w:color w:val="000000" w:themeColor="text1"/>
          <w:spacing w:val="-5"/>
          <w:sz w:val="28"/>
          <w14:textFill>
            <w14:solidFill>
              <w14:schemeClr w14:val="tx1"/>
            </w14:solidFill>
          </w14:textFill>
        </w:rPr>
        <w:t>5</w:t>
      </w:r>
      <w:r>
        <w:rPr>
          <w:rFonts w:hint="eastAsia"/>
          <w:color w:val="000000" w:themeColor="text1"/>
          <w:spacing w:val="-5"/>
          <w:sz w:val="28"/>
          <w14:textFill>
            <w14:solidFill>
              <w14:schemeClr w14:val="tx1"/>
            </w14:solidFill>
          </w14:textFill>
        </w:rPr>
        <w:t>个工作日内支付。</w:t>
      </w:r>
    </w:p>
    <w:p>
      <w:pPr>
        <w:adjustRightInd w:val="0"/>
        <w:spacing w:line="360" w:lineRule="auto"/>
        <w:ind w:firstLine="540" w:firstLineChars="200"/>
        <w:rPr>
          <w:color w:val="000000" w:themeColor="text1"/>
          <w:spacing w:val="-5"/>
          <w:sz w:val="28"/>
          <w14:textFill>
            <w14:solidFill>
              <w14:schemeClr w14:val="tx1"/>
            </w14:solidFill>
          </w14:textFill>
        </w:rPr>
      </w:pPr>
      <w:r>
        <w:rPr>
          <w:color w:val="000000" w:themeColor="text1"/>
          <w:spacing w:val="-5"/>
          <w:sz w:val="28"/>
          <w14:textFill>
            <w14:solidFill>
              <w14:schemeClr w14:val="tx1"/>
            </w14:solidFill>
          </w14:textFill>
        </w:rPr>
        <w:t>2</w:t>
      </w:r>
      <w:r>
        <w:rPr>
          <w:rFonts w:hint="eastAsia"/>
          <w:color w:val="000000" w:themeColor="text1"/>
          <w:spacing w:val="-5"/>
          <w:sz w:val="28"/>
          <w14:textFill>
            <w14:solidFill>
              <w14:schemeClr w14:val="tx1"/>
            </w14:solidFill>
          </w14:textFill>
        </w:rPr>
        <w:t>期：支付比例</w:t>
      </w:r>
      <w:r>
        <w:rPr>
          <w:color w:val="000000" w:themeColor="text1"/>
          <w:spacing w:val="-5"/>
          <w:sz w:val="28"/>
          <w14:textFill>
            <w14:solidFill>
              <w14:schemeClr w14:val="tx1"/>
            </w14:solidFill>
          </w14:textFill>
        </w:rPr>
        <w:t>40%</w:t>
      </w:r>
      <w:r>
        <w:rPr>
          <w:rFonts w:hint="eastAsia"/>
          <w:color w:val="000000" w:themeColor="text1"/>
          <w:spacing w:val="-5"/>
          <w:sz w:val="28"/>
          <w14:textFill>
            <w14:solidFill>
              <w14:schemeClr w14:val="tx1"/>
            </w14:solidFill>
          </w14:textFill>
        </w:rPr>
        <w:t>，扫描量达到总量的</w:t>
      </w:r>
      <w:r>
        <w:rPr>
          <w:color w:val="000000" w:themeColor="text1"/>
          <w:spacing w:val="-5"/>
          <w:sz w:val="28"/>
          <w14:textFill>
            <w14:solidFill>
              <w14:schemeClr w14:val="tx1"/>
            </w14:solidFill>
          </w14:textFill>
        </w:rPr>
        <w:t>50%</w:t>
      </w:r>
      <w:r>
        <w:rPr>
          <w:rFonts w:hint="eastAsia"/>
          <w:color w:val="000000" w:themeColor="text1"/>
          <w:spacing w:val="-5"/>
          <w:sz w:val="28"/>
          <w14:textFill>
            <w14:solidFill>
              <w14:schemeClr w14:val="tx1"/>
            </w14:solidFill>
          </w14:textFill>
        </w:rPr>
        <w:t>，经采购人验收后，在</w:t>
      </w:r>
      <w:r>
        <w:rPr>
          <w:color w:val="000000" w:themeColor="text1"/>
          <w:spacing w:val="-5"/>
          <w:sz w:val="28"/>
          <w14:textFill>
            <w14:solidFill>
              <w14:schemeClr w14:val="tx1"/>
            </w14:solidFill>
          </w14:textFill>
        </w:rPr>
        <w:t>5</w:t>
      </w:r>
      <w:r>
        <w:rPr>
          <w:rFonts w:hint="eastAsia"/>
          <w:color w:val="000000" w:themeColor="text1"/>
          <w:spacing w:val="-5"/>
          <w:sz w:val="28"/>
          <w14:textFill>
            <w14:solidFill>
              <w14:schemeClr w14:val="tx1"/>
            </w14:solidFill>
          </w14:textFill>
        </w:rPr>
        <w:t>个工作日内支付合同金额的</w:t>
      </w:r>
      <w:r>
        <w:rPr>
          <w:color w:val="000000" w:themeColor="text1"/>
          <w:spacing w:val="-5"/>
          <w:sz w:val="28"/>
          <w14:textFill>
            <w14:solidFill>
              <w14:schemeClr w14:val="tx1"/>
            </w14:solidFill>
          </w14:textFill>
        </w:rPr>
        <w:t>40%</w:t>
      </w:r>
      <w:r>
        <w:rPr>
          <w:rFonts w:hint="eastAsia"/>
          <w:color w:val="000000" w:themeColor="text1"/>
          <w:spacing w:val="-5"/>
          <w:sz w:val="28"/>
          <w14:textFill>
            <w14:solidFill>
              <w14:schemeClr w14:val="tx1"/>
            </w14:solidFill>
          </w14:textFill>
        </w:rPr>
        <w:t>。</w:t>
      </w:r>
    </w:p>
    <w:p>
      <w:pPr>
        <w:adjustRightInd w:val="0"/>
        <w:spacing w:line="360" w:lineRule="auto"/>
        <w:ind w:firstLine="540" w:firstLineChars="200"/>
        <w:rPr>
          <w:color w:val="000000" w:themeColor="text1"/>
          <w:spacing w:val="-5"/>
          <w:sz w:val="28"/>
          <w:highlight w:val="none"/>
          <w14:textFill>
            <w14:solidFill>
              <w14:schemeClr w14:val="tx1"/>
            </w14:solidFill>
          </w14:textFill>
        </w:rPr>
      </w:pPr>
      <w:r>
        <w:rPr>
          <w:color w:val="000000" w:themeColor="text1"/>
          <w:spacing w:val="-5"/>
          <w:sz w:val="28"/>
          <w14:textFill>
            <w14:solidFill>
              <w14:schemeClr w14:val="tx1"/>
            </w14:solidFill>
          </w14:textFill>
        </w:rPr>
        <w:t>3</w:t>
      </w:r>
      <w:r>
        <w:rPr>
          <w:rFonts w:hint="eastAsia"/>
          <w:color w:val="000000" w:themeColor="text1"/>
          <w:spacing w:val="-5"/>
          <w:sz w:val="28"/>
          <w14:textFill>
            <w14:solidFill>
              <w14:schemeClr w14:val="tx1"/>
            </w14:solidFill>
          </w14:textFill>
        </w:rPr>
        <w:t>期：支付比例</w:t>
      </w:r>
      <w:r>
        <w:rPr>
          <w:color w:val="000000" w:themeColor="text1"/>
          <w:spacing w:val="-5"/>
          <w:sz w:val="28"/>
          <w14:textFill>
            <w14:solidFill>
              <w14:schemeClr w14:val="tx1"/>
            </w14:solidFill>
          </w14:textFill>
        </w:rPr>
        <w:t>50%</w:t>
      </w:r>
      <w:r>
        <w:rPr>
          <w:rFonts w:hint="eastAsia"/>
          <w:color w:val="000000" w:themeColor="text1"/>
          <w:spacing w:val="-5"/>
          <w:sz w:val="28"/>
          <w14:textFill>
            <w14:solidFill>
              <w14:schemeClr w14:val="tx1"/>
            </w14:solidFill>
          </w14:textFill>
        </w:rPr>
        <w:t>，项目整体</w:t>
      </w:r>
      <w:r>
        <w:rPr>
          <w:color w:val="000000" w:themeColor="text1"/>
          <w:spacing w:val="-5"/>
          <w:sz w:val="28"/>
          <w14:textFill>
            <w14:solidFill>
              <w14:schemeClr w14:val="tx1"/>
            </w14:solidFill>
          </w14:textFill>
        </w:rPr>
        <w:t>100%</w:t>
      </w:r>
      <w:r>
        <w:rPr>
          <w:rFonts w:hint="eastAsia"/>
          <w:color w:val="000000" w:themeColor="text1"/>
          <w:spacing w:val="-5"/>
          <w:sz w:val="28"/>
          <w14:textFill>
            <w14:solidFill>
              <w14:schemeClr w14:val="tx1"/>
            </w14:solidFill>
          </w14:textFill>
        </w:rPr>
        <w:t>完成后，经采购人进行最终验收。采购人验收合格后，中标人按照评审价开具合法的发票，</w:t>
      </w:r>
      <w:r>
        <w:rPr>
          <w:rFonts w:hint="eastAsia"/>
          <w:color w:val="000000" w:themeColor="text1"/>
          <w:spacing w:val="-5"/>
          <w:sz w:val="28"/>
          <w:highlight w:val="none"/>
          <w14:textFill>
            <w14:solidFill>
              <w14:schemeClr w14:val="tx1"/>
            </w14:solidFill>
          </w14:textFill>
        </w:rPr>
        <w:t>保留项目总金额的</w:t>
      </w:r>
      <w:r>
        <w:rPr>
          <w:rFonts w:hint="eastAsia"/>
          <w:color w:val="000000" w:themeColor="text1"/>
          <w:spacing w:val="-5"/>
          <w:sz w:val="28"/>
          <w:highlight w:val="none"/>
          <w:lang w:val="en-US" w:eastAsia="zh-CN"/>
          <w14:textFill>
            <w14:solidFill>
              <w14:schemeClr w14:val="tx1"/>
            </w14:solidFill>
          </w14:textFill>
        </w:rPr>
        <w:t>10</w:t>
      </w:r>
      <w:r>
        <w:rPr>
          <w:rFonts w:hint="eastAsia"/>
          <w:color w:val="000000" w:themeColor="text1"/>
          <w:spacing w:val="-5"/>
          <w:sz w:val="28"/>
          <w:highlight w:val="none"/>
          <w14:textFill>
            <w14:solidFill>
              <w14:schemeClr w14:val="tx1"/>
            </w14:solidFill>
          </w14:textFill>
        </w:rPr>
        <w:t>%作为质保金（质保金从验收合格之日起满一年返还），采购方在</w:t>
      </w:r>
      <w:r>
        <w:rPr>
          <w:color w:val="000000" w:themeColor="text1"/>
          <w:spacing w:val="-5"/>
          <w:sz w:val="28"/>
          <w:highlight w:val="none"/>
          <w14:textFill>
            <w14:solidFill>
              <w14:schemeClr w14:val="tx1"/>
            </w14:solidFill>
          </w14:textFill>
        </w:rPr>
        <w:t>5</w:t>
      </w:r>
      <w:r>
        <w:rPr>
          <w:rFonts w:hint="eastAsia"/>
          <w:color w:val="000000" w:themeColor="text1"/>
          <w:spacing w:val="-5"/>
          <w:sz w:val="28"/>
          <w:highlight w:val="none"/>
          <w14:textFill>
            <w14:solidFill>
              <w14:schemeClr w14:val="tx1"/>
            </w14:solidFill>
          </w14:textFill>
        </w:rPr>
        <w:t>个工作日内支付全部尾款，并返还中标金</w:t>
      </w:r>
      <w:r>
        <w:rPr>
          <w:color w:val="000000" w:themeColor="text1"/>
          <w:spacing w:val="-5"/>
          <w:sz w:val="28"/>
          <w:highlight w:val="none"/>
          <w14:textFill>
            <w14:solidFill>
              <w14:schemeClr w14:val="tx1"/>
            </w14:solidFill>
          </w14:textFill>
        </w:rPr>
        <w:t>10</w:t>
      </w:r>
      <w:r>
        <w:rPr>
          <w:rFonts w:hint="eastAsia"/>
          <w:color w:val="000000" w:themeColor="text1"/>
          <w:spacing w:val="-5"/>
          <w:sz w:val="28"/>
          <w:highlight w:val="none"/>
          <w14:textFill>
            <w14:solidFill>
              <w14:schemeClr w14:val="tx1"/>
            </w14:solidFill>
          </w14:textFill>
        </w:rPr>
        <w:t>%的合同履约保证金。</w:t>
      </w:r>
    </w:p>
    <w:p>
      <w:pPr>
        <w:pStyle w:val="24"/>
        <w:numPr>
          <w:ilvl w:val="2"/>
          <w:numId w:val="12"/>
        </w:numPr>
        <w:tabs>
          <w:tab w:val="left" w:pos="851"/>
          <w:tab w:val="left" w:pos="993"/>
        </w:tabs>
        <w:spacing w:line="360" w:lineRule="auto"/>
        <w:ind w:hanging="1418" w:firstLineChars="0"/>
        <w:outlineLvl w:val="2"/>
        <w:rPr>
          <w:rFonts w:ascii="宋体" w:hAnsi="宋体" w:cs="宋体"/>
          <w:b/>
          <w:sz w:val="28"/>
          <w:szCs w:val="28"/>
        </w:rPr>
      </w:pPr>
      <w:r>
        <w:rPr>
          <w:rFonts w:hint="eastAsia" w:ascii="宋体" w:hAnsi="宋体" w:cs="宋体"/>
          <w:b/>
          <w:sz w:val="28"/>
          <w:szCs w:val="28"/>
        </w:rPr>
        <w:t>项目联系方式</w:t>
      </w:r>
    </w:p>
    <w:p>
      <w:pPr>
        <w:pStyle w:val="9"/>
        <w:spacing w:line="360" w:lineRule="auto"/>
        <w:ind w:firstLine="560" w:firstLineChars="200"/>
        <w:rPr>
          <w:sz w:val="28"/>
        </w:rPr>
      </w:pPr>
      <w:r>
        <w:rPr>
          <w:rFonts w:hint="eastAsia"/>
          <w:sz w:val="28"/>
        </w:rPr>
        <w:t xml:space="preserve">呼伦贝尔市档案馆信息技术科 </w:t>
      </w:r>
      <w:r>
        <w:rPr>
          <w:sz w:val="28"/>
        </w:rPr>
        <w:t xml:space="preserve"> </w:t>
      </w:r>
      <w:r>
        <w:rPr>
          <w:rFonts w:hint="eastAsia"/>
          <w:sz w:val="28"/>
        </w:rPr>
        <w:t>郎艳臣</w:t>
      </w:r>
    </w:p>
    <w:p>
      <w:pPr>
        <w:pStyle w:val="9"/>
        <w:spacing w:line="360" w:lineRule="auto"/>
        <w:ind w:firstLine="560" w:firstLineChars="200"/>
        <w:rPr>
          <w:sz w:val="28"/>
        </w:rPr>
      </w:pPr>
      <w:r>
        <w:rPr>
          <w:rFonts w:hint="eastAsia"/>
          <w:sz w:val="28"/>
        </w:rPr>
        <w:t>联系电话：1</w:t>
      </w:r>
      <w:r>
        <w:rPr>
          <w:sz w:val="28"/>
        </w:rPr>
        <w:t>5694703896</w:t>
      </w:r>
    </w:p>
    <w:p>
      <w:pPr>
        <w:adjustRightInd w:val="0"/>
        <w:spacing w:line="360" w:lineRule="auto"/>
        <w:ind w:firstLine="560" w:firstLineChars="200"/>
        <w:rPr>
          <w:sz w:val="28"/>
        </w:rPr>
      </w:pPr>
    </w:p>
    <w:p>
      <w:pPr>
        <w:spacing w:line="360" w:lineRule="auto"/>
      </w:pPr>
      <w:r>
        <w:br w:type="page"/>
      </w:r>
    </w:p>
    <w:p>
      <w:pPr>
        <w:spacing w:before="60"/>
        <w:ind w:left="391" w:right="478"/>
        <w:jc w:val="center"/>
        <w:outlineLvl w:val="0"/>
        <w:rPr>
          <w:b/>
          <w:sz w:val="44"/>
          <w:szCs w:val="44"/>
        </w:rPr>
      </w:pPr>
      <w:bookmarkStart w:id="28" w:name="_Toc10049"/>
      <w:r>
        <w:rPr>
          <w:b/>
          <w:sz w:val="44"/>
          <w:szCs w:val="44"/>
        </w:rPr>
        <w:t>第五章</w:t>
      </w:r>
      <w:r>
        <w:rPr>
          <w:rFonts w:hint="eastAsia"/>
          <w:b/>
          <w:sz w:val="44"/>
          <w:szCs w:val="44"/>
          <w:lang w:val="en-US"/>
        </w:rPr>
        <w:t xml:space="preserve">  </w:t>
      </w:r>
      <w:r>
        <w:rPr>
          <w:b/>
          <w:sz w:val="44"/>
          <w:szCs w:val="44"/>
        </w:rPr>
        <w:t>供应商应当提交的资格、资信证明文件</w:t>
      </w:r>
      <w:bookmarkEnd w:id="28"/>
    </w:p>
    <w:p>
      <w:pPr>
        <w:pStyle w:val="9"/>
        <w:spacing w:before="8"/>
        <w:ind w:left="0"/>
        <w:rPr>
          <w:b/>
          <w:sz w:val="14"/>
        </w:rPr>
      </w:pPr>
    </w:p>
    <w:p>
      <w:pPr>
        <w:spacing w:line="360" w:lineRule="auto"/>
        <w:ind w:firstLine="480" w:firstLineChars="200"/>
        <w:rPr>
          <w:sz w:val="24"/>
          <w:szCs w:val="24"/>
        </w:rPr>
      </w:pPr>
      <w:r>
        <w:rPr>
          <w:rFonts w:hint="eastAsia"/>
          <w:sz w:val="24"/>
          <w:szCs w:val="24"/>
        </w:rPr>
        <w:t>供应商应提交证明其有资格参加投标和成交后有能力履行合同的相关文件，并作为其响应文件的一部分，所有文件必须真实可靠、不得伪造，否则将按相关规定予以处罚。</w:t>
      </w:r>
    </w:p>
    <w:p>
      <w:pPr>
        <w:pStyle w:val="22"/>
        <w:spacing w:line="360" w:lineRule="auto"/>
        <w:ind w:left="425" w:firstLine="0"/>
        <w:rPr>
          <w:bCs/>
          <w:sz w:val="24"/>
          <w:szCs w:val="24"/>
        </w:rPr>
      </w:pPr>
      <w:r>
        <w:rPr>
          <w:rFonts w:hint="eastAsia"/>
          <w:bCs/>
          <w:sz w:val="24"/>
          <w:szCs w:val="24"/>
          <w:lang w:val="en-US"/>
        </w:rPr>
        <w:t>1、</w:t>
      </w:r>
      <w:r>
        <w:rPr>
          <w:rFonts w:hint="eastAsia"/>
          <w:bCs/>
          <w:sz w:val="24"/>
          <w:szCs w:val="24"/>
        </w:rPr>
        <w:t>供应商的资格要求:</w:t>
      </w:r>
    </w:p>
    <w:p>
      <w:pPr>
        <w:pStyle w:val="22"/>
        <w:spacing w:line="360" w:lineRule="auto"/>
        <w:ind w:left="425" w:firstLine="0"/>
        <w:rPr>
          <w:sz w:val="24"/>
          <w:szCs w:val="24"/>
        </w:rPr>
      </w:pPr>
      <w:r>
        <w:rPr>
          <w:rFonts w:hint="eastAsia"/>
          <w:sz w:val="24"/>
          <w:szCs w:val="24"/>
        </w:rPr>
        <w:t>具备《中华人民共和国政府采购法》第二十二条规定的条件。</w:t>
      </w:r>
    </w:p>
    <w:p>
      <w:pPr>
        <w:pStyle w:val="22"/>
        <w:spacing w:line="360" w:lineRule="auto"/>
        <w:ind w:left="425" w:firstLine="0"/>
        <w:rPr>
          <w:sz w:val="24"/>
          <w:szCs w:val="24"/>
        </w:rPr>
      </w:pPr>
      <w:r>
        <w:rPr>
          <w:rFonts w:hint="eastAsia"/>
          <w:sz w:val="24"/>
          <w:szCs w:val="24"/>
          <w:lang w:val="en-US"/>
        </w:rPr>
        <w:t>2、</w:t>
      </w:r>
      <w:r>
        <w:rPr>
          <w:rFonts w:hint="eastAsia"/>
          <w:sz w:val="24"/>
          <w:szCs w:val="24"/>
        </w:rPr>
        <w:t>法人或其他组织的营业执照副本、自然人的身份证明；</w:t>
      </w:r>
    </w:p>
    <w:p>
      <w:pPr>
        <w:spacing w:line="360" w:lineRule="auto"/>
        <w:ind w:firstLine="480" w:firstLineChars="200"/>
        <w:rPr>
          <w:sz w:val="24"/>
          <w:szCs w:val="24"/>
        </w:rPr>
      </w:pPr>
      <w:r>
        <w:rPr>
          <w:rFonts w:hint="eastAsia"/>
          <w:sz w:val="24"/>
          <w:szCs w:val="24"/>
        </w:rPr>
        <w:t>法人包括企业法人、机关法人、事业单位法人和社会团体法人；其他组织主要包括合伙企业、非企业专业服务机构、个体工商户、农村承包经营户；自然人是指《中华人民共和国民法通则》（以下简称《民法通则》）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line="360" w:lineRule="auto"/>
        <w:ind w:firstLine="480" w:firstLineChars="200"/>
        <w:rPr>
          <w:sz w:val="24"/>
          <w:szCs w:val="24"/>
        </w:rPr>
      </w:pPr>
      <w:r>
        <w:rPr>
          <w:rFonts w:hint="eastAsia"/>
          <w:sz w:val="24"/>
          <w:szCs w:val="24"/>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2"/>
        <w:spacing w:line="360" w:lineRule="auto"/>
        <w:ind w:left="425" w:firstLine="0"/>
        <w:rPr>
          <w:sz w:val="24"/>
          <w:szCs w:val="24"/>
        </w:rPr>
      </w:pPr>
      <w:r>
        <w:rPr>
          <w:rFonts w:hint="eastAsia"/>
          <w:sz w:val="24"/>
          <w:szCs w:val="24"/>
          <w:lang w:val="en-US"/>
        </w:rPr>
        <w:t>3、</w:t>
      </w:r>
      <w:r>
        <w:rPr>
          <w:rFonts w:hint="eastAsia"/>
          <w:sz w:val="24"/>
          <w:szCs w:val="24"/>
        </w:rPr>
        <w:t>本次投标法人代表授权书；</w:t>
      </w:r>
    </w:p>
    <w:p>
      <w:pPr>
        <w:spacing w:line="360" w:lineRule="auto"/>
        <w:ind w:firstLine="480" w:firstLineChars="200"/>
        <w:rPr>
          <w:sz w:val="24"/>
          <w:szCs w:val="24"/>
          <w:lang w:val="en-US"/>
        </w:rPr>
      </w:pPr>
      <w:r>
        <w:rPr>
          <w:rFonts w:hint="eastAsia"/>
          <w:sz w:val="24"/>
          <w:szCs w:val="24"/>
          <w:lang w:val="en-US"/>
        </w:rPr>
        <w:t>4、投标人未发生过档案安全事故、泄密事件，无非法获取或非法持有档案、档案复印件、国家秘密载体等行为的书面承诺书；</w:t>
      </w:r>
    </w:p>
    <w:p>
      <w:pPr>
        <w:spacing w:line="360" w:lineRule="auto"/>
        <w:ind w:firstLine="480" w:firstLineChars="200"/>
        <w:rPr>
          <w:sz w:val="24"/>
          <w:szCs w:val="24"/>
          <w:lang w:val="en-US"/>
        </w:rPr>
      </w:pPr>
      <w:r>
        <w:rPr>
          <w:rFonts w:hint="eastAsia"/>
          <w:sz w:val="24"/>
          <w:szCs w:val="24"/>
          <w:lang w:val="en-US"/>
        </w:rPr>
        <w:t>6、投标人参加政府采购前三年内在经营活动中没有重大违法记录书面声明；（公司成立未满三年的，提供公司成立年度至今的书面声明；成立不足一年的公司提供成立至今的书面声明。）</w:t>
      </w:r>
    </w:p>
    <w:p>
      <w:pPr>
        <w:spacing w:line="360" w:lineRule="auto"/>
        <w:ind w:firstLine="488"/>
        <w:jc w:val="both"/>
        <w:rPr>
          <w:sz w:val="24"/>
          <w:szCs w:val="24"/>
        </w:rPr>
      </w:pPr>
      <w:r>
        <w:rPr>
          <w:rFonts w:hint="eastAsia"/>
          <w:spacing w:val="1"/>
          <w:sz w:val="24"/>
          <w:szCs w:val="24"/>
          <w:lang w:val="en-US"/>
        </w:rPr>
        <w:t>7、</w:t>
      </w:r>
      <w:r>
        <w:rPr>
          <w:rFonts w:hint="eastAsia"/>
          <w:spacing w:val="1"/>
          <w:sz w:val="24"/>
          <w:szCs w:val="24"/>
        </w:rPr>
        <w:t xml:space="preserve">供应商须为未被列入“信用中国”网站记录失信被执行人或重大税收违法案件当事人名单或政府采购严重违法失信行为记录名单；未被列入“信用中国”网站记录失信被执行人或财政性资金管理使用领域相关失信责任主体、统计领域严重失信企业及其有关人员等；不处于中国政府采购网政府采购严重违法失信行为信息记录中的禁止参加政府采购活动期间的方可参加项目投标，查询网址：信用中国（ </w:t>
      </w:r>
      <w:r>
        <w:fldChar w:fldCharType="begin"/>
      </w:r>
      <w:r>
        <w:instrText xml:space="preserve"> HYPERLINK "http://www.creditchina.gov.cn/" \h </w:instrText>
      </w:r>
      <w:r>
        <w:fldChar w:fldCharType="separate"/>
      </w:r>
      <w:r>
        <w:rPr>
          <w:rFonts w:hint="eastAsia"/>
          <w:spacing w:val="1"/>
          <w:sz w:val="24"/>
          <w:szCs w:val="24"/>
        </w:rPr>
        <w:t xml:space="preserve">https://www.creditchina.gov.cn/ </w:t>
      </w:r>
      <w:r>
        <w:rPr>
          <w:rFonts w:hint="eastAsia"/>
          <w:spacing w:val="1"/>
          <w:sz w:val="24"/>
          <w:szCs w:val="24"/>
        </w:rPr>
        <w:fldChar w:fldCharType="end"/>
      </w:r>
      <w:r>
        <w:rPr>
          <w:rFonts w:hint="eastAsia"/>
          <w:spacing w:val="1"/>
          <w:sz w:val="24"/>
          <w:szCs w:val="24"/>
        </w:rPr>
        <w:t>）</w:t>
      </w:r>
      <w:r>
        <w:rPr>
          <w:rFonts w:hint="eastAsia"/>
          <w:spacing w:val="1"/>
          <w:sz w:val="24"/>
          <w:szCs w:val="24"/>
          <w:lang w:val="en-US"/>
        </w:rPr>
        <w:t>；</w:t>
      </w:r>
      <w:r>
        <w:rPr>
          <w:rFonts w:hint="eastAsia"/>
          <w:spacing w:val="1"/>
          <w:sz w:val="24"/>
          <w:szCs w:val="24"/>
        </w:rPr>
        <w:t>和“中国政府采购网”（www.ccgp.gov.cn）进行查询；</w:t>
      </w:r>
    </w:p>
    <w:p>
      <w:pPr>
        <w:spacing w:before="203" w:line="360" w:lineRule="auto"/>
        <w:ind w:right="1" w:firstLine="484" w:firstLineChars="200"/>
        <w:rPr>
          <w:spacing w:val="1"/>
          <w:sz w:val="24"/>
          <w:szCs w:val="24"/>
        </w:rPr>
      </w:pPr>
      <w:r>
        <w:rPr>
          <w:rFonts w:hint="eastAsia"/>
          <w:spacing w:val="1"/>
          <w:sz w:val="24"/>
          <w:szCs w:val="24"/>
          <w:lang w:val="en-US"/>
        </w:rPr>
        <w:t>8、本项目不接受联合体投标。</w:t>
      </w:r>
    </w:p>
    <w:p>
      <w:pPr>
        <w:spacing w:line="360" w:lineRule="auto"/>
        <w:ind w:firstLine="480" w:firstLineChars="200"/>
        <w:rPr>
          <w:sz w:val="24"/>
          <w:szCs w:val="24"/>
        </w:rPr>
      </w:pPr>
      <w:r>
        <w:rPr>
          <w:rFonts w:hint="eastAsia"/>
          <w:sz w:val="24"/>
          <w:szCs w:val="24"/>
          <w:lang w:val="en-US"/>
        </w:rPr>
        <w:t>9、</w:t>
      </w:r>
      <w:r>
        <w:rPr>
          <w:rFonts w:hint="eastAsia"/>
          <w:sz w:val="24"/>
          <w:szCs w:val="24"/>
        </w:rPr>
        <w:t>按照谈判文件要求，成交人应当提交的资格、资信证明文件。</w:t>
      </w:r>
    </w:p>
    <w:p>
      <w:pPr>
        <w:rPr>
          <w:sz w:val="24"/>
          <w:szCs w:val="24"/>
        </w:rPr>
      </w:pPr>
      <w:r>
        <w:br w:type="page"/>
      </w:r>
    </w:p>
    <w:p>
      <w:pPr>
        <w:pStyle w:val="3"/>
        <w:spacing w:before="60"/>
        <w:ind w:left="15" w:hanging="15"/>
        <w:rPr>
          <w:sz w:val="44"/>
          <w:szCs w:val="44"/>
        </w:rPr>
      </w:pPr>
      <w:bookmarkStart w:id="29" w:name="_Toc26057"/>
      <w:r>
        <w:rPr>
          <w:sz w:val="44"/>
          <w:szCs w:val="44"/>
        </w:rPr>
        <w:t>第六章</w:t>
      </w:r>
      <w:r>
        <w:rPr>
          <w:rFonts w:hint="eastAsia"/>
          <w:sz w:val="44"/>
          <w:szCs w:val="44"/>
          <w:lang w:val="en-US"/>
        </w:rPr>
        <w:t xml:space="preserve">  </w:t>
      </w:r>
      <w:r>
        <w:rPr>
          <w:sz w:val="44"/>
          <w:szCs w:val="44"/>
        </w:rPr>
        <w:t>评审</w:t>
      </w:r>
      <w:bookmarkEnd w:id="29"/>
    </w:p>
    <w:p>
      <w:pPr>
        <w:spacing w:line="360" w:lineRule="auto"/>
        <w:ind w:left="1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一、评审要求</w:t>
      </w:r>
    </w:p>
    <w:p>
      <w:pPr>
        <w:pStyle w:val="22"/>
        <w:numPr>
          <w:ilvl w:val="0"/>
          <w:numId w:val="24"/>
        </w:numPr>
        <w:tabs>
          <w:tab w:val="left" w:pos="313"/>
        </w:tabs>
        <w:spacing w:line="360" w:lineRule="auto"/>
        <w:ind w:hanging="20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pacing w:val="8"/>
          <w:sz w:val="24"/>
          <w:szCs w:val="24"/>
        </w:rPr>
        <w:t>评审方法</w:t>
      </w:r>
    </w:p>
    <w:p>
      <w:pPr>
        <w:pStyle w:val="9"/>
        <w:spacing w:line="360" w:lineRule="auto"/>
        <w:ind w:left="108"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最低评标价法</w:t>
      </w:r>
      <w:r>
        <w:rPr>
          <w:rFonts w:hint="eastAsia" w:asciiTheme="minorEastAsia" w:hAnsiTheme="minorEastAsia" w:eastAsiaTheme="minorEastAsia" w:cstheme="minorEastAsia"/>
          <w:w w:val="95"/>
          <w:sz w:val="24"/>
          <w:szCs w:val="24"/>
        </w:rPr>
        <w:t>,</w:t>
      </w:r>
      <w:r>
        <w:rPr>
          <w:rFonts w:hint="eastAsia" w:asciiTheme="minorEastAsia" w:hAnsiTheme="minorEastAsia" w:eastAsiaTheme="minorEastAsia" w:cstheme="minorEastAsia"/>
          <w:sz w:val="24"/>
          <w:szCs w:val="24"/>
        </w:rPr>
        <w:t>是指响应文件满足谈判文件全部实质性要求，且投标报价最低的供应商为中标候选人的评标方法。</w:t>
      </w:r>
    </w:p>
    <w:p>
      <w:pPr>
        <w:pStyle w:val="22"/>
        <w:numPr>
          <w:ilvl w:val="0"/>
          <w:numId w:val="24"/>
        </w:numPr>
        <w:tabs>
          <w:tab w:val="left" w:pos="313"/>
        </w:tabs>
        <w:spacing w:line="360" w:lineRule="auto"/>
        <w:ind w:hanging="207"/>
        <w:rPr>
          <w:rFonts w:asciiTheme="minorEastAsia" w:hAnsiTheme="minorEastAsia" w:eastAsiaTheme="minorEastAsia" w:cstheme="minorEastAsia"/>
          <w:b/>
          <w:spacing w:val="8"/>
          <w:sz w:val="24"/>
          <w:szCs w:val="24"/>
        </w:rPr>
      </w:pPr>
      <w:r>
        <w:rPr>
          <w:rFonts w:hint="eastAsia" w:asciiTheme="minorEastAsia" w:hAnsiTheme="minorEastAsia" w:eastAsiaTheme="minorEastAsia" w:cstheme="minorEastAsia"/>
          <w:b/>
          <w:spacing w:val="8"/>
          <w:sz w:val="24"/>
          <w:szCs w:val="24"/>
        </w:rPr>
        <w:t>评审原则</w:t>
      </w:r>
    </w:p>
    <w:p>
      <w:pPr>
        <w:pStyle w:val="22"/>
        <w:tabs>
          <w:tab w:val="left" w:pos="0"/>
        </w:tabs>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2.1</w:t>
      </w:r>
      <w:r>
        <w:rPr>
          <w:rFonts w:hint="eastAsia" w:asciiTheme="minorEastAsia" w:hAnsiTheme="minorEastAsia" w:eastAsiaTheme="minorEastAsia" w:cstheme="minorEastAsia"/>
          <w:sz w:val="24"/>
          <w:szCs w:val="24"/>
        </w:rPr>
        <w:t>评审活动遵循公平、公正、科学和择优的原则，以谈判文件和响应文件为评审的基本依据，并按照谈判文件规定的评审方法和评审标准进行评审。</w:t>
      </w:r>
    </w:p>
    <w:p>
      <w:pPr>
        <w:pStyle w:val="22"/>
        <w:tabs>
          <w:tab w:val="left" w:pos="890"/>
        </w:tabs>
        <w:spacing w:line="360" w:lineRule="auto"/>
        <w:ind w:left="0"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2.2</w:t>
      </w:r>
      <w:r>
        <w:rPr>
          <w:rFonts w:hint="eastAsia" w:asciiTheme="minorEastAsia" w:hAnsiTheme="minorEastAsia" w:eastAsiaTheme="minorEastAsia" w:cstheme="minorEastAsia"/>
          <w:spacing w:val="-2"/>
          <w:sz w:val="24"/>
          <w:szCs w:val="24"/>
        </w:rPr>
        <w:t>具体评审事项由谈判小组负责，并按 谈判 文件的规定办法进行评审。</w:t>
      </w:r>
    </w:p>
    <w:p>
      <w:pPr>
        <w:pStyle w:val="22"/>
        <w:numPr>
          <w:ilvl w:val="0"/>
          <w:numId w:val="24"/>
        </w:numPr>
        <w:tabs>
          <w:tab w:val="left" w:pos="313"/>
        </w:tabs>
        <w:spacing w:line="360" w:lineRule="auto"/>
        <w:ind w:hanging="207"/>
        <w:rPr>
          <w:rFonts w:asciiTheme="minorEastAsia" w:hAnsiTheme="minorEastAsia" w:eastAsiaTheme="minorEastAsia" w:cstheme="minorEastAsia"/>
          <w:b/>
          <w:spacing w:val="8"/>
          <w:sz w:val="24"/>
          <w:szCs w:val="24"/>
        </w:rPr>
      </w:pPr>
      <w:r>
        <w:rPr>
          <w:rFonts w:hint="eastAsia" w:asciiTheme="minorEastAsia" w:hAnsiTheme="minorEastAsia" w:eastAsiaTheme="minorEastAsia" w:cstheme="minorEastAsia"/>
          <w:b/>
          <w:spacing w:val="8"/>
          <w:sz w:val="24"/>
          <w:szCs w:val="24"/>
        </w:rPr>
        <w:t>谈判小组</w:t>
      </w:r>
    </w:p>
    <w:p>
      <w:pPr>
        <w:pStyle w:val="22"/>
        <w:tabs>
          <w:tab w:val="left" w:pos="686"/>
        </w:tabs>
        <w:spacing w:line="360" w:lineRule="auto"/>
        <w:ind w:left="0" w:firstLine="379" w:firstLineChars="15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3.1谈判小组由采购人代表和评审专家共3人以上单数组成，其中评审专家人数不得少于竞争性谈判小组成员总数的2/3。</w:t>
      </w:r>
    </w:p>
    <w:p>
      <w:pPr>
        <w:pStyle w:val="22"/>
        <w:tabs>
          <w:tab w:val="left" w:pos="686"/>
        </w:tabs>
        <w:spacing w:line="360" w:lineRule="auto"/>
        <w:ind w:left="0" w:firstLine="379" w:firstLineChars="15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3.2谈判小组成员有下列情形之一的，应当回避：</w:t>
      </w:r>
    </w:p>
    <w:p>
      <w:pPr>
        <w:pStyle w:val="22"/>
        <w:tabs>
          <w:tab w:val="left" w:pos="686"/>
        </w:tabs>
        <w:spacing w:line="360" w:lineRule="auto"/>
        <w:ind w:left="0" w:firstLine="379" w:firstLineChars="15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（1）参加采购活动前三年内,与供应商存在劳动关系,或者担任过供应商的董事、监事,或者是供应商的控股股东或实际控制人；</w:t>
      </w:r>
    </w:p>
    <w:p>
      <w:pPr>
        <w:pStyle w:val="22"/>
        <w:tabs>
          <w:tab w:val="left" w:pos="686"/>
        </w:tabs>
        <w:spacing w:line="360" w:lineRule="auto"/>
        <w:ind w:left="0" w:firstLine="379" w:firstLineChars="15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（2）与供应商的法定代表人或者负责人有夫妻、直系血亲、三代以内旁系血亲或者近姻亲关系；</w:t>
      </w:r>
    </w:p>
    <w:p>
      <w:pPr>
        <w:pStyle w:val="22"/>
        <w:tabs>
          <w:tab w:val="left" w:pos="686"/>
        </w:tabs>
        <w:spacing w:line="360" w:lineRule="auto"/>
        <w:ind w:left="0" w:firstLine="379" w:firstLineChars="15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（3）与供应商有其他可能影响政府采购活动公平、公正进行的关系；</w:t>
      </w:r>
    </w:p>
    <w:p>
      <w:pPr>
        <w:pStyle w:val="22"/>
        <w:tabs>
          <w:tab w:val="left" w:pos="707"/>
        </w:tabs>
        <w:spacing w:line="360" w:lineRule="auto"/>
        <w:ind w:left="345"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3.3</w:t>
      </w:r>
      <w:r>
        <w:rPr>
          <w:rFonts w:hint="eastAsia" w:asciiTheme="minorEastAsia" w:hAnsiTheme="minorEastAsia" w:eastAsiaTheme="minorEastAsia" w:cstheme="minorEastAsia"/>
          <w:sz w:val="24"/>
          <w:szCs w:val="24"/>
        </w:rPr>
        <w:t>谈判小组负责具体评审事务，并独立履行下列职责：</w:t>
      </w:r>
    </w:p>
    <w:p>
      <w:pPr>
        <w:spacing w:line="360" w:lineRule="auto"/>
        <w:ind w:firstLine="480" w:firstLineChars="200"/>
        <w:rPr>
          <w:sz w:val="24"/>
          <w:szCs w:val="24"/>
        </w:rPr>
      </w:pPr>
      <w:r>
        <w:rPr>
          <w:rFonts w:hint="eastAsia"/>
          <w:sz w:val="24"/>
          <w:szCs w:val="24"/>
        </w:rPr>
        <w:t>（</w:t>
      </w:r>
      <w:r>
        <w:rPr>
          <w:rFonts w:hint="eastAsia"/>
          <w:sz w:val="24"/>
          <w:szCs w:val="24"/>
          <w:lang w:val="en-US"/>
        </w:rPr>
        <w:t>1</w:t>
      </w:r>
      <w:r>
        <w:rPr>
          <w:rFonts w:hint="eastAsia"/>
          <w:sz w:val="24"/>
          <w:szCs w:val="24"/>
        </w:rPr>
        <w:t>）确认或者制定谈判文件；</w:t>
      </w:r>
    </w:p>
    <w:p>
      <w:pPr>
        <w:spacing w:line="360" w:lineRule="auto"/>
        <w:ind w:firstLine="480" w:firstLineChars="200"/>
        <w:rPr>
          <w:sz w:val="24"/>
          <w:szCs w:val="24"/>
        </w:rPr>
      </w:pPr>
      <w:r>
        <w:rPr>
          <w:rFonts w:hint="eastAsia"/>
          <w:sz w:val="24"/>
          <w:szCs w:val="24"/>
        </w:rPr>
        <w:t>（</w:t>
      </w:r>
      <w:r>
        <w:rPr>
          <w:rFonts w:hint="eastAsia"/>
          <w:sz w:val="24"/>
          <w:szCs w:val="24"/>
          <w:lang w:val="en-US"/>
        </w:rPr>
        <w:t>2</w:t>
      </w:r>
      <w:r>
        <w:rPr>
          <w:rFonts w:hint="eastAsia"/>
          <w:sz w:val="24"/>
          <w:szCs w:val="24"/>
        </w:rPr>
        <w:t>）审查供应商的响应文件并作出评价；</w:t>
      </w:r>
    </w:p>
    <w:p>
      <w:pPr>
        <w:spacing w:line="360" w:lineRule="auto"/>
        <w:ind w:firstLine="480" w:firstLineChars="200"/>
        <w:rPr>
          <w:sz w:val="24"/>
          <w:szCs w:val="24"/>
        </w:rPr>
      </w:pPr>
      <w:r>
        <w:rPr>
          <w:rFonts w:hint="eastAsia"/>
          <w:sz w:val="24"/>
          <w:szCs w:val="24"/>
        </w:rPr>
        <w:t>（</w:t>
      </w:r>
      <w:r>
        <w:rPr>
          <w:rFonts w:hint="eastAsia"/>
          <w:sz w:val="24"/>
          <w:szCs w:val="24"/>
          <w:lang w:val="en-US"/>
        </w:rPr>
        <w:t>3</w:t>
      </w:r>
      <w:r>
        <w:rPr>
          <w:rFonts w:hint="eastAsia"/>
          <w:sz w:val="24"/>
          <w:szCs w:val="24"/>
        </w:rPr>
        <w:t>）要求供应商对响应文件有关事项作出澄清或者说明，与供应商进行分别谈判；</w:t>
      </w:r>
    </w:p>
    <w:p>
      <w:pPr>
        <w:spacing w:line="360" w:lineRule="auto"/>
        <w:ind w:firstLine="480" w:firstLineChars="200"/>
        <w:rPr>
          <w:sz w:val="24"/>
          <w:szCs w:val="24"/>
        </w:rPr>
      </w:pPr>
      <w:r>
        <w:rPr>
          <w:rFonts w:hint="eastAsia"/>
          <w:sz w:val="24"/>
          <w:szCs w:val="24"/>
        </w:rPr>
        <w:t>（</w:t>
      </w:r>
      <w:r>
        <w:rPr>
          <w:rFonts w:hint="eastAsia"/>
          <w:sz w:val="24"/>
          <w:szCs w:val="24"/>
          <w:lang w:val="en-US"/>
        </w:rPr>
        <w:t>4</w:t>
      </w:r>
      <w:r>
        <w:rPr>
          <w:rFonts w:hint="eastAsia"/>
          <w:sz w:val="24"/>
          <w:szCs w:val="24"/>
        </w:rPr>
        <w:t>）编写评审报告；</w:t>
      </w:r>
    </w:p>
    <w:p>
      <w:pPr>
        <w:spacing w:line="360" w:lineRule="auto"/>
        <w:ind w:firstLine="480" w:firstLineChars="200"/>
        <w:rPr>
          <w:sz w:val="24"/>
          <w:szCs w:val="24"/>
        </w:rPr>
      </w:pPr>
      <w:r>
        <w:rPr>
          <w:rFonts w:hint="eastAsia"/>
          <w:sz w:val="24"/>
          <w:szCs w:val="24"/>
        </w:rPr>
        <w:t>（</w:t>
      </w:r>
      <w:r>
        <w:rPr>
          <w:rFonts w:hint="eastAsia"/>
          <w:sz w:val="24"/>
          <w:szCs w:val="24"/>
          <w:lang w:val="en-US"/>
        </w:rPr>
        <w:t>5</w:t>
      </w:r>
      <w:r>
        <w:rPr>
          <w:rFonts w:hint="eastAsia"/>
          <w:sz w:val="24"/>
          <w:szCs w:val="24"/>
        </w:rPr>
        <w:t>）确定成交候选人名单，以及根据采购人委托直接确定成交人；</w:t>
      </w:r>
    </w:p>
    <w:p>
      <w:pPr>
        <w:spacing w:line="360" w:lineRule="auto"/>
        <w:ind w:firstLine="480" w:firstLineChars="200"/>
        <w:rPr>
          <w:sz w:val="24"/>
          <w:szCs w:val="24"/>
        </w:rPr>
      </w:pPr>
      <w:r>
        <w:rPr>
          <w:rFonts w:hint="eastAsia"/>
          <w:sz w:val="24"/>
          <w:szCs w:val="24"/>
        </w:rPr>
        <w:t>（</w:t>
      </w:r>
      <w:r>
        <w:rPr>
          <w:rFonts w:hint="eastAsia"/>
          <w:sz w:val="24"/>
          <w:szCs w:val="24"/>
          <w:lang w:val="en-US"/>
        </w:rPr>
        <w:t>6</w:t>
      </w:r>
      <w:r>
        <w:rPr>
          <w:rFonts w:hint="eastAsia"/>
          <w:sz w:val="24"/>
          <w:szCs w:val="24"/>
        </w:rPr>
        <w:t>）向采购人、采购代理机构或者有关部门报告评审中发现的违法行为；</w:t>
      </w:r>
    </w:p>
    <w:p>
      <w:pPr>
        <w:spacing w:line="360" w:lineRule="auto"/>
        <w:ind w:firstLine="480" w:firstLineChars="200"/>
        <w:rPr>
          <w:sz w:val="24"/>
          <w:szCs w:val="24"/>
        </w:rPr>
      </w:pPr>
      <w:r>
        <w:rPr>
          <w:rFonts w:hint="eastAsia"/>
          <w:sz w:val="24"/>
          <w:szCs w:val="24"/>
        </w:rPr>
        <w:t>（</w:t>
      </w:r>
      <w:r>
        <w:rPr>
          <w:rFonts w:hint="eastAsia"/>
          <w:sz w:val="24"/>
          <w:szCs w:val="24"/>
          <w:lang w:val="en-US"/>
        </w:rPr>
        <w:t>7</w:t>
      </w:r>
      <w:r>
        <w:rPr>
          <w:rFonts w:hint="eastAsia"/>
          <w:sz w:val="24"/>
          <w:szCs w:val="24"/>
        </w:rPr>
        <w:t>）法律法规规定的其他职责。</w:t>
      </w:r>
    </w:p>
    <w:p>
      <w:pPr>
        <w:pStyle w:val="22"/>
        <w:numPr>
          <w:ilvl w:val="0"/>
          <w:numId w:val="24"/>
        </w:numPr>
        <w:tabs>
          <w:tab w:val="left" w:pos="313"/>
        </w:tabs>
        <w:spacing w:line="360" w:lineRule="auto"/>
        <w:ind w:hanging="207"/>
        <w:rPr>
          <w:rFonts w:asciiTheme="minorEastAsia" w:hAnsiTheme="minorEastAsia" w:eastAsiaTheme="minorEastAsia" w:cstheme="minorEastAsia"/>
          <w:b/>
          <w:spacing w:val="8"/>
          <w:sz w:val="24"/>
          <w:szCs w:val="24"/>
        </w:rPr>
      </w:pPr>
      <w:r>
        <w:rPr>
          <w:rFonts w:hint="eastAsia" w:asciiTheme="minorEastAsia" w:hAnsiTheme="minorEastAsia" w:eastAsiaTheme="minorEastAsia" w:cstheme="minorEastAsia"/>
          <w:b/>
          <w:spacing w:val="8"/>
          <w:sz w:val="24"/>
          <w:szCs w:val="24"/>
        </w:rPr>
        <w:t>澄清</w:t>
      </w:r>
    </w:p>
    <w:p>
      <w:pPr>
        <w:pStyle w:val="22"/>
        <w:tabs>
          <w:tab w:val="left" w:pos="0"/>
        </w:tabs>
        <w:spacing w:line="360" w:lineRule="auto"/>
        <w:ind w:left="0" w:firstLine="480" w:firstLineChars="20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4.1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2"/>
        <w:tabs>
          <w:tab w:val="left" w:pos="0"/>
        </w:tabs>
        <w:spacing w:line="360" w:lineRule="auto"/>
        <w:ind w:left="0" w:firstLine="480" w:firstLineChars="20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4.2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2"/>
        <w:tabs>
          <w:tab w:val="left" w:pos="0"/>
        </w:tabs>
        <w:spacing w:line="360" w:lineRule="auto"/>
        <w:ind w:left="0" w:firstLine="480" w:firstLineChars="20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4.3谈判小组不接受供应商主动提出的澄清、说明或更正。</w:t>
      </w:r>
    </w:p>
    <w:p>
      <w:pPr>
        <w:pStyle w:val="22"/>
        <w:tabs>
          <w:tab w:val="left" w:pos="0"/>
        </w:tabs>
        <w:spacing w:line="360" w:lineRule="auto"/>
        <w:ind w:left="0" w:firstLine="480" w:firstLineChars="20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4.4谈判小组对供应商提交的澄清、说明或更正有疑问的，可以要求供应商进一步澄清、说明或更正。</w:t>
      </w:r>
    </w:p>
    <w:p>
      <w:pPr>
        <w:pStyle w:val="22"/>
        <w:numPr>
          <w:ilvl w:val="0"/>
          <w:numId w:val="24"/>
        </w:numPr>
        <w:tabs>
          <w:tab w:val="left" w:pos="313"/>
        </w:tabs>
        <w:spacing w:line="360" w:lineRule="auto"/>
        <w:ind w:hanging="207"/>
        <w:rPr>
          <w:rFonts w:asciiTheme="minorEastAsia" w:hAnsiTheme="minorEastAsia" w:eastAsiaTheme="minorEastAsia" w:cstheme="minorEastAsia"/>
          <w:b/>
          <w:spacing w:val="8"/>
          <w:sz w:val="24"/>
          <w:szCs w:val="24"/>
        </w:rPr>
      </w:pPr>
      <w:r>
        <w:rPr>
          <w:rFonts w:hint="eastAsia" w:asciiTheme="minorEastAsia" w:hAnsiTheme="minorEastAsia" w:eastAsiaTheme="minorEastAsia" w:cstheme="minorEastAsia"/>
          <w:b/>
          <w:spacing w:val="8"/>
          <w:sz w:val="24"/>
          <w:szCs w:val="24"/>
        </w:rPr>
        <w:t>有下列情形之一的，视为供应商串通投标：</w:t>
      </w:r>
    </w:p>
    <w:p>
      <w:pPr>
        <w:pStyle w:val="22"/>
        <w:tabs>
          <w:tab w:val="left" w:pos="900"/>
        </w:tabs>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）不同供应商的响应文件由同一单位或者个人编制；</w:t>
      </w:r>
    </w:p>
    <w:p>
      <w:pPr>
        <w:pStyle w:val="22"/>
        <w:tabs>
          <w:tab w:val="left" w:pos="852"/>
        </w:tabs>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）不同供应商委托同一单位或者个人办理投标事宜；</w:t>
      </w:r>
    </w:p>
    <w:p>
      <w:pPr>
        <w:pStyle w:val="22"/>
        <w:tabs>
          <w:tab w:val="left" w:pos="852"/>
        </w:tabs>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rPr>
        <w:t>）不同供应商的响应文件载明的项目管理成员或者联系人员为同一人；</w:t>
      </w:r>
    </w:p>
    <w:p>
      <w:pPr>
        <w:pStyle w:val="22"/>
        <w:tabs>
          <w:tab w:val="left" w:pos="852"/>
        </w:tabs>
        <w:spacing w:line="360" w:lineRule="auto"/>
        <w:ind w:left="345"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4</w:t>
      </w:r>
      <w:r>
        <w:rPr>
          <w:rFonts w:hint="eastAsia" w:asciiTheme="minorEastAsia" w:hAnsiTheme="minorEastAsia" w:eastAsiaTheme="minorEastAsia" w:cstheme="minorEastAsia"/>
          <w:sz w:val="24"/>
          <w:szCs w:val="24"/>
        </w:rPr>
        <w:t>）不同供应商的响应文件异常一致或者投标报价呈规律性差异；</w:t>
      </w:r>
    </w:p>
    <w:p>
      <w:pPr>
        <w:pStyle w:val="22"/>
        <w:tabs>
          <w:tab w:val="left" w:pos="852"/>
        </w:tabs>
        <w:spacing w:before="176" w:line="360" w:lineRule="auto"/>
        <w:ind w:left="345"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5</w:t>
      </w:r>
      <w:r>
        <w:rPr>
          <w:rFonts w:hint="eastAsia" w:asciiTheme="minorEastAsia" w:hAnsiTheme="minorEastAsia" w:eastAsiaTheme="minorEastAsia" w:cstheme="minorEastAsia"/>
          <w:sz w:val="24"/>
          <w:szCs w:val="24"/>
        </w:rPr>
        <w:t>）不同供应商的投标文件相互混装；</w:t>
      </w:r>
    </w:p>
    <w:p>
      <w:pPr>
        <w:pStyle w:val="22"/>
        <w:tabs>
          <w:tab w:val="left" w:pos="852"/>
        </w:tabs>
        <w:spacing w:before="177" w:line="360" w:lineRule="auto"/>
        <w:ind w:left="345"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6</w:t>
      </w:r>
      <w:r>
        <w:rPr>
          <w:rFonts w:hint="eastAsia" w:asciiTheme="minorEastAsia" w:hAnsiTheme="minorEastAsia" w:eastAsiaTheme="minorEastAsia" w:cstheme="minorEastAsia"/>
          <w:sz w:val="24"/>
          <w:szCs w:val="24"/>
        </w:rPr>
        <w:t>）不同供应商的投标保证金为从同一单位或个人的账户转出；</w:t>
      </w:r>
    </w:p>
    <w:p>
      <w:pPr>
        <w:pStyle w:val="9"/>
        <w:spacing w:line="360" w:lineRule="auto"/>
        <w:ind w:left="34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说明：在项目评审时被认定为串通投标的供应商不得参加该合同项下的采购活动</w:t>
      </w:r>
    </w:p>
    <w:p>
      <w:pPr>
        <w:pStyle w:val="22"/>
        <w:numPr>
          <w:ilvl w:val="0"/>
          <w:numId w:val="24"/>
        </w:numPr>
        <w:tabs>
          <w:tab w:val="left" w:pos="313"/>
        </w:tabs>
        <w:spacing w:line="360" w:lineRule="auto"/>
        <w:ind w:hanging="207"/>
        <w:rPr>
          <w:rFonts w:asciiTheme="minorEastAsia" w:hAnsiTheme="minorEastAsia" w:eastAsiaTheme="minorEastAsia" w:cstheme="minorEastAsia"/>
          <w:b/>
          <w:spacing w:val="8"/>
          <w:sz w:val="24"/>
          <w:szCs w:val="24"/>
        </w:rPr>
      </w:pPr>
      <w:r>
        <w:rPr>
          <w:rFonts w:hint="eastAsia" w:asciiTheme="minorEastAsia" w:hAnsiTheme="minorEastAsia" w:eastAsiaTheme="minorEastAsia" w:cstheme="minorEastAsia"/>
          <w:b/>
          <w:spacing w:val="8"/>
          <w:sz w:val="24"/>
          <w:szCs w:val="24"/>
        </w:rPr>
        <w:t>有下列情形之一的，属于恶意串通投标：</w:t>
      </w:r>
    </w:p>
    <w:p>
      <w:pPr>
        <w:pStyle w:val="22"/>
        <w:tabs>
          <w:tab w:val="left" w:pos="900"/>
        </w:tabs>
        <w:spacing w:line="360" w:lineRule="auto"/>
        <w:ind w:left="11" w:leftChars="5" w:firstLine="379" w:firstLineChars="15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）供应商直接或者间接从采购人或者采购代理机构处获得其他供应商的相关情况并修改其投标文件或者响应文件；</w:t>
      </w:r>
    </w:p>
    <w:p>
      <w:pPr>
        <w:pStyle w:val="22"/>
        <w:tabs>
          <w:tab w:val="left" w:pos="852"/>
        </w:tabs>
        <w:spacing w:line="360" w:lineRule="auto"/>
        <w:ind w:left="11" w:leftChars="5" w:firstLine="379" w:firstLineChars="15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）供应商按照采购人或者采购代理机构的授意撤换、修改投标文件或者响应文件；</w:t>
      </w:r>
    </w:p>
    <w:p>
      <w:pPr>
        <w:pStyle w:val="22"/>
        <w:tabs>
          <w:tab w:val="left" w:pos="852"/>
        </w:tabs>
        <w:spacing w:line="360" w:lineRule="auto"/>
        <w:ind w:left="11" w:leftChars="5" w:firstLine="379" w:firstLineChars="15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rPr>
        <w:t>）供应商之间协商报价、技术方案等投标文件或者响应文件的实质性内容；</w:t>
      </w:r>
    </w:p>
    <w:p>
      <w:pPr>
        <w:pStyle w:val="22"/>
        <w:tabs>
          <w:tab w:val="left" w:pos="852"/>
        </w:tabs>
        <w:spacing w:line="360" w:lineRule="auto"/>
        <w:ind w:left="11" w:leftChars="5" w:firstLine="379" w:firstLineChars="15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4</w:t>
      </w:r>
      <w:r>
        <w:rPr>
          <w:rFonts w:hint="eastAsia" w:asciiTheme="minorEastAsia" w:hAnsiTheme="minorEastAsia" w:eastAsiaTheme="minorEastAsia" w:cstheme="minorEastAsia"/>
          <w:sz w:val="24"/>
          <w:szCs w:val="24"/>
        </w:rPr>
        <w:t>）属于同一集团、协会、商会等组织成员的供应商按照该组织要求协同参加政府采购活动；</w:t>
      </w:r>
    </w:p>
    <w:p>
      <w:pPr>
        <w:pStyle w:val="22"/>
        <w:tabs>
          <w:tab w:val="left" w:pos="852"/>
        </w:tabs>
        <w:spacing w:line="360" w:lineRule="auto"/>
        <w:ind w:left="11" w:leftChars="5" w:firstLine="379" w:firstLineChars="15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5</w:t>
      </w:r>
      <w:r>
        <w:rPr>
          <w:rFonts w:hint="eastAsia" w:asciiTheme="minorEastAsia" w:hAnsiTheme="minorEastAsia" w:eastAsiaTheme="minorEastAsia" w:cstheme="minorEastAsia"/>
          <w:sz w:val="24"/>
          <w:szCs w:val="24"/>
        </w:rPr>
        <w:t>）供应商之间事先约定由某一特定供应商成交、成交；</w:t>
      </w:r>
    </w:p>
    <w:p>
      <w:pPr>
        <w:pStyle w:val="22"/>
        <w:tabs>
          <w:tab w:val="left" w:pos="852"/>
        </w:tabs>
        <w:spacing w:line="360" w:lineRule="auto"/>
        <w:ind w:left="11" w:leftChars="5" w:firstLine="379" w:firstLineChars="15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6</w:t>
      </w:r>
      <w:r>
        <w:rPr>
          <w:rFonts w:hint="eastAsia" w:asciiTheme="minorEastAsia" w:hAnsiTheme="minorEastAsia" w:eastAsiaTheme="minorEastAsia" w:cstheme="minorEastAsia"/>
          <w:sz w:val="24"/>
          <w:szCs w:val="24"/>
        </w:rPr>
        <w:t>）供应商之间商定部分供应商放弃参加政府采购活动或者放弃成交、成交；</w:t>
      </w:r>
    </w:p>
    <w:p>
      <w:pPr>
        <w:pStyle w:val="22"/>
        <w:tabs>
          <w:tab w:val="left" w:pos="876"/>
        </w:tabs>
        <w:spacing w:before="4" w:line="360" w:lineRule="auto"/>
        <w:ind w:left="11" w:leftChars="5" w:right="169" w:firstLine="376" w:firstLineChars="15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rPr>
        <w:t>7</w:t>
      </w:r>
      <w:r>
        <w:rPr>
          <w:rFonts w:hint="eastAsia" w:asciiTheme="minorEastAsia" w:hAnsiTheme="minorEastAsia" w:eastAsiaTheme="minorEastAsia" w:cstheme="minorEastAsia"/>
          <w:spacing w:val="-1"/>
          <w:sz w:val="24"/>
          <w:szCs w:val="24"/>
        </w:rPr>
        <w:t>）供应商与采购人或者采购代理机构之间、供应商相互之间，为谋求特定供应商成交、成交或者排斥其他供应商的其他</w:t>
      </w:r>
      <w:r>
        <w:rPr>
          <w:rFonts w:hint="eastAsia" w:asciiTheme="minorEastAsia" w:hAnsiTheme="minorEastAsia" w:eastAsiaTheme="minorEastAsia" w:cstheme="minorEastAsia"/>
          <w:sz w:val="24"/>
          <w:szCs w:val="24"/>
        </w:rPr>
        <w:t>串通行为。</w:t>
      </w:r>
    </w:p>
    <w:p>
      <w:pPr>
        <w:pStyle w:val="22"/>
        <w:numPr>
          <w:ilvl w:val="0"/>
          <w:numId w:val="24"/>
        </w:numPr>
        <w:tabs>
          <w:tab w:val="left" w:pos="313"/>
        </w:tabs>
        <w:spacing w:line="360" w:lineRule="auto"/>
        <w:ind w:hanging="207"/>
        <w:rPr>
          <w:rFonts w:asciiTheme="minorEastAsia" w:hAnsiTheme="minorEastAsia" w:eastAsiaTheme="minorEastAsia" w:cstheme="minorEastAsia"/>
          <w:b/>
          <w:spacing w:val="8"/>
          <w:sz w:val="24"/>
          <w:szCs w:val="24"/>
        </w:rPr>
      </w:pPr>
      <w:r>
        <w:rPr>
          <w:rFonts w:hint="eastAsia" w:asciiTheme="minorEastAsia" w:hAnsiTheme="minorEastAsia" w:eastAsiaTheme="minorEastAsia" w:cstheme="minorEastAsia"/>
          <w:b/>
          <w:spacing w:val="8"/>
          <w:sz w:val="24"/>
          <w:szCs w:val="24"/>
        </w:rPr>
        <w:t>投标无效的情形</w:t>
      </w:r>
    </w:p>
    <w:p>
      <w:pPr>
        <w:pStyle w:val="9"/>
        <w:spacing w:line="360" w:lineRule="auto"/>
        <w:ind w:left="3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详见资格性审查、符合性审查和谈判文件其他投标无效条款。</w:t>
      </w:r>
    </w:p>
    <w:p>
      <w:pPr>
        <w:pStyle w:val="22"/>
        <w:numPr>
          <w:ilvl w:val="0"/>
          <w:numId w:val="24"/>
        </w:numPr>
        <w:tabs>
          <w:tab w:val="left" w:pos="313"/>
        </w:tabs>
        <w:spacing w:line="360" w:lineRule="auto"/>
        <w:ind w:hanging="207"/>
        <w:rPr>
          <w:rFonts w:asciiTheme="minorEastAsia" w:hAnsiTheme="minorEastAsia" w:eastAsiaTheme="minorEastAsia" w:cstheme="minorEastAsia"/>
          <w:b/>
          <w:spacing w:val="8"/>
          <w:sz w:val="24"/>
          <w:szCs w:val="24"/>
        </w:rPr>
      </w:pPr>
      <w:r>
        <w:rPr>
          <w:rFonts w:hint="eastAsia" w:asciiTheme="minorEastAsia" w:hAnsiTheme="minorEastAsia" w:eastAsiaTheme="minorEastAsia" w:cstheme="minorEastAsia"/>
          <w:b/>
          <w:spacing w:val="8"/>
          <w:sz w:val="24"/>
          <w:szCs w:val="24"/>
        </w:rPr>
        <w:t>废标（终止）的情形</w:t>
      </w:r>
    </w:p>
    <w:p>
      <w:pPr>
        <w:pStyle w:val="9"/>
        <w:spacing w:line="360" w:lineRule="auto"/>
        <w:ind w:left="49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出现下列情形之一的，采购人或者采购代理机构应当终止竞争性谈判采购活动，发布项目终止公告并说明原因，重新开展</w:t>
      </w:r>
    </w:p>
    <w:p>
      <w:pPr>
        <w:pStyle w:val="9"/>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采购活动：</w:t>
      </w:r>
    </w:p>
    <w:p>
      <w:pPr>
        <w:pStyle w:val="22"/>
        <w:tabs>
          <w:tab w:val="left" w:pos="852"/>
        </w:tabs>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）因情况变化，不再符合规定的竞争性谈判采购方式适用情形的；</w:t>
      </w:r>
    </w:p>
    <w:p>
      <w:pPr>
        <w:pStyle w:val="22"/>
        <w:tabs>
          <w:tab w:val="left" w:pos="852"/>
        </w:tabs>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）出现影响采购公正的违法、违规行为的；</w:t>
      </w:r>
    </w:p>
    <w:p>
      <w:pPr>
        <w:pStyle w:val="22"/>
        <w:tabs>
          <w:tab w:val="left" w:pos="1140"/>
        </w:tabs>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rPr>
        <w:t>）在采购过程中符合竞争性要求的供应商或者报价未超过采购预算的供应商不足</w:t>
      </w:r>
      <w:r>
        <w:rPr>
          <w:rFonts w:hint="eastAsia" w:asciiTheme="minorEastAsia" w:hAnsiTheme="minorEastAsia" w:eastAsiaTheme="minorEastAsia" w:cstheme="minorEastAsia"/>
          <w:spacing w:val="-3"/>
          <w:w w:val="110"/>
          <w:sz w:val="24"/>
          <w:szCs w:val="24"/>
        </w:rPr>
        <w:t>3</w:t>
      </w:r>
      <w:r>
        <w:rPr>
          <w:rFonts w:hint="eastAsia" w:asciiTheme="minorEastAsia" w:hAnsiTheme="minorEastAsia" w:eastAsiaTheme="minorEastAsia" w:cstheme="minorEastAsia"/>
          <w:sz w:val="24"/>
          <w:szCs w:val="24"/>
        </w:rPr>
        <w:t>家的，但经财政部门批准的情形除外；</w:t>
      </w:r>
    </w:p>
    <w:p>
      <w:pPr>
        <w:pStyle w:val="22"/>
        <w:tabs>
          <w:tab w:val="left" w:pos="852"/>
        </w:tabs>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4</w:t>
      </w:r>
      <w:r>
        <w:rPr>
          <w:rFonts w:hint="eastAsia" w:asciiTheme="minorEastAsia" w:hAnsiTheme="minorEastAsia" w:eastAsiaTheme="minorEastAsia" w:cstheme="minorEastAsia"/>
          <w:sz w:val="24"/>
          <w:szCs w:val="24"/>
        </w:rPr>
        <w:t>）法律、法规以及谈判文件规定其他情形。</w:t>
      </w:r>
    </w:p>
    <w:p>
      <w:pPr>
        <w:pStyle w:val="22"/>
        <w:numPr>
          <w:ilvl w:val="0"/>
          <w:numId w:val="24"/>
        </w:numPr>
        <w:tabs>
          <w:tab w:val="left" w:pos="313"/>
        </w:tabs>
        <w:spacing w:line="360" w:lineRule="auto"/>
        <w:ind w:hanging="207"/>
        <w:rPr>
          <w:rFonts w:asciiTheme="minorEastAsia" w:hAnsiTheme="minorEastAsia" w:eastAsiaTheme="minorEastAsia" w:cstheme="minorEastAsia"/>
          <w:b/>
          <w:spacing w:val="8"/>
          <w:sz w:val="24"/>
          <w:szCs w:val="24"/>
        </w:rPr>
      </w:pPr>
      <w:r>
        <w:rPr>
          <w:rFonts w:hint="eastAsia" w:asciiTheme="minorEastAsia" w:hAnsiTheme="minorEastAsia" w:eastAsiaTheme="minorEastAsia" w:cstheme="minorEastAsia"/>
          <w:b/>
          <w:spacing w:val="8"/>
          <w:sz w:val="24"/>
          <w:szCs w:val="24"/>
        </w:rPr>
        <w:t>定标</w:t>
      </w:r>
    </w:p>
    <w:p>
      <w:pPr>
        <w:pStyle w:val="9"/>
        <w:spacing w:line="360" w:lineRule="auto"/>
        <w:ind w:left="10" w:firstLine="480" w:firstLineChars="200"/>
        <w:rPr>
          <w:sz w:val="24"/>
          <w:szCs w:val="24"/>
        </w:rPr>
      </w:pPr>
      <w:r>
        <w:rPr>
          <w:rFonts w:hint="eastAsia" w:asciiTheme="minorEastAsia" w:hAnsiTheme="minorEastAsia" w:eastAsiaTheme="minorEastAsia" w:cstheme="minorEastAsia"/>
          <w:sz w:val="24"/>
          <w:szCs w:val="24"/>
        </w:rPr>
        <w:t>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pStyle w:val="2"/>
        <w:ind w:firstLine="0"/>
        <w:rPr>
          <w:b/>
          <w:bCs/>
        </w:rPr>
      </w:pPr>
      <w:r>
        <w:rPr>
          <w:rFonts w:hint="eastAsia"/>
          <w:b/>
          <w:bCs/>
        </w:rPr>
        <w:t>二.政府采购政策落实</w:t>
      </w:r>
    </w:p>
    <w:p>
      <w:pPr>
        <w:pStyle w:val="2"/>
        <w:ind w:firstLine="0"/>
        <w:rPr>
          <w:b/>
          <w:bCs/>
        </w:rPr>
      </w:pPr>
      <w:r>
        <w:rPr>
          <w:rFonts w:hint="eastAsia"/>
          <w:b/>
          <w:bCs/>
        </w:rPr>
        <w:t>三、评审程序</w:t>
      </w:r>
    </w:p>
    <w:p>
      <w:pPr>
        <w:pStyle w:val="2"/>
        <w:ind w:firstLine="0"/>
      </w:pPr>
      <w:r>
        <w:rPr>
          <w:rFonts w:hint="eastAsia"/>
        </w:rPr>
        <w:t>1.资格性审查和符合性审查</w:t>
      </w:r>
    </w:p>
    <w:p>
      <w:pPr>
        <w:pStyle w:val="2"/>
      </w:pPr>
      <w:r>
        <w:rPr>
          <w:rFonts w:hint="eastAsia"/>
        </w:rPr>
        <w:t>资格性审查。依据法律法规和谈判文件的规定，对响应文件中的资格证明文件等进行审查，以确定投标供应商是否具备</w:t>
      </w:r>
    </w:p>
    <w:p>
      <w:pPr>
        <w:pStyle w:val="2"/>
      </w:pPr>
      <w:r>
        <w:rPr>
          <w:rFonts w:hint="eastAsia"/>
        </w:rPr>
        <w:t>投标资格。（详见后附表一资格性审查表）</w:t>
      </w:r>
    </w:p>
    <w:p>
      <w:pPr>
        <w:pStyle w:val="2"/>
      </w:pPr>
      <w:r>
        <w:rPr>
          <w:rFonts w:hint="eastAsia"/>
        </w:rPr>
        <w:t>符合性审查。依据谈判文件的规定，从响应文件的有效性、完整性和对谈判文件的响应程度进行审查，以确定是否对谈判文件的实质性要求作出响应。（详见后附表二符合性审查表）</w:t>
      </w:r>
    </w:p>
    <w:p>
      <w:pPr>
        <w:pStyle w:val="2"/>
      </w:pPr>
      <w:r>
        <w:rPr>
          <w:rFonts w:hint="eastAsia"/>
        </w:rPr>
        <w:t>资格性审查和符合性审查中凡有其中任意一项未通过的，评审结果为未通过，未通过资格性审查、符合性审查的投标单位按无效投标处理。</w:t>
      </w:r>
    </w:p>
    <w:p>
      <w:pPr>
        <w:pStyle w:val="2"/>
        <w:ind w:firstLine="0"/>
      </w:pPr>
      <w:r>
        <w:rPr>
          <w:rFonts w:hint="eastAsia"/>
        </w:rPr>
        <w:t>2.谈判</w:t>
      </w:r>
    </w:p>
    <w:p>
      <w:pPr>
        <w:pStyle w:val="2"/>
      </w:pPr>
      <w:r>
        <w:rPr>
          <w:rFonts w:hint="eastAsia"/>
        </w:rPr>
        <w:t>（1）谈判小组应当通过随机方式序确定参加谈判供应商的谈判顺序，谈判小组所有成员应当集中与单一供应商分别进行谈判，并给予所有参加谈判的供应商平等的谈判机会。</w:t>
      </w:r>
    </w:p>
    <w:p>
      <w:pPr>
        <w:pStyle w:val="2"/>
      </w:pPr>
      <w:r>
        <w:rPr>
          <w:rFonts w:hint="eastAsia"/>
        </w:rPr>
        <w:t>（2）谈判内容主要包括：针对本项目的技术、服务要求以及合同草案条款等；谈判文件不能详细列明采购标的的技术、服务要求的，需经谈判由供应商提供最终设计方案或解决方案；其它需要谈判的事项。</w:t>
      </w:r>
    </w:p>
    <w:p>
      <w:pPr>
        <w:pStyle w:val="2"/>
      </w:pPr>
      <w:r>
        <w:rPr>
          <w:rFonts w:hint="eastAsia"/>
        </w:rPr>
        <w:t>在谈判过程中，谈判小组可以根据谈判文件和谈判情况实质性变动采购需求中的技术、服务要求以及合同草案条款，但不得变动谈判文件中的其他内容。实质性变动的内容，须经采购人代表确认。</w:t>
      </w:r>
    </w:p>
    <w:p>
      <w:pPr>
        <w:pStyle w:val="2"/>
      </w:pPr>
      <w:r>
        <w:rPr>
          <w:rFonts w:hint="eastAsia"/>
        </w:rPr>
        <w:t>对谈判文件作出的实质性变动是谈判文件的有效组成部分，谈判小组应当及时、同时通知所有参加谈判的供应商。</w:t>
      </w:r>
    </w:p>
    <w:p>
      <w:pPr>
        <w:pStyle w:val="2"/>
      </w:pPr>
      <w:r>
        <w:rPr>
          <w:rFonts w:hint="eastAsia"/>
        </w:rPr>
        <w:t xml:space="preserve">供应商应当按照谈判文件的变动情况和谈判小组的要求进行最终报价或重新提交响应文件，并由其法定代表人或授权代表签字或者加盖公章。由授权代表签字的，应当附法定代表人授权书。供应商为自然人的，应当由本人签字并附身份证明。  </w:t>
      </w:r>
      <w:bookmarkStart w:id="65" w:name="_GoBack"/>
      <w:bookmarkEnd w:id="65"/>
    </w:p>
    <w:p>
      <w:pPr>
        <w:pStyle w:val="2"/>
        <w:ind w:firstLine="0"/>
      </w:pPr>
      <w:r>
        <w:rPr>
          <w:rFonts w:hint="eastAsia"/>
        </w:rPr>
        <w:t>3.最后报价</w:t>
      </w:r>
    </w:p>
    <w:p>
      <w:pPr>
        <w:pStyle w:val="24"/>
        <w:tabs>
          <w:tab w:val="left" w:pos="851"/>
          <w:tab w:val="left" w:pos="993"/>
        </w:tabs>
        <w:spacing w:line="360" w:lineRule="auto"/>
        <w:ind w:firstLineChars="0"/>
        <w:outlineLvl w:val="2"/>
        <w:rPr>
          <w:b/>
          <w:bCs/>
        </w:rPr>
      </w:pPr>
      <w:r>
        <w:rPr>
          <w:rFonts w:hint="eastAsia" w:ascii="宋体" w:hAnsi="宋体" w:cs="宋体"/>
          <w:b/>
          <w:sz w:val="28"/>
          <w:szCs w:val="28"/>
        </w:rPr>
        <w:t>特别说明：</w:t>
      </w:r>
      <w:r>
        <w:rPr>
          <w:rFonts w:hint="eastAsia"/>
          <w:b/>
          <w:sz w:val="28"/>
          <w:szCs w:val="28"/>
        </w:rPr>
        <w:t>本项目以“</w:t>
      </w:r>
      <w:r>
        <w:rPr>
          <w:rFonts w:hint="eastAsia" w:ascii="宋体" w:hAnsi="宋体" w:cs="宋体"/>
          <w:b/>
          <w:sz w:val="28"/>
          <w:szCs w:val="28"/>
        </w:rPr>
        <w:t>档案数字化加工费</w:t>
      </w:r>
      <w:r>
        <w:rPr>
          <w:rFonts w:hint="eastAsia"/>
          <w:b/>
          <w:sz w:val="28"/>
          <w:szCs w:val="28"/>
        </w:rPr>
        <w:t>”</w:t>
      </w:r>
      <w:r>
        <w:rPr>
          <w:rFonts w:hint="eastAsia" w:ascii="宋体" w:hAnsi="宋体" w:cs="宋体"/>
          <w:b/>
          <w:sz w:val="28"/>
          <w:szCs w:val="28"/>
        </w:rPr>
        <w:t>为主要谈判内容即满足以</w:t>
      </w:r>
      <w:r>
        <w:rPr>
          <w:rFonts w:hint="eastAsia" w:ascii="宋体" w:hAnsi="宋体" w:cs="宋体"/>
          <w:b/>
          <w:sz w:val="28"/>
        </w:rPr>
        <w:t>2</w:t>
      </w:r>
      <w:r>
        <w:rPr>
          <w:rFonts w:ascii="宋体" w:hAnsi="宋体" w:cs="宋体"/>
          <w:b/>
          <w:sz w:val="28"/>
        </w:rPr>
        <w:t>49,700</w:t>
      </w:r>
      <w:r>
        <w:rPr>
          <w:rFonts w:hint="eastAsia" w:ascii="宋体" w:hAnsi="宋体" w:cs="宋体"/>
          <w:b/>
          <w:sz w:val="28"/>
        </w:rPr>
        <w:t>元</w:t>
      </w:r>
      <w:r>
        <w:rPr>
          <w:rFonts w:hint="eastAsia" w:ascii="宋体" w:hAnsi="宋体" w:cs="宋体"/>
          <w:b/>
          <w:sz w:val="28"/>
          <w:szCs w:val="28"/>
        </w:rPr>
        <w:t>为基础，数字化加工成果（数字化扫描页数）最多者中标。</w:t>
      </w:r>
    </w:p>
    <w:p>
      <w:pPr>
        <w:pStyle w:val="2"/>
      </w:pPr>
      <w:r>
        <w:rPr>
          <w:rFonts w:hint="eastAsia"/>
        </w:rPr>
        <w:t>谈判小组可根据供应商的报价，响应内容及谈判的情况，要求各供应商分别进行不超过三轮报价，并给予每个正在参加谈判的供应商平等的谈判机会。最后一轮谈判结束后，参加谈判的供应商应当对谈判的承诺和最后报价以书面形式确认，并由法定代表人或其授权委托人签署生效。最后报价是供应商响应文件的有效组成部分。</w:t>
      </w:r>
    </w:p>
    <w:p>
      <w:pPr>
        <w:pStyle w:val="2"/>
      </w:pPr>
      <w:r>
        <w:rPr>
          <w:rFonts w:hint="eastAsia"/>
        </w:rPr>
        <w:t>已提交响应文件的供应商，在提交最后报价之前，可以根据谈判情况退出谈判。最后报价逾时不交的（超过最后报价时限要求的）、最后报价未携带的将视为供应商自动放弃。</w:t>
      </w:r>
    </w:p>
    <w:p>
      <w:pPr>
        <w:pStyle w:val="2"/>
      </w:pPr>
      <w:r>
        <w:rPr>
          <w:rFonts w:hint="eastAsia"/>
        </w:rPr>
        <w:t>待所有实质性响应供应商最后报价完毕后，工作人员统一公布每位实质性响应供应商的最终价格。</w:t>
      </w:r>
    </w:p>
    <w:p>
      <w:pPr>
        <w:pStyle w:val="2"/>
      </w:pPr>
      <w:r>
        <w:rPr>
          <w:rFonts w:hint="eastAsia"/>
        </w:rPr>
        <w:t>注：最后报价应当按照本项目采购文件的相关要求，在最后报价现场对总报价和分项报价进行明确，请各供应商在参加谈判前对可能变动的报价进行准备、计算。</w:t>
      </w:r>
    </w:p>
    <w:p>
      <w:pPr>
        <w:pStyle w:val="2"/>
        <w:ind w:firstLine="0"/>
      </w:pPr>
      <w:r>
        <w:t>4</w:t>
      </w:r>
      <w:r>
        <w:rPr>
          <w:rFonts w:hint="eastAsia"/>
        </w:rPr>
        <w:t>.汇总、排序</w:t>
      </w:r>
    </w:p>
    <w:p>
      <w:pPr>
        <w:pStyle w:val="2"/>
      </w:pPr>
      <w:r>
        <w:rPr>
          <w:rFonts w:hint="eastAsia"/>
        </w:rPr>
        <w:t>响应文件满足谈判文件全部实质性要求，且进行政府采购政策落实的价格扣除后，对最后投标报价进行由低到高排序，</w:t>
      </w:r>
    </w:p>
    <w:p>
      <w:pPr>
        <w:pStyle w:val="2"/>
      </w:pPr>
      <w:r>
        <w:rPr>
          <w:rFonts w:hint="eastAsia"/>
        </w:rPr>
        <w:t>确定价格最低的供应商为成交人候选人。价格相同的，按最终响应文件递交时间或技术指标或售后服务条款或业绩的优劣顺序排列确定。上述相同的，按照提供优先采购产品证明材料的数量进行排序；以上均相同的属于保护环境、不发达地区和少数民族地区企业的优先。</w:t>
      </w:r>
    </w:p>
    <w:p>
      <w:pPr>
        <w:pStyle w:val="2"/>
        <w:jc w:val="both"/>
        <w:rPr>
          <w:b/>
          <w:bCs/>
          <w:sz w:val="28"/>
          <w:szCs w:val="28"/>
        </w:rPr>
      </w:pPr>
    </w:p>
    <w:p>
      <w:pPr>
        <w:pStyle w:val="2"/>
        <w:jc w:val="both"/>
        <w:rPr>
          <w:b/>
          <w:bCs/>
          <w:sz w:val="28"/>
          <w:szCs w:val="28"/>
        </w:rPr>
      </w:pPr>
      <w:r>
        <w:rPr>
          <w:rFonts w:hint="eastAsia"/>
          <w:b/>
          <w:bCs/>
          <w:sz w:val="28"/>
          <w:szCs w:val="28"/>
        </w:rPr>
        <w:t>表一</w:t>
      </w:r>
    </w:p>
    <w:p>
      <w:pPr>
        <w:pStyle w:val="2"/>
        <w:jc w:val="center"/>
        <w:rPr>
          <w:b/>
          <w:bCs/>
          <w:sz w:val="28"/>
          <w:szCs w:val="28"/>
        </w:rPr>
      </w:pPr>
      <w:r>
        <w:rPr>
          <w:rFonts w:hint="eastAsia"/>
          <w:b/>
          <w:bCs/>
          <w:sz w:val="28"/>
          <w:szCs w:val="28"/>
        </w:rPr>
        <w:t>资格性审查表：</w:t>
      </w:r>
    </w:p>
    <w:p>
      <w:pPr>
        <w:pStyle w:val="2"/>
      </w:pPr>
      <w:r>
        <w:rPr>
          <w:rFonts w:hint="eastAsia"/>
        </w:rPr>
        <w:t>合同包1（2022年呼伦贝尔市档案馆馆藏部分永久档案数字化项目（三次））</w:t>
      </w:r>
    </w:p>
    <w:tbl>
      <w:tblPr>
        <w:tblStyle w:val="23"/>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823"/>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6" w:hRule="atLeast"/>
        </w:trPr>
        <w:tc>
          <w:tcPr>
            <w:tcW w:w="1090" w:type="pct"/>
            <w:shd w:val="clear" w:color="auto" w:fill="FFFFFF"/>
            <w:vAlign w:val="center"/>
          </w:tcPr>
          <w:p>
            <w:pPr>
              <w:spacing w:before="62" w:line="360" w:lineRule="auto"/>
              <w:ind w:right="112"/>
              <w:jc w:val="center"/>
              <w:rPr>
                <w:sz w:val="24"/>
                <w:szCs w:val="24"/>
              </w:rPr>
            </w:pPr>
            <w:r>
              <w:rPr>
                <w:rFonts w:hint="eastAsia"/>
                <w:sz w:val="24"/>
                <w:szCs w:val="24"/>
              </w:rPr>
              <w:t>具有独立承担民事责任的能力</w:t>
            </w:r>
          </w:p>
        </w:tc>
        <w:tc>
          <w:tcPr>
            <w:tcW w:w="3909" w:type="pct"/>
            <w:shd w:val="clear" w:color="auto" w:fill="FFFFFF"/>
            <w:vAlign w:val="center"/>
          </w:tcPr>
          <w:p>
            <w:pPr>
              <w:spacing w:before="257" w:line="360" w:lineRule="auto"/>
              <w:ind w:firstLine="76"/>
              <w:jc w:val="both"/>
              <w:rPr>
                <w:sz w:val="24"/>
                <w:szCs w:val="24"/>
              </w:rPr>
            </w:pPr>
            <w:r>
              <w:rPr>
                <w:rFonts w:hint="eastAsia"/>
                <w:spacing w:val="1"/>
                <w:sz w:val="24"/>
                <w:szCs w:val="24"/>
              </w:rPr>
              <w:t>审查投标人有效的营业执照或事业单位法人证书或执业许可证或自然人的身份证明。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80" w:hRule="atLeast"/>
        </w:trPr>
        <w:tc>
          <w:tcPr>
            <w:tcW w:w="1090" w:type="pct"/>
            <w:shd w:val="clear" w:color="auto" w:fill="FFFFFF"/>
            <w:vAlign w:val="center"/>
          </w:tcPr>
          <w:p>
            <w:pPr>
              <w:spacing w:before="77" w:line="360" w:lineRule="auto"/>
              <w:jc w:val="center"/>
              <w:rPr>
                <w:sz w:val="24"/>
                <w:szCs w:val="24"/>
              </w:rPr>
            </w:pPr>
            <w:r>
              <w:rPr>
                <w:rFonts w:hint="eastAsia"/>
                <w:sz w:val="24"/>
                <w:szCs w:val="24"/>
              </w:rPr>
              <w:t>参加采购活动前3年内，在经营活动中没有重大违法记录</w:t>
            </w:r>
          </w:p>
        </w:tc>
        <w:tc>
          <w:tcPr>
            <w:tcW w:w="3909" w:type="pct"/>
            <w:shd w:val="clear" w:color="auto" w:fill="FFFFFF"/>
            <w:vAlign w:val="center"/>
          </w:tcPr>
          <w:p>
            <w:pPr>
              <w:spacing w:before="73" w:line="360" w:lineRule="auto"/>
              <w:jc w:val="both"/>
              <w:rPr>
                <w:sz w:val="24"/>
                <w:szCs w:val="24"/>
              </w:rPr>
            </w:pPr>
            <w:r>
              <w:rPr>
                <w:rFonts w:hint="eastAsia"/>
                <w:spacing w:val="3"/>
                <w:sz w:val="24"/>
                <w:szCs w:val="24"/>
              </w:rPr>
              <w:t>审查“参加本采购活动前3年内”投标人书面声明函；（公司成立未满三年的，提供公司成立年度至今的书面声明；成立不足一年的公司提供成立至今的书面声明。）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0" w:hRule="atLeast"/>
        </w:trPr>
        <w:tc>
          <w:tcPr>
            <w:tcW w:w="1090" w:type="pct"/>
            <w:shd w:val="clear" w:color="auto" w:fill="FFFFFF"/>
            <w:vAlign w:val="center"/>
          </w:tcPr>
          <w:p>
            <w:pPr>
              <w:spacing w:before="261" w:line="360" w:lineRule="auto"/>
              <w:jc w:val="center"/>
              <w:rPr>
                <w:sz w:val="24"/>
                <w:szCs w:val="24"/>
              </w:rPr>
            </w:pPr>
            <w:r>
              <w:rPr>
                <w:rFonts w:hint="eastAsia"/>
                <w:sz w:val="24"/>
                <w:szCs w:val="24"/>
              </w:rPr>
              <w:t>信用记录</w:t>
            </w:r>
          </w:p>
        </w:tc>
        <w:tc>
          <w:tcPr>
            <w:tcW w:w="3909" w:type="pct"/>
            <w:shd w:val="clear" w:color="auto" w:fill="FFFFFF"/>
            <w:vAlign w:val="center"/>
          </w:tcPr>
          <w:p>
            <w:pPr>
              <w:spacing w:before="80" w:line="360" w:lineRule="auto"/>
              <w:ind w:left="65" w:right="101" w:firstLine="5"/>
              <w:jc w:val="both"/>
              <w:rPr>
                <w:sz w:val="24"/>
                <w:szCs w:val="24"/>
              </w:rPr>
            </w:pPr>
            <w:r>
              <w:rPr>
                <w:rFonts w:hint="eastAsia"/>
                <w:spacing w:val="1"/>
                <w:sz w:val="24"/>
                <w:szCs w:val="24"/>
              </w:rPr>
              <w:t>到提交投标文件的截止时间，投标人未被列入失信被执行人、重大税收违法案件当事人名单、 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090" w:type="pct"/>
            <w:shd w:val="clear" w:color="auto" w:fill="FFFFFF"/>
            <w:vAlign w:val="center"/>
          </w:tcPr>
          <w:p>
            <w:pPr>
              <w:spacing w:before="83" w:line="360" w:lineRule="auto"/>
              <w:ind w:right="112"/>
              <w:jc w:val="center"/>
              <w:rPr>
                <w:sz w:val="24"/>
                <w:szCs w:val="24"/>
              </w:rPr>
            </w:pPr>
            <w:r>
              <w:rPr>
                <w:rFonts w:hint="eastAsia"/>
                <w:sz w:val="24"/>
                <w:szCs w:val="24"/>
              </w:rPr>
              <w:t>落实政府采购政策需满足的 资格要求</w:t>
            </w:r>
          </w:p>
        </w:tc>
        <w:tc>
          <w:tcPr>
            <w:tcW w:w="3909" w:type="pct"/>
            <w:shd w:val="clear" w:color="auto" w:fill="FFFFFF"/>
            <w:vAlign w:val="center"/>
          </w:tcPr>
          <w:p>
            <w:pPr>
              <w:spacing w:before="263" w:line="360" w:lineRule="auto"/>
              <w:ind w:firstLine="67"/>
              <w:jc w:val="both"/>
              <w:rPr>
                <w:sz w:val="24"/>
                <w:szCs w:val="24"/>
              </w:rPr>
            </w:pPr>
            <w:r>
              <w:rPr>
                <w:rFonts w:hint="eastAsia"/>
                <w:sz w:val="24"/>
                <w:szCs w:val="24"/>
              </w:rPr>
              <w:t>无</w:t>
            </w:r>
          </w:p>
        </w:tc>
      </w:tr>
    </w:tbl>
    <w:p/>
    <w:p>
      <w:pPr>
        <w:spacing w:before="62" w:line="420" w:lineRule="exact"/>
        <w:rPr>
          <w:b/>
          <w:bCs/>
          <w:spacing w:val="10"/>
          <w:position w:val="17"/>
          <w:sz w:val="28"/>
          <w:szCs w:val="28"/>
        </w:rPr>
      </w:pPr>
    </w:p>
    <w:p>
      <w:pPr>
        <w:spacing w:before="62" w:line="420" w:lineRule="exact"/>
        <w:rPr>
          <w:spacing w:val="10"/>
          <w:position w:val="17"/>
          <w:sz w:val="19"/>
          <w:szCs w:val="19"/>
          <w:lang w:val="en-US"/>
        </w:rPr>
      </w:pPr>
      <w:r>
        <w:rPr>
          <w:b/>
          <w:bCs/>
          <w:spacing w:val="10"/>
          <w:position w:val="17"/>
          <w:sz w:val="28"/>
          <w:szCs w:val="28"/>
        </w:rPr>
        <w:t>表二</w:t>
      </w:r>
      <w:r>
        <w:rPr>
          <w:rFonts w:hint="eastAsia"/>
          <w:b/>
          <w:bCs/>
          <w:spacing w:val="10"/>
          <w:position w:val="17"/>
          <w:sz w:val="28"/>
          <w:szCs w:val="28"/>
          <w:lang w:val="en-US"/>
        </w:rPr>
        <w:t xml:space="preserve"> </w:t>
      </w:r>
      <w:r>
        <w:rPr>
          <w:rFonts w:hint="eastAsia"/>
          <w:spacing w:val="10"/>
          <w:position w:val="17"/>
          <w:sz w:val="19"/>
          <w:szCs w:val="19"/>
          <w:lang w:val="en-US"/>
        </w:rPr>
        <w:t xml:space="preserve">                                 </w:t>
      </w:r>
    </w:p>
    <w:p>
      <w:pPr>
        <w:spacing w:before="62" w:line="360" w:lineRule="auto"/>
        <w:jc w:val="center"/>
        <w:outlineLvl w:val="3"/>
        <w:rPr>
          <w:b/>
          <w:bCs/>
          <w:sz w:val="28"/>
          <w:szCs w:val="28"/>
        </w:rPr>
      </w:pPr>
      <w:r>
        <w:rPr>
          <w:b/>
          <w:bCs/>
          <w:spacing w:val="10"/>
          <w:position w:val="17"/>
          <w:sz w:val="28"/>
          <w:szCs w:val="28"/>
        </w:rPr>
        <w:t>符合性审查表：</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396"/>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6" w:hRule="atLeast"/>
        </w:trPr>
        <w:tc>
          <w:tcPr>
            <w:tcW w:w="840" w:type="pct"/>
            <w:shd w:val="clear" w:color="auto" w:fill="FFFFFF"/>
            <w:vAlign w:val="center"/>
          </w:tcPr>
          <w:p>
            <w:pPr>
              <w:spacing w:before="77" w:line="360" w:lineRule="auto"/>
              <w:jc w:val="center"/>
              <w:rPr>
                <w:sz w:val="24"/>
                <w:szCs w:val="24"/>
              </w:rPr>
            </w:pPr>
            <w:r>
              <w:rPr>
                <w:sz w:val="24"/>
                <w:szCs w:val="24"/>
              </w:rPr>
              <w:t>投标及保证金缴纳情况</w:t>
            </w:r>
          </w:p>
        </w:tc>
        <w:tc>
          <w:tcPr>
            <w:tcW w:w="4159" w:type="pct"/>
            <w:shd w:val="clear" w:color="auto" w:fill="FFFFFF"/>
            <w:vAlign w:val="center"/>
          </w:tcPr>
          <w:p>
            <w:pPr>
              <w:spacing w:before="77" w:line="360" w:lineRule="auto"/>
              <w:ind w:firstLine="67"/>
              <w:jc w:val="both"/>
              <w:rPr>
                <w:sz w:val="24"/>
                <w:szCs w:val="24"/>
              </w:rPr>
            </w:pPr>
            <w:r>
              <w:rPr>
                <w:spacing w:val="1"/>
                <w:sz w:val="24"/>
                <w:szCs w:val="24"/>
              </w:rPr>
              <w:t>按要求进行投标、进行保证金缴纳。</w:t>
            </w:r>
            <w:r>
              <w:rPr>
                <w:spacing w:val="-81"/>
                <w:sz w:val="24"/>
                <w:szCs w:val="24"/>
              </w:rPr>
              <w:t xml:space="preserve"> </w:t>
            </w:r>
            <w:r>
              <w:rPr>
                <w:spacing w:val="1"/>
                <w:sz w:val="24"/>
                <w:szCs w:val="24"/>
              </w:rPr>
              <w:t>（</w:t>
            </w:r>
            <w:r>
              <w:rPr>
                <w:rFonts w:hint="eastAsia"/>
                <w:spacing w:val="1"/>
                <w:sz w:val="24"/>
                <w:szCs w:val="24"/>
              </w:rPr>
              <w:t>本项目不需缴纳投标保证金</w:t>
            </w:r>
            <w:r>
              <w:rPr>
                <w:spacing w:val="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0" w:hRule="atLeast"/>
        </w:trPr>
        <w:tc>
          <w:tcPr>
            <w:tcW w:w="840" w:type="pct"/>
            <w:shd w:val="clear" w:color="auto" w:fill="FFFFFF"/>
            <w:vAlign w:val="center"/>
          </w:tcPr>
          <w:p>
            <w:pPr>
              <w:spacing w:before="253" w:line="360" w:lineRule="auto"/>
              <w:jc w:val="center"/>
              <w:rPr>
                <w:sz w:val="24"/>
                <w:szCs w:val="24"/>
              </w:rPr>
            </w:pPr>
            <w:r>
              <w:rPr>
                <w:spacing w:val="-1"/>
                <w:sz w:val="24"/>
                <w:szCs w:val="24"/>
              </w:rPr>
              <w:t>投标报价</w:t>
            </w:r>
          </w:p>
        </w:tc>
        <w:tc>
          <w:tcPr>
            <w:tcW w:w="4159" w:type="pct"/>
            <w:shd w:val="clear" w:color="auto" w:fill="FFFFFF"/>
            <w:vAlign w:val="center"/>
          </w:tcPr>
          <w:p>
            <w:pPr>
              <w:spacing w:before="73" w:line="360" w:lineRule="auto"/>
              <w:ind w:left="68" w:right="116"/>
              <w:jc w:val="both"/>
              <w:rPr>
                <w:sz w:val="24"/>
                <w:szCs w:val="24"/>
              </w:rPr>
            </w:pPr>
            <w:r>
              <w:rPr>
                <w:spacing w:val="-3"/>
                <w:sz w:val="24"/>
                <w:szCs w:val="24"/>
              </w:rPr>
              <w:t>投标报价（包括分项报价，投标总报价）</w:t>
            </w:r>
            <w:r>
              <w:rPr>
                <w:spacing w:val="58"/>
                <w:sz w:val="24"/>
                <w:szCs w:val="24"/>
              </w:rPr>
              <w:t xml:space="preserve"> </w:t>
            </w:r>
            <w:r>
              <w:rPr>
                <w:spacing w:val="-3"/>
                <w:sz w:val="24"/>
                <w:szCs w:val="24"/>
              </w:rPr>
              <w:t>只能有一个有效报价且不超过采购预算或最高限价，</w:t>
            </w:r>
            <w:r>
              <w:rPr>
                <w:sz w:val="24"/>
                <w:szCs w:val="24"/>
              </w:rPr>
              <w:t xml:space="preserve"> </w:t>
            </w:r>
            <w:r>
              <w:rPr>
                <w:spacing w:val="1"/>
                <w:sz w:val="24"/>
                <w:szCs w:val="24"/>
              </w:rPr>
              <w:t>投标报价不得缺项、漏项。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1" w:hRule="atLeast"/>
        </w:trPr>
        <w:tc>
          <w:tcPr>
            <w:tcW w:w="840" w:type="pct"/>
            <w:shd w:val="clear" w:color="auto" w:fill="FFFFFF"/>
            <w:vAlign w:val="center"/>
          </w:tcPr>
          <w:p>
            <w:pPr>
              <w:spacing w:before="255" w:line="360" w:lineRule="auto"/>
              <w:jc w:val="center"/>
              <w:rPr>
                <w:sz w:val="24"/>
                <w:szCs w:val="24"/>
              </w:rPr>
            </w:pPr>
            <w:r>
              <w:rPr>
                <w:spacing w:val="1"/>
                <w:sz w:val="24"/>
                <w:szCs w:val="24"/>
              </w:rPr>
              <w:t>投标文件规范性、符合性</w:t>
            </w:r>
          </w:p>
        </w:tc>
        <w:tc>
          <w:tcPr>
            <w:tcW w:w="4159" w:type="pct"/>
            <w:shd w:val="clear" w:color="auto" w:fill="FFFFFF"/>
            <w:vAlign w:val="center"/>
          </w:tcPr>
          <w:p>
            <w:pPr>
              <w:spacing w:before="75" w:line="360" w:lineRule="auto"/>
              <w:ind w:left="66" w:right="74" w:firstLine="2"/>
              <w:jc w:val="both"/>
              <w:rPr>
                <w:spacing w:val="59"/>
                <w:sz w:val="24"/>
                <w:szCs w:val="24"/>
              </w:rPr>
            </w:pPr>
            <w:r>
              <w:rPr>
                <w:spacing w:val="-2"/>
                <w:sz w:val="24"/>
                <w:szCs w:val="24"/>
              </w:rPr>
              <w:t>投标文件的签署、盖章、涂改、删除、插字、公章使用等符合招标文件要求；</w:t>
            </w:r>
            <w:r>
              <w:rPr>
                <w:spacing w:val="59"/>
                <w:sz w:val="24"/>
                <w:szCs w:val="24"/>
              </w:rPr>
              <w:t xml:space="preserve"> </w:t>
            </w:r>
          </w:p>
          <w:p>
            <w:pPr>
              <w:spacing w:before="75" w:line="360" w:lineRule="auto"/>
              <w:ind w:left="66" w:right="74" w:firstLine="2"/>
              <w:jc w:val="both"/>
              <w:rPr>
                <w:sz w:val="24"/>
                <w:szCs w:val="24"/>
              </w:rPr>
            </w:pPr>
            <w:r>
              <w:rPr>
                <w:spacing w:val="-2"/>
                <w:sz w:val="24"/>
                <w:szCs w:val="24"/>
              </w:rPr>
              <w:t>投标文件文件的</w:t>
            </w:r>
            <w:r>
              <w:rPr>
                <w:sz w:val="24"/>
                <w:szCs w:val="24"/>
              </w:rPr>
              <w:t>格式、文字、</w:t>
            </w:r>
            <w:r>
              <w:rPr>
                <w:spacing w:val="-47"/>
                <w:sz w:val="24"/>
                <w:szCs w:val="24"/>
              </w:rPr>
              <w:t xml:space="preserve"> </w:t>
            </w:r>
            <w:r>
              <w:rPr>
                <w:sz w:val="24"/>
                <w:szCs w:val="24"/>
              </w:rPr>
              <w:t>目录等符合招标文件要求或对投标无实质性影响。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840" w:type="pct"/>
            <w:shd w:val="clear" w:color="auto" w:fill="FFFFFF"/>
            <w:vAlign w:val="center"/>
          </w:tcPr>
          <w:p>
            <w:pPr>
              <w:spacing w:before="77" w:line="360" w:lineRule="auto"/>
              <w:jc w:val="center"/>
              <w:rPr>
                <w:sz w:val="24"/>
                <w:szCs w:val="24"/>
              </w:rPr>
            </w:pPr>
            <w:r>
              <w:rPr>
                <w:sz w:val="24"/>
                <w:szCs w:val="24"/>
              </w:rPr>
              <w:t>主要商务条款</w:t>
            </w:r>
          </w:p>
        </w:tc>
        <w:tc>
          <w:tcPr>
            <w:tcW w:w="4159" w:type="pct"/>
            <w:shd w:val="clear" w:color="auto" w:fill="FFFFFF"/>
            <w:vAlign w:val="center"/>
          </w:tcPr>
          <w:p>
            <w:pPr>
              <w:spacing w:before="76" w:line="360" w:lineRule="auto"/>
              <w:ind w:firstLine="76"/>
              <w:jc w:val="both"/>
              <w:rPr>
                <w:sz w:val="24"/>
                <w:szCs w:val="24"/>
              </w:rPr>
            </w:pPr>
            <w:r>
              <w:rPr>
                <w:spacing w:val="2"/>
                <w:sz w:val="24"/>
                <w:szCs w:val="24"/>
              </w:rPr>
              <w:t>审查投标人出具的</w:t>
            </w:r>
            <w:r>
              <w:rPr>
                <w:rFonts w:ascii="Lucida Sans Unicode" w:hAnsi="Lucida Sans Unicode" w:eastAsia="Lucida Sans Unicode" w:cs="Lucida Sans Unicode"/>
                <w:spacing w:val="2"/>
                <w:sz w:val="24"/>
                <w:szCs w:val="24"/>
              </w:rPr>
              <w:t>“</w:t>
            </w:r>
            <w:r>
              <w:rPr>
                <w:spacing w:val="2"/>
                <w:sz w:val="24"/>
                <w:szCs w:val="24"/>
              </w:rPr>
              <w:t>满足主要商务条款的承诺书</w:t>
            </w:r>
            <w:r>
              <w:rPr>
                <w:rFonts w:ascii="Lucida Sans Unicode" w:hAnsi="Lucida Sans Unicode" w:eastAsia="Lucida Sans Unicode" w:cs="Lucida Sans Unicode"/>
                <w:spacing w:val="2"/>
                <w:sz w:val="24"/>
                <w:szCs w:val="24"/>
              </w:rPr>
              <w:t>”</w:t>
            </w:r>
            <w:r>
              <w:rPr>
                <w:rFonts w:ascii="Lucida Sans Unicode" w:hAnsi="Lucida Sans Unicode" w:eastAsia="Lucida Sans Unicode" w:cs="Lucida Sans Unicode"/>
                <w:spacing w:val="-32"/>
                <w:sz w:val="24"/>
                <w:szCs w:val="24"/>
              </w:rPr>
              <w:t xml:space="preserve"> </w:t>
            </w:r>
            <w:r>
              <w:rPr>
                <w:spacing w:val="2"/>
                <w:sz w:val="24"/>
                <w:szCs w:val="24"/>
              </w:rPr>
              <w:t>，且进行签署、盖章。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840" w:type="pct"/>
            <w:shd w:val="clear" w:color="auto" w:fill="FFFFFF"/>
            <w:vAlign w:val="center"/>
          </w:tcPr>
          <w:p>
            <w:pPr>
              <w:spacing w:before="79" w:line="360" w:lineRule="auto"/>
              <w:jc w:val="center"/>
              <w:rPr>
                <w:sz w:val="24"/>
                <w:szCs w:val="24"/>
              </w:rPr>
            </w:pPr>
            <w:r>
              <w:rPr>
                <w:sz w:val="24"/>
                <w:szCs w:val="24"/>
              </w:rPr>
              <w:t>联合体投标</w:t>
            </w:r>
          </w:p>
        </w:tc>
        <w:tc>
          <w:tcPr>
            <w:tcW w:w="4159" w:type="pct"/>
            <w:shd w:val="clear" w:color="auto" w:fill="FFFFFF"/>
            <w:vAlign w:val="center"/>
          </w:tcPr>
          <w:p>
            <w:pPr>
              <w:spacing w:before="79" w:line="360" w:lineRule="auto"/>
              <w:ind w:firstLine="67"/>
              <w:jc w:val="both"/>
              <w:rPr>
                <w:sz w:val="24"/>
                <w:szCs w:val="24"/>
              </w:rPr>
            </w:pPr>
            <w:r>
              <w:rPr>
                <w:spacing w:val="1"/>
                <w:sz w:val="24"/>
                <w:szCs w:val="24"/>
              </w:rPr>
              <w:t>符合关于联合体投标的相关规定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trPr>
        <w:tc>
          <w:tcPr>
            <w:tcW w:w="840" w:type="pct"/>
            <w:shd w:val="clear" w:color="auto" w:fill="FFFFFF"/>
            <w:vAlign w:val="center"/>
          </w:tcPr>
          <w:p>
            <w:pPr>
              <w:spacing w:before="261" w:line="360" w:lineRule="auto"/>
              <w:jc w:val="center"/>
              <w:rPr>
                <w:sz w:val="24"/>
                <w:szCs w:val="24"/>
              </w:rPr>
            </w:pPr>
            <w:r>
              <w:rPr>
                <w:sz w:val="24"/>
                <w:szCs w:val="24"/>
              </w:rPr>
              <w:t>技术部分实质性内容</w:t>
            </w:r>
          </w:p>
        </w:tc>
        <w:tc>
          <w:tcPr>
            <w:tcW w:w="4159" w:type="pct"/>
            <w:shd w:val="clear" w:color="auto" w:fill="FFFFFF"/>
            <w:vAlign w:val="center"/>
          </w:tcPr>
          <w:p>
            <w:pPr>
              <w:numPr>
                <w:ilvl w:val="0"/>
                <w:numId w:val="25"/>
              </w:numPr>
              <w:spacing w:before="80" w:line="360" w:lineRule="auto"/>
              <w:ind w:left="81" w:right="230" w:hanging="2"/>
              <w:jc w:val="both"/>
              <w:rPr>
                <w:spacing w:val="8"/>
                <w:sz w:val="24"/>
                <w:szCs w:val="24"/>
              </w:rPr>
            </w:pPr>
            <w:r>
              <w:rPr>
                <w:spacing w:val="-3"/>
                <w:sz w:val="24"/>
                <w:szCs w:val="24"/>
              </w:rPr>
              <w:t>明确所投标的的产品品牌、规格型号或服务内容或</w:t>
            </w:r>
            <w:r>
              <w:rPr>
                <w:rFonts w:hint="eastAsia"/>
                <w:spacing w:val="-3"/>
                <w:sz w:val="24"/>
                <w:szCs w:val="24"/>
              </w:rPr>
              <w:t>数</w:t>
            </w:r>
            <w:r>
              <w:rPr>
                <w:spacing w:val="-3"/>
                <w:sz w:val="24"/>
                <w:szCs w:val="24"/>
              </w:rPr>
              <w:t>量；</w:t>
            </w:r>
            <w:r>
              <w:rPr>
                <w:spacing w:val="8"/>
                <w:sz w:val="24"/>
                <w:szCs w:val="24"/>
              </w:rPr>
              <w:t xml:space="preserve">  </w:t>
            </w:r>
          </w:p>
          <w:p>
            <w:pPr>
              <w:spacing w:before="80" w:line="360" w:lineRule="auto"/>
              <w:ind w:left="79" w:right="230"/>
              <w:jc w:val="both"/>
              <w:rPr>
                <w:sz w:val="24"/>
                <w:szCs w:val="24"/>
              </w:rPr>
            </w:pPr>
            <w:r>
              <w:rPr>
                <w:rFonts w:ascii="Lucida Sans Unicode" w:hAnsi="Lucida Sans Unicode" w:eastAsia="Lucida Sans Unicode" w:cs="Lucida Sans Unicode"/>
                <w:spacing w:val="-3"/>
                <w:sz w:val="24"/>
                <w:szCs w:val="24"/>
              </w:rPr>
              <w:t>2.</w:t>
            </w:r>
            <w:r>
              <w:rPr>
                <w:spacing w:val="-3"/>
                <w:sz w:val="24"/>
                <w:szCs w:val="24"/>
              </w:rPr>
              <w:t>投标文件应当对招标文件提</w:t>
            </w:r>
            <w:r>
              <w:rPr>
                <w:spacing w:val="1"/>
                <w:sz w:val="24"/>
                <w:szCs w:val="24"/>
              </w:rPr>
              <w:t>出的要求和条件作出明确响应并满足招标文件全部实质性要求。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trPr>
        <w:tc>
          <w:tcPr>
            <w:tcW w:w="840" w:type="pct"/>
            <w:shd w:val="clear" w:color="auto" w:fill="FFFFFF"/>
            <w:vAlign w:val="center"/>
          </w:tcPr>
          <w:p>
            <w:pPr>
              <w:spacing w:before="82" w:line="360" w:lineRule="auto"/>
              <w:jc w:val="center"/>
              <w:rPr>
                <w:sz w:val="24"/>
                <w:szCs w:val="24"/>
              </w:rPr>
            </w:pPr>
            <w:r>
              <w:rPr>
                <w:spacing w:val="-1"/>
                <w:sz w:val="24"/>
                <w:szCs w:val="24"/>
              </w:rPr>
              <w:t>其他要求</w:t>
            </w:r>
          </w:p>
        </w:tc>
        <w:tc>
          <w:tcPr>
            <w:tcW w:w="4159" w:type="pct"/>
            <w:shd w:val="clear" w:color="auto" w:fill="FFFFFF"/>
            <w:vAlign w:val="center"/>
          </w:tcPr>
          <w:p>
            <w:pPr>
              <w:spacing w:before="82" w:line="360" w:lineRule="auto"/>
              <w:ind w:firstLine="66"/>
              <w:jc w:val="both"/>
              <w:rPr>
                <w:sz w:val="24"/>
                <w:szCs w:val="24"/>
              </w:rPr>
            </w:pPr>
            <w:r>
              <w:rPr>
                <w:rFonts w:hint="eastAsia"/>
                <w:spacing w:val="-3"/>
                <w:sz w:val="24"/>
                <w:szCs w:val="24"/>
                <w:lang w:val="en-US"/>
              </w:rPr>
              <w:t>1.</w:t>
            </w:r>
            <w:r>
              <w:rPr>
                <w:spacing w:val="-3"/>
                <w:sz w:val="24"/>
                <w:szCs w:val="24"/>
              </w:rPr>
              <w:t>招标文件要求的其他无效投标情形；围标、串标和法律法规规定的其它无效投标条款。</w:t>
            </w:r>
          </w:p>
        </w:tc>
      </w:tr>
    </w:tbl>
    <w:p>
      <w:pPr>
        <w:spacing w:line="360" w:lineRule="auto"/>
        <w:rPr>
          <w:sz w:val="24"/>
          <w:szCs w:val="24"/>
        </w:rPr>
      </w:pPr>
    </w:p>
    <w:p>
      <w:r>
        <w:rPr>
          <w:rFonts w:hint="eastAsia"/>
        </w:rPr>
        <w:br w:type="page"/>
      </w:r>
    </w:p>
    <w:p>
      <w:pPr>
        <w:pStyle w:val="2"/>
        <w:ind w:left="11" w:hanging="11"/>
        <w:jc w:val="center"/>
        <w:outlineLvl w:val="0"/>
        <w:rPr>
          <w:b/>
          <w:bCs/>
          <w:sz w:val="44"/>
          <w:szCs w:val="44"/>
        </w:rPr>
      </w:pPr>
      <w:bookmarkStart w:id="30" w:name="_Toc10745"/>
      <w:r>
        <w:rPr>
          <w:rFonts w:hint="eastAsia"/>
          <w:b/>
          <w:bCs/>
          <w:sz w:val="44"/>
          <w:szCs w:val="44"/>
        </w:rPr>
        <w:t>第七章</w:t>
      </w:r>
      <w:r>
        <w:rPr>
          <w:rFonts w:hint="eastAsia"/>
          <w:b/>
          <w:bCs/>
          <w:sz w:val="44"/>
          <w:szCs w:val="44"/>
          <w:lang w:val="en-US"/>
        </w:rPr>
        <w:t xml:space="preserve">  </w:t>
      </w:r>
      <w:r>
        <w:rPr>
          <w:rFonts w:hint="eastAsia"/>
          <w:b/>
          <w:bCs/>
          <w:sz w:val="44"/>
          <w:szCs w:val="44"/>
        </w:rPr>
        <w:t>响应文件格式与要求</w:t>
      </w:r>
      <w:bookmarkEnd w:id="30"/>
    </w:p>
    <w:p>
      <w:pPr>
        <w:widowControl/>
        <w:adjustRightInd w:val="0"/>
        <w:snapToGrid w:val="0"/>
        <w:spacing w:before="264" w:line="186" w:lineRule="auto"/>
        <w:rPr>
          <w:sz w:val="19"/>
          <w:szCs w:val="19"/>
        </w:rPr>
      </w:pPr>
      <w:r>
        <w:rPr>
          <w:spacing w:val="1"/>
          <w:sz w:val="19"/>
          <w:szCs w:val="19"/>
        </w:rPr>
        <w:t>投标人提供投标文件应按照以下格式及要求进行编制，且不少于以下内容。</w:t>
      </w:r>
    </w:p>
    <w:p>
      <w:pPr>
        <w:widowControl/>
        <w:adjustRightInd w:val="0"/>
        <w:snapToGrid w:val="0"/>
        <w:spacing w:line="378" w:lineRule="auto"/>
        <w:rPr>
          <w:sz w:val="21"/>
        </w:rPr>
      </w:pPr>
    </w:p>
    <w:p>
      <w:pPr>
        <w:widowControl/>
        <w:adjustRightInd w:val="0"/>
        <w:snapToGrid w:val="0"/>
        <w:spacing w:before="63" w:line="186" w:lineRule="auto"/>
        <w:rPr>
          <w:spacing w:val="7"/>
          <w:sz w:val="21"/>
          <w:szCs w:val="21"/>
        </w:rPr>
      </w:pPr>
      <w:r>
        <w:rPr>
          <w:rFonts w:hint="eastAsia"/>
          <w:spacing w:val="7"/>
          <w:sz w:val="21"/>
          <w:szCs w:val="21"/>
        </w:rPr>
        <w:t>格式一：</w:t>
      </w:r>
    </w:p>
    <w:p>
      <w:pPr>
        <w:keepLines/>
        <w:widowControl/>
        <w:adjustRightInd w:val="0"/>
        <w:snapToGrid w:val="0"/>
        <w:spacing w:line="360" w:lineRule="auto"/>
        <w:ind w:left="363"/>
        <w:jc w:val="right"/>
        <w:rPr>
          <w:b/>
          <w:sz w:val="40"/>
          <w:szCs w:val="40"/>
        </w:rPr>
      </w:pPr>
      <w:r>
        <w:rPr>
          <w:rFonts w:hint="eastAsia"/>
          <w:b/>
          <w:bCs/>
          <w:sz w:val="28"/>
        </w:rPr>
        <w:t>正/副本</w:t>
      </w:r>
    </w:p>
    <w:p>
      <w:pPr>
        <w:widowControl/>
        <w:adjustRightInd w:val="0"/>
        <w:snapToGrid w:val="0"/>
        <w:spacing w:line="840" w:lineRule="exact"/>
        <w:ind w:right="-264" w:rightChars="-120"/>
        <w:jc w:val="center"/>
        <w:rPr>
          <w:b/>
          <w:sz w:val="40"/>
          <w:szCs w:val="40"/>
        </w:rPr>
      </w:pPr>
      <w:r>
        <w:rPr>
          <w:rFonts w:hint="eastAsia"/>
          <w:b/>
          <w:sz w:val="40"/>
          <w:szCs w:val="40"/>
        </w:rPr>
        <w:t>项目名称</w:t>
      </w:r>
    </w:p>
    <w:p>
      <w:pPr>
        <w:widowControl/>
        <w:adjustRightInd w:val="0"/>
        <w:snapToGrid w:val="0"/>
        <w:spacing w:line="840" w:lineRule="exact"/>
        <w:ind w:right="-264" w:rightChars="-120"/>
        <w:jc w:val="center"/>
        <w:rPr>
          <w:b/>
          <w:sz w:val="40"/>
          <w:szCs w:val="40"/>
        </w:rPr>
      </w:pPr>
      <w:r>
        <w:rPr>
          <w:rFonts w:hint="eastAsia"/>
          <w:b/>
          <w:sz w:val="40"/>
          <w:szCs w:val="40"/>
        </w:rPr>
        <w:t>谈判响应文件</w:t>
      </w:r>
    </w:p>
    <w:p>
      <w:pPr>
        <w:widowControl/>
        <w:adjustRightInd w:val="0"/>
        <w:snapToGrid w:val="0"/>
        <w:ind w:left="563" w:leftChars="256" w:firstLine="162" w:firstLineChars="74"/>
        <w:jc w:val="center"/>
      </w:pPr>
    </w:p>
    <w:p>
      <w:pPr>
        <w:widowControl/>
        <w:tabs>
          <w:tab w:val="left" w:pos="1620"/>
          <w:tab w:val="left" w:pos="1800"/>
        </w:tabs>
        <w:adjustRightInd w:val="0"/>
        <w:snapToGrid w:val="0"/>
        <w:rPr>
          <w:sz w:val="32"/>
        </w:rPr>
      </w:pPr>
    </w:p>
    <w:p>
      <w:pPr>
        <w:widowControl/>
        <w:adjustRightInd w:val="0"/>
        <w:snapToGrid w:val="0"/>
        <w:spacing w:line="600" w:lineRule="auto"/>
        <w:ind w:left="1481" w:leftChars="-171" w:hanging="1857" w:hangingChars="578"/>
        <w:rPr>
          <w:b/>
          <w:sz w:val="32"/>
        </w:rPr>
      </w:pPr>
      <w:r>
        <w:rPr>
          <w:rFonts w:hint="eastAsia"/>
          <w:b/>
          <w:sz w:val="32"/>
        </w:rPr>
        <w:t>项目编号：</w:t>
      </w:r>
    </w:p>
    <w:p>
      <w:pPr>
        <w:widowControl/>
        <w:adjustRightInd w:val="0"/>
        <w:snapToGrid w:val="0"/>
        <w:spacing w:line="600" w:lineRule="auto"/>
        <w:ind w:left="1481" w:leftChars="-171" w:hanging="1857" w:hangingChars="578"/>
        <w:rPr>
          <w:b/>
          <w:sz w:val="32"/>
        </w:rPr>
      </w:pPr>
      <w:r>
        <w:rPr>
          <w:rFonts w:hint="eastAsia"/>
          <w:b/>
          <w:sz w:val="32"/>
        </w:rPr>
        <w:t>招标人：</w:t>
      </w:r>
    </w:p>
    <w:p>
      <w:pPr>
        <w:widowControl/>
        <w:adjustRightInd w:val="0"/>
        <w:snapToGrid w:val="0"/>
        <w:spacing w:line="600" w:lineRule="auto"/>
        <w:ind w:left="1481" w:leftChars="-171" w:hanging="1857" w:hangingChars="578"/>
        <w:rPr>
          <w:b/>
          <w:sz w:val="32"/>
        </w:rPr>
      </w:pPr>
      <w:r>
        <w:rPr>
          <w:rFonts w:hint="eastAsia"/>
          <w:b/>
          <w:sz w:val="32"/>
        </w:rPr>
        <w:t>供应商名称：</w:t>
      </w:r>
      <w:r>
        <w:rPr>
          <w:rFonts w:hint="eastAsia"/>
          <w:b/>
          <w:sz w:val="32"/>
          <w:u w:val="single"/>
          <w:lang w:val="en-US"/>
        </w:rPr>
        <w:t xml:space="preserve">                        </w:t>
      </w:r>
      <w:r>
        <w:rPr>
          <w:rFonts w:hint="eastAsia"/>
          <w:b/>
          <w:sz w:val="32"/>
        </w:rPr>
        <w:t xml:space="preserve">（盖公章） </w:t>
      </w:r>
    </w:p>
    <w:p>
      <w:pPr>
        <w:widowControl/>
        <w:adjustRightInd w:val="0"/>
        <w:snapToGrid w:val="0"/>
        <w:spacing w:line="600" w:lineRule="auto"/>
        <w:ind w:left="1481" w:leftChars="-171" w:hanging="1857" w:hangingChars="578"/>
        <w:rPr>
          <w:b/>
          <w:sz w:val="32"/>
        </w:rPr>
      </w:pPr>
      <w:r>
        <w:rPr>
          <w:rFonts w:hint="eastAsia"/>
          <w:b/>
          <w:sz w:val="32"/>
        </w:rPr>
        <w:t>供应商地址：</w:t>
      </w:r>
      <w:r>
        <w:rPr>
          <w:rFonts w:hint="eastAsia"/>
          <w:b/>
          <w:sz w:val="32"/>
          <w:u w:val="single"/>
          <w:lang w:val="en-US"/>
        </w:rPr>
        <w:t xml:space="preserve">                              </w:t>
      </w:r>
      <w:r>
        <w:rPr>
          <w:rFonts w:hint="eastAsia"/>
          <w:b/>
          <w:sz w:val="32"/>
        </w:rPr>
        <w:t>.</w:t>
      </w:r>
    </w:p>
    <w:p>
      <w:pPr>
        <w:widowControl/>
        <w:adjustRightInd w:val="0"/>
        <w:snapToGrid w:val="0"/>
        <w:spacing w:line="600" w:lineRule="auto"/>
        <w:ind w:left="1481" w:leftChars="-171" w:hanging="1857" w:hangingChars="578"/>
        <w:rPr>
          <w:b/>
          <w:sz w:val="32"/>
        </w:rPr>
      </w:pPr>
      <w:r>
        <w:rPr>
          <w:rFonts w:hint="eastAsia"/>
          <w:b/>
          <w:sz w:val="32"/>
        </w:rPr>
        <w:t>法定代表人或其委托代理人：</w:t>
      </w:r>
      <w:r>
        <w:rPr>
          <w:rFonts w:hint="eastAsia"/>
          <w:b/>
          <w:sz w:val="32"/>
          <w:lang w:val="en-US"/>
        </w:rPr>
        <w:t xml:space="preserve"> </w:t>
      </w:r>
      <w:r>
        <w:rPr>
          <w:rFonts w:hint="eastAsia"/>
          <w:b/>
          <w:sz w:val="32"/>
          <w:u w:val="single"/>
          <w:lang w:val="en-US"/>
        </w:rPr>
        <w:t xml:space="preserve">            </w:t>
      </w:r>
      <w:r>
        <w:rPr>
          <w:rFonts w:hint="eastAsia"/>
          <w:b/>
          <w:sz w:val="32"/>
        </w:rPr>
        <w:t>（签名或盖章）</w:t>
      </w:r>
    </w:p>
    <w:p>
      <w:pPr>
        <w:widowControl/>
        <w:adjustRightInd w:val="0"/>
        <w:snapToGrid w:val="0"/>
        <w:spacing w:line="600" w:lineRule="auto"/>
        <w:ind w:left="1481" w:leftChars="-171" w:hanging="1857" w:hangingChars="578"/>
        <w:rPr>
          <w:b/>
          <w:sz w:val="32"/>
        </w:rPr>
      </w:pPr>
      <w:r>
        <w:rPr>
          <w:rFonts w:hint="eastAsia"/>
          <w:b/>
          <w:sz w:val="32"/>
        </w:rPr>
        <w:t>法定代表人或其委托代理人电话：</w:t>
      </w:r>
      <w:r>
        <w:rPr>
          <w:rFonts w:hint="eastAsia"/>
          <w:b/>
          <w:sz w:val="32"/>
          <w:u w:val="single"/>
          <w:lang w:val="en-US"/>
        </w:rPr>
        <w:t xml:space="preserve">              </w:t>
      </w:r>
      <w:r>
        <w:rPr>
          <w:rFonts w:hint="eastAsia"/>
          <w:b/>
          <w:sz w:val="32"/>
        </w:rPr>
        <w:t>.</w:t>
      </w:r>
    </w:p>
    <w:p>
      <w:pPr>
        <w:pStyle w:val="9"/>
        <w:widowControl/>
        <w:adjustRightInd w:val="0"/>
        <w:snapToGrid w:val="0"/>
        <w:jc w:val="center"/>
        <w:rPr>
          <w:b/>
          <w:bCs/>
          <w:sz w:val="32"/>
          <w:szCs w:val="36"/>
        </w:rPr>
      </w:pPr>
      <w:r>
        <w:rPr>
          <w:rFonts w:hint="eastAsia"/>
          <w:b/>
          <w:bCs/>
          <w:sz w:val="32"/>
          <w:szCs w:val="36"/>
        </w:rPr>
        <w:t>日期：     年   月   日</w:t>
      </w:r>
    </w:p>
    <w:p>
      <w:pPr>
        <w:pStyle w:val="9"/>
        <w:widowControl/>
        <w:adjustRightInd w:val="0"/>
        <w:snapToGrid w:val="0"/>
        <w:jc w:val="center"/>
        <w:rPr>
          <w:b/>
          <w:bCs/>
          <w:sz w:val="32"/>
          <w:szCs w:val="36"/>
        </w:rPr>
      </w:pPr>
    </w:p>
    <w:p>
      <w:pPr>
        <w:widowControl/>
        <w:adjustRightInd w:val="0"/>
        <w:snapToGrid w:val="0"/>
        <w:rPr>
          <w:b/>
          <w:bCs/>
          <w:sz w:val="32"/>
          <w:szCs w:val="36"/>
        </w:rPr>
      </w:pPr>
    </w:p>
    <w:p>
      <w:pPr>
        <w:pStyle w:val="9"/>
        <w:widowControl/>
        <w:adjustRightInd w:val="0"/>
        <w:snapToGrid w:val="0"/>
      </w:pPr>
    </w:p>
    <w:p>
      <w:pPr>
        <w:widowControl/>
        <w:adjustRightInd w:val="0"/>
        <w:snapToGrid w:val="0"/>
        <w:rPr>
          <w:spacing w:val="7"/>
          <w:sz w:val="21"/>
          <w:szCs w:val="21"/>
        </w:rPr>
      </w:pPr>
    </w:p>
    <w:p>
      <w:pPr>
        <w:widowControl/>
        <w:adjustRightInd w:val="0"/>
        <w:snapToGrid w:val="0"/>
        <w:rPr>
          <w:spacing w:val="7"/>
          <w:sz w:val="21"/>
          <w:szCs w:val="21"/>
        </w:rPr>
      </w:pPr>
    </w:p>
    <w:p>
      <w:pPr>
        <w:rPr>
          <w:spacing w:val="7"/>
          <w:sz w:val="21"/>
          <w:szCs w:val="21"/>
        </w:rPr>
      </w:pPr>
      <w:r>
        <w:rPr>
          <w:rFonts w:hint="eastAsia"/>
          <w:spacing w:val="7"/>
          <w:sz w:val="21"/>
          <w:szCs w:val="21"/>
        </w:rPr>
        <w:br w:type="page"/>
      </w:r>
    </w:p>
    <w:p>
      <w:pPr>
        <w:widowControl/>
        <w:adjustRightInd w:val="0"/>
        <w:snapToGrid w:val="0"/>
        <w:spacing w:before="63" w:line="186" w:lineRule="auto"/>
        <w:rPr>
          <w:sz w:val="19"/>
          <w:szCs w:val="19"/>
        </w:rPr>
      </w:pPr>
      <w:r>
        <w:rPr>
          <w:rFonts w:hint="eastAsia"/>
          <w:spacing w:val="7"/>
          <w:sz w:val="21"/>
          <w:szCs w:val="21"/>
        </w:rPr>
        <w:t>格式二：</w:t>
      </w:r>
    </w:p>
    <w:p>
      <w:pPr>
        <w:widowControl/>
        <w:adjustRightInd w:val="0"/>
        <w:snapToGrid w:val="0"/>
        <w:spacing w:before="228" w:line="186" w:lineRule="auto"/>
        <w:jc w:val="center"/>
        <w:rPr>
          <w:sz w:val="44"/>
          <w:szCs w:val="44"/>
        </w:rPr>
      </w:pPr>
      <w:r>
        <w:rPr>
          <w:rFonts w:hint="eastAsia"/>
          <w:sz w:val="44"/>
          <w:szCs w:val="44"/>
        </w:rPr>
        <w:t>响应文件目录</w:t>
      </w:r>
    </w:p>
    <w:p>
      <w:pPr>
        <w:widowControl/>
        <w:adjustRightInd w:val="0"/>
        <w:snapToGrid w:val="0"/>
        <w:spacing w:before="37" w:line="360" w:lineRule="auto"/>
        <w:ind w:firstLine="486"/>
        <w:rPr>
          <w:sz w:val="24"/>
          <w:szCs w:val="24"/>
        </w:rPr>
      </w:pPr>
      <w:r>
        <w:rPr>
          <w:rFonts w:hint="eastAsia"/>
          <w:sz w:val="24"/>
          <w:szCs w:val="24"/>
        </w:rPr>
        <w:t>一、投标承诺书</w:t>
      </w:r>
    </w:p>
    <w:p>
      <w:pPr>
        <w:widowControl/>
        <w:adjustRightInd w:val="0"/>
        <w:snapToGrid w:val="0"/>
        <w:spacing w:before="37" w:line="360" w:lineRule="auto"/>
        <w:ind w:firstLine="504"/>
        <w:rPr>
          <w:spacing w:val="-2"/>
          <w:sz w:val="24"/>
          <w:szCs w:val="24"/>
        </w:rPr>
      </w:pPr>
      <w:r>
        <w:rPr>
          <w:rFonts w:hint="eastAsia"/>
          <w:spacing w:val="-2"/>
          <w:sz w:val="24"/>
          <w:szCs w:val="24"/>
        </w:rPr>
        <w:t>二、首轮谈判报价单</w:t>
      </w:r>
    </w:p>
    <w:p>
      <w:pPr>
        <w:widowControl/>
        <w:adjustRightInd w:val="0"/>
        <w:snapToGrid w:val="0"/>
        <w:spacing w:before="37" w:line="360" w:lineRule="auto"/>
        <w:ind w:firstLine="504"/>
        <w:rPr>
          <w:spacing w:val="-2"/>
          <w:sz w:val="24"/>
          <w:szCs w:val="24"/>
        </w:rPr>
      </w:pPr>
      <w:r>
        <w:rPr>
          <w:rFonts w:hint="eastAsia"/>
          <w:spacing w:val="-2"/>
          <w:sz w:val="24"/>
          <w:szCs w:val="24"/>
        </w:rPr>
        <w:t>三、最终谈判报价单</w:t>
      </w:r>
    </w:p>
    <w:p>
      <w:pPr>
        <w:widowControl/>
        <w:adjustRightInd w:val="0"/>
        <w:snapToGrid w:val="0"/>
        <w:spacing w:before="37" w:line="360" w:lineRule="auto"/>
        <w:ind w:firstLine="504"/>
        <w:rPr>
          <w:sz w:val="24"/>
          <w:szCs w:val="24"/>
        </w:rPr>
      </w:pPr>
      <w:r>
        <w:rPr>
          <w:rFonts w:hint="eastAsia"/>
          <w:spacing w:val="-2"/>
          <w:sz w:val="24"/>
          <w:szCs w:val="24"/>
        </w:rPr>
        <w:t>四、法定代表人身份证明</w:t>
      </w:r>
    </w:p>
    <w:p>
      <w:pPr>
        <w:widowControl/>
        <w:adjustRightInd w:val="0"/>
        <w:snapToGrid w:val="0"/>
        <w:spacing w:before="36" w:line="360" w:lineRule="auto"/>
        <w:ind w:left="487" w:right="58" w:firstLine="1"/>
        <w:rPr>
          <w:spacing w:val="2"/>
          <w:sz w:val="24"/>
          <w:szCs w:val="24"/>
        </w:rPr>
      </w:pPr>
      <w:r>
        <w:rPr>
          <w:rFonts w:hint="eastAsia"/>
          <w:sz w:val="24"/>
          <w:szCs w:val="24"/>
        </w:rPr>
        <w:t>五、授权委托书</w:t>
      </w:r>
      <w:r>
        <w:rPr>
          <w:rFonts w:hint="eastAsia"/>
          <w:spacing w:val="2"/>
          <w:sz w:val="24"/>
          <w:szCs w:val="24"/>
        </w:rPr>
        <w:t xml:space="preserve"> </w:t>
      </w:r>
    </w:p>
    <w:p>
      <w:pPr>
        <w:widowControl/>
        <w:adjustRightInd w:val="0"/>
        <w:snapToGrid w:val="0"/>
        <w:spacing w:before="36" w:line="360" w:lineRule="auto"/>
        <w:ind w:left="487" w:right="58" w:firstLine="1"/>
        <w:rPr>
          <w:sz w:val="24"/>
          <w:szCs w:val="24"/>
        </w:rPr>
      </w:pPr>
      <w:r>
        <w:rPr>
          <w:rFonts w:hint="eastAsia"/>
          <w:sz w:val="24"/>
          <w:szCs w:val="24"/>
        </w:rPr>
        <w:t>六、</w:t>
      </w:r>
      <w:r>
        <w:rPr>
          <w:rFonts w:hint="eastAsia"/>
          <w:spacing w:val="1"/>
          <w:sz w:val="24"/>
          <w:szCs w:val="24"/>
        </w:rPr>
        <w:t>投标人基本情况表</w:t>
      </w:r>
    </w:p>
    <w:p>
      <w:pPr>
        <w:widowControl/>
        <w:adjustRightInd w:val="0"/>
        <w:snapToGrid w:val="0"/>
        <w:spacing w:line="360" w:lineRule="auto"/>
        <w:ind w:firstLine="489"/>
        <w:rPr>
          <w:sz w:val="24"/>
          <w:szCs w:val="24"/>
        </w:rPr>
      </w:pPr>
      <w:r>
        <w:rPr>
          <w:rFonts w:hint="eastAsia"/>
          <w:sz w:val="24"/>
          <w:szCs w:val="24"/>
        </w:rPr>
        <w:t>七、其他各类证明材料</w:t>
      </w:r>
    </w:p>
    <w:p>
      <w:pPr>
        <w:widowControl/>
        <w:adjustRightInd w:val="0"/>
        <w:snapToGrid w:val="0"/>
        <w:spacing w:before="246" w:line="186" w:lineRule="auto"/>
        <w:rPr>
          <w:sz w:val="21"/>
          <w:szCs w:val="21"/>
        </w:rPr>
      </w:pPr>
      <w:r>
        <w:rPr>
          <w:rFonts w:hint="eastAsia"/>
          <w:spacing w:val="5"/>
          <w:sz w:val="21"/>
          <w:szCs w:val="21"/>
        </w:rPr>
        <w:br w:type="page"/>
      </w:r>
      <w:r>
        <w:rPr>
          <w:rFonts w:hint="eastAsia"/>
          <w:spacing w:val="7"/>
          <w:sz w:val="21"/>
          <w:szCs w:val="21"/>
        </w:rPr>
        <w:t>格式三：</w:t>
      </w:r>
    </w:p>
    <w:p>
      <w:pPr>
        <w:widowControl/>
        <w:adjustRightInd w:val="0"/>
        <w:snapToGrid w:val="0"/>
        <w:spacing w:before="37" w:line="186" w:lineRule="auto"/>
        <w:jc w:val="center"/>
        <w:outlineLvl w:val="2"/>
        <w:rPr>
          <w:sz w:val="36"/>
          <w:szCs w:val="36"/>
        </w:rPr>
      </w:pPr>
      <w:bookmarkStart w:id="31" w:name="_Toc24498"/>
      <w:bookmarkStart w:id="32" w:name="_Toc30693"/>
      <w:bookmarkStart w:id="33" w:name="_Toc19905"/>
      <w:bookmarkStart w:id="34" w:name="_Toc29099"/>
      <w:bookmarkStart w:id="35" w:name="_Toc11739"/>
      <w:bookmarkStart w:id="36" w:name="_Toc3381"/>
      <w:bookmarkStart w:id="37" w:name="_Toc4535"/>
      <w:r>
        <w:rPr>
          <w:rFonts w:hint="eastAsia"/>
          <w:spacing w:val="-1"/>
          <w:sz w:val="36"/>
          <w:szCs w:val="36"/>
        </w:rPr>
        <w:t>一、投标承诺书</w:t>
      </w:r>
      <w:bookmarkEnd w:id="31"/>
      <w:bookmarkEnd w:id="32"/>
      <w:bookmarkEnd w:id="33"/>
      <w:bookmarkEnd w:id="34"/>
      <w:bookmarkEnd w:id="35"/>
      <w:bookmarkEnd w:id="36"/>
      <w:bookmarkEnd w:id="37"/>
    </w:p>
    <w:p>
      <w:pPr>
        <w:widowControl/>
        <w:adjustRightInd w:val="0"/>
        <w:snapToGrid w:val="0"/>
        <w:spacing w:before="37" w:line="360" w:lineRule="auto"/>
        <w:ind w:firstLine="5"/>
        <w:rPr>
          <w:spacing w:val="1"/>
          <w:sz w:val="24"/>
          <w:szCs w:val="24"/>
        </w:rPr>
      </w:pPr>
    </w:p>
    <w:p>
      <w:pPr>
        <w:widowControl/>
        <w:adjustRightInd w:val="0"/>
        <w:snapToGrid w:val="0"/>
        <w:spacing w:before="37" w:line="360" w:lineRule="auto"/>
        <w:ind w:firstLine="5"/>
        <w:rPr>
          <w:sz w:val="24"/>
          <w:szCs w:val="24"/>
        </w:rPr>
      </w:pPr>
      <w:r>
        <w:rPr>
          <w:rFonts w:hint="eastAsia"/>
          <w:spacing w:val="1"/>
          <w:sz w:val="24"/>
          <w:szCs w:val="24"/>
        </w:rPr>
        <w:t>呼伦贝尔档案馆、内蒙古百亚工程项目管理有限公司：</w:t>
      </w:r>
    </w:p>
    <w:p>
      <w:pPr>
        <w:widowControl/>
        <w:adjustRightInd w:val="0"/>
        <w:snapToGrid w:val="0"/>
        <w:spacing w:before="36" w:line="360" w:lineRule="auto"/>
        <w:ind w:firstLine="484" w:firstLineChars="200"/>
        <w:jc w:val="both"/>
        <w:rPr>
          <w:spacing w:val="1"/>
          <w:sz w:val="24"/>
          <w:szCs w:val="24"/>
        </w:rPr>
      </w:pPr>
      <w:r>
        <w:rPr>
          <w:rFonts w:hint="eastAsia"/>
          <w:spacing w:val="1"/>
          <w:sz w:val="24"/>
          <w:szCs w:val="24"/>
          <w:lang w:val="en-US"/>
        </w:rPr>
        <w:t>1.</w:t>
      </w:r>
      <w:r>
        <w:rPr>
          <w:rFonts w:hint="eastAsia"/>
          <w:spacing w:val="1"/>
          <w:sz w:val="24"/>
          <w:szCs w:val="24"/>
        </w:rPr>
        <w:t>按照已收到的</w:t>
      </w:r>
      <w:r>
        <w:rPr>
          <w:rFonts w:hint="eastAsia"/>
          <w:spacing w:val="2"/>
          <w:sz w:val="24"/>
          <w:szCs w:val="24"/>
          <w:u w:val="single"/>
        </w:rPr>
        <w:t xml:space="preserve">                  </w:t>
      </w:r>
      <w:r>
        <w:rPr>
          <w:rFonts w:hint="eastAsia"/>
          <w:spacing w:val="1"/>
          <w:sz w:val="24"/>
          <w:szCs w:val="24"/>
        </w:rPr>
        <w:t>项目（项目编号</w:t>
      </w:r>
      <w:r>
        <w:rPr>
          <w:rFonts w:hint="eastAsia"/>
          <w:spacing w:val="-74"/>
          <w:sz w:val="24"/>
          <w:szCs w:val="24"/>
        </w:rPr>
        <w:t>：</w:t>
      </w:r>
      <w:r>
        <w:rPr>
          <w:rFonts w:hint="eastAsia"/>
          <w:spacing w:val="4"/>
          <w:sz w:val="24"/>
          <w:szCs w:val="24"/>
          <w:u w:val="single"/>
        </w:rPr>
        <w:t xml:space="preserve">                   </w:t>
      </w:r>
      <w:r>
        <w:rPr>
          <w:rFonts w:hint="eastAsia"/>
          <w:spacing w:val="-74"/>
          <w:sz w:val="24"/>
          <w:szCs w:val="24"/>
        </w:rPr>
        <w:t>）</w:t>
      </w:r>
      <w:r>
        <w:rPr>
          <w:rFonts w:hint="eastAsia"/>
          <w:spacing w:val="1"/>
          <w:sz w:val="24"/>
          <w:szCs w:val="24"/>
        </w:rPr>
        <w:t>竞争性谈判文件要求，经我方</w:t>
      </w:r>
      <w:r>
        <w:rPr>
          <w:rFonts w:hint="eastAsia"/>
          <w:spacing w:val="8"/>
          <w:sz w:val="24"/>
          <w:szCs w:val="24"/>
          <w:u w:val="single"/>
        </w:rPr>
        <w:t xml:space="preserve">   </w:t>
      </w:r>
      <w:r>
        <w:rPr>
          <w:rFonts w:hint="eastAsia"/>
          <w:spacing w:val="1"/>
          <w:sz w:val="24"/>
          <w:szCs w:val="24"/>
          <w:u w:val="single"/>
        </w:rPr>
        <w:t>（投标人名</w:t>
      </w:r>
      <w:r>
        <w:rPr>
          <w:rFonts w:hint="eastAsia"/>
          <w:spacing w:val="-1"/>
          <w:sz w:val="24"/>
          <w:szCs w:val="24"/>
          <w:u w:val="single"/>
        </w:rPr>
        <w:t>称）</w:t>
      </w:r>
      <w:r>
        <w:rPr>
          <w:rFonts w:hint="eastAsia"/>
          <w:spacing w:val="33"/>
          <w:sz w:val="24"/>
          <w:szCs w:val="24"/>
          <w:u w:val="single"/>
        </w:rPr>
        <w:t xml:space="preserve">    </w:t>
      </w:r>
      <w:r>
        <w:rPr>
          <w:rFonts w:hint="eastAsia"/>
          <w:spacing w:val="-1"/>
          <w:sz w:val="24"/>
          <w:szCs w:val="24"/>
        </w:rPr>
        <w:t>认真研究投标须知、合同条款、技术规范、资质要求和其他有关要求后，我方愿按上述合同条款、技术规范、资质要</w:t>
      </w:r>
      <w:r>
        <w:rPr>
          <w:rFonts w:hint="eastAsia"/>
          <w:spacing w:val="1"/>
          <w:sz w:val="24"/>
          <w:szCs w:val="24"/>
        </w:rPr>
        <w:t>求进行投标。</w:t>
      </w:r>
    </w:p>
    <w:p>
      <w:pPr>
        <w:widowControl/>
        <w:adjustRightInd w:val="0"/>
        <w:snapToGrid w:val="0"/>
        <w:spacing w:before="36" w:line="360" w:lineRule="auto"/>
        <w:ind w:firstLine="484" w:firstLineChars="200"/>
        <w:jc w:val="both"/>
        <w:rPr>
          <w:sz w:val="24"/>
          <w:szCs w:val="24"/>
        </w:rPr>
      </w:pPr>
      <w:r>
        <w:rPr>
          <w:rFonts w:hint="eastAsia"/>
          <w:spacing w:val="1"/>
          <w:sz w:val="24"/>
          <w:szCs w:val="24"/>
        </w:rPr>
        <w:t>我方完全接受本次谈判文件规定的所有要求，并承诺在中标后执行谈判文件、投标文件和合同的全部要求，并履行我方的全部义务。我方的最终报价为总承包价，保证不以任何理由增加报价。</w:t>
      </w:r>
    </w:p>
    <w:p>
      <w:pPr>
        <w:widowControl/>
        <w:adjustRightInd w:val="0"/>
        <w:snapToGrid w:val="0"/>
        <w:spacing w:before="38" w:line="360" w:lineRule="auto"/>
        <w:ind w:firstLine="500"/>
        <w:rPr>
          <w:sz w:val="24"/>
          <w:szCs w:val="24"/>
        </w:rPr>
      </w:pPr>
      <w:r>
        <w:rPr>
          <w:rFonts w:hint="eastAsia"/>
          <w:sz w:val="24"/>
          <w:szCs w:val="24"/>
        </w:rPr>
        <w:t>2.</w:t>
      </w:r>
      <w:r>
        <w:rPr>
          <w:rFonts w:hint="eastAsia"/>
          <w:spacing w:val="27"/>
          <w:sz w:val="24"/>
          <w:szCs w:val="24"/>
        </w:rPr>
        <w:t xml:space="preserve"> </w:t>
      </w:r>
      <w:r>
        <w:rPr>
          <w:rFonts w:hint="eastAsia"/>
          <w:sz w:val="24"/>
          <w:szCs w:val="24"/>
        </w:rPr>
        <w:t>我方同意谈判文件关于投标有效期的所有规定。</w:t>
      </w:r>
    </w:p>
    <w:p>
      <w:pPr>
        <w:widowControl/>
        <w:adjustRightInd w:val="0"/>
        <w:snapToGrid w:val="0"/>
        <w:spacing w:before="9" w:line="360" w:lineRule="auto"/>
        <w:ind w:left="17" w:right="49" w:firstLine="483"/>
        <w:rPr>
          <w:sz w:val="24"/>
          <w:szCs w:val="24"/>
        </w:rPr>
      </w:pPr>
      <w:r>
        <w:rPr>
          <w:rFonts w:hint="eastAsia"/>
          <w:spacing w:val="-2"/>
          <w:sz w:val="24"/>
          <w:szCs w:val="24"/>
        </w:rPr>
        <w:t>3.</w:t>
      </w:r>
      <w:r>
        <w:rPr>
          <w:rFonts w:hint="eastAsia"/>
          <w:spacing w:val="48"/>
          <w:sz w:val="24"/>
          <w:szCs w:val="24"/>
        </w:rPr>
        <w:t xml:space="preserve"> </w:t>
      </w:r>
      <w:r>
        <w:rPr>
          <w:rFonts w:hint="eastAsia"/>
          <w:spacing w:val="-2"/>
          <w:sz w:val="24"/>
          <w:szCs w:val="24"/>
        </w:rPr>
        <w:t>我方郑重声明：所提供的投标文件内容全部真实有效。如经查实提供的内容、进行承诺的事项存在虚假，我方自愿接</w:t>
      </w:r>
      <w:r>
        <w:rPr>
          <w:rFonts w:hint="eastAsia"/>
          <w:spacing w:val="1"/>
          <w:sz w:val="24"/>
          <w:szCs w:val="24"/>
        </w:rPr>
        <w:t>受有关处罚，及由此带来的法律后果。</w:t>
      </w:r>
    </w:p>
    <w:p>
      <w:pPr>
        <w:widowControl/>
        <w:adjustRightInd w:val="0"/>
        <w:snapToGrid w:val="0"/>
        <w:spacing w:line="360" w:lineRule="auto"/>
        <w:ind w:left="15" w:right="49" w:firstLine="480"/>
        <w:rPr>
          <w:sz w:val="24"/>
          <w:szCs w:val="24"/>
        </w:rPr>
      </w:pPr>
      <w:r>
        <w:rPr>
          <w:rFonts w:hint="eastAsia"/>
          <w:spacing w:val="-3"/>
          <w:sz w:val="24"/>
          <w:szCs w:val="24"/>
        </w:rPr>
        <w:t>4.</w:t>
      </w:r>
      <w:r>
        <w:rPr>
          <w:rFonts w:hint="eastAsia"/>
          <w:spacing w:val="48"/>
          <w:w w:val="101"/>
          <w:sz w:val="24"/>
          <w:szCs w:val="24"/>
        </w:rPr>
        <w:t xml:space="preserve"> </w:t>
      </w:r>
      <w:r>
        <w:rPr>
          <w:rFonts w:hint="eastAsia"/>
          <w:spacing w:val="-3"/>
          <w:sz w:val="24"/>
          <w:szCs w:val="24"/>
        </w:rPr>
        <w:t>我方将严格遵守《中华人民共和国政府采购法》</w:t>
      </w:r>
      <w:r>
        <w:rPr>
          <w:rFonts w:hint="eastAsia"/>
          <w:spacing w:val="11"/>
          <w:sz w:val="24"/>
          <w:szCs w:val="24"/>
        </w:rPr>
        <w:t xml:space="preserve"> </w:t>
      </w:r>
      <w:r>
        <w:rPr>
          <w:rFonts w:hint="eastAsia"/>
          <w:spacing w:val="-3"/>
          <w:sz w:val="24"/>
          <w:szCs w:val="24"/>
        </w:rPr>
        <w:t>、</w:t>
      </w:r>
      <w:r>
        <w:rPr>
          <w:rFonts w:hint="eastAsia"/>
          <w:spacing w:val="-92"/>
          <w:sz w:val="24"/>
          <w:szCs w:val="24"/>
        </w:rPr>
        <w:t xml:space="preserve"> </w:t>
      </w:r>
      <w:r>
        <w:rPr>
          <w:rFonts w:hint="eastAsia"/>
          <w:spacing w:val="-3"/>
          <w:sz w:val="24"/>
          <w:szCs w:val="24"/>
        </w:rPr>
        <w:t>《中华人民共和国民法典》</w:t>
      </w:r>
      <w:r>
        <w:rPr>
          <w:rFonts w:hint="eastAsia"/>
          <w:spacing w:val="-1"/>
          <w:sz w:val="24"/>
          <w:szCs w:val="24"/>
        </w:rPr>
        <w:t xml:space="preserve"> </w:t>
      </w:r>
      <w:r>
        <w:rPr>
          <w:rFonts w:hint="eastAsia"/>
          <w:spacing w:val="-3"/>
          <w:sz w:val="24"/>
          <w:szCs w:val="24"/>
        </w:rPr>
        <w:t>等有关法律、法规规定，如有违反，无</w:t>
      </w:r>
      <w:r>
        <w:rPr>
          <w:rFonts w:hint="eastAsia"/>
          <w:spacing w:val="1"/>
          <w:sz w:val="24"/>
          <w:szCs w:val="24"/>
        </w:rPr>
        <w:t>条件接受相关部门的处罚。</w:t>
      </w:r>
    </w:p>
    <w:p>
      <w:pPr>
        <w:widowControl/>
        <w:adjustRightInd w:val="0"/>
        <w:snapToGrid w:val="0"/>
        <w:spacing w:line="360" w:lineRule="auto"/>
        <w:ind w:firstLine="500"/>
        <w:rPr>
          <w:sz w:val="24"/>
          <w:szCs w:val="24"/>
        </w:rPr>
      </w:pPr>
      <w:r>
        <w:rPr>
          <w:rFonts w:hint="eastAsia"/>
          <w:spacing w:val="1"/>
          <w:sz w:val="24"/>
          <w:szCs w:val="24"/>
        </w:rPr>
        <w:t>5.</w:t>
      </w:r>
      <w:r>
        <w:rPr>
          <w:rFonts w:hint="eastAsia"/>
          <w:spacing w:val="10"/>
          <w:w w:val="101"/>
          <w:sz w:val="24"/>
          <w:szCs w:val="24"/>
        </w:rPr>
        <w:t xml:space="preserve"> </w:t>
      </w:r>
      <w:r>
        <w:rPr>
          <w:rFonts w:hint="eastAsia"/>
          <w:spacing w:val="1"/>
          <w:sz w:val="24"/>
          <w:szCs w:val="24"/>
        </w:rPr>
        <w:t>我方同意提供贵方另外要求的与其投标有关的任何数据或资料。</w:t>
      </w:r>
    </w:p>
    <w:p>
      <w:pPr>
        <w:widowControl/>
        <w:adjustRightInd w:val="0"/>
        <w:snapToGrid w:val="0"/>
        <w:spacing w:line="360" w:lineRule="auto"/>
        <w:ind w:firstLine="499"/>
        <w:rPr>
          <w:sz w:val="24"/>
          <w:szCs w:val="24"/>
        </w:rPr>
      </w:pPr>
      <w:r>
        <w:rPr>
          <w:rFonts w:hint="eastAsia"/>
          <w:spacing w:val="1"/>
          <w:sz w:val="24"/>
          <w:szCs w:val="24"/>
        </w:rPr>
        <w:t>6.</w:t>
      </w:r>
      <w:r>
        <w:rPr>
          <w:rFonts w:hint="eastAsia"/>
          <w:spacing w:val="36"/>
          <w:sz w:val="24"/>
          <w:szCs w:val="24"/>
        </w:rPr>
        <w:t xml:space="preserve"> </w:t>
      </w:r>
      <w:r>
        <w:rPr>
          <w:rFonts w:hint="eastAsia"/>
          <w:spacing w:val="1"/>
          <w:sz w:val="24"/>
          <w:szCs w:val="24"/>
        </w:rPr>
        <w:t>我方将按照谈判文件、投标文件及相关要求、规定进行合同签订，并严格执行和承担协议和合同规定的责任和义务。</w:t>
      </w:r>
    </w:p>
    <w:p>
      <w:pPr>
        <w:widowControl/>
        <w:adjustRightInd w:val="0"/>
        <w:snapToGrid w:val="0"/>
        <w:spacing w:before="1" w:line="360" w:lineRule="auto"/>
        <w:ind w:left="12" w:right="76" w:firstLine="489"/>
        <w:rPr>
          <w:sz w:val="24"/>
          <w:szCs w:val="24"/>
        </w:rPr>
      </w:pPr>
      <w:r>
        <w:rPr>
          <w:rFonts w:hint="eastAsia"/>
          <w:sz w:val="24"/>
          <w:szCs w:val="24"/>
        </w:rPr>
        <w:t>7.</w:t>
      </w:r>
      <w:r>
        <w:rPr>
          <w:rFonts w:hint="eastAsia"/>
          <w:spacing w:val="59"/>
          <w:w w:val="101"/>
          <w:sz w:val="24"/>
          <w:szCs w:val="24"/>
        </w:rPr>
        <w:t xml:space="preserve"> </w:t>
      </w:r>
      <w:r>
        <w:rPr>
          <w:rFonts w:hint="eastAsia"/>
          <w:sz w:val="24"/>
          <w:szCs w:val="24"/>
        </w:rPr>
        <w:t>我单位如果存在下列情形的，愿意承担取消中标资格、投标保证金不予退还、赔偿超过投标保证金金额的损失部分、</w:t>
      </w:r>
      <w:r>
        <w:rPr>
          <w:rFonts w:hint="eastAsia"/>
          <w:spacing w:val="1"/>
          <w:sz w:val="24"/>
          <w:szCs w:val="24"/>
        </w:rPr>
        <w:t>接受有关监督部门处罚等后果：</w:t>
      </w:r>
    </w:p>
    <w:p>
      <w:pPr>
        <w:widowControl/>
        <w:adjustRightInd w:val="0"/>
        <w:snapToGrid w:val="0"/>
        <w:spacing w:before="15" w:line="360" w:lineRule="auto"/>
        <w:ind w:firstLine="499"/>
        <w:rPr>
          <w:sz w:val="24"/>
          <w:szCs w:val="24"/>
        </w:rPr>
      </w:pPr>
      <w:r>
        <w:rPr>
          <w:rFonts w:hint="eastAsia"/>
          <w:spacing w:val="1"/>
          <w:sz w:val="24"/>
          <w:szCs w:val="24"/>
        </w:rPr>
        <w:t>（1）中标后，无正当理由放弃中标资格；</w:t>
      </w:r>
    </w:p>
    <w:p>
      <w:pPr>
        <w:widowControl/>
        <w:adjustRightInd w:val="0"/>
        <w:snapToGrid w:val="0"/>
        <w:spacing w:before="1" w:line="360" w:lineRule="auto"/>
        <w:ind w:firstLine="499"/>
        <w:rPr>
          <w:sz w:val="24"/>
          <w:szCs w:val="24"/>
        </w:rPr>
      </w:pPr>
      <w:r>
        <w:rPr>
          <w:rFonts w:hint="eastAsia"/>
          <w:spacing w:val="1"/>
          <w:sz w:val="24"/>
          <w:szCs w:val="24"/>
        </w:rPr>
        <w:t>（2）中标后，无正当理由不与招标人签订合同；</w:t>
      </w:r>
    </w:p>
    <w:p>
      <w:pPr>
        <w:widowControl/>
        <w:adjustRightInd w:val="0"/>
        <w:snapToGrid w:val="0"/>
        <w:spacing w:line="360" w:lineRule="auto"/>
        <w:ind w:firstLine="499"/>
        <w:rPr>
          <w:sz w:val="24"/>
          <w:szCs w:val="24"/>
        </w:rPr>
      </w:pPr>
      <w:r>
        <w:rPr>
          <w:rFonts w:hint="eastAsia"/>
          <w:spacing w:val="1"/>
          <w:sz w:val="24"/>
          <w:szCs w:val="24"/>
        </w:rPr>
        <w:t>（3）在签订合同时，向招标人提出附加条件或不按照相关要求签订合同；</w:t>
      </w:r>
    </w:p>
    <w:p>
      <w:pPr>
        <w:widowControl/>
        <w:adjustRightInd w:val="0"/>
        <w:snapToGrid w:val="0"/>
        <w:spacing w:before="1" w:line="360" w:lineRule="auto"/>
        <w:ind w:firstLine="499"/>
        <w:rPr>
          <w:sz w:val="24"/>
          <w:szCs w:val="24"/>
        </w:rPr>
      </w:pPr>
      <w:r>
        <w:rPr>
          <w:rFonts w:hint="eastAsia"/>
          <w:spacing w:val="1"/>
          <w:sz w:val="24"/>
          <w:szCs w:val="24"/>
        </w:rPr>
        <w:t>（4）不按照谈判文件要求提交履约保证金；</w:t>
      </w:r>
    </w:p>
    <w:p>
      <w:pPr>
        <w:widowControl/>
        <w:adjustRightInd w:val="0"/>
        <w:snapToGrid w:val="0"/>
        <w:spacing w:before="1" w:line="360" w:lineRule="auto"/>
        <w:ind w:firstLine="499"/>
        <w:rPr>
          <w:sz w:val="24"/>
          <w:szCs w:val="24"/>
        </w:rPr>
      </w:pPr>
      <w:r>
        <w:rPr>
          <w:rFonts w:hint="eastAsia"/>
          <w:spacing w:val="1"/>
          <w:sz w:val="24"/>
          <w:szCs w:val="24"/>
        </w:rPr>
        <w:t>（5）要求修改、补充和撤销投标文件的实质性内容；</w:t>
      </w:r>
    </w:p>
    <w:p>
      <w:pPr>
        <w:widowControl/>
        <w:adjustRightInd w:val="0"/>
        <w:snapToGrid w:val="0"/>
        <w:spacing w:line="360" w:lineRule="auto"/>
        <w:ind w:firstLine="499"/>
        <w:rPr>
          <w:spacing w:val="1"/>
          <w:sz w:val="24"/>
          <w:szCs w:val="24"/>
        </w:rPr>
        <w:sectPr>
          <w:footerReference r:id="rId3" w:type="default"/>
          <w:pgSz w:w="11900" w:h="16840"/>
          <w:pgMar w:top="1440" w:right="1800" w:bottom="1440" w:left="1800" w:header="0" w:footer="454" w:gutter="0"/>
          <w:cols w:space="720" w:num="1"/>
        </w:sectPr>
      </w:pPr>
    </w:p>
    <w:p>
      <w:pPr>
        <w:widowControl/>
        <w:adjustRightInd w:val="0"/>
        <w:snapToGrid w:val="0"/>
        <w:spacing w:line="360" w:lineRule="auto"/>
        <w:ind w:firstLine="499"/>
        <w:rPr>
          <w:sz w:val="24"/>
          <w:szCs w:val="24"/>
        </w:rPr>
      </w:pPr>
      <w:r>
        <w:rPr>
          <w:rFonts w:hint="eastAsia"/>
          <w:spacing w:val="1"/>
          <w:sz w:val="24"/>
          <w:szCs w:val="24"/>
        </w:rPr>
        <w:t>（6）要求更改谈判文件和中标结果公告的实质性内容；</w:t>
      </w:r>
    </w:p>
    <w:p>
      <w:pPr>
        <w:widowControl/>
        <w:adjustRightInd w:val="0"/>
        <w:snapToGrid w:val="0"/>
        <w:spacing w:before="1" w:line="360" w:lineRule="auto"/>
        <w:ind w:firstLine="499"/>
        <w:rPr>
          <w:sz w:val="24"/>
          <w:szCs w:val="24"/>
        </w:rPr>
      </w:pPr>
      <w:r>
        <w:rPr>
          <w:rFonts w:hint="eastAsia"/>
          <w:spacing w:val="1"/>
          <w:sz w:val="24"/>
          <w:szCs w:val="24"/>
        </w:rPr>
        <w:t>（7）法律法规和谈判文件规定的其他情形。</w:t>
      </w:r>
    </w:p>
    <w:p>
      <w:pPr>
        <w:widowControl/>
        <w:adjustRightInd w:val="0"/>
        <w:snapToGrid w:val="0"/>
        <w:spacing w:line="360" w:lineRule="auto"/>
        <w:rPr>
          <w:sz w:val="24"/>
          <w:szCs w:val="24"/>
        </w:rPr>
        <w:sectPr>
          <w:footerReference r:id="rId4" w:type="default"/>
          <w:pgSz w:w="11900" w:h="16840"/>
          <w:pgMar w:top="1440" w:right="1417" w:bottom="1440" w:left="1417" w:header="0" w:footer="454" w:gutter="0"/>
          <w:cols w:space="720" w:num="1"/>
        </w:sectPr>
      </w:pPr>
    </w:p>
    <w:p>
      <w:pPr>
        <w:widowControl/>
        <w:adjustRightInd w:val="0"/>
        <w:snapToGrid w:val="0"/>
        <w:spacing w:before="36" w:line="360" w:lineRule="auto"/>
        <w:ind w:firstLine="495"/>
        <w:rPr>
          <w:spacing w:val="-1"/>
          <w:sz w:val="24"/>
          <w:szCs w:val="24"/>
        </w:rPr>
      </w:pPr>
    </w:p>
    <w:p>
      <w:pPr>
        <w:widowControl/>
        <w:adjustRightInd w:val="0"/>
        <w:snapToGrid w:val="0"/>
        <w:spacing w:before="36" w:line="360" w:lineRule="auto"/>
        <w:ind w:firstLine="495"/>
        <w:rPr>
          <w:sz w:val="24"/>
          <w:szCs w:val="24"/>
        </w:rPr>
      </w:pPr>
      <w:r>
        <w:rPr>
          <w:rFonts w:hint="eastAsia"/>
          <w:spacing w:val="-1"/>
          <w:sz w:val="24"/>
          <w:szCs w:val="24"/>
        </w:rPr>
        <w:t>详细地址：</w:t>
      </w:r>
    </w:p>
    <w:p>
      <w:pPr>
        <w:widowControl/>
        <w:adjustRightInd w:val="0"/>
        <w:snapToGrid w:val="0"/>
        <w:spacing w:line="360" w:lineRule="auto"/>
        <w:ind w:firstLine="516"/>
        <w:rPr>
          <w:sz w:val="24"/>
          <w:szCs w:val="24"/>
        </w:rPr>
      </w:pPr>
      <w:r>
        <w:rPr>
          <w:rFonts w:hint="eastAsia"/>
          <w:spacing w:val="-13"/>
          <w:sz w:val="24"/>
          <w:szCs w:val="24"/>
        </w:rPr>
        <w:t>电</w:t>
      </w:r>
      <w:r>
        <w:rPr>
          <w:rFonts w:hint="eastAsia"/>
          <w:spacing w:val="-24"/>
          <w:sz w:val="24"/>
          <w:szCs w:val="24"/>
        </w:rPr>
        <w:t xml:space="preserve"> </w:t>
      </w:r>
      <w:r>
        <w:rPr>
          <w:rFonts w:hint="eastAsia"/>
          <w:spacing w:val="-13"/>
          <w:sz w:val="24"/>
          <w:szCs w:val="24"/>
        </w:rPr>
        <w:t>话：</w:t>
      </w:r>
    </w:p>
    <w:p>
      <w:pPr>
        <w:widowControl/>
        <w:adjustRightInd w:val="0"/>
        <w:snapToGrid w:val="0"/>
        <w:spacing w:before="18" w:line="360" w:lineRule="auto"/>
        <w:ind w:firstLine="495"/>
        <w:rPr>
          <w:sz w:val="24"/>
          <w:szCs w:val="24"/>
        </w:rPr>
      </w:pPr>
      <w:r>
        <w:rPr>
          <w:rFonts w:hint="eastAsia"/>
          <w:sz w:val="24"/>
          <w:szCs w:val="24"/>
        </w:rPr>
        <w:t>投标人开户银行：</w:t>
      </w:r>
    </w:p>
    <w:p>
      <w:pPr>
        <w:widowControl/>
        <w:adjustRightInd w:val="0"/>
        <w:snapToGrid w:val="0"/>
        <w:spacing w:before="37" w:line="360" w:lineRule="auto"/>
        <w:ind w:firstLine="495"/>
        <w:rPr>
          <w:sz w:val="24"/>
          <w:szCs w:val="24"/>
        </w:rPr>
      </w:pPr>
      <w:r>
        <w:rPr>
          <w:rFonts w:hint="eastAsia"/>
          <w:spacing w:val="3"/>
          <w:sz w:val="24"/>
          <w:szCs w:val="24"/>
        </w:rPr>
        <w:t>投标人法人签字</w:t>
      </w:r>
      <w:r>
        <w:rPr>
          <w:rFonts w:hint="eastAsia"/>
          <w:spacing w:val="-78"/>
          <w:sz w:val="24"/>
          <w:szCs w:val="24"/>
        </w:rPr>
        <w:t>：</w:t>
      </w:r>
      <w:r>
        <w:rPr>
          <w:rFonts w:hint="eastAsia"/>
          <w:spacing w:val="16"/>
          <w:sz w:val="24"/>
          <w:szCs w:val="24"/>
        </w:rPr>
        <w:t xml:space="preserve">     （</w:t>
      </w:r>
      <w:r>
        <w:rPr>
          <w:rFonts w:hint="eastAsia"/>
          <w:spacing w:val="3"/>
          <w:sz w:val="24"/>
          <w:szCs w:val="24"/>
        </w:rPr>
        <w:t>加盖公章）</w:t>
      </w:r>
    </w:p>
    <w:p>
      <w:pPr>
        <w:widowControl/>
        <w:adjustRightInd w:val="0"/>
        <w:snapToGrid w:val="0"/>
        <w:spacing w:before="35" w:line="360" w:lineRule="auto"/>
        <w:ind w:firstLine="464" w:firstLineChars="200"/>
        <w:rPr>
          <w:sz w:val="24"/>
          <w:szCs w:val="24"/>
        </w:rPr>
      </w:pPr>
      <w:r>
        <w:rPr>
          <w:rFonts w:hint="eastAsia"/>
          <w:spacing w:val="-4"/>
          <w:sz w:val="24"/>
          <w:szCs w:val="24"/>
        </w:rPr>
        <w:t>邮政编码：</w:t>
      </w:r>
    </w:p>
    <w:p>
      <w:pPr>
        <w:widowControl/>
        <w:adjustRightInd w:val="0"/>
        <w:snapToGrid w:val="0"/>
        <w:spacing w:before="36" w:line="360" w:lineRule="auto"/>
        <w:ind w:firstLine="460" w:firstLineChars="200"/>
        <w:rPr>
          <w:sz w:val="24"/>
          <w:szCs w:val="24"/>
        </w:rPr>
      </w:pPr>
      <w:r>
        <w:rPr>
          <w:rFonts w:hint="eastAsia"/>
          <w:spacing w:val="-5"/>
          <w:sz w:val="24"/>
          <w:szCs w:val="24"/>
        </w:rPr>
        <w:t>电子函件：</w:t>
      </w:r>
    </w:p>
    <w:p>
      <w:pPr>
        <w:widowControl/>
        <w:adjustRightInd w:val="0"/>
        <w:snapToGrid w:val="0"/>
        <w:spacing w:before="1" w:line="360" w:lineRule="auto"/>
        <w:ind w:firstLine="448" w:firstLineChars="200"/>
        <w:rPr>
          <w:sz w:val="24"/>
          <w:szCs w:val="24"/>
        </w:rPr>
      </w:pPr>
      <w:r>
        <w:rPr>
          <w:rFonts w:hint="eastAsia"/>
          <w:spacing w:val="-8"/>
          <w:sz w:val="24"/>
          <w:szCs w:val="24"/>
        </w:rPr>
        <w:t>账号/行号：</w:t>
      </w:r>
    </w:p>
    <w:p>
      <w:pPr>
        <w:widowControl/>
        <w:adjustRightInd w:val="0"/>
        <w:snapToGrid w:val="0"/>
        <w:spacing w:before="212" w:line="360" w:lineRule="auto"/>
        <w:ind w:firstLine="4185" w:firstLineChars="1852"/>
        <w:rPr>
          <w:sz w:val="24"/>
          <w:szCs w:val="24"/>
        </w:rPr>
      </w:pPr>
      <w:r>
        <w:rPr>
          <w:rFonts w:hint="eastAsia"/>
          <w:spacing w:val="-7"/>
          <w:sz w:val="24"/>
          <w:szCs w:val="24"/>
        </w:rPr>
        <w:t>年</w:t>
      </w:r>
      <w:r>
        <w:rPr>
          <w:rFonts w:hint="eastAsia"/>
          <w:spacing w:val="32"/>
          <w:sz w:val="24"/>
          <w:szCs w:val="24"/>
        </w:rPr>
        <w:t xml:space="preserve">  </w:t>
      </w:r>
      <w:r>
        <w:rPr>
          <w:rFonts w:hint="eastAsia"/>
          <w:spacing w:val="-7"/>
          <w:sz w:val="24"/>
          <w:szCs w:val="24"/>
        </w:rPr>
        <w:t>月</w:t>
      </w:r>
      <w:r>
        <w:rPr>
          <w:rFonts w:hint="eastAsia"/>
          <w:spacing w:val="5"/>
          <w:sz w:val="24"/>
          <w:szCs w:val="24"/>
        </w:rPr>
        <w:t xml:space="preserve">   </w:t>
      </w:r>
      <w:r>
        <w:rPr>
          <w:rFonts w:hint="eastAsia"/>
          <w:spacing w:val="-7"/>
          <w:sz w:val="24"/>
          <w:szCs w:val="24"/>
        </w:rPr>
        <w:t>日</w:t>
      </w:r>
    </w:p>
    <w:p>
      <w:pPr>
        <w:widowControl/>
        <w:adjustRightInd w:val="0"/>
        <w:snapToGrid w:val="0"/>
        <w:spacing w:line="360" w:lineRule="auto"/>
        <w:sectPr>
          <w:footerReference r:id="rId5" w:type="default"/>
          <w:type w:val="continuous"/>
          <w:pgSz w:w="11900" w:h="16840"/>
          <w:pgMar w:top="1440" w:right="1800" w:bottom="1440" w:left="1800" w:header="0" w:footer="34" w:gutter="0"/>
          <w:cols w:space="720" w:num="1"/>
        </w:sectPr>
      </w:pPr>
    </w:p>
    <w:p>
      <w:pPr>
        <w:widowControl/>
        <w:rPr>
          <w:b/>
          <w:bCs/>
          <w:sz w:val="44"/>
          <w:szCs w:val="44"/>
        </w:rPr>
      </w:pPr>
      <w:r>
        <w:rPr>
          <w:rFonts w:hint="eastAsia"/>
          <w:spacing w:val="7"/>
          <w:sz w:val="21"/>
          <w:szCs w:val="21"/>
        </w:rPr>
        <w:t>格式四：</w:t>
      </w:r>
    </w:p>
    <w:p>
      <w:pPr>
        <w:widowControl/>
        <w:jc w:val="center"/>
        <w:outlineLvl w:val="2"/>
        <w:rPr>
          <w:b/>
          <w:bCs/>
          <w:sz w:val="44"/>
          <w:szCs w:val="44"/>
        </w:rPr>
      </w:pPr>
      <w:r>
        <w:rPr>
          <w:rFonts w:hint="eastAsia"/>
          <w:b/>
          <w:bCs/>
          <w:sz w:val="44"/>
          <w:szCs w:val="44"/>
        </w:rPr>
        <w:t>二、首轮谈判报价单</w:t>
      </w:r>
    </w:p>
    <w:p>
      <w:pPr>
        <w:pStyle w:val="10"/>
        <w:spacing w:line="360" w:lineRule="auto"/>
        <w:ind w:left="57" w:right="57" w:firstLine="57"/>
        <w:rPr>
          <w:rFonts w:hAnsi="宋体"/>
          <w:sz w:val="24"/>
        </w:rPr>
      </w:pPr>
    </w:p>
    <w:p>
      <w:pPr>
        <w:pStyle w:val="10"/>
        <w:spacing w:line="360" w:lineRule="auto"/>
        <w:ind w:left="57" w:right="57" w:firstLine="57"/>
        <w:rPr>
          <w:rFonts w:hAnsi="宋体"/>
          <w:sz w:val="24"/>
        </w:rPr>
      </w:pPr>
      <w:r>
        <w:rPr>
          <w:rFonts w:hint="eastAsia" w:hAnsi="宋体"/>
          <w:sz w:val="24"/>
        </w:rPr>
        <w:t>投标人名称（加盖公章）</w:t>
      </w:r>
    </w:p>
    <w:p>
      <w:pPr>
        <w:spacing w:line="360" w:lineRule="auto"/>
        <w:ind w:firstLine="120" w:firstLineChars="50"/>
        <w:rPr>
          <w:sz w:val="24"/>
          <w:szCs w:val="24"/>
        </w:rPr>
      </w:pPr>
      <w:r>
        <w:rPr>
          <w:rFonts w:hint="eastAsia"/>
          <w:sz w:val="24"/>
          <w:szCs w:val="24"/>
        </w:rPr>
        <w:t>项目名称、包（标段）号：                          项目编号：</w:t>
      </w:r>
    </w:p>
    <w:p>
      <w:pPr>
        <w:widowControl/>
        <w:rPr>
          <w:sz w:val="24"/>
          <w:szCs w:val="24"/>
        </w:rPr>
      </w:pP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859"/>
        <w:gridCol w:w="2693"/>
        <w:gridCol w:w="193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58" w:type="pct"/>
            <w:vAlign w:val="center"/>
          </w:tcPr>
          <w:p>
            <w:pPr>
              <w:jc w:val="center"/>
              <w:rPr>
                <w:sz w:val="24"/>
                <w:szCs w:val="24"/>
              </w:rPr>
            </w:pPr>
            <w:r>
              <w:rPr>
                <w:rFonts w:hint="eastAsia"/>
                <w:sz w:val="24"/>
                <w:szCs w:val="24"/>
              </w:rPr>
              <w:t>名称</w:t>
            </w:r>
          </w:p>
        </w:tc>
        <w:tc>
          <w:tcPr>
            <w:tcW w:w="456" w:type="pct"/>
            <w:vAlign w:val="center"/>
          </w:tcPr>
          <w:p>
            <w:pPr>
              <w:jc w:val="center"/>
              <w:rPr>
                <w:sz w:val="24"/>
                <w:szCs w:val="24"/>
              </w:rPr>
            </w:pPr>
            <w:r>
              <w:rPr>
                <w:rFonts w:hint="eastAsia"/>
                <w:sz w:val="24"/>
                <w:szCs w:val="24"/>
              </w:rPr>
              <w:t>单位</w:t>
            </w:r>
          </w:p>
        </w:tc>
        <w:tc>
          <w:tcPr>
            <w:tcW w:w="1430" w:type="pct"/>
            <w:vAlign w:val="center"/>
          </w:tcPr>
          <w:p>
            <w:pPr>
              <w:jc w:val="center"/>
              <w:rPr>
                <w:sz w:val="24"/>
                <w:szCs w:val="24"/>
              </w:rPr>
            </w:pPr>
            <w:r>
              <w:rPr>
                <w:rFonts w:hint="eastAsia"/>
                <w:sz w:val="24"/>
                <w:szCs w:val="24"/>
              </w:rPr>
              <w:t>数量</w:t>
            </w:r>
          </w:p>
        </w:tc>
        <w:tc>
          <w:tcPr>
            <w:tcW w:w="1027" w:type="pct"/>
            <w:vAlign w:val="center"/>
          </w:tcPr>
          <w:p>
            <w:pPr>
              <w:jc w:val="center"/>
              <w:rPr>
                <w:sz w:val="24"/>
                <w:szCs w:val="24"/>
              </w:rPr>
            </w:pPr>
            <w:r>
              <w:rPr>
                <w:rFonts w:hint="eastAsia"/>
                <w:sz w:val="24"/>
                <w:szCs w:val="24"/>
              </w:rPr>
              <w:t>金额（元）</w:t>
            </w:r>
          </w:p>
        </w:tc>
        <w:tc>
          <w:tcPr>
            <w:tcW w:w="829" w:type="pct"/>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258" w:type="pct"/>
            <w:vAlign w:val="center"/>
          </w:tcPr>
          <w:p>
            <w:pPr>
              <w:jc w:val="center"/>
              <w:rPr>
                <w:sz w:val="24"/>
                <w:szCs w:val="24"/>
              </w:rPr>
            </w:pPr>
            <w:r>
              <w:rPr>
                <w:rFonts w:hint="eastAsia"/>
                <w:sz w:val="24"/>
                <w:szCs w:val="24"/>
              </w:rPr>
              <w:t>档案数字化加工费</w:t>
            </w:r>
          </w:p>
        </w:tc>
        <w:tc>
          <w:tcPr>
            <w:tcW w:w="456" w:type="pct"/>
            <w:vAlign w:val="center"/>
          </w:tcPr>
          <w:p>
            <w:pPr>
              <w:jc w:val="center"/>
              <w:rPr>
                <w:sz w:val="24"/>
                <w:szCs w:val="24"/>
              </w:rPr>
            </w:pPr>
            <w:r>
              <w:rPr>
                <w:rFonts w:hint="eastAsia"/>
                <w:sz w:val="24"/>
                <w:szCs w:val="24"/>
              </w:rPr>
              <w:t>页</w:t>
            </w:r>
          </w:p>
        </w:tc>
        <w:tc>
          <w:tcPr>
            <w:tcW w:w="1430" w:type="pct"/>
            <w:vAlign w:val="center"/>
          </w:tcPr>
          <w:p>
            <w:pPr>
              <w:jc w:val="both"/>
              <w:rPr>
                <w:sz w:val="24"/>
                <w:szCs w:val="24"/>
              </w:rPr>
            </w:pPr>
          </w:p>
        </w:tc>
        <w:tc>
          <w:tcPr>
            <w:tcW w:w="1027" w:type="pct"/>
            <w:vAlign w:val="center"/>
          </w:tcPr>
          <w:p>
            <w:pPr>
              <w:jc w:val="center"/>
              <w:rPr>
                <w:sz w:val="24"/>
                <w:szCs w:val="24"/>
                <w:lang w:val="en-US"/>
              </w:rPr>
            </w:pPr>
            <w:r>
              <w:rPr>
                <w:rFonts w:hint="eastAsia"/>
                <w:sz w:val="24"/>
                <w:szCs w:val="24"/>
                <w:lang w:val="en-US"/>
              </w:rPr>
              <w:t>249700.00</w:t>
            </w:r>
          </w:p>
        </w:tc>
        <w:tc>
          <w:tcPr>
            <w:tcW w:w="829" w:type="pct"/>
            <w:vAlign w:val="center"/>
          </w:tcPr>
          <w:p>
            <w:pPr>
              <w:jc w:val="both"/>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714" w:type="pct"/>
            <w:gridSpan w:val="2"/>
            <w:vAlign w:val="center"/>
          </w:tcPr>
          <w:p>
            <w:pPr>
              <w:jc w:val="center"/>
            </w:pPr>
            <w:r>
              <w:rPr>
                <w:rFonts w:hint="eastAsia"/>
                <w:sz w:val="24"/>
                <w:szCs w:val="24"/>
              </w:rPr>
              <w:t>供货期或服务期</w:t>
            </w:r>
          </w:p>
        </w:tc>
        <w:tc>
          <w:tcPr>
            <w:tcW w:w="3286" w:type="pct"/>
            <w:gridSpan w:val="3"/>
            <w:vAlign w:val="center"/>
          </w:tcPr>
          <w:p>
            <w:pPr>
              <w:jc w:val="center"/>
            </w:pPr>
          </w:p>
        </w:tc>
      </w:tr>
    </w:tbl>
    <w:p>
      <w:pPr>
        <w:widowControl/>
        <w:rPr>
          <w:sz w:val="24"/>
          <w:szCs w:val="24"/>
        </w:rPr>
      </w:pPr>
    </w:p>
    <w:p>
      <w:pPr>
        <w:widowControl/>
        <w:rPr>
          <w:b/>
          <w:sz w:val="21"/>
          <w:szCs w:val="21"/>
        </w:rPr>
      </w:pPr>
      <w:r>
        <w:rPr>
          <w:rFonts w:hint="eastAsia"/>
          <w:sz w:val="21"/>
          <w:szCs w:val="21"/>
        </w:rPr>
        <w:t>说明：</w:t>
      </w:r>
      <w:r>
        <w:rPr>
          <w:rFonts w:hint="eastAsia"/>
          <w:b/>
          <w:sz w:val="21"/>
          <w:szCs w:val="21"/>
        </w:rPr>
        <w:t>1.采购方式为竞争性谈判、竞争性磋商和单一来源方式的需提供《</w:t>
      </w:r>
      <w:r>
        <w:rPr>
          <w:rFonts w:hint="eastAsia"/>
          <w:b/>
          <w:bCs/>
          <w:sz w:val="21"/>
          <w:szCs w:val="21"/>
        </w:rPr>
        <w:t>首轮谈判报价单</w:t>
      </w:r>
      <w:r>
        <w:rPr>
          <w:rFonts w:hint="eastAsia"/>
          <w:b/>
          <w:sz w:val="21"/>
          <w:szCs w:val="21"/>
        </w:rPr>
        <w:t>》。</w:t>
      </w:r>
    </w:p>
    <w:p>
      <w:pPr>
        <w:adjustRightInd w:val="0"/>
        <w:snapToGrid w:val="0"/>
        <w:spacing w:line="360" w:lineRule="auto"/>
        <w:ind w:firstLine="630" w:firstLineChars="300"/>
        <w:rPr>
          <w:rFonts w:cs="Courier New"/>
          <w:sz w:val="21"/>
          <w:szCs w:val="21"/>
        </w:rPr>
      </w:pPr>
      <w:r>
        <w:rPr>
          <w:rFonts w:hint="eastAsia"/>
          <w:sz w:val="21"/>
          <w:szCs w:val="21"/>
        </w:rPr>
        <w:t>2．所有价格均系用人民币表示，单位为元。</w:t>
      </w:r>
    </w:p>
    <w:p>
      <w:pPr>
        <w:adjustRightInd w:val="0"/>
        <w:snapToGrid w:val="0"/>
        <w:spacing w:line="360" w:lineRule="auto"/>
        <w:ind w:firstLine="630" w:firstLineChars="300"/>
        <w:rPr>
          <w:rFonts w:cs="Courier New"/>
          <w:sz w:val="21"/>
          <w:szCs w:val="21"/>
        </w:rPr>
      </w:pPr>
      <w:r>
        <w:rPr>
          <w:rFonts w:hint="eastAsia" w:cs="Courier New"/>
          <w:sz w:val="21"/>
          <w:szCs w:val="21"/>
        </w:rPr>
        <w:t>3．价格应按照采购文件的要求报价。</w:t>
      </w:r>
    </w:p>
    <w:p>
      <w:pPr>
        <w:adjustRightInd w:val="0"/>
        <w:snapToGrid w:val="0"/>
        <w:spacing w:line="360" w:lineRule="auto"/>
        <w:ind w:firstLine="630" w:firstLineChars="300"/>
        <w:rPr>
          <w:rFonts w:cs="Courier New"/>
          <w:sz w:val="21"/>
          <w:szCs w:val="21"/>
        </w:rPr>
      </w:pPr>
      <w:r>
        <w:rPr>
          <w:rFonts w:hint="eastAsia" w:cs="Courier New"/>
          <w:sz w:val="21"/>
          <w:szCs w:val="21"/>
        </w:rPr>
        <w:t>4．格式、内容和签署、盖章必须完整。</w:t>
      </w:r>
    </w:p>
    <w:p>
      <w:pPr>
        <w:adjustRightInd w:val="0"/>
        <w:snapToGrid w:val="0"/>
        <w:spacing w:line="360" w:lineRule="auto"/>
        <w:ind w:firstLine="630" w:firstLineChars="300"/>
        <w:rPr>
          <w:sz w:val="21"/>
          <w:szCs w:val="21"/>
        </w:rPr>
      </w:pPr>
      <w:r>
        <w:rPr>
          <w:rFonts w:hint="eastAsia" w:cs="Courier New"/>
          <w:sz w:val="21"/>
          <w:szCs w:val="21"/>
        </w:rPr>
        <w:t>5.《</w:t>
      </w:r>
      <w:r>
        <w:rPr>
          <w:rFonts w:hint="eastAsia" w:cs="Courier New"/>
          <w:b/>
          <w:bCs/>
          <w:sz w:val="21"/>
          <w:szCs w:val="21"/>
        </w:rPr>
        <w:t>首轮谈判报价单</w:t>
      </w:r>
      <w:r>
        <w:rPr>
          <w:rFonts w:hint="eastAsia" w:cs="Courier New"/>
          <w:sz w:val="21"/>
          <w:szCs w:val="21"/>
        </w:rPr>
        <w:t>》中所填写内容与投标文件中内容不一致的，以第一轮报价以</w:t>
      </w:r>
      <w:r>
        <w:rPr>
          <w:rFonts w:hint="eastAsia" w:cs="Courier New"/>
          <w:b/>
          <w:bCs/>
          <w:sz w:val="21"/>
          <w:szCs w:val="21"/>
        </w:rPr>
        <w:t>首轮谈判报价单</w:t>
      </w:r>
      <w:r>
        <w:rPr>
          <w:rFonts w:hint="eastAsia" w:cs="Courier New"/>
          <w:sz w:val="21"/>
          <w:szCs w:val="21"/>
        </w:rPr>
        <w:t>为准。</w:t>
      </w:r>
    </w:p>
    <w:p>
      <w:pPr>
        <w:adjustRightInd w:val="0"/>
        <w:snapToGrid w:val="0"/>
        <w:spacing w:line="360" w:lineRule="auto"/>
        <w:ind w:left="871" w:leftChars="300" w:hanging="211" w:hangingChars="100"/>
        <w:rPr>
          <w:rFonts w:cs="Courier New"/>
          <w:sz w:val="21"/>
          <w:szCs w:val="21"/>
        </w:rPr>
      </w:pPr>
      <w:r>
        <w:rPr>
          <w:rFonts w:hint="eastAsia"/>
          <w:b/>
          <w:bCs/>
          <w:sz w:val="21"/>
          <w:szCs w:val="21"/>
          <w:shd w:val="clear" w:color="auto" w:fill="FFFFFF"/>
          <w:lang w:bidi="ar"/>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应在投标文件中如实提供格式五-3《报价报价合理性相关说明和佐证材料》）。</w:t>
      </w:r>
    </w:p>
    <w:p>
      <w:pPr>
        <w:adjustRightInd w:val="0"/>
        <w:snapToGrid w:val="0"/>
        <w:spacing w:line="360" w:lineRule="auto"/>
        <w:ind w:firstLine="720" w:firstLineChars="300"/>
        <w:rPr>
          <w:rFonts w:cs="Courier New"/>
          <w:color w:val="000000"/>
          <w:sz w:val="24"/>
          <w:szCs w:val="24"/>
        </w:rPr>
      </w:pPr>
    </w:p>
    <w:p>
      <w:pPr>
        <w:spacing w:line="360" w:lineRule="auto"/>
        <w:ind w:right="480" w:firstLine="360" w:firstLineChars="150"/>
        <w:rPr>
          <w:color w:val="000000"/>
          <w:sz w:val="24"/>
          <w:szCs w:val="24"/>
        </w:rPr>
      </w:pPr>
      <w:r>
        <w:rPr>
          <w:rFonts w:hint="eastAsia"/>
          <w:color w:val="000000"/>
          <w:sz w:val="24"/>
          <w:szCs w:val="24"/>
        </w:rPr>
        <w:t>法定代表人（名章）：</w:t>
      </w:r>
    </w:p>
    <w:p>
      <w:pPr>
        <w:ind w:firstLine="2160" w:firstLineChars="900"/>
        <w:rPr>
          <w:color w:val="000000"/>
          <w:sz w:val="24"/>
          <w:szCs w:val="24"/>
        </w:rPr>
      </w:pPr>
      <w:r>
        <w:rPr>
          <w:rFonts w:hint="eastAsia"/>
          <w:color w:val="000000"/>
          <w:sz w:val="24"/>
          <w:szCs w:val="24"/>
        </w:rPr>
        <w:t xml:space="preserve">                              年    月     日</w:t>
      </w:r>
    </w:p>
    <w:p>
      <w:pPr>
        <w:spacing w:line="360" w:lineRule="auto"/>
        <w:rPr>
          <w:color w:val="000000"/>
          <w:sz w:val="24"/>
          <w:szCs w:val="24"/>
        </w:rPr>
      </w:pPr>
      <w:r>
        <w:rPr>
          <w:color w:val="000000"/>
          <w:sz w:val="24"/>
          <w:szCs w:val="24"/>
        </w:rPr>
        <w:br w:type="page"/>
      </w:r>
      <w:r>
        <w:rPr>
          <w:rFonts w:hint="eastAsia"/>
          <w:spacing w:val="7"/>
          <w:sz w:val="21"/>
          <w:szCs w:val="21"/>
        </w:rPr>
        <w:t>格式五：</w:t>
      </w:r>
    </w:p>
    <w:p>
      <w:pPr>
        <w:spacing w:line="360" w:lineRule="auto"/>
        <w:jc w:val="center"/>
        <w:outlineLvl w:val="2"/>
        <w:rPr>
          <w:b/>
          <w:bCs/>
          <w:sz w:val="44"/>
          <w:szCs w:val="44"/>
        </w:rPr>
      </w:pPr>
      <w:r>
        <w:rPr>
          <w:rFonts w:hint="eastAsia"/>
          <w:b/>
          <w:bCs/>
          <w:sz w:val="44"/>
          <w:szCs w:val="44"/>
        </w:rPr>
        <w:t>三、最终谈判报价单</w:t>
      </w:r>
    </w:p>
    <w:p>
      <w:pPr>
        <w:pStyle w:val="10"/>
        <w:spacing w:line="360" w:lineRule="auto"/>
        <w:ind w:left="57" w:right="57" w:firstLine="57"/>
        <w:rPr>
          <w:rFonts w:hAnsi="宋体"/>
          <w:color w:val="000000"/>
          <w:sz w:val="24"/>
        </w:rPr>
      </w:pPr>
      <w:r>
        <w:rPr>
          <w:rFonts w:hint="eastAsia" w:hAnsi="宋体"/>
          <w:color w:val="000000"/>
          <w:sz w:val="24"/>
        </w:rPr>
        <w:t>投标人名称（加盖公章）</w:t>
      </w:r>
    </w:p>
    <w:p>
      <w:pPr>
        <w:spacing w:line="360" w:lineRule="auto"/>
        <w:ind w:firstLine="120" w:firstLineChars="50"/>
        <w:rPr>
          <w:color w:val="000000"/>
          <w:sz w:val="24"/>
          <w:szCs w:val="24"/>
        </w:rPr>
      </w:pPr>
      <w:r>
        <w:rPr>
          <w:rFonts w:hint="eastAsia"/>
          <w:color w:val="000000"/>
          <w:sz w:val="24"/>
          <w:szCs w:val="24"/>
        </w:rPr>
        <w:t>项目名称、包（标段）号：                          项目编号：</w:t>
      </w: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859"/>
        <w:gridCol w:w="2693"/>
        <w:gridCol w:w="19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59" w:type="pct"/>
            <w:vAlign w:val="center"/>
          </w:tcPr>
          <w:p>
            <w:pPr>
              <w:jc w:val="center"/>
              <w:rPr>
                <w:sz w:val="24"/>
                <w:szCs w:val="24"/>
              </w:rPr>
            </w:pPr>
            <w:r>
              <w:rPr>
                <w:rFonts w:hint="eastAsia"/>
                <w:sz w:val="24"/>
                <w:szCs w:val="24"/>
              </w:rPr>
              <w:t>名称</w:t>
            </w:r>
          </w:p>
        </w:tc>
        <w:tc>
          <w:tcPr>
            <w:tcW w:w="456" w:type="pct"/>
            <w:vAlign w:val="center"/>
          </w:tcPr>
          <w:p>
            <w:pPr>
              <w:jc w:val="center"/>
              <w:rPr>
                <w:sz w:val="24"/>
                <w:szCs w:val="24"/>
              </w:rPr>
            </w:pPr>
            <w:r>
              <w:rPr>
                <w:rFonts w:hint="eastAsia"/>
                <w:sz w:val="24"/>
                <w:szCs w:val="24"/>
              </w:rPr>
              <w:t>单位</w:t>
            </w:r>
          </w:p>
        </w:tc>
        <w:tc>
          <w:tcPr>
            <w:tcW w:w="1430" w:type="pct"/>
            <w:vAlign w:val="center"/>
          </w:tcPr>
          <w:p>
            <w:pPr>
              <w:jc w:val="center"/>
              <w:rPr>
                <w:sz w:val="24"/>
                <w:szCs w:val="24"/>
              </w:rPr>
            </w:pPr>
            <w:r>
              <w:rPr>
                <w:rFonts w:hint="eastAsia"/>
                <w:sz w:val="24"/>
                <w:szCs w:val="24"/>
              </w:rPr>
              <w:t>数量</w:t>
            </w:r>
          </w:p>
        </w:tc>
        <w:tc>
          <w:tcPr>
            <w:tcW w:w="1027" w:type="pct"/>
            <w:vAlign w:val="center"/>
          </w:tcPr>
          <w:p>
            <w:pPr>
              <w:jc w:val="center"/>
              <w:rPr>
                <w:sz w:val="24"/>
                <w:szCs w:val="24"/>
              </w:rPr>
            </w:pPr>
            <w:r>
              <w:rPr>
                <w:rFonts w:hint="eastAsia"/>
                <w:sz w:val="24"/>
                <w:szCs w:val="24"/>
              </w:rPr>
              <w:t>金额（元）</w:t>
            </w:r>
          </w:p>
        </w:tc>
        <w:tc>
          <w:tcPr>
            <w:tcW w:w="829" w:type="pct"/>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259" w:type="pct"/>
            <w:vAlign w:val="center"/>
          </w:tcPr>
          <w:p>
            <w:pPr>
              <w:jc w:val="center"/>
              <w:rPr>
                <w:sz w:val="24"/>
                <w:szCs w:val="24"/>
              </w:rPr>
            </w:pPr>
            <w:r>
              <w:rPr>
                <w:rFonts w:hint="eastAsia"/>
                <w:sz w:val="24"/>
                <w:szCs w:val="24"/>
              </w:rPr>
              <w:t>档案数字化加工费</w:t>
            </w:r>
          </w:p>
        </w:tc>
        <w:tc>
          <w:tcPr>
            <w:tcW w:w="456" w:type="pct"/>
            <w:vAlign w:val="center"/>
          </w:tcPr>
          <w:p>
            <w:pPr>
              <w:jc w:val="center"/>
              <w:rPr>
                <w:sz w:val="24"/>
                <w:szCs w:val="24"/>
              </w:rPr>
            </w:pPr>
            <w:r>
              <w:rPr>
                <w:rFonts w:hint="eastAsia"/>
                <w:sz w:val="24"/>
                <w:szCs w:val="24"/>
              </w:rPr>
              <w:t>页</w:t>
            </w:r>
          </w:p>
        </w:tc>
        <w:tc>
          <w:tcPr>
            <w:tcW w:w="1430" w:type="pct"/>
            <w:vAlign w:val="center"/>
          </w:tcPr>
          <w:p>
            <w:pPr>
              <w:jc w:val="both"/>
              <w:rPr>
                <w:sz w:val="24"/>
                <w:szCs w:val="24"/>
              </w:rPr>
            </w:pPr>
          </w:p>
        </w:tc>
        <w:tc>
          <w:tcPr>
            <w:tcW w:w="1027" w:type="pct"/>
            <w:vAlign w:val="center"/>
          </w:tcPr>
          <w:p>
            <w:pPr>
              <w:jc w:val="center"/>
              <w:rPr>
                <w:sz w:val="24"/>
                <w:szCs w:val="24"/>
                <w:lang w:val="en-US"/>
              </w:rPr>
            </w:pPr>
            <w:r>
              <w:rPr>
                <w:rFonts w:hint="eastAsia"/>
                <w:sz w:val="24"/>
                <w:szCs w:val="24"/>
                <w:lang w:val="en-US"/>
              </w:rPr>
              <w:t>249700.00</w:t>
            </w:r>
          </w:p>
        </w:tc>
        <w:tc>
          <w:tcPr>
            <w:tcW w:w="829" w:type="pct"/>
            <w:vAlign w:val="center"/>
          </w:tcPr>
          <w:p>
            <w:pPr>
              <w:jc w:val="both"/>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714" w:type="pct"/>
            <w:gridSpan w:val="2"/>
            <w:vAlign w:val="center"/>
          </w:tcPr>
          <w:p>
            <w:pPr>
              <w:jc w:val="center"/>
            </w:pPr>
            <w:r>
              <w:rPr>
                <w:rFonts w:hint="eastAsia"/>
                <w:sz w:val="24"/>
                <w:szCs w:val="24"/>
              </w:rPr>
              <w:t>供货期或服务期</w:t>
            </w:r>
          </w:p>
        </w:tc>
        <w:tc>
          <w:tcPr>
            <w:tcW w:w="3286" w:type="pct"/>
            <w:gridSpan w:val="3"/>
            <w:vAlign w:val="center"/>
          </w:tcPr>
          <w:p>
            <w:pPr>
              <w:jc w:val="center"/>
            </w:pPr>
          </w:p>
        </w:tc>
      </w:tr>
    </w:tbl>
    <w:p>
      <w:pPr>
        <w:widowControl/>
        <w:rPr>
          <w:color w:val="000000"/>
          <w:sz w:val="21"/>
          <w:szCs w:val="21"/>
        </w:rPr>
      </w:pPr>
    </w:p>
    <w:p>
      <w:pPr>
        <w:widowControl/>
        <w:rPr>
          <w:b/>
          <w:color w:val="000000"/>
          <w:sz w:val="21"/>
          <w:szCs w:val="21"/>
        </w:rPr>
      </w:pPr>
      <w:r>
        <w:rPr>
          <w:rFonts w:hint="eastAsia"/>
          <w:color w:val="000000"/>
          <w:sz w:val="21"/>
          <w:szCs w:val="21"/>
        </w:rPr>
        <w:t>说明：</w:t>
      </w:r>
      <w:r>
        <w:rPr>
          <w:rFonts w:hint="eastAsia"/>
          <w:b/>
          <w:color w:val="000000"/>
          <w:sz w:val="21"/>
          <w:szCs w:val="21"/>
        </w:rPr>
        <w:t>1.采购方式为竞争性谈判、竞争性磋商和单一来源方式的需提供《最终谈判报价单》。</w:t>
      </w:r>
    </w:p>
    <w:p>
      <w:pPr>
        <w:adjustRightInd w:val="0"/>
        <w:snapToGrid w:val="0"/>
        <w:spacing w:line="360" w:lineRule="auto"/>
        <w:ind w:firstLine="630" w:firstLineChars="300"/>
        <w:rPr>
          <w:rFonts w:cs="Courier New"/>
          <w:color w:val="000000"/>
          <w:sz w:val="21"/>
          <w:szCs w:val="21"/>
        </w:rPr>
      </w:pPr>
      <w:r>
        <w:rPr>
          <w:rFonts w:hint="eastAsia"/>
          <w:color w:val="000000"/>
          <w:sz w:val="21"/>
          <w:szCs w:val="21"/>
        </w:rPr>
        <w:t>2．所有价格均系用人民币表示，单位为元。</w:t>
      </w:r>
    </w:p>
    <w:p>
      <w:pPr>
        <w:adjustRightInd w:val="0"/>
        <w:snapToGrid w:val="0"/>
        <w:spacing w:line="360" w:lineRule="auto"/>
        <w:ind w:firstLine="630" w:firstLineChars="300"/>
        <w:rPr>
          <w:rFonts w:cs="Courier New"/>
          <w:color w:val="000000"/>
          <w:sz w:val="21"/>
          <w:szCs w:val="21"/>
        </w:rPr>
      </w:pPr>
      <w:r>
        <w:rPr>
          <w:rFonts w:hint="eastAsia" w:cs="Courier New"/>
          <w:color w:val="000000"/>
          <w:sz w:val="21"/>
          <w:szCs w:val="21"/>
        </w:rPr>
        <w:t>3．价格应按照采购文件的要求报价。</w:t>
      </w:r>
    </w:p>
    <w:p>
      <w:pPr>
        <w:adjustRightInd w:val="0"/>
        <w:snapToGrid w:val="0"/>
        <w:spacing w:line="360" w:lineRule="auto"/>
        <w:ind w:firstLine="630" w:firstLineChars="300"/>
        <w:rPr>
          <w:rFonts w:cs="Courier New"/>
          <w:color w:val="000000"/>
          <w:sz w:val="21"/>
          <w:szCs w:val="21"/>
        </w:rPr>
      </w:pPr>
      <w:r>
        <w:rPr>
          <w:rFonts w:hint="eastAsia" w:cs="Courier New"/>
          <w:color w:val="000000"/>
          <w:sz w:val="21"/>
          <w:szCs w:val="21"/>
        </w:rPr>
        <w:t>4．格式、内容和签署、盖章必须完整。</w:t>
      </w:r>
    </w:p>
    <w:p>
      <w:pPr>
        <w:widowControl/>
        <w:ind w:firstLine="630" w:firstLineChars="300"/>
        <w:rPr>
          <w:color w:val="000000"/>
          <w:sz w:val="21"/>
          <w:szCs w:val="21"/>
        </w:rPr>
      </w:pPr>
      <w:r>
        <w:rPr>
          <w:rFonts w:hint="eastAsia" w:cs="Courier New"/>
          <w:color w:val="000000"/>
          <w:sz w:val="21"/>
          <w:szCs w:val="21"/>
        </w:rPr>
        <w:t>5.</w:t>
      </w:r>
      <w:r>
        <w:rPr>
          <w:rFonts w:hint="eastAsia" w:cs="Courier New"/>
          <w:b/>
          <w:bCs/>
          <w:color w:val="000000"/>
          <w:sz w:val="21"/>
          <w:szCs w:val="21"/>
        </w:rPr>
        <w:t>《最终谈判报价单》</w:t>
      </w:r>
      <w:r>
        <w:rPr>
          <w:rFonts w:hint="eastAsia" w:cs="Courier New"/>
          <w:color w:val="000000"/>
          <w:sz w:val="21"/>
          <w:szCs w:val="21"/>
        </w:rPr>
        <w:t>中所填写内容与投标文件中内容不一致的，以</w:t>
      </w:r>
      <w:r>
        <w:rPr>
          <w:rFonts w:hint="eastAsia"/>
          <w:b/>
          <w:color w:val="000000"/>
          <w:sz w:val="21"/>
          <w:szCs w:val="21"/>
        </w:rPr>
        <w:t>最终谈判报价单</w:t>
      </w:r>
      <w:r>
        <w:rPr>
          <w:rFonts w:hint="eastAsia"/>
          <w:b/>
          <w:bCs/>
          <w:sz w:val="21"/>
          <w:szCs w:val="21"/>
        </w:rPr>
        <w:t>（最终谈判报价为中标价格）</w:t>
      </w:r>
      <w:r>
        <w:rPr>
          <w:rFonts w:hint="eastAsia" w:cs="Courier New"/>
          <w:color w:val="000000"/>
          <w:sz w:val="21"/>
          <w:szCs w:val="21"/>
        </w:rPr>
        <w:t>为准。</w:t>
      </w:r>
    </w:p>
    <w:p>
      <w:pPr>
        <w:adjustRightInd w:val="0"/>
        <w:snapToGrid w:val="0"/>
        <w:spacing w:line="360" w:lineRule="auto"/>
        <w:ind w:firstLine="632" w:firstLineChars="300"/>
        <w:rPr>
          <w:rFonts w:cs="Courier New"/>
          <w:sz w:val="21"/>
          <w:szCs w:val="21"/>
        </w:rPr>
      </w:pPr>
      <w:r>
        <w:rPr>
          <w:rFonts w:hint="eastAsia"/>
          <w:b/>
          <w:bCs/>
          <w:sz w:val="21"/>
          <w:szCs w:val="21"/>
          <w:shd w:val="clear" w:color="auto" w:fill="FFFFFF"/>
          <w:lang w:bidi="ar"/>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应在投标文件中如实提供格式五-3《报价报价合理性相关说明和佐证材料》）。</w:t>
      </w:r>
    </w:p>
    <w:p>
      <w:pPr>
        <w:spacing w:line="360" w:lineRule="auto"/>
        <w:ind w:right="480" w:firstLine="360" w:firstLineChars="150"/>
        <w:rPr>
          <w:sz w:val="24"/>
          <w:szCs w:val="24"/>
        </w:rPr>
      </w:pPr>
      <w:r>
        <w:rPr>
          <w:rFonts w:hint="eastAsia"/>
          <w:sz w:val="24"/>
          <w:szCs w:val="24"/>
        </w:rPr>
        <w:t>法定代表人（名章）：</w:t>
      </w:r>
    </w:p>
    <w:p>
      <w:pPr>
        <w:adjustRightInd w:val="0"/>
        <w:snapToGrid w:val="0"/>
        <w:spacing w:line="360" w:lineRule="auto"/>
        <w:rPr>
          <w:sz w:val="24"/>
          <w:szCs w:val="24"/>
        </w:rPr>
      </w:pPr>
    </w:p>
    <w:p>
      <w:pPr>
        <w:rPr>
          <w:sz w:val="24"/>
          <w:szCs w:val="24"/>
        </w:rPr>
      </w:pPr>
      <w:r>
        <w:rPr>
          <w:rFonts w:hint="eastAsia"/>
          <w:sz w:val="24"/>
          <w:szCs w:val="24"/>
        </w:rPr>
        <w:t xml:space="preserve">                              年    月     日</w:t>
      </w:r>
    </w:p>
    <w:p>
      <w:pPr>
        <w:rPr>
          <w:sz w:val="24"/>
          <w:szCs w:val="24"/>
        </w:rPr>
      </w:pPr>
    </w:p>
    <w:p>
      <w:pPr>
        <w:spacing w:line="360" w:lineRule="auto"/>
        <w:rPr>
          <w:b/>
          <w:bCs/>
          <w:color w:val="FF0000"/>
          <w:sz w:val="18"/>
          <w:szCs w:val="18"/>
        </w:rPr>
      </w:pPr>
      <w:r>
        <w:rPr>
          <w:rFonts w:hint="eastAsia"/>
          <w:b/>
          <w:bCs/>
          <w:color w:val="FF0000"/>
          <w:sz w:val="18"/>
          <w:szCs w:val="18"/>
        </w:rPr>
        <w:t>注：投标人代表请手持该最终谈判报价单参加谈判，投标单位公章、法定代表人签字及名章均需加盖完毕，谈判报价根据谈判小组的要求在规定时间内填写纸质并递交评委会（谈判、谈判、洽谈小组），</w:t>
      </w:r>
      <w:r>
        <w:rPr>
          <w:rFonts w:hint="eastAsia"/>
          <w:b/>
          <w:color w:val="FF0000"/>
          <w:sz w:val="18"/>
          <w:szCs w:val="18"/>
        </w:rPr>
        <w:t>最终报价不得高于首轮报价</w:t>
      </w:r>
      <w:r>
        <w:rPr>
          <w:rFonts w:hint="eastAsia"/>
          <w:b/>
          <w:bCs/>
          <w:color w:val="FF0000"/>
          <w:sz w:val="18"/>
          <w:szCs w:val="18"/>
        </w:rPr>
        <w:t>。请勿将最终商务报价单制作在电子版加密或非加密投标文件中或装订在纸质投标响应文件中。</w:t>
      </w:r>
    </w:p>
    <w:p>
      <w:pPr>
        <w:widowControl/>
        <w:adjustRightInd w:val="0"/>
        <w:snapToGrid w:val="0"/>
        <w:spacing w:before="240" w:after="120"/>
        <w:rPr>
          <w:spacing w:val="7"/>
          <w:sz w:val="21"/>
          <w:szCs w:val="21"/>
        </w:rPr>
      </w:pPr>
      <w:r>
        <w:rPr>
          <w:spacing w:val="7"/>
          <w:sz w:val="21"/>
          <w:szCs w:val="21"/>
        </w:rPr>
        <w:br w:type="page"/>
      </w:r>
      <w:r>
        <w:rPr>
          <w:spacing w:val="7"/>
          <w:sz w:val="21"/>
          <w:szCs w:val="21"/>
        </w:rPr>
        <w:t>格式</w:t>
      </w:r>
      <w:r>
        <w:rPr>
          <w:rFonts w:hint="eastAsia"/>
          <w:spacing w:val="7"/>
          <w:sz w:val="21"/>
          <w:szCs w:val="21"/>
        </w:rPr>
        <w:t>六</w:t>
      </w:r>
      <w:r>
        <w:rPr>
          <w:spacing w:val="7"/>
          <w:sz w:val="21"/>
          <w:szCs w:val="21"/>
        </w:rPr>
        <w:t>：</w:t>
      </w:r>
    </w:p>
    <w:p>
      <w:pPr>
        <w:spacing w:line="360" w:lineRule="auto"/>
        <w:jc w:val="center"/>
        <w:outlineLvl w:val="2"/>
        <w:rPr>
          <w:b/>
          <w:bCs/>
          <w:sz w:val="44"/>
          <w:szCs w:val="44"/>
        </w:rPr>
      </w:pPr>
      <w:bookmarkStart w:id="38" w:name="_Toc2494"/>
      <w:bookmarkStart w:id="39" w:name="_Toc8507"/>
      <w:bookmarkStart w:id="40" w:name="_Toc1977"/>
      <w:bookmarkStart w:id="41" w:name="_Toc21455"/>
      <w:bookmarkStart w:id="42" w:name="_Toc13000"/>
      <w:bookmarkStart w:id="43" w:name="_Toc8166"/>
      <w:r>
        <w:rPr>
          <w:rFonts w:hint="eastAsia"/>
          <w:b/>
          <w:bCs/>
          <w:sz w:val="44"/>
          <w:szCs w:val="44"/>
        </w:rPr>
        <w:t>四、法定代表人身份证明</w:t>
      </w:r>
      <w:bookmarkEnd w:id="38"/>
      <w:bookmarkEnd w:id="39"/>
      <w:bookmarkEnd w:id="40"/>
      <w:bookmarkEnd w:id="41"/>
      <w:bookmarkEnd w:id="42"/>
      <w:bookmarkEnd w:id="43"/>
    </w:p>
    <w:p>
      <w:pPr>
        <w:widowControl/>
        <w:adjustRightInd w:val="0"/>
        <w:snapToGrid w:val="0"/>
        <w:spacing w:line="500" w:lineRule="exact"/>
        <w:rPr>
          <w:rFonts w:ascii="黑体" w:hAnsi="黑体" w:eastAsia="黑体" w:cs="黑体"/>
        </w:rPr>
      </w:pPr>
    </w:p>
    <w:p>
      <w:pPr>
        <w:widowControl/>
        <w:adjustRightInd w:val="0"/>
        <w:snapToGrid w:val="0"/>
        <w:spacing w:line="500" w:lineRule="exact"/>
      </w:pPr>
      <w:r>
        <w:rPr>
          <w:rFonts w:hint="eastAsia" w:ascii="黑体" w:hAnsi="黑体" w:eastAsia="黑体" w:cs="黑体"/>
        </w:rPr>
        <w:t>投标人：</w:t>
      </w:r>
      <w:r>
        <w:rPr>
          <w:rFonts w:hint="eastAsia" w:ascii="黑体" w:hAnsi="黑体" w:eastAsia="黑体" w:cs="黑体"/>
          <w:u w:val="single"/>
        </w:rPr>
        <w:t xml:space="preserve">                                       </w:t>
      </w:r>
    </w:p>
    <w:p>
      <w:pPr>
        <w:widowControl/>
        <w:adjustRightInd w:val="0"/>
        <w:snapToGrid w:val="0"/>
        <w:spacing w:line="500" w:lineRule="exact"/>
      </w:pPr>
      <w:r>
        <w:rPr>
          <w:rFonts w:hint="eastAsia" w:ascii="黑体" w:hAnsi="黑体" w:eastAsia="黑体" w:cs="黑体"/>
        </w:rPr>
        <w:t>单位性质：</w:t>
      </w:r>
      <w:r>
        <w:rPr>
          <w:rFonts w:hint="eastAsia" w:ascii="黑体" w:hAnsi="黑体" w:eastAsia="黑体" w:cs="黑体"/>
          <w:u w:val="single"/>
        </w:rPr>
        <w:t xml:space="preserve">                                     </w:t>
      </w:r>
    </w:p>
    <w:p>
      <w:pPr>
        <w:widowControl/>
        <w:adjustRightInd w:val="0"/>
        <w:snapToGrid w:val="0"/>
        <w:spacing w:line="500" w:lineRule="exact"/>
      </w:pPr>
      <w:r>
        <w:rPr>
          <w:rFonts w:hint="eastAsia" w:ascii="黑体" w:hAnsi="黑体" w:eastAsia="黑体" w:cs="黑体"/>
        </w:rPr>
        <w:t>地址：</w:t>
      </w:r>
      <w:r>
        <w:rPr>
          <w:rFonts w:hint="eastAsia" w:ascii="黑体" w:hAnsi="黑体" w:eastAsia="黑体" w:cs="黑体"/>
          <w:u w:val="single"/>
        </w:rPr>
        <w:t xml:space="preserve">                                         </w:t>
      </w:r>
    </w:p>
    <w:p>
      <w:pPr>
        <w:widowControl/>
        <w:adjustRightInd w:val="0"/>
        <w:snapToGrid w:val="0"/>
        <w:spacing w:line="500" w:lineRule="exact"/>
      </w:pPr>
      <w:r>
        <w:rPr>
          <w:rFonts w:hint="eastAsia" w:ascii="黑体" w:hAnsi="黑体" w:eastAsia="黑体" w:cs="黑体"/>
        </w:rPr>
        <w:t>成立时间：</w:t>
      </w:r>
      <w:r>
        <w:rPr>
          <w:rFonts w:hint="eastAsia" w:ascii="黑体" w:hAnsi="黑体" w:eastAsia="黑体" w:cs="黑体"/>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widowControl/>
        <w:adjustRightInd w:val="0"/>
        <w:snapToGrid w:val="0"/>
        <w:spacing w:line="500" w:lineRule="exact"/>
      </w:pPr>
      <w:r>
        <w:rPr>
          <w:rFonts w:hint="eastAsia" w:ascii="黑体" w:hAnsi="黑体" w:eastAsia="黑体" w:cs="黑体"/>
        </w:rPr>
        <w:t>经营期限：</w:t>
      </w:r>
      <w:r>
        <w:rPr>
          <w:rFonts w:hint="eastAsia" w:ascii="黑体" w:hAnsi="黑体" w:eastAsia="黑体" w:cs="黑体"/>
          <w:u w:val="single"/>
        </w:rPr>
        <w:t xml:space="preserve">                                      </w:t>
      </w:r>
    </w:p>
    <w:p>
      <w:pPr>
        <w:widowControl/>
        <w:adjustRightInd w:val="0"/>
        <w:snapToGrid w:val="0"/>
        <w:spacing w:line="500" w:lineRule="exact"/>
      </w:pPr>
      <w:r>
        <w:rPr>
          <w:rFonts w:hint="eastAsia" w:ascii="黑体" w:hAnsi="黑体" w:eastAsia="黑体" w:cs="黑体"/>
        </w:rPr>
        <w:t>姓名：</w:t>
      </w:r>
      <w:r>
        <w:rPr>
          <w:rFonts w:hint="eastAsia" w:ascii="黑体" w:hAnsi="黑体" w:eastAsia="黑体" w:cs="黑体"/>
          <w:u w:val="single"/>
        </w:rPr>
        <w:t xml:space="preserve">               </w:t>
      </w:r>
      <w:r>
        <w:rPr>
          <w:rFonts w:hint="eastAsia" w:ascii="黑体" w:hAnsi="黑体" w:eastAsia="黑体" w:cs="黑体"/>
        </w:rPr>
        <w:t xml:space="preserve">    性别：</w:t>
      </w:r>
      <w:r>
        <w:rPr>
          <w:rFonts w:hint="eastAsia" w:ascii="黑体" w:hAnsi="黑体" w:eastAsia="黑体" w:cs="黑体"/>
          <w:u w:val="single"/>
        </w:rPr>
        <w:t xml:space="preserve">                 </w:t>
      </w:r>
    </w:p>
    <w:p>
      <w:pPr>
        <w:widowControl/>
        <w:adjustRightInd w:val="0"/>
        <w:snapToGrid w:val="0"/>
        <w:spacing w:line="500" w:lineRule="exact"/>
      </w:pPr>
      <w:r>
        <w:rPr>
          <w:rFonts w:hint="eastAsia" w:ascii="黑体" w:hAnsi="黑体" w:eastAsia="黑体" w:cs="黑体"/>
        </w:rPr>
        <w:t>年龄：</w:t>
      </w:r>
      <w:r>
        <w:rPr>
          <w:rFonts w:hint="eastAsia" w:ascii="黑体" w:hAnsi="黑体" w:eastAsia="黑体" w:cs="黑体"/>
          <w:u w:val="single"/>
        </w:rPr>
        <w:t xml:space="preserve">               </w:t>
      </w:r>
      <w:r>
        <w:rPr>
          <w:rFonts w:hint="eastAsia" w:ascii="黑体" w:hAnsi="黑体" w:eastAsia="黑体" w:cs="黑体"/>
        </w:rPr>
        <w:t xml:space="preserve">    职务：</w:t>
      </w:r>
      <w:r>
        <w:rPr>
          <w:rFonts w:hint="eastAsia" w:ascii="黑体" w:hAnsi="黑体" w:eastAsia="黑体" w:cs="黑体"/>
          <w:u w:val="single"/>
        </w:rPr>
        <w:t xml:space="preserve">                 </w:t>
      </w:r>
    </w:p>
    <w:p>
      <w:pPr>
        <w:widowControl/>
        <w:adjustRightInd w:val="0"/>
        <w:snapToGrid w:val="0"/>
        <w:spacing w:line="500" w:lineRule="exact"/>
      </w:pPr>
      <w:r>
        <w:rPr>
          <w:rFonts w:hint="eastAsia"/>
        </w:rPr>
        <w:t>系</w:t>
      </w:r>
      <w:r>
        <w:rPr>
          <w:rFonts w:hint="eastAsia"/>
          <w:u w:val="single"/>
        </w:rPr>
        <w:t xml:space="preserve">                    </w:t>
      </w:r>
      <w:r>
        <w:rPr>
          <w:rFonts w:hint="eastAsia"/>
        </w:rPr>
        <w:t>（投标人名称）的法定代表人。</w:t>
      </w:r>
    </w:p>
    <w:p>
      <w:pPr>
        <w:widowControl/>
        <w:adjustRightInd w:val="0"/>
        <w:snapToGrid w:val="0"/>
        <w:spacing w:line="500" w:lineRule="exact"/>
      </w:pPr>
      <w:r>
        <w:rPr>
          <w:rFonts w:hint="eastAsia"/>
        </w:rPr>
        <w:t xml:space="preserve"> 特此证明。</w:t>
      </w:r>
    </w:p>
    <w:p>
      <w:pPr>
        <w:widowControl/>
        <w:adjustRightInd w:val="0"/>
        <w:snapToGrid w:val="0"/>
        <w:spacing w:line="500" w:lineRule="exact"/>
      </w:pPr>
      <w:r>
        <w:rPr>
          <w:rFonts w:hint="eastAsia"/>
        </w:rPr>
        <w:t>（附：法人身份证扫描件）</w:t>
      </w:r>
    </w:p>
    <w:p>
      <w:pPr>
        <w:widowControl/>
        <w:adjustRightInd w:val="0"/>
        <w:snapToGrid w:val="0"/>
        <w:spacing w:line="500" w:lineRule="exact"/>
        <w:jc w:val="center"/>
        <w:rPr>
          <w:rFonts w:ascii="黑体" w:hAnsi="黑体" w:eastAsia="黑体" w:cs="黑体"/>
        </w:rPr>
      </w:pPr>
      <w:r>
        <w:rPr>
          <w:rFonts w:hint="eastAsia" w:ascii="黑体" w:hAnsi="黑体" w:eastAsia="黑体" w:cs="黑体"/>
        </w:rPr>
        <w:t xml:space="preserve">                            </w:t>
      </w:r>
    </w:p>
    <w:tbl>
      <w:tblPr>
        <w:tblStyle w:val="23"/>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10"/>
        <w:gridCol w:w="4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6" w:hRule="atLeast"/>
          <w:jc w:val="center"/>
        </w:trPr>
        <w:tc>
          <w:tcPr>
            <w:tcW w:w="2497" w:type="pct"/>
          </w:tcPr>
          <w:p>
            <w:pPr>
              <w:widowControl/>
              <w:adjustRightInd w:val="0"/>
              <w:snapToGrid w:val="0"/>
              <w:spacing w:line="321" w:lineRule="auto"/>
              <w:rPr>
                <w:sz w:val="21"/>
                <w:szCs w:val="21"/>
              </w:rPr>
            </w:pPr>
          </w:p>
          <w:p>
            <w:pPr>
              <w:widowControl/>
              <w:adjustRightInd w:val="0"/>
              <w:snapToGrid w:val="0"/>
              <w:spacing w:before="62" w:line="186" w:lineRule="auto"/>
              <w:rPr>
                <w:sz w:val="21"/>
                <w:szCs w:val="21"/>
              </w:rPr>
            </w:pPr>
            <w:r>
              <w:rPr>
                <w:rFonts w:hint="eastAsia"/>
                <w:sz w:val="21"/>
                <w:szCs w:val="21"/>
              </w:rPr>
              <w:t>法定代表人身份证扫描件正面</w:t>
            </w:r>
          </w:p>
        </w:tc>
        <w:tc>
          <w:tcPr>
            <w:tcW w:w="2502" w:type="pct"/>
          </w:tcPr>
          <w:p>
            <w:pPr>
              <w:widowControl/>
              <w:adjustRightInd w:val="0"/>
              <w:snapToGrid w:val="0"/>
              <w:spacing w:line="321" w:lineRule="auto"/>
              <w:rPr>
                <w:sz w:val="21"/>
                <w:szCs w:val="21"/>
              </w:rPr>
            </w:pPr>
          </w:p>
          <w:p>
            <w:pPr>
              <w:widowControl/>
              <w:adjustRightInd w:val="0"/>
              <w:snapToGrid w:val="0"/>
              <w:spacing w:before="62" w:line="186" w:lineRule="auto"/>
              <w:rPr>
                <w:sz w:val="21"/>
                <w:szCs w:val="21"/>
              </w:rPr>
            </w:pPr>
            <w:r>
              <w:rPr>
                <w:rFonts w:hint="eastAsia"/>
                <w:sz w:val="21"/>
                <w:szCs w:val="21"/>
              </w:rPr>
              <w:t>法定代表人身份证扫描件反面</w:t>
            </w:r>
          </w:p>
        </w:tc>
      </w:tr>
    </w:tbl>
    <w:p>
      <w:pPr>
        <w:pStyle w:val="2"/>
        <w:widowControl/>
        <w:adjustRightInd w:val="0"/>
        <w:snapToGrid w:val="0"/>
      </w:pPr>
    </w:p>
    <w:p>
      <w:pPr>
        <w:widowControl/>
        <w:adjustRightInd w:val="0"/>
        <w:snapToGrid w:val="0"/>
        <w:spacing w:line="500" w:lineRule="exact"/>
        <w:jc w:val="center"/>
        <w:rPr>
          <w:rFonts w:ascii="黑体" w:hAnsi="黑体" w:eastAsia="黑体" w:cs="黑体"/>
        </w:rPr>
      </w:pPr>
      <w:r>
        <w:rPr>
          <w:rFonts w:hint="eastAsia" w:ascii="黑体" w:hAnsi="黑体" w:eastAsia="黑体" w:cs="黑体"/>
        </w:rPr>
        <w:t xml:space="preserve">                        </w:t>
      </w:r>
    </w:p>
    <w:p>
      <w:pPr>
        <w:widowControl/>
        <w:adjustRightInd w:val="0"/>
        <w:snapToGrid w:val="0"/>
        <w:spacing w:line="500" w:lineRule="exact"/>
        <w:jc w:val="center"/>
        <w:rPr>
          <w:rFonts w:ascii="黑体" w:hAnsi="黑体" w:eastAsia="黑体" w:cs="黑体"/>
        </w:rPr>
      </w:pPr>
    </w:p>
    <w:p>
      <w:pPr>
        <w:widowControl/>
        <w:adjustRightInd w:val="0"/>
        <w:snapToGrid w:val="0"/>
        <w:spacing w:line="500" w:lineRule="exact"/>
        <w:jc w:val="center"/>
      </w:pPr>
      <w:r>
        <w:rPr>
          <w:rFonts w:hint="eastAsia" w:ascii="黑体" w:hAnsi="黑体" w:eastAsia="黑体" w:cs="黑体"/>
        </w:rPr>
        <w:t>投标人：</w:t>
      </w:r>
      <w:r>
        <w:rPr>
          <w:rFonts w:hint="eastAsia" w:ascii="黑体" w:hAnsi="黑体" w:eastAsia="黑体" w:cs="黑体"/>
          <w:u w:val="single"/>
        </w:rPr>
        <w:t xml:space="preserve">                </w:t>
      </w:r>
      <w:r>
        <w:rPr>
          <w:rFonts w:hint="eastAsia"/>
        </w:rPr>
        <w:t>（盖单位章）</w:t>
      </w:r>
    </w:p>
    <w:p>
      <w:pPr>
        <w:widowControl/>
        <w:adjustRightInd w:val="0"/>
        <w:snapToGrid w:val="0"/>
        <w:spacing w:line="500" w:lineRule="exact"/>
      </w:pPr>
      <w:r>
        <w:rPr>
          <w:rFonts w:hint="eastAsia"/>
        </w:rPr>
        <w:t xml:space="preserve">                                    </w:t>
      </w:r>
      <w:r>
        <w:rPr>
          <w:rFonts w:hint="eastAsia"/>
          <w:u w:val="single"/>
        </w:rPr>
        <w:t xml:space="preserve">      </w:t>
      </w:r>
      <w:r>
        <w:rPr>
          <w:rFonts w:hint="eastAsia"/>
        </w:rPr>
        <w:t xml:space="preserve"> 年</w:t>
      </w:r>
      <w:r>
        <w:rPr>
          <w:rFonts w:hint="eastAsia"/>
          <w:u w:val="single"/>
        </w:rPr>
        <w:t xml:space="preserve">       </w:t>
      </w:r>
      <w:r>
        <w:rPr>
          <w:rFonts w:hint="eastAsia"/>
        </w:rPr>
        <w:t>月</w:t>
      </w:r>
      <w:r>
        <w:rPr>
          <w:rFonts w:hint="eastAsia"/>
          <w:u w:val="single"/>
        </w:rPr>
        <w:t xml:space="preserve">        </w:t>
      </w:r>
      <w:r>
        <w:rPr>
          <w:rFonts w:hint="eastAsia"/>
        </w:rPr>
        <w:t>日</w:t>
      </w:r>
    </w:p>
    <w:p>
      <w:pPr>
        <w:widowControl/>
        <w:adjustRightInd w:val="0"/>
        <w:snapToGrid w:val="0"/>
        <w:spacing w:before="62" w:line="186" w:lineRule="auto"/>
        <w:ind w:firstLine="7"/>
        <w:rPr>
          <w:sz w:val="19"/>
          <w:szCs w:val="19"/>
        </w:rPr>
      </w:pPr>
    </w:p>
    <w:p>
      <w:pPr>
        <w:widowControl/>
        <w:adjustRightInd w:val="0"/>
        <w:snapToGrid w:val="0"/>
        <w:spacing w:before="74" w:line="360" w:lineRule="auto"/>
        <w:jc w:val="center"/>
        <w:rPr>
          <w:spacing w:val="5"/>
          <w:sz w:val="19"/>
          <w:szCs w:val="19"/>
        </w:rPr>
      </w:pPr>
    </w:p>
    <w:p>
      <w:pPr>
        <w:pStyle w:val="2"/>
        <w:widowControl/>
        <w:adjustRightInd w:val="0"/>
        <w:snapToGrid w:val="0"/>
        <w:rPr>
          <w:spacing w:val="5"/>
          <w:sz w:val="19"/>
          <w:szCs w:val="19"/>
        </w:rPr>
      </w:pPr>
    </w:p>
    <w:p>
      <w:pPr>
        <w:widowControl/>
        <w:adjustRightInd w:val="0"/>
        <w:snapToGrid w:val="0"/>
        <w:spacing w:before="61"/>
        <w:ind w:firstLine="1"/>
        <w:rPr>
          <w:spacing w:val="7"/>
          <w:sz w:val="21"/>
          <w:szCs w:val="21"/>
        </w:rPr>
      </w:pPr>
      <w:r>
        <w:rPr>
          <w:spacing w:val="7"/>
          <w:sz w:val="21"/>
          <w:szCs w:val="21"/>
        </w:rPr>
        <w:t>格式</w:t>
      </w:r>
      <w:r>
        <w:rPr>
          <w:rFonts w:hint="eastAsia"/>
          <w:spacing w:val="7"/>
          <w:sz w:val="21"/>
          <w:szCs w:val="21"/>
        </w:rPr>
        <w:t>七</w:t>
      </w:r>
      <w:r>
        <w:rPr>
          <w:spacing w:val="7"/>
          <w:sz w:val="21"/>
          <w:szCs w:val="21"/>
        </w:rPr>
        <w:t>：</w:t>
      </w:r>
    </w:p>
    <w:p>
      <w:pPr>
        <w:spacing w:line="360" w:lineRule="auto"/>
        <w:jc w:val="center"/>
        <w:outlineLvl w:val="2"/>
        <w:rPr>
          <w:b/>
          <w:bCs/>
          <w:sz w:val="44"/>
          <w:szCs w:val="44"/>
        </w:rPr>
      </w:pPr>
      <w:bookmarkStart w:id="44" w:name="_Toc17234"/>
      <w:bookmarkStart w:id="45" w:name="_Toc14197"/>
      <w:bookmarkStart w:id="46" w:name="_Toc14876"/>
      <w:bookmarkStart w:id="47" w:name="_Toc15584"/>
      <w:bookmarkStart w:id="48" w:name="_Toc32115"/>
      <w:bookmarkStart w:id="49" w:name="_Toc9904"/>
      <w:bookmarkStart w:id="50" w:name="_Toc10534"/>
      <w:r>
        <w:rPr>
          <w:rFonts w:hint="eastAsia"/>
          <w:b/>
          <w:bCs/>
          <w:sz w:val="44"/>
          <w:szCs w:val="44"/>
        </w:rPr>
        <w:t>五、授权委托书</w:t>
      </w:r>
      <w:bookmarkEnd w:id="44"/>
      <w:bookmarkEnd w:id="45"/>
      <w:bookmarkEnd w:id="46"/>
      <w:bookmarkEnd w:id="47"/>
      <w:bookmarkEnd w:id="48"/>
      <w:bookmarkEnd w:id="49"/>
      <w:bookmarkEnd w:id="50"/>
    </w:p>
    <w:p>
      <w:pPr>
        <w:widowControl/>
        <w:adjustRightInd w:val="0"/>
        <w:snapToGrid w:val="0"/>
        <w:spacing w:before="266" w:line="360" w:lineRule="auto"/>
        <w:ind w:left="14" w:right="133" w:firstLine="480"/>
        <w:rPr>
          <w:spacing w:val="-2"/>
          <w:sz w:val="24"/>
          <w:szCs w:val="24"/>
        </w:rPr>
      </w:pPr>
    </w:p>
    <w:p>
      <w:pPr>
        <w:widowControl/>
        <w:adjustRightInd w:val="0"/>
        <w:snapToGrid w:val="0"/>
        <w:spacing w:before="266" w:line="360" w:lineRule="auto"/>
        <w:ind w:left="14" w:right="133" w:firstLine="480"/>
        <w:rPr>
          <w:sz w:val="24"/>
          <w:szCs w:val="24"/>
        </w:rPr>
      </w:pPr>
      <w:r>
        <w:rPr>
          <w:rFonts w:hint="eastAsia"/>
          <w:spacing w:val="-2"/>
          <w:sz w:val="24"/>
          <w:szCs w:val="24"/>
        </w:rPr>
        <w:t>本人_________________（姓名）</w:t>
      </w:r>
      <w:r>
        <w:rPr>
          <w:rFonts w:hint="eastAsia"/>
          <w:spacing w:val="50"/>
          <w:sz w:val="24"/>
          <w:szCs w:val="24"/>
        </w:rPr>
        <w:t xml:space="preserve"> </w:t>
      </w:r>
      <w:r>
        <w:rPr>
          <w:rFonts w:hint="eastAsia"/>
          <w:spacing w:val="-2"/>
          <w:sz w:val="24"/>
          <w:szCs w:val="24"/>
        </w:rPr>
        <w:t>系_________________（投标人名称）</w:t>
      </w:r>
      <w:r>
        <w:rPr>
          <w:rFonts w:hint="eastAsia"/>
          <w:spacing w:val="9"/>
          <w:w w:val="101"/>
          <w:sz w:val="24"/>
          <w:szCs w:val="24"/>
        </w:rPr>
        <w:t xml:space="preserve"> </w:t>
      </w:r>
      <w:r>
        <w:rPr>
          <w:rFonts w:hint="eastAsia"/>
          <w:spacing w:val="-2"/>
          <w:sz w:val="24"/>
          <w:szCs w:val="24"/>
        </w:rPr>
        <w:t>的法定代表人，现委托_________________（姓</w:t>
      </w:r>
      <w:r>
        <w:rPr>
          <w:rFonts w:hint="eastAsia"/>
          <w:sz w:val="24"/>
          <w:szCs w:val="24"/>
        </w:rPr>
        <w:t xml:space="preserve"> </w:t>
      </w:r>
      <w:r>
        <w:rPr>
          <w:rFonts w:hint="eastAsia"/>
          <w:spacing w:val="-1"/>
          <w:sz w:val="24"/>
          <w:szCs w:val="24"/>
        </w:rPr>
        <w:t>名）</w:t>
      </w:r>
      <w:r>
        <w:rPr>
          <w:rFonts w:hint="eastAsia"/>
          <w:spacing w:val="47"/>
          <w:sz w:val="24"/>
          <w:szCs w:val="24"/>
        </w:rPr>
        <w:t xml:space="preserve"> </w:t>
      </w:r>
      <w:r>
        <w:rPr>
          <w:rFonts w:hint="eastAsia"/>
          <w:spacing w:val="-1"/>
          <w:sz w:val="24"/>
          <w:szCs w:val="24"/>
        </w:rPr>
        <w:t>为我方代理人。代理人根据授权，以我方名义签署、澄清确认、递交、撤回、修改招标项目投标文件、签订合同和处理</w:t>
      </w:r>
      <w:r>
        <w:rPr>
          <w:rFonts w:hint="eastAsia"/>
          <w:spacing w:val="-3"/>
          <w:sz w:val="24"/>
          <w:szCs w:val="24"/>
        </w:rPr>
        <w:t>有关事宜，其法律后果由我方承担。委托期限：</w:t>
      </w:r>
      <w:r>
        <w:rPr>
          <w:rFonts w:hint="eastAsia"/>
          <w:spacing w:val="76"/>
          <w:sz w:val="24"/>
          <w:szCs w:val="24"/>
        </w:rPr>
        <w:t xml:space="preserve"> </w:t>
      </w:r>
      <w:r>
        <w:rPr>
          <w:rFonts w:hint="eastAsia"/>
          <w:spacing w:val="-3"/>
          <w:sz w:val="24"/>
          <w:szCs w:val="24"/>
        </w:rPr>
        <w:t>_________________。</w:t>
      </w:r>
    </w:p>
    <w:p>
      <w:pPr>
        <w:widowControl/>
        <w:adjustRightInd w:val="0"/>
        <w:snapToGrid w:val="0"/>
        <w:spacing w:before="18" w:line="360" w:lineRule="auto"/>
        <w:ind w:firstLine="492"/>
        <w:rPr>
          <w:sz w:val="24"/>
          <w:szCs w:val="24"/>
        </w:rPr>
      </w:pPr>
      <w:r>
        <w:rPr>
          <w:rFonts w:hint="eastAsia"/>
          <w:spacing w:val="1"/>
          <w:sz w:val="24"/>
          <w:szCs w:val="24"/>
        </w:rPr>
        <w:t>代理人无转委托权。</w:t>
      </w:r>
    </w:p>
    <w:p>
      <w:pPr>
        <w:widowControl/>
        <w:adjustRightInd w:val="0"/>
        <w:snapToGrid w:val="0"/>
        <w:spacing w:before="37" w:line="360" w:lineRule="auto"/>
        <w:ind w:firstLine="495"/>
        <w:rPr>
          <w:sz w:val="24"/>
          <w:szCs w:val="24"/>
        </w:rPr>
      </w:pPr>
      <w:r>
        <w:rPr>
          <w:rFonts w:hint="eastAsia"/>
          <w:spacing w:val="-5"/>
          <w:sz w:val="24"/>
          <w:szCs w:val="24"/>
        </w:rPr>
        <w:t>投</w:t>
      </w:r>
      <w:r>
        <w:rPr>
          <w:rFonts w:hint="eastAsia"/>
          <w:spacing w:val="-17"/>
          <w:sz w:val="24"/>
          <w:szCs w:val="24"/>
        </w:rPr>
        <w:t xml:space="preserve"> </w:t>
      </w:r>
      <w:r>
        <w:rPr>
          <w:rFonts w:hint="eastAsia"/>
          <w:spacing w:val="-5"/>
          <w:sz w:val="24"/>
          <w:szCs w:val="24"/>
        </w:rPr>
        <w:t>标</w:t>
      </w:r>
      <w:r>
        <w:rPr>
          <w:rFonts w:hint="eastAsia"/>
          <w:spacing w:val="-24"/>
          <w:sz w:val="24"/>
          <w:szCs w:val="24"/>
        </w:rPr>
        <w:t xml:space="preserve"> </w:t>
      </w:r>
      <w:r>
        <w:rPr>
          <w:rFonts w:hint="eastAsia"/>
          <w:spacing w:val="-5"/>
          <w:sz w:val="24"/>
          <w:szCs w:val="24"/>
        </w:rPr>
        <w:t>人：</w:t>
      </w:r>
      <w:r>
        <w:rPr>
          <w:rFonts w:hint="eastAsia"/>
          <w:spacing w:val="35"/>
          <w:sz w:val="24"/>
          <w:szCs w:val="24"/>
        </w:rPr>
        <w:t xml:space="preserve"> </w:t>
      </w:r>
      <w:r>
        <w:rPr>
          <w:rFonts w:hint="eastAsia"/>
          <w:spacing w:val="-5"/>
          <w:sz w:val="24"/>
          <w:szCs w:val="24"/>
        </w:rPr>
        <w:t>_________________（加盖公章）</w:t>
      </w:r>
    </w:p>
    <w:p>
      <w:pPr>
        <w:widowControl/>
        <w:adjustRightInd w:val="0"/>
        <w:snapToGrid w:val="0"/>
        <w:spacing w:before="1" w:line="360" w:lineRule="auto"/>
        <w:ind w:firstLine="494"/>
        <w:rPr>
          <w:sz w:val="24"/>
          <w:szCs w:val="24"/>
        </w:rPr>
      </w:pPr>
      <w:r>
        <w:rPr>
          <w:rFonts w:hint="eastAsia"/>
          <w:spacing w:val="-4"/>
          <w:sz w:val="24"/>
          <w:szCs w:val="24"/>
        </w:rPr>
        <w:t>法定代表人：</w:t>
      </w:r>
      <w:r>
        <w:rPr>
          <w:rFonts w:hint="eastAsia"/>
          <w:spacing w:val="39"/>
          <w:sz w:val="24"/>
          <w:szCs w:val="24"/>
        </w:rPr>
        <w:t xml:space="preserve"> </w:t>
      </w:r>
      <w:r>
        <w:rPr>
          <w:rFonts w:hint="eastAsia"/>
          <w:spacing w:val="-4"/>
          <w:sz w:val="24"/>
          <w:szCs w:val="24"/>
        </w:rPr>
        <w:t>_________________（签字）</w:t>
      </w:r>
    </w:p>
    <w:p>
      <w:pPr>
        <w:widowControl/>
        <w:adjustRightInd w:val="0"/>
        <w:snapToGrid w:val="0"/>
        <w:spacing w:before="1" w:line="360" w:lineRule="auto"/>
        <w:ind w:firstLine="492"/>
        <w:rPr>
          <w:sz w:val="21"/>
        </w:rPr>
      </w:pPr>
      <w:r>
        <w:rPr>
          <w:rFonts w:hint="eastAsia"/>
          <w:spacing w:val="-4"/>
          <w:sz w:val="24"/>
          <w:szCs w:val="24"/>
        </w:rPr>
        <w:t>授权委托人：</w:t>
      </w:r>
      <w:r>
        <w:rPr>
          <w:rFonts w:hint="eastAsia"/>
          <w:spacing w:val="40"/>
          <w:sz w:val="24"/>
          <w:szCs w:val="24"/>
        </w:rPr>
        <w:t xml:space="preserve"> </w:t>
      </w:r>
      <w:r>
        <w:rPr>
          <w:rFonts w:hint="eastAsia"/>
          <w:spacing w:val="-4"/>
          <w:sz w:val="24"/>
          <w:szCs w:val="24"/>
        </w:rPr>
        <w:t>_________________（签字）</w:t>
      </w:r>
    </w:p>
    <w:p>
      <w:pPr>
        <w:widowControl/>
        <w:adjustRightInd w:val="0"/>
        <w:snapToGrid w:val="0"/>
        <w:spacing w:line="249" w:lineRule="auto"/>
        <w:rPr>
          <w:sz w:val="21"/>
        </w:rPr>
      </w:pPr>
    </w:p>
    <w:tbl>
      <w:tblPr>
        <w:tblStyle w:val="23"/>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10"/>
        <w:gridCol w:w="4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7" w:hRule="atLeast"/>
          <w:jc w:val="center"/>
        </w:trPr>
        <w:tc>
          <w:tcPr>
            <w:tcW w:w="2497" w:type="pct"/>
          </w:tcPr>
          <w:p>
            <w:pPr>
              <w:widowControl/>
              <w:adjustRightInd w:val="0"/>
              <w:snapToGrid w:val="0"/>
              <w:spacing w:line="321" w:lineRule="auto"/>
              <w:rPr>
                <w:sz w:val="21"/>
                <w:szCs w:val="21"/>
              </w:rPr>
            </w:pPr>
          </w:p>
          <w:p>
            <w:pPr>
              <w:widowControl/>
              <w:adjustRightInd w:val="0"/>
              <w:snapToGrid w:val="0"/>
              <w:spacing w:before="62" w:line="186" w:lineRule="auto"/>
              <w:rPr>
                <w:sz w:val="21"/>
                <w:szCs w:val="21"/>
              </w:rPr>
            </w:pPr>
            <w:r>
              <w:rPr>
                <w:rFonts w:hint="eastAsia"/>
                <w:sz w:val="21"/>
                <w:szCs w:val="21"/>
              </w:rPr>
              <w:t>法定代表人身份证扫描件正面</w:t>
            </w:r>
          </w:p>
        </w:tc>
        <w:tc>
          <w:tcPr>
            <w:tcW w:w="2502" w:type="pct"/>
          </w:tcPr>
          <w:p>
            <w:pPr>
              <w:widowControl/>
              <w:adjustRightInd w:val="0"/>
              <w:snapToGrid w:val="0"/>
              <w:spacing w:line="321" w:lineRule="auto"/>
              <w:rPr>
                <w:sz w:val="21"/>
                <w:szCs w:val="21"/>
              </w:rPr>
            </w:pPr>
          </w:p>
          <w:p>
            <w:pPr>
              <w:widowControl/>
              <w:adjustRightInd w:val="0"/>
              <w:snapToGrid w:val="0"/>
              <w:spacing w:before="62" w:line="186" w:lineRule="auto"/>
              <w:rPr>
                <w:sz w:val="21"/>
                <w:szCs w:val="21"/>
              </w:rPr>
            </w:pPr>
            <w:r>
              <w:rPr>
                <w:rFonts w:hint="eastAsia"/>
                <w:sz w:val="21"/>
                <w:szCs w:val="21"/>
              </w:rPr>
              <w:t>法定代表人身份证扫描件反面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8" w:hRule="atLeast"/>
          <w:jc w:val="center"/>
        </w:trPr>
        <w:tc>
          <w:tcPr>
            <w:tcW w:w="2497" w:type="pct"/>
          </w:tcPr>
          <w:p>
            <w:pPr>
              <w:widowControl/>
              <w:adjustRightInd w:val="0"/>
              <w:snapToGrid w:val="0"/>
              <w:spacing w:before="62" w:line="186" w:lineRule="auto"/>
              <w:rPr>
                <w:spacing w:val="1"/>
                <w:sz w:val="21"/>
                <w:szCs w:val="21"/>
              </w:rPr>
            </w:pPr>
            <w:r>
              <w:rPr>
                <w:spacing w:val="12"/>
                <w:sz w:val="21"/>
                <w:szCs w:val="21"/>
              </w:rPr>
              <w:t>授权委托人身份证扫描件</w:t>
            </w:r>
            <w:r>
              <w:rPr>
                <w:spacing w:val="1"/>
                <w:sz w:val="21"/>
                <w:szCs w:val="21"/>
              </w:rPr>
              <w:t>正面</w:t>
            </w:r>
          </w:p>
        </w:tc>
        <w:tc>
          <w:tcPr>
            <w:tcW w:w="2502" w:type="pct"/>
          </w:tcPr>
          <w:p>
            <w:pPr>
              <w:widowControl/>
              <w:adjustRightInd w:val="0"/>
              <w:snapToGrid w:val="0"/>
              <w:spacing w:before="62" w:line="186" w:lineRule="auto"/>
              <w:rPr>
                <w:spacing w:val="3"/>
                <w:sz w:val="21"/>
                <w:szCs w:val="21"/>
              </w:rPr>
            </w:pPr>
            <w:r>
              <w:rPr>
                <w:spacing w:val="12"/>
                <w:sz w:val="21"/>
                <w:szCs w:val="21"/>
              </w:rPr>
              <w:t>授权委托人身份证扫描件</w:t>
            </w:r>
            <w:r>
              <w:rPr>
                <w:spacing w:val="3"/>
                <w:sz w:val="21"/>
                <w:szCs w:val="21"/>
              </w:rPr>
              <w:t>反面</w:t>
            </w:r>
          </w:p>
        </w:tc>
      </w:tr>
    </w:tbl>
    <w:p>
      <w:pPr>
        <w:widowControl/>
        <w:adjustRightInd w:val="0"/>
        <w:snapToGrid w:val="0"/>
        <w:spacing w:line="60" w:lineRule="exact"/>
      </w:pPr>
    </w:p>
    <w:p>
      <w:pPr>
        <w:widowControl/>
        <w:adjustRightInd w:val="0"/>
        <w:snapToGrid w:val="0"/>
        <w:spacing w:line="243" w:lineRule="auto"/>
        <w:rPr>
          <w:sz w:val="21"/>
        </w:rPr>
      </w:pPr>
    </w:p>
    <w:p>
      <w:pPr>
        <w:widowControl/>
        <w:adjustRightInd w:val="0"/>
        <w:snapToGrid w:val="0"/>
        <w:spacing w:line="243" w:lineRule="auto"/>
        <w:rPr>
          <w:sz w:val="21"/>
        </w:rPr>
      </w:pPr>
    </w:p>
    <w:p>
      <w:pPr>
        <w:widowControl/>
        <w:adjustRightInd w:val="0"/>
        <w:snapToGrid w:val="0"/>
        <w:spacing w:before="74" w:line="180" w:lineRule="auto"/>
        <w:jc w:val="right"/>
        <w:rPr>
          <w:sz w:val="19"/>
          <w:szCs w:val="19"/>
        </w:rPr>
      </w:pPr>
      <w:r>
        <w:rPr>
          <w:rFonts w:hint="eastAsia" w:ascii="Lucida Sans Unicode" w:hAnsi="Lucida Sans Unicode" w:cs="Lucida Sans Unicode"/>
          <w:spacing w:val="1"/>
          <w:sz w:val="24"/>
          <w:szCs w:val="24"/>
          <w:lang w:val="en-US"/>
        </w:rPr>
        <w:t xml:space="preserve"> </w:t>
      </w:r>
      <w:r>
        <w:rPr>
          <w:spacing w:val="1"/>
          <w:sz w:val="24"/>
          <w:szCs w:val="24"/>
        </w:rPr>
        <w:t>年</w:t>
      </w:r>
      <w:r>
        <w:rPr>
          <w:rFonts w:hint="eastAsia"/>
          <w:spacing w:val="1"/>
          <w:sz w:val="24"/>
          <w:szCs w:val="24"/>
          <w:lang w:val="en-US"/>
        </w:rPr>
        <w:t xml:space="preserve">   </w:t>
      </w:r>
      <w:r>
        <w:rPr>
          <w:rFonts w:hint="eastAsia" w:ascii="Lucida Sans Unicode" w:hAnsi="Lucida Sans Unicode" w:cs="Lucida Sans Unicode"/>
          <w:spacing w:val="1"/>
          <w:sz w:val="24"/>
          <w:szCs w:val="24"/>
          <w:lang w:val="en-US"/>
        </w:rPr>
        <w:t xml:space="preserve"> </w:t>
      </w:r>
      <w:r>
        <w:rPr>
          <w:spacing w:val="1"/>
          <w:sz w:val="24"/>
          <w:szCs w:val="24"/>
        </w:rPr>
        <w:t>月</w:t>
      </w:r>
      <w:r>
        <w:rPr>
          <w:rFonts w:hint="eastAsia" w:ascii="Lucida Sans Unicode" w:hAnsi="Lucida Sans Unicode" w:cs="Lucida Sans Unicode"/>
          <w:spacing w:val="1"/>
          <w:sz w:val="24"/>
          <w:szCs w:val="24"/>
          <w:lang w:val="en-US"/>
        </w:rPr>
        <w:t xml:space="preserve">   </w:t>
      </w:r>
      <w:r>
        <w:rPr>
          <w:rFonts w:ascii="Lucida Sans Unicode" w:hAnsi="Lucida Sans Unicode" w:eastAsia="Lucida Sans Unicode" w:cs="Lucida Sans Unicode"/>
          <w:spacing w:val="-17"/>
          <w:sz w:val="24"/>
          <w:szCs w:val="24"/>
        </w:rPr>
        <w:t xml:space="preserve"> </w:t>
      </w:r>
      <w:r>
        <w:rPr>
          <w:spacing w:val="1"/>
          <w:sz w:val="24"/>
          <w:szCs w:val="24"/>
        </w:rPr>
        <w:t>日</w:t>
      </w:r>
    </w:p>
    <w:p>
      <w:pPr>
        <w:widowControl/>
        <w:adjustRightInd w:val="0"/>
        <w:snapToGrid w:val="0"/>
        <w:spacing w:line="246" w:lineRule="auto"/>
        <w:rPr>
          <w:sz w:val="21"/>
        </w:rPr>
      </w:pPr>
    </w:p>
    <w:p>
      <w:pPr>
        <w:rPr>
          <w:spacing w:val="7"/>
          <w:sz w:val="21"/>
          <w:szCs w:val="21"/>
        </w:rPr>
      </w:pPr>
      <w:r>
        <w:rPr>
          <w:spacing w:val="7"/>
          <w:sz w:val="21"/>
          <w:szCs w:val="21"/>
        </w:rPr>
        <w:br w:type="page"/>
      </w:r>
      <w:r>
        <w:rPr>
          <w:spacing w:val="7"/>
          <w:sz w:val="21"/>
          <w:szCs w:val="21"/>
        </w:rPr>
        <w:t>格式</w:t>
      </w:r>
      <w:r>
        <w:rPr>
          <w:rFonts w:hint="eastAsia"/>
          <w:spacing w:val="7"/>
          <w:sz w:val="21"/>
          <w:szCs w:val="21"/>
        </w:rPr>
        <w:t>八</w:t>
      </w:r>
      <w:r>
        <w:rPr>
          <w:spacing w:val="7"/>
          <w:sz w:val="21"/>
          <w:szCs w:val="21"/>
        </w:rPr>
        <w:t>：</w:t>
      </w:r>
    </w:p>
    <w:p>
      <w:pPr>
        <w:spacing w:line="360" w:lineRule="auto"/>
        <w:jc w:val="center"/>
        <w:outlineLvl w:val="2"/>
        <w:rPr>
          <w:b/>
          <w:bCs/>
          <w:sz w:val="44"/>
          <w:szCs w:val="44"/>
        </w:rPr>
      </w:pPr>
      <w:bookmarkStart w:id="51" w:name="_Toc11884"/>
      <w:bookmarkStart w:id="52" w:name="_Toc6712"/>
      <w:bookmarkStart w:id="53" w:name="_Toc20096"/>
      <w:bookmarkStart w:id="54" w:name="_Toc14673"/>
      <w:bookmarkStart w:id="55" w:name="_Toc18513"/>
      <w:bookmarkStart w:id="56" w:name="_Toc31231"/>
      <w:bookmarkStart w:id="57" w:name="_Toc12354"/>
      <w:r>
        <w:rPr>
          <w:rFonts w:hint="eastAsia"/>
          <w:b/>
          <w:bCs/>
          <w:sz w:val="44"/>
          <w:szCs w:val="44"/>
        </w:rPr>
        <w:t>六、投标人基本情况表</w:t>
      </w:r>
      <w:bookmarkEnd w:id="51"/>
      <w:bookmarkEnd w:id="52"/>
      <w:bookmarkEnd w:id="53"/>
      <w:bookmarkEnd w:id="54"/>
      <w:bookmarkEnd w:id="55"/>
      <w:bookmarkEnd w:id="56"/>
      <w:bookmarkEnd w:id="57"/>
    </w:p>
    <w:p>
      <w:pPr>
        <w:pStyle w:val="9"/>
        <w:ind w:left="0"/>
      </w:pPr>
    </w:p>
    <w:p>
      <w:pPr>
        <w:widowControl/>
        <w:adjustRightInd w:val="0"/>
        <w:snapToGrid w:val="0"/>
        <w:spacing w:line="81" w:lineRule="exact"/>
      </w:pP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0" w:type="dxa"/>
          <w:bottom w:w="0" w:type="dxa"/>
          <w:right w:w="0" w:type="dxa"/>
        </w:tblCellMar>
      </w:tblPr>
      <w:tblGrid>
        <w:gridCol w:w="2306"/>
        <w:gridCol w:w="2304"/>
        <w:gridCol w:w="2304"/>
        <w:gridCol w:w="2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850" w:hRule="atLeast"/>
        </w:trPr>
        <w:tc>
          <w:tcPr>
            <w:tcW w:w="1252" w:type="pct"/>
            <w:tcBorders>
              <w:tl2br w:val="nil"/>
              <w:tr2bl w:val="nil"/>
            </w:tcBorders>
            <w:shd w:val="clear" w:color="auto" w:fill="FFFFFF"/>
          </w:tcPr>
          <w:p>
            <w:pPr>
              <w:widowControl/>
              <w:adjustRightInd w:val="0"/>
              <w:snapToGrid w:val="0"/>
              <w:spacing w:before="77" w:line="186" w:lineRule="auto"/>
              <w:jc w:val="center"/>
              <w:rPr>
                <w:color w:val="000000"/>
                <w:sz w:val="24"/>
                <w:szCs w:val="24"/>
              </w:rPr>
            </w:pPr>
            <w:r>
              <w:rPr>
                <w:color w:val="000000"/>
                <w:spacing w:val="9"/>
                <w:sz w:val="24"/>
                <w:szCs w:val="24"/>
              </w:rPr>
              <w:t>投标人名称</w:t>
            </w:r>
          </w:p>
        </w:tc>
        <w:tc>
          <w:tcPr>
            <w:tcW w:w="1250" w:type="pct"/>
            <w:tcBorders>
              <w:tl2br w:val="nil"/>
              <w:tr2bl w:val="nil"/>
            </w:tcBorders>
            <w:shd w:val="clear" w:color="auto" w:fill="FFFFFF"/>
          </w:tcPr>
          <w:p>
            <w:pPr>
              <w:widowControl/>
              <w:adjustRightInd w:val="0"/>
              <w:snapToGrid w:val="0"/>
              <w:rPr>
                <w:color w:val="000000"/>
                <w:sz w:val="24"/>
                <w:szCs w:val="24"/>
              </w:rPr>
            </w:pPr>
          </w:p>
        </w:tc>
        <w:tc>
          <w:tcPr>
            <w:tcW w:w="1250" w:type="pct"/>
            <w:tcBorders>
              <w:tl2br w:val="nil"/>
              <w:tr2bl w:val="nil"/>
            </w:tcBorders>
            <w:shd w:val="clear" w:color="auto" w:fill="FFFFFF"/>
          </w:tcPr>
          <w:p>
            <w:pPr>
              <w:widowControl/>
              <w:adjustRightInd w:val="0"/>
              <w:snapToGrid w:val="0"/>
              <w:spacing w:before="77" w:line="186" w:lineRule="auto"/>
              <w:jc w:val="center"/>
              <w:rPr>
                <w:color w:val="000000"/>
                <w:sz w:val="24"/>
                <w:szCs w:val="24"/>
              </w:rPr>
            </w:pPr>
            <w:r>
              <w:rPr>
                <w:color w:val="000000"/>
                <w:spacing w:val="8"/>
                <w:sz w:val="24"/>
                <w:szCs w:val="24"/>
              </w:rPr>
              <w:t>注册资金</w:t>
            </w:r>
          </w:p>
        </w:tc>
        <w:tc>
          <w:tcPr>
            <w:tcW w:w="1247" w:type="pct"/>
            <w:tcBorders>
              <w:tl2br w:val="nil"/>
              <w:tr2bl w:val="nil"/>
            </w:tcBorders>
            <w:shd w:val="clear" w:color="auto" w:fill="FFFFFF"/>
          </w:tcPr>
          <w:p>
            <w:pPr>
              <w:widowControl/>
              <w:adjustRightInd w:val="0"/>
              <w:snapToGrid w:val="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850" w:hRule="atLeast"/>
        </w:trPr>
        <w:tc>
          <w:tcPr>
            <w:tcW w:w="1252" w:type="pct"/>
            <w:tcBorders>
              <w:tl2br w:val="nil"/>
              <w:tr2bl w:val="nil"/>
            </w:tcBorders>
            <w:shd w:val="clear" w:color="auto" w:fill="FFFFFF"/>
          </w:tcPr>
          <w:p>
            <w:pPr>
              <w:widowControl/>
              <w:adjustRightInd w:val="0"/>
              <w:snapToGrid w:val="0"/>
              <w:spacing w:before="72" w:line="186" w:lineRule="auto"/>
              <w:jc w:val="center"/>
              <w:rPr>
                <w:color w:val="000000"/>
                <w:sz w:val="24"/>
                <w:szCs w:val="24"/>
              </w:rPr>
            </w:pPr>
            <w:r>
              <w:rPr>
                <w:color w:val="000000"/>
                <w:spacing w:val="-1"/>
                <w:sz w:val="24"/>
                <w:szCs w:val="24"/>
              </w:rPr>
              <w:t>注册地</w:t>
            </w:r>
          </w:p>
        </w:tc>
        <w:tc>
          <w:tcPr>
            <w:tcW w:w="1250" w:type="pct"/>
            <w:tcBorders>
              <w:tl2br w:val="nil"/>
              <w:tr2bl w:val="nil"/>
            </w:tcBorders>
            <w:shd w:val="clear" w:color="auto" w:fill="FFFFFF"/>
          </w:tcPr>
          <w:p>
            <w:pPr>
              <w:widowControl/>
              <w:adjustRightInd w:val="0"/>
              <w:snapToGrid w:val="0"/>
              <w:rPr>
                <w:color w:val="000000"/>
                <w:sz w:val="24"/>
                <w:szCs w:val="24"/>
              </w:rPr>
            </w:pPr>
          </w:p>
        </w:tc>
        <w:tc>
          <w:tcPr>
            <w:tcW w:w="1250" w:type="pct"/>
            <w:tcBorders>
              <w:tl2br w:val="nil"/>
              <w:tr2bl w:val="nil"/>
            </w:tcBorders>
            <w:shd w:val="clear" w:color="auto" w:fill="FFFFFF"/>
          </w:tcPr>
          <w:p>
            <w:pPr>
              <w:widowControl/>
              <w:adjustRightInd w:val="0"/>
              <w:snapToGrid w:val="0"/>
              <w:spacing w:before="72" w:line="186" w:lineRule="auto"/>
              <w:jc w:val="center"/>
              <w:rPr>
                <w:color w:val="000000"/>
                <w:sz w:val="24"/>
                <w:szCs w:val="24"/>
              </w:rPr>
            </w:pPr>
            <w:r>
              <w:rPr>
                <w:color w:val="000000"/>
                <w:spacing w:val="-1"/>
                <w:sz w:val="24"/>
                <w:szCs w:val="24"/>
              </w:rPr>
              <w:t>注册时间</w:t>
            </w:r>
          </w:p>
        </w:tc>
        <w:tc>
          <w:tcPr>
            <w:tcW w:w="1247" w:type="pct"/>
            <w:tcBorders>
              <w:tl2br w:val="nil"/>
              <w:tr2bl w:val="nil"/>
            </w:tcBorders>
            <w:shd w:val="clear" w:color="auto" w:fill="FFFFFF"/>
          </w:tcPr>
          <w:p>
            <w:pPr>
              <w:widowControl/>
              <w:adjustRightInd w:val="0"/>
              <w:snapToGrid w:val="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850" w:hRule="atLeast"/>
        </w:trPr>
        <w:tc>
          <w:tcPr>
            <w:tcW w:w="1252" w:type="pct"/>
            <w:tcBorders>
              <w:tl2br w:val="nil"/>
              <w:tr2bl w:val="nil"/>
            </w:tcBorders>
            <w:shd w:val="clear" w:color="auto" w:fill="FFFFFF"/>
          </w:tcPr>
          <w:p>
            <w:pPr>
              <w:widowControl/>
              <w:adjustRightInd w:val="0"/>
              <w:snapToGrid w:val="0"/>
              <w:spacing w:before="74" w:line="186" w:lineRule="auto"/>
              <w:jc w:val="center"/>
              <w:rPr>
                <w:color w:val="000000"/>
                <w:sz w:val="24"/>
                <w:szCs w:val="24"/>
              </w:rPr>
            </w:pPr>
            <w:r>
              <w:rPr>
                <w:color w:val="000000"/>
                <w:sz w:val="24"/>
                <w:szCs w:val="24"/>
              </w:rPr>
              <w:t>法定代表人</w:t>
            </w:r>
          </w:p>
        </w:tc>
        <w:tc>
          <w:tcPr>
            <w:tcW w:w="1250" w:type="pct"/>
            <w:tcBorders>
              <w:tl2br w:val="nil"/>
              <w:tr2bl w:val="nil"/>
            </w:tcBorders>
            <w:shd w:val="clear" w:color="auto" w:fill="FFFFFF"/>
          </w:tcPr>
          <w:p>
            <w:pPr>
              <w:widowControl/>
              <w:adjustRightInd w:val="0"/>
              <w:snapToGrid w:val="0"/>
              <w:rPr>
                <w:color w:val="000000"/>
                <w:sz w:val="24"/>
                <w:szCs w:val="24"/>
              </w:rPr>
            </w:pPr>
          </w:p>
        </w:tc>
        <w:tc>
          <w:tcPr>
            <w:tcW w:w="1250" w:type="pct"/>
            <w:tcBorders>
              <w:tl2br w:val="nil"/>
              <w:tr2bl w:val="nil"/>
            </w:tcBorders>
            <w:shd w:val="clear" w:color="auto" w:fill="FFFFFF"/>
          </w:tcPr>
          <w:p>
            <w:pPr>
              <w:widowControl/>
              <w:adjustRightInd w:val="0"/>
              <w:snapToGrid w:val="0"/>
              <w:spacing w:before="74" w:line="186" w:lineRule="auto"/>
              <w:jc w:val="center"/>
              <w:rPr>
                <w:color w:val="000000"/>
                <w:sz w:val="24"/>
                <w:szCs w:val="24"/>
              </w:rPr>
            </w:pPr>
            <w:r>
              <w:rPr>
                <w:color w:val="000000"/>
                <w:spacing w:val="-1"/>
                <w:sz w:val="24"/>
                <w:szCs w:val="24"/>
              </w:rPr>
              <w:t>联系电话</w:t>
            </w:r>
          </w:p>
        </w:tc>
        <w:tc>
          <w:tcPr>
            <w:tcW w:w="1247" w:type="pct"/>
            <w:tcBorders>
              <w:tl2br w:val="nil"/>
              <w:tr2bl w:val="nil"/>
            </w:tcBorders>
            <w:shd w:val="clear" w:color="auto" w:fill="FFFFFF"/>
          </w:tcPr>
          <w:p>
            <w:pPr>
              <w:widowControl/>
              <w:adjustRightInd w:val="0"/>
              <w:snapToGrid w:val="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850" w:hRule="atLeast"/>
        </w:trPr>
        <w:tc>
          <w:tcPr>
            <w:tcW w:w="1252" w:type="pct"/>
            <w:tcBorders>
              <w:tl2br w:val="nil"/>
              <w:tr2bl w:val="nil"/>
            </w:tcBorders>
            <w:shd w:val="clear" w:color="auto" w:fill="FFFFFF"/>
          </w:tcPr>
          <w:p>
            <w:pPr>
              <w:widowControl/>
              <w:adjustRightInd w:val="0"/>
              <w:snapToGrid w:val="0"/>
              <w:spacing w:before="76" w:line="186" w:lineRule="auto"/>
              <w:jc w:val="center"/>
              <w:rPr>
                <w:color w:val="000000"/>
                <w:sz w:val="24"/>
                <w:szCs w:val="24"/>
              </w:rPr>
            </w:pPr>
            <w:r>
              <w:rPr>
                <w:color w:val="000000"/>
                <w:sz w:val="24"/>
                <w:szCs w:val="24"/>
              </w:rPr>
              <w:t>技术负责人</w:t>
            </w:r>
          </w:p>
        </w:tc>
        <w:tc>
          <w:tcPr>
            <w:tcW w:w="1250" w:type="pct"/>
            <w:tcBorders>
              <w:tl2br w:val="nil"/>
              <w:tr2bl w:val="nil"/>
            </w:tcBorders>
            <w:shd w:val="clear" w:color="auto" w:fill="FFFFFF"/>
          </w:tcPr>
          <w:p>
            <w:pPr>
              <w:widowControl/>
              <w:adjustRightInd w:val="0"/>
              <w:snapToGrid w:val="0"/>
              <w:rPr>
                <w:color w:val="000000"/>
                <w:sz w:val="24"/>
                <w:szCs w:val="24"/>
              </w:rPr>
            </w:pPr>
          </w:p>
        </w:tc>
        <w:tc>
          <w:tcPr>
            <w:tcW w:w="1250" w:type="pct"/>
            <w:tcBorders>
              <w:tl2br w:val="nil"/>
              <w:tr2bl w:val="nil"/>
            </w:tcBorders>
            <w:shd w:val="clear" w:color="auto" w:fill="FFFFFF"/>
          </w:tcPr>
          <w:p>
            <w:pPr>
              <w:widowControl/>
              <w:adjustRightInd w:val="0"/>
              <w:snapToGrid w:val="0"/>
              <w:spacing w:before="76" w:line="186" w:lineRule="auto"/>
              <w:jc w:val="center"/>
              <w:rPr>
                <w:color w:val="000000"/>
                <w:sz w:val="24"/>
                <w:szCs w:val="24"/>
              </w:rPr>
            </w:pPr>
            <w:r>
              <w:rPr>
                <w:color w:val="000000"/>
                <w:spacing w:val="-1"/>
                <w:sz w:val="24"/>
                <w:szCs w:val="24"/>
              </w:rPr>
              <w:t>联系电话</w:t>
            </w:r>
          </w:p>
        </w:tc>
        <w:tc>
          <w:tcPr>
            <w:tcW w:w="1247" w:type="pct"/>
            <w:tcBorders>
              <w:tl2br w:val="nil"/>
              <w:tr2bl w:val="nil"/>
            </w:tcBorders>
            <w:shd w:val="clear" w:color="auto" w:fill="FFFFFF"/>
          </w:tcPr>
          <w:p>
            <w:pPr>
              <w:widowControl/>
              <w:adjustRightInd w:val="0"/>
              <w:snapToGrid w:val="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850" w:hRule="atLeast"/>
        </w:trPr>
        <w:tc>
          <w:tcPr>
            <w:tcW w:w="1252" w:type="pct"/>
            <w:tcBorders>
              <w:tl2br w:val="nil"/>
              <w:tr2bl w:val="nil"/>
            </w:tcBorders>
            <w:shd w:val="clear" w:color="auto" w:fill="FFFFFF"/>
          </w:tcPr>
          <w:p>
            <w:pPr>
              <w:widowControl/>
              <w:adjustRightInd w:val="0"/>
              <w:snapToGrid w:val="0"/>
              <w:spacing w:before="78" w:line="186" w:lineRule="auto"/>
              <w:jc w:val="center"/>
              <w:rPr>
                <w:color w:val="000000"/>
                <w:spacing w:val="-1"/>
                <w:sz w:val="24"/>
                <w:szCs w:val="24"/>
                <w:lang w:val="en-US"/>
              </w:rPr>
            </w:pPr>
            <w:r>
              <w:rPr>
                <w:rFonts w:hint="eastAsia"/>
                <w:color w:val="000000"/>
                <w:spacing w:val="-1"/>
                <w:sz w:val="24"/>
                <w:szCs w:val="24"/>
                <w:lang w:val="en-US"/>
              </w:rPr>
              <w:t>社会统一信用代码</w:t>
            </w:r>
          </w:p>
        </w:tc>
        <w:tc>
          <w:tcPr>
            <w:tcW w:w="3747" w:type="pct"/>
            <w:gridSpan w:val="3"/>
            <w:tcBorders>
              <w:tl2br w:val="nil"/>
              <w:tr2bl w:val="nil"/>
            </w:tcBorders>
            <w:shd w:val="clear" w:color="auto" w:fill="FFFFFF"/>
          </w:tcPr>
          <w:p>
            <w:pPr>
              <w:widowControl/>
              <w:adjustRightInd w:val="0"/>
              <w:snapToGrid w:val="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850" w:hRule="atLeast"/>
        </w:trPr>
        <w:tc>
          <w:tcPr>
            <w:tcW w:w="1252" w:type="pct"/>
            <w:tcBorders>
              <w:tl2br w:val="nil"/>
              <w:tr2bl w:val="nil"/>
            </w:tcBorders>
            <w:shd w:val="clear" w:color="auto" w:fill="FFFFFF"/>
          </w:tcPr>
          <w:p>
            <w:pPr>
              <w:widowControl/>
              <w:adjustRightInd w:val="0"/>
              <w:snapToGrid w:val="0"/>
              <w:spacing w:before="78" w:line="186" w:lineRule="auto"/>
              <w:jc w:val="center"/>
              <w:rPr>
                <w:color w:val="000000"/>
                <w:sz w:val="24"/>
                <w:szCs w:val="24"/>
              </w:rPr>
            </w:pPr>
            <w:r>
              <w:rPr>
                <w:color w:val="000000"/>
                <w:spacing w:val="-1"/>
                <w:sz w:val="24"/>
                <w:szCs w:val="24"/>
              </w:rPr>
              <w:t>开户银行</w:t>
            </w:r>
          </w:p>
        </w:tc>
        <w:tc>
          <w:tcPr>
            <w:tcW w:w="3747" w:type="pct"/>
            <w:gridSpan w:val="3"/>
            <w:tcBorders>
              <w:tl2br w:val="nil"/>
              <w:tr2bl w:val="nil"/>
            </w:tcBorders>
            <w:shd w:val="clear" w:color="auto" w:fill="FFFFFF"/>
          </w:tcPr>
          <w:p>
            <w:pPr>
              <w:widowControl/>
              <w:adjustRightInd w:val="0"/>
              <w:snapToGrid w:val="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850" w:hRule="atLeast"/>
        </w:trPr>
        <w:tc>
          <w:tcPr>
            <w:tcW w:w="1252" w:type="pct"/>
            <w:tcBorders>
              <w:tl2br w:val="nil"/>
              <w:tr2bl w:val="nil"/>
            </w:tcBorders>
            <w:shd w:val="clear" w:color="auto" w:fill="FFFFFF"/>
          </w:tcPr>
          <w:p>
            <w:pPr>
              <w:widowControl/>
              <w:adjustRightInd w:val="0"/>
              <w:snapToGrid w:val="0"/>
              <w:spacing w:before="81" w:line="186" w:lineRule="auto"/>
              <w:jc w:val="center"/>
              <w:rPr>
                <w:color w:val="000000"/>
                <w:sz w:val="24"/>
                <w:szCs w:val="24"/>
              </w:rPr>
            </w:pPr>
            <w:r>
              <w:rPr>
                <w:color w:val="000000"/>
                <w:sz w:val="24"/>
                <w:szCs w:val="24"/>
              </w:rPr>
              <w:t>开户银行账号</w:t>
            </w:r>
          </w:p>
        </w:tc>
        <w:tc>
          <w:tcPr>
            <w:tcW w:w="3747" w:type="pct"/>
            <w:gridSpan w:val="3"/>
            <w:tcBorders>
              <w:tl2br w:val="nil"/>
              <w:tr2bl w:val="nil"/>
            </w:tcBorders>
            <w:shd w:val="clear" w:color="auto" w:fill="FFFFFF"/>
          </w:tcPr>
          <w:p>
            <w:pPr>
              <w:widowControl/>
              <w:adjustRightInd w:val="0"/>
              <w:snapToGrid w:val="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5000" w:type="pct"/>
            <w:gridSpan w:val="4"/>
            <w:tcBorders>
              <w:tl2br w:val="nil"/>
              <w:tr2bl w:val="nil"/>
            </w:tcBorders>
            <w:shd w:val="clear" w:color="auto" w:fill="FFFFFF"/>
          </w:tcPr>
          <w:p>
            <w:pPr>
              <w:widowControl/>
              <w:adjustRightInd w:val="0"/>
              <w:snapToGrid w:val="0"/>
              <w:spacing w:before="83" w:line="186" w:lineRule="auto"/>
              <w:ind w:firstLine="71"/>
              <w:rPr>
                <w:color w:val="000000"/>
                <w:sz w:val="24"/>
                <w:szCs w:val="24"/>
              </w:rPr>
            </w:pPr>
            <w:r>
              <w:rPr>
                <w:color w:val="000000"/>
                <w:spacing w:val="-1"/>
                <w:sz w:val="24"/>
                <w:szCs w:val="24"/>
              </w:rPr>
              <w:t>主营范围：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5000" w:type="pct"/>
            <w:gridSpan w:val="4"/>
            <w:tcBorders>
              <w:tl2br w:val="nil"/>
              <w:tr2bl w:val="nil"/>
            </w:tcBorders>
            <w:shd w:val="clear" w:color="auto" w:fill="FFFFFF"/>
          </w:tcPr>
          <w:p>
            <w:pPr>
              <w:widowControl/>
              <w:adjustRightInd w:val="0"/>
              <w:snapToGrid w:val="0"/>
              <w:spacing w:before="84" w:line="186" w:lineRule="auto"/>
              <w:ind w:firstLine="72"/>
              <w:rPr>
                <w:color w:val="000000"/>
                <w:sz w:val="24"/>
                <w:szCs w:val="24"/>
              </w:rPr>
            </w:pPr>
            <w:r>
              <w:rPr>
                <w:color w:val="000000"/>
                <w:spacing w:val="-1"/>
                <w:sz w:val="24"/>
                <w:szCs w:val="24"/>
              </w:rPr>
              <w:t>企业资质：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000" w:type="pct"/>
            <w:gridSpan w:val="4"/>
            <w:tcBorders>
              <w:tl2br w:val="nil"/>
              <w:tr2bl w:val="nil"/>
            </w:tcBorders>
            <w:shd w:val="clear" w:color="auto" w:fill="FFFFFF"/>
          </w:tcPr>
          <w:p>
            <w:pPr>
              <w:widowControl/>
              <w:adjustRightInd w:val="0"/>
              <w:snapToGrid w:val="0"/>
              <w:spacing w:before="84" w:line="186" w:lineRule="auto"/>
              <w:ind w:firstLine="72"/>
              <w:rPr>
                <w:color w:val="000000"/>
                <w:spacing w:val="-1"/>
                <w:sz w:val="24"/>
                <w:szCs w:val="24"/>
                <w:lang w:val="en-US"/>
              </w:rPr>
            </w:pPr>
            <w:r>
              <w:rPr>
                <w:rFonts w:hint="eastAsia"/>
                <w:color w:val="000000"/>
                <w:spacing w:val="-1"/>
                <w:sz w:val="24"/>
                <w:szCs w:val="24"/>
              </w:rPr>
              <w:t>*联系人：</w:t>
            </w:r>
            <w:r>
              <w:rPr>
                <w:rFonts w:hint="eastAsia"/>
                <w:color w:val="000000"/>
                <w:spacing w:val="-1"/>
                <w:sz w:val="24"/>
                <w:szCs w:val="24"/>
                <w:lang w:val="en-US"/>
              </w:rPr>
              <w:t xml:space="preserve">       </w:t>
            </w:r>
          </w:p>
          <w:p>
            <w:pPr>
              <w:widowControl/>
              <w:adjustRightInd w:val="0"/>
              <w:snapToGrid w:val="0"/>
              <w:spacing w:before="84" w:line="186" w:lineRule="auto"/>
              <w:ind w:firstLine="72"/>
              <w:rPr>
                <w:color w:val="000000"/>
                <w:spacing w:val="-1"/>
                <w:sz w:val="24"/>
                <w:szCs w:val="24"/>
                <w:lang w:val="en-US"/>
              </w:rPr>
            </w:pPr>
            <w:r>
              <w:rPr>
                <w:rFonts w:hint="eastAsia"/>
                <w:color w:val="000000"/>
                <w:spacing w:val="-1"/>
                <w:sz w:val="24"/>
                <w:szCs w:val="24"/>
                <w:lang w:val="en-US"/>
              </w:rPr>
              <w:t>*联系电话：       *联系邮箱：</w:t>
            </w:r>
          </w:p>
        </w:tc>
      </w:tr>
    </w:tbl>
    <w:p>
      <w:pPr>
        <w:widowControl/>
        <w:adjustRightInd w:val="0"/>
        <w:snapToGrid w:val="0"/>
        <w:spacing w:line="290" w:lineRule="auto"/>
        <w:rPr>
          <w:sz w:val="21"/>
        </w:rPr>
      </w:pPr>
    </w:p>
    <w:p>
      <w:pPr>
        <w:widowControl/>
        <w:adjustRightInd w:val="0"/>
        <w:snapToGrid w:val="0"/>
        <w:spacing w:line="291" w:lineRule="auto"/>
        <w:rPr>
          <w:sz w:val="21"/>
        </w:rPr>
      </w:pPr>
    </w:p>
    <w:p>
      <w:pPr>
        <w:widowControl/>
        <w:adjustRightInd w:val="0"/>
        <w:snapToGrid w:val="0"/>
      </w:pPr>
      <w:r>
        <w:rPr>
          <w:rFonts w:hint="eastAsia"/>
        </w:rPr>
        <w:t>注：</w:t>
      </w:r>
    </w:p>
    <w:p>
      <w:pPr>
        <w:widowControl/>
        <w:adjustRightInd w:val="0"/>
        <w:snapToGrid w:val="0"/>
        <w:spacing w:line="360" w:lineRule="auto"/>
        <w:rPr>
          <w:sz w:val="21"/>
          <w:szCs w:val="21"/>
        </w:rPr>
      </w:pPr>
      <w:r>
        <w:rPr>
          <w:rFonts w:hint="eastAsia"/>
          <w:sz w:val="21"/>
          <w:szCs w:val="21"/>
        </w:rPr>
        <w:t>表后应附企业营业执照，参加本项目应具备的资质证（书）明文件。</w:t>
      </w:r>
    </w:p>
    <w:p>
      <w:pPr>
        <w:widowControl/>
        <w:adjustRightInd w:val="0"/>
        <w:snapToGrid w:val="0"/>
        <w:spacing w:before="63" w:line="186" w:lineRule="auto"/>
        <w:ind w:firstLine="1"/>
        <w:rPr>
          <w:sz w:val="19"/>
          <w:szCs w:val="19"/>
        </w:rPr>
      </w:pPr>
      <w:r>
        <w:rPr>
          <w:spacing w:val="5"/>
          <w:sz w:val="19"/>
          <w:szCs w:val="19"/>
        </w:rPr>
        <w:br w:type="page"/>
      </w:r>
      <w:r>
        <w:rPr>
          <w:spacing w:val="7"/>
          <w:sz w:val="21"/>
          <w:szCs w:val="21"/>
        </w:rPr>
        <w:t>格式</w:t>
      </w:r>
      <w:r>
        <w:rPr>
          <w:rFonts w:hint="eastAsia"/>
          <w:spacing w:val="7"/>
          <w:sz w:val="21"/>
          <w:szCs w:val="21"/>
        </w:rPr>
        <w:t>九</w:t>
      </w:r>
      <w:r>
        <w:rPr>
          <w:spacing w:val="7"/>
          <w:sz w:val="21"/>
          <w:szCs w:val="21"/>
        </w:rPr>
        <w:t>：</w:t>
      </w:r>
    </w:p>
    <w:p>
      <w:pPr>
        <w:widowControl/>
        <w:adjustRightInd w:val="0"/>
        <w:snapToGrid w:val="0"/>
        <w:spacing w:line="258" w:lineRule="auto"/>
        <w:rPr>
          <w:sz w:val="21"/>
        </w:rPr>
      </w:pPr>
    </w:p>
    <w:p>
      <w:pPr>
        <w:widowControl/>
        <w:adjustRightInd w:val="0"/>
        <w:snapToGrid w:val="0"/>
        <w:spacing w:line="258" w:lineRule="auto"/>
        <w:rPr>
          <w:sz w:val="21"/>
        </w:rPr>
      </w:pPr>
    </w:p>
    <w:p>
      <w:pPr>
        <w:widowControl/>
        <w:adjustRightInd w:val="0"/>
        <w:snapToGrid w:val="0"/>
        <w:spacing w:before="62" w:line="186" w:lineRule="auto"/>
        <w:rPr>
          <w:sz w:val="19"/>
          <w:szCs w:val="19"/>
        </w:rPr>
      </w:pPr>
    </w:p>
    <w:p>
      <w:pPr>
        <w:spacing w:line="360" w:lineRule="auto"/>
        <w:jc w:val="center"/>
        <w:outlineLvl w:val="2"/>
        <w:rPr>
          <w:b/>
          <w:bCs/>
          <w:sz w:val="44"/>
          <w:szCs w:val="44"/>
        </w:rPr>
      </w:pPr>
      <w:bookmarkStart w:id="58" w:name="_Toc22212"/>
      <w:bookmarkStart w:id="59" w:name="_Toc32089"/>
      <w:bookmarkStart w:id="60" w:name="_Toc5613"/>
      <w:bookmarkStart w:id="61" w:name="_Toc32568"/>
      <w:bookmarkStart w:id="62" w:name="_Toc3269"/>
      <w:bookmarkStart w:id="63" w:name="_Toc29176"/>
      <w:bookmarkStart w:id="64" w:name="_Toc8137"/>
      <w:r>
        <w:rPr>
          <w:rFonts w:hint="eastAsia"/>
          <w:b/>
          <w:bCs/>
          <w:sz w:val="44"/>
          <w:szCs w:val="44"/>
        </w:rPr>
        <w:t>七、其他各类证明材料</w:t>
      </w:r>
      <w:bookmarkEnd w:id="58"/>
      <w:bookmarkEnd w:id="59"/>
      <w:bookmarkEnd w:id="60"/>
      <w:bookmarkEnd w:id="61"/>
      <w:bookmarkEnd w:id="62"/>
      <w:bookmarkEnd w:id="63"/>
      <w:bookmarkEnd w:id="64"/>
    </w:p>
    <w:p>
      <w:pPr>
        <w:widowControl/>
        <w:adjustRightInd w:val="0"/>
        <w:snapToGrid w:val="0"/>
        <w:spacing w:before="229" w:line="187" w:lineRule="auto"/>
        <w:ind w:firstLine="501"/>
        <w:rPr>
          <w:sz w:val="24"/>
          <w:szCs w:val="24"/>
        </w:rPr>
      </w:pPr>
      <w:r>
        <w:rPr>
          <w:rFonts w:ascii="Lucida Sans Unicode" w:hAnsi="Lucida Sans Unicode" w:eastAsia="Lucida Sans Unicode" w:cs="Lucida Sans Unicode"/>
          <w:sz w:val="24"/>
          <w:szCs w:val="24"/>
        </w:rPr>
        <w:t>1.</w:t>
      </w:r>
      <w:r>
        <w:rPr>
          <w:rFonts w:hint="eastAsia"/>
          <w:sz w:val="24"/>
          <w:szCs w:val="24"/>
        </w:rPr>
        <w:t>谈判文件</w:t>
      </w:r>
      <w:r>
        <w:rPr>
          <w:sz w:val="24"/>
          <w:szCs w:val="24"/>
        </w:rPr>
        <w:t>要求提供的其他资料。</w:t>
      </w:r>
    </w:p>
    <w:p>
      <w:pPr>
        <w:widowControl/>
        <w:adjustRightInd w:val="0"/>
        <w:snapToGrid w:val="0"/>
        <w:spacing w:before="1" w:line="204" w:lineRule="auto"/>
        <w:ind w:firstLine="494"/>
        <w:rPr>
          <w:sz w:val="24"/>
          <w:szCs w:val="24"/>
        </w:rPr>
      </w:pPr>
      <w:r>
        <w:rPr>
          <w:rFonts w:ascii="Lucida Sans Unicode" w:hAnsi="Lucida Sans Unicode" w:eastAsia="Lucida Sans Unicode" w:cs="Lucida Sans Unicode"/>
          <w:sz w:val="24"/>
          <w:szCs w:val="24"/>
        </w:rPr>
        <w:t>2.</w:t>
      </w:r>
      <w:r>
        <w:rPr>
          <w:sz w:val="24"/>
          <w:szCs w:val="24"/>
        </w:rPr>
        <w:t>投标人认为需提供的其他资料。</w:t>
      </w:r>
    </w:p>
    <w:p>
      <w:pPr>
        <w:pStyle w:val="2"/>
        <w:rPr>
          <w:sz w:val="21"/>
        </w:rPr>
      </w:pPr>
    </w:p>
    <w:p>
      <w:pPr>
        <w:pStyle w:val="2"/>
      </w:pPr>
    </w:p>
    <w:p>
      <w:pPr>
        <w:pStyle w:val="2"/>
        <w:rPr>
          <w:sz w:val="29"/>
        </w:rPr>
      </w:pPr>
    </w:p>
    <w:p>
      <w:pPr>
        <w:pStyle w:val="2"/>
        <w:rPr>
          <w:sz w:val="29"/>
        </w:rPr>
      </w:pPr>
    </w:p>
    <w:p>
      <w:pPr>
        <w:pStyle w:val="2"/>
        <w:ind w:left="431" w:firstLine="0"/>
        <w:jc w:val="both"/>
        <w:rPr>
          <w:b/>
          <w:bCs/>
          <w:sz w:val="44"/>
          <w:szCs w:val="44"/>
        </w:rPr>
      </w:pPr>
    </w:p>
    <w:sectPr>
      <w:pgSz w:w="11906" w:h="16838"/>
      <w:pgMar w:top="1440" w:right="1349" w:bottom="1440"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15</w:t>
                    </w:r>
                    <w:r>
                      <w:fldChar w:fldCharType="end"/>
                    </w:r>
                  </w:p>
                </w:txbxContent>
              </v:textbox>
            </v:shape>
          </w:pict>
        </mc:Fallback>
      </mc:AlternateContent>
    </w:r>
    <w:r>
      <w:drawing>
        <wp:anchor distT="0" distB="0" distL="114300" distR="114300" simplePos="0" relativeHeight="251659264" behindDoc="0" locked="0" layoutInCell="0" allowOverlap="1">
          <wp:simplePos x="0" y="0"/>
          <wp:positionH relativeFrom="page">
            <wp:posOffset>2282190</wp:posOffset>
          </wp:positionH>
          <wp:positionV relativeFrom="page">
            <wp:posOffset>9850120</wp:posOffset>
          </wp:positionV>
          <wp:extent cx="2600325" cy="386080"/>
          <wp:effectExtent l="0" t="0" r="5715" b="0"/>
          <wp:wrapTopAndBottom/>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2600325" cy="38608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r>
      <w:drawing>
        <wp:anchor distT="0" distB="0" distL="114300" distR="114300" simplePos="0" relativeHeight="251660288" behindDoc="0" locked="0" layoutInCell="0" allowOverlap="1">
          <wp:simplePos x="0" y="0"/>
          <wp:positionH relativeFrom="page">
            <wp:posOffset>2282190</wp:posOffset>
          </wp:positionH>
          <wp:positionV relativeFrom="page">
            <wp:posOffset>9850120</wp:posOffset>
          </wp:positionV>
          <wp:extent cx="2600325" cy="386080"/>
          <wp:effectExtent l="0" t="0" r="5715" b="0"/>
          <wp:wrapTopAndBottom/>
          <wp:docPr id="1" name="图片 4"/>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1"/>
                  <a:stretch>
                    <a:fillRect/>
                  </a:stretch>
                </pic:blipFill>
                <pic:spPr>
                  <a:xfrm>
                    <a:off x="0" y="0"/>
                    <a:ext cx="2600325" cy="38608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114300" distR="114300" simplePos="0" relativeHeight="251661312" behindDoc="0" locked="0" layoutInCell="0" allowOverlap="1">
          <wp:simplePos x="0" y="0"/>
          <wp:positionH relativeFrom="page">
            <wp:posOffset>2282190</wp:posOffset>
          </wp:positionH>
          <wp:positionV relativeFrom="page">
            <wp:posOffset>9850120</wp:posOffset>
          </wp:positionV>
          <wp:extent cx="2600325" cy="386080"/>
          <wp:effectExtent l="0" t="0" r="5715" b="0"/>
          <wp:wrapTopAndBottom/>
          <wp:docPr id="4" name="图片 6"/>
          <wp:cNvGraphicFramePr/>
          <a:graphic xmlns:a="http://schemas.openxmlformats.org/drawingml/2006/main">
            <a:graphicData uri="http://schemas.openxmlformats.org/drawingml/2006/picture">
              <pic:pic xmlns:pic="http://schemas.openxmlformats.org/drawingml/2006/picture">
                <pic:nvPicPr>
                  <pic:cNvPr id="4" name="图片 6"/>
                  <pic:cNvPicPr/>
                </pic:nvPicPr>
                <pic:blipFill>
                  <a:blip r:embed="rId1"/>
                  <a:stretch>
                    <a:fillRect/>
                  </a:stretch>
                </pic:blipFill>
                <pic:spPr>
                  <a:xfrm>
                    <a:off x="0" y="0"/>
                    <a:ext cx="2600325" cy="386080"/>
                  </a:xfrm>
                  <a:prstGeom prst="rect">
                    <a:avLst/>
                  </a:prstGeom>
                  <a:noFill/>
                  <a:ln>
                    <a:noFill/>
                  </a:ln>
                </pic:spPr>
              </pic:pic>
            </a:graphicData>
          </a:graphic>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2D821"/>
    <w:multiLevelType w:val="multilevel"/>
    <w:tmpl w:val="8102D821"/>
    <w:lvl w:ilvl="0" w:tentative="0">
      <w:start w:val="1"/>
      <w:numFmt w:val="decimal"/>
      <w:lvlText w:val="（%1）"/>
      <w:lvlJc w:val="left"/>
      <w:pPr>
        <w:ind w:left="1066" w:hanging="406"/>
        <w:jc w:val="left"/>
      </w:pPr>
      <w:rPr>
        <w:rFonts w:hint="default" w:ascii="宋体" w:hAnsi="宋体" w:eastAsia="宋体" w:cs="宋体"/>
        <w:spacing w:val="-17"/>
        <w:w w:val="100"/>
        <w:sz w:val="17"/>
        <w:szCs w:val="17"/>
        <w:lang w:val="zh-CN" w:eastAsia="zh-CN" w:bidi="zh-CN"/>
      </w:rPr>
    </w:lvl>
    <w:lvl w:ilvl="1" w:tentative="0">
      <w:start w:val="0"/>
      <w:numFmt w:val="bullet"/>
      <w:lvlText w:val="•"/>
      <w:lvlJc w:val="left"/>
      <w:pPr>
        <w:ind w:left="1174" w:hanging="506"/>
      </w:pPr>
      <w:rPr>
        <w:rFonts w:hint="default"/>
        <w:lang w:val="zh-CN" w:eastAsia="zh-CN" w:bidi="zh-CN"/>
      </w:rPr>
    </w:lvl>
    <w:lvl w:ilvl="2" w:tentative="0">
      <w:start w:val="0"/>
      <w:numFmt w:val="bullet"/>
      <w:lvlText w:val="•"/>
      <w:lvlJc w:val="left"/>
      <w:pPr>
        <w:ind w:left="2248" w:hanging="506"/>
      </w:pPr>
      <w:rPr>
        <w:rFonts w:hint="default"/>
        <w:lang w:val="zh-CN" w:eastAsia="zh-CN" w:bidi="zh-CN"/>
      </w:rPr>
    </w:lvl>
    <w:lvl w:ilvl="3" w:tentative="0">
      <w:start w:val="0"/>
      <w:numFmt w:val="bullet"/>
      <w:lvlText w:val="•"/>
      <w:lvlJc w:val="left"/>
      <w:pPr>
        <w:ind w:left="3322" w:hanging="506"/>
      </w:pPr>
      <w:rPr>
        <w:rFonts w:hint="default"/>
        <w:lang w:val="zh-CN" w:eastAsia="zh-CN" w:bidi="zh-CN"/>
      </w:rPr>
    </w:lvl>
    <w:lvl w:ilvl="4" w:tentative="0">
      <w:start w:val="0"/>
      <w:numFmt w:val="bullet"/>
      <w:lvlText w:val="•"/>
      <w:lvlJc w:val="left"/>
      <w:pPr>
        <w:ind w:left="4396" w:hanging="506"/>
      </w:pPr>
      <w:rPr>
        <w:rFonts w:hint="default"/>
        <w:lang w:val="zh-CN" w:eastAsia="zh-CN" w:bidi="zh-CN"/>
      </w:rPr>
    </w:lvl>
    <w:lvl w:ilvl="5" w:tentative="0">
      <w:start w:val="0"/>
      <w:numFmt w:val="bullet"/>
      <w:lvlText w:val="•"/>
      <w:lvlJc w:val="left"/>
      <w:pPr>
        <w:ind w:left="5470" w:hanging="506"/>
      </w:pPr>
      <w:rPr>
        <w:rFonts w:hint="default"/>
        <w:lang w:val="zh-CN" w:eastAsia="zh-CN" w:bidi="zh-CN"/>
      </w:rPr>
    </w:lvl>
    <w:lvl w:ilvl="6" w:tentative="0">
      <w:start w:val="0"/>
      <w:numFmt w:val="bullet"/>
      <w:lvlText w:val="•"/>
      <w:lvlJc w:val="left"/>
      <w:pPr>
        <w:ind w:left="6544" w:hanging="506"/>
      </w:pPr>
      <w:rPr>
        <w:rFonts w:hint="default"/>
        <w:lang w:val="zh-CN" w:eastAsia="zh-CN" w:bidi="zh-CN"/>
      </w:rPr>
    </w:lvl>
    <w:lvl w:ilvl="7" w:tentative="0">
      <w:start w:val="0"/>
      <w:numFmt w:val="bullet"/>
      <w:lvlText w:val="•"/>
      <w:lvlJc w:val="left"/>
      <w:pPr>
        <w:ind w:left="7618" w:hanging="506"/>
      </w:pPr>
      <w:rPr>
        <w:rFonts w:hint="default"/>
        <w:lang w:val="zh-CN" w:eastAsia="zh-CN" w:bidi="zh-CN"/>
      </w:rPr>
    </w:lvl>
    <w:lvl w:ilvl="8" w:tentative="0">
      <w:start w:val="0"/>
      <w:numFmt w:val="bullet"/>
      <w:lvlText w:val="•"/>
      <w:lvlJc w:val="left"/>
      <w:pPr>
        <w:ind w:left="8692" w:hanging="506"/>
      </w:pPr>
      <w:rPr>
        <w:rFonts w:hint="default"/>
        <w:lang w:val="zh-CN" w:eastAsia="zh-CN" w:bidi="zh-CN"/>
      </w:rPr>
    </w:lvl>
  </w:abstractNum>
  <w:abstractNum w:abstractNumId="1">
    <w:nsid w:val="94026AA1"/>
    <w:multiLevelType w:val="singleLevel"/>
    <w:tmpl w:val="94026AA1"/>
    <w:lvl w:ilvl="0" w:tentative="0">
      <w:start w:val="1"/>
      <w:numFmt w:val="decimal"/>
      <w:suff w:val="space"/>
      <w:lvlText w:val="%1."/>
      <w:lvlJc w:val="left"/>
    </w:lvl>
  </w:abstractNum>
  <w:abstractNum w:abstractNumId="2">
    <w:nsid w:val="AE8EEF9C"/>
    <w:multiLevelType w:val="singleLevel"/>
    <w:tmpl w:val="AE8EEF9C"/>
    <w:lvl w:ilvl="0" w:tentative="0">
      <w:start w:val="1"/>
      <w:numFmt w:val="decimal"/>
      <w:lvlText w:val="%1."/>
      <w:lvlJc w:val="left"/>
      <w:pPr>
        <w:tabs>
          <w:tab w:val="left" w:pos="312"/>
        </w:tabs>
      </w:pPr>
    </w:lvl>
  </w:abstractNum>
  <w:abstractNum w:abstractNumId="3">
    <w:nsid w:val="C8879AEF"/>
    <w:multiLevelType w:val="multilevel"/>
    <w:tmpl w:val="C8879AEF"/>
    <w:lvl w:ilvl="0" w:tentative="0">
      <w:start w:val="1"/>
      <w:numFmt w:val="decimal"/>
      <w:lvlText w:val="（%1）"/>
      <w:lvlJc w:val="left"/>
      <w:pPr>
        <w:ind w:left="946" w:hanging="506"/>
        <w:jc w:val="left"/>
      </w:pPr>
      <w:rPr>
        <w:rFonts w:hint="default" w:ascii="宋体" w:hAnsi="宋体" w:eastAsia="宋体" w:cs="宋体"/>
        <w:spacing w:val="-3"/>
        <w:w w:val="100"/>
        <w:sz w:val="17"/>
        <w:szCs w:val="17"/>
        <w:lang w:val="zh-CN" w:eastAsia="zh-CN" w:bidi="zh-CN"/>
      </w:rPr>
    </w:lvl>
    <w:lvl w:ilvl="1" w:tentative="0">
      <w:start w:val="0"/>
      <w:numFmt w:val="bullet"/>
      <w:lvlText w:val="•"/>
      <w:lvlJc w:val="left"/>
      <w:pPr>
        <w:ind w:left="2074" w:hanging="506"/>
      </w:pPr>
      <w:rPr>
        <w:rFonts w:hint="default"/>
        <w:lang w:val="zh-CN" w:eastAsia="zh-CN" w:bidi="zh-CN"/>
      </w:rPr>
    </w:lvl>
    <w:lvl w:ilvl="2" w:tentative="0">
      <w:start w:val="0"/>
      <w:numFmt w:val="bullet"/>
      <w:lvlText w:val="•"/>
      <w:lvlJc w:val="left"/>
      <w:pPr>
        <w:ind w:left="3048" w:hanging="506"/>
      </w:pPr>
      <w:rPr>
        <w:rFonts w:hint="default"/>
        <w:lang w:val="zh-CN" w:eastAsia="zh-CN" w:bidi="zh-CN"/>
      </w:rPr>
    </w:lvl>
    <w:lvl w:ilvl="3" w:tentative="0">
      <w:start w:val="0"/>
      <w:numFmt w:val="bullet"/>
      <w:lvlText w:val="•"/>
      <w:lvlJc w:val="left"/>
      <w:pPr>
        <w:ind w:left="4022" w:hanging="506"/>
      </w:pPr>
      <w:rPr>
        <w:rFonts w:hint="default"/>
        <w:lang w:val="zh-CN" w:eastAsia="zh-CN" w:bidi="zh-CN"/>
      </w:rPr>
    </w:lvl>
    <w:lvl w:ilvl="4" w:tentative="0">
      <w:start w:val="0"/>
      <w:numFmt w:val="bullet"/>
      <w:lvlText w:val="•"/>
      <w:lvlJc w:val="left"/>
      <w:pPr>
        <w:ind w:left="4996" w:hanging="506"/>
      </w:pPr>
      <w:rPr>
        <w:rFonts w:hint="default"/>
        <w:lang w:val="zh-CN" w:eastAsia="zh-CN" w:bidi="zh-CN"/>
      </w:rPr>
    </w:lvl>
    <w:lvl w:ilvl="5" w:tentative="0">
      <w:start w:val="0"/>
      <w:numFmt w:val="bullet"/>
      <w:lvlText w:val="•"/>
      <w:lvlJc w:val="left"/>
      <w:pPr>
        <w:ind w:left="5970" w:hanging="506"/>
      </w:pPr>
      <w:rPr>
        <w:rFonts w:hint="default"/>
        <w:lang w:val="zh-CN" w:eastAsia="zh-CN" w:bidi="zh-CN"/>
      </w:rPr>
    </w:lvl>
    <w:lvl w:ilvl="6" w:tentative="0">
      <w:start w:val="0"/>
      <w:numFmt w:val="bullet"/>
      <w:lvlText w:val="•"/>
      <w:lvlJc w:val="left"/>
      <w:pPr>
        <w:ind w:left="6944" w:hanging="506"/>
      </w:pPr>
      <w:rPr>
        <w:rFonts w:hint="default"/>
        <w:lang w:val="zh-CN" w:eastAsia="zh-CN" w:bidi="zh-CN"/>
      </w:rPr>
    </w:lvl>
    <w:lvl w:ilvl="7" w:tentative="0">
      <w:start w:val="0"/>
      <w:numFmt w:val="bullet"/>
      <w:lvlText w:val="•"/>
      <w:lvlJc w:val="left"/>
      <w:pPr>
        <w:ind w:left="7918" w:hanging="506"/>
      </w:pPr>
      <w:rPr>
        <w:rFonts w:hint="default"/>
        <w:lang w:val="zh-CN" w:eastAsia="zh-CN" w:bidi="zh-CN"/>
      </w:rPr>
    </w:lvl>
    <w:lvl w:ilvl="8" w:tentative="0">
      <w:start w:val="0"/>
      <w:numFmt w:val="bullet"/>
      <w:lvlText w:val="•"/>
      <w:lvlJc w:val="left"/>
      <w:pPr>
        <w:ind w:left="8892" w:hanging="506"/>
      </w:pPr>
      <w:rPr>
        <w:rFonts w:hint="default"/>
        <w:lang w:val="zh-CN" w:eastAsia="zh-CN" w:bidi="zh-CN"/>
      </w:rPr>
    </w:lvl>
  </w:abstractNum>
  <w:abstractNum w:abstractNumId="4">
    <w:nsid w:val="DCBA6B53"/>
    <w:multiLevelType w:val="multilevel"/>
    <w:tmpl w:val="DCBA6B53"/>
    <w:lvl w:ilvl="0" w:tentative="0">
      <w:start w:val="1"/>
      <w:numFmt w:val="decimal"/>
      <w:lvlText w:val="%1."/>
      <w:lvlJc w:val="left"/>
      <w:pPr>
        <w:ind w:left="312" w:hanging="206"/>
        <w:jc w:val="left"/>
      </w:pPr>
      <w:rPr>
        <w:rFonts w:hint="default" w:ascii="微软雅黑" w:hAnsi="微软雅黑" w:eastAsia="微软雅黑" w:cs="微软雅黑"/>
        <w:b/>
        <w:bCs/>
        <w:spacing w:val="-7"/>
        <w:w w:val="114"/>
        <w:sz w:val="17"/>
        <w:szCs w:val="17"/>
        <w:lang w:val="zh-CN" w:eastAsia="zh-CN" w:bidi="zh-CN"/>
      </w:rPr>
    </w:lvl>
    <w:lvl w:ilvl="1" w:tentative="0">
      <w:start w:val="1"/>
      <w:numFmt w:val="decimal"/>
      <w:lvlText w:val="%1.%2"/>
      <w:lvlJc w:val="left"/>
      <w:pPr>
        <w:ind w:left="889" w:hanging="304"/>
        <w:jc w:val="right"/>
      </w:pPr>
      <w:rPr>
        <w:rFonts w:hint="default" w:ascii="宋体" w:hAnsi="宋体" w:eastAsia="宋体" w:cs="宋体"/>
        <w:spacing w:val="-3"/>
        <w:w w:val="64"/>
        <w:sz w:val="17"/>
        <w:szCs w:val="17"/>
        <w:lang w:val="zh-CN" w:eastAsia="zh-CN" w:bidi="zh-CN"/>
      </w:rPr>
    </w:lvl>
    <w:lvl w:ilvl="2" w:tentative="0">
      <w:start w:val="0"/>
      <w:numFmt w:val="bullet"/>
      <w:lvlText w:val="•"/>
      <w:lvlJc w:val="left"/>
      <w:pPr>
        <w:ind w:left="1986" w:hanging="304"/>
      </w:pPr>
      <w:rPr>
        <w:rFonts w:hint="default"/>
        <w:lang w:val="zh-CN" w:eastAsia="zh-CN" w:bidi="zh-CN"/>
      </w:rPr>
    </w:lvl>
    <w:lvl w:ilvl="3" w:tentative="0">
      <w:start w:val="0"/>
      <w:numFmt w:val="bullet"/>
      <w:lvlText w:val="•"/>
      <w:lvlJc w:val="left"/>
      <w:pPr>
        <w:ind w:left="3093" w:hanging="304"/>
      </w:pPr>
      <w:rPr>
        <w:rFonts w:hint="default"/>
        <w:lang w:val="zh-CN" w:eastAsia="zh-CN" w:bidi="zh-CN"/>
      </w:rPr>
    </w:lvl>
    <w:lvl w:ilvl="4" w:tentative="0">
      <w:start w:val="0"/>
      <w:numFmt w:val="bullet"/>
      <w:lvlText w:val="•"/>
      <w:lvlJc w:val="left"/>
      <w:pPr>
        <w:ind w:left="4200" w:hanging="304"/>
      </w:pPr>
      <w:rPr>
        <w:rFonts w:hint="default"/>
        <w:lang w:val="zh-CN" w:eastAsia="zh-CN" w:bidi="zh-CN"/>
      </w:rPr>
    </w:lvl>
    <w:lvl w:ilvl="5" w:tentative="0">
      <w:start w:val="0"/>
      <w:numFmt w:val="bullet"/>
      <w:lvlText w:val="•"/>
      <w:lvlJc w:val="left"/>
      <w:pPr>
        <w:ind w:left="5306" w:hanging="304"/>
      </w:pPr>
      <w:rPr>
        <w:rFonts w:hint="default"/>
        <w:lang w:val="zh-CN" w:eastAsia="zh-CN" w:bidi="zh-CN"/>
      </w:rPr>
    </w:lvl>
    <w:lvl w:ilvl="6" w:tentative="0">
      <w:start w:val="0"/>
      <w:numFmt w:val="bullet"/>
      <w:lvlText w:val="•"/>
      <w:lvlJc w:val="left"/>
      <w:pPr>
        <w:ind w:left="6413" w:hanging="304"/>
      </w:pPr>
      <w:rPr>
        <w:rFonts w:hint="default"/>
        <w:lang w:val="zh-CN" w:eastAsia="zh-CN" w:bidi="zh-CN"/>
      </w:rPr>
    </w:lvl>
    <w:lvl w:ilvl="7" w:tentative="0">
      <w:start w:val="0"/>
      <w:numFmt w:val="bullet"/>
      <w:lvlText w:val="•"/>
      <w:lvlJc w:val="left"/>
      <w:pPr>
        <w:ind w:left="7520" w:hanging="304"/>
      </w:pPr>
      <w:rPr>
        <w:rFonts w:hint="default"/>
        <w:lang w:val="zh-CN" w:eastAsia="zh-CN" w:bidi="zh-CN"/>
      </w:rPr>
    </w:lvl>
    <w:lvl w:ilvl="8" w:tentative="0">
      <w:start w:val="0"/>
      <w:numFmt w:val="bullet"/>
      <w:lvlText w:val="•"/>
      <w:lvlJc w:val="left"/>
      <w:pPr>
        <w:ind w:left="8626" w:hanging="304"/>
      </w:pPr>
      <w:rPr>
        <w:rFonts w:hint="default"/>
        <w:lang w:val="zh-CN" w:eastAsia="zh-CN" w:bidi="zh-CN"/>
      </w:rPr>
    </w:lvl>
  </w:abstractNum>
  <w:abstractNum w:abstractNumId="5">
    <w:nsid w:val="E7F06544"/>
    <w:multiLevelType w:val="singleLevel"/>
    <w:tmpl w:val="E7F06544"/>
    <w:lvl w:ilvl="0" w:tentative="0">
      <w:start w:val="1"/>
      <w:numFmt w:val="decimal"/>
      <w:lvlText w:val="%1."/>
      <w:lvlJc w:val="left"/>
      <w:pPr>
        <w:tabs>
          <w:tab w:val="left" w:pos="1032"/>
        </w:tabs>
        <w:ind w:left="-63" w:firstLine="630"/>
      </w:pPr>
    </w:lvl>
  </w:abstractNum>
  <w:abstractNum w:abstractNumId="6">
    <w:nsid w:val="0248C179"/>
    <w:multiLevelType w:val="multilevel"/>
    <w:tmpl w:val="0248C179"/>
    <w:lvl w:ilvl="0" w:tentative="0">
      <w:start w:val="1"/>
      <w:numFmt w:val="decimal"/>
      <w:lvlText w:val="（%1）"/>
      <w:lvlJc w:val="left"/>
      <w:pPr>
        <w:ind w:left="1091" w:hanging="506"/>
        <w:jc w:val="left"/>
      </w:pPr>
      <w:rPr>
        <w:rFonts w:hint="default" w:ascii="宋体" w:hAnsi="宋体" w:eastAsia="宋体" w:cs="宋体"/>
        <w:spacing w:val="-3"/>
        <w:w w:val="100"/>
        <w:sz w:val="17"/>
        <w:szCs w:val="17"/>
        <w:lang w:val="zh-CN" w:eastAsia="zh-CN" w:bidi="zh-CN"/>
      </w:rPr>
    </w:lvl>
    <w:lvl w:ilvl="1" w:tentative="0">
      <w:start w:val="0"/>
      <w:numFmt w:val="bullet"/>
      <w:lvlText w:val="•"/>
      <w:lvlJc w:val="left"/>
      <w:pPr>
        <w:ind w:left="2074" w:hanging="506"/>
      </w:pPr>
      <w:rPr>
        <w:rFonts w:hint="default"/>
        <w:lang w:val="zh-CN" w:eastAsia="zh-CN" w:bidi="zh-CN"/>
      </w:rPr>
    </w:lvl>
    <w:lvl w:ilvl="2" w:tentative="0">
      <w:start w:val="0"/>
      <w:numFmt w:val="bullet"/>
      <w:lvlText w:val="•"/>
      <w:lvlJc w:val="left"/>
      <w:pPr>
        <w:ind w:left="3048" w:hanging="506"/>
      </w:pPr>
      <w:rPr>
        <w:rFonts w:hint="default"/>
        <w:lang w:val="zh-CN" w:eastAsia="zh-CN" w:bidi="zh-CN"/>
      </w:rPr>
    </w:lvl>
    <w:lvl w:ilvl="3" w:tentative="0">
      <w:start w:val="0"/>
      <w:numFmt w:val="bullet"/>
      <w:lvlText w:val="•"/>
      <w:lvlJc w:val="left"/>
      <w:pPr>
        <w:ind w:left="4022" w:hanging="506"/>
      </w:pPr>
      <w:rPr>
        <w:rFonts w:hint="default"/>
        <w:lang w:val="zh-CN" w:eastAsia="zh-CN" w:bidi="zh-CN"/>
      </w:rPr>
    </w:lvl>
    <w:lvl w:ilvl="4" w:tentative="0">
      <w:start w:val="0"/>
      <w:numFmt w:val="bullet"/>
      <w:lvlText w:val="•"/>
      <w:lvlJc w:val="left"/>
      <w:pPr>
        <w:ind w:left="4996" w:hanging="506"/>
      </w:pPr>
      <w:rPr>
        <w:rFonts w:hint="default"/>
        <w:lang w:val="zh-CN" w:eastAsia="zh-CN" w:bidi="zh-CN"/>
      </w:rPr>
    </w:lvl>
    <w:lvl w:ilvl="5" w:tentative="0">
      <w:start w:val="0"/>
      <w:numFmt w:val="bullet"/>
      <w:lvlText w:val="•"/>
      <w:lvlJc w:val="left"/>
      <w:pPr>
        <w:ind w:left="5970" w:hanging="506"/>
      </w:pPr>
      <w:rPr>
        <w:rFonts w:hint="default"/>
        <w:lang w:val="zh-CN" w:eastAsia="zh-CN" w:bidi="zh-CN"/>
      </w:rPr>
    </w:lvl>
    <w:lvl w:ilvl="6" w:tentative="0">
      <w:start w:val="0"/>
      <w:numFmt w:val="bullet"/>
      <w:lvlText w:val="•"/>
      <w:lvlJc w:val="left"/>
      <w:pPr>
        <w:ind w:left="6944" w:hanging="506"/>
      </w:pPr>
      <w:rPr>
        <w:rFonts w:hint="default"/>
        <w:lang w:val="zh-CN" w:eastAsia="zh-CN" w:bidi="zh-CN"/>
      </w:rPr>
    </w:lvl>
    <w:lvl w:ilvl="7" w:tentative="0">
      <w:start w:val="0"/>
      <w:numFmt w:val="bullet"/>
      <w:lvlText w:val="•"/>
      <w:lvlJc w:val="left"/>
      <w:pPr>
        <w:ind w:left="7918" w:hanging="506"/>
      </w:pPr>
      <w:rPr>
        <w:rFonts w:hint="default"/>
        <w:lang w:val="zh-CN" w:eastAsia="zh-CN" w:bidi="zh-CN"/>
      </w:rPr>
    </w:lvl>
    <w:lvl w:ilvl="8" w:tentative="0">
      <w:start w:val="0"/>
      <w:numFmt w:val="bullet"/>
      <w:lvlText w:val="•"/>
      <w:lvlJc w:val="left"/>
      <w:pPr>
        <w:ind w:left="8892" w:hanging="506"/>
      </w:pPr>
      <w:rPr>
        <w:rFonts w:hint="default"/>
        <w:lang w:val="zh-CN" w:eastAsia="zh-CN" w:bidi="zh-CN"/>
      </w:rPr>
    </w:lvl>
  </w:abstractNum>
  <w:abstractNum w:abstractNumId="7">
    <w:nsid w:val="0A149B63"/>
    <w:multiLevelType w:val="singleLevel"/>
    <w:tmpl w:val="0A149B63"/>
    <w:lvl w:ilvl="0" w:tentative="0">
      <w:start w:val="1"/>
      <w:numFmt w:val="decimal"/>
      <w:suff w:val="nothing"/>
      <w:lvlText w:val="%1．"/>
      <w:lvlJc w:val="left"/>
      <w:pPr>
        <w:ind w:left="0" w:firstLine="400"/>
      </w:pPr>
      <w:rPr>
        <w:rFonts w:hint="default"/>
      </w:rPr>
    </w:lvl>
  </w:abstractNum>
  <w:abstractNum w:abstractNumId="8">
    <w:nsid w:val="16237BAA"/>
    <w:multiLevelType w:val="multilevel"/>
    <w:tmpl w:val="16237BA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1A572CCA"/>
    <w:multiLevelType w:val="multilevel"/>
    <w:tmpl w:val="1A572CC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1B311150"/>
    <w:multiLevelType w:val="singleLevel"/>
    <w:tmpl w:val="1B311150"/>
    <w:lvl w:ilvl="0" w:tentative="0">
      <w:start w:val="13"/>
      <w:numFmt w:val="chineseCounting"/>
      <w:suff w:val="space"/>
      <w:lvlText w:val="第%1条"/>
      <w:lvlJc w:val="left"/>
      <w:rPr>
        <w:rFonts w:hint="eastAsia"/>
      </w:rPr>
    </w:lvl>
  </w:abstractNum>
  <w:abstractNum w:abstractNumId="11">
    <w:nsid w:val="1E98484C"/>
    <w:multiLevelType w:val="singleLevel"/>
    <w:tmpl w:val="1E98484C"/>
    <w:lvl w:ilvl="0" w:tentative="0">
      <w:start w:val="1"/>
      <w:numFmt w:val="decimal"/>
      <w:lvlText w:val="%1."/>
      <w:lvlJc w:val="left"/>
      <w:pPr>
        <w:tabs>
          <w:tab w:val="left" w:pos="312"/>
        </w:tabs>
      </w:pPr>
    </w:lvl>
  </w:abstractNum>
  <w:abstractNum w:abstractNumId="12">
    <w:nsid w:val="20ED6525"/>
    <w:multiLevelType w:val="multilevel"/>
    <w:tmpl w:val="20ED6525"/>
    <w:lvl w:ilvl="0" w:tentative="0">
      <w:start w:val="1"/>
      <w:numFmt w:val="decimal"/>
      <w:lvlText w:val="第%1部分"/>
      <w:lvlJc w:val="left"/>
      <w:pPr>
        <w:ind w:left="425" w:hanging="425"/>
      </w:pPr>
      <w:rPr>
        <w:rFonts w:hint="eastAsia" w:ascii="黑体" w:hAnsi="黑体" w:eastAsia="黑体" w:cs="Times New Roman"/>
        <w:sz w:val="32"/>
        <w:szCs w:val="32"/>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3">
    <w:nsid w:val="25B654F3"/>
    <w:multiLevelType w:val="multilevel"/>
    <w:tmpl w:val="25B654F3"/>
    <w:lvl w:ilvl="0" w:tentative="0">
      <w:start w:val="1"/>
      <w:numFmt w:val="decimal"/>
      <w:lvlText w:val="%1."/>
      <w:lvlJc w:val="left"/>
      <w:pPr>
        <w:ind w:left="427" w:hanging="206"/>
        <w:jc w:val="left"/>
      </w:pPr>
      <w:rPr>
        <w:rFonts w:hint="default" w:ascii="微软雅黑" w:hAnsi="微软雅黑" w:eastAsia="微软雅黑" w:cs="微软雅黑"/>
        <w:b/>
        <w:bCs/>
        <w:spacing w:val="-7"/>
        <w:w w:val="114"/>
        <w:sz w:val="17"/>
        <w:szCs w:val="17"/>
        <w:lang w:val="zh-CN" w:eastAsia="zh-CN" w:bidi="zh-CN"/>
      </w:rPr>
    </w:lvl>
    <w:lvl w:ilvl="1" w:tentative="0">
      <w:start w:val="1"/>
      <w:numFmt w:val="decimal"/>
      <w:lvlText w:val="%1.%2"/>
      <w:lvlJc w:val="left"/>
      <w:pPr>
        <w:ind w:left="1004" w:hanging="304"/>
        <w:jc w:val="right"/>
      </w:pPr>
      <w:rPr>
        <w:rFonts w:hint="default" w:ascii="宋体" w:hAnsi="宋体" w:eastAsia="宋体" w:cs="宋体"/>
        <w:spacing w:val="-3"/>
        <w:w w:val="64"/>
        <w:sz w:val="17"/>
        <w:szCs w:val="17"/>
        <w:lang w:val="zh-CN" w:eastAsia="zh-CN" w:bidi="zh-CN"/>
      </w:rPr>
    </w:lvl>
    <w:lvl w:ilvl="2" w:tentative="0">
      <w:start w:val="0"/>
      <w:numFmt w:val="bullet"/>
      <w:lvlText w:val="•"/>
      <w:lvlJc w:val="left"/>
      <w:pPr>
        <w:ind w:left="935" w:hanging="304"/>
      </w:pPr>
      <w:rPr>
        <w:rFonts w:hint="default"/>
        <w:lang w:val="zh-CN" w:eastAsia="zh-CN" w:bidi="zh-CN"/>
      </w:rPr>
    </w:lvl>
    <w:lvl w:ilvl="3" w:tentative="0">
      <w:start w:val="0"/>
      <w:numFmt w:val="bullet"/>
      <w:lvlText w:val="•"/>
      <w:lvlJc w:val="left"/>
      <w:pPr>
        <w:ind w:left="995" w:hanging="304"/>
      </w:pPr>
      <w:rPr>
        <w:rFonts w:hint="default"/>
        <w:lang w:val="zh-CN" w:eastAsia="zh-CN" w:bidi="zh-CN"/>
      </w:rPr>
    </w:lvl>
    <w:lvl w:ilvl="4" w:tentative="0">
      <w:start w:val="0"/>
      <w:numFmt w:val="bullet"/>
      <w:lvlText w:val="•"/>
      <w:lvlJc w:val="left"/>
      <w:pPr>
        <w:ind w:left="2417" w:hanging="304"/>
      </w:pPr>
      <w:rPr>
        <w:rFonts w:hint="default"/>
        <w:lang w:val="zh-CN" w:eastAsia="zh-CN" w:bidi="zh-CN"/>
      </w:rPr>
    </w:lvl>
    <w:lvl w:ilvl="5" w:tentative="0">
      <w:start w:val="0"/>
      <w:numFmt w:val="bullet"/>
      <w:lvlText w:val="•"/>
      <w:lvlJc w:val="left"/>
      <w:pPr>
        <w:ind w:left="3840" w:hanging="304"/>
      </w:pPr>
      <w:rPr>
        <w:rFonts w:hint="default"/>
        <w:lang w:val="zh-CN" w:eastAsia="zh-CN" w:bidi="zh-CN"/>
      </w:rPr>
    </w:lvl>
    <w:lvl w:ilvl="6" w:tentative="0">
      <w:start w:val="0"/>
      <w:numFmt w:val="bullet"/>
      <w:lvlText w:val="•"/>
      <w:lvlJc w:val="left"/>
      <w:pPr>
        <w:ind w:left="5263" w:hanging="304"/>
      </w:pPr>
      <w:rPr>
        <w:rFonts w:hint="default"/>
        <w:lang w:val="zh-CN" w:eastAsia="zh-CN" w:bidi="zh-CN"/>
      </w:rPr>
    </w:lvl>
    <w:lvl w:ilvl="7" w:tentative="0">
      <w:start w:val="0"/>
      <w:numFmt w:val="bullet"/>
      <w:lvlText w:val="•"/>
      <w:lvlJc w:val="left"/>
      <w:pPr>
        <w:ind w:left="6686" w:hanging="304"/>
      </w:pPr>
      <w:rPr>
        <w:rFonts w:hint="default"/>
        <w:lang w:val="zh-CN" w:eastAsia="zh-CN" w:bidi="zh-CN"/>
      </w:rPr>
    </w:lvl>
    <w:lvl w:ilvl="8" w:tentative="0">
      <w:start w:val="0"/>
      <w:numFmt w:val="bullet"/>
      <w:lvlText w:val="•"/>
      <w:lvlJc w:val="left"/>
      <w:pPr>
        <w:ind w:left="8109" w:hanging="304"/>
      </w:pPr>
      <w:rPr>
        <w:rFonts w:hint="default"/>
        <w:lang w:val="zh-CN" w:eastAsia="zh-CN" w:bidi="zh-CN"/>
      </w:rPr>
    </w:lvl>
  </w:abstractNum>
  <w:abstractNum w:abstractNumId="14">
    <w:nsid w:val="2A8F537B"/>
    <w:multiLevelType w:val="multilevel"/>
    <w:tmpl w:val="2A8F537B"/>
    <w:lvl w:ilvl="0" w:tentative="0">
      <w:start w:val="1"/>
      <w:numFmt w:val="decimal"/>
      <w:lvlText w:val="（%1）"/>
      <w:lvlJc w:val="left"/>
      <w:pPr>
        <w:ind w:left="1091" w:hanging="506"/>
        <w:jc w:val="left"/>
      </w:pPr>
      <w:rPr>
        <w:rFonts w:hint="default" w:ascii="宋体" w:hAnsi="宋体" w:eastAsia="宋体" w:cs="宋体"/>
        <w:spacing w:val="-3"/>
        <w:w w:val="100"/>
        <w:sz w:val="17"/>
        <w:szCs w:val="17"/>
        <w:lang w:val="zh-CN" w:eastAsia="zh-CN" w:bidi="zh-CN"/>
      </w:rPr>
    </w:lvl>
    <w:lvl w:ilvl="1" w:tentative="0">
      <w:start w:val="0"/>
      <w:numFmt w:val="bullet"/>
      <w:lvlText w:val="•"/>
      <w:lvlJc w:val="left"/>
      <w:pPr>
        <w:ind w:left="2074" w:hanging="506"/>
      </w:pPr>
      <w:rPr>
        <w:rFonts w:hint="default"/>
        <w:lang w:val="zh-CN" w:eastAsia="zh-CN" w:bidi="zh-CN"/>
      </w:rPr>
    </w:lvl>
    <w:lvl w:ilvl="2" w:tentative="0">
      <w:start w:val="0"/>
      <w:numFmt w:val="bullet"/>
      <w:lvlText w:val="•"/>
      <w:lvlJc w:val="left"/>
      <w:pPr>
        <w:ind w:left="3048" w:hanging="506"/>
      </w:pPr>
      <w:rPr>
        <w:rFonts w:hint="default"/>
        <w:lang w:val="zh-CN" w:eastAsia="zh-CN" w:bidi="zh-CN"/>
      </w:rPr>
    </w:lvl>
    <w:lvl w:ilvl="3" w:tentative="0">
      <w:start w:val="0"/>
      <w:numFmt w:val="bullet"/>
      <w:lvlText w:val="•"/>
      <w:lvlJc w:val="left"/>
      <w:pPr>
        <w:ind w:left="4022" w:hanging="506"/>
      </w:pPr>
      <w:rPr>
        <w:rFonts w:hint="default"/>
        <w:lang w:val="zh-CN" w:eastAsia="zh-CN" w:bidi="zh-CN"/>
      </w:rPr>
    </w:lvl>
    <w:lvl w:ilvl="4" w:tentative="0">
      <w:start w:val="0"/>
      <w:numFmt w:val="bullet"/>
      <w:lvlText w:val="•"/>
      <w:lvlJc w:val="left"/>
      <w:pPr>
        <w:ind w:left="4996" w:hanging="506"/>
      </w:pPr>
      <w:rPr>
        <w:rFonts w:hint="default"/>
        <w:lang w:val="zh-CN" w:eastAsia="zh-CN" w:bidi="zh-CN"/>
      </w:rPr>
    </w:lvl>
    <w:lvl w:ilvl="5" w:tentative="0">
      <w:start w:val="0"/>
      <w:numFmt w:val="bullet"/>
      <w:lvlText w:val="•"/>
      <w:lvlJc w:val="left"/>
      <w:pPr>
        <w:ind w:left="5970" w:hanging="506"/>
      </w:pPr>
      <w:rPr>
        <w:rFonts w:hint="default"/>
        <w:lang w:val="zh-CN" w:eastAsia="zh-CN" w:bidi="zh-CN"/>
      </w:rPr>
    </w:lvl>
    <w:lvl w:ilvl="6" w:tentative="0">
      <w:start w:val="0"/>
      <w:numFmt w:val="bullet"/>
      <w:lvlText w:val="•"/>
      <w:lvlJc w:val="left"/>
      <w:pPr>
        <w:ind w:left="6944" w:hanging="506"/>
      </w:pPr>
      <w:rPr>
        <w:rFonts w:hint="default"/>
        <w:lang w:val="zh-CN" w:eastAsia="zh-CN" w:bidi="zh-CN"/>
      </w:rPr>
    </w:lvl>
    <w:lvl w:ilvl="7" w:tentative="0">
      <w:start w:val="0"/>
      <w:numFmt w:val="bullet"/>
      <w:lvlText w:val="•"/>
      <w:lvlJc w:val="left"/>
      <w:pPr>
        <w:ind w:left="7918" w:hanging="506"/>
      </w:pPr>
      <w:rPr>
        <w:rFonts w:hint="default"/>
        <w:lang w:val="zh-CN" w:eastAsia="zh-CN" w:bidi="zh-CN"/>
      </w:rPr>
    </w:lvl>
    <w:lvl w:ilvl="8" w:tentative="0">
      <w:start w:val="0"/>
      <w:numFmt w:val="bullet"/>
      <w:lvlText w:val="•"/>
      <w:lvlJc w:val="left"/>
      <w:pPr>
        <w:ind w:left="8892" w:hanging="506"/>
      </w:pPr>
      <w:rPr>
        <w:rFonts w:hint="default"/>
        <w:lang w:val="zh-CN" w:eastAsia="zh-CN" w:bidi="zh-CN"/>
      </w:rPr>
    </w:lvl>
  </w:abstractNum>
  <w:abstractNum w:abstractNumId="15">
    <w:nsid w:val="449656DE"/>
    <w:multiLevelType w:val="singleLevel"/>
    <w:tmpl w:val="449656DE"/>
    <w:lvl w:ilvl="0" w:tentative="0">
      <w:start w:val="4"/>
      <w:numFmt w:val="chineseCounting"/>
      <w:suff w:val="nothing"/>
      <w:lvlText w:val="%1、"/>
      <w:lvlJc w:val="left"/>
      <w:rPr>
        <w:rFonts w:hint="eastAsia"/>
      </w:rPr>
    </w:lvl>
  </w:abstractNum>
  <w:abstractNum w:abstractNumId="16">
    <w:nsid w:val="471774D7"/>
    <w:multiLevelType w:val="multilevel"/>
    <w:tmpl w:val="471774D7"/>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4D4DC07F"/>
    <w:multiLevelType w:val="multilevel"/>
    <w:tmpl w:val="4D4DC07F"/>
    <w:lvl w:ilvl="0" w:tentative="0">
      <w:start w:val="1"/>
      <w:numFmt w:val="decimal"/>
      <w:lvlText w:val="%1."/>
      <w:lvlJc w:val="left"/>
      <w:pPr>
        <w:ind w:left="312" w:hanging="206"/>
        <w:jc w:val="left"/>
      </w:pPr>
      <w:rPr>
        <w:rFonts w:hint="default" w:ascii="微软雅黑" w:hAnsi="微软雅黑" w:eastAsia="微软雅黑" w:cs="微软雅黑"/>
        <w:b/>
        <w:bCs/>
        <w:spacing w:val="-7"/>
        <w:w w:val="114"/>
        <w:sz w:val="17"/>
        <w:szCs w:val="17"/>
        <w:lang w:val="zh-CN" w:eastAsia="zh-CN" w:bidi="zh-CN"/>
      </w:rPr>
    </w:lvl>
    <w:lvl w:ilvl="1" w:tentative="0">
      <w:start w:val="1"/>
      <w:numFmt w:val="decimal"/>
      <w:lvlText w:val="%1.%2"/>
      <w:lvlJc w:val="left"/>
      <w:pPr>
        <w:ind w:left="1069" w:hanging="304"/>
        <w:jc w:val="right"/>
      </w:pPr>
      <w:rPr>
        <w:rFonts w:hint="default" w:ascii="宋体" w:hAnsi="宋体" w:eastAsia="宋体" w:cs="宋体"/>
        <w:spacing w:val="-3"/>
        <w:w w:val="64"/>
        <w:sz w:val="17"/>
        <w:szCs w:val="17"/>
        <w:lang w:val="zh-CN" w:eastAsia="zh-CN" w:bidi="zh-CN"/>
      </w:rPr>
    </w:lvl>
    <w:lvl w:ilvl="2" w:tentative="0">
      <w:start w:val="0"/>
      <w:numFmt w:val="bullet"/>
      <w:lvlText w:val="•"/>
      <w:lvlJc w:val="left"/>
      <w:pPr>
        <w:ind w:left="2146" w:hanging="304"/>
      </w:pPr>
      <w:rPr>
        <w:rFonts w:hint="default"/>
        <w:lang w:val="zh-CN" w:eastAsia="zh-CN" w:bidi="zh-CN"/>
      </w:rPr>
    </w:lvl>
    <w:lvl w:ilvl="3" w:tentative="0">
      <w:start w:val="0"/>
      <w:numFmt w:val="bullet"/>
      <w:lvlText w:val="•"/>
      <w:lvlJc w:val="left"/>
      <w:pPr>
        <w:ind w:left="3233" w:hanging="304"/>
      </w:pPr>
      <w:rPr>
        <w:rFonts w:hint="default"/>
        <w:lang w:val="zh-CN" w:eastAsia="zh-CN" w:bidi="zh-CN"/>
      </w:rPr>
    </w:lvl>
    <w:lvl w:ilvl="4" w:tentative="0">
      <w:start w:val="0"/>
      <w:numFmt w:val="bullet"/>
      <w:lvlText w:val="•"/>
      <w:lvlJc w:val="left"/>
      <w:pPr>
        <w:ind w:left="4320" w:hanging="304"/>
      </w:pPr>
      <w:rPr>
        <w:rFonts w:hint="default"/>
        <w:lang w:val="zh-CN" w:eastAsia="zh-CN" w:bidi="zh-CN"/>
      </w:rPr>
    </w:lvl>
    <w:lvl w:ilvl="5" w:tentative="0">
      <w:start w:val="0"/>
      <w:numFmt w:val="bullet"/>
      <w:lvlText w:val="•"/>
      <w:lvlJc w:val="left"/>
      <w:pPr>
        <w:ind w:left="5406" w:hanging="304"/>
      </w:pPr>
      <w:rPr>
        <w:rFonts w:hint="default"/>
        <w:lang w:val="zh-CN" w:eastAsia="zh-CN" w:bidi="zh-CN"/>
      </w:rPr>
    </w:lvl>
    <w:lvl w:ilvl="6" w:tentative="0">
      <w:start w:val="0"/>
      <w:numFmt w:val="bullet"/>
      <w:lvlText w:val="•"/>
      <w:lvlJc w:val="left"/>
      <w:pPr>
        <w:ind w:left="6493" w:hanging="304"/>
      </w:pPr>
      <w:rPr>
        <w:rFonts w:hint="default"/>
        <w:lang w:val="zh-CN" w:eastAsia="zh-CN" w:bidi="zh-CN"/>
      </w:rPr>
    </w:lvl>
    <w:lvl w:ilvl="7" w:tentative="0">
      <w:start w:val="0"/>
      <w:numFmt w:val="bullet"/>
      <w:lvlText w:val="•"/>
      <w:lvlJc w:val="left"/>
      <w:pPr>
        <w:ind w:left="7580" w:hanging="304"/>
      </w:pPr>
      <w:rPr>
        <w:rFonts w:hint="default"/>
        <w:lang w:val="zh-CN" w:eastAsia="zh-CN" w:bidi="zh-CN"/>
      </w:rPr>
    </w:lvl>
    <w:lvl w:ilvl="8" w:tentative="0">
      <w:start w:val="0"/>
      <w:numFmt w:val="bullet"/>
      <w:lvlText w:val="•"/>
      <w:lvlJc w:val="left"/>
      <w:pPr>
        <w:ind w:left="8666" w:hanging="304"/>
      </w:pPr>
      <w:rPr>
        <w:rFonts w:hint="default"/>
        <w:lang w:val="zh-CN" w:eastAsia="zh-CN" w:bidi="zh-CN"/>
      </w:rPr>
    </w:lvl>
  </w:abstractNum>
  <w:abstractNum w:abstractNumId="18">
    <w:nsid w:val="5A241D34"/>
    <w:multiLevelType w:val="multilevel"/>
    <w:tmpl w:val="5A241D34"/>
    <w:lvl w:ilvl="0" w:tentative="0">
      <w:start w:val="1"/>
      <w:numFmt w:val="decimal"/>
      <w:lvlText w:val="%1."/>
      <w:lvlJc w:val="left"/>
      <w:pPr>
        <w:ind w:left="312" w:hanging="206"/>
        <w:jc w:val="left"/>
      </w:pPr>
      <w:rPr>
        <w:rFonts w:hint="default" w:ascii="微软雅黑" w:hAnsi="微软雅黑" w:eastAsia="微软雅黑" w:cs="微软雅黑"/>
        <w:b/>
        <w:bCs/>
        <w:spacing w:val="-7"/>
        <w:w w:val="114"/>
        <w:sz w:val="17"/>
        <w:szCs w:val="17"/>
        <w:lang w:val="zh-CN" w:eastAsia="zh-CN" w:bidi="zh-CN"/>
      </w:rPr>
    </w:lvl>
    <w:lvl w:ilvl="1" w:tentative="0">
      <w:start w:val="1"/>
      <w:numFmt w:val="decimal"/>
      <w:lvlText w:val="%1.%2"/>
      <w:lvlJc w:val="left"/>
      <w:pPr>
        <w:ind w:left="889" w:hanging="304"/>
        <w:jc w:val="left"/>
      </w:pPr>
      <w:rPr>
        <w:rFonts w:hint="default" w:ascii="宋体" w:hAnsi="宋体" w:eastAsia="宋体" w:cs="宋体"/>
        <w:spacing w:val="-3"/>
        <w:w w:val="64"/>
        <w:sz w:val="17"/>
        <w:szCs w:val="17"/>
        <w:lang w:val="zh-CN" w:eastAsia="zh-CN" w:bidi="zh-CN"/>
      </w:rPr>
    </w:lvl>
    <w:lvl w:ilvl="2" w:tentative="0">
      <w:start w:val="1"/>
      <w:numFmt w:val="decimal"/>
      <w:lvlText w:val="%1.%2.%3"/>
      <w:lvlJc w:val="left"/>
      <w:pPr>
        <w:ind w:left="106" w:hanging="484"/>
        <w:jc w:val="right"/>
      </w:pPr>
      <w:rPr>
        <w:rFonts w:hint="default" w:ascii="宋体" w:hAnsi="宋体" w:eastAsia="宋体" w:cs="宋体"/>
        <w:spacing w:val="-3"/>
        <w:w w:val="64"/>
        <w:sz w:val="17"/>
        <w:szCs w:val="17"/>
        <w:lang w:val="zh-CN" w:eastAsia="zh-CN" w:bidi="zh-CN"/>
      </w:rPr>
    </w:lvl>
    <w:lvl w:ilvl="3" w:tentative="0">
      <w:start w:val="0"/>
      <w:numFmt w:val="bullet"/>
      <w:lvlText w:val="•"/>
      <w:lvlJc w:val="left"/>
      <w:pPr>
        <w:ind w:left="2125" w:hanging="484"/>
      </w:pPr>
      <w:rPr>
        <w:rFonts w:hint="default"/>
        <w:lang w:val="zh-CN" w:eastAsia="zh-CN" w:bidi="zh-CN"/>
      </w:rPr>
    </w:lvl>
    <w:lvl w:ilvl="4" w:tentative="0">
      <w:start w:val="0"/>
      <w:numFmt w:val="bullet"/>
      <w:lvlText w:val="•"/>
      <w:lvlJc w:val="left"/>
      <w:pPr>
        <w:ind w:left="3370" w:hanging="484"/>
      </w:pPr>
      <w:rPr>
        <w:rFonts w:hint="default"/>
        <w:lang w:val="zh-CN" w:eastAsia="zh-CN" w:bidi="zh-CN"/>
      </w:rPr>
    </w:lvl>
    <w:lvl w:ilvl="5" w:tentative="0">
      <w:start w:val="0"/>
      <w:numFmt w:val="bullet"/>
      <w:lvlText w:val="•"/>
      <w:lvlJc w:val="left"/>
      <w:pPr>
        <w:ind w:left="4615" w:hanging="484"/>
      </w:pPr>
      <w:rPr>
        <w:rFonts w:hint="default"/>
        <w:lang w:val="zh-CN" w:eastAsia="zh-CN" w:bidi="zh-CN"/>
      </w:rPr>
    </w:lvl>
    <w:lvl w:ilvl="6" w:tentative="0">
      <w:start w:val="0"/>
      <w:numFmt w:val="bullet"/>
      <w:lvlText w:val="•"/>
      <w:lvlJc w:val="left"/>
      <w:pPr>
        <w:ind w:left="5860" w:hanging="484"/>
      </w:pPr>
      <w:rPr>
        <w:rFonts w:hint="default"/>
        <w:lang w:val="zh-CN" w:eastAsia="zh-CN" w:bidi="zh-CN"/>
      </w:rPr>
    </w:lvl>
    <w:lvl w:ilvl="7" w:tentative="0">
      <w:start w:val="0"/>
      <w:numFmt w:val="bullet"/>
      <w:lvlText w:val="•"/>
      <w:lvlJc w:val="left"/>
      <w:pPr>
        <w:ind w:left="7105" w:hanging="484"/>
      </w:pPr>
      <w:rPr>
        <w:rFonts w:hint="default"/>
        <w:lang w:val="zh-CN" w:eastAsia="zh-CN" w:bidi="zh-CN"/>
      </w:rPr>
    </w:lvl>
    <w:lvl w:ilvl="8" w:tentative="0">
      <w:start w:val="0"/>
      <w:numFmt w:val="bullet"/>
      <w:lvlText w:val="•"/>
      <w:lvlJc w:val="left"/>
      <w:pPr>
        <w:ind w:left="8350" w:hanging="484"/>
      </w:pPr>
      <w:rPr>
        <w:rFonts w:hint="default"/>
        <w:lang w:val="zh-CN" w:eastAsia="zh-CN" w:bidi="zh-CN"/>
      </w:rPr>
    </w:lvl>
  </w:abstractNum>
  <w:abstractNum w:abstractNumId="19">
    <w:nsid w:val="5AE253E8"/>
    <w:multiLevelType w:val="multilevel"/>
    <w:tmpl w:val="5AE253E8"/>
    <w:lvl w:ilvl="0" w:tentative="0">
      <w:start w:val="1"/>
      <w:numFmt w:val="bullet"/>
      <w:lvlText w:val=""/>
      <w:lvlJc w:val="left"/>
      <w:pPr>
        <w:ind w:left="785" w:hanging="360"/>
      </w:pPr>
      <w:rPr>
        <w:rFonts w:hint="default" w:ascii="Wingdings" w:hAnsi="Wingdings"/>
      </w:rPr>
    </w:lvl>
    <w:lvl w:ilvl="1" w:tentative="0">
      <w:start w:val="1"/>
      <w:numFmt w:val="decimal"/>
      <w:lvlText w:val="（%2）"/>
      <w:lvlJc w:val="left"/>
      <w:pPr>
        <w:ind w:left="1565" w:hanging="720"/>
      </w:pPr>
      <w:rPr>
        <w:rFonts w:hint="default"/>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0">
    <w:nsid w:val="6AFC00E7"/>
    <w:multiLevelType w:val="multilevel"/>
    <w:tmpl w:val="6AFC00E7"/>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1">
    <w:nsid w:val="72183CF9"/>
    <w:multiLevelType w:val="multilevel"/>
    <w:tmpl w:val="72183CF9"/>
    <w:lvl w:ilvl="0" w:tentative="0">
      <w:start w:val="1"/>
      <w:numFmt w:val="decimal"/>
      <w:lvlText w:val="%1."/>
      <w:lvlJc w:val="left"/>
      <w:pPr>
        <w:ind w:left="312" w:hanging="206"/>
        <w:jc w:val="left"/>
      </w:pPr>
      <w:rPr>
        <w:rFonts w:hint="default" w:ascii="微软雅黑" w:hAnsi="微软雅黑" w:eastAsia="微软雅黑" w:cs="微软雅黑"/>
        <w:b/>
        <w:bCs/>
        <w:spacing w:val="-7"/>
        <w:w w:val="114"/>
        <w:sz w:val="17"/>
        <w:szCs w:val="17"/>
        <w:lang w:val="zh-CN" w:eastAsia="zh-CN" w:bidi="zh-CN"/>
      </w:rPr>
    </w:lvl>
    <w:lvl w:ilvl="1" w:tentative="0">
      <w:start w:val="1"/>
      <w:numFmt w:val="decimal"/>
      <w:lvlText w:val="%1.%2"/>
      <w:lvlJc w:val="left"/>
      <w:pPr>
        <w:ind w:left="946" w:hanging="361"/>
        <w:jc w:val="right"/>
      </w:pPr>
      <w:rPr>
        <w:rFonts w:hint="default" w:ascii="宋体" w:hAnsi="宋体" w:eastAsia="宋体" w:cs="宋体"/>
        <w:spacing w:val="-3"/>
        <w:w w:val="64"/>
        <w:sz w:val="19"/>
        <w:szCs w:val="19"/>
        <w:lang w:val="zh-CN" w:eastAsia="zh-CN" w:bidi="zh-CN"/>
      </w:rPr>
    </w:lvl>
    <w:lvl w:ilvl="2" w:tentative="0">
      <w:start w:val="0"/>
      <w:numFmt w:val="bullet"/>
      <w:lvlText w:val="•"/>
      <w:lvlJc w:val="left"/>
      <w:pPr>
        <w:ind w:left="940" w:hanging="361"/>
      </w:pPr>
      <w:rPr>
        <w:rFonts w:hint="default"/>
        <w:lang w:val="zh-CN" w:eastAsia="zh-CN" w:bidi="zh-CN"/>
      </w:rPr>
    </w:lvl>
    <w:lvl w:ilvl="3" w:tentative="0">
      <w:start w:val="0"/>
      <w:numFmt w:val="bullet"/>
      <w:lvlText w:val="•"/>
      <w:lvlJc w:val="left"/>
      <w:pPr>
        <w:ind w:left="1060" w:hanging="361"/>
      </w:pPr>
      <w:rPr>
        <w:rFonts w:hint="default"/>
        <w:lang w:val="zh-CN" w:eastAsia="zh-CN" w:bidi="zh-CN"/>
      </w:rPr>
    </w:lvl>
    <w:lvl w:ilvl="4" w:tentative="0">
      <w:start w:val="0"/>
      <w:numFmt w:val="bullet"/>
      <w:lvlText w:val="•"/>
      <w:lvlJc w:val="left"/>
      <w:pPr>
        <w:ind w:left="2457" w:hanging="361"/>
      </w:pPr>
      <w:rPr>
        <w:rFonts w:hint="default"/>
        <w:lang w:val="zh-CN" w:eastAsia="zh-CN" w:bidi="zh-CN"/>
      </w:rPr>
    </w:lvl>
    <w:lvl w:ilvl="5" w:tentative="0">
      <w:start w:val="0"/>
      <w:numFmt w:val="bullet"/>
      <w:lvlText w:val="•"/>
      <w:lvlJc w:val="left"/>
      <w:pPr>
        <w:ind w:left="3854" w:hanging="361"/>
      </w:pPr>
      <w:rPr>
        <w:rFonts w:hint="default"/>
        <w:lang w:val="zh-CN" w:eastAsia="zh-CN" w:bidi="zh-CN"/>
      </w:rPr>
    </w:lvl>
    <w:lvl w:ilvl="6" w:tentative="0">
      <w:start w:val="0"/>
      <w:numFmt w:val="bullet"/>
      <w:lvlText w:val="•"/>
      <w:lvlJc w:val="left"/>
      <w:pPr>
        <w:ind w:left="5251" w:hanging="361"/>
      </w:pPr>
      <w:rPr>
        <w:rFonts w:hint="default"/>
        <w:lang w:val="zh-CN" w:eastAsia="zh-CN" w:bidi="zh-CN"/>
      </w:rPr>
    </w:lvl>
    <w:lvl w:ilvl="7" w:tentative="0">
      <w:start w:val="0"/>
      <w:numFmt w:val="bullet"/>
      <w:lvlText w:val="•"/>
      <w:lvlJc w:val="left"/>
      <w:pPr>
        <w:ind w:left="6648" w:hanging="361"/>
      </w:pPr>
      <w:rPr>
        <w:rFonts w:hint="default"/>
        <w:lang w:val="zh-CN" w:eastAsia="zh-CN" w:bidi="zh-CN"/>
      </w:rPr>
    </w:lvl>
    <w:lvl w:ilvl="8" w:tentative="0">
      <w:start w:val="0"/>
      <w:numFmt w:val="bullet"/>
      <w:lvlText w:val="•"/>
      <w:lvlJc w:val="left"/>
      <w:pPr>
        <w:ind w:left="8045" w:hanging="361"/>
      </w:pPr>
      <w:rPr>
        <w:rFonts w:hint="default"/>
        <w:lang w:val="zh-CN" w:eastAsia="zh-CN" w:bidi="zh-CN"/>
      </w:rPr>
    </w:lvl>
  </w:abstractNum>
  <w:abstractNum w:abstractNumId="22">
    <w:nsid w:val="75F166FB"/>
    <w:multiLevelType w:val="multilevel"/>
    <w:tmpl w:val="75F166FB"/>
    <w:lvl w:ilvl="0" w:tentative="0">
      <w:start w:val="1"/>
      <w:numFmt w:val="lowerLetter"/>
      <w:lvlText w:val="%1)"/>
      <w:lvlJc w:val="left"/>
      <w:pPr>
        <w:ind w:left="860" w:hanging="420"/>
      </w:pPr>
      <w:rPr>
        <w:rFonts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23">
    <w:nsid w:val="772804A6"/>
    <w:multiLevelType w:val="multilevel"/>
    <w:tmpl w:val="772804A6"/>
    <w:lvl w:ilvl="0" w:tentative="0">
      <w:start w:val="1"/>
      <w:numFmt w:val="bullet"/>
      <w:lvlText w:val=""/>
      <w:lvlJc w:val="left"/>
      <w:pPr>
        <w:ind w:left="1048" w:hanging="420"/>
      </w:pPr>
      <w:rPr>
        <w:rFonts w:hint="default" w:ascii="Wingdings" w:hAnsi="Wingdings"/>
      </w:rPr>
    </w:lvl>
    <w:lvl w:ilvl="1" w:tentative="0">
      <w:start w:val="1"/>
      <w:numFmt w:val="bullet"/>
      <w:lvlText w:val=""/>
      <w:lvlJc w:val="left"/>
      <w:pPr>
        <w:ind w:left="1468" w:hanging="420"/>
      </w:pPr>
      <w:rPr>
        <w:rFonts w:hint="default" w:ascii="Wingdings" w:hAnsi="Wingdings"/>
      </w:rPr>
    </w:lvl>
    <w:lvl w:ilvl="2" w:tentative="0">
      <w:start w:val="1"/>
      <w:numFmt w:val="bullet"/>
      <w:lvlText w:val=""/>
      <w:lvlJc w:val="left"/>
      <w:pPr>
        <w:ind w:left="1888" w:hanging="420"/>
      </w:pPr>
      <w:rPr>
        <w:rFonts w:hint="default" w:ascii="Wingdings" w:hAnsi="Wingdings"/>
      </w:rPr>
    </w:lvl>
    <w:lvl w:ilvl="3" w:tentative="0">
      <w:start w:val="1"/>
      <w:numFmt w:val="bullet"/>
      <w:lvlText w:val=""/>
      <w:lvlJc w:val="left"/>
      <w:pPr>
        <w:ind w:left="2308" w:hanging="420"/>
      </w:pPr>
      <w:rPr>
        <w:rFonts w:hint="default" w:ascii="Wingdings" w:hAnsi="Wingdings"/>
      </w:rPr>
    </w:lvl>
    <w:lvl w:ilvl="4" w:tentative="0">
      <w:start w:val="1"/>
      <w:numFmt w:val="bullet"/>
      <w:lvlText w:val=""/>
      <w:lvlJc w:val="left"/>
      <w:pPr>
        <w:ind w:left="2728" w:hanging="420"/>
      </w:pPr>
      <w:rPr>
        <w:rFonts w:hint="default" w:ascii="Wingdings" w:hAnsi="Wingdings"/>
      </w:rPr>
    </w:lvl>
    <w:lvl w:ilvl="5" w:tentative="0">
      <w:start w:val="1"/>
      <w:numFmt w:val="bullet"/>
      <w:lvlText w:val=""/>
      <w:lvlJc w:val="left"/>
      <w:pPr>
        <w:ind w:left="3148" w:hanging="420"/>
      </w:pPr>
      <w:rPr>
        <w:rFonts w:hint="default" w:ascii="Wingdings" w:hAnsi="Wingdings"/>
      </w:rPr>
    </w:lvl>
    <w:lvl w:ilvl="6" w:tentative="0">
      <w:start w:val="1"/>
      <w:numFmt w:val="bullet"/>
      <w:lvlText w:val=""/>
      <w:lvlJc w:val="left"/>
      <w:pPr>
        <w:ind w:left="3568" w:hanging="420"/>
      </w:pPr>
      <w:rPr>
        <w:rFonts w:hint="default" w:ascii="Wingdings" w:hAnsi="Wingdings"/>
      </w:rPr>
    </w:lvl>
    <w:lvl w:ilvl="7" w:tentative="0">
      <w:start w:val="1"/>
      <w:numFmt w:val="bullet"/>
      <w:lvlText w:val=""/>
      <w:lvlJc w:val="left"/>
      <w:pPr>
        <w:ind w:left="3988" w:hanging="420"/>
      </w:pPr>
      <w:rPr>
        <w:rFonts w:hint="default" w:ascii="Wingdings" w:hAnsi="Wingdings"/>
      </w:rPr>
    </w:lvl>
    <w:lvl w:ilvl="8" w:tentative="0">
      <w:start w:val="1"/>
      <w:numFmt w:val="bullet"/>
      <w:lvlText w:val=""/>
      <w:lvlJc w:val="left"/>
      <w:pPr>
        <w:ind w:left="4408" w:hanging="420"/>
      </w:pPr>
      <w:rPr>
        <w:rFonts w:hint="default" w:ascii="Wingdings" w:hAnsi="Wingdings"/>
      </w:rPr>
    </w:lvl>
  </w:abstractNum>
  <w:abstractNum w:abstractNumId="24">
    <w:nsid w:val="78AD6580"/>
    <w:multiLevelType w:val="multilevel"/>
    <w:tmpl w:val="78AD6580"/>
    <w:lvl w:ilvl="0" w:tentative="0">
      <w:start w:val="1"/>
      <w:numFmt w:val="decimal"/>
      <w:lvlText w:val="1.1.3.%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8"/>
  </w:num>
  <w:num w:numId="2">
    <w:abstractNumId w:val="15"/>
  </w:num>
  <w:num w:numId="3">
    <w:abstractNumId w:val="13"/>
  </w:num>
  <w:num w:numId="4">
    <w:abstractNumId w:val="21"/>
  </w:num>
  <w:num w:numId="5">
    <w:abstractNumId w:val="6"/>
  </w:num>
  <w:num w:numId="6">
    <w:abstractNumId w:val="0"/>
  </w:num>
  <w:num w:numId="7">
    <w:abstractNumId w:val="14"/>
  </w:num>
  <w:num w:numId="8">
    <w:abstractNumId w:val="18"/>
  </w:num>
  <w:num w:numId="9">
    <w:abstractNumId w:val="3"/>
  </w:num>
  <w:num w:numId="10">
    <w:abstractNumId w:val="17"/>
  </w:num>
  <w:num w:numId="11">
    <w:abstractNumId w:val="10"/>
  </w:num>
  <w:num w:numId="12">
    <w:abstractNumId w:val="12"/>
  </w:num>
  <w:num w:numId="13">
    <w:abstractNumId w:val="23"/>
  </w:num>
  <w:num w:numId="14">
    <w:abstractNumId w:val="24"/>
  </w:num>
  <w:num w:numId="15">
    <w:abstractNumId w:val="22"/>
  </w:num>
  <w:num w:numId="16">
    <w:abstractNumId w:val="20"/>
  </w:num>
  <w:num w:numId="17">
    <w:abstractNumId w:val="11"/>
  </w:num>
  <w:num w:numId="18">
    <w:abstractNumId w:val="9"/>
  </w:num>
  <w:num w:numId="19">
    <w:abstractNumId w:val="2"/>
  </w:num>
  <w:num w:numId="20">
    <w:abstractNumId w:val="7"/>
  </w:num>
  <w:num w:numId="21">
    <w:abstractNumId w:val="5"/>
  </w:num>
  <w:num w:numId="22">
    <w:abstractNumId w:val="16"/>
  </w:num>
  <w:num w:numId="23">
    <w:abstractNumId w:val="19"/>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mU0YjQxNjY3YjEzYTJmYzA1ZmZkZGNiOWYxMDYifQ=="/>
  </w:docVars>
  <w:rsids>
    <w:rsidRoot w:val="2AA844CF"/>
    <w:rsid w:val="0002241B"/>
    <w:rsid w:val="000767D2"/>
    <w:rsid w:val="000A1307"/>
    <w:rsid w:val="000A25E2"/>
    <w:rsid w:val="000A7A04"/>
    <w:rsid w:val="000D7246"/>
    <w:rsid w:val="001838D0"/>
    <w:rsid w:val="00184415"/>
    <w:rsid w:val="001A46B1"/>
    <w:rsid w:val="001B601E"/>
    <w:rsid w:val="001F3A6A"/>
    <w:rsid w:val="001F62A7"/>
    <w:rsid w:val="00211E9B"/>
    <w:rsid w:val="00212ED2"/>
    <w:rsid w:val="00213651"/>
    <w:rsid w:val="002317A0"/>
    <w:rsid w:val="002521FB"/>
    <w:rsid w:val="00280AB6"/>
    <w:rsid w:val="002C68E6"/>
    <w:rsid w:val="002E0D72"/>
    <w:rsid w:val="002E2BB1"/>
    <w:rsid w:val="00306032"/>
    <w:rsid w:val="0030698E"/>
    <w:rsid w:val="00324548"/>
    <w:rsid w:val="00330F03"/>
    <w:rsid w:val="003648D5"/>
    <w:rsid w:val="00375DDC"/>
    <w:rsid w:val="00375DE2"/>
    <w:rsid w:val="0038160C"/>
    <w:rsid w:val="00392FAE"/>
    <w:rsid w:val="004019EE"/>
    <w:rsid w:val="0045295A"/>
    <w:rsid w:val="004629DE"/>
    <w:rsid w:val="004B0DD4"/>
    <w:rsid w:val="005038A3"/>
    <w:rsid w:val="005039AE"/>
    <w:rsid w:val="005059DA"/>
    <w:rsid w:val="00506AEC"/>
    <w:rsid w:val="005149E9"/>
    <w:rsid w:val="005558A9"/>
    <w:rsid w:val="00565BEB"/>
    <w:rsid w:val="00586EAF"/>
    <w:rsid w:val="00587226"/>
    <w:rsid w:val="00595BE1"/>
    <w:rsid w:val="005A1B16"/>
    <w:rsid w:val="005A5A53"/>
    <w:rsid w:val="005A74E2"/>
    <w:rsid w:val="005C67E1"/>
    <w:rsid w:val="005D5362"/>
    <w:rsid w:val="005D63F9"/>
    <w:rsid w:val="005E188F"/>
    <w:rsid w:val="005F3FF1"/>
    <w:rsid w:val="00611959"/>
    <w:rsid w:val="00616597"/>
    <w:rsid w:val="00670992"/>
    <w:rsid w:val="006D2909"/>
    <w:rsid w:val="006D7CE8"/>
    <w:rsid w:val="006E3E12"/>
    <w:rsid w:val="007046AA"/>
    <w:rsid w:val="007248BD"/>
    <w:rsid w:val="00734031"/>
    <w:rsid w:val="0073603F"/>
    <w:rsid w:val="00736CAB"/>
    <w:rsid w:val="00744563"/>
    <w:rsid w:val="00765B7D"/>
    <w:rsid w:val="00771A18"/>
    <w:rsid w:val="007B4C43"/>
    <w:rsid w:val="007B6A9B"/>
    <w:rsid w:val="007B6FA7"/>
    <w:rsid w:val="007F36D9"/>
    <w:rsid w:val="00830DB8"/>
    <w:rsid w:val="008C0CF1"/>
    <w:rsid w:val="008E37F2"/>
    <w:rsid w:val="008F3096"/>
    <w:rsid w:val="00914310"/>
    <w:rsid w:val="00937A69"/>
    <w:rsid w:val="0094656C"/>
    <w:rsid w:val="00946D77"/>
    <w:rsid w:val="00950633"/>
    <w:rsid w:val="009741F8"/>
    <w:rsid w:val="00995B38"/>
    <w:rsid w:val="009A4C05"/>
    <w:rsid w:val="009E3CF5"/>
    <w:rsid w:val="009F53E8"/>
    <w:rsid w:val="00A17FD9"/>
    <w:rsid w:val="00A559BC"/>
    <w:rsid w:val="00A64D65"/>
    <w:rsid w:val="00A84370"/>
    <w:rsid w:val="00AA2CA0"/>
    <w:rsid w:val="00AC4E1B"/>
    <w:rsid w:val="00B11C97"/>
    <w:rsid w:val="00B239DF"/>
    <w:rsid w:val="00B74560"/>
    <w:rsid w:val="00BD6633"/>
    <w:rsid w:val="00C26E3C"/>
    <w:rsid w:val="00C54FDE"/>
    <w:rsid w:val="00CC5F5F"/>
    <w:rsid w:val="00CE46A5"/>
    <w:rsid w:val="00D77729"/>
    <w:rsid w:val="00DA0089"/>
    <w:rsid w:val="00E920E5"/>
    <w:rsid w:val="00E9305A"/>
    <w:rsid w:val="00E966B5"/>
    <w:rsid w:val="00EC51C3"/>
    <w:rsid w:val="00EC68FD"/>
    <w:rsid w:val="00EE38FF"/>
    <w:rsid w:val="00EF1908"/>
    <w:rsid w:val="00F64A77"/>
    <w:rsid w:val="00F7590F"/>
    <w:rsid w:val="00F80419"/>
    <w:rsid w:val="00F97B09"/>
    <w:rsid w:val="00FD52C1"/>
    <w:rsid w:val="011E4969"/>
    <w:rsid w:val="014557C2"/>
    <w:rsid w:val="01491054"/>
    <w:rsid w:val="015155C3"/>
    <w:rsid w:val="01B96ACA"/>
    <w:rsid w:val="0328539C"/>
    <w:rsid w:val="03536BF1"/>
    <w:rsid w:val="037D1AC0"/>
    <w:rsid w:val="043D36FD"/>
    <w:rsid w:val="04415758"/>
    <w:rsid w:val="0469198F"/>
    <w:rsid w:val="05C66FC4"/>
    <w:rsid w:val="06513081"/>
    <w:rsid w:val="06B006A9"/>
    <w:rsid w:val="070C589E"/>
    <w:rsid w:val="074B1659"/>
    <w:rsid w:val="075D65C1"/>
    <w:rsid w:val="07F414F5"/>
    <w:rsid w:val="080732F8"/>
    <w:rsid w:val="08636683"/>
    <w:rsid w:val="088E0328"/>
    <w:rsid w:val="08A246F4"/>
    <w:rsid w:val="08AA1246"/>
    <w:rsid w:val="097213F3"/>
    <w:rsid w:val="09B67CDF"/>
    <w:rsid w:val="0AF4446C"/>
    <w:rsid w:val="0B007D55"/>
    <w:rsid w:val="0B5774E4"/>
    <w:rsid w:val="0B896BF3"/>
    <w:rsid w:val="0CC72065"/>
    <w:rsid w:val="0CCB4B16"/>
    <w:rsid w:val="0E846A14"/>
    <w:rsid w:val="0EBF5EA8"/>
    <w:rsid w:val="101747CE"/>
    <w:rsid w:val="101D2C33"/>
    <w:rsid w:val="105A732D"/>
    <w:rsid w:val="10E01617"/>
    <w:rsid w:val="110C4F82"/>
    <w:rsid w:val="11974CD7"/>
    <w:rsid w:val="124811CB"/>
    <w:rsid w:val="131114F6"/>
    <w:rsid w:val="13FA77BA"/>
    <w:rsid w:val="144A3C3C"/>
    <w:rsid w:val="14C91E0F"/>
    <w:rsid w:val="1589648C"/>
    <w:rsid w:val="15CB20B7"/>
    <w:rsid w:val="161D17E0"/>
    <w:rsid w:val="1643058A"/>
    <w:rsid w:val="16B21D03"/>
    <w:rsid w:val="16B571BC"/>
    <w:rsid w:val="176730A0"/>
    <w:rsid w:val="18F759EF"/>
    <w:rsid w:val="193D11DB"/>
    <w:rsid w:val="19972971"/>
    <w:rsid w:val="1A222885"/>
    <w:rsid w:val="1A492C41"/>
    <w:rsid w:val="1A4C1B47"/>
    <w:rsid w:val="1A522A87"/>
    <w:rsid w:val="1AFD041C"/>
    <w:rsid w:val="1B080A85"/>
    <w:rsid w:val="1B6F34D8"/>
    <w:rsid w:val="1B7450F6"/>
    <w:rsid w:val="1C212711"/>
    <w:rsid w:val="1C6D08DF"/>
    <w:rsid w:val="1D391231"/>
    <w:rsid w:val="1D73269C"/>
    <w:rsid w:val="1DE46727"/>
    <w:rsid w:val="1DFE71E1"/>
    <w:rsid w:val="1F0F052D"/>
    <w:rsid w:val="1F882FF2"/>
    <w:rsid w:val="20066040"/>
    <w:rsid w:val="2070590F"/>
    <w:rsid w:val="208A0422"/>
    <w:rsid w:val="21312F87"/>
    <w:rsid w:val="21401046"/>
    <w:rsid w:val="22BE4F7D"/>
    <w:rsid w:val="23243032"/>
    <w:rsid w:val="23E72D7E"/>
    <w:rsid w:val="24420BB9"/>
    <w:rsid w:val="24633B35"/>
    <w:rsid w:val="248863FE"/>
    <w:rsid w:val="249E52EA"/>
    <w:rsid w:val="24A106B2"/>
    <w:rsid w:val="24A76F92"/>
    <w:rsid w:val="24BC729A"/>
    <w:rsid w:val="24E52C95"/>
    <w:rsid w:val="250361C2"/>
    <w:rsid w:val="25B10E34"/>
    <w:rsid w:val="25C7239A"/>
    <w:rsid w:val="25F7199C"/>
    <w:rsid w:val="260D4251"/>
    <w:rsid w:val="26874A73"/>
    <w:rsid w:val="26E322A8"/>
    <w:rsid w:val="2761728D"/>
    <w:rsid w:val="27706F5D"/>
    <w:rsid w:val="27801601"/>
    <w:rsid w:val="27B23302"/>
    <w:rsid w:val="27BE3A99"/>
    <w:rsid w:val="28F95BE3"/>
    <w:rsid w:val="29C54E43"/>
    <w:rsid w:val="2A13795C"/>
    <w:rsid w:val="2A665AFB"/>
    <w:rsid w:val="2AA844CF"/>
    <w:rsid w:val="2AEF0A25"/>
    <w:rsid w:val="2B18314B"/>
    <w:rsid w:val="2B1A44FF"/>
    <w:rsid w:val="2B8B355D"/>
    <w:rsid w:val="2BA41D4A"/>
    <w:rsid w:val="2BC91B39"/>
    <w:rsid w:val="2BD7126E"/>
    <w:rsid w:val="2BDE51F7"/>
    <w:rsid w:val="2C1018B8"/>
    <w:rsid w:val="2C7F3F7A"/>
    <w:rsid w:val="2CD4042B"/>
    <w:rsid w:val="2CFF3C04"/>
    <w:rsid w:val="2D5B68BD"/>
    <w:rsid w:val="2DB9608A"/>
    <w:rsid w:val="2E404FC4"/>
    <w:rsid w:val="2EA142A2"/>
    <w:rsid w:val="2EB81F74"/>
    <w:rsid w:val="2F077C8B"/>
    <w:rsid w:val="2F092DFF"/>
    <w:rsid w:val="2F20286E"/>
    <w:rsid w:val="2F2A5E74"/>
    <w:rsid w:val="2FC476F3"/>
    <w:rsid w:val="2FE43AE5"/>
    <w:rsid w:val="30667E13"/>
    <w:rsid w:val="30A47133"/>
    <w:rsid w:val="31692558"/>
    <w:rsid w:val="31B05407"/>
    <w:rsid w:val="32B35CAB"/>
    <w:rsid w:val="33135ADD"/>
    <w:rsid w:val="331F0BAF"/>
    <w:rsid w:val="33A72939"/>
    <w:rsid w:val="33BD02BA"/>
    <w:rsid w:val="343E1A7A"/>
    <w:rsid w:val="348921E8"/>
    <w:rsid w:val="348A654E"/>
    <w:rsid w:val="348F6779"/>
    <w:rsid w:val="35595C37"/>
    <w:rsid w:val="359F1FBC"/>
    <w:rsid w:val="3611259C"/>
    <w:rsid w:val="363964CE"/>
    <w:rsid w:val="366215F3"/>
    <w:rsid w:val="36B97ADD"/>
    <w:rsid w:val="36CE5CF1"/>
    <w:rsid w:val="371567FA"/>
    <w:rsid w:val="375C6D5E"/>
    <w:rsid w:val="377F60DC"/>
    <w:rsid w:val="37CF321E"/>
    <w:rsid w:val="38910D12"/>
    <w:rsid w:val="38A81BB8"/>
    <w:rsid w:val="399C33A5"/>
    <w:rsid w:val="3A612966"/>
    <w:rsid w:val="3A711271"/>
    <w:rsid w:val="3AC6749A"/>
    <w:rsid w:val="3B3303AF"/>
    <w:rsid w:val="3B761976"/>
    <w:rsid w:val="3B9C6372"/>
    <w:rsid w:val="3BF84C04"/>
    <w:rsid w:val="3C267A21"/>
    <w:rsid w:val="3C362A2B"/>
    <w:rsid w:val="3CD63A3C"/>
    <w:rsid w:val="3CE80C6A"/>
    <w:rsid w:val="3D461A36"/>
    <w:rsid w:val="3DFF501D"/>
    <w:rsid w:val="3EDA43EF"/>
    <w:rsid w:val="3F1221C3"/>
    <w:rsid w:val="3F2226C4"/>
    <w:rsid w:val="3FDF4CAD"/>
    <w:rsid w:val="405F2DDF"/>
    <w:rsid w:val="41035E8D"/>
    <w:rsid w:val="414C2EDF"/>
    <w:rsid w:val="41CC05F0"/>
    <w:rsid w:val="429E1C6E"/>
    <w:rsid w:val="42AC5787"/>
    <w:rsid w:val="4379487C"/>
    <w:rsid w:val="441D50E7"/>
    <w:rsid w:val="44242A3A"/>
    <w:rsid w:val="44331ACF"/>
    <w:rsid w:val="44873BD2"/>
    <w:rsid w:val="44B702B1"/>
    <w:rsid w:val="44C9770D"/>
    <w:rsid w:val="451C0790"/>
    <w:rsid w:val="454F1702"/>
    <w:rsid w:val="45F13421"/>
    <w:rsid w:val="45FF6B67"/>
    <w:rsid w:val="46DF0AC3"/>
    <w:rsid w:val="46FA357B"/>
    <w:rsid w:val="471F1BDF"/>
    <w:rsid w:val="472B681F"/>
    <w:rsid w:val="48D75B5C"/>
    <w:rsid w:val="48ED237B"/>
    <w:rsid w:val="48EE1E99"/>
    <w:rsid w:val="491A7D6C"/>
    <w:rsid w:val="492334DC"/>
    <w:rsid w:val="49AD7544"/>
    <w:rsid w:val="49D459B0"/>
    <w:rsid w:val="49EA5ECA"/>
    <w:rsid w:val="49F91FC4"/>
    <w:rsid w:val="4A546F5A"/>
    <w:rsid w:val="4A547DC4"/>
    <w:rsid w:val="4A556883"/>
    <w:rsid w:val="4A697ED8"/>
    <w:rsid w:val="4A9A1067"/>
    <w:rsid w:val="4AD90317"/>
    <w:rsid w:val="4AF528F5"/>
    <w:rsid w:val="4B556EA1"/>
    <w:rsid w:val="4BCB2D04"/>
    <w:rsid w:val="4C1279C9"/>
    <w:rsid w:val="4C2B52E7"/>
    <w:rsid w:val="4CB80AD8"/>
    <w:rsid w:val="4D073334"/>
    <w:rsid w:val="4D562A3C"/>
    <w:rsid w:val="4DA44410"/>
    <w:rsid w:val="4DC31516"/>
    <w:rsid w:val="4ED53E86"/>
    <w:rsid w:val="4F010023"/>
    <w:rsid w:val="4F474C91"/>
    <w:rsid w:val="4F657F29"/>
    <w:rsid w:val="4FCD637F"/>
    <w:rsid w:val="4FFA5A63"/>
    <w:rsid w:val="50855E66"/>
    <w:rsid w:val="509C0A33"/>
    <w:rsid w:val="50C75131"/>
    <w:rsid w:val="510D4856"/>
    <w:rsid w:val="51277767"/>
    <w:rsid w:val="519840EE"/>
    <w:rsid w:val="51C61046"/>
    <w:rsid w:val="52211C06"/>
    <w:rsid w:val="523C3645"/>
    <w:rsid w:val="533223C9"/>
    <w:rsid w:val="536274C2"/>
    <w:rsid w:val="53A31472"/>
    <w:rsid w:val="53CD0849"/>
    <w:rsid w:val="54893C85"/>
    <w:rsid w:val="549412E0"/>
    <w:rsid w:val="54B167A5"/>
    <w:rsid w:val="555312F1"/>
    <w:rsid w:val="55AD03B6"/>
    <w:rsid w:val="55C45E2B"/>
    <w:rsid w:val="5618453D"/>
    <w:rsid w:val="56261760"/>
    <w:rsid w:val="562C61F6"/>
    <w:rsid w:val="567F1592"/>
    <w:rsid w:val="56B50C7C"/>
    <w:rsid w:val="56E878F7"/>
    <w:rsid w:val="573A5F50"/>
    <w:rsid w:val="576B045F"/>
    <w:rsid w:val="579F3F38"/>
    <w:rsid w:val="586C6306"/>
    <w:rsid w:val="58B83D66"/>
    <w:rsid w:val="593E2D1F"/>
    <w:rsid w:val="59533E74"/>
    <w:rsid w:val="595E071B"/>
    <w:rsid w:val="595E20F3"/>
    <w:rsid w:val="59DA0354"/>
    <w:rsid w:val="5B094E36"/>
    <w:rsid w:val="5B21162A"/>
    <w:rsid w:val="5B687328"/>
    <w:rsid w:val="5BBD2A88"/>
    <w:rsid w:val="5C0D1686"/>
    <w:rsid w:val="5D213B63"/>
    <w:rsid w:val="5DC5605C"/>
    <w:rsid w:val="5E015734"/>
    <w:rsid w:val="5E272E68"/>
    <w:rsid w:val="5EB9622F"/>
    <w:rsid w:val="5FC871AD"/>
    <w:rsid w:val="5FCD0CC1"/>
    <w:rsid w:val="5FFA6614"/>
    <w:rsid w:val="60336185"/>
    <w:rsid w:val="6034779D"/>
    <w:rsid w:val="607D2095"/>
    <w:rsid w:val="60941FBC"/>
    <w:rsid w:val="60B066F9"/>
    <w:rsid w:val="61250763"/>
    <w:rsid w:val="616109D2"/>
    <w:rsid w:val="616F73F2"/>
    <w:rsid w:val="62720823"/>
    <w:rsid w:val="63A92B04"/>
    <w:rsid w:val="63B21004"/>
    <w:rsid w:val="641F0E7D"/>
    <w:rsid w:val="643A4E98"/>
    <w:rsid w:val="643B6113"/>
    <w:rsid w:val="64A00315"/>
    <w:rsid w:val="64A038CF"/>
    <w:rsid w:val="64A36185"/>
    <w:rsid w:val="64A47AF7"/>
    <w:rsid w:val="64D2036D"/>
    <w:rsid w:val="653004DD"/>
    <w:rsid w:val="66944814"/>
    <w:rsid w:val="66CE4558"/>
    <w:rsid w:val="67AA29A7"/>
    <w:rsid w:val="67E916DC"/>
    <w:rsid w:val="67FC1454"/>
    <w:rsid w:val="680B4BF7"/>
    <w:rsid w:val="681F15E7"/>
    <w:rsid w:val="687569F7"/>
    <w:rsid w:val="688F716A"/>
    <w:rsid w:val="68D423D1"/>
    <w:rsid w:val="69086DB4"/>
    <w:rsid w:val="69264E17"/>
    <w:rsid w:val="6B216D4C"/>
    <w:rsid w:val="6B3A1470"/>
    <w:rsid w:val="6B633DB1"/>
    <w:rsid w:val="6BE6506C"/>
    <w:rsid w:val="6BF508D7"/>
    <w:rsid w:val="6C5F2275"/>
    <w:rsid w:val="6D1D6511"/>
    <w:rsid w:val="6D4F64CA"/>
    <w:rsid w:val="6D5E0158"/>
    <w:rsid w:val="6D7C527D"/>
    <w:rsid w:val="6E0B5F22"/>
    <w:rsid w:val="6E885C2D"/>
    <w:rsid w:val="6ED52E12"/>
    <w:rsid w:val="6F492E88"/>
    <w:rsid w:val="70AE52B6"/>
    <w:rsid w:val="70D7566B"/>
    <w:rsid w:val="70F71654"/>
    <w:rsid w:val="71127F06"/>
    <w:rsid w:val="729C6DEA"/>
    <w:rsid w:val="72AF0710"/>
    <w:rsid w:val="72D8523E"/>
    <w:rsid w:val="72F271FC"/>
    <w:rsid w:val="72FD4971"/>
    <w:rsid w:val="73007857"/>
    <w:rsid w:val="737E3983"/>
    <w:rsid w:val="73F1776E"/>
    <w:rsid w:val="74D2336D"/>
    <w:rsid w:val="74E251C4"/>
    <w:rsid w:val="74E831C0"/>
    <w:rsid w:val="7524243D"/>
    <w:rsid w:val="75C62D11"/>
    <w:rsid w:val="75FC6AF9"/>
    <w:rsid w:val="7625601A"/>
    <w:rsid w:val="76373C5B"/>
    <w:rsid w:val="76F50163"/>
    <w:rsid w:val="775545E5"/>
    <w:rsid w:val="77D1420E"/>
    <w:rsid w:val="78165BB5"/>
    <w:rsid w:val="783F437E"/>
    <w:rsid w:val="786325EF"/>
    <w:rsid w:val="787648A7"/>
    <w:rsid w:val="78B80299"/>
    <w:rsid w:val="78F116C9"/>
    <w:rsid w:val="7A9B2474"/>
    <w:rsid w:val="7B62216C"/>
    <w:rsid w:val="7BAD61AB"/>
    <w:rsid w:val="7BD65170"/>
    <w:rsid w:val="7BE656D4"/>
    <w:rsid w:val="7BFC1A8A"/>
    <w:rsid w:val="7C8B1AF7"/>
    <w:rsid w:val="7C9E2682"/>
    <w:rsid w:val="7E435F80"/>
    <w:rsid w:val="7E4A1AC2"/>
    <w:rsid w:val="7EB135DB"/>
    <w:rsid w:val="7F21759B"/>
    <w:rsid w:val="7F3814A3"/>
    <w:rsid w:val="7F4E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nhideWhenUsed="0" w:uiPriority="1"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97"/>
      <w:ind w:left="1414"/>
      <w:jc w:val="center"/>
      <w:outlineLvl w:val="0"/>
    </w:pPr>
    <w:rPr>
      <w:b/>
      <w:bCs/>
      <w:sz w:val="36"/>
      <w:szCs w:val="36"/>
    </w:rPr>
  </w:style>
  <w:style w:type="paragraph" w:styleId="4">
    <w:name w:val="heading 4"/>
    <w:basedOn w:val="1"/>
    <w:next w:val="1"/>
    <w:unhideWhenUsed/>
    <w:qFormat/>
    <w:uiPriority w:val="0"/>
    <w:pPr>
      <w:spacing w:before="100" w:beforeAutospacing="1" w:after="100" w:afterAutospacing="1"/>
      <w:outlineLvl w:val="3"/>
    </w:pPr>
    <w:rPr>
      <w:rFonts w:hint="eastAsia" w:cs="Times New Roman"/>
      <w:b/>
      <w:bCs/>
      <w:sz w:val="24"/>
      <w:szCs w:val="24"/>
      <w:lang w:val="en-US" w:bidi="ar-SA"/>
    </w:rPr>
  </w:style>
  <w:style w:type="paragraph" w:styleId="5">
    <w:name w:val="heading 5"/>
    <w:basedOn w:val="1"/>
    <w:next w:val="1"/>
    <w:qFormat/>
    <w:uiPriority w:val="1"/>
    <w:pPr>
      <w:spacing w:line="320" w:lineRule="exact"/>
      <w:ind w:left="312" w:hanging="207"/>
      <w:outlineLvl w:val="4"/>
    </w:pPr>
    <w:rPr>
      <w:b/>
      <w:bCs/>
      <w:sz w:val="19"/>
      <w:szCs w:val="19"/>
    </w:rPr>
  </w:style>
  <w:style w:type="paragraph" w:styleId="6">
    <w:name w:val="heading 6"/>
    <w:basedOn w:val="1"/>
    <w:next w:val="1"/>
    <w:qFormat/>
    <w:uiPriority w:val="0"/>
    <w:pPr>
      <w:keepNext/>
      <w:keepLines/>
      <w:spacing w:before="240" w:after="64" w:line="320" w:lineRule="auto"/>
      <w:outlineLvl w:val="5"/>
    </w:pPr>
    <w:rPr>
      <w:rFonts w:ascii="Cambria" w:hAnsi="Cambria" w:cs="Times New Roman"/>
      <w:b/>
      <w:bCs/>
      <w:sz w:val="24"/>
      <w:szCs w:val="24"/>
      <w:lang w:bidi="ar-SA"/>
    </w:rPr>
  </w:style>
  <w:style w:type="paragraph" w:styleId="7">
    <w:name w:val="heading 7"/>
    <w:basedOn w:val="1"/>
    <w:next w:val="1"/>
    <w:qFormat/>
    <w:uiPriority w:val="0"/>
    <w:pPr>
      <w:keepNext/>
      <w:keepLines/>
      <w:spacing w:before="240" w:after="64" w:line="320" w:lineRule="auto"/>
      <w:outlineLvl w:val="6"/>
    </w:pPr>
    <w:rPr>
      <w:rFonts w:ascii="Calibri" w:hAnsi="Calibri" w:cs="Times New Roman"/>
      <w:b/>
      <w:bCs/>
      <w:sz w:val="24"/>
      <w:szCs w:val="24"/>
      <w:lang w:bidi="ar-SA"/>
    </w:rPr>
  </w:style>
  <w:style w:type="paragraph" w:styleId="8">
    <w:name w:val="heading 8"/>
    <w:basedOn w:val="1"/>
    <w:next w:val="1"/>
    <w:link w:val="27"/>
    <w:semiHidden/>
    <w:unhideWhenUsed/>
    <w:qFormat/>
    <w:uiPriority w:val="0"/>
    <w:pPr>
      <w:keepNext/>
      <w:keepLines/>
      <w:spacing w:before="240" w:after="64" w:line="317" w:lineRule="auto"/>
      <w:outlineLvl w:val="7"/>
    </w:pPr>
    <w:rPr>
      <w:rFonts w:ascii="Arial" w:hAnsi="Arial" w:eastAsia="黑体"/>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管理正文"/>
    <w:basedOn w:val="1"/>
    <w:qFormat/>
    <w:uiPriority w:val="0"/>
    <w:pPr>
      <w:spacing w:line="360" w:lineRule="auto"/>
      <w:ind w:firstLine="431"/>
    </w:pPr>
    <w:rPr>
      <w:sz w:val="24"/>
      <w:szCs w:val="24"/>
    </w:rPr>
  </w:style>
  <w:style w:type="paragraph" w:styleId="9">
    <w:name w:val="Body Text"/>
    <w:basedOn w:val="1"/>
    <w:next w:val="1"/>
    <w:qFormat/>
    <w:uiPriority w:val="1"/>
    <w:pPr>
      <w:ind w:left="106"/>
    </w:pPr>
    <w:rPr>
      <w:sz w:val="19"/>
      <w:szCs w:val="19"/>
    </w:rPr>
  </w:style>
  <w:style w:type="paragraph" w:styleId="10">
    <w:name w:val="Plain Text"/>
    <w:basedOn w:val="1"/>
    <w:next w:val="11"/>
    <w:qFormat/>
    <w:uiPriority w:val="0"/>
    <w:rPr>
      <w:rFonts w:hAnsi="Courier New"/>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0"/>
  </w:style>
  <w:style w:type="paragraph" w:styleId="15">
    <w:name w:val="Normal (Web)"/>
    <w:basedOn w:val="1"/>
    <w:qFormat/>
    <w:uiPriority w:val="99"/>
    <w:pPr>
      <w:spacing w:after="120"/>
    </w:pPr>
    <w:rPr>
      <w:rFonts w:cs="Times New Roman"/>
      <w:sz w:val="24"/>
      <w:lang w:val="en-US"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Hyperlink"/>
    <w:basedOn w:val="18"/>
    <w:qFormat/>
    <w:uiPriority w:val="0"/>
    <w:rPr>
      <w:color w:val="0563C1" w:themeColor="hyperlink"/>
      <w:u w:val="single"/>
      <w14:textFill>
        <w14:solidFill>
          <w14:schemeClr w14:val="hlink"/>
        </w14:solidFill>
      </w14:textFill>
    </w:rPr>
  </w:style>
  <w:style w:type="paragraph" w:customStyle="1" w:styleId="21">
    <w:name w:val="Table Paragraph"/>
    <w:basedOn w:val="1"/>
    <w:qFormat/>
    <w:uiPriority w:val="1"/>
  </w:style>
  <w:style w:type="paragraph" w:styleId="22">
    <w:name w:val="List Paragraph"/>
    <w:basedOn w:val="1"/>
    <w:qFormat/>
    <w:uiPriority w:val="1"/>
    <w:pPr>
      <w:spacing w:line="228" w:lineRule="exact"/>
      <w:ind w:left="312" w:hanging="506"/>
    </w:p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列出段落1"/>
    <w:basedOn w:val="1"/>
    <w:qFormat/>
    <w:uiPriority w:val="0"/>
    <w:pPr>
      <w:ind w:firstLine="420" w:firstLineChars="200"/>
    </w:pPr>
    <w:rPr>
      <w:rFonts w:ascii="Calibri" w:hAnsi="Calibri" w:cs="Times New Roman"/>
      <w:szCs w:val="20"/>
      <w:lang w:bidi="ar-SA"/>
    </w:rPr>
  </w:style>
  <w:style w:type="character" w:customStyle="1" w:styleId="25">
    <w:name w:val="Char Char4"/>
    <w:basedOn w:val="18"/>
    <w:qFormat/>
    <w:uiPriority w:val="0"/>
    <w:rPr>
      <w:rFonts w:eastAsia="宋体" w:cs="Times New Roman"/>
      <w:kern w:val="2"/>
      <w:sz w:val="24"/>
      <w:lang w:val="en-US" w:eastAsia="zh-CN" w:bidi="ar-SA"/>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character" w:customStyle="1" w:styleId="27">
    <w:name w:val="标题 8 字符"/>
    <w:link w:val="8"/>
    <w:qFormat/>
    <w:uiPriority w:val="0"/>
    <w:rPr>
      <w:rFonts w:ascii="Arial" w:hAnsi="Arial" w:eastAsia="黑体"/>
      <w:sz w:val="24"/>
    </w:rPr>
  </w:style>
  <w:style w:type="character" w:customStyle="1" w:styleId="28">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25469</Words>
  <Characters>26764</Characters>
  <Lines>211</Lines>
  <Paragraphs>59</Paragraphs>
  <TotalTime>23</TotalTime>
  <ScaleCrop>false</ScaleCrop>
  <LinksUpToDate>false</LinksUpToDate>
  <CharactersWithSpaces>28056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2022-05-03T07:03:00Z</dcterms:created>
  <dc:creator>沈 先 森、</dc:creator>
  <cp:lastModifiedBy>沈 先 森、</cp:lastModifiedBy>
  <dcterms:modified xsi:type="dcterms:W3CDTF">2022-06-24T03:50:03Z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D371AE152113443B9B8EC1FEC438F19E</vt:lpwstr>
  </property>
</Properties>
</file>