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微软雅黑" w:hAnsi="微软雅黑" w:eastAsia="微软雅黑" w:cs="微软雅黑"/>
          <w:color w:val="auto"/>
          <w:sz w:val="24"/>
          <w:szCs w:val="24"/>
        </w:rPr>
      </w:pPr>
      <w:bookmarkStart w:id="0" w:name="_Toc35393797"/>
      <w:bookmarkStart w:id="1" w:name="_Toc28359011"/>
      <w:r>
        <w:rPr>
          <w:rFonts w:hint="eastAsia" w:ascii="微软雅黑" w:hAnsi="微软雅黑" w:eastAsia="微软雅黑" w:cs="微软雅黑"/>
          <w:color w:val="auto"/>
          <w:sz w:val="24"/>
          <w:szCs w:val="24"/>
          <w:lang w:eastAsia="zh-CN"/>
        </w:rPr>
        <w:t>吐尔尕特出入境边防检查站健身馆设备采购项目（二次）</w:t>
      </w:r>
      <w:r>
        <w:rPr>
          <w:rFonts w:hint="eastAsia" w:ascii="微软雅黑" w:hAnsi="微软雅黑" w:eastAsia="微软雅黑" w:cs="微软雅黑"/>
          <w:color w:val="auto"/>
          <w:sz w:val="24"/>
          <w:szCs w:val="24"/>
        </w:rPr>
        <w:t>询价公告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textAlignment w:val="auto"/>
        <w:rPr>
          <w:rFonts w:hint="eastAsia" w:ascii="宋体" w:hAnsi="宋体" w:eastAsia="宋体" w:cs="宋体"/>
          <w:color w:val="auto"/>
          <w:sz w:val="24"/>
          <w:szCs w:val="24"/>
        </w:rPr>
      </w:pPr>
      <w:bookmarkStart w:id="2" w:name="_Toc28359089"/>
      <w:bookmarkStart w:id="3" w:name="_Toc35393629"/>
      <w:bookmarkStart w:id="4" w:name="_Toc28359012"/>
      <w:bookmarkStart w:id="5" w:name="_Toc35393798"/>
      <w:r>
        <w:rPr>
          <w:rFonts w:hint="eastAsia" w:ascii="宋体" w:hAnsi="宋体" w:eastAsia="宋体" w:cs="宋体"/>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rPr>
      </w:pPr>
      <w:r>
        <w:rPr>
          <w:rFonts w:hint="eastAsia" w:ascii="宋体" w:hAnsi="宋体" w:eastAsia="宋体" w:cs="宋体"/>
          <w:sz w:val="24"/>
          <w:szCs w:val="24"/>
          <w:u w:val="single"/>
          <w:lang w:val="en-US" w:eastAsia="zh-CN"/>
        </w:rPr>
        <w:t>吐尔尕特出入境边防检查站健身馆设备采购项目</w:t>
      </w:r>
      <w:r>
        <w:rPr>
          <w:rFonts w:hint="eastAsia" w:ascii="微软雅黑" w:hAnsi="微软雅黑" w:eastAsia="微软雅黑" w:cs="微软雅黑"/>
          <w:color w:val="auto"/>
          <w:sz w:val="24"/>
          <w:szCs w:val="24"/>
          <w:lang w:eastAsia="zh-CN"/>
        </w:rPr>
        <w:t>（二次）</w:t>
      </w:r>
      <w:r>
        <w:rPr>
          <w:rFonts w:hint="eastAsia" w:ascii="宋体" w:hAnsi="宋体" w:eastAsia="宋体" w:cs="宋体"/>
          <w:color w:val="auto"/>
          <w:sz w:val="24"/>
          <w:szCs w:val="24"/>
        </w:rPr>
        <w:t>的潜在投标人应</w:t>
      </w:r>
      <w:r>
        <w:rPr>
          <w:rFonts w:hint="eastAsia" w:ascii="宋体" w:hAnsi="宋体" w:eastAsia="宋体" w:cs="宋体"/>
          <w:color w:val="auto"/>
          <w:sz w:val="24"/>
          <w:szCs w:val="24"/>
          <w:lang w:eastAsia="zh-CN"/>
        </w:rPr>
        <w:t>在</w:t>
      </w:r>
      <w:r>
        <w:rPr>
          <w:rFonts w:hint="eastAsia" w:ascii="宋体" w:hAnsi="宋体" w:eastAsia="宋体" w:cs="宋体"/>
          <w:sz w:val="24"/>
          <w:szCs w:val="24"/>
          <w:u w:val="none"/>
          <w:lang w:val="en-US" w:eastAsia="zh-CN"/>
        </w:rPr>
        <w:t>线下获取采购文件</w:t>
      </w:r>
      <w:r>
        <w:rPr>
          <w:rFonts w:hint="eastAsia" w:ascii="宋体" w:hAnsi="宋体" w:eastAsia="宋体" w:cs="宋体"/>
          <w:color w:val="auto"/>
          <w:sz w:val="24"/>
          <w:szCs w:val="24"/>
        </w:rPr>
        <w:t>，</w:t>
      </w:r>
      <w:r>
        <w:rPr>
          <w:rFonts w:hint="eastAsia" w:ascii="宋体" w:hAnsi="宋体" w:eastAsia="宋体" w:cs="宋体"/>
          <w:sz w:val="24"/>
          <w:szCs w:val="24"/>
          <w:u w:val="none"/>
          <w:lang w:val="en-US" w:eastAsia="zh-CN"/>
        </w:rPr>
        <w:t>并于</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2</w:t>
      </w:r>
      <w:r>
        <w:rPr>
          <w:rFonts w:hint="eastAsia" w:ascii="宋体" w:hAnsi="宋体" w:eastAsia="宋体" w:cs="宋体"/>
          <w:sz w:val="24"/>
          <w:szCs w:val="24"/>
          <w:u w:val="single"/>
          <w:lang w:val="en-US" w:eastAsia="zh-CN"/>
        </w:rPr>
        <w:t>年</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28</w:t>
      </w:r>
      <w:r>
        <w:rPr>
          <w:rFonts w:hint="eastAsia" w:ascii="宋体" w:hAnsi="宋体" w:eastAsia="宋体" w:cs="宋体"/>
          <w:sz w:val="24"/>
          <w:szCs w:val="24"/>
          <w:u w:val="single"/>
          <w:lang w:val="en-US" w:eastAsia="zh-CN"/>
        </w:rPr>
        <w:t>日</w:t>
      </w:r>
      <w:r>
        <w:rPr>
          <w:rFonts w:hint="eastAsia" w:ascii="宋体" w:hAnsi="宋体" w:cs="宋体"/>
          <w:sz w:val="24"/>
          <w:szCs w:val="24"/>
          <w:u w:val="single"/>
          <w:lang w:val="en-US" w:eastAsia="zh-CN"/>
        </w:rPr>
        <w:t>上</w:t>
      </w:r>
      <w:r>
        <w:rPr>
          <w:rFonts w:hint="eastAsia" w:ascii="宋体" w:hAnsi="宋体" w:eastAsia="宋体" w:cs="宋体"/>
          <w:sz w:val="24"/>
          <w:szCs w:val="24"/>
          <w:u w:val="single"/>
          <w:lang w:val="en-US" w:eastAsia="zh-CN"/>
        </w:rPr>
        <w:t>午1</w:t>
      </w:r>
      <w:r>
        <w:rPr>
          <w:rFonts w:hint="eastAsia" w:ascii="宋体" w:hAnsi="宋体" w:cs="宋体"/>
          <w:sz w:val="24"/>
          <w:szCs w:val="24"/>
          <w:u w:val="single"/>
          <w:lang w:val="en-US" w:eastAsia="zh-CN"/>
        </w:rPr>
        <w:t>2</w:t>
      </w:r>
      <w:r>
        <w:rPr>
          <w:rFonts w:hint="eastAsia" w:ascii="宋体" w:hAnsi="宋体" w:eastAsia="宋体" w:cs="宋体"/>
          <w:sz w:val="24"/>
          <w:szCs w:val="24"/>
          <w:u w:val="single"/>
          <w:lang w:val="en-US" w:eastAsia="zh-CN"/>
        </w:rPr>
        <w:t>:00分（北京时间）</w:t>
      </w:r>
      <w:r>
        <w:rPr>
          <w:rFonts w:hint="eastAsia" w:ascii="宋体" w:hAnsi="宋体" w:eastAsia="宋体" w:cs="宋体"/>
          <w:sz w:val="24"/>
          <w:szCs w:val="24"/>
          <w:u w:val="none"/>
          <w:lang w:val="en-US" w:eastAsia="zh-CN"/>
        </w:rPr>
        <w:t>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一、项目基本情况</w:t>
      </w:r>
      <w:bookmarkEnd w:id="2"/>
      <w:bookmarkEnd w:id="3"/>
      <w:bookmarkEnd w:id="4"/>
      <w:bookmarkEnd w:id="5"/>
    </w:p>
    <w:p>
      <w:pPr>
        <w:pageBreakBefore w:val="0"/>
        <w:kinsoku/>
        <w:wordWrap/>
        <w:overflowPunct/>
        <w:topLinePunct w:val="0"/>
        <w:bidi w:val="0"/>
        <w:snapToGrid/>
        <w:spacing w:line="440" w:lineRule="exact"/>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项目编号：KSDQ-</w:t>
      </w:r>
      <w:r>
        <w:rPr>
          <w:rFonts w:hint="eastAsia" w:ascii="宋体" w:hAnsi="宋体" w:cs="宋体"/>
          <w:sz w:val="24"/>
          <w:szCs w:val="24"/>
          <w:u w:val="none"/>
          <w:lang w:val="en-US" w:eastAsia="zh-CN"/>
        </w:rPr>
        <w:t>LJ</w:t>
      </w:r>
      <w:r>
        <w:rPr>
          <w:rFonts w:hint="eastAsia" w:ascii="宋体" w:hAnsi="宋体" w:eastAsia="宋体" w:cs="宋体"/>
          <w:sz w:val="24"/>
          <w:szCs w:val="24"/>
          <w:u w:val="none"/>
          <w:lang w:val="en-US" w:eastAsia="zh-CN"/>
        </w:rPr>
        <w:t>(XJ)-202</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-0</w:t>
      </w:r>
      <w:r>
        <w:rPr>
          <w:rFonts w:hint="eastAsia" w:ascii="宋体" w:hAnsi="宋体" w:cs="宋体"/>
          <w:sz w:val="24"/>
          <w:szCs w:val="24"/>
          <w:u w:val="none"/>
          <w:lang w:val="en-US" w:eastAsia="zh-CN"/>
        </w:rPr>
        <w:t>10</w:t>
      </w:r>
      <w:r>
        <w:rPr>
          <w:rFonts w:hint="eastAsia" w:ascii="宋体" w:hAnsi="宋体" w:eastAsia="宋体" w:cs="宋体"/>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项目名称：</w:t>
      </w:r>
      <w:r>
        <w:rPr>
          <w:rFonts w:hint="eastAsia" w:ascii="宋体" w:hAnsi="宋体" w:eastAsia="宋体" w:cs="宋体"/>
          <w:sz w:val="24"/>
          <w:szCs w:val="24"/>
          <w:highlight w:val="none"/>
          <w:u w:val="none"/>
          <w:lang w:val="en-US" w:eastAsia="zh-CN"/>
        </w:rPr>
        <w:t>吐尔尕特出入境边防检查站健身馆设备采购项目</w:t>
      </w:r>
      <w:r>
        <w:rPr>
          <w:rFonts w:hint="eastAsia" w:ascii="微软雅黑" w:hAnsi="微软雅黑" w:eastAsia="微软雅黑" w:cs="微软雅黑"/>
          <w:color w:val="auto"/>
          <w:sz w:val="24"/>
          <w:szCs w:val="24"/>
          <w:lang w:eastAsia="zh-CN"/>
        </w:rPr>
        <w:t>（二次）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预算金额：</w:t>
      </w:r>
      <w:r>
        <w:rPr>
          <w:rFonts w:hint="eastAsia" w:ascii="宋体" w:hAnsi="宋体" w:cs="宋体"/>
          <w:sz w:val="24"/>
          <w:szCs w:val="24"/>
          <w:u w:val="none"/>
          <w:lang w:val="en-US" w:eastAsia="zh-CN"/>
        </w:rPr>
        <w:t>450000</w:t>
      </w:r>
      <w:r>
        <w:rPr>
          <w:rFonts w:hint="eastAsia" w:ascii="宋体" w:hAnsi="宋体" w:eastAsia="宋体" w:cs="宋体"/>
          <w:sz w:val="24"/>
          <w:szCs w:val="24"/>
          <w:u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采购需求：吐尔尕特出入境边防检查站健身馆设备采购</w:t>
      </w:r>
      <w:r>
        <w:rPr>
          <w:rFonts w:hint="eastAsia" w:ascii="宋体" w:hAnsi="宋体" w:cs="宋体"/>
          <w:sz w:val="24"/>
          <w:szCs w:val="24"/>
          <w:u w:val="none"/>
          <w:lang w:val="en-US" w:eastAsia="zh-CN"/>
        </w:rPr>
        <w:t>等</w:t>
      </w:r>
      <w:r>
        <w:rPr>
          <w:rFonts w:hint="eastAsia" w:ascii="宋体" w:hAnsi="宋体" w:eastAsia="宋体" w:cs="宋体"/>
          <w:sz w:val="24"/>
          <w:szCs w:val="24"/>
          <w:u w:val="none"/>
          <w:lang w:val="en-US" w:eastAsia="zh-CN"/>
        </w:rPr>
        <w:t>（详细数量规格参数见询价通知书）</w:t>
      </w:r>
      <w:bookmarkStart w:id="31" w:name="_GoBack"/>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本项目（否）接受联合体。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u w:val="none"/>
          <w:lang w:val="en-US" w:eastAsia="zh-CN"/>
        </w:rPr>
      </w:pPr>
      <w:bookmarkStart w:id="6" w:name="_Toc28359090"/>
      <w:bookmarkStart w:id="7" w:name="_Toc35393630"/>
      <w:bookmarkStart w:id="8" w:name="_Toc28359013"/>
      <w:bookmarkStart w:id="9" w:name="_Toc35393799"/>
      <w:r>
        <w:rPr>
          <w:rFonts w:hint="eastAsia" w:ascii="宋体" w:hAnsi="宋体" w:eastAsia="宋体" w:cs="宋体"/>
          <w:b/>
          <w:bCs/>
          <w:sz w:val="24"/>
          <w:szCs w:val="24"/>
          <w:u w:val="none"/>
          <w:lang w:val="en-US" w:eastAsia="zh-CN"/>
        </w:rPr>
        <w:t>二、供应商资格要求：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bookmarkStart w:id="10" w:name="_Toc35393631"/>
      <w:bookmarkStart w:id="11" w:name="_Toc35393800"/>
      <w:bookmarkStart w:id="12" w:name="_Toc28359014"/>
      <w:bookmarkStart w:id="13" w:name="_Toc28359091"/>
      <w:r>
        <w:rPr>
          <w:rFonts w:hint="eastAsia" w:ascii="宋体" w:hAnsi="宋体" w:eastAsia="宋体" w:cs="宋体"/>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2.具有相应经营范围的企业法人营业执照（三证合一）、《银行开户许可证》或《基本存款账户信息》；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3.法人本人投标需提供法人身份证原件及法定代表人资格证明书原件；授权委托人投标需提供法人授权委托书原件、法人身份证复印件及被授权委托人身份证原件；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4.投标企业及其被授权委托人在项目进行期内提供本单位缴纳的近三个月内</w:t>
      </w:r>
      <w:r>
        <w:rPr>
          <w:rFonts w:hint="eastAsia" w:ascii="宋体" w:hAnsi="宋体" w:cs="宋体"/>
          <w:sz w:val="24"/>
          <w:szCs w:val="24"/>
          <w:u w:val="none"/>
          <w:lang w:val="en-US" w:eastAsia="zh-CN"/>
        </w:rPr>
        <w:t>任意一个月</w:t>
      </w:r>
      <w:r>
        <w:rPr>
          <w:rFonts w:hint="eastAsia" w:ascii="宋体" w:hAnsi="宋体" w:eastAsia="宋体" w:cs="宋体"/>
          <w:sz w:val="24"/>
          <w:szCs w:val="24"/>
          <w:u w:val="none"/>
          <w:lang w:val="en-US" w:eastAsia="zh-CN"/>
        </w:rPr>
        <w:t>的社保缴纳证明,具有税务局开具依法缴纳近三个月内</w:t>
      </w:r>
      <w:r>
        <w:rPr>
          <w:rFonts w:hint="eastAsia" w:ascii="宋体" w:hAnsi="宋体" w:cs="宋体"/>
          <w:sz w:val="24"/>
          <w:szCs w:val="24"/>
          <w:u w:val="none"/>
          <w:lang w:val="en-US" w:eastAsia="zh-CN"/>
        </w:rPr>
        <w:t>任意一个月</w:t>
      </w:r>
      <w:r>
        <w:rPr>
          <w:rFonts w:hint="eastAsia" w:ascii="宋体" w:hAnsi="宋体" w:eastAsia="宋体" w:cs="宋体"/>
          <w:sz w:val="24"/>
          <w:szCs w:val="24"/>
          <w:u w:val="none"/>
          <w:lang w:val="en-US" w:eastAsia="zh-CN"/>
        </w:rPr>
        <w:t>的完税证明；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5.具有良好的商业信誉和健全的财务会计制度，提供2021年经审计的财务报告原件;(2021年10月1日之后成立的公司可不提供但需提供银行出具的近三个月的资信证明原件);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投标人须提供在信用中国（www.creditchina.gov.cn）和中国政府采购网（www.ccgp.gov.cn）网站上无不良行为记录网上截图复印件加盖公章，对列入失信被执行人、重大税收违法案件当事人名单、政府采购严重违法失信行为记录名单的投标商，拒绝参与该项目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8.参加政府采购活动前三年内在经营活动中没有重大违法记录的书面声明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三、获取采购文件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时间：202</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年 6 月</w:t>
      </w:r>
      <w:r>
        <w:rPr>
          <w:rFonts w:hint="eastAsia" w:ascii="宋体" w:hAnsi="宋体" w:cs="宋体"/>
          <w:sz w:val="24"/>
          <w:szCs w:val="24"/>
          <w:u w:val="none"/>
          <w:lang w:val="en-US" w:eastAsia="zh-CN"/>
        </w:rPr>
        <w:t>21</w:t>
      </w:r>
      <w:r>
        <w:rPr>
          <w:rFonts w:hint="eastAsia" w:ascii="宋体" w:hAnsi="宋体" w:eastAsia="宋体" w:cs="宋体"/>
          <w:sz w:val="24"/>
          <w:szCs w:val="24"/>
          <w:u w:val="none"/>
          <w:lang w:val="en-US" w:eastAsia="zh-CN"/>
        </w:rPr>
        <w:t>日起至202</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年</w:t>
      </w:r>
      <w:r>
        <w:rPr>
          <w:rFonts w:hint="eastAsia" w:ascii="宋体" w:hAnsi="宋体" w:cs="宋体"/>
          <w:sz w:val="24"/>
          <w:szCs w:val="24"/>
          <w:u w:val="none"/>
          <w:lang w:val="en-US" w:eastAsia="zh-CN"/>
        </w:rPr>
        <w:t>6</w:t>
      </w:r>
      <w:r>
        <w:rPr>
          <w:rFonts w:hint="eastAsia" w:ascii="宋体" w:hAnsi="宋体" w:eastAsia="宋体" w:cs="宋体"/>
          <w:sz w:val="24"/>
          <w:szCs w:val="24"/>
          <w:u w:val="none"/>
          <w:lang w:val="en-US" w:eastAsia="zh-CN"/>
        </w:rPr>
        <w:t>月</w:t>
      </w:r>
      <w:r>
        <w:rPr>
          <w:rFonts w:hint="eastAsia" w:ascii="宋体" w:hAnsi="宋体" w:cs="宋体"/>
          <w:sz w:val="24"/>
          <w:szCs w:val="24"/>
          <w:u w:val="none"/>
          <w:lang w:val="en-US" w:eastAsia="zh-CN"/>
        </w:rPr>
        <w:t>24</w:t>
      </w:r>
      <w:r>
        <w:rPr>
          <w:rFonts w:hint="eastAsia" w:ascii="宋体" w:hAnsi="宋体" w:eastAsia="宋体" w:cs="宋体"/>
          <w:sz w:val="24"/>
          <w:szCs w:val="24"/>
          <w:u w:val="none"/>
          <w:lang w:val="en-US" w:eastAsia="zh-CN"/>
        </w:rPr>
        <w:t>日，每天上午10:30-14:00时，下午16:00-19:00时（北京时间，法定节假日除外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bookmarkStart w:id="14" w:name="_Toc35393801"/>
      <w:bookmarkStart w:id="15" w:name="_Toc28359015"/>
      <w:bookmarkStart w:id="16" w:name="_Toc35393632"/>
      <w:bookmarkStart w:id="17" w:name="_Toc28359092"/>
      <w:r>
        <w:rPr>
          <w:rFonts w:hint="eastAsia" w:ascii="宋体" w:hAnsi="宋体" w:eastAsia="宋体" w:cs="宋体"/>
          <w:sz w:val="24"/>
          <w:szCs w:val="24"/>
          <w:u w:val="none"/>
          <w:lang w:val="en-US" w:eastAsia="zh-CN"/>
        </w:rPr>
        <w:t>线下获取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地点：喀什地区喀什经济开发区浙商大厦12层1206室</w:t>
      </w:r>
    </w:p>
    <w:p>
      <w:pPr>
        <w:pStyle w:val="4"/>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Cs/>
          <w:color w:val="auto"/>
          <w:sz w:val="24"/>
          <w:szCs w:val="24"/>
        </w:rPr>
      </w:pPr>
      <w:r>
        <w:rPr>
          <w:rFonts w:hint="eastAsia" w:ascii="宋体" w:hAnsi="宋体" w:eastAsia="宋体" w:cs="宋体"/>
          <w:b/>
          <w:bCs/>
          <w:sz w:val="24"/>
          <w:szCs w:val="24"/>
          <w:u w:val="none"/>
          <w:lang w:val="en-US" w:eastAsia="zh-CN"/>
        </w:rPr>
        <w:t>四、</w:t>
      </w:r>
      <w:bookmarkEnd w:id="14"/>
      <w:bookmarkEnd w:id="15"/>
      <w:bookmarkEnd w:id="16"/>
      <w:bookmarkEnd w:id="17"/>
      <w:r>
        <w:rPr>
          <w:rFonts w:hint="eastAsia" w:ascii="宋体" w:hAnsi="宋体" w:eastAsia="宋体" w:cs="宋体"/>
          <w:bCs/>
          <w:color w:val="auto"/>
          <w:sz w:val="24"/>
          <w:szCs w:val="24"/>
        </w:rPr>
        <w:t>提交</w:t>
      </w:r>
      <w:r>
        <w:rPr>
          <w:rFonts w:hint="eastAsia" w:ascii="宋体" w:hAnsi="宋体" w:eastAsia="宋体" w:cs="宋体"/>
          <w:bCs/>
          <w:color w:val="auto"/>
          <w:sz w:val="24"/>
          <w:szCs w:val="24"/>
          <w:lang w:eastAsia="zh-CN"/>
        </w:rPr>
        <w:t>响应</w:t>
      </w:r>
      <w:r>
        <w:rPr>
          <w:rFonts w:hint="eastAsia" w:ascii="宋体" w:hAnsi="宋体" w:eastAsia="宋体" w:cs="宋体"/>
          <w:bCs/>
          <w:color w:val="auto"/>
          <w:sz w:val="24"/>
          <w:szCs w:val="24"/>
        </w:rPr>
        <w:t>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截止时间、</w:t>
      </w:r>
      <w:r>
        <w:rPr>
          <w:rFonts w:hint="eastAsia" w:ascii="宋体" w:hAnsi="宋体" w:eastAsia="宋体" w:cs="宋体"/>
          <w:sz w:val="24"/>
          <w:szCs w:val="24"/>
          <w:highlight w:val="none"/>
          <w:u w:val="none"/>
          <w:lang w:val="en-US" w:eastAsia="zh-CN"/>
        </w:rPr>
        <w:t>开标时间：202</w:t>
      </w: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年</w:t>
      </w:r>
      <w:r>
        <w:rPr>
          <w:rFonts w:hint="eastAsia" w:ascii="宋体" w:hAnsi="宋体" w:cs="宋体"/>
          <w:sz w:val="24"/>
          <w:szCs w:val="24"/>
          <w:highlight w:val="none"/>
          <w:u w:val="none"/>
          <w:lang w:val="en-US" w:eastAsia="zh-CN"/>
        </w:rPr>
        <w:t>6</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28</w:t>
      </w:r>
      <w:r>
        <w:rPr>
          <w:rFonts w:hint="eastAsia" w:ascii="宋体" w:hAnsi="宋体" w:eastAsia="宋体" w:cs="宋体"/>
          <w:sz w:val="24"/>
          <w:szCs w:val="24"/>
          <w:highlight w:val="none"/>
          <w:u w:val="none"/>
          <w:lang w:val="en-US" w:eastAsia="zh-CN"/>
        </w:rPr>
        <w:t>日</w:t>
      </w:r>
      <w:r>
        <w:rPr>
          <w:rFonts w:hint="eastAsia" w:ascii="宋体" w:hAnsi="宋体" w:cs="宋体"/>
          <w:sz w:val="24"/>
          <w:szCs w:val="24"/>
          <w:highlight w:val="none"/>
          <w:u w:val="none"/>
          <w:lang w:val="en-US" w:eastAsia="zh-CN"/>
        </w:rPr>
        <w:t>上</w:t>
      </w:r>
      <w:r>
        <w:rPr>
          <w:rFonts w:hint="eastAsia" w:ascii="宋体" w:hAnsi="宋体" w:eastAsia="宋体" w:cs="宋体"/>
          <w:sz w:val="24"/>
          <w:szCs w:val="24"/>
          <w:highlight w:val="none"/>
          <w:u w:val="none"/>
          <w:lang w:val="en-US" w:eastAsia="zh-CN"/>
        </w:rPr>
        <w:t>午1</w:t>
      </w: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开标地点：</w:t>
      </w:r>
      <w:r>
        <w:rPr>
          <w:rFonts w:hint="eastAsia" w:ascii="宋体" w:hAnsi="宋体" w:eastAsia="宋体" w:cs="宋体"/>
          <w:color w:val="auto"/>
          <w:sz w:val="24"/>
          <w:szCs w:val="24"/>
          <w:lang w:eastAsia="zh-CN"/>
        </w:rPr>
        <w:t>喀什经济开发区浙商大厦</w:t>
      </w:r>
      <w:r>
        <w:rPr>
          <w:rFonts w:hint="eastAsia" w:ascii="宋体" w:hAnsi="宋体" w:cs="宋体"/>
          <w:color w:val="auto"/>
          <w:sz w:val="24"/>
          <w:szCs w:val="24"/>
          <w:lang w:val="en-US" w:eastAsia="zh-CN"/>
        </w:rPr>
        <w:t>405</w:t>
      </w:r>
      <w:r>
        <w:rPr>
          <w:rFonts w:hint="eastAsia" w:ascii="宋体" w:hAnsi="宋体" w:eastAsia="宋体" w:cs="宋体"/>
          <w:color w:val="auto"/>
          <w:sz w:val="24"/>
          <w:szCs w:val="24"/>
          <w:lang w:val="en-US" w:eastAsia="zh-CN"/>
        </w:rPr>
        <w:t>会议室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u w:val="none"/>
          <w:lang w:val="en-US" w:eastAsia="zh-CN"/>
        </w:rPr>
      </w:pPr>
      <w:bookmarkStart w:id="18" w:name="_Toc35393634"/>
      <w:bookmarkStart w:id="19" w:name="_Toc35393803"/>
      <w:bookmarkStart w:id="20" w:name="_Toc28359094"/>
      <w:bookmarkStart w:id="21" w:name="_Toc28359017"/>
      <w:r>
        <w:rPr>
          <w:rFonts w:hint="eastAsia" w:ascii="宋体" w:hAnsi="宋体" w:eastAsia="宋体" w:cs="宋体"/>
          <w:b/>
          <w:bCs/>
          <w:sz w:val="24"/>
          <w:szCs w:val="24"/>
          <w:u w:val="none"/>
          <w:lang w:val="en-US" w:eastAsia="zh-CN"/>
        </w:rPr>
        <w:t>五、公告期限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u w:val="none"/>
          <w:lang w:val="en-US" w:eastAsia="zh-CN"/>
        </w:rPr>
      </w:pPr>
      <w:bookmarkStart w:id="22" w:name="_Toc35393636"/>
      <w:bookmarkStart w:id="23" w:name="_Toc35393805"/>
      <w:bookmarkStart w:id="24" w:name="_Toc28359095"/>
      <w:bookmarkStart w:id="25" w:name="_Toc28359018"/>
      <w:r>
        <w:rPr>
          <w:rFonts w:hint="eastAsia" w:ascii="宋体" w:hAnsi="宋体" w:eastAsia="宋体" w:cs="宋体"/>
          <w:b/>
          <w:bCs/>
          <w:sz w:val="24"/>
          <w:szCs w:val="24"/>
          <w:u w:val="none"/>
          <w:lang w:val="en-US" w:eastAsia="zh-CN"/>
        </w:rPr>
        <w:t>六、凡对本次采购提出询问，请按以下方式联系。</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名    称：吐尔尕特出入境边防检查站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地    址：吐尔尕特出入境边防检查站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 系 人：</w:t>
      </w:r>
      <w:bookmarkStart w:id="26" w:name="_Toc28359009"/>
      <w:bookmarkStart w:id="27" w:name="_Toc28359086"/>
      <w:r>
        <w:rPr>
          <w:rFonts w:hint="eastAsia" w:ascii="宋体" w:hAnsi="宋体" w:cs="宋体"/>
          <w:sz w:val="24"/>
          <w:szCs w:val="24"/>
          <w:u w:val="single"/>
          <w:lang w:val="en-US" w:eastAsia="zh-CN"/>
        </w:rPr>
        <w:t>唐彬然</w:t>
      </w:r>
      <w:r>
        <w:rPr>
          <w:rFonts w:hint="eastAsia" w:ascii="宋体" w:hAnsi="宋体" w:eastAsia="宋体" w:cs="宋体"/>
          <w:sz w:val="24"/>
          <w:szCs w:val="24"/>
          <w:u w:val="none"/>
          <w:lang w:val="en-US" w:eastAsia="zh-CN"/>
        </w:rPr>
        <w:t xml:space="preserve">            联系电话：15196863404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采购代理机构信息</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bookmarkStart w:id="28" w:name="_Toc24331"/>
      <w:r>
        <w:rPr>
          <w:rFonts w:hint="eastAsia" w:ascii="宋体" w:hAnsi="宋体" w:eastAsia="宋体" w:cs="宋体"/>
          <w:sz w:val="24"/>
          <w:szCs w:val="24"/>
          <w:u w:val="none"/>
          <w:lang w:val="en-US" w:eastAsia="zh-CN"/>
        </w:rPr>
        <w:t>名    称：新疆绿建全过程咨询发展有限公司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bookmarkStart w:id="29" w:name="_Toc28359010"/>
      <w:bookmarkStart w:id="30" w:name="_Toc28359087"/>
      <w:r>
        <w:rPr>
          <w:rFonts w:hint="eastAsia" w:ascii="宋体" w:hAnsi="宋体" w:eastAsia="宋体" w:cs="宋体"/>
          <w:sz w:val="24"/>
          <w:szCs w:val="24"/>
          <w:u w:val="none"/>
          <w:lang w:val="en-US" w:eastAsia="zh-CN"/>
        </w:rPr>
        <w:t xml:space="preserve">地    址：喀什经济开发区深喀大道总部经济区浙商大厦1206室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 系 人：阿迪拉       联系电话：</w:t>
      </w:r>
      <w:bookmarkEnd w:id="28"/>
      <w:bookmarkEnd w:id="29"/>
      <w:bookmarkEnd w:id="30"/>
      <w:r>
        <w:rPr>
          <w:rFonts w:hint="eastAsia" w:ascii="宋体" w:hAnsi="宋体" w:cs="宋体"/>
          <w:sz w:val="24"/>
          <w:szCs w:val="24"/>
          <w:u w:val="none"/>
          <w:lang w:val="en-US" w:eastAsia="zh-CN"/>
        </w:rPr>
        <w:t>13579345537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新疆绿建全过程咨询发展有限公司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color w:val="auto"/>
          <w:kern w:val="2"/>
          <w:sz w:val="24"/>
          <w:szCs w:val="24"/>
        </w:rPr>
        <w:t xml:space="preserve">                                   </w:t>
      </w:r>
      <w:r>
        <w:rPr>
          <w:rFonts w:hint="eastAsia" w:hAnsi="宋体" w:cs="宋体"/>
          <w:color w:val="auto"/>
          <w:kern w:val="2"/>
          <w:sz w:val="24"/>
          <w:szCs w:val="24"/>
          <w:lang w:val="en-US" w:eastAsia="zh-CN"/>
        </w:rPr>
        <w:t xml:space="preserve"> </w:t>
      </w:r>
      <w:r>
        <w:rPr>
          <w:rFonts w:hint="eastAsia" w:ascii="宋体" w:hAnsi="宋体" w:eastAsia="宋体" w:cs="宋体"/>
          <w:color w:val="auto"/>
          <w:kern w:val="2"/>
          <w:sz w:val="24"/>
          <w:szCs w:val="24"/>
          <w:highlight w:val="none"/>
        </w:rPr>
        <w:t xml:space="preserve"> 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w:t>
      </w:r>
      <w:r>
        <w:rPr>
          <w:rFonts w:hint="eastAsia"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月</w:t>
      </w:r>
      <w:r>
        <w:rPr>
          <w:rFonts w:hint="eastAsia" w:hAnsi="宋体" w:cs="宋体"/>
          <w:color w:val="auto"/>
          <w:kern w:val="2"/>
          <w:sz w:val="24"/>
          <w:szCs w:val="24"/>
          <w:highlight w:val="none"/>
          <w:lang w:val="en-US" w:eastAsia="zh-CN"/>
        </w:rPr>
        <w:t xml:space="preserve"> 21</w:t>
      </w:r>
      <w:r>
        <w:rPr>
          <w:rFonts w:hint="eastAsia" w:ascii="宋体" w:hAnsi="宋体" w:eastAsia="宋体" w:cs="宋体"/>
          <w:color w:val="auto"/>
          <w:kern w:val="2"/>
          <w:sz w:val="24"/>
          <w:szCs w:val="24"/>
          <w:highlight w:val="none"/>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GY0MjY5ZDU4Mjg5MzJkNTBkNWVkNzM1YWJlNzMifQ=="/>
  </w:docVars>
  <w:rsids>
    <w:rsidRoot w:val="1E3E4FB8"/>
    <w:rsid w:val="009161DF"/>
    <w:rsid w:val="03F95ECB"/>
    <w:rsid w:val="044B6DD3"/>
    <w:rsid w:val="045060DA"/>
    <w:rsid w:val="05C10795"/>
    <w:rsid w:val="06015DC3"/>
    <w:rsid w:val="07020D50"/>
    <w:rsid w:val="08841B63"/>
    <w:rsid w:val="09B56308"/>
    <w:rsid w:val="0AC80765"/>
    <w:rsid w:val="0C233A84"/>
    <w:rsid w:val="0C2D0B28"/>
    <w:rsid w:val="0C3D368A"/>
    <w:rsid w:val="0D341D3C"/>
    <w:rsid w:val="0D8E48DC"/>
    <w:rsid w:val="0DCA01EA"/>
    <w:rsid w:val="0E463361"/>
    <w:rsid w:val="0E6462BB"/>
    <w:rsid w:val="0E9A52A7"/>
    <w:rsid w:val="0F2F5ECB"/>
    <w:rsid w:val="10577D93"/>
    <w:rsid w:val="10842007"/>
    <w:rsid w:val="11C37409"/>
    <w:rsid w:val="11DE1EB6"/>
    <w:rsid w:val="12E877BB"/>
    <w:rsid w:val="14556A07"/>
    <w:rsid w:val="14A042D2"/>
    <w:rsid w:val="155D4306"/>
    <w:rsid w:val="16110FEF"/>
    <w:rsid w:val="16D36AD0"/>
    <w:rsid w:val="17C974CE"/>
    <w:rsid w:val="18FB7FD1"/>
    <w:rsid w:val="199323FC"/>
    <w:rsid w:val="1A0129BD"/>
    <w:rsid w:val="1A2D2EA0"/>
    <w:rsid w:val="1A5361CB"/>
    <w:rsid w:val="1A93119B"/>
    <w:rsid w:val="1DAF3030"/>
    <w:rsid w:val="1E3E4FB8"/>
    <w:rsid w:val="1EE93152"/>
    <w:rsid w:val="1F451A32"/>
    <w:rsid w:val="1F5E2D69"/>
    <w:rsid w:val="1FB34E37"/>
    <w:rsid w:val="1FF45301"/>
    <w:rsid w:val="20704F18"/>
    <w:rsid w:val="2071757B"/>
    <w:rsid w:val="214E2E20"/>
    <w:rsid w:val="216D1162"/>
    <w:rsid w:val="21745AA4"/>
    <w:rsid w:val="221068F9"/>
    <w:rsid w:val="221407F4"/>
    <w:rsid w:val="232C5F80"/>
    <w:rsid w:val="238D1969"/>
    <w:rsid w:val="23AF35F5"/>
    <w:rsid w:val="249B28CB"/>
    <w:rsid w:val="26E50908"/>
    <w:rsid w:val="270C06C6"/>
    <w:rsid w:val="289D4ABF"/>
    <w:rsid w:val="28B24066"/>
    <w:rsid w:val="29FE777B"/>
    <w:rsid w:val="2BA41025"/>
    <w:rsid w:val="2DAE6CA6"/>
    <w:rsid w:val="2DB353C4"/>
    <w:rsid w:val="2EC41916"/>
    <w:rsid w:val="2FE94A63"/>
    <w:rsid w:val="30082132"/>
    <w:rsid w:val="301A7BAE"/>
    <w:rsid w:val="30A270C3"/>
    <w:rsid w:val="30C1251A"/>
    <w:rsid w:val="30D742B0"/>
    <w:rsid w:val="310520F3"/>
    <w:rsid w:val="31105703"/>
    <w:rsid w:val="31576B17"/>
    <w:rsid w:val="315F4D05"/>
    <w:rsid w:val="31DC49D7"/>
    <w:rsid w:val="321C32DF"/>
    <w:rsid w:val="322E5C65"/>
    <w:rsid w:val="32A56FC2"/>
    <w:rsid w:val="33434827"/>
    <w:rsid w:val="33CB1059"/>
    <w:rsid w:val="34383D04"/>
    <w:rsid w:val="3501644F"/>
    <w:rsid w:val="35D55380"/>
    <w:rsid w:val="37B762BE"/>
    <w:rsid w:val="38401D41"/>
    <w:rsid w:val="38DA55D5"/>
    <w:rsid w:val="39BB7DB0"/>
    <w:rsid w:val="3B023A76"/>
    <w:rsid w:val="3D610223"/>
    <w:rsid w:val="3D957EBD"/>
    <w:rsid w:val="3E126451"/>
    <w:rsid w:val="3F713EC0"/>
    <w:rsid w:val="414F4962"/>
    <w:rsid w:val="422F5534"/>
    <w:rsid w:val="42AE0DDF"/>
    <w:rsid w:val="439203FA"/>
    <w:rsid w:val="43A53BB5"/>
    <w:rsid w:val="44066D79"/>
    <w:rsid w:val="44F836C8"/>
    <w:rsid w:val="450A0A55"/>
    <w:rsid w:val="465F71BD"/>
    <w:rsid w:val="46ED1560"/>
    <w:rsid w:val="47AA472E"/>
    <w:rsid w:val="47F57922"/>
    <w:rsid w:val="48454DDD"/>
    <w:rsid w:val="49266EDC"/>
    <w:rsid w:val="49DB4B3F"/>
    <w:rsid w:val="4A203E55"/>
    <w:rsid w:val="4B670730"/>
    <w:rsid w:val="4B707795"/>
    <w:rsid w:val="4C4F6AE5"/>
    <w:rsid w:val="4C6D6DB3"/>
    <w:rsid w:val="4DA67910"/>
    <w:rsid w:val="4E403D77"/>
    <w:rsid w:val="4E434405"/>
    <w:rsid w:val="4F73094E"/>
    <w:rsid w:val="4F7711C2"/>
    <w:rsid w:val="4F7E6744"/>
    <w:rsid w:val="51733020"/>
    <w:rsid w:val="517876DE"/>
    <w:rsid w:val="52AB0A6C"/>
    <w:rsid w:val="53075518"/>
    <w:rsid w:val="532D23CA"/>
    <w:rsid w:val="535B27C8"/>
    <w:rsid w:val="536A6B0B"/>
    <w:rsid w:val="53A74B19"/>
    <w:rsid w:val="53D6458E"/>
    <w:rsid w:val="54FB2884"/>
    <w:rsid w:val="55EA4A07"/>
    <w:rsid w:val="564A0B42"/>
    <w:rsid w:val="569E6FB0"/>
    <w:rsid w:val="57457F60"/>
    <w:rsid w:val="5756407C"/>
    <w:rsid w:val="580512B0"/>
    <w:rsid w:val="58334983"/>
    <w:rsid w:val="587617E3"/>
    <w:rsid w:val="5911596C"/>
    <w:rsid w:val="59B77CE4"/>
    <w:rsid w:val="59DD53B5"/>
    <w:rsid w:val="5A5357D6"/>
    <w:rsid w:val="5A8E435A"/>
    <w:rsid w:val="5ADA6CF6"/>
    <w:rsid w:val="5CAB6A54"/>
    <w:rsid w:val="5CDB594A"/>
    <w:rsid w:val="5CFD776F"/>
    <w:rsid w:val="5D1E1875"/>
    <w:rsid w:val="5D557EF4"/>
    <w:rsid w:val="5EE10284"/>
    <w:rsid w:val="60B86B4A"/>
    <w:rsid w:val="636B1F17"/>
    <w:rsid w:val="64023CA7"/>
    <w:rsid w:val="648A7D57"/>
    <w:rsid w:val="66650B07"/>
    <w:rsid w:val="67B4380B"/>
    <w:rsid w:val="69CF6529"/>
    <w:rsid w:val="6A50643C"/>
    <w:rsid w:val="6B140620"/>
    <w:rsid w:val="6BC073E9"/>
    <w:rsid w:val="6C263303"/>
    <w:rsid w:val="6D315620"/>
    <w:rsid w:val="6D450EFD"/>
    <w:rsid w:val="6DD02D16"/>
    <w:rsid w:val="6E1D1013"/>
    <w:rsid w:val="6E8D35AE"/>
    <w:rsid w:val="6F2B5E37"/>
    <w:rsid w:val="703B1264"/>
    <w:rsid w:val="71AA1A01"/>
    <w:rsid w:val="729C53EC"/>
    <w:rsid w:val="7369189F"/>
    <w:rsid w:val="73A64D88"/>
    <w:rsid w:val="745429CA"/>
    <w:rsid w:val="745A4281"/>
    <w:rsid w:val="75442FD9"/>
    <w:rsid w:val="76D27870"/>
    <w:rsid w:val="7839515F"/>
    <w:rsid w:val="79630A43"/>
    <w:rsid w:val="79CC2346"/>
    <w:rsid w:val="7A7A57CE"/>
    <w:rsid w:val="7AE40250"/>
    <w:rsid w:val="7AFB065D"/>
    <w:rsid w:val="7AFE19CA"/>
    <w:rsid w:val="7B122632"/>
    <w:rsid w:val="7BE52C94"/>
    <w:rsid w:val="7C6A78A0"/>
    <w:rsid w:val="7CB11ECD"/>
    <w:rsid w:val="7E5404C2"/>
    <w:rsid w:val="7E8C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Indent"/>
    <w:basedOn w:val="1"/>
    <w:qFormat/>
    <w:uiPriority w:val="0"/>
    <w:pPr>
      <w:spacing w:line="360" w:lineRule="auto"/>
      <w:ind w:firstLine="570"/>
    </w:pPr>
    <w:rPr>
      <w:sz w:val="24"/>
    </w:rPr>
  </w:style>
  <w:style w:type="paragraph" w:styleId="7">
    <w:name w:val="Normal (Web)"/>
    <w:basedOn w:val="1"/>
    <w:next w:val="8"/>
    <w:qFormat/>
    <w:uiPriority w:val="99"/>
    <w:rPr>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First Indent 2"/>
    <w:basedOn w:val="6"/>
    <w:qFormat/>
    <w:uiPriority w:val="0"/>
    <w:pPr>
      <w:ind w:firstLine="420" w:firstLineChars="200"/>
    </w:pPr>
  </w:style>
  <w:style w:type="paragraph" w:customStyle="1" w:styleId="12">
    <w:name w:val="Normal (Web)"/>
    <w:basedOn w:val="1"/>
    <w:next w:val="8"/>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995</Words>
  <Characters>1152</Characters>
  <Lines>0</Lines>
  <Paragraphs>0</Paragraphs>
  <TotalTime>33</TotalTime>
  <ScaleCrop>false</ScaleCrop>
  <LinksUpToDate>false</LinksUpToDate>
  <CharactersWithSpaces>1235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2021-06-17T08:48:00Z</dcterms:created>
  <dc:creator>0℃</dc:creator>
  <cp:lastModifiedBy>她说：</cp:lastModifiedBy>
  <cp:lastPrinted>2021-06-21T06:52:00Z</cp:lastPrinted>
  <dcterms:modified xsi:type="dcterms:W3CDTF">2022-06-21T03:58:38Z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3283240DC52F40F384DE8BBACBA23619</vt:lpwstr>
  </property>
</Properties>
</file>