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江苏江南工程管理咨询有限公司</w:t>
      </w:r>
      <w:r>
        <w:rPr>
          <w:rFonts w:hint="eastAsia" w:ascii="宋体" w:hAnsi="宋体" w:eastAsia="宋体"/>
          <w:b/>
          <w:sz w:val="32"/>
          <w:szCs w:val="32"/>
        </w:rPr>
        <w:t>关于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赣州市农田灌溉水有效利用系数测算分析技术支撑项目</w:t>
      </w:r>
      <w:r>
        <w:rPr>
          <w:rFonts w:hint="eastAsia" w:ascii="宋体" w:hAnsi="宋体" w:eastAsia="宋体"/>
          <w:b/>
          <w:sz w:val="32"/>
          <w:szCs w:val="32"/>
        </w:rPr>
        <w:t>（项目编号：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JSJN2022-GZ-C002</w:t>
      </w:r>
      <w:r>
        <w:rPr>
          <w:rFonts w:hint="eastAsia" w:ascii="宋体" w:hAnsi="宋体" w:eastAsia="宋体"/>
          <w:b/>
          <w:sz w:val="32"/>
          <w:szCs w:val="32"/>
        </w:rPr>
        <w:t>）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竞争性磋商</w:t>
      </w:r>
      <w:r>
        <w:rPr>
          <w:rFonts w:hint="eastAsia" w:ascii="宋体" w:hAnsi="宋体" w:eastAsia="宋体"/>
          <w:b/>
          <w:sz w:val="32"/>
          <w:szCs w:val="32"/>
        </w:rPr>
        <w:t>的采购公告</w:t>
      </w:r>
    </w:p>
    <w:tbl>
      <w:tblPr>
        <w:tblStyle w:val="10"/>
        <w:tblW w:w="99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35" w:line="336" w:lineRule="auto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项目概况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firstLine="480" w:firstLineChars="200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  <w:lang w:eastAsia="zh-CN"/>
              </w:rPr>
              <w:t>赣州市农田灌溉水有效利用系数测算分析技术支撑项目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</w:rPr>
              <w:t>)</w:t>
            </w:r>
            <w:r>
              <w:rPr>
                <w:rFonts w:ascii="宋体" w:hAnsi="宋体" w:eastAsia="宋体"/>
                <w:sz w:val="24"/>
                <w:szCs w:val="24"/>
              </w:rPr>
              <w:t>招标项目的潜在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ascii="宋体" w:hAnsi="宋体" w:eastAsia="宋体"/>
                <w:sz w:val="24"/>
                <w:szCs w:val="24"/>
              </w:rPr>
              <w:t>应在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t>江苏江南工程管理咨询有限公司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  <w:lang w:eastAsia="zh-CN"/>
              </w:rPr>
              <w:t>赣州市章贡区客家大道中段博德星泰名苑4栋北店面10号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</w:rPr>
              <w:t>）</w:t>
            </w:r>
            <w:r>
              <w:rPr>
                <w:rFonts w:ascii="宋体" w:hAnsi="宋体" w:eastAsia="宋体"/>
                <w:sz w:val="24"/>
                <w:szCs w:val="24"/>
              </w:rPr>
              <w:t>获取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磋商</w:t>
            </w:r>
            <w:r>
              <w:rPr>
                <w:rFonts w:ascii="宋体" w:hAnsi="宋体" w:eastAsia="宋体"/>
                <w:sz w:val="24"/>
                <w:szCs w:val="24"/>
              </w:rPr>
              <w:t>文件，并于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>2022</w:t>
            </w:r>
            <w:r>
              <w:rPr>
                <w:rFonts w:ascii="宋体" w:hAnsi="宋体" w:eastAsia="宋体"/>
                <w:sz w:val="24"/>
                <w:szCs w:val="24"/>
                <w:u w:val="single" w:color="000000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  <w:u w:val="single" w:color="000000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  <w:lang w:val="en-US" w:eastAsia="zh-CN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u w:val="single" w:color="000000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  <w:lang w:val="en-US" w:eastAsia="zh-CN"/>
              </w:rPr>
              <w:t>09</w:t>
            </w:r>
            <w:r>
              <w:rPr>
                <w:rFonts w:ascii="宋体" w:hAnsi="宋体" w:eastAsia="宋体"/>
                <w:sz w:val="24"/>
                <w:szCs w:val="24"/>
                <w:u w:val="single" w:color="000000"/>
              </w:rPr>
              <w:t>点</w:t>
            </w:r>
            <w:r>
              <w:rPr>
                <w:rFonts w:hint="eastAsia" w:ascii="宋体" w:hAnsi="宋体" w:eastAsia="宋体"/>
                <w:sz w:val="24"/>
                <w:szCs w:val="24"/>
                <w:u w:val="single" w:color="000000"/>
                <w:lang w:val="en-US" w:eastAsia="zh-CN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u w:val="single" w:color="000000"/>
              </w:rPr>
              <w:t>分</w:t>
            </w:r>
            <w:r>
              <w:rPr>
                <w:rFonts w:ascii="宋体" w:hAnsi="宋体" w:eastAsia="宋体"/>
                <w:sz w:val="24"/>
                <w:szCs w:val="24"/>
                <w:u w:val="none" w:color="auto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北京时间）前递交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响应</w:t>
            </w:r>
            <w:r>
              <w:rPr>
                <w:rFonts w:ascii="宋体" w:hAnsi="宋体" w:eastAsia="宋体"/>
                <w:sz w:val="24"/>
                <w:szCs w:val="24"/>
              </w:rPr>
              <w:t>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default" w:ascii="宋体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eastAsia="zh-CN"/>
        </w:rPr>
        <w:t>JSJN2022-GZ-C002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default" w:ascii="宋体" w:hAnsi="宋体" w:eastAsia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/>
          <w:sz w:val="24"/>
          <w:szCs w:val="24"/>
          <w:u w:val="single" w:color="000000"/>
          <w:lang w:eastAsia="zh-CN"/>
        </w:rPr>
        <w:t>赣州市农田灌溉水有效利用系数测算分析技术支撑项目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u w:val="single" w:color="00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采购方式：</w:t>
      </w:r>
      <w:r>
        <w:rPr>
          <w:rFonts w:ascii="宋体" w:hAnsi="宋体" w:eastAsia="宋体"/>
          <w:sz w:val="22"/>
          <w:szCs w:val="22"/>
        </w:rPr>
        <w:fldChar w:fldCharType="begin"/>
      </w:r>
      <w:r>
        <w:rPr>
          <w:rFonts w:ascii="宋体" w:hAnsi="宋体" w:eastAsia="宋体"/>
          <w:sz w:val="22"/>
          <w:szCs w:val="22"/>
        </w:rPr>
        <w:instrText xml:space="preserve"> </w:instrText>
      </w:r>
      <w:r>
        <w:rPr>
          <w:rFonts w:hint="eastAsia" w:ascii="宋体" w:hAnsi="宋体" w:eastAsia="宋体"/>
          <w:sz w:val="22"/>
          <w:szCs w:val="22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3"/>
          <w:szCs w:val="22"/>
        </w:rPr>
        <w:instrText xml:space="preserve">□</w:instrText>
      </w:r>
      <w:r>
        <w:rPr>
          <w:rFonts w:hint="eastAsia" w:ascii="宋体" w:hAnsi="宋体" w:eastAsia="宋体"/>
          <w:position w:val="0"/>
          <w:sz w:val="22"/>
          <w:szCs w:val="22"/>
        </w:rPr>
        <w:instrText xml:space="preserve">)</w:instrText>
      </w:r>
      <w:r>
        <w:rPr>
          <w:rFonts w:ascii="宋体" w:hAnsi="宋体" w:eastAsia="宋体"/>
          <w:sz w:val="22"/>
          <w:szCs w:val="22"/>
        </w:rPr>
        <w:fldChar w:fldCharType="end"/>
      </w:r>
      <w:r>
        <w:rPr>
          <w:rFonts w:hint="eastAsia" w:ascii="宋体" w:hAnsi="宋体" w:eastAsia="宋体"/>
          <w:sz w:val="22"/>
          <w:szCs w:val="22"/>
          <w:lang w:eastAsia="zh-CN"/>
        </w:rPr>
        <w:t>竞争性磋商</w:t>
      </w:r>
      <w:r>
        <w:rPr>
          <w:rFonts w:hint="eastAsia" w:ascii="宋体" w:hAnsi="宋体" w:eastAsia="宋体"/>
          <w:sz w:val="22"/>
          <w:szCs w:val="22"/>
        </w:rPr>
        <w:t xml:space="preserve">  </w:t>
      </w:r>
      <w:r>
        <w:rPr>
          <w:rFonts w:ascii="宋体" w:hAnsi="宋体" w:eastAsia="宋体"/>
          <w:sz w:val="22"/>
          <w:szCs w:val="22"/>
        </w:rPr>
        <w:fldChar w:fldCharType="begin"/>
      </w:r>
      <w:r>
        <w:rPr>
          <w:rFonts w:ascii="宋体" w:hAnsi="宋体" w:eastAsia="宋体"/>
          <w:sz w:val="22"/>
          <w:szCs w:val="22"/>
        </w:rPr>
        <w:instrText xml:space="preserve"> </w:instrText>
      </w:r>
      <w:r>
        <w:rPr>
          <w:rFonts w:hint="eastAsia" w:ascii="宋体" w:hAnsi="宋体" w:eastAsia="宋体"/>
          <w:sz w:val="22"/>
          <w:szCs w:val="22"/>
        </w:rPr>
        <w:instrText xml:space="preserve">eq \o\ac(</w:instrText>
      </w:r>
      <w:r>
        <w:rPr>
          <w:rFonts w:hint="eastAsia" w:ascii="宋体" w:hAnsi="宋体" w:eastAsia="宋体"/>
          <w:position w:val="-4"/>
          <w:sz w:val="33"/>
          <w:szCs w:val="22"/>
        </w:rPr>
        <w:instrText xml:space="preserve">□</w:instrText>
      </w:r>
      <w:r>
        <w:rPr>
          <w:rFonts w:hint="eastAsia" w:ascii="宋体" w:hAnsi="宋体" w:eastAsia="宋体"/>
          <w:position w:val="-4"/>
          <w:sz w:val="33"/>
          <w:szCs w:val="22"/>
          <w:lang w:eastAsia="zh-CN"/>
        </w:rPr>
        <w:instrText xml:space="preserve">,</w:instrText>
      </w:r>
      <w:r>
        <w:rPr>
          <w:rFonts w:hint="eastAsia" w:ascii="宋体" w:hAnsi="宋体" w:eastAsia="宋体"/>
          <w:position w:val="0"/>
          <w:sz w:val="23"/>
          <w:szCs w:val="22"/>
          <w:lang w:eastAsia="zh-CN"/>
        </w:rPr>
        <w:instrText xml:space="preserve">√</w:instrText>
      </w:r>
      <w:r>
        <w:rPr>
          <w:rFonts w:hint="eastAsia" w:ascii="宋体" w:hAnsi="宋体" w:eastAsia="宋体"/>
          <w:position w:val="0"/>
          <w:sz w:val="22"/>
          <w:szCs w:val="22"/>
        </w:rPr>
        <w:instrText xml:space="preserve">)</w:instrText>
      </w:r>
      <w:r>
        <w:rPr>
          <w:rFonts w:ascii="宋体" w:hAnsi="宋体" w:eastAsia="宋体"/>
          <w:sz w:val="22"/>
          <w:szCs w:val="22"/>
        </w:rPr>
        <w:fldChar w:fldCharType="end"/>
      </w:r>
      <w:r>
        <w:rPr>
          <w:rFonts w:hint="eastAsia" w:ascii="宋体" w:hAnsi="宋体" w:eastAsia="宋体"/>
          <w:sz w:val="22"/>
          <w:szCs w:val="22"/>
        </w:rPr>
        <w:t>竞争性磋商  □询价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预算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总</w:t>
      </w:r>
      <w:r>
        <w:rPr>
          <w:rFonts w:hint="eastAsia" w:ascii="宋体" w:hAnsi="宋体" w:eastAsia="宋体"/>
          <w:color w:val="auto"/>
          <w:sz w:val="24"/>
          <w:szCs w:val="24"/>
        </w:rPr>
        <w:t>金额：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肆拾玖万元整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（¥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490000.00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采购需求：（包括但不限于标的的名称、数量、简要技术需求或服务要求等）</w:t>
      </w:r>
    </w:p>
    <w:tbl>
      <w:tblPr>
        <w:tblStyle w:val="10"/>
        <w:tblW w:w="9937" w:type="dxa"/>
        <w:tblInd w:w="3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90"/>
        <w:gridCol w:w="5805"/>
        <w:gridCol w:w="495"/>
        <w:gridCol w:w="526"/>
        <w:gridCol w:w="10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内服务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简要技术需求或服务要求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赣州市农田灌溉水有效利用系数测算分析技术支撑项目</w:t>
            </w:r>
          </w:p>
        </w:tc>
        <w:tc>
          <w:tcPr>
            <w:tcW w:w="580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服务内容：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中标单位需按照《全国农田灌溉水有效利用系数测算分析技术指导细则》要求，按时保质完成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赣州市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年度农田灌溉水有效利用系数的资料收集、数据汇总分析、测算分析报告编制和系统上报工作，并通过江西省赣州市、江西省水利厅组织的审查验收。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二、服务期限：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>自签订合同之日起4个月内提交成果文件。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490000.00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备注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本项目仅允许国内供应商参与投标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本项目（是/否）接受联合体：否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（5</w:t>
      </w:r>
      <w:r>
        <w:rPr>
          <w:rFonts w:hint="eastAsia" w:ascii="宋体" w:hAnsi="宋体" w:eastAsia="宋体"/>
          <w:sz w:val="24"/>
          <w:szCs w:val="24"/>
          <w:highlight w:val="none"/>
        </w:rPr>
        <w:t>）参加政府采购活动前三年内，在经营活动中没有重大违法记录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default" w:ascii="宋体" w:hAnsi="宋体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2.特定资格条件：无。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三、获取</w:t>
      </w:r>
      <w:r>
        <w:rPr>
          <w:rFonts w:hint="eastAsia" w:ascii="宋体" w:hAnsi="宋体" w:eastAsia="宋体"/>
          <w:b/>
          <w:sz w:val="24"/>
          <w:szCs w:val="24"/>
          <w:highlight w:val="none"/>
          <w:lang w:eastAsia="zh-CN"/>
        </w:rPr>
        <w:t>竞争性磋商</w:t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2" w:firstLineChars="200"/>
        <w:textAlignment w:val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20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日</w:t>
      </w: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至20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24</w:t>
      </w:r>
      <w:r>
        <w:rPr>
          <w:rFonts w:ascii="宋体" w:hAnsi="宋体" w:cs="宋体"/>
          <w:b/>
          <w:bCs/>
          <w:color w:val="auto"/>
          <w:kern w:val="0"/>
          <w:sz w:val="24"/>
          <w:highlight w:val="none"/>
        </w:rPr>
        <w:t>日</w:t>
      </w:r>
      <w:r>
        <w:rPr>
          <w:rFonts w:ascii="宋体" w:hAnsi="宋体" w:cs="宋体"/>
          <w:color w:val="auto"/>
          <w:kern w:val="0"/>
          <w:sz w:val="24"/>
          <w:highlight w:val="none"/>
        </w:rPr>
        <w:t>（工作日内）上午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ascii="宋体" w:hAnsi="宋体" w:cs="宋体"/>
          <w:color w:val="auto"/>
          <w:kern w:val="0"/>
          <w:sz w:val="24"/>
          <w:highlight w:val="none"/>
        </w:rPr>
        <w:t>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0——1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</w:t>
      </w:r>
      <w:r>
        <w:rPr>
          <w:rFonts w:ascii="宋体" w:hAnsi="宋体" w:cs="宋体"/>
          <w:color w:val="auto"/>
          <w:kern w:val="0"/>
          <w:sz w:val="24"/>
          <w:highlight w:val="none"/>
        </w:rPr>
        <w:t>∶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0，下午1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ascii="宋体" w:hAnsi="宋体" w:cs="宋体"/>
          <w:color w:val="auto"/>
          <w:kern w:val="0"/>
          <w:sz w:val="24"/>
          <w:highlight w:val="none"/>
        </w:rPr>
        <w:t>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0——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17</w:t>
      </w:r>
      <w:r>
        <w:rPr>
          <w:rFonts w:ascii="宋体" w:hAnsi="宋体" w:cs="宋体"/>
          <w:color w:val="auto"/>
          <w:kern w:val="0"/>
          <w:sz w:val="24"/>
          <w:highlight w:val="none"/>
        </w:rPr>
        <w:t>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0，在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江苏江南工程管理咨询有限公司报名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（赣州市章贡区客家大道中段博德星泰名苑4栋北店面10号）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，或网上邮件报名，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磋商文件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200.00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2" w:firstLineChars="200"/>
        <w:textAlignment w:val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获取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方式：</w:t>
      </w:r>
      <w:r>
        <w:rPr>
          <w:rFonts w:hint="eastAsia" w:ascii="宋体" w:hAnsi="宋体" w:eastAsia="宋体"/>
          <w:sz w:val="24"/>
          <w:szCs w:val="24"/>
          <w:highlight w:val="none"/>
        </w:rPr>
        <w:t>现场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/>
          <w:sz w:val="24"/>
          <w:szCs w:val="24"/>
          <w:highlight w:val="none"/>
        </w:rPr>
        <w:t>或网上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邮件</w:t>
      </w:r>
      <w:r>
        <w:rPr>
          <w:rFonts w:hint="eastAsia" w:ascii="宋体" w:hAnsi="宋体" w:eastAsia="宋体"/>
          <w:sz w:val="24"/>
          <w:szCs w:val="24"/>
          <w:highlight w:val="none"/>
        </w:rPr>
        <w:t>报名；采用网上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邮件</w:t>
      </w:r>
      <w:r>
        <w:rPr>
          <w:rFonts w:hint="eastAsia" w:ascii="宋体" w:hAnsi="宋体" w:eastAsia="宋体"/>
          <w:sz w:val="24"/>
          <w:szCs w:val="24"/>
          <w:highlight w:val="none"/>
        </w:rPr>
        <w:t>报名的，供应商需将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公司</w:t>
      </w:r>
      <w:r>
        <w:rPr>
          <w:rFonts w:hint="eastAsia" w:ascii="宋体" w:hAnsi="宋体" w:eastAsia="宋体"/>
          <w:sz w:val="24"/>
          <w:szCs w:val="24"/>
          <w:highlight w:val="none"/>
        </w:rPr>
        <w:t>名称、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公司地址、</w:t>
      </w:r>
      <w:r>
        <w:rPr>
          <w:rFonts w:hint="eastAsia" w:ascii="宋体" w:hAnsi="宋体" w:eastAsia="宋体"/>
          <w:sz w:val="24"/>
          <w:szCs w:val="24"/>
          <w:highlight w:val="none"/>
        </w:rPr>
        <w:t>项目名称、项目编号、申请人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姓名及</w:t>
      </w:r>
      <w:r>
        <w:rPr>
          <w:rFonts w:hint="eastAsia" w:ascii="宋体" w:hAnsi="宋体" w:eastAsia="宋体"/>
          <w:sz w:val="24"/>
          <w:szCs w:val="24"/>
          <w:highlight w:val="none"/>
        </w:rPr>
        <w:t>联系方式、报名费转账凭证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转账请备注公司简称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</w:rPr>
        <w:t>等信息通过电子邮件发送至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1205804312@qq.com</w:t>
      </w:r>
      <w:r>
        <w:rPr>
          <w:rFonts w:hint="eastAsia" w:ascii="宋体" w:hAnsi="宋体" w:eastAsia="宋体"/>
          <w:sz w:val="24"/>
          <w:szCs w:val="24"/>
          <w:highlight w:val="none"/>
        </w:rPr>
        <w:t>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售价：</w:t>
      </w:r>
      <w:r>
        <w:rPr>
          <w:rFonts w:hint="eastAsia" w:ascii="宋体" w:hAnsi="宋体" w:eastAsia="宋体"/>
          <w:sz w:val="24"/>
          <w:szCs w:val="24"/>
          <w:highlight w:val="none"/>
        </w:rPr>
        <w:t>文件</w:t>
      </w:r>
      <w:r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  <w:t>工本费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00</w:t>
      </w:r>
      <w:r>
        <w:rPr>
          <w:rFonts w:ascii="宋体" w:hAnsi="宋体" w:eastAsia="宋体" w:cs="Times New Roman"/>
          <w:bCs/>
          <w:color w:val="auto"/>
          <w:sz w:val="24"/>
          <w:szCs w:val="24"/>
          <w:highlight w:val="none"/>
        </w:rPr>
        <w:t>元/本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四、响应文件提交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2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午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（北京时间），磋商地点：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（赣州市章贡区客家大道中段博德星泰名苑4栋北店面10号）</w:t>
      </w:r>
      <w:r>
        <w:rPr>
          <w:rFonts w:ascii="宋体" w:hAnsi="宋体" w:cs="宋体"/>
          <w:color w:val="auto"/>
          <w:kern w:val="0"/>
          <w:sz w:val="24"/>
          <w:highlight w:val="none"/>
        </w:rPr>
        <w:t>在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江苏江南工程管理咨询有限公司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开标室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，届时请供应商的法人代表（单位负责人或自然人）或经正式授权的代表携带本人身份证明原件出席磋商会议。逾期递交响应文件或未出示法人代表（单位负责人或自然人）或经正式授权的代表其本人身份证明原件的将不予受理，作无效响应处理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五、开启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2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/>
          <w:sz w:val="24"/>
          <w:szCs w:val="24"/>
          <w:highlight w:val="none"/>
        </w:rPr>
        <w:t>点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  <w:highlight w:val="none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地点：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江苏江南工程管理咨询有限公司</w:t>
      </w:r>
      <w:r>
        <w:rPr>
          <w:rFonts w:hint="eastAsia" w:ascii="宋体" w:hAnsi="宋体" w:eastAsia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赣州市章贡区客家大道中段博德星泰名苑4栋北店面10号）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3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  <w:highlight w:val="none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36" w:lineRule="auto"/>
        <w:ind w:firstLine="573"/>
        <w:textAlignment w:val="auto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</w:rPr>
        <w:t>七、其他补充事宜</w:t>
      </w:r>
    </w:p>
    <w:p>
      <w:pPr>
        <w:spacing w:line="360" w:lineRule="auto"/>
        <w:rPr>
          <w:rFonts w:hint="eastAsia" w:ascii="宋体" w:hAnsi="宋体" w:cs="宋体" w:eastAsiaTheme="minorEastAsia"/>
          <w:bCs/>
          <w:sz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1.</w:t>
      </w:r>
      <w:r>
        <w:rPr>
          <w:rFonts w:ascii="宋体" w:hAnsi="宋体" w:cs="宋体"/>
          <w:b/>
          <w:bCs/>
          <w:kern w:val="0"/>
          <w:sz w:val="24"/>
          <w:highlight w:val="none"/>
        </w:rPr>
        <w:t>响应保证金：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投标人的响应保证金人民币：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玖仟捌佰元整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9800.00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）；须在开标截止前（以到账时间为准）</w:t>
      </w:r>
      <w:r>
        <w:rPr>
          <w:rFonts w:hint="eastAsia" w:ascii="宋体" w:hAnsi="宋体" w:cs="宋体"/>
          <w:color w:val="auto"/>
          <w:sz w:val="24"/>
          <w:highlight w:val="none"/>
        </w:rPr>
        <w:t>从响应供应商的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基本账户</w:t>
      </w:r>
      <w:r>
        <w:rPr>
          <w:rFonts w:hint="eastAsia" w:ascii="宋体" w:hAnsi="宋体" w:cs="宋体"/>
          <w:color w:val="auto"/>
          <w:sz w:val="24"/>
          <w:highlight w:val="none"/>
        </w:rPr>
        <w:t>转入采购代理机构指定账户，否则响应无效。未成交人的响应保证金</w:t>
      </w:r>
      <w:r>
        <w:rPr>
          <w:rFonts w:ascii="宋体" w:cs="宋体"/>
          <w:color w:val="auto"/>
          <w:sz w:val="24"/>
          <w:highlight w:val="none"/>
        </w:rPr>
        <w:t>,</w:t>
      </w:r>
      <w:r>
        <w:rPr>
          <w:rFonts w:hint="eastAsia" w:ascii="宋体" w:hAnsi="宋体" w:cs="宋体"/>
          <w:color w:val="auto"/>
          <w:sz w:val="24"/>
          <w:highlight w:val="none"/>
        </w:rPr>
        <w:t>在《成交通知书》发出之日起五个工作日内无息退还；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质疑或投诉时，在质疑或投诉处理完毕后五个工作日内退还。成交供应商的响应保证金，在采购合同签订后5个工作日内退还。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2.采购代理服务费：本项目采购代理服务费向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/>
          <w:sz w:val="24"/>
          <w:szCs w:val="24"/>
          <w:highlight w:val="none"/>
        </w:rPr>
        <w:t>收取，收费标准详见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eastAsia="宋体"/>
          <w:sz w:val="24"/>
          <w:szCs w:val="24"/>
          <w:highlight w:val="none"/>
        </w:rPr>
        <w:t>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3.政府采购政策：本项目采购将落实小微企业、监狱企业、残疾人福利性单位等政府采购政策、具体规定详见竞争性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磋商文件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4.新冠肺炎疫情期间防控要求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（1）代理机构将分别对参与开标人员健康情况开展排查，做好排查登记，不得漏排、瞒报。对未按规定履行排查责任，造成疫情传播或其他严重后果的，依法依规进行处理。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（2）有下列情形之一的人员，一律不得进入开标评标现场：一是最近 14 天接触过新冠肺炎疑似或确诊患者的；二是来自重疫区或境外输入人员隔离期未满的；三是近期有发热、乏力、干咳、气促等可疑症状的；四是现场测量体（额）温超过 37.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highlight w:val="none"/>
        </w:rPr>
        <w:t>℃的；五是进入开标评标现场未带口罩的。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（3）做好健康信息登记备案。参加开评标活动的供应商代表、评标专家等有关人员应当携带居民身份证及《开评标人员健康信息登记表》（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详见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文件附件</w:t>
      </w:r>
      <w:r>
        <w:rPr>
          <w:rFonts w:hint="eastAsia" w:ascii="宋体" w:hAnsi="宋体" w:eastAsia="宋体"/>
          <w:sz w:val="24"/>
          <w:szCs w:val="24"/>
          <w:highlight w:val="none"/>
        </w:rPr>
        <w:t>），供应商代表还需加盖所在单位公章，评标专家在开标现场填写。《开评标人员健康信息登记表》由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采购代理机构</w:t>
      </w:r>
      <w:r>
        <w:rPr>
          <w:rFonts w:hint="eastAsia" w:ascii="宋体" w:hAnsi="宋体" w:eastAsia="宋体"/>
          <w:sz w:val="24"/>
          <w:szCs w:val="24"/>
          <w:highlight w:val="none"/>
        </w:rPr>
        <w:t>保存备查。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（4）自开评标次日起14天内，开评标活动参加人员确诊为新冠肺炎、出现疑似症状被医学观察或被采取其他强制隔离措施的，应立即通知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采购代理机构</w:t>
      </w:r>
      <w:r>
        <w:rPr>
          <w:rFonts w:hint="eastAsia" w:ascii="宋体" w:hAnsi="宋体" w:eastAsia="宋体"/>
          <w:sz w:val="24"/>
          <w:szCs w:val="24"/>
          <w:highlight w:val="none"/>
        </w:rPr>
        <w:t>、招投标监管部门。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" w:line="336" w:lineRule="auto"/>
        <w:ind w:right="45"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5）场内人员全程戴口罩，保持适当距离就坐，杜绝人员扎堆聚集。在疫情防控期间，原则上一家供应商只允许一位供应商代表进入开标会现场，以增加开评标活动空间，确保现场人员合理间隔距离，强化现场疫情防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八、凡对本次公告内容提出询问，请按以下方式联系：</w:t>
      </w:r>
    </w:p>
    <w:p>
      <w:pPr>
        <w:spacing w:line="360" w:lineRule="auto"/>
        <w:rPr>
          <w:rFonts w:ascii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采购人：赣州市水利局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地址：赣州市市政中心双子楼北楼</w:t>
      </w:r>
      <w:r>
        <w:rPr>
          <w:rFonts w:ascii="宋体" w:hAnsi="宋体" w:cs="宋体"/>
          <w:kern w:val="0"/>
          <w:sz w:val="24"/>
          <w:highlight w:val="none"/>
        </w:rPr>
        <w:t>11</w:t>
      </w:r>
      <w:r>
        <w:rPr>
          <w:rFonts w:hint="eastAsia" w:ascii="宋体" w:hAnsi="宋体" w:cs="宋体"/>
          <w:kern w:val="0"/>
          <w:sz w:val="24"/>
          <w:highlight w:val="none"/>
        </w:rPr>
        <w:t>楼</w:t>
      </w:r>
    </w:p>
    <w:p>
      <w:pPr>
        <w:widowControl/>
        <w:spacing w:line="360" w:lineRule="auto"/>
        <w:jc w:val="left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联系人：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魏女士</w:t>
      </w:r>
    </w:p>
    <w:p>
      <w:pPr>
        <w:widowControl/>
        <w:spacing w:line="360" w:lineRule="auto"/>
        <w:jc w:val="left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电话：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15007978902</w:t>
      </w:r>
    </w:p>
    <w:p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代理机构：江苏江南工程管理咨询有限公司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地址：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赣州市章贡区客家大道中段博德星泰名苑4栋北店面10号</w:t>
      </w:r>
    </w:p>
    <w:p>
      <w:pPr>
        <w:widowControl/>
        <w:spacing w:line="360" w:lineRule="auto"/>
        <w:jc w:val="left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电话：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13479994309</w:t>
      </w:r>
    </w:p>
    <w:p>
      <w:pPr>
        <w:widowControl/>
        <w:spacing w:line="360" w:lineRule="auto"/>
        <w:jc w:val="left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邮箱：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1205804312@qq.com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联系人：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陈先生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银行账号：</w:t>
      </w:r>
      <w:r>
        <w:rPr>
          <w:rFonts w:ascii="宋体" w:hAnsi="宋体" w:cs="宋体"/>
          <w:kern w:val="0"/>
          <w:sz w:val="24"/>
          <w:highlight w:val="none"/>
        </w:rPr>
        <w:t>632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highlight w:val="none"/>
        </w:rPr>
        <w:t>021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highlight w:val="none"/>
        </w:rPr>
        <w:t>818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户</w:t>
      </w:r>
      <w:r>
        <w:rPr>
          <w:rFonts w:ascii="宋体" w:cs="宋体"/>
          <w:kern w:val="0"/>
          <w:sz w:val="24"/>
          <w:highlight w:val="none"/>
        </w:rPr>
        <w:t>  </w:t>
      </w:r>
      <w:r>
        <w:rPr>
          <w:rFonts w:hint="eastAsia" w:ascii="宋体" w:hAnsi="宋体" w:cs="宋体"/>
          <w:kern w:val="0"/>
          <w:sz w:val="24"/>
          <w:highlight w:val="none"/>
        </w:rPr>
        <w:t>名：江苏江南工程管理咨询有限公司江西分公司</w:t>
      </w:r>
      <w:r>
        <w:rPr>
          <w:rFonts w:ascii="宋体" w:cs="宋体"/>
          <w:kern w:val="0"/>
          <w:sz w:val="24"/>
          <w:highlight w:val="none"/>
        </w:rPr>
        <w:br w:type="textWrapping"/>
      </w:r>
      <w:r>
        <w:rPr>
          <w:rFonts w:hint="eastAsia" w:ascii="宋体" w:hAnsi="宋体" w:cs="宋体"/>
          <w:kern w:val="0"/>
          <w:sz w:val="24"/>
          <w:highlight w:val="none"/>
        </w:rPr>
        <w:t>开户行：中国民生银行股份有限公司赣州营业部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2959" w:leftChars="266" w:hanging="2400" w:hangingChars="1000"/>
        <w:jc w:val="right"/>
        <w:textAlignment w:val="auto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/>
          <w:sz w:val="24"/>
          <w:szCs w:val="24"/>
          <w:lang w:eastAsia="zh-CN"/>
        </w:rPr>
        <w:t>江苏江南工程管理咨询有限公司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2959" w:leftChars="266" w:hanging="2400" w:hangingChars="1000"/>
        <w:jc w:val="right"/>
        <w:textAlignment w:val="auto"/>
        <w:rPr>
          <w:rFonts w:cs="仿宋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2959" w:leftChars="266" w:hanging="2400" w:hangingChars="1000"/>
        <w:jc w:val="righ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20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cs="仿宋" w:asciiTheme="minorEastAsia" w:hAnsiTheme="minorEastAsia"/>
          <w:sz w:val="24"/>
          <w:szCs w:val="24"/>
        </w:rPr>
        <w:t>年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仿宋" w:asciiTheme="minorEastAsia" w:hAnsiTheme="minorEastAsia"/>
          <w:sz w:val="24"/>
          <w:szCs w:val="24"/>
        </w:rPr>
        <w:t>月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cs="仿宋" w:asciiTheme="minorEastAsia" w:hAnsiTheme="minorEastAsia"/>
          <w:sz w:val="24"/>
          <w:szCs w:val="24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07FB9"/>
    <w:multiLevelType w:val="singleLevel"/>
    <w:tmpl w:val="77807F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jA5N2U2ZDEyYzc2ZDkzY2U2MzFhYzUyNjQxNWUifQ=="/>
  </w:docVars>
  <w:rsids>
    <w:rsidRoot w:val="007324F7"/>
    <w:rsid w:val="00167C20"/>
    <w:rsid w:val="001A0863"/>
    <w:rsid w:val="00324C51"/>
    <w:rsid w:val="00367C4C"/>
    <w:rsid w:val="003F6200"/>
    <w:rsid w:val="00423670"/>
    <w:rsid w:val="00484819"/>
    <w:rsid w:val="004E351B"/>
    <w:rsid w:val="006514F0"/>
    <w:rsid w:val="006950DF"/>
    <w:rsid w:val="007324F7"/>
    <w:rsid w:val="007469B3"/>
    <w:rsid w:val="00825535"/>
    <w:rsid w:val="0096483B"/>
    <w:rsid w:val="009926ED"/>
    <w:rsid w:val="00A23F80"/>
    <w:rsid w:val="00A84DF9"/>
    <w:rsid w:val="00A90C3D"/>
    <w:rsid w:val="00AF4ED9"/>
    <w:rsid w:val="00C505C4"/>
    <w:rsid w:val="00DC677A"/>
    <w:rsid w:val="00E41300"/>
    <w:rsid w:val="00FA30AF"/>
    <w:rsid w:val="00FB1E0D"/>
    <w:rsid w:val="016D52B5"/>
    <w:rsid w:val="09E13F63"/>
    <w:rsid w:val="0B8A4F60"/>
    <w:rsid w:val="0CE1632D"/>
    <w:rsid w:val="0F71269E"/>
    <w:rsid w:val="1070575C"/>
    <w:rsid w:val="13C506D4"/>
    <w:rsid w:val="13F63820"/>
    <w:rsid w:val="19E70343"/>
    <w:rsid w:val="1A9202F3"/>
    <w:rsid w:val="2087739D"/>
    <w:rsid w:val="21BC21DA"/>
    <w:rsid w:val="2333243D"/>
    <w:rsid w:val="24D53FD3"/>
    <w:rsid w:val="2A124CF5"/>
    <w:rsid w:val="2AD74475"/>
    <w:rsid w:val="2ECD68A0"/>
    <w:rsid w:val="2ED93A8D"/>
    <w:rsid w:val="31BD6F8D"/>
    <w:rsid w:val="36E0530A"/>
    <w:rsid w:val="38623EEC"/>
    <w:rsid w:val="3A1E4ACF"/>
    <w:rsid w:val="3A38043A"/>
    <w:rsid w:val="44047591"/>
    <w:rsid w:val="49AE343B"/>
    <w:rsid w:val="5AA75807"/>
    <w:rsid w:val="5E232122"/>
    <w:rsid w:val="62477CBA"/>
    <w:rsid w:val="63852A97"/>
    <w:rsid w:val="6AAC2B02"/>
    <w:rsid w:val="6EDF228D"/>
    <w:rsid w:val="709028CB"/>
    <w:rsid w:val="718B4769"/>
    <w:rsid w:val="72130784"/>
    <w:rsid w:val="75C25BDB"/>
    <w:rsid w:val="78790967"/>
    <w:rsid w:val="78CF52D9"/>
    <w:rsid w:val="7930567E"/>
    <w:rsid w:val="7B646739"/>
    <w:rsid w:val="7E1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27"/>
    <w:unhideWhenUsed/>
    <w:qFormat/>
    <w:uiPriority w:val="9"/>
    <w:pPr>
      <w:keepNext/>
      <w:keepLines/>
      <w:spacing w:line="259" w:lineRule="auto"/>
      <w:ind w:left="308" w:right="293" w:hanging="10"/>
      <w:jc w:val="center"/>
      <w:outlineLvl w:val="0"/>
    </w:pPr>
    <w:rPr>
      <w:rFonts w:ascii="微软雅黑" w:hAnsi="微软雅黑" w:eastAsia="微软雅黑" w:cs="微软雅黑"/>
      <w:color w:val="000000"/>
      <w:kern w:val="0"/>
      <w:sz w:val="46"/>
      <w:szCs w:val="22"/>
      <w:lang w:val="en-US" w:eastAsia="en-US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</w:pPr>
    <w:rPr>
      <w:sz w:val="24"/>
    </w:rPr>
  </w:style>
  <w:style w:type="paragraph" w:styleId="6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Typewriter"/>
    <w:basedOn w:val="11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7">
    <w:name w:val="HTML Acronym"/>
    <w:basedOn w:val="11"/>
    <w:semiHidden/>
    <w:unhideWhenUsed/>
    <w:qFormat/>
    <w:uiPriority w:val="99"/>
  </w:style>
  <w:style w:type="character" w:styleId="18">
    <w:name w:val="HTML Variable"/>
    <w:basedOn w:val="11"/>
    <w:semiHidden/>
    <w:unhideWhenUsed/>
    <w:qFormat/>
    <w:uiPriority w:val="99"/>
  </w:style>
  <w:style w:type="character" w:styleId="19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20">
    <w:name w:val="HTML Code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semiHidden/>
    <w:unhideWhenUsed/>
    <w:qFormat/>
    <w:uiPriority w:val="99"/>
  </w:style>
  <w:style w:type="character" w:styleId="22">
    <w:name w:val="HTML Keyboard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4">
    <w:name w:val="Heading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</w:pPr>
    <w:rPr>
      <w:rFonts w:ascii="Arial" w:hAnsi="Arial" w:eastAsia="黑体"/>
      <w:b/>
      <w:sz w:val="32"/>
      <w:szCs w:val="20"/>
    </w:rPr>
  </w:style>
  <w:style w:type="character" w:customStyle="1" w:styleId="2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27">
    <w:name w:val="标题 1 Char"/>
    <w:basedOn w:val="11"/>
    <w:link w:val="3"/>
    <w:qFormat/>
    <w:uiPriority w:val="9"/>
    <w:rPr>
      <w:rFonts w:ascii="微软雅黑" w:hAnsi="微软雅黑" w:eastAsia="微软雅黑" w:cs="微软雅黑"/>
      <w:color w:val="000000"/>
      <w:kern w:val="0"/>
      <w:sz w:val="46"/>
      <w:lang w:eastAsia="en-US"/>
    </w:rPr>
  </w:style>
  <w:style w:type="character" w:customStyle="1" w:styleId="28">
    <w:name w:val="first-child"/>
    <w:basedOn w:val="11"/>
    <w:qFormat/>
    <w:uiPriority w:val="0"/>
  </w:style>
  <w:style w:type="character" w:customStyle="1" w:styleId="2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mini-outputtext1"/>
    <w:basedOn w:val="11"/>
    <w:qFormat/>
    <w:uiPriority w:val="0"/>
  </w:style>
  <w:style w:type="paragraph" w:customStyle="1" w:styleId="3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2322</Words>
  <Characters>2507</Characters>
  <Lines>19</Lines>
  <Paragraphs>5</Paragraphs>
  <TotalTime>1</TotalTime>
  <ScaleCrop>false</ScaleCrop>
  <LinksUpToDate>false</LinksUpToDate>
  <CharactersWithSpaces>2523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2020-06-30T01:52:00Z</dcterms:created>
  <dc:creator>PC</dc:creator>
  <cp:lastModifiedBy>小野君</cp:lastModifiedBy>
  <cp:lastPrinted>2020-07-31T01:07:00Z</cp:lastPrinted>
  <dcterms:modified xsi:type="dcterms:W3CDTF">2022-06-17T08:27:55Z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FE72BBB4E5694F4AB3B202871156EDB2</vt:lpwstr>
  </property>
</Properties>
</file>