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宋体" w:hAnsi="宋体"/>
          <w:b/>
          <w:color w:val="auto"/>
          <w:kern w:val="0"/>
          <w:sz w:val="28"/>
          <w:szCs w:val="18"/>
          <w:highlight w:val="none"/>
        </w:rPr>
      </w:pPr>
      <w:r>
        <w:rPr>
          <w:rFonts w:hint="eastAsia" w:ascii="宋体" w:hAnsi="宋体"/>
          <w:b/>
          <w:color w:val="auto"/>
          <w:kern w:val="0"/>
          <w:sz w:val="28"/>
          <w:szCs w:val="18"/>
          <w:highlight w:val="none"/>
        </w:rPr>
        <w:t>吉林省吉林市高新区2022年第一批保障性安居工程（城镇老旧小区改造）配套基础设施建设项目工程勘察竞争性磋商公告</w:t>
      </w:r>
    </w:p>
    <w:tbl>
      <w:tblPr>
        <w:tblStyle w:val="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9440" w:type="dxa"/>
            <w:noWrap w:val="0"/>
            <w:vAlign w:val="top"/>
          </w:tcPr>
          <w:p>
            <w:pPr>
              <w:pStyle w:val="3"/>
              <w:spacing w:line="360" w:lineRule="auto"/>
              <w:rPr>
                <w:rFonts w:hint="default" w:ascii="宋体" w:hAnsi="宋体" w:eastAsia="宋体" w:cs="宋体"/>
                <w:b/>
                <w:bCs/>
                <w:color w:val="auto"/>
                <w:kern w:val="2"/>
                <w:sz w:val="28"/>
                <w:szCs w:val="28"/>
                <w:highlight w:val="none"/>
                <w:lang w:val="en-US" w:eastAsia="zh-CN"/>
              </w:rPr>
            </w:pPr>
            <w:r>
              <w:rPr>
                <w:rFonts w:hint="default" w:ascii="宋体" w:hAnsi="宋体" w:eastAsia="宋体" w:cs="宋体"/>
                <w:b/>
                <w:bCs/>
                <w:color w:val="auto"/>
                <w:kern w:val="2"/>
                <w:sz w:val="28"/>
                <w:szCs w:val="28"/>
                <w:highlight w:val="none"/>
                <w:lang w:val="en-US" w:eastAsia="zh-CN"/>
              </w:rPr>
              <w:t>项目概况：</w:t>
            </w:r>
          </w:p>
          <w:p>
            <w:pPr>
              <w:pStyle w:val="3"/>
              <w:spacing w:line="360" w:lineRule="auto"/>
              <w:ind w:firstLine="480" w:firstLineChars="200"/>
              <w:rPr>
                <w:rFonts w:hint="default"/>
                <w:color w:val="auto"/>
                <w:szCs w:val="20"/>
                <w:highlight w:val="none"/>
                <w:vertAlign w:val="baseline"/>
              </w:rPr>
            </w:pPr>
            <w:r>
              <w:rPr>
                <w:rFonts w:hint="eastAsia" w:ascii="宋体" w:hAnsi="宋体" w:eastAsia="宋体" w:cs="宋体"/>
                <w:color w:val="auto"/>
                <w:sz w:val="24"/>
                <w:szCs w:val="24"/>
                <w:highlight w:val="none"/>
              </w:rPr>
              <w:t>吉林省吉林市高新区2022年第一批保障性安居工程（城镇老旧小区改造）配套基础设施建设项目工程勘察</w:t>
            </w:r>
            <w:r>
              <w:rPr>
                <w:rFonts w:hint="default" w:ascii="宋体" w:hAnsi="宋体" w:eastAsia="宋体" w:cs="宋体"/>
                <w:color w:val="auto"/>
                <w:kern w:val="2"/>
                <w:sz w:val="24"/>
                <w:szCs w:val="24"/>
                <w:highlight w:val="none"/>
                <w:lang w:val="en-US" w:eastAsia="zh-CN"/>
              </w:rPr>
              <w:t>的潜在供应商应在</w:t>
            </w:r>
            <w:r>
              <w:rPr>
                <w:rFonts w:hint="eastAsia" w:ascii="宋体" w:hAnsi="宋体" w:cs="微软雅黑"/>
                <w:color w:val="auto"/>
                <w:kern w:val="0"/>
                <w:sz w:val="24"/>
                <w:szCs w:val="20"/>
                <w:highlight w:val="none"/>
                <w:u w:val="none"/>
                <w:lang w:val="en-US" w:eastAsia="zh-CN"/>
              </w:rPr>
              <w:t>吉林省隆坤项目管理有限公司</w:t>
            </w:r>
            <w:r>
              <w:rPr>
                <w:rFonts w:ascii="宋体" w:hAnsi="宋体" w:cs="微软雅黑"/>
                <w:color w:val="auto"/>
                <w:kern w:val="0"/>
                <w:sz w:val="24"/>
                <w:szCs w:val="20"/>
                <w:highlight w:val="none"/>
                <w:u w:val="none"/>
              </w:rPr>
              <w:t>（吉林省吉林市船营区</w:t>
            </w:r>
            <w:r>
              <w:rPr>
                <w:rFonts w:hint="eastAsia" w:ascii="宋体" w:hAnsi="宋体" w:cs="微软雅黑"/>
                <w:color w:val="auto"/>
                <w:kern w:val="0"/>
                <w:sz w:val="24"/>
                <w:szCs w:val="20"/>
                <w:highlight w:val="none"/>
                <w:u w:val="none"/>
                <w:lang w:val="en-US" w:eastAsia="zh-CN"/>
              </w:rPr>
              <w:t>船营总部大厦404</w:t>
            </w:r>
            <w:r>
              <w:rPr>
                <w:rFonts w:ascii="宋体" w:hAnsi="宋体" w:cs="微软雅黑"/>
                <w:color w:val="auto"/>
                <w:kern w:val="0"/>
                <w:sz w:val="24"/>
                <w:szCs w:val="20"/>
                <w:highlight w:val="none"/>
                <w:u w:val="none"/>
              </w:rPr>
              <w:t>室）</w:t>
            </w:r>
            <w:r>
              <w:rPr>
                <w:rFonts w:hint="default" w:ascii="宋体" w:hAnsi="宋体" w:eastAsia="宋体" w:cs="宋体"/>
                <w:color w:val="auto"/>
                <w:kern w:val="2"/>
                <w:sz w:val="24"/>
                <w:szCs w:val="24"/>
                <w:highlight w:val="none"/>
                <w:lang w:val="en-US" w:eastAsia="zh-CN"/>
              </w:rPr>
              <w:t>获取磋商文件，并于202</w:t>
            </w:r>
            <w:r>
              <w:rPr>
                <w:rFonts w:hint="eastAsia" w:ascii="宋体" w:hAnsi="宋体" w:eastAsia="宋体" w:cs="宋体"/>
                <w:color w:val="auto"/>
                <w:kern w:val="2"/>
                <w:sz w:val="24"/>
                <w:szCs w:val="24"/>
                <w:highlight w:val="none"/>
                <w:lang w:val="en-US" w:eastAsia="zh-CN"/>
              </w:rPr>
              <w:t>2</w:t>
            </w:r>
            <w:r>
              <w:rPr>
                <w:rFonts w:hint="default" w:ascii="宋体" w:hAnsi="宋体" w:eastAsia="宋体" w:cs="宋体"/>
                <w:color w:val="auto"/>
                <w:kern w:val="2"/>
                <w:sz w:val="24"/>
                <w:szCs w:val="24"/>
                <w:highlight w:val="none"/>
                <w:lang w:val="en-US" w:eastAsia="zh-CN"/>
              </w:rPr>
              <w:t>年</w:t>
            </w:r>
            <w:r>
              <w:rPr>
                <w:rFonts w:hint="eastAsia" w:ascii="宋体" w:hAnsi="宋体" w:eastAsia="宋体" w:cs="宋体"/>
                <w:color w:val="auto"/>
                <w:kern w:val="2"/>
                <w:sz w:val="24"/>
                <w:szCs w:val="24"/>
                <w:highlight w:val="none"/>
                <w:lang w:val="en-US" w:eastAsia="zh-CN"/>
              </w:rPr>
              <w:t>07</w:t>
            </w:r>
            <w:r>
              <w:rPr>
                <w:rFonts w:hint="default" w:ascii="宋体" w:hAnsi="宋体" w:eastAsia="宋体" w:cs="宋体"/>
                <w:color w:val="auto"/>
                <w:kern w:val="2"/>
                <w:sz w:val="24"/>
                <w:szCs w:val="24"/>
                <w:highlight w:val="none"/>
                <w:lang w:val="en-US" w:eastAsia="zh-CN"/>
              </w:rPr>
              <w:t>月</w:t>
            </w:r>
            <w:r>
              <w:rPr>
                <w:rFonts w:hint="eastAsia" w:ascii="宋体" w:hAnsi="宋体" w:eastAsia="宋体" w:cs="宋体"/>
                <w:color w:val="auto"/>
                <w:kern w:val="2"/>
                <w:sz w:val="24"/>
                <w:szCs w:val="24"/>
                <w:highlight w:val="none"/>
                <w:lang w:val="en-US" w:eastAsia="zh-CN"/>
              </w:rPr>
              <w:t>0</w:t>
            </w:r>
            <w:r>
              <w:rPr>
                <w:rFonts w:hint="eastAsia" w:ascii="宋体" w:hAnsi="宋体" w:cs="宋体"/>
                <w:color w:val="auto"/>
                <w:kern w:val="2"/>
                <w:sz w:val="24"/>
                <w:szCs w:val="24"/>
                <w:highlight w:val="none"/>
                <w:lang w:val="en-US" w:eastAsia="zh-CN"/>
              </w:rPr>
              <w:t>7</w:t>
            </w:r>
            <w:r>
              <w:rPr>
                <w:rFonts w:hint="default" w:ascii="宋体" w:hAnsi="宋体" w:eastAsia="宋体" w:cs="宋体"/>
                <w:color w:val="auto"/>
                <w:kern w:val="2"/>
                <w:sz w:val="24"/>
                <w:szCs w:val="24"/>
                <w:highlight w:val="none"/>
                <w:lang w:val="en-US" w:eastAsia="zh-CN"/>
              </w:rPr>
              <w:t>日</w:t>
            </w: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4</w:t>
            </w:r>
            <w:r>
              <w:rPr>
                <w:rFonts w:hint="default" w:ascii="宋体" w:hAnsi="宋体" w:eastAsia="宋体" w:cs="宋体"/>
                <w:color w:val="auto"/>
                <w:kern w:val="2"/>
                <w:sz w:val="24"/>
                <w:szCs w:val="24"/>
                <w:highlight w:val="none"/>
                <w:lang w:val="en-US" w:eastAsia="zh-CN"/>
              </w:rPr>
              <w:t>时30分（北京时间）前提交响应文件。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rPr>
      </w:pPr>
      <w:bookmarkStart w:id="4" w:name="_GoBack"/>
      <w:bookmarkEnd w:id="4"/>
      <w:r>
        <w:rPr>
          <w:rFonts w:hint="eastAsia" w:ascii="宋体" w:hAnsi="宋体" w:eastAsia="宋体" w:cs="宋体"/>
          <w:b/>
          <w:color w:val="auto"/>
          <w:sz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项目编号：JLLK-2022-FW00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项目名称：吉林省吉林市高新区2022年第一批保障性安居工程（城镇老旧小区改造）配套基础设施建设项目工程勘察；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采购方式：</w:t>
      </w:r>
      <w:r>
        <w:rPr>
          <w:rFonts w:hint="eastAsia" w:ascii="宋体" w:hAnsi="宋体" w:eastAsia="宋体" w:cs="宋体"/>
          <w:color w:val="auto"/>
          <w:kern w:val="2"/>
          <w:sz w:val="24"/>
          <w:szCs w:val="24"/>
          <w:highlight w:val="none"/>
          <w:lang w:eastAsia="zh-CN"/>
        </w:rPr>
        <w:t>竞争性磋商</w:t>
      </w:r>
      <w:r>
        <w:rPr>
          <w:rFonts w:hint="eastAsia" w:ascii="宋体" w:hAnsi="宋体" w:eastAsia="宋体" w:cs="宋体"/>
          <w:color w:val="auto"/>
          <w:sz w:val="24"/>
          <w:highlight w:val="none"/>
        </w:rPr>
        <w:t>；</w:t>
      </w:r>
    </w:p>
    <w:p>
      <w:pPr>
        <w:autoSpaceDE w:val="0"/>
        <w:spacing w:line="360" w:lineRule="auto"/>
        <w:ind w:firstLine="480" w:firstLineChars="200"/>
        <w:jc w:val="left"/>
        <w:rPr>
          <w:rFonts w:ascii="宋体" w:hAnsi="宋体" w:cs="微软雅黑"/>
          <w:color w:val="auto"/>
          <w:kern w:val="0"/>
          <w:sz w:val="24"/>
          <w:highlight w:val="none"/>
        </w:rPr>
      </w:pPr>
      <w:r>
        <w:rPr>
          <w:rFonts w:ascii="宋体" w:hAnsi="宋体" w:cs="微软雅黑"/>
          <w:color w:val="auto"/>
          <w:kern w:val="0"/>
          <w:sz w:val="24"/>
          <w:highlight w:val="none"/>
        </w:rPr>
        <w:t>4</w:t>
      </w:r>
      <w:r>
        <w:rPr>
          <w:rFonts w:hint="eastAsia" w:ascii="宋体" w:hAnsi="宋体" w:eastAsia="宋体" w:cs="宋体"/>
          <w:color w:val="auto"/>
          <w:sz w:val="24"/>
          <w:highlight w:val="none"/>
          <w:lang w:val="en-US" w:eastAsia="zh-CN"/>
        </w:rPr>
        <w:t>.</w:t>
      </w:r>
      <w:r>
        <w:rPr>
          <w:rFonts w:ascii="宋体" w:hAnsi="宋体" w:cs="微软雅黑"/>
          <w:color w:val="auto"/>
          <w:kern w:val="0"/>
          <w:sz w:val="24"/>
          <w:highlight w:val="none"/>
        </w:rPr>
        <w:t>预算金额：</w:t>
      </w:r>
      <w:r>
        <w:rPr>
          <w:rFonts w:hint="eastAsia" w:ascii="宋体" w:hAnsi="宋体" w:cs="微软雅黑"/>
          <w:color w:val="auto"/>
          <w:kern w:val="0"/>
          <w:sz w:val="24"/>
          <w:highlight w:val="none"/>
          <w:lang w:val="en-US" w:eastAsia="zh-CN"/>
        </w:rPr>
        <w:t xml:space="preserve">国家收费标准的60%； </w:t>
      </w:r>
    </w:p>
    <w:p>
      <w:pPr>
        <w:autoSpaceDE w:val="0"/>
        <w:spacing w:line="360" w:lineRule="auto"/>
        <w:ind w:firstLine="480" w:firstLineChars="200"/>
        <w:jc w:val="left"/>
        <w:rPr>
          <w:rFonts w:hint="eastAsia" w:ascii="宋体" w:hAnsi="Calibri" w:eastAsia="宋体" w:cs="Times New Roman"/>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olor w:val="auto"/>
          <w:kern w:val="0"/>
          <w:sz w:val="24"/>
          <w:highlight w:val="none"/>
        </w:rPr>
        <w:t>招标范围：</w:t>
      </w:r>
      <w:r>
        <w:rPr>
          <w:rFonts w:hint="eastAsia" w:ascii="宋体" w:hAnsi="Calibri" w:eastAsia="宋体" w:cs="Times New Roman"/>
          <w:color w:val="auto"/>
          <w:kern w:val="0"/>
          <w:sz w:val="24"/>
          <w:highlight w:val="none"/>
          <w:lang w:eastAsia="zh-CN"/>
        </w:rPr>
        <w:t>工程勘察及配合服务等；</w:t>
      </w:r>
    </w:p>
    <w:p>
      <w:pPr>
        <w:pStyle w:val="2"/>
        <w:rPr>
          <w:rFonts w:hint="default"/>
          <w:color w:val="auto"/>
          <w:highlight w:val="none"/>
          <w:lang w:val="en-US"/>
        </w:rPr>
      </w:pPr>
      <w:r>
        <w:rPr>
          <w:rFonts w:hint="eastAsia" w:ascii="宋体" w:hAnsi="宋体" w:eastAsia="宋体" w:cs="Times New Roman"/>
          <w:color w:val="auto"/>
          <w:kern w:val="0"/>
          <w:sz w:val="24"/>
          <w:szCs w:val="20"/>
          <w:highlight w:val="none"/>
          <w:lang w:val="en-US" w:eastAsia="zh-CN" w:bidi="ar-SA"/>
        </w:rPr>
        <w:t>6.</w:t>
      </w:r>
      <w:r>
        <w:rPr>
          <w:rFonts w:hint="eastAsia" w:ascii="宋体" w:hAnsi="宋体" w:cs="Times New Roman"/>
          <w:color w:val="auto"/>
          <w:kern w:val="0"/>
          <w:sz w:val="24"/>
          <w:szCs w:val="20"/>
          <w:highlight w:val="none"/>
          <w:lang w:val="en-US" w:eastAsia="zh-CN" w:bidi="ar-SA"/>
        </w:rPr>
        <w:t>服务期限</w:t>
      </w:r>
      <w:r>
        <w:rPr>
          <w:rFonts w:hint="eastAsia" w:ascii="宋体" w:hAnsi="宋体" w:eastAsia="宋体" w:cs="Times New Roman"/>
          <w:color w:val="auto"/>
          <w:kern w:val="0"/>
          <w:sz w:val="24"/>
          <w:szCs w:val="20"/>
          <w:highlight w:val="none"/>
          <w:lang w:val="en-US" w:eastAsia="zh-CN" w:bidi="ar-SA"/>
        </w:rPr>
        <w:t>：</w:t>
      </w:r>
      <w:r>
        <w:rPr>
          <w:rFonts w:hint="eastAsia" w:ascii="宋体" w:hAnsi="宋体"/>
          <w:color w:val="auto"/>
          <w:kern w:val="0"/>
          <w:sz w:val="24"/>
          <w:highlight w:val="none"/>
        </w:rPr>
        <w:t>自合同签订之日起</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日历天完成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val="en-US" w:eastAsia="zh-CN"/>
        </w:rPr>
        <w:t>中央、省补助资金及市、区配套资金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r>
        <w:rPr>
          <w:rFonts w:hint="eastAsia" w:ascii="宋体" w:hAnsi="宋体" w:cs="宋体"/>
          <w:color w:val="auto"/>
          <w:sz w:val="24"/>
          <w:highlight w:val="none"/>
          <w:lang w:val="en-US" w:eastAsia="zh-CN"/>
        </w:rPr>
        <w:t>吉林市高新区，包括气象局小区、师院一区、师院二区、工具小区、华侨东林花园小区共5个小区</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标准：</w:t>
      </w:r>
      <w:r>
        <w:rPr>
          <w:rFonts w:hint="eastAsia" w:ascii="宋体" w:hAnsi="宋体"/>
          <w:color w:val="auto"/>
          <w:kern w:val="0"/>
          <w:sz w:val="24"/>
          <w:highlight w:val="none"/>
        </w:rPr>
        <w:t>符合国家现行相关行业规范合格标准</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合同履行期限：自合同签订之日起至合同履行完毕；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资格审查方式：资格后审；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本项目不接受联合体</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w:t>
      </w:r>
    </w:p>
    <w:p>
      <w:pPr>
        <w:autoSpaceDE w:val="0"/>
        <w:spacing w:before="120" w:beforeLines="50" w:afterLines="0" w:line="360" w:lineRule="auto"/>
        <w:rPr>
          <w:rFonts w:hint="default" w:ascii="宋体" w:eastAsia="Times New Roman"/>
          <w:b/>
          <w:color w:val="auto"/>
          <w:kern w:val="0"/>
          <w:sz w:val="24"/>
          <w:highlight w:val="none"/>
        </w:rPr>
      </w:pPr>
      <w:r>
        <w:rPr>
          <w:rFonts w:hint="eastAsia" w:ascii="宋体" w:hAnsi="宋体"/>
          <w:b/>
          <w:color w:val="auto"/>
          <w:kern w:val="0"/>
          <w:sz w:val="24"/>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1、满足《中华人民共和国政府采购法》第二十二条规定：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60" w:lineRule="auto"/>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pPr>
        <w:widowControl w:val="0"/>
        <w:autoSpaceDE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2、落实政府采购政策需满足的资格要求：</w:t>
      </w:r>
      <w:r>
        <w:rPr>
          <w:rFonts w:hint="eastAsia" w:ascii="宋体" w:hAnsi="宋体" w:eastAsia="宋体" w:cs="宋体"/>
          <w:color w:val="auto"/>
          <w:sz w:val="24"/>
          <w:szCs w:val="24"/>
          <w:highlight w:val="none"/>
        </w:rPr>
        <w:t>本次招标活动对于满足国家采购政策要求的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按照相关规定的扶持政策执行，具体详见</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3、本项目的特定资格要求：</w:t>
      </w:r>
      <w:r>
        <w:rPr>
          <w:rFonts w:hint="eastAsia" w:ascii="宋体" w:hAnsi="宋体" w:eastAsia="宋体" w:cs="宋体"/>
          <w:color w:val="auto"/>
          <w:sz w:val="24"/>
          <w:szCs w:val="24"/>
          <w:highlight w:val="none"/>
        </w:rPr>
        <w:t>以下资格证明材料的具体要求详见</w:t>
      </w:r>
      <w:r>
        <w:rPr>
          <w:rFonts w:hint="eastAsia" w:ascii="宋体" w:hAnsi="宋体" w:eastAsia="宋体" w:cs="宋体"/>
          <w:color w:val="auto"/>
          <w:sz w:val="24"/>
          <w:szCs w:val="24"/>
          <w:highlight w:val="none"/>
          <w:lang w:eastAsia="zh-CN"/>
        </w:rPr>
        <w:t>磋商文件</w:t>
      </w:r>
    </w:p>
    <w:p>
      <w:pPr>
        <w:widowControl w:val="0"/>
        <w:autoSpaceDE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pacing w:val="0"/>
          <w:kern w:val="0"/>
          <w:sz w:val="24"/>
          <w:szCs w:val="24"/>
          <w:highlight w:val="none"/>
          <w:lang w:val="en-US" w:eastAsia="zh-CN" w:bidi="ar"/>
        </w:rPr>
        <w:t>(2).</w:t>
      </w:r>
      <w:r>
        <w:rPr>
          <w:rFonts w:hint="eastAsia" w:ascii="宋体" w:hAnsi="宋体" w:eastAsia="宋体" w:cs="宋体"/>
          <w:color w:val="auto"/>
          <w:sz w:val="24"/>
          <w:highlight w:val="none"/>
          <w:lang w:val="zh-CN"/>
        </w:rPr>
        <w:t>本次招标要求</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z w:val="24"/>
          <w:highlight w:val="none"/>
        </w:rPr>
        <w:t>须具备建设行政主管部门核发的工程勘察专业（岩土工程）乙级及以上资质的法人或其他组织，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kern w:val="0"/>
          <w:sz w:val="24"/>
          <w:szCs w:val="24"/>
          <w:highlight w:val="none"/>
          <w:lang w:val="en-US" w:eastAsia="zh-CN" w:bidi="ar"/>
        </w:rPr>
        <w:t>(3).</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拟派出的项目负责人须具备注册土木工程师（岩土）执业资格</w:t>
      </w:r>
      <w:r>
        <w:rPr>
          <w:rFonts w:hint="eastAsia" w:ascii="宋体" w:hAnsi="宋体" w:eastAsia="宋体" w:cs="宋体"/>
          <w:color w:val="auto"/>
          <w:spacing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(4).</w:t>
      </w:r>
      <w:r>
        <w:rPr>
          <w:rFonts w:hint="eastAsia" w:ascii="宋体" w:hAnsi="宋体" w:eastAsia="宋体" w:cs="宋体"/>
          <w:color w:val="auto"/>
          <w:sz w:val="24"/>
          <w:szCs w:val="21"/>
          <w:highlight w:val="none"/>
          <w:lang w:val="en-US" w:eastAsia="zh-CN" w:bidi="ar-SA"/>
        </w:rPr>
        <w:t>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(5).</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z w:val="24"/>
          <w:szCs w:val="21"/>
          <w:highlight w:val="none"/>
          <w:lang w:val="en-US" w:eastAsia="zh-CN" w:bidi="ar-SA"/>
        </w:rPr>
        <w:t>未被列入“失信被执行人、</w:t>
      </w:r>
      <w:r>
        <w:rPr>
          <w:rFonts w:hint="eastAsia" w:ascii="宋体" w:hAnsi="宋体"/>
          <w:bCs/>
          <w:color w:val="auto"/>
          <w:kern w:val="10"/>
          <w:sz w:val="24"/>
          <w:highlight w:val="none"/>
        </w:rPr>
        <w:t>税收违法</w:t>
      </w:r>
      <w:r>
        <w:rPr>
          <w:rFonts w:hint="eastAsia" w:ascii="宋体" w:hAnsi="宋体"/>
          <w:bCs/>
          <w:color w:val="auto"/>
          <w:kern w:val="10"/>
          <w:sz w:val="24"/>
          <w:highlight w:val="none"/>
          <w:lang w:val="en-US" w:eastAsia="zh-CN"/>
        </w:rPr>
        <w:t>黑</w:t>
      </w:r>
      <w:r>
        <w:rPr>
          <w:rFonts w:hint="eastAsia" w:ascii="宋体" w:hAnsi="宋体"/>
          <w:bCs/>
          <w:color w:val="auto"/>
          <w:kern w:val="10"/>
          <w:sz w:val="24"/>
          <w:highlight w:val="none"/>
        </w:rPr>
        <w:t>名单</w:t>
      </w:r>
      <w:r>
        <w:rPr>
          <w:rFonts w:hint="eastAsia" w:ascii="宋体" w:hAnsi="宋体" w:eastAsia="宋体" w:cs="宋体"/>
          <w:color w:val="auto"/>
          <w:sz w:val="24"/>
          <w:szCs w:val="21"/>
          <w:highlight w:val="none"/>
          <w:lang w:val="en-US" w:eastAsia="zh-CN" w:bidi="ar-SA"/>
        </w:rPr>
        <w:t>”的记录名单（通过“信用中国”网站(www.creditchina.gov.cn)查询）；</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(6).</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z w:val="24"/>
          <w:szCs w:val="21"/>
          <w:highlight w:val="none"/>
          <w:lang w:val="en-US" w:eastAsia="zh-CN" w:bidi="ar-SA"/>
        </w:rPr>
        <w:t>未被列入“政府采购严重违法失信行为记录名单”（通过“中国政府采购网”（www.ccgp.gov.cn）查询）；</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(7).</w:t>
      </w:r>
      <w:r>
        <w:rPr>
          <w:rFonts w:hint="eastAsia" w:ascii="宋体" w:hAnsi="宋体" w:eastAsia="宋体" w:cs="宋体"/>
          <w:color w:val="auto"/>
          <w:sz w:val="24"/>
          <w:szCs w:val="21"/>
          <w:highlight w:val="none"/>
          <w:lang w:val="en-US" w:eastAsia="zh-CN" w:bidi="ar-SA"/>
        </w:rPr>
        <w:t>投标单位和个人（指法定代表人、拟委任的项目负责人）未在“中国裁判文书网”（wenshu.court.gov.cn）上有行贿犯罪行为；</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pacing w:val="0"/>
          <w:kern w:val="0"/>
          <w:sz w:val="24"/>
          <w:szCs w:val="24"/>
          <w:highlight w:val="none"/>
          <w:lang w:val="en-US" w:eastAsia="zh-CN" w:bidi="ar"/>
        </w:rPr>
        <w:t>(8).</w:t>
      </w:r>
      <w:r>
        <w:rPr>
          <w:rFonts w:hint="eastAsia" w:ascii="宋体" w:hAnsi="宋体" w:eastAsia="宋体" w:cs="宋体"/>
          <w:color w:val="auto"/>
          <w:sz w:val="24"/>
          <w:szCs w:val="21"/>
          <w:highlight w:val="none"/>
          <w:lang w:val="en-US" w:eastAsia="zh-CN" w:bidi="ar-SA"/>
        </w:rPr>
        <w:t>单位负责人为同一人或者存在直接控股、管理关系的不同</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z w:val="24"/>
          <w:szCs w:val="21"/>
          <w:highlight w:val="none"/>
          <w:lang w:val="en-US" w:eastAsia="zh-CN" w:bidi="ar-SA"/>
        </w:rPr>
        <w:t>，不得参加</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合同项下的政府采购活动</w:t>
      </w:r>
      <w:r>
        <w:rPr>
          <w:rFonts w:hint="eastAsia" w:ascii="宋体" w:hAnsi="宋体" w:eastAsia="宋体" w:cs="宋体"/>
          <w:color w:val="auto"/>
          <w:sz w:val="24"/>
          <w:szCs w:val="24"/>
          <w:highlight w:val="none"/>
        </w:rPr>
        <w:t>，否则，相关投标均无效</w:t>
      </w:r>
      <w:r>
        <w:rPr>
          <w:rFonts w:hint="eastAsia" w:ascii="宋体" w:hAnsi="宋体" w:eastAsia="宋体" w:cs="宋体"/>
          <w:color w:val="auto"/>
          <w:sz w:val="24"/>
          <w:szCs w:val="21"/>
          <w:highlight w:val="none"/>
          <w:lang w:val="en-US" w:eastAsia="zh-CN" w:bidi="ar-SA"/>
        </w:rPr>
        <w:t>。</w:t>
      </w:r>
    </w:p>
    <w:p>
      <w:pPr>
        <w:autoSpaceDE w:val="0"/>
        <w:spacing w:before="120" w:beforeLines="50" w:afterLines="0" w:line="360" w:lineRule="auto"/>
        <w:rPr>
          <w:rFonts w:hint="default" w:ascii="宋体" w:eastAsia="Times New Roman"/>
          <w:b/>
          <w:color w:val="auto"/>
          <w:kern w:val="0"/>
          <w:sz w:val="24"/>
          <w:highlight w:val="none"/>
        </w:rPr>
      </w:pPr>
      <w:r>
        <w:rPr>
          <w:rFonts w:hint="eastAsia" w:ascii="宋体" w:hAnsi="宋体"/>
          <w:b/>
          <w:color w:val="auto"/>
          <w:kern w:val="0"/>
          <w:sz w:val="24"/>
          <w:highlight w:val="none"/>
        </w:rPr>
        <w:t>三、获取磋商文件</w:t>
      </w:r>
    </w:p>
    <w:p>
      <w:pPr>
        <w:spacing w:beforeLines="0" w:afterLines="0" w:line="360" w:lineRule="auto"/>
        <w:ind w:firstLine="480" w:firstLineChars="200"/>
        <w:rPr>
          <w:rFonts w:hint="eastAsia" w:ascii="宋体" w:hAnsi="宋体"/>
          <w:color w:val="auto"/>
          <w:kern w:val="10"/>
          <w:sz w:val="24"/>
          <w:highlight w:val="none"/>
        </w:rPr>
      </w:pPr>
      <w:r>
        <w:rPr>
          <w:rFonts w:hint="eastAsia" w:ascii="宋体" w:hAnsi="宋体"/>
          <w:color w:val="auto"/>
          <w:kern w:val="10"/>
          <w:sz w:val="24"/>
          <w:highlight w:val="none"/>
        </w:rPr>
        <w:t>时间：20</w:t>
      </w:r>
      <w:r>
        <w:rPr>
          <w:rFonts w:hint="eastAsia" w:ascii="宋体" w:hAnsi="宋体"/>
          <w:color w:val="auto"/>
          <w:kern w:val="10"/>
          <w:sz w:val="24"/>
          <w:highlight w:val="none"/>
          <w:lang w:val="en-US" w:eastAsia="zh-CN"/>
        </w:rPr>
        <w:t>22</w:t>
      </w:r>
      <w:r>
        <w:rPr>
          <w:rFonts w:hint="eastAsia" w:ascii="宋体" w:hAnsi="宋体"/>
          <w:color w:val="auto"/>
          <w:kern w:val="10"/>
          <w:sz w:val="24"/>
          <w:highlight w:val="none"/>
        </w:rPr>
        <w:t>年</w:t>
      </w:r>
      <w:r>
        <w:rPr>
          <w:rFonts w:hint="eastAsia" w:ascii="宋体" w:hAnsi="宋体"/>
          <w:color w:val="auto"/>
          <w:kern w:val="10"/>
          <w:sz w:val="24"/>
          <w:highlight w:val="none"/>
          <w:lang w:val="en-US" w:eastAsia="zh-CN"/>
        </w:rPr>
        <w:t>06</w:t>
      </w:r>
      <w:r>
        <w:rPr>
          <w:rFonts w:hint="eastAsia" w:ascii="宋体" w:hAnsi="宋体"/>
          <w:color w:val="auto"/>
          <w:kern w:val="10"/>
          <w:sz w:val="24"/>
          <w:highlight w:val="none"/>
        </w:rPr>
        <w:t>月</w:t>
      </w:r>
      <w:r>
        <w:rPr>
          <w:rFonts w:hint="eastAsia" w:ascii="宋体" w:hAnsi="宋体"/>
          <w:color w:val="auto"/>
          <w:kern w:val="10"/>
          <w:sz w:val="24"/>
          <w:highlight w:val="none"/>
          <w:lang w:val="en-US" w:eastAsia="zh-CN"/>
        </w:rPr>
        <w:t>24</w:t>
      </w:r>
      <w:r>
        <w:rPr>
          <w:rFonts w:hint="eastAsia" w:ascii="宋体" w:hAnsi="宋体"/>
          <w:color w:val="auto"/>
          <w:kern w:val="10"/>
          <w:sz w:val="24"/>
          <w:highlight w:val="none"/>
        </w:rPr>
        <w:t>日至202</w:t>
      </w:r>
      <w:r>
        <w:rPr>
          <w:rFonts w:hint="eastAsia" w:ascii="宋体" w:hAnsi="宋体"/>
          <w:color w:val="auto"/>
          <w:kern w:val="10"/>
          <w:sz w:val="24"/>
          <w:highlight w:val="none"/>
          <w:lang w:val="en-US" w:eastAsia="zh-CN"/>
        </w:rPr>
        <w:t>2</w:t>
      </w:r>
      <w:r>
        <w:rPr>
          <w:rFonts w:hint="eastAsia" w:ascii="宋体" w:hAnsi="宋体"/>
          <w:color w:val="auto"/>
          <w:kern w:val="10"/>
          <w:sz w:val="24"/>
          <w:highlight w:val="none"/>
        </w:rPr>
        <w:t>年</w:t>
      </w:r>
      <w:r>
        <w:rPr>
          <w:rFonts w:hint="eastAsia" w:ascii="宋体" w:hAnsi="宋体"/>
          <w:color w:val="auto"/>
          <w:kern w:val="10"/>
          <w:sz w:val="24"/>
          <w:highlight w:val="none"/>
          <w:lang w:val="en-US" w:eastAsia="zh-CN"/>
        </w:rPr>
        <w:t>07</w:t>
      </w:r>
      <w:r>
        <w:rPr>
          <w:rFonts w:hint="eastAsia" w:ascii="宋体" w:hAnsi="宋体"/>
          <w:color w:val="auto"/>
          <w:kern w:val="10"/>
          <w:sz w:val="24"/>
          <w:highlight w:val="none"/>
        </w:rPr>
        <w:t>月</w:t>
      </w:r>
      <w:r>
        <w:rPr>
          <w:rFonts w:hint="eastAsia" w:ascii="宋体" w:hAnsi="宋体"/>
          <w:color w:val="auto"/>
          <w:kern w:val="10"/>
          <w:sz w:val="24"/>
          <w:highlight w:val="none"/>
          <w:lang w:val="en-US" w:eastAsia="zh-CN"/>
        </w:rPr>
        <w:t>01</w:t>
      </w:r>
      <w:r>
        <w:rPr>
          <w:rFonts w:hint="eastAsia" w:ascii="宋体" w:hAnsi="宋体"/>
          <w:color w:val="auto"/>
          <w:kern w:val="10"/>
          <w:sz w:val="24"/>
          <w:highlight w:val="none"/>
        </w:rPr>
        <w:t>日（法定公休日、节假日除外）每天上午8时30分至11时30分，下午13时00分至16时30分（北京时间，下同）。</w:t>
      </w:r>
    </w:p>
    <w:p>
      <w:pPr>
        <w:spacing w:beforeLines="0" w:afterLines="0" w:line="360" w:lineRule="auto"/>
        <w:ind w:firstLine="480" w:firstLineChars="200"/>
        <w:rPr>
          <w:rFonts w:hint="eastAsia" w:ascii="宋体" w:hAnsi="宋体"/>
          <w:color w:val="auto"/>
          <w:kern w:val="10"/>
          <w:sz w:val="24"/>
          <w:highlight w:val="none"/>
        </w:rPr>
      </w:pPr>
      <w:r>
        <w:rPr>
          <w:rFonts w:hint="eastAsia" w:ascii="宋体" w:hAnsi="宋体"/>
          <w:color w:val="auto"/>
          <w:kern w:val="10"/>
          <w:sz w:val="24"/>
          <w:highlight w:val="none"/>
        </w:rPr>
        <w:t>地点：吉林省吉林市船营区船营总部大厦404室</w:t>
      </w:r>
    </w:p>
    <w:p>
      <w:pPr>
        <w:spacing w:beforeLines="0" w:afterLines="0" w:line="360" w:lineRule="auto"/>
        <w:ind w:firstLine="480" w:firstLineChars="200"/>
        <w:rPr>
          <w:rFonts w:hint="default" w:ascii="宋体" w:eastAsia="Times New Roman"/>
          <w:color w:val="auto"/>
          <w:kern w:val="10"/>
          <w:sz w:val="24"/>
          <w:highlight w:val="none"/>
        </w:rPr>
      </w:pPr>
      <w:r>
        <w:rPr>
          <w:rFonts w:hint="eastAsia" w:ascii="宋体" w:hAnsi="宋体"/>
          <w:color w:val="auto"/>
          <w:kern w:val="10"/>
          <w:sz w:val="24"/>
          <w:highlight w:val="none"/>
        </w:rPr>
        <w:t>方式：购买</w:t>
      </w:r>
      <w:r>
        <w:rPr>
          <w:rFonts w:hint="eastAsia" w:ascii="宋体" w:hAnsi="宋体"/>
          <w:color w:val="auto"/>
          <w:kern w:val="10"/>
          <w:sz w:val="24"/>
          <w:highlight w:val="none"/>
          <w:lang w:eastAsia="zh-CN"/>
        </w:rPr>
        <w:t>磋商文件</w:t>
      </w:r>
      <w:r>
        <w:rPr>
          <w:rFonts w:hint="eastAsia" w:ascii="宋体" w:hAnsi="宋体"/>
          <w:color w:val="auto"/>
          <w:kern w:val="10"/>
          <w:sz w:val="24"/>
          <w:highlight w:val="none"/>
        </w:rPr>
        <w:t>同时需携带如下资料原件及加盖公章的复印件一套：</w:t>
      </w:r>
    </w:p>
    <w:p>
      <w:pPr>
        <w:numPr>
          <w:ilvl w:val="0"/>
          <w:numId w:val="1"/>
        </w:numPr>
        <w:spacing w:beforeLines="0" w:afterLines="0" w:line="360" w:lineRule="auto"/>
        <w:ind w:left="0" w:firstLine="284"/>
        <w:rPr>
          <w:rFonts w:hint="default" w:ascii="宋体" w:eastAsia="Times New Roman"/>
          <w:color w:val="auto"/>
          <w:kern w:val="10"/>
          <w:sz w:val="24"/>
          <w:highlight w:val="none"/>
        </w:rPr>
      </w:pPr>
      <w:r>
        <w:rPr>
          <w:rFonts w:hint="eastAsia" w:ascii="宋体" w:hAnsi="宋体"/>
          <w:color w:val="auto"/>
          <w:kern w:val="10"/>
          <w:sz w:val="24"/>
          <w:highlight w:val="none"/>
        </w:rPr>
        <w:t>（1）营业执照副本；</w:t>
      </w:r>
    </w:p>
    <w:p>
      <w:pPr>
        <w:numPr>
          <w:ilvl w:val="0"/>
          <w:numId w:val="1"/>
        </w:numPr>
        <w:spacing w:beforeLines="0" w:afterLines="0" w:line="360" w:lineRule="auto"/>
        <w:ind w:left="0" w:firstLine="284"/>
        <w:rPr>
          <w:rFonts w:hint="eastAsia" w:ascii="宋体" w:hAnsi="宋体"/>
          <w:color w:val="auto"/>
          <w:kern w:val="10"/>
          <w:sz w:val="24"/>
          <w:highlight w:val="none"/>
        </w:rPr>
      </w:pPr>
      <w:r>
        <w:rPr>
          <w:rFonts w:hint="eastAsia" w:ascii="宋体" w:hAnsi="宋体"/>
          <w:color w:val="auto"/>
          <w:kern w:val="10"/>
          <w:sz w:val="24"/>
          <w:highlight w:val="none"/>
        </w:rPr>
        <w:t>（2）资质证书副本；</w:t>
      </w:r>
    </w:p>
    <w:p>
      <w:pPr>
        <w:numPr>
          <w:ilvl w:val="0"/>
          <w:numId w:val="1"/>
        </w:numPr>
        <w:spacing w:beforeLines="0" w:afterLines="0" w:line="360" w:lineRule="auto"/>
        <w:ind w:left="0" w:firstLine="284"/>
        <w:rPr>
          <w:rFonts w:hint="eastAsia" w:ascii="宋体" w:hAnsi="宋体"/>
          <w:color w:val="auto"/>
          <w:kern w:val="10"/>
          <w:sz w:val="24"/>
          <w:highlight w:val="none"/>
        </w:rPr>
      </w:pPr>
      <w:r>
        <w:rPr>
          <w:rFonts w:hint="eastAsia" w:ascii="宋体" w:hAnsi="宋体"/>
          <w:color w:val="auto"/>
          <w:kern w:val="10"/>
          <w:sz w:val="24"/>
          <w:highlight w:val="none"/>
        </w:rPr>
        <w:t>（3）法人及被授权人身份证；</w:t>
      </w:r>
    </w:p>
    <w:p>
      <w:pPr>
        <w:numPr>
          <w:ilvl w:val="0"/>
          <w:numId w:val="1"/>
        </w:numPr>
        <w:spacing w:beforeLines="0" w:afterLines="0" w:line="360" w:lineRule="auto"/>
        <w:ind w:left="0" w:firstLine="284"/>
        <w:rPr>
          <w:rFonts w:hint="eastAsia" w:ascii="宋体" w:hAnsi="宋体"/>
          <w:color w:val="auto"/>
          <w:kern w:val="10"/>
          <w:sz w:val="24"/>
          <w:highlight w:val="none"/>
        </w:rPr>
      </w:pPr>
      <w:r>
        <w:rPr>
          <w:rFonts w:hint="eastAsia" w:ascii="宋体" w:hAnsi="宋体"/>
          <w:color w:val="auto"/>
          <w:kern w:val="10"/>
          <w:sz w:val="24"/>
          <w:highlight w:val="none"/>
        </w:rPr>
        <w:t>（4）法人授权委托书；</w:t>
      </w:r>
    </w:p>
    <w:p>
      <w:pPr>
        <w:numPr>
          <w:ilvl w:val="0"/>
          <w:numId w:val="1"/>
        </w:numPr>
        <w:spacing w:beforeLines="0" w:afterLines="0" w:line="360" w:lineRule="auto"/>
        <w:ind w:left="0" w:firstLine="284"/>
        <w:rPr>
          <w:rFonts w:hint="eastAsia" w:ascii="宋体" w:hAnsi="宋体" w:eastAsia="宋体" w:cs="Times New Roman"/>
          <w:color w:val="auto"/>
          <w:kern w:val="10"/>
          <w:sz w:val="24"/>
          <w:highlight w:val="none"/>
        </w:rPr>
      </w:pPr>
      <w:r>
        <w:rPr>
          <w:rFonts w:hint="eastAsia" w:ascii="宋体" w:hAnsi="宋体"/>
          <w:color w:val="auto"/>
          <w:kern w:val="10"/>
          <w:sz w:val="24"/>
          <w:highlight w:val="none"/>
        </w:rPr>
        <w:t>（5）开户许可证；</w:t>
      </w:r>
    </w:p>
    <w:p>
      <w:pPr>
        <w:numPr>
          <w:ilvl w:val="0"/>
          <w:numId w:val="1"/>
        </w:numPr>
        <w:spacing w:beforeLines="0" w:afterLines="0" w:line="360" w:lineRule="auto"/>
        <w:ind w:left="0" w:firstLine="284"/>
        <w:rPr>
          <w:rFonts w:ascii="宋体" w:hAnsi="宋体"/>
          <w:bCs/>
          <w:color w:val="auto"/>
          <w:kern w:val="10"/>
          <w:sz w:val="24"/>
          <w:highlight w:val="none"/>
        </w:rPr>
      </w:pPr>
      <w:r>
        <w:rPr>
          <w:rFonts w:hint="eastAsia" w:ascii="宋体" w:hAnsi="宋体" w:eastAsia="宋体" w:cs="Times New Roman"/>
          <w:color w:val="auto"/>
          <w:kern w:val="10"/>
          <w:sz w:val="24"/>
          <w:highlight w:val="none"/>
        </w:rPr>
        <w:t>（</w:t>
      </w:r>
      <w:r>
        <w:rPr>
          <w:rFonts w:hint="eastAsia" w:ascii="宋体" w:hAnsi="宋体" w:eastAsia="宋体" w:cs="Times New Roman"/>
          <w:color w:val="auto"/>
          <w:kern w:val="10"/>
          <w:sz w:val="24"/>
          <w:highlight w:val="none"/>
          <w:lang w:val="en-US" w:eastAsia="zh-CN"/>
        </w:rPr>
        <w:t>6</w:t>
      </w:r>
      <w:r>
        <w:rPr>
          <w:rFonts w:hint="eastAsia" w:ascii="宋体" w:hAnsi="宋体" w:eastAsia="宋体" w:cs="Times New Roman"/>
          <w:color w:val="auto"/>
          <w:kern w:val="10"/>
          <w:sz w:val="24"/>
          <w:highlight w:val="none"/>
        </w:rPr>
        <w:t>）提供竞争性磋商公告发布期间任意一天的“信用中国”网站未列入（失信被执行人名单、税收违法</w:t>
      </w:r>
      <w:r>
        <w:rPr>
          <w:rFonts w:hint="eastAsia" w:ascii="宋体" w:hAnsi="宋体" w:eastAsia="宋体" w:cs="Times New Roman"/>
          <w:color w:val="auto"/>
          <w:kern w:val="10"/>
          <w:sz w:val="24"/>
          <w:highlight w:val="none"/>
          <w:lang w:val="en-US" w:eastAsia="zh-CN"/>
        </w:rPr>
        <w:t>黑</w:t>
      </w:r>
      <w:r>
        <w:rPr>
          <w:rFonts w:hint="eastAsia" w:ascii="宋体" w:hAnsi="宋体" w:eastAsia="宋体" w:cs="Times New Roman"/>
          <w:color w:val="auto"/>
          <w:kern w:val="10"/>
          <w:sz w:val="24"/>
          <w:highlight w:val="none"/>
        </w:rPr>
        <w:t>名单）的官网彩色截图并加盖公章（截图须包括单位名称、查询内容及查询时间）；</w:t>
      </w:r>
    </w:p>
    <w:p>
      <w:pPr>
        <w:numPr>
          <w:ilvl w:val="0"/>
          <w:numId w:val="1"/>
        </w:numPr>
        <w:spacing w:beforeLines="0" w:afterLines="0" w:line="360" w:lineRule="auto"/>
        <w:ind w:left="0" w:firstLine="284"/>
        <w:rPr>
          <w:rFonts w:ascii="宋体" w:hAnsi="宋体"/>
          <w:bCs/>
          <w:color w:val="auto"/>
          <w:kern w:val="10"/>
          <w:sz w:val="24"/>
          <w:highlight w:val="none"/>
        </w:rPr>
      </w:pPr>
      <w:r>
        <w:rPr>
          <w:rFonts w:hint="eastAsia" w:ascii="宋体" w:hAnsi="宋体"/>
          <w:bCs/>
          <w:color w:val="auto"/>
          <w:kern w:val="10"/>
          <w:sz w:val="24"/>
          <w:highlight w:val="none"/>
        </w:rPr>
        <w:t>（</w:t>
      </w:r>
      <w:r>
        <w:rPr>
          <w:rFonts w:hint="eastAsia" w:ascii="宋体" w:hAnsi="宋体"/>
          <w:bCs/>
          <w:color w:val="auto"/>
          <w:kern w:val="10"/>
          <w:sz w:val="24"/>
          <w:highlight w:val="none"/>
          <w:lang w:val="en-US" w:eastAsia="zh-CN"/>
        </w:rPr>
        <w:t>7</w:t>
      </w:r>
      <w:r>
        <w:rPr>
          <w:rFonts w:hint="eastAsia" w:ascii="宋体" w:hAnsi="宋体"/>
          <w:bCs/>
          <w:color w:val="auto"/>
          <w:kern w:val="10"/>
          <w:sz w:val="24"/>
          <w:highlight w:val="none"/>
        </w:rPr>
        <w:t>）提供竞争性磋商公告发布期间任意一天的“中国政府采购网”未列入“政府采购严重违法失信行为记录名单”的官网彩色截图并加盖公章（截图须包括单位名称、查询内容及查询时间）；</w:t>
      </w:r>
    </w:p>
    <w:p>
      <w:pPr>
        <w:numPr>
          <w:ilvl w:val="0"/>
          <w:numId w:val="1"/>
        </w:numPr>
        <w:spacing w:beforeLines="0" w:afterLines="0" w:line="360" w:lineRule="auto"/>
        <w:ind w:left="0" w:firstLine="284"/>
        <w:rPr>
          <w:rFonts w:ascii="宋体" w:hAnsi="宋体"/>
          <w:bCs/>
          <w:color w:val="auto"/>
          <w:kern w:val="10"/>
          <w:sz w:val="24"/>
          <w:highlight w:val="none"/>
        </w:rPr>
      </w:pPr>
      <w:r>
        <w:rPr>
          <w:rFonts w:hint="eastAsia" w:ascii="宋体" w:hAnsi="宋体"/>
          <w:bCs/>
          <w:color w:val="auto"/>
          <w:kern w:val="10"/>
          <w:sz w:val="24"/>
          <w:highlight w:val="none"/>
        </w:rPr>
        <w:t>（</w:t>
      </w:r>
      <w:r>
        <w:rPr>
          <w:rFonts w:hint="eastAsia" w:ascii="宋体" w:hAnsi="宋体"/>
          <w:bCs/>
          <w:color w:val="auto"/>
          <w:kern w:val="10"/>
          <w:sz w:val="24"/>
          <w:highlight w:val="none"/>
          <w:lang w:val="en-US" w:eastAsia="zh-CN"/>
        </w:rPr>
        <w:t>8</w:t>
      </w:r>
      <w:r>
        <w:rPr>
          <w:rFonts w:hint="eastAsia" w:ascii="宋体" w:hAnsi="宋体"/>
          <w:bCs/>
          <w:color w:val="auto"/>
          <w:kern w:val="10"/>
          <w:sz w:val="24"/>
          <w:highlight w:val="none"/>
        </w:rPr>
        <w:t>）</w:t>
      </w:r>
      <w:r>
        <w:rPr>
          <w:rFonts w:hint="eastAsia" w:ascii="宋体" w:hAnsi="宋体"/>
          <w:color w:val="auto"/>
          <w:sz w:val="24"/>
          <w:szCs w:val="24"/>
          <w:highlight w:val="none"/>
        </w:rPr>
        <w:t>提供磋商公告发布</w:t>
      </w:r>
      <w:r>
        <w:rPr>
          <w:rFonts w:hint="eastAsia" w:ascii="宋体" w:hAnsi="宋体"/>
          <w:bCs/>
          <w:color w:val="auto"/>
          <w:sz w:val="24"/>
          <w:szCs w:val="24"/>
          <w:highlight w:val="none"/>
        </w:rPr>
        <w:t>之日至开标之日</w:t>
      </w:r>
      <w:r>
        <w:rPr>
          <w:rFonts w:hint="eastAsia" w:ascii="宋体" w:hAnsi="宋体"/>
          <w:color w:val="auto"/>
          <w:sz w:val="24"/>
          <w:szCs w:val="24"/>
          <w:highlight w:val="none"/>
        </w:rPr>
        <w:t>期间任意一天的“中国裁判文书网”近三年本公司和个人（指法定代表人）（案由：行贿）查询界面的无行贿犯罪记录彩色截图并加盖公章作为无行贿犯罪记录证明（截图须包括单位名称、查询内容及查询时间）</w:t>
      </w:r>
      <w:r>
        <w:rPr>
          <w:rFonts w:hint="eastAsia" w:ascii="宋体" w:hAnsi="宋体"/>
          <w:bCs/>
          <w:color w:val="auto"/>
          <w:kern w:val="10"/>
          <w:sz w:val="24"/>
          <w:highlight w:val="none"/>
        </w:rPr>
        <w:t>。</w:t>
      </w:r>
    </w:p>
    <w:p>
      <w:pPr>
        <w:autoSpaceDE w:val="0"/>
        <w:spacing w:beforeLines="0" w:afterLines="0" w:line="360" w:lineRule="auto"/>
        <w:ind w:firstLine="720" w:firstLineChars="300"/>
        <w:rPr>
          <w:rFonts w:hint="eastAsia" w:ascii="宋体" w:hAnsi="宋体"/>
          <w:color w:val="auto"/>
          <w:kern w:val="10"/>
          <w:sz w:val="24"/>
          <w:highlight w:val="none"/>
        </w:rPr>
      </w:pPr>
      <w:r>
        <w:rPr>
          <w:rFonts w:hint="eastAsia" w:ascii="宋体" w:hAnsi="宋体"/>
          <w:color w:val="auto"/>
          <w:kern w:val="10"/>
          <w:sz w:val="24"/>
          <w:highlight w:val="none"/>
        </w:rPr>
        <w:t>售价：磋商文件售价为人民币500.00元（现金），售后不退。</w:t>
      </w:r>
    </w:p>
    <w:p>
      <w:pPr>
        <w:autoSpaceDE w:val="0"/>
        <w:spacing w:beforeLines="0" w:afterLines="0" w:line="360" w:lineRule="auto"/>
        <w:rPr>
          <w:rFonts w:hint="default" w:ascii="宋体" w:eastAsia="Times New Roman"/>
          <w:b/>
          <w:color w:val="auto"/>
          <w:kern w:val="0"/>
          <w:sz w:val="24"/>
          <w:highlight w:val="none"/>
        </w:rPr>
      </w:pPr>
      <w:r>
        <w:rPr>
          <w:rFonts w:hint="eastAsia" w:ascii="宋体" w:hAnsi="宋体"/>
          <w:b/>
          <w:color w:val="auto"/>
          <w:kern w:val="0"/>
          <w:sz w:val="24"/>
          <w:highlight w:val="none"/>
        </w:rPr>
        <w:t>四、递交响应文件截止时间、开标时间和地点</w:t>
      </w:r>
    </w:p>
    <w:p>
      <w:pPr>
        <w:autoSpaceDE w:val="0"/>
        <w:spacing w:before="120" w:beforeLines="50" w:afterLines="0" w:line="360" w:lineRule="auto"/>
        <w:ind w:firstLine="480" w:firstLineChars="200"/>
        <w:rPr>
          <w:rFonts w:hint="eastAsia" w:ascii="宋体" w:hAnsi="宋体"/>
          <w:b w:val="0"/>
          <w:bCs/>
          <w:color w:val="auto"/>
          <w:kern w:val="0"/>
          <w:sz w:val="24"/>
          <w:highlight w:val="none"/>
        </w:rPr>
      </w:pPr>
      <w:r>
        <w:rPr>
          <w:rFonts w:hint="eastAsia" w:ascii="宋体" w:hAnsi="宋体"/>
          <w:b w:val="0"/>
          <w:bCs/>
          <w:color w:val="auto"/>
          <w:kern w:val="0"/>
          <w:sz w:val="24"/>
          <w:highlight w:val="none"/>
          <w:lang w:eastAsia="zh-CN"/>
        </w:rPr>
        <w:t>响应文件</w:t>
      </w:r>
      <w:r>
        <w:rPr>
          <w:rFonts w:hint="eastAsia" w:ascii="宋体" w:hAnsi="宋体"/>
          <w:b w:val="0"/>
          <w:bCs/>
          <w:color w:val="auto"/>
          <w:kern w:val="0"/>
          <w:sz w:val="24"/>
          <w:highlight w:val="none"/>
        </w:rPr>
        <w:t>截止时间、开标时间：202</w:t>
      </w:r>
      <w:r>
        <w:rPr>
          <w:rFonts w:hint="eastAsia" w:ascii="宋体" w:hAnsi="宋体"/>
          <w:b w:val="0"/>
          <w:bCs/>
          <w:color w:val="auto"/>
          <w:kern w:val="0"/>
          <w:sz w:val="24"/>
          <w:highlight w:val="none"/>
          <w:lang w:val="en-US" w:eastAsia="zh-CN"/>
        </w:rPr>
        <w:t>2</w:t>
      </w:r>
      <w:r>
        <w:rPr>
          <w:rFonts w:hint="eastAsia" w:ascii="宋体" w:hAnsi="宋体"/>
          <w:b w:val="0"/>
          <w:bCs/>
          <w:color w:val="auto"/>
          <w:kern w:val="0"/>
          <w:sz w:val="24"/>
          <w:highlight w:val="none"/>
        </w:rPr>
        <w:t>年</w:t>
      </w:r>
      <w:r>
        <w:rPr>
          <w:rFonts w:hint="eastAsia" w:ascii="宋体" w:hAnsi="宋体"/>
          <w:b w:val="0"/>
          <w:bCs/>
          <w:color w:val="auto"/>
          <w:kern w:val="0"/>
          <w:sz w:val="24"/>
          <w:highlight w:val="none"/>
          <w:lang w:val="en-US" w:eastAsia="zh-CN"/>
        </w:rPr>
        <w:t>07</w:t>
      </w:r>
      <w:r>
        <w:rPr>
          <w:rFonts w:hint="eastAsia" w:ascii="宋体" w:hAnsi="宋体"/>
          <w:b w:val="0"/>
          <w:bCs/>
          <w:color w:val="auto"/>
          <w:kern w:val="0"/>
          <w:sz w:val="24"/>
          <w:highlight w:val="none"/>
        </w:rPr>
        <w:t>月</w:t>
      </w:r>
      <w:r>
        <w:rPr>
          <w:rFonts w:hint="eastAsia" w:ascii="宋体" w:hAnsi="宋体"/>
          <w:b w:val="0"/>
          <w:bCs/>
          <w:color w:val="auto"/>
          <w:kern w:val="0"/>
          <w:sz w:val="24"/>
          <w:highlight w:val="none"/>
          <w:lang w:val="en-US" w:eastAsia="zh-CN"/>
        </w:rPr>
        <w:t>07</w:t>
      </w:r>
      <w:r>
        <w:rPr>
          <w:rFonts w:hint="eastAsia" w:ascii="宋体" w:hAnsi="宋体"/>
          <w:b w:val="0"/>
          <w:bCs/>
          <w:color w:val="auto"/>
          <w:kern w:val="0"/>
          <w:sz w:val="24"/>
          <w:highlight w:val="none"/>
        </w:rPr>
        <w:t>日</w:t>
      </w:r>
      <w:r>
        <w:rPr>
          <w:rFonts w:hint="eastAsia" w:ascii="宋体" w:hAnsi="宋体"/>
          <w:b w:val="0"/>
          <w:bCs/>
          <w:color w:val="auto"/>
          <w:kern w:val="0"/>
          <w:sz w:val="24"/>
          <w:highlight w:val="none"/>
          <w:lang w:val="en-US" w:eastAsia="zh-CN"/>
        </w:rPr>
        <w:t>14</w:t>
      </w:r>
      <w:r>
        <w:rPr>
          <w:rFonts w:hint="eastAsia" w:ascii="宋体" w:hAnsi="宋体"/>
          <w:b w:val="0"/>
          <w:bCs/>
          <w:color w:val="auto"/>
          <w:kern w:val="0"/>
          <w:sz w:val="24"/>
          <w:highlight w:val="none"/>
        </w:rPr>
        <w:t>时30分</w:t>
      </w:r>
    </w:p>
    <w:p>
      <w:pPr>
        <w:autoSpaceDE w:val="0"/>
        <w:spacing w:before="120" w:beforeLines="50" w:afterLines="0" w:line="360" w:lineRule="auto"/>
        <w:ind w:firstLine="480" w:firstLineChars="200"/>
        <w:rPr>
          <w:rFonts w:hint="eastAsia" w:ascii="宋体" w:hAnsi="宋体"/>
          <w:b w:val="0"/>
          <w:bCs/>
          <w:color w:val="auto"/>
          <w:kern w:val="0"/>
          <w:sz w:val="24"/>
          <w:highlight w:val="none"/>
        </w:rPr>
      </w:pPr>
      <w:r>
        <w:rPr>
          <w:rFonts w:hint="eastAsia" w:ascii="宋体" w:hAnsi="宋体"/>
          <w:b w:val="0"/>
          <w:bCs/>
          <w:color w:val="auto"/>
          <w:kern w:val="0"/>
          <w:sz w:val="24"/>
          <w:highlight w:val="none"/>
        </w:rPr>
        <w:t>地点：</w:t>
      </w:r>
      <w:r>
        <w:rPr>
          <w:rFonts w:ascii="宋体" w:hAnsi="宋体" w:cs="微软雅黑"/>
          <w:color w:val="auto"/>
          <w:kern w:val="0"/>
          <w:sz w:val="24"/>
          <w:highlight w:val="none"/>
        </w:rPr>
        <w:t>吉林省吉林市船营区</w:t>
      </w:r>
      <w:r>
        <w:rPr>
          <w:rFonts w:hint="eastAsia" w:ascii="宋体" w:hAnsi="宋体" w:cs="微软雅黑"/>
          <w:color w:val="auto"/>
          <w:kern w:val="0"/>
          <w:sz w:val="24"/>
          <w:highlight w:val="none"/>
          <w:lang w:val="en-US" w:eastAsia="zh-CN"/>
        </w:rPr>
        <w:t>船营总部大厦四楼会议室</w:t>
      </w:r>
      <w:r>
        <w:rPr>
          <w:rFonts w:hint="eastAsia" w:ascii="宋体" w:hAnsi="宋体"/>
          <w:b w:val="0"/>
          <w:bCs/>
          <w:color w:val="auto"/>
          <w:kern w:val="0"/>
          <w:sz w:val="24"/>
          <w:highlight w:val="none"/>
        </w:rPr>
        <w:t>，逾期送达的、未送达指定地点的或不按照</w:t>
      </w:r>
      <w:r>
        <w:rPr>
          <w:rFonts w:hint="eastAsia" w:ascii="宋体" w:hAnsi="宋体"/>
          <w:b w:val="0"/>
          <w:bCs/>
          <w:color w:val="auto"/>
          <w:kern w:val="0"/>
          <w:sz w:val="24"/>
          <w:highlight w:val="none"/>
          <w:lang w:eastAsia="zh-CN"/>
        </w:rPr>
        <w:t>磋商文件</w:t>
      </w:r>
      <w:r>
        <w:rPr>
          <w:rFonts w:hint="eastAsia" w:ascii="宋体" w:hAnsi="宋体"/>
          <w:b w:val="0"/>
          <w:bCs/>
          <w:color w:val="auto"/>
          <w:kern w:val="0"/>
          <w:sz w:val="24"/>
          <w:highlight w:val="none"/>
        </w:rPr>
        <w:t>要求密封的</w:t>
      </w:r>
      <w:r>
        <w:rPr>
          <w:rFonts w:hint="eastAsia" w:ascii="宋体" w:hAnsi="宋体"/>
          <w:b w:val="0"/>
          <w:bCs/>
          <w:color w:val="auto"/>
          <w:kern w:val="0"/>
          <w:sz w:val="24"/>
          <w:highlight w:val="none"/>
          <w:lang w:eastAsia="zh-CN"/>
        </w:rPr>
        <w:t>响应文件</w:t>
      </w:r>
      <w:r>
        <w:rPr>
          <w:rFonts w:hint="eastAsia" w:ascii="宋体" w:hAnsi="宋体"/>
          <w:b w:val="0"/>
          <w:bCs/>
          <w:color w:val="auto"/>
          <w:kern w:val="0"/>
          <w:sz w:val="24"/>
          <w:highlight w:val="none"/>
        </w:rPr>
        <w:t>，采购人将予以拒收。</w:t>
      </w:r>
    </w:p>
    <w:p>
      <w:pPr>
        <w:autoSpaceDE w:val="0"/>
        <w:spacing w:before="120" w:beforeLines="50" w:afterLines="0" w:line="360" w:lineRule="auto"/>
        <w:rPr>
          <w:rFonts w:hint="default" w:ascii="宋体" w:eastAsia="Times New Roman"/>
          <w:b/>
          <w:color w:val="auto"/>
          <w:kern w:val="0"/>
          <w:sz w:val="24"/>
          <w:highlight w:val="none"/>
        </w:rPr>
      </w:pPr>
      <w:r>
        <w:rPr>
          <w:rFonts w:hint="eastAsia" w:ascii="宋体" w:hAnsi="宋体"/>
          <w:b/>
          <w:color w:val="auto"/>
          <w:kern w:val="0"/>
          <w:sz w:val="24"/>
          <w:highlight w:val="none"/>
        </w:rPr>
        <w:t>五、公告期限</w:t>
      </w:r>
    </w:p>
    <w:p>
      <w:pPr>
        <w:autoSpaceDE w:val="0"/>
        <w:spacing w:beforeLines="0" w:afterLines="0" w:line="360" w:lineRule="auto"/>
        <w:ind w:firstLine="420"/>
        <w:rPr>
          <w:rFonts w:hint="default" w:ascii="宋体" w:eastAsia="Times New Roman"/>
          <w:color w:val="auto"/>
          <w:kern w:val="0"/>
          <w:sz w:val="24"/>
          <w:highlight w:val="none"/>
        </w:rPr>
      </w:pPr>
      <w:r>
        <w:rPr>
          <w:rFonts w:hint="eastAsia" w:ascii="宋体" w:hAnsi="宋体"/>
          <w:color w:val="auto"/>
          <w:kern w:val="0"/>
          <w:sz w:val="24"/>
          <w:highlight w:val="none"/>
        </w:rPr>
        <w:t>自本公告发布之日起5个工作日。</w:t>
      </w:r>
    </w:p>
    <w:p>
      <w:pPr>
        <w:autoSpaceDE w:val="0"/>
        <w:spacing w:before="120" w:beforeLines="50" w:afterLines="0" w:line="360" w:lineRule="auto"/>
        <w:rPr>
          <w:rFonts w:hint="default" w:ascii="宋体" w:eastAsia="Times New Roman"/>
          <w:b/>
          <w:color w:val="auto"/>
          <w:kern w:val="0"/>
          <w:sz w:val="24"/>
          <w:highlight w:val="none"/>
        </w:rPr>
      </w:pPr>
      <w:r>
        <w:rPr>
          <w:rFonts w:hint="eastAsia" w:ascii="宋体" w:hAnsi="宋体"/>
          <w:b/>
          <w:color w:val="auto"/>
          <w:kern w:val="0"/>
          <w:sz w:val="24"/>
          <w:highlight w:val="none"/>
        </w:rPr>
        <w:t>六、其它补充事宜</w:t>
      </w:r>
    </w:p>
    <w:p>
      <w:pPr>
        <w:spacing w:line="360" w:lineRule="auto"/>
        <w:ind w:firstLine="480" w:firstLineChars="200"/>
        <w:rPr>
          <w:rFonts w:hint="default" w:ascii="宋体" w:eastAsia="Times New Roman"/>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在提交</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文件时，需按照有关规定提供磋商保证金</w:t>
      </w:r>
      <w:r>
        <w:rPr>
          <w:rFonts w:hint="eastAsia" w:ascii="宋体" w:hAnsi="宋体"/>
          <w:color w:val="auto"/>
          <w:kern w:val="0"/>
          <w:sz w:val="24"/>
          <w:highlight w:val="none"/>
          <w:lang w:val="en-US" w:eastAsia="zh-CN"/>
        </w:rPr>
        <w:t>：壹万元整</w:t>
      </w:r>
      <w:r>
        <w:rPr>
          <w:rFonts w:hint="eastAsia" w:ascii="宋体" w:hAnsi="宋体"/>
          <w:color w:val="auto"/>
          <w:kern w:val="0"/>
          <w:sz w:val="24"/>
          <w:highlight w:val="none"/>
        </w:rPr>
        <w:t>，保证金必须从申请人基本账户转出；保证金交纳银行：</w:t>
      </w:r>
      <w:r>
        <w:rPr>
          <w:rFonts w:hint="eastAsia" w:ascii="宋体" w:hAnsi="宋体" w:cs="微软雅黑"/>
          <w:color w:val="auto"/>
          <w:kern w:val="0"/>
          <w:sz w:val="24"/>
          <w:highlight w:val="none"/>
        </w:rPr>
        <w:t>中国建设银行股份有限公司吉林市船营支行，账户名称：吉林省隆坤项目管理有限公司，账号：2205 0161 8901 0000 0397。</w:t>
      </w:r>
    </w:p>
    <w:p>
      <w:pPr>
        <w:autoSpaceDE w:val="0"/>
        <w:spacing w:beforeLines="0" w:afterLines="0" w:line="360" w:lineRule="auto"/>
        <w:rPr>
          <w:rFonts w:hint="default" w:ascii="宋体" w:eastAsia="Times New Roman"/>
          <w:color w:val="auto"/>
          <w:kern w:val="0"/>
          <w:sz w:val="24"/>
          <w:highlight w:val="none"/>
        </w:rPr>
      </w:pPr>
      <w:r>
        <w:rPr>
          <w:rFonts w:hint="eastAsia" w:ascii="宋体" w:hAnsi="宋体"/>
          <w:color w:val="auto"/>
          <w:kern w:val="0"/>
          <w:sz w:val="24"/>
          <w:highlight w:val="none"/>
        </w:rPr>
        <w:t xml:space="preserve">    2、有效供应商不足法定个数时，采购人另行组织招标。</w:t>
      </w:r>
    </w:p>
    <w:p>
      <w:pPr>
        <w:autoSpaceDE w:val="0"/>
        <w:spacing w:beforeLines="0" w:afterLines="0" w:line="360" w:lineRule="auto"/>
        <w:rPr>
          <w:rFonts w:hint="default" w:ascii="宋体" w:eastAsia="Times New Roman"/>
          <w:color w:val="auto"/>
          <w:kern w:val="0"/>
          <w:sz w:val="24"/>
          <w:highlight w:val="none"/>
        </w:rPr>
      </w:pPr>
      <w:r>
        <w:rPr>
          <w:rFonts w:hint="eastAsia" w:ascii="宋体" w:hAnsi="宋体"/>
          <w:color w:val="auto"/>
          <w:kern w:val="0"/>
          <w:sz w:val="24"/>
          <w:highlight w:val="none"/>
        </w:rPr>
        <w:t xml:space="preserve">    3、当供应商的有效投标报价超出招标控制价（预算金额、拦标价）的，该投标报价视为无效报价，做废标处理。</w:t>
      </w:r>
    </w:p>
    <w:p>
      <w:pPr>
        <w:autoSpaceDE w:val="0"/>
        <w:spacing w:beforeLines="0" w:afterLines="0" w:line="360" w:lineRule="auto"/>
        <w:ind w:firstLine="480" w:firstLineChars="200"/>
        <w:rPr>
          <w:rFonts w:hint="default" w:ascii="宋体" w:eastAsia="Times New Roman"/>
          <w:color w:val="auto"/>
          <w:kern w:val="0"/>
          <w:sz w:val="24"/>
          <w:highlight w:val="none"/>
        </w:rPr>
      </w:pPr>
      <w:r>
        <w:rPr>
          <w:rFonts w:hint="eastAsia" w:ascii="宋体" w:hAnsi="宋体"/>
          <w:color w:val="auto"/>
          <w:kern w:val="0"/>
          <w:sz w:val="24"/>
          <w:highlight w:val="none"/>
        </w:rPr>
        <w:t>4、本次竞争性磋商公告同时在《中国政府采购网》、《中国采购与招标网》上发布。</w:t>
      </w:r>
    </w:p>
    <w:p>
      <w:pPr>
        <w:autoSpaceDE w:val="0"/>
        <w:spacing w:before="120" w:beforeLines="50" w:afterLines="0" w:line="360" w:lineRule="auto"/>
        <w:rPr>
          <w:rFonts w:hint="default" w:ascii="宋体" w:eastAsia="Times New Roman"/>
          <w:b/>
          <w:color w:val="auto"/>
          <w:kern w:val="0"/>
          <w:sz w:val="24"/>
          <w:highlight w:val="none"/>
        </w:rPr>
      </w:pPr>
      <w:bookmarkStart w:id="0" w:name="????????????"/>
      <w:bookmarkEnd w:id="0"/>
      <w:bookmarkStart w:id="1" w:name="_Toc35393636"/>
      <w:bookmarkEnd w:id="1"/>
      <w:bookmarkStart w:id="2" w:name="_Toc28359095"/>
      <w:bookmarkEnd w:id="2"/>
      <w:bookmarkStart w:id="3" w:name="_Toc35393805"/>
      <w:r>
        <w:rPr>
          <w:rFonts w:hint="eastAsia" w:ascii="宋体" w:hAnsi="宋体"/>
          <w:b/>
          <w:color w:val="auto"/>
          <w:kern w:val="0"/>
          <w:sz w:val="24"/>
          <w:highlight w:val="none"/>
        </w:rPr>
        <w:t>七、对本次</w:t>
      </w:r>
      <w:bookmarkEnd w:id="3"/>
      <w:r>
        <w:rPr>
          <w:rFonts w:hint="eastAsia" w:ascii="宋体" w:hAnsi="宋体"/>
          <w:b/>
          <w:color w:val="auto"/>
          <w:kern w:val="0"/>
          <w:sz w:val="24"/>
          <w:highlight w:val="none"/>
        </w:rPr>
        <w:t>招标提出询问，请按以下方式联系。</w:t>
      </w:r>
    </w:p>
    <w:p>
      <w:pPr>
        <w:autoSpaceDE w:val="0"/>
        <w:spacing w:before="120" w:beforeLines="50" w:afterLines="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olor w:val="auto"/>
          <w:kern w:val="0"/>
          <w:sz w:val="24"/>
          <w:highlight w:val="none"/>
        </w:rPr>
        <w:t>1</w:t>
      </w:r>
      <w:r>
        <w:rPr>
          <w:rFonts w:hint="eastAsia" w:ascii="宋体" w:hAnsi="宋体" w:eastAsia="宋体" w:cs="Times New Roman"/>
          <w:color w:val="auto"/>
          <w:kern w:val="0"/>
          <w:sz w:val="24"/>
          <w:highlight w:val="none"/>
        </w:rPr>
        <w:t>、采购人信息</w:t>
      </w:r>
    </w:p>
    <w:p>
      <w:pPr>
        <w:autoSpaceDE w:val="0"/>
        <w:spacing w:before="120" w:beforeLines="50" w:afterLines="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名    称：</w:t>
      </w:r>
      <w:r>
        <w:rPr>
          <w:rFonts w:hint="eastAsia" w:ascii="宋体" w:hAnsi="宋体" w:cs="Times New Roman"/>
          <w:color w:val="auto"/>
          <w:kern w:val="0"/>
          <w:sz w:val="24"/>
          <w:highlight w:val="none"/>
          <w:lang w:eastAsia="zh-CN"/>
        </w:rPr>
        <w:t>吉林市新北投资有限公司</w:t>
      </w:r>
    </w:p>
    <w:p>
      <w:pPr>
        <w:autoSpaceDE w:val="0"/>
        <w:spacing w:before="120" w:beforeLines="50" w:afterLines="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 xml:space="preserve">地    址： </w:t>
      </w:r>
      <w:r>
        <w:rPr>
          <w:rFonts w:hint="eastAsia" w:ascii="宋体" w:hAnsi="宋体" w:eastAsia="宋体" w:cs="Times New Roman"/>
          <w:color w:val="auto"/>
          <w:kern w:val="0"/>
          <w:sz w:val="24"/>
          <w:highlight w:val="none"/>
          <w:lang w:eastAsia="zh-CN"/>
        </w:rPr>
        <w:t>吉林</w:t>
      </w:r>
      <w:r>
        <w:rPr>
          <w:rFonts w:hint="eastAsia" w:ascii="宋体" w:hAnsi="宋体" w:cs="Times New Roman"/>
          <w:color w:val="auto"/>
          <w:kern w:val="0"/>
          <w:sz w:val="24"/>
          <w:highlight w:val="none"/>
          <w:lang w:eastAsia="zh-CN"/>
        </w:rPr>
        <w:t>市深圳街</w:t>
      </w:r>
      <w:r>
        <w:rPr>
          <w:rFonts w:hint="eastAsia" w:ascii="宋体" w:hAnsi="宋体" w:cs="Times New Roman"/>
          <w:color w:val="auto"/>
          <w:kern w:val="0"/>
          <w:sz w:val="24"/>
          <w:highlight w:val="none"/>
          <w:lang w:val="en-US" w:eastAsia="zh-CN"/>
        </w:rPr>
        <w:t>6号（火炬大厦20层）</w:t>
      </w:r>
    </w:p>
    <w:p>
      <w:pPr>
        <w:autoSpaceDE w:val="0"/>
        <w:spacing w:before="120" w:beforeLines="50" w:afterLines="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联系方式：</w:t>
      </w:r>
      <w:r>
        <w:rPr>
          <w:rFonts w:hint="eastAsia" w:ascii="宋体" w:hAnsi="宋体" w:eastAsia="宋体" w:cs="Times New Roman"/>
          <w:color w:val="auto"/>
          <w:kern w:val="0"/>
          <w:sz w:val="24"/>
          <w:highlight w:val="none"/>
          <w:lang w:eastAsia="zh-CN"/>
        </w:rPr>
        <w:t>石宇</w:t>
      </w:r>
      <w:r>
        <w:rPr>
          <w:rFonts w:hint="eastAsia" w:ascii="宋体" w:hAnsi="宋体" w:eastAsia="宋体" w:cs="Times New Roman"/>
          <w:color w:val="auto"/>
          <w:kern w:val="0"/>
          <w:sz w:val="24"/>
          <w:highlight w:val="none"/>
          <w:lang w:val="en-US" w:eastAsia="zh-CN"/>
        </w:rPr>
        <w:t xml:space="preserve"> 0432-64798863</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2、采购代理机构信息</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名    称：吉林省隆坤项目管理有限公司</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地    址：吉林市船营区桃源路186号岚川景苑1-2层2号网点</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联系方式：唐耀东 </w:t>
      </w:r>
      <w:r>
        <w:rPr>
          <w:rFonts w:hint="eastAsia" w:ascii="宋体" w:hAnsi="宋体" w:cs="宋体"/>
          <w:color w:val="auto"/>
          <w:sz w:val="24"/>
          <w:szCs w:val="24"/>
          <w:highlight w:val="none"/>
          <w:lang w:bidi="ar"/>
        </w:rPr>
        <w:t>0432-63052899</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3、项目联系方式</w:t>
      </w:r>
    </w:p>
    <w:p>
      <w:pPr>
        <w:autoSpaceDE w:val="0"/>
        <w:spacing w:before="120" w:beforeLines="50" w:afterLines="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项目联系人：唐耀东</w:t>
      </w:r>
    </w:p>
    <w:p>
      <w:pPr>
        <w:autoSpaceDE w:val="0"/>
        <w:spacing w:before="120" w:beforeLines="50" w:afterLines="0" w:line="360" w:lineRule="auto"/>
        <w:ind w:firstLine="480" w:firstLineChars="200"/>
        <w:rPr>
          <w:rFonts w:hint="default" w:ascii="宋体" w:eastAsia="Times New Roman"/>
          <w:b/>
          <w:color w:val="auto"/>
          <w:kern w:val="0"/>
          <w:sz w:val="24"/>
          <w:highlight w:val="none"/>
        </w:rPr>
      </w:pPr>
      <w:r>
        <w:rPr>
          <w:rFonts w:hint="eastAsia" w:ascii="宋体" w:hAnsi="宋体"/>
          <w:color w:val="auto"/>
          <w:kern w:val="0"/>
          <w:sz w:val="24"/>
          <w:highlight w:val="none"/>
        </w:rPr>
        <w:t>电      话：</w:t>
      </w:r>
      <w:r>
        <w:rPr>
          <w:rFonts w:hint="eastAsia" w:ascii="宋体" w:hAnsi="宋体" w:cs="宋体"/>
          <w:color w:val="auto"/>
          <w:sz w:val="24"/>
          <w:szCs w:val="24"/>
          <w:highlight w:val="none"/>
          <w:lang w:bidi="ar"/>
        </w:rPr>
        <w:t>0432-63052899</w:t>
      </w:r>
      <w:r>
        <w:rPr>
          <w:rFonts w:hint="eastAsia" w:ascii="宋体" w:hAnsi="宋体"/>
          <w:color w:val="auto"/>
          <w:kern w:val="0"/>
          <w:sz w:val="24"/>
          <w:highlight w:val="none"/>
        </w:rPr>
        <w:t>　　</w:t>
      </w: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lvlText w:val=""/>
      <w:lvlJc w:val="left"/>
      <w:pPr>
        <w:tabs>
          <w:tab w:val="left" w:pos="432"/>
        </w:tabs>
        <w:ind w:left="432" w:hanging="432"/>
      </w:pPr>
      <w:rPr>
        <w:rFonts w:hint="default" w:ascii="Times New Roman"/>
        <w:u w:val="none" w:color="auto"/>
      </w:rPr>
    </w:lvl>
    <w:lvl w:ilvl="1" w:tentative="0">
      <w:start w:val="1"/>
      <w:numFmt w:val="none"/>
      <w:lvlText w:val=" "/>
      <w:lvlJc w:val="left"/>
      <w:pPr>
        <w:tabs>
          <w:tab w:val="left" w:pos="576"/>
        </w:tabs>
        <w:ind w:left="576" w:hanging="576"/>
      </w:pPr>
      <w:rPr>
        <w:rFonts w:hint="eastAsia"/>
      </w:rPr>
    </w:lvl>
    <w:lvl w:ilvl="2" w:tentative="0">
      <w:start w:val="1"/>
      <w:numFmt w:val="none"/>
      <w:lvlText w:val=" "/>
      <w:lvlJc w:val="left"/>
      <w:pPr>
        <w:tabs>
          <w:tab w:val="left" w:pos="720"/>
        </w:tabs>
        <w:ind w:left="720" w:hanging="720"/>
      </w:pPr>
      <w:rPr>
        <w:rFonts w:hint="default" w:ascii="Times New Roman"/>
        <w:u w:val="none" w:color="auto"/>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Dg1MDkzODQyNTcyYWZkODM5ZWY3ODIzZTRmYjUifQ=="/>
  </w:docVars>
  <w:rsids>
    <w:rsidRoot w:val="05DA6776"/>
    <w:rsid w:val="05DA6776"/>
    <w:rsid w:val="166A1E9E"/>
    <w:rsid w:val="27736A58"/>
    <w:rsid w:val="3DE971EC"/>
    <w:rsid w:val="3ED8395B"/>
    <w:rsid w:val="5E854D6F"/>
    <w:rsid w:val="6FE66DD8"/>
    <w:rsid w:val="6FF76033"/>
    <w:rsid w:val="79C3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Body Text"/>
    <w:basedOn w:val="1"/>
    <w:qFormat/>
    <w:uiPriority w:val="0"/>
    <w:pPr>
      <w:spacing w:after="120"/>
    </w:pPr>
    <w:rPr>
      <w:rFonts w:ascii="Times New Roman" w:hAnsi="Times New Roman"/>
      <w:kern w:val="0"/>
      <w:sz w:val="20"/>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2022-06-23T11:43:00Z</dcterms:created>
  <dc:creator>芒果</dc:creator>
  <cp:lastModifiedBy>中盛精诚工程项目管理有限公司</cp:lastModifiedBy>
  <dcterms:modified xsi:type="dcterms:W3CDTF">2022-06-24T06:00:56Z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D7DE98923F0E4686A0559AF44C95230B</vt:lpwstr>
  </property>
</Properties>
</file>