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right="893"/>
        <w:jc w:val="center"/>
        <w:textAlignment w:val="bottom"/>
        <w:rPr>
          <w:rFonts w:hint="eastAsia" w:ascii="宋体" w:hAnsi="宋体"/>
          <w:b/>
          <w:sz w:val="24"/>
        </w:rPr>
      </w:pPr>
      <w:r>
        <w:rPr>
          <w:rFonts w:hint="eastAsia" w:ascii="宋体" w:hAnsi="宋体"/>
          <w:b/>
          <w:sz w:val="24"/>
        </w:rPr>
        <w:t xml:space="preserve">   </w:t>
      </w:r>
    </w:p>
    <w:p>
      <w:pPr>
        <w:autoSpaceDE w:val="0"/>
        <w:autoSpaceDN w:val="0"/>
        <w:adjustRightInd w:val="0"/>
        <w:snapToGrid w:val="0"/>
        <w:ind w:right="893"/>
        <w:jc w:val="center"/>
        <w:textAlignment w:val="bottom"/>
        <w:rPr>
          <w:rFonts w:ascii="宋体" w:hAnsi="宋体"/>
          <w:b/>
          <w:sz w:val="24"/>
        </w:rPr>
      </w:pPr>
      <w:r>
        <w:rPr>
          <w:rFonts w:hint="eastAsia" w:ascii="宋体" w:hAnsi="宋体"/>
          <w:b/>
          <w:sz w:val="24"/>
        </w:rPr>
        <w:t>第五部分：采购需求</w:t>
      </w:r>
    </w:p>
    <w:p>
      <w:pPr>
        <w:autoSpaceDE w:val="0"/>
        <w:autoSpaceDN w:val="0"/>
        <w:adjustRightInd w:val="0"/>
        <w:snapToGrid w:val="0"/>
        <w:ind w:right="893"/>
        <w:jc w:val="center"/>
        <w:textAlignment w:val="bottom"/>
        <w:rPr>
          <w:rFonts w:hint="eastAsia" w:ascii="宋体" w:hAnsi="宋体"/>
          <w:b/>
          <w:sz w:val="24"/>
        </w:rPr>
      </w:pPr>
      <w:r>
        <w:rPr>
          <w:rFonts w:hint="eastAsia" w:ascii="宋体" w:hAnsi="宋体"/>
          <w:b/>
          <w:sz w:val="24"/>
        </w:rPr>
        <w:t xml:space="preserve">   </w:t>
      </w:r>
    </w:p>
    <w:p>
      <w:pPr>
        <w:tabs>
          <w:tab w:val="left" w:pos="0"/>
        </w:tabs>
        <w:autoSpaceDE w:val="0"/>
        <w:autoSpaceDN w:val="0"/>
        <w:adjustRightInd w:val="0"/>
        <w:snapToGrid w:val="0"/>
        <w:ind w:right="-34"/>
        <w:jc w:val="center"/>
        <w:textAlignment w:val="bottom"/>
        <w:rPr>
          <w:rFonts w:hint="eastAsia" w:ascii="宋体" w:hAnsi="宋体"/>
          <w:b/>
          <w:sz w:val="24"/>
        </w:rPr>
      </w:pPr>
    </w:p>
    <w:p>
      <w:pPr>
        <w:tabs>
          <w:tab w:val="left" w:pos="0"/>
        </w:tabs>
        <w:autoSpaceDE w:val="0"/>
        <w:autoSpaceDN w:val="0"/>
        <w:adjustRightInd w:val="0"/>
        <w:snapToGrid w:val="0"/>
        <w:ind w:right="-34"/>
        <w:jc w:val="center"/>
        <w:textAlignment w:val="bottom"/>
        <w:rPr>
          <w:rFonts w:hint="eastAsia" w:ascii="宋体" w:hAnsi="宋体"/>
          <w:b/>
          <w:sz w:val="24"/>
        </w:rPr>
      </w:pPr>
    </w:p>
    <w:p>
      <w:pPr>
        <w:autoSpaceDE w:val="0"/>
        <w:autoSpaceDN w:val="0"/>
        <w:adjustRightInd w:val="0"/>
        <w:snapToGrid w:val="0"/>
        <w:ind w:right="893"/>
        <w:jc w:val="center"/>
        <w:textAlignment w:val="bottom"/>
        <w:rPr>
          <w:rFonts w:ascii="宋体" w:hAnsi="宋体"/>
          <w:b/>
          <w:sz w:val="24"/>
        </w:rPr>
      </w:pPr>
      <w:bookmarkStart w:id="0" w:name="_Toc327257820"/>
      <w:bookmarkStart w:id="1" w:name="_Toc274315793"/>
      <w:bookmarkStart w:id="2" w:name="_Toc347059232"/>
      <w:r>
        <w:rPr>
          <w:rFonts w:ascii="宋体" w:hAnsi="宋体"/>
          <w:b/>
          <w:sz w:val="24"/>
        </w:rPr>
        <w:t>货物需求一览表</w:t>
      </w:r>
      <w:bookmarkEnd w:id="0"/>
      <w:bookmarkEnd w:id="1"/>
      <w:bookmarkEnd w:id="2"/>
    </w:p>
    <w:p>
      <w:pPr>
        <w:jc w:val="center"/>
        <w:rPr>
          <w:sz w:val="32"/>
        </w:rPr>
      </w:pPr>
    </w:p>
    <w:tbl>
      <w:tblPr>
        <w:tblStyle w:val="3"/>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2015"/>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sz w:val="24"/>
              </w:rPr>
            </w:pPr>
            <w:r>
              <w:rPr>
                <w:rFonts w:hint="eastAsia" w:ascii="宋体" w:hAnsi="Bookman Old Style"/>
                <w:sz w:val="24"/>
              </w:rPr>
              <w:t>包号</w:t>
            </w:r>
          </w:p>
        </w:tc>
        <w:tc>
          <w:tcPr>
            <w:tcW w:w="2640" w:type="dxa"/>
            <w:noWrap w:val="0"/>
            <w:vAlign w:val="center"/>
          </w:tcPr>
          <w:p>
            <w:pPr>
              <w:jc w:val="center"/>
              <w:rPr>
                <w:rFonts w:ascii="宋体" w:hAnsi="Bookman Old Style"/>
                <w:sz w:val="24"/>
              </w:rPr>
            </w:pPr>
            <w:r>
              <w:rPr>
                <w:rFonts w:hint="eastAsia" w:ascii="宋体" w:hAnsi="Bookman Old Style"/>
                <w:sz w:val="24"/>
              </w:rPr>
              <w:t>货物名称</w:t>
            </w:r>
          </w:p>
        </w:tc>
        <w:tc>
          <w:tcPr>
            <w:tcW w:w="635" w:type="dxa"/>
            <w:noWrap w:val="0"/>
            <w:vAlign w:val="center"/>
          </w:tcPr>
          <w:p>
            <w:pPr>
              <w:jc w:val="center"/>
              <w:rPr>
                <w:rFonts w:ascii="宋体" w:hAnsi="Bookman Old Style"/>
                <w:sz w:val="24"/>
              </w:rPr>
            </w:pPr>
            <w:r>
              <w:rPr>
                <w:rFonts w:hint="eastAsia" w:ascii="宋体" w:hAnsi="Bookman Old Style"/>
                <w:sz w:val="24"/>
              </w:rPr>
              <w:t>数量</w:t>
            </w:r>
          </w:p>
        </w:tc>
        <w:tc>
          <w:tcPr>
            <w:tcW w:w="1320" w:type="dxa"/>
            <w:noWrap w:val="0"/>
            <w:vAlign w:val="center"/>
          </w:tcPr>
          <w:p>
            <w:pPr>
              <w:jc w:val="center"/>
              <w:rPr>
                <w:rFonts w:ascii="宋体" w:hAnsi="Bookman Old Style"/>
                <w:sz w:val="24"/>
              </w:rPr>
            </w:pPr>
            <w:r>
              <w:rPr>
                <w:rFonts w:hint="eastAsia" w:ascii="宋体" w:hAnsi="Bookman Old Style"/>
                <w:sz w:val="24"/>
              </w:rPr>
              <w:t>交货期</w:t>
            </w:r>
          </w:p>
        </w:tc>
        <w:tc>
          <w:tcPr>
            <w:tcW w:w="2015" w:type="dxa"/>
            <w:noWrap w:val="0"/>
            <w:vAlign w:val="center"/>
          </w:tcPr>
          <w:p>
            <w:pPr>
              <w:jc w:val="center"/>
              <w:rPr>
                <w:rFonts w:hint="eastAsia" w:ascii="宋体" w:hAnsi="Bookman Old Style"/>
                <w:sz w:val="24"/>
              </w:rPr>
            </w:pPr>
            <w:r>
              <w:rPr>
                <w:rFonts w:hint="eastAsia" w:ascii="宋体" w:hAnsi="Bookman Old Style"/>
                <w:sz w:val="24"/>
              </w:rPr>
              <w:t>指定到货港</w:t>
            </w:r>
          </w:p>
        </w:tc>
        <w:tc>
          <w:tcPr>
            <w:tcW w:w="2270"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sz w:val="24"/>
              </w:rPr>
            </w:pPr>
            <w:r>
              <w:rPr>
                <w:rFonts w:ascii="宋体"/>
                <w:sz w:val="24"/>
              </w:rPr>
              <w:t>1</w:t>
            </w:r>
          </w:p>
        </w:tc>
        <w:tc>
          <w:tcPr>
            <w:tcW w:w="2640" w:type="dxa"/>
            <w:noWrap w:val="0"/>
            <w:vAlign w:val="center"/>
          </w:tcPr>
          <w:p>
            <w:pPr>
              <w:jc w:val="center"/>
              <w:rPr>
                <w:rFonts w:ascii="Bookman Old Style" w:hAnsi="Bookman Old Style"/>
                <w:sz w:val="24"/>
              </w:rPr>
            </w:pPr>
            <w:r>
              <w:rPr>
                <w:rFonts w:hint="eastAsia" w:ascii="Bookman Old Style" w:hAnsi="Bookman Old Style"/>
                <w:sz w:val="24"/>
              </w:rPr>
              <w:t>束损电子学主板</w:t>
            </w:r>
          </w:p>
        </w:tc>
        <w:tc>
          <w:tcPr>
            <w:tcW w:w="635" w:type="dxa"/>
            <w:noWrap w:val="0"/>
            <w:vAlign w:val="center"/>
          </w:tcPr>
          <w:p>
            <w:pPr>
              <w:jc w:val="center"/>
              <w:rPr>
                <w:rFonts w:ascii="宋体" w:hAnsi="Bookman Old Style"/>
                <w:sz w:val="24"/>
              </w:rPr>
            </w:pPr>
            <w:r>
              <w:rPr>
                <w:rFonts w:ascii="宋体" w:hAnsi="Bookman Old Style"/>
                <w:sz w:val="24"/>
              </w:rPr>
              <w:t>100</w:t>
            </w:r>
            <w:r>
              <w:rPr>
                <w:rFonts w:hint="eastAsia" w:ascii="宋体" w:hAnsi="Bookman Old Style"/>
                <w:sz w:val="24"/>
              </w:rPr>
              <w:t>块</w:t>
            </w:r>
          </w:p>
        </w:tc>
        <w:tc>
          <w:tcPr>
            <w:tcW w:w="1320" w:type="dxa"/>
            <w:noWrap w:val="0"/>
            <w:vAlign w:val="center"/>
          </w:tcPr>
          <w:p>
            <w:pPr>
              <w:jc w:val="center"/>
              <w:rPr>
                <w:rFonts w:ascii="宋体" w:hAnsi="Bookman Old Style"/>
                <w:sz w:val="24"/>
              </w:rPr>
            </w:pPr>
            <w:r>
              <w:rPr>
                <w:rFonts w:hint="eastAsia" w:ascii="宋体" w:hAnsi="Bookman Old Style"/>
                <w:sz w:val="24"/>
              </w:rPr>
              <w:t>合同签订后3周内</w:t>
            </w:r>
          </w:p>
        </w:tc>
        <w:tc>
          <w:tcPr>
            <w:tcW w:w="2015" w:type="dxa"/>
            <w:noWrap w:val="0"/>
            <w:vAlign w:val="center"/>
          </w:tcPr>
          <w:p>
            <w:pPr>
              <w:jc w:val="center"/>
              <w:rPr>
                <w:rFonts w:ascii="宋体" w:hAnsi="Bookman Old Style"/>
                <w:sz w:val="24"/>
              </w:rPr>
            </w:pPr>
            <w:r>
              <w:rPr>
                <w:rFonts w:hint="eastAsia" w:ascii="宋体" w:hAnsi="Bookman Old Style"/>
                <w:sz w:val="24"/>
              </w:rPr>
              <w:t>/</w:t>
            </w:r>
          </w:p>
        </w:tc>
        <w:tc>
          <w:tcPr>
            <w:tcW w:w="2270" w:type="dxa"/>
            <w:noWrap w:val="0"/>
            <w:vAlign w:val="center"/>
          </w:tcPr>
          <w:p>
            <w:pPr>
              <w:jc w:val="center"/>
              <w:rPr>
                <w:rFonts w:ascii="宋体" w:hAnsi="Bookman Old Style"/>
                <w:sz w:val="24"/>
              </w:rPr>
            </w:pPr>
            <w:r>
              <w:rPr>
                <w:rFonts w:hint="eastAsia" w:ascii="宋体" w:hAnsi="Bookman Old Style"/>
                <w:sz w:val="24"/>
              </w:rPr>
              <w:t>甘肃兰州</w:t>
            </w:r>
          </w:p>
        </w:tc>
      </w:tr>
    </w:tbl>
    <w:p>
      <w:pPr>
        <w:spacing w:line="360" w:lineRule="auto"/>
        <w:rPr>
          <w:rFonts w:hint="eastAsia"/>
          <w:sz w:val="24"/>
        </w:rPr>
      </w:pPr>
    </w:p>
    <w:p>
      <w:pPr>
        <w:spacing w:line="360" w:lineRule="auto"/>
        <w:rPr>
          <w:sz w:val="24"/>
        </w:rPr>
      </w:pPr>
      <w:r>
        <w:rPr>
          <w:sz w:val="24"/>
        </w:rPr>
        <w:t>注</w:t>
      </w:r>
      <w:r>
        <w:rPr>
          <w:rFonts w:hint="eastAsia"/>
          <w:sz w:val="24"/>
        </w:rPr>
        <w:t>：</w:t>
      </w:r>
      <w:r>
        <w:rPr>
          <w:sz w:val="24"/>
        </w:rPr>
        <w:t>交货期从合同生效之日起计算，以海运提单日期或空运运单日期为准。</w:t>
      </w:r>
    </w:p>
    <w:p>
      <w:pPr>
        <w:spacing w:line="360" w:lineRule="auto"/>
        <w:ind w:firstLine="480" w:firstLineChars="200"/>
        <w:rPr>
          <w:rFonts w:hint="eastAsia"/>
        </w:rPr>
      </w:pPr>
      <w:r>
        <w:rPr>
          <w:sz w:val="24"/>
        </w:rPr>
        <w:t xml:space="preserve">   </w:t>
      </w:r>
      <w:r>
        <w:br w:type="page"/>
      </w:r>
      <w:bookmarkStart w:id="3" w:name="_Toc347059233"/>
      <w:bookmarkStart w:id="4" w:name="_Toc327257821"/>
    </w:p>
    <w:p>
      <w:pPr>
        <w:spacing w:line="360" w:lineRule="auto"/>
        <w:ind w:firstLine="600"/>
        <w:jc w:val="center"/>
        <w:rPr>
          <w:rFonts w:hint="eastAsia" w:ascii="宋体" w:hAnsi="宋体"/>
          <w:sz w:val="30"/>
          <w:szCs w:val="30"/>
        </w:rPr>
      </w:pPr>
      <w:r>
        <w:rPr>
          <w:rFonts w:ascii="宋体" w:hAnsi="宋体"/>
          <w:sz w:val="30"/>
          <w:szCs w:val="30"/>
        </w:rPr>
        <w:t>技 术 规 格</w:t>
      </w:r>
      <w:bookmarkEnd w:id="3"/>
      <w:bookmarkEnd w:id="4"/>
    </w:p>
    <w:p>
      <w:pPr>
        <w:numPr>
          <w:ilvl w:val="0"/>
          <w:numId w:val="1"/>
        </w:numPr>
        <w:spacing w:before="120" w:beforeLines="50" w:after="120" w:afterLines="50" w:line="360" w:lineRule="auto"/>
        <w:rPr>
          <w:b/>
          <w:sz w:val="24"/>
          <w:szCs w:val="21"/>
        </w:rPr>
      </w:pPr>
      <w:r>
        <w:rPr>
          <w:b/>
          <w:sz w:val="24"/>
          <w:szCs w:val="21"/>
        </w:rPr>
        <w:t>采购项目简介（内容、用途、数量等）</w:t>
      </w:r>
    </w:p>
    <w:p>
      <w:pPr>
        <w:spacing w:line="360" w:lineRule="auto"/>
        <w:ind w:left="420" w:firstLine="480" w:firstLineChars="200"/>
        <w:rPr>
          <w:sz w:val="24"/>
          <w:szCs w:val="22"/>
          <w:u w:val="single"/>
        </w:rPr>
      </w:pPr>
      <w:r>
        <w:rPr>
          <w:rFonts w:hint="eastAsia"/>
          <w:sz w:val="24"/>
          <w:szCs w:val="22"/>
          <w:u w:val="single"/>
        </w:rPr>
        <w:t>拟采购束损电子学主板100块，用于HIAF项目机器保护系统中的束损电子学设备研发及生产，在系统中主要实现束损信号的采集及实现Interlock联锁逻辑，进行联锁下发预警。</w:t>
      </w:r>
      <w:r>
        <w:rPr>
          <w:sz w:val="24"/>
          <w:szCs w:val="22"/>
          <w:u w:val="single"/>
        </w:rPr>
        <w:t xml:space="preserve"> </w:t>
      </w:r>
    </w:p>
    <w:p>
      <w:pPr>
        <w:numPr>
          <w:ilvl w:val="0"/>
          <w:numId w:val="1"/>
        </w:numPr>
        <w:spacing w:before="120" w:beforeLines="50" w:after="120" w:afterLines="50" w:line="360" w:lineRule="auto"/>
        <w:rPr>
          <w:b/>
          <w:sz w:val="24"/>
          <w:szCs w:val="21"/>
        </w:rPr>
      </w:pPr>
      <w:r>
        <w:rPr>
          <w:b/>
          <w:sz w:val="24"/>
          <w:szCs w:val="21"/>
        </w:rPr>
        <w:t>采购项目规格、参数及技术方案</w:t>
      </w:r>
    </w:p>
    <w:p>
      <w:pPr>
        <w:widowControl/>
        <w:numPr>
          <w:ilvl w:val="0"/>
          <w:numId w:val="2"/>
        </w:numPr>
        <w:adjustRightInd w:val="0"/>
        <w:snapToGrid w:val="0"/>
        <w:spacing w:before="120" w:beforeLines="50" w:after="156" w:line="300" w:lineRule="auto"/>
        <w:jc w:val="left"/>
        <w:rPr>
          <w:bCs/>
          <w:kern w:val="0"/>
          <w:sz w:val="24"/>
        </w:rPr>
      </w:pPr>
      <w:r>
        <w:rPr>
          <w:rFonts w:hint="eastAsia"/>
          <w:bCs/>
          <w:kern w:val="0"/>
          <w:sz w:val="24"/>
        </w:rPr>
        <w:t>采购项目规格</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（1）、本项目共需采购束损电子学主板100块。</w:t>
      </w:r>
    </w:p>
    <w:p>
      <w:pPr>
        <w:widowControl/>
        <w:adjustRightInd w:val="0"/>
        <w:snapToGrid w:val="0"/>
        <w:spacing w:before="120" w:beforeLines="50" w:after="156" w:line="300" w:lineRule="auto"/>
        <w:ind w:firstLine="200"/>
        <w:jc w:val="left"/>
        <w:rPr>
          <w:bCs/>
          <w:kern w:val="0"/>
          <w:sz w:val="24"/>
        </w:rPr>
      </w:pPr>
      <w:r>
        <w:rPr>
          <w:rFonts w:hint="eastAsia"/>
          <w:bCs/>
          <w:kern w:val="0"/>
          <w:sz w:val="24"/>
        </w:rPr>
        <w:t>*（2）、电子学主板核心功能包含：双口FMC_HPC（至少包含双向差分LVDS接口54对，专用双向时钟LVDS接口两对，复用双向时钟LVDS接口8对，高速Serder收发电口收发各8对，Serder专用时钟接口2对），主板需通过FMC接口为子板供电供电规格为：1.8（4A）、3.3（4A）、12（6A）。</w:t>
      </w:r>
    </w:p>
    <w:p>
      <w:pPr>
        <w:widowControl/>
        <w:adjustRightInd w:val="0"/>
        <w:snapToGrid w:val="0"/>
        <w:spacing w:before="120" w:beforeLines="50" w:after="156" w:line="300" w:lineRule="auto"/>
        <w:ind w:firstLine="200"/>
        <w:jc w:val="left"/>
        <w:rPr>
          <w:bCs/>
          <w:kern w:val="0"/>
          <w:sz w:val="24"/>
        </w:rPr>
      </w:pPr>
      <w:r>
        <w:rPr>
          <w:rFonts w:hint="eastAsia"/>
          <w:bCs/>
          <w:kern w:val="0"/>
          <w:sz w:val="24"/>
        </w:rPr>
        <w:t>*（3）、电子学主板辅助核心功能包含：820nm ST形多模光纤接口用于触发接口（双入双出），16.7GBps SFP光口（收发一体）×4，抗干扰千兆网口×2,   74.25M、100M、125M、250M、300M高稳定性板上时钟、4Gb EMMC颗粒，MicroSD卡接口，高速电平触发输入输出接口（电平5V）X8，FPGA端配备4Gb DDR4颗粒、PS端布置DDR4_SODIMM,最大支持32GB内存条插入、SATA7+5硬盘接口、两片NOR Flash。</w:t>
      </w:r>
    </w:p>
    <w:p>
      <w:pPr>
        <w:widowControl/>
        <w:adjustRightInd w:val="0"/>
        <w:snapToGrid w:val="0"/>
        <w:spacing w:before="120" w:beforeLines="50" w:after="156" w:line="300" w:lineRule="auto"/>
        <w:ind w:firstLine="200"/>
        <w:jc w:val="left"/>
        <w:rPr>
          <w:bCs/>
          <w:kern w:val="0"/>
          <w:sz w:val="24"/>
        </w:rPr>
      </w:pPr>
      <w:r>
        <w:rPr>
          <w:rFonts w:hint="eastAsia"/>
          <w:bCs/>
          <w:kern w:val="0"/>
          <w:sz w:val="24"/>
        </w:rPr>
        <w:t>*（4）、底板有完善的上电顺序逻辑控制、有完善的板上温度监测保护（不小于6个监测点）、关键供电回路电流监测保护，硬件看门口重启，主板配备辅助FPGA来实现对主FPGA的实时工作状态监测及保护。</w:t>
      </w:r>
    </w:p>
    <w:p>
      <w:pPr>
        <w:widowControl/>
        <w:adjustRightInd w:val="0"/>
        <w:snapToGrid w:val="0"/>
        <w:spacing w:before="120" w:beforeLines="50" w:after="156" w:line="300" w:lineRule="auto"/>
        <w:ind w:firstLine="200"/>
        <w:jc w:val="left"/>
        <w:rPr>
          <w:bCs/>
          <w:kern w:val="0"/>
          <w:sz w:val="24"/>
        </w:rPr>
      </w:pPr>
      <w:r>
        <w:rPr>
          <w:rFonts w:hint="eastAsia"/>
          <w:bCs/>
          <w:kern w:val="0"/>
          <w:sz w:val="24"/>
        </w:rPr>
        <w:t>*（5）、主板供电形式为12V 19A电源接入，为了保证主FPGA在满负荷工况下工作稳定FPGA内核VCC_INT供电电源带载能力不小于50A，ARM内核供电电源带载能力不小于16A，各路FPFA供电与外部配置器件供电不可复用。</w:t>
      </w:r>
    </w:p>
    <w:p>
      <w:pPr>
        <w:widowControl/>
        <w:adjustRightInd w:val="0"/>
        <w:snapToGrid w:val="0"/>
        <w:spacing w:before="120" w:beforeLines="50" w:after="156" w:line="300" w:lineRule="auto"/>
        <w:ind w:firstLine="200"/>
        <w:jc w:val="left"/>
        <w:rPr>
          <w:bCs/>
          <w:kern w:val="0"/>
          <w:sz w:val="24"/>
        </w:rPr>
      </w:pPr>
      <w:r>
        <w:rPr>
          <w:rFonts w:hint="eastAsia"/>
          <w:bCs/>
          <w:kern w:val="0"/>
          <w:sz w:val="24"/>
        </w:rPr>
        <w:t>*（6）、电子学主板核心主芯片型号为XCZU15EG-2FFVB1156I，其他所有元器件均需来源清晰（不接受翻新器件、-ES工程样片、淘宝等来源不明的元件），（所有阻容元件均为电阻1%，电容5%（X7R）阻容元器件可参考以下品牌：国巨、Viking、村田、TDK、威世、基美、京瓷、AVX、三星等。其他芯片需要为有核心研发实力厂商：可参考品牌包含：德州仪器、ADI、MPS、XILINX、镁光、芯成ISSI、安森美、博通、</w:t>
      </w:r>
      <w:r>
        <w:rPr>
          <w:bCs/>
          <w:kern w:val="0"/>
          <w:sz w:val="24"/>
        </w:rPr>
        <w:t> Marvell </w:t>
      </w:r>
      <w:r>
        <w:rPr>
          <w:rFonts w:hint="eastAsia"/>
          <w:bCs/>
          <w:kern w:val="0"/>
          <w:sz w:val="24"/>
        </w:rPr>
        <w:t>、intel、ACTEL、Microchip、美信。接口速度超过100M的连接器可参考品牌包含</w:t>
      </w:r>
      <w:r>
        <w:rPr>
          <w:bCs/>
          <w:kern w:val="0"/>
          <w:sz w:val="24"/>
        </w:rPr>
        <w:t>Bothhandusa</w:t>
      </w:r>
      <w:r>
        <w:rPr>
          <w:rFonts w:hint="eastAsia"/>
          <w:bCs/>
          <w:kern w:val="0"/>
          <w:sz w:val="24"/>
        </w:rPr>
        <w:t>、泰科、莫仕、AVAGO等）。</w:t>
      </w:r>
    </w:p>
    <w:p>
      <w:pPr>
        <w:widowControl/>
        <w:adjustRightInd w:val="0"/>
        <w:snapToGrid w:val="0"/>
        <w:spacing w:before="120" w:beforeLines="50" w:after="156" w:line="300" w:lineRule="auto"/>
        <w:ind w:firstLine="200"/>
        <w:jc w:val="left"/>
        <w:rPr>
          <w:bCs/>
          <w:kern w:val="0"/>
          <w:sz w:val="24"/>
        </w:rPr>
      </w:pPr>
      <w:r>
        <w:rPr>
          <w:rFonts w:hint="eastAsia"/>
          <w:bCs/>
          <w:kern w:val="0"/>
          <w:sz w:val="24"/>
        </w:rPr>
        <w:t>#（7）、乙方采购的所有元器件（阻容除外）均需要保留芯片近距离照片作为查验留存。并在样片交付时一并交付给甲方。</w:t>
      </w:r>
    </w:p>
    <w:p>
      <w:pPr>
        <w:widowControl/>
        <w:adjustRightInd w:val="0"/>
        <w:snapToGrid w:val="0"/>
        <w:spacing w:before="120" w:beforeLines="50" w:after="156" w:line="300" w:lineRule="auto"/>
        <w:ind w:firstLine="200"/>
        <w:jc w:val="left"/>
        <w:rPr>
          <w:bCs/>
          <w:kern w:val="0"/>
          <w:sz w:val="24"/>
        </w:rPr>
      </w:pPr>
      <w:r>
        <w:rPr>
          <w:rFonts w:hint="eastAsia"/>
          <w:bCs/>
          <w:kern w:val="0"/>
          <w:sz w:val="24"/>
        </w:rPr>
        <w:t>#（8）、乙方绘制完生产工程文件后需无偿为甲方提供测试样板（两片（包含所有元器件），不单另收费）若不合格需重新绘制并提供样片直至达到甲方的设计目标（包含阻抗、焊接、功能等）后可开始批量生产。</w:t>
      </w:r>
    </w:p>
    <w:p>
      <w:pPr>
        <w:widowControl/>
        <w:numPr>
          <w:ilvl w:val="0"/>
          <w:numId w:val="2"/>
        </w:numPr>
        <w:adjustRightInd w:val="0"/>
        <w:snapToGrid w:val="0"/>
        <w:spacing w:before="120" w:beforeLines="50" w:after="156" w:line="300" w:lineRule="auto"/>
        <w:jc w:val="left"/>
        <w:rPr>
          <w:bCs/>
          <w:kern w:val="0"/>
          <w:sz w:val="24"/>
        </w:rPr>
      </w:pPr>
      <w:r>
        <w:rPr>
          <w:rFonts w:hint="eastAsia"/>
          <w:bCs/>
          <w:kern w:val="0"/>
          <w:sz w:val="24"/>
        </w:rPr>
        <w:t>PCB线路板制版要求：</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*（1）、所需制版层数为16层。</w:t>
      </w:r>
    </w:p>
    <w:p>
      <w:pPr>
        <w:widowControl/>
        <w:adjustRightInd w:val="0"/>
        <w:snapToGrid w:val="0"/>
        <w:spacing w:before="120" w:beforeLines="50" w:after="156" w:line="300" w:lineRule="auto"/>
        <w:ind w:firstLine="200"/>
        <w:jc w:val="left"/>
        <w:rPr>
          <w:bCs/>
          <w:kern w:val="0"/>
          <w:sz w:val="24"/>
        </w:rPr>
      </w:pPr>
      <w:r>
        <w:rPr>
          <w:rFonts w:hint="eastAsia"/>
          <w:bCs/>
          <w:kern w:val="0"/>
          <w:sz w:val="24"/>
        </w:rPr>
        <w:t xml:space="preserve">*（2）、板形尺寸及定位孔、插接件摆放位置需符合甲方需求，详细位置参考附件PCB_Structure.DWG </w:t>
      </w:r>
    </w:p>
    <w:p>
      <w:pPr>
        <w:widowControl/>
        <w:adjustRightInd w:val="0"/>
        <w:snapToGrid w:val="0"/>
        <w:spacing w:before="120" w:beforeLines="50" w:after="156" w:line="300" w:lineRule="auto"/>
        <w:ind w:firstLine="200"/>
        <w:jc w:val="left"/>
        <w:rPr>
          <w:bCs/>
          <w:kern w:val="0"/>
          <w:sz w:val="24"/>
        </w:rPr>
      </w:pPr>
      <w:r>
        <w:rPr>
          <w:rFonts w:hint="eastAsia"/>
          <w:bCs/>
          <w:kern w:val="0"/>
          <w:sz w:val="24"/>
        </w:rPr>
        <w:t>#（3）、FMC接口的所有LVDS接线均需分组等长且控制阻抗。DDR4布线分租等长且严格控制阻抗。</w:t>
      </w:r>
    </w:p>
    <w:p>
      <w:pPr>
        <w:widowControl/>
        <w:adjustRightInd w:val="0"/>
        <w:snapToGrid w:val="0"/>
        <w:spacing w:before="120" w:beforeLines="50" w:after="156" w:line="300" w:lineRule="auto"/>
        <w:ind w:firstLine="200"/>
        <w:jc w:val="left"/>
        <w:rPr>
          <w:bCs/>
          <w:kern w:val="0"/>
          <w:sz w:val="24"/>
        </w:rPr>
      </w:pPr>
      <w:r>
        <w:rPr>
          <w:rFonts w:hint="eastAsia"/>
          <w:bCs/>
          <w:kern w:val="0"/>
          <w:sz w:val="24"/>
        </w:rPr>
        <w:t>#（4）、最小线宽3mil，加工误差≤1mil，钻孔孔径最小为5mil。</w:t>
      </w:r>
    </w:p>
    <w:p>
      <w:pPr>
        <w:widowControl/>
        <w:adjustRightInd w:val="0"/>
        <w:snapToGrid w:val="0"/>
        <w:spacing w:before="120" w:beforeLines="50" w:after="156" w:line="300" w:lineRule="auto"/>
        <w:ind w:firstLine="200"/>
        <w:jc w:val="left"/>
        <w:rPr>
          <w:bCs/>
          <w:kern w:val="0"/>
          <w:sz w:val="24"/>
        </w:rPr>
      </w:pPr>
      <w:r>
        <w:rPr>
          <w:rFonts w:hint="eastAsia"/>
          <w:bCs/>
          <w:kern w:val="0"/>
          <w:sz w:val="24"/>
        </w:rPr>
        <w:t>#（5）、内电层阻抗按照单端50欧（3.5mil）差分100欧做阻抗匹配，顶层及底层按照单端单端50欧（6mil）差分100欧做阻抗匹配，并提供阻抗测试条及阻抗测试报告</w:t>
      </w:r>
    </w:p>
    <w:p>
      <w:pPr>
        <w:widowControl/>
        <w:adjustRightInd w:val="0"/>
        <w:snapToGrid w:val="0"/>
        <w:spacing w:before="120" w:beforeLines="50" w:after="156" w:line="300" w:lineRule="auto"/>
        <w:ind w:firstLine="200"/>
        <w:jc w:val="left"/>
        <w:rPr>
          <w:bCs/>
          <w:kern w:val="0"/>
          <w:sz w:val="24"/>
        </w:rPr>
      </w:pPr>
      <w:r>
        <w:rPr>
          <w:rFonts w:hint="eastAsia"/>
          <w:bCs/>
          <w:kern w:val="0"/>
          <w:sz w:val="24"/>
        </w:rPr>
        <w:t>#（6）、线路板介质选用FR-4（TG180），压合后总厚度2mm铜厚1OZ。</w:t>
      </w:r>
    </w:p>
    <w:p>
      <w:pPr>
        <w:widowControl/>
        <w:adjustRightInd w:val="0"/>
        <w:snapToGrid w:val="0"/>
        <w:spacing w:before="120" w:beforeLines="50" w:after="156" w:line="300" w:lineRule="auto"/>
        <w:ind w:firstLine="200"/>
        <w:jc w:val="left"/>
        <w:rPr>
          <w:bCs/>
          <w:kern w:val="0"/>
          <w:sz w:val="24"/>
        </w:rPr>
      </w:pPr>
      <w:r>
        <w:rPr>
          <w:rFonts w:hint="eastAsia"/>
          <w:bCs/>
          <w:kern w:val="0"/>
          <w:sz w:val="24"/>
        </w:rPr>
        <w:t>#（7）、焊盘表面做沉金，沉金厚度不小于1mil。</w:t>
      </w:r>
    </w:p>
    <w:p>
      <w:pPr>
        <w:widowControl/>
        <w:adjustRightInd w:val="0"/>
        <w:snapToGrid w:val="0"/>
        <w:spacing w:before="120" w:beforeLines="50" w:after="156" w:line="300" w:lineRule="auto"/>
        <w:ind w:firstLine="200"/>
        <w:jc w:val="left"/>
        <w:rPr>
          <w:bCs/>
          <w:kern w:val="0"/>
          <w:sz w:val="24"/>
        </w:rPr>
      </w:pPr>
      <w:r>
        <w:rPr>
          <w:rFonts w:hint="eastAsia"/>
          <w:bCs/>
          <w:kern w:val="0"/>
          <w:sz w:val="24"/>
        </w:rPr>
        <w:t>#（8）、阻焊颜色为绿色，PCB表面平整，无凸起，金手指边不容许漏铜且不可翘皮。</w:t>
      </w:r>
    </w:p>
    <w:p>
      <w:pPr>
        <w:widowControl/>
        <w:adjustRightInd w:val="0"/>
        <w:snapToGrid w:val="0"/>
        <w:spacing w:before="120" w:beforeLines="50" w:after="156" w:line="300" w:lineRule="auto"/>
        <w:ind w:firstLine="200"/>
        <w:jc w:val="left"/>
        <w:rPr>
          <w:bCs/>
          <w:kern w:val="0"/>
          <w:sz w:val="24"/>
        </w:rPr>
      </w:pPr>
      <w:r>
        <w:rPr>
          <w:rFonts w:hint="eastAsia"/>
          <w:bCs/>
          <w:kern w:val="0"/>
          <w:sz w:val="24"/>
        </w:rPr>
        <w:t>#（9）、表面缺陷面积不超过基板面积的1％。</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（10）、线路板表面半透明微粒可接受，金属异物不容许，且异物大小不可超过3mil。</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（11）、不存在导通孔破孔，少孔、堵孔、孔变形等现象。</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（12）、任何情况不容许断线、短路等现象。</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（13）、线路烧焦没处长度不超过5mm，每面不超过两处。</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（12）、线路凹陷不超过要求铜厚的20%。凹陷直径不超过8mil，每面凹陷处不超过10点。</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（14）、焊盘制造公差小于设计值的±15％。</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（15）、无焊盘翘起、脱落、单个焊盘内最多容许一处压痕，且缺陷不影响图形厚度要求，未漏铜，压痕小于焊盘面积的20% 。</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#（16）、焊盘不出现氧化发黑现象，每处氧化点不大于8mil。</w:t>
      </w:r>
    </w:p>
    <w:p>
      <w:pPr>
        <w:widowControl/>
        <w:adjustRightInd w:val="0"/>
        <w:snapToGrid w:val="0"/>
        <w:spacing w:before="120" w:beforeLines="50" w:line="300" w:lineRule="auto"/>
        <w:rPr>
          <w:bCs/>
          <w:kern w:val="0"/>
          <w:sz w:val="24"/>
        </w:rPr>
      </w:pPr>
      <w:r>
        <w:rPr>
          <w:rFonts w:hint="eastAsia"/>
          <w:bCs/>
          <w:kern w:val="0"/>
          <w:sz w:val="24"/>
        </w:rPr>
        <w:t>3、SMT要求：</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（1）、所有元器件应良好焊接无掉件无短路。</w:t>
      </w:r>
    </w:p>
    <w:p>
      <w:pPr>
        <w:widowControl/>
        <w:adjustRightInd w:val="0"/>
        <w:snapToGrid w:val="0"/>
        <w:spacing w:before="120" w:beforeLines="50" w:after="156" w:line="300" w:lineRule="auto"/>
        <w:ind w:firstLine="200"/>
        <w:jc w:val="left"/>
        <w:rPr>
          <w:bCs/>
          <w:kern w:val="0"/>
          <w:sz w:val="24"/>
        </w:rPr>
      </w:pPr>
      <w:r>
        <w:rPr>
          <w:rFonts w:hint="eastAsia"/>
          <w:bCs/>
          <w:kern w:val="0"/>
          <w:sz w:val="24"/>
        </w:rPr>
        <w:t>（2）、 有丝印表征元器件焊接方向的需要按照丝印摆放，不接受元件极性焊反。</w:t>
      </w:r>
    </w:p>
    <w:p>
      <w:pPr>
        <w:widowControl/>
        <w:adjustRightInd w:val="0"/>
        <w:snapToGrid w:val="0"/>
        <w:spacing w:before="120" w:beforeLines="50" w:after="156" w:line="300" w:lineRule="auto"/>
        <w:ind w:firstLine="200"/>
        <w:jc w:val="left"/>
        <w:rPr>
          <w:bCs/>
          <w:kern w:val="0"/>
          <w:sz w:val="24"/>
        </w:rPr>
      </w:pPr>
      <w:r>
        <w:rPr>
          <w:rFonts w:hint="eastAsia"/>
          <w:bCs/>
          <w:kern w:val="0"/>
          <w:sz w:val="24"/>
        </w:rPr>
        <w:t>（3）、大焊盘元器件侧面偏移小于元件端子宽度的50% 。</w:t>
      </w:r>
    </w:p>
    <w:p>
      <w:pPr>
        <w:widowControl/>
        <w:adjustRightInd w:val="0"/>
        <w:snapToGrid w:val="0"/>
        <w:spacing w:before="120" w:beforeLines="50" w:after="156" w:line="300" w:lineRule="auto"/>
        <w:ind w:firstLine="200"/>
        <w:jc w:val="left"/>
        <w:rPr>
          <w:bCs/>
          <w:kern w:val="0"/>
          <w:sz w:val="24"/>
        </w:rPr>
      </w:pPr>
      <w:r>
        <w:rPr>
          <w:rFonts w:hint="eastAsia"/>
          <w:bCs/>
          <w:kern w:val="0"/>
          <w:sz w:val="24"/>
        </w:rPr>
        <w:t>（4）、芯片等脚较密器件元件的侧面偏移小于引线宽度的50% 。</w:t>
      </w:r>
    </w:p>
    <w:p>
      <w:pPr>
        <w:widowControl/>
        <w:adjustRightInd w:val="0"/>
        <w:snapToGrid w:val="0"/>
        <w:spacing w:before="120" w:beforeLines="50" w:after="156" w:line="300" w:lineRule="auto"/>
        <w:ind w:firstLine="200"/>
        <w:jc w:val="left"/>
        <w:rPr>
          <w:bCs/>
          <w:kern w:val="0"/>
          <w:sz w:val="24"/>
        </w:rPr>
      </w:pPr>
      <w:r>
        <w:rPr>
          <w:rFonts w:hint="eastAsia"/>
          <w:bCs/>
          <w:kern w:val="0"/>
          <w:sz w:val="24"/>
        </w:rPr>
        <w:t>（5）、焊接完成的线路板不容许有折痕、断裂、掉皮或金属端损坏</w:t>
      </w:r>
    </w:p>
    <w:p>
      <w:pPr>
        <w:widowControl/>
        <w:adjustRightInd w:val="0"/>
        <w:snapToGrid w:val="0"/>
        <w:spacing w:before="120" w:beforeLines="50" w:after="156" w:line="300" w:lineRule="auto"/>
        <w:ind w:firstLine="200"/>
        <w:jc w:val="left"/>
        <w:rPr>
          <w:bCs/>
          <w:kern w:val="0"/>
          <w:sz w:val="24"/>
        </w:rPr>
      </w:pPr>
      <w:r>
        <w:rPr>
          <w:rFonts w:hint="eastAsia"/>
          <w:bCs/>
          <w:kern w:val="0"/>
          <w:sz w:val="24"/>
        </w:rPr>
        <w:t>（6）、阻性或容性器件表面不存在任何形式的裂纹或应力纹，端子区域内不存在缺口或碎裂以及暴露电极。</w:t>
      </w:r>
    </w:p>
    <w:p>
      <w:pPr>
        <w:widowControl/>
        <w:adjustRightInd w:val="0"/>
        <w:snapToGrid w:val="0"/>
        <w:spacing w:before="120" w:beforeLines="50" w:after="156" w:line="300" w:lineRule="auto"/>
        <w:ind w:firstLine="200"/>
        <w:jc w:val="left"/>
        <w:rPr>
          <w:bCs/>
          <w:kern w:val="0"/>
          <w:sz w:val="24"/>
        </w:rPr>
      </w:pPr>
      <w:r>
        <w:rPr>
          <w:rFonts w:hint="eastAsia"/>
          <w:bCs/>
          <w:kern w:val="0"/>
          <w:sz w:val="24"/>
        </w:rPr>
        <w:t>（7）、每面容许的容性阻性器件反贴不超过3处。</w:t>
      </w:r>
    </w:p>
    <w:p>
      <w:pPr>
        <w:widowControl/>
        <w:adjustRightInd w:val="0"/>
        <w:snapToGrid w:val="0"/>
        <w:spacing w:before="120" w:beforeLines="50" w:after="156" w:line="300" w:lineRule="auto"/>
        <w:rPr>
          <w:bCs/>
          <w:kern w:val="0"/>
          <w:sz w:val="24"/>
        </w:rPr>
      </w:pPr>
      <w:r>
        <w:rPr>
          <w:rFonts w:hint="eastAsia"/>
          <w:bCs/>
          <w:kern w:val="0"/>
          <w:sz w:val="24"/>
        </w:rPr>
        <w:t>4、其他要求：</w:t>
      </w:r>
    </w:p>
    <w:p>
      <w:pPr>
        <w:spacing w:line="360" w:lineRule="auto"/>
        <w:ind w:firstLine="480" w:firstLineChars="200"/>
        <w:rPr>
          <w:rFonts w:hint="eastAsia"/>
          <w:sz w:val="24"/>
          <w:szCs w:val="22"/>
        </w:rPr>
      </w:pPr>
      <w:r>
        <w:rPr>
          <w:rFonts w:hint="eastAsia"/>
          <w:sz w:val="24"/>
          <w:szCs w:val="22"/>
        </w:rPr>
        <w:t>（1）、遵从保密原则、厂家不能以任何形式为他人提供该项目的原始工程文件、BOM清单、丝印钢网等任何与该项目相关的技术资料。</w:t>
      </w:r>
    </w:p>
    <w:p>
      <w:pPr>
        <w:spacing w:line="360" w:lineRule="auto"/>
        <w:ind w:firstLine="480" w:firstLineChars="200"/>
        <w:rPr>
          <w:sz w:val="24"/>
          <w:szCs w:val="22"/>
          <w:u w:val="single"/>
        </w:rPr>
      </w:pPr>
      <w:r>
        <w:rPr>
          <w:rFonts w:hint="eastAsia"/>
          <w:sz w:val="24"/>
          <w:szCs w:val="22"/>
        </w:rPr>
        <w:t>（2）、批量接收的电子学主板发生质量纠纷时甲方有权进行指定专家评议，当超过3名同行非本单位专家评议一致认为主板存在设计、质量及工艺问题时甲方有权拒绝接收该批主板，由此产生的一切损失乙方自行承担。</w:t>
      </w:r>
    </w:p>
    <w:p>
      <w:pPr>
        <w:spacing w:line="360" w:lineRule="auto"/>
        <w:ind w:firstLine="480" w:firstLineChars="200"/>
        <w:rPr>
          <w:sz w:val="24"/>
          <w:szCs w:val="22"/>
          <w:u w:val="single"/>
        </w:rPr>
      </w:pPr>
      <w:r>
        <w:rPr>
          <w:rFonts w:hint="eastAsia"/>
          <w:sz w:val="24"/>
          <w:szCs w:val="22"/>
        </w:rPr>
        <w:t>（3）、由于乙方原因导致工期延期或产品质量出现重大问题的甲方有权利追究已方责任，并需要补偿甲方由此产生的一切经济损失。</w:t>
      </w:r>
    </w:p>
    <w:p>
      <w:pPr>
        <w:numPr>
          <w:ilvl w:val="0"/>
          <w:numId w:val="1"/>
        </w:numPr>
        <w:spacing w:before="120" w:beforeLines="50" w:after="120" w:afterLines="50" w:line="360" w:lineRule="auto"/>
        <w:rPr>
          <w:b/>
          <w:sz w:val="24"/>
          <w:szCs w:val="21"/>
        </w:rPr>
      </w:pPr>
      <w:r>
        <w:rPr>
          <w:b/>
          <w:sz w:val="24"/>
          <w:szCs w:val="21"/>
        </w:rPr>
        <w:t>采购项目测试验收标准</w:t>
      </w:r>
    </w:p>
    <w:tbl>
      <w:tblPr>
        <w:tblStyle w:val="3"/>
        <w:tblW w:w="0" w:type="auto"/>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2"/>
        <w:gridCol w:w="425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2" w:type="dxa"/>
            <w:shd w:val="clear" w:color="auto" w:fill="auto"/>
            <w:noWrap w:val="0"/>
            <w:vAlign w:val="top"/>
          </w:tcPr>
          <w:p>
            <w:pPr>
              <w:spacing w:line="360" w:lineRule="auto"/>
              <w:rPr>
                <w:b/>
                <w:bCs/>
                <w:sz w:val="24"/>
                <w:szCs w:val="22"/>
              </w:rPr>
            </w:pPr>
            <w:r>
              <w:rPr>
                <w:rFonts w:hint="eastAsia"/>
                <w:b/>
                <w:bCs/>
                <w:sz w:val="24"/>
                <w:szCs w:val="22"/>
              </w:rPr>
              <w:t>验收指标</w:t>
            </w:r>
          </w:p>
        </w:tc>
        <w:tc>
          <w:tcPr>
            <w:tcW w:w="4252" w:type="dxa"/>
            <w:shd w:val="clear" w:color="auto" w:fill="auto"/>
            <w:noWrap w:val="0"/>
            <w:vAlign w:val="top"/>
          </w:tcPr>
          <w:p>
            <w:pPr>
              <w:spacing w:line="360" w:lineRule="auto"/>
              <w:rPr>
                <w:b/>
                <w:bCs/>
                <w:sz w:val="24"/>
                <w:szCs w:val="22"/>
              </w:rPr>
            </w:pPr>
            <w:r>
              <w:rPr>
                <w:rFonts w:hint="eastAsia"/>
                <w:b/>
                <w:bCs/>
                <w:sz w:val="24"/>
                <w:szCs w:val="22"/>
              </w:rPr>
              <w:t>验收内容</w:t>
            </w:r>
          </w:p>
        </w:tc>
        <w:tc>
          <w:tcPr>
            <w:tcW w:w="2552" w:type="dxa"/>
            <w:shd w:val="clear" w:color="auto" w:fill="auto"/>
            <w:noWrap w:val="0"/>
            <w:vAlign w:val="top"/>
          </w:tcPr>
          <w:p>
            <w:pPr>
              <w:spacing w:line="360" w:lineRule="auto"/>
              <w:rPr>
                <w:b/>
                <w:bCs/>
                <w:sz w:val="24"/>
                <w:szCs w:val="22"/>
              </w:rPr>
            </w:pPr>
            <w:r>
              <w:rPr>
                <w:rFonts w:hint="eastAsia"/>
                <w:b/>
                <w:bCs/>
                <w:sz w:val="24"/>
                <w:szCs w:val="22"/>
              </w:rPr>
              <w:t>验收方法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center"/>
          </w:tcPr>
          <w:p>
            <w:pPr>
              <w:spacing w:line="360" w:lineRule="auto"/>
              <w:rPr>
                <w:sz w:val="24"/>
                <w:szCs w:val="22"/>
              </w:rPr>
            </w:pPr>
            <w:r>
              <w:rPr>
                <w:rFonts w:hint="eastAsia"/>
                <w:sz w:val="24"/>
                <w:szCs w:val="22"/>
              </w:rPr>
              <w:t>包装及外观</w:t>
            </w:r>
          </w:p>
        </w:tc>
        <w:tc>
          <w:tcPr>
            <w:tcW w:w="4252" w:type="dxa"/>
            <w:shd w:val="clear" w:color="auto" w:fill="auto"/>
            <w:noWrap w:val="0"/>
            <w:vAlign w:val="center"/>
          </w:tcPr>
          <w:p>
            <w:pPr>
              <w:spacing w:line="360" w:lineRule="auto"/>
              <w:rPr>
                <w:sz w:val="24"/>
                <w:szCs w:val="22"/>
              </w:rPr>
            </w:pPr>
            <w:r>
              <w:rPr>
                <w:rFonts w:hint="eastAsia"/>
                <w:sz w:val="24"/>
                <w:szCs w:val="22"/>
              </w:rPr>
              <w:t>检查束损电子学主板的包装是否为静电屏蔽袋包装</w:t>
            </w:r>
          </w:p>
        </w:tc>
        <w:tc>
          <w:tcPr>
            <w:tcW w:w="2552" w:type="dxa"/>
            <w:shd w:val="clear" w:color="auto" w:fill="auto"/>
            <w:noWrap w:val="0"/>
            <w:vAlign w:val="center"/>
          </w:tcPr>
          <w:p>
            <w:pPr>
              <w:spacing w:line="360" w:lineRule="auto"/>
              <w:rPr>
                <w:sz w:val="24"/>
                <w:szCs w:val="22"/>
              </w:rPr>
            </w:pPr>
            <w:r>
              <w:rPr>
                <w:rFonts w:hint="eastAsia"/>
                <w:sz w:val="24"/>
                <w:szCs w:val="22"/>
              </w:rPr>
              <w:t>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center"/>
          </w:tcPr>
          <w:p>
            <w:pPr>
              <w:spacing w:line="360" w:lineRule="auto"/>
              <w:rPr>
                <w:sz w:val="24"/>
                <w:szCs w:val="22"/>
              </w:rPr>
            </w:pPr>
            <w:r>
              <w:rPr>
                <w:rFonts w:hint="eastAsia"/>
                <w:sz w:val="24"/>
                <w:szCs w:val="22"/>
              </w:rPr>
              <w:t>数量</w:t>
            </w:r>
          </w:p>
        </w:tc>
        <w:tc>
          <w:tcPr>
            <w:tcW w:w="4252" w:type="dxa"/>
            <w:shd w:val="clear" w:color="auto" w:fill="auto"/>
            <w:noWrap w:val="0"/>
            <w:vAlign w:val="center"/>
          </w:tcPr>
          <w:p>
            <w:pPr>
              <w:spacing w:line="360" w:lineRule="auto"/>
              <w:rPr>
                <w:sz w:val="24"/>
                <w:szCs w:val="22"/>
              </w:rPr>
            </w:pPr>
            <w:r>
              <w:rPr>
                <w:rFonts w:hint="eastAsia"/>
                <w:sz w:val="24"/>
                <w:szCs w:val="22"/>
              </w:rPr>
              <w:t>检查核对数量是否为合同规定数目</w:t>
            </w:r>
          </w:p>
        </w:tc>
        <w:tc>
          <w:tcPr>
            <w:tcW w:w="2552" w:type="dxa"/>
            <w:shd w:val="clear" w:color="auto" w:fill="auto"/>
            <w:noWrap w:val="0"/>
            <w:vAlign w:val="center"/>
          </w:tcPr>
          <w:p>
            <w:pPr>
              <w:spacing w:line="360" w:lineRule="auto"/>
              <w:rPr>
                <w:sz w:val="24"/>
                <w:szCs w:val="22"/>
              </w:rPr>
            </w:pPr>
            <w:r>
              <w:rPr>
                <w:rFonts w:hint="eastAsia"/>
                <w:sz w:val="24"/>
                <w:szCs w:val="22"/>
              </w:rPr>
              <w:t>核对计算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center"/>
          </w:tcPr>
          <w:p>
            <w:pPr>
              <w:spacing w:line="360" w:lineRule="auto"/>
              <w:rPr>
                <w:sz w:val="24"/>
                <w:szCs w:val="22"/>
              </w:rPr>
            </w:pPr>
            <w:r>
              <w:rPr>
                <w:rFonts w:hint="eastAsia"/>
                <w:sz w:val="24"/>
                <w:szCs w:val="22"/>
              </w:rPr>
              <w:t>型号</w:t>
            </w:r>
          </w:p>
        </w:tc>
        <w:tc>
          <w:tcPr>
            <w:tcW w:w="4252" w:type="dxa"/>
            <w:shd w:val="clear" w:color="auto" w:fill="auto"/>
            <w:noWrap w:val="0"/>
            <w:vAlign w:val="center"/>
          </w:tcPr>
          <w:p>
            <w:pPr>
              <w:spacing w:line="360" w:lineRule="auto"/>
              <w:rPr>
                <w:sz w:val="24"/>
                <w:szCs w:val="22"/>
              </w:rPr>
            </w:pPr>
            <w:r>
              <w:rPr>
                <w:rFonts w:hint="eastAsia"/>
                <w:sz w:val="24"/>
                <w:szCs w:val="22"/>
              </w:rPr>
              <w:t>检查所有焊接是否合适、是否有残次品</w:t>
            </w:r>
          </w:p>
        </w:tc>
        <w:tc>
          <w:tcPr>
            <w:tcW w:w="2552" w:type="dxa"/>
            <w:shd w:val="clear" w:color="auto" w:fill="auto"/>
            <w:noWrap w:val="0"/>
            <w:vAlign w:val="center"/>
          </w:tcPr>
          <w:p>
            <w:pPr>
              <w:spacing w:line="360" w:lineRule="auto"/>
              <w:rPr>
                <w:sz w:val="24"/>
                <w:szCs w:val="22"/>
              </w:rPr>
            </w:pPr>
            <w:r>
              <w:rPr>
                <w:rFonts w:hint="eastAsia"/>
                <w:sz w:val="24"/>
                <w:szCs w:val="22"/>
              </w:rPr>
              <w:t>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center"/>
          </w:tcPr>
          <w:p>
            <w:pPr>
              <w:spacing w:line="360" w:lineRule="auto"/>
              <w:rPr>
                <w:sz w:val="24"/>
                <w:szCs w:val="22"/>
              </w:rPr>
            </w:pPr>
            <w:r>
              <w:rPr>
                <w:rFonts w:hint="eastAsia"/>
                <w:sz w:val="24"/>
                <w:szCs w:val="22"/>
              </w:rPr>
              <w:t>出货证明</w:t>
            </w:r>
          </w:p>
        </w:tc>
        <w:tc>
          <w:tcPr>
            <w:tcW w:w="4252" w:type="dxa"/>
            <w:shd w:val="clear" w:color="auto" w:fill="auto"/>
            <w:noWrap w:val="0"/>
            <w:vAlign w:val="center"/>
          </w:tcPr>
          <w:p>
            <w:pPr>
              <w:spacing w:line="360" w:lineRule="auto"/>
              <w:rPr>
                <w:sz w:val="24"/>
                <w:szCs w:val="22"/>
              </w:rPr>
            </w:pPr>
            <w:r>
              <w:rPr>
                <w:rFonts w:hint="eastAsia"/>
                <w:sz w:val="24"/>
                <w:szCs w:val="22"/>
              </w:rPr>
              <w:t>检查出货证明和质量证明文件</w:t>
            </w:r>
            <w:r>
              <w:rPr>
                <w:sz w:val="24"/>
                <w:szCs w:val="22"/>
              </w:rPr>
              <w:t xml:space="preserve"> </w:t>
            </w:r>
          </w:p>
        </w:tc>
        <w:tc>
          <w:tcPr>
            <w:tcW w:w="2552" w:type="dxa"/>
            <w:shd w:val="clear" w:color="auto" w:fill="auto"/>
            <w:noWrap w:val="0"/>
            <w:vAlign w:val="center"/>
          </w:tcPr>
          <w:p>
            <w:pPr>
              <w:spacing w:line="360" w:lineRule="auto"/>
              <w:rPr>
                <w:sz w:val="24"/>
                <w:szCs w:val="22"/>
              </w:rPr>
            </w:pPr>
            <w:r>
              <w:rPr>
                <w:rFonts w:hint="eastAsia"/>
                <w:sz w:val="24"/>
                <w:szCs w:val="22"/>
              </w:rPr>
              <w:t>核对对照</w:t>
            </w:r>
          </w:p>
        </w:tc>
      </w:tr>
    </w:tbl>
    <w:p>
      <w:pPr>
        <w:numPr>
          <w:ilvl w:val="0"/>
          <w:numId w:val="1"/>
        </w:numPr>
        <w:spacing w:before="120" w:beforeLines="50" w:after="120" w:afterLines="50" w:line="360" w:lineRule="auto"/>
        <w:rPr>
          <w:b/>
          <w:sz w:val="24"/>
          <w:szCs w:val="21"/>
        </w:rPr>
      </w:pPr>
      <w:r>
        <w:rPr>
          <w:b/>
          <w:sz w:val="24"/>
          <w:szCs w:val="21"/>
        </w:rPr>
        <w:t>采购项目售后服务要求</w:t>
      </w:r>
    </w:p>
    <w:p>
      <w:pPr>
        <w:spacing w:line="360" w:lineRule="auto"/>
        <w:ind w:firstLine="480" w:firstLineChars="200"/>
        <w:rPr>
          <w:sz w:val="24"/>
          <w:szCs w:val="22"/>
          <w:u w:val="single"/>
        </w:rPr>
      </w:pPr>
      <w:r>
        <w:rPr>
          <w:rFonts w:hint="eastAsia"/>
          <w:sz w:val="24"/>
          <w:szCs w:val="22"/>
          <w:u w:val="single"/>
        </w:rPr>
        <w:t>采购主板应至少保证3年的质保期限，在质保期限内发现任何与原厂参数质量不符的情况包括坏料的情况，乙方应无偿进行替换。本次采购预留5%质保金作为售后保证，待验收结束，使用期满一年后无质量问题发生再行进行支付。</w:t>
      </w:r>
    </w:p>
    <w:p>
      <w:pPr>
        <w:numPr>
          <w:ilvl w:val="0"/>
          <w:numId w:val="1"/>
        </w:numPr>
        <w:spacing w:before="120" w:beforeLines="50" w:after="120" w:afterLines="50" w:line="360" w:lineRule="auto"/>
        <w:rPr>
          <w:b/>
          <w:sz w:val="24"/>
          <w:szCs w:val="21"/>
        </w:rPr>
      </w:pPr>
      <w:r>
        <w:rPr>
          <w:b/>
          <w:sz w:val="24"/>
          <w:szCs w:val="21"/>
        </w:rPr>
        <w:t>采购项目交货要求</w:t>
      </w:r>
    </w:p>
    <w:p>
      <w:pPr>
        <w:spacing w:line="360" w:lineRule="auto"/>
        <w:rPr>
          <w:sz w:val="24"/>
          <w:szCs w:val="22"/>
          <w:u w:val="single"/>
        </w:rPr>
      </w:pPr>
      <w:r>
        <w:rPr>
          <w:b/>
          <w:sz w:val="24"/>
          <w:szCs w:val="22"/>
        </w:rPr>
        <w:t>1、交货时间：</w:t>
      </w:r>
      <w:r>
        <w:rPr>
          <w:sz w:val="24"/>
          <w:szCs w:val="22"/>
          <w:u w:val="single"/>
        </w:rPr>
        <w:t xml:space="preserve">   </w:t>
      </w:r>
      <w:r>
        <w:rPr>
          <w:rFonts w:hint="eastAsia"/>
          <w:sz w:val="24"/>
          <w:szCs w:val="22"/>
          <w:u w:val="single"/>
        </w:rPr>
        <w:t>合同签订后3周内</w:t>
      </w:r>
      <w:r>
        <w:rPr>
          <w:sz w:val="24"/>
          <w:szCs w:val="22"/>
          <w:u w:val="single"/>
        </w:rPr>
        <w:t xml:space="preserve">                                         </w:t>
      </w:r>
    </w:p>
    <w:p>
      <w:pPr>
        <w:pStyle w:val="6"/>
        <w:spacing w:before="120" w:beforeLines="50" w:after="120" w:afterLines="50" w:line="360" w:lineRule="auto"/>
        <w:ind w:firstLine="0" w:firstLineChars="0"/>
        <w:rPr>
          <w:rFonts w:hint="eastAsia" w:ascii="Times New Roman" w:hAnsi="Times New Roman"/>
          <w:b/>
          <w:sz w:val="24"/>
          <w:szCs w:val="21"/>
        </w:rPr>
      </w:pPr>
      <w:r>
        <w:rPr>
          <w:rFonts w:ascii="Times New Roman" w:hAnsi="Times New Roman"/>
          <w:b/>
          <w:sz w:val="24"/>
        </w:rPr>
        <w:t>2、交货地点：</w:t>
      </w:r>
      <w:r>
        <w:rPr>
          <w:rFonts w:ascii="Times New Roman" w:hAnsi="Times New Roman"/>
          <w:sz w:val="24"/>
          <w:u w:val="single"/>
        </w:rPr>
        <w:t xml:space="preserve">   </w:t>
      </w:r>
      <w:r>
        <w:rPr>
          <w:rFonts w:hint="eastAsia" w:ascii="Times New Roman" w:hAnsi="Times New Roman"/>
          <w:sz w:val="24"/>
          <w:u w:val="single"/>
        </w:rPr>
        <w:t>甘肃兰州</w:t>
      </w:r>
      <w:r>
        <w:rPr>
          <w:rFonts w:ascii="Times New Roman" w:hAnsi="Times New Roman"/>
          <w:sz w:val="24"/>
          <w:u w:val="single"/>
        </w:rPr>
        <w:t xml:space="preserve">                                                 </w:t>
      </w:r>
    </w:p>
    <w:p>
      <w:bookmarkStart w:id="5" w:name="_GoBack"/>
      <w:bookmarkEnd w:id="5"/>
    </w:p>
    <w:sectPr>
      <w:footerReference r:id="rId3" w:type="default"/>
      <w:footerReference r:id="rId4" w:type="even"/>
      <w:pgSz w:w="11906" w:h="16838"/>
      <w:pgMar w:top="1134" w:right="1466" w:bottom="1134" w:left="1260" w:header="737"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fldChar w:fldCharType="begin"/>
                          </w:r>
                          <w:r>
                            <w:rPr>
                              <w:rStyle w:val="5"/>
                            </w:rPr>
                            <w:instrText xml:space="preserve">PAGE  </w:instrText>
                          </w:r>
                          <w:r>
                            <w:fldChar w:fldCharType="separate"/>
                          </w:r>
                          <w:r>
                            <w:rPr>
                              <w:rStyle w:val="5"/>
                            </w:rPr>
                            <w:t>- 73 -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- 73 -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A0E30"/>
    <w:multiLevelType w:val="multilevel"/>
    <w:tmpl w:val="3FBA0E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41517D"/>
    <w:multiLevelType w:val="multilevel"/>
    <w:tmpl w:val="7E41517D"/>
    <w:lvl w:ilvl="0" w:tentative="0">
      <w:start w:val="1"/>
      <w:numFmt w:val="japaneseCounting"/>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DY5MDVlMzhiMDVmZmQ2MzI1YjVmMzZmYjFlYWIifQ=="/>
  </w:docVars>
  <w:rsids>
    <w:rsidRoot w:val="3DB506EC"/>
    <w:rsid w:val="3DB5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uiPriority w:val="0"/>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2022-06-17T10:36:00Z</dcterms:created>
  <dc:creator>Robin</dc:creator>
  <cp:lastModifiedBy>Robin</cp:lastModifiedBy>
  <dcterms:modified xsi:type="dcterms:W3CDTF">2022-06-17T10:36:43Z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66D1B2C7AB464ACB8BFBD8B36A9FF6F6</vt:lpwstr>
  </property>
</Properties>
</file>