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tabs>
          <w:tab w:val="left" w:pos="1710"/>
        </w:tabs>
        <w:rPr>
          <w:color w:val="auto"/>
        </w:rPr>
      </w:pPr>
      <w:bookmarkStart w:id="0" w:name="_Toc217446030"/>
      <w:bookmarkStart w:id="1" w:name="_Toc183682338"/>
    </w:p>
    <w:p>
      <w:pPr>
        <w:tabs>
          <w:tab w:val="left" w:pos="1710"/>
        </w:tabs>
        <w:rPr>
          <w:color w:val="auto"/>
        </w:rPr>
      </w:pPr>
    </w:p>
    <w:p>
      <w:pPr>
        <w:tabs>
          <w:tab w:val="left" w:pos="1710"/>
        </w:tabs>
        <w:rPr>
          <w:color w:val="auto"/>
        </w:rPr>
      </w:pPr>
    </w:p>
    <w:p>
      <w:pPr>
        <w:tabs>
          <w:tab w:val="left" w:pos="1710"/>
        </w:tabs>
        <w:rPr>
          <w:color w:val="auto"/>
        </w:rPr>
      </w:pP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2"/>
        <w:gridCol w:w="6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9240" w:type="dxa"/>
            <w:gridSpan w:val="2"/>
            <w:tcBorders>
              <w:top w:val="nil"/>
              <w:left w:val="nil"/>
              <w:right w:val="nil"/>
            </w:tcBorders>
          </w:tcPr>
          <w:p>
            <w:pPr>
              <w:snapToGrid w:val="0"/>
              <w:spacing w:line="240" w:lineRule="atLeast"/>
              <w:jc w:val="center"/>
              <w:rPr>
                <w:b/>
                <w:color w:val="auto"/>
                <w:sz w:val="60"/>
                <w:szCs w:val="60"/>
              </w:rPr>
            </w:pPr>
            <w:r>
              <w:rPr>
                <w:rFonts w:hint="eastAsia"/>
                <w:b/>
                <w:color w:val="auto"/>
                <w:sz w:val="60"/>
                <w:szCs w:val="60"/>
              </w:rPr>
              <w:t xml:space="preserve"> 采购文件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exact"/>
          <w:jc w:val="center"/>
        </w:trPr>
        <w:tc>
          <w:tcPr>
            <w:tcW w:w="2262" w:type="dxa"/>
            <w:vAlign w:val="center"/>
          </w:tcPr>
          <w:p>
            <w:pPr>
              <w:rPr>
                <w:b/>
                <w:color w:val="auto"/>
                <w:sz w:val="32"/>
                <w:szCs w:val="32"/>
              </w:rPr>
            </w:pPr>
            <w:r>
              <w:rPr>
                <w:b/>
                <w:color w:val="auto"/>
                <w:sz w:val="32"/>
                <w:szCs w:val="32"/>
              </w:rPr>
              <w:t>项目名称：</w:t>
            </w:r>
          </w:p>
        </w:tc>
        <w:tc>
          <w:tcPr>
            <w:tcW w:w="6978" w:type="dxa"/>
            <w:vAlign w:val="center"/>
          </w:tcPr>
          <w:p>
            <w:pPr>
              <w:rPr>
                <w:b/>
                <w:color w:val="auto"/>
                <w:sz w:val="32"/>
                <w:szCs w:val="32"/>
              </w:rPr>
            </w:pPr>
            <w:r>
              <w:rPr>
                <w:rFonts w:hint="eastAsia"/>
                <w:b/>
                <w:color w:val="auto"/>
                <w:sz w:val="32"/>
                <w:szCs w:val="32"/>
              </w:rPr>
              <w:t>贵港市运动休闲旅游产品体系规划编制服务项目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exact"/>
          <w:jc w:val="center"/>
        </w:trPr>
        <w:tc>
          <w:tcPr>
            <w:tcW w:w="2262" w:type="dxa"/>
            <w:vAlign w:val="center"/>
          </w:tcPr>
          <w:p>
            <w:pPr>
              <w:rPr>
                <w:b/>
                <w:color w:val="auto"/>
                <w:sz w:val="32"/>
                <w:szCs w:val="32"/>
              </w:rPr>
            </w:pPr>
            <w:r>
              <w:rPr>
                <w:b/>
                <w:color w:val="auto"/>
                <w:sz w:val="32"/>
                <w:szCs w:val="32"/>
              </w:rPr>
              <w:t>项目编号：</w:t>
            </w:r>
          </w:p>
        </w:tc>
        <w:tc>
          <w:tcPr>
            <w:tcW w:w="6978" w:type="dxa"/>
            <w:vAlign w:val="center"/>
          </w:tcPr>
          <w:p>
            <w:pPr>
              <w:rPr>
                <w:b/>
                <w:color w:val="auto"/>
                <w:sz w:val="32"/>
                <w:szCs w:val="32"/>
              </w:rPr>
            </w:pPr>
            <w:r>
              <w:rPr>
                <w:rFonts w:hint="eastAsia"/>
                <w:b/>
                <w:color w:val="auto"/>
                <w:sz w:val="32"/>
                <w:szCs w:val="32"/>
              </w:rPr>
              <w:t>GGZC2022-C3-01343-JDZB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exact"/>
          <w:jc w:val="center"/>
        </w:trPr>
        <w:tc>
          <w:tcPr>
            <w:tcW w:w="2262" w:type="dxa"/>
            <w:vAlign w:val="center"/>
          </w:tcPr>
          <w:p>
            <w:pPr>
              <w:rPr>
                <w:b/>
                <w:color w:val="auto"/>
                <w:sz w:val="32"/>
                <w:szCs w:val="32"/>
              </w:rPr>
            </w:pPr>
            <w:r>
              <w:rPr>
                <w:rFonts w:hint="eastAsia"/>
                <w:b/>
                <w:color w:val="auto"/>
                <w:sz w:val="32"/>
                <w:szCs w:val="32"/>
              </w:rPr>
              <w:t>联系电话：</w:t>
            </w:r>
          </w:p>
        </w:tc>
        <w:tc>
          <w:tcPr>
            <w:tcW w:w="6978" w:type="dxa"/>
            <w:vAlign w:val="center"/>
          </w:tcPr>
          <w:p>
            <w:pPr>
              <w:rPr>
                <w:b/>
                <w:color w:val="auto"/>
                <w:sz w:val="32"/>
                <w:szCs w:val="32"/>
              </w:rPr>
            </w:pPr>
            <w:r>
              <w:rPr>
                <w:rFonts w:hint="eastAsia"/>
                <w:b/>
                <w:color w:val="auto"/>
                <w:sz w:val="32"/>
                <w:szCs w:val="32"/>
              </w:rPr>
              <w:t>0775-4368013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exact"/>
          <w:jc w:val="center"/>
        </w:trPr>
        <w:tc>
          <w:tcPr>
            <w:tcW w:w="2262" w:type="dxa"/>
            <w:vAlign w:val="center"/>
          </w:tcPr>
          <w:p>
            <w:pPr>
              <w:rPr>
                <w:b/>
                <w:color w:val="auto"/>
                <w:sz w:val="32"/>
                <w:szCs w:val="32"/>
              </w:rPr>
            </w:pPr>
            <w:r>
              <w:rPr>
                <w:rFonts w:hint="eastAsia"/>
                <w:b/>
                <w:color w:val="auto"/>
                <w:sz w:val="32"/>
                <w:szCs w:val="32"/>
              </w:rPr>
              <w:t>采购方式：</w:t>
            </w:r>
          </w:p>
        </w:tc>
        <w:tc>
          <w:tcPr>
            <w:tcW w:w="6978" w:type="dxa"/>
            <w:vAlign w:val="center"/>
          </w:tcPr>
          <w:p>
            <w:pPr>
              <w:rPr>
                <w:b/>
                <w:color w:val="auto"/>
                <w:sz w:val="32"/>
                <w:szCs w:val="32"/>
              </w:rPr>
            </w:pPr>
            <w:r>
              <w:rPr>
                <w:rFonts w:hint="eastAsia"/>
                <w:b/>
                <w:color w:val="auto"/>
                <w:sz w:val="32"/>
                <w:szCs w:val="32"/>
              </w:rPr>
              <w:t>竞争性磋商</w:t>
            </w:r>
          </w:p>
        </w:tc>
      </w:tr>
    </w:tbl>
    <w:p>
      <w:pPr>
        <w:tabs>
          <w:tab w:val="left" w:pos="1710"/>
        </w:tabs>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pStyle w:val="20"/>
        <w:rPr>
          <w:color w:val="auto"/>
        </w:rPr>
      </w:pPr>
    </w:p>
    <w:p>
      <w:pPr>
        <w:pStyle w:val="20"/>
        <w:rPr>
          <w:color w:val="auto"/>
        </w:rPr>
      </w:pPr>
    </w:p>
    <w:p>
      <w:pPr>
        <w:rPr>
          <w:color w:val="auto"/>
        </w:rPr>
      </w:pPr>
    </w:p>
    <w:p>
      <w:pPr>
        <w:rPr>
          <w:color w:val="auto"/>
        </w:rPr>
      </w:pPr>
    </w:p>
    <w:p>
      <w:pPr>
        <w:rPr>
          <w:color w:val="auto"/>
        </w:rPr>
      </w:pPr>
    </w:p>
    <w:p>
      <w:pPr>
        <w:rPr>
          <w:color w:val="auto"/>
        </w:rPr>
      </w:pPr>
    </w:p>
    <w:p>
      <w:pPr>
        <w:rPr>
          <w:color w:val="auto"/>
        </w:rPr>
      </w:pPr>
    </w:p>
    <w:p>
      <w:pPr>
        <w:autoSpaceDE w:val="0"/>
        <w:autoSpaceDN w:val="0"/>
        <w:adjustRightInd w:val="0"/>
        <w:rPr>
          <w:b/>
          <w:color w:val="auto"/>
          <w:sz w:val="32"/>
          <w:szCs w:val="32"/>
        </w:rPr>
      </w:pPr>
    </w:p>
    <w:tbl>
      <w:tblPr>
        <w:tblStyle w:val="52"/>
        <w:tblW w:w="0" w:type="auto"/>
        <w:jc w:val="center"/>
        <w:tblLayout w:type="fixed"/>
        <w:tblCellMar>
          <w:top w:w="0" w:type="dxa"/>
          <w:left w:w="108" w:type="dxa"/>
          <w:bottom w:w="0" w:type="dxa"/>
          <w:right w:w="108" w:type="dxa"/>
        </w:tblCellMar>
      </w:tblPr>
      <w:tblGrid>
        <w:gridCol w:w="2707"/>
        <w:gridCol w:w="6"/>
        <w:gridCol w:w="5571"/>
      </w:tblGrid>
      <w:tr>
        <w:tblPrEx>
          <w:tblCellMar>
            <w:top w:w="0" w:type="dxa"/>
            <w:left w:w="108" w:type="dxa"/>
            <w:bottom w:w="0" w:type="dxa"/>
            <w:right w:w="108" w:type="dxa"/>
          </w:tblCellMar>
        </w:tblPrEx>
        <w:trPr>
          <w:trHeight w:val="703" w:hRule="atLeast"/>
          <w:jc w:val="center"/>
        </w:trPr>
        <w:tc>
          <w:tcPr>
            <w:tcW w:w="2707" w:type="dxa"/>
            <w:vAlign w:val="center"/>
          </w:tcPr>
          <w:p>
            <w:pPr>
              <w:autoSpaceDE w:val="0"/>
              <w:autoSpaceDN w:val="0"/>
              <w:adjustRightInd w:val="0"/>
              <w:jc w:val="right"/>
              <w:rPr>
                <w:b/>
                <w:color w:val="auto"/>
                <w:sz w:val="32"/>
                <w:szCs w:val="32"/>
              </w:rPr>
            </w:pPr>
            <w:r>
              <w:rPr>
                <w:b/>
                <w:color w:val="auto"/>
                <w:sz w:val="32"/>
                <w:szCs w:val="32"/>
              </w:rPr>
              <w:t xml:space="preserve">  采购人：</w:t>
            </w:r>
          </w:p>
        </w:tc>
        <w:tc>
          <w:tcPr>
            <w:tcW w:w="5577" w:type="dxa"/>
            <w:gridSpan w:val="2"/>
            <w:vAlign w:val="center"/>
          </w:tcPr>
          <w:p>
            <w:pPr>
              <w:autoSpaceDE w:val="0"/>
              <w:autoSpaceDN w:val="0"/>
              <w:adjustRightInd w:val="0"/>
              <w:rPr>
                <w:b/>
                <w:color w:val="auto"/>
                <w:sz w:val="32"/>
                <w:szCs w:val="32"/>
              </w:rPr>
            </w:pPr>
            <w:r>
              <w:rPr>
                <w:rFonts w:hint="eastAsia"/>
                <w:b/>
                <w:color w:val="auto"/>
                <w:sz w:val="32"/>
                <w:szCs w:val="32"/>
              </w:rPr>
              <w:t>贵港市文化广电体育和旅游局</w:t>
            </w:r>
          </w:p>
        </w:tc>
      </w:tr>
      <w:tr>
        <w:tblPrEx>
          <w:tblCellMar>
            <w:top w:w="0" w:type="dxa"/>
            <w:left w:w="108" w:type="dxa"/>
            <w:bottom w:w="0" w:type="dxa"/>
            <w:right w:w="108" w:type="dxa"/>
          </w:tblCellMar>
        </w:tblPrEx>
        <w:trPr>
          <w:trHeight w:val="703" w:hRule="atLeast"/>
          <w:jc w:val="center"/>
        </w:trPr>
        <w:tc>
          <w:tcPr>
            <w:tcW w:w="2713" w:type="dxa"/>
            <w:gridSpan w:val="2"/>
            <w:vAlign w:val="center"/>
          </w:tcPr>
          <w:p>
            <w:pPr>
              <w:autoSpaceDE w:val="0"/>
              <w:autoSpaceDN w:val="0"/>
              <w:adjustRightInd w:val="0"/>
              <w:jc w:val="right"/>
              <w:rPr>
                <w:b/>
                <w:color w:val="auto"/>
                <w:sz w:val="32"/>
                <w:szCs w:val="32"/>
              </w:rPr>
            </w:pPr>
            <w:r>
              <w:rPr>
                <w:b/>
                <w:color w:val="auto"/>
                <w:sz w:val="32"/>
                <w:szCs w:val="32"/>
              </w:rPr>
              <w:t>采购代理机构：</w:t>
            </w:r>
          </w:p>
        </w:tc>
        <w:tc>
          <w:tcPr>
            <w:tcW w:w="5571" w:type="dxa"/>
            <w:vAlign w:val="center"/>
          </w:tcPr>
          <w:p>
            <w:pPr>
              <w:autoSpaceDE w:val="0"/>
              <w:autoSpaceDN w:val="0"/>
              <w:adjustRightInd w:val="0"/>
              <w:rPr>
                <w:b/>
                <w:color w:val="auto"/>
                <w:sz w:val="32"/>
                <w:szCs w:val="32"/>
              </w:rPr>
            </w:pPr>
            <w:r>
              <w:rPr>
                <w:b/>
                <w:color w:val="auto"/>
                <w:sz w:val="32"/>
                <w:szCs w:val="32"/>
              </w:rPr>
              <w:t>广西机电设备招标有限公司</w:t>
            </w:r>
          </w:p>
        </w:tc>
      </w:tr>
    </w:tbl>
    <w:p>
      <w:pPr>
        <w:autoSpaceDE w:val="0"/>
        <w:autoSpaceDN w:val="0"/>
        <w:adjustRightInd w:val="0"/>
        <w:rPr>
          <w:b/>
          <w:color w:val="auto"/>
          <w:sz w:val="32"/>
          <w:szCs w:val="32"/>
        </w:rPr>
      </w:pPr>
    </w:p>
    <w:p>
      <w:pPr>
        <w:autoSpaceDE w:val="0"/>
        <w:autoSpaceDN w:val="0"/>
        <w:adjustRightInd w:val="0"/>
        <w:jc w:val="center"/>
        <w:rPr>
          <w:b/>
          <w:color w:val="auto"/>
          <w:sz w:val="32"/>
          <w:szCs w:val="32"/>
        </w:rPr>
        <w:sectPr>
          <w:headerReference r:id="rId3" w:type="first"/>
          <w:footerReference r:id="rId6" w:type="first"/>
          <w:footerReference r:id="rId4" w:type="default"/>
          <w:footerReference r:id="rId5" w:type="even"/>
          <w:type w:val="nextColumn"/>
          <w:pgSz w:w="11906" w:h="16838"/>
          <w:pgMar w:top="1418" w:right="1418" w:bottom="1246" w:left="1418" w:header="851" w:footer="992" w:gutter="0"/>
          <w:pgNumType w:start="0"/>
          <w:cols w:space="720" w:num="1"/>
          <w:titlePg/>
          <w:docGrid w:linePitch="312" w:charSpace="0"/>
        </w:sectPr>
      </w:pPr>
      <w:r>
        <w:rPr>
          <w:rFonts w:hint="eastAsia"/>
          <w:b/>
          <w:color w:val="auto"/>
          <w:sz w:val="32"/>
          <w:szCs w:val="32"/>
        </w:rPr>
        <w:t>2022年6月</w:t>
      </w:r>
    </w:p>
    <w:p>
      <w:pPr>
        <w:rPr>
          <w:color w:val="auto"/>
          <w:sz w:val="32"/>
          <w:szCs w:val="32"/>
        </w:rPr>
      </w:pPr>
    </w:p>
    <w:p>
      <w:pPr>
        <w:pStyle w:val="28"/>
        <w:snapToGrid w:val="0"/>
        <w:spacing w:before="120" w:after="120" w:line="320" w:lineRule="exact"/>
        <w:jc w:val="center"/>
        <w:outlineLvl w:val="0"/>
        <w:rPr>
          <w:rFonts w:ascii="Times New Roman" w:hAnsi="Times New Roman" w:cs="Times New Roman"/>
          <w:color w:val="auto"/>
          <w:sz w:val="32"/>
          <w:szCs w:val="32"/>
        </w:rPr>
      </w:pPr>
      <w:bookmarkStart w:id="2" w:name="_Toc17133"/>
      <w:r>
        <w:rPr>
          <w:rFonts w:ascii="Times New Roman" w:hAnsi="Times New Roman" w:cs="Times New Roman"/>
          <w:color w:val="auto"/>
          <w:sz w:val="32"/>
          <w:szCs w:val="32"/>
        </w:rPr>
        <w:t>目    录</w:t>
      </w:r>
      <w:bookmarkEnd w:id="2"/>
    </w:p>
    <w:p>
      <w:pPr>
        <w:pStyle w:val="34"/>
        <w:tabs>
          <w:tab w:val="right" w:leader="dot" w:pos="9070"/>
          <w:tab w:val="clear" w:pos="8398"/>
        </w:tabs>
        <w:ind w:firstLine="241"/>
        <w:rPr>
          <w:rFonts w:ascii="Times New Roman" w:hAnsi="Times New Roman"/>
          <w:color w:val="auto"/>
        </w:rPr>
      </w:pPr>
      <w:r>
        <w:rPr>
          <w:rFonts w:ascii="Times New Roman" w:hAnsi="Times New Roman"/>
          <w:color w:val="auto"/>
        </w:rPr>
        <w:fldChar w:fldCharType="begin"/>
      </w:r>
      <w:r>
        <w:rPr>
          <w:rStyle w:val="58"/>
          <w:rFonts w:ascii="Times New Roman" w:hAnsi="Times New Roman"/>
          <w:color w:val="auto"/>
        </w:rPr>
        <w:instrText xml:space="preserve"> TOC \o "1-1" \h \z \u </w:instrText>
      </w:r>
      <w:r>
        <w:rPr>
          <w:rFonts w:ascii="Times New Roman" w:hAnsi="Times New Roman"/>
          <w:color w:val="auto"/>
        </w:rPr>
        <w:fldChar w:fldCharType="separate"/>
      </w:r>
      <w:r>
        <w:rPr>
          <w:color w:val="auto"/>
        </w:rPr>
        <w:fldChar w:fldCharType="begin"/>
      </w:r>
      <w:r>
        <w:rPr>
          <w:color w:val="auto"/>
        </w:rPr>
        <w:instrText xml:space="preserve"> HYPERLINK \l "_Toc21148" </w:instrText>
      </w:r>
      <w:r>
        <w:rPr>
          <w:color w:val="auto"/>
        </w:rPr>
        <w:fldChar w:fldCharType="separate"/>
      </w:r>
      <w:r>
        <w:rPr>
          <w:rFonts w:ascii="Times New Roman" w:hAnsi="Times New Roman"/>
          <w:color w:val="auto"/>
          <w:szCs w:val="32"/>
        </w:rPr>
        <w:t>第一章  竞争性磋商公告</w:t>
      </w:r>
      <w:r>
        <w:rPr>
          <w:rFonts w:ascii="Times New Roman" w:hAnsi="Times New Roman"/>
          <w:color w:val="auto"/>
        </w:rPr>
        <w:tab/>
      </w:r>
      <w:r>
        <w:rPr>
          <w:rFonts w:ascii="Times New Roman" w:hAnsi="Times New Roman"/>
          <w:color w:val="auto"/>
        </w:rPr>
        <w:fldChar w:fldCharType="begin"/>
      </w:r>
      <w:r>
        <w:rPr>
          <w:rFonts w:ascii="Times New Roman" w:hAnsi="Times New Roman"/>
          <w:color w:val="auto"/>
        </w:rPr>
        <w:instrText xml:space="preserve"> PAGEREF _Toc21148 </w:instrText>
      </w:r>
      <w:r>
        <w:rPr>
          <w:rFonts w:ascii="Times New Roman" w:hAnsi="Times New Roman"/>
          <w:color w:val="auto"/>
        </w:rPr>
        <w:fldChar w:fldCharType="separate"/>
      </w:r>
      <w:r>
        <w:rPr>
          <w:rFonts w:ascii="Times New Roman" w:hAnsi="Times New Roman"/>
          <w:color w:val="auto"/>
        </w:rPr>
        <w:t>1</w:t>
      </w:r>
      <w:r>
        <w:rPr>
          <w:rFonts w:ascii="Times New Roman" w:hAnsi="Times New Roman"/>
          <w:color w:val="auto"/>
        </w:rPr>
        <w:fldChar w:fldCharType="end"/>
      </w:r>
      <w:r>
        <w:rPr>
          <w:rFonts w:ascii="Times New Roman" w:hAnsi="Times New Roman"/>
          <w:color w:val="auto"/>
        </w:rPr>
        <w:fldChar w:fldCharType="end"/>
      </w:r>
    </w:p>
    <w:p>
      <w:pPr>
        <w:pStyle w:val="34"/>
        <w:tabs>
          <w:tab w:val="right" w:leader="dot" w:pos="9070"/>
          <w:tab w:val="clear" w:pos="8398"/>
        </w:tabs>
        <w:ind w:firstLine="241"/>
        <w:rPr>
          <w:rFonts w:ascii="Times New Roman" w:hAnsi="Times New Roman"/>
          <w:color w:val="auto"/>
        </w:rPr>
      </w:pPr>
      <w:r>
        <w:rPr>
          <w:color w:val="auto"/>
        </w:rPr>
        <w:fldChar w:fldCharType="begin"/>
      </w:r>
      <w:r>
        <w:rPr>
          <w:color w:val="auto"/>
        </w:rPr>
        <w:instrText xml:space="preserve"> HYPERLINK \l "_Toc15694" </w:instrText>
      </w:r>
      <w:r>
        <w:rPr>
          <w:color w:val="auto"/>
        </w:rPr>
        <w:fldChar w:fldCharType="separate"/>
      </w:r>
      <w:r>
        <w:rPr>
          <w:rFonts w:ascii="Times New Roman" w:hAnsi="Times New Roman"/>
          <w:color w:val="auto"/>
          <w:szCs w:val="32"/>
        </w:rPr>
        <w:t>第二章  采购需求</w:t>
      </w:r>
      <w:r>
        <w:rPr>
          <w:rFonts w:ascii="Times New Roman" w:hAnsi="Times New Roman"/>
          <w:color w:val="auto"/>
        </w:rPr>
        <w:tab/>
      </w:r>
      <w:r>
        <w:rPr>
          <w:rFonts w:ascii="Times New Roman" w:hAnsi="Times New Roman"/>
          <w:color w:val="auto"/>
        </w:rPr>
        <w:fldChar w:fldCharType="begin"/>
      </w:r>
      <w:r>
        <w:rPr>
          <w:rFonts w:ascii="Times New Roman" w:hAnsi="Times New Roman"/>
          <w:color w:val="auto"/>
        </w:rPr>
        <w:instrText xml:space="preserve"> PAGEREF _Toc15694 </w:instrText>
      </w:r>
      <w:r>
        <w:rPr>
          <w:rFonts w:ascii="Times New Roman" w:hAnsi="Times New Roman"/>
          <w:color w:val="auto"/>
        </w:rPr>
        <w:fldChar w:fldCharType="separate"/>
      </w:r>
      <w:r>
        <w:rPr>
          <w:rFonts w:ascii="Times New Roman" w:hAnsi="Times New Roman"/>
          <w:color w:val="auto"/>
        </w:rPr>
        <w:t>4</w:t>
      </w:r>
      <w:r>
        <w:rPr>
          <w:rFonts w:ascii="Times New Roman" w:hAnsi="Times New Roman"/>
          <w:color w:val="auto"/>
        </w:rPr>
        <w:fldChar w:fldCharType="end"/>
      </w:r>
      <w:r>
        <w:rPr>
          <w:rFonts w:ascii="Times New Roman" w:hAnsi="Times New Roman"/>
          <w:color w:val="auto"/>
        </w:rPr>
        <w:fldChar w:fldCharType="end"/>
      </w:r>
    </w:p>
    <w:p>
      <w:pPr>
        <w:pStyle w:val="34"/>
        <w:tabs>
          <w:tab w:val="right" w:leader="dot" w:pos="9070"/>
          <w:tab w:val="clear" w:pos="8398"/>
        </w:tabs>
        <w:ind w:firstLine="241"/>
        <w:rPr>
          <w:rFonts w:ascii="Times New Roman" w:hAnsi="Times New Roman"/>
          <w:color w:val="auto"/>
        </w:rPr>
      </w:pPr>
      <w:r>
        <w:rPr>
          <w:color w:val="auto"/>
        </w:rPr>
        <w:fldChar w:fldCharType="begin"/>
      </w:r>
      <w:r>
        <w:rPr>
          <w:color w:val="auto"/>
        </w:rPr>
        <w:instrText xml:space="preserve"> HYPERLINK \l "_Toc31014" </w:instrText>
      </w:r>
      <w:r>
        <w:rPr>
          <w:color w:val="auto"/>
        </w:rPr>
        <w:fldChar w:fldCharType="separate"/>
      </w:r>
      <w:r>
        <w:rPr>
          <w:rFonts w:ascii="Times New Roman" w:hAnsi="Times New Roman"/>
          <w:color w:val="auto"/>
          <w:szCs w:val="32"/>
        </w:rPr>
        <w:t>第三章  供应商须知</w:t>
      </w:r>
      <w:r>
        <w:rPr>
          <w:rFonts w:ascii="Times New Roman" w:hAnsi="Times New Roman"/>
          <w:color w:val="auto"/>
        </w:rPr>
        <w:tab/>
      </w:r>
      <w:r>
        <w:rPr>
          <w:rFonts w:ascii="Times New Roman" w:hAnsi="Times New Roman"/>
          <w:color w:val="auto"/>
        </w:rPr>
        <w:fldChar w:fldCharType="begin"/>
      </w:r>
      <w:r>
        <w:rPr>
          <w:rFonts w:ascii="Times New Roman" w:hAnsi="Times New Roman"/>
          <w:color w:val="auto"/>
        </w:rPr>
        <w:instrText xml:space="preserve"> PAGEREF _Toc31014 </w:instrText>
      </w:r>
      <w:r>
        <w:rPr>
          <w:rFonts w:ascii="Times New Roman" w:hAnsi="Times New Roman"/>
          <w:color w:val="auto"/>
        </w:rPr>
        <w:fldChar w:fldCharType="separate"/>
      </w:r>
      <w:r>
        <w:rPr>
          <w:rFonts w:ascii="Times New Roman" w:hAnsi="Times New Roman"/>
          <w:color w:val="auto"/>
        </w:rPr>
        <w:t>7</w:t>
      </w:r>
      <w:r>
        <w:rPr>
          <w:rFonts w:ascii="Times New Roman" w:hAnsi="Times New Roman"/>
          <w:color w:val="auto"/>
        </w:rPr>
        <w:fldChar w:fldCharType="end"/>
      </w:r>
      <w:r>
        <w:rPr>
          <w:rFonts w:ascii="Times New Roman" w:hAnsi="Times New Roman"/>
          <w:color w:val="auto"/>
        </w:rPr>
        <w:fldChar w:fldCharType="end"/>
      </w:r>
    </w:p>
    <w:p>
      <w:pPr>
        <w:pStyle w:val="34"/>
        <w:tabs>
          <w:tab w:val="right" w:leader="dot" w:pos="9070"/>
          <w:tab w:val="clear" w:pos="8398"/>
        </w:tabs>
        <w:ind w:firstLine="241"/>
        <w:rPr>
          <w:rFonts w:ascii="Times New Roman" w:hAnsi="Times New Roman"/>
          <w:color w:val="auto"/>
        </w:rPr>
      </w:pPr>
      <w:r>
        <w:rPr>
          <w:color w:val="auto"/>
        </w:rPr>
        <w:fldChar w:fldCharType="begin"/>
      </w:r>
      <w:r>
        <w:rPr>
          <w:color w:val="auto"/>
        </w:rPr>
        <w:instrText xml:space="preserve"> HYPERLINK \l "_Toc13891" </w:instrText>
      </w:r>
      <w:r>
        <w:rPr>
          <w:color w:val="auto"/>
        </w:rPr>
        <w:fldChar w:fldCharType="separate"/>
      </w:r>
      <w:r>
        <w:rPr>
          <w:rFonts w:ascii="Times New Roman" w:hAnsi="Times New Roman"/>
          <w:color w:val="auto"/>
          <w:szCs w:val="32"/>
        </w:rPr>
        <w:t>第四章  评审方法及标准</w:t>
      </w:r>
      <w:r>
        <w:rPr>
          <w:rFonts w:ascii="Times New Roman" w:hAnsi="Times New Roman"/>
          <w:color w:val="auto"/>
        </w:rPr>
        <w:tab/>
      </w:r>
      <w:r>
        <w:rPr>
          <w:rFonts w:ascii="Times New Roman" w:hAnsi="Times New Roman"/>
          <w:color w:val="auto"/>
        </w:rPr>
        <w:fldChar w:fldCharType="begin"/>
      </w:r>
      <w:r>
        <w:rPr>
          <w:rFonts w:ascii="Times New Roman" w:hAnsi="Times New Roman"/>
          <w:color w:val="auto"/>
        </w:rPr>
        <w:instrText xml:space="preserve"> PAGEREF _Toc13891 </w:instrText>
      </w:r>
      <w:r>
        <w:rPr>
          <w:rFonts w:ascii="Times New Roman" w:hAnsi="Times New Roman"/>
          <w:color w:val="auto"/>
        </w:rPr>
        <w:fldChar w:fldCharType="separate"/>
      </w:r>
      <w:r>
        <w:rPr>
          <w:rFonts w:ascii="Times New Roman" w:hAnsi="Times New Roman"/>
          <w:color w:val="auto"/>
        </w:rPr>
        <w:t>26</w:t>
      </w:r>
      <w:r>
        <w:rPr>
          <w:rFonts w:ascii="Times New Roman" w:hAnsi="Times New Roman"/>
          <w:color w:val="auto"/>
        </w:rPr>
        <w:fldChar w:fldCharType="end"/>
      </w:r>
      <w:r>
        <w:rPr>
          <w:rFonts w:ascii="Times New Roman" w:hAnsi="Times New Roman"/>
          <w:color w:val="auto"/>
        </w:rPr>
        <w:fldChar w:fldCharType="end"/>
      </w:r>
    </w:p>
    <w:p>
      <w:pPr>
        <w:pStyle w:val="34"/>
        <w:tabs>
          <w:tab w:val="right" w:leader="dot" w:pos="9070"/>
          <w:tab w:val="clear" w:pos="8398"/>
        </w:tabs>
        <w:ind w:firstLine="241"/>
        <w:rPr>
          <w:rFonts w:ascii="Times New Roman" w:hAnsi="Times New Roman"/>
          <w:color w:val="auto"/>
        </w:rPr>
      </w:pPr>
      <w:r>
        <w:rPr>
          <w:color w:val="auto"/>
        </w:rPr>
        <w:fldChar w:fldCharType="begin"/>
      </w:r>
      <w:r>
        <w:rPr>
          <w:color w:val="auto"/>
        </w:rPr>
        <w:instrText xml:space="preserve"> HYPERLINK \l "_Toc16303" </w:instrText>
      </w:r>
      <w:r>
        <w:rPr>
          <w:color w:val="auto"/>
        </w:rPr>
        <w:fldChar w:fldCharType="separate"/>
      </w:r>
      <w:r>
        <w:rPr>
          <w:rFonts w:ascii="Times New Roman" w:hAnsi="Times New Roman"/>
          <w:color w:val="auto"/>
          <w:szCs w:val="32"/>
        </w:rPr>
        <w:t>第五章  合同主要条款格式</w:t>
      </w:r>
      <w:r>
        <w:rPr>
          <w:rFonts w:ascii="Times New Roman" w:hAnsi="Times New Roman"/>
          <w:color w:val="auto"/>
        </w:rPr>
        <w:tab/>
      </w:r>
      <w:r>
        <w:rPr>
          <w:rFonts w:ascii="Times New Roman" w:hAnsi="Times New Roman"/>
          <w:color w:val="auto"/>
        </w:rPr>
        <w:fldChar w:fldCharType="begin"/>
      </w:r>
      <w:r>
        <w:rPr>
          <w:rFonts w:ascii="Times New Roman" w:hAnsi="Times New Roman"/>
          <w:color w:val="auto"/>
        </w:rPr>
        <w:instrText xml:space="preserve"> PAGEREF _Toc16303 </w:instrText>
      </w:r>
      <w:r>
        <w:rPr>
          <w:rFonts w:ascii="Times New Roman" w:hAnsi="Times New Roman"/>
          <w:color w:val="auto"/>
        </w:rPr>
        <w:fldChar w:fldCharType="separate"/>
      </w:r>
      <w:r>
        <w:rPr>
          <w:rFonts w:ascii="Times New Roman" w:hAnsi="Times New Roman"/>
          <w:color w:val="auto"/>
        </w:rPr>
        <w:t>32</w:t>
      </w:r>
      <w:r>
        <w:rPr>
          <w:rFonts w:ascii="Times New Roman" w:hAnsi="Times New Roman"/>
          <w:color w:val="auto"/>
        </w:rPr>
        <w:fldChar w:fldCharType="end"/>
      </w:r>
      <w:r>
        <w:rPr>
          <w:rFonts w:ascii="Times New Roman" w:hAnsi="Times New Roman"/>
          <w:color w:val="auto"/>
        </w:rPr>
        <w:fldChar w:fldCharType="end"/>
      </w:r>
    </w:p>
    <w:p>
      <w:pPr>
        <w:pStyle w:val="34"/>
        <w:tabs>
          <w:tab w:val="right" w:leader="dot" w:pos="9070"/>
          <w:tab w:val="clear" w:pos="8398"/>
        </w:tabs>
        <w:ind w:firstLine="241"/>
        <w:rPr>
          <w:rFonts w:ascii="Times New Roman" w:hAnsi="Times New Roman"/>
          <w:color w:val="auto"/>
        </w:rPr>
      </w:pPr>
      <w:r>
        <w:rPr>
          <w:color w:val="auto"/>
        </w:rPr>
        <w:fldChar w:fldCharType="begin"/>
      </w:r>
      <w:r>
        <w:rPr>
          <w:color w:val="auto"/>
        </w:rPr>
        <w:instrText xml:space="preserve"> HYPERLINK \l "_Toc26903" </w:instrText>
      </w:r>
      <w:r>
        <w:rPr>
          <w:color w:val="auto"/>
        </w:rPr>
        <w:fldChar w:fldCharType="separate"/>
      </w:r>
      <w:r>
        <w:rPr>
          <w:rFonts w:ascii="Times New Roman" w:hAnsi="Times New Roman"/>
          <w:color w:val="auto"/>
          <w:szCs w:val="32"/>
        </w:rPr>
        <w:t>第六章  响应文件格式</w:t>
      </w:r>
      <w:r>
        <w:rPr>
          <w:rFonts w:ascii="Times New Roman" w:hAnsi="Times New Roman"/>
          <w:color w:val="auto"/>
        </w:rPr>
        <w:tab/>
      </w:r>
      <w:r>
        <w:rPr>
          <w:rFonts w:ascii="Times New Roman" w:hAnsi="Times New Roman"/>
          <w:color w:val="auto"/>
        </w:rPr>
        <w:fldChar w:fldCharType="begin"/>
      </w:r>
      <w:r>
        <w:rPr>
          <w:rFonts w:ascii="Times New Roman" w:hAnsi="Times New Roman"/>
          <w:color w:val="auto"/>
        </w:rPr>
        <w:instrText xml:space="preserve"> PAGEREF _Toc26903 </w:instrText>
      </w:r>
      <w:r>
        <w:rPr>
          <w:rFonts w:ascii="Times New Roman" w:hAnsi="Times New Roman"/>
          <w:color w:val="auto"/>
        </w:rPr>
        <w:fldChar w:fldCharType="separate"/>
      </w:r>
      <w:r>
        <w:rPr>
          <w:rFonts w:ascii="Times New Roman" w:hAnsi="Times New Roman"/>
          <w:color w:val="auto"/>
        </w:rPr>
        <w:t>40</w:t>
      </w:r>
      <w:r>
        <w:rPr>
          <w:rFonts w:ascii="Times New Roman" w:hAnsi="Times New Roman"/>
          <w:color w:val="auto"/>
        </w:rPr>
        <w:fldChar w:fldCharType="end"/>
      </w:r>
      <w:r>
        <w:rPr>
          <w:rFonts w:ascii="Times New Roman" w:hAnsi="Times New Roman"/>
          <w:color w:val="auto"/>
        </w:rPr>
        <w:fldChar w:fldCharType="end"/>
      </w:r>
    </w:p>
    <w:p>
      <w:pPr>
        <w:pStyle w:val="34"/>
        <w:ind w:firstLine="241"/>
        <w:rPr>
          <w:rFonts w:ascii="Times New Roman" w:hAnsi="Times New Roman"/>
          <w:color w:val="auto"/>
          <w:sz w:val="28"/>
          <w:szCs w:val="28"/>
        </w:rPr>
      </w:pPr>
      <w:r>
        <w:rPr>
          <w:rFonts w:ascii="Times New Roman" w:hAnsi="Times New Roman"/>
          <w:color w:val="auto"/>
          <w:szCs w:val="28"/>
        </w:rPr>
        <w:fldChar w:fldCharType="end"/>
      </w:r>
    </w:p>
    <w:p>
      <w:pPr>
        <w:spacing w:before="120" w:beforeLines="50" w:line="480" w:lineRule="exact"/>
        <w:rPr>
          <w:color w:val="auto"/>
          <w:sz w:val="28"/>
          <w:szCs w:val="28"/>
        </w:rPr>
      </w:pPr>
    </w:p>
    <w:p>
      <w:pPr>
        <w:spacing w:before="120" w:beforeLines="50" w:line="480" w:lineRule="exact"/>
        <w:rPr>
          <w:color w:val="auto"/>
          <w:sz w:val="30"/>
        </w:rPr>
        <w:sectPr>
          <w:headerReference r:id="rId7" w:type="first"/>
          <w:pgSz w:w="11906" w:h="16838"/>
          <w:pgMar w:top="1418" w:right="1418" w:bottom="1246" w:left="1418" w:header="851" w:footer="992" w:gutter="0"/>
          <w:pgNumType w:start="0"/>
          <w:cols w:space="720" w:num="1"/>
          <w:titlePg/>
          <w:docGrid w:linePitch="312" w:charSpace="0"/>
        </w:sectPr>
      </w:pPr>
    </w:p>
    <w:p>
      <w:pPr>
        <w:rPr>
          <w:color w:val="auto"/>
        </w:rPr>
      </w:pPr>
      <w:bookmarkStart w:id="3" w:name="_Toc254970489"/>
      <w:bookmarkStart w:id="4" w:name="_Toc254970630"/>
      <w:bookmarkStart w:id="5" w:name="_Toc21148"/>
    </w:p>
    <w:p>
      <w:pPr>
        <w:pStyle w:val="28"/>
        <w:snapToGrid w:val="0"/>
        <w:spacing w:before="120" w:after="120" w:line="320" w:lineRule="exact"/>
        <w:jc w:val="center"/>
        <w:outlineLvl w:val="0"/>
        <w:rPr>
          <w:rFonts w:ascii="Times New Roman" w:hAnsi="Times New Roman" w:cs="Times New Roman"/>
          <w:color w:val="auto"/>
          <w:sz w:val="32"/>
          <w:szCs w:val="32"/>
        </w:rPr>
      </w:pPr>
      <w:r>
        <w:rPr>
          <w:rFonts w:ascii="Times New Roman" w:hAnsi="Times New Roman" w:cs="Times New Roman"/>
          <w:color w:val="auto"/>
          <w:sz w:val="32"/>
          <w:szCs w:val="32"/>
        </w:rPr>
        <w:t xml:space="preserve">第一章  </w:t>
      </w:r>
      <w:bookmarkEnd w:id="3"/>
      <w:bookmarkEnd w:id="4"/>
      <w:r>
        <w:rPr>
          <w:rFonts w:ascii="Times New Roman" w:hAnsi="Times New Roman" w:cs="Times New Roman"/>
          <w:color w:val="auto"/>
          <w:sz w:val="32"/>
          <w:szCs w:val="32"/>
        </w:rPr>
        <w:t>竞争性磋商公告</w:t>
      </w:r>
      <w:bookmarkEnd w:id="5"/>
    </w:p>
    <w:p>
      <w:pPr>
        <w:spacing w:line="400" w:lineRule="exact"/>
        <w:jc w:val="center"/>
        <w:rPr>
          <w:color w:val="auto"/>
          <w:kern w:val="0"/>
          <w:sz w:val="24"/>
        </w:rPr>
      </w:pPr>
      <w:r>
        <w:rPr>
          <w:color w:val="auto"/>
          <w:kern w:val="0"/>
          <w:sz w:val="24"/>
        </w:rPr>
        <w:t>广西机电设备招标有限公司关于</w:t>
      </w:r>
      <w:r>
        <w:rPr>
          <w:rFonts w:hint="eastAsia"/>
          <w:color w:val="auto"/>
          <w:kern w:val="0"/>
          <w:sz w:val="24"/>
        </w:rPr>
        <w:t>贵港市运动休闲旅游产品体系规划编制服务项目</w:t>
      </w:r>
      <w:r>
        <w:rPr>
          <w:color w:val="auto"/>
          <w:sz w:val="24"/>
        </w:rPr>
        <w:t>(</w:t>
      </w:r>
      <w:r>
        <w:rPr>
          <w:rFonts w:hint="eastAsia"/>
          <w:color w:val="auto"/>
          <w:sz w:val="24"/>
        </w:rPr>
        <w:t>GGZC2022-C3-01343-JDZB</w:t>
      </w:r>
      <w:r>
        <w:rPr>
          <w:color w:val="auto"/>
          <w:sz w:val="24"/>
        </w:rPr>
        <w:t>)</w:t>
      </w:r>
      <w:r>
        <w:rPr>
          <w:color w:val="auto"/>
          <w:kern w:val="0"/>
          <w:sz w:val="24"/>
        </w:rPr>
        <w:t>竞争性磋商公告</w:t>
      </w:r>
    </w:p>
    <w:p>
      <w:pPr>
        <w:snapToGrid w:val="0"/>
        <w:spacing w:line="360" w:lineRule="auto"/>
        <w:jc w:val="left"/>
        <w:rPr>
          <w:b/>
          <w:bCs/>
          <w:color w:val="auto"/>
          <w:kern w:val="0"/>
          <w:sz w:val="22"/>
          <w:szCs w:val="22"/>
        </w:rPr>
      </w:pPr>
    </w:p>
    <w:p>
      <w:pPr>
        <w:pStyle w:val="46"/>
        <w:keepNext w:val="0"/>
        <w:keepLines w:val="0"/>
        <w:widowControl/>
        <w:suppressLineNumbers w:val="0"/>
        <w:spacing w:before="75" w:beforeAutospacing="0" w:after="150" w:afterAutospacing="0"/>
        <w:ind w:left="0" w:right="0" w:firstLine="0"/>
        <w:rPr>
          <w:rFonts w:hint="eastAsia" w:ascii="宋体" w:hAnsi="宋体" w:eastAsia="宋体" w:cs="宋体"/>
          <w:i w:val="0"/>
          <w:iCs w:val="0"/>
          <w:caps w:val="0"/>
          <w:color w:val="000000"/>
          <w:spacing w:val="0"/>
          <w:sz w:val="21"/>
          <w:szCs w:val="21"/>
        </w:rPr>
      </w:pPr>
      <w:r>
        <w:rPr>
          <w:rFonts w:hint="eastAsia" w:ascii="仿宋" w:hAnsi="仿宋" w:eastAsia="仿宋" w:cs="仿宋"/>
          <w:i w:val="0"/>
          <w:iCs w:val="0"/>
          <w:caps w:val="0"/>
          <w:color w:val="000000"/>
          <w:spacing w:val="0"/>
          <w:sz w:val="27"/>
          <w:szCs w:val="27"/>
        </w:rPr>
        <w:t xml:space="preserve">  </w:t>
      </w:r>
      <w:r>
        <w:rPr>
          <w:rFonts w:hint="eastAsia" w:ascii="宋体" w:hAnsi="宋体" w:eastAsia="宋体" w:cs="宋体"/>
          <w:i w:val="0"/>
          <w:iCs w:val="0"/>
          <w:caps w:val="0"/>
          <w:color w:val="000000"/>
          <w:spacing w:val="0"/>
          <w:sz w:val="21"/>
          <w:szCs w:val="21"/>
        </w:rPr>
        <w:t>项目概况                                                    </w:t>
      </w:r>
    </w:p>
    <w:p>
      <w:pPr>
        <w:pStyle w:val="46"/>
        <w:keepNext w:val="0"/>
        <w:keepLines w:val="0"/>
        <w:widowControl/>
        <w:suppressLineNumbers w:val="0"/>
        <w:spacing w:before="75" w:beforeAutospacing="0" w:after="75"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    贵港市运动休闲旅游产品体系规划编制服务项目采购项目的潜在供应商应在政采云平台 （http：//www.zcygov.cn）获取采购文件，并于2022年06月28日 15:30（北京时间）前提交响应文件。        </w:t>
      </w:r>
    </w:p>
    <w:p>
      <w:pPr>
        <w:snapToGrid w:val="0"/>
        <w:spacing w:line="360" w:lineRule="auto"/>
        <w:ind w:right="141" w:rightChars="67" w:firstLine="422" w:firstLineChars="200"/>
        <w:jc w:val="left"/>
        <w:rPr>
          <w:rFonts w:hint="eastAsia" w:ascii="宋体" w:hAnsi="宋体" w:eastAsia="宋体" w:cs="宋体"/>
          <w:b/>
          <w:bCs/>
          <w:color w:val="auto"/>
          <w:kern w:val="0"/>
          <w:sz w:val="21"/>
          <w:szCs w:val="21"/>
        </w:rPr>
      </w:pPr>
    </w:p>
    <w:p>
      <w:pPr>
        <w:pStyle w:val="46"/>
        <w:keepNext w:val="0"/>
        <w:keepLines w:val="0"/>
        <w:widowControl/>
        <w:suppressLineNumbers w:val="0"/>
        <w:spacing w:before="255" w:beforeAutospacing="0" w:after="255" w:afterAutospacing="0" w:line="450" w:lineRule="atLeast"/>
        <w:ind w:left="0" w:right="0"/>
        <w:jc w:val="both"/>
        <w:rPr>
          <w:rFonts w:hint="eastAsia" w:ascii="宋体" w:hAnsi="宋体" w:eastAsia="宋体" w:cs="宋体"/>
          <w:sz w:val="21"/>
          <w:szCs w:val="21"/>
        </w:rPr>
      </w:pPr>
      <w:r>
        <w:rPr>
          <w:rStyle w:val="55"/>
          <w:rFonts w:hint="eastAsia" w:ascii="宋体" w:hAnsi="宋体" w:eastAsia="宋体" w:cs="宋体"/>
          <w:sz w:val="21"/>
          <w:szCs w:val="21"/>
        </w:rPr>
        <w:t>一、项目基本情况</w:t>
      </w:r>
    </w:p>
    <w:p>
      <w:pPr>
        <w:pStyle w:val="46"/>
        <w:keepNext w:val="0"/>
        <w:keepLines w:val="0"/>
        <w:widowControl/>
        <w:suppressLineNumbers w:val="0"/>
        <w:spacing w:before="75" w:beforeAutospacing="0" w:after="75" w:afterAutospacing="0" w:line="300" w:lineRule="atLeast"/>
        <w:ind w:left="0" w:right="0"/>
        <w:rPr>
          <w:rFonts w:hint="eastAsia" w:ascii="宋体" w:hAnsi="宋体" w:eastAsia="宋体" w:cs="宋体"/>
          <w:sz w:val="21"/>
          <w:szCs w:val="21"/>
        </w:rPr>
      </w:pPr>
      <w:r>
        <w:rPr>
          <w:rFonts w:hint="eastAsia" w:ascii="宋体" w:hAnsi="宋体" w:eastAsia="宋体" w:cs="宋体"/>
          <w:sz w:val="21"/>
          <w:szCs w:val="21"/>
        </w:rPr>
        <w:t>    项目编号：GGZC2022-C3-01343-JDZB </w:t>
      </w:r>
    </w:p>
    <w:p>
      <w:pPr>
        <w:pStyle w:val="46"/>
        <w:keepNext w:val="0"/>
        <w:keepLines w:val="0"/>
        <w:widowControl/>
        <w:suppressLineNumbers w:val="0"/>
        <w:spacing w:before="75" w:beforeAutospacing="0" w:after="75" w:afterAutospacing="0" w:line="300" w:lineRule="atLeast"/>
        <w:ind w:left="0" w:right="0"/>
        <w:rPr>
          <w:rFonts w:hint="eastAsia" w:ascii="宋体" w:hAnsi="宋体" w:eastAsia="宋体" w:cs="宋体"/>
          <w:sz w:val="21"/>
          <w:szCs w:val="21"/>
        </w:rPr>
      </w:pPr>
      <w:r>
        <w:rPr>
          <w:rFonts w:hint="eastAsia" w:ascii="宋体" w:hAnsi="宋体" w:eastAsia="宋体" w:cs="宋体"/>
          <w:sz w:val="21"/>
          <w:szCs w:val="21"/>
        </w:rPr>
        <w:t>    项目名称：贵港市运动休闲旅游产品体系规划编制服务项目 </w:t>
      </w:r>
    </w:p>
    <w:p>
      <w:pPr>
        <w:pStyle w:val="46"/>
        <w:keepNext w:val="0"/>
        <w:keepLines w:val="0"/>
        <w:widowControl/>
        <w:suppressLineNumbers w:val="0"/>
        <w:spacing w:before="75" w:beforeAutospacing="0" w:after="75" w:afterAutospacing="0" w:line="300" w:lineRule="atLeast"/>
        <w:ind w:left="0" w:right="0"/>
        <w:rPr>
          <w:rFonts w:hint="eastAsia" w:ascii="宋体" w:hAnsi="宋体" w:eastAsia="宋体" w:cs="宋体"/>
          <w:sz w:val="21"/>
          <w:szCs w:val="21"/>
        </w:rPr>
      </w:pPr>
      <w:r>
        <w:rPr>
          <w:rFonts w:hint="eastAsia" w:ascii="宋体" w:hAnsi="宋体" w:eastAsia="宋体" w:cs="宋体"/>
          <w:sz w:val="21"/>
          <w:szCs w:val="21"/>
        </w:rPr>
        <w:t>    采购方式：竞争性磋商 </w:t>
      </w:r>
    </w:p>
    <w:p>
      <w:pPr>
        <w:pStyle w:val="46"/>
        <w:keepNext w:val="0"/>
        <w:keepLines w:val="0"/>
        <w:widowControl/>
        <w:suppressLineNumbers w:val="0"/>
        <w:spacing w:before="75" w:beforeAutospacing="0" w:after="75" w:afterAutospacing="0" w:line="300" w:lineRule="atLeast"/>
        <w:ind w:left="0" w:right="0"/>
        <w:rPr>
          <w:rFonts w:hint="eastAsia" w:ascii="宋体" w:hAnsi="宋体" w:eastAsia="宋体" w:cs="宋体"/>
          <w:sz w:val="21"/>
          <w:szCs w:val="21"/>
        </w:rPr>
      </w:pPr>
      <w:r>
        <w:rPr>
          <w:rFonts w:hint="eastAsia" w:ascii="宋体" w:hAnsi="宋体" w:eastAsia="宋体" w:cs="宋体"/>
          <w:sz w:val="21"/>
          <w:szCs w:val="21"/>
        </w:rPr>
        <w:t>    预算总金额（元）：900000  </w:t>
      </w:r>
    </w:p>
    <w:p>
      <w:pPr>
        <w:pStyle w:val="46"/>
        <w:keepNext w:val="0"/>
        <w:keepLines w:val="0"/>
        <w:widowControl/>
        <w:suppressLineNumbers w:val="0"/>
        <w:spacing w:before="75" w:beforeAutospacing="0" w:after="75" w:afterAutospacing="0" w:line="300" w:lineRule="atLeast"/>
        <w:ind w:left="0" w:right="0"/>
        <w:rPr>
          <w:rFonts w:hint="eastAsia" w:ascii="宋体" w:hAnsi="宋体" w:eastAsia="宋体" w:cs="宋体"/>
          <w:sz w:val="21"/>
          <w:szCs w:val="21"/>
        </w:rPr>
      </w:pPr>
      <w:r>
        <w:rPr>
          <w:rFonts w:hint="eastAsia" w:ascii="宋体" w:hAnsi="宋体" w:eastAsia="宋体" w:cs="宋体"/>
          <w:sz w:val="21"/>
          <w:szCs w:val="21"/>
        </w:rPr>
        <w:t>    采购需求：</w:t>
      </w:r>
    </w:p>
    <w:p>
      <w:pPr>
        <w:pStyle w:val="46"/>
        <w:keepNext w:val="0"/>
        <w:keepLines w:val="0"/>
        <w:widowControl/>
        <w:suppressLineNumbers w:val="0"/>
        <w:spacing w:before="75" w:beforeAutospacing="0" w:after="75" w:afterAutospacing="0" w:line="240" w:lineRule="auto"/>
        <w:ind w:left="0" w:right="0"/>
        <w:rPr>
          <w:rFonts w:hint="eastAsia" w:ascii="宋体" w:hAnsi="宋体" w:eastAsia="宋体" w:cs="宋体"/>
          <w:sz w:val="21"/>
          <w:szCs w:val="21"/>
        </w:rPr>
      </w:pPr>
      <w:r>
        <w:rPr>
          <w:rFonts w:hint="eastAsia" w:ascii="宋体" w:hAnsi="宋体" w:eastAsia="宋体" w:cs="宋体"/>
          <w:sz w:val="21"/>
          <w:szCs w:val="21"/>
        </w:rPr>
        <w:t> </w:t>
      </w:r>
      <w:r>
        <w:rPr>
          <w:rFonts w:hint="eastAsia" w:ascii="宋体" w:hAnsi="宋体" w:eastAsia="宋体" w:cs="宋体"/>
          <w:sz w:val="21"/>
          <w:szCs w:val="21"/>
        </w:rPr>
        <w:br w:type="textWrapping"/>
      </w:r>
      <w:r>
        <w:rPr>
          <w:rFonts w:hint="eastAsia" w:ascii="宋体" w:hAnsi="宋体" w:eastAsia="宋体" w:cs="宋体"/>
          <w:sz w:val="21"/>
          <w:szCs w:val="21"/>
        </w:rPr>
        <w:t>标项名称:贵港市运动休闲旅游产品体系规划编制服务项目</w:t>
      </w:r>
      <w:r>
        <w:rPr>
          <w:rFonts w:hint="eastAsia" w:ascii="宋体" w:hAnsi="宋体" w:eastAsia="宋体" w:cs="宋体"/>
          <w:sz w:val="21"/>
          <w:szCs w:val="21"/>
        </w:rPr>
        <w:br w:type="textWrapping"/>
      </w:r>
      <w:r>
        <w:rPr>
          <w:rFonts w:hint="eastAsia" w:ascii="宋体" w:hAnsi="宋体" w:eastAsia="宋体" w:cs="宋体"/>
          <w:sz w:val="21"/>
          <w:szCs w:val="21"/>
        </w:rPr>
        <w:t>数量:1</w:t>
      </w:r>
      <w:r>
        <w:rPr>
          <w:rFonts w:hint="eastAsia" w:ascii="宋体" w:hAnsi="宋体" w:eastAsia="宋体" w:cs="宋体"/>
          <w:sz w:val="21"/>
          <w:szCs w:val="21"/>
        </w:rPr>
        <w:br w:type="textWrapping"/>
      </w:r>
      <w:r>
        <w:rPr>
          <w:rFonts w:hint="eastAsia" w:ascii="宋体" w:hAnsi="宋体" w:eastAsia="宋体" w:cs="宋体"/>
          <w:sz w:val="21"/>
          <w:szCs w:val="21"/>
        </w:rPr>
        <w:t>预算金额（元）:900000</w:t>
      </w:r>
      <w:r>
        <w:rPr>
          <w:rFonts w:hint="eastAsia" w:ascii="宋体" w:hAnsi="宋体" w:eastAsia="宋体" w:cs="宋体"/>
          <w:sz w:val="21"/>
          <w:szCs w:val="21"/>
        </w:rPr>
        <w:br w:type="textWrapping"/>
      </w:r>
      <w:r>
        <w:rPr>
          <w:rFonts w:hint="eastAsia" w:ascii="宋体" w:hAnsi="宋体" w:eastAsia="宋体" w:cs="宋体"/>
          <w:sz w:val="21"/>
          <w:szCs w:val="21"/>
        </w:rPr>
        <w:t>简要规格描述或项目基本概况介绍、用途：采购贵港市运动休闲旅游产品体系规划编制服务1项。以第二章《采购项目需求》为准。</w:t>
      </w:r>
    </w:p>
    <w:p>
      <w:pPr>
        <w:pStyle w:val="46"/>
        <w:keepNext w:val="0"/>
        <w:keepLines w:val="0"/>
        <w:widowControl/>
        <w:suppressLineNumbers w:val="0"/>
        <w:spacing w:before="75" w:beforeAutospacing="0" w:after="75" w:afterAutospacing="0" w:line="240" w:lineRule="auto"/>
        <w:ind w:left="0" w:right="0"/>
        <w:rPr>
          <w:rFonts w:hint="eastAsia" w:ascii="宋体" w:hAnsi="宋体" w:eastAsia="宋体" w:cs="宋体"/>
          <w:sz w:val="21"/>
          <w:szCs w:val="21"/>
        </w:rPr>
      </w:pPr>
      <w:r>
        <w:rPr>
          <w:rFonts w:hint="eastAsia" w:ascii="宋体" w:hAnsi="宋体" w:eastAsia="宋体" w:cs="宋体"/>
          <w:sz w:val="21"/>
          <w:szCs w:val="21"/>
        </w:rPr>
        <w:t>最高限价（如有）：</w:t>
      </w:r>
      <w:r>
        <w:rPr>
          <w:rStyle w:val="60"/>
          <w:rFonts w:hint="eastAsia" w:ascii="宋体" w:hAnsi="宋体" w:eastAsia="宋体" w:cs="宋体"/>
          <w:sz w:val="21"/>
          <w:szCs w:val="21"/>
        </w:rPr>
        <w:t>900000</w:t>
      </w:r>
    </w:p>
    <w:p>
      <w:pPr>
        <w:pStyle w:val="46"/>
        <w:keepNext w:val="0"/>
        <w:keepLines w:val="0"/>
        <w:widowControl/>
        <w:suppressLineNumbers w:val="0"/>
        <w:spacing w:before="75" w:beforeAutospacing="0" w:after="75" w:afterAutospacing="0" w:line="240" w:lineRule="auto"/>
        <w:ind w:left="0" w:right="0"/>
        <w:rPr>
          <w:rFonts w:hint="eastAsia" w:ascii="宋体" w:hAnsi="宋体" w:eastAsia="宋体" w:cs="宋体"/>
          <w:sz w:val="21"/>
          <w:szCs w:val="21"/>
        </w:rPr>
      </w:pPr>
      <w:r>
        <w:rPr>
          <w:rFonts w:hint="eastAsia" w:ascii="宋体" w:hAnsi="宋体" w:eastAsia="宋体" w:cs="宋体"/>
          <w:sz w:val="21"/>
          <w:szCs w:val="21"/>
        </w:rPr>
        <w:t>合同履约期限：</w:t>
      </w:r>
      <w:r>
        <w:rPr>
          <w:rStyle w:val="60"/>
          <w:rFonts w:hint="eastAsia" w:ascii="宋体" w:hAnsi="宋体" w:eastAsia="宋体" w:cs="宋体"/>
          <w:sz w:val="21"/>
          <w:szCs w:val="21"/>
        </w:rPr>
        <w:t>合同签订后2个月内提交规划文本；评审后15天内修改完毕提交终稿并通过审批。</w:t>
      </w:r>
    </w:p>
    <w:p>
      <w:pPr>
        <w:pStyle w:val="46"/>
        <w:keepNext w:val="0"/>
        <w:keepLines w:val="0"/>
        <w:widowControl/>
        <w:suppressLineNumbers w:val="0"/>
        <w:spacing w:before="75" w:beforeAutospacing="0" w:after="75" w:afterAutospacing="0" w:line="240" w:lineRule="auto"/>
        <w:ind w:left="0" w:right="0"/>
        <w:rPr>
          <w:rFonts w:hint="eastAsia" w:ascii="宋体" w:hAnsi="宋体" w:eastAsia="宋体" w:cs="宋体"/>
          <w:sz w:val="21"/>
          <w:szCs w:val="21"/>
        </w:rPr>
      </w:pPr>
      <w:r>
        <w:rPr>
          <w:rFonts w:hint="eastAsia" w:ascii="宋体" w:hAnsi="宋体" w:eastAsia="宋体" w:cs="宋体"/>
          <w:sz w:val="21"/>
          <w:szCs w:val="21"/>
        </w:rPr>
        <w:t>本标项（</w:t>
      </w:r>
      <w:r>
        <w:rPr>
          <w:rStyle w:val="60"/>
          <w:rFonts w:hint="eastAsia" w:ascii="宋体" w:hAnsi="宋体" w:eastAsia="宋体" w:cs="宋体"/>
          <w:sz w:val="21"/>
          <w:szCs w:val="21"/>
        </w:rPr>
        <w:t>否</w:t>
      </w:r>
      <w:r>
        <w:rPr>
          <w:rFonts w:hint="eastAsia" w:ascii="宋体" w:hAnsi="宋体" w:eastAsia="宋体" w:cs="宋体"/>
          <w:sz w:val="21"/>
          <w:szCs w:val="21"/>
        </w:rPr>
        <w:t>）接受联合体投标</w:t>
      </w:r>
      <w:r>
        <w:rPr>
          <w:rFonts w:hint="eastAsia" w:ascii="宋体" w:hAnsi="宋体" w:eastAsia="宋体" w:cs="宋体"/>
          <w:sz w:val="21"/>
          <w:szCs w:val="21"/>
        </w:rPr>
        <w:br w:type="textWrapping"/>
      </w:r>
      <w:r>
        <w:rPr>
          <w:rFonts w:hint="eastAsia" w:ascii="宋体" w:hAnsi="宋体" w:eastAsia="宋体" w:cs="宋体"/>
          <w:sz w:val="21"/>
          <w:szCs w:val="21"/>
        </w:rPr>
        <w:t>备注：</w:t>
      </w:r>
    </w:p>
    <w:p>
      <w:pPr>
        <w:pStyle w:val="46"/>
        <w:keepNext w:val="0"/>
        <w:keepLines w:val="0"/>
        <w:widowControl/>
        <w:suppressLineNumbers w:val="0"/>
        <w:spacing w:before="255" w:beforeAutospacing="0" w:after="255" w:afterAutospacing="0" w:line="450" w:lineRule="atLeast"/>
        <w:ind w:left="0" w:right="0"/>
        <w:jc w:val="both"/>
        <w:rPr>
          <w:rFonts w:hint="eastAsia" w:ascii="宋体" w:hAnsi="宋体" w:eastAsia="宋体" w:cs="宋体"/>
          <w:sz w:val="21"/>
          <w:szCs w:val="21"/>
        </w:rPr>
      </w:pPr>
      <w:r>
        <w:rPr>
          <w:rStyle w:val="55"/>
          <w:rFonts w:hint="eastAsia" w:ascii="宋体" w:hAnsi="宋体" w:eastAsia="宋体" w:cs="宋体"/>
          <w:sz w:val="21"/>
          <w:szCs w:val="21"/>
        </w:rPr>
        <w:t>二、申请人的资格要求：</w:t>
      </w:r>
    </w:p>
    <w:p>
      <w:pPr>
        <w:pStyle w:val="46"/>
        <w:keepNext w:val="0"/>
        <w:keepLines w:val="0"/>
        <w:widowControl/>
        <w:suppressLineNumbers w:val="0"/>
        <w:spacing w:before="75" w:beforeAutospacing="0" w:after="75" w:afterAutospacing="0" w:line="300" w:lineRule="atLeast"/>
        <w:ind w:left="0" w:right="0"/>
        <w:rPr>
          <w:rFonts w:hint="eastAsia" w:ascii="宋体" w:hAnsi="宋体" w:eastAsia="宋体" w:cs="宋体"/>
          <w:sz w:val="21"/>
          <w:szCs w:val="21"/>
        </w:rPr>
      </w:pPr>
      <w:r>
        <w:rPr>
          <w:rFonts w:hint="eastAsia" w:ascii="宋体" w:hAnsi="宋体" w:eastAsia="宋体" w:cs="宋体"/>
          <w:sz w:val="21"/>
          <w:szCs w:val="21"/>
        </w:rPr>
        <w:t>    1.满足《中华人民共和国政府采购法》第二十二条规定；</w:t>
      </w:r>
    </w:p>
    <w:p>
      <w:pPr>
        <w:pStyle w:val="46"/>
        <w:keepNext w:val="0"/>
        <w:keepLines w:val="0"/>
        <w:widowControl/>
        <w:suppressLineNumbers w:val="0"/>
        <w:spacing w:before="75" w:beforeAutospacing="0" w:after="75" w:afterAutospacing="0" w:line="300" w:lineRule="atLeast"/>
        <w:ind w:left="0" w:right="0"/>
        <w:rPr>
          <w:rFonts w:hint="eastAsia" w:ascii="宋体" w:hAnsi="宋体" w:eastAsia="宋体" w:cs="宋体"/>
          <w:sz w:val="21"/>
          <w:szCs w:val="21"/>
        </w:rPr>
      </w:pPr>
      <w:r>
        <w:rPr>
          <w:rFonts w:hint="eastAsia" w:ascii="宋体" w:hAnsi="宋体" w:eastAsia="宋体" w:cs="宋体"/>
          <w:sz w:val="21"/>
          <w:szCs w:val="21"/>
        </w:rPr>
        <w:t>    2.落实政府采购政策需满足的资格要求：分标1：供应商为中小企业/小微企业 </w:t>
      </w:r>
    </w:p>
    <w:p>
      <w:pPr>
        <w:pStyle w:val="46"/>
        <w:keepNext w:val="0"/>
        <w:keepLines w:val="0"/>
        <w:widowControl/>
        <w:suppressLineNumbers w:val="0"/>
        <w:spacing w:before="75" w:beforeAutospacing="0" w:after="75" w:afterAutospacing="0" w:line="300" w:lineRule="atLeast"/>
        <w:ind w:left="0" w:right="0"/>
        <w:rPr>
          <w:rFonts w:hint="eastAsia" w:ascii="宋体" w:hAnsi="宋体" w:eastAsia="宋体" w:cs="宋体"/>
          <w:sz w:val="21"/>
          <w:szCs w:val="21"/>
        </w:rPr>
      </w:pPr>
      <w:r>
        <w:rPr>
          <w:rFonts w:hint="eastAsia" w:ascii="宋体" w:hAnsi="宋体" w:eastAsia="宋体" w:cs="宋体"/>
          <w:sz w:val="21"/>
          <w:szCs w:val="21"/>
        </w:rPr>
        <w:t>    3.本项目的特定资格要求：分标1：（1）资质要求：无。</w:t>
      </w:r>
      <w:r>
        <w:rPr>
          <w:rFonts w:hint="eastAsia" w:ascii="宋体" w:hAnsi="宋体" w:eastAsia="宋体" w:cs="宋体"/>
          <w:sz w:val="21"/>
          <w:szCs w:val="21"/>
        </w:rPr>
        <w:br w:type="textWrapping"/>
      </w:r>
      <w:r>
        <w:rPr>
          <w:rFonts w:hint="eastAsia" w:ascii="宋体" w:hAnsi="宋体" w:eastAsia="宋体" w:cs="宋体"/>
          <w:sz w:val="21"/>
          <w:szCs w:val="21"/>
        </w:rPr>
        <w:t>（2）业绩要求：无。</w:t>
      </w:r>
      <w:r>
        <w:rPr>
          <w:rFonts w:hint="eastAsia" w:ascii="宋体" w:hAnsi="宋体" w:eastAsia="宋体" w:cs="宋体"/>
          <w:sz w:val="21"/>
          <w:szCs w:val="21"/>
        </w:rPr>
        <w:br w:type="textWrapping"/>
      </w:r>
      <w:r>
        <w:rPr>
          <w:rFonts w:hint="eastAsia" w:ascii="宋体" w:hAnsi="宋体" w:eastAsia="宋体" w:cs="宋体"/>
          <w:sz w:val="21"/>
          <w:szCs w:val="21"/>
        </w:rPr>
        <w:t>（3）单位负责人为同一人或者存在直接控股、管理关系的不同供应商，不得参加本项目同一合同项下的政府采购活动。为本项目提供整体设计、规范编制或者项目管理、监理、检测等服务的供应商，不得再参加本项目的采购活动。</w:t>
      </w:r>
      <w:r>
        <w:rPr>
          <w:rFonts w:hint="eastAsia" w:ascii="宋体" w:hAnsi="宋体" w:eastAsia="宋体" w:cs="宋体"/>
          <w:sz w:val="21"/>
          <w:szCs w:val="21"/>
        </w:rPr>
        <w:br w:type="textWrapping"/>
      </w:r>
      <w:r>
        <w:rPr>
          <w:rFonts w:hint="eastAsia" w:ascii="宋体" w:hAnsi="宋体" w:eastAsia="宋体" w:cs="宋体"/>
          <w:sz w:val="21"/>
          <w:szCs w:val="21"/>
        </w:rPr>
        <w:t>（4）本项目是政府购买服务，公益一类事业单位、使用事业编制且由财政拨款保障的群团组织，不得参加本项目的采购活动。</w:t>
      </w:r>
      <w:r>
        <w:rPr>
          <w:rFonts w:hint="eastAsia" w:ascii="宋体" w:hAnsi="宋体" w:eastAsia="宋体" w:cs="宋体"/>
          <w:sz w:val="21"/>
          <w:szCs w:val="21"/>
        </w:rPr>
        <w:br w:type="textWrapping"/>
      </w:r>
      <w:r>
        <w:rPr>
          <w:rFonts w:hint="eastAsia" w:ascii="宋体" w:hAnsi="宋体" w:eastAsia="宋体" w:cs="宋体"/>
          <w:sz w:val="21"/>
          <w:szCs w:val="21"/>
        </w:rPr>
        <w:t>（5）未被列入失信被执行人、税收违法黑名单、政府采购严重违法失信行为记录名单。</w:t>
      </w:r>
      <w:r>
        <w:rPr>
          <w:rFonts w:hint="eastAsia" w:ascii="宋体" w:hAnsi="宋体" w:eastAsia="宋体" w:cs="宋体"/>
          <w:sz w:val="21"/>
          <w:szCs w:val="21"/>
        </w:rPr>
        <w:br w:type="textWrapping"/>
      </w:r>
      <w:r>
        <w:rPr>
          <w:rFonts w:hint="eastAsia" w:ascii="宋体" w:hAnsi="宋体" w:eastAsia="宋体" w:cs="宋体"/>
          <w:sz w:val="21"/>
          <w:szCs w:val="21"/>
        </w:rPr>
        <w:t>（6）按照磋商公告的规定获得采购文件。采购文件有规定时按要求提交磋商保证金。 </w:t>
      </w:r>
    </w:p>
    <w:p>
      <w:pPr>
        <w:pStyle w:val="46"/>
        <w:keepNext w:val="0"/>
        <w:keepLines w:val="0"/>
        <w:widowControl/>
        <w:suppressLineNumbers w:val="0"/>
        <w:spacing w:before="255" w:beforeAutospacing="0" w:after="255" w:afterAutospacing="0" w:line="450" w:lineRule="atLeast"/>
        <w:ind w:left="0" w:right="0"/>
        <w:jc w:val="both"/>
        <w:rPr>
          <w:rFonts w:hint="eastAsia" w:ascii="宋体" w:hAnsi="宋体" w:eastAsia="宋体" w:cs="宋体"/>
          <w:sz w:val="21"/>
          <w:szCs w:val="21"/>
        </w:rPr>
      </w:pPr>
      <w:r>
        <w:rPr>
          <w:rStyle w:val="55"/>
          <w:rFonts w:hint="eastAsia" w:ascii="宋体" w:hAnsi="宋体" w:eastAsia="宋体" w:cs="宋体"/>
          <w:sz w:val="21"/>
          <w:szCs w:val="21"/>
        </w:rPr>
        <w:t>三、获取采购文件</w:t>
      </w:r>
    </w:p>
    <w:p>
      <w:pPr>
        <w:pStyle w:val="46"/>
        <w:keepNext w:val="0"/>
        <w:keepLines w:val="0"/>
        <w:widowControl/>
        <w:suppressLineNumbers w:val="0"/>
        <w:spacing w:before="75" w:beforeAutospacing="0" w:after="75" w:afterAutospacing="0" w:line="300" w:lineRule="atLeast"/>
        <w:ind w:left="0" w:right="0"/>
        <w:rPr>
          <w:rFonts w:hint="eastAsia" w:ascii="宋体" w:hAnsi="宋体" w:eastAsia="宋体" w:cs="宋体"/>
          <w:sz w:val="21"/>
          <w:szCs w:val="21"/>
        </w:rPr>
      </w:pPr>
      <w:r>
        <w:rPr>
          <w:rFonts w:hint="eastAsia" w:ascii="宋体" w:hAnsi="宋体" w:eastAsia="宋体" w:cs="宋体"/>
          <w:sz w:val="21"/>
          <w:szCs w:val="21"/>
        </w:rPr>
        <w:t>    </w:t>
      </w:r>
      <w:r>
        <w:rPr>
          <w:rFonts w:hint="eastAsia" w:ascii="宋体" w:hAnsi="宋体" w:eastAsia="宋体" w:cs="宋体"/>
          <w:sz w:val="21"/>
          <w:szCs w:val="21"/>
          <w:u w:val="none"/>
        </w:rPr>
        <w:t>时间：2022年06月17日至2022年06月28日，每天上午00:00至12:00，下午12:00至23:59（北京时间，法定节假日除外）</w:t>
      </w:r>
    </w:p>
    <w:p>
      <w:pPr>
        <w:pStyle w:val="46"/>
        <w:keepNext w:val="0"/>
        <w:keepLines w:val="0"/>
        <w:widowControl/>
        <w:suppressLineNumbers w:val="0"/>
        <w:spacing w:before="75" w:beforeAutospacing="0" w:after="75" w:afterAutospacing="0" w:line="300" w:lineRule="atLeast"/>
        <w:ind w:left="0" w:right="0"/>
        <w:rPr>
          <w:rFonts w:hint="eastAsia" w:ascii="宋体" w:hAnsi="宋体" w:eastAsia="宋体" w:cs="宋体"/>
          <w:sz w:val="21"/>
          <w:szCs w:val="21"/>
        </w:rPr>
      </w:pPr>
      <w:r>
        <w:rPr>
          <w:rFonts w:hint="eastAsia" w:ascii="宋体" w:hAnsi="宋体" w:eastAsia="宋体" w:cs="宋体"/>
          <w:sz w:val="21"/>
          <w:szCs w:val="21"/>
        </w:rPr>
        <w:t>    地点（网址）：政采云平台 （http：//www.zcygov.cn） </w:t>
      </w:r>
    </w:p>
    <w:p>
      <w:pPr>
        <w:pStyle w:val="46"/>
        <w:keepNext w:val="0"/>
        <w:keepLines w:val="0"/>
        <w:widowControl/>
        <w:suppressLineNumbers w:val="0"/>
        <w:spacing w:before="75" w:beforeAutospacing="0" w:after="75" w:afterAutospacing="0" w:line="300" w:lineRule="atLeast"/>
        <w:ind w:left="0" w:right="0"/>
        <w:rPr>
          <w:rFonts w:hint="eastAsia" w:ascii="宋体" w:hAnsi="宋体" w:eastAsia="宋体" w:cs="宋体"/>
          <w:sz w:val="21"/>
          <w:szCs w:val="21"/>
        </w:rPr>
      </w:pPr>
      <w:r>
        <w:rPr>
          <w:rFonts w:hint="eastAsia" w:ascii="宋体" w:hAnsi="宋体" w:eastAsia="宋体" w:cs="宋体"/>
          <w:sz w:val="21"/>
          <w:szCs w:val="21"/>
        </w:rPr>
        <w:t>    方式：网上下载。拟参与本项目的潜在供应商使用账号登录或者CA登录“政采云”平台-进入“项目采购”应用，在获取采购文件菜单中选择项目，点击申请获取采购文件。 </w:t>
      </w:r>
    </w:p>
    <w:p>
      <w:pPr>
        <w:pStyle w:val="46"/>
        <w:keepNext w:val="0"/>
        <w:keepLines w:val="0"/>
        <w:widowControl/>
        <w:suppressLineNumbers w:val="0"/>
        <w:spacing w:before="75" w:beforeAutospacing="0" w:after="75" w:afterAutospacing="0" w:line="300" w:lineRule="atLeast"/>
        <w:ind w:left="0" w:right="0"/>
        <w:rPr>
          <w:rFonts w:hint="eastAsia" w:ascii="宋体" w:hAnsi="宋体" w:eastAsia="宋体" w:cs="宋体"/>
          <w:sz w:val="21"/>
          <w:szCs w:val="21"/>
        </w:rPr>
      </w:pPr>
      <w:r>
        <w:rPr>
          <w:rFonts w:hint="eastAsia" w:ascii="宋体" w:hAnsi="宋体" w:eastAsia="宋体" w:cs="宋体"/>
          <w:sz w:val="21"/>
          <w:szCs w:val="21"/>
        </w:rPr>
        <w:t>    售价（元）：0 </w:t>
      </w:r>
    </w:p>
    <w:p>
      <w:pPr>
        <w:pStyle w:val="46"/>
        <w:keepNext w:val="0"/>
        <w:keepLines w:val="0"/>
        <w:widowControl/>
        <w:suppressLineNumbers w:val="0"/>
        <w:spacing w:before="255" w:beforeAutospacing="0" w:after="255" w:afterAutospacing="0" w:line="450" w:lineRule="atLeast"/>
        <w:ind w:left="0" w:right="0"/>
        <w:jc w:val="both"/>
        <w:rPr>
          <w:rFonts w:hint="eastAsia" w:ascii="宋体" w:hAnsi="宋体" w:eastAsia="宋体" w:cs="宋体"/>
          <w:sz w:val="21"/>
          <w:szCs w:val="21"/>
        </w:rPr>
      </w:pPr>
      <w:r>
        <w:rPr>
          <w:rStyle w:val="55"/>
          <w:rFonts w:hint="eastAsia" w:ascii="宋体" w:hAnsi="宋体" w:eastAsia="宋体" w:cs="宋体"/>
          <w:sz w:val="21"/>
          <w:szCs w:val="21"/>
        </w:rPr>
        <w:t>四、响应文件提交</w:t>
      </w:r>
      <w:r>
        <w:rPr>
          <w:rFonts w:hint="eastAsia" w:ascii="宋体" w:hAnsi="宋体" w:eastAsia="宋体" w:cs="宋体"/>
          <w:sz w:val="21"/>
          <w:szCs w:val="21"/>
        </w:rPr>
        <w:t> </w:t>
      </w:r>
    </w:p>
    <w:p>
      <w:pPr>
        <w:pStyle w:val="46"/>
        <w:keepNext w:val="0"/>
        <w:keepLines w:val="0"/>
        <w:widowControl/>
        <w:suppressLineNumbers w:val="0"/>
        <w:spacing w:before="75" w:beforeAutospacing="0" w:after="75" w:afterAutospacing="0" w:line="300" w:lineRule="atLeast"/>
        <w:ind w:left="0" w:right="0"/>
        <w:rPr>
          <w:rFonts w:hint="eastAsia" w:ascii="宋体" w:hAnsi="宋体" w:eastAsia="宋体" w:cs="宋体"/>
          <w:sz w:val="21"/>
          <w:szCs w:val="21"/>
        </w:rPr>
      </w:pPr>
      <w:r>
        <w:rPr>
          <w:rFonts w:hint="eastAsia" w:ascii="宋体" w:hAnsi="宋体" w:eastAsia="宋体" w:cs="宋体"/>
          <w:sz w:val="21"/>
          <w:szCs w:val="21"/>
        </w:rPr>
        <w:t>    截止时间：2022年06月28日 15:30（北京时间）</w:t>
      </w:r>
    </w:p>
    <w:p>
      <w:pPr>
        <w:pStyle w:val="46"/>
        <w:keepNext w:val="0"/>
        <w:keepLines w:val="0"/>
        <w:widowControl/>
        <w:suppressLineNumbers w:val="0"/>
        <w:spacing w:before="75" w:beforeAutospacing="0" w:after="75" w:afterAutospacing="0" w:line="300" w:lineRule="atLeast"/>
        <w:ind w:left="0" w:right="0"/>
        <w:rPr>
          <w:rFonts w:hint="eastAsia" w:ascii="宋体" w:hAnsi="宋体" w:eastAsia="宋体" w:cs="宋体"/>
          <w:sz w:val="21"/>
          <w:szCs w:val="21"/>
        </w:rPr>
      </w:pPr>
      <w:r>
        <w:rPr>
          <w:rFonts w:hint="eastAsia" w:ascii="宋体" w:hAnsi="宋体" w:eastAsia="宋体" w:cs="宋体"/>
          <w:sz w:val="21"/>
          <w:szCs w:val="21"/>
        </w:rPr>
        <w:t>    地点（网址）：本项目为全流程电子化项目，没有现场递交响应文件及现场截标环节，通过“政采云”平台（http：//www.zcygov.cn）实行在线电子响应，供应商应先安装“政采云投标客户端”（请自行前往“政采云”平台进行下载），并按照本项目采购文件和“政采云”平台的要求使用CA认证编制、加密响应文件后在响应截止时间前上传至 “政采云”平台，供应商在“政采云”平台提交电子版响应文件时，请填写参加远程截标活动经办人联系方式。 </w:t>
      </w:r>
    </w:p>
    <w:p>
      <w:pPr>
        <w:pStyle w:val="46"/>
        <w:keepNext w:val="0"/>
        <w:keepLines w:val="0"/>
        <w:widowControl/>
        <w:suppressLineNumbers w:val="0"/>
        <w:spacing w:before="255" w:beforeAutospacing="0" w:after="255" w:afterAutospacing="0" w:line="450" w:lineRule="atLeast"/>
        <w:ind w:left="0" w:right="0"/>
        <w:jc w:val="both"/>
        <w:rPr>
          <w:rFonts w:hint="eastAsia" w:ascii="宋体" w:hAnsi="宋体" w:eastAsia="宋体" w:cs="宋体"/>
          <w:sz w:val="21"/>
          <w:szCs w:val="21"/>
        </w:rPr>
      </w:pPr>
      <w:r>
        <w:rPr>
          <w:rStyle w:val="55"/>
          <w:rFonts w:hint="eastAsia" w:ascii="宋体" w:hAnsi="宋体" w:eastAsia="宋体" w:cs="宋体"/>
          <w:sz w:val="21"/>
          <w:szCs w:val="21"/>
        </w:rPr>
        <w:t>五、响应文件开启</w:t>
      </w:r>
      <w:r>
        <w:rPr>
          <w:rFonts w:hint="eastAsia" w:ascii="宋体" w:hAnsi="宋体" w:eastAsia="宋体" w:cs="宋体"/>
          <w:sz w:val="21"/>
          <w:szCs w:val="21"/>
        </w:rPr>
        <w:t> </w:t>
      </w:r>
    </w:p>
    <w:p>
      <w:pPr>
        <w:pStyle w:val="46"/>
        <w:keepNext w:val="0"/>
        <w:keepLines w:val="0"/>
        <w:widowControl/>
        <w:suppressLineNumbers w:val="0"/>
        <w:spacing w:before="75" w:beforeAutospacing="0" w:after="75" w:afterAutospacing="0" w:line="300" w:lineRule="atLeast"/>
        <w:ind w:left="0" w:right="0"/>
        <w:rPr>
          <w:rFonts w:hint="eastAsia" w:ascii="宋体" w:hAnsi="宋体" w:eastAsia="宋体" w:cs="宋体"/>
          <w:sz w:val="21"/>
          <w:szCs w:val="21"/>
        </w:rPr>
      </w:pPr>
      <w:r>
        <w:rPr>
          <w:rFonts w:hint="eastAsia" w:ascii="宋体" w:hAnsi="宋体" w:eastAsia="宋体" w:cs="宋体"/>
          <w:sz w:val="21"/>
          <w:szCs w:val="21"/>
        </w:rPr>
        <w:t>    开启时间：2022年06月28日 15:30 （北京时间）</w:t>
      </w:r>
    </w:p>
    <w:p>
      <w:pPr>
        <w:pStyle w:val="46"/>
        <w:keepNext w:val="0"/>
        <w:keepLines w:val="0"/>
        <w:widowControl/>
        <w:suppressLineNumbers w:val="0"/>
        <w:spacing w:before="75" w:beforeAutospacing="0" w:after="75" w:afterAutospacing="0" w:line="300" w:lineRule="atLeast"/>
        <w:ind w:left="0" w:right="0"/>
        <w:rPr>
          <w:rFonts w:hint="eastAsia" w:ascii="宋体" w:hAnsi="宋体" w:eastAsia="宋体" w:cs="宋体"/>
          <w:sz w:val="21"/>
          <w:szCs w:val="21"/>
        </w:rPr>
      </w:pPr>
      <w:r>
        <w:rPr>
          <w:rFonts w:hint="eastAsia" w:ascii="宋体" w:hAnsi="宋体" w:eastAsia="宋体" w:cs="宋体"/>
          <w:sz w:val="21"/>
          <w:szCs w:val="21"/>
        </w:rPr>
        <w:t>    地点：供应商登陆“政采云”平台电子开标大厅截标 </w:t>
      </w:r>
    </w:p>
    <w:p>
      <w:pPr>
        <w:pStyle w:val="46"/>
        <w:keepNext w:val="0"/>
        <w:keepLines w:val="0"/>
        <w:widowControl/>
        <w:suppressLineNumbers w:val="0"/>
        <w:spacing w:before="255" w:beforeAutospacing="0" w:after="255" w:afterAutospacing="0" w:line="450" w:lineRule="atLeast"/>
        <w:ind w:left="0" w:right="0"/>
        <w:jc w:val="both"/>
        <w:rPr>
          <w:rFonts w:hint="eastAsia" w:ascii="宋体" w:hAnsi="宋体" w:eastAsia="宋体" w:cs="宋体"/>
          <w:sz w:val="21"/>
          <w:szCs w:val="21"/>
        </w:rPr>
      </w:pPr>
      <w:r>
        <w:rPr>
          <w:rStyle w:val="55"/>
          <w:rFonts w:hint="eastAsia" w:ascii="宋体" w:hAnsi="宋体" w:eastAsia="宋体" w:cs="宋体"/>
          <w:sz w:val="21"/>
          <w:szCs w:val="21"/>
        </w:rPr>
        <w:t>六、公告期限</w:t>
      </w:r>
    </w:p>
    <w:p>
      <w:pPr>
        <w:pStyle w:val="46"/>
        <w:keepNext w:val="0"/>
        <w:keepLines w:val="0"/>
        <w:widowControl/>
        <w:suppressLineNumbers w:val="0"/>
        <w:spacing w:before="75" w:beforeAutospacing="0" w:after="75" w:afterAutospacing="0"/>
        <w:ind w:left="0" w:right="0"/>
        <w:rPr>
          <w:rFonts w:hint="eastAsia" w:ascii="宋体" w:hAnsi="宋体" w:eastAsia="宋体" w:cs="宋体"/>
          <w:sz w:val="21"/>
          <w:szCs w:val="21"/>
        </w:rPr>
      </w:pPr>
      <w:r>
        <w:rPr>
          <w:rFonts w:hint="eastAsia" w:ascii="宋体" w:hAnsi="宋体" w:eastAsia="宋体" w:cs="宋体"/>
          <w:sz w:val="21"/>
          <w:szCs w:val="21"/>
        </w:rPr>
        <w:t>    自本公告发布之日起3个工作日。</w:t>
      </w:r>
    </w:p>
    <w:p>
      <w:pPr>
        <w:pStyle w:val="46"/>
        <w:keepNext w:val="0"/>
        <w:keepLines w:val="0"/>
        <w:widowControl/>
        <w:suppressLineNumbers w:val="0"/>
        <w:spacing w:before="255" w:beforeAutospacing="0" w:after="255" w:afterAutospacing="0" w:line="450" w:lineRule="atLeast"/>
        <w:ind w:left="0" w:right="0"/>
        <w:jc w:val="both"/>
        <w:rPr>
          <w:rFonts w:hint="eastAsia" w:ascii="宋体" w:hAnsi="宋体" w:eastAsia="宋体" w:cs="宋体"/>
          <w:sz w:val="21"/>
          <w:szCs w:val="21"/>
        </w:rPr>
      </w:pPr>
      <w:r>
        <w:rPr>
          <w:rStyle w:val="55"/>
          <w:rFonts w:hint="eastAsia" w:ascii="宋体" w:hAnsi="宋体" w:eastAsia="宋体" w:cs="宋体"/>
          <w:sz w:val="21"/>
          <w:szCs w:val="21"/>
        </w:rPr>
        <w:t>七、其他补充事宜</w:t>
      </w:r>
      <w:r>
        <w:rPr>
          <w:rFonts w:hint="eastAsia" w:ascii="宋体" w:hAnsi="宋体" w:eastAsia="宋体" w:cs="宋体"/>
          <w:sz w:val="21"/>
          <w:szCs w:val="21"/>
        </w:rPr>
        <w:t> </w:t>
      </w:r>
    </w:p>
    <w:p>
      <w:pPr>
        <w:pStyle w:val="46"/>
        <w:keepNext w:val="0"/>
        <w:keepLines w:val="0"/>
        <w:widowControl/>
        <w:suppressLineNumbers w:val="0"/>
        <w:spacing w:before="75" w:beforeAutospacing="0" w:after="75" w:afterAutospacing="0" w:line="315" w:lineRule="atLeast"/>
        <w:ind w:left="0" w:right="0"/>
        <w:rPr>
          <w:rFonts w:hint="eastAsia" w:ascii="宋体" w:hAnsi="宋体" w:eastAsia="宋体" w:cs="宋体"/>
          <w:sz w:val="21"/>
          <w:szCs w:val="21"/>
        </w:rPr>
      </w:pPr>
      <w:r>
        <w:rPr>
          <w:rFonts w:hint="eastAsia" w:ascii="宋体" w:hAnsi="宋体" w:eastAsia="宋体" w:cs="宋体"/>
          <w:sz w:val="21"/>
          <w:szCs w:val="21"/>
        </w:rPr>
        <w:t>    1.公告发布媒体：http://www.ccgp.gov.cn（中国政府采购网）、http://www.ccgp-guangxi.gov.cn/（广西政府采购网） 、http://ggzy.jgswj.gxzf.gov.cn/ggggzy/[全国公共资源交易平台（广西.贵港） ]、http://zfcg.czj.gxgg.gov.cn/（贵港市政府采购网）</w:t>
      </w:r>
      <w:r>
        <w:rPr>
          <w:rFonts w:hint="eastAsia" w:ascii="宋体" w:hAnsi="宋体" w:eastAsia="宋体" w:cs="宋体"/>
          <w:sz w:val="21"/>
          <w:szCs w:val="21"/>
        </w:rPr>
        <w:br w:type="textWrapping"/>
      </w:r>
      <w:r>
        <w:rPr>
          <w:rFonts w:hint="eastAsia" w:ascii="宋体" w:hAnsi="宋体" w:eastAsia="宋体" w:cs="宋体"/>
          <w:sz w:val="21"/>
          <w:szCs w:val="21"/>
        </w:rPr>
        <w:t>2.需落实的政府采购政策：本项目适用政府采购促进中小企业、监狱企业发展、促进残疾人就业等有关政策，具体详见采购文件。</w:t>
      </w:r>
      <w:r>
        <w:rPr>
          <w:rFonts w:hint="eastAsia" w:ascii="宋体" w:hAnsi="宋体" w:eastAsia="宋体" w:cs="宋体"/>
          <w:sz w:val="21"/>
          <w:szCs w:val="21"/>
        </w:rPr>
        <w:br w:type="textWrapping"/>
      </w:r>
      <w:r>
        <w:rPr>
          <w:rFonts w:hint="eastAsia" w:ascii="宋体" w:hAnsi="宋体" w:eastAsia="宋体" w:cs="宋体"/>
          <w:sz w:val="21"/>
          <w:szCs w:val="21"/>
        </w:rPr>
        <w:t>3.本项目供应商的产生方式：发布公告征集。</w:t>
      </w:r>
      <w:r>
        <w:rPr>
          <w:rFonts w:hint="eastAsia" w:ascii="宋体" w:hAnsi="宋体" w:eastAsia="宋体" w:cs="宋体"/>
          <w:sz w:val="21"/>
          <w:szCs w:val="21"/>
        </w:rPr>
        <w:br w:type="textWrapping"/>
      </w:r>
      <w:r>
        <w:rPr>
          <w:rFonts w:hint="eastAsia" w:ascii="宋体" w:hAnsi="宋体" w:eastAsia="宋体" w:cs="宋体"/>
          <w:sz w:val="21"/>
          <w:szCs w:val="21"/>
        </w:rPr>
        <w:t>4.磋商保证金(人民币)：本项目免收保证金。</w:t>
      </w:r>
      <w:r>
        <w:rPr>
          <w:rFonts w:hint="eastAsia" w:ascii="宋体" w:hAnsi="宋体" w:eastAsia="宋体" w:cs="宋体"/>
          <w:sz w:val="21"/>
          <w:szCs w:val="21"/>
        </w:rPr>
        <w:br w:type="textWrapping"/>
      </w:r>
      <w:r>
        <w:rPr>
          <w:rFonts w:hint="eastAsia" w:ascii="宋体" w:hAnsi="宋体" w:eastAsia="宋体" w:cs="宋体"/>
          <w:sz w:val="21"/>
          <w:szCs w:val="21"/>
        </w:rPr>
        <w:t>5.监督部门: 贵港市财政局政府采购监督管理科</w:t>
      </w:r>
      <w:r>
        <w:rPr>
          <w:rFonts w:hint="eastAsia" w:ascii="宋体" w:hAnsi="宋体" w:eastAsia="宋体" w:cs="宋体"/>
          <w:sz w:val="21"/>
          <w:szCs w:val="21"/>
        </w:rPr>
        <w:br w:type="textWrapping"/>
      </w:r>
      <w:r>
        <w:rPr>
          <w:rFonts w:hint="eastAsia" w:ascii="宋体" w:hAnsi="宋体" w:eastAsia="宋体" w:cs="宋体"/>
          <w:sz w:val="21"/>
          <w:szCs w:val="21"/>
        </w:rPr>
        <w:t>联系电话：0775-4555290，0775-4564649  </w:t>
      </w:r>
      <w:r>
        <w:rPr>
          <w:rFonts w:hint="eastAsia" w:ascii="宋体" w:hAnsi="宋体" w:eastAsia="宋体" w:cs="宋体"/>
          <w:sz w:val="21"/>
          <w:szCs w:val="21"/>
        </w:rPr>
        <w:br w:type="textWrapping"/>
      </w:r>
      <w:r>
        <w:rPr>
          <w:rFonts w:hint="eastAsia" w:ascii="宋体" w:hAnsi="宋体" w:eastAsia="宋体" w:cs="宋体"/>
          <w:sz w:val="21"/>
          <w:szCs w:val="21"/>
        </w:rPr>
        <w:t>6.注意事项：</w:t>
      </w:r>
      <w:r>
        <w:rPr>
          <w:rFonts w:hint="eastAsia" w:ascii="宋体" w:hAnsi="宋体" w:eastAsia="宋体" w:cs="宋体"/>
          <w:sz w:val="21"/>
          <w:szCs w:val="21"/>
        </w:rPr>
        <w:br w:type="textWrapping"/>
      </w:r>
      <w:r>
        <w:rPr>
          <w:rFonts w:hint="eastAsia" w:ascii="宋体" w:hAnsi="宋体" w:eastAsia="宋体" w:cs="宋体"/>
          <w:sz w:val="21"/>
          <w:szCs w:val="21"/>
        </w:rPr>
        <w:t>（1）未进行网上注册并办理数字证书（CA认证）的供应商将无法参与本项目政府采购活动，潜在供应商应当在响应截止时间前，完成政采云平台上的CA数字证书办理及响应文件的提交。完成CA数字证书办理预计7日左右，建议各供应商抓紧时间办理。</w:t>
      </w:r>
      <w:r>
        <w:rPr>
          <w:rFonts w:hint="eastAsia" w:ascii="宋体" w:hAnsi="宋体" w:eastAsia="宋体" w:cs="宋体"/>
          <w:sz w:val="21"/>
          <w:szCs w:val="21"/>
        </w:rPr>
        <w:br w:type="textWrapping"/>
      </w:r>
      <w:r>
        <w:rPr>
          <w:rFonts w:hint="eastAsia" w:ascii="宋体" w:hAnsi="宋体" w:eastAsia="宋体" w:cs="宋体"/>
          <w:sz w:val="21"/>
          <w:szCs w:val="21"/>
        </w:rPr>
        <w:t>（2）为确保网上操作合法、有效和安全，请供应商确保在电子投标过程中能够对相关数据电文进行加密和使用电子签章，妥善保管CA数字证书并使用有效的CA数字证书参与整个招标活动。</w:t>
      </w:r>
      <w:r>
        <w:rPr>
          <w:rFonts w:hint="eastAsia" w:ascii="宋体" w:hAnsi="宋体" w:eastAsia="宋体" w:cs="宋体"/>
          <w:sz w:val="21"/>
          <w:szCs w:val="21"/>
        </w:rPr>
        <w:br w:type="textWrapping"/>
      </w:r>
      <w:r>
        <w:rPr>
          <w:rFonts w:hint="eastAsia" w:ascii="宋体" w:hAnsi="宋体" w:eastAsia="宋体" w:cs="宋体"/>
          <w:sz w:val="21"/>
          <w:szCs w:val="21"/>
        </w:rPr>
        <w:t>（3）若对项目采购电子交易系统操作有疑问，可登录“政采云”平台（https://www.zcygov.cn/），点击右侧咨询小采获取采小蜜智能服务管家帮助或点击右侧帮助文档查看供应商指南或拨打政采云服务热线400-881-7190获取热线服务帮助。</w:t>
      </w:r>
      <w:r>
        <w:rPr>
          <w:rFonts w:hint="eastAsia" w:ascii="宋体" w:hAnsi="宋体" w:eastAsia="宋体" w:cs="宋体"/>
          <w:sz w:val="21"/>
          <w:szCs w:val="21"/>
        </w:rPr>
        <w:br w:type="textWrapping"/>
      </w:r>
      <w:r>
        <w:rPr>
          <w:rFonts w:hint="eastAsia" w:ascii="宋体" w:hAnsi="宋体" w:eastAsia="宋体" w:cs="宋体"/>
          <w:sz w:val="21"/>
          <w:szCs w:val="21"/>
        </w:rPr>
        <w:t>（4）CA证书申请方式及操作指南下载地址（现场申请方式见网址：http://www.ccgp-guangxi.gov.cn/OfficeService/DownloadArea/8354055.html?utm=a0003.39a112b4.cmp001.d0002.f0464b20ff2a11eb873141bf9e381949（广西政府采购网）/网上申请方式见网址： http://www.ccgp-guangxi.gov.cn/OfficeService/DownloadArea/4759578.html?utm=sites_group_front.710c91b2.0.0.f61ec33048e311ec8f35a7526728b6a4（广西政府采购网）-政采云CA证书办理操作指南）  </w:t>
      </w:r>
    </w:p>
    <w:p>
      <w:pPr>
        <w:pStyle w:val="46"/>
        <w:keepNext w:val="0"/>
        <w:keepLines w:val="0"/>
        <w:widowControl/>
        <w:suppressLineNumbers w:val="0"/>
        <w:spacing w:before="255" w:beforeAutospacing="0" w:after="255" w:afterAutospacing="0" w:line="480" w:lineRule="atLeast"/>
        <w:ind w:left="0" w:right="0"/>
        <w:jc w:val="both"/>
        <w:rPr>
          <w:rFonts w:hint="eastAsia" w:ascii="宋体" w:hAnsi="宋体" w:eastAsia="宋体" w:cs="宋体"/>
          <w:sz w:val="21"/>
          <w:szCs w:val="21"/>
        </w:rPr>
      </w:pPr>
      <w:r>
        <w:rPr>
          <w:rStyle w:val="55"/>
          <w:rFonts w:hint="eastAsia" w:ascii="宋体" w:hAnsi="宋体" w:eastAsia="宋体" w:cs="宋体"/>
          <w:sz w:val="21"/>
          <w:szCs w:val="21"/>
        </w:rPr>
        <w:t>八、凡对本次招标提出询问，请按以下方式联系</w:t>
      </w:r>
    </w:p>
    <w:p>
      <w:pPr>
        <w:pStyle w:val="46"/>
        <w:keepNext w:val="0"/>
        <w:keepLines w:val="0"/>
        <w:widowControl/>
        <w:suppressLineNumbers w:val="0"/>
        <w:spacing w:before="75" w:beforeAutospacing="0" w:after="75" w:afterAutospacing="0" w:line="240" w:lineRule="auto"/>
        <w:ind w:left="0" w:right="0"/>
        <w:rPr>
          <w:rFonts w:hint="eastAsia" w:ascii="宋体" w:hAnsi="宋体" w:eastAsia="宋体" w:cs="宋体"/>
          <w:sz w:val="21"/>
          <w:szCs w:val="21"/>
        </w:rPr>
      </w:pPr>
      <w:r>
        <w:rPr>
          <w:rFonts w:hint="eastAsia" w:ascii="宋体" w:hAnsi="宋体" w:eastAsia="宋体" w:cs="宋体"/>
          <w:sz w:val="21"/>
          <w:szCs w:val="21"/>
        </w:rPr>
        <w:t>    1.采购人信息</w:t>
      </w:r>
    </w:p>
    <w:p>
      <w:pPr>
        <w:pStyle w:val="46"/>
        <w:keepNext w:val="0"/>
        <w:keepLines w:val="0"/>
        <w:widowControl/>
        <w:suppressLineNumbers w:val="0"/>
        <w:spacing w:before="75" w:beforeAutospacing="0" w:after="75" w:afterAutospacing="0" w:line="240" w:lineRule="auto"/>
        <w:ind w:left="0" w:right="0"/>
        <w:rPr>
          <w:rFonts w:hint="eastAsia" w:ascii="宋体" w:hAnsi="宋体" w:eastAsia="宋体" w:cs="宋体"/>
          <w:sz w:val="21"/>
          <w:szCs w:val="21"/>
        </w:rPr>
      </w:pPr>
      <w:r>
        <w:rPr>
          <w:rFonts w:hint="eastAsia" w:ascii="宋体" w:hAnsi="宋体" w:eastAsia="宋体" w:cs="宋体"/>
          <w:sz w:val="21"/>
          <w:szCs w:val="21"/>
        </w:rPr>
        <w:t>    名    称：贵港市文化广电体育和旅游局 </w:t>
      </w:r>
      <w:bookmarkStart w:id="105" w:name="_GoBack"/>
    </w:p>
    <w:p>
      <w:pPr>
        <w:pStyle w:val="46"/>
        <w:keepNext w:val="0"/>
        <w:keepLines w:val="0"/>
        <w:widowControl/>
        <w:suppressLineNumbers w:val="0"/>
        <w:spacing w:before="75" w:beforeAutospacing="0" w:after="75" w:afterAutospacing="0" w:line="240" w:lineRule="auto"/>
        <w:ind w:left="0" w:right="0"/>
        <w:rPr>
          <w:rFonts w:hint="eastAsia" w:ascii="宋体" w:hAnsi="宋体" w:eastAsia="宋体" w:cs="宋体"/>
          <w:sz w:val="21"/>
          <w:szCs w:val="21"/>
        </w:rPr>
      </w:pPr>
      <w:r>
        <w:rPr>
          <w:rFonts w:hint="eastAsia" w:ascii="宋体" w:hAnsi="宋体" w:eastAsia="宋体" w:cs="宋体"/>
          <w:sz w:val="21"/>
          <w:szCs w:val="21"/>
        </w:rPr>
        <w:t>    地    址：贵港市民主路198号 </w:t>
      </w:r>
    </w:p>
    <w:bookmarkEnd w:id="105"/>
    <w:p>
      <w:pPr>
        <w:pStyle w:val="46"/>
        <w:keepNext w:val="0"/>
        <w:keepLines w:val="0"/>
        <w:widowControl/>
        <w:suppressLineNumbers w:val="0"/>
        <w:spacing w:before="75" w:beforeAutospacing="0" w:after="75" w:afterAutospacing="0" w:line="240" w:lineRule="auto"/>
        <w:ind w:left="0" w:right="0"/>
        <w:rPr>
          <w:rFonts w:hint="eastAsia" w:ascii="宋体" w:hAnsi="宋体" w:eastAsia="宋体" w:cs="宋体"/>
          <w:sz w:val="21"/>
          <w:szCs w:val="21"/>
        </w:rPr>
      </w:pPr>
      <w:r>
        <w:rPr>
          <w:rFonts w:hint="eastAsia" w:ascii="宋体" w:hAnsi="宋体" w:eastAsia="宋体" w:cs="宋体"/>
          <w:sz w:val="21"/>
          <w:szCs w:val="21"/>
        </w:rPr>
        <w:t>    项目联系人：钟工 </w:t>
      </w:r>
    </w:p>
    <w:p>
      <w:pPr>
        <w:pStyle w:val="46"/>
        <w:keepNext w:val="0"/>
        <w:keepLines w:val="0"/>
        <w:widowControl/>
        <w:suppressLineNumbers w:val="0"/>
        <w:spacing w:before="75" w:beforeAutospacing="0" w:after="75" w:afterAutospacing="0" w:line="240" w:lineRule="auto"/>
        <w:ind w:left="0" w:right="0"/>
        <w:rPr>
          <w:rFonts w:hint="eastAsia" w:ascii="宋体" w:hAnsi="宋体" w:eastAsia="宋体" w:cs="宋体"/>
          <w:sz w:val="21"/>
          <w:szCs w:val="21"/>
        </w:rPr>
      </w:pPr>
      <w:r>
        <w:rPr>
          <w:rFonts w:hint="eastAsia" w:ascii="宋体" w:hAnsi="宋体" w:eastAsia="宋体" w:cs="宋体"/>
          <w:sz w:val="21"/>
          <w:szCs w:val="21"/>
        </w:rPr>
        <w:t>    项目联系方式：0775-4266108  </w:t>
      </w:r>
    </w:p>
    <w:p>
      <w:pPr>
        <w:pStyle w:val="46"/>
        <w:keepNext w:val="0"/>
        <w:keepLines w:val="0"/>
        <w:widowControl/>
        <w:suppressLineNumbers w:val="0"/>
        <w:spacing w:before="75" w:beforeAutospacing="0" w:after="75" w:afterAutospacing="0" w:line="240" w:lineRule="auto"/>
        <w:ind w:left="0" w:right="0"/>
        <w:rPr>
          <w:rFonts w:hint="eastAsia" w:ascii="宋体" w:hAnsi="宋体" w:eastAsia="宋体" w:cs="宋体"/>
          <w:sz w:val="21"/>
          <w:szCs w:val="21"/>
        </w:rPr>
      </w:pPr>
      <w:r>
        <w:rPr>
          <w:rFonts w:hint="eastAsia" w:ascii="宋体" w:hAnsi="宋体" w:eastAsia="宋体" w:cs="宋体"/>
          <w:sz w:val="21"/>
          <w:szCs w:val="21"/>
        </w:rPr>
        <w:t>   </w:t>
      </w:r>
      <w:r>
        <w:rPr>
          <w:rFonts w:hint="eastAsia" w:ascii="宋体" w:hAnsi="宋体" w:eastAsia="宋体" w:cs="宋体"/>
          <w:sz w:val="21"/>
          <w:szCs w:val="21"/>
        </w:rPr>
        <w:br w:type="textWrapping"/>
      </w:r>
      <w:r>
        <w:rPr>
          <w:rFonts w:hint="eastAsia" w:ascii="宋体" w:hAnsi="宋体" w:eastAsia="宋体" w:cs="宋体"/>
          <w:sz w:val="21"/>
          <w:szCs w:val="21"/>
        </w:rPr>
        <w:t>    2.采购代理机构信息</w:t>
      </w:r>
    </w:p>
    <w:p>
      <w:pPr>
        <w:pStyle w:val="46"/>
        <w:keepNext w:val="0"/>
        <w:keepLines w:val="0"/>
        <w:widowControl/>
        <w:suppressLineNumbers w:val="0"/>
        <w:spacing w:before="75" w:beforeAutospacing="0" w:after="75" w:afterAutospacing="0" w:line="240" w:lineRule="auto"/>
        <w:ind w:left="0" w:right="0"/>
        <w:rPr>
          <w:rFonts w:hint="eastAsia" w:ascii="宋体" w:hAnsi="宋体" w:eastAsia="宋体" w:cs="宋体"/>
          <w:sz w:val="21"/>
          <w:szCs w:val="21"/>
        </w:rPr>
      </w:pPr>
      <w:r>
        <w:rPr>
          <w:rFonts w:hint="eastAsia" w:ascii="宋体" w:hAnsi="宋体" w:eastAsia="宋体" w:cs="宋体"/>
          <w:sz w:val="21"/>
          <w:szCs w:val="21"/>
        </w:rPr>
        <w:t>    名    称：广西机电设备招标有限公司 </w:t>
      </w:r>
    </w:p>
    <w:p>
      <w:pPr>
        <w:pStyle w:val="46"/>
        <w:keepNext w:val="0"/>
        <w:keepLines w:val="0"/>
        <w:widowControl/>
        <w:suppressLineNumbers w:val="0"/>
        <w:spacing w:before="75" w:beforeAutospacing="0" w:after="75" w:afterAutospacing="0" w:line="240" w:lineRule="auto"/>
        <w:ind w:left="0" w:right="0"/>
        <w:rPr>
          <w:rFonts w:hint="eastAsia" w:ascii="宋体" w:hAnsi="宋体" w:eastAsia="宋体" w:cs="宋体"/>
          <w:sz w:val="21"/>
          <w:szCs w:val="21"/>
        </w:rPr>
      </w:pPr>
      <w:r>
        <w:rPr>
          <w:rFonts w:hint="eastAsia" w:ascii="宋体" w:hAnsi="宋体" w:eastAsia="宋体" w:cs="宋体"/>
          <w:sz w:val="21"/>
          <w:szCs w:val="21"/>
        </w:rPr>
        <w:t>    地    址：贵港市解放北路龙圣新区四小区217号 </w:t>
      </w:r>
    </w:p>
    <w:p>
      <w:pPr>
        <w:pStyle w:val="46"/>
        <w:keepNext w:val="0"/>
        <w:keepLines w:val="0"/>
        <w:widowControl/>
        <w:suppressLineNumbers w:val="0"/>
        <w:spacing w:before="75" w:beforeAutospacing="0" w:after="75" w:afterAutospacing="0" w:line="240" w:lineRule="auto"/>
        <w:ind w:left="0" w:right="0"/>
        <w:rPr>
          <w:rFonts w:hint="eastAsia" w:ascii="宋体" w:hAnsi="宋体" w:eastAsia="宋体" w:cs="宋体"/>
          <w:sz w:val="21"/>
          <w:szCs w:val="21"/>
        </w:rPr>
      </w:pPr>
      <w:r>
        <w:rPr>
          <w:rFonts w:hint="eastAsia" w:ascii="宋体" w:hAnsi="宋体" w:eastAsia="宋体" w:cs="宋体"/>
          <w:sz w:val="21"/>
          <w:szCs w:val="21"/>
        </w:rPr>
        <w:t>    项目联系人：韦文龙 </w:t>
      </w:r>
    </w:p>
    <w:p>
      <w:pPr>
        <w:pStyle w:val="46"/>
        <w:keepNext w:val="0"/>
        <w:keepLines w:val="0"/>
        <w:widowControl/>
        <w:suppressLineNumbers w:val="0"/>
        <w:spacing w:before="75" w:beforeAutospacing="0" w:after="75" w:afterAutospacing="0" w:line="240" w:lineRule="auto"/>
        <w:ind w:left="0" w:right="0"/>
        <w:rPr>
          <w:rFonts w:hint="eastAsia" w:ascii="宋体" w:hAnsi="宋体" w:eastAsia="宋体" w:cs="宋体"/>
          <w:sz w:val="21"/>
          <w:szCs w:val="21"/>
        </w:rPr>
      </w:pPr>
      <w:r>
        <w:rPr>
          <w:rFonts w:hint="eastAsia" w:ascii="宋体" w:hAnsi="宋体" w:eastAsia="宋体" w:cs="宋体"/>
          <w:sz w:val="21"/>
          <w:szCs w:val="21"/>
        </w:rPr>
        <w:t>    项目联系方式：0775-4368013 </w:t>
      </w:r>
    </w:p>
    <w:p>
      <w:pPr>
        <w:pStyle w:val="46"/>
        <w:keepNext w:val="0"/>
        <w:keepLines w:val="0"/>
        <w:widowControl/>
        <w:suppressLineNumbers w:val="0"/>
        <w:spacing w:before="75" w:beforeAutospacing="0" w:after="75" w:afterAutospacing="0"/>
        <w:ind w:left="0" w:right="0"/>
      </w:pPr>
    </w:p>
    <w:p>
      <w:pPr>
        <w:ind w:firstLine="409" w:firstLineChars="195"/>
        <w:jc w:val="left"/>
        <w:rPr>
          <w:color w:val="auto"/>
          <w:kern w:val="0"/>
          <w:szCs w:val="21"/>
        </w:rPr>
      </w:pPr>
    </w:p>
    <w:p>
      <w:pPr>
        <w:spacing w:line="312" w:lineRule="auto"/>
        <w:ind w:right="105" w:firstLine="360" w:firstLineChars="200"/>
        <w:jc w:val="right"/>
        <w:rPr>
          <w:color w:val="auto"/>
          <w:kern w:val="0"/>
          <w:sz w:val="18"/>
          <w:szCs w:val="18"/>
        </w:rPr>
      </w:pPr>
    </w:p>
    <w:p>
      <w:pPr>
        <w:pStyle w:val="28"/>
        <w:snapToGrid w:val="0"/>
        <w:spacing w:before="120" w:after="120" w:line="320" w:lineRule="exact"/>
        <w:jc w:val="center"/>
        <w:outlineLvl w:val="0"/>
        <w:rPr>
          <w:rFonts w:ascii="Times New Roman" w:hAnsi="Times New Roman" w:cs="Times New Roman"/>
          <w:color w:val="auto"/>
        </w:rPr>
        <w:sectPr>
          <w:headerReference r:id="rId9" w:type="first"/>
          <w:footerReference r:id="rId11" w:type="first"/>
          <w:headerReference r:id="rId8" w:type="default"/>
          <w:footerReference r:id="rId10" w:type="default"/>
          <w:pgSz w:w="11906" w:h="16838"/>
          <w:pgMar w:top="1135" w:right="1133" w:bottom="1246" w:left="1418" w:header="851" w:footer="903" w:gutter="0"/>
          <w:pgNumType w:start="1"/>
          <w:cols w:space="720" w:num="1"/>
          <w:docGrid w:linePitch="312" w:charSpace="0"/>
        </w:sectPr>
      </w:pPr>
    </w:p>
    <w:p>
      <w:pPr>
        <w:rPr>
          <w:color w:val="auto"/>
        </w:rPr>
      </w:pPr>
      <w:bookmarkStart w:id="6" w:name="_Toc15694"/>
    </w:p>
    <w:p>
      <w:pPr>
        <w:pStyle w:val="28"/>
        <w:snapToGrid w:val="0"/>
        <w:spacing w:before="120" w:after="120" w:line="320" w:lineRule="exact"/>
        <w:jc w:val="center"/>
        <w:outlineLvl w:val="0"/>
        <w:rPr>
          <w:rFonts w:ascii="Times New Roman" w:hAnsi="Times New Roman" w:cs="Times New Roman"/>
          <w:color w:val="auto"/>
          <w:sz w:val="32"/>
          <w:szCs w:val="32"/>
        </w:rPr>
      </w:pPr>
      <w:r>
        <w:rPr>
          <w:rFonts w:ascii="Times New Roman" w:hAnsi="Times New Roman" w:cs="Times New Roman"/>
          <w:color w:val="auto"/>
          <w:sz w:val="32"/>
          <w:szCs w:val="32"/>
        </w:rPr>
        <w:t>第二章  采购需求</w:t>
      </w:r>
      <w:bookmarkEnd w:id="6"/>
    </w:p>
    <w:p>
      <w:pPr>
        <w:spacing w:before="120"/>
        <w:rPr>
          <w:rFonts w:ascii="宋体" w:hAnsi="宋体" w:cs="宋体"/>
          <w:b/>
          <w:bCs/>
          <w:color w:val="auto"/>
          <w:sz w:val="28"/>
          <w:szCs w:val="28"/>
        </w:rPr>
      </w:pPr>
      <w:bookmarkStart w:id="7" w:name="_Toc254970631"/>
      <w:bookmarkStart w:id="8" w:name="_Toc254970490"/>
    </w:p>
    <w:p>
      <w:pPr>
        <w:snapToGrid w:val="0"/>
        <w:spacing w:line="360" w:lineRule="auto"/>
        <w:rPr>
          <w:rFonts w:ascii="黑体" w:hAnsi="黑体" w:eastAsia="黑体" w:cs="Arial"/>
          <w:b/>
          <w:color w:val="auto"/>
          <w:kern w:val="0"/>
          <w:sz w:val="28"/>
          <w:szCs w:val="28"/>
        </w:rPr>
      </w:pPr>
      <w:r>
        <w:rPr>
          <w:rFonts w:ascii="黑体" w:hAnsi="黑体" w:eastAsia="黑体" w:cs="Arial"/>
          <w:b/>
          <w:color w:val="auto"/>
          <w:kern w:val="0"/>
          <w:sz w:val="28"/>
          <w:szCs w:val="28"/>
        </w:rPr>
        <w:t>一、</w:t>
      </w:r>
      <w:r>
        <w:rPr>
          <w:rFonts w:hint="eastAsia" w:ascii="黑体" w:hAnsi="黑体" w:eastAsia="黑体" w:cs="Arial"/>
          <w:b/>
          <w:color w:val="auto"/>
          <w:kern w:val="0"/>
          <w:sz w:val="28"/>
          <w:szCs w:val="28"/>
        </w:rPr>
        <w:t>总体</w:t>
      </w:r>
      <w:r>
        <w:rPr>
          <w:rFonts w:ascii="黑体" w:hAnsi="黑体" w:eastAsia="黑体" w:cs="Arial"/>
          <w:b/>
          <w:color w:val="auto"/>
          <w:kern w:val="0"/>
          <w:sz w:val="28"/>
          <w:szCs w:val="28"/>
        </w:rPr>
        <w:t>要求</w:t>
      </w:r>
    </w:p>
    <w:p>
      <w:pPr>
        <w:snapToGrid w:val="0"/>
        <w:spacing w:line="360" w:lineRule="auto"/>
        <w:rPr>
          <w:color w:val="auto"/>
          <w:szCs w:val="21"/>
        </w:rPr>
      </w:pPr>
      <w:r>
        <w:rPr>
          <w:rFonts w:hint="eastAsia"/>
          <w:color w:val="auto"/>
          <w:szCs w:val="21"/>
        </w:rPr>
        <w:t>1.政府采购政策的应用</w:t>
      </w:r>
    </w:p>
    <w:p>
      <w:pPr>
        <w:snapToGrid w:val="0"/>
        <w:spacing w:line="360" w:lineRule="auto"/>
        <w:rPr>
          <w:color w:val="auto"/>
          <w:szCs w:val="21"/>
        </w:rPr>
      </w:pPr>
      <w:r>
        <w:rPr>
          <w:rFonts w:hint="eastAsia"/>
          <w:color w:val="auto"/>
          <w:szCs w:val="21"/>
        </w:rPr>
        <w:t>详见采购文件“评审方法及标准/政府采购政策应用说明”。</w:t>
      </w:r>
    </w:p>
    <w:p>
      <w:pPr>
        <w:snapToGrid w:val="0"/>
        <w:spacing w:line="360" w:lineRule="auto"/>
        <w:rPr>
          <w:color w:val="auto"/>
          <w:szCs w:val="21"/>
        </w:rPr>
      </w:pPr>
      <w:r>
        <w:rPr>
          <w:color w:val="auto"/>
          <w:szCs w:val="21"/>
        </w:rPr>
        <w:t>2</w:t>
      </w:r>
      <w:r>
        <w:rPr>
          <w:rFonts w:hint="eastAsia"/>
          <w:color w:val="auto"/>
          <w:szCs w:val="21"/>
        </w:rPr>
        <w:t>.采购需求要求未尽事宜</w:t>
      </w:r>
      <w:r>
        <w:rPr>
          <w:color w:val="auto"/>
          <w:szCs w:val="21"/>
        </w:rPr>
        <w:t>由</w:t>
      </w:r>
      <w:r>
        <w:rPr>
          <w:rFonts w:hint="eastAsia"/>
          <w:color w:val="auto"/>
          <w:szCs w:val="21"/>
        </w:rPr>
        <w:t>采购人与成交供应商</w:t>
      </w:r>
      <w:r>
        <w:rPr>
          <w:color w:val="auto"/>
          <w:szCs w:val="21"/>
        </w:rPr>
        <w:t>在采购合同中约定。</w:t>
      </w:r>
    </w:p>
    <w:p>
      <w:pPr>
        <w:snapToGrid w:val="0"/>
        <w:spacing w:line="360" w:lineRule="auto"/>
        <w:rPr>
          <w:b/>
          <w:bCs/>
          <w:color w:val="auto"/>
          <w:szCs w:val="21"/>
        </w:rPr>
      </w:pPr>
      <w:r>
        <w:rPr>
          <w:b/>
          <w:bCs/>
          <w:color w:val="auto"/>
          <w:szCs w:val="21"/>
        </w:rPr>
        <w:t>3</w:t>
      </w:r>
      <w:r>
        <w:rPr>
          <w:rFonts w:hint="eastAsia"/>
          <w:b/>
          <w:bCs/>
          <w:color w:val="auto"/>
          <w:szCs w:val="21"/>
        </w:rPr>
        <w:t>.</w:t>
      </w:r>
      <w:r>
        <w:rPr>
          <w:b/>
          <w:bCs/>
          <w:color w:val="auto"/>
          <w:szCs w:val="21"/>
        </w:rPr>
        <w:t>标注“▲”的条款或要求系指实质性条款或实质性要求，必须满足，如存在负偏离将导致响应被否决。</w:t>
      </w:r>
    </w:p>
    <w:p>
      <w:pPr>
        <w:snapToGrid w:val="0"/>
        <w:spacing w:line="360" w:lineRule="auto"/>
        <w:rPr>
          <w:color w:val="auto"/>
          <w:szCs w:val="21"/>
        </w:rPr>
      </w:pPr>
      <w:r>
        <w:rPr>
          <w:rFonts w:hint="eastAsia"/>
          <w:color w:val="auto"/>
          <w:szCs w:val="21"/>
        </w:rPr>
        <w:t>4.</w:t>
      </w:r>
      <w:bookmarkStart w:id="9" w:name="_Hlk77607533"/>
      <w:r>
        <w:rPr>
          <w:rFonts w:hint="eastAsia"/>
          <w:color w:val="auto"/>
          <w:szCs w:val="21"/>
        </w:rPr>
        <w:t>客观且未量化的指标视为实质性。</w:t>
      </w:r>
      <w:bookmarkEnd w:id="9"/>
    </w:p>
    <w:p>
      <w:pPr>
        <w:snapToGrid w:val="0"/>
        <w:spacing w:line="360" w:lineRule="auto"/>
        <w:rPr>
          <w:rFonts w:ascii="黑体" w:hAnsi="黑体" w:eastAsia="黑体" w:cs="Arial"/>
          <w:b/>
          <w:color w:val="auto"/>
          <w:kern w:val="0"/>
          <w:sz w:val="28"/>
          <w:szCs w:val="28"/>
        </w:rPr>
      </w:pPr>
      <w:r>
        <w:rPr>
          <w:rFonts w:hint="eastAsia" w:ascii="黑体" w:hAnsi="黑体" w:eastAsia="黑体" w:cs="Arial"/>
          <w:b/>
          <w:color w:val="auto"/>
          <w:kern w:val="0"/>
          <w:sz w:val="28"/>
          <w:szCs w:val="28"/>
        </w:rPr>
        <w:t>二、技术要求</w:t>
      </w:r>
    </w:p>
    <w:p>
      <w:pPr>
        <w:snapToGrid w:val="0"/>
        <w:spacing w:line="360" w:lineRule="auto"/>
        <w:rPr>
          <w:color w:val="auto"/>
          <w:szCs w:val="21"/>
        </w:rPr>
      </w:pPr>
      <w:r>
        <w:rPr>
          <w:rFonts w:hint="eastAsia"/>
          <w:color w:val="auto"/>
          <w:szCs w:val="21"/>
        </w:rPr>
        <w:t>1.需实现的功能、目标及应用场景</w:t>
      </w:r>
    </w:p>
    <w:p>
      <w:pPr>
        <w:snapToGrid w:val="0"/>
        <w:spacing w:line="360" w:lineRule="auto"/>
        <w:rPr>
          <w:color w:val="auto"/>
          <w:szCs w:val="21"/>
        </w:rPr>
      </w:pPr>
      <w:r>
        <w:rPr>
          <w:rFonts w:hint="eastAsia"/>
          <w:color w:val="auto"/>
          <w:szCs w:val="21"/>
        </w:rPr>
        <w:t>满足采购文件要求，验收达到合格标准。</w:t>
      </w:r>
    </w:p>
    <w:p>
      <w:pPr>
        <w:snapToGrid w:val="0"/>
        <w:spacing w:line="360" w:lineRule="auto"/>
        <w:rPr>
          <w:color w:val="auto"/>
          <w:szCs w:val="21"/>
        </w:rPr>
      </w:pPr>
      <w:bookmarkStart w:id="10" w:name="_Hlk89170486"/>
      <w:r>
        <w:rPr>
          <w:color w:val="auto"/>
          <w:szCs w:val="21"/>
        </w:rPr>
        <w:t>2</w:t>
      </w:r>
      <w:r>
        <w:rPr>
          <w:rFonts w:hint="eastAsia"/>
          <w:color w:val="auto"/>
          <w:szCs w:val="21"/>
        </w:rPr>
        <w:t>.</w:t>
      </w:r>
      <w:r>
        <w:rPr>
          <w:color w:val="auto"/>
          <w:szCs w:val="21"/>
        </w:rPr>
        <w:t>需执行的国家相关标准、行业标准、地方标准或者其他标准、规范</w:t>
      </w:r>
    </w:p>
    <w:p>
      <w:pPr>
        <w:snapToGrid w:val="0"/>
        <w:spacing w:line="360" w:lineRule="auto"/>
        <w:rPr>
          <w:i/>
          <w:iCs/>
          <w:color w:val="auto"/>
          <w:szCs w:val="21"/>
          <w:u w:val="single"/>
        </w:rPr>
      </w:pPr>
      <w:r>
        <w:rPr>
          <w:rFonts w:hint="eastAsia"/>
          <w:color w:val="auto"/>
          <w:szCs w:val="21"/>
        </w:rPr>
        <w:t>本项目应执行的国家相关标准、行业标准、地方标准或者其他标准、规范为：</w:t>
      </w:r>
      <w:r>
        <w:rPr>
          <w:rFonts w:hint="eastAsia"/>
          <w:i/>
          <w:iCs/>
          <w:color w:val="auto"/>
          <w:szCs w:val="21"/>
          <w:u w:val="single"/>
        </w:rPr>
        <w:t>服务内容和标准</w:t>
      </w:r>
    </w:p>
    <w:bookmarkEnd w:id="10"/>
    <w:p>
      <w:pPr>
        <w:numPr>
          <w:ilvl w:val="0"/>
          <w:numId w:val="1"/>
        </w:numPr>
        <w:snapToGrid w:val="0"/>
        <w:spacing w:line="360" w:lineRule="auto"/>
        <w:rPr>
          <w:color w:val="auto"/>
          <w:szCs w:val="21"/>
        </w:rPr>
      </w:pPr>
      <w:r>
        <w:rPr>
          <w:rFonts w:hint="eastAsia"/>
          <w:color w:val="auto"/>
          <w:szCs w:val="21"/>
        </w:rPr>
        <w:t>标的所属行业：</w:t>
      </w:r>
    </w:p>
    <w:p>
      <w:pPr>
        <w:snapToGrid w:val="0"/>
        <w:spacing w:line="360" w:lineRule="auto"/>
        <w:rPr>
          <w:b/>
          <w:bCs/>
          <w:color w:val="auto"/>
          <w:szCs w:val="21"/>
        </w:rPr>
      </w:pPr>
      <w:r>
        <w:rPr>
          <w:rFonts w:hint="eastAsia"/>
          <w:b/>
          <w:bCs/>
          <w:color w:val="auto"/>
          <w:szCs w:val="21"/>
        </w:rPr>
        <w:t>其他未列明行业</w:t>
      </w:r>
    </w:p>
    <w:p>
      <w:pPr>
        <w:snapToGrid w:val="0"/>
        <w:spacing w:line="360" w:lineRule="auto"/>
        <w:rPr>
          <w:color w:val="auto"/>
          <w:szCs w:val="21"/>
        </w:rPr>
      </w:pPr>
      <w:r>
        <w:rPr>
          <w:color w:val="auto"/>
          <w:szCs w:val="21"/>
        </w:rPr>
        <w:t>4</w:t>
      </w:r>
      <w:r>
        <w:rPr>
          <w:rFonts w:hint="eastAsia"/>
          <w:color w:val="auto"/>
          <w:szCs w:val="21"/>
        </w:rPr>
        <w:t>.核心产品</w:t>
      </w:r>
    </w:p>
    <w:p>
      <w:pPr>
        <w:snapToGrid w:val="0"/>
        <w:spacing w:line="360" w:lineRule="auto"/>
        <w:rPr>
          <w:color w:val="auto"/>
          <w:szCs w:val="21"/>
        </w:rPr>
      </w:pPr>
      <w:r>
        <w:rPr>
          <w:rFonts w:hint="eastAsia"/>
          <w:color w:val="auto"/>
          <w:szCs w:val="21"/>
        </w:rPr>
        <w:t>本项目为服务项目，不适用核心产品规定。</w:t>
      </w:r>
    </w:p>
    <w:p>
      <w:pPr>
        <w:snapToGrid w:val="0"/>
        <w:spacing w:line="360" w:lineRule="auto"/>
        <w:rPr>
          <w:b/>
          <w:bCs/>
          <w:color w:val="auto"/>
          <w:szCs w:val="21"/>
        </w:rPr>
      </w:pPr>
      <w:r>
        <w:rPr>
          <w:rFonts w:hint="eastAsia"/>
          <w:b/>
          <w:bCs/>
          <w:color w:val="auto"/>
          <w:szCs w:val="21"/>
        </w:rPr>
        <w:t>5.服务内容和标准</w:t>
      </w:r>
    </w:p>
    <w:tbl>
      <w:tblPr>
        <w:tblStyle w:val="52"/>
        <w:tblW w:w="100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1228"/>
        <w:gridCol w:w="791"/>
        <w:gridCol w:w="7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64" w:type="dxa"/>
            <w:tcBorders>
              <w:top w:val="single" w:color="auto" w:sz="4" w:space="0"/>
              <w:left w:val="single" w:color="auto" w:sz="4" w:space="0"/>
              <w:bottom w:val="single" w:color="auto" w:sz="4" w:space="0"/>
              <w:right w:val="single" w:color="auto" w:sz="4" w:space="0"/>
            </w:tcBorders>
            <w:vAlign w:val="center"/>
          </w:tcPr>
          <w:p>
            <w:pPr>
              <w:tabs>
                <w:tab w:val="left" w:pos="993"/>
                <w:tab w:val="left" w:pos="1134"/>
                <w:tab w:val="left" w:pos="1418"/>
              </w:tabs>
              <w:spacing w:line="360" w:lineRule="auto"/>
              <w:jc w:val="center"/>
              <w:rPr>
                <w:rFonts w:ascii="宋体" w:hAnsi="宋体" w:cs="宋体"/>
                <w:b/>
                <w:bCs/>
                <w:color w:val="auto"/>
                <w:kern w:val="0"/>
                <w:szCs w:val="21"/>
              </w:rPr>
            </w:pPr>
            <w:r>
              <w:rPr>
                <w:rFonts w:hint="eastAsia" w:ascii="宋体" w:hAnsi="宋体" w:cs="宋体"/>
                <w:b/>
                <w:bCs/>
                <w:color w:val="auto"/>
                <w:kern w:val="0"/>
                <w:szCs w:val="21"/>
              </w:rPr>
              <w:t>序号</w:t>
            </w:r>
          </w:p>
        </w:tc>
        <w:tc>
          <w:tcPr>
            <w:tcW w:w="1228" w:type="dxa"/>
            <w:tcBorders>
              <w:top w:val="single" w:color="auto" w:sz="4" w:space="0"/>
              <w:left w:val="single" w:color="auto" w:sz="4" w:space="0"/>
              <w:bottom w:val="single" w:color="auto" w:sz="4" w:space="0"/>
              <w:right w:val="single" w:color="auto" w:sz="4" w:space="0"/>
            </w:tcBorders>
            <w:vAlign w:val="center"/>
          </w:tcPr>
          <w:p>
            <w:pPr>
              <w:tabs>
                <w:tab w:val="left" w:pos="993"/>
                <w:tab w:val="left" w:pos="1134"/>
                <w:tab w:val="left" w:pos="1418"/>
              </w:tabs>
              <w:spacing w:line="360" w:lineRule="auto"/>
              <w:jc w:val="center"/>
              <w:rPr>
                <w:rFonts w:ascii="宋体" w:hAnsi="宋体" w:cs="宋体"/>
                <w:b/>
                <w:bCs/>
                <w:color w:val="auto"/>
                <w:kern w:val="0"/>
                <w:szCs w:val="21"/>
              </w:rPr>
            </w:pPr>
            <w:r>
              <w:rPr>
                <w:rFonts w:hint="eastAsia" w:ascii="宋体" w:hAnsi="宋体" w:cs="宋体"/>
                <w:b/>
                <w:bCs/>
                <w:color w:val="auto"/>
                <w:kern w:val="0"/>
                <w:szCs w:val="21"/>
              </w:rPr>
              <w:t>服务名称</w:t>
            </w:r>
          </w:p>
        </w:tc>
        <w:tc>
          <w:tcPr>
            <w:tcW w:w="791" w:type="dxa"/>
            <w:tcBorders>
              <w:top w:val="single" w:color="auto" w:sz="4" w:space="0"/>
              <w:left w:val="single" w:color="auto" w:sz="4" w:space="0"/>
              <w:bottom w:val="single" w:color="auto" w:sz="4" w:space="0"/>
              <w:right w:val="single" w:color="auto" w:sz="4" w:space="0"/>
            </w:tcBorders>
            <w:vAlign w:val="center"/>
          </w:tcPr>
          <w:p>
            <w:pPr>
              <w:tabs>
                <w:tab w:val="left" w:pos="993"/>
                <w:tab w:val="left" w:pos="1134"/>
                <w:tab w:val="left" w:pos="1418"/>
              </w:tabs>
              <w:spacing w:line="360" w:lineRule="auto"/>
              <w:jc w:val="center"/>
              <w:rPr>
                <w:rFonts w:ascii="宋体" w:hAnsi="宋体" w:cs="宋体"/>
                <w:b/>
                <w:bCs/>
                <w:color w:val="auto"/>
                <w:kern w:val="0"/>
                <w:szCs w:val="21"/>
              </w:rPr>
            </w:pPr>
            <w:r>
              <w:rPr>
                <w:rFonts w:hint="eastAsia" w:ascii="宋体" w:hAnsi="宋体" w:cs="宋体"/>
                <w:b/>
                <w:bCs/>
                <w:color w:val="auto"/>
                <w:kern w:val="0"/>
                <w:szCs w:val="21"/>
              </w:rPr>
              <w:t>数量</w:t>
            </w:r>
          </w:p>
        </w:tc>
        <w:tc>
          <w:tcPr>
            <w:tcW w:w="7295" w:type="dxa"/>
            <w:tcBorders>
              <w:top w:val="single" w:color="auto" w:sz="4" w:space="0"/>
              <w:left w:val="single" w:color="auto" w:sz="4" w:space="0"/>
              <w:bottom w:val="single" w:color="auto" w:sz="4" w:space="0"/>
              <w:right w:val="single" w:color="auto" w:sz="4" w:space="0"/>
            </w:tcBorders>
            <w:vAlign w:val="center"/>
          </w:tcPr>
          <w:p>
            <w:pPr>
              <w:tabs>
                <w:tab w:val="left" w:pos="993"/>
                <w:tab w:val="left" w:pos="1134"/>
                <w:tab w:val="left" w:pos="1418"/>
              </w:tabs>
              <w:spacing w:line="360" w:lineRule="auto"/>
              <w:jc w:val="center"/>
              <w:rPr>
                <w:rFonts w:ascii="宋体" w:hAnsi="宋体" w:cs="宋体"/>
                <w:b/>
                <w:bCs/>
                <w:color w:val="auto"/>
                <w:kern w:val="0"/>
                <w:szCs w:val="21"/>
              </w:rPr>
            </w:pPr>
            <w:r>
              <w:rPr>
                <w:rFonts w:hint="eastAsia" w:ascii="宋体" w:hAnsi="宋体" w:cs="宋体"/>
                <w:b/>
                <w:bCs/>
                <w:color w:val="auto"/>
                <w:kern w:val="0"/>
                <w:szCs w:val="21"/>
              </w:rPr>
              <w:t>服务内容和</w:t>
            </w:r>
            <w:r>
              <w:rPr>
                <w:rFonts w:hint="eastAsia" w:ascii="宋体" w:hAnsi="宋体" w:cs="宋体"/>
                <w:b/>
                <w:bCs/>
                <w:color w:val="auto"/>
                <w:kern w:val="0"/>
                <w:szCs w:val="21"/>
                <w:lang w:eastAsia="zh-Hans"/>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1" w:hRule="atLeast"/>
        </w:trPr>
        <w:tc>
          <w:tcPr>
            <w:tcW w:w="764" w:type="dxa"/>
            <w:tcBorders>
              <w:top w:val="single" w:color="auto" w:sz="4" w:space="0"/>
              <w:left w:val="single" w:color="auto" w:sz="4" w:space="0"/>
              <w:bottom w:val="single" w:color="auto" w:sz="4" w:space="0"/>
              <w:right w:val="single" w:color="auto" w:sz="4" w:space="0"/>
            </w:tcBorders>
            <w:vAlign w:val="center"/>
          </w:tcPr>
          <w:p>
            <w:pPr>
              <w:tabs>
                <w:tab w:val="left" w:pos="993"/>
                <w:tab w:val="left" w:pos="1134"/>
                <w:tab w:val="left" w:pos="1418"/>
              </w:tabs>
              <w:spacing w:line="360" w:lineRule="auto"/>
              <w:jc w:val="center"/>
              <w:rPr>
                <w:rFonts w:ascii="宋体" w:hAnsi="宋体" w:cs="宋体"/>
                <w:color w:val="auto"/>
                <w:kern w:val="0"/>
                <w:szCs w:val="21"/>
              </w:rPr>
            </w:pPr>
            <w:r>
              <w:rPr>
                <w:rFonts w:hint="eastAsia" w:ascii="宋体" w:hAnsi="宋体" w:cs="宋体"/>
                <w:color w:val="auto"/>
                <w:kern w:val="0"/>
                <w:szCs w:val="21"/>
              </w:rPr>
              <w:t>1</w:t>
            </w:r>
          </w:p>
        </w:tc>
        <w:tc>
          <w:tcPr>
            <w:tcW w:w="1228" w:type="dxa"/>
            <w:tcBorders>
              <w:top w:val="single" w:color="auto" w:sz="4" w:space="0"/>
              <w:left w:val="single" w:color="auto" w:sz="4" w:space="0"/>
              <w:bottom w:val="single" w:color="auto" w:sz="4" w:space="0"/>
              <w:right w:val="single" w:color="auto" w:sz="4" w:space="0"/>
            </w:tcBorders>
            <w:vAlign w:val="center"/>
          </w:tcPr>
          <w:p>
            <w:pPr>
              <w:tabs>
                <w:tab w:val="left" w:pos="993"/>
                <w:tab w:val="left" w:pos="1134"/>
                <w:tab w:val="left" w:pos="1418"/>
              </w:tabs>
              <w:spacing w:line="360" w:lineRule="auto"/>
              <w:jc w:val="center"/>
              <w:rPr>
                <w:rFonts w:ascii="宋体" w:hAnsi="宋体" w:cs="宋体"/>
                <w:color w:val="auto"/>
                <w:kern w:val="0"/>
                <w:szCs w:val="21"/>
              </w:rPr>
            </w:pPr>
            <w:r>
              <w:rPr>
                <w:rFonts w:hint="eastAsia" w:ascii="宋体" w:hAnsi="宋体" w:cs="宋体"/>
                <w:color w:val="auto"/>
                <w:kern w:val="0"/>
                <w:szCs w:val="21"/>
              </w:rPr>
              <w:t>贵港市运动休闲旅游产品体系规划编制服务项目</w:t>
            </w:r>
          </w:p>
        </w:tc>
        <w:tc>
          <w:tcPr>
            <w:tcW w:w="791" w:type="dxa"/>
            <w:tcBorders>
              <w:top w:val="single" w:color="auto" w:sz="4" w:space="0"/>
              <w:left w:val="single" w:color="auto" w:sz="4" w:space="0"/>
              <w:bottom w:val="single" w:color="auto" w:sz="4" w:space="0"/>
              <w:right w:val="single" w:color="auto" w:sz="4" w:space="0"/>
            </w:tcBorders>
            <w:vAlign w:val="center"/>
          </w:tcPr>
          <w:p>
            <w:pPr>
              <w:pStyle w:val="178"/>
              <w:spacing w:line="360" w:lineRule="auto"/>
              <w:jc w:val="center"/>
              <w:rPr>
                <w:rFonts w:ascii="宋体" w:hAnsi="宋体" w:cs="宋体"/>
                <w:color w:val="auto"/>
                <w:sz w:val="21"/>
                <w:szCs w:val="21"/>
              </w:rPr>
            </w:pPr>
            <w:r>
              <w:rPr>
                <w:rFonts w:hint="eastAsia" w:ascii="宋体" w:hAnsi="宋体" w:cs="宋体"/>
                <w:color w:val="auto"/>
                <w:sz w:val="21"/>
                <w:szCs w:val="21"/>
              </w:rPr>
              <w:t>1项</w:t>
            </w:r>
          </w:p>
        </w:tc>
        <w:tc>
          <w:tcPr>
            <w:tcW w:w="7295"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360" w:lineRule="auto"/>
              <w:rPr>
                <w:rFonts w:ascii="宋体" w:hAnsi="宋体" w:cs="宋体"/>
                <w:b/>
                <w:bCs/>
                <w:color w:val="auto"/>
                <w:szCs w:val="21"/>
              </w:rPr>
            </w:pPr>
            <w:r>
              <w:rPr>
                <w:rFonts w:hint="eastAsia" w:ascii="宋体" w:hAnsi="宋体" w:cs="宋体"/>
                <w:b/>
                <w:bCs/>
                <w:color w:val="auto"/>
                <w:szCs w:val="21"/>
              </w:rPr>
              <w:t>项目背景</w:t>
            </w:r>
          </w:p>
          <w:p>
            <w:pPr>
              <w:spacing w:line="360" w:lineRule="auto"/>
              <w:rPr>
                <w:rFonts w:ascii="宋体" w:hAnsi="宋体" w:cs="宋体"/>
                <w:color w:val="auto"/>
                <w:szCs w:val="21"/>
              </w:rPr>
            </w:pPr>
            <w:r>
              <w:rPr>
                <w:rFonts w:ascii="宋体" w:hAnsi="宋体" w:cs="宋体"/>
                <w:color w:val="auto"/>
                <w:szCs w:val="21"/>
              </w:rPr>
              <w:t>2021 年贵港市文化旅游产业发展大会动员全市上下进一步统一思想、坚定信心，鼓足干劲、攻坚克难、全力以赴推动全市文旅产业高质量发展，力争承办 2024 年全区文旅大会,为广西加快建设文化旅游强区贡献贵港力量。</w:t>
            </w:r>
          </w:p>
          <w:p>
            <w:pPr>
              <w:spacing w:line="360" w:lineRule="auto"/>
              <w:rPr>
                <w:rFonts w:ascii="宋体" w:hAnsi="宋体" w:cs="宋体"/>
                <w:b/>
                <w:bCs/>
                <w:color w:val="auto"/>
                <w:szCs w:val="21"/>
              </w:rPr>
            </w:pPr>
            <w:r>
              <w:rPr>
                <w:rFonts w:hint="eastAsia" w:ascii="宋体" w:hAnsi="宋体" w:cs="宋体"/>
                <w:b/>
                <w:bCs/>
                <w:color w:val="auto"/>
                <w:szCs w:val="21"/>
              </w:rPr>
              <w:t>二、规划基本目标</w:t>
            </w:r>
          </w:p>
          <w:p>
            <w:pPr>
              <w:spacing w:line="360" w:lineRule="auto"/>
              <w:rPr>
                <w:rFonts w:ascii="宋体" w:hAnsi="宋体" w:cs="宋体"/>
                <w:color w:val="auto"/>
                <w:szCs w:val="21"/>
              </w:rPr>
            </w:pPr>
            <w:r>
              <w:rPr>
                <w:rFonts w:hint="eastAsia" w:ascii="宋体" w:hAnsi="宋体" w:cs="宋体"/>
                <w:color w:val="auto"/>
                <w:szCs w:val="21"/>
              </w:rPr>
              <w:t>1、积极主动，融入“三地两带一中心”发展格局。</w:t>
            </w:r>
          </w:p>
          <w:p>
            <w:pPr>
              <w:spacing w:line="360" w:lineRule="auto"/>
              <w:rPr>
                <w:rFonts w:ascii="宋体" w:hAnsi="宋体" w:cs="宋体"/>
                <w:color w:val="auto"/>
                <w:szCs w:val="21"/>
              </w:rPr>
            </w:pPr>
            <w:r>
              <w:rPr>
                <w:rFonts w:hint="eastAsia" w:ascii="宋体" w:hAnsi="宋体" w:cs="宋体"/>
                <w:color w:val="auto"/>
                <w:szCs w:val="21"/>
              </w:rPr>
              <w:t>2、突出重点，将贵港市文旅产业打造成新的经济增长点。</w:t>
            </w:r>
          </w:p>
          <w:p>
            <w:pPr>
              <w:spacing w:line="360" w:lineRule="auto"/>
              <w:rPr>
                <w:rFonts w:ascii="宋体" w:hAnsi="宋体" w:cs="宋体"/>
                <w:color w:val="auto"/>
                <w:szCs w:val="21"/>
              </w:rPr>
            </w:pPr>
            <w:r>
              <w:rPr>
                <w:rFonts w:hint="eastAsia" w:ascii="宋体" w:hAnsi="宋体" w:cs="宋体"/>
                <w:color w:val="auto"/>
                <w:szCs w:val="21"/>
              </w:rPr>
              <w:t>3、聚焦定位，以高质量规划引领文旅产业高质量发展。</w:t>
            </w:r>
          </w:p>
          <w:p>
            <w:pPr>
              <w:spacing w:line="360" w:lineRule="auto"/>
              <w:rPr>
                <w:rFonts w:ascii="宋体" w:hAnsi="宋体" w:cs="宋体"/>
                <w:b/>
                <w:bCs/>
                <w:color w:val="auto"/>
                <w:szCs w:val="21"/>
              </w:rPr>
            </w:pPr>
            <w:r>
              <w:rPr>
                <w:rFonts w:hint="eastAsia" w:ascii="宋体" w:hAnsi="宋体" w:cs="宋体"/>
                <w:b/>
                <w:bCs/>
                <w:color w:val="auto"/>
                <w:szCs w:val="21"/>
              </w:rPr>
              <w:t>三、规划方向</w:t>
            </w:r>
          </w:p>
          <w:p>
            <w:pPr>
              <w:spacing w:line="360" w:lineRule="auto"/>
              <w:rPr>
                <w:rFonts w:ascii="宋体" w:hAnsi="宋体" w:cs="宋体"/>
                <w:color w:val="auto"/>
                <w:szCs w:val="21"/>
              </w:rPr>
            </w:pPr>
            <w:r>
              <w:rPr>
                <w:rFonts w:hint="eastAsia" w:ascii="宋体" w:hAnsi="宋体" w:cs="宋体"/>
                <w:color w:val="auto"/>
                <w:szCs w:val="21"/>
              </w:rPr>
              <w:t>1、系统化思维,围绕“运动之城，休闲之都”定位，做好顶层设计。</w:t>
            </w:r>
          </w:p>
          <w:p>
            <w:pPr>
              <w:spacing w:line="360" w:lineRule="auto"/>
              <w:rPr>
                <w:rFonts w:ascii="宋体" w:hAnsi="宋体" w:cs="宋体"/>
                <w:color w:val="auto"/>
                <w:szCs w:val="21"/>
              </w:rPr>
            </w:pPr>
            <w:r>
              <w:rPr>
                <w:rFonts w:hint="eastAsia" w:ascii="宋体" w:hAnsi="宋体" w:cs="宋体"/>
                <w:color w:val="auto"/>
                <w:szCs w:val="21"/>
              </w:rPr>
              <w:t>2、特色化打造。挖掘各区县运动、休闲旅游资源，打造各具竞争力、特色鲜明的运动休闲旅游产品，为“运动之城，休闲之都”定位提供产品支撑。</w:t>
            </w:r>
          </w:p>
          <w:p>
            <w:pPr>
              <w:spacing w:line="360" w:lineRule="auto"/>
              <w:rPr>
                <w:rFonts w:ascii="宋体" w:hAnsi="宋体" w:cs="宋体"/>
                <w:color w:val="auto"/>
                <w:szCs w:val="21"/>
              </w:rPr>
            </w:pPr>
            <w:r>
              <w:rPr>
                <w:rFonts w:hint="eastAsia" w:ascii="宋体" w:hAnsi="宋体" w:cs="宋体"/>
                <w:color w:val="auto"/>
                <w:szCs w:val="21"/>
              </w:rPr>
              <w:t>3、结合运动休闲旅游产品，进行整合传播，塑造贵港市城市旅游品牌，打响贵港市“运动之城，休闲之都”知名度。</w:t>
            </w:r>
          </w:p>
          <w:p>
            <w:pPr>
              <w:spacing w:line="360" w:lineRule="auto"/>
              <w:rPr>
                <w:rFonts w:ascii="宋体" w:hAnsi="宋体" w:cs="宋体"/>
                <w:color w:val="auto"/>
                <w:szCs w:val="21"/>
              </w:rPr>
            </w:pPr>
            <w:r>
              <w:rPr>
                <w:rFonts w:hint="eastAsia" w:ascii="宋体" w:hAnsi="宋体" w:cs="宋体"/>
                <w:color w:val="auto"/>
                <w:szCs w:val="21"/>
              </w:rPr>
              <w:t>4、注重产业融合，走产业+文旅之路。</w:t>
            </w:r>
          </w:p>
          <w:p>
            <w:pPr>
              <w:spacing w:line="360" w:lineRule="auto"/>
              <w:rPr>
                <w:rFonts w:ascii="宋体" w:hAnsi="宋体" w:cs="宋体"/>
                <w:color w:val="auto"/>
                <w:szCs w:val="21"/>
              </w:rPr>
            </w:pPr>
            <w:r>
              <w:rPr>
                <w:rFonts w:hint="eastAsia" w:ascii="宋体" w:hAnsi="宋体" w:cs="宋体"/>
                <w:b/>
                <w:bCs/>
                <w:color w:val="auto"/>
                <w:szCs w:val="21"/>
              </w:rPr>
              <w:t>四、服务范围</w:t>
            </w:r>
            <w:r>
              <w:rPr>
                <w:rFonts w:hint="eastAsia" w:ascii="宋体" w:hAnsi="宋体" w:cs="宋体"/>
                <w:color w:val="auto"/>
                <w:szCs w:val="21"/>
              </w:rPr>
              <w:t>：</w:t>
            </w:r>
          </w:p>
          <w:p>
            <w:pPr>
              <w:spacing w:line="360" w:lineRule="auto"/>
              <w:rPr>
                <w:rFonts w:ascii="宋体" w:hAnsi="宋体" w:cs="宋体"/>
                <w:color w:val="auto"/>
                <w:szCs w:val="21"/>
              </w:rPr>
            </w:pPr>
            <w:r>
              <w:rPr>
                <w:rFonts w:hint="eastAsia" w:ascii="宋体" w:hAnsi="宋体" w:cs="宋体"/>
                <w:color w:val="auto"/>
                <w:szCs w:val="21"/>
              </w:rPr>
              <w:t>贵港市运动休闲旅游产品体系规划编制服务项目</w:t>
            </w:r>
          </w:p>
          <w:p>
            <w:pPr>
              <w:numPr>
                <w:ilvl w:val="0"/>
                <w:numId w:val="3"/>
              </w:numPr>
              <w:spacing w:line="360" w:lineRule="auto"/>
              <w:rPr>
                <w:rFonts w:ascii="宋体" w:hAnsi="宋体" w:cs="宋体"/>
                <w:b/>
                <w:bCs/>
                <w:color w:val="auto"/>
                <w:szCs w:val="21"/>
              </w:rPr>
            </w:pPr>
            <w:r>
              <w:rPr>
                <w:rFonts w:hint="eastAsia" w:ascii="宋体" w:hAnsi="宋体" w:cs="宋体"/>
                <w:b/>
                <w:bCs/>
                <w:color w:val="auto"/>
                <w:szCs w:val="21"/>
              </w:rPr>
              <w:t>服务内容：</w:t>
            </w:r>
          </w:p>
          <w:p>
            <w:pPr>
              <w:spacing w:line="360" w:lineRule="auto"/>
              <w:rPr>
                <w:rFonts w:ascii="宋体" w:hAnsi="宋体" w:cs="宋体"/>
                <w:color w:val="auto"/>
                <w:szCs w:val="21"/>
              </w:rPr>
            </w:pPr>
            <w:r>
              <w:rPr>
                <w:rFonts w:hint="eastAsia" w:ascii="宋体" w:hAnsi="宋体" w:cs="宋体"/>
                <w:color w:val="auto"/>
                <w:szCs w:val="21"/>
              </w:rPr>
              <w:t>贵港市运动休闲旅游产品体系规划编制服务；</w:t>
            </w:r>
          </w:p>
          <w:p>
            <w:pPr>
              <w:spacing w:line="360" w:lineRule="auto"/>
              <w:rPr>
                <w:rFonts w:ascii="宋体" w:hAnsi="宋体" w:cs="宋体"/>
                <w:color w:val="auto"/>
                <w:szCs w:val="21"/>
              </w:rPr>
            </w:pPr>
            <w:r>
              <w:rPr>
                <w:rFonts w:hint="eastAsia" w:ascii="宋体" w:hAnsi="宋体" w:cs="宋体"/>
                <w:color w:val="auto"/>
                <w:szCs w:val="21"/>
              </w:rPr>
              <w:t>其内容包含：</w:t>
            </w:r>
          </w:p>
          <w:p>
            <w:pPr>
              <w:spacing w:line="360" w:lineRule="auto"/>
              <w:rPr>
                <w:rFonts w:ascii="宋体" w:hAnsi="宋体" w:cs="宋体"/>
                <w:color w:val="auto"/>
                <w:szCs w:val="21"/>
              </w:rPr>
            </w:pPr>
            <w:r>
              <w:rPr>
                <w:rFonts w:hint="eastAsia" w:ascii="宋体" w:hAnsi="宋体" w:cs="宋体"/>
                <w:color w:val="auto"/>
                <w:szCs w:val="21"/>
              </w:rPr>
              <w:t>1、前期调查：全面了解贵港市运动、休闲旅游资源及运动休闲旅游产品现状。</w:t>
            </w:r>
          </w:p>
          <w:p>
            <w:pPr>
              <w:spacing w:line="360" w:lineRule="auto"/>
              <w:rPr>
                <w:rFonts w:ascii="宋体" w:hAnsi="宋体" w:cs="宋体"/>
                <w:color w:val="auto"/>
                <w:szCs w:val="21"/>
              </w:rPr>
            </w:pPr>
            <w:r>
              <w:rPr>
                <w:rFonts w:hint="eastAsia" w:ascii="宋体" w:hAnsi="宋体" w:cs="宋体"/>
                <w:color w:val="auto"/>
                <w:szCs w:val="21"/>
              </w:rPr>
              <w:t>2、产品体系规划：规划与构建贵港市特色鲜明的运动、休闲产业与产品体系。</w:t>
            </w:r>
          </w:p>
          <w:p>
            <w:pPr>
              <w:spacing w:line="360" w:lineRule="auto"/>
              <w:rPr>
                <w:rFonts w:ascii="宋体" w:hAnsi="宋体" w:cs="宋体"/>
                <w:b/>
                <w:bCs/>
                <w:color w:val="auto"/>
                <w:szCs w:val="21"/>
              </w:rPr>
            </w:pPr>
            <w:r>
              <w:rPr>
                <w:rFonts w:hint="eastAsia" w:ascii="宋体" w:hAnsi="宋体" w:cs="宋体"/>
                <w:b/>
                <w:bCs/>
                <w:color w:val="auto"/>
                <w:szCs w:val="21"/>
              </w:rPr>
              <w:t>六、服务要求：</w:t>
            </w:r>
          </w:p>
          <w:p>
            <w:pPr>
              <w:spacing w:line="360" w:lineRule="auto"/>
              <w:rPr>
                <w:rFonts w:ascii="宋体" w:hAnsi="宋体" w:cs="宋体"/>
                <w:color w:val="auto"/>
                <w:szCs w:val="21"/>
              </w:rPr>
            </w:pPr>
            <w:r>
              <w:rPr>
                <w:rFonts w:hint="eastAsia" w:ascii="宋体" w:hAnsi="宋体" w:cs="宋体"/>
                <w:color w:val="auto"/>
                <w:szCs w:val="21"/>
              </w:rPr>
              <w:t>全面调查旅游产业、涉旅产业发展现状，编制《贵港市休闲运动旅游产品现状调查报告》、《贵港市休闲运动旅游产品现状诊断分析报告》及《贵港市运动休闲旅游产品体系规划报告》。</w:t>
            </w:r>
          </w:p>
          <w:p>
            <w:pPr>
              <w:spacing w:line="360" w:lineRule="auto"/>
              <w:rPr>
                <w:rFonts w:ascii="宋体" w:hAnsi="宋体" w:cs="宋体"/>
                <w:color w:val="auto"/>
                <w:szCs w:val="21"/>
              </w:rPr>
            </w:pPr>
            <w:r>
              <w:rPr>
                <w:rFonts w:hint="eastAsia" w:ascii="宋体" w:hAnsi="宋体" w:cs="宋体"/>
                <w:color w:val="auto"/>
                <w:szCs w:val="21"/>
              </w:rPr>
              <w:t>其中《贵港市运动休闲旅游产品体系规划报告》内容需包含但不限于：</w:t>
            </w:r>
          </w:p>
          <w:p>
            <w:pPr>
              <w:spacing w:line="360" w:lineRule="auto"/>
              <w:rPr>
                <w:rFonts w:ascii="宋体" w:hAnsi="宋体" w:cs="宋体"/>
                <w:color w:val="auto"/>
                <w:szCs w:val="21"/>
              </w:rPr>
            </w:pPr>
            <w:r>
              <w:rPr>
                <w:rFonts w:hint="eastAsia" w:ascii="宋体" w:hAnsi="宋体" w:cs="宋体"/>
                <w:color w:val="auto"/>
                <w:szCs w:val="21"/>
              </w:rPr>
              <w:t>（1）规划建构贵港市运动休闲旅游产业体系发展战略；</w:t>
            </w:r>
          </w:p>
          <w:p>
            <w:pPr>
              <w:spacing w:line="360" w:lineRule="auto"/>
              <w:rPr>
                <w:rFonts w:ascii="宋体" w:hAnsi="宋体" w:cs="宋体"/>
                <w:color w:val="auto"/>
                <w:szCs w:val="21"/>
              </w:rPr>
            </w:pPr>
            <w:r>
              <w:rPr>
                <w:rFonts w:hint="eastAsia" w:ascii="宋体" w:hAnsi="宋体" w:cs="宋体"/>
                <w:color w:val="auto"/>
                <w:szCs w:val="21"/>
              </w:rPr>
              <w:t>（2）规划建构贵港市运动休闲旅游产品体系；</w:t>
            </w:r>
          </w:p>
          <w:p>
            <w:pPr>
              <w:spacing w:line="360" w:lineRule="auto"/>
              <w:rPr>
                <w:rFonts w:ascii="宋体" w:hAnsi="宋体" w:cs="宋体"/>
                <w:color w:val="auto"/>
                <w:szCs w:val="21"/>
              </w:rPr>
            </w:pPr>
            <w:r>
              <w:rPr>
                <w:rFonts w:hint="eastAsia" w:ascii="宋体" w:hAnsi="宋体" w:cs="宋体"/>
                <w:color w:val="auto"/>
                <w:szCs w:val="21"/>
              </w:rPr>
              <w:t>（3）规划建构贵港市运动休闲旅游产业+文旅融合体系；</w:t>
            </w:r>
          </w:p>
          <w:p>
            <w:pPr>
              <w:spacing w:line="360" w:lineRule="auto"/>
              <w:rPr>
                <w:rFonts w:ascii="宋体" w:hAnsi="宋体" w:cs="宋体"/>
                <w:color w:val="auto"/>
                <w:szCs w:val="21"/>
              </w:rPr>
            </w:pPr>
            <w:r>
              <w:rPr>
                <w:rFonts w:hint="eastAsia" w:ascii="宋体" w:hAnsi="宋体" w:cs="宋体"/>
                <w:color w:val="auto"/>
                <w:szCs w:val="21"/>
              </w:rPr>
              <w:t>（4）规划建构贵港市运动休闲旅游发展保障体系。</w:t>
            </w:r>
          </w:p>
          <w:p>
            <w:pPr>
              <w:spacing w:line="360" w:lineRule="auto"/>
              <w:rPr>
                <w:rFonts w:ascii="宋体" w:hAnsi="宋体" w:cs="宋体"/>
                <w:b/>
                <w:bCs/>
                <w:color w:val="auto"/>
                <w:szCs w:val="21"/>
              </w:rPr>
            </w:pPr>
            <w:r>
              <w:rPr>
                <w:rFonts w:hint="eastAsia" w:ascii="宋体" w:hAnsi="宋体" w:cs="宋体"/>
                <w:b/>
                <w:bCs/>
                <w:color w:val="auto"/>
                <w:szCs w:val="21"/>
              </w:rPr>
              <w:t>七、服务时间：</w:t>
            </w:r>
          </w:p>
          <w:p>
            <w:pPr>
              <w:spacing w:line="360" w:lineRule="auto"/>
              <w:rPr>
                <w:rFonts w:ascii="宋体" w:hAnsi="宋体" w:cs="宋体"/>
                <w:color w:val="auto"/>
                <w:szCs w:val="21"/>
              </w:rPr>
            </w:pPr>
            <w:r>
              <w:rPr>
                <w:rFonts w:hint="eastAsia" w:ascii="宋体" w:hAnsi="宋体" w:cs="宋体"/>
                <w:color w:val="auto"/>
                <w:szCs w:val="21"/>
              </w:rPr>
              <w:t>合同签订后2个月内提交规划文本；评审后15天内修改完毕提交终稿并通过审批。</w:t>
            </w:r>
          </w:p>
          <w:p>
            <w:pPr>
              <w:numPr>
                <w:ilvl w:val="0"/>
                <w:numId w:val="3"/>
              </w:numPr>
              <w:spacing w:line="360" w:lineRule="auto"/>
              <w:rPr>
                <w:rFonts w:ascii="宋体" w:hAnsi="宋体" w:cs="宋体"/>
                <w:b/>
                <w:bCs/>
                <w:color w:val="auto"/>
                <w:szCs w:val="21"/>
              </w:rPr>
            </w:pPr>
            <w:r>
              <w:rPr>
                <w:rFonts w:hint="eastAsia" w:ascii="宋体" w:hAnsi="宋体" w:cs="宋体"/>
                <w:b/>
                <w:bCs/>
                <w:color w:val="auto"/>
                <w:szCs w:val="21"/>
              </w:rPr>
              <w:t>服务标准：</w:t>
            </w:r>
          </w:p>
          <w:p>
            <w:pPr>
              <w:spacing w:line="360" w:lineRule="auto"/>
              <w:rPr>
                <w:rFonts w:ascii="宋体" w:hAnsi="宋体" w:cs="宋体"/>
                <w:color w:val="auto"/>
                <w:szCs w:val="21"/>
              </w:rPr>
            </w:pPr>
            <w:r>
              <w:rPr>
                <w:rFonts w:hint="eastAsia" w:ascii="宋体" w:hAnsi="宋体" w:cs="宋体"/>
                <w:color w:val="auto"/>
                <w:szCs w:val="21"/>
              </w:rPr>
              <w:t>规划文本通过采购人技术审查，修改完善后报当地人民政府审批通过。</w:t>
            </w:r>
          </w:p>
          <w:p>
            <w:pPr>
              <w:numPr>
                <w:ilvl w:val="0"/>
                <w:numId w:val="3"/>
              </w:numPr>
              <w:spacing w:line="360" w:lineRule="auto"/>
              <w:rPr>
                <w:rFonts w:ascii="宋体" w:hAnsi="宋体" w:cs="宋体"/>
                <w:b/>
                <w:bCs/>
                <w:color w:val="auto"/>
                <w:szCs w:val="21"/>
              </w:rPr>
            </w:pPr>
            <w:r>
              <w:rPr>
                <w:rFonts w:hint="eastAsia" w:ascii="宋体" w:hAnsi="宋体" w:cs="宋体"/>
                <w:b/>
                <w:bCs/>
                <w:color w:val="auto"/>
                <w:szCs w:val="21"/>
              </w:rPr>
              <w:t>服务成果要求：</w:t>
            </w:r>
          </w:p>
          <w:p>
            <w:pPr>
              <w:spacing w:line="360" w:lineRule="auto"/>
              <w:rPr>
                <w:rFonts w:ascii="宋体" w:hAnsi="宋体" w:cs="宋体"/>
                <w:color w:val="auto"/>
                <w:szCs w:val="21"/>
                <w:lang w:eastAsia="zh-Hans"/>
              </w:rPr>
            </w:pPr>
            <w:r>
              <w:rPr>
                <w:rFonts w:hint="eastAsia" w:ascii="宋体" w:hAnsi="宋体" w:cs="宋体"/>
                <w:color w:val="auto"/>
                <w:szCs w:val="21"/>
              </w:rPr>
              <w:t>提交《贵港市休闲运动旅游产品现状调查报告》、《贵港市休闲运动旅游产品现状诊断分析报告》及《贵港市运动休闲旅游产品体系规划报告》。文稿应精炼、清晰、规范。纸质成果包含上述完整文稿12套，规格统一为A3；电子文稿应包含上述所有文稿内容的光盘3套（含文字说明可编辑文件、表格、图纸、各阶段汇报PPT等）</w:t>
            </w:r>
          </w:p>
        </w:tc>
      </w:tr>
    </w:tbl>
    <w:p>
      <w:pPr>
        <w:snapToGrid w:val="0"/>
        <w:spacing w:line="360" w:lineRule="auto"/>
        <w:rPr>
          <w:rFonts w:ascii="黑体" w:hAnsi="黑体" w:eastAsia="黑体" w:cs="Arial"/>
          <w:b/>
          <w:color w:val="auto"/>
          <w:kern w:val="0"/>
          <w:sz w:val="28"/>
          <w:szCs w:val="28"/>
        </w:rPr>
      </w:pPr>
    </w:p>
    <w:p>
      <w:pPr>
        <w:snapToGrid w:val="0"/>
        <w:spacing w:line="360" w:lineRule="auto"/>
        <w:rPr>
          <w:rFonts w:ascii="黑体" w:hAnsi="黑体" w:eastAsia="黑体" w:cs="Arial"/>
          <w:b/>
          <w:color w:val="auto"/>
          <w:kern w:val="0"/>
          <w:sz w:val="28"/>
          <w:szCs w:val="28"/>
        </w:rPr>
      </w:pPr>
      <w:r>
        <w:rPr>
          <w:rFonts w:hint="eastAsia" w:ascii="黑体" w:hAnsi="黑体" w:eastAsia="黑体" w:cs="Arial"/>
          <w:b/>
          <w:color w:val="auto"/>
          <w:kern w:val="0"/>
          <w:sz w:val="28"/>
          <w:szCs w:val="28"/>
        </w:rPr>
        <w:t>三、商务要求</w:t>
      </w:r>
    </w:p>
    <w:p>
      <w:pPr>
        <w:snapToGrid w:val="0"/>
        <w:spacing w:line="360" w:lineRule="auto"/>
        <w:rPr>
          <w:color w:val="auto"/>
          <w:szCs w:val="21"/>
        </w:rPr>
      </w:pPr>
      <w:r>
        <w:rPr>
          <w:rFonts w:hint="eastAsia"/>
          <w:color w:val="auto"/>
          <w:szCs w:val="21"/>
        </w:rPr>
        <w:t>1．报价要求</w:t>
      </w:r>
    </w:p>
    <w:p>
      <w:pPr>
        <w:snapToGrid w:val="0"/>
        <w:spacing w:line="360" w:lineRule="auto"/>
        <w:rPr>
          <w:color w:val="auto"/>
          <w:szCs w:val="21"/>
        </w:rPr>
      </w:pPr>
      <w:r>
        <w:rPr>
          <w:rFonts w:hint="eastAsia"/>
          <w:color w:val="auto"/>
          <w:szCs w:val="21"/>
        </w:rPr>
        <w:t>本次报价须为人民币报价，包含服务交付成果（产品）、策划、调研、设计、编绘、组织、评审、技术指导等类似服务内容的全部费用。对于本文件中明确列明必须报价的货物或服务，供应商应分别报价。对于本文件中未列明，而供应商认为必需的费用也需列入总报价。在合同实施时，采购人将不予支付成交供应商没有列入的项目费用，并认为此项目的费用已包括在响应总报价中。</w:t>
      </w:r>
    </w:p>
    <w:p>
      <w:pPr>
        <w:snapToGrid w:val="0"/>
        <w:spacing w:line="360" w:lineRule="auto"/>
        <w:rPr>
          <w:color w:val="auto"/>
          <w:szCs w:val="21"/>
        </w:rPr>
      </w:pPr>
      <w:r>
        <w:rPr>
          <w:rFonts w:hint="eastAsia"/>
          <w:color w:val="auto"/>
          <w:szCs w:val="21"/>
        </w:rPr>
        <w:t>2.合同签订日期</w:t>
      </w:r>
    </w:p>
    <w:p>
      <w:pPr>
        <w:snapToGrid w:val="0"/>
        <w:spacing w:line="360" w:lineRule="auto"/>
        <w:rPr>
          <w:b/>
          <w:bCs/>
          <w:color w:val="auto"/>
          <w:szCs w:val="21"/>
        </w:rPr>
      </w:pPr>
      <w:r>
        <w:rPr>
          <w:rFonts w:hint="eastAsia"/>
          <w:b/>
          <w:bCs/>
          <w:color w:val="auto"/>
          <w:szCs w:val="21"/>
        </w:rPr>
        <w:t>成交通知书发出后7工作日内。</w:t>
      </w:r>
    </w:p>
    <w:p>
      <w:pPr>
        <w:snapToGrid w:val="0"/>
        <w:spacing w:line="360" w:lineRule="auto"/>
        <w:rPr>
          <w:color w:val="auto"/>
          <w:szCs w:val="21"/>
        </w:rPr>
      </w:pPr>
      <w:r>
        <w:rPr>
          <w:rFonts w:hint="eastAsia"/>
          <w:color w:val="auto"/>
          <w:szCs w:val="21"/>
        </w:rPr>
        <w:t>3.交货（实施）时间</w:t>
      </w:r>
    </w:p>
    <w:p>
      <w:pPr>
        <w:snapToGrid w:val="0"/>
        <w:spacing w:line="360" w:lineRule="auto"/>
        <w:rPr>
          <w:b/>
          <w:bCs/>
          <w:color w:val="auto"/>
          <w:szCs w:val="21"/>
        </w:rPr>
      </w:pPr>
      <w:r>
        <w:rPr>
          <w:rFonts w:hint="eastAsia"/>
          <w:b/>
          <w:bCs/>
          <w:color w:val="auto"/>
          <w:szCs w:val="21"/>
        </w:rPr>
        <w:t>合同签订后2个月内提交规划文本；评审后15天内修改完毕提交终稿并通过审批。</w:t>
      </w:r>
    </w:p>
    <w:p>
      <w:pPr>
        <w:snapToGrid w:val="0"/>
        <w:spacing w:line="360" w:lineRule="auto"/>
        <w:rPr>
          <w:color w:val="auto"/>
          <w:szCs w:val="21"/>
        </w:rPr>
      </w:pPr>
      <w:r>
        <w:rPr>
          <w:rFonts w:hint="eastAsia"/>
          <w:color w:val="auto"/>
          <w:szCs w:val="21"/>
        </w:rPr>
        <w:t>4.交货地点或服务地点</w:t>
      </w:r>
    </w:p>
    <w:p>
      <w:pPr>
        <w:snapToGrid w:val="0"/>
        <w:spacing w:line="360" w:lineRule="auto"/>
        <w:rPr>
          <w:color w:val="auto"/>
          <w:szCs w:val="21"/>
        </w:rPr>
      </w:pPr>
      <w:r>
        <w:rPr>
          <w:rFonts w:hint="eastAsia"/>
          <w:color w:val="auto"/>
          <w:szCs w:val="21"/>
        </w:rPr>
        <w:t>贵港市文化广电体育和旅游局指定地点</w:t>
      </w:r>
    </w:p>
    <w:p>
      <w:pPr>
        <w:snapToGrid w:val="0"/>
        <w:spacing w:line="360" w:lineRule="auto"/>
        <w:rPr>
          <w:color w:val="auto"/>
          <w:szCs w:val="21"/>
        </w:rPr>
      </w:pPr>
      <w:r>
        <w:rPr>
          <w:rFonts w:hint="eastAsia"/>
          <w:color w:val="auto"/>
          <w:szCs w:val="21"/>
        </w:rPr>
        <w:t>5.验收标准</w:t>
      </w:r>
    </w:p>
    <w:p>
      <w:pPr>
        <w:snapToGrid w:val="0"/>
        <w:spacing w:line="360" w:lineRule="auto"/>
        <w:rPr>
          <w:color w:val="auto"/>
          <w:szCs w:val="21"/>
        </w:rPr>
      </w:pPr>
      <w:bookmarkStart w:id="11" w:name="_Hlk77607553"/>
      <w:r>
        <w:rPr>
          <w:rFonts w:hint="eastAsia"/>
          <w:color w:val="auto"/>
          <w:szCs w:val="21"/>
        </w:rPr>
        <w:t>详见采购文件合同主要条款格式部分</w:t>
      </w:r>
    </w:p>
    <w:bookmarkEnd w:id="11"/>
    <w:p>
      <w:pPr>
        <w:snapToGrid w:val="0"/>
        <w:spacing w:line="360" w:lineRule="auto"/>
        <w:rPr>
          <w:color w:val="auto"/>
          <w:szCs w:val="21"/>
        </w:rPr>
      </w:pPr>
      <w:r>
        <w:rPr>
          <w:rFonts w:hint="eastAsia"/>
          <w:color w:val="auto"/>
          <w:szCs w:val="21"/>
        </w:rPr>
        <w:t>6.服务标准、期限、效率</w:t>
      </w:r>
    </w:p>
    <w:p>
      <w:pPr>
        <w:snapToGrid w:val="0"/>
        <w:spacing w:line="360" w:lineRule="auto"/>
        <w:rPr>
          <w:color w:val="auto"/>
          <w:szCs w:val="21"/>
        </w:rPr>
      </w:pPr>
      <w:r>
        <w:rPr>
          <w:rFonts w:hint="eastAsia"/>
          <w:color w:val="auto"/>
          <w:szCs w:val="21"/>
        </w:rPr>
        <w:t>6.1成交供应商在验收合格（审批通过）后三年内应当为采购人提供以下技术支持和服务：</w:t>
      </w:r>
    </w:p>
    <w:p>
      <w:pPr>
        <w:snapToGrid w:val="0"/>
        <w:spacing w:line="360" w:lineRule="auto"/>
        <w:rPr>
          <w:color w:val="auto"/>
          <w:szCs w:val="21"/>
        </w:rPr>
      </w:pPr>
      <w:r>
        <w:rPr>
          <w:rFonts w:hint="eastAsia"/>
          <w:color w:val="auto"/>
          <w:szCs w:val="21"/>
        </w:rPr>
        <w:t>6.1.1电话咨询</w:t>
      </w:r>
    </w:p>
    <w:p>
      <w:pPr>
        <w:snapToGrid w:val="0"/>
        <w:spacing w:line="360" w:lineRule="auto"/>
        <w:rPr>
          <w:color w:val="auto"/>
          <w:szCs w:val="21"/>
        </w:rPr>
      </w:pPr>
      <w:r>
        <w:rPr>
          <w:rFonts w:hint="eastAsia"/>
          <w:color w:val="auto"/>
          <w:szCs w:val="21"/>
        </w:rPr>
        <w:t>成交供应商应当为采购人提供技术援助电话，解答采购人在使用中遇到的问题，及时为采购人提出解决问题的建议。</w:t>
      </w:r>
    </w:p>
    <w:p>
      <w:pPr>
        <w:snapToGrid w:val="0"/>
        <w:spacing w:line="360" w:lineRule="auto"/>
        <w:rPr>
          <w:color w:val="auto"/>
          <w:szCs w:val="21"/>
        </w:rPr>
      </w:pPr>
      <w:r>
        <w:rPr>
          <w:rFonts w:hint="eastAsia"/>
          <w:color w:val="auto"/>
          <w:szCs w:val="21"/>
        </w:rPr>
        <w:t>7.付款方式、时间及条件</w:t>
      </w:r>
    </w:p>
    <w:p>
      <w:pPr>
        <w:snapToGrid w:val="0"/>
        <w:spacing w:line="360" w:lineRule="auto"/>
        <w:rPr>
          <w:color w:val="auto"/>
          <w:szCs w:val="21"/>
        </w:rPr>
      </w:pPr>
      <w:r>
        <w:rPr>
          <w:rFonts w:hint="eastAsia"/>
          <w:color w:val="auto"/>
          <w:szCs w:val="21"/>
        </w:rPr>
        <w:t>详见采购文件合同主要条款格式部分</w:t>
      </w:r>
    </w:p>
    <w:p>
      <w:pPr>
        <w:snapToGrid w:val="0"/>
        <w:spacing w:line="360" w:lineRule="auto"/>
        <w:rPr>
          <w:color w:val="auto"/>
          <w:szCs w:val="21"/>
        </w:rPr>
      </w:pPr>
      <w:r>
        <w:rPr>
          <w:rFonts w:hint="eastAsia"/>
          <w:color w:val="auto"/>
          <w:szCs w:val="21"/>
        </w:rPr>
        <w:t>8.履约保证金</w:t>
      </w:r>
    </w:p>
    <w:p>
      <w:pPr>
        <w:snapToGrid w:val="0"/>
        <w:spacing w:line="360" w:lineRule="auto"/>
        <w:rPr>
          <w:color w:val="auto"/>
          <w:szCs w:val="21"/>
        </w:rPr>
      </w:pPr>
      <w:r>
        <w:rPr>
          <w:rFonts w:hint="eastAsia"/>
          <w:color w:val="auto"/>
          <w:szCs w:val="21"/>
        </w:rPr>
        <w:t>详见采购文件合同主要条款格式部分</w:t>
      </w:r>
    </w:p>
    <w:p>
      <w:pPr>
        <w:snapToGrid w:val="0"/>
        <w:spacing w:line="360" w:lineRule="auto"/>
        <w:rPr>
          <w:color w:val="auto"/>
          <w:szCs w:val="21"/>
        </w:rPr>
      </w:pPr>
      <w:r>
        <w:rPr>
          <w:rFonts w:hint="eastAsia"/>
          <w:color w:val="auto"/>
          <w:szCs w:val="21"/>
        </w:rPr>
        <w:t>9.包装和运输要求</w:t>
      </w:r>
    </w:p>
    <w:p>
      <w:pPr>
        <w:snapToGrid w:val="0"/>
        <w:spacing w:line="360" w:lineRule="auto"/>
        <w:rPr>
          <w:color w:val="auto"/>
          <w:szCs w:val="21"/>
        </w:rPr>
      </w:pPr>
      <w:r>
        <w:rPr>
          <w:rFonts w:hint="eastAsia"/>
          <w:color w:val="auto"/>
          <w:szCs w:val="21"/>
        </w:rPr>
        <w:t>根据《财政部等三部门联合印发商品包装和快递包装政府采购需求标准（试行）》财办库【2020】123号文规定，若响应产品使用塑料、纸质、木质等包装材料时应满足《商品包装政府采购需求标准（试行）》要求，若响应产品需要快递包装，快递封装材料应满足《快递包装政府采购需求标准（试行）》要求。</w:t>
      </w:r>
    </w:p>
    <w:p>
      <w:pPr>
        <w:snapToGrid w:val="0"/>
        <w:spacing w:line="360" w:lineRule="auto"/>
        <w:rPr>
          <w:color w:val="auto"/>
          <w:szCs w:val="21"/>
        </w:rPr>
      </w:pPr>
      <w:r>
        <w:rPr>
          <w:rFonts w:hint="eastAsia"/>
          <w:color w:val="auto"/>
          <w:szCs w:val="21"/>
        </w:rPr>
        <w:t>运输要求详见采购文件合同主要条款格式部分。</w:t>
      </w:r>
    </w:p>
    <w:p>
      <w:pPr>
        <w:snapToGrid w:val="0"/>
        <w:spacing w:line="360" w:lineRule="auto"/>
        <w:rPr>
          <w:color w:val="auto"/>
          <w:szCs w:val="21"/>
        </w:rPr>
      </w:pPr>
      <w:r>
        <w:rPr>
          <w:rFonts w:hint="eastAsia"/>
          <w:color w:val="auto"/>
          <w:szCs w:val="21"/>
        </w:rPr>
        <w:t>10.售后服务</w:t>
      </w:r>
    </w:p>
    <w:p>
      <w:pPr>
        <w:snapToGrid w:val="0"/>
        <w:spacing w:line="360" w:lineRule="auto"/>
        <w:rPr>
          <w:color w:val="auto"/>
          <w:szCs w:val="21"/>
        </w:rPr>
      </w:pPr>
      <w:r>
        <w:rPr>
          <w:rFonts w:hint="eastAsia"/>
          <w:color w:val="auto"/>
          <w:szCs w:val="21"/>
        </w:rPr>
        <w:t>10.1技术援助电话，解答采购人在使用中遇到的问题，及时为采购人提出解决问题的建议，并不予收费。</w:t>
      </w:r>
    </w:p>
    <w:p>
      <w:pPr>
        <w:snapToGrid w:val="0"/>
        <w:spacing w:line="360" w:lineRule="auto"/>
        <w:rPr>
          <w:color w:val="auto"/>
          <w:szCs w:val="21"/>
        </w:rPr>
      </w:pPr>
      <w:r>
        <w:rPr>
          <w:rFonts w:hint="eastAsia" w:ascii="宋体" w:hAnsi="宋体" w:cs="宋体"/>
          <w:color w:val="auto"/>
        </w:rPr>
        <w:t>10.2提供与成果相应的合理修改及售后服务；提供项目实施期间的咨询服务。</w:t>
      </w:r>
    </w:p>
    <w:p>
      <w:pPr>
        <w:snapToGrid w:val="0"/>
        <w:spacing w:line="360" w:lineRule="auto"/>
        <w:rPr>
          <w:color w:val="auto"/>
          <w:szCs w:val="21"/>
        </w:rPr>
      </w:pPr>
      <w:r>
        <w:rPr>
          <w:rFonts w:hint="eastAsia"/>
          <w:color w:val="auto"/>
          <w:szCs w:val="21"/>
        </w:rPr>
        <w:t>11.保险</w:t>
      </w:r>
    </w:p>
    <w:p>
      <w:pPr>
        <w:snapToGrid w:val="0"/>
        <w:spacing w:line="360" w:lineRule="auto"/>
        <w:rPr>
          <w:color w:val="auto"/>
          <w:szCs w:val="21"/>
        </w:rPr>
      </w:pPr>
      <w:r>
        <w:rPr>
          <w:rFonts w:hint="eastAsia"/>
          <w:color w:val="auto"/>
          <w:szCs w:val="21"/>
        </w:rPr>
        <w:t>供应商负责办理运输和保险，将货物（服务成果）运抵交货地点。与运输、保险相关的费用由供应商承担。</w:t>
      </w:r>
    </w:p>
    <w:p>
      <w:pPr>
        <w:snapToGrid w:val="0"/>
        <w:spacing w:line="360" w:lineRule="auto"/>
        <w:rPr>
          <w:rFonts w:ascii="黑体" w:hAnsi="黑体" w:eastAsia="黑体" w:cs="Arial"/>
          <w:b/>
          <w:color w:val="auto"/>
          <w:kern w:val="0"/>
          <w:sz w:val="28"/>
          <w:szCs w:val="28"/>
        </w:rPr>
      </w:pPr>
      <w:r>
        <w:rPr>
          <w:rFonts w:hint="eastAsia" w:ascii="黑体" w:hAnsi="黑体" w:eastAsia="黑体" w:cs="Arial"/>
          <w:b/>
          <w:color w:val="auto"/>
          <w:kern w:val="0"/>
          <w:sz w:val="28"/>
          <w:szCs w:val="28"/>
        </w:rPr>
        <w:t>四、其他要求</w:t>
      </w:r>
    </w:p>
    <w:p>
      <w:pPr>
        <w:snapToGrid w:val="0"/>
        <w:spacing w:line="360" w:lineRule="auto"/>
        <w:rPr>
          <w:color w:val="auto"/>
          <w:szCs w:val="21"/>
        </w:rPr>
      </w:pPr>
      <w:r>
        <w:rPr>
          <w:color w:val="auto"/>
          <w:szCs w:val="21"/>
        </w:rPr>
        <w:t>成交人提交的服务方案成果文件有下列情形之一的，采购人将有权终止合同：</w:t>
      </w:r>
    </w:p>
    <w:p>
      <w:pPr>
        <w:snapToGrid w:val="0"/>
        <w:spacing w:line="360" w:lineRule="auto"/>
        <w:rPr>
          <w:color w:val="auto"/>
          <w:szCs w:val="21"/>
        </w:rPr>
      </w:pPr>
      <w:r>
        <w:rPr>
          <w:color w:val="auto"/>
          <w:szCs w:val="21"/>
        </w:rPr>
        <w:t>①提交的成果不符合本项目规定的。</w:t>
      </w:r>
    </w:p>
    <w:p>
      <w:pPr>
        <w:snapToGrid w:val="0"/>
        <w:spacing w:line="360" w:lineRule="auto"/>
        <w:rPr>
          <w:color w:val="auto"/>
          <w:szCs w:val="21"/>
        </w:rPr>
      </w:pPr>
      <w:r>
        <w:rPr>
          <w:color w:val="auto"/>
          <w:szCs w:val="21"/>
        </w:rPr>
        <w:t>②提交的成果图纸和文字辨认不清，内容不全或粗制滥造的。</w:t>
      </w:r>
    </w:p>
    <w:p>
      <w:pPr>
        <w:snapToGrid w:val="0"/>
        <w:spacing w:line="360" w:lineRule="auto"/>
        <w:rPr>
          <w:color w:val="auto"/>
          <w:szCs w:val="21"/>
        </w:rPr>
      </w:pPr>
      <w:r>
        <w:rPr>
          <w:color w:val="auto"/>
          <w:szCs w:val="21"/>
        </w:rPr>
        <w:t>③未经采购人同意，逾期上报成果文件的。</w:t>
      </w:r>
    </w:p>
    <w:p>
      <w:pPr>
        <w:snapToGrid w:val="0"/>
        <w:spacing w:line="360" w:lineRule="auto"/>
        <w:rPr>
          <w:color w:val="auto"/>
          <w:szCs w:val="21"/>
        </w:rPr>
      </w:pPr>
      <w:r>
        <w:rPr>
          <w:color w:val="auto"/>
          <w:szCs w:val="21"/>
        </w:rPr>
        <w:t>④编制成果不能通过法定程序审批的。</w:t>
      </w:r>
    </w:p>
    <w:p>
      <w:pPr>
        <w:snapToGrid w:val="0"/>
        <w:spacing w:line="360" w:lineRule="auto"/>
        <w:rPr>
          <w:color w:val="auto"/>
          <w:szCs w:val="21"/>
        </w:rPr>
      </w:pPr>
      <w:r>
        <w:rPr>
          <w:color w:val="auto"/>
          <w:szCs w:val="21"/>
        </w:rPr>
        <w:t>⑤成交人未经采购人正式书面同意擅自修改服务方案的。</w:t>
      </w:r>
    </w:p>
    <w:p>
      <w:pPr>
        <w:snapToGrid w:val="0"/>
        <w:spacing w:line="360" w:lineRule="auto"/>
        <w:rPr>
          <w:color w:val="auto"/>
          <w:szCs w:val="21"/>
        </w:rPr>
        <w:sectPr>
          <w:footerReference r:id="rId13" w:type="first"/>
          <w:headerReference r:id="rId12" w:type="default"/>
          <w:pgSz w:w="11906" w:h="16838"/>
          <w:pgMar w:top="851" w:right="1133" w:bottom="1246" w:left="1418" w:header="851" w:footer="797" w:gutter="0"/>
          <w:cols w:space="720" w:num="1"/>
          <w:docGrid w:linePitch="312" w:charSpace="0"/>
        </w:sectPr>
      </w:pPr>
    </w:p>
    <w:bookmarkEnd w:id="7"/>
    <w:bookmarkEnd w:id="8"/>
    <w:p>
      <w:pPr>
        <w:pStyle w:val="28"/>
        <w:snapToGrid w:val="0"/>
        <w:spacing w:before="120" w:after="120" w:line="320" w:lineRule="exact"/>
        <w:jc w:val="center"/>
        <w:outlineLvl w:val="0"/>
        <w:rPr>
          <w:rFonts w:ascii="Times New Roman" w:hAnsi="Times New Roman" w:cs="Times New Roman"/>
          <w:color w:val="auto"/>
          <w:sz w:val="32"/>
          <w:szCs w:val="32"/>
        </w:rPr>
      </w:pPr>
      <w:bookmarkStart w:id="12" w:name="_Toc31014"/>
      <w:r>
        <w:rPr>
          <w:rFonts w:ascii="Times New Roman" w:hAnsi="Times New Roman" w:cs="Times New Roman"/>
          <w:color w:val="auto"/>
          <w:sz w:val="32"/>
          <w:szCs w:val="32"/>
        </w:rPr>
        <w:t>第三章  供应商须知</w:t>
      </w:r>
      <w:bookmarkEnd w:id="12"/>
      <w:bookmarkStart w:id="13" w:name="_Toc254970526"/>
      <w:bookmarkStart w:id="14" w:name="_Toc254970667"/>
    </w:p>
    <w:p>
      <w:pPr>
        <w:pStyle w:val="4"/>
        <w:spacing w:before="40" w:after="40"/>
        <w:jc w:val="center"/>
        <w:rPr>
          <w:rFonts w:ascii="Times New Roman" w:hAnsi="Times New Roman" w:eastAsia="宋体"/>
          <w:color w:val="auto"/>
          <w:sz w:val="24"/>
          <w:szCs w:val="24"/>
        </w:rPr>
      </w:pPr>
      <w:r>
        <w:rPr>
          <w:rFonts w:ascii="Times New Roman" w:hAnsi="Times New Roman" w:eastAsia="宋体"/>
          <w:color w:val="auto"/>
          <w:sz w:val="24"/>
          <w:szCs w:val="24"/>
        </w:rPr>
        <w:t>供应商须知前附表</w:t>
      </w:r>
      <w:bookmarkEnd w:id="13"/>
      <w:bookmarkEnd w:id="14"/>
      <w:bookmarkStart w:id="15" w:name="_投标人须知前附表"/>
      <w:bookmarkEnd w:id="15"/>
      <w:bookmarkStart w:id="16" w:name="_Hlk19088833"/>
    </w:p>
    <w:tbl>
      <w:tblPr>
        <w:tblStyle w:val="52"/>
        <w:tblW w:w="9409" w:type="dxa"/>
        <w:tblInd w:w="-87"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32"/>
        <w:gridCol w:w="1248"/>
        <w:gridCol w:w="722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9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
                <w:color w:val="auto"/>
                <w:szCs w:val="21"/>
              </w:rPr>
            </w:pPr>
            <w:r>
              <w:rPr>
                <w:b/>
                <w:color w:val="auto"/>
                <w:szCs w:val="21"/>
              </w:rPr>
              <w:t>条款号</w:t>
            </w:r>
          </w:p>
        </w:tc>
        <w:tc>
          <w:tcPr>
            <w:tcW w:w="12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
                <w:color w:val="auto"/>
                <w:szCs w:val="21"/>
              </w:rPr>
            </w:pPr>
            <w:r>
              <w:rPr>
                <w:b/>
                <w:color w:val="auto"/>
                <w:szCs w:val="21"/>
              </w:rPr>
              <w:t>要点</w:t>
            </w:r>
          </w:p>
        </w:tc>
        <w:tc>
          <w:tcPr>
            <w:tcW w:w="722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
                <w:color w:val="auto"/>
                <w:szCs w:val="21"/>
              </w:rPr>
            </w:pPr>
            <w:r>
              <w:rPr>
                <w:b/>
                <w:color w:val="auto"/>
                <w:szCs w:val="21"/>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4" w:hRule="atLeast"/>
        </w:trPr>
        <w:tc>
          <w:tcPr>
            <w:tcW w:w="9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
                <w:color w:val="auto"/>
                <w:szCs w:val="21"/>
              </w:rPr>
            </w:pPr>
            <w:r>
              <w:rPr>
                <w:b/>
                <w:color w:val="auto"/>
                <w:szCs w:val="21"/>
              </w:rPr>
              <w:t>1.3.1</w:t>
            </w:r>
          </w:p>
        </w:tc>
        <w:tc>
          <w:tcPr>
            <w:tcW w:w="12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Cs w:val="21"/>
              </w:rPr>
            </w:pPr>
            <w:r>
              <w:rPr>
                <w:color w:val="auto"/>
                <w:szCs w:val="21"/>
              </w:rPr>
              <w:t>项目基本信息</w:t>
            </w:r>
          </w:p>
        </w:tc>
        <w:tc>
          <w:tcPr>
            <w:tcW w:w="7229"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color w:val="auto"/>
                <w:szCs w:val="21"/>
              </w:rPr>
            </w:pPr>
            <w:r>
              <w:rPr>
                <w:color w:val="auto"/>
                <w:szCs w:val="21"/>
              </w:rPr>
              <w:t>项目名称：</w:t>
            </w:r>
            <w:r>
              <w:rPr>
                <w:rFonts w:hint="eastAsia"/>
                <w:color w:val="auto"/>
                <w:szCs w:val="21"/>
              </w:rPr>
              <w:t>贵港市运动休闲旅游产品体系规划编制服务项目</w:t>
            </w:r>
          </w:p>
          <w:p>
            <w:pPr>
              <w:spacing w:line="360" w:lineRule="auto"/>
              <w:jc w:val="left"/>
              <w:rPr>
                <w:color w:val="auto"/>
                <w:szCs w:val="21"/>
              </w:rPr>
            </w:pPr>
            <w:r>
              <w:rPr>
                <w:color w:val="auto"/>
                <w:szCs w:val="21"/>
              </w:rPr>
              <w:t>项目编号：</w:t>
            </w:r>
            <w:r>
              <w:rPr>
                <w:rFonts w:hint="eastAsia"/>
                <w:color w:val="auto"/>
                <w:szCs w:val="21"/>
              </w:rPr>
              <w:t>GGZC2022-C3-01343-JDZB</w:t>
            </w:r>
          </w:p>
          <w:p>
            <w:pPr>
              <w:spacing w:line="360" w:lineRule="auto"/>
              <w:jc w:val="left"/>
              <w:rPr>
                <w:color w:val="auto"/>
                <w:szCs w:val="21"/>
              </w:rPr>
            </w:pPr>
            <w:r>
              <w:rPr>
                <w:rFonts w:hint="eastAsia"/>
                <w:color w:val="auto"/>
                <w:szCs w:val="21"/>
              </w:rPr>
              <w:t>采购计划号：GGZC[2022]1343号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7" w:hRule="atLeast"/>
        </w:trPr>
        <w:tc>
          <w:tcPr>
            <w:tcW w:w="9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
                <w:color w:val="auto"/>
                <w:szCs w:val="21"/>
              </w:rPr>
            </w:pPr>
            <w:r>
              <w:rPr>
                <w:b/>
                <w:color w:val="auto"/>
                <w:szCs w:val="21"/>
              </w:rPr>
              <w:t>1.3.2</w:t>
            </w:r>
          </w:p>
        </w:tc>
        <w:tc>
          <w:tcPr>
            <w:tcW w:w="12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Cs w:val="21"/>
                <w:lang w:val="zh-CN"/>
              </w:rPr>
            </w:pPr>
            <w:r>
              <w:rPr>
                <w:rFonts w:hint="eastAsia"/>
                <w:color w:val="auto"/>
                <w:szCs w:val="21"/>
                <w:lang w:val="zh-CN"/>
              </w:rPr>
              <w:t>采购方式</w:t>
            </w:r>
          </w:p>
        </w:tc>
        <w:tc>
          <w:tcPr>
            <w:tcW w:w="7229"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color w:val="auto"/>
                <w:szCs w:val="21"/>
              </w:rPr>
            </w:pPr>
            <w:r>
              <w:rPr>
                <w:rFonts w:hint="eastAsia"/>
                <w:color w:val="auto"/>
                <w:szCs w:val="21"/>
              </w:rPr>
              <w:t>竞争性磋商。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
                <w:color w:val="auto"/>
                <w:szCs w:val="21"/>
              </w:rPr>
            </w:pPr>
            <w:r>
              <w:rPr>
                <w:b/>
                <w:color w:val="auto"/>
                <w:szCs w:val="21"/>
              </w:rPr>
              <w:t>1.4.1</w:t>
            </w:r>
          </w:p>
        </w:tc>
        <w:tc>
          <w:tcPr>
            <w:tcW w:w="12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Cs w:val="21"/>
              </w:rPr>
            </w:pPr>
            <w:r>
              <w:rPr>
                <w:color w:val="auto"/>
                <w:szCs w:val="21"/>
                <w:lang w:val="zh-CN"/>
              </w:rPr>
              <w:t>供应商资格条件</w:t>
            </w:r>
          </w:p>
        </w:tc>
        <w:tc>
          <w:tcPr>
            <w:tcW w:w="7229"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color w:val="auto"/>
                <w:szCs w:val="21"/>
              </w:rPr>
            </w:pPr>
            <w:r>
              <w:rPr>
                <w:rFonts w:hint="eastAsia"/>
                <w:color w:val="auto"/>
                <w:szCs w:val="21"/>
              </w:rPr>
              <w:t>详</w:t>
            </w:r>
            <w:r>
              <w:rPr>
                <w:color w:val="auto"/>
                <w:szCs w:val="21"/>
              </w:rPr>
              <w:t>见</w:t>
            </w:r>
            <w:r>
              <w:rPr>
                <w:rFonts w:hint="eastAsia"/>
                <w:color w:val="auto"/>
                <w:szCs w:val="21"/>
              </w:rPr>
              <w:t>磋商</w:t>
            </w:r>
            <w:r>
              <w:rPr>
                <w:color w:val="auto"/>
                <w:szCs w:val="21"/>
              </w:rPr>
              <w:t>公告</w:t>
            </w:r>
            <w:r>
              <w:rPr>
                <w:rFonts w:hint="eastAsia"/>
                <w:color w:val="auto"/>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932" w:type="dxa"/>
            <w:tcBorders>
              <w:top w:val="single" w:color="auto" w:sz="4" w:space="0"/>
              <w:left w:val="single" w:color="auto" w:sz="4" w:space="0"/>
              <w:right w:val="single" w:color="auto" w:sz="4" w:space="0"/>
            </w:tcBorders>
            <w:vAlign w:val="center"/>
          </w:tcPr>
          <w:p>
            <w:pPr>
              <w:spacing w:line="360" w:lineRule="auto"/>
              <w:jc w:val="center"/>
              <w:rPr>
                <w:b/>
                <w:color w:val="auto"/>
                <w:szCs w:val="21"/>
              </w:rPr>
            </w:pPr>
            <w:bookmarkStart w:id="17" w:name="_Hlk85555568"/>
            <w:r>
              <w:rPr>
                <w:b/>
                <w:color w:val="auto"/>
                <w:szCs w:val="21"/>
              </w:rPr>
              <w:t>1.4.3</w:t>
            </w:r>
          </w:p>
        </w:tc>
        <w:tc>
          <w:tcPr>
            <w:tcW w:w="1248" w:type="dxa"/>
            <w:tcBorders>
              <w:top w:val="single" w:color="auto" w:sz="4" w:space="0"/>
              <w:left w:val="single" w:color="auto" w:sz="4" w:space="0"/>
              <w:right w:val="single" w:color="auto" w:sz="4" w:space="0"/>
            </w:tcBorders>
            <w:vAlign w:val="center"/>
          </w:tcPr>
          <w:p>
            <w:pPr>
              <w:spacing w:line="360" w:lineRule="auto"/>
              <w:jc w:val="center"/>
              <w:rPr>
                <w:color w:val="auto"/>
                <w:szCs w:val="21"/>
              </w:rPr>
            </w:pPr>
            <w:r>
              <w:rPr>
                <w:rFonts w:hint="eastAsia"/>
                <w:color w:val="auto"/>
                <w:szCs w:val="21"/>
              </w:rPr>
              <w:t>联合体</w:t>
            </w:r>
          </w:p>
        </w:tc>
        <w:tc>
          <w:tcPr>
            <w:tcW w:w="7229" w:type="dxa"/>
            <w:tcBorders>
              <w:top w:val="single" w:color="auto" w:sz="4" w:space="0"/>
              <w:left w:val="single" w:color="auto" w:sz="4" w:space="0"/>
              <w:right w:val="single" w:color="auto" w:sz="4" w:space="0"/>
            </w:tcBorders>
            <w:vAlign w:val="center"/>
          </w:tcPr>
          <w:p>
            <w:pPr>
              <w:spacing w:line="360" w:lineRule="auto"/>
              <w:jc w:val="left"/>
              <w:rPr>
                <w:color w:val="auto"/>
                <w:szCs w:val="21"/>
              </w:rPr>
            </w:pPr>
            <w:r>
              <w:rPr>
                <w:rFonts w:hint="eastAsia"/>
                <w:color w:val="auto"/>
                <w:szCs w:val="21"/>
              </w:rPr>
              <w:t>详见磋商公告</w:t>
            </w:r>
          </w:p>
        </w:tc>
      </w:tr>
      <w:bookmarkEnd w:id="17"/>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
                <w:color w:val="auto"/>
                <w:szCs w:val="21"/>
              </w:rPr>
            </w:pPr>
            <w:r>
              <w:rPr>
                <w:b/>
                <w:color w:val="auto"/>
                <w:szCs w:val="21"/>
              </w:rPr>
              <w:t>1.5</w:t>
            </w:r>
          </w:p>
        </w:tc>
        <w:tc>
          <w:tcPr>
            <w:tcW w:w="12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Cs w:val="21"/>
              </w:rPr>
            </w:pPr>
            <w:r>
              <w:rPr>
                <w:rFonts w:hint="eastAsia"/>
                <w:color w:val="auto"/>
                <w:szCs w:val="21"/>
              </w:rPr>
              <w:t>踏勘</w:t>
            </w:r>
          </w:p>
        </w:tc>
        <w:tc>
          <w:tcPr>
            <w:tcW w:w="7229"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color w:val="auto"/>
                <w:szCs w:val="21"/>
              </w:rPr>
            </w:pPr>
            <w:r>
              <w:rPr>
                <w:color w:val="auto"/>
                <w:szCs w:val="21"/>
              </w:rPr>
              <w:sym w:font="Wingdings 2" w:char="F052"/>
            </w:r>
            <w:r>
              <w:rPr>
                <w:rFonts w:hint="eastAsia"/>
                <w:color w:val="auto"/>
                <w:szCs w:val="21"/>
              </w:rPr>
              <w:t>否   □是</w:t>
            </w:r>
          </w:p>
          <w:p>
            <w:pPr>
              <w:spacing w:line="360" w:lineRule="auto"/>
              <w:rPr>
                <w:color w:val="auto"/>
                <w:szCs w:val="21"/>
                <w:u w:val="single"/>
              </w:rPr>
            </w:pPr>
            <w:r>
              <w:rPr>
                <w:rFonts w:hint="eastAsia"/>
                <w:color w:val="auto"/>
                <w:szCs w:val="21"/>
              </w:rPr>
              <w:t xml:space="preserve">踏勘时间： </w:t>
            </w:r>
            <w:r>
              <w:rPr>
                <w:rFonts w:hint="eastAsia"/>
                <w:color w:val="auto"/>
                <w:szCs w:val="21"/>
                <w:u w:val="single"/>
              </w:rPr>
              <w:t xml:space="preserve">             </w:t>
            </w:r>
          </w:p>
          <w:p>
            <w:pPr>
              <w:spacing w:line="360" w:lineRule="auto"/>
              <w:rPr>
                <w:color w:val="auto"/>
                <w:szCs w:val="21"/>
                <w:u w:val="single"/>
              </w:rPr>
            </w:pPr>
            <w:r>
              <w:rPr>
                <w:rFonts w:hint="eastAsia"/>
                <w:color w:val="auto"/>
                <w:szCs w:val="21"/>
              </w:rPr>
              <w:t xml:space="preserve">踏勘地点： </w:t>
            </w:r>
            <w:r>
              <w:rPr>
                <w:rFonts w:hint="eastAsia"/>
                <w:color w:val="auto"/>
                <w:szCs w:val="21"/>
                <w:u w:val="single"/>
              </w:rPr>
              <w:t xml:space="preserve">          </w:t>
            </w:r>
          </w:p>
          <w:p>
            <w:pPr>
              <w:spacing w:line="360" w:lineRule="auto"/>
              <w:jc w:val="left"/>
              <w:rPr>
                <w:color w:val="auto"/>
                <w:szCs w:val="21"/>
              </w:rPr>
            </w:pPr>
            <w:r>
              <w:rPr>
                <w:rFonts w:hint="eastAsia"/>
                <w:color w:val="auto"/>
                <w:szCs w:val="21"/>
              </w:rPr>
              <w:t xml:space="preserve">踏勘要求： </w:t>
            </w:r>
            <w:r>
              <w:rPr>
                <w:rFonts w:hint="eastAsia"/>
                <w:color w:val="auto"/>
                <w:szCs w:val="21"/>
                <w:u w:val="single"/>
              </w:rPr>
              <w:t xml:space="preserve">           </w:t>
            </w:r>
            <w:r>
              <w:rPr>
                <w:rFonts w:hint="eastAsia"/>
                <w:color w:val="auto"/>
                <w:szCs w:val="21"/>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
                <w:color w:val="auto"/>
                <w:szCs w:val="21"/>
              </w:rPr>
            </w:pPr>
            <w:r>
              <w:rPr>
                <w:b/>
                <w:color w:val="auto"/>
                <w:szCs w:val="21"/>
              </w:rPr>
              <w:t>1.6.1</w:t>
            </w:r>
          </w:p>
        </w:tc>
        <w:tc>
          <w:tcPr>
            <w:tcW w:w="12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Cs w:val="21"/>
              </w:rPr>
            </w:pPr>
            <w:r>
              <w:rPr>
                <w:color w:val="auto"/>
                <w:szCs w:val="21"/>
              </w:rPr>
              <w:t>转包</w:t>
            </w:r>
          </w:p>
        </w:tc>
        <w:tc>
          <w:tcPr>
            <w:tcW w:w="7229"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color w:val="auto"/>
                <w:szCs w:val="21"/>
              </w:rPr>
            </w:pPr>
            <w:r>
              <w:rPr>
                <w:color w:val="auto"/>
                <w:szCs w:val="21"/>
              </w:rPr>
              <w:t>本项目不允许转包</w:t>
            </w:r>
            <w:r>
              <w:rPr>
                <w:rFonts w:hint="eastAsia"/>
                <w:color w:val="auto"/>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
                <w:color w:val="auto"/>
                <w:szCs w:val="21"/>
              </w:rPr>
            </w:pPr>
            <w:r>
              <w:rPr>
                <w:b/>
                <w:color w:val="auto"/>
                <w:szCs w:val="21"/>
              </w:rPr>
              <w:t>1.6.2</w:t>
            </w:r>
          </w:p>
        </w:tc>
        <w:tc>
          <w:tcPr>
            <w:tcW w:w="12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Cs w:val="21"/>
              </w:rPr>
            </w:pPr>
            <w:r>
              <w:rPr>
                <w:color w:val="auto"/>
                <w:szCs w:val="21"/>
              </w:rPr>
              <w:t>分包</w:t>
            </w:r>
          </w:p>
        </w:tc>
        <w:tc>
          <w:tcPr>
            <w:tcW w:w="7229"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color w:val="auto"/>
                <w:kern w:val="0"/>
                <w:szCs w:val="21"/>
              </w:rPr>
            </w:pPr>
            <w:r>
              <w:rPr>
                <w:color w:val="auto"/>
                <w:szCs w:val="21"/>
              </w:rPr>
              <w:sym w:font="Wingdings 2" w:char="F052"/>
            </w:r>
            <w:r>
              <w:rPr>
                <w:rFonts w:hint="eastAsia"/>
                <w:color w:val="auto"/>
                <w:kern w:val="0"/>
                <w:szCs w:val="21"/>
              </w:rPr>
              <w:t>不允许分包</w:t>
            </w:r>
          </w:p>
          <w:p>
            <w:pPr>
              <w:spacing w:line="360" w:lineRule="auto"/>
              <w:jc w:val="left"/>
              <w:rPr>
                <w:color w:val="auto"/>
                <w:szCs w:val="21"/>
              </w:rPr>
            </w:pPr>
            <w:r>
              <w:rPr>
                <w:color w:val="auto"/>
                <w:szCs w:val="21"/>
              </w:rPr>
              <w:sym w:font="Wingdings 2" w:char="F0A3"/>
            </w:r>
            <w:r>
              <w:rPr>
                <w:rFonts w:hint="eastAsia"/>
                <w:color w:val="auto"/>
                <w:szCs w:val="21"/>
              </w:rPr>
              <w:t>允许分包，</w:t>
            </w:r>
            <w:r>
              <w:rPr>
                <w:color w:val="auto"/>
                <w:szCs w:val="21"/>
              </w:rPr>
              <w:t>允许</w:t>
            </w:r>
            <w:r>
              <w:rPr>
                <w:rFonts w:hint="eastAsia"/>
                <w:color w:val="auto"/>
                <w:szCs w:val="21"/>
              </w:rPr>
              <w:t>非小微企业供应商将采购项目中非主体、非关键性工作分包给一家或者多家小微企业，可以分包的内容</w:t>
            </w:r>
            <w:r>
              <w:rPr>
                <w:rFonts w:hint="eastAsia"/>
                <w:color w:val="auto"/>
                <w:szCs w:val="21"/>
                <w:u w:val="single"/>
              </w:rPr>
              <w:t xml:space="preserve"> </w:t>
            </w:r>
            <w:r>
              <w:rPr>
                <w:color w:val="auto"/>
                <w:szCs w:val="21"/>
                <w:u w:val="single"/>
              </w:rPr>
              <w:t xml:space="preserve">          </w:t>
            </w:r>
            <w:r>
              <w:rPr>
                <w:rFonts w:hint="eastAsia"/>
                <w:color w:val="auto"/>
                <w:szCs w:val="21"/>
              </w:rPr>
              <w:t>；</w:t>
            </w:r>
          </w:p>
          <w:p>
            <w:pPr>
              <w:spacing w:line="360" w:lineRule="auto"/>
              <w:jc w:val="left"/>
              <w:rPr>
                <w:color w:val="auto"/>
                <w:szCs w:val="21"/>
              </w:rPr>
            </w:pPr>
            <w:r>
              <w:rPr>
                <w:rFonts w:hint="eastAsia"/>
                <w:color w:val="auto"/>
                <w:szCs w:val="21"/>
              </w:rPr>
              <w:t>可以分包的</w:t>
            </w:r>
            <w:r>
              <w:rPr>
                <w:color w:val="auto"/>
                <w:szCs w:val="21"/>
              </w:rPr>
              <w:t>比例</w:t>
            </w:r>
            <w:r>
              <w:rPr>
                <w:rFonts w:hint="eastAsia"/>
                <w:color w:val="auto"/>
                <w:szCs w:val="21"/>
              </w:rPr>
              <w:t>：</w:t>
            </w:r>
            <w:r>
              <w:rPr>
                <w:rFonts w:hint="eastAsia"/>
                <w:color w:val="auto"/>
                <w:szCs w:val="21"/>
                <w:u w:val="single"/>
              </w:rPr>
              <w:t xml:space="preserve"> </w:t>
            </w:r>
            <w:r>
              <w:rPr>
                <w:color w:val="auto"/>
                <w:szCs w:val="21"/>
                <w:u w:val="singl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
                <w:color w:val="auto"/>
                <w:szCs w:val="21"/>
              </w:rPr>
            </w:pPr>
            <w:r>
              <w:rPr>
                <w:b/>
                <w:color w:val="auto"/>
                <w:szCs w:val="21"/>
              </w:rPr>
              <w:t>2.3</w:t>
            </w:r>
          </w:p>
        </w:tc>
        <w:tc>
          <w:tcPr>
            <w:tcW w:w="12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Cs w:val="21"/>
              </w:rPr>
            </w:pPr>
            <w:r>
              <w:rPr>
                <w:rFonts w:hint="eastAsia"/>
                <w:color w:val="auto"/>
                <w:szCs w:val="21"/>
              </w:rPr>
              <w:t>采购文件</w:t>
            </w:r>
            <w:r>
              <w:rPr>
                <w:color w:val="auto"/>
                <w:szCs w:val="21"/>
              </w:rPr>
              <w:t>澄清、修改</w:t>
            </w:r>
          </w:p>
        </w:tc>
        <w:tc>
          <w:tcPr>
            <w:tcW w:w="7229"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color w:val="auto"/>
                <w:szCs w:val="21"/>
              </w:rPr>
            </w:pPr>
            <w:r>
              <w:rPr>
                <w:color w:val="auto"/>
                <w:szCs w:val="21"/>
              </w:rPr>
              <w:t>在</w:t>
            </w:r>
            <w:r>
              <w:rPr>
                <w:rFonts w:hint="eastAsia"/>
                <w:color w:val="auto"/>
                <w:szCs w:val="21"/>
              </w:rPr>
              <w:t>磋商</w:t>
            </w:r>
            <w:r>
              <w:rPr>
                <w:color w:val="auto"/>
                <w:szCs w:val="21"/>
              </w:rPr>
              <w:t>公告发布媒介发布</w:t>
            </w:r>
            <w:r>
              <w:rPr>
                <w:rFonts w:hint="eastAsia"/>
                <w:color w:val="auto"/>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9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
                <w:color w:val="auto"/>
                <w:szCs w:val="21"/>
              </w:rPr>
            </w:pPr>
            <w:r>
              <w:rPr>
                <w:b/>
                <w:color w:val="auto"/>
                <w:szCs w:val="21"/>
              </w:rPr>
              <w:t>2.3</w:t>
            </w:r>
          </w:p>
        </w:tc>
        <w:tc>
          <w:tcPr>
            <w:tcW w:w="12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Cs w:val="21"/>
              </w:rPr>
            </w:pPr>
            <w:r>
              <w:rPr>
                <w:color w:val="auto"/>
                <w:szCs w:val="21"/>
              </w:rPr>
              <w:t>确认收到澄清、修改发布的方式</w:t>
            </w:r>
          </w:p>
        </w:tc>
        <w:tc>
          <w:tcPr>
            <w:tcW w:w="7229"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color w:val="auto"/>
                <w:szCs w:val="21"/>
              </w:rPr>
            </w:pPr>
            <w:r>
              <w:rPr>
                <w:color w:val="auto"/>
                <w:szCs w:val="21"/>
              </w:rPr>
              <w:t>澄清、修改文件</w:t>
            </w:r>
            <w:r>
              <w:rPr>
                <w:rFonts w:hint="eastAsia"/>
                <w:color w:val="auto"/>
                <w:szCs w:val="21"/>
              </w:rPr>
              <w:t>自磋商</w:t>
            </w:r>
            <w:r>
              <w:rPr>
                <w:color w:val="auto"/>
                <w:szCs w:val="21"/>
              </w:rPr>
              <w:t>公告发布媒</w:t>
            </w:r>
            <w:r>
              <w:rPr>
                <w:rFonts w:hint="eastAsia"/>
                <w:color w:val="auto"/>
                <w:szCs w:val="21"/>
              </w:rPr>
              <w:t>体</w:t>
            </w:r>
            <w:r>
              <w:rPr>
                <w:color w:val="auto"/>
                <w:szCs w:val="21"/>
              </w:rPr>
              <w:t>发布之日起，视为供应商已收到该澄清、修改。供应商未及时关注</w:t>
            </w:r>
            <w:r>
              <w:rPr>
                <w:rFonts w:hint="eastAsia"/>
                <w:color w:val="auto"/>
                <w:szCs w:val="21"/>
              </w:rPr>
              <w:t>磋商</w:t>
            </w:r>
            <w:r>
              <w:rPr>
                <w:color w:val="auto"/>
                <w:szCs w:val="21"/>
              </w:rPr>
              <w:t>公告发布媒</w:t>
            </w:r>
            <w:r>
              <w:rPr>
                <w:rFonts w:hint="eastAsia"/>
                <w:color w:val="auto"/>
                <w:szCs w:val="21"/>
              </w:rPr>
              <w:t>体</w:t>
            </w:r>
            <w:r>
              <w:rPr>
                <w:color w:val="auto"/>
                <w:szCs w:val="21"/>
              </w:rPr>
              <w:t>造成的损失，由供应商自行负责。</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9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
                <w:color w:val="auto"/>
                <w:szCs w:val="21"/>
              </w:rPr>
            </w:pPr>
            <w:r>
              <w:rPr>
                <w:b/>
                <w:color w:val="auto"/>
                <w:szCs w:val="21"/>
              </w:rPr>
              <w:t>3.4.1</w:t>
            </w:r>
          </w:p>
        </w:tc>
        <w:tc>
          <w:tcPr>
            <w:tcW w:w="12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Cs w:val="21"/>
              </w:rPr>
            </w:pPr>
            <w:r>
              <w:rPr>
                <w:rFonts w:hint="eastAsia"/>
                <w:color w:val="auto"/>
                <w:szCs w:val="21"/>
              </w:rPr>
              <w:t>响应</w:t>
            </w:r>
            <w:r>
              <w:rPr>
                <w:color w:val="auto"/>
                <w:szCs w:val="21"/>
              </w:rPr>
              <w:t>有效期</w:t>
            </w:r>
          </w:p>
        </w:tc>
        <w:tc>
          <w:tcPr>
            <w:tcW w:w="7229"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color w:val="auto"/>
                <w:szCs w:val="21"/>
              </w:rPr>
            </w:pPr>
            <w:r>
              <w:rPr>
                <w:color w:val="auto"/>
                <w:szCs w:val="21"/>
              </w:rPr>
              <w:t>响应截止之日起90天。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
                <w:color w:val="auto"/>
                <w:szCs w:val="21"/>
              </w:rPr>
            </w:pPr>
            <w:r>
              <w:rPr>
                <w:b/>
                <w:color w:val="auto"/>
                <w:szCs w:val="21"/>
              </w:rPr>
              <w:t>3.5</w:t>
            </w:r>
          </w:p>
        </w:tc>
        <w:tc>
          <w:tcPr>
            <w:tcW w:w="12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Cs w:val="21"/>
              </w:rPr>
            </w:pPr>
            <w:r>
              <w:rPr>
                <w:rFonts w:hint="eastAsia"/>
                <w:color w:val="auto"/>
                <w:szCs w:val="21"/>
              </w:rPr>
              <w:t>磋商</w:t>
            </w:r>
            <w:r>
              <w:rPr>
                <w:color w:val="auto"/>
                <w:szCs w:val="21"/>
              </w:rPr>
              <w:t>保证金</w:t>
            </w:r>
          </w:p>
        </w:tc>
        <w:tc>
          <w:tcPr>
            <w:tcW w:w="7229"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b/>
                <w:bCs/>
                <w:color w:val="auto"/>
                <w:szCs w:val="21"/>
              </w:rPr>
            </w:pPr>
            <w:r>
              <w:rPr>
                <w:rFonts w:hint="eastAsia"/>
                <w:b/>
                <w:bCs/>
                <w:color w:val="auto"/>
                <w:szCs w:val="21"/>
              </w:rPr>
              <w:t>本项目不要求缴纳磋商保证金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5" w:hRule="atLeast"/>
        </w:trPr>
        <w:tc>
          <w:tcPr>
            <w:tcW w:w="932" w:type="dxa"/>
            <w:tcBorders>
              <w:left w:val="single" w:color="auto" w:sz="4" w:space="0"/>
              <w:right w:val="single" w:color="auto" w:sz="4" w:space="0"/>
            </w:tcBorders>
            <w:vAlign w:val="center"/>
          </w:tcPr>
          <w:p>
            <w:pPr>
              <w:spacing w:line="360" w:lineRule="auto"/>
              <w:jc w:val="center"/>
              <w:rPr>
                <w:b/>
                <w:color w:val="auto"/>
                <w:szCs w:val="21"/>
              </w:rPr>
            </w:pPr>
            <w:r>
              <w:rPr>
                <w:rFonts w:hint="eastAsia"/>
                <w:b/>
                <w:color w:val="auto"/>
                <w:szCs w:val="21"/>
              </w:rPr>
              <w:t>3</w:t>
            </w:r>
            <w:r>
              <w:rPr>
                <w:b/>
                <w:color w:val="auto"/>
                <w:szCs w:val="21"/>
              </w:rPr>
              <w:t>.6</w:t>
            </w:r>
          </w:p>
        </w:tc>
        <w:tc>
          <w:tcPr>
            <w:tcW w:w="1248" w:type="dxa"/>
            <w:tcBorders>
              <w:top w:val="single" w:color="auto" w:sz="4" w:space="0"/>
              <w:left w:val="single" w:color="auto" w:sz="4" w:space="0"/>
              <w:right w:val="single" w:color="auto" w:sz="4" w:space="0"/>
            </w:tcBorders>
            <w:vAlign w:val="center"/>
          </w:tcPr>
          <w:p>
            <w:pPr>
              <w:spacing w:line="360" w:lineRule="auto"/>
              <w:jc w:val="center"/>
              <w:rPr>
                <w:color w:val="auto"/>
                <w:szCs w:val="21"/>
              </w:rPr>
            </w:pPr>
            <w:r>
              <w:rPr>
                <w:rFonts w:hint="eastAsia"/>
                <w:color w:val="auto"/>
                <w:szCs w:val="21"/>
              </w:rPr>
              <w:t>响应文件的编制</w:t>
            </w:r>
          </w:p>
        </w:tc>
        <w:tc>
          <w:tcPr>
            <w:tcW w:w="7229" w:type="dxa"/>
            <w:tcBorders>
              <w:top w:val="single" w:color="auto" w:sz="4" w:space="0"/>
              <w:left w:val="single" w:color="auto" w:sz="4" w:space="0"/>
              <w:right w:val="single" w:color="auto" w:sz="4" w:space="0"/>
            </w:tcBorders>
            <w:vAlign w:val="center"/>
          </w:tcPr>
          <w:p>
            <w:pPr>
              <w:spacing w:line="360" w:lineRule="auto"/>
              <w:jc w:val="left"/>
              <w:rPr>
                <w:color w:val="auto"/>
                <w:szCs w:val="21"/>
              </w:rPr>
            </w:pPr>
            <w:r>
              <w:rPr>
                <w:rFonts w:hint="eastAsia" w:hAnsi="宋体"/>
                <w:color w:val="auto"/>
                <w:szCs w:val="21"/>
              </w:rPr>
              <w:t>响应文件应按第六章响应文件格式分别编制并使用下载的政采云投标客户端上传。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9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
                <w:color w:val="auto"/>
                <w:szCs w:val="21"/>
              </w:rPr>
            </w:pPr>
            <w:r>
              <w:rPr>
                <w:b/>
                <w:color w:val="auto"/>
                <w:szCs w:val="21"/>
              </w:rPr>
              <w:t>3.7</w:t>
            </w:r>
          </w:p>
        </w:tc>
        <w:tc>
          <w:tcPr>
            <w:tcW w:w="12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Cs w:val="21"/>
              </w:rPr>
            </w:pPr>
            <w:r>
              <w:rPr>
                <w:color w:val="auto"/>
                <w:szCs w:val="21"/>
              </w:rPr>
              <w:t>响应文件递交</w:t>
            </w:r>
            <w:r>
              <w:rPr>
                <w:rFonts w:hint="eastAsia"/>
                <w:color w:val="auto"/>
                <w:szCs w:val="21"/>
              </w:rPr>
              <w:t>截止时间及截标时间</w:t>
            </w:r>
          </w:p>
        </w:tc>
        <w:tc>
          <w:tcPr>
            <w:tcW w:w="7229"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color w:val="auto"/>
                <w:szCs w:val="21"/>
              </w:rPr>
            </w:pPr>
            <w:r>
              <w:rPr>
                <w:rFonts w:hint="eastAsia"/>
                <w:color w:val="auto"/>
                <w:kern w:val="0"/>
                <w:szCs w:val="21"/>
              </w:rPr>
              <w:t>见磋商公告要求</w:t>
            </w:r>
            <w:r>
              <w:rPr>
                <w:rFonts w:hint="eastAsia"/>
                <w:color w:val="auto"/>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
                <w:color w:val="auto"/>
                <w:szCs w:val="21"/>
              </w:rPr>
            </w:pPr>
            <w:r>
              <w:rPr>
                <w:rFonts w:hint="eastAsia"/>
                <w:b/>
                <w:color w:val="auto"/>
                <w:szCs w:val="21"/>
              </w:rPr>
              <w:t>4</w:t>
            </w:r>
            <w:r>
              <w:rPr>
                <w:b/>
                <w:color w:val="auto"/>
                <w:szCs w:val="21"/>
              </w:rPr>
              <w:t>.2</w:t>
            </w:r>
          </w:p>
        </w:tc>
        <w:tc>
          <w:tcPr>
            <w:tcW w:w="12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Cs w:val="20"/>
              </w:rPr>
            </w:pPr>
            <w:r>
              <w:rPr>
                <w:rFonts w:hint="eastAsia"/>
                <w:color w:val="auto"/>
                <w:szCs w:val="21"/>
              </w:rPr>
              <w:t>备份响应文件</w:t>
            </w:r>
          </w:p>
        </w:tc>
        <w:tc>
          <w:tcPr>
            <w:tcW w:w="7229" w:type="dxa"/>
            <w:tcBorders>
              <w:top w:val="single" w:color="auto" w:sz="4" w:space="0"/>
              <w:left w:val="single" w:color="auto" w:sz="4" w:space="0"/>
              <w:bottom w:val="single" w:color="auto" w:sz="4" w:space="0"/>
              <w:right w:val="single" w:color="auto" w:sz="4" w:space="0"/>
            </w:tcBorders>
            <w:vAlign w:val="center"/>
          </w:tcPr>
          <w:p>
            <w:pPr>
              <w:spacing w:line="360" w:lineRule="auto"/>
              <w:rPr>
                <w:color w:val="auto"/>
                <w:sz w:val="22"/>
                <w:szCs w:val="22"/>
              </w:rPr>
            </w:pPr>
            <w:r>
              <w:rPr>
                <w:rFonts w:hint="eastAsia" w:ascii="宋体" w:hAnsi="宋体"/>
                <w:color w:val="auto"/>
                <w:szCs w:val="21"/>
              </w:rPr>
              <w:t>本项目</w:t>
            </w:r>
            <w:r>
              <w:rPr>
                <w:color w:val="auto"/>
                <w:sz w:val="22"/>
                <w:szCs w:val="22"/>
              </w:rPr>
              <w:sym w:font="Wingdings 2" w:char="F052"/>
            </w:r>
            <w:r>
              <w:rPr>
                <w:rFonts w:hint="eastAsia"/>
                <w:color w:val="auto"/>
                <w:szCs w:val="21"/>
              </w:rPr>
              <w:t>接受   □不接受</w:t>
            </w:r>
            <w:r>
              <w:rPr>
                <w:rFonts w:hint="eastAsia" w:ascii="宋体" w:hAnsi="宋体"/>
                <w:color w:val="auto"/>
                <w:szCs w:val="21"/>
              </w:rPr>
              <w:t>备份响应文件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
                <w:color w:val="auto"/>
                <w:szCs w:val="21"/>
              </w:rPr>
            </w:pPr>
            <w:r>
              <w:rPr>
                <w:rFonts w:hint="eastAsia"/>
                <w:b/>
                <w:color w:val="auto"/>
                <w:szCs w:val="21"/>
              </w:rPr>
              <w:t>4</w:t>
            </w:r>
            <w:r>
              <w:rPr>
                <w:b/>
                <w:color w:val="auto"/>
                <w:szCs w:val="21"/>
              </w:rPr>
              <w:t>.3</w:t>
            </w:r>
          </w:p>
        </w:tc>
        <w:tc>
          <w:tcPr>
            <w:tcW w:w="12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Cs w:val="21"/>
              </w:rPr>
            </w:pPr>
            <w:r>
              <w:rPr>
                <w:rFonts w:hint="eastAsia"/>
                <w:color w:val="auto"/>
                <w:szCs w:val="20"/>
              </w:rPr>
              <w:t>演示</w:t>
            </w:r>
          </w:p>
        </w:tc>
        <w:tc>
          <w:tcPr>
            <w:tcW w:w="7229" w:type="dxa"/>
            <w:tcBorders>
              <w:top w:val="single" w:color="auto" w:sz="4" w:space="0"/>
              <w:left w:val="single" w:color="auto" w:sz="4" w:space="0"/>
              <w:bottom w:val="single" w:color="auto" w:sz="4" w:space="0"/>
              <w:right w:val="single" w:color="auto" w:sz="4" w:space="0"/>
            </w:tcBorders>
            <w:vAlign w:val="center"/>
          </w:tcPr>
          <w:p>
            <w:pPr>
              <w:spacing w:line="360" w:lineRule="auto"/>
              <w:rPr>
                <w:color w:val="auto"/>
                <w:szCs w:val="21"/>
              </w:rPr>
            </w:pPr>
            <w:r>
              <w:rPr>
                <w:color w:val="auto"/>
                <w:sz w:val="22"/>
                <w:szCs w:val="22"/>
              </w:rPr>
              <w:sym w:font="Wingdings 2" w:char="F052"/>
            </w:r>
            <w:r>
              <w:rPr>
                <w:rFonts w:hint="eastAsia"/>
                <w:color w:val="auto"/>
                <w:szCs w:val="21"/>
              </w:rPr>
              <w:t>否   □是</w:t>
            </w:r>
          </w:p>
          <w:p>
            <w:pPr>
              <w:spacing w:line="360" w:lineRule="auto"/>
              <w:rPr>
                <w:color w:val="auto"/>
                <w:szCs w:val="21"/>
                <w:u w:val="single"/>
              </w:rPr>
            </w:pPr>
            <w:r>
              <w:rPr>
                <w:rFonts w:hint="eastAsia"/>
                <w:color w:val="auto"/>
                <w:szCs w:val="21"/>
              </w:rPr>
              <w:t>演示内容：</w:t>
            </w:r>
            <w:r>
              <w:rPr>
                <w:rFonts w:hint="eastAsia"/>
                <w:color w:val="auto"/>
                <w:szCs w:val="21"/>
                <w:u w:val="single"/>
              </w:rPr>
              <w:t xml:space="preserve"> </w:t>
            </w:r>
            <w:r>
              <w:rPr>
                <w:color w:val="auto"/>
                <w:szCs w:val="21"/>
                <w:u w:val="single"/>
              </w:rPr>
              <w:t xml:space="preserve">              </w:t>
            </w:r>
          </w:p>
          <w:p>
            <w:pPr>
              <w:spacing w:line="360" w:lineRule="auto"/>
              <w:rPr>
                <w:color w:val="auto"/>
                <w:szCs w:val="21"/>
              </w:rPr>
            </w:pPr>
            <w:r>
              <w:rPr>
                <w:rFonts w:hint="eastAsia"/>
                <w:color w:val="auto"/>
                <w:szCs w:val="21"/>
              </w:rPr>
              <w:t>演示形式：</w:t>
            </w:r>
            <w:r>
              <w:rPr>
                <w:color w:val="auto"/>
                <w:szCs w:val="21"/>
              </w:rPr>
              <w:t xml:space="preserve"> </w:t>
            </w:r>
            <w:r>
              <w:rPr>
                <w:rFonts w:hint="eastAsia"/>
                <w:color w:val="auto"/>
                <w:szCs w:val="21"/>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
                <w:color w:val="auto"/>
                <w:szCs w:val="21"/>
              </w:rPr>
            </w:pPr>
            <w:r>
              <w:rPr>
                <w:rFonts w:hint="eastAsia"/>
                <w:b/>
                <w:color w:val="auto"/>
                <w:szCs w:val="21"/>
              </w:rPr>
              <w:t>4</w:t>
            </w:r>
            <w:r>
              <w:rPr>
                <w:b/>
                <w:color w:val="auto"/>
                <w:szCs w:val="21"/>
              </w:rPr>
              <w:t>.4</w:t>
            </w:r>
          </w:p>
        </w:tc>
        <w:tc>
          <w:tcPr>
            <w:tcW w:w="12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Cs w:val="21"/>
              </w:rPr>
            </w:pPr>
            <w:r>
              <w:rPr>
                <w:rFonts w:hint="eastAsia"/>
                <w:color w:val="auto"/>
                <w:szCs w:val="20"/>
              </w:rPr>
              <w:t>样品</w:t>
            </w:r>
          </w:p>
        </w:tc>
        <w:tc>
          <w:tcPr>
            <w:tcW w:w="7229" w:type="dxa"/>
            <w:tcBorders>
              <w:top w:val="single" w:color="auto" w:sz="4" w:space="0"/>
              <w:left w:val="single" w:color="auto" w:sz="4" w:space="0"/>
              <w:bottom w:val="single" w:color="auto" w:sz="4" w:space="0"/>
              <w:right w:val="single" w:color="auto" w:sz="4" w:space="0"/>
            </w:tcBorders>
            <w:vAlign w:val="center"/>
          </w:tcPr>
          <w:p>
            <w:pPr>
              <w:spacing w:line="360" w:lineRule="auto"/>
              <w:rPr>
                <w:color w:val="auto"/>
                <w:szCs w:val="21"/>
              </w:rPr>
            </w:pPr>
            <w:r>
              <w:rPr>
                <w:color w:val="auto"/>
                <w:sz w:val="24"/>
              </w:rPr>
              <w:sym w:font="Wingdings 2" w:char="F052"/>
            </w:r>
            <w:r>
              <w:rPr>
                <w:rFonts w:hint="eastAsia"/>
                <w:color w:val="auto"/>
                <w:szCs w:val="21"/>
              </w:rPr>
              <w:t>否   □是</w:t>
            </w:r>
          </w:p>
          <w:p>
            <w:pPr>
              <w:spacing w:line="360" w:lineRule="auto"/>
              <w:rPr>
                <w:color w:val="auto"/>
                <w:szCs w:val="21"/>
                <w:u w:val="single"/>
              </w:rPr>
            </w:pPr>
            <w:r>
              <w:rPr>
                <w:rFonts w:hint="eastAsia"/>
                <w:color w:val="auto"/>
                <w:szCs w:val="21"/>
              </w:rPr>
              <w:t>样品制作的标准和要求：</w:t>
            </w:r>
            <w:r>
              <w:rPr>
                <w:rFonts w:hint="eastAsia"/>
                <w:color w:val="auto"/>
                <w:szCs w:val="21"/>
                <w:u w:val="single"/>
              </w:rPr>
              <w:t xml:space="preserve"> </w:t>
            </w:r>
            <w:r>
              <w:rPr>
                <w:color w:val="auto"/>
                <w:szCs w:val="21"/>
                <w:u w:val="single"/>
              </w:rPr>
              <w:t xml:space="preserve">              </w:t>
            </w:r>
          </w:p>
          <w:p>
            <w:pPr>
              <w:spacing w:line="360" w:lineRule="auto"/>
              <w:rPr>
                <w:color w:val="auto"/>
                <w:szCs w:val="21"/>
                <w:u w:val="single"/>
              </w:rPr>
            </w:pPr>
            <w:r>
              <w:rPr>
                <w:rFonts w:hint="eastAsia"/>
                <w:color w:val="auto"/>
                <w:szCs w:val="21"/>
              </w:rPr>
              <w:t>样品检测机构的要求：</w:t>
            </w:r>
            <w:r>
              <w:rPr>
                <w:rFonts w:hint="eastAsia"/>
                <w:color w:val="auto"/>
                <w:szCs w:val="21"/>
                <w:u w:val="single"/>
              </w:rPr>
              <w:t xml:space="preserve"> </w:t>
            </w:r>
            <w:r>
              <w:rPr>
                <w:color w:val="auto"/>
                <w:szCs w:val="21"/>
                <w:u w:val="single"/>
              </w:rPr>
              <w:t xml:space="preserve">               </w:t>
            </w:r>
          </w:p>
          <w:p>
            <w:pPr>
              <w:spacing w:line="360" w:lineRule="auto"/>
              <w:rPr>
                <w:color w:val="auto"/>
                <w:szCs w:val="21"/>
                <w:u w:val="single"/>
              </w:rPr>
            </w:pPr>
            <w:r>
              <w:rPr>
                <w:rFonts w:hint="eastAsia"/>
                <w:color w:val="auto"/>
                <w:szCs w:val="21"/>
              </w:rPr>
              <w:t>检测内容：</w:t>
            </w:r>
            <w:r>
              <w:rPr>
                <w:rFonts w:hint="eastAsia"/>
                <w:color w:val="auto"/>
                <w:szCs w:val="21"/>
                <w:u w:val="single"/>
              </w:rPr>
              <w:t xml:space="preserve"> </w:t>
            </w:r>
            <w:r>
              <w:rPr>
                <w:color w:val="auto"/>
                <w:szCs w:val="21"/>
                <w:u w:val="single"/>
              </w:rPr>
              <w:t xml:space="preserve">                    </w:t>
            </w:r>
          </w:p>
          <w:p>
            <w:pPr>
              <w:spacing w:line="360" w:lineRule="auto"/>
              <w:rPr>
                <w:color w:val="auto"/>
                <w:szCs w:val="21"/>
              </w:rPr>
            </w:pPr>
            <w:r>
              <w:rPr>
                <w:rFonts w:hint="eastAsia"/>
                <w:color w:val="auto"/>
                <w:szCs w:val="21"/>
              </w:rPr>
              <w:t>样品递交方式：</w:t>
            </w:r>
            <w:r>
              <w:rPr>
                <w:color w:val="auto"/>
                <w:szCs w:val="21"/>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
                <w:color w:val="auto"/>
                <w:szCs w:val="21"/>
              </w:rPr>
            </w:pPr>
            <w:r>
              <w:rPr>
                <w:b/>
                <w:color w:val="auto"/>
                <w:szCs w:val="21"/>
              </w:rPr>
              <w:t>6.5</w:t>
            </w:r>
            <w:r>
              <w:rPr>
                <w:rFonts w:hint="eastAsia"/>
                <w:b/>
                <w:color w:val="auto"/>
                <w:szCs w:val="21"/>
              </w:rPr>
              <w:t>.1</w:t>
            </w:r>
          </w:p>
        </w:tc>
        <w:tc>
          <w:tcPr>
            <w:tcW w:w="12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Cs w:val="21"/>
              </w:rPr>
            </w:pPr>
            <w:r>
              <w:rPr>
                <w:rFonts w:hint="eastAsia"/>
                <w:color w:val="auto"/>
                <w:szCs w:val="21"/>
              </w:rPr>
              <w:t>结果</w:t>
            </w:r>
            <w:r>
              <w:rPr>
                <w:color w:val="auto"/>
                <w:szCs w:val="21"/>
              </w:rPr>
              <w:t>公告</w:t>
            </w:r>
          </w:p>
        </w:tc>
        <w:tc>
          <w:tcPr>
            <w:tcW w:w="7229"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color w:val="auto"/>
                <w:szCs w:val="21"/>
              </w:rPr>
            </w:pPr>
            <w:r>
              <w:rPr>
                <w:color w:val="auto"/>
                <w:szCs w:val="21"/>
              </w:rPr>
              <w:t>采购代理机构在采购人依法确认成交供应商后2个工作日内在磋商公告发布的媒体上发布</w:t>
            </w:r>
            <w:r>
              <w:rPr>
                <w:rFonts w:hint="eastAsia"/>
                <w:color w:val="auto"/>
                <w:szCs w:val="21"/>
              </w:rPr>
              <w:t>结果</w:t>
            </w:r>
            <w:r>
              <w:rPr>
                <w:color w:val="auto"/>
                <w:szCs w:val="21"/>
              </w:rPr>
              <w:t>公告</w:t>
            </w:r>
            <w:r>
              <w:rPr>
                <w:rFonts w:hint="eastAsia"/>
                <w:color w:val="auto"/>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
                <w:color w:val="auto"/>
                <w:szCs w:val="21"/>
              </w:rPr>
            </w:pPr>
            <w:r>
              <w:rPr>
                <w:b/>
                <w:color w:val="auto"/>
                <w:szCs w:val="21"/>
              </w:rPr>
              <w:t>6.5.2</w:t>
            </w:r>
          </w:p>
        </w:tc>
        <w:tc>
          <w:tcPr>
            <w:tcW w:w="12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Cs w:val="21"/>
              </w:rPr>
            </w:pPr>
            <w:r>
              <w:rPr>
                <w:rFonts w:hint="eastAsia"/>
                <w:color w:val="auto"/>
                <w:szCs w:val="21"/>
              </w:rPr>
              <w:t>成交通知书</w:t>
            </w:r>
          </w:p>
        </w:tc>
        <w:tc>
          <w:tcPr>
            <w:tcW w:w="7229"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color w:val="auto"/>
                <w:szCs w:val="21"/>
              </w:rPr>
            </w:pPr>
            <w:r>
              <w:rPr>
                <w:rFonts w:hint="eastAsia"/>
                <w:color w:val="auto"/>
                <w:szCs w:val="21"/>
              </w:rPr>
              <w:t>采购代理机构通过“政采云”平台发出</w:t>
            </w:r>
            <w:r>
              <w:rPr>
                <w:color w:val="auto"/>
                <w:szCs w:val="21"/>
              </w:rPr>
              <w:t>成交通知书。</w:t>
            </w:r>
          </w:p>
          <w:p>
            <w:pPr>
              <w:spacing w:line="360" w:lineRule="auto"/>
              <w:jc w:val="left"/>
              <w:rPr>
                <w:color w:val="auto"/>
                <w:szCs w:val="21"/>
              </w:rPr>
            </w:pPr>
            <w:r>
              <w:rPr>
                <w:rFonts w:hint="eastAsia"/>
                <w:color w:val="auto"/>
                <w:szCs w:val="21"/>
              </w:rPr>
              <w:t>成交通知书在“政采云”平台推送之日起，视为成交供应商已收到，成交供应商自行承担未及时查收的后果。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
                <w:color w:val="auto"/>
                <w:szCs w:val="21"/>
              </w:rPr>
            </w:pPr>
            <w:r>
              <w:rPr>
                <w:b/>
                <w:color w:val="auto"/>
                <w:szCs w:val="21"/>
              </w:rPr>
              <w:t>8.1</w:t>
            </w:r>
          </w:p>
        </w:tc>
        <w:tc>
          <w:tcPr>
            <w:tcW w:w="12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Cs w:val="21"/>
              </w:rPr>
            </w:pPr>
            <w:r>
              <w:rPr>
                <w:rFonts w:hint="eastAsia"/>
                <w:color w:val="auto"/>
                <w:szCs w:val="21"/>
              </w:rPr>
              <w:t>质疑</w:t>
            </w:r>
          </w:p>
        </w:tc>
        <w:tc>
          <w:tcPr>
            <w:tcW w:w="7229"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color w:val="auto"/>
                <w:szCs w:val="21"/>
              </w:rPr>
            </w:pPr>
            <w:r>
              <w:rPr>
                <w:rFonts w:hint="eastAsia"/>
                <w:color w:val="auto"/>
                <w:szCs w:val="21"/>
              </w:rPr>
              <w:t>（1）供应商</w:t>
            </w:r>
            <w:r>
              <w:rPr>
                <w:color w:val="auto"/>
                <w:szCs w:val="21"/>
              </w:rPr>
              <w:t>认为</w:t>
            </w:r>
            <w:r>
              <w:rPr>
                <w:rFonts w:hint="eastAsia"/>
                <w:color w:val="auto"/>
                <w:szCs w:val="21"/>
              </w:rPr>
              <w:t>招标文件</w:t>
            </w:r>
            <w:r>
              <w:rPr>
                <w:color w:val="auto"/>
                <w:szCs w:val="21"/>
              </w:rPr>
              <w:t>、</w:t>
            </w:r>
            <w:r>
              <w:rPr>
                <w:rFonts w:hint="eastAsia"/>
                <w:color w:val="auto"/>
                <w:szCs w:val="21"/>
              </w:rPr>
              <w:t>采购</w:t>
            </w:r>
            <w:r>
              <w:rPr>
                <w:color w:val="auto"/>
                <w:szCs w:val="21"/>
              </w:rPr>
              <w:t>过程、中标</w:t>
            </w:r>
            <w:r>
              <w:rPr>
                <w:rFonts w:hint="eastAsia"/>
                <w:color w:val="auto"/>
                <w:szCs w:val="21"/>
              </w:rPr>
              <w:t>或者成交</w:t>
            </w:r>
            <w:r>
              <w:rPr>
                <w:color w:val="auto"/>
                <w:szCs w:val="21"/>
              </w:rPr>
              <w:t>结果使自己的权益受到损害的，可以在知道或者应知其权益受到损害之日起7个工作日内，</w:t>
            </w:r>
            <w:r>
              <w:rPr>
                <w:rFonts w:hint="eastAsia"/>
                <w:color w:val="auto"/>
                <w:szCs w:val="21"/>
              </w:rPr>
              <w:t>通过以下方式</w:t>
            </w:r>
            <w:r>
              <w:rPr>
                <w:color w:val="auto"/>
                <w:szCs w:val="21"/>
              </w:rPr>
              <w:t>向采购人、采购代理机构提出质疑。提出质疑的</w:t>
            </w:r>
            <w:r>
              <w:rPr>
                <w:rFonts w:hint="eastAsia"/>
                <w:color w:val="auto"/>
                <w:szCs w:val="21"/>
              </w:rPr>
              <w:t>供应商</w:t>
            </w:r>
            <w:r>
              <w:rPr>
                <w:color w:val="auto"/>
                <w:szCs w:val="21"/>
              </w:rPr>
              <w:t>必须是参与本项目采购活动的供应商</w:t>
            </w:r>
            <w:r>
              <w:rPr>
                <w:rFonts w:hint="eastAsia"/>
                <w:color w:val="auto"/>
                <w:szCs w:val="21"/>
              </w:rPr>
              <w:t>，并须在</w:t>
            </w:r>
            <w:r>
              <w:rPr>
                <w:color w:val="auto"/>
                <w:szCs w:val="21"/>
              </w:rPr>
              <w:t>法定质疑期内一次性提出针对同一采购程序环节的质疑。质疑函应使用财政部发布的</w:t>
            </w:r>
            <w:r>
              <w:rPr>
                <w:rFonts w:hint="eastAsia"/>
                <w:color w:val="auto"/>
                <w:szCs w:val="21"/>
              </w:rPr>
              <w:t>政府采购供应商质疑函范本，并应按照“质疑函制作说明”进行制作。</w:t>
            </w:r>
          </w:p>
          <w:p>
            <w:pPr>
              <w:spacing w:line="360" w:lineRule="auto"/>
              <w:jc w:val="left"/>
              <w:rPr>
                <w:color w:val="auto"/>
                <w:szCs w:val="21"/>
              </w:rPr>
            </w:pPr>
            <w:r>
              <w:rPr>
                <w:rFonts w:hint="eastAsia"/>
                <w:color w:val="auto"/>
                <w:szCs w:val="21"/>
              </w:rPr>
              <w:t>（2）</w:t>
            </w:r>
            <w:r>
              <w:rPr>
                <w:color w:val="auto"/>
                <w:szCs w:val="21"/>
              </w:rPr>
              <w:t>本项目不接受传真、移动通信</w:t>
            </w:r>
            <w:r>
              <w:rPr>
                <w:rFonts w:hint="eastAsia"/>
                <w:color w:val="auto"/>
                <w:szCs w:val="21"/>
              </w:rPr>
              <w:t>、政采云平台</w:t>
            </w:r>
            <w:r>
              <w:rPr>
                <w:color w:val="auto"/>
                <w:szCs w:val="21"/>
              </w:rPr>
              <w:t>等</w:t>
            </w:r>
            <w:r>
              <w:rPr>
                <w:rFonts w:hint="eastAsia"/>
                <w:color w:val="auto"/>
                <w:szCs w:val="21"/>
              </w:rPr>
              <w:t>方式</w:t>
            </w:r>
            <w:r>
              <w:rPr>
                <w:color w:val="auto"/>
                <w:szCs w:val="21"/>
              </w:rPr>
              <w:t>送达的质疑材料</w:t>
            </w:r>
            <w:r>
              <w:rPr>
                <w:rFonts w:hint="eastAsia"/>
                <w:color w:val="auto"/>
                <w:szCs w:val="21"/>
              </w:rPr>
              <w:t>，供应商可通过现场或邮寄方式递交书面质疑材料。供应商应于质疑有效期内将质疑函原件递交或邮寄至招标公告中采购代理机构信息中的联系人。</w:t>
            </w:r>
          </w:p>
          <w:p>
            <w:pPr>
              <w:spacing w:line="360" w:lineRule="auto"/>
              <w:ind w:firstLine="420" w:firstLineChars="200"/>
              <w:jc w:val="left"/>
              <w:rPr>
                <w:color w:val="auto"/>
                <w:szCs w:val="21"/>
              </w:rPr>
            </w:pPr>
            <w:r>
              <w:rPr>
                <w:color w:val="auto"/>
                <w:szCs w:val="21"/>
              </w:rPr>
              <w:t>质疑联系</w:t>
            </w:r>
            <w:r>
              <w:rPr>
                <w:rFonts w:hint="eastAsia"/>
                <w:color w:val="auto"/>
                <w:szCs w:val="21"/>
              </w:rPr>
              <w:t>方式：详见采购公告采购代理机构联系信息。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
                <w:color w:val="auto"/>
                <w:szCs w:val="21"/>
              </w:rPr>
            </w:pPr>
            <w:r>
              <w:rPr>
                <w:b/>
                <w:color w:val="auto"/>
                <w:szCs w:val="21"/>
              </w:rPr>
              <w:t>9</w:t>
            </w:r>
            <w:r>
              <w:rPr>
                <w:rFonts w:hint="eastAsia"/>
                <w:b/>
                <w:color w:val="auto"/>
                <w:szCs w:val="21"/>
              </w:rPr>
              <w:t>.</w:t>
            </w:r>
            <w:r>
              <w:rPr>
                <w:b/>
                <w:color w:val="auto"/>
                <w:szCs w:val="21"/>
              </w:rPr>
              <w:t>1</w:t>
            </w:r>
          </w:p>
        </w:tc>
        <w:tc>
          <w:tcPr>
            <w:tcW w:w="12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Cs w:val="20"/>
              </w:rPr>
            </w:pPr>
            <w:r>
              <w:rPr>
                <w:rFonts w:hint="eastAsia"/>
                <w:color w:val="auto"/>
                <w:szCs w:val="20"/>
              </w:rPr>
              <w:t>中小企业政策措施</w:t>
            </w:r>
          </w:p>
        </w:tc>
        <w:tc>
          <w:tcPr>
            <w:tcW w:w="7229" w:type="dxa"/>
            <w:tcBorders>
              <w:top w:val="single" w:color="auto" w:sz="4" w:space="0"/>
              <w:left w:val="single" w:color="auto" w:sz="4" w:space="0"/>
              <w:bottom w:val="single" w:color="auto" w:sz="4" w:space="0"/>
              <w:right w:val="single" w:color="auto" w:sz="4" w:space="0"/>
            </w:tcBorders>
            <w:vAlign w:val="center"/>
          </w:tcPr>
          <w:p>
            <w:pPr>
              <w:spacing w:line="360" w:lineRule="auto"/>
              <w:rPr>
                <w:color w:val="auto"/>
                <w:szCs w:val="21"/>
              </w:rPr>
            </w:pPr>
            <w:r>
              <w:rPr>
                <w:color w:val="auto"/>
                <w:sz w:val="24"/>
              </w:rPr>
              <w:sym w:font="Wingdings 2" w:char="00A3"/>
            </w:r>
            <w:r>
              <w:rPr>
                <w:rFonts w:hint="eastAsia"/>
                <w:color w:val="auto"/>
                <w:szCs w:val="21"/>
              </w:rPr>
              <w:t>本项目为非专门面向中小企业预留采购份额采购项目。</w:t>
            </w:r>
          </w:p>
          <w:p>
            <w:pPr>
              <w:spacing w:line="360" w:lineRule="auto"/>
              <w:rPr>
                <w:color w:val="auto"/>
                <w:szCs w:val="21"/>
              </w:rPr>
            </w:pPr>
            <w:r>
              <w:rPr>
                <w:rFonts w:hint="eastAsia"/>
                <w:color w:val="auto"/>
                <w:szCs w:val="21"/>
              </w:rPr>
              <w:sym w:font="Wingdings 2" w:char="0052"/>
            </w:r>
            <w:r>
              <w:rPr>
                <w:rFonts w:hint="eastAsia"/>
                <w:color w:val="auto"/>
                <w:szCs w:val="21"/>
              </w:rPr>
              <w:t>本项目为专门面向中小企业预留采购份额采购项目。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3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b/>
                <w:color w:val="auto"/>
                <w:szCs w:val="21"/>
              </w:rPr>
            </w:pPr>
            <w:r>
              <w:rPr>
                <w:b/>
                <w:color w:val="auto"/>
                <w:szCs w:val="21"/>
              </w:rPr>
              <w:t>10.</w:t>
            </w:r>
            <w:r>
              <w:rPr>
                <w:rFonts w:hint="eastAsia"/>
                <w:b/>
                <w:color w:val="auto"/>
                <w:szCs w:val="21"/>
              </w:rPr>
              <w:t>5</w:t>
            </w:r>
          </w:p>
        </w:tc>
        <w:tc>
          <w:tcPr>
            <w:tcW w:w="1248" w:type="dxa"/>
            <w:tcBorders>
              <w:top w:val="single" w:color="auto" w:sz="4" w:space="0"/>
              <w:left w:val="single" w:color="auto" w:sz="4" w:space="0"/>
              <w:bottom w:val="single" w:color="auto" w:sz="4" w:space="0"/>
              <w:right w:val="single" w:color="auto" w:sz="4" w:space="0"/>
            </w:tcBorders>
            <w:vAlign w:val="center"/>
          </w:tcPr>
          <w:p>
            <w:pPr>
              <w:jc w:val="center"/>
              <w:rPr>
                <w:color w:val="auto"/>
                <w:szCs w:val="20"/>
              </w:rPr>
            </w:pPr>
            <w:r>
              <w:rPr>
                <w:rFonts w:hint="eastAsia"/>
                <w:color w:val="auto"/>
                <w:szCs w:val="20"/>
              </w:rPr>
              <w:t>其他事项</w:t>
            </w:r>
          </w:p>
        </w:tc>
        <w:tc>
          <w:tcPr>
            <w:tcW w:w="7229"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color w:val="auto"/>
                <w:szCs w:val="21"/>
              </w:rPr>
            </w:pPr>
            <w:r>
              <w:rPr>
                <w:rFonts w:hint="eastAsia"/>
                <w:color w:val="auto"/>
                <w:szCs w:val="21"/>
              </w:rPr>
              <w:t>本文件中内容如有前后不一致，以在采购文件先出现的为准。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58" w:hRule="atLeast"/>
        </w:trPr>
        <w:tc>
          <w:tcPr>
            <w:tcW w:w="9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
                <w:color w:val="auto"/>
                <w:szCs w:val="21"/>
              </w:rPr>
            </w:pPr>
            <w:r>
              <w:rPr>
                <w:b/>
                <w:color w:val="auto"/>
                <w:szCs w:val="21"/>
              </w:rPr>
              <w:t>10.1</w:t>
            </w:r>
          </w:p>
        </w:tc>
        <w:tc>
          <w:tcPr>
            <w:tcW w:w="12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Cs w:val="21"/>
              </w:rPr>
            </w:pPr>
            <w:r>
              <w:rPr>
                <w:color w:val="auto"/>
                <w:szCs w:val="20"/>
              </w:rPr>
              <w:t>代理服务费</w:t>
            </w:r>
          </w:p>
        </w:tc>
        <w:tc>
          <w:tcPr>
            <w:tcW w:w="7229" w:type="dxa"/>
            <w:tcBorders>
              <w:top w:val="single" w:color="auto" w:sz="4" w:space="0"/>
              <w:left w:val="single" w:color="auto" w:sz="4" w:space="0"/>
              <w:bottom w:val="single" w:color="auto" w:sz="4" w:space="0"/>
              <w:right w:val="single" w:color="auto" w:sz="4" w:space="0"/>
            </w:tcBorders>
            <w:vAlign w:val="center"/>
          </w:tcPr>
          <w:p>
            <w:pPr>
              <w:spacing w:line="360" w:lineRule="auto"/>
              <w:rPr>
                <w:color w:val="auto"/>
                <w:szCs w:val="21"/>
              </w:rPr>
            </w:pPr>
            <w:r>
              <w:rPr>
                <w:color w:val="auto"/>
                <w:szCs w:val="21"/>
              </w:rPr>
              <w:t>（1）</w:t>
            </w:r>
            <w:r>
              <w:rPr>
                <w:color w:val="auto"/>
                <w:szCs w:val="20"/>
              </w:rPr>
              <w:t>代理服务费</w:t>
            </w:r>
          </w:p>
          <w:p>
            <w:pPr>
              <w:spacing w:line="360" w:lineRule="auto"/>
              <w:jc w:val="left"/>
              <w:rPr>
                <w:color w:val="auto"/>
                <w:szCs w:val="21"/>
              </w:rPr>
            </w:pPr>
            <w:r>
              <w:rPr>
                <w:color w:val="auto"/>
                <w:szCs w:val="21"/>
              </w:rPr>
              <w:sym w:font="Wingdings 2" w:char="F052"/>
            </w:r>
            <w:r>
              <w:rPr>
                <w:color w:val="auto"/>
                <w:szCs w:val="21"/>
              </w:rPr>
              <w:t>采购代理机构向成交供应商收取代理服务费。本项目代理服务费</w:t>
            </w:r>
            <w:r>
              <w:rPr>
                <w:rFonts w:hint="eastAsia"/>
                <w:color w:val="auto"/>
                <w:szCs w:val="21"/>
              </w:rPr>
              <w:t>按照</w:t>
            </w:r>
            <w:r>
              <w:rPr>
                <w:color w:val="auto"/>
                <w:szCs w:val="21"/>
              </w:rPr>
              <w:t>《招标代理服务费管理暂行办法》 (计价格﹝2002﹞1980号)、《国家发展改革委关于降低部分建设项目收费标准规范收费行为等有关问题的通知》(发改价格﹝2011﹞534号)</w:t>
            </w:r>
            <w:r>
              <w:rPr>
                <w:rFonts w:hint="eastAsia"/>
                <w:color w:val="auto"/>
                <w:szCs w:val="21"/>
              </w:rPr>
              <w:t>的</w:t>
            </w:r>
            <w:r>
              <w:rPr>
                <w:color w:val="auto"/>
                <w:szCs w:val="21"/>
              </w:rPr>
              <w:t>规定</w:t>
            </w:r>
            <w:r>
              <w:rPr>
                <w:rFonts w:hint="eastAsia"/>
                <w:color w:val="auto"/>
                <w:szCs w:val="21"/>
              </w:rPr>
              <w:t>采用</w:t>
            </w:r>
            <w:r>
              <w:rPr>
                <w:color w:val="auto"/>
                <w:szCs w:val="21"/>
              </w:rPr>
              <w:t>差额定率累进</w:t>
            </w:r>
            <w:r>
              <w:rPr>
                <w:rFonts w:hint="eastAsia"/>
                <w:color w:val="auto"/>
                <w:szCs w:val="21"/>
              </w:rPr>
              <w:t>法</w:t>
            </w:r>
            <w:r>
              <w:rPr>
                <w:color w:val="auto"/>
                <w:szCs w:val="21"/>
              </w:rPr>
              <w:t>计算</w:t>
            </w:r>
            <w:r>
              <w:rPr>
                <w:rFonts w:hint="eastAsia"/>
                <w:color w:val="auto"/>
                <w:szCs w:val="21"/>
              </w:rPr>
              <w:t>。</w:t>
            </w:r>
            <w:r>
              <w:rPr>
                <w:color w:val="auto"/>
                <w:szCs w:val="21"/>
              </w:rPr>
              <w:t>具体费率</w:t>
            </w:r>
            <w:r>
              <w:rPr>
                <w:rFonts w:hint="eastAsia"/>
                <w:color w:val="auto"/>
                <w:szCs w:val="21"/>
              </w:rPr>
              <w:t>如下：</w:t>
            </w:r>
          </w:p>
          <w:p>
            <w:pPr>
              <w:spacing w:line="360" w:lineRule="auto"/>
              <w:jc w:val="left"/>
              <w:rPr>
                <w:color w:val="auto"/>
                <w:szCs w:val="21"/>
              </w:rPr>
            </w:pPr>
            <w:r>
              <w:rPr>
                <w:rFonts w:hint="eastAsia"/>
                <w:color w:val="auto"/>
                <w:szCs w:val="21"/>
              </w:rPr>
              <w:t>①招标金额在1</w:t>
            </w:r>
            <w:r>
              <w:rPr>
                <w:color w:val="auto"/>
                <w:szCs w:val="21"/>
              </w:rPr>
              <w:t>00</w:t>
            </w:r>
            <w:r>
              <w:rPr>
                <w:rFonts w:hint="eastAsia"/>
                <w:color w:val="auto"/>
                <w:szCs w:val="21"/>
              </w:rPr>
              <w:t>万元以下的：</w:t>
            </w:r>
          </w:p>
          <w:p>
            <w:pPr>
              <w:spacing w:line="360" w:lineRule="auto"/>
              <w:jc w:val="left"/>
              <w:rPr>
                <w:color w:val="auto"/>
                <w:szCs w:val="21"/>
              </w:rPr>
            </w:pPr>
            <w:r>
              <w:rPr>
                <w:rFonts w:hint="eastAsia"/>
                <w:color w:val="auto"/>
                <w:szCs w:val="21"/>
              </w:rPr>
              <w:t>货物</w:t>
            </w:r>
            <w:r>
              <w:rPr>
                <w:color w:val="auto"/>
                <w:szCs w:val="21"/>
              </w:rPr>
              <w:t>1.5％</w:t>
            </w:r>
            <w:r>
              <w:rPr>
                <w:rFonts w:hint="eastAsia"/>
                <w:color w:val="auto"/>
                <w:szCs w:val="21"/>
              </w:rPr>
              <w:t>；</w:t>
            </w:r>
            <w:r>
              <w:rPr>
                <w:color w:val="auto"/>
                <w:szCs w:val="21"/>
              </w:rPr>
              <w:t>服务招标1.5％</w:t>
            </w:r>
            <w:r>
              <w:rPr>
                <w:rFonts w:hint="eastAsia"/>
                <w:color w:val="auto"/>
                <w:szCs w:val="21"/>
              </w:rPr>
              <w:t>；</w:t>
            </w:r>
            <w:r>
              <w:rPr>
                <w:color w:val="auto"/>
                <w:szCs w:val="21"/>
              </w:rPr>
              <w:t>工程招标1.0％</w:t>
            </w:r>
            <w:r>
              <w:rPr>
                <w:rFonts w:hint="eastAsia"/>
                <w:color w:val="auto"/>
                <w:szCs w:val="21"/>
              </w:rPr>
              <w:t>；</w:t>
            </w:r>
          </w:p>
          <w:p>
            <w:pPr>
              <w:spacing w:line="360" w:lineRule="auto"/>
              <w:jc w:val="left"/>
              <w:rPr>
                <w:color w:val="auto"/>
                <w:szCs w:val="21"/>
              </w:rPr>
            </w:pPr>
            <w:r>
              <w:rPr>
                <w:rFonts w:hint="eastAsia"/>
                <w:color w:val="auto"/>
                <w:szCs w:val="21"/>
              </w:rPr>
              <w:t>②招标金额在</w:t>
            </w:r>
            <w:r>
              <w:rPr>
                <w:color w:val="auto"/>
                <w:szCs w:val="21"/>
              </w:rPr>
              <w:t>100-500</w:t>
            </w:r>
            <w:r>
              <w:rPr>
                <w:rFonts w:hint="eastAsia"/>
                <w:color w:val="auto"/>
                <w:szCs w:val="21"/>
              </w:rPr>
              <w:t>万元之间：</w:t>
            </w:r>
          </w:p>
          <w:p>
            <w:pPr>
              <w:spacing w:line="360" w:lineRule="auto"/>
              <w:jc w:val="left"/>
              <w:rPr>
                <w:color w:val="auto"/>
                <w:szCs w:val="21"/>
              </w:rPr>
            </w:pPr>
            <w:r>
              <w:rPr>
                <w:rFonts w:hint="eastAsia"/>
                <w:color w:val="auto"/>
                <w:szCs w:val="21"/>
              </w:rPr>
              <w:t>货物</w:t>
            </w:r>
            <w:r>
              <w:rPr>
                <w:color w:val="auto"/>
                <w:szCs w:val="21"/>
              </w:rPr>
              <w:t>1.1％</w:t>
            </w:r>
            <w:r>
              <w:rPr>
                <w:rFonts w:hint="eastAsia"/>
                <w:color w:val="auto"/>
                <w:szCs w:val="21"/>
              </w:rPr>
              <w:t>；</w:t>
            </w:r>
            <w:r>
              <w:rPr>
                <w:color w:val="auto"/>
                <w:szCs w:val="21"/>
              </w:rPr>
              <w:t>服务招标0.8％</w:t>
            </w:r>
            <w:r>
              <w:rPr>
                <w:rFonts w:hint="eastAsia"/>
                <w:color w:val="auto"/>
                <w:szCs w:val="21"/>
              </w:rPr>
              <w:t>；</w:t>
            </w:r>
            <w:r>
              <w:rPr>
                <w:color w:val="auto"/>
                <w:szCs w:val="21"/>
              </w:rPr>
              <w:t>工程招标0.7％</w:t>
            </w:r>
            <w:r>
              <w:rPr>
                <w:rFonts w:hint="eastAsia"/>
                <w:color w:val="auto"/>
                <w:szCs w:val="21"/>
              </w:rPr>
              <w:t>；</w:t>
            </w:r>
          </w:p>
          <w:p>
            <w:pPr>
              <w:spacing w:line="360" w:lineRule="auto"/>
              <w:jc w:val="left"/>
              <w:rPr>
                <w:color w:val="auto"/>
                <w:szCs w:val="21"/>
              </w:rPr>
            </w:pPr>
            <w:r>
              <w:rPr>
                <w:rFonts w:hint="eastAsia"/>
                <w:color w:val="auto"/>
                <w:szCs w:val="21"/>
              </w:rPr>
              <w:t>③招标金额在</w:t>
            </w:r>
            <w:r>
              <w:rPr>
                <w:color w:val="auto"/>
                <w:szCs w:val="21"/>
              </w:rPr>
              <w:t>5</w:t>
            </w:r>
            <w:r>
              <w:rPr>
                <w:rFonts w:hint="eastAsia"/>
                <w:color w:val="auto"/>
                <w:szCs w:val="21"/>
              </w:rPr>
              <w:t>0</w:t>
            </w:r>
            <w:r>
              <w:rPr>
                <w:color w:val="auto"/>
                <w:szCs w:val="21"/>
              </w:rPr>
              <w:t>0-1</w:t>
            </w:r>
            <w:r>
              <w:rPr>
                <w:rFonts w:hint="eastAsia"/>
                <w:color w:val="auto"/>
                <w:szCs w:val="21"/>
              </w:rPr>
              <w:t>00</w:t>
            </w:r>
            <w:r>
              <w:rPr>
                <w:color w:val="auto"/>
                <w:szCs w:val="21"/>
              </w:rPr>
              <w:t>0</w:t>
            </w:r>
            <w:r>
              <w:rPr>
                <w:rFonts w:hint="eastAsia"/>
                <w:color w:val="auto"/>
                <w:szCs w:val="21"/>
              </w:rPr>
              <w:t>万元之间：</w:t>
            </w:r>
          </w:p>
          <w:p>
            <w:pPr>
              <w:spacing w:line="360" w:lineRule="auto"/>
              <w:jc w:val="left"/>
              <w:rPr>
                <w:color w:val="auto"/>
                <w:szCs w:val="21"/>
              </w:rPr>
            </w:pPr>
            <w:r>
              <w:rPr>
                <w:rFonts w:hint="eastAsia"/>
                <w:color w:val="auto"/>
                <w:szCs w:val="21"/>
              </w:rPr>
              <w:t>货物</w:t>
            </w:r>
            <w:r>
              <w:rPr>
                <w:color w:val="auto"/>
                <w:szCs w:val="21"/>
              </w:rPr>
              <w:t>0.8％</w:t>
            </w:r>
            <w:r>
              <w:rPr>
                <w:rFonts w:hint="eastAsia"/>
                <w:color w:val="auto"/>
                <w:szCs w:val="21"/>
              </w:rPr>
              <w:t>；</w:t>
            </w:r>
            <w:r>
              <w:rPr>
                <w:color w:val="auto"/>
                <w:szCs w:val="21"/>
              </w:rPr>
              <w:t>服务招标0.45％</w:t>
            </w:r>
            <w:r>
              <w:rPr>
                <w:rFonts w:hint="eastAsia"/>
                <w:color w:val="auto"/>
                <w:szCs w:val="21"/>
              </w:rPr>
              <w:t>；</w:t>
            </w:r>
            <w:r>
              <w:rPr>
                <w:color w:val="auto"/>
                <w:szCs w:val="21"/>
              </w:rPr>
              <w:t>工程招标0.55％</w:t>
            </w:r>
            <w:r>
              <w:rPr>
                <w:rFonts w:hint="eastAsia"/>
                <w:color w:val="auto"/>
                <w:szCs w:val="21"/>
              </w:rPr>
              <w:t>；</w:t>
            </w:r>
          </w:p>
          <w:p>
            <w:pPr>
              <w:spacing w:line="360" w:lineRule="auto"/>
              <w:jc w:val="left"/>
              <w:rPr>
                <w:color w:val="auto"/>
                <w:szCs w:val="21"/>
              </w:rPr>
            </w:pPr>
            <w:r>
              <w:rPr>
                <w:rFonts w:hint="eastAsia"/>
                <w:color w:val="auto"/>
                <w:szCs w:val="21"/>
              </w:rPr>
              <w:t>④招标金额在</w:t>
            </w:r>
            <w:r>
              <w:rPr>
                <w:color w:val="auto"/>
                <w:szCs w:val="21"/>
              </w:rPr>
              <w:t>1000-5000</w:t>
            </w:r>
            <w:r>
              <w:rPr>
                <w:rFonts w:hint="eastAsia"/>
                <w:color w:val="auto"/>
                <w:szCs w:val="21"/>
              </w:rPr>
              <w:t>万元之间：</w:t>
            </w:r>
          </w:p>
          <w:p>
            <w:pPr>
              <w:spacing w:line="360" w:lineRule="auto"/>
              <w:jc w:val="left"/>
              <w:rPr>
                <w:color w:val="auto"/>
                <w:szCs w:val="21"/>
              </w:rPr>
            </w:pPr>
            <w:r>
              <w:rPr>
                <w:rFonts w:hint="eastAsia"/>
                <w:color w:val="auto"/>
                <w:szCs w:val="21"/>
              </w:rPr>
              <w:t>货物</w:t>
            </w:r>
            <w:r>
              <w:rPr>
                <w:color w:val="auto"/>
                <w:szCs w:val="21"/>
              </w:rPr>
              <w:t>0.5％</w:t>
            </w:r>
            <w:r>
              <w:rPr>
                <w:rFonts w:hint="eastAsia"/>
                <w:color w:val="auto"/>
                <w:szCs w:val="21"/>
              </w:rPr>
              <w:t>；</w:t>
            </w:r>
            <w:r>
              <w:rPr>
                <w:color w:val="auto"/>
                <w:szCs w:val="21"/>
              </w:rPr>
              <w:t>服务招标0.25％</w:t>
            </w:r>
            <w:r>
              <w:rPr>
                <w:rFonts w:hint="eastAsia"/>
                <w:color w:val="auto"/>
                <w:szCs w:val="21"/>
              </w:rPr>
              <w:t>；</w:t>
            </w:r>
            <w:r>
              <w:rPr>
                <w:color w:val="auto"/>
                <w:szCs w:val="21"/>
              </w:rPr>
              <w:t>工程招标0.35％</w:t>
            </w:r>
            <w:r>
              <w:rPr>
                <w:rFonts w:hint="eastAsia"/>
                <w:color w:val="auto"/>
                <w:szCs w:val="21"/>
              </w:rPr>
              <w:t>；</w:t>
            </w:r>
          </w:p>
          <w:p>
            <w:pPr>
              <w:spacing w:line="360" w:lineRule="auto"/>
              <w:jc w:val="left"/>
              <w:rPr>
                <w:color w:val="auto"/>
                <w:szCs w:val="21"/>
              </w:rPr>
            </w:pPr>
            <w:r>
              <w:rPr>
                <w:rFonts w:hint="eastAsia"/>
                <w:color w:val="auto"/>
                <w:szCs w:val="21"/>
              </w:rPr>
              <w:t>……</w:t>
            </w:r>
          </w:p>
          <w:p>
            <w:pPr>
              <w:spacing w:line="360" w:lineRule="auto"/>
              <w:jc w:val="left"/>
              <w:rPr>
                <w:color w:val="auto"/>
                <w:szCs w:val="21"/>
              </w:rPr>
            </w:pPr>
            <w:r>
              <w:rPr>
                <w:color w:val="auto"/>
                <w:szCs w:val="21"/>
              </w:rPr>
              <w:t>差额定率累进</w:t>
            </w:r>
            <w:r>
              <w:rPr>
                <w:rFonts w:hint="eastAsia"/>
                <w:color w:val="auto"/>
                <w:szCs w:val="21"/>
              </w:rPr>
              <w:t>法</w:t>
            </w:r>
            <w:r>
              <w:rPr>
                <w:color w:val="auto"/>
                <w:szCs w:val="21"/>
              </w:rPr>
              <w:t>计算</w:t>
            </w:r>
            <w:r>
              <w:rPr>
                <w:rFonts w:hint="eastAsia"/>
                <w:color w:val="auto"/>
                <w:szCs w:val="21"/>
              </w:rPr>
              <w:t>过程示例：</w:t>
            </w:r>
          </w:p>
          <w:p>
            <w:pPr>
              <w:spacing w:line="360" w:lineRule="auto"/>
              <w:jc w:val="left"/>
              <w:rPr>
                <w:color w:val="auto"/>
                <w:szCs w:val="21"/>
              </w:rPr>
            </w:pPr>
            <w:r>
              <w:rPr>
                <w:color w:val="auto"/>
                <w:szCs w:val="21"/>
              </w:rPr>
              <w:t>例如：某货物招标代理业务成交金额为300万元，招标代理服务费金额按如下计算：</w:t>
            </w:r>
          </w:p>
          <w:p>
            <w:pPr>
              <w:spacing w:line="360" w:lineRule="auto"/>
              <w:jc w:val="left"/>
              <w:rPr>
                <w:color w:val="auto"/>
                <w:szCs w:val="21"/>
              </w:rPr>
            </w:pPr>
            <w:r>
              <w:rPr>
                <w:color w:val="auto"/>
                <w:szCs w:val="21"/>
              </w:rPr>
              <w:t>100万元×1.5%＝1.5万元</w:t>
            </w:r>
          </w:p>
          <w:p>
            <w:pPr>
              <w:spacing w:line="360" w:lineRule="auto"/>
              <w:jc w:val="left"/>
              <w:rPr>
                <w:color w:val="auto"/>
                <w:szCs w:val="21"/>
              </w:rPr>
            </w:pPr>
            <w:r>
              <w:rPr>
                <w:color w:val="auto"/>
                <w:szCs w:val="21"/>
              </w:rPr>
              <w:t>（300－100）万元×1.1%＝2.2万元</w:t>
            </w:r>
          </w:p>
          <w:p>
            <w:pPr>
              <w:spacing w:line="360" w:lineRule="auto"/>
              <w:jc w:val="left"/>
              <w:rPr>
                <w:color w:val="auto"/>
                <w:szCs w:val="21"/>
              </w:rPr>
            </w:pPr>
            <w:r>
              <w:rPr>
                <w:color w:val="auto"/>
                <w:szCs w:val="21"/>
              </w:rPr>
              <w:t>合计收费＝1.5＋2.2=3.7万元</w:t>
            </w:r>
          </w:p>
          <w:p>
            <w:pPr>
              <w:spacing w:line="360" w:lineRule="auto"/>
              <w:jc w:val="left"/>
              <w:rPr>
                <w:color w:val="auto"/>
                <w:szCs w:val="21"/>
                <w:u w:val="single"/>
              </w:rPr>
            </w:pPr>
            <w:r>
              <w:rPr>
                <w:color w:val="auto"/>
                <w:szCs w:val="21"/>
              </w:rPr>
              <w:sym w:font="Wingdings 2" w:char="F0A3"/>
            </w:r>
            <w:r>
              <w:rPr>
                <w:color w:val="auto"/>
                <w:szCs w:val="21"/>
              </w:rPr>
              <w:t>采购代理机构</w:t>
            </w:r>
            <w:r>
              <w:rPr>
                <w:color w:val="auto"/>
                <w:szCs w:val="20"/>
              </w:rPr>
              <w:t>向成交供应商收取代理服务费</w:t>
            </w:r>
            <w:r>
              <w:rPr>
                <w:rFonts w:hint="eastAsia"/>
                <w:color w:val="auto"/>
                <w:szCs w:val="20"/>
              </w:rPr>
              <w:t>，</w:t>
            </w:r>
            <w:r>
              <w:rPr>
                <w:color w:val="auto"/>
                <w:szCs w:val="20"/>
              </w:rPr>
              <w:t>具体金额为</w:t>
            </w:r>
            <w:r>
              <w:rPr>
                <w:rFonts w:hint="eastAsia"/>
                <w:color w:val="auto"/>
                <w:szCs w:val="20"/>
                <w:u w:val="single"/>
              </w:rPr>
              <w:t xml:space="preserve">             </w:t>
            </w:r>
            <w:r>
              <w:rPr>
                <w:rFonts w:hint="eastAsia"/>
                <w:color w:val="auto"/>
                <w:szCs w:val="20"/>
              </w:rPr>
              <w:t>。</w:t>
            </w:r>
          </w:p>
          <w:p>
            <w:pPr>
              <w:spacing w:line="360" w:lineRule="auto"/>
              <w:jc w:val="left"/>
              <w:rPr>
                <w:color w:val="auto"/>
                <w:kern w:val="0"/>
                <w:szCs w:val="21"/>
              </w:rPr>
            </w:pPr>
            <w:r>
              <w:rPr>
                <w:color w:val="auto"/>
                <w:szCs w:val="21"/>
              </w:rPr>
              <w:t>（2）成交供应商</w:t>
            </w:r>
            <w:r>
              <w:rPr>
                <w:rFonts w:hint="eastAsia"/>
                <w:color w:val="auto"/>
                <w:szCs w:val="21"/>
              </w:rPr>
              <w:t>应</w:t>
            </w:r>
            <w:r>
              <w:rPr>
                <w:color w:val="auto"/>
                <w:szCs w:val="21"/>
              </w:rPr>
              <w:t>在</w:t>
            </w:r>
            <w:r>
              <w:rPr>
                <w:rFonts w:hint="eastAsia"/>
                <w:color w:val="auto"/>
                <w:szCs w:val="21"/>
              </w:rPr>
              <w:t>签订合同</w:t>
            </w:r>
            <w:r>
              <w:rPr>
                <w:color w:val="auto"/>
                <w:szCs w:val="21"/>
              </w:rPr>
              <w:t>前以银行转账或现金形式支付代理服务费</w:t>
            </w:r>
            <w:r>
              <w:rPr>
                <w:rFonts w:hint="eastAsia"/>
                <w:color w:val="auto"/>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2" w:hRule="atLeast"/>
        </w:trPr>
        <w:tc>
          <w:tcPr>
            <w:tcW w:w="9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
                <w:color w:val="auto"/>
                <w:szCs w:val="21"/>
              </w:rPr>
            </w:pPr>
            <w:r>
              <w:rPr>
                <w:b/>
                <w:color w:val="auto"/>
                <w:szCs w:val="21"/>
              </w:rPr>
              <w:t>10.3</w:t>
            </w:r>
          </w:p>
        </w:tc>
        <w:tc>
          <w:tcPr>
            <w:tcW w:w="12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Cs w:val="20"/>
              </w:rPr>
            </w:pPr>
            <w:r>
              <w:rPr>
                <w:rFonts w:hint="eastAsia"/>
                <w:color w:val="auto"/>
                <w:szCs w:val="20"/>
              </w:rPr>
              <w:t>附件</w:t>
            </w:r>
          </w:p>
        </w:tc>
        <w:tc>
          <w:tcPr>
            <w:tcW w:w="7229" w:type="dxa"/>
            <w:tcBorders>
              <w:top w:val="single" w:color="auto" w:sz="4" w:space="0"/>
              <w:left w:val="single" w:color="auto" w:sz="4" w:space="0"/>
              <w:bottom w:val="single" w:color="auto" w:sz="4" w:space="0"/>
              <w:right w:val="single" w:color="auto" w:sz="4" w:space="0"/>
            </w:tcBorders>
            <w:vAlign w:val="center"/>
          </w:tcPr>
          <w:p>
            <w:pPr>
              <w:spacing w:line="360" w:lineRule="auto"/>
              <w:rPr>
                <w:color w:val="auto"/>
                <w:szCs w:val="21"/>
              </w:rPr>
            </w:pPr>
            <w:r>
              <w:rPr>
                <w:color w:val="auto"/>
                <w:sz w:val="22"/>
                <w:szCs w:val="22"/>
              </w:rPr>
              <w:sym w:font="Wingdings 2" w:char="F052"/>
            </w:r>
            <w:r>
              <w:rPr>
                <w:rFonts w:hint="eastAsia"/>
                <w:color w:val="auto"/>
                <w:szCs w:val="21"/>
              </w:rPr>
              <w:t>无</w:t>
            </w:r>
          </w:p>
          <w:p>
            <w:pPr>
              <w:spacing w:line="360" w:lineRule="auto"/>
              <w:rPr>
                <w:color w:val="auto"/>
                <w:szCs w:val="21"/>
                <w:u w:val="single"/>
              </w:rPr>
            </w:pPr>
            <w:r>
              <w:rPr>
                <w:rFonts w:hint="eastAsia"/>
                <w:color w:val="auto"/>
                <w:szCs w:val="21"/>
              </w:rPr>
              <w:t>□有，详见：</w:t>
            </w:r>
            <w:r>
              <w:rPr>
                <w:rFonts w:hint="eastAsia"/>
                <w:color w:val="auto"/>
                <w:szCs w:val="21"/>
                <w:u w:val="single"/>
              </w:rPr>
              <w:t xml:space="preserve"> </w:t>
            </w:r>
            <w:r>
              <w:rPr>
                <w:color w:val="auto"/>
                <w:szCs w:val="21"/>
                <w:u w:val="singl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6" w:hRule="atLeast"/>
        </w:trPr>
        <w:tc>
          <w:tcPr>
            <w:tcW w:w="9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
                <w:color w:val="auto"/>
                <w:szCs w:val="21"/>
              </w:rPr>
            </w:pPr>
            <w:r>
              <w:rPr>
                <w:b/>
                <w:color w:val="auto"/>
                <w:szCs w:val="21"/>
              </w:rPr>
              <w:t>10.3</w:t>
            </w:r>
          </w:p>
        </w:tc>
        <w:tc>
          <w:tcPr>
            <w:tcW w:w="12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Cs w:val="20"/>
              </w:rPr>
            </w:pPr>
            <w:r>
              <w:rPr>
                <w:rFonts w:hint="eastAsia"/>
                <w:color w:val="auto"/>
                <w:szCs w:val="20"/>
              </w:rPr>
              <w:t>图纸</w:t>
            </w:r>
          </w:p>
        </w:tc>
        <w:tc>
          <w:tcPr>
            <w:tcW w:w="7229" w:type="dxa"/>
            <w:tcBorders>
              <w:top w:val="single" w:color="auto" w:sz="4" w:space="0"/>
              <w:left w:val="single" w:color="auto" w:sz="4" w:space="0"/>
              <w:bottom w:val="single" w:color="auto" w:sz="4" w:space="0"/>
              <w:right w:val="single" w:color="auto" w:sz="4" w:space="0"/>
            </w:tcBorders>
            <w:vAlign w:val="center"/>
          </w:tcPr>
          <w:p>
            <w:pPr>
              <w:spacing w:line="360" w:lineRule="auto"/>
              <w:rPr>
                <w:color w:val="auto"/>
                <w:szCs w:val="21"/>
              </w:rPr>
            </w:pPr>
            <w:r>
              <w:rPr>
                <w:color w:val="auto"/>
                <w:sz w:val="22"/>
                <w:szCs w:val="22"/>
              </w:rPr>
              <w:sym w:font="Wingdings 2" w:char="F052"/>
            </w:r>
            <w:r>
              <w:rPr>
                <w:rFonts w:hint="eastAsia"/>
                <w:color w:val="auto"/>
                <w:szCs w:val="21"/>
              </w:rPr>
              <w:t>无</w:t>
            </w:r>
          </w:p>
          <w:p>
            <w:pPr>
              <w:spacing w:line="360" w:lineRule="auto"/>
              <w:rPr>
                <w:color w:val="auto"/>
                <w:szCs w:val="21"/>
                <w:u w:val="single"/>
              </w:rPr>
            </w:pPr>
            <w:r>
              <w:rPr>
                <w:rFonts w:hint="eastAsia"/>
                <w:color w:val="auto"/>
                <w:szCs w:val="21"/>
              </w:rPr>
              <w:t>□有，详见：</w:t>
            </w:r>
            <w:r>
              <w:rPr>
                <w:rFonts w:hint="eastAsia"/>
                <w:color w:val="auto"/>
                <w:szCs w:val="21"/>
                <w:u w:val="single"/>
              </w:rPr>
              <w:t xml:space="preserve"> </w:t>
            </w:r>
            <w:r>
              <w:rPr>
                <w:color w:val="auto"/>
                <w:szCs w:val="21"/>
                <w:u w:val="singl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4" w:hRule="atLeast"/>
        </w:trPr>
        <w:tc>
          <w:tcPr>
            <w:tcW w:w="932" w:type="dxa"/>
            <w:tcBorders>
              <w:top w:val="single" w:color="auto" w:sz="4" w:space="0"/>
              <w:left w:val="single" w:color="auto" w:sz="4" w:space="0"/>
              <w:right w:val="single" w:color="auto" w:sz="4" w:space="0"/>
            </w:tcBorders>
            <w:vAlign w:val="center"/>
          </w:tcPr>
          <w:p>
            <w:pPr>
              <w:spacing w:line="360" w:lineRule="auto"/>
              <w:jc w:val="center"/>
              <w:rPr>
                <w:b/>
                <w:color w:val="auto"/>
                <w:szCs w:val="21"/>
              </w:rPr>
            </w:pPr>
            <w:r>
              <w:rPr>
                <w:b/>
                <w:color w:val="auto"/>
                <w:szCs w:val="21"/>
              </w:rPr>
              <w:t>10.4</w:t>
            </w:r>
          </w:p>
        </w:tc>
        <w:tc>
          <w:tcPr>
            <w:tcW w:w="1248" w:type="dxa"/>
            <w:tcBorders>
              <w:top w:val="single" w:color="auto" w:sz="4" w:space="0"/>
              <w:left w:val="single" w:color="auto" w:sz="4" w:space="0"/>
              <w:right w:val="single" w:color="auto" w:sz="4" w:space="0"/>
            </w:tcBorders>
            <w:vAlign w:val="center"/>
          </w:tcPr>
          <w:p>
            <w:pPr>
              <w:spacing w:line="360" w:lineRule="auto"/>
              <w:jc w:val="center"/>
              <w:rPr>
                <w:color w:val="auto"/>
                <w:szCs w:val="20"/>
              </w:rPr>
            </w:pPr>
            <w:r>
              <w:rPr>
                <w:rFonts w:hint="eastAsia"/>
                <w:color w:val="auto"/>
                <w:szCs w:val="20"/>
              </w:rPr>
              <w:t>其他事项</w:t>
            </w:r>
          </w:p>
        </w:tc>
        <w:tc>
          <w:tcPr>
            <w:tcW w:w="7229" w:type="dxa"/>
            <w:tcBorders>
              <w:top w:val="single" w:color="auto" w:sz="4" w:space="0"/>
              <w:left w:val="single" w:color="auto" w:sz="4" w:space="0"/>
              <w:bottom w:val="single" w:color="auto" w:sz="4" w:space="0"/>
              <w:right w:val="single" w:color="auto" w:sz="4" w:space="0"/>
            </w:tcBorders>
            <w:vAlign w:val="center"/>
          </w:tcPr>
          <w:p>
            <w:pPr>
              <w:spacing w:line="360" w:lineRule="auto"/>
              <w:rPr>
                <w:color w:val="auto"/>
                <w:sz w:val="24"/>
              </w:rPr>
            </w:pPr>
            <w:r>
              <w:rPr>
                <w:rFonts w:hint="eastAsia"/>
                <w:color w:val="auto"/>
                <w:szCs w:val="21"/>
              </w:rPr>
              <w:t>本文件中内容如有前后不一致，以在采购文件先出现的为准。</w:t>
            </w:r>
          </w:p>
        </w:tc>
      </w:tr>
    </w:tbl>
    <w:p>
      <w:pPr>
        <w:spacing w:line="360" w:lineRule="auto"/>
        <w:rPr>
          <w:color w:val="auto"/>
        </w:rPr>
      </w:pPr>
    </w:p>
    <w:bookmarkEnd w:id="16"/>
    <w:p>
      <w:pPr>
        <w:snapToGrid w:val="0"/>
        <w:spacing w:before="120" w:line="360" w:lineRule="auto"/>
        <w:outlineLvl w:val="1"/>
        <w:rPr>
          <w:b/>
          <w:bCs/>
          <w:color w:val="auto"/>
          <w:kern w:val="0"/>
          <w:szCs w:val="21"/>
        </w:rPr>
      </w:pPr>
      <w:r>
        <w:rPr>
          <w:color w:val="auto"/>
          <w:szCs w:val="21"/>
        </w:rPr>
        <w:br w:type="page"/>
      </w:r>
      <w:r>
        <w:rPr>
          <w:b/>
          <w:bCs/>
          <w:color w:val="auto"/>
          <w:kern w:val="0"/>
          <w:szCs w:val="21"/>
        </w:rPr>
        <w:t>1．总则</w:t>
      </w:r>
    </w:p>
    <w:p>
      <w:pPr>
        <w:snapToGrid w:val="0"/>
        <w:spacing w:before="120" w:line="360" w:lineRule="auto"/>
        <w:ind w:firstLine="422" w:firstLineChars="200"/>
        <w:outlineLvl w:val="2"/>
        <w:rPr>
          <w:b/>
          <w:bCs/>
          <w:color w:val="auto"/>
          <w:kern w:val="0"/>
          <w:szCs w:val="21"/>
        </w:rPr>
      </w:pPr>
      <w:bookmarkStart w:id="18" w:name="_Toc254970527"/>
      <w:bookmarkStart w:id="19" w:name="_Toc254970668"/>
      <w:r>
        <w:rPr>
          <w:b/>
          <w:bCs/>
          <w:color w:val="auto"/>
          <w:kern w:val="0"/>
          <w:szCs w:val="21"/>
        </w:rPr>
        <w:t>1.1适用范围</w:t>
      </w:r>
      <w:bookmarkEnd w:id="18"/>
      <w:bookmarkEnd w:id="19"/>
    </w:p>
    <w:p>
      <w:pPr>
        <w:snapToGrid w:val="0"/>
        <w:spacing w:before="120" w:line="360" w:lineRule="auto"/>
        <w:ind w:firstLine="420" w:firstLineChars="200"/>
        <w:rPr>
          <w:color w:val="auto"/>
          <w:szCs w:val="21"/>
        </w:rPr>
      </w:pPr>
      <w:r>
        <w:rPr>
          <w:color w:val="auto"/>
          <w:szCs w:val="21"/>
        </w:rPr>
        <w:t>本采购文件适用于供应商须知前附表所述项目的</w:t>
      </w:r>
      <w:r>
        <w:rPr>
          <w:rFonts w:hint="eastAsia"/>
          <w:color w:val="auto"/>
          <w:szCs w:val="21"/>
        </w:rPr>
        <w:t>政府采购活动。</w:t>
      </w:r>
    </w:p>
    <w:p>
      <w:pPr>
        <w:snapToGrid w:val="0"/>
        <w:spacing w:before="120" w:line="360" w:lineRule="auto"/>
        <w:ind w:firstLine="422" w:firstLineChars="200"/>
        <w:outlineLvl w:val="2"/>
        <w:rPr>
          <w:b/>
          <w:bCs/>
          <w:color w:val="auto"/>
          <w:kern w:val="0"/>
          <w:szCs w:val="21"/>
        </w:rPr>
      </w:pPr>
      <w:bookmarkStart w:id="20" w:name="_Toc254970669"/>
      <w:bookmarkStart w:id="21" w:name="_Toc254970528"/>
      <w:r>
        <w:rPr>
          <w:b/>
          <w:bCs/>
          <w:color w:val="auto"/>
          <w:kern w:val="0"/>
          <w:szCs w:val="21"/>
        </w:rPr>
        <w:t>1.2定义</w:t>
      </w:r>
      <w:bookmarkEnd w:id="20"/>
      <w:bookmarkEnd w:id="21"/>
    </w:p>
    <w:p>
      <w:pPr>
        <w:snapToGrid w:val="0"/>
        <w:spacing w:before="120" w:line="360" w:lineRule="auto"/>
        <w:ind w:firstLine="420" w:firstLineChars="200"/>
        <w:rPr>
          <w:color w:val="auto"/>
          <w:szCs w:val="21"/>
        </w:rPr>
      </w:pPr>
      <w:r>
        <w:rPr>
          <w:color w:val="auto"/>
          <w:szCs w:val="21"/>
        </w:rPr>
        <w:t>1.2.1“采购人”系指依法进行政府采购的国家机关、事业单位、团体组织。</w:t>
      </w:r>
    </w:p>
    <w:p>
      <w:pPr>
        <w:snapToGrid w:val="0"/>
        <w:spacing w:before="120" w:line="360" w:lineRule="auto"/>
        <w:ind w:firstLine="420" w:firstLineChars="200"/>
        <w:rPr>
          <w:color w:val="auto"/>
          <w:szCs w:val="21"/>
        </w:rPr>
      </w:pPr>
      <w:r>
        <w:rPr>
          <w:color w:val="auto"/>
          <w:szCs w:val="21"/>
        </w:rPr>
        <w:t>1.2.2“供应商”系</w:t>
      </w:r>
      <w:r>
        <w:rPr>
          <w:color w:val="auto"/>
        </w:rPr>
        <w:t>指响应招标、参加投标竞争的法人、其他组织或者自然人</w:t>
      </w:r>
      <w:r>
        <w:rPr>
          <w:color w:val="auto"/>
          <w:szCs w:val="21"/>
        </w:rPr>
        <w:t>。</w:t>
      </w:r>
    </w:p>
    <w:p>
      <w:pPr>
        <w:snapToGrid w:val="0"/>
        <w:spacing w:before="120" w:line="360" w:lineRule="auto"/>
        <w:ind w:firstLine="420" w:firstLineChars="200"/>
        <w:rPr>
          <w:color w:val="auto"/>
        </w:rPr>
      </w:pPr>
      <w:r>
        <w:rPr>
          <w:rFonts w:hint="eastAsia"/>
          <w:color w:val="auto"/>
        </w:rPr>
        <w:t>1.2.3</w:t>
      </w:r>
      <w:r>
        <w:rPr>
          <w:color w:val="auto"/>
        </w:rPr>
        <w:t>本</w:t>
      </w:r>
      <w:r>
        <w:rPr>
          <w:rFonts w:hint="eastAsia"/>
          <w:color w:val="auto"/>
        </w:rPr>
        <w:t>文件</w:t>
      </w:r>
      <w:r>
        <w:rPr>
          <w:color w:val="auto"/>
        </w:rPr>
        <w:t>中的</w:t>
      </w:r>
      <w:r>
        <w:rPr>
          <w:rFonts w:hint="eastAsia"/>
          <w:color w:val="auto"/>
        </w:rPr>
        <w:t>“法定代表人”若无特别说明，当</w:t>
      </w:r>
      <w:r>
        <w:rPr>
          <w:color w:val="auto"/>
        </w:rPr>
        <w:t>供应商是</w:t>
      </w:r>
      <w:r>
        <w:rPr>
          <w:rFonts w:hint="eastAsia"/>
          <w:color w:val="auto"/>
        </w:rPr>
        <w:t>企业的，是指企业法人营业执照上的法定代表人；当</w:t>
      </w:r>
      <w:r>
        <w:rPr>
          <w:color w:val="auto"/>
        </w:rPr>
        <w:t>供应商是</w:t>
      </w:r>
      <w:r>
        <w:rPr>
          <w:rFonts w:hint="eastAsia"/>
          <w:color w:val="auto"/>
        </w:rPr>
        <w:t>事业单位的，是指事业单位法人证书上的法定代表人；当</w:t>
      </w:r>
      <w:r>
        <w:rPr>
          <w:color w:val="auto"/>
        </w:rPr>
        <w:t>供应商是</w:t>
      </w:r>
      <w:r>
        <w:rPr>
          <w:rFonts w:hint="eastAsia"/>
          <w:color w:val="auto"/>
        </w:rPr>
        <w:t>社会团体、民办非企业的，是指法人登记证书中的法定代表人；当</w:t>
      </w:r>
      <w:r>
        <w:rPr>
          <w:color w:val="auto"/>
        </w:rPr>
        <w:t>供应商是</w:t>
      </w:r>
      <w:r>
        <w:rPr>
          <w:rFonts w:hint="eastAsia"/>
          <w:color w:val="auto"/>
        </w:rPr>
        <w:t>个体工商户的，是指个体工商户营业执照上的经营者；</w:t>
      </w:r>
      <w:r>
        <w:rPr>
          <w:color w:val="auto"/>
        </w:rPr>
        <w:t>当供应商是自然人</w:t>
      </w:r>
      <w:r>
        <w:rPr>
          <w:rFonts w:hint="eastAsia"/>
          <w:color w:val="auto"/>
        </w:rPr>
        <w:t>的，是指参与本项目响应的自然人本人。</w:t>
      </w:r>
      <w:r>
        <w:rPr>
          <w:color w:val="auto"/>
        </w:rPr>
        <w:br w:type="textWrapping"/>
      </w:r>
      <w:r>
        <w:rPr>
          <w:color w:val="auto"/>
        </w:rPr>
        <w:t xml:space="preserve">    </w:t>
      </w:r>
      <w:r>
        <w:rPr>
          <w:rFonts w:hint="eastAsia"/>
          <w:color w:val="auto"/>
        </w:rPr>
        <w:t>1.2.4本文件中的“公章”是指根据我国对公章的管理规定，用供应商法定主体行为名称制作的印章，除本文件有特殊规定外，供应商的财务章、部门章、分公司章、工会章、合同章、投标专用章、业务专用章及银行的转账章、现金收讫章、现金付讫章等其他形式印章均不能代替公章。本文件中的“签章”是指电子签名的一种表现形式，利用图像处理技术将电子签名操作转化为与纸质文件盖章操作相同的可视效果，同时利用电子签名技术保障电子信息的真实性和完整性以及签名人的不可否认性。</w:t>
      </w:r>
    </w:p>
    <w:p>
      <w:pPr>
        <w:widowControl/>
        <w:snapToGrid w:val="0"/>
        <w:spacing w:line="360" w:lineRule="auto"/>
        <w:ind w:firstLine="420" w:firstLineChars="200"/>
        <w:jc w:val="left"/>
        <w:rPr>
          <w:color w:val="auto"/>
          <w:szCs w:val="21"/>
        </w:rPr>
      </w:pPr>
      <w:r>
        <w:rPr>
          <w:color w:val="auto"/>
          <w:szCs w:val="21"/>
        </w:rPr>
        <w:t>1.2.</w:t>
      </w:r>
      <w:r>
        <w:rPr>
          <w:rFonts w:hint="eastAsia"/>
          <w:color w:val="auto"/>
          <w:szCs w:val="21"/>
        </w:rPr>
        <w:t>5</w:t>
      </w:r>
      <w:r>
        <w:rPr>
          <w:color w:val="auto"/>
          <w:szCs w:val="21"/>
        </w:rPr>
        <w:t>“书面形式”如无特殊规定，</w:t>
      </w:r>
      <w:r>
        <w:rPr>
          <w:rFonts w:hint="eastAsia"/>
          <w:color w:val="auto"/>
          <w:szCs w:val="21"/>
        </w:rPr>
        <w:t>书面形式是合同书、信件、电报、电传等可以有形地表现所载内容的形式。以电子数据交换、电子邮件等方式能够有形地表现所载内容，并可以随时调取查用的数据电文，视为书面形式。</w:t>
      </w:r>
      <w:r>
        <w:rPr>
          <w:color w:val="auto"/>
          <w:szCs w:val="21"/>
        </w:rPr>
        <w:t xml:space="preserve">采购文件如有特殊规定，以采购文件规定为准。 </w:t>
      </w:r>
    </w:p>
    <w:p>
      <w:pPr>
        <w:snapToGrid w:val="0"/>
        <w:spacing w:before="120" w:line="360" w:lineRule="auto"/>
        <w:ind w:firstLine="420" w:firstLineChars="200"/>
        <w:rPr>
          <w:color w:val="auto"/>
          <w:szCs w:val="21"/>
        </w:rPr>
      </w:pPr>
      <w:r>
        <w:rPr>
          <w:color w:val="auto"/>
          <w:szCs w:val="21"/>
        </w:rPr>
        <w:t>1.2.</w:t>
      </w:r>
      <w:r>
        <w:rPr>
          <w:rFonts w:hint="eastAsia"/>
          <w:color w:val="auto"/>
          <w:szCs w:val="21"/>
        </w:rPr>
        <w:t>6本项目的技术商务要求重要性分为“▲”（如有）、“#”（如有）和一般无标识指标。▲代表实质性要求指标，</w:t>
      </w:r>
      <w:r>
        <w:rPr>
          <w:rFonts w:hint="eastAsia"/>
          <w:b/>
          <w:bCs/>
          <w:color w:val="auto"/>
          <w:szCs w:val="21"/>
        </w:rPr>
        <w:t>不满足该指标项将导致响应被否决</w:t>
      </w:r>
      <w:r>
        <w:rPr>
          <w:rFonts w:hint="eastAsia"/>
          <w:color w:val="auto"/>
          <w:szCs w:val="21"/>
        </w:rPr>
        <w:t>，#代表重要指标，无标识则表示一般指标项。</w:t>
      </w:r>
    </w:p>
    <w:p>
      <w:pPr>
        <w:snapToGrid w:val="0"/>
        <w:spacing w:before="120" w:line="360" w:lineRule="auto"/>
        <w:ind w:firstLine="420" w:firstLineChars="200"/>
        <w:rPr>
          <w:color w:val="auto"/>
          <w:szCs w:val="21"/>
        </w:rPr>
      </w:pPr>
      <w:r>
        <w:rPr>
          <w:color w:val="auto"/>
          <w:szCs w:val="21"/>
        </w:rPr>
        <w:t>1.2.</w:t>
      </w:r>
      <w:r>
        <w:rPr>
          <w:rFonts w:hint="eastAsia"/>
          <w:color w:val="auto"/>
          <w:szCs w:val="21"/>
        </w:rPr>
        <w:t>7 本</w:t>
      </w:r>
      <w:r>
        <w:rPr>
          <w:color w:val="auto"/>
          <w:szCs w:val="21"/>
        </w:rPr>
        <w:t>采购文件</w:t>
      </w:r>
      <w:r>
        <w:rPr>
          <w:rFonts w:hint="eastAsia"/>
          <w:color w:val="auto"/>
          <w:szCs w:val="21"/>
        </w:rPr>
        <w:t>出现多种选项的条款，以“</w:t>
      </w:r>
      <w:r>
        <w:rPr>
          <w:color w:val="auto"/>
        </w:rPr>
        <w:sym w:font="Wingdings 2" w:char="F052"/>
      </w:r>
      <w:r>
        <w:rPr>
          <w:rFonts w:hint="eastAsia"/>
          <w:color w:val="auto"/>
          <w:szCs w:val="21"/>
        </w:rPr>
        <w:t>”表示本条款所选择的方式。</w:t>
      </w:r>
    </w:p>
    <w:p>
      <w:pPr>
        <w:snapToGrid w:val="0"/>
        <w:spacing w:before="120" w:line="360" w:lineRule="auto"/>
        <w:ind w:firstLine="420" w:firstLineChars="200"/>
        <w:rPr>
          <w:color w:val="auto"/>
          <w:szCs w:val="21"/>
        </w:rPr>
      </w:pPr>
      <w:r>
        <w:rPr>
          <w:rFonts w:hint="eastAsia"/>
          <w:color w:val="auto"/>
          <w:szCs w:val="21"/>
        </w:rPr>
        <w:t>1.</w:t>
      </w:r>
      <w:r>
        <w:rPr>
          <w:color w:val="auto"/>
          <w:szCs w:val="21"/>
        </w:rPr>
        <w:t>2</w:t>
      </w:r>
      <w:r>
        <w:rPr>
          <w:rFonts w:hint="eastAsia"/>
          <w:color w:val="auto"/>
          <w:szCs w:val="21"/>
        </w:rPr>
        <w:t>.</w:t>
      </w:r>
      <w:r>
        <w:rPr>
          <w:color w:val="auto"/>
          <w:szCs w:val="21"/>
        </w:rPr>
        <w:t>8 “</w:t>
      </w:r>
      <w:r>
        <w:rPr>
          <w:rFonts w:hint="eastAsia"/>
          <w:color w:val="auto"/>
          <w:szCs w:val="21"/>
        </w:rPr>
        <w:t>电子交易平台</w:t>
      </w:r>
      <w:r>
        <w:rPr>
          <w:color w:val="auto"/>
          <w:szCs w:val="21"/>
        </w:rPr>
        <w:t>”</w:t>
      </w:r>
      <w:r>
        <w:rPr>
          <w:rFonts w:hint="eastAsia"/>
          <w:color w:val="auto"/>
          <w:szCs w:val="21"/>
        </w:rPr>
        <w:t>是指以数据电文形式在线完成采购活动的信息平台，本采购文件中也称</w:t>
      </w:r>
      <w:r>
        <w:rPr>
          <w:color w:val="auto"/>
          <w:szCs w:val="21"/>
        </w:rPr>
        <w:t>“</w:t>
      </w:r>
      <w:r>
        <w:rPr>
          <w:rFonts w:hint="eastAsia"/>
          <w:color w:val="auto"/>
          <w:szCs w:val="21"/>
        </w:rPr>
        <w:t>政采云平台</w:t>
      </w:r>
      <w:r>
        <w:rPr>
          <w:color w:val="auto"/>
          <w:szCs w:val="21"/>
        </w:rPr>
        <w:t>”</w:t>
      </w:r>
      <w:r>
        <w:rPr>
          <w:rFonts w:hint="eastAsia"/>
          <w:color w:val="auto"/>
          <w:szCs w:val="21"/>
        </w:rPr>
        <w:t>。</w:t>
      </w:r>
    </w:p>
    <w:p>
      <w:pPr>
        <w:snapToGrid w:val="0"/>
        <w:spacing w:before="120" w:line="360" w:lineRule="auto"/>
        <w:ind w:firstLine="422" w:firstLineChars="200"/>
        <w:outlineLvl w:val="2"/>
        <w:rPr>
          <w:b/>
          <w:bCs/>
          <w:color w:val="auto"/>
          <w:kern w:val="0"/>
          <w:szCs w:val="21"/>
        </w:rPr>
      </w:pPr>
      <w:r>
        <w:rPr>
          <w:rFonts w:hint="eastAsia"/>
          <w:b/>
          <w:bCs/>
          <w:color w:val="auto"/>
          <w:kern w:val="0"/>
          <w:szCs w:val="21"/>
        </w:rPr>
        <w:t>1</w:t>
      </w:r>
      <w:r>
        <w:rPr>
          <w:b/>
          <w:bCs/>
          <w:color w:val="auto"/>
          <w:kern w:val="0"/>
          <w:szCs w:val="21"/>
        </w:rPr>
        <w:t>.3</w:t>
      </w:r>
      <w:r>
        <w:rPr>
          <w:rFonts w:hint="eastAsia"/>
          <w:b/>
          <w:bCs/>
          <w:color w:val="auto"/>
          <w:kern w:val="0"/>
          <w:szCs w:val="21"/>
        </w:rPr>
        <w:t>项目信息</w:t>
      </w:r>
    </w:p>
    <w:p>
      <w:pPr>
        <w:snapToGrid w:val="0"/>
        <w:spacing w:before="120" w:line="360" w:lineRule="auto"/>
        <w:ind w:firstLine="420" w:firstLineChars="200"/>
        <w:rPr>
          <w:color w:val="auto"/>
          <w:szCs w:val="21"/>
        </w:rPr>
      </w:pPr>
      <w:r>
        <w:rPr>
          <w:rFonts w:hint="eastAsia"/>
          <w:color w:val="auto"/>
          <w:szCs w:val="21"/>
        </w:rPr>
        <w:t>1</w:t>
      </w:r>
      <w:r>
        <w:rPr>
          <w:color w:val="auto"/>
          <w:szCs w:val="21"/>
        </w:rPr>
        <w:t>.3.1</w:t>
      </w:r>
      <w:r>
        <w:rPr>
          <w:rFonts w:hint="eastAsia"/>
          <w:color w:val="auto"/>
          <w:szCs w:val="21"/>
        </w:rPr>
        <w:t>项目名称及编号：详见供应商须知前附表</w:t>
      </w:r>
    </w:p>
    <w:p>
      <w:pPr>
        <w:snapToGrid w:val="0"/>
        <w:spacing w:before="120" w:line="360" w:lineRule="auto"/>
        <w:ind w:firstLine="420" w:firstLineChars="200"/>
        <w:rPr>
          <w:color w:val="auto"/>
          <w:szCs w:val="21"/>
        </w:rPr>
      </w:pPr>
      <w:r>
        <w:rPr>
          <w:rFonts w:hint="eastAsia"/>
          <w:color w:val="auto"/>
          <w:szCs w:val="21"/>
        </w:rPr>
        <w:t>1</w:t>
      </w:r>
      <w:r>
        <w:rPr>
          <w:color w:val="auto"/>
          <w:szCs w:val="21"/>
        </w:rPr>
        <w:t>.3.2</w:t>
      </w:r>
      <w:r>
        <w:rPr>
          <w:rFonts w:hint="eastAsia"/>
          <w:color w:val="auto"/>
          <w:szCs w:val="21"/>
        </w:rPr>
        <w:t>采购方式：详见供应商须知前附表</w:t>
      </w:r>
    </w:p>
    <w:p>
      <w:pPr>
        <w:snapToGrid w:val="0"/>
        <w:spacing w:before="120" w:line="360" w:lineRule="auto"/>
        <w:ind w:firstLine="422" w:firstLineChars="200"/>
        <w:outlineLvl w:val="2"/>
        <w:rPr>
          <w:b/>
          <w:bCs/>
          <w:color w:val="auto"/>
          <w:kern w:val="0"/>
          <w:szCs w:val="21"/>
        </w:rPr>
      </w:pPr>
      <w:r>
        <w:rPr>
          <w:b/>
          <w:bCs/>
          <w:color w:val="auto"/>
          <w:kern w:val="0"/>
          <w:szCs w:val="21"/>
        </w:rPr>
        <w:t>1.4供应商资格</w:t>
      </w:r>
      <w:r>
        <w:rPr>
          <w:rFonts w:hint="eastAsia"/>
          <w:b/>
          <w:bCs/>
          <w:color w:val="auto"/>
          <w:kern w:val="0"/>
          <w:szCs w:val="21"/>
        </w:rPr>
        <w:t>要求</w:t>
      </w:r>
    </w:p>
    <w:p>
      <w:pPr>
        <w:snapToGrid w:val="0"/>
        <w:spacing w:before="120" w:line="360" w:lineRule="auto"/>
        <w:ind w:firstLine="420" w:firstLineChars="200"/>
        <w:rPr>
          <w:color w:val="auto"/>
          <w:szCs w:val="21"/>
        </w:rPr>
      </w:pPr>
      <w:r>
        <w:rPr>
          <w:color w:val="auto"/>
          <w:szCs w:val="21"/>
        </w:rPr>
        <w:t>1.4.1</w:t>
      </w:r>
      <w:r>
        <w:rPr>
          <w:rFonts w:hint="eastAsia"/>
          <w:color w:val="auto"/>
          <w:szCs w:val="21"/>
        </w:rPr>
        <w:t>供应商资格要求：详见供应商须知前附表</w:t>
      </w:r>
    </w:p>
    <w:p>
      <w:pPr>
        <w:snapToGrid w:val="0"/>
        <w:spacing w:before="120" w:line="360" w:lineRule="auto"/>
        <w:ind w:firstLine="420" w:firstLineChars="200"/>
        <w:rPr>
          <w:color w:val="auto"/>
          <w:szCs w:val="21"/>
        </w:rPr>
      </w:pPr>
      <w:r>
        <w:rPr>
          <w:color w:val="auto"/>
          <w:szCs w:val="21"/>
        </w:rPr>
        <w:t>1.4.2按照磋商公告的规定获得采购文件。</w:t>
      </w:r>
    </w:p>
    <w:p>
      <w:pPr>
        <w:snapToGrid w:val="0"/>
        <w:spacing w:before="120" w:line="360" w:lineRule="auto"/>
        <w:ind w:firstLine="420" w:firstLineChars="200"/>
        <w:rPr>
          <w:color w:val="auto"/>
          <w:szCs w:val="21"/>
        </w:rPr>
      </w:pPr>
      <w:r>
        <w:rPr>
          <w:color w:val="auto"/>
          <w:szCs w:val="21"/>
        </w:rPr>
        <w:t>1.4.3本项目是否接受联合体响应，见“供应商须知前附表”规定。</w:t>
      </w:r>
    </w:p>
    <w:p>
      <w:pPr>
        <w:snapToGrid w:val="0"/>
        <w:spacing w:before="120" w:line="360" w:lineRule="auto"/>
        <w:ind w:firstLine="420" w:firstLineChars="200"/>
        <w:rPr>
          <w:color w:val="auto"/>
          <w:szCs w:val="21"/>
        </w:rPr>
      </w:pPr>
      <w:r>
        <w:rPr>
          <w:rFonts w:hint="eastAsia"/>
          <w:color w:val="auto"/>
          <w:szCs w:val="21"/>
        </w:rPr>
        <w:t xml:space="preserve">如接受联合体响应，联合体响应要求如下： </w:t>
      </w:r>
    </w:p>
    <w:p>
      <w:pPr>
        <w:snapToGrid w:val="0"/>
        <w:spacing w:before="120" w:line="360" w:lineRule="auto"/>
        <w:ind w:firstLine="420" w:firstLineChars="200"/>
        <w:rPr>
          <w:color w:val="auto"/>
          <w:szCs w:val="21"/>
        </w:rPr>
      </w:pPr>
      <w:r>
        <w:rPr>
          <w:rFonts w:hint="eastAsia"/>
          <w:color w:val="auto"/>
          <w:szCs w:val="21"/>
        </w:rPr>
        <w:t>（1）供应商可以组成一个响应联合体，以一个供应商的身份共同参加响应。联合体响应的，须提供《联合体协议书》（格式后附）</w:t>
      </w:r>
    </w:p>
    <w:p>
      <w:pPr>
        <w:snapToGrid w:val="0"/>
        <w:spacing w:before="120" w:line="360" w:lineRule="auto"/>
        <w:ind w:firstLine="420" w:firstLineChars="200"/>
        <w:rPr>
          <w:color w:val="auto"/>
          <w:szCs w:val="21"/>
        </w:rPr>
      </w:pPr>
      <w:r>
        <w:rPr>
          <w:rFonts w:hint="eastAsia"/>
          <w:color w:val="auto"/>
          <w:szCs w:val="21"/>
        </w:rPr>
        <w:t>（2）以联合体形式参加响应的，联合体各方均必须具备《中华人民共和国政府采购法》第二十二条第一款规定的基本条件。本项目有特殊要求规定供应商特定条件的，联合体各方中至少有一方必须符合采购文件规定的特定条件。</w:t>
      </w:r>
    </w:p>
    <w:p>
      <w:pPr>
        <w:snapToGrid w:val="0"/>
        <w:spacing w:before="120" w:line="360" w:lineRule="auto"/>
        <w:ind w:firstLine="420" w:firstLineChars="200"/>
        <w:rPr>
          <w:color w:val="auto"/>
          <w:szCs w:val="21"/>
        </w:rPr>
      </w:pPr>
      <w:r>
        <w:rPr>
          <w:rFonts w:hint="eastAsia"/>
          <w:color w:val="auto"/>
          <w:szCs w:val="21"/>
        </w:rPr>
        <w:t>（3）联合体各方之间必须签订联合体协议，协议书必须明确主体方（或者牵头方）并明确约定联合体各方承担的工作和相应的责任，并将联合响应协议放入响应文件。联合体各方必须共同与采购人签订采购合同，就采购合同约定的事项对采购人承担连带责任。</w:t>
      </w:r>
    </w:p>
    <w:p>
      <w:pPr>
        <w:snapToGrid w:val="0"/>
        <w:spacing w:before="120" w:line="360" w:lineRule="auto"/>
        <w:ind w:firstLine="420" w:firstLineChars="200"/>
        <w:rPr>
          <w:color w:val="auto"/>
          <w:szCs w:val="21"/>
        </w:rPr>
      </w:pPr>
      <w:r>
        <w:rPr>
          <w:rFonts w:hint="eastAsia"/>
          <w:color w:val="auto"/>
          <w:szCs w:val="21"/>
        </w:rPr>
        <w:t>（4）以联合体形式参加政府采购活动的，联合体各方不得再单独参加或者与其他供应商另外组成联合体参加同一合同项下的政府采购活动。</w:t>
      </w:r>
    </w:p>
    <w:p>
      <w:pPr>
        <w:snapToGrid w:val="0"/>
        <w:spacing w:before="120" w:line="360" w:lineRule="auto"/>
        <w:ind w:firstLine="420" w:firstLineChars="200"/>
        <w:rPr>
          <w:color w:val="auto"/>
          <w:szCs w:val="21"/>
        </w:rPr>
      </w:pPr>
      <w:r>
        <w:rPr>
          <w:rFonts w:hint="eastAsia"/>
          <w:color w:val="auto"/>
          <w:szCs w:val="21"/>
        </w:rPr>
        <w:t>（5）联合体中有同类资质的供应商按照联合体分工承担相同工作的，应当按照资质等级较低的供应商确定资质等级。</w:t>
      </w:r>
    </w:p>
    <w:p>
      <w:pPr>
        <w:snapToGrid w:val="0"/>
        <w:spacing w:before="120" w:line="360" w:lineRule="auto"/>
        <w:ind w:firstLine="420" w:firstLineChars="200"/>
        <w:rPr>
          <w:color w:val="auto"/>
          <w:szCs w:val="21"/>
        </w:rPr>
      </w:pPr>
      <w:r>
        <w:rPr>
          <w:rFonts w:hint="eastAsia"/>
          <w:color w:val="auto"/>
          <w:szCs w:val="21"/>
        </w:rPr>
        <w:t>（6）联合体响应业绩、履约能力按照联合体各方其中较高的一方认定并计算（采购文件其他章节另有规定的除外）。</w:t>
      </w:r>
    </w:p>
    <w:p>
      <w:pPr>
        <w:snapToGrid w:val="0"/>
        <w:spacing w:before="120" w:line="360" w:lineRule="auto"/>
        <w:ind w:firstLine="420" w:firstLineChars="200"/>
        <w:rPr>
          <w:color w:val="auto"/>
          <w:szCs w:val="21"/>
        </w:rPr>
      </w:pPr>
      <w:r>
        <w:rPr>
          <w:rFonts w:hint="eastAsia"/>
          <w:color w:val="auto"/>
          <w:szCs w:val="21"/>
        </w:rPr>
        <w:t>（7）供应商为联合体的，可以由联合体中的一方或者多方共同交纳磋商保证金，其交纳的保证金对联合体各方均具有约束力。</w:t>
      </w:r>
    </w:p>
    <w:p>
      <w:pPr>
        <w:snapToGrid w:val="0"/>
        <w:spacing w:before="120" w:line="360" w:lineRule="auto"/>
        <w:ind w:firstLine="420" w:firstLineChars="200"/>
        <w:rPr>
          <w:color w:val="auto"/>
          <w:szCs w:val="21"/>
        </w:rPr>
      </w:pPr>
      <w:r>
        <w:rPr>
          <w:rFonts w:hint="eastAsia"/>
          <w:color w:val="auto"/>
          <w:szCs w:val="21"/>
        </w:rPr>
        <w:t>（8）联合体各方均应按照采购文件的规定提交资格证明文件。</w:t>
      </w:r>
    </w:p>
    <w:p>
      <w:pPr>
        <w:snapToGrid w:val="0"/>
        <w:spacing w:before="120" w:line="360" w:lineRule="auto"/>
        <w:ind w:firstLine="422" w:firstLineChars="200"/>
        <w:outlineLvl w:val="2"/>
        <w:rPr>
          <w:b/>
          <w:bCs/>
          <w:color w:val="auto"/>
          <w:kern w:val="0"/>
          <w:szCs w:val="21"/>
        </w:rPr>
      </w:pPr>
      <w:bookmarkStart w:id="22" w:name="_Toc254970531"/>
      <w:bookmarkStart w:id="23" w:name="_Toc254970672"/>
      <w:r>
        <w:rPr>
          <w:b/>
          <w:bCs/>
          <w:color w:val="auto"/>
          <w:kern w:val="0"/>
          <w:szCs w:val="21"/>
        </w:rPr>
        <w:t>1.5现场踏勘及响应费用</w:t>
      </w:r>
      <w:bookmarkEnd w:id="22"/>
      <w:bookmarkEnd w:id="23"/>
    </w:p>
    <w:p>
      <w:pPr>
        <w:snapToGrid w:val="0"/>
        <w:spacing w:before="120" w:line="360" w:lineRule="auto"/>
        <w:ind w:firstLine="420" w:firstLineChars="200"/>
        <w:rPr>
          <w:color w:val="auto"/>
          <w:szCs w:val="21"/>
        </w:rPr>
      </w:pPr>
      <w:r>
        <w:rPr>
          <w:color w:val="auto"/>
          <w:szCs w:val="21"/>
        </w:rPr>
        <w:t>1.5.1前附表如规定现场踏勘的，供应商应按规定时间地点参加踏勘。</w:t>
      </w:r>
    </w:p>
    <w:p>
      <w:pPr>
        <w:snapToGrid w:val="0"/>
        <w:spacing w:before="120" w:line="360" w:lineRule="auto"/>
        <w:ind w:firstLine="420" w:firstLineChars="200"/>
        <w:rPr>
          <w:color w:val="auto"/>
          <w:szCs w:val="21"/>
        </w:rPr>
      </w:pPr>
      <w:r>
        <w:rPr>
          <w:color w:val="auto"/>
          <w:szCs w:val="21"/>
        </w:rPr>
        <w:t>1.5.2供应商均应自行承担所有与响应有关的全部费用（采购文件有相关的规定除外）。</w:t>
      </w:r>
    </w:p>
    <w:p>
      <w:pPr>
        <w:snapToGrid w:val="0"/>
        <w:spacing w:before="120" w:line="360" w:lineRule="auto"/>
        <w:ind w:firstLine="422" w:firstLineChars="200"/>
        <w:outlineLvl w:val="2"/>
        <w:rPr>
          <w:b/>
          <w:bCs/>
          <w:color w:val="auto"/>
          <w:kern w:val="0"/>
          <w:szCs w:val="21"/>
        </w:rPr>
      </w:pPr>
      <w:r>
        <w:rPr>
          <w:b/>
          <w:bCs/>
          <w:color w:val="auto"/>
          <w:kern w:val="0"/>
          <w:szCs w:val="21"/>
        </w:rPr>
        <w:t>1.6转包与分包</w:t>
      </w:r>
    </w:p>
    <w:p>
      <w:pPr>
        <w:snapToGrid w:val="0"/>
        <w:spacing w:before="120" w:line="360" w:lineRule="auto"/>
        <w:ind w:firstLine="420" w:firstLineChars="200"/>
        <w:rPr>
          <w:color w:val="auto"/>
          <w:szCs w:val="21"/>
        </w:rPr>
      </w:pPr>
      <w:r>
        <w:rPr>
          <w:color w:val="auto"/>
          <w:szCs w:val="21"/>
        </w:rPr>
        <w:t>1.6.1如</w:t>
      </w:r>
      <w:r>
        <w:rPr>
          <w:rFonts w:hint="eastAsia"/>
          <w:color w:val="auto"/>
          <w:szCs w:val="21"/>
        </w:rPr>
        <w:t>采购文件</w:t>
      </w:r>
      <w:r>
        <w:rPr>
          <w:color w:val="auto"/>
          <w:szCs w:val="21"/>
        </w:rPr>
        <w:t>其他地方无特别规定</w:t>
      </w:r>
      <w:r>
        <w:rPr>
          <w:rFonts w:hint="eastAsia"/>
          <w:color w:val="auto"/>
          <w:szCs w:val="21"/>
        </w:rPr>
        <w:t>，</w:t>
      </w:r>
      <w:r>
        <w:rPr>
          <w:color w:val="auto"/>
          <w:szCs w:val="21"/>
        </w:rPr>
        <w:t>本项目不允许转包。</w:t>
      </w:r>
    </w:p>
    <w:p>
      <w:pPr>
        <w:snapToGrid w:val="0"/>
        <w:spacing w:before="120" w:line="360" w:lineRule="auto"/>
        <w:ind w:firstLine="420" w:firstLineChars="200"/>
        <w:rPr>
          <w:color w:val="auto"/>
          <w:szCs w:val="21"/>
        </w:rPr>
      </w:pPr>
      <w:r>
        <w:rPr>
          <w:color w:val="auto"/>
          <w:szCs w:val="21"/>
        </w:rPr>
        <w:t>1.6.2</w:t>
      </w:r>
      <w:r>
        <w:rPr>
          <w:rFonts w:hint="eastAsia"/>
          <w:color w:val="auto"/>
          <w:szCs w:val="21"/>
        </w:rPr>
        <w:t>本项目是否允许分包详见“供应商须知前附表”，本项目不允许违法分包。供应商根据采购文件的规定和采购项目的实际情况，拟在成交后将成交项目的非主体、非关键性工作分包的，应当在响应文件中载明分包承担主体，分包承担主体应当具备相应资质条件且不得再次分包。</w:t>
      </w:r>
    </w:p>
    <w:p>
      <w:pPr>
        <w:snapToGrid w:val="0"/>
        <w:spacing w:before="120" w:line="360" w:lineRule="auto"/>
        <w:ind w:firstLine="422" w:firstLineChars="200"/>
        <w:outlineLvl w:val="2"/>
        <w:rPr>
          <w:b/>
          <w:bCs/>
          <w:color w:val="auto"/>
          <w:kern w:val="0"/>
          <w:szCs w:val="21"/>
        </w:rPr>
      </w:pPr>
      <w:bookmarkStart w:id="24" w:name="_Toc254970532"/>
      <w:bookmarkStart w:id="25" w:name="_Toc254970673"/>
      <w:r>
        <w:rPr>
          <w:b/>
          <w:bCs/>
          <w:color w:val="auto"/>
          <w:kern w:val="0"/>
          <w:szCs w:val="21"/>
        </w:rPr>
        <w:t>1.7特别说明</w:t>
      </w:r>
      <w:bookmarkEnd w:id="24"/>
      <w:bookmarkEnd w:id="25"/>
    </w:p>
    <w:p>
      <w:pPr>
        <w:snapToGrid w:val="0"/>
        <w:spacing w:line="360" w:lineRule="auto"/>
        <w:ind w:firstLine="420" w:firstLineChars="200"/>
        <w:rPr>
          <w:color w:val="auto"/>
          <w:szCs w:val="21"/>
        </w:rPr>
      </w:pPr>
      <w:r>
        <w:rPr>
          <w:color w:val="auto"/>
          <w:szCs w:val="21"/>
        </w:rPr>
        <w:t>1.7.1 供应商应保证其提供的联系方式（电话、传真、电子邮件）有效，以保证往来函件（澄清、修改等）能及时通知供应商，并能及时反馈，否则采购人</w:t>
      </w:r>
      <w:r>
        <w:rPr>
          <w:rFonts w:hint="eastAsia"/>
          <w:color w:val="auto"/>
          <w:szCs w:val="21"/>
        </w:rPr>
        <w:t>及代理机构</w:t>
      </w:r>
      <w:r>
        <w:rPr>
          <w:color w:val="auto"/>
          <w:szCs w:val="21"/>
        </w:rPr>
        <w:t>不承担由此引起的一切后果。</w:t>
      </w:r>
    </w:p>
    <w:p>
      <w:pPr>
        <w:snapToGrid w:val="0"/>
        <w:spacing w:before="120" w:line="360" w:lineRule="auto"/>
        <w:ind w:firstLine="420" w:firstLineChars="200"/>
        <w:rPr>
          <w:color w:val="auto"/>
          <w:szCs w:val="21"/>
        </w:rPr>
      </w:pPr>
      <w:r>
        <w:rPr>
          <w:color w:val="auto"/>
          <w:szCs w:val="21"/>
        </w:rPr>
        <w:t>1.7.2供应商应仔细阅读采购文件的所有内容，按照采购文件的要求提交响应文件，并对所提供的全部资料的真实性承担法律责任。</w:t>
      </w:r>
    </w:p>
    <w:p>
      <w:pPr>
        <w:snapToGrid w:val="0"/>
        <w:spacing w:before="120" w:line="360" w:lineRule="auto"/>
        <w:ind w:firstLine="420" w:firstLineChars="200"/>
        <w:rPr>
          <w:color w:val="auto"/>
          <w:szCs w:val="21"/>
        </w:rPr>
      </w:pPr>
      <w:r>
        <w:rPr>
          <w:color w:val="auto"/>
          <w:szCs w:val="21"/>
        </w:rPr>
        <w:t>1.7.3供应商在响应活动中提供任何虚假材料，</w:t>
      </w:r>
      <w:r>
        <w:rPr>
          <w:rFonts w:hint="eastAsia"/>
          <w:color w:val="auto"/>
          <w:szCs w:val="21"/>
        </w:rPr>
        <w:t>将</w:t>
      </w:r>
      <w:r>
        <w:rPr>
          <w:color w:val="auto"/>
          <w:szCs w:val="21"/>
        </w:rPr>
        <w:t xml:space="preserve">报监管部门查处； </w:t>
      </w:r>
    </w:p>
    <w:p>
      <w:pPr>
        <w:snapToGrid w:val="0"/>
        <w:spacing w:before="120" w:line="360" w:lineRule="auto"/>
        <w:ind w:left="2" w:leftChars="1" w:firstLine="422" w:firstLineChars="200"/>
        <w:outlineLvl w:val="1"/>
        <w:rPr>
          <w:b/>
          <w:bCs/>
          <w:color w:val="auto"/>
          <w:kern w:val="0"/>
          <w:szCs w:val="21"/>
        </w:rPr>
      </w:pPr>
      <w:bookmarkStart w:id="26" w:name="_Toc254970534"/>
      <w:bookmarkStart w:id="27" w:name="_Toc254970675"/>
      <w:r>
        <w:rPr>
          <w:b/>
          <w:bCs/>
          <w:color w:val="auto"/>
          <w:kern w:val="0"/>
          <w:szCs w:val="21"/>
        </w:rPr>
        <w:t>2．采购文件</w:t>
      </w:r>
      <w:bookmarkEnd w:id="26"/>
      <w:bookmarkEnd w:id="27"/>
    </w:p>
    <w:p>
      <w:pPr>
        <w:snapToGrid w:val="0"/>
        <w:spacing w:before="120" w:line="360" w:lineRule="auto"/>
        <w:ind w:firstLine="422" w:firstLineChars="200"/>
        <w:outlineLvl w:val="2"/>
        <w:rPr>
          <w:b/>
          <w:bCs/>
          <w:color w:val="auto"/>
          <w:kern w:val="0"/>
          <w:szCs w:val="21"/>
        </w:rPr>
      </w:pPr>
      <w:r>
        <w:rPr>
          <w:b/>
          <w:bCs/>
          <w:color w:val="auto"/>
          <w:kern w:val="0"/>
          <w:szCs w:val="21"/>
        </w:rPr>
        <w:t>2.1采购文件的构成</w:t>
      </w:r>
    </w:p>
    <w:p>
      <w:pPr>
        <w:snapToGrid w:val="0"/>
        <w:spacing w:before="120" w:line="360" w:lineRule="auto"/>
        <w:ind w:firstLine="420" w:firstLineChars="200"/>
        <w:rPr>
          <w:color w:val="auto"/>
          <w:szCs w:val="21"/>
        </w:rPr>
      </w:pPr>
      <w:r>
        <w:rPr>
          <w:color w:val="auto"/>
          <w:szCs w:val="21"/>
        </w:rPr>
        <w:t>第一章 磋商公告</w:t>
      </w:r>
    </w:p>
    <w:p>
      <w:pPr>
        <w:snapToGrid w:val="0"/>
        <w:spacing w:before="120" w:line="360" w:lineRule="auto"/>
        <w:ind w:firstLine="420" w:firstLineChars="200"/>
        <w:rPr>
          <w:color w:val="auto"/>
          <w:szCs w:val="21"/>
        </w:rPr>
      </w:pPr>
      <w:r>
        <w:rPr>
          <w:color w:val="auto"/>
          <w:szCs w:val="21"/>
        </w:rPr>
        <w:t>第二章 采购需求</w:t>
      </w:r>
    </w:p>
    <w:p>
      <w:pPr>
        <w:snapToGrid w:val="0"/>
        <w:spacing w:before="120" w:line="360" w:lineRule="auto"/>
        <w:ind w:firstLine="420" w:firstLineChars="200"/>
        <w:rPr>
          <w:color w:val="auto"/>
          <w:szCs w:val="21"/>
        </w:rPr>
      </w:pPr>
      <w:r>
        <w:rPr>
          <w:color w:val="auto"/>
          <w:szCs w:val="21"/>
        </w:rPr>
        <w:t>第三章 供应商须知</w:t>
      </w:r>
    </w:p>
    <w:p>
      <w:pPr>
        <w:snapToGrid w:val="0"/>
        <w:spacing w:before="120" w:line="360" w:lineRule="auto"/>
        <w:ind w:firstLine="420" w:firstLineChars="200"/>
        <w:rPr>
          <w:color w:val="auto"/>
          <w:szCs w:val="21"/>
        </w:rPr>
      </w:pPr>
      <w:r>
        <w:rPr>
          <w:color w:val="auto"/>
          <w:szCs w:val="21"/>
        </w:rPr>
        <w:t>第四章 评审方法及标准</w:t>
      </w:r>
    </w:p>
    <w:p>
      <w:pPr>
        <w:snapToGrid w:val="0"/>
        <w:spacing w:before="120" w:line="360" w:lineRule="auto"/>
        <w:ind w:firstLine="420" w:firstLineChars="200"/>
        <w:rPr>
          <w:color w:val="auto"/>
          <w:szCs w:val="21"/>
        </w:rPr>
      </w:pPr>
      <w:r>
        <w:rPr>
          <w:color w:val="auto"/>
          <w:szCs w:val="21"/>
        </w:rPr>
        <w:t>第五章 合同主要条款格式</w:t>
      </w:r>
    </w:p>
    <w:p>
      <w:pPr>
        <w:snapToGrid w:val="0"/>
        <w:spacing w:before="120" w:line="360" w:lineRule="auto"/>
        <w:ind w:firstLine="420" w:firstLineChars="200"/>
        <w:rPr>
          <w:color w:val="auto"/>
          <w:szCs w:val="21"/>
        </w:rPr>
      </w:pPr>
      <w:r>
        <w:rPr>
          <w:color w:val="auto"/>
          <w:szCs w:val="21"/>
        </w:rPr>
        <w:t>第六章 响应文件格式</w:t>
      </w:r>
    </w:p>
    <w:p>
      <w:pPr>
        <w:snapToGrid w:val="0"/>
        <w:spacing w:before="120" w:line="360" w:lineRule="auto"/>
        <w:ind w:firstLine="422" w:firstLineChars="200"/>
        <w:outlineLvl w:val="2"/>
        <w:rPr>
          <w:b/>
          <w:bCs/>
          <w:color w:val="auto"/>
          <w:kern w:val="0"/>
          <w:szCs w:val="21"/>
        </w:rPr>
      </w:pPr>
      <w:r>
        <w:rPr>
          <w:b/>
          <w:bCs/>
          <w:color w:val="auto"/>
          <w:kern w:val="0"/>
          <w:szCs w:val="21"/>
        </w:rPr>
        <w:t>2.2供应商的风险</w:t>
      </w:r>
    </w:p>
    <w:p>
      <w:pPr>
        <w:snapToGrid w:val="0"/>
        <w:spacing w:before="120" w:line="360" w:lineRule="auto"/>
        <w:ind w:firstLine="420" w:firstLineChars="200"/>
        <w:rPr>
          <w:color w:val="auto"/>
          <w:szCs w:val="21"/>
        </w:rPr>
      </w:pPr>
      <w:r>
        <w:rPr>
          <w:color w:val="auto"/>
          <w:szCs w:val="21"/>
        </w:rPr>
        <w:t>供应商没有按照采购文件要求提供全部资料，或者供应商没有对采购文件在各方面作出实质性响应是供应商的风险，并可能导致其响应被否决。</w:t>
      </w:r>
    </w:p>
    <w:p>
      <w:pPr>
        <w:snapToGrid w:val="0"/>
        <w:spacing w:before="120" w:line="360" w:lineRule="auto"/>
        <w:ind w:firstLine="422" w:firstLineChars="200"/>
        <w:outlineLvl w:val="2"/>
        <w:rPr>
          <w:b/>
          <w:color w:val="auto"/>
          <w:szCs w:val="21"/>
        </w:rPr>
      </w:pPr>
      <w:r>
        <w:rPr>
          <w:b/>
          <w:bCs/>
          <w:color w:val="auto"/>
          <w:kern w:val="0"/>
          <w:szCs w:val="21"/>
        </w:rPr>
        <w:t>2.3采购文件的澄清与修改</w:t>
      </w:r>
    </w:p>
    <w:p>
      <w:pPr>
        <w:snapToGrid w:val="0"/>
        <w:spacing w:before="120" w:line="360" w:lineRule="auto"/>
        <w:ind w:firstLine="420" w:firstLineChars="200"/>
        <w:rPr>
          <w:color w:val="auto"/>
          <w:szCs w:val="21"/>
        </w:rPr>
      </w:pPr>
      <w:r>
        <w:rPr>
          <w:color w:val="auto"/>
          <w:szCs w:val="21"/>
        </w:rPr>
        <w:t>2.3.1</w:t>
      </w:r>
      <w:r>
        <w:rPr>
          <w:rFonts w:hint="eastAsia"/>
          <w:color w:val="auto"/>
          <w:szCs w:val="21"/>
        </w:rPr>
        <w:t>任何已获得采购文件的潜在供应商，均可</w:t>
      </w:r>
      <w:r>
        <w:rPr>
          <w:color w:val="auto"/>
          <w:szCs w:val="21"/>
        </w:rPr>
        <w:t>以书面形式要求采购代理机构作出书面解释、澄清</w:t>
      </w:r>
      <w:r>
        <w:rPr>
          <w:rFonts w:hint="eastAsia"/>
          <w:color w:val="auto"/>
          <w:szCs w:val="21"/>
        </w:rPr>
        <w:t>。</w:t>
      </w:r>
    </w:p>
    <w:p>
      <w:pPr>
        <w:snapToGrid w:val="0"/>
        <w:spacing w:before="120" w:line="360" w:lineRule="auto"/>
        <w:ind w:firstLine="420" w:firstLineChars="200"/>
        <w:rPr>
          <w:color w:val="auto"/>
          <w:szCs w:val="21"/>
        </w:rPr>
      </w:pPr>
      <w:r>
        <w:rPr>
          <w:color w:val="auto"/>
          <w:szCs w:val="21"/>
        </w:rPr>
        <w:t>2.3.2</w:t>
      </w:r>
      <w:r>
        <w:rPr>
          <w:rFonts w:hint="eastAsia"/>
          <w:color w:val="auto"/>
          <w:szCs w:val="21"/>
        </w:rPr>
        <w:t>采购人、采购代理机构对已发出的采购文件进行必要澄清或者修改的，按供应商须知前附表规定发布。</w:t>
      </w:r>
    </w:p>
    <w:p>
      <w:pPr>
        <w:snapToGrid w:val="0"/>
        <w:spacing w:before="120" w:line="360" w:lineRule="auto"/>
        <w:ind w:firstLine="420" w:firstLineChars="200"/>
        <w:rPr>
          <w:color w:val="auto"/>
          <w:szCs w:val="21"/>
        </w:rPr>
      </w:pPr>
      <w:r>
        <w:rPr>
          <w:color w:val="auto"/>
          <w:szCs w:val="21"/>
        </w:rPr>
        <w:t>2.3.3采购文件澄清、答复、修改、补充的内容为采购文件的组成部分。当采购文件与采购文件的答复、澄清、修改、补充通知就同一内容的表述不一致时，以最后发出的公告或书面文件为准。</w:t>
      </w:r>
    </w:p>
    <w:p>
      <w:pPr>
        <w:snapToGrid w:val="0"/>
        <w:spacing w:before="120" w:line="360" w:lineRule="auto"/>
        <w:ind w:left="2" w:leftChars="1" w:firstLine="422" w:firstLineChars="200"/>
        <w:outlineLvl w:val="1"/>
        <w:rPr>
          <w:b/>
          <w:bCs/>
          <w:color w:val="auto"/>
          <w:kern w:val="0"/>
          <w:szCs w:val="21"/>
        </w:rPr>
      </w:pPr>
      <w:bookmarkStart w:id="28" w:name="_Toc254970535"/>
      <w:bookmarkStart w:id="29" w:name="_Toc254970676"/>
      <w:r>
        <w:rPr>
          <w:b/>
          <w:bCs/>
          <w:color w:val="auto"/>
          <w:kern w:val="0"/>
          <w:szCs w:val="21"/>
        </w:rPr>
        <w:t>3．响应文件</w:t>
      </w:r>
      <w:bookmarkEnd w:id="28"/>
      <w:bookmarkEnd w:id="29"/>
    </w:p>
    <w:p>
      <w:pPr>
        <w:snapToGrid w:val="0"/>
        <w:spacing w:before="120" w:line="360" w:lineRule="auto"/>
        <w:ind w:firstLine="422" w:firstLineChars="200"/>
        <w:outlineLvl w:val="2"/>
        <w:rPr>
          <w:b/>
          <w:bCs/>
          <w:color w:val="auto"/>
          <w:kern w:val="0"/>
          <w:szCs w:val="21"/>
        </w:rPr>
      </w:pPr>
      <w:bookmarkStart w:id="30" w:name="_Toc254970677"/>
      <w:bookmarkStart w:id="31" w:name="_Toc254970536"/>
      <w:r>
        <w:rPr>
          <w:b/>
          <w:bCs/>
          <w:color w:val="auto"/>
          <w:kern w:val="0"/>
          <w:szCs w:val="21"/>
        </w:rPr>
        <w:t>3.1响应文件的组成</w:t>
      </w:r>
      <w:bookmarkEnd w:id="30"/>
      <w:bookmarkEnd w:id="31"/>
    </w:p>
    <w:p>
      <w:pPr>
        <w:snapToGrid w:val="0"/>
        <w:spacing w:before="120" w:line="360" w:lineRule="auto"/>
        <w:ind w:firstLine="420" w:firstLineChars="200"/>
        <w:rPr>
          <w:color w:val="auto"/>
          <w:szCs w:val="21"/>
        </w:rPr>
      </w:pPr>
      <w:r>
        <w:rPr>
          <w:color w:val="auto"/>
          <w:szCs w:val="21"/>
        </w:rPr>
        <w:t>响应文件由第六章“响应文件格式”规定的</w:t>
      </w:r>
      <w:r>
        <w:rPr>
          <w:rFonts w:hint="eastAsia"/>
          <w:color w:val="auto"/>
          <w:szCs w:val="21"/>
        </w:rPr>
        <w:t>内容</w:t>
      </w:r>
      <w:r>
        <w:rPr>
          <w:color w:val="auto"/>
          <w:szCs w:val="21"/>
        </w:rPr>
        <w:t>和供应商所作的一切有效补充、修改和承诺等文件组成</w:t>
      </w:r>
      <w:r>
        <w:rPr>
          <w:rFonts w:hint="eastAsia"/>
          <w:color w:val="auto"/>
          <w:szCs w:val="21"/>
        </w:rPr>
        <w:t>。</w:t>
      </w:r>
    </w:p>
    <w:p>
      <w:pPr>
        <w:snapToGrid w:val="0"/>
        <w:spacing w:before="120" w:line="360" w:lineRule="auto"/>
        <w:ind w:firstLine="422" w:firstLineChars="200"/>
        <w:outlineLvl w:val="2"/>
        <w:rPr>
          <w:b/>
          <w:bCs/>
          <w:color w:val="auto"/>
          <w:kern w:val="0"/>
          <w:szCs w:val="21"/>
        </w:rPr>
      </w:pPr>
      <w:bookmarkStart w:id="32" w:name="_Toc254970537"/>
      <w:bookmarkStart w:id="33" w:name="_Toc254970678"/>
      <w:r>
        <w:rPr>
          <w:b/>
          <w:color w:val="auto"/>
          <w:szCs w:val="21"/>
        </w:rPr>
        <w:t>3.2</w:t>
      </w:r>
      <w:r>
        <w:rPr>
          <w:b/>
          <w:bCs/>
          <w:color w:val="auto"/>
          <w:kern w:val="0"/>
          <w:szCs w:val="21"/>
        </w:rPr>
        <w:t>响应文件的语言及计量</w:t>
      </w:r>
      <w:bookmarkEnd w:id="32"/>
      <w:bookmarkEnd w:id="33"/>
    </w:p>
    <w:p>
      <w:pPr>
        <w:snapToGrid w:val="0"/>
        <w:spacing w:before="120" w:line="360" w:lineRule="auto"/>
        <w:ind w:firstLine="420" w:firstLineChars="200"/>
        <w:rPr>
          <w:color w:val="auto"/>
          <w:szCs w:val="21"/>
        </w:rPr>
      </w:pPr>
      <w:r>
        <w:rPr>
          <w:color w:val="auto"/>
          <w:szCs w:val="21"/>
        </w:rPr>
        <w:t>3.2.1</w:t>
      </w:r>
      <w:r>
        <w:rPr>
          <w:rFonts w:hint="eastAsia"/>
          <w:color w:val="auto"/>
          <w:szCs w:val="21"/>
        </w:rPr>
        <w:t>响应文件以及供应商与采购人就有关响应事宜的所有来往函电，均应以中文书写（除专用术语外，与招标响应有关的语言均使用中文。必要时专用术语应附有中文注释）。供应商提交的支持文件和印刷的文献可以使用别的语言，但其相应内容应同时附中文翻译文本，在解释响应文件时以中文翻译文本为主。对不同文字文本响应文件的解释发生异议的，以中文文本为准。</w:t>
      </w:r>
    </w:p>
    <w:p>
      <w:pPr>
        <w:snapToGrid w:val="0"/>
        <w:spacing w:before="120" w:line="360" w:lineRule="auto"/>
        <w:ind w:firstLine="420" w:firstLineChars="200"/>
        <w:rPr>
          <w:color w:val="auto"/>
          <w:szCs w:val="21"/>
        </w:rPr>
      </w:pPr>
      <w:r>
        <w:rPr>
          <w:color w:val="auto"/>
          <w:szCs w:val="21"/>
        </w:rPr>
        <w:t>3.2.2计量单位采购文件已有明确规定的，响应使用采购文件规定的计量单位；采购文件没有规定的，应采用中华人民共和国法定计量单位。</w:t>
      </w:r>
    </w:p>
    <w:p>
      <w:pPr>
        <w:snapToGrid w:val="0"/>
        <w:spacing w:before="120" w:line="360" w:lineRule="auto"/>
        <w:ind w:firstLine="422" w:firstLineChars="200"/>
        <w:outlineLvl w:val="2"/>
        <w:rPr>
          <w:b/>
          <w:bCs/>
          <w:color w:val="auto"/>
          <w:kern w:val="0"/>
          <w:szCs w:val="21"/>
        </w:rPr>
      </w:pPr>
      <w:bookmarkStart w:id="34" w:name="_Toc254970679"/>
      <w:bookmarkStart w:id="35" w:name="_Toc254970538"/>
      <w:r>
        <w:rPr>
          <w:b/>
          <w:bCs/>
          <w:color w:val="auto"/>
          <w:kern w:val="0"/>
          <w:szCs w:val="21"/>
        </w:rPr>
        <w:t>3.3响应报价</w:t>
      </w:r>
      <w:bookmarkEnd w:id="34"/>
      <w:bookmarkEnd w:id="35"/>
    </w:p>
    <w:p>
      <w:pPr>
        <w:snapToGrid w:val="0"/>
        <w:spacing w:before="120" w:line="360" w:lineRule="auto"/>
        <w:ind w:firstLine="420" w:firstLineChars="200"/>
        <w:rPr>
          <w:color w:val="auto"/>
          <w:szCs w:val="21"/>
        </w:rPr>
      </w:pPr>
      <w:r>
        <w:rPr>
          <w:color w:val="auto"/>
          <w:szCs w:val="21"/>
        </w:rPr>
        <w:t>3.3.1响应报价应按采购文件中相关附表格式填写。</w:t>
      </w:r>
    </w:p>
    <w:p>
      <w:pPr>
        <w:snapToGrid w:val="0"/>
        <w:spacing w:before="120" w:line="360" w:lineRule="auto"/>
        <w:ind w:firstLine="420" w:firstLineChars="200"/>
        <w:rPr>
          <w:color w:val="auto"/>
          <w:szCs w:val="21"/>
        </w:rPr>
      </w:pPr>
      <w:r>
        <w:rPr>
          <w:color w:val="auto"/>
          <w:szCs w:val="21"/>
        </w:rPr>
        <w:t>3.3.2响应文件只允许有一个报价，有选择的或有条件的报价将不予接受。</w:t>
      </w:r>
    </w:p>
    <w:p>
      <w:pPr>
        <w:suppressAutoHyphens/>
        <w:snapToGrid w:val="0"/>
        <w:spacing w:before="120" w:line="360" w:lineRule="auto"/>
        <w:ind w:firstLine="420" w:firstLineChars="200"/>
        <w:rPr>
          <w:color w:val="auto"/>
          <w:kern w:val="1"/>
          <w:szCs w:val="21"/>
        </w:rPr>
      </w:pPr>
      <w:r>
        <w:rPr>
          <w:color w:val="auto"/>
          <w:kern w:val="1"/>
          <w:szCs w:val="21"/>
        </w:rPr>
        <w:t>3.3.3对于本文件中未列明，而供应商认为必需的费用也需列入</w:t>
      </w:r>
      <w:r>
        <w:rPr>
          <w:rFonts w:hint="eastAsia"/>
          <w:color w:val="auto"/>
          <w:kern w:val="1"/>
          <w:szCs w:val="21"/>
        </w:rPr>
        <w:t>响应报价</w:t>
      </w:r>
      <w:r>
        <w:rPr>
          <w:color w:val="auto"/>
          <w:kern w:val="1"/>
          <w:szCs w:val="21"/>
        </w:rPr>
        <w:t>。在合同实施时，采购人将不予支付成交供应商没有列入的项目费用，并认为此项目的费用已包括在</w:t>
      </w:r>
      <w:r>
        <w:rPr>
          <w:rFonts w:hint="eastAsia"/>
          <w:color w:val="auto"/>
          <w:kern w:val="1"/>
          <w:szCs w:val="21"/>
        </w:rPr>
        <w:t>响应报价</w:t>
      </w:r>
      <w:r>
        <w:rPr>
          <w:color w:val="auto"/>
          <w:kern w:val="1"/>
          <w:szCs w:val="21"/>
        </w:rPr>
        <w:t>中。</w:t>
      </w:r>
    </w:p>
    <w:p>
      <w:pPr>
        <w:suppressAutoHyphens/>
        <w:snapToGrid w:val="0"/>
        <w:spacing w:before="120" w:line="360" w:lineRule="auto"/>
        <w:ind w:firstLine="420" w:firstLineChars="200"/>
        <w:rPr>
          <w:b/>
          <w:bCs/>
          <w:color w:val="auto"/>
          <w:kern w:val="1"/>
          <w:szCs w:val="21"/>
        </w:rPr>
      </w:pPr>
      <w:r>
        <w:rPr>
          <w:rFonts w:hint="eastAsia"/>
          <w:color w:val="auto"/>
          <w:kern w:val="1"/>
          <w:szCs w:val="21"/>
        </w:rPr>
        <w:t>3</w:t>
      </w:r>
      <w:r>
        <w:rPr>
          <w:color w:val="auto"/>
          <w:kern w:val="1"/>
          <w:szCs w:val="21"/>
        </w:rPr>
        <w:t>.3.4</w:t>
      </w:r>
      <w:r>
        <w:rPr>
          <w:rFonts w:hint="eastAsia"/>
          <w:color w:val="auto"/>
          <w:kern w:val="1"/>
          <w:szCs w:val="21"/>
        </w:rPr>
        <w:t>采购人不接受供应商给予的赠品、回扣或者与采购无关的其他商品、服务。</w:t>
      </w:r>
    </w:p>
    <w:p>
      <w:pPr>
        <w:snapToGrid w:val="0"/>
        <w:spacing w:before="120" w:line="360" w:lineRule="auto"/>
        <w:ind w:firstLine="422" w:firstLineChars="200"/>
        <w:outlineLvl w:val="2"/>
        <w:rPr>
          <w:b/>
          <w:bCs/>
          <w:color w:val="auto"/>
          <w:kern w:val="0"/>
          <w:szCs w:val="21"/>
        </w:rPr>
      </w:pPr>
      <w:r>
        <w:rPr>
          <w:b/>
          <w:bCs/>
          <w:color w:val="auto"/>
          <w:kern w:val="0"/>
          <w:szCs w:val="21"/>
        </w:rPr>
        <w:t>3.4响应有效期</w:t>
      </w:r>
    </w:p>
    <w:p>
      <w:pPr>
        <w:snapToGrid w:val="0"/>
        <w:spacing w:before="120" w:line="360" w:lineRule="auto"/>
        <w:ind w:firstLine="420" w:firstLineChars="200"/>
        <w:rPr>
          <w:color w:val="auto"/>
          <w:szCs w:val="21"/>
        </w:rPr>
      </w:pPr>
      <w:r>
        <w:rPr>
          <w:color w:val="auto"/>
          <w:szCs w:val="21"/>
        </w:rPr>
        <w:t>3.4.1如采购文件其他地方无特别规定</w:t>
      </w:r>
      <w:r>
        <w:rPr>
          <w:rFonts w:hint="eastAsia"/>
          <w:color w:val="auto"/>
          <w:szCs w:val="21"/>
        </w:rPr>
        <w:t>，</w:t>
      </w:r>
      <w:r>
        <w:rPr>
          <w:color w:val="auto"/>
          <w:szCs w:val="21"/>
        </w:rPr>
        <w:t>响应有效期则为响应截止之日起90天</w:t>
      </w:r>
      <w:r>
        <w:rPr>
          <w:rFonts w:hint="eastAsia"/>
          <w:color w:val="auto"/>
          <w:szCs w:val="21"/>
        </w:rPr>
        <w:t>。</w:t>
      </w:r>
      <w:r>
        <w:rPr>
          <w:color w:val="auto"/>
          <w:szCs w:val="21"/>
        </w:rPr>
        <w:t>在响应有效期内响应文件应保持有效。</w:t>
      </w:r>
      <w:r>
        <w:rPr>
          <w:b/>
          <w:bCs/>
          <w:color w:val="auto"/>
          <w:szCs w:val="21"/>
        </w:rPr>
        <w:t>有效期不足的响应文件将被否决</w:t>
      </w:r>
      <w:r>
        <w:rPr>
          <w:color w:val="auto"/>
          <w:szCs w:val="21"/>
        </w:rPr>
        <w:t>。</w:t>
      </w:r>
    </w:p>
    <w:p>
      <w:pPr>
        <w:snapToGrid w:val="0"/>
        <w:spacing w:before="120" w:line="360" w:lineRule="auto"/>
        <w:ind w:firstLine="420" w:firstLineChars="200"/>
        <w:rPr>
          <w:color w:val="auto"/>
          <w:szCs w:val="21"/>
        </w:rPr>
      </w:pPr>
      <w:r>
        <w:rPr>
          <w:color w:val="auto"/>
          <w:szCs w:val="21"/>
        </w:rPr>
        <w:t>3.4.2在特殊情况下，采购人可与供应商协商延长响应文件的有效期，这种要求和答复均以书面形式进行。</w:t>
      </w:r>
    </w:p>
    <w:p>
      <w:pPr>
        <w:snapToGrid w:val="0"/>
        <w:spacing w:before="120" w:line="360" w:lineRule="auto"/>
        <w:ind w:firstLine="420" w:firstLineChars="200"/>
        <w:rPr>
          <w:color w:val="auto"/>
          <w:szCs w:val="21"/>
        </w:rPr>
      </w:pPr>
      <w:r>
        <w:rPr>
          <w:color w:val="auto"/>
          <w:szCs w:val="21"/>
        </w:rPr>
        <w:t>3.4.3</w:t>
      </w:r>
      <w:r>
        <w:rPr>
          <w:rFonts w:hint="eastAsia"/>
          <w:color w:val="auto"/>
          <w:szCs w:val="21"/>
        </w:rPr>
        <w:t>供应商同意延长的响应有效期的，如本项目要求提交保证金则应相应延长其磋商保证金的有效期，但不得要求或被允许修改或撤销其响应文件；供应商拒绝延长的，其响应无效，但供应商有权收回其磋商保证金。</w:t>
      </w:r>
    </w:p>
    <w:p>
      <w:pPr>
        <w:snapToGrid w:val="0"/>
        <w:spacing w:before="120" w:line="360" w:lineRule="auto"/>
        <w:ind w:firstLine="422" w:firstLineChars="200"/>
        <w:outlineLvl w:val="2"/>
        <w:rPr>
          <w:b/>
          <w:bCs/>
          <w:color w:val="auto"/>
          <w:kern w:val="0"/>
          <w:szCs w:val="21"/>
        </w:rPr>
      </w:pPr>
      <w:bookmarkStart w:id="36" w:name="_Toc254970541"/>
      <w:bookmarkStart w:id="37" w:name="_Toc254970682"/>
      <w:r>
        <w:rPr>
          <w:b/>
          <w:bCs/>
          <w:color w:val="auto"/>
          <w:kern w:val="0"/>
          <w:szCs w:val="21"/>
        </w:rPr>
        <w:t>3.5磋商保证金</w:t>
      </w:r>
      <w:bookmarkEnd w:id="36"/>
      <w:bookmarkEnd w:id="37"/>
    </w:p>
    <w:p>
      <w:pPr>
        <w:snapToGrid w:val="0"/>
        <w:spacing w:before="120" w:line="360" w:lineRule="auto"/>
        <w:ind w:firstLine="420" w:firstLineChars="200"/>
        <w:rPr>
          <w:color w:val="auto"/>
          <w:szCs w:val="21"/>
        </w:rPr>
      </w:pPr>
      <w:r>
        <w:rPr>
          <w:color w:val="auto"/>
          <w:szCs w:val="21"/>
        </w:rPr>
        <w:t>3.5.1供应商须按须知前附表规定提交磋商保证金，</w:t>
      </w:r>
      <w:r>
        <w:rPr>
          <w:b/>
          <w:bCs/>
          <w:color w:val="auto"/>
          <w:szCs w:val="21"/>
        </w:rPr>
        <w:t>否则其响应将被否决</w:t>
      </w:r>
      <w:r>
        <w:rPr>
          <w:color w:val="auto"/>
          <w:szCs w:val="21"/>
        </w:rPr>
        <w:t>。除采购文件规定不予退还保证金的情形外，代理机构在规定时间内退回供应商的磋商保证金（供应商自行承担因未按供应商须知前附表要求交纳导致磋商保证金无法及时退还的责任）。</w:t>
      </w:r>
    </w:p>
    <w:p>
      <w:pPr>
        <w:snapToGrid w:val="0"/>
        <w:spacing w:before="120" w:line="360" w:lineRule="auto"/>
        <w:ind w:firstLine="420" w:firstLineChars="200"/>
        <w:rPr>
          <w:color w:val="auto"/>
          <w:szCs w:val="21"/>
        </w:rPr>
      </w:pPr>
      <w:r>
        <w:rPr>
          <w:color w:val="auto"/>
          <w:szCs w:val="21"/>
        </w:rPr>
        <w:t>3.5.2磋商保证金币种应与响应报价币种相同。</w:t>
      </w:r>
    </w:p>
    <w:p>
      <w:pPr>
        <w:snapToGrid w:val="0"/>
        <w:spacing w:before="120" w:line="360" w:lineRule="auto"/>
        <w:ind w:firstLine="420" w:firstLineChars="200"/>
        <w:rPr>
          <w:color w:val="auto"/>
          <w:szCs w:val="21"/>
        </w:rPr>
      </w:pPr>
      <w:r>
        <w:rPr>
          <w:color w:val="auto"/>
          <w:szCs w:val="21"/>
        </w:rPr>
        <w:t>3.5.3未成交供应商的磋商保证金在成交通知书发出后5个工作日内退还。成交供应商的磋商保证金在合同签订后5个工作日内退还（办理退还手续时需要向采购代理机构提供两份合同复印件）。</w:t>
      </w:r>
    </w:p>
    <w:p>
      <w:pPr>
        <w:snapToGrid w:val="0"/>
        <w:spacing w:before="120" w:line="360" w:lineRule="auto"/>
        <w:ind w:firstLine="420" w:firstLineChars="200"/>
        <w:rPr>
          <w:color w:val="auto"/>
          <w:szCs w:val="21"/>
        </w:rPr>
      </w:pPr>
      <w:r>
        <w:rPr>
          <w:color w:val="auto"/>
          <w:szCs w:val="21"/>
        </w:rPr>
        <w:t>3.5.4供应商有下列情形之一的，磋商保证金将不予退还：</w:t>
      </w:r>
    </w:p>
    <w:p>
      <w:pPr>
        <w:numPr>
          <w:ilvl w:val="0"/>
          <w:numId w:val="4"/>
        </w:numPr>
        <w:snapToGrid w:val="0"/>
        <w:spacing w:before="120" w:line="360" w:lineRule="auto"/>
        <w:rPr>
          <w:color w:val="auto"/>
          <w:szCs w:val="21"/>
        </w:rPr>
      </w:pPr>
      <w:r>
        <w:rPr>
          <w:color w:val="auto"/>
          <w:szCs w:val="21"/>
        </w:rPr>
        <w:t>供应商在响应有效期内撤销响应文件的；</w:t>
      </w:r>
    </w:p>
    <w:p>
      <w:pPr>
        <w:numPr>
          <w:ilvl w:val="0"/>
          <w:numId w:val="4"/>
        </w:numPr>
        <w:snapToGrid w:val="0"/>
        <w:spacing w:before="120" w:line="360" w:lineRule="auto"/>
        <w:rPr>
          <w:color w:val="auto"/>
          <w:szCs w:val="21"/>
        </w:rPr>
      </w:pPr>
      <w:r>
        <w:rPr>
          <w:color w:val="auto"/>
          <w:szCs w:val="21"/>
        </w:rPr>
        <w:t>供应商在响应过程中弄虚作假，提供虚假材料的；</w:t>
      </w:r>
    </w:p>
    <w:p>
      <w:pPr>
        <w:numPr>
          <w:ilvl w:val="0"/>
          <w:numId w:val="4"/>
        </w:numPr>
        <w:snapToGrid w:val="0"/>
        <w:spacing w:before="120" w:line="360" w:lineRule="auto"/>
        <w:rPr>
          <w:color w:val="auto"/>
          <w:szCs w:val="21"/>
        </w:rPr>
      </w:pPr>
      <w:r>
        <w:rPr>
          <w:color w:val="auto"/>
          <w:szCs w:val="21"/>
        </w:rPr>
        <w:t>成交供应商无正当理由不与采购人签订合同的；</w:t>
      </w:r>
    </w:p>
    <w:p>
      <w:pPr>
        <w:numPr>
          <w:ilvl w:val="0"/>
          <w:numId w:val="4"/>
        </w:numPr>
        <w:snapToGrid w:val="0"/>
        <w:spacing w:before="120" w:line="360" w:lineRule="auto"/>
        <w:rPr>
          <w:color w:val="auto"/>
          <w:szCs w:val="21"/>
        </w:rPr>
      </w:pPr>
      <w:r>
        <w:rPr>
          <w:color w:val="auto"/>
          <w:szCs w:val="21"/>
        </w:rPr>
        <w:t>将成交项目转让给他人或者在响应文件中未说明且未经采购人同意，将成交项目分包给他人的；</w:t>
      </w:r>
    </w:p>
    <w:p>
      <w:pPr>
        <w:numPr>
          <w:ilvl w:val="0"/>
          <w:numId w:val="4"/>
        </w:numPr>
        <w:snapToGrid w:val="0"/>
        <w:spacing w:before="120" w:line="360" w:lineRule="auto"/>
        <w:rPr>
          <w:color w:val="auto"/>
          <w:szCs w:val="21"/>
        </w:rPr>
      </w:pPr>
      <w:r>
        <w:rPr>
          <w:color w:val="auto"/>
          <w:szCs w:val="21"/>
        </w:rPr>
        <w:t>拒绝履行合同义务的；</w:t>
      </w:r>
    </w:p>
    <w:p>
      <w:pPr>
        <w:numPr>
          <w:ilvl w:val="0"/>
          <w:numId w:val="4"/>
        </w:numPr>
        <w:snapToGrid w:val="0"/>
        <w:spacing w:before="120" w:line="360" w:lineRule="auto"/>
        <w:rPr>
          <w:color w:val="auto"/>
          <w:szCs w:val="21"/>
        </w:rPr>
      </w:pPr>
      <w:r>
        <w:rPr>
          <w:color w:val="auto"/>
          <w:szCs w:val="21"/>
        </w:rPr>
        <w:t>其他严重扰乱招</w:t>
      </w:r>
      <w:r>
        <w:rPr>
          <w:rFonts w:hint="eastAsia"/>
          <w:color w:val="auto"/>
          <w:szCs w:val="21"/>
        </w:rPr>
        <w:t>投标</w:t>
      </w:r>
      <w:r>
        <w:rPr>
          <w:color w:val="auto"/>
          <w:szCs w:val="21"/>
        </w:rPr>
        <w:t>程序的</w:t>
      </w:r>
      <w:r>
        <w:rPr>
          <w:rFonts w:hint="eastAsia"/>
          <w:color w:val="auto"/>
          <w:szCs w:val="21"/>
        </w:rPr>
        <w:t>。</w:t>
      </w:r>
    </w:p>
    <w:p>
      <w:pPr>
        <w:snapToGrid w:val="0"/>
        <w:spacing w:before="120" w:line="360" w:lineRule="auto"/>
        <w:ind w:firstLine="422" w:firstLineChars="200"/>
        <w:outlineLvl w:val="2"/>
        <w:rPr>
          <w:b/>
          <w:bCs/>
          <w:color w:val="auto"/>
          <w:kern w:val="0"/>
          <w:szCs w:val="21"/>
        </w:rPr>
      </w:pPr>
      <w:bookmarkStart w:id="38" w:name="_Toc254970683"/>
      <w:bookmarkStart w:id="39" w:name="_Toc254970542"/>
      <w:r>
        <w:rPr>
          <w:b/>
          <w:bCs/>
          <w:color w:val="auto"/>
          <w:kern w:val="0"/>
          <w:szCs w:val="21"/>
        </w:rPr>
        <w:t>3.6响应文件的</w:t>
      </w:r>
      <w:bookmarkEnd w:id="38"/>
      <w:bookmarkEnd w:id="39"/>
      <w:r>
        <w:rPr>
          <w:b/>
          <w:bCs/>
          <w:color w:val="auto"/>
          <w:kern w:val="0"/>
          <w:szCs w:val="21"/>
        </w:rPr>
        <w:t>编制要求</w:t>
      </w:r>
    </w:p>
    <w:p>
      <w:pPr>
        <w:snapToGrid w:val="0"/>
        <w:spacing w:before="120" w:line="360" w:lineRule="auto"/>
        <w:ind w:firstLine="420" w:firstLineChars="200"/>
        <w:rPr>
          <w:b/>
          <w:bCs/>
          <w:color w:val="auto"/>
          <w:kern w:val="0"/>
          <w:szCs w:val="21"/>
        </w:rPr>
      </w:pPr>
      <w:r>
        <w:rPr>
          <w:rFonts w:hint="eastAsia"/>
          <w:color w:val="auto"/>
          <w:kern w:val="0"/>
          <w:szCs w:val="21"/>
        </w:rPr>
        <w:t>3</w:t>
      </w:r>
      <w:r>
        <w:rPr>
          <w:color w:val="auto"/>
          <w:kern w:val="0"/>
          <w:szCs w:val="21"/>
        </w:rPr>
        <w:t>.6.1</w:t>
      </w:r>
      <w:r>
        <w:rPr>
          <w:rFonts w:hint="eastAsia"/>
          <w:color w:val="auto"/>
          <w:szCs w:val="21"/>
        </w:rPr>
        <w:t>供应商应先安装“政采云投标客户端” （请自行前往“政采云”平台进行下载），通过账号密码或C</w:t>
      </w:r>
      <w:r>
        <w:rPr>
          <w:color w:val="auto"/>
          <w:szCs w:val="21"/>
        </w:rPr>
        <w:t>A</w:t>
      </w:r>
      <w:r>
        <w:rPr>
          <w:rFonts w:hint="eastAsia"/>
          <w:color w:val="auto"/>
          <w:szCs w:val="21"/>
        </w:rPr>
        <w:t>登录客户端制作响应文件。</w:t>
      </w:r>
    </w:p>
    <w:p>
      <w:pPr>
        <w:snapToGrid w:val="0"/>
        <w:spacing w:before="120" w:line="360" w:lineRule="auto"/>
        <w:ind w:firstLine="420" w:firstLineChars="200"/>
        <w:rPr>
          <w:color w:val="auto"/>
          <w:szCs w:val="21"/>
        </w:rPr>
      </w:pPr>
      <w:r>
        <w:rPr>
          <w:color w:val="auto"/>
          <w:szCs w:val="21"/>
        </w:rPr>
        <w:t>3.6.2供应商应按本采购文件规定的格式和顺序编制、装订响应文件并编制完整的页码、目录，响应文件内容不完整、编排混乱导致响应文件被误读、漏读或者查找不到相关内容</w:t>
      </w:r>
      <w:r>
        <w:rPr>
          <w:rFonts w:hint="eastAsia"/>
          <w:color w:val="auto"/>
          <w:szCs w:val="21"/>
        </w:rPr>
        <w:t>的，</w:t>
      </w:r>
      <w:r>
        <w:rPr>
          <w:color w:val="auto"/>
          <w:szCs w:val="21"/>
        </w:rPr>
        <w:t>由供应商自行负责。</w:t>
      </w:r>
    </w:p>
    <w:p>
      <w:pPr>
        <w:snapToGrid w:val="0"/>
        <w:spacing w:before="120" w:line="360" w:lineRule="auto"/>
        <w:ind w:firstLine="420" w:firstLineChars="200"/>
        <w:rPr>
          <w:color w:val="auto"/>
          <w:szCs w:val="21"/>
        </w:rPr>
      </w:pPr>
      <w:bookmarkStart w:id="40" w:name="_Hlk93046800"/>
      <w:r>
        <w:rPr>
          <w:color w:val="auto"/>
          <w:szCs w:val="21"/>
        </w:rPr>
        <w:t>3.6.3</w:t>
      </w:r>
      <w:r>
        <w:rPr>
          <w:rFonts w:hint="eastAsia"/>
          <w:color w:val="auto"/>
          <w:szCs w:val="21"/>
        </w:rPr>
        <w:t>响应文件按照采购文件第六章格式要求在规定位置进行签署、盖章。供应商的响应文件未按照采购文件要求签署、盖章的，</w:t>
      </w:r>
      <w:r>
        <w:rPr>
          <w:rFonts w:hint="eastAsia"/>
          <w:b/>
          <w:bCs/>
          <w:color w:val="auto"/>
          <w:szCs w:val="21"/>
        </w:rPr>
        <w:t>其响应无效</w:t>
      </w:r>
      <w:r>
        <w:rPr>
          <w:rFonts w:hint="eastAsia"/>
          <w:color w:val="auto"/>
          <w:szCs w:val="21"/>
        </w:rPr>
        <w:t>。骑缝盖公章不视为在规定位置盖章。</w:t>
      </w:r>
      <w:bookmarkEnd w:id="40"/>
    </w:p>
    <w:p>
      <w:pPr>
        <w:snapToGrid w:val="0"/>
        <w:spacing w:line="360" w:lineRule="auto"/>
        <w:ind w:firstLine="420" w:firstLineChars="200"/>
        <w:jc w:val="left"/>
        <w:rPr>
          <w:color w:val="auto"/>
          <w:szCs w:val="21"/>
        </w:rPr>
      </w:pPr>
      <w:r>
        <w:rPr>
          <w:color w:val="auto"/>
          <w:szCs w:val="21"/>
        </w:rPr>
        <w:t>3.6.4</w:t>
      </w:r>
      <w:r>
        <w:rPr>
          <w:rFonts w:hint="eastAsia"/>
          <w:color w:val="auto"/>
          <w:szCs w:val="21"/>
        </w:rPr>
        <w:t>为确保网上操作合法、有效和安全，供应商应当在响应截止时间前完成在“政采云”平台的身份认证，确保在电子投标过程中能够对相关数据电文进行加密和使用电子签名。</w:t>
      </w:r>
      <w:r>
        <w:rPr>
          <w:color w:val="auto"/>
          <w:szCs w:val="21"/>
        </w:rPr>
        <w:t xml:space="preserve"> </w:t>
      </w:r>
      <w:r>
        <w:rPr>
          <w:rFonts w:hint="eastAsia"/>
          <w:color w:val="auto"/>
          <w:szCs w:val="21"/>
        </w:rPr>
        <w:t>CA 签章上如不能实现法人或授权代表签字信息的，供应商在响应文件中涉及到签字的位置线下签好字然后扫描或者拍照做成 PDF 的格式即可。</w:t>
      </w:r>
    </w:p>
    <w:p>
      <w:pPr>
        <w:snapToGrid w:val="0"/>
        <w:spacing w:before="120" w:line="360" w:lineRule="auto"/>
        <w:ind w:firstLine="420" w:firstLineChars="200"/>
        <w:rPr>
          <w:color w:val="auto"/>
          <w:szCs w:val="21"/>
        </w:rPr>
      </w:pPr>
      <w:r>
        <w:rPr>
          <w:rFonts w:hint="eastAsia"/>
          <w:color w:val="auto"/>
          <w:szCs w:val="21"/>
        </w:rPr>
        <w:t>3</w:t>
      </w:r>
      <w:r>
        <w:rPr>
          <w:color w:val="auto"/>
          <w:szCs w:val="21"/>
        </w:rPr>
        <w:t>.6.5</w:t>
      </w:r>
      <w:r>
        <w:rPr>
          <w:rFonts w:hint="eastAsia"/>
          <w:color w:val="auto"/>
          <w:szCs w:val="21"/>
        </w:rPr>
        <w:t>响应文件中标注的供应商名称应与主体资格证明（如营业执照、事业单位法人证书、执业许可证、个体工商户营业执照、自然人身份证等）和公章/电子签章一致，</w:t>
      </w:r>
      <w:r>
        <w:rPr>
          <w:rFonts w:hint="eastAsia"/>
          <w:b/>
          <w:bCs/>
          <w:color w:val="auto"/>
          <w:szCs w:val="21"/>
        </w:rPr>
        <w:t>否则作无效响应处理。</w:t>
      </w:r>
    </w:p>
    <w:p>
      <w:pPr>
        <w:snapToGrid w:val="0"/>
        <w:spacing w:before="120" w:line="360" w:lineRule="auto"/>
        <w:ind w:firstLine="422" w:firstLineChars="200"/>
        <w:outlineLvl w:val="2"/>
        <w:rPr>
          <w:b/>
          <w:bCs/>
          <w:color w:val="auto"/>
          <w:kern w:val="0"/>
          <w:szCs w:val="21"/>
        </w:rPr>
      </w:pPr>
      <w:r>
        <w:rPr>
          <w:b/>
          <w:bCs/>
          <w:color w:val="auto"/>
          <w:kern w:val="0"/>
          <w:szCs w:val="21"/>
        </w:rPr>
        <w:t>3.7响应文件的递交、修改和撤回</w:t>
      </w:r>
    </w:p>
    <w:p>
      <w:pPr>
        <w:snapToGrid w:val="0"/>
        <w:spacing w:before="120" w:line="360" w:lineRule="auto"/>
        <w:ind w:firstLine="420" w:firstLineChars="200"/>
        <w:rPr>
          <w:color w:val="auto"/>
          <w:szCs w:val="21"/>
        </w:rPr>
      </w:pPr>
      <w:r>
        <w:rPr>
          <w:color w:val="auto"/>
          <w:szCs w:val="21"/>
        </w:rPr>
        <w:t>3.7.1</w:t>
      </w:r>
      <w:r>
        <w:rPr>
          <w:rFonts w:hint="eastAsia"/>
          <w:color w:val="auto"/>
          <w:szCs w:val="21"/>
        </w:rPr>
        <w:t xml:space="preserve">供应商必须在“供应商须知前附表”规定的响应文件截标时间和响应地点提交电子版响应文件。电子响应文件应在制作完成后，在响应截止时间前通过有效数字证书（CA认证锁）进行电子签章、加密，然后通过网络将加密的电子响应文件递交至“政采云平台”。 </w:t>
      </w:r>
    </w:p>
    <w:p>
      <w:pPr>
        <w:snapToGrid w:val="0"/>
        <w:spacing w:before="120" w:line="360" w:lineRule="auto"/>
        <w:ind w:firstLine="420" w:firstLineChars="200"/>
        <w:rPr>
          <w:color w:val="auto"/>
          <w:szCs w:val="21"/>
        </w:rPr>
      </w:pPr>
      <w:r>
        <w:rPr>
          <w:rFonts w:hint="eastAsia"/>
          <w:color w:val="auto"/>
          <w:szCs w:val="21"/>
        </w:rPr>
        <w:t>3</w:t>
      </w:r>
      <w:r>
        <w:rPr>
          <w:color w:val="auto"/>
          <w:szCs w:val="21"/>
        </w:rPr>
        <w:t>.7.2</w:t>
      </w:r>
      <w:r>
        <w:rPr>
          <w:rFonts w:hint="eastAsia"/>
          <w:color w:val="auto"/>
          <w:szCs w:val="21"/>
        </w:rPr>
        <w:t xml:space="preserve">未在规定时间内提交或者未按照采购文件要求签章、加密的电子响应文件，“政采云”平台将拒收。 </w:t>
      </w:r>
    </w:p>
    <w:p>
      <w:pPr>
        <w:snapToGrid w:val="0"/>
        <w:spacing w:before="120" w:line="360" w:lineRule="auto"/>
        <w:ind w:left="2" w:leftChars="1" w:firstLine="420" w:firstLineChars="200"/>
        <w:rPr>
          <w:color w:val="auto"/>
          <w:szCs w:val="21"/>
        </w:rPr>
      </w:pPr>
      <w:bookmarkStart w:id="41" w:name="_Toc254970544"/>
      <w:bookmarkStart w:id="42" w:name="_Toc254970685"/>
      <w:r>
        <w:rPr>
          <w:rFonts w:hint="eastAsia"/>
          <w:color w:val="auto"/>
          <w:szCs w:val="21"/>
        </w:rPr>
        <w:t>3</w:t>
      </w:r>
      <w:r>
        <w:rPr>
          <w:color w:val="auto"/>
          <w:szCs w:val="21"/>
        </w:rPr>
        <w:t>.7.3</w:t>
      </w:r>
      <w:r>
        <w:rPr>
          <w:rFonts w:hint="eastAsia"/>
          <w:color w:val="auto"/>
          <w:szCs w:val="21"/>
        </w:rPr>
        <w:t>供应商应当在响应截止时间前完成响应文件的传输递交，并可以补充、修改或者撤回响应文件。补充或者修改响应文件的，应当先行撤回原文件，补充、修改后重新传输递交。响应截止时间前未完成传输的，视为撤回响应文件。响应截止时间后递交的响应文件，“政采云”平台将拒收。</w:t>
      </w:r>
    </w:p>
    <w:p>
      <w:pPr>
        <w:snapToGrid w:val="0"/>
        <w:spacing w:before="120" w:line="360" w:lineRule="auto"/>
        <w:ind w:left="2" w:leftChars="1" w:firstLine="420" w:firstLineChars="200"/>
        <w:rPr>
          <w:color w:val="auto"/>
          <w:szCs w:val="21"/>
        </w:rPr>
      </w:pPr>
      <w:r>
        <w:rPr>
          <w:color w:val="auto"/>
          <w:szCs w:val="21"/>
        </w:rPr>
        <w:t>3.7.4</w:t>
      </w:r>
      <w:r>
        <w:rPr>
          <w:rFonts w:hint="eastAsia"/>
          <w:color w:val="auto"/>
          <w:szCs w:val="21"/>
        </w:rPr>
        <w:t>在响应截止时间前，除供应商补充、修改或者撤回响应文件外，任何单位和个人不得解密或提取响应文件。</w:t>
      </w:r>
    </w:p>
    <w:p>
      <w:pPr>
        <w:snapToGrid w:val="0"/>
        <w:spacing w:before="120" w:line="360" w:lineRule="auto"/>
        <w:ind w:left="2" w:leftChars="1" w:firstLine="420" w:firstLineChars="200"/>
        <w:rPr>
          <w:color w:val="auto"/>
          <w:szCs w:val="21"/>
        </w:rPr>
      </w:pPr>
      <w:r>
        <w:rPr>
          <w:color w:val="auto"/>
          <w:szCs w:val="21"/>
        </w:rPr>
        <w:t>3.7.5</w:t>
      </w:r>
      <w:r>
        <w:rPr>
          <w:rFonts w:hint="eastAsia"/>
          <w:color w:val="auto"/>
          <w:szCs w:val="21"/>
        </w:rPr>
        <w:t>在响应截止时间止提交电子版响应文件的供应商不足3家时，电子版响应文件由代理机构在“政采云”平台操作退回，除此之外采购人和采购代理机构对已提交的响应文件概不退回。</w:t>
      </w:r>
    </w:p>
    <w:p>
      <w:pPr>
        <w:snapToGrid w:val="0"/>
        <w:spacing w:before="120" w:line="360" w:lineRule="auto"/>
        <w:ind w:left="2" w:leftChars="1" w:firstLine="420" w:firstLineChars="200"/>
        <w:rPr>
          <w:color w:val="auto"/>
          <w:szCs w:val="21"/>
        </w:rPr>
      </w:pPr>
      <w:bookmarkStart w:id="43" w:name="_Hlk93046827"/>
      <w:r>
        <w:rPr>
          <w:rFonts w:hint="eastAsia"/>
          <w:color w:val="auto"/>
          <w:szCs w:val="21"/>
        </w:rPr>
        <w:t>3</w:t>
      </w:r>
      <w:r>
        <w:rPr>
          <w:color w:val="auto"/>
          <w:szCs w:val="21"/>
        </w:rPr>
        <w:t>.7.6</w:t>
      </w:r>
      <w:r>
        <w:rPr>
          <w:rFonts w:hint="eastAsia"/>
          <w:color w:val="auto"/>
          <w:szCs w:val="21"/>
        </w:rPr>
        <w:t>采购文件未允许提供备选文件，但存在</w:t>
      </w:r>
      <w:r>
        <w:rPr>
          <w:rFonts w:hint="eastAsia"/>
          <w:color w:val="auto"/>
        </w:rPr>
        <w:t>同</w:t>
      </w:r>
      <w:r>
        <w:rPr>
          <w:rFonts w:hint="eastAsia"/>
          <w:color w:val="auto"/>
          <w:szCs w:val="21"/>
        </w:rPr>
        <w:t>一供应商提交两个或以上不同的响应文件，</w:t>
      </w:r>
      <w:r>
        <w:rPr>
          <w:rFonts w:hint="eastAsia"/>
          <w:b/>
          <w:bCs/>
          <w:color w:val="auto"/>
          <w:szCs w:val="21"/>
        </w:rPr>
        <w:t>其响应无效。</w:t>
      </w:r>
      <w:r>
        <w:rPr>
          <w:rFonts w:hint="eastAsia"/>
          <w:color w:val="auto"/>
          <w:szCs w:val="21"/>
        </w:rPr>
        <w:t>供应商在同一响应文件中对某项技术、商务要求提供有选择性的响应参数或方案等同于提交两个或以上不同的响应文件。</w:t>
      </w:r>
      <w:bookmarkEnd w:id="43"/>
      <w:r>
        <w:rPr>
          <w:rFonts w:hint="eastAsia" w:ascii="宋体" w:hAnsi="宋体" w:cs="宋体"/>
          <w:color w:val="auto"/>
          <w:kern w:val="0"/>
          <w:szCs w:val="21"/>
        </w:rPr>
        <w:t>通过政采云（电子交易平台）上传递交的“电子加密响应文件”无法按时解密，供应商递交了备份响应文件的，以备份响应文件为依据，否则视为响应文件撤回。通过政采云（电子交易平台）上传递交的“电子加密响应文件”已按时解密的，“备份响应文件”自动失效。供应商仅递交备份响应文件的，响应无效。</w:t>
      </w:r>
    </w:p>
    <w:p>
      <w:pPr>
        <w:snapToGrid w:val="0"/>
        <w:spacing w:before="120" w:line="360" w:lineRule="auto"/>
        <w:ind w:left="2" w:leftChars="1" w:firstLine="422" w:firstLineChars="200"/>
        <w:outlineLvl w:val="1"/>
        <w:rPr>
          <w:b/>
          <w:bCs/>
          <w:color w:val="auto"/>
          <w:kern w:val="0"/>
          <w:szCs w:val="21"/>
        </w:rPr>
      </w:pPr>
      <w:r>
        <w:rPr>
          <w:b/>
          <w:bCs/>
          <w:color w:val="auto"/>
          <w:kern w:val="0"/>
          <w:szCs w:val="21"/>
        </w:rPr>
        <w:t>4．截标</w:t>
      </w:r>
      <w:bookmarkEnd w:id="41"/>
      <w:bookmarkEnd w:id="42"/>
    </w:p>
    <w:p>
      <w:pPr>
        <w:snapToGrid w:val="0"/>
        <w:spacing w:before="120" w:line="360" w:lineRule="auto"/>
        <w:ind w:firstLine="422" w:firstLineChars="200"/>
        <w:outlineLvl w:val="2"/>
        <w:rPr>
          <w:b/>
          <w:bCs/>
          <w:color w:val="auto"/>
          <w:kern w:val="0"/>
          <w:szCs w:val="21"/>
        </w:rPr>
      </w:pPr>
      <w:r>
        <w:rPr>
          <w:b/>
          <w:bCs/>
          <w:color w:val="auto"/>
          <w:kern w:val="0"/>
          <w:szCs w:val="21"/>
        </w:rPr>
        <w:t>4.1截标准备</w:t>
      </w:r>
    </w:p>
    <w:p>
      <w:pPr>
        <w:snapToGrid w:val="0"/>
        <w:spacing w:before="120" w:line="360" w:lineRule="auto"/>
        <w:ind w:firstLine="420" w:firstLineChars="200"/>
        <w:rPr>
          <w:color w:val="auto"/>
          <w:szCs w:val="21"/>
        </w:rPr>
      </w:pPr>
      <w:r>
        <w:rPr>
          <w:color w:val="auto"/>
          <w:szCs w:val="21"/>
        </w:rPr>
        <w:t>本项目响应截止时间及地点见“供应商须知前附表”规定。</w:t>
      </w:r>
    </w:p>
    <w:p>
      <w:pPr>
        <w:autoSpaceDE w:val="0"/>
        <w:autoSpaceDN w:val="0"/>
        <w:adjustRightInd w:val="0"/>
        <w:snapToGrid w:val="0"/>
        <w:spacing w:line="360" w:lineRule="auto"/>
        <w:ind w:firstLine="420" w:firstLineChars="200"/>
        <w:rPr>
          <w:color w:val="auto"/>
          <w:szCs w:val="21"/>
        </w:rPr>
      </w:pPr>
      <w:r>
        <w:rPr>
          <w:rFonts w:hint="eastAsia"/>
          <w:color w:val="auto"/>
          <w:szCs w:val="21"/>
        </w:rPr>
        <w:t>全流程电子化项目没有现场递交响应文件及现场截标环节。采购代理机构将按照采购文件规定的时间通过“政采云”平台组织线上截标活动、开启响应文件，所有供应商均应当准时在线参加。供应商</w:t>
      </w:r>
      <w:r>
        <w:rPr>
          <w:color w:val="auto"/>
          <w:szCs w:val="21"/>
        </w:rPr>
        <w:t>如不</w:t>
      </w:r>
      <w:r>
        <w:rPr>
          <w:rFonts w:hint="eastAsia"/>
          <w:color w:val="auto"/>
          <w:szCs w:val="21"/>
        </w:rPr>
        <w:t>参加</w:t>
      </w:r>
      <w:r>
        <w:rPr>
          <w:color w:val="auto"/>
          <w:szCs w:val="21"/>
        </w:rPr>
        <w:t>截标大会的，</w:t>
      </w:r>
      <w:r>
        <w:rPr>
          <w:rFonts w:hint="eastAsia"/>
          <w:color w:val="auto"/>
          <w:szCs w:val="21"/>
        </w:rPr>
        <w:t>视同认可截标结果，</w:t>
      </w:r>
      <w:r>
        <w:rPr>
          <w:color w:val="auto"/>
          <w:szCs w:val="21"/>
        </w:rPr>
        <w:t>事后不得对采购相关人员、截标过程和截标结果提出异议</w:t>
      </w:r>
      <w:r>
        <w:rPr>
          <w:rFonts w:hint="eastAsia"/>
          <w:color w:val="auto"/>
          <w:szCs w:val="21"/>
        </w:rPr>
        <w:t>，同时供应商因未在线参加截标而导致响应文件无法按时解密等一切后果由供应商自己承担。</w:t>
      </w:r>
    </w:p>
    <w:p>
      <w:pPr>
        <w:snapToGrid w:val="0"/>
        <w:spacing w:before="120" w:line="360" w:lineRule="auto"/>
        <w:ind w:firstLine="420" w:firstLineChars="200"/>
        <w:rPr>
          <w:color w:val="auto"/>
          <w:szCs w:val="21"/>
        </w:rPr>
      </w:pPr>
      <w:r>
        <w:rPr>
          <w:rFonts w:hint="eastAsia"/>
          <w:color w:val="auto"/>
          <w:szCs w:val="21"/>
        </w:rPr>
        <w:t xml:space="preserve">如供应商成功解密响应文件，但未在“政采云”电子开标大厅参加截标的，视同认可截标过程和结果，由此产生的后果由供应商自行负责。 </w:t>
      </w:r>
    </w:p>
    <w:p>
      <w:pPr>
        <w:snapToGrid w:val="0"/>
        <w:spacing w:before="120" w:line="360" w:lineRule="auto"/>
        <w:ind w:firstLine="422" w:firstLineChars="200"/>
        <w:outlineLvl w:val="2"/>
        <w:rPr>
          <w:b/>
          <w:bCs/>
          <w:color w:val="auto"/>
          <w:kern w:val="0"/>
          <w:szCs w:val="21"/>
        </w:rPr>
      </w:pPr>
      <w:r>
        <w:rPr>
          <w:b/>
          <w:bCs/>
          <w:color w:val="auto"/>
          <w:kern w:val="0"/>
          <w:szCs w:val="21"/>
        </w:rPr>
        <w:t>4.2截标程序</w:t>
      </w:r>
    </w:p>
    <w:p>
      <w:pPr>
        <w:snapToGrid w:val="0"/>
        <w:spacing w:before="120" w:line="360" w:lineRule="auto"/>
        <w:ind w:firstLine="420" w:firstLineChars="200"/>
        <w:rPr>
          <w:color w:val="auto"/>
          <w:szCs w:val="21"/>
        </w:rPr>
      </w:pPr>
      <w:r>
        <w:rPr>
          <w:color w:val="auto"/>
          <w:szCs w:val="21"/>
        </w:rPr>
        <w:t>4.2.1</w:t>
      </w:r>
      <w:r>
        <w:rPr>
          <w:rFonts w:hint="eastAsia"/>
          <w:color w:val="auto"/>
          <w:szCs w:val="21"/>
        </w:rPr>
        <w:t>供应商登录政采云平台进入开标大厅签到。</w:t>
      </w:r>
    </w:p>
    <w:p>
      <w:pPr>
        <w:snapToGrid w:val="0"/>
        <w:spacing w:before="120" w:line="360" w:lineRule="auto"/>
        <w:ind w:firstLine="420" w:firstLineChars="200"/>
        <w:rPr>
          <w:color w:val="auto"/>
          <w:szCs w:val="21"/>
        </w:rPr>
      </w:pPr>
      <w:r>
        <w:rPr>
          <w:rFonts w:hint="eastAsia"/>
          <w:color w:val="auto"/>
          <w:szCs w:val="21"/>
        </w:rPr>
        <w:t>4</w:t>
      </w:r>
      <w:r>
        <w:rPr>
          <w:color w:val="auto"/>
          <w:szCs w:val="21"/>
        </w:rPr>
        <w:t>.2.2</w:t>
      </w:r>
      <w:r>
        <w:rPr>
          <w:rFonts w:hint="eastAsia"/>
          <w:color w:val="auto"/>
          <w:szCs w:val="21"/>
        </w:rPr>
        <w:t>解密电子响应文件。“政采云”平台按截标时间自动提取所有响应文件。采购代理机构在“政采云”平台向各供应商发出电子加密响应文件开始解密通知，由供应商平台设置时间内自行进行响应文件解密。供应商须使用加密时所用的CA锁准时登录到“政采云”平台电子开标大厅签到并对电子响应文件解密。截标后供应商未及时进行解密的，代理机构可通知供应商。通知后，响应文件仍未在上述规定时间内解密，或者供应商没预留联系方式或预留联系方式无效导致代理机构无法联系到供应商进行解密的，均视为无效响应。</w:t>
      </w:r>
    </w:p>
    <w:p>
      <w:pPr>
        <w:snapToGrid w:val="0"/>
        <w:spacing w:before="120" w:line="360" w:lineRule="auto"/>
        <w:ind w:firstLine="420" w:firstLineChars="200"/>
        <w:rPr>
          <w:color w:val="auto"/>
          <w:szCs w:val="21"/>
        </w:rPr>
      </w:pPr>
      <w:r>
        <w:rPr>
          <w:rFonts w:hint="eastAsia"/>
          <w:color w:val="auto"/>
          <w:szCs w:val="21"/>
        </w:rPr>
        <w:t>4</w:t>
      </w:r>
      <w:r>
        <w:rPr>
          <w:color w:val="auto"/>
          <w:szCs w:val="21"/>
        </w:rPr>
        <w:t>.2.3</w:t>
      </w:r>
      <w:r>
        <w:rPr>
          <w:rFonts w:hint="eastAsia"/>
          <w:color w:val="auto"/>
          <w:szCs w:val="21"/>
        </w:rPr>
        <w:t>是否接受备份响应文件详见供应商须知前附表，如接受备份文件，出现供应商自身原因引起的解密异常时，供应商须在规定时间内将备份响应文件通过邮箱发送至代理机构，由代理机构上传备份响应文件后将自动解密。</w:t>
      </w:r>
    </w:p>
    <w:p>
      <w:pPr>
        <w:snapToGrid w:val="0"/>
        <w:spacing w:before="120" w:line="360" w:lineRule="auto"/>
        <w:ind w:firstLine="420" w:firstLineChars="200"/>
        <w:rPr>
          <w:color w:val="auto"/>
          <w:szCs w:val="21"/>
        </w:rPr>
      </w:pPr>
      <w:r>
        <w:rPr>
          <w:rFonts w:hint="eastAsia"/>
          <w:color w:val="auto"/>
          <w:szCs w:val="21"/>
        </w:rPr>
        <w:t>（解密异常情况处理：详见本章</w:t>
      </w:r>
      <w:r>
        <w:rPr>
          <w:color w:val="auto"/>
          <w:szCs w:val="21"/>
        </w:rPr>
        <w:t>9.2</w:t>
      </w:r>
      <w:r>
        <w:rPr>
          <w:rFonts w:hint="eastAsia"/>
          <w:color w:val="auto"/>
          <w:szCs w:val="21"/>
        </w:rPr>
        <w:t>电子交易活动的中止。）</w:t>
      </w:r>
    </w:p>
    <w:p>
      <w:pPr>
        <w:snapToGrid w:val="0"/>
        <w:spacing w:before="120" w:line="360" w:lineRule="auto"/>
        <w:ind w:firstLine="420" w:firstLineChars="200"/>
        <w:rPr>
          <w:color w:val="auto"/>
          <w:szCs w:val="21"/>
        </w:rPr>
      </w:pPr>
      <w:r>
        <w:rPr>
          <w:color w:val="auto"/>
          <w:szCs w:val="21"/>
        </w:rPr>
        <w:t>4.2.4截标结束。</w:t>
      </w:r>
    </w:p>
    <w:p>
      <w:pPr>
        <w:pStyle w:val="28"/>
        <w:snapToGrid w:val="0"/>
        <w:spacing w:line="360" w:lineRule="auto"/>
        <w:ind w:firstLine="422" w:firstLineChars="200"/>
        <w:rPr>
          <w:rFonts w:hAnsi="宋体"/>
          <w:color w:val="auto"/>
        </w:rPr>
      </w:pPr>
      <w:r>
        <w:rPr>
          <w:rFonts w:hint="eastAsia" w:hAnsi="宋体"/>
          <w:b/>
          <w:bCs/>
          <w:color w:val="auto"/>
        </w:rPr>
        <w:t>特别说明：</w:t>
      </w:r>
      <w:r>
        <w:rPr>
          <w:rFonts w:hint="eastAsia" w:hAnsi="宋体"/>
          <w:color w:val="auto"/>
        </w:rPr>
        <w:t>如遇“政采云”平台电子化截标或评审程序调整的，按调整后的程序执行。</w:t>
      </w:r>
    </w:p>
    <w:p>
      <w:pPr>
        <w:snapToGrid w:val="0"/>
        <w:spacing w:before="120" w:line="360" w:lineRule="auto"/>
        <w:ind w:firstLine="422" w:firstLineChars="200"/>
        <w:outlineLvl w:val="2"/>
        <w:rPr>
          <w:b/>
          <w:bCs/>
          <w:color w:val="auto"/>
          <w:kern w:val="0"/>
          <w:szCs w:val="21"/>
        </w:rPr>
      </w:pPr>
      <w:r>
        <w:rPr>
          <w:b/>
          <w:bCs/>
          <w:color w:val="auto"/>
          <w:kern w:val="0"/>
          <w:szCs w:val="21"/>
        </w:rPr>
        <w:t>4.3演示</w:t>
      </w:r>
    </w:p>
    <w:p>
      <w:pPr>
        <w:snapToGrid w:val="0"/>
        <w:spacing w:before="120" w:line="360" w:lineRule="auto"/>
        <w:ind w:firstLine="420" w:firstLineChars="200"/>
        <w:rPr>
          <w:color w:val="auto"/>
          <w:szCs w:val="21"/>
        </w:rPr>
      </w:pPr>
      <w:r>
        <w:rPr>
          <w:color w:val="auto"/>
          <w:szCs w:val="21"/>
        </w:rPr>
        <w:t>4.3.1“供应商须知前附表”规定在截标会议结束后进行演示的，供应商应按规定进行演示。</w:t>
      </w:r>
    </w:p>
    <w:p>
      <w:pPr>
        <w:snapToGrid w:val="0"/>
        <w:spacing w:before="120" w:line="360" w:lineRule="auto"/>
        <w:ind w:firstLine="420" w:firstLineChars="200"/>
        <w:rPr>
          <w:color w:val="auto"/>
          <w:szCs w:val="21"/>
        </w:rPr>
      </w:pPr>
      <w:r>
        <w:rPr>
          <w:color w:val="auto"/>
          <w:szCs w:val="21"/>
        </w:rPr>
        <w:t>4.3.2未按规定时间进行演示可能引起的演示分数被计为0分或响应无效等后果由供应商自行承担。</w:t>
      </w:r>
    </w:p>
    <w:p>
      <w:pPr>
        <w:snapToGrid w:val="0"/>
        <w:spacing w:before="120" w:line="360" w:lineRule="auto"/>
        <w:ind w:firstLine="422" w:firstLineChars="200"/>
        <w:outlineLvl w:val="2"/>
        <w:rPr>
          <w:color w:val="auto"/>
          <w:szCs w:val="21"/>
        </w:rPr>
      </w:pPr>
      <w:r>
        <w:rPr>
          <w:b/>
          <w:bCs/>
          <w:color w:val="auto"/>
          <w:kern w:val="0"/>
          <w:szCs w:val="21"/>
        </w:rPr>
        <w:t>4.4样品</w:t>
      </w:r>
    </w:p>
    <w:p>
      <w:pPr>
        <w:snapToGrid w:val="0"/>
        <w:spacing w:before="120" w:line="360" w:lineRule="auto"/>
        <w:ind w:firstLine="420" w:firstLineChars="200"/>
        <w:rPr>
          <w:color w:val="auto"/>
          <w:szCs w:val="21"/>
        </w:rPr>
      </w:pPr>
      <w:r>
        <w:rPr>
          <w:color w:val="auto"/>
          <w:szCs w:val="21"/>
        </w:rPr>
        <w:t>4.4.1“供应商须知前附表”规定递交样品的，供应商应按前附表规定递交样品，递交样品时应附样品递交表（格式见第六章）。</w:t>
      </w:r>
    </w:p>
    <w:p>
      <w:pPr>
        <w:snapToGrid w:val="0"/>
        <w:spacing w:before="120" w:line="360" w:lineRule="auto"/>
        <w:ind w:firstLine="420" w:firstLineChars="200"/>
        <w:rPr>
          <w:color w:val="auto"/>
          <w:szCs w:val="21"/>
        </w:rPr>
      </w:pPr>
      <w:r>
        <w:rPr>
          <w:color w:val="auto"/>
          <w:szCs w:val="21"/>
        </w:rPr>
        <w:t>4.4.2未按规定时间递交样品可能引起的样品分数被计为0分或响应无效等后果由供应商自行承担。</w:t>
      </w:r>
    </w:p>
    <w:p>
      <w:pPr>
        <w:snapToGrid w:val="0"/>
        <w:spacing w:before="120" w:line="360" w:lineRule="auto"/>
        <w:ind w:firstLine="420" w:firstLineChars="200"/>
        <w:rPr>
          <w:color w:val="auto"/>
          <w:szCs w:val="21"/>
        </w:rPr>
      </w:pPr>
      <w:bookmarkStart w:id="44" w:name="_Toc254970545"/>
      <w:bookmarkStart w:id="45" w:name="_Toc254970686"/>
      <w:r>
        <w:rPr>
          <w:color w:val="auto"/>
          <w:szCs w:val="21"/>
        </w:rPr>
        <w:t>4.4.3样品封存或退还的说明请见第六章响应文件格式所附样品递交表。</w:t>
      </w:r>
    </w:p>
    <w:p>
      <w:pPr>
        <w:snapToGrid w:val="0"/>
        <w:spacing w:before="120" w:line="360" w:lineRule="auto"/>
        <w:ind w:left="2" w:leftChars="1" w:firstLine="422" w:firstLineChars="200"/>
        <w:outlineLvl w:val="1"/>
        <w:rPr>
          <w:b/>
          <w:bCs/>
          <w:color w:val="auto"/>
          <w:kern w:val="0"/>
          <w:szCs w:val="21"/>
        </w:rPr>
      </w:pPr>
      <w:r>
        <w:rPr>
          <w:b/>
          <w:bCs/>
          <w:color w:val="auto"/>
          <w:kern w:val="0"/>
          <w:szCs w:val="21"/>
        </w:rPr>
        <w:t>5．</w:t>
      </w:r>
      <w:r>
        <w:rPr>
          <w:rFonts w:hint="eastAsia"/>
          <w:b/>
          <w:bCs/>
          <w:color w:val="auto"/>
          <w:kern w:val="0"/>
          <w:szCs w:val="21"/>
        </w:rPr>
        <w:t>资格审查</w:t>
      </w:r>
    </w:p>
    <w:p>
      <w:pPr>
        <w:snapToGrid w:val="0"/>
        <w:spacing w:before="120" w:line="360" w:lineRule="auto"/>
        <w:ind w:left="2" w:leftChars="1" w:firstLine="420" w:firstLineChars="200"/>
        <w:outlineLvl w:val="2"/>
        <w:rPr>
          <w:bCs/>
          <w:color w:val="auto"/>
          <w:kern w:val="0"/>
          <w:szCs w:val="21"/>
        </w:rPr>
      </w:pPr>
      <w:r>
        <w:rPr>
          <w:rFonts w:hint="eastAsia"/>
          <w:bCs/>
          <w:color w:val="auto"/>
          <w:kern w:val="0"/>
          <w:szCs w:val="21"/>
        </w:rPr>
        <w:t>5</w:t>
      </w:r>
      <w:r>
        <w:rPr>
          <w:bCs/>
          <w:color w:val="auto"/>
          <w:kern w:val="0"/>
          <w:szCs w:val="21"/>
        </w:rPr>
        <w:t>.1</w:t>
      </w:r>
      <w:r>
        <w:rPr>
          <w:rFonts w:hint="eastAsia"/>
          <w:bCs/>
          <w:color w:val="auto"/>
          <w:kern w:val="0"/>
          <w:szCs w:val="21"/>
        </w:rPr>
        <w:t>截标</w:t>
      </w:r>
      <w:r>
        <w:rPr>
          <w:rFonts w:ascii="宋体" w:hAnsi="宋体"/>
          <w:bCs/>
          <w:color w:val="auto"/>
          <w:szCs w:val="21"/>
        </w:rPr>
        <w:t>后，</w:t>
      </w:r>
      <w:r>
        <w:rPr>
          <w:rFonts w:hint="eastAsia" w:ascii="宋体" w:hAnsi="宋体"/>
          <w:bCs/>
          <w:color w:val="auto"/>
          <w:szCs w:val="21"/>
        </w:rPr>
        <w:t>磋商小组通过电子交易平台</w:t>
      </w:r>
      <w:r>
        <w:rPr>
          <w:rFonts w:ascii="宋体" w:hAnsi="宋体"/>
          <w:bCs/>
          <w:color w:val="auto"/>
          <w:szCs w:val="21"/>
        </w:rPr>
        <w:t>对供应商的资格进行</w:t>
      </w:r>
      <w:r>
        <w:rPr>
          <w:rFonts w:hint="eastAsia" w:ascii="宋体" w:hAnsi="宋体"/>
          <w:bCs/>
          <w:color w:val="auto"/>
          <w:szCs w:val="21"/>
        </w:rPr>
        <w:t>线上</w:t>
      </w:r>
      <w:r>
        <w:rPr>
          <w:rFonts w:ascii="宋体" w:hAnsi="宋体"/>
          <w:bCs/>
          <w:color w:val="auto"/>
          <w:szCs w:val="21"/>
        </w:rPr>
        <w:t>审查。</w:t>
      </w:r>
      <w:r>
        <w:rPr>
          <w:rFonts w:hint="eastAsia" w:ascii="宋体" w:hAnsi="宋体"/>
          <w:bCs/>
          <w:color w:val="auto"/>
          <w:szCs w:val="21"/>
        </w:rPr>
        <w:t>资格审查</w:t>
      </w:r>
      <w:r>
        <w:rPr>
          <w:rFonts w:hint="eastAsia"/>
          <w:bCs/>
          <w:color w:val="auto"/>
          <w:kern w:val="0"/>
          <w:szCs w:val="21"/>
        </w:rPr>
        <w:t>是根据法律法规和采购文件的规定，对供应商的基本资格条件、特定资格条件进行审查。</w:t>
      </w:r>
    </w:p>
    <w:p>
      <w:pPr>
        <w:snapToGrid w:val="0"/>
        <w:spacing w:before="120" w:line="360" w:lineRule="auto"/>
        <w:ind w:left="2" w:leftChars="1" w:firstLine="420" w:firstLineChars="200"/>
        <w:outlineLvl w:val="2"/>
        <w:rPr>
          <w:bCs/>
          <w:color w:val="auto"/>
          <w:kern w:val="0"/>
          <w:szCs w:val="21"/>
        </w:rPr>
      </w:pPr>
      <w:r>
        <w:rPr>
          <w:rFonts w:hint="eastAsia"/>
          <w:bCs/>
          <w:color w:val="auto"/>
          <w:kern w:val="0"/>
          <w:szCs w:val="21"/>
        </w:rPr>
        <w:t>5.</w:t>
      </w:r>
      <w:r>
        <w:rPr>
          <w:bCs/>
          <w:color w:val="auto"/>
          <w:kern w:val="0"/>
          <w:szCs w:val="21"/>
        </w:rPr>
        <w:t>2</w:t>
      </w:r>
      <w:r>
        <w:rPr>
          <w:rFonts w:hint="eastAsia"/>
          <w:bCs/>
          <w:color w:val="auto"/>
          <w:kern w:val="0"/>
          <w:szCs w:val="21"/>
        </w:rPr>
        <w:t>资格审查标准在第四章评审方法及标准中规定，符合资格审查标准要求的供应商即为资格审查合格。</w:t>
      </w:r>
    </w:p>
    <w:p>
      <w:pPr>
        <w:snapToGrid w:val="0"/>
        <w:spacing w:before="120" w:line="360" w:lineRule="auto"/>
        <w:ind w:left="2" w:leftChars="1" w:firstLine="420" w:firstLineChars="200"/>
        <w:outlineLvl w:val="2"/>
        <w:rPr>
          <w:bCs/>
          <w:color w:val="auto"/>
          <w:kern w:val="0"/>
          <w:szCs w:val="21"/>
        </w:rPr>
      </w:pPr>
      <w:r>
        <w:rPr>
          <w:bCs/>
          <w:color w:val="auto"/>
          <w:kern w:val="0"/>
          <w:szCs w:val="21"/>
        </w:rPr>
        <w:t>5.3</w:t>
      </w:r>
      <w:r>
        <w:rPr>
          <w:rFonts w:hint="eastAsia"/>
          <w:bCs/>
          <w:color w:val="auto"/>
          <w:kern w:val="0"/>
          <w:szCs w:val="21"/>
        </w:rPr>
        <w:t>供应商有下列情形之一的，资格审查不合格，作无效响应处理：</w:t>
      </w:r>
    </w:p>
    <w:p>
      <w:pPr>
        <w:snapToGrid w:val="0"/>
        <w:spacing w:line="360" w:lineRule="auto"/>
        <w:ind w:firstLine="420" w:firstLineChars="200"/>
        <w:rPr>
          <w:rFonts w:hAnsi="宋体"/>
          <w:color w:val="auto"/>
        </w:rPr>
      </w:pPr>
      <w:r>
        <w:rPr>
          <w:rFonts w:hint="eastAsia"/>
          <w:color w:val="auto"/>
          <w:szCs w:val="21"/>
        </w:rPr>
        <w:t>5</w:t>
      </w:r>
      <w:r>
        <w:rPr>
          <w:color w:val="auto"/>
          <w:szCs w:val="21"/>
        </w:rPr>
        <w:t>.3.1</w:t>
      </w:r>
      <w:r>
        <w:rPr>
          <w:rFonts w:hint="eastAsia"/>
          <w:color w:val="auto"/>
          <w:szCs w:val="21"/>
        </w:rPr>
        <w:t>不具备采购文件中规定的资格要求或资格条件的；</w:t>
      </w:r>
      <w:r>
        <w:rPr>
          <w:color w:val="auto"/>
          <w:szCs w:val="21"/>
        </w:rPr>
        <w:t xml:space="preserve"> </w:t>
      </w:r>
      <w:r>
        <w:rPr>
          <w:rFonts w:hint="eastAsia" w:hAnsi="宋体"/>
          <w:color w:val="auto"/>
        </w:rPr>
        <w:t>（注：其中信用查询规则见“供应商须知前附表”，“政采云”平台已与“信用中国”平台做接口，可直接在线查询）</w:t>
      </w:r>
    </w:p>
    <w:p>
      <w:pPr>
        <w:snapToGrid w:val="0"/>
        <w:spacing w:before="120" w:line="360" w:lineRule="auto"/>
        <w:ind w:firstLine="420" w:firstLineChars="200"/>
        <w:rPr>
          <w:color w:val="auto"/>
          <w:szCs w:val="21"/>
        </w:rPr>
      </w:pPr>
      <w:r>
        <w:rPr>
          <w:rFonts w:hint="eastAsia"/>
          <w:color w:val="auto"/>
          <w:szCs w:val="21"/>
        </w:rPr>
        <w:t>5</w:t>
      </w:r>
      <w:r>
        <w:rPr>
          <w:color w:val="auto"/>
          <w:szCs w:val="21"/>
        </w:rPr>
        <w:t>.3.2</w:t>
      </w:r>
      <w:r>
        <w:rPr>
          <w:rFonts w:hint="eastAsia"/>
          <w:color w:val="auto"/>
          <w:szCs w:val="21"/>
        </w:rPr>
        <w:t>响应文件缺少任何一项资格证明文件或不符合第四章评审方法及标准中资格审查标准规定的评审内容的。</w:t>
      </w:r>
    </w:p>
    <w:p>
      <w:pPr>
        <w:snapToGrid w:val="0"/>
        <w:spacing w:before="120" w:line="360" w:lineRule="auto"/>
        <w:ind w:left="2" w:leftChars="1" w:firstLine="422" w:firstLineChars="200"/>
        <w:outlineLvl w:val="1"/>
        <w:rPr>
          <w:b/>
          <w:bCs/>
          <w:color w:val="auto"/>
          <w:kern w:val="0"/>
          <w:szCs w:val="21"/>
        </w:rPr>
      </w:pPr>
      <w:r>
        <w:rPr>
          <w:b/>
          <w:bCs/>
          <w:color w:val="auto"/>
          <w:kern w:val="0"/>
          <w:szCs w:val="21"/>
        </w:rPr>
        <w:t>6．评审</w:t>
      </w:r>
    </w:p>
    <w:bookmarkEnd w:id="44"/>
    <w:bookmarkEnd w:id="45"/>
    <w:p>
      <w:pPr>
        <w:snapToGrid w:val="0"/>
        <w:spacing w:before="120" w:line="360" w:lineRule="auto"/>
        <w:ind w:firstLine="422" w:firstLineChars="200"/>
        <w:outlineLvl w:val="2"/>
        <w:rPr>
          <w:b/>
          <w:bCs/>
          <w:color w:val="auto"/>
          <w:kern w:val="0"/>
          <w:szCs w:val="21"/>
        </w:rPr>
      </w:pPr>
      <w:r>
        <w:rPr>
          <w:b/>
          <w:bCs/>
          <w:color w:val="auto"/>
          <w:kern w:val="0"/>
          <w:szCs w:val="21"/>
        </w:rPr>
        <w:t>6.1组建磋商小组</w:t>
      </w:r>
    </w:p>
    <w:p>
      <w:pPr>
        <w:snapToGrid w:val="0"/>
        <w:spacing w:before="120" w:line="360" w:lineRule="auto"/>
        <w:ind w:firstLine="420" w:firstLineChars="200"/>
        <w:rPr>
          <w:color w:val="auto"/>
          <w:szCs w:val="21"/>
        </w:rPr>
      </w:pPr>
      <w:r>
        <w:rPr>
          <w:rFonts w:hint="eastAsia"/>
          <w:color w:val="auto"/>
          <w:szCs w:val="21"/>
        </w:rPr>
        <w:t>6.1.1</w:t>
      </w:r>
      <w:r>
        <w:rPr>
          <w:color w:val="auto"/>
          <w:szCs w:val="21"/>
        </w:rPr>
        <w:t>本项目</w:t>
      </w:r>
      <w:r>
        <w:rPr>
          <w:rFonts w:hint="eastAsia"/>
          <w:color w:val="auto"/>
          <w:szCs w:val="21"/>
        </w:rPr>
        <w:t>评审工作由</w:t>
      </w:r>
      <w:r>
        <w:rPr>
          <w:color w:val="auto"/>
          <w:szCs w:val="21"/>
        </w:rPr>
        <w:t>磋商小组</w:t>
      </w:r>
      <w:r>
        <w:rPr>
          <w:rFonts w:hint="eastAsia"/>
          <w:color w:val="auto"/>
          <w:szCs w:val="21"/>
        </w:rPr>
        <w:t>负责，磋商小组</w:t>
      </w:r>
      <w:r>
        <w:rPr>
          <w:color w:val="auto"/>
          <w:szCs w:val="21"/>
        </w:rPr>
        <w:t>由</w:t>
      </w:r>
      <w:r>
        <w:rPr>
          <w:rFonts w:hint="eastAsia"/>
          <w:color w:val="auto"/>
          <w:szCs w:val="21"/>
        </w:rPr>
        <w:t>评审专家</w:t>
      </w:r>
      <w:r>
        <w:rPr>
          <w:color w:val="auto"/>
          <w:szCs w:val="21"/>
        </w:rPr>
        <w:t>和采购人代表</w:t>
      </w:r>
      <w:r>
        <w:rPr>
          <w:rFonts w:hint="eastAsia"/>
          <w:color w:val="auto"/>
          <w:szCs w:val="21"/>
        </w:rPr>
        <w:t>（如有）</w:t>
      </w:r>
      <w:r>
        <w:rPr>
          <w:color w:val="auto"/>
          <w:szCs w:val="21"/>
        </w:rPr>
        <w:t>组成。</w:t>
      </w:r>
      <w:r>
        <w:rPr>
          <w:rFonts w:hint="eastAsia"/>
          <w:color w:val="auto"/>
          <w:szCs w:val="21"/>
        </w:rPr>
        <w:t>磋商小组评审时必须公平、公正、客观，不带任何倾向性和启发性；不得向外界透露任何与评审有关的内容；任何单位和个人不得干扰、影响评标的正常进行；磋商小组及有关工作人员不得私下与供应商接触，不得收受利害关系人的财物或者其他好处；</w:t>
      </w:r>
      <w:r>
        <w:rPr>
          <w:color w:val="auto"/>
          <w:szCs w:val="21"/>
        </w:rPr>
        <w:t>评审专家发现本人与参加采购活动的供应商有利害关系的，应当主动提出回避</w:t>
      </w:r>
      <w:r>
        <w:rPr>
          <w:rFonts w:hint="eastAsia"/>
          <w:color w:val="auto"/>
          <w:szCs w:val="21"/>
        </w:rPr>
        <w:t>。</w:t>
      </w:r>
    </w:p>
    <w:p>
      <w:pPr>
        <w:snapToGrid w:val="0"/>
        <w:spacing w:before="120" w:line="360" w:lineRule="auto"/>
        <w:ind w:firstLine="420" w:firstLineChars="200"/>
        <w:rPr>
          <w:color w:val="auto"/>
          <w:szCs w:val="21"/>
        </w:rPr>
      </w:pPr>
      <w:r>
        <w:rPr>
          <w:rFonts w:hint="eastAsia"/>
          <w:color w:val="auto"/>
          <w:szCs w:val="21"/>
        </w:rPr>
        <w:t>6.1.2磋商小组成员应当通过电子交易平台进行独立评审，磋商小组成员对需要共同认定的事项存在争议的，应当按照少数服从多数的原则作出结论。持不同意见的磋商小组成员应当在评审报告上签署不同意见及理由，否则视为同意评审报告。如果在评审过程中出现法律法规和采购文件均没有明确规定的情形时，由磋商小组现场协商确定，协商不一致的，由全体磋商小组成员投票表决，应当按照少数服从多数的原则作出结论并记录在评审报告中。</w:t>
      </w:r>
    </w:p>
    <w:p>
      <w:pPr>
        <w:snapToGrid w:val="0"/>
        <w:spacing w:before="120" w:line="360" w:lineRule="auto"/>
        <w:ind w:firstLine="420" w:firstLineChars="200"/>
        <w:rPr>
          <w:color w:val="auto"/>
          <w:szCs w:val="21"/>
        </w:rPr>
      </w:pPr>
      <w:r>
        <w:rPr>
          <w:rFonts w:hint="eastAsia"/>
          <w:color w:val="auto"/>
          <w:szCs w:val="21"/>
        </w:rPr>
        <w:t>6.1.3采购人、采购代理机构应当采取必要措施，保证评审在严格保密（封闭式评审）的情况下进行。除采购人代表、评审现场组织人员外，采购人的其他工作人员以及与评审工作无关的人员不得进入评审现场。有关人员对评审情况以及在评审过程中获悉的国家秘密、商业秘密负有保密责任。</w:t>
      </w:r>
    </w:p>
    <w:p>
      <w:pPr>
        <w:snapToGrid w:val="0"/>
        <w:spacing w:before="120" w:line="360" w:lineRule="auto"/>
        <w:ind w:firstLine="420" w:firstLineChars="200"/>
        <w:rPr>
          <w:color w:val="auto"/>
          <w:szCs w:val="21"/>
        </w:rPr>
      </w:pPr>
      <w:r>
        <w:rPr>
          <w:rFonts w:hint="eastAsia"/>
          <w:color w:val="auto"/>
          <w:szCs w:val="21"/>
        </w:rPr>
        <w:t>6.1.4本项目评审过程实行全程网上留痕及录音、录像监控，供应商在评审过程中所进行的试图影响评审结果的不公正活动，可能导致其响应按无效处理。</w:t>
      </w:r>
    </w:p>
    <w:p>
      <w:pPr>
        <w:snapToGrid w:val="0"/>
        <w:spacing w:before="120" w:line="360" w:lineRule="auto"/>
        <w:ind w:firstLine="422" w:firstLineChars="200"/>
        <w:outlineLvl w:val="2"/>
        <w:rPr>
          <w:b/>
          <w:bCs/>
          <w:color w:val="auto"/>
          <w:kern w:val="0"/>
          <w:szCs w:val="21"/>
        </w:rPr>
      </w:pPr>
      <w:r>
        <w:rPr>
          <w:b/>
          <w:bCs/>
          <w:color w:val="auto"/>
          <w:kern w:val="0"/>
          <w:szCs w:val="21"/>
        </w:rPr>
        <w:t>6.2</w:t>
      </w:r>
      <w:r>
        <w:rPr>
          <w:rFonts w:hint="eastAsia"/>
          <w:b/>
          <w:bCs/>
          <w:color w:val="auto"/>
          <w:kern w:val="0"/>
          <w:szCs w:val="21"/>
        </w:rPr>
        <w:t>评审方法及依据</w:t>
      </w:r>
    </w:p>
    <w:p>
      <w:pPr>
        <w:snapToGrid w:val="0"/>
        <w:spacing w:before="120" w:line="360" w:lineRule="auto"/>
        <w:ind w:firstLine="420" w:firstLineChars="200"/>
        <w:rPr>
          <w:bCs/>
          <w:color w:val="auto"/>
          <w:kern w:val="0"/>
          <w:szCs w:val="21"/>
        </w:rPr>
      </w:pPr>
      <w:r>
        <w:rPr>
          <w:bCs/>
          <w:color w:val="auto"/>
          <w:kern w:val="0"/>
          <w:szCs w:val="21"/>
        </w:rPr>
        <w:t>6.2.1</w:t>
      </w:r>
      <w:r>
        <w:rPr>
          <w:rFonts w:hint="eastAsia"/>
          <w:bCs/>
          <w:color w:val="auto"/>
          <w:kern w:val="0"/>
          <w:szCs w:val="21"/>
        </w:rPr>
        <w:t>本项目采用第四章评审方法及标准规定的方法进行评审。</w:t>
      </w:r>
    </w:p>
    <w:p>
      <w:pPr>
        <w:suppressAutoHyphens/>
        <w:snapToGrid w:val="0"/>
        <w:spacing w:before="120" w:line="360" w:lineRule="auto"/>
        <w:ind w:firstLine="420" w:firstLineChars="200"/>
        <w:rPr>
          <w:bCs/>
          <w:color w:val="auto"/>
          <w:kern w:val="0"/>
          <w:szCs w:val="21"/>
        </w:rPr>
      </w:pPr>
      <w:r>
        <w:rPr>
          <w:bCs/>
          <w:color w:val="auto"/>
          <w:kern w:val="0"/>
          <w:szCs w:val="21"/>
        </w:rPr>
        <w:t>6.2.2</w:t>
      </w:r>
      <w:r>
        <w:rPr>
          <w:rFonts w:hint="eastAsia"/>
          <w:bCs/>
          <w:color w:val="auto"/>
          <w:kern w:val="0"/>
          <w:szCs w:val="21"/>
        </w:rPr>
        <w:t>磋商小组</w:t>
      </w:r>
      <w:r>
        <w:rPr>
          <w:color w:val="auto"/>
        </w:rPr>
        <w:t>以</w:t>
      </w:r>
      <w:r>
        <w:rPr>
          <w:rFonts w:hint="eastAsia"/>
          <w:color w:val="auto"/>
        </w:rPr>
        <w:t>采购</w:t>
      </w:r>
      <w:r>
        <w:rPr>
          <w:color w:val="auto"/>
        </w:rPr>
        <w:t>文件、补充文件、</w:t>
      </w:r>
      <w:r>
        <w:rPr>
          <w:rFonts w:hint="eastAsia"/>
          <w:color w:val="auto"/>
        </w:rPr>
        <w:t>响应</w:t>
      </w:r>
      <w:r>
        <w:rPr>
          <w:color w:val="auto"/>
        </w:rPr>
        <w:t>文件、澄清及答复为评审依据</w:t>
      </w:r>
      <w:r>
        <w:rPr>
          <w:rFonts w:hint="eastAsia"/>
          <w:color w:val="auto"/>
        </w:rPr>
        <w:t>，</w:t>
      </w:r>
      <w:r>
        <w:rPr>
          <w:rFonts w:hint="eastAsia"/>
          <w:bCs/>
          <w:color w:val="auto"/>
          <w:kern w:val="0"/>
          <w:szCs w:val="21"/>
        </w:rPr>
        <w:t>第四章评审方法及标准没有规定的评审方法、标准及因素，不得作为评审依据。</w:t>
      </w:r>
    </w:p>
    <w:p>
      <w:pPr>
        <w:snapToGrid w:val="0"/>
        <w:spacing w:before="120" w:line="360" w:lineRule="auto"/>
        <w:ind w:firstLine="422" w:firstLineChars="200"/>
        <w:outlineLvl w:val="2"/>
        <w:rPr>
          <w:b/>
          <w:bCs/>
          <w:color w:val="auto"/>
          <w:kern w:val="0"/>
          <w:szCs w:val="21"/>
        </w:rPr>
      </w:pPr>
      <w:r>
        <w:rPr>
          <w:b/>
          <w:bCs/>
          <w:color w:val="auto"/>
          <w:kern w:val="0"/>
          <w:szCs w:val="21"/>
        </w:rPr>
        <w:t>6.3评审</w:t>
      </w:r>
      <w:r>
        <w:rPr>
          <w:rFonts w:hint="eastAsia"/>
          <w:b/>
          <w:bCs/>
          <w:color w:val="auto"/>
          <w:kern w:val="0"/>
          <w:szCs w:val="21"/>
        </w:rPr>
        <w:t>程序</w:t>
      </w:r>
    </w:p>
    <w:p>
      <w:pPr>
        <w:snapToGrid w:val="0"/>
        <w:spacing w:before="120" w:line="360" w:lineRule="auto"/>
        <w:ind w:firstLine="420" w:firstLineChars="200"/>
        <w:rPr>
          <w:color w:val="auto"/>
        </w:rPr>
      </w:pPr>
      <w:r>
        <w:rPr>
          <w:color w:val="auto"/>
        </w:rPr>
        <w:t>6.</w:t>
      </w:r>
      <w:bookmarkStart w:id="46" w:name="_Hlk80956880"/>
      <w:bookmarkStart w:id="47" w:name="_Hlk19175507"/>
      <w:r>
        <w:rPr>
          <w:color w:val="auto"/>
        </w:rPr>
        <w:t>3.1</w:t>
      </w:r>
      <w:r>
        <w:rPr>
          <w:rFonts w:hint="eastAsia"/>
          <w:color w:val="auto"/>
        </w:rPr>
        <w:t>符合性审查</w:t>
      </w:r>
    </w:p>
    <w:p>
      <w:pPr>
        <w:snapToGrid w:val="0"/>
        <w:spacing w:before="120" w:line="360" w:lineRule="auto"/>
        <w:ind w:firstLine="420" w:firstLineChars="200"/>
        <w:rPr>
          <w:color w:val="auto"/>
          <w:szCs w:val="21"/>
        </w:rPr>
      </w:pPr>
      <w:r>
        <w:rPr>
          <w:bCs/>
          <w:color w:val="auto"/>
          <w:kern w:val="1"/>
          <w:szCs w:val="21"/>
        </w:rPr>
        <w:t>资格审查结束后，</w:t>
      </w:r>
      <w:r>
        <w:rPr>
          <w:rFonts w:hint="eastAsia" w:hAnsi="宋体"/>
          <w:color w:val="auto"/>
        </w:rPr>
        <w:t>磋商小组对</w:t>
      </w:r>
      <w:r>
        <w:rPr>
          <w:color w:val="auto"/>
        </w:rPr>
        <w:t>通过资格审查的供应商</w:t>
      </w:r>
      <w:r>
        <w:rPr>
          <w:rFonts w:hint="eastAsia" w:hAnsi="宋体"/>
          <w:color w:val="auto"/>
        </w:rPr>
        <w:t>的响应文件报价、商务资信、技术等方面实质性内容进行符合性审查，</w:t>
      </w:r>
      <w:r>
        <w:rPr>
          <w:rFonts w:hint="eastAsia"/>
          <w:color w:val="auto"/>
          <w:szCs w:val="21"/>
        </w:rPr>
        <w:t>符合性审查标准</w:t>
      </w:r>
      <w:r>
        <w:rPr>
          <w:color w:val="auto"/>
          <w:szCs w:val="21"/>
        </w:rPr>
        <w:t>详见第四章评审方法及标准。</w:t>
      </w:r>
    </w:p>
    <w:bookmarkEnd w:id="46"/>
    <w:bookmarkEnd w:id="47"/>
    <w:p>
      <w:pPr>
        <w:snapToGrid w:val="0"/>
        <w:spacing w:before="120" w:line="360" w:lineRule="auto"/>
        <w:ind w:firstLine="420" w:firstLineChars="200"/>
        <w:rPr>
          <w:color w:val="auto"/>
        </w:rPr>
      </w:pPr>
      <w:r>
        <w:rPr>
          <w:rFonts w:hint="eastAsia"/>
          <w:color w:val="auto"/>
          <w:szCs w:val="21"/>
        </w:rPr>
        <w:t>6</w:t>
      </w:r>
      <w:r>
        <w:rPr>
          <w:color w:val="auto"/>
          <w:szCs w:val="21"/>
        </w:rPr>
        <w:t>.3.2</w:t>
      </w:r>
      <w:bookmarkStart w:id="48" w:name="_Hlk19176155"/>
      <w:r>
        <w:rPr>
          <w:color w:val="auto"/>
        </w:rPr>
        <w:t>澄清、说明或补正</w:t>
      </w:r>
    </w:p>
    <w:p>
      <w:pPr>
        <w:snapToGrid w:val="0"/>
        <w:spacing w:before="120" w:line="360" w:lineRule="auto"/>
        <w:ind w:firstLine="420" w:firstLineChars="200"/>
        <w:rPr>
          <w:color w:val="auto"/>
        </w:rPr>
      </w:pPr>
      <w:r>
        <w:rPr>
          <w:rFonts w:hint="eastAsia"/>
          <w:color w:val="auto"/>
        </w:rPr>
        <w:t>（1）对响应文件中含义不明确、同类问题表述不一致或者有明显文字和计算错误的内容，磋商小组应在“政采云”平台发布电子澄清函，要求供应商在平台设置的时间内作出必要的澄清、说明或者补正。供应商在“政采云”平台接收到电子澄清函后根据澄清函内容直接在线编辑或上传PDF格式回函，电子澄清答复函使用CA证书加盖单位电子签章后提交至磋商小组。供应商的澄清、说明或者补正不得超出响应文件的范围或者改变响应文件的实质性内容。供应商未在规定时间内进行澄清、说明或者补正的，按无效响应处理。</w:t>
      </w:r>
    </w:p>
    <w:p>
      <w:pPr>
        <w:snapToGrid w:val="0"/>
        <w:spacing w:before="120" w:line="360" w:lineRule="auto"/>
        <w:ind w:firstLine="420" w:firstLineChars="200"/>
        <w:rPr>
          <w:color w:val="auto"/>
        </w:rPr>
      </w:pPr>
      <w:r>
        <w:rPr>
          <w:rFonts w:hint="eastAsia"/>
          <w:color w:val="auto"/>
        </w:rPr>
        <w:t>（2）异常情况处理：如遇无法正常使用线上发送澄清函的情况，将以书面形式执行。以书面形式执行的情况下，磋商小组以书面形式要求供应商在规定时间内作出必要的澄清、说明或者补正。供应商的澄清、说明或者补正必须采用书面形式，并加盖公章或者由法定代表人或者其授权的代表签字。</w:t>
      </w:r>
    </w:p>
    <w:p>
      <w:pPr>
        <w:snapToGrid w:val="0"/>
        <w:spacing w:before="120" w:line="360" w:lineRule="auto"/>
        <w:ind w:firstLine="420" w:firstLineChars="200"/>
        <w:rPr>
          <w:color w:val="auto"/>
        </w:rPr>
      </w:pPr>
      <w:r>
        <w:rPr>
          <w:color w:val="auto"/>
        </w:rPr>
        <w:t>6.3.</w:t>
      </w:r>
      <w:r>
        <w:rPr>
          <w:rFonts w:hint="eastAsia"/>
          <w:color w:val="auto"/>
        </w:rPr>
        <w:t>3报价</w:t>
      </w:r>
      <w:r>
        <w:rPr>
          <w:color w:val="auto"/>
        </w:rPr>
        <w:t>修正</w:t>
      </w:r>
    </w:p>
    <w:p>
      <w:pPr>
        <w:snapToGrid w:val="0"/>
        <w:spacing w:before="120" w:line="360" w:lineRule="auto"/>
        <w:ind w:firstLine="420" w:firstLineChars="200"/>
        <w:rPr>
          <w:color w:val="auto"/>
        </w:rPr>
      </w:pPr>
      <w:r>
        <w:rPr>
          <w:rFonts w:hint="eastAsia"/>
          <w:color w:val="auto"/>
        </w:rPr>
        <w:t>（1）报价出现前后不一致的，按照下列规定修正：</w:t>
      </w:r>
    </w:p>
    <w:p>
      <w:pPr>
        <w:snapToGrid w:val="0"/>
        <w:spacing w:before="120" w:line="360" w:lineRule="auto"/>
        <w:ind w:firstLine="420" w:firstLineChars="200"/>
        <w:rPr>
          <w:color w:val="auto"/>
          <w:szCs w:val="21"/>
        </w:rPr>
      </w:pPr>
      <w:r>
        <w:rPr>
          <w:rFonts w:hint="eastAsia" w:ascii="宋体" w:hAnsi="宋体"/>
          <w:color w:val="auto"/>
          <w:szCs w:val="21"/>
        </w:rPr>
        <w:t>①</w:t>
      </w:r>
      <w:r>
        <w:rPr>
          <w:color w:val="auto"/>
          <w:szCs w:val="21"/>
        </w:rPr>
        <w:t>响应文件中开标一览表（报价表）内容与响应文件中相应内容不一致的，以开标一览表（报价表）为准；</w:t>
      </w:r>
    </w:p>
    <w:p>
      <w:pPr>
        <w:snapToGrid w:val="0"/>
        <w:spacing w:before="120" w:line="360" w:lineRule="auto"/>
        <w:ind w:firstLine="420" w:firstLineChars="200"/>
        <w:rPr>
          <w:color w:val="auto"/>
          <w:szCs w:val="21"/>
        </w:rPr>
      </w:pPr>
      <w:r>
        <w:rPr>
          <w:rFonts w:ascii="宋体" w:hAnsi="宋体"/>
          <w:color w:val="auto"/>
          <w:szCs w:val="21"/>
        </w:rPr>
        <w:t>②</w:t>
      </w:r>
      <w:r>
        <w:rPr>
          <w:color w:val="auto"/>
          <w:szCs w:val="21"/>
        </w:rPr>
        <w:t>大写金额和小写金额不一致的，以大写金额为准；</w:t>
      </w:r>
    </w:p>
    <w:p>
      <w:pPr>
        <w:snapToGrid w:val="0"/>
        <w:spacing w:before="120" w:line="360" w:lineRule="auto"/>
        <w:ind w:firstLine="420" w:firstLineChars="200"/>
        <w:rPr>
          <w:color w:val="auto"/>
          <w:szCs w:val="21"/>
        </w:rPr>
      </w:pPr>
      <w:r>
        <w:rPr>
          <w:rFonts w:hint="eastAsia"/>
          <w:color w:val="auto"/>
          <w:szCs w:val="21"/>
        </w:rPr>
        <w:t>③</w:t>
      </w:r>
      <w:r>
        <w:rPr>
          <w:color w:val="auto"/>
          <w:szCs w:val="21"/>
        </w:rPr>
        <w:t>单价金额小数点或者百分比有明显错位的，以开标一览表的总价为准，并修改单价；</w:t>
      </w:r>
    </w:p>
    <w:p>
      <w:pPr>
        <w:snapToGrid w:val="0"/>
        <w:spacing w:before="120" w:line="360" w:lineRule="auto"/>
        <w:ind w:firstLine="420" w:firstLineChars="200"/>
        <w:rPr>
          <w:color w:val="auto"/>
          <w:szCs w:val="21"/>
        </w:rPr>
      </w:pPr>
      <w:r>
        <w:rPr>
          <w:rFonts w:hint="eastAsia"/>
          <w:color w:val="auto"/>
          <w:szCs w:val="21"/>
        </w:rPr>
        <w:t>④</w:t>
      </w:r>
      <w:r>
        <w:rPr>
          <w:color w:val="auto"/>
          <w:szCs w:val="21"/>
        </w:rPr>
        <w:t>总价金额与按单价汇总金额不一致的，以单价金额计算结果为准</w:t>
      </w:r>
      <w:r>
        <w:rPr>
          <w:rFonts w:hint="eastAsia"/>
          <w:color w:val="auto"/>
          <w:szCs w:val="21"/>
        </w:rPr>
        <w:t>。</w:t>
      </w:r>
    </w:p>
    <w:p>
      <w:pPr>
        <w:snapToGrid w:val="0"/>
        <w:spacing w:before="120" w:line="360" w:lineRule="auto"/>
        <w:ind w:firstLine="420" w:firstLineChars="200"/>
        <w:rPr>
          <w:color w:val="auto"/>
          <w:szCs w:val="21"/>
        </w:rPr>
      </w:pPr>
      <w:r>
        <w:rPr>
          <w:rFonts w:hint="eastAsia"/>
          <w:color w:val="auto"/>
          <w:szCs w:val="21"/>
        </w:rPr>
        <w:t>同时出现两种以上不一致的，按照上述</w:t>
      </w:r>
      <w:r>
        <w:rPr>
          <w:rFonts w:hint="eastAsia" w:ascii="宋体" w:hAnsi="宋体"/>
          <w:color w:val="auto"/>
          <w:szCs w:val="21"/>
        </w:rPr>
        <w:t>①-</w:t>
      </w:r>
      <w:r>
        <w:rPr>
          <w:rFonts w:hint="eastAsia"/>
          <w:color w:val="auto"/>
          <w:szCs w:val="21"/>
        </w:rPr>
        <w:t>④顺序修正。修正后的报价按照上述“</w:t>
      </w:r>
      <w:r>
        <w:rPr>
          <w:color w:val="auto"/>
          <w:szCs w:val="21"/>
        </w:rPr>
        <w:t>6.3.3</w:t>
      </w:r>
      <w:r>
        <w:rPr>
          <w:rFonts w:hint="eastAsia"/>
          <w:color w:val="auto"/>
          <w:szCs w:val="21"/>
        </w:rPr>
        <w:t>澄清、说明或补正”的规定经供应商确认后产生约束力，供应商不确认的，其响应无效。</w:t>
      </w:r>
    </w:p>
    <w:p>
      <w:pPr>
        <w:snapToGrid w:val="0"/>
        <w:spacing w:before="120" w:line="360" w:lineRule="auto"/>
        <w:ind w:firstLine="420" w:firstLineChars="200"/>
        <w:rPr>
          <w:color w:val="auto"/>
          <w:szCs w:val="21"/>
        </w:rPr>
      </w:pPr>
      <w:r>
        <w:rPr>
          <w:rFonts w:hint="eastAsia"/>
          <w:color w:val="auto"/>
          <w:szCs w:val="21"/>
        </w:rPr>
        <w:t>（</w:t>
      </w:r>
      <w:r>
        <w:rPr>
          <w:color w:val="auto"/>
          <w:szCs w:val="21"/>
        </w:rPr>
        <w:t>2</w:t>
      </w:r>
      <w:r>
        <w:rPr>
          <w:rFonts w:hint="eastAsia"/>
          <w:color w:val="auto"/>
          <w:szCs w:val="21"/>
        </w:rPr>
        <w:t>）经供应商确认修正后的报价若超过采购预算金额或者最高限价，其响应文件作无效响应处理。</w:t>
      </w:r>
    </w:p>
    <w:p>
      <w:pPr>
        <w:snapToGrid w:val="0"/>
        <w:spacing w:before="120" w:line="360" w:lineRule="auto"/>
        <w:ind w:firstLine="420" w:firstLineChars="200"/>
        <w:rPr>
          <w:color w:val="auto"/>
          <w:szCs w:val="21"/>
        </w:rPr>
      </w:pPr>
      <w:r>
        <w:rPr>
          <w:rFonts w:hint="eastAsia"/>
          <w:color w:val="auto"/>
          <w:szCs w:val="21"/>
        </w:rPr>
        <w:t>（</w:t>
      </w:r>
      <w:r>
        <w:rPr>
          <w:color w:val="auto"/>
          <w:szCs w:val="21"/>
        </w:rPr>
        <w:t>3</w:t>
      </w:r>
      <w:r>
        <w:rPr>
          <w:rFonts w:hint="eastAsia"/>
          <w:color w:val="auto"/>
          <w:szCs w:val="21"/>
        </w:rPr>
        <w:t>）经供应商确认修正后的报价作为签订合同的依据，并以此报价计算价格分。</w:t>
      </w:r>
    </w:p>
    <w:p>
      <w:pPr>
        <w:snapToGrid w:val="0"/>
        <w:spacing w:before="120" w:line="360" w:lineRule="auto"/>
        <w:ind w:firstLine="420" w:firstLineChars="200"/>
        <w:rPr>
          <w:color w:val="auto"/>
          <w:szCs w:val="21"/>
        </w:rPr>
      </w:pPr>
      <w:r>
        <w:rPr>
          <w:rFonts w:hint="eastAsia"/>
          <w:color w:val="auto"/>
          <w:szCs w:val="21"/>
        </w:rPr>
        <w:t>（</w:t>
      </w:r>
      <w:r>
        <w:rPr>
          <w:color w:val="auto"/>
          <w:szCs w:val="21"/>
        </w:rPr>
        <w:t>4</w:t>
      </w:r>
      <w:r>
        <w:rPr>
          <w:rFonts w:hint="eastAsia"/>
          <w:color w:val="auto"/>
          <w:szCs w:val="21"/>
        </w:rPr>
        <w:t>）如磋商过程中有多轮报价的，磋商小组在每一轮报价均应按上述规则修正报价。</w:t>
      </w:r>
    </w:p>
    <w:bookmarkEnd w:id="48"/>
    <w:p>
      <w:pPr>
        <w:snapToGrid w:val="0"/>
        <w:spacing w:before="120" w:line="360" w:lineRule="auto"/>
        <w:ind w:firstLine="420" w:firstLineChars="200"/>
        <w:rPr>
          <w:color w:val="auto"/>
        </w:rPr>
      </w:pPr>
      <w:r>
        <w:rPr>
          <w:color w:val="auto"/>
        </w:rPr>
        <w:t>6.3.</w:t>
      </w:r>
      <w:r>
        <w:rPr>
          <w:rFonts w:hint="eastAsia"/>
          <w:color w:val="auto"/>
        </w:rPr>
        <w:t>4磋商</w:t>
      </w:r>
    </w:p>
    <w:p>
      <w:pPr>
        <w:snapToGrid w:val="0"/>
        <w:spacing w:before="120" w:line="360" w:lineRule="auto"/>
        <w:ind w:firstLine="420" w:firstLineChars="200"/>
        <w:rPr>
          <w:color w:val="auto"/>
        </w:rPr>
      </w:pPr>
      <w:r>
        <w:rPr>
          <w:rFonts w:hint="eastAsia"/>
          <w:color w:val="auto"/>
        </w:rPr>
        <w:t>（1）磋商小组按照“供应商须知前附表” 确定的顺序，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pPr>
        <w:snapToGrid w:val="0"/>
        <w:spacing w:before="120" w:line="360" w:lineRule="auto"/>
        <w:ind w:firstLine="420" w:firstLineChars="200"/>
        <w:rPr>
          <w:color w:val="auto"/>
        </w:rPr>
      </w:pPr>
      <w:r>
        <w:rPr>
          <w:rFonts w:hint="eastAsia"/>
          <w:color w:val="auto"/>
        </w:rPr>
        <w:t>（2）在磋商过程中，磋商小组可以根据采购文件和磋商情况实质性变动采购需求中的技术、服务要求以及合同草案条款，但不得变动采购文件中的其他内容。实质性变动的内容，须经采购人代表确认。</w:t>
      </w:r>
    </w:p>
    <w:p>
      <w:pPr>
        <w:snapToGrid w:val="0"/>
        <w:spacing w:before="120" w:line="360" w:lineRule="auto"/>
        <w:ind w:firstLine="420" w:firstLineChars="200"/>
        <w:rPr>
          <w:color w:val="auto"/>
        </w:rPr>
      </w:pPr>
      <w:r>
        <w:rPr>
          <w:rFonts w:hint="eastAsia"/>
          <w:color w:val="auto"/>
        </w:rPr>
        <w:t>对采购文件作出的实质性变动是采购文件的有效组成部分，由磋商小组通过政采云平台以书面形式同时通知所有参加磋商的供应商。</w:t>
      </w:r>
    </w:p>
    <w:p>
      <w:pPr>
        <w:snapToGrid w:val="0"/>
        <w:spacing w:before="120" w:line="360" w:lineRule="auto"/>
        <w:ind w:firstLine="420" w:firstLineChars="200"/>
        <w:rPr>
          <w:color w:val="auto"/>
        </w:rPr>
      </w:pPr>
      <w:r>
        <w:rPr>
          <w:rFonts w:hint="eastAsia"/>
          <w:color w:val="auto"/>
        </w:rPr>
        <w:t>（3）供应商必须按照采购文件的变动情况和磋商小组的要求重新提交响应文件，并在政采云平台在线编辑或上传PDF格式，使用电子签章后提交至磋商小组。参加磋商的供应商未在规定时间内重新提交响应文件的，视同退出磋商。</w:t>
      </w:r>
    </w:p>
    <w:p>
      <w:pPr>
        <w:snapToGrid w:val="0"/>
        <w:spacing w:before="120" w:line="360" w:lineRule="auto"/>
        <w:ind w:firstLine="420" w:firstLineChars="200"/>
        <w:rPr>
          <w:color w:val="auto"/>
        </w:rPr>
      </w:pPr>
      <w:r>
        <w:rPr>
          <w:rFonts w:hint="eastAsia"/>
          <w:color w:val="auto"/>
        </w:rPr>
        <w:t>（4）供应商的法定代表人或其授权代表无须到现场参加磋商，提问及回答/响应均通过政采云平台进行。磋商过程中使用的电子签章应为供应商上传响应文件的同一签章。</w:t>
      </w:r>
    </w:p>
    <w:p>
      <w:pPr>
        <w:snapToGrid w:val="0"/>
        <w:spacing w:before="120" w:line="360" w:lineRule="auto"/>
        <w:ind w:firstLine="420" w:firstLineChars="200"/>
        <w:rPr>
          <w:color w:val="auto"/>
        </w:rPr>
      </w:pPr>
      <w:r>
        <w:rPr>
          <w:rFonts w:hint="eastAsia"/>
          <w:color w:val="auto"/>
        </w:rPr>
        <w:t>6</w:t>
      </w:r>
      <w:r>
        <w:rPr>
          <w:color w:val="auto"/>
        </w:rPr>
        <w:t>.3.</w:t>
      </w:r>
      <w:r>
        <w:rPr>
          <w:rFonts w:hint="eastAsia"/>
          <w:color w:val="auto"/>
        </w:rPr>
        <w:t>5最后报价</w:t>
      </w:r>
    </w:p>
    <w:p>
      <w:pPr>
        <w:snapToGrid w:val="0"/>
        <w:spacing w:before="120" w:line="360" w:lineRule="auto"/>
        <w:ind w:firstLine="420" w:firstLineChars="200"/>
        <w:rPr>
          <w:color w:val="auto"/>
        </w:rPr>
      </w:pPr>
      <w:r>
        <w:rPr>
          <w:rFonts w:hint="eastAsia"/>
          <w:color w:val="auto"/>
        </w:rPr>
        <w:t xml:space="preserve">（1）采购文件能够详细列明采购标的的技术、服务要求的，磋商结束后，磋商小组应当要求所有实质性响应的供应商在规定时间内提交最后报价，提交最后报价的供应商不得少于3家。 </w:t>
      </w:r>
    </w:p>
    <w:p>
      <w:pPr>
        <w:snapToGrid w:val="0"/>
        <w:spacing w:before="120" w:line="360" w:lineRule="auto"/>
        <w:ind w:firstLine="420" w:firstLineChars="200"/>
        <w:rPr>
          <w:color w:val="auto"/>
        </w:rPr>
      </w:pPr>
      <w:r>
        <w:rPr>
          <w:rFonts w:hint="eastAsia"/>
          <w:color w:val="auto"/>
        </w:rPr>
        <w:t>采购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pPr>
        <w:snapToGrid w:val="0"/>
        <w:spacing w:before="120" w:line="360" w:lineRule="auto"/>
        <w:ind w:firstLine="420" w:firstLineChars="200"/>
        <w:rPr>
          <w:color w:val="auto"/>
        </w:rPr>
      </w:pPr>
      <w:r>
        <w:rPr>
          <w:rFonts w:hint="eastAsia"/>
          <w:color w:val="auto"/>
        </w:rPr>
        <w:t>最后报价是供应商响应文件的有效组成部分。</w:t>
      </w:r>
    </w:p>
    <w:p>
      <w:pPr>
        <w:snapToGrid w:val="0"/>
        <w:spacing w:before="120" w:line="360" w:lineRule="auto"/>
        <w:ind w:firstLine="420" w:firstLineChars="200"/>
        <w:rPr>
          <w:color w:val="auto"/>
        </w:rPr>
      </w:pPr>
      <w:r>
        <w:rPr>
          <w:rFonts w:hint="eastAsia"/>
          <w:color w:val="auto"/>
        </w:rPr>
        <w:t>（2）最后报价要求通过政采云平台发出，供应商需在政采云平台设置的时间内报价，最后报价不得超过采购预算金额且具有唯一性，否则否决其响应。</w:t>
      </w:r>
    </w:p>
    <w:p>
      <w:pPr>
        <w:snapToGrid w:val="0"/>
        <w:spacing w:before="120" w:line="360" w:lineRule="auto"/>
        <w:ind w:firstLine="420" w:firstLineChars="200"/>
        <w:rPr>
          <w:color w:val="auto"/>
        </w:rPr>
      </w:pPr>
      <w:r>
        <w:rPr>
          <w:rFonts w:hint="eastAsia"/>
          <w:color w:val="auto"/>
        </w:rPr>
        <w:t>（</w:t>
      </w:r>
      <w:r>
        <w:rPr>
          <w:color w:val="auto"/>
        </w:rPr>
        <w:t>3</w:t>
      </w:r>
      <w:r>
        <w:rPr>
          <w:rFonts w:hint="eastAsia"/>
          <w:color w:val="auto"/>
        </w:rPr>
        <w:t>）已提交响应文件的供应商，在提交最后报价之前，可以根据磋商情况退出磋商。退出磋商的说明须经签字扫描后以电子邮件方式发送至采购代理机构，并及时通知项目负责人。磋商小组在评审报告中注明退出磋商的供应商名单。</w:t>
      </w:r>
    </w:p>
    <w:p>
      <w:pPr>
        <w:snapToGrid w:val="0"/>
        <w:spacing w:before="120" w:line="360" w:lineRule="auto"/>
        <w:ind w:firstLine="420" w:firstLineChars="200"/>
        <w:rPr>
          <w:color w:val="auto"/>
        </w:rPr>
      </w:pPr>
      <w:r>
        <w:rPr>
          <w:rFonts w:hint="eastAsia"/>
          <w:color w:val="auto"/>
        </w:rPr>
        <w:t>注：“市场竞争不充分的科研项目、需要扶持的科技</w:t>
      </w:r>
      <w:r>
        <w:rPr>
          <w:rFonts w:hint="eastAsia" w:ascii="宋体" w:hAnsi="宋体" w:cs="宋体"/>
          <w:color w:val="auto"/>
          <w:szCs w:val="21"/>
        </w:rPr>
        <w:t>成果转化项目、政府购买服务项目（含政府和社会资本合作项目），提交最后报价的供应商可以为2家。</w:t>
      </w:r>
    </w:p>
    <w:p>
      <w:pPr>
        <w:snapToGrid w:val="0"/>
        <w:spacing w:before="120" w:line="360" w:lineRule="auto"/>
        <w:ind w:firstLine="420" w:firstLineChars="200"/>
        <w:rPr>
          <w:color w:val="auto"/>
          <w:szCs w:val="21"/>
        </w:rPr>
      </w:pPr>
      <w:r>
        <w:rPr>
          <w:color w:val="auto"/>
          <w:szCs w:val="21"/>
        </w:rPr>
        <w:t>6.3.</w:t>
      </w:r>
      <w:r>
        <w:rPr>
          <w:rFonts w:hint="eastAsia"/>
          <w:color w:val="auto"/>
          <w:szCs w:val="21"/>
        </w:rPr>
        <w:t>6</w:t>
      </w:r>
      <w:r>
        <w:rPr>
          <w:color w:val="auto"/>
          <w:szCs w:val="21"/>
        </w:rPr>
        <w:t>串通投标认定</w:t>
      </w:r>
    </w:p>
    <w:p>
      <w:pPr>
        <w:snapToGrid w:val="0"/>
        <w:spacing w:before="120" w:line="360" w:lineRule="auto"/>
        <w:ind w:firstLine="420" w:firstLineChars="200"/>
        <w:rPr>
          <w:color w:val="auto"/>
        </w:rPr>
      </w:pPr>
      <w:r>
        <w:rPr>
          <w:color w:val="auto"/>
          <w:szCs w:val="21"/>
        </w:rPr>
        <w:t>磋商小组须根据</w:t>
      </w:r>
      <w:r>
        <w:rPr>
          <w:rFonts w:hint="eastAsia"/>
          <w:color w:val="auto"/>
          <w:szCs w:val="21"/>
        </w:rPr>
        <w:t>以下</w:t>
      </w:r>
      <w:r>
        <w:rPr>
          <w:color w:val="auto"/>
          <w:szCs w:val="21"/>
        </w:rPr>
        <w:t>规定</w:t>
      </w:r>
      <w:r>
        <w:rPr>
          <w:rFonts w:hint="eastAsia"/>
          <w:color w:val="auto"/>
          <w:szCs w:val="21"/>
        </w:rPr>
        <w:t>认定</w:t>
      </w:r>
      <w:r>
        <w:rPr>
          <w:color w:val="auto"/>
          <w:szCs w:val="21"/>
        </w:rPr>
        <w:t>供应商是否有</w:t>
      </w:r>
      <w:r>
        <w:rPr>
          <w:bCs/>
          <w:color w:val="auto"/>
          <w:kern w:val="0"/>
          <w:szCs w:val="21"/>
        </w:rPr>
        <w:t>串通投标的行为</w:t>
      </w:r>
      <w:r>
        <w:rPr>
          <w:color w:val="auto"/>
        </w:rPr>
        <w:t>。</w:t>
      </w:r>
    </w:p>
    <w:p>
      <w:pPr>
        <w:snapToGrid w:val="0"/>
        <w:spacing w:before="120" w:line="360" w:lineRule="auto"/>
        <w:ind w:firstLine="420" w:firstLineChars="200"/>
        <w:rPr>
          <w:color w:val="auto"/>
          <w:szCs w:val="21"/>
        </w:rPr>
      </w:pPr>
      <w:bookmarkStart w:id="49" w:name="_Hlk19122026"/>
      <w:r>
        <w:rPr>
          <w:rFonts w:hint="eastAsia"/>
          <w:color w:val="auto"/>
          <w:szCs w:val="21"/>
        </w:rPr>
        <w:t>（1）</w:t>
      </w:r>
      <w:bookmarkEnd w:id="49"/>
      <w:r>
        <w:rPr>
          <w:color w:val="auto"/>
          <w:szCs w:val="21"/>
        </w:rPr>
        <w:t>根据《关于防治政府采购招标中串通投标行为的通知》</w:t>
      </w:r>
      <w:r>
        <w:rPr>
          <w:rFonts w:hint="eastAsia"/>
          <w:color w:val="auto"/>
          <w:szCs w:val="21"/>
        </w:rPr>
        <w:t>（</w:t>
      </w:r>
      <w:r>
        <w:rPr>
          <w:color w:val="auto"/>
          <w:szCs w:val="21"/>
        </w:rPr>
        <w:t>桂财采[2016]42号</w:t>
      </w:r>
      <w:r>
        <w:rPr>
          <w:rFonts w:hint="eastAsia"/>
          <w:color w:val="auto"/>
          <w:szCs w:val="21"/>
        </w:rPr>
        <w:t>）</w:t>
      </w:r>
      <w:r>
        <w:rPr>
          <w:color w:val="auto"/>
          <w:szCs w:val="21"/>
        </w:rPr>
        <w:t>规定，出现下述情况的，相关供应商的投标作无效投标处理。</w:t>
      </w:r>
    </w:p>
    <w:p>
      <w:pPr>
        <w:snapToGrid w:val="0"/>
        <w:spacing w:before="120" w:line="360" w:lineRule="auto"/>
        <w:ind w:firstLine="420" w:firstLineChars="200"/>
        <w:rPr>
          <w:color w:val="auto"/>
          <w:szCs w:val="21"/>
        </w:rPr>
      </w:pPr>
      <w:bookmarkStart w:id="50" w:name="_Hlk19122039"/>
      <w:r>
        <w:rPr>
          <w:rFonts w:hint="eastAsia" w:ascii="宋体" w:hAnsi="宋体" w:cs="宋体"/>
          <w:color w:val="auto"/>
          <w:szCs w:val="21"/>
        </w:rPr>
        <w:t>①</w:t>
      </w:r>
      <w:r>
        <w:rPr>
          <w:color w:val="auto"/>
          <w:szCs w:val="21"/>
        </w:rPr>
        <w:t>单位负责人为同一人或者存在直接控股、管理关系，参加同一合同项下政府采购活动的不同供应商。</w:t>
      </w:r>
    </w:p>
    <w:p>
      <w:pPr>
        <w:snapToGrid w:val="0"/>
        <w:spacing w:before="120" w:line="360" w:lineRule="auto"/>
        <w:ind w:firstLine="420" w:firstLineChars="200"/>
        <w:rPr>
          <w:color w:val="auto"/>
          <w:szCs w:val="21"/>
        </w:rPr>
      </w:pPr>
      <w:r>
        <w:rPr>
          <w:rFonts w:hint="eastAsia"/>
          <w:color w:val="auto"/>
          <w:szCs w:val="21"/>
        </w:rPr>
        <w:t>②</w:t>
      </w:r>
      <w:r>
        <w:rPr>
          <w:color w:val="auto"/>
          <w:szCs w:val="21"/>
        </w:rPr>
        <w:t>授权给供应商后参加同一合同项（分标、分包）投标的生产厂商。</w:t>
      </w:r>
    </w:p>
    <w:p>
      <w:pPr>
        <w:snapToGrid w:val="0"/>
        <w:spacing w:before="120" w:line="360" w:lineRule="auto"/>
        <w:ind w:firstLine="420" w:firstLineChars="200"/>
        <w:rPr>
          <w:color w:val="auto"/>
          <w:szCs w:val="21"/>
        </w:rPr>
      </w:pPr>
      <w:r>
        <w:rPr>
          <w:rFonts w:hint="eastAsia"/>
          <w:color w:val="auto"/>
          <w:szCs w:val="21"/>
        </w:rPr>
        <w:t>③</w:t>
      </w:r>
      <w:r>
        <w:rPr>
          <w:color w:val="auto"/>
          <w:szCs w:val="21"/>
        </w:rPr>
        <w:t>视为或被认定为串通投标的相关供应商。</w:t>
      </w:r>
    </w:p>
    <w:bookmarkEnd w:id="50"/>
    <w:p>
      <w:pPr>
        <w:snapToGrid w:val="0"/>
        <w:spacing w:before="120" w:line="360" w:lineRule="auto"/>
        <w:ind w:firstLine="420" w:firstLineChars="200"/>
        <w:rPr>
          <w:color w:val="auto"/>
          <w:szCs w:val="21"/>
        </w:rPr>
      </w:pPr>
      <w:bookmarkStart w:id="51" w:name="_Hlk19122058"/>
      <w:r>
        <w:rPr>
          <w:rFonts w:hint="eastAsia"/>
          <w:color w:val="auto"/>
          <w:szCs w:val="21"/>
        </w:rPr>
        <w:t>（2）</w:t>
      </w:r>
      <w:bookmarkEnd w:id="51"/>
      <w:r>
        <w:rPr>
          <w:color w:val="auto"/>
          <w:szCs w:val="21"/>
        </w:rPr>
        <w:t>根据《关于防治政府采购招标中串通投标行为的通知》</w:t>
      </w:r>
      <w:r>
        <w:rPr>
          <w:rFonts w:hint="eastAsia"/>
          <w:color w:val="auto"/>
          <w:szCs w:val="21"/>
        </w:rPr>
        <w:t>（</w:t>
      </w:r>
      <w:r>
        <w:rPr>
          <w:color w:val="auto"/>
          <w:szCs w:val="21"/>
        </w:rPr>
        <w:t>桂财采[2016]42号</w:t>
      </w:r>
      <w:r>
        <w:rPr>
          <w:rFonts w:hint="eastAsia"/>
          <w:color w:val="auto"/>
          <w:szCs w:val="21"/>
        </w:rPr>
        <w:t>）</w:t>
      </w:r>
      <w:r>
        <w:rPr>
          <w:color w:val="auto"/>
          <w:szCs w:val="21"/>
        </w:rPr>
        <w:t>规定，有下列情形之一的视为供应商相互串通投标，响应文件将被视为无效。</w:t>
      </w:r>
    </w:p>
    <w:p>
      <w:pPr>
        <w:snapToGrid w:val="0"/>
        <w:spacing w:before="120" w:line="360" w:lineRule="auto"/>
        <w:ind w:firstLine="420" w:firstLineChars="200"/>
        <w:rPr>
          <w:color w:val="auto"/>
          <w:szCs w:val="21"/>
        </w:rPr>
      </w:pPr>
      <w:bookmarkStart w:id="52" w:name="_Hlk19122048"/>
      <w:r>
        <w:rPr>
          <w:rFonts w:hint="eastAsia" w:ascii="宋体" w:hAnsi="宋体" w:cs="宋体"/>
          <w:color w:val="auto"/>
          <w:szCs w:val="21"/>
        </w:rPr>
        <w:t>①</w:t>
      </w:r>
      <w:r>
        <w:rPr>
          <w:color w:val="auto"/>
          <w:szCs w:val="21"/>
        </w:rPr>
        <w:t>不同供应商的响应文件由同一单位或者个人编制；或不同供应商报名的IP地址一致的；</w:t>
      </w:r>
    </w:p>
    <w:p>
      <w:pPr>
        <w:snapToGrid w:val="0"/>
        <w:spacing w:before="120" w:line="360" w:lineRule="auto"/>
        <w:ind w:firstLine="420" w:firstLineChars="200"/>
        <w:rPr>
          <w:color w:val="auto"/>
          <w:szCs w:val="21"/>
        </w:rPr>
      </w:pPr>
      <w:r>
        <w:rPr>
          <w:rFonts w:hint="eastAsia"/>
          <w:color w:val="auto"/>
          <w:szCs w:val="21"/>
        </w:rPr>
        <w:t>②</w:t>
      </w:r>
      <w:r>
        <w:rPr>
          <w:color w:val="auto"/>
          <w:szCs w:val="21"/>
        </w:rPr>
        <w:t>不同供应商委托同一单位或者个人办理投标事宜；</w:t>
      </w:r>
    </w:p>
    <w:p>
      <w:pPr>
        <w:snapToGrid w:val="0"/>
        <w:spacing w:before="120" w:line="360" w:lineRule="auto"/>
        <w:ind w:firstLine="420" w:firstLineChars="200"/>
        <w:rPr>
          <w:color w:val="auto"/>
          <w:szCs w:val="21"/>
        </w:rPr>
      </w:pPr>
      <w:r>
        <w:rPr>
          <w:rFonts w:hint="eastAsia"/>
          <w:color w:val="auto"/>
          <w:szCs w:val="21"/>
        </w:rPr>
        <w:t>③</w:t>
      </w:r>
      <w:r>
        <w:rPr>
          <w:color w:val="auto"/>
          <w:szCs w:val="21"/>
        </w:rPr>
        <w:t>不同的供应商的响应文件载明的项目管理员为同一个人；</w:t>
      </w:r>
    </w:p>
    <w:p>
      <w:pPr>
        <w:snapToGrid w:val="0"/>
        <w:spacing w:before="120" w:line="360" w:lineRule="auto"/>
        <w:ind w:firstLine="420" w:firstLineChars="200"/>
        <w:rPr>
          <w:color w:val="auto"/>
          <w:szCs w:val="21"/>
        </w:rPr>
      </w:pPr>
      <w:r>
        <w:rPr>
          <w:rFonts w:hint="eastAsia"/>
          <w:color w:val="auto"/>
          <w:szCs w:val="21"/>
        </w:rPr>
        <w:t>④</w:t>
      </w:r>
      <w:r>
        <w:rPr>
          <w:color w:val="auto"/>
          <w:szCs w:val="21"/>
        </w:rPr>
        <w:t>不同供应商的响应文件异常一致或投标报价呈规律性差异；</w:t>
      </w:r>
    </w:p>
    <w:p>
      <w:pPr>
        <w:snapToGrid w:val="0"/>
        <w:spacing w:before="120" w:line="360" w:lineRule="auto"/>
        <w:ind w:firstLine="420" w:firstLineChars="200"/>
        <w:rPr>
          <w:color w:val="auto"/>
          <w:szCs w:val="21"/>
        </w:rPr>
      </w:pPr>
      <w:r>
        <w:rPr>
          <w:rFonts w:hint="eastAsia"/>
          <w:color w:val="auto"/>
          <w:szCs w:val="21"/>
        </w:rPr>
        <w:t>⑤</w:t>
      </w:r>
      <w:r>
        <w:rPr>
          <w:color w:val="auto"/>
          <w:szCs w:val="21"/>
        </w:rPr>
        <w:t>不同供应商的响应文件相互混装；</w:t>
      </w:r>
    </w:p>
    <w:p>
      <w:pPr>
        <w:snapToGrid w:val="0"/>
        <w:spacing w:before="120" w:line="360" w:lineRule="auto"/>
        <w:ind w:firstLine="420" w:firstLineChars="200"/>
        <w:rPr>
          <w:color w:val="auto"/>
          <w:szCs w:val="21"/>
        </w:rPr>
      </w:pPr>
      <w:r>
        <w:rPr>
          <w:rFonts w:hint="eastAsia"/>
          <w:color w:val="auto"/>
          <w:szCs w:val="21"/>
        </w:rPr>
        <w:t>⑥</w:t>
      </w:r>
      <w:r>
        <w:rPr>
          <w:color w:val="auto"/>
          <w:szCs w:val="21"/>
        </w:rPr>
        <w:t>不同供应商的保证金从同一单位或者个人账户转出。</w:t>
      </w:r>
    </w:p>
    <w:bookmarkEnd w:id="52"/>
    <w:p>
      <w:pPr>
        <w:snapToGrid w:val="0"/>
        <w:spacing w:before="120" w:line="360" w:lineRule="auto"/>
        <w:ind w:firstLine="420" w:firstLineChars="200"/>
        <w:rPr>
          <w:color w:val="auto"/>
          <w:szCs w:val="21"/>
        </w:rPr>
      </w:pPr>
      <w:bookmarkStart w:id="53" w:name="_Hlk19122102"/>
      <w:r>
        <w:rPr>
          <w:rFonts w:hint="eastAsia"/>
          <w:color w:val="auto"/>
          <w:szCs w:val="21"/>
        </w:rPr>
        <w:t>（3）</w:t>
      </w:r>
      <w:bookmarkEnd w:id="53"/>
      <w:r>
        <w:rPr>
          <w:color w:val="auto"/>
          <w:szCs w:val="21"/>
        </w:rPr>
        <w:t>根据《关于防治政府采购招标中串通投标行为的通知》</w:t>
      </w:r>
      <w:r>
        <w:rPr>
          <w:rFonts w:hint="eastAsia"/>
          <w:color w:val="auto"/>
          <w:szCs w:val="21"/>
        </w:rPr>
        <w:t>（</w:t>
      </w:r>
      <w:r>
        <w:rPr>
          <w:color w:val="auto"/>
          <w:szCs w:val="21"/>
        </w:rPr>
        <w:t>桂财采[2016]42号</w:t>
      </w:r>
      <w:r>
        <w:rPr>
          <w:rFonts w:hint="eastAsia"/>
          <w:color w:val="auto"/>
          <w:szCs w:val="21"/>
        </w:rPr>
        <w:t>）</w:t>
      </w:r>
      <w:r>
        <w:rPr>
          <w:color w:val="auto"/>
          <w:szCs w:val="21"/>
        </w:rPr>
        <w:t>规定，供应商有下列情形之一的，属于恶意串通行为，响应文件将被视为无效。</w:t>
      </w:r>
    </w:p>
    <w:p>
      <w:pPr>
        <w:snapToGrid w:val="0"/>
        <w:spacing w:before="120" w:line="360" w:lineRule="auto"/>
        <w:ind w:firstLine="420" w:firstLineChars="200"/>
        <w:rPr>
          <w:color w:val="auto"/>
          <w:szCs w:val="21"/>
        </w:rPr>
      </w:pPr>
      <w:bookmarkStart w:id="54" w:name="_Hlk19122095"/>
      <w:r>
        <w:rPr>
          <w:rFonts w:hint="eastAsia"/>
          <w:color w:val="auto"/>
          <w:szCs w:val="21"/>
        </w:rPr>
        <w:t>①</w:t>
      </w:r>
      <w:r>
        <w:rPr>
          <w:color w:val="auto"/>
          <w:szCs w:val="21"/>
        </w:rPr>
        <w:t>供应商直接或者间接从采购人或者采购代理机构处获得其他供应商的相关信息并修改其响应文件或者响应文件；</w:t>
      </w:r>
    </w:p>
    <w:p>
      <w:pPr>
        <w:snapToGrid w:val="0"/>
        <w:spacing w:before="120" w:line="360" w:lineRule="auto"/>
        <w:ind w:firstLine="420" w:firstLineChars="200"/>
        <w:rPr>
          <w:color w:val="auto"/>
          <w:szCs w:val="21"/>
        </w:rPr>
      </w:pPr>
      <w:r>
        <w:rPr>
          <w:rFonts w:hint="eastAsia"/>
          <w:color w:val="auto"/>
          <w:szCs w:val="21"/>
        </w:rPr>
        <w:t>②</w:t>
      </w:r>
      <w:r>
        <w:rPr>
          <w:color w:val="auto"/>
          <w:szCs w:val="21"/>
        </w:rPr>
        <w:t>供应商按照采购人或者采购代理机构的授意撤换、修改响应文件或者响应文件;；</w:t>
      </w:r>
    </w:p>
    <w:p>
      <w:pPr>
        <w:snapToGrid w:val="0"/>
        <w:spacing w:before="120" w:line="360" w:lineRule="auto"/>
        <w:ind w:firstLine="420" w:firstLineChars="200"/>
        <w:rPr>
          <w:color w:val="auto"/>
          <w:szCs w:val="21"/>
        </w:rPr>
      </w:pPr>
      <w:r>
        <w:rPr>
          <w:rFonts w:hint="eastAsia"/>
          <w:color w:val="auto"/>
          <w:szCs w:val="21"/>
        </w:rPr>
        <w:t>③</w:t>
      </w:r>
      <w:r>
        <w:rPr>
          <w:color w:val="auto"/>
          <w:szCs w:val="21"/>
        </w:rPr>
        <w:t>供应商之间协商报价、技术方案等响应文件或者响应文件的实质性内容；</w:t>
      </w:r>
    </w:p>
    <w:p>
      <w:pPr>
        <w:snapToGrid w:val="0"/>
        <w:spacing w:before="120" w:line="360" w:lineRule="auto"/>
        <w:ind w:firstLine="420" w:firstLineChars="200"/>
        <w:rPr>
          <w:color w:val="auto"/>
          <w:szCs w:val="21"/>
        </w:rPr>
      </w:pPr>
      <w:r>
        <w:rPr>
          <w:rFonts w:hint="eastAsia"/>
          <w:color w:val="auto"/>
          <w:szCs w:val="21"/>
        </w:rPr>
        <w:t>④</w:t>
      </w:r>
      <w:r>
        <w:rPr>
          <w:color w:val="auto"/>
          <w:szCs w:val="21"/>
        </w:rPr>
        <w:t>属于同一集团、协会、商会等组织成员的供应商按照该组织要求协同参加政府采购活动；</w:t>
      </w:r>
    </w:p>
    <w:p>
      <w:pPr>
        <w:snapToGrid w:val="0"/>
        <w:spacing w:before="120" w:line="360" w:lineRule="auto"/>
        <w:ind w:firstLine="420" w:firstLineChars="200"/>
        <w:rPr>
          <w:color w:val="auto"/>
          <w:szCs w:val="21"/>
        </w:rPr>
      </w:pPr>
      <w:r>
        <w:rPr>
          <w:rFonts w:hint="eastAsia"/>
          <w:color w:val="auto"/>
          <w:szCs w:val="21"/>
        </w:rPr>
        <w:t>⑤</w:t>
      </w:r>
      <w:r>
        <w:rPr>
          <w:color w:val="auto"/>
          <w:szCs w:val="21"/>
        </w:rPr>
        <w:t>供应商之间事先约定一致抬高或者压低投标报价，或者在招标项目中事先约定轮流以高价位或者低价位中标，或者事先约定由某一特定供应商中标，然后再参加投标；</w:t>
      </w:r>
    </w:p>
    <w:p>
      <w:pPr>
        <w:snapToGrid w:val="0"/>
        <w:spacing w:before="120" w:line="360" w:lineRule="auto"/>
        <w:ind w:firstLine="420" w:firstLineChars="200"/>
        <w:rPr>
          <w:color w:val="auto"/>
          <w:szCs w:val="21"/>
        </w:rPr>
      </w:pPr>
      <w:r>
        <w:rPr>
          <w:rFonts w:hint="eastAsia"/>
          <w:color w:val="auto"/>
          <w:szCs w:val="21"/>
        </w:rPr>
        <w:t>⑥</w:t>
      </w:r>
      <w:r>
        <w:rPr>
          <w:color w:val="auto"/>
          <w:szCs w:val="21"/>
        </w:rPr>
        <w:t>供应商之间商定部分供应商放弃参加政府采购活动或者放弃中标；</w:t>
      </w:r>
    </w:p>
    <w:p>
      <w:pPr>
        <w:snapToGrid w:val="0"/>
        <w:spacing w:before="120" w:line="360" w:lineRule="auto"/>
        <w:ind w:firstLine="420" w:firstLineChars="200"/>
        <w:rPr>
          <w:color w:val="auto"/>
          <w:szCs w:val="21"/>
        </w:rPr>
      </w:pPr>
      <w:r>
        <w:rPr>
          <w:rFonts w:hint="eastAsia"/>
          <w:color w:val="auto"/>
          <w:szCs w:val="21"/>
        </w:rPr>
        <w:t>⑦</w:t>
      </w:r>
      <w:r>
        <w:rPr>
          <w:color w:val="auto"/>
          <w:szCs w:val="21"/>
        </w:rPr>
        <w:t>供应商与采购人或者采购代理机构之间、供应商相互之间，为谋求特定供应商中标或者排斥其他供应商的其他串通行为。</w:t>
      </w:r>
    </w:p>
    <w:bookmarkEnd w:id="54"/>
    <w:p>
      <w:pPr>
        <w:snapToGrid w:val="0"/>
        <w:spacing w:before="120" w:line="360" w:lineRule="auto"/>
        <w:ind w:firstLine="420" w:firstLineChars="200"/>
        <w:rPr>
          <w:color w:val="auto"/>
          <w:szCs w:val="21"/>
        </w:rPr>
      </w:pPr>
      <w:r>
        <w:rPr>
          <w:color w:val="auto"/>
          <w:szCs w:val="21"/>
        </w:rPr>
        <w:t>6.3.</w:t>
      </w:r>
      <w:r>
        <w:rPr>
          <w:rFonts w:hint="eastAsia"/>
          <w:color w:val="auto"/>
          <w:szCs w:val="21"/>
        </w:rPr>
        <w:t>7</w:t>
      </w:r>
      <w:r>
        <w:rPr>
          <w:color w:val="auto"/>
          <w:szCs w:val="21"/>
        </w:rPr>
        <w:t>响应</w:t>
      </w:r>
      <w:r>
        <w:rPr>
          <w:rFonts w:hint="eastAsia"/>
          <w:color w:val="auto"/>
          <w:szCs w:val="21"/>
        </w:rPr>
        <w:t>无效</w:t>
      </w:r>
      <w:r>
        <w:rPr>
          <w:color w:val="auto"/>
          <w:szCs w:val="21"/>
        </w:rPr>
        <w:t>认定</w:t>
      </w:r>
    </w:p>
    <w:p>
      <w:pPr>
        <w:snapToGrid w:val="0"/>
        <w:spacing w:before="120" w:line="360" w:lineRule="auto"/>
        <w:ind w:firstLine="420" w:firstLineChars="200"/>
        <w:rPr>
          <w:color w:val="auto"/>
          <w:szCs w:val="21"/>
        </w:rPr>
      </w:pPr>
      <w:r>
        <w:rPr>
          <w:rFonts w:hint="eastAsia"/>
          <w:color w:val="auto"/>
          <w:szCs w:val="21"/>
        </w:rPr>
        <w:t>（</w:t>
      </w:r>
      <w:r>
        <w:rPr>
          <w:color w:val="auto"/>
          <w:szCs w:val="21"/>
        </w:rPr>
        <w:t>1）在</w:t>
      </w:r>
      <w:r>
        <w:rPr>
          <w:rFonts w:hint="eastAsia"/>
          <w:color w:val="auto"/>
          <w:szCs w:val="21"/>
        </w:rPr>
        <w:t>评审过程中</w:t>
      </w:r>
      <w:r>
        <w:rPr>
          <w:color w:val="auto"/>
          <w:szCs w:val="21"/>
        </w:rPr>
        <w:t>如发现下列情形之一的，响应文件将被视为无效：</w:t>
      </w:r>
    </w:p>
    <w:p>
      <w:pPr>
        <w:snapToGrid w:val="0"/>
        <w:spacing w:before="120" w:line="360" w:lineRule="auto"/>
        <w:ind w:firstLine="420" w:firstLineChars="200"/>
        <w:rPr>
          <w:color w:val="auto"/>
        </w:rPr>
      </w:pPr>
      <w:r>
        <w:rPr>
          <w:rFonts w:hint="eastAsia"/>
          <w:color w:val="auto"/>
          <w:szCs w:val="21"/>
        </w:rPr>
        <w:t>①</w:t>
      </w:r>
      <w:r>
        <w:rPr>
          <w:color w:val="auto"/>
          <w:szCs w:val="21"/>
        </w:rPr>
        <w:t>响应文件</w:t>
      </w:r>
      <w:r>
        <w:rPr>
          <w:rFonts w:hint="eastAsia"/>
          <w:color w:val="auto"/>
          <w:szCs w:val="21"/>
        </w:rPr>
        <w:t>存在法律、法规及监督部门有关文件规定的无效情形</w:t>
      </w:r>
      <w:r>
        <w:rPr>
          <w:color w:val="auto"/>
          <w:szCs w:val="21"/>
        </w:rPr>
        <w:t>。</w:t>
      </w:r>
    </w:p>
    <w:p>
      <w:pPr>
        <w:snapToGrid w:val="0"/>
        <w:spacing w:before="120" w:line="360" w:lineRule="auto"/>
        <w:ind w:firstLine="420" w:firstLineChars="200"/>
        <w:rPr>
          <w:color w:val="auto"/>
          <w:szCs w:val="21"/>
        </w:rPr>
      </w:pPr>
      <w:r>
        <w:rPr>
          <w:rFonts w:hint="eastAsia"/>
          <w:color w:val="auto"/>
          <w:szCs w:val="21"/>
        </w:rPr>
        <w:t>②</w:t>
      </w:r>
      <w:r>
        <w:rPr>
          <w:color w:val="auto"/>
          <w:szCs w:val="21"/>
        </w:rPr>
        <w:t>响应文件</w:t>
      </w:r>
      <w:r>
        <w:rPr>
          <w:rFonts w:hint="eastAsia"/>
          <w:color w:val="auto"/>
          <w:szCs w:val="21"/>
        </w:rPr>
        <w:t>存在采购文件规定的无效情形。</w:t>
      </w:r>
    </w:p>
    <w:p>
      <w:pPr>
        <w:snapToGrid w:val="0"/>
        <w:spacing w:before="120" w:line="360" w:lineRule="auto"/>
        <w:ind w:firstLine="420" w:firstLineChars="200"/>
        <w:rPr>
          <w:color w:val="auto"/>
          <w:szCs w:val="21"/>
        </w:rPr>
      </w:pPr>
      <w:bookmarkStart w:id="55" w:name="_Hlk19113313"/>
      <w:r>
        <w:rPr>
          <w:rFonts w:hint="eastAsia"/>
          <w:color w:val="auto"/>
          <w:szCs w:val="21"/>
        </w:rPr>
        <w:t>（2）根据</w:t>
      </w:r>
      <w:r>
        <w:rPr>
          <w:color w:val="auto"/>
          <w:szCs w:val="21"/>
        </w:rPr>
        <w:t>财库</w:t>
      </w:r>
      <w:r>
        <w:rPr>
          <w:rFonts w:hint="eastAsia"/>
          <w:color w:val="auto"/>
          <w:szCs w:val="21"/>
        </w:rPr>
        <w:t>《</w:t>
      </w:r>
      <w:r>
        <w:rPr>
          <w:color w:val="auto"/>
          <w:szCs w:val="21"/>
        </w:rPr>
        <w:t>关于促进政府采购公平竞争优化营商环境的通知</w:t>
      </w:r>
      <w:r>
        <w:rPr>
          <w:rFonts w:hint="eastAsia"/>
          <w:color w:val="auto"/>
          <w:szCs w:val="21"/>
        </w:rPr>
        <w:t>》（</w:t>
      </w:r>
      <w:r>
        <w:rPr>
          <w:color w:val="auto"/>
          <w:szCs w:val="21"/>
        </w:rPr>
        <w:t>〔2019〕38号</w:t>
      </w:r>
      <w:r>
        <w:rPr>
          <w:rFonts w:hint="eastAsia"/>
          <w:color w:val="auto"/>
          <w:szCs w:val="21"/>
        </w:rPr>
        <w:t>）以及《广西壮族自治区财政厅转发财政部关于促进政府采购公平竞争优化营商环境的通知》（桂财采〔2019〕41号）规定，磋商小组不得因装订、纸张、文件排序等非实质性的格式、形式问题认定投标无效或否决投标，从而限制和影响供应商投标（响应）。</w:t>
      </w:r>
    </w:p>
    <w:bookmarkEnd w:id="55"/>
    <w:p>
      <w:pPr>
        <w:snapToGrid w:val="0"/>
        <w:spacing w:before="120" w:line="360" w:lineRule="auto"/>
        <w:ind w:firstLine="420" w:firstLineChars="200"/>
        <w:rPr>
          <w:color w:val="auto"/>
          <w:szCs w:val="21"/>
        </w:rPr>
      </w:pPr>
      <w:bookmarkStart w:id="56" w:name="_Hlk19113363"/>
      <w:r>
        <w:rPr>
          <w:color w:val="auto"/>
          <w:szCs w:val="21"/>
        </w:rPr>
        <w:t>6.3.</w:t>
      </w:r>
      <w:r>
        <w:rPr>
          <w:rFonts w:hint="eastAsia"/>
          <w:color w:val="auto"/>
          <w:szCs w:val="21"/>
        </w:rPr>
        <w:t>8</w:t>
      </w:r>
      <w:r>
        <w:rPr>
          <w:color w:val="auto"/>
          <w:szCs w:val="21"/>
        </w:rPr>
        <w:t>比较与评价</w:t>
      </w:r>
    </w:p>
    <w:p>
      <w:pPr>
        <w:snapToGrid w:val="0"/>
        <w:spacing w:before="120" w:line="360" w:lineRule="auto"/>
        <w:ind w:firstLine="420" w:firstLineChars="200"/>
        <w:rPr>
          <w:color w:val="auto"/>
          <w:szCs w:val="21"/>
        </w:rPr>
      </w:pPr>
      <w:r>
        <w:rPr>
          <w:rFonts w:hint="eastAsia"/>
          <w:color w:val="auto"/>
          <w:szCs w:val="21"/>
        </w:rPr>
        <w:t>（1）磋商小组</w:t>
      </w:r>
      <w:r>
        <w:rPr>
          <w:color w:val="auto"/>
          <w:szCs w:val="21"/>
        </w:rPr>
        <w:t>按采购文件中规定的评审方法和标准，</w:t>
      </w:r>
      <w:r>
        <w:rPr>
          <w:rFonts w:hint="eastAsia"/>
          <w:color w:val="auto"/>
          <w:szCs w:val="21"/>
        </w:rPr>
        <w:t>对提交最后报价的供应商的响应文件和最后报价进行综合评分。</w:t>
      </w:r>
    </w:p>
    <w:p>
      <w:pPr>
        <w:snapToGrid w:val="0"/>
        <w:spacing w:before="120" w:line="360" w:lineRule="auto"/>
        <w:ind w:firstLine="420" w:firstLineChars="200"/>
        <w:rPr>
          <w:color w:val="auto"/>
          <w:szCs w:val="21"/>
        </w:rPr>
      </w:pPr>
      <w:r>
        <w:rPr>
          <w:rFonts w:hint="eastAsia"/>
          <w:color w:val="auto"/>
          <w:szCs w:val="21"/>
        </w:rPr>
        <w:t>（2）</w:t>
      </w:r>
      <w:r>
        <w:rPr>
          <w:color w:val="auto"/>
          <w:szCs w:val="21"/>
        </w:rPr>
        <w:t>磋商小组各成员独立对每个有效供应商的响应文件进行评价</w:t>
      </w:r>
      <w:r>
        <w:rPr>
          <w:rFonts w:hint="eastAsia"/>
          <w:color w:val="auto"/>
          <w:szCs w:val="21"/>
        </w:rPr>
        <w:t>、打分。评价打分</w:t>
      </w:r>
      <w:r>
        <w:rPr>
          <w:color w:val="auto"/>
          <w:szCs w:val="21"/>
        </w:rPr>
        <w:t>有误的应及时进行修正。</w:t>
      </w:r>
      <w:r>
        <w:rPr>
          <w:rFonts w:hint="eastAsia"/>
          <w:color w:val="auto"/>
          <w:szCs w:val="21"/>
        </w:rPr>
        <w:t>评分</w:t>
      </w:r>
      <w:r>
        <w:rPr>
          <w:color w:val="auto"/>
          <w:szCs w:val="21"/>
        </w:rPr>
        <w:t>标准如有客观分定义，磋商小组所有成员的客观分</w:t>
      </w:r>
      <w:r>
        <w:rPr>
          <w:rFonts w:hint="eastAsia"/>
          <w:color w:val="auto"/>
          <w:szCs w:val="21"/>
        </w:rPr>
        <w:t>评分分值</w:t>
      </w:r>
      <w:r>
        <w:rPr>
          <w:color w:val="auto"/>
          <w:szCs w:val="21"/>
        </w:rPr>
        <w:t>应当一致。</w:t>
      </w:r>
    </w:p>
    <w:p>
      <w:pPr>
        <w:snapToGrid w:val="0"/>
        <w:spacing w:before="120" w:line="360" w:lineRule="auto"/>
        <w:ind w:firstLine="420" w:firstLineChars="200"/>
        <w:rPr>
          <w:color w:val="auto"/>
          <w:szCs w:val="21"/>
        </w:rPr>
      </w:pPr>
      <w:r>
        <w:rPr>
          <w:rFonts w:hint="eastAsia"/>
          <w:color w:val="auto"/>
          <w:szCs w:val="21"/>
        </w:rPr>
        <w:t>（3）磋商小组</w:t>
      </w:r>
      <w:r>
        <w:rPr>
          <w:color w:val="auto"/>
          <w:szCs w:val="21"/>
        </w:rPr>
        <w:t>按</w:t>
      </w:r>
      <w:r>
        <w:rPr>
          <w:rFonts w:hint="eastAsia"/>
          <w:color w:val="auto"/>
          <w:szCs w:val="21"/>
        </w:rPr>
        <w:t>综合评</w:t>
      </w:r>
      <w:r>
        <w:rPr>
          <w:color w:val="auto"/>
          <w:szCs w:val="21"/>
        </w:rPr>
        <w:t>分由高到低的排列顺序推荐综合</w:t>
      </w:r>
      <w:r>
        <w:rPr>
          <w:rFonts w:hint="eastAsia"/>
          <w:color w:val="auto"/>
          <w:szCs w:val="21"/>
        </w:rPr>
        <w:t>评</w:t>
      </w:r>
      <w:r>
        <w:rPr>
          <w:color w:val="auto"/>
          <w:szCs w:val="21"/>
        </w:rPr>
        <w:t>分排名第一的为第一中标候选人。若中标候选人综合</w:t>
      </w:r>
      <w:r>
        <w:rPr>
          <w:rFonts w:hint="eastAsia"/>
          <w:color w:val="auto"/>
          <w:szCs w:val="21"/>
        </w:rPr>
        <w:t>评</w:t>
      </w:r>
      <w:r>
        <w:rPr>
          <w:color w:val="auto"/>
          <w:szCs w:val="21"/>
        </w:rPr>
        <w:t>分相同的，按</w:t>
      </w:r>
      <w:r>
        <w:rPr>
          <w:rFonts w:hint="eastAsia"/>
          <w:color w:val="auto"/>
          <w:szCs w:val="21"/>
        </w:rPr>
        <w:t>最后</w:t>
      </w:r>
      <w:r>
        <w:rPr>
          <w:color w:val="auto"/>
          <w:szCs w:val="21"/>
        </w:rPr>
        <w:t>报价由低到高顺序排列；综合</w:t>
      </w:r>
      <w:r>
        <w:rPr>
          <w:rFonts w:hint="eastAsia"/>
          <w:color w:val="auto"/>
          <w:szCs w:val="21"/>
        </w:rPr>
        <w:t>评</w:t>
      </w:r>
      <w:r>
        <w:rPr>
          <w:color w:val="auto"/>
          <w:szCs w:val="21"/>
        </w:rPr>
        <w:t>分且</w:t>
      </w:r>
      <w:r>
        <w:rPr>
          <w:rFonts w:hint="eastAsia"/>
          <w:color w:val="auto"/>
          <w:szCs w:val="21"/>
        </w:rPr>
        <w:t>最后</w:t>
      </w:r>
      <w:r>
        <w:rPr>
          <w:color w:val="auto"/>
          <w:szCs w:val="21"/>
        </w:rPr>
        <w:t>报价相同的</w:t>
      </w:r>
      <w:r>
        <w:rPr>
          <w:color w:val="auto"/>
        </w:rPr>
        <w:t>并列</w:t>
      </w:r>
      <w:r>
        <w:rPr>
          <w:color w:val="auto"/>
          <w:szCs w:val="21"/>
        </w:rPr>
        <w:t>；中标候选人并列的，按技术部分</w:t>
      </w:r>
      <w:r>
        <w:rPr>
          <w:rFonts w:hint="eastAsia"/>
          <w:color w:val="auto"/>
          <w:szCs w:val="21"/>
        </w:rPr>
        <w:t>评</w:t>
      </w:r>
      <w:r>
        <w:rPr>
          <w:color w:val="auto"/>
          <w:szCs w:val="21"/>
        </w:rPr>
        <w:t>分由高到低顺序排列，若综合评分、</w:t>
      </w:r>
      <w:r>
        <w:rPr>
          <w:rFonts w:hint="eastAsia"/>
          <w:color w:val="auto"/>
          <w:szCs w:val="21"/>
        </w:rPr>
        <w:t>最后</w:t>
      </w:r>
      <w:r>
        <w:rPr>
          <w:color w:val="auto"/>
          <w:szCs w:val="21"/>
        </w:rPr>
        <w:t>报价、技术部分</w:t>
      </w:r>
      <w:r>
        <w:rPr>
          <w:rFonts w:hint="eastAsia"/>
          <w:color w:val="auto"/>
          <w:szCs w:val="21"/>
        </w:rPr>
        <w:t>评分</w:t>
      </w:r>
      <w:r>
        <w:rPr>
          <w:color w:val="auto"/>
          <w:szCs w:val="21"/>
        </w:rPr>
        <w:t>均相同的，按商务</w:t>
      </w:r>
      <w:r>
        <w:rPr>
          <w:rFonts w:hint="eastAsia"/>
          <w:color w:val="auto"/>
          <w:szCs w:val="21"/>
        </w:rPr>
        <w:t>资信</w:t>
      </w:r>
      <w:r>
        <w:rPr>
          <w:color w:val="auto"/>
          <w:szCs w:val="21"/>
        </w:rPr>
        <w:t>部分</w:t>
      </w:r>
      <w:r>
        <w:rPr>
          <w:rFonts w:hint="eastAsia"/>
          <w:color w:val="auto"/>
          <w:szCs w:val="21"/>
        </w:rPr>
        <w:t>评</w:t>
      </w:r>
      <w:r>
        <w:rPr>
          <w:color w:val="auto"/>
          <w:szCs w:val="21"/>
        </w:rPr>
        <w:t>分由高到低顺序排列。</w:t>
      </w:r>
    </w:p>
    <w:p>
      <w:pPr>
        <w:snapToGrid w:val="0"/>
        <w:spacing w:before="120" w:line="360" w:lineRule="auto"/>
        <w:ind w:firstLine="420" w:firstLineChars="200"/>
        <w:rPr>
          <w:color w:val="auto"/>
        </w:rPr>
      </w:pPr>
      <w:r>
        <w:rPr>
          <w:rFonts w:hint="eastAsia"/>
          <w:color w:val="auto"/>
          <w:szCs w:val="21"/>
        </w:rPr>
        <w:t>（</w:t>
      </w:r>
      <w:r>
        <w:rPr>
          <w:color w:val="auto"/>
          <w:szCs w:val="21"/>
        </w:rPr>
        <w:t>4</w:t>
      </w:r>
      <w:r>
        <w:rPr>
          <w:rFonts w:hint="eastAsia"/>
          <w:color w:val="auto"/>
          <w:szCs w:val="21"/>
        </w:rPr>
        <w:t>）磋商小组根据评审记录及评审结果编写评审报告，磋商小组成员均应当在评审报告上签字，对自己的评审意见承担法律责任。</w:t>
      </w:r>
      <w:r>
        <w:rPr>
          <w:color w:val="auto"/>
        </w:rPr>
        <w:t>评审报告签署前，经复核发现存在以</w:t>
      </w:r>
      <w:r>
        <w:rPr>
          <w:rFonts w:hint="eastAsia"/>
          <w:color w:val="auto"/>
        </w:rPr>
        <w:t>下</w:t>
      </w:r>
      <w:r>
        <w:rPr>
          <w:color w:val="auto"/>
        </w:rPr>
        <w:t>情形之一的，磋商小组应当当场修改评审结果，并在评审报告中记载；评审报告签署后，采购人或者采购代理机构发现存在以</w:t>
      </w:r>
      <w:r>
        <w:rPr>
          <w:rFonts w:hint="eastAsia"/>
          <w:color w:val="auto"/>
        </w:rPr>
        <w:t>下</w:t>
      </w:r>
      <w:r>
        <w:rPr>
          <w:color w:val="auto"/>
        </w:rPr>
        <w:t>情形之一的，应当组织原磋商小组进行重新评审。</w:t>
      </w:r>
    </w:p>
    <w:p>
      <w:pPr>
        <w:snapToGrid w:val="0"/>
        <w:spacing w:before="120" w:line="360" w:lineRule="auto"/>
        <w:ind w:firstLine="420" w:firstLineChars="200"/>
        <w:rPr>
          <w:color w:val="auto"/>
        </w:rPr>
      </w:pPr>
      <w:r>
        <w:rPr>
          <w:rFonts w:hint="eastAsia"/>
          <w:color w:val="auto"/>
        </w:rPr>
        <w:t>资格性检查认定错误、分值汇总计算错误、分项评分超出评分标准范围、客观分评分不一致、经磋商小组一致认定评分畸高、畸低。</w:t>
      </w:r>
    </w:p>
    <w:bookmarkEnd w:id="56"/>
    <w:p>
      <w:pPr>
        <w:snapToGrid w:val="0"/>
        <w:spacing w:before="120" w:line="360" w:lineRule="auto"/>
        <w:ind w:firstLine="422" w:firstLineChars="200"/>
        <w:outlineLvl w:val="2"/>
        <w:rPr>
          <w:b/>
          <w:bCs/>
          <w:color w:val="auto"/>
          <w:kern w:val="0"/>
          <w:szCs w:val="21"/>
        </w:rPr>
      </w:pPr>
      <w:r>
        <w:rPr>
          <w:b/>
          <w:bCs/>
          <w:color w:val="auto"/>
          <w:kern w:val="0"/>
          <w:szCs w:val="21"/>
        </w:rPr>
        <w:t>6.4确定成交供应商</w:t>
      </w:r>
    </w:p>
    <w:p>
      <w:pPr>
        <w:snapToGrid w:val="0"/>
        <w:spacing w:before="120" w:line="360" w:lineRule="auto"/>
        <w:ind w:firstLine="420" w:firstLineChars="200"/>
        <w:rPr>
          <w:color w:val="auto"/>
          <w:szCs w:val="21"/>
        </w:rPr>
      </w:pPr>
      <w:r>
        <w:rPr>
          <w:rFonts w:hint="eastAsia"/>
          <w:color w:val="auto"/>
          <w:szCs w:val="21"/>
        </w:rPr>
        <w:t>6.4</w:t>
      </w:r>
      <w:r>
        <w:rPr>
          <w:color w:val="auto"/>
          <w:szCs w:val="21"/>
        </w:rPr>
        <w:t>.1采购代理机构在评审结束后2个工作日内将评审报告送采购人，采购人在5个工作日内按照评审报告中推荐的成交候选供应商顺序确定成交供应商。</w:t>
      </w:r>
    </w:p>
    <w:p>
      <w:pPr>
        <w:snapToGrid w:val="0"/>
        <w:spacing w:before="120" w:line="360" w:lineRule="auto"/>
        <w:ind w:firstLine="420" w:firstLineChars="200"/>
        <w:rPr>
          <w:color w:val="auto"/>
          <w:szCs w:val="21"/>
        </w:rPr>
      </w:pPr>
      <w:r>
        <w:rPr>
          <w:color w:val="auto"/>
          <w:szCs w:val="21"/>
        </w:rPr>
        <w:t>6.4.2</w:t>
      </w:r>
      <w:r>
        <w:rPr>
          <w:rFonts w:hint="eastAsia"/>
          <w:color w:val="auto"/>
          <w:szCs w:val="21"/>
        </w:rPr>
        <w:t>采购人、采购代理机构认为供应商对采购过程、成交结果提出的质疑成立且影响或者可能影响成交结果的，合格供应商符合法定数量时，可以从合格的成交候选供应商中另行确定成交供应商的，应当依法另行确定成交供应商；否则应当重新开展采购活动。</w:t>
      </w:r>
    </w:p>
    <w:p>
      <w:pPr>
        <w:snapToGrid w:val="0"/>
        <w:spacing w:before="120" w:line="360" w:lineRule="auto"/>
        <w:ind w:firstLine="422" w:firstLineChars="200"/>
        <w:outlineLvl w:val="2"/>
        <w:rPr>
          <w:b/>
          <w:bCs/>
          <w:color w:val="auto"/>
          <w:kern w:val="0"/>
          <w:szCs w:val="21"/>
        </w:rPr>
      </w:pPr>
      <w:r>
        <w:rPr>
          <w:b/>
          <w:bCs/>
          <w:color w:val="auto"/>
          <w:kern w:val="0"/>
          <w:szCs w:val="21"/>
        </w:rPr>
        <w:t>6.5</w:t>
      </w:r>
      <w:r>
        <w:rPr>
          <w:rFonts w:hint="eastAsia"/>
          <w:b/>
          <w:bCs/>
          <w:color w:val="auto"/>
          <w:kern w:val="0"/>
          <w:szCs w:val="21"/>
        </w:rPr>
        <w:t>结果公告</w:t>
      </w:r>
    </w:p>
    <w:p>
      <w:pPr>
        <w:snapToGrid w:val="0"/>
        <w:spacing w:before="120" w:line="360" w:lineRule="auto"/>
        <w:ind w:firstLine="420" w:firstLineChars="200"/>
        <w:rPr>
          <w:color w:val="auto"/>
          <w:szCs w:val="21"/>
        </w:rPr>
      </w:pPr>
      <w:r>
        <w:rPr>
          <w:rFonts w:hint="eastAsia"/>
          <w:color w:val="auto"/>
          <w:szCs w:val="21"/>
        </w:rPr>
        <w:t>6</w:t>
      </w:r>
      <w:r>
        <w:rPr>
          <w:color w:val="auto"/>
          <w:szCs w:val="21"/>
        </w:rPr>
        <w:t>.5.1自成交供应商确定后2个工作日内，采购代理机构</w:t>
      </w:r>
      <w:r>
        <w:rPr>
          <w:rFonts w:hint="eastAsia"/>
          <w:color w:val="auto"/>
          <w:szCs w:val="21"/>
        </w:rPr>
        <w:t>按照供应商须知</w:t>
      </w:r>
      <w:r>
        <w:rPr>
          <w:rFonts w:hint="eastAsia"/>
          <w:color w:val="auto"/>
          <w:kern w:val="0"/>
          <w:szCs w:val="21"/>
        </w:rPr>
        <w:t>前附表的规定</w:t>
      </w:r>
      <w:r>
        <w:rPr>
          <w:color w:val="auto"/>
          <w:kern w:val="0"/>
          <w:szCs w:val="21"/>
        </w:rPr>
        <w:t>公告</w:t>
      </w:r>
      <w:r>
        <w:rPr>
          <w:color w:val="auto"/>
          <w:szCs w:val="21"/>
        </w:rPr>
        <w:t>成交结果。</w:t>
      </w:r>
    </w:p>
    <w:p>
      <w:pPr>
        <w:snapToGrid w:val="0"/>
        <w:spacing w:before="120" w:line="360" w:lineRule="auto"/>
        <w:ind w:firstLine="420" w:firstLineChars="200"/>
        <w:rPr>
          <w:color w:val="auto"/>
          <w:szCs w:val="21"/>
        </w:rPr>
      </w:pPr>
      <w:r>
        <w:rPr>
          <w:rFonts w:hint="eastAsia"/>
          <w:color w:val="auto"/>
          <w:szCs w:val="21"/>
        </w:rPr>
        <w:t>6</w:t>
      </w:r>
      <w:r>
        <w:rPr>
          <w:color w:val="auto"/>
          <w:szCs w:val="21"/>
        </w:rPr>
        <w:t>.5.2在发布</w:t>
      </w:r>
      <w:r>
        <w:rPr>
          <w:rFonts w:hint="eastAsia"/>
          <w:color w:val="auto"/>
          <w:szCs w:val="21"/>
        </w:rPr>
        <w:t>结果</w:t>
      </w:r>
      <w:r>
        <w:rPr>
          <w:color w:val="auto"/>
          <w:szCs w:val="21"/>
        </w:rPr>
        <w:t>公告的同时，采购代理机构以供应商须知前附表规定的形式向成交供应商发出成交通知书。成交通知书发出后，采购人改变成交结果，或者成交供应商放弃成交，应当承担相应的法律责任。</w:t>
      </w:r>
    </w:p>
    <w:p>
      <w:pPr>
        <w:suppressAutoHyphens/>
        <w:snapToGrid w:val="0"/>
        <w:spacing w:before="120" w:line="360" w:lineRule="auto"/>
        <w:ind w:firstLine="422" w:firstLineChars="200"/>
        <w:outlineLvl w:val="2"/>
        <w:rPr>
          <w:b/>
          <w:bCs/>
          <w:color w:val="auto"/>
          <w:kern w:val="0"/>
          <w:szCs w:val="21"/>
        </w:rPr>
      </w:pPr>
      <w:r>
        <w:rPr>
          <w:b/>
          <w:bCs/>
          <w:color w:val="auto"/>
          <w:kern w:val="0"/>
          <w:szCs w:val="21"/>
        </w:rPr>
        <w:t>6.6</w:t>
      </w:r>
      <w:r>
        <w:rPr>
          <w:rFonts w:hint="eastAsia"/>
          <w:b/>
          <w:bCs/>
          <w:color w:val="auto"/>
          <w:kern w:val="0"/>
          <w:szCs w:val="21"/>
        </w:rPr>
        <w:t>废标</w:t>
      </w:r>
    </w:p>
    <w:p>
      <w:pPr>
        <w:snapToGrid w:val="0"/>
        <w:spacing w:before="120" w:line="360" w:lineRule="auto"/>
        <w:ind w:firstLine="420" w:firstLineChars="200"/>
        <w:rPr>
          <w:color w:val="auto"/>
          <w:kern w:val="1"/>
          <w:szCs w:val="21"/>
        </w:rPr>
      </w:pPr>
      <w:r>
        <w:rPr>
          <w:color w:val="auto"/>
          <w:kern w:val="1"/>
          <w:szCs w:val="21"/>
        </w:rPr>
        <w:t>6.6.1</w:t>
      </w:r>
      <w:r>
        <w:rPr>
          <w:rFonts w:hint="eastAsia"/>
          <w:color w:val="auto"/>
          <w:kern w:val="1"/>
          <w:szCs w:val="21"/>
        </w:rPr>
        <w:t xml:space="preserve">出现下列情形之一，将导致项目废标： </w:t>
      </w:r>
    </w:p>
    <w:p>
      <w:pPr>
        <w:snapToGrid w:val="0"/>
        <w:spacing w:before="120" w:line="360" w:lineRule="auto"/>
        <w:ind w:firstLine="420" w:firstLineChars="200"/>
        <w:rPr>
          <w:color w:val="auto"/>
          <w:szCs w:val="21"/>
        </w:rPr>
      </w:pPr>
      <w:r>
        <w:rPr>
          <w:rFonts w:hint="eastAsia"/>
          <w:color w:val="auto"/>
          <w:kern w:val="1"/>
          <w:szCs w:val="21"/>
        </w:rPr>
        <w:t>（1</w:t>
      </w:r>
      <w:r>
        <w:rPr>
          <w:rFonts w:hint="eastAsia"/>
          <w:color w:val="auto"/>
          <w:szCs w:val="21"/>
        </w:rPr>
        <w:t>）符合专业条件的供应商或者对采购文件做实质性响应的供应商不足三家；</w:t>
      </w:r>
    </w:p>
    <w:p>
      <w:pPr>
        <w:snapToGrid w:val="0"/>
        <w:spacing w:before="120" w:line="360" w:lineRule="auto"/>
        <w:ind w:firstLine="420" w:firstLineChars="200"/>
        <w:rPr>
          <w:color w:val="auto"/>
          <w:szCs w:val="21"/>
        </w:rPr>
      </w:pPr>
      <w:r>
        <w:rPr>
          <w:rFonts w:hint="eastAsia"/>
          <w:color w:val="auto"/>
          <w:szCs w:val="21"/>
        </w:rPr>
        <w:t>（2）出现影响采购公正的违法、违规行为的；</w:t>
      </w:r>
    </w:p>
    <w:p>
      <w:pPr>
        <w:snapToGrid w:val="0"/>
        <w:spacing w:before="120" w:line="360" w:lineRule="auto"/>
        <w:ind w:firstLine="420" w:firstLineChars="200"/>
        <w:rPr>
          <w:color w:val="auto"/>
          <w:szCs w:val="21"/>
        </w:rPr>
      </w:pPr>
      <w:r>
        <w:rPr>
          <w:rFonts w:hint="eastAsia"/>
          <w:color w:val="auto"/>
          <w:szCs w:val="21"/>
        </w:rPr>
        <w:t>（3）供应商的报价均超过了采购预算，采购人不能支付的；</w:t>
      </w:r>
    </w:p>
    <w:p>
      <w:pPr>
        <w:snapToGrid w:val="0"/>
        <w:spacing w:before="120" w:line="360" w:lineRule="auto"/>
        <w:ind w:firstLine="420" w:firstLineChars="200"/>
        <w:rPr>
          <w:color w:val="auto"/>
        </w:rPr>
      </w:pPr>
      <w:r>
        <w:rPr>
          <w:rFonts w:hint="eastAsia"/>
          <w:color w:val="auto"/>
          <w:szCs w:val="21"/>
        </w:rPr>
        <w:t>（4）</w:t>
      </w:r>
      <w:r>
        <w:rPr>
          <w:rFonts w:hint="eastAsia"/>
          <w:color w:val="auto"/>
        </w:rPr>
        <w:t>因发生重大变故或采购任务取消的。</w:t>
      </w:r>
    </w:p>
    <w:p>
      <w:pPr>
        <w:snapToGrid w:val="0"/>
        <w:spacing w:before="120" w:line="360" w:lineRule="auto"/>
        <w:ind w:firstLine="420" w:firstLineChars="200"/>
        <w:rPr>
          <w:color w:val="auto"/>
          <w:szCs w:val="21"/>
        </w:rPr>
      </w:pPr>
      <w:r>
        <w:rPr>
          <w:color w:val="auto"/>
          <w:kern w:val="1"/>
          <w:szCs w:val="21"/>
        </w:rPr>
        <w:t>6.6.2</w:t>
      </w:r>
      <w:r>
        <w:rPr>
          <w:rFonts w:hint="eastAsia"/>
          <w:color w:val="auto"/>
          <w:kern w:val="1"/>
          <w:szCs w:val="21"/>
        </w:rPr>
        <w:t>废标后</w:t>
      </w:r>
      <w:r>
        <w:rPr>
          <w:rFonts w:hint="eastAsia"/>
          <w:color w:val="auto"/>
          <w:szCs w:val="21"/>
        </w:rPr>
        <w:t>采购</w:t>
      </w:r>
      <w:r>
        <w:rPr>
          <w:rFonts w:hint="eastAsia"/>
          <w:color w:val="auto"/>
          <w:kern w:val="1"/>
          <w:szCs w:val="21"/>
        </w:rPr>
        <w:t>代理机构将发布废标公告通知供应商。</w:t>
      </w:r>
    </w:p>
    <w:p>
      <w:pPr>
        <w:snapToGrid w:val="0"/>
        <w:spacing w:before="120" w:line="360" w:lineRule="auto"/>
        <w:ind w:left="2" w:leftChars="1" w:firstLine="422" w:firstLineChars="200"/>
        <w:outlineLvl w:val="1"/>
        <w:rPr>
          <w:b/>
          <w:bCs/>
          <w:color w:val="auto"/>
          <w:kern w:val="0"/>
          <w:szCs w:val="21"/>
        </w:rPr>
      </w:pPr>
      <w:r>
        <w:rPr>
          <w:b/>
          <w:bCs/>
          <w:color w:val="auto"/>
          <w:kern w:val="0"/>
          <w:szCs w:val="21"/>
        </w:rPr>
        <w:t>7．合同</w:t>
      </w:r>
    </w:p>
    <w:p>
      <w:pPr>
        <w:snapToGrid w:val="0"/>
        <w:spacing w:before="120" w:line="360" w:lineRule="auto"/>
        <w:ind w:firstLine="422" w:firstLineChars="200"/>
        <w:outlineLvl w:val="2"/>
        <w:rPr>
          <w:b/>
          <w:bCs/>
          <w:color w:val="auto"/>
          <w:kern w:val="0"/>
          <w:szCs w:val="21"/>
        </w:rPr>
      </w:pPr>
      <w:r>
        <w:rPr>
          <w:b/>
          <w:bCs/>
          <w:color w:val="auto"/>
          <w:kern w:val="0"/>
          <w:szCs w:val="21"/>
        </w:rPr>
        <w:t>7.1合同授予标准</w:t>
      </w:r>
    </w:p>
    <w:p>
      <w:pPr>
        <w:snapToGrid w:val="0"/>
        <w:spacing w:before="120" w:line="360" w:lineRule="auto"/>
        <w:ind w:firstLine="420" w:firstLineChars="200"/>
        <w:rPr>
          <w:color w:val="auto"/>
          <w:szCs w:val="21"/>
        </w:rPr>
      </w:pPr>
      <w:r>
        <w:rPr>
          <w:color w:val="auto"/>
          <w:szCs w:val="21"/>
        </w:rPr>
        <w:t>合同将授予被确定实质上响应采购文件要求，具备履行合同能力，综合评分排名第一的供应商。在</w:t>
      </w:r>
      <w:r>
        <w:rPr>
          <w:rFonts w:hint="eastAsia"/>
          <w:color w:val="auto"/>
          <w:szCs w:val="21"/>
        </w:rPr>
        <w:t>成交通知书</w:t>
      </w:r>
      <w:r>
        <w:rPr>
          <w:color w:val="auto"/>
          <w:szCs w:val="21"/>
        </w:rPr>
        <w:t>发出前或签订合同前，如果</w:t>
      </w:r>
      <w:r>
        <w:rPr>
          <w:rFonts w:hint="eastAsia"/>
          <w:color w:val="auto"/>
          <w:szCs w:val="21"/>
        </w:rPr>
        <w:t>成交供应商</w:t>
      </w:r>
      <w:r>
        <w:rPr>
          <w:color w:val="auto"/>
          <w:szCs w:val="21"/>
        </w:rPr>
        <w:t>的组织机构</w:t>
      </w:r>
      <w:r>
        <w:rPr>
          <w:rFonts w:hint="eastAsia"/>
          <w:color w:val="auto"/>
          <w:szCs w:val="21"/>
        </w:rPr>
        <w:t>、</w:t>
      </w:r>
      <w:r>
        <w:rPr>
          <w:color w:val="auto"/>
          <w:szCs w:val="21"/>
        </w:rPr>
        <w:t>经营、财务状况发生较大变化，可能造成不能履行合同、无法按照</w:t>
      </w:r>
      <w:r>
        <w:rPr>
          <w:rFonts w:hint="eastAsia"/>
          <w:color w:val="auto"/>
          <w:szCs w:val="21"/>
        </w:rPr>
        <w:t>采购文件</w:t>
      </w:r>
      <w:r>
        <w:rPr>
          <w:color w:val="auto"/>
          <w:szCs w:val="21"/>
        </w:rPr>
        <w:t>要求提交履约保证金等情形，不符合成交条件或不满足供应商资格条件要求 ，应在</w:t>
      </w:r>
      <w:r>
        <w:rPr>
          <w:rFonts w:hint="eastAsia"/>
          <w:color w:val="auto"/>
          <w:szCs w:val="21"/>
        </w:rPr>
        <w:t>成交通知书</w:t>
      </w:r>
      <w:r>
        <w:rPr>
          <w:color w:val="auto"/>
          <w:szCs w:val="21"/>
        </w:rPr>
        <w:t>发出前或签订合同前及时书面告知采购人</w:t>
      </w:r>
      <w:r>
        <w:rPr>
          <w:rFonts w:hint="eastAsia"/>
          <w:color w:val="auto"/>
          <w:szCs w:val="21"/>
        </w:rPr>
        <w:t>，</w:t>
      </w:r>
      <w:r>
        <w:rPr>
          <w:color w:val="auto"/>
          <w:szCs w:val="21"/>
        </w:rPr>
        <w:t>未主动告知</w:t>
      </w:r>
      <w:r>
        <w:rPr>
          <w:rFonts w:hint="eastAsia"/>
          <w:color w:val="auto"/>
          <w:szCs w:val="21"/>
        </w:rPr>
        <w:t>，</w:t>
      </w:r>
      <w:r>
        <w:rPr>
          <w:color w:val="auto"/>
          <w:szCs w:val="21"/>
        </w:rPr>
        <w:t>给采购人造成损失的</w:t>
      </w:r>
      <w:r>
        <w:rPr>
          <w:rFonts w:hint="eastAsia"/>
          <w:color w:val="auto"/>
          <w:szCs w:val="21"/>
        </w:rPr>
        <w:t>，</w:t>
      </w:r>
      <w:r>
        <w:rPr>
          <w:color w:val="auto"/>
          <w:szCs w:val="21"/>
        </w:rPr>
        <w:t>采购人有权</w:t>
      </w:r>
      <w:r>
        <w:rPr>
          <w:rFonts w:hint="eastAsia"/>
          <w:color w:val="auto"/>
          <w:szCs w:val="21"/>
        </w:rPr>
        <w:t>取消其成交资格并</w:t>
      </w:r>
      <w:r>
        <w:rPr>
          <w:color w:val="auto"/>
          <w:szCs w:val="21"/>
        </w:rPr>
        <w:t>没收磋商保证金</w:t>
      </w:r>
      <w:r>
        <w:rPr>
          <w:rFonts w:hint="eastAsia"/>
          <w:color w:val="auto"/>
          <w:szCs w:val="21"/>
        </w:rPr>
        <w:t>。</w:t>
      </w:r>
    </w:p>
    <w:p>
      <w:pPr>
        <w:snapToGrid w:val="0"/>
        <w:spacing w:before="120" w:line="360" w:lineRule="auto"/>
        <w:ind w:firstLine="422" w:firstLineChars="200"/>
        <w:outlineLvl w:val="2"/>
        <w:rPr>
          <w:b/>
          <w:bCs/>
          <w:color w:val="auto"/>
          <w:kern w:val="0"/>
          <w:szCs w:val="21"/>
        </w:rPr>
      </w:pPr>
      <w:r>
        <w:rPr>
          <w:b/>
          <w:bCs/>
          <w:color w:val="auto"/>
          <w:kern w:val="0"/>
          <w:szCs w:val="21"/>
        </w:rPr>
        <w:t>7.2签订合同</w:t>
      </w:r>
    </w:p>
    <w:p>
      <w:pPr>
        <w:snapToGrid w:val="0"/>
        <w:spacing w:before="120" w:line="360" w:lineRule="auto"/>
        <w:ind w:firstLine="420" w:firstLineChars="200"/>
        <w:rPr>
          <w:color w:val="auto"/>
          <w:szCs w:val="21"/>
        </w:rPr>
      </w:pPr>
      <w:r>
        <w:rPr>
          <w:color w:val="auto"/>
          <w:szCs w:val="21"/>
        </w:rPr>
        <w:t>7.2.1如</w:t>
      </w:r>
      <w:r>
        <w:rPr>
          <w:rFonts w:hint="eastAsia"/>
          <w:color w:val="auto"/>
          <w:szCs w:val="21"/>
        </w:rPr>
        <w:t>采购文件</w:t>
      </w:r>
      <w:r>
        <w:rPr>
          <w:color w:val="auto"/>
          <w:szCs w:val="21"/>
        </w:rPr>
        <w:t>无</w:t>
      </w:r>
      <w:r>
        <w:rPr>
          <w:rFonts w:hint="eastAsia"/>
          <w:color w:val="auto"/>
          <w:szCs w:val="21"/>
        </w:rPr>
        <w:t>特别</w:t>
      </w:r>
      <w:r>
        <w:rPr>
          <w:color w:val="auto"/>
          <w:szCs w:val="21"/>
        </w:rPr>
        <w:t>规定，</w:t>
      </w:r>
      <w:r>
        <w:rPr>
          <w:rFonts w:hint="eastAsia"/>
          <w:color w:val="auto"/>
          <w:szCs w:val="21"/>
        </w:rPr>
        <w:t>成交供应商按采购文件确定的事项签订政府采购合同。</w:t>
      </w:r>
    </w:p>
    <w:p>
      <w:pPr>
        <w:snapToGrid w:val="0"/>
        <w:spacing w:before="120" w:line="360" w:lineRule="auto"/>
        <w:ind w:firstLine="420" w:firstLineChars="200"/>
        <w:rPr>
          <w:color w:val="auto"/>
          <w:szCs w:val="21"/>
        </w:rPr>
      </w:pPr>
      <w:r>
        <w:rPr>
          <w:color w:val="auto"/>
          <w:szCs w:val="21"/>
        </w:rPr>
        <w:t>7.2.2</w:t>
      </w:r>
      <w:r>
        <w:rPr>
          <w:rFonts w:hint="eastAsia"/>
          <w:color w:val="auto"/>
          <w:szCs w:val="21"/>
        </w:rPr>
        <w:t>政府采购合同应当包括采购人与成交供应商的名称和住所、标的、数量、质量、价款或者报酬、履行期限及地点和方式、验收要求、违约责任、解决争议的方法等内容。</w:t>
      </w:r>
      <w:r>
        <w:rPr>
          <w:color w:val="auto"/>
          <w:szCs w:val="21"/>
        </w:rPr>
        <w:t>采购文件、成交供应商的响应文件及澄清文件等，均为签订政府采购合同的依据。</w:t>
      </w:r>
    </w:p>
    <w:p>
      <w:pPr>
        <w:snapToGrid w:val="0"/>
        <w:spacing w:before="120" w:line="360" w:lineRule="auto"/>
        <w:ind w:firstLine="420" w:firstLineChars="200"/>
        <w:rPr>
          <w:color w:val="auto"/>
          <w:szCs w:val="21"/>
        </w:rPr>
      </w:pPr>
      <w:r>
        <w:rPr>
          <w:color w:val="auto"/>
          <w:szCs w:val="21"/>
        </w:rPr>
        <w:t>7.2.3如成交供应商不按成交通知书的规定签订合同，</w:t>
      </w:r>
      <w:r>
        <w:rPr>
          <w:rFonts w:hint="eastAsia"/>
          <w:color w:val="auto"/>
          <w:szCs w:val="21"/>
        </w:rPr>
        <w:t>其磋商保证金将不予退还，并报由同级政府采购监督管理部门处理。</w:t>
      </w:r>
    </w:p>
    <w:p>
      <w:pPr>
        <w:snapToGrid w:val="0"/>
        <w:spacing w:before="120" w:line="360" w:lineRule="auto"/>
        <w:ind w:firstLine="420" w:firstLineChars="200"/>
        <w:rPr>
          <w:color w:val="auto"/>
          <w:szCs w:val="21"/>
        </w:rPr>
      </w:pPr>
      <w:r>
        <w:rPr>
          <w:rFonts w:hint="eastAsia"/>
          <w:color w:val="auto"/>
          <w:szCs w:val="21"/>
        </w:rPr>
        <w:t>7</w:t>
      </w:r>
      <w:r>
        <w:rPr>
          <w:color w:val="auto"/>
          <w:szCs w:val="21"/>
        </w:rPr>
        <w:t>.2.4</w:t>
      </w:r>
      <w:r>
        <w:rPr>
          <w:rFonts w:hint="eastAsia"/>
          <w:color w:val="auto"/>
          <w:szCs w:val="21"/>
        </w:rPr>
        <w:t>成交供应商拒绝与采购人签订合同的，采购人可以按照评审报告推荐的成交候选人名单排序，确定下一候选人为成交供应商，也可以重新开展政府采购活动。</w:t>
      </w:r>
    </w:p>
    <w:p>
      <w:pPr>
        <w:snapToGrid w:val="0"/>
        <w:spacing w:before="120" w:line="360" w:lineRule="auto"/>
        <w:ind w:firstLine="422" w:firstLineChars="200"/>
        <w:outlineLvl w:val="2"/>
        <w:rPr>
          <w:b/>
          <w:bCs/>
          <w:color w:val="auto"/>
          <w:kern w:val="0"/>
          <w:szCs w:val="21"/>
        </w:rPr>
      </w:pPr>
      <w:r>
        <w:rPr>
          <w:b/>
          <w:bCs/>
          <w:color w:val="auto"/>
          <w:kern w:val="0"/>
          <w:szCs w:val="21"/>
        </w:rPr>
        <w:t>7.3合同公告</w:t>
      </w:r>
    </w:p>
    <w:p>
      <w:pPr>
        <w:snapToGrid w:val="0"/>
        <w:spacing w:before="120" w:line="360" w:lineRule="auto"/>
        <w:ind w:firstLine="420" w:firstLineChars="200"/>
        <w:rPr>
          <w:color w:val="auto"/>
          <w:szCs w:val="21"/>
        </w:rPr>
      </w:pPr>
      <w:r>
        <w:rPr>
          <w:color w:val="auto"/>
          <w:szCs w:val="21"/>
        </w:rPr>
        <w:t>7.3.1如</w:t>
      </w:r>
      <w:r>
        <w:rPr>
          <w:rFonts w:hint="eastAsia"/>
          <w:color w:val="auto"/>
          <w:szCs w:val="21"/>
        </w:rPr>
        <w:t>采购文件</w:t>
      </w:r>
      <w:r>
        <w:rPr>
          <w:color w:val="auto"/>
          <w:szCs w:val="21"/>
        </w:rPr>
        <w:t>无特殊规定</w:t>
      </w:r>
      <w:r>
        <w:rPr>
          <w:rFonts w:hint="eastAsia"/>
          <w:color w:val="auto"/>
          <w:szCs w:val="21"/>
        </w:rPr>
        <w:t>，</w:t>
      </w:r>
      <w:r>
        <w:rPr>
          <w:color w:val="auto"/>
          <w:szCs w:val="21"/>
        </w:rPr>
        <w:t>成交供应商应在签订合同后1个工作日内，将政府采购合同副本送采购代理机构</w:t>
      </w:r>
      <w:r>
        <w:rPr>
          <w:rFonts w:hint="eastAsia"/>
          <w:color w:val="auto"/>
          <w:szCs w:val="21"/>
        </w:rPr>
        <w:t>存档</w:t>
      </w:r>
      <w:r>
        <w:rPr>
          <w:color w:val="auto"/>
          <w:szCs w:val="21"/>
        </w:rPr>
        <w:t>。</w:t>
      </w:r>
    </w:p>
    <w:p>
      <w:pPr>
        <w:snapToGrid w:val="0"/>
        <w:spacing w:before="120" w:line="360" w:lineRule="auto"/>
        <w:ind w:firstLine="420" w:firstLineChars="200"/>
        <w:rPr>
          <w:color w:val="auto"/>
          <w:szCs w:val="21"/>
        </w:rPr>
      </w:pPr>
      <w:r>
        <w:rPr>
          <w:color w:val="auto"/>
          <w:szCs w:val="21"/>
        </w:rPr>
        <w:t>7.3.2采购人应当自政府采购合同签订之日起2个工作日内，将政府采购合同在省级以上人民政府财政部门指定的媒体上公告，但政府采购合同中涉及国家秘密、商业秘密的内容除外。</w:t>
      </w:r>
    </w:p>
    <w:p>
      <w:pPr>
        <w:snapToGrid w:val="0"/>
        <w:spacing w:before="120" w:line="360" w:lineRule="auto"/>
        <w:ind w:firstLine="422" w:firstLineChars="200"/>
        <w:outlineLvl w:val="2"/>
        <w:rPr>
          <w:b/>
          <w:bCs/>
          <w:color w:val="auto"/>
          <w:kern w:val="0"/>
          <w:szCs w:val="21"/>
        </w:rPr>
      </w:pPr>
      <w:r>
        <w:rPr>
          <w:b/>
          <w:bCs/>
          <w:color w:val="auto"/>
          <w:kern w:val="0"/>
          <w:szCs w:val="21"/>
        </w:rPr>
        <w:t>7.4 履行合同</w:t>
      </w:r>
    </w:p>
    <w:p>
      <w:pPr>
        <w:snapToGrid w:val="0"/>
        <w:spacing w:before="120" w:line="360" w:lineRule="auto"/>
        <w:ind w:firstLine="420" w:firstLineChars="200"/>
        <w:rPr>
          <w:color w:val="auto"/>
          <w:szCs w:val="21"/>
        </w:rPr>
      </w:pPr>
      <w:bookmarkStart w:id="57" w:name="_Toc217446070"/>
      <w:bookmarkStart w:id="58" w:name="_Toc308164814"/>
      <w:r>
        <w:rPr>
          <w:color w:val="auto"/>
          <w:szCs w:val="21"/>
        </w:rPr>
        <w:t>7.4.1</w:t>
      </w:r>
      <w:r>
        <w:rPr>
          <w:rFonts w:hint="eastAsia"/>
          <w:color w:val="auto"/>
          <w:szCs w:val="21"/>
        </w:rPr>
        <w:t>采购人与成交供应商签订合同后，政府采购合同的履行、违约责任和解决争议的方法等适用《中华人民共和国民法典》。合同双方应严格执行合同条款，履行合同规定的义务，保证合同的顺利完成。双方均不得擅自变更、中止或者终止政府采购合同。</w:t>
      </w:r>
    </w:p>
    <w:p>
      <w:pPr>
        <w:snapToGrid w:val="0"/>
        <w:spacing w:before="120" w:line="360" w:lineRule="auto"/>
        <w:ind w:firstLine="420" w:firstLineChars="200"/>
        <w:rPr>
          <w:color w:val="auto"/>
          <w:szCs w:val="21"/>
        </w:rPr>
      </w:pPr>
      <w:r>
        <w:rPr>
          <w:color w:val="auto"/>
          <w:szCs w:val="21"/>
        </w:rPr>
        <w:t>7.4.2</w:t>
      </w:r>
      <w:r>
        <w:rPr>
          <w:rFonts w:hint="eastAsia"/>
          <w:color w:val="auto"/>
          <w:szCs w:val="21"/>
        </w:rPr>
        <w:t>对于双方解除合同的情况，应当按照民法典合同编有关规定或者合同约定执行。需要重新选定供应商的，应当重新开展采购活动。</w:t>
      </w:r>
    </w:p>
    <w:p>
      <w:pPr>
        <w:snapToGrid w:val="0"/>
        <w:spacing w:before="120" w:line="360" w:lineRule="auto"/>
        <w:ind w:firstLine="422" w:firstLineChars="200"/>
        <w:rPr>
          <w:b/>
          <w:bCs/>
          <w:color w:val="auto"/>
          <w:kern w:val="0"/>
          <w:szCs w:val="21"/>
        </w:rPr>
      </w:pPr>
      <w:r>
        <w:rPr>
          <w:b/>
          <w:bCs/>
          <w:color w:val="auto"/>
          <w:kern w:val="0"/>
          <w:szCs w:val="21"/>
        </w:rPr>
        <w:t>7.5履约验收</w:t>
      </w:r>
      <w:bookmarkEnd w:id="57"/>
      <w:bookmarkEnd w:id="58"/>
    </w:p>
    <w:p>
      <w:pPr>
        <w:snapToGrid w:val="0"/>
        <w:spacing w:before="120" w:line="360" w:lineRule="auto"/>
        <w:ind w:firstLine="420" w:firstLineChars="200"/>
        <w:rPr>
          <w:color w:val="auto"/>
          <w:szCs w:val="21"/>
        </w:rPr>
      </w:pPr>
      <w:r>
        <w:rPr>
          <w:color w:val="auto"/>
          <w:szCs w:val="21"/>
        </w:rPr>
        <w:t>7.5.1采购人可以根据政府采购项目具体情况自行组织验收，或者委托政府采购代理机构、国家认可的质量检测机构开展采购项目履约验收工作。</w:t>
      </w:r>
    </w:p>
    <w:p>
      <w:pPr>
        <w:snapToGrid w:val="0"/>
        <w:spacing w:before="120" w:line="360" w:lineRule="auto"/>
        <w:ind w:firstLine="420" w:firstLineChars="200"/>
        <w:rPr>
          <w:color w:val="auto"/>
          <w:szCs w:val="21"/>
        </w:rPr>
      </w:pPr>
      <w:r>
        <w:rPr>
          <w:color w:val="auto"/>
          <w:szCs w:val="21"/>
        </w:rPr>
        <w:t>7.5.2验收结果合格的，成交供应商可向采购人申请办理履约保证金（如有）的退付手续；验收结果不合格的，履约保证金（如有）将不予退还，并按合同约定处理，还可能会报告本项目同级财政部门并按照政府采购法律法规及有关规定给予行政处罚或者以失信行为记入诚信档案。</w:t>
      </w:r>
    </w:p>
    <w:p>
      <w:pPr>
        <w:snapToGrid w:val="0"/>
        <w:spacing w:before="120" w:line="360" w:lineRule="auto"/>
        <w:ind w:firstLine="420" w:firstLineChars="200"/>
        <w:rPr>
          <w:color w:val="auto"/>
          <w:szCs w:val="21"/>
        </w:rPr>
      </w:pPr>
      <w:r>
        <w:rPr>
          <w:color w:val="auto"/>
          <w:szCs w:val="21"/>
        </w:rPr>
        <w:t>7.5.3采购合同项目完成验收后，采购人应当将验收原始记录、验收书等资料作为该采购项目档案妥善保管，不得伪造、变造、隐匿或者销毁，验收资料保存期为采购结束之日起至少保存15年。</w:t>
      </w:r>
    </w:p>
    <w:p>
      <w:pPr>
        <w:snapToGrid w:val="0"/>
        <w:spacing w:before="120" w:line="360" w:lineRule="auto"/>
        <w:ind w:firstLine="420" w:firstLineChars="200"/>
        <w:rPr>
          <w:color w:val="auto"/>
          <w:szCs w:val="21"/>
        </w:rPr>
      </w:pPr>
      <w:r>
        <w:rPr>
          <w:color w:val="auto"/>
          <w:szCs w:val="21"/>
        </w:rPr>
        <w:t>7.5.4本项目将严格按照本采购文件及合同有关规定进行合同履约验收。采购文件或合同未规定的按财政部关于进一步加强政府采购需求和履约验收管理的指导意见（财库〔2016〕205号）以及《广西壮族自治区政府采购项目履约验收管理办法》（桂财采〔2015〕22号）的规定执行。</w:t>
      </w:r>
    </w:p>
    <w:p>
      <w:pPr>
        <w:snapToGrid w:val="0"/>
        <w:spacing w:before="120" w:line="360" w:lineRule="auto"/>
        <w:ind w:left="2" w:leftChars="1" w:firstLine="422" w:firstLineChars="200"/>
        <w:outlineLvl w:val="1"/>
        <w:rPr>
          <w:b/>
          <w:bCs/>
          <w:color w:val="auto"/>
          <w:kern w:val="0"/>
          <w:szCs w:val="21"/>
        </w:rPr>
      </w:pPr>
      <w:bookmarkStart w:id="59" w:name="_Toc254970533"/>
      <w:bookmarkStart w:id="60" w:name="_Toc254970674"/>
      <w:r>
        <w:rPr>
          <w:b/>
          <w:bCs/>
          <w:color w:val="auto"/>
          <w:kern w:val="0"/>
          <w:szCs w:val="21"/>
        </w:rPr>
        <w:t>8．质疑和投诉</w:t>
      </w:r>
      <w:bookmarkEnd w:id="59"/>
      <w:bookmarkEnd w:id="60"/>
    </w:p>
    <w:p>
      <w:pPr>
        <w:snapToGrid w:val="0"/>
        <w:spacing w:before="120" w:line="360" w:lineRule="auto"/>
        <w:ind w:firstLine="422" w:firstLineChars="200"/>
        <w:outlineLvl w:val="2"/>
        <w:rPr>
          <w:b/>
          <w:bCs/>
          <w:color w:val="auto"/>
          <w:kern w:val="0"/>
          <w:szCs w:val="21"/>
        </w:rPr>
      </w:pPr>
      <w:r>
        <w:rPr>
          <w:b/>
          <w:bCs/>
          <w:color w:val="auto"/>
          <w:kern w:val="0"/>
          <w:szCs w:val="21"/>
        </w:rPr>
        <w:t>8.1质疑</w:t>
      </w:r>
    </w:p>
    <w:p>
      <w:pPr>
        <w:snapToGrid w:val="0"/>
        <w:spacing w:before="120" w:line="360" w:lineRule="auto"/>
        <w:ind w:firstLine="420" w:firstLineChars="200"/>
        <w:rPr>
          <w:color w:val="auto"/>
          <w:szCs w:val="21"/>
        </w:rPr>
      </w:pPr>
      <w:r>
        <w:rPr>
          <w:color w:val="auto"/>
          <w:szCs w:val="21"/>
        </w:rPr>
        <w:t>8.1.1质疑内容、时限</w:t>
      </w:r>
    </w:p>
    <w:p>
      <w:pPr>
        <w:snapToGrid w:val="0"/>
        <w:spacing w:before="120" w:line="360" w:lineRule="auto"/>
        <w:ind w:firstLine="420" w:firstLineChars="200"/>
        <w:rPr>
          <w:color w:val="auto"/>
          <w:szCs w:val="21"/>
        </w:rPr>
      </w:pPr>
      <w:r>
        <w:rPr>
          <w:rFonts w:hint="eastAsia"/>
          <w:color w:val="auto"/>
          <w:szCs w:val="21"/>
        </w:rPr>
        <w:t>（1）供应商对政府采购活动有疑问的，可以向采购人或采购代理机构提出询问。采购人或者采购代理机构应当在3个工作日内对供应商依法提出的询问作出答复。</w:t>
      </w:r>
    </w:p>
    <w:p>
      <w:pPr>
        <w:snapToGrid w:val="0"/>
        <w:spacing w:before="120" w:line="360" w:lineRule="auto"/>
        <w:ind w:firstLine="420" w:firstLineChars="200"/>
        <w:rPr>
          <w:color w:val="auto"/>
          <w:szCs w:val="21"/>
        </w:rPr>
      </w:pPr>
      <w:r>
        <w:rPr>
          <w:rFonts w:hint="eastAsia"/>
          <w:color w:val="auto"/>
          <w:szCs w:val="21"/>
        </w:rPr>
        <w:t>（2）供应商为认为采购文件、采购过程、中标或者成交结果使自己的权益受到损害的，可以在知道或者应知其权益受到损害之日起7个工作日内向采购人或采购代理机构提出质疑。采购人或</w:t>
      </w:r>
      <w:r>
        <w:rPr>
          <w:color w:val="auto"/>
          <w:szCs w:val="21"/>
        </w:rPr>
        <w:t>采购代理机构在收到供应商书面质疑后7个工作日内，对质疑内容作出答复。</w:t>
      </w:r>
    </w:p>
    <w:p>
      <w:pPr>
        <w:snapToGrid w:val="0"/>
        <w:spacing w:before="120" w:line="360" w:lineRule="auto"/>
        <w:ind w:firstLine="420" w:firstLineChars="200"/>
        <w:rPr>
          <w:color w:val="auto"/>
          <w:szCs w:val="21"/>
        </w:rPr>
      </w:pPr>
      <w:r>
        <w:rPr>
          <w:color w:val="auto"/>
          <w:szCs w:val="21"/>
        </w:rPr>
        <w:t>8.1.2质疑形式</w:t>
      </w:r>
    </w:p>
    <w:p>
      <w:pPr>
        <w:snapToGrid w:val="0"/>
        <w:spacing w:before="120" w:line="360" w:lineRule="auto"/>
        <w:ind w:firstLine="420" w:firstLineChars="200"/>
        <w:rPr>
          <w:color w:val="auto"/>
          <w:szCs w:val="21"/>
        </w:rPr>
      </w:pPr>
      <w:r>
        <w:rPr>
          <w:color w:val="auto"/>
          <w:szCs w:val="21"/>
        </w:rPr>
        <w:t>质疑应当采用</w:t>
      </w:r>
      <w:r>
        <w:rPr>
          <w:rFonts w:hint="eastAsia"/>
          <w:color w:val="auto"/>
          <w:szCs w:val="21"/>
        </w:rPr>
        <w:t>供应商</w:t>
      </w:r>
      <w:r>
        <w:rPr>
          <w:color w:val="auto"/>
          <w:szCs w:val="21"/>
        </w:rPr>
        <w:t>须知前附表所规定的形式，质疑书应明确阐述</w:t>
      </w:r>
      <w:r>
        <w:rPr>
          <w:rFonts w:hint="eastAsia"/>
          <w:color w:val="auto"/>
          <w:szCs w:val="21"/>
        </w:rPr>
        <w:t>采购文件</w:t>
      </w:r>
      <w:r>
        <w:rPr>
          <w:color w:val="auto"/>
          <w:szCs w:val="21"/>
        </w:rPr>
        <w:t>、</w:t>
      </w:r>
      <w:r>
        <w:rPr>
          <w:rFonts w:hint="eastAsia"/>
          <w:color w:val="auto"/>
          <w:szCs w:val="21"/>
        </w:rPr>
        <w:t>采购</w:t>
      </w:r>
      <w:r>
        <w:rPr>
          <w:color w:val="auto"/>
          <w:szCs w:val="21"/>
        </w:rPr>
        <w:t>过程或成交结果中使自己合法权益受到损害的实质性内容，提供相关事实、依据和证据及其来源或线索，便于有关单位调查、答复和处理。</w:t>
      </w:r>
    </w:p>
    <w:p>
      <w:pPr>
        <w:snapToGrid w:val="0"/>
        <w:spacing w:before="120" w:line="360" w:lineRule="auto"/>
        <w:ind w:firstLine="420" w:firstLineChars="200"/>
        <w:rPr>
          <w:color w:val="auto"/>
          <w:szCs w:val="21"/>
        </w:rPr>
      </w:pPr>
      <w:r>
        <w:rPr>
          <w:rFonts w:hint="eastAsia"/>
          <w:color w:val="auto"/>
          <w:szCs w:val="21"/>
        </w:rPr>
        <w:t>8</w:t>
      </w:r>
      <w:r>
        <w:rPr>
          <w:color w:val="auto"/>
          <w:szCs w:val="21"/>
        </w:rPr>
        <w:t>.1.3</w:t>
      </w:r>
      <w:r>
        <w:rPr>
          <w:rFonts w:hint="eastAsia"/>
          <w:color w:val="auto"/>
        </w:rPr>
        <w:t xml:space="preserve"> </w:t>
      </w:r>
      <w:r>
        <w:rPr>
          <w:rFonts w:hint="eastAsia"/>
          <w:color w:val="auto"/>
          <w:szCs w:val="21"/>
        </w:rPr>
        <w:t>供应商提出质疑应当提交质疑函和必要的证明材料。质疑函应当包括下列内容：</w:t>
      </w:r>
    </w:p>
    <w:p>
      <w:pPr>
        <w:snapToGrid w:val="0"/>
        <w:spacing w:before="120" w:line="360" w:lineRule="auto"/>
        <w:ind w:firstLine="420" w:firstLineChars="200"/>
        <w:rPr>
          <w:color w:val="auto"/>
          <w:szCs w:val="21"/>
        </w:rPr>
      </w:pPr>
      <w:r>
        <w:rPr>
          <w:rFonts w:hint="eastAsia"/>
          <w:color w:val="auto"/>
          <w:szCs w:val="21"/>
        </w:rPr>
        <w:t>（1）</w:t>
      </w:r>
      <w:r>
        <w:rPr>
          <w:rFonts w:hint="eastAsia"/>
          <w:color w:val="auto"/>
          <w:szCs w:val="21"/>
        </w:rPr>
        <w:tab/>
      </w:r>
      <w:r>
        <w:rPr>
          <w:rFonts w:hint="eastAsia"/>
          <w:color w:val="auto"/>
          <w:szCs w:val="21"/>
        </w:rPr>
        <w:t>供应商的姓名或者名称、地址、邮编、联系人及联系电话；</w:t>
      </w:r>
    </w:p>
    <w:p>
      <w:pPr>
        <w:snapToGrid w:val="0"/>
        <w:spacing w:before="120" w:line="360" w:lineRule="auto"/>
        <w:ind w:firstLine="420" w:firstLineChars="200"/>
        <w:rPr>
          <w:color w:val="auto"/>
          <w:szCs w:val="21"/>
        </w:rPr>
      </w:pPr>
      <w:r>
        <w:rPr>
          <w:rFonts w:hint="eastAsia"/>
          <w:color w:val="auto"/>
          <w:szCs w:val="21"/>
        </w:rPr>
        <w:t>（2）</w:t>
      </w:r>
      <w:r>
        <w:rPr>
          <w:rFonts w:hint="eastAsia"/>
          <w:color w:val="auto"/>
          <w:szCs w:val="21"/>
        </w:rPr>
        <w:tab/>
      </w:r>
      <w:r>
        <w:rPr>
          <w:rFonts w:hint="eastAsia"/>
          <w:color w:val="auto"/>
          <w:szCs w:val="21"/>
        </w:rPr>
        <w:t>质疑项目的名称、编号；</w:t>
      </w:r>
    </w:p>
    <w:p>
      <w:pPr>
        <w:snapToGrid w:val="0"/>
        <w:spacing w:before="120" w:line="360" w:lineRule="auto"/>
        <w:ind w:firstLine="420" w:firstLineChars="200"/>
        <w:rPr>
          <w:color w:val="auto"/>
          <w:szCs w:val="21"/>
        </w:rPr>
      </w:pPr>
      <w:r>
        <w:rPr>
          <w:rFonts w:hint="eastAsia"/>
          <w:color w:val="auto"/>
          <w:szCs w:val="21"/>
        </w:rPr>
        <w:t>（3）</w:t>
      </w:r>
      <w:r>
        <w:rPr>
          <w:rFonts w:hint="eastAsia"/>
          <w:color w:val="auto"/>
          <w:szCs w:val="21"/>
        </w:rPr>
        <w:tab/>
      </w:r>
      <w:r>
        <w:rPr>
          <w:rFonts w:hint="eastAsia"/>
          <w:color w:val="auto"/>
          <w:szCs w:val="21"/>
        </w:rPr>
        <w:t>具体、明确的质疑事项和与质疑事项相关的请求；</w:t>
      </w:r>
    </w:p>
    <w:p>
      <w:pPr>
        <w:snapToGrid w:val="0"/>
        <w:spacing w:before="120" w:line="360" w:lineRule="auto"/>
        <w:ind w:firstLine="420" w:firstLineChars="200"/>
        <w:rPr>
          <w:color w:val="auto"/>
          <w:szCs w:val="21"/>
        </w:rPr>
      </w:pPr>
      <w:r>
        <w:rPr>
          <w:rFonts w:hint="eastAsia"/>
          <w:color w:val="auto"/>
          <w:szCs w:val="21"/>
        </w:rPr>
        <w:t>（4）</w:t>
      </w:r>
      <w:r>
        <w:rPr>
          <w:rFonts w:hint="eastAsia"/>
          <w:color w:val="auto"/>
          <w:szCs w:val="21"/>
        </w:rPr>
        <w:tab/>
      </w:r>
      <w:r>
        <w:rPr>
          <w:rFonts w:hint="eastAsia"/>
          <w:color w:val="auto"/>
          <w:szCs w:val="21"/>
        </w:rPr>
        <w:t>事实依据；</w:t>
      </w:r>
    </w:p>
    <w:p>
      <w:pPr>
        <w:snapToGrid w:val="0"/>
        <w:spacing w:before="120" w:line="360" w:lineRule="auto"/>
        <w:ind w:firstLine="420" w:firstLineChars="200"/>
        <w:rPr>
          <w:color w:val="auto"/>
          <w:szCs w:val="21"/>
        </w:rPr>
      </w:pPr>
      <w:r>
        <w:rPr>
          <w:rFonts w:hint="eastAsia"/>
          <w:color w:val="auto"/>
          <w:szCs w:val="21"/>
        </w:rPr>
        <w:t>（5）</w:t>
      </w:r>
      <w:r>
        <w:rPr>
          <w:rFonts w:hint="eastAsia"/>
          <w:color w:val="auto"/>
          <w:szCs w:val="21"/>
        </w:rPr>
        <w:tab/>
      </w:r>
      <w:r>
        <w:rPr>
          <w:rFonts w:hint="eastAsia"/>
          <w:color w:val="auto"/>
          <w:szCs w:val="21"/>
        </w:rPr>
        <w:t>必要的法律依据；</w:t>
      </w:r>
    </w:p>
    <w:p>
      <w:pPr>
        <w:snapToGrid w:val="0"/>
        <w:spacing w:before="120" w:line="360" w:lineRule="auto"/>
        <w:ind w:firstLine="420" w:firstLineChars="200"/>
        <w:rPr>
          <w:color w:val="auto"/>
          <w:szCs w:val="21"/>
        </w:rPr>
      </w:pPr>
      <w:r>
        <w:rPr>
          <w:rFonts w:hint="eastAsia"/>
          <w:color w:val="auto"/>
          <w:szCs w:val="21"/>
        </w:rPr>
        <w:t>（6）</w:t>
      </w:r>
      <w:r>
        <w:rPr>
          <w:rFonts w:hint="eastAsia"/>
          <w:color w:val="auto"/>
          <w:szCs w:val="21"/>
        </w:rPr>
        <w:tab/>
      </w:r>
      <w:r>
        <w:rPr>
          <w:rFonts w:hint="eastAsia"/>
          <w:color w:val="auto"/>
          <w:szCs w:val="21"/>
        </w:rPr>
        <w:t>提出质疑的日期。</w:t>
      </w:r>
    </w:p>
    <w:p>
      <w:pPr>
        <w:snapToGrid w:val="0"/>
        <w:spacing w:before="120" w:line="360" w:lineRule="auto"/>
        <w:ind w:firstLine="420" w:firstLineChars="200"/>
        <w:rPr>
          <w:color w:val="auto"/>
          <w:szCs w:val="21"/>
        </w:rPr>
      </w:pPr>
      <w:r>
        <w:rPr>
          <w:rFonts w:hint="eastAsia"/>
          <w:color w:val="auto"/>
          <w:szCs w:val="21"/>
        </w:rPr>
        <w:t>供应商为自然人的，应当由本人签字；供应商为法人或者其他组织的，应当由法定代表人、主要负责人，或者其授权代表签字或者盖章，并加盖公章。</w:t>
      </w:r>
      <w:r>
        <w:rPr>
          <w:color w:val="auto"/>
          <w:szCs w:val="21"/>
        </w:rPr>
        <w:t xml:space="preserve"> </w:t>
      </w:r>
    </w:p>
    <w:p>
      <w:pPr>
        <w:snapToGrid w:val="0"/>
        <w:spacing w:before="120" w:line="360" w:lineRule="auto"/>
        <w:ind w:firstLine="422" w:firstLineChars="200"/>
        <w:outlineLvl w:val="2"/>
        <w:rPr>
          <w:b/>
          <w:bCs/>
          <w:color w:val="auto"/>
          <w:kern w:val="0"/>
          <w:szCs w:val="21"/>
        </w:rPr>
      </w:pPr>
      <w:r>
        <w:rPr>
          <w:b/>
          <w:bCs/>
          <w:color w:val="auto"/>
          <w:kern w:val="0"/>
          <w:szCs w:val="21"/>
        </w:rPr>
        <w:t>8.2投诉</w:t>
      </w:r>
    </w:p>
    <w:p>
      <w:pPr>
        <w:snapToGrid w:val="0"/>
        <w:spacing w:before="120" w:line="360" w:lineRule="auto"/>
        <w:ind w:firstLine="420" w:firstLineChars="200"/>
        <w:rPr>
          <w:color w:val="auto"/>
          <w:szCs w:val="21"/>
        </w:rPr>
      </w:pPr>
      <w:r>
        <w:rPr>
          <w:color w:val="auto"/>
          <w:szCs w:val="21"/>
        </w:rPr>
        <w:t>8.2.1供应商对采购人、采购代理机构的答复不满意，或者采购人、采购代理机构未在规定时间内答复的，可在答复期满后15个工作日内按有关规定，向同级财政部门投诉。</w:t>
      </w:r>
    </w:p>
    <w:p>
      <w:pPr>
        <w:snapToGrid w:val="0"/>
        <w:spacing w:before="120" w:line="360" w:lineRule="auto"/>
        <w:ind w:firstLine="420" w:firstLineChars="200"/>
        <w:rPr>
          <w:color w:val="auto"/>
          <w:szCs w:val="21"/>
        </w:rPr>
      </w:pPr>
      <w:r>
        <w:rPr>
          <w:color w:val="auto"/>
          <w:szCs w:val="21"/>
        </w:rPr>
        <w:t>8.2.</w:t>
      </w:r>
      <w:r>
        <w:rPr>
          <w:rFonts w:hint="eastAsia"/>
          <w:color w:val="auto"/>
          <w:szCs w:val="21"/>
        </w:rPr>
        <w:t>2投诉</w:t>
      </w:r>
      <w:r>
        <w:rPr>
          <w:color w:val="auto"/>
          <w:szCs w:val="21"/>
        </w:rPr>
        <w:t>书应使用财政部发布的</w:t>
      </w:r>
      <w:r>
        <w:rPr>
          <w:rFonts w:hint="eastAsia"/>
          <w:color w:val="auto"/>
          <w:szCs w:val="21"/>
        </w:rPr>
        <w:t>政府采购供应投诉书范本，并应按照“投诉书制作说明”进行编写。</w:t>
      </w:r>
    </w:p>
    <w:p>
      <w:pPr>
        <w:snapToGrid w:val="0"/>
        <w:spacing w:before="120" w:line="360" w:lineRule="auto"/>
        <w:ind w:left="2" w:leftChars="1" w:firstLine="422" w:firstLineChars="200"/>
        <w:outlineLvl w:val="1"/>
        <w:rPr>
          <w:b/>
          <w:bCs/>
          <w:color w:val="auto"/>
          <w:kern w:val="0"/>
          <w:szCs w:val="21"/>
        </w:rPr>
      </w:pPr>
      <w:r>
        <w:rPr>
          <w:b/>
          <w:bCs/>
          <w:color w:val="auto"/>
          <w:kern w:val="0"/>
          <w:szCs w:val="21"/>
        </w:rPr>
        <w:t>9．</w:t>
      </w:r>
      <w:r>
        <w:rPr>
          <w:rFonts w:hint="eastAsia"/>
          <w:b/>
          <w:bCs/>
          <w:color w:val="auto"/>
          <w:kern w:val="0"/>
          <w:szCs w:val="21"/>
        </w:rPr>
        <w:t>促进中小企业发展政策</w:t>
      </w:r>
    </w:p>
    <w:p>
      <w:pPr>
        <w:snapToGrid w:val="0"/>
        <w:spacing w:before="120" w:line="360" w:lineRule="auto"/>
        <w:ind w:left="2" w:leftChars="1" w:firstLine="420" w:firstLineChars="200"/>
        <w:rPr>
          <w:color w:val="auto"/>
          <w:szCs w:val="21"/>
        </w:rPr>
      </w:pPr>
      <w:r>
        <w:rPr>
          <w:rFonts w:hint="eastAsia"/>
          <w:color w:val="auto"/>
          <w:szCs w:val="21"/>
        </w:rPr>
        <w:t>9</w:t>
      </w:r>
      <w:r>
        <w:rPr>
          <w:color w:val="auto"/>
          <w:szCs w:val="21"/>
        </w:rPr>
        <w:t>.1</w:t>
      </w:r>
      <w:r>
        <w:rPr>
          <w:rFonts w:hint="eastAsia"/>
          <w:color w:val="auto"/>
          <w:szCs w:val="21"/>
        </w:rPr>
        <w:t>本项目落实促进中小企业发展政策措施在前附表规定。依据促进中小企业发展政策获得政府采购合同的，小微企业不得将合同分包给大中型企业，中型企业不得将合同分包给大型企业。</w:t>
      </w:r>
    </w:p>
    <w:p>
      <w:pPr>
        <w:snapToGrid w:val="0"/>
        <w:spacing w:before="120" w:line="360" w:lineRule="auto"/>
        <w:ind w:left="2" w:leftChars="1" w:firstLine="420" w:firstLineChars="200"/>
        <w:rPr>
          <w:color w:val="auto"/>
          <w:szCs w:val="21"/>
        </w:rPr>
      </w:pPr>
      <w:r>
        <w:rPr>
          <w:rFonts w:hint="eastAsia"/>
          <w:color w:val="auto"/>
          <w:szCs w:val="21"/>
        </w:rPr>
        <w:t>9.</w:t>
      </w:r>
      <w:r>
        <w:rPr>
          <w:color w:val="auto"/>
          <w:szCs w:val="21"/>
        </w:rPr>
        <w:t>2</w:t>
      </w:r>
      <w:r>
        <w:rPr>
          <w:rFonts w:hint="eastAsia"/>
          <w:color w:val="auto"/>
          <w:szCs w:val="21"/>
        </w:rPr>
        <w:t>本项目如为专门面向中小企业预留采购份额采购项目，供应商必须满足采购文件资格要求中的落实政府采购政策需满足的资格要求。</w:t>
      </w:r>
    </w:p>
    <w:p>
      <w:pPr>
        <w:snapToGrid w:val="0"/>
        <w:spacing w:before="120" w:line="360" w:lineRule="auto"/>
        <w:ind w:left="2" w:leftChars="1" w:firstLine="420" w:firstLineChars="200"/>
        <w:rPr>
          <w:color w:val="auto"/>
          <w:szCs w:val="21"/>
        </w:rPr>
      </w:pPr>
      <w:r>
        <w:rPr>
          <w:rFonts w:hint="eastAsia"/>
          <w:color w:val="auto"/>
          <w:szCs w:val="21"/>
        </w:rPr>
        <w:t>采购文件中如接受联合体，供应商以联合体形式参加采购活动，联合体中中小企业承担的部分达到3</w:t>
      </w:r>
      <w:r>
        <w:rPr>
          <w:color w:val="auto"/>
          <w:szCs w:val="21"/>
        </w:rPr>
        <w:t>0%</w:t>
      </w:r>
      <w:r>
        <w:rPr>
          <w:rFonts w:hint="eastAsia"/>
          <w:color w:val="auto"/>
          <w:szCs w:val="21"/>
        </w:rPr>
        <w:t>以上，其中预留给小微企业的比例不低于6</w:t>
      </w:r>
      <w:r>
        <w:rPr>
          <w:color w:val="auto"/>
          <w:szCs w:val="21"/>
        </w:rPr>
        <w:t>0%</w:t>
      </w:r>
      <w:r>
        <w:rPr>
          <w:rFonts w:hint="eastAsia"/>
          <w:color w:val="auto"/>
          <w:szCs w:val="21"/>
        </w:rPr>
        <w:t>。</w:t>
      </w:r>
    </w:p>
    <w:p>
      <w:pPr>
        <w:snapToGrid w:val="0"/>
        <w:spacing w:before="120" w:line="360" w:lineRule="auto"/>
        <w:ind w:left="2" w:leftChars="1" w:firstLine="420" w:firstLineChars="200"/>
        <w:rPr>
          <w:color w:val="auto"/>
          <w:szCs w:val="21"/>
        </w:rPr>
      </w:pPr>
      <w:r>
        <w:rPr>
          <w:rFonts w:hint="eastAsia"/>
          <w:color w:val="auto"/>
          <w:szCs w:val="21"/>
        </w:rPr>
        <w:t>采购文件中如接受分包，供应商将采购项目分包给一家或者多家中小企业的比例达到3</w:t>
      </w:r>
      <w:r>
        <w:rPr>
          <w:color w:val="auto"/>
          <w:szCs w:val="21"/>
        </w:rPr>
        <w:t>0%</w:t>
      </w:r>
      <w:r>
        <w:rPr>
          <w:rFonts w:hint="eastAsia"/>
          <w:color w:val="auto"/>
          <w:szCs w:val="21"/>
        </w:rPr>
        <w:t>以上，其中预留给小微企业的比例不低于6</w:t>
      </w:r>
      <w:r>
        <w:rPr>
          <w:color w:val="auto"/>
          <w:szCs w:val="21"/>
        </w:rPr>
        <w:t>0%</w:t>
      </w:r>
      <w:r>
        <w:rPr>
          <w:rFonts w:hint="eastAsia"/>
          <w:color w:val="auto"/>
          <w:szCs w:val="21"/>
        </w:rPr>
        <w:t>。</w:t>
      </w:r>
    </w:p>
    <w:p>
      <w:pPr>
        <w:snapToGrid w:val="0"/>
        <w:spacing w:before="120" w:line="360" w:lineRule="auto"/>
        <w:ind w:firstLine="420" w:firstLineChars="200"/>
        <w:rPr>
          <w:color w:val="auto"/>
          <w:szCs w:val="21"/>
        </w:rPr>
      </w:pPr>
      <w:r>
        <w:rPr>
          <w:rFonts w:hint="eastAsia"/>
          <w:color w:val="auto"/>
          <w:szCs w:val="21"/>
        </w:rPr>
        <w:t>注：专门面向中小企业预留采购份额采购项目不享受价格扣除政策。</w:t>
      </w:r>
    </w:p>
    <w:p>
      <w:pPr>
        <w:snapToGrid w:val="0"/>
        <w:spacing w:before="120" w:line="360" w:lineRule="auto"/>
        <w:ind w:left="2" w:leftChars="1" w:firstLine="420" w:firstLineChars="200"/>
        <w:rPr>
          <w:color w:val="auto"/>
          <w:szCs w:val="21"/>
        </w:rPr>
      </w:pPr>
      <w:r>
        <w:rPr>
          <w:rFonts w:hint="eastAsia"/>
          <w:color w:val="auto"/>
          <w:szCs w:val="21"/>
        </w:rPr>
        <w:t>9.</w:t>
      </w:r>
      <w:r>
        <w:rPr>
          <w:color w:val="auto"/>
          <w:szCs w:val="21"/>
        </w:rPr>
        <w:t>3</w:t>
      </w:r>
      <w:r>
        <w:rPr>
          <w:rFonts w:hint="eastAsia"/>
          <w:color w:val="auto"/>
          <w:szCs w:val="21"/>
        </w:rPr>
        <w:t>本项目如为非专门面向中小企业预留采购份额采购项目，磋商小组应当对小微企业报价给予价格扣除，用扣除后的价格参加评审。</w:t>
      </w:r>
    </w:p>
    <w:p>
      <w:pPr>
        <w:snapToGrid w:val="0"/>
        <w:spacing w:before="120" w:line="360" w:lineRule="auto"/>
        <w:ind w:left="2" w:leftChars="1" w:firstLine="420" w:firstLineChars="200"/>
        <w:rPr>
          <w:color w:val="auto"/>
          <w:szCs w:val="21"/>
        </w:rPr>
      </w:pPr>
      <w:r>
        <w:rPr>
          <w:rFonts w:hint="eastAsia"/>
          <w:color w:val="auto"/>
          <w:szCs w:val="21"/>
        </w:rPr>
        <w:t>采购文件接受大中型企业与小微企业组成联合体或者允许大中型企业向一家或者多家小微企业分包时，对于联合协议或者分包意向协议约定小微企业的合同份额占合同总金额比例达到3</w:t>
      </w:r>
      <w:r>
        <w:rPr>
          <w:color w:val="auto"/>
          <w:szCs w:val="21"/>
        </w:rPr>
        <w:t>0%</w:t>
      </w:r>
      <w:r>
        <w:rPr>
          <w:rFonts w:hint="eastAsia"/>
          <w:color w:val="auto"/>
          <w:szCs w:val="21"/>
        </w:rPr>
        <w:t>以上的，磋商小组应当对联合体或者大中型企业的报价给予价格扣除，用扣除后的价格参加评审。</w:t>
      </w:r>
    </w:p>
    <w:p>
      <w:pPr>
        <w:snapToGrid w:val="0"/>
        <w:spacing w:before="120" w:line="360" w:lineRule="auto"/>
        <w:ind w:left="2" w:leftChars="1" w:firstLine="420" w:firstLineChars="200"/>
        <w:rPr>
          <w:color w:val="auto"/>
          <w:szCs w:val="21"/>
        </w:rPr>
      </w:pPr>
      <w:r>
        <w:rPr>
          <w:rFonts w:hint="eastAsia"/>
          <w:color w:val="auto"/>
          <w:szCs w:val="21"/>
        </w:rPr>
        <w:t>组成联合体或者接受分包的小微企业与联合体内其他企业、分包企业之间存在直接控股、管理关系的，不享受价格扣除优惠政策。</w:t>
      </w:r>
    </w:p>
    <w:p>
      <w:pPr>
        <w:snapToGrid w:val="0"/>
        <w:spacing w:before="120" w:line="360" w:lineRule="auto"/>
        <w:ind w:left="2" w:leftChars="1" w:firstLine="420" w:firstLineChars="200"/>
        <w:rPr>
          <w:color w:val="auto"/>
          <w:szCs w:val="21"/>
        </w:rPr>
      </w:pPr>
      <w:r>
        <w:rPr>
          <w:rFonts w:hint="eastAsia"/>
          <w:color w:val="auto"/>
          <w:szCs w:val="21"/>
        </w:rPr>
        <w:t>价格扣除比例在第四章评审方法及标准中规定，对小型企业和微型企业同等对待，不作区分。</w:t>
      </w:r>
    </w:p>
    <w:p>
      <w:pPr>
        <w:snapToGrid w:val="0"/>
        <w:spacing w:before="120" w:line="360" w:lineRule="auto"/>
        <w:ind w:left="2" w:leftChars="1" w:firstLine="420" w:firstLineChars="200"/>
        <w:rPr>
          <w:color w:val="auto"/>
          <w:szCs w:val="21"/>
        </w:rPr>
      </w:pPr>
      <w:r>
        <w:rPr>
          <w:color w:val="auto"/>
          <w:szCs w:val="21"/>
        </w:rPr>
        <w:t>9</w:t>
      </w:r>
      <w:r>
        <w:rPr>
          <w:rFonts w:hint="eastAsia"/>
          <w:color w:val="auto"/>
          <w:szCs w:val="21"/>
        </w:rPr>
        <w:t>.</w:t>
      </w:r>
      <w:r>
        <w:rPr>
          <w:color w:val="auto"/>
          <w:szCs w:val="21"/>
        </w:rPr>
        <w:t>4</w:t>
      </w:r>
      <w:r>
        <w:rPr>
          <w:rFonts w:hint="eastAsia"/>
          <w:color w:val="auto"/>
          <w:szCs w:val="21"/>
        </w:rPr>
        <w:t>中小企业定义</w:t>
      </w:r>
    </w:p>
    <w:p>
      <w:pPr>
        <w:snapToGrid w:val="0"/>
        <w:spacing w:before="120" w:line="360" w:lineRule="auto"/>
        <w:ind w:firstLine="420" w:firstLineChars="200"/>
        <w:rPr>
          <w:color w:val="auto"/>
          <w:szCs w:val="21"/>
        </w:rPr>
      </w:pPr>
      <w:r>
        <w:rPr>
          <w:rFonts w:hint="eastAsia"/>
          <w:color w:val="auto"/>
          <w:szCs w:val="21"/>
        </w:rPr>
        <w:t>9.</w:t>
      </w:r>
      <w:r>
        <w:rPr>
          <w:color w:val="auto"/>
          <w:szCs w:val="21"/>
        </w:rPr>
        <w:t>4</w:t>
      </w:r>
      <w:r>
        <w:rPr>
          <w:rFonts w:hint="eastAsia"/>
          <w:color w:val="auto"/>
          <w:szCs w:val="21"/>
        </w:rPr>
        <w:t>.</w:t>
      </w:r>
      <w:r>
        <w:rPr>
          <w:color w:val="auto"/>
          <w:szCs w:val="21"/>
        </w:rPr>
        <w:t>1</w:t>
      </w:r>
      <w:r>
        <w:rPr>
          <w:rFonts w:hint="eastAsia"/>
          <w:color w:val="auto"/>
          <w:szCs w:val="21"/>
        </w:rPr>
        <w:t>中小企业是指在中华人民共和国境内依法设立，依据国务院批准的中小企业划分标准确定的中型企业、小型企业和微型企业，但与大企业的负责人为同一人，或者与大企业存在直接控股、管理关系的除外。</w:t>
      </w:r>
    </w:p>
    <w:p>
      <w:pPr>
        <w:snapToGrid w:val="0"/>
        <w:spacing w:before="120" w:line="360" w:lineRule="auto"/>
        <w:ind w:left="2" w:leftChars="1" w:firstLine="420" w:firstLineChars="200"/>
        <w:rPr>
          <w:color w:val="auto"/>
          <w:szCs w:val="21"/>
        </w:rPr>
      </w:pPr>
      <w:r>
        <w:rPr>
          <w:rFonts w:hint="eastAsia"/>
          <w:color w:val="auto"/>
          <w:szCs w:val="21"/>
        </w:rPr>
        <w:t>9</w:t>
      </w:r>
      <w:r>
        <w:rPr>
          <w:color w:val="auto"/>
          <w:szCs w:val="21"/>
        </w:rPr>
        <w:t>.4.2</w:t>
      </w:r>
      <w:r>
        <w:rPr>
          <w:rFonts w:hint="eastAsia"/>
          <w:color w:val="auto"/>
          <w:szCs w:val="21"/>
        </w:rPr>
        <w:t>供应商提供的货物、工程或者服务符合下列情形的，享受本款规定的促进中小企业发展政策：</w:t>
      </w:r>
    </w:p>
    <w:p>
      <w:pPr>
        <w:snapToGrid w:val="0"/>
        <w:spacing w:before="120" w:line="360" w:lineRule="auto"/>
        <w:ind w:left="2" w:leftChars="1" w:firstLine="420" w:firstLineChars="200"/>
        <w:rPr>
          <w:color w:val="auto"/>
          <w:szCs w:val="21"/>
        </w:rPr>
      </w:pPr>
      <w:r>
        <w:rPr>
          <w:rFonts w:hint="eastAsia"/>
          <w:color w:val="auto"/>
          <w:szCs w:val="21"/>
        </w:rPr>
        <w:t>在货物采购项目中，货物由中小企业制造，即货物由中小企业生产且使用该中小企业商号或者注册商标；</w:t>
      </w:r>
    </w:p>
    <w:p>
      <w:pPr>
        <w:snapToGrid w:val="0"/>
        <w:spacing w:before="120" w:line="360" w:lineRule="auto"/>
        <w:ind w:left="2" w:leftChars="1" w:firstLine="420" w:firstLineChars="200"/>
        <w:rPr>
          <w:color w:val="auto"/>
          <w:szCs w:val="21"/>
        </w:rPr>
      </w:pPr>
      <w:r>
        <w:rPr>
          <w:rFonts w:hint="eastAsia"/>
          <w:color w:val="auto"/>
          <w:szCs w:val="21"/>
        </w:rPr>
        <w:t>在工程采购项目中，工程由中小企业承建，即工程施工单位为中小企业；</w:t>
      </w:r>
    </w:p>
    <w:p>
      <w:pPr>
        <w:snapToGrid w:val="0"/>
        <w:spacing w:before="120" w:line="360" w:lineRule="auto"/>
        <w:ind w:left="2" w:leftChars="1" w:firstLine="420" w:firstLineChars="200"/>
        <w:rPr>
          <w:color w:val="auto"/>
          <w:szCs w:val="21"/>
        </w:rPr>
      </w:pPr>
      <w:r>
        <w:rPr>
          <w:rFonts w:hint="eastAsia"/>
          <w:color w:val="auto"/>
          <w:szCs w:val="21"/>
        </w:rPr>
        <w:t>在服务采购项目中，服务由中小企业承接，即提供服务的人员为中小企业依照《中华人民共和国劳动合同法》订立劳动合同的从业人员。</w:t>
      </w:r>
    </w:p>
    <w:p>
      <w:pPr>
        <w:snapToGrid w:val="0"/>
        <w:spacing w:before="120" w:line="360" w:lineRule="auto"/>
        <w:ind w:left="2" w:leftChars="1" w:firstLine="420" w:firstLineChars="200"/>
        <w:rPr>
          <w:color w:val="auto"/>
          <w:szCs w:val="21"/>
        </w:rPr>
      </w:pPr>
      <w:r>
        <w:rPr>
          <w:rFonts w:hint="eastAsia"/>
          <w:color w:val="auto"/>
          <w:szCs w:val="21"/>
        </w:rPr>
        <w:t>在货物采购项目中，供应商提供的货物既有中小企业制造货物，也有大型企业制造货物的，不享受本款规定的促进中小企业发展政策。</w:t>
      </w:r>
    </w:p>
    <w:p>
      <w:pPr>
        <w:snapToGrid w:val="0"/>
        <w:spacing w:before="120" w:line="360" w:lineRule="auto"/>
        <w:ind w:left="2" w:leftChars="1" w:firstLine="420" w:firstLineChars="200"/>
        <w:rPr>
          <w:color w:val="auto"/>
          <w:szCs w:val="21"/>
        </w:rPr>
      </w:pPr>
      <w:r>
        <w:rPr>
          <w:rFonts w:hint="eastAsia"/>
          <w:color w:val="auto"/>
          <w:szCs w:val="21"/>
        </w:rPr>
        <w:t>以联合体形式参加政府采购活动，联合体各方均为中小企业的，联合体视同中小企业。其中，联合体各方均为小微企业的，联合体视同小微企业。</w:t>
      </w:r>
    </w:p>
    <w:p>
      <w:pPr>
        <w:snapToGrid w:val="0"/>
        <w:spacing w:before="120" w:line="360" w:lineRule="auto"/>
        <w:ind w:firstLine="420" w:firstLineChars="200"/>
        <w:rPr>
          <w:color w:val="auto"/>
          <w:szCs w:val="21"/>
        </w:rPr>
      </w:pPr>
      <w:r>
        <w:rPr>
          <w:rFonts w:hint="eastAsia"/>
          <w:color w:val="auto"/>
          <w:szCs w:val="21"/>
        </w:rPr>
        <w:t>9.</w:t>
      </w:r>
      <w:r>
        <w:rPr>
          <w:color w:val="auto"/>
          <w:szCs w:val="21"/>
        </w:rPr>
        <w:t>4</w:t>
      </w:r>
      <w:r>
        <w:rPr>
          <w:rFonts w:hint="eastAsia"/>
          <w:color w:val="auto"/>
          <w:szCs w:val="21"/>
        </w:rPr>
        <w:t>.</w:t>
      </w:r>
      <w:r>
        <w:rPr>
          <w:color w:val="auto"/>
          <w:szCs w:val="21"/>
        </w:rPr>
        <w:t>3</w:t>
      </w:r>
      <w:r>
        <w:rPr>
          <w:rFonts w:hint="eastAsia"/>
          <w:color w:val="auto"/>
          <w:szCs w:val="21"/>
        </w:rPr>
        <w:t>本项目标的所属行业在第二章采购需求中规定。供应商根据中小企业划分标准（《关于印发中小企业划型标准规定的通知》（工信部联企业〔2011〕300号）判断是否为中小企业。</w:t>
      </w:r>
    </w:p>
    <w:p>
      <w:pPr>
        <w:snapToGrid w:val="0"/>
        <w:spacing w:before="120" w:line="360" w:lineRule="auto"/>
        <w:ind w:firstLine="420" w:firstLineChars="200"/>
        <w:rPr>
          <w:color w:val="auto"/>
          <w:szCs w:val="21"/>
        </w:rPr>
      </w:pPr>
      <w:r>
        <w:rPr>
          <w:rFonts w:hint="eastAsia"/>
          <w:color w:val="auto"/>
          <w:szCs w:val="21"/>
        </w:rPr>
        <w:t>符合条件的货物制造商、工程施工单位、服务承接单位为中小企业的，应按采购文件规定在响应文件中提供声明函。</w:t>
      </w:r>
    </w:p>
    <w:p>
      <w:pPr>
        <w:snapToGrid w:val="0"/>
        <w:spacing w:before="120" w:line="360" w:lineRule="auto"/>
        <w:ind w:firstLine="420" w:firstLineChars="200"/>
        <w:rPr>
          <w:color w:val="auto"/>
          <w:szCs w:val="21"/>
        </w:rPr>
      </w:pPr>
      <w:r>
        <w:rPr>
          <w:rFonts w:hint="eastAsia"/>
          <w:color w:val="auto"/>
          <w:szCs w:val="21"/>
        </w:rPr>
        <w:t>9.</w:t>
      </w:r>
      <w:r>
        <w:rPr>
          <w:color w:val="auto"/>
          <w:szCs w:val="21"/>
        </w:rPr>
        <w:t>4</w:t>
      </w:r>
      <w:r>
        <w:rPr>
          <w:rFonts w:hint="eastAsia"/>
          <w:color w:val="auto"/>
          <w:szCs w:val="21"/>
        </w:rPr>
        <w:t>.</w:t>
      </w:r>
      <w:r>
        <w:rPr>
          <w:color w:val="auto"/>
          <w:szCs w:val="21"/>
        </w:rPr>
        <w:t>4</w:t>
      </w:r>
      <w:r>
        <w:rPr>
          <w:rFonts w:hint="eastAsia"/>
          <w:color w:val="auto"/>
          <w:szCs w:val="21"/>
        </w:rPr>
        <w:t>视同中小企业情形</w:t>
      </w:r>
    </w:p>
    <w:p>
      <w:pPr>
        <w:snapToGrid w:val="0"/>
        <w:spacing w:before="120" w:line="360" w:lineRule="auto"/>
        <w:ind w:firstLine="420" w:firstLineChars="200"/>
        <w:rPr>
          <w:color w:val="auto"/>
          <w:szCs w:val="21"/>
        </w:rPr>
      </w:pPr>
      <w:r>
        <w:rPr>
          <w:rFonts w:hint="eastAsia"/>
          <w:color w:val="auto"/>
          <w:szCs w:val="21"/>
        </w:rPr>
        <w:t>（1）符合中小企业划分标准的个体工商户，视同中小企业。</w:t>
      </w:r>
    </w:p>
    <w:p>
      <w:pPr>
        <w:snapToGrid w:val="0"/>
        <w:spacing w:before="120" w:line="360" w:lineRule="auto"/>
        <w:ind w:firstLine="420" w:firstLineChars="200"/>
        <w:rPr>
          <w:color w:val="auto"/>
          <w:szCs w:val="21"/>
        </w:rPr>
      </w:pPr>
      <w:r>
        <w:rPr>
          <w:rFonts w:hint="eastAsia"/>
          <w:color w:val="auto"/>
          <w:szCs w:val="21"/>
        </w:rPr>
        <w:t>（2）以联合体形式参加政府采购活动，联合体各方均为中小企业的，联合体视同中小企业。其中，联合体各方均为小微企业的，联合体视同小微企业。</w:t>
      </w:r>
    </w:p>
    <w:p>
      <w:pPr>
        <w:snapToGrid w:val="0"/>
        <w:spacing w:before="120" w:line="360" w:lineRule="auto"/>
        <w:ind w:firstLine="420" w:firstLineChars="200"/>
        <w:rPr>
          <w:color w:val="auto"/>
          <w:szCs w:val="21"/>
        </w:rPr>
      </w:pPr>
      <w:r>
        <w:rPr>
          <w:rFonts w:hint="eastAsia"/>
          <w:color w:val="auto"/>
          <w:szCs w:val="21"/>
        </w:rPr>
        <w:t>（3）符合《财政部、司法部关于政府采购支持监狱企业发展有关问题的通知》（财库〔2014〕68号）规定的监狱企业，或符合《关于促进残疾人就业政府采购政策的通知》（财库〔2017〕141号）规定的残疾人福利性单位，视同小型、微型企业。</w:t>
      </w:r>
    </w:p>
    <w:p>
      <w:pPr>
        <w:snapToGrid w:val="0"/>
        <w:spacing w:before="120" w:line="360" w:lineRule="auto"/>
        <w:ind w:left="2" w:leftChars="1" w:firstLine="420" w:firstLineChars="200"/>
        <w:rPr>
          <w:color w:val="auto"/>
          <w:szCs w:val="21"/>
        </w:rPr>
      </w:pPr>
      <w:r>
        <w:rPr>
          <w:rFonts w:hint="eastAsia"/>
          <w:color w:val="auto"/>
          <w:szCs w:val="21"/>
        </w:rPr>
        <w:t>符合条件的货物制造商、工程施工单位、服务承接单位为监狱企业或残疾人福利性单位的，应按采购文件规定在响应文件中提供相关证明文件。</w:t>
      </w:r>
    </w:p>
    <w:p>
      <w:pPr>
        <w:snapToGrid w:val="0"/>
        <w:spacing w:before="120" w:line="360" w:lineRule="auto"/>
        <w:ind w:firstLine="422" w:firstLineChars="200"/>
        <w:outlineLvl w:val="1"/>
        <w:rPr>
          <w:b/>
          <w:bCs/>
          <w:color w:val="auto"/>
          <w:kern w:val="0"/>
          <w:szCs w:val="21"/>
        </w:rPr>
      </w:pPr>
      <w:r>
        <w:rPr>
          <w:b/>
          <w:bCs/>
          <w:color w:val="auto"/>
          <w:kern w:val="0"/>
          <w:szCs w:val="21"/>
        </w:rPr>
        <w:t>10．其他事项</w:t>
      </w:r>
    </w:p>
    <w:p>
      <w:pPr>
        <w:snapToGrid w:val="0"/>
        <w:spacing w:before="120" w:line="360" w:lineRule="auto"/>
        <w:ind w:firstLine="420" w:firstLineChars="200"/>
        <w:rPr>
          <w:color w:val="auto"/>
          <w:szCs w:val="21"/>
        </w:rPr>
      </w:pPr>
      <w:r>
        <w:rPr>
          <w:color w:val="auto"/>
          <w:szCs w:val="21"/>
        </w:rPr>
        <w:t>10.1代理服务收费由采购代理机构向成交供应商收取。签订合同前，成交供应商应向采购代理机构一次付清代理服务费。</w:t>
      </w:r>
    </w:p>
    <w:p>
      <w:pPr>
        <w:snapToGrid w:val="0"/>
        <w:spacing w:before="120" w:line="360" w:lineRule="auto"/>
        <w:ind w:firstLine="420" w:firstLineChars="200"/>
        <w:rPr>
          <w:color w:val="auto"/>
          <w:szCs w:val="21"/>
        </w:rPr>
      </w:pPr>
      <w:r>
        <w:rPr>
          <w:color w:val="auto"/>
          <w:szCs w:val="21"/>
        </w:rPr>
        <w:t>10.2</w:t>
      </w:r>
      <w:r>
        <w:rPr>
          <w:rFonts w:hint="eastAsia"/>
          <w:color w:val="auto"/>
          <w:szCs w:val="21"/>
        </w:rPr>
        <w:t>电子交易活动的中止。采购过程中出现以下情形，导致电子交易平台无法正常运行，或者无法保证电子交易的公平、公正和安全时，采购机构可中止电子交易活动：</w:t>
      </w:r>
    </w:p>
    <w:p>
      <w:pPr>
        <w:snapToGrid w:val="0"/>
        <w:spacing w:before="120" w:line="360" w:lineRule="auto"/>
        <w:ind w:firstLine="420" w:firstLineChars="200"/>
        <w:rPr>
          <w:color w:val="auto"/>
          <w:szCs w:val="21"/>
        </w:rPr>
      </w:pPr>
      <w:r>
        <w:rPr>
          <w:rFonts w:hint="eastAsia"/>
          <w:color w:val="auto"/>
          <w:szCs w:val="21"/>
        </w:rPr>
        <w:t xml:space="preserve">（1）电子交易平台发生故障而无法登录访问的； </w:t>
      </w:r>
    </w:p>
    <w:p>
      <w:pPr>
        <w:snapToGrid w:val="0"/>
        <w:spacing w:before="120" w:line="360" w:lineRule="auto"/>
        <w:ind w:firstLine="420" w:firstLineChars="200"/>
        <w:rPr>
          <w:color w:val="auto"/>
          <w:szCs w:val="21"/>
        </w:rPr>
      </w:pPr>
      <w:r>
        <w:rPr>
          <w:rFonts w:hint="eastAsia"/>
          <w:color w:val="auto"/>
          <w:szCs w:val="21"/>
        </w:rPr>
        <w:t>（2）电子交易平台应用或数据库出现错误，不能进行正常操作的；</w:t>
      </w:r>
    </w:p>
    <w:p>
      <w:pPr>
        <w:snapToGrid w:val="0"/>
        <w:spacing w:before="120" w:line="360" w:lineRule="auto"/>
        <w:ind w:firstLine="420" w:firstLineChars="200"/>
        <w:rPr>
          <w:color w:val="auto"/>
          <w:szCs w:val="21"/>
        </w:rPr>
      </w:pPr>
      <w:r>
        <w:rPr>
          <w:rFonts w:hint="eastAsia"/>
          <w:color w:val="auto"/>
          <w:szCs w:val="21"/>
        </w:rPr>
        <w:t>（3）电子交易平台发现严重安全漏洞，有潜在泄密危险的；</w:t>
      </w:r>
    </w:p>
    <w:p>
      <w:pPr>
        <w:snapToGrid w:val="0"/>
        <w:spacing w:before="120" w:line="360" w:lineRule="auto"/>
        <w:ind w:firstLine="420" w:firstLineChars="200"/>
        <w:rPr>
          <w:color w:val="auto"/>
          <w:szCs w:val="21"/>
        </w:rPr>
      </w:pPr>
      <w:r>
        <w:rPr>
          <w:rFonts w:hint="eastAsia"/>
          <w:color w:val="auto"/>
          <w:szCs w:val="21"/>
        </w:rPr>
        <w:t xml:space="preserve">（4）病毒发作导致不能进行正常操作的； </w:t>
      </w:r>
    </w:p>
    <w:p>
      <w:pPr>
        <w:snapToGrid w:val="0"/>
        <w:spacing w:before="120" w:line="360" w:lineRule="auto"/>
        <w:ind w:firstLine="420" w:firstLineChars="200"/>
        <w:rPr>
          <w:color w:val="auto"/>
          <w:szCs w:val="21"/>
        </w:rPr>
      </w:pPr>
      <w:r>
        <w:rPr>
          <w:rFonts w:hint="eastAsia"/>
          <w:color w:val="auto"/>
          <w:szCs w:val="21"/>
        </w:rPr>
        <w:t>（4）其他无法保证电子交易的公平、公正和安全的情况。</w:t>
      </w:r>
    </w:p>
    <w:p>
      <w:pPr>
        <w:tabs>
          <w:tab w:val="left" w:pos="4820"/>
        </w:tabs>
        <w:snapToGrid w:val="0"/>
        <w:spacing w:before="120" w:line="360" w:lineRule="auto"/>
        <w:ind w:firstLine="420" w:firstLineChars="200"/>
        <w:rPr>
          <w:color w:val="auto"/>
          <w:szCs w:val="21"/>
        </w:rPr>
      </w:pPr>
      <w:r>
        <w:rPr>
          <w:rFonts w:hint="eastAsia"/>
          <w:color w:val="auto"/>
          <w:szCs w:val="21"/>
        </w:rPr>
        <w:t>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r>
        <w:rPr>
          <w:color w:val="auto"/>
          <w:szCs w:val="21"/>
        </w:rPr>
        <w:t xml:space="preserve"> </w:t>
      </w:r>
    </w:p>
    <w:p>
      <w:pPr>
        <w:snapToGrid w:val="0"/>
        <w:spacing w:line="360" w:lineRule="auto"/>
        <w:ind w:firstLine="420"/>
        <w:rPr>
          <w:color w:val="auto"/>
          <w:szCs w:val="21"/>
        </w:rPr>
      </w:pPr>
      <w:r>
        <w:rPr>
          <w:color w:val="auto"/>
          <w:szCs w:val="21"/>
        </w:rPr>
        <w:t>10.3</w:t>
      </w:r>
      <w:r>
        <w:rPr>
          <w:rFonts w:hint="eastAsia"/>
          <w:color w:val="auto"/>
          <w:szCs w:val="21"/>
        </w:rPr>
        <w:t>本项目的附件及图纸</w:t>
      </w:r>
      <w:r>
        <w:rPr>
          <w:color w:val="auto"/>
          <w:szCs w:val="21"/>
        </w:rPr>
        <w:t>详见供应商须知前附表</w:t>
      </w:r>
      <w:r>
        <w:rPr>
          <w:rFonts w:hint="eastAsia"/>
          <w:color w:val="auto"/>
          <w:szCs w:val="21"/>
        </w:rPr>
        <w:t>。</w:t>
      </w:r>
    </w:p>
    <w:p>
      <w:pPr>
        <w:snapToGrid w:val="0"/>
        <w:spacing w:line="360" w:lineRule="auto"/>
        <w:ind w:firstLine="420"/>
        <w:rPr>
          <w:color w:val="auto"/>
          <w:szCs w:val="21"/>
        </w:rPr>
      </w:pPr>
      <w:r>
        <w:rPr>
          <w:color w:val="auto"/>
          <w:szCs w:val="21"/>
        </w:rPr>
        <w:t>10.4</w:t>
      </w:r>
      <w:r>
        <w:rPr>
          <w:rFonts w:hint="eastAsia"/>
          <w:color w:val="auto"/>
          <w:szCs w:val="21"/>
        </w:rPr>
        <w:t>本项目的其他事项</w:t>
      </w:r>
      <w:r>
        <w:rPr>
          <w:color w:val="auto"/>
          <w:szCs w:val="21"/>
        </w:rPr>
        <w:t>详见供应商须知前附表</w:t>
      </w:r>
      <w:r>
        <w:rPr>
          <w:rFonts w:hint="eastAsia"/>
          <w:color w:val="auto"/>
          <w:szCs w:val="21"/>
        </w:rPr>
        <w:t>。</w:t>
      </w:r>
    </w:p>
    <w:p>
      <w:pPr>
        <w:snapToGrid w:val="0"/>
        <w:spacing w:line="360" w:lineRule="auto"/>
        <w:ind w:firstLine="420"/>
        <w:rPr>
          <w:color w:val="auto"/>
          <w:szCs w:val="21"/>
        </w:rPr>
      </w:pPr>
      <w:r>
        <w:rPr>
          <w:rFonts w:hint="eastAsia"/>
          <w:color w:val="auto"/>
          <w:szCs w:val="21"/>
        </w:rPr>
        <w:t>10.5</w:t>
      </w:r>
      <w:r>
        <w:rPr>
          <w:rFonts w:hint="eastAsia"/>
          <w:color w:val="auto"/>
          <w:szCs w:val="21"/>
        </w:rPr>
        <w:tab/>
      </w:r>
      <w:r>
        <w:rPr>
          <w:rFonts w:hint="eastAsia"/>
          <w:color w:val="auto"/>
          <w:szCs w:val="21"/>
        </w:rPr>
        <w:t>本文件中内容如有前后不一致，以在采购文件先出现的为准。</w:t>
      </w:r>
    </w:p>
    <w:p>
      <w:pPr>
        <w:snapToGrid w:val="0"/>
        <w:spacing w:before="120" w:line="360" w:lineRule="auto"/>
        <w:ind w:left="2" w:leftChars="1" w:firstLine="422" w:firstLineChars="200"/>
        <w:outlineLvl w:val="1"/>
        <w:rPr>
          <w:b/>
          <w:bCs/>
          <w:color w:val="auto"/>
          <w:kern w:val="0"/>
          <w:szCs w:val="21"/>
        </w:rPr>
      </w:pPr>
      <w:r>
        <w:rPr>
          <w:b/>
          <w:bCs/>
          <w:color w:val="auto"/>
          <w:kern w:val="0"/>
          <w:szCs w:val="21"/>
        </w:rPr>
        <w:t>11．</w:t>
      </w:r>
      <w:r>
        <w:rPr>
          <w:rFonts w:hint="eastAsia"/>
          <w:b/>
          <w:bCs/>
          <w:color w:val="auto"/>
          <w:kern w:val="0"/>
          <w:szCs w:val="21"/>
        </w:rPr>
        <w:t>其他说明</w:t>
      </w:r>
    </w:p>
    <w:p>
      <w:pPr>
        <w:snapToGrid w:val="0"/>
        <w:spacing w:before="120" w:line="360" w:lineRule="auto"/>
        <w:ind w:left="2" w:leftChars="1" w:firstLine="422" w:firstLineChars="200"/>
        <w:outlineLvl w:val="1"/>
        <w:rPr>
          <w:color w:val="auto"/>
          <w:kern w:val="0"/>
          <w:szCs w:val="21"/>
        </w:rPr>
      </w:pPr>
      <w:r>
        <w:rPr>
          <w:rFonts w:hint="eastAsia"/>
          <w:b/>
          <w:bCs/>
          <w:color w:val="auto"/>
          <w:kern w:val="0"/>
          <w:szCs w:val="21"/>
        </w:rPr>
        <w:t>1</w:t>
      </w:r>
      <w:r>
        <w:rPr>
          <w:b/>
          <w:bCs/>
          <w:color w:val="auto"/>
          <w:kern w:val="0"/>
          <w:szCs w:val="21"/>
        </w:rPr>
        <w:t>1.1</w:t>
      </w:r>
      <w:r>
        <w:rPr>
          <w:rFonts w:hint="eastAsia"/>
          <w:color w:val="auto"/>
          <w:kern w:val="0"/>
          <w:szCs w:val="21"/>
        </w:rPr>
        <w:t>其余未尽事宜按</w:t>
      </w:r>
      <w:r>
        <w:rPr>
          <w:color w:val="auto"/>
          <w:kern w:val="0"/>
          <w:szCs w:val="21"/>
        </w:rPr>
        <w:t>《中华人民共和国政府采购法》、《中华人民共和国政府采购法实施条例》</w:t>
      </w:r>
      <w:r>
        <w:rPr>
          <w:rFonts w:hint="eastAsia"/>
          <w:color w:val="auto"/>
          <w:kern w:val="0"/>
          <w:szCs w:val="21"/>
        </w:rPr>
        <w:t>的相关规定执行。</w:t>
      </w:r>
    </w:p>
    <w:p>
      <w:pPr>
        <w:snapToGrid w:val="0"/>
        <w:spacing w:before="120" w:line="360" w:lineRule="auto"/>
        <w:ind w:left="2" w:leftChars="1" w:firstLine="422" w:firstLineChars="200"/>
        <w:outlineLvl w:val="1"/>
        <w:rPr>
          <w:color w:val="auto"/>
          <w:sz w:val="32"/>
          <w:szCs w:val="32"/>
        </w:rPr>
        <w:sectPr>
          <w:headerReference r:id="rId15" w:type="first"/>
          <w:headerReference r:id="rId14" w:type="default"/>
          <w:pgSz w:w="11906" w:h="16838"/>
          <w:pgMar w:top="993" w:right="1133" w:bottom="1246" w:left="1418" w:header="851" w:footer="992" w:gutter="0"/>
          <w:cols w:space="720" w:num="1"/>
          <w:titlePg/>
          <w:docGrid w:linePitch="312" w:charSpace="0"/>
        </w:sectPr>
      </w:pPr>
      <w:r>
        <w:rPr>
          <w:b/>
          <w:bCs/>
          <w:color w:val="auto"/>
          <w:kern w:val="0"/>
          <w:szCs w:val="21"/>
        </w:rPr>
        <w:t>11.2</w:t>
      </w:r>
      <w:r>
        <w:rPr>
          <w:rFonts w:hint="eastAsia"/>
          <w:color w:val="auto"/>
        </w:rPr>
        <w:t>本</w:t>
      </w:r>
      <w:r>
        <w:rPr>
          <w:color w:val="auto"/>
        </w:rPr>
        <w:t>采购文件是根据国家有关法律及有关政策、法规和参照国际惯例编制，解释权属采购代理机构</w:t>
      </w:r>
    </w:p>
    <w:p>
      <w:pPr>
        <w:pStyle w:val="28"/>
        <w:snapToGrid w:val="0"/>
        <w:spacing w:before="120" w:after="120" w:line="320" w:lineRule="exact"/>
        <w:jc w:val="center"/>
        <w:outlineLvl w:val="0"/>
        <w:rPr>
          <w:rFonts w:ascii="Times New Roman" w:hAnsi="Times New Roman" w:cs="Times New Roman"/>
          <w:color w:val="auto"/>
          <w:sz w:val="32"/>
          <w:szCs w:val="32"/>
        </w:rPr>
      </w:pPr>
      <w:bookmarkStart w:id="61" w:name="_Toc13891"/>
      <w:bookmarkStart w:id="62" w:name="_Toc254970690"/>
      <w:bookmarkStart w:id="63" w:name="_Toc254970549"/>
      <w:r>
        <w:rPr>
          <w:rFonts w:ascii="Times New Roman" w:hAnsi="Times New Roman" w:cs="Times New Roman"/>
          <w:color w:val="auto"/>
          <w:sz w:val="32"/>
          <w:szCs w:val="32"/>
        </w:rPr>
        <w:t>第四章  评审方法及标准</w:t>
      </w:r>
      <w:bookmarkEnd w:id="61"/>
    </w:p>
    <w:p>
      <w:pPr>
        <w:snapToGrid w:val="0"/>
        <w:spacing w:before="120" w:line="360" w:lineRule="auto"/>
        <w:ind w:firstLine="413" w:firstLineChars="196"/>
        <w:outlineLvl w:val="1"/>
        <w:rPr>
          <w:b/>
          <w:bCs/>
          <w:color w:val="auto"/>
          <w:kern w:val="0"/>
          <w:szCs w:val="21"/>
        </w:rPr>
      </w:pPr>
      <w:r>
        <w:rPr>
          <w:rFonts w:hint="eastAsia"/>
          <w:b/>
          <w:bCs/>
          <w:color w:val="auto"/>
          <w:kern w:val="0"/>
          <w:szCs w:val="21"/>
        </w:rPr>
        <w:t>1.</w:t>
      </w:r>
      <w:r>
        <w:rPr>
          <w:b/>
          <w:bCs/>
          <w:color w:val="auto"/>
          <w:kern w:val="0"/>
          <w:szCs w:val="21"/>
        </w:rPr>
        <w:t>评审</w:t>
      </w:r>
      <w:r>
        <w:rPr>
          <w:rFonts w:hint="eastAsia"/>
          <w:b/>
          <w:bCs/>
          <w:color w:val="auto"/>
          <w:kern w:val="0"/>
          <w:szCs w:val="21"/>
        </w:rPr>
        <w:t>方法</w:t>
      </w:r>
    </w:p>
    <w:p>
      <w:pPr>
        <w:suppressAutoHyphens/>
        <w:snapToGrid w:val="0"/>
        <w:spacing w:before="120" w:line="360" w:lineRule="auto"/>
        <w:ind w:firstLine="420" w:firstLineChars="200"/>
        <w:rPr>
          <w:color w:val="auto"/>
          <w:kern w:val="1"/>
          <w:szCs w:val="21"/>
        </w:rPr>
      </w:pPr>
      <w:r>
        <w:rPr>
          <w:color w:val="auto"/>
          <w:szCs w:val="21"/>
        </w:rPr>
        <w:t>本项目采用</w:t>
      </w:r>
      <w:r>
        <w:rPr>
          <w:bCs/>
          <w:color w:val="auto"/>
          <w:kern w:val="1"/>
          <w:szCs w:val="21"/>
        </w:rPr>
        <w:t>综合评分法</w:t>
      </w:r>
      <w:r>
        <w:rPr>
          <w:color w:val="auto"/>
          <w:szCs w:val="21"/>
        </w:rPr>
        <w:t>进行评审</w:t>
      </w:r>
      <w:r>
        <w:rPr>
          <w:bCs/>
          <w:color w:val="auto"/>
          <w:kern w:val="1"/>
          <w:szCs w:val="21"/>
        </w:rPr>
        <w:t>。</w:t>
      </w:r>
      <w:r>
        <w:rPr>
          <w:color w:val="auto"/>
          <w:szCs w:val="21"/>
        </w:rPr>
        <w:t>综合评分法，是指响应文件满足采购文件全部实质性要求且按照评审因素的量化指标评审得分最高的</w:t>
      </w:r>
      <w:r>
        <w:rPr>
          <w:rFonts w:hint="eastAsia"/>
          <w:color w:val="auto"/>
          <w:szCs w:val="21"/>
        </w:rPr>
        <w:t>供应商</w:t>
      </w:r>
      <w:r>
        <w:rPr>
          <w:color w:val="auto"/>
          <w:szCs w:val="21"/>
        </w:rPr>
        <w:t>为</w:t>
      </w:r>
      <w:r>
        <w:rPr>
          <w:rFonts w:hint="eastAsia"/>
          <w:color w:val="auto"/>
          <w:szCs w:val="21"/>
        </w:rPr>
        <w:t>成交</w:t>
      </w:r>
      <w:r>
        <w:rPr>
          <w:color w:val="auto"/>
          <w:szCs w:val="21"/>
        </w:rPr>
        <w:t>候选人的评审方法。</w:t>
      </w:r>
    </w:p>
    <w:p>
      <w:pPr>
        <w:suppressAutoHyphens/>
        <w:snapToGrid w:val="0"/>
        <w:spacing w:before="120" w:line="360" w:lineRule="auto"/>
        <w:ind w:firstLine="420" w:firstLineChars="200"/>
        <w:rPr>
          <w:color w:val="auto"/>
          <w:kern w:val="1"/>
          <w:szCs w:val="21"/>
        </w:rPr>
      </w:pPr>
      <w:r>
        <w:rPr>
          <w:rFonts w:hint="eastAsia"/>
          <w:color w:val="auto"/>
          <w:kern w:val="1"/>
          <w:szCs w:val="21"/>
        </w:rPr>
        <w:t>本项目评审的其他详细规定在第三章供应商须知中规定。</w:t>
      </w:r>
    </w:p>
    <w:p>
      <w:pPr>
        <w:snapToGrid w:val="0"/>
        <w:spacing w:before="120" w:line="360" w:lineRule="auto"/>
        <w:ind w:firstLine="413" w:firstLineChars="196"/>
        <w:outlineLvl w:val="1"/>
        <w:rPr>
          <w:b/>
          <w:bCs/>
          <w:color w:val="auto"/>
          <w:kern w:val="0"/>
          <w:szCs w:val="21"/>
        </w:rPr>
      </w:pPr>
      <w:r>
        <w:rPr>
          <w:b/>
          <w:color w:val="auto"/>
          <w:kern w:val="0"/>
          <w:szCs w:val="21"/>
        </w:rPr>
        <w:t>2</w:t>
      </w:r>
      <w:r>
        <w:rPr>
          <w:rFonts w:hint="eastAsia"/>
          <w:b/>
          <w:color w:val="auto"/>
          <w:kern w:val="0"/>
          <w:szCs w:val="21"/>
        </w:rPr>
        <w:t>.资格审查标准</w:t>
      </w:r>
      <w:r>
        <w:rPr>
          <w:rFonts w:hint="eastAsia"/>
          <w:b/>
          <w:bCs/>
          <w:color w:val="auto"/>
          <w:kern w:val="0"/>
          <w:szCs w:val="21"/>
        </w:rPr>
        <w:t>（不满足任何一项审查内容要求，资格审查即为不合格）</w:t>
      </w:r>
    </w:p>
    <w:tbl>
      <w:tblPr>
        <w:tblStyle w:val="52"/>
        <w:tblW w:w="9145"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2392"/>
        <w:gridCol w:w="5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46" w:type="dxa"/>
            <w:vAlign w:val="center"/>
          </w:tcPr>
          <w:p>
            <w:pPr>
              <w:snapToGrid w:val="0"/>
              <w:spacing w:line="360" w:lineRule="auto"/>
              <w:jc w:val="center"/>
              <w:rPr>
                <w:b/>
                <w:color w:val="auto"/>
                <w:kern w:val="0"/>
                <w:szCs w:val="21"/>
              </w:rPr>
            </w:pPr>
            <w:r>
              <w:rPr>
                <w:rFonts w:hint="eastAsia"/>
                <w:b/>
                <w:color w:val="auto"/>
                <w:kern w:val="0"/>
                <w:szCs w:val="21"/>
              </w:rPr>
              <w:t>审查</w:t>
            </w:r>
            <w:r>
              <w:rPr>
                <w:b/>
                <w:color w:val="auto"/>
                <w:kern w:val="0"/>
                <w:szCs w:val="21"/>
              </w:rPr>
              <w:t>因素</w:t>
            </w:r>
          </w:p>
        </w:tc>
        <w:tc>
          <w:tcPr>
            <w:tcW w:w="2392" w:type="dxa"/>
            <w:vAlign w:val="center"/>
          </w:tcPr>
          <w:p>
            <w:pPr>
              <w:snapToGrid w:val="0"/>
              <w:spacing w:line="360" w:lineRule="auto"/>
              <w:jc w:val="center"/>
              <w:rPr>
                <w:b/>
                <w:color w:val="auto"/>
                <w:kern w:val="0"/>
                <w:szCs w:val="21"/>
              </w:rPr>
            </w:pPr>
            <w:r>
              <w:rPr>
                <w:rFonts w:hint="eastAsia"/>
                <w:b/>
                <w:color w:val="auto"/>
                <w:kern w:val="0"/>
                <w:szCs w:val="21"/>
              </w:rPr>
              <w:t>审查</w:t>
            </w:r>
            <w:r>
              <w:rPr>
                <w:b/>
                <w:color w:val="auto"/>
                <w:kern w:val="0"/>
                <w:szCs w:val="21"/>
              </w:rPr>
              <w:t>内容</w:t>
            </w:r>
          </w:p>
        </w:tc>
        <w:tc>
          <w:tcPr>
            <w:tcW w:w="5907" w:type="dxa"/>
            <w:vAlign w:val="center"/>
          </w:tcPr>
          <w:p>
            <w:pPr>
              <w:snapToGrid w:val="0"/>
              <w:spacing w:line="360" w:lineRule="auto"/>
              <w:jc w:val="center"/>
              <w:rPr>
                <w:b/>
                <w:color w:val="auto"/>
                <w:kern w:val="0"/>
                <w:szCs w:val="21"/>
              </w:rPr>
            </w:pPr>
            <w:r>
              <w:rPr>
                <w:rFonts w:hint="eastAsia"/>
                <w:b/>
                <w:color w:val="auto"/>
                <w:kern w:val="0"/>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trPr>
        <w:tc>
          <w:tcPr>
            <w:tcW w:w="846" w:type="dxa"/>
            <w:vMerge w:val="restart"/>
            <w:vAlign w:val="center"/>
          </w:tcPr>
          <w:p>
            <w:pPr>
              <w:snapToGrid w:val="0"/>
              <w:spacing w:line="360" w:lineRule="auto"/>
              <w:rPr>
                <w:color w:val="auto"/>
                <w:szCs w:val="21"/>
                <w:lang w:val="zh-CN"/>
              </w:rPr>
            </w:pPr>
            <w:r>
              <w:rPr>
                <w:color w:val="auto"/>
                <w:szCs w:val="21"/>
                <w:lang w:val="zh-CN"/>
              </w:rPr>
              <w:t>供应商应符合的</w:t>
            </w:r>
            <w:r>
              <w:rPr>
                <w:rFonts w:hint="eastAsia"/>
                <w:color w:val="auto"/>
                <w:szCs w:val="21"/>
                <w:lang w:val="zh-CN"/>
              </w:rPr>
              <w:t>基本</w:t>
            </w:r>
            <w:r>
              <w:rPr>
                <w:color w:val="auto"/>
                <w:szCs w:val="21"/>
              </w:rPr>
              <w:t>资格</w:t>
            </w:r>
            <w:r>
              <w:rPr>
                <w:rFonts w:hint="eastAsia"/>
                <w:color w:val="auto"/>
                <w:szCs w:val="21"/>
              </w:rPr>
              <w:t>要求</w:t>
            </w:r>
          </w:p>
        </w:tc>
        <w:tc>
          <w:tcPr>
            <w:tcW w:w="2392" w:type="dxa"/>
            <w:vAlign w:val="center"/>
          </w:tcPr>
          <w:p>
            <w:pPr>
              <w:snapToGrid w:val="0"/>
              <w:spacing w:line="360" w:lineRule="auto"/>
              <w:rPr>
                <w:color w:val="auto"/>
                <w:szCs w:val="21"/>
              </w:rPr>
            </w:pPr>
            <w:r>
              <w:rPr>
                <w:color w:val="auto"/>
                <w:szCs w:val="21"/>
              </w:rPr>
              <w:t>（1）具有独立承担民事责任的能力</w:t>
            </w:r>
          </w:p>
        </w:tc>
        <w:tc>
          <w:tcPr>
            <w:tcW w:w="5907" w:type="dxa"/>
            <w:vAlign w:val="center"/>
          </w:tcPr>
          <w:p>
            <w:pPr>
              <w:snapToGrid w:val="0"/>
              <w:spacing w:line="360" w:lineRule="auto"/>
              <w:rPr>
                <w:color w:val="auto"/>
                <w:szCs w:val="21"/>
              </w:rPr>
            </w:pPr>
            <w:r>
              <w:rPr>
                <w:rFonts w:hint="eastAsia"/>
                <w:color w:val="auto"/>
                <w:szCs w:val="21"/>
              </w:rPr>
              <w:t>提供：政府采购项目投标资格承诺函（详见附件一）</w:t>
            </w:r>
          </w:p>
          <w:p>
            <w:pPr>
              <w:snapToGrid w:val="0"/>
              <w:spacing w:line="360" w:lineRule="auto"/>
              <w:rPr>
                <w:color w:val="auto"/>
                <w:szCs w:val="21"/>
              </w:rPr>
            </w:pPr>
            <w:r>
              <w:rPr>
                <w:rFonts w:hint="eastAsia"/>
                <w:color w:val="auto"/>
                <w:szCs w:val="21"/>
              </w:rPr>
              <w:t>注：不提供、不按内容提供或不按要求签字盖章，视为不合格。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46" w:type="dxa"/>
            <w:vMerge w:val="continue"/>
            <w:vAlign w:val="center"/>
          </w:tcPr>
          <w:p>
            <w:pPr>
              <w:snapToGrid w:val="0"/>
              <w:spacing w:line="360" w:lineRule="auto"/>
              <w:rPr>
                <w:color w:val="auto"/>
                <w:szCs w:val="21"/>
                <w:lang w:val="zh-CN"/>
              </w:rPr>
            </w:pPr>
          </w:p>
        </w:tc>
        <w:tc>
          <w:tcPr>
            <w:tcW w:w="2392" w:type="dxa"/>
            <w:vAlign w:val="center"/>
          </w:tcPr>
          <w:p>
            <w:pPr>
              <w:snapToGrid w:val="0"/>
              <w:spacing w:line="360" w:lineRule="auto"/>
              <w:rPr>
                <w:color w:val="auto"/>
                <w:szCs w:val="21"/>
              </w:rPr>
            </w:pPr>
            <w:r>
              <w:rPr>
                <w:color w:val="auto"/>
                <w:szCs w:val="21"/>
                <w:lang w:val="zh-CN"/>
              </w:rPr>
              <w:t>（2）</w:t>
            </w:r>
            <w:r>
              <w:rPr>
                <w:color w:val="auto"/>
                <w:szCs w:val="21"/>
              </w:rPr>
              <w:t>具有良好的商业信誉和健全的财务会计制度</w:t>
            </w:r>
          </w:p>
        </w:tc>
        <w:tc>
          <w:tcPr>
            <w:tcW w:w="5907" w:type="dxa"/>
            <w:vAlign w:val="center"/>
          </w:tcPr>
          <w:p>
            <w:pPr>
              <w:snapToGrid w:val="0"/>
              <w:spacing w:line="360" w:lineRule="auto"/>
              <w:rPr>
                <w:rFonts w:ascii="Calibri" w:hAnsi="Calibri"/>
                <w:color w:val="auto"/>
                <w:szCs w:val="21"/>
              </w:rPr>
            </w:pPr>
            <w:r>
              <w:rPr>
                <w:rFonts w:hint="eastAsia" w:ascii="Calibri" w:hAnsi="Calibri"/>
                <w:color w:val="auto"/>
                <w:szCs w:val="21"/>
              </w:rPr>
              <w:t>提供：政府采购项目投标资格承诺函（详见附件一）</w:t>
            </w:r>
          </w:p>
          <w:p>
            <w:pPr>
              <w:snapToGrid w:val="0"/>
              <w:spacing w:line="360" w:lineRule="auto"/>
              <w:rPr>
                <w:color w:val="auto"/>
                <w:szCs w:val="21"/>
              </w:rPr>
            </w:pPr>
            <w:r>
              <w:rPr>
                <w:rFonts w:hint="eastAsia" w:ascii="Calibri" w:hAnsi="Calibri"/>
                <w:color w:val="auto"/>
                <w:szCs w:val="21"/>
              </w:rPr>
              <w:t>注：不提供、不按内容提供或不</w:t>
            </w:r>
            <w:r>
              <w:rPr>
                <w:rFonts w:ascii="Calibri" w:hAnsi="Calibri"/>
                <w:color w:val="auto"/>
                <w:szCs w:val="21"/>
              </w:rPr>
              <w:t>按要求签字盖章</w:t>
            </w:r>
            <w:r>
              <w:rPr>
                <w:rFonts w:hint="eastAsia" w:ascii="Calibri" w:hAnsi="Calibri"/>
                <w:color w:val="auto"/>
                <w:szCs w:val="21"/>
              </w:rPr>
              <w:t>，视为不合格。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46" w:type="dxa"/>
            <w:vMerge w:val="continue"/>
            <w:vAlign w:val="center"/>
          </w:tcPr>
          <w:p>
            <w:pPr>
              <w:snapToGrid w:val="0"/>
              <w:spacing w:line="360" w:lineRule="auto"/>
              <w:rPr>
                <w:color w:val="auto"/>
                <w:szCs w:val="21"/>
                <w:lang w:val="zh-CN"/>
              </w:rPr>
            </w:pPr>
          </w:p>
        </w:tc>
        <w:tc>
          <w:tcPr>
            <w:tcW w:w="2392" w:type="dxa"/>
            <w:vAlign w:val="center"/>
          </w:tcPr>
          <w:p>
            <w:pPr>
              <w:snapToGrid w:val="0"/>
              <w:spacing w:line="360" w:lineRule="auto"/>
              <w:rPr>
                <w:color w:val="auto"/>
                <w:szCs w:val="21"/>
              </w:rPr>
            </w:pPr>
            <w:r>
              <w:rPr>
                <w:color w:val="auto"/>
                <w:szCs w:val="21"/>
                <w:lang w:val="zh-CN"/>
              </w:rPr>
              <w:t>（3）具有履行合同所必需的设备和专业技术能力</w:t>
            </w:r>
          </w:p>
        </w:tc>
        <w:tc>
          <w:tcPr>
            <w:tcW w:w="5907" w:type="dxa"/>
            <w:vAlign w:val="center"/>
          </w:tcPr>
          <w:p>
            <w:pPr>
              <w:snapToGrid w:val="0"/>
              <w:spacing w:line="360" w:lineRule="auto"/>
              <w:rPr>
                <w:rFonts w:ascii="Calibri" w:hAnsi="Calibri"/>
                <w:color w:val="auto"/>
                <w:szCs w:val="21"/>
              </w:rPr>
            </w:pPr>
            <w:r>
              <w:rPr>
                <w:rFonts w:hint="eastAsia" w:ascii="Calibri" w:hAnsi="Calibri"/>
                <w:color w:val="auto"/>
                <w:szCs w:val="21"/>
              </w:rPr>
              <w:t>提供：政府采购项目投标资格承诺函（详见附件一）</w:t>
            </w:r>
          </w:p>
          <w:p>
            <w:pPr>
              <w:snapToGrid w:val="0"/>
              <w:spacing w:line="360" w:lineRule="auto"/>
              <w:rPr>
                <w:color w:val="auto"/>
                <w:szCs w:val="21"/>
              </w:rPr>
            </w:pPr>
            <w:r>
              <w:rPr>
                <w:rFonts w:hint="eastAsia" w:ascii="Calibri" w:hAnsi="Calibri"/>
                <w:color w:val="auto"/>
                <w:szCs w:val="21"/>
              </w:rPr>
              <w:t>注：不提供、不按内容提供或不</w:t>
            </w:r>
            <w:r>
              <w:rPr>
                <w:rFonts w:ascii="Calibri" w:hAnsi="Calibri"/>
                <w:color w:val="auto"/>
                <w:szCs w:val="21"/>
              </w:rPr>
              <w:t>按要求签字盖章</w:t>
            </w:r>
            <w:r>
              <w:rPr>
                <w:rFonts w:hint="eastAsia" w:ascii="Calibri" w:hAnsi="Calibri"/>
                <w:color w:val="auto"/>
                <w:szCs w:val="21"/>
              </w:rPr>
              <w:t>，视为不合格。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46" w:type="dxa"/>
            <w:vMerge w:val="continue"/>
            <w:vAlign w:val="center"/>
          </w:tcPr>
          <w:p>
            <w:pPr>
              <w:snapToGrid w:val="0"/>
              <w:spacing w:line="360" w:lineRule="auto"/>
              <w:rPr>
                <w:color w:val="auto"/>
                <w:szCs w:val="21"/>
                <w:lang w:val="zh-CN"/>
              </w:rPr>
            </w:pPr>
          </w:p>
        </w:tc>
        <w:tc>
          <w:tcPr>
            <w:tcW w:w="2392" w:type="dxa"/>
            <w:vAlign w:val="center"/>
          </w:tcPr>
          <w:p>
            <w:pPr>
              <w:snapToGrid w:val="0"/>
              <w:spacing w:line="360" w:lineRule="auto"/>
              <w:rPr>
                <w:color w:val="auto"/>
                <w:szCs w:val="21"/>
              </w:rPr>
            </w:pPr>
            <w:r>
              <w:rPr>
                <w:color w:val="auto"/>
                <w:szCs w:val="21"/>
                <w:lang w:val="zh-CN"/>
              </w:rPr>
              <w:t>（4）有依法缴纳税收和社会保障金的良好记录</w:t>
            </w:r>
          </w:p>
        </w:tc>
        <w:tc>
          <w:tcPr>
            <w:tcW w:w="5907" w:type="dxa"/>
            <w:vAlign w:val="center"/>
          </w:tcPr>
          <w:p>
            <w:pPr>
              <w:snapToGrid w:val="0"/>
              <w:spacing w:line="360" w:lineRule="auto"/>
              <w:rPr>
                <w:rFonts w:ascii="Calibri" w:hAnsi="Calibri"/>
                <w:color w:val="auto"/>
                <w:szCs w:val="21"/>
              </w:rPr>
            </w:pPr>
            <w:r>
              <w:rPr>
                <w:rFonts w:hint="eastAsia" w:ascii="Calibri" w:hAnsi="Calibri"/>
                <w:color w:val="auto"/>
                <w:szCs w:val="21"/>
              </w:rPr>
              <w:t>提供：政府采购项目投标资格承诺函（详见附件一）</w:t>
            </w:r>
          </w:p>
          <w:p>
            <w:pPr>
              <w:snapToGrid w:val="0"/>
              <w:spacing w:line="360" w:lineRule="auto"/>
              <w:rPr>
                <w:color w:val="auto"/>
                <w:szCs w:val="21"/>
              </w:rPr>
            </w:pPr>
            <w:r>
              <w:rPr>
                <w:rFonts w:hint="eastAsia" w:ascii="Calibri" w:hAnsi="Calibri"/>
                <w:color w:val="auto"/>
                <w:szCs w:val="21"/>
              </w:rPr>
              <w:t>注：不提供、不按内容提供或不</w:t>
            </w:r>
            <w:r>
              <w:rPr>
                <w:rFonts w:ascii="Calibri" w:hAnsi="Calibri"/>
                <w:color w:val="auto"/>
                <w:szCs w:val="21"/>
              </w:rPr>
              <w:t>按要求签字盖章</w:t>
            </w:r>
            <w:r>
              <w:rPr>
                <w:rFonts w:hint="eastAsia" w:ascii="Calibri" w:hAnsi="Calibri"/>
                <w:color w:val="auto"/>
                <w:szCs w:val="21"/>
              </w:rPr>
              <w:t>，视为不合格。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46" w:type="dxa"/>
            <w:vMerge w:val="continue"/>
            <w:vAlign w:val="center"/>
          </w:tcPr>
          <w:p>
            <w:pPr>
              <w:snapToGrid w:val="0"/>
              <w:spacing w:line="360" w:lineRule="auto"/>
              <w:rPr>
                <w:color w:val="auto"/>
                <w:szCs w:val="21"/>
                <w:lang w:val="zh-CN"/>
              </w:rPr>
            </w:pPr>
          </w:p>
        </w:tc>
        <w:tc>
          <w:tcPr>
            <w:tcW w:w="2392" w:type="dxa"/>
            <w:vAlign w:val="center"/>
          </w:tcPr>
          <w:p>
            <w:pPr>
              <w:snapToGrid w:val="0"/>
              <w:spacing w:line="360" w:lineRule="auto"/>
              <w:rPr>
                <w:color w:val="auto"/>
                <w:szCs w:val="21"/>
              </w:rPr>
            </w:pPr>
            <w:r>
              <w:rPr>
                <w:color w:val="auto"/>
                <w:szCs w:val="21"/>
              </w:rPr>
              <w:t>（5）参加政府采购活动前三年内，在经营活动中没有重大违法记录及不良信用记录</w:t>
            </w:r>
          </w:p>
        </w:tc>
        <w:tc>
          <w:tcPr>
            <w:tcW w:w="5907" w:type="dxa"/>
            <w:vAlign w:val="center"/>
          </w:tcPr>
          <w:p>
            <w:pPr>
              <w:snapToGrid w:val="0"/>
              <w:spacing w:line="360" w:lineRule="auto"/>
              <w:rPr>
                <w:rFonts w:ascii="Calibri" w:hAnsi="Calibri"/>
                <w:color w:val="auto"/>
                <w:szCs w:val="21"/>
              </w:rPr>
            </w:pPr>
            <w:r>
              <w:rPr>
                <w:rFonts w:hint="eastAsia" w:ascii="Calibri" w:hAnsi="Calibri"/>
                <w:color w:val="auto"/>
                <w:szCs w:val="21"/>
              </w:rPr>
              <w:t>提供：政府采购项目投标资格承诺函（详见附件一）</w:t>
            </w:r>
          </w:p>
          <w:p>
            <w:pPr>
              <w:snapToGrid w:val="0"/>
              <w:spacing w:line="360" w:lineRule="auto"/>
              <w:rPr>
                <w:color w:val="auto"/>
                <w:szCs w:val="21"/>
              </w:rPr>
            </w:pPr>
            <w:r>
              <w:rPr>
                <w:rFonts w:hint="eastAsia" w:ascii="Calibri" w:hAnsi="Calibri"/>
                <w:color w:val="auto"/>
                <w:szCs w:val="21"/>
              </w:rPr>
              <w:t>注：不提供、不按内容提供或不</w:t>
            </w:r>
            <w:r>
              <w:rPr>
                <w:rFonts w:ascii="Calibri" w:hAnsi="Calibri"/>
                <w:color w:val="auto"/>
                <w:szCs w:val="21"/>
              </w:rPr>
              <w:t>按要求签字盖章</w:t>
            </w:r>
            <w:r>
              <w:rPr>
                <w:rFonts w:hint="eastAsia" w:ascii="Calibri" w:hAnsi="Calibri"/>
                <w:color w:val="auto"/>
                <w:szCs w:val="21"/>
              </w:rPr>
              <w:t>，视为不合格。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46" w:type="dxa"/>
            <w:vMerge w:val="continue"/>
            <w:vAlign w:val="center"/>
          </w:tcPr>
          <w:p>
            <w:pPr>
              <w:snapToGrid w:val="0"/>
              <w:spacing w:line="360" w:lineRule="auto"/>
              <w:rPr>
                <w:color w:val="auto"/>
                <w:szCs w:val="21"/>
                <w:lang w:val="zh-CN"/>
              </w:rPr>
            </w:pPr>
          </w:p>
        </w:tc>
        <w:tc>
          <w:tcPr>
            <w:tcW w:w="2392" w:type="dxa"/>
            <w:vAlign w:val="center"/>
          </w:tcPr>
          <w:p>
            <w:pPr>
              <w:snapToGrid w:val="0"/>
              <w:spacing w:line="360" w:lineRule="auto"/>
              <w:rPr>
                <w:color w:val="auto"/>
                <w:szCs w:val="21"/>
              </w:rPr>
            </w:pPr>
            <w:r>
              <w:rPr>
                <w:color w:val="auto"/>
                <w:szCs w:val="21"/>
              </w:rPr>
              <w:t>（6）具备法律、行政法规规定的其他要求</w:t>
            </w:r>
          </w:p>
        </w:tc>
        <w:tc>
          <w:tcPr>
            <w:tcW w:w="5907" w:type="dxa"/>
            <w:vAlign w:val="center"/>
          </w:tcPr>
          <w:p>
            <w:pPr>
              <w:snapToGrid w:val="0"/>
              <w:spacing w:line="360" w:lineRule="auto"/>
              <w:rPr>
                <w:color w:val="auto"/>
                <w:szCs w:val="21"/>
              </w:rPr>
            </w:pPr>
            <w:r>
              <w:rPr>
                <w:color w:val="auto"/>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trPr>
        <w:tc>
          <w:tcPr>
            <w:tcW w:w="846" w:type="dxa"/>
            <w:vMerge w:val="restart"/>
            <w:vAlign w:val="center"/>
          </w:tcPr>
          <w:p>
            <w:pPr>
              <w:snapToGrid w:val="0"/>
              <w:spacing w:line="360" w:lineRule="auto"/>
              <w:rPr>
                <w:color w:val="auto"/>
                <w:szCs w:val="21"/>
              </w:rPr>
            </w:pPr>
            <w:r>
              <w:rPr>
                <w:color w:val="auto"/>
                <w:szCs w:val="21"/>
                <w:lang w:val="zh-CN"/>
              </w:rPr>
              <w:t>供应商应符合的</w:t>
            </w:r>
            <w:r>
              <w:rPr>
                <w:color w:val="auto"/>
                <w:szCs w:val="21"/>
              </w:rPr>
              <w:t>特定资格</w:t>
            </w:r>
            <w:r>
              <w:rPr>
                <w:rFonts w:hint="eastAsia"/>
                <w:color w:val="auto"/>
                <w:szCs w:val="21"/>
              </w:rPr>
              <w:t>要求</w:t>
            </w:r>
          </w:p>
        </w:tc>
        <w:tc>
          <w:tcPr>
            <w:tcW w:w="2392" w:type="dxa"/>
            <w:vAlign w:val="center"/>
          </w:tcPr>
          <w:p>
            <w:pPr>
              <w:snapToGrid w:val="0"/>
              <w:spacing w:line="360" w:lineRule="auto"/>
              <w:jc w:val="left"/>
              <w:rPr>
                <w:color w:val="auto"/>
                <w:szCs w:val="21"/>
              </w:rPr>
            </w:pPr>
            <w:r>
              <w:rPr>
                <w:color w:val="auto"/>
                <w:szCs w:val="21"/>
              </w:rPr>
              <w:t>（1）资质</w:t>
            </w:r>
            <w:r>
              <w:rPr>
                <w:rFonts w:hint="eastAsia"/>
                <w:color w:val="auto"/>
                <w:szCs w:val="21"/>
              </w:rPr>
              <w:t>要求</w:t>
            </w:r>
          </w:p>
        </w:tc>
        <w:tc>
          <w:tcPr>
            <w:tcW w:w="5907" w:type="dxa"/>
            <w:vAlign w:val="center"/>
          </w:tcPr>
          <w:p>
            <w:pPr>
              <w:snapToGrid w:val="0"/>
              <w:spacing w:line="360" w:lineRule="auto"/>
              <w:jc w:val="left"/>
              <w:rPr>
                <w:color w:val="auto"/>
                <w:szCs w:val="21"/>
              </w:rPr>
            </w:pPr>
            <w:r>
              <w:rPr>
                <w:color w:val="auto"/>
                <w:szCs w:val="21"/>
              </w:rPr>
              <w:t>须符合</w:t>
            </w:r>
            <w:r>
              <w:rPr>
                <w:rFonts w:hint="eastAsia"/>
                <w:color w:val="auto"/>
                <w:szCs w:val="21"/>
              </w:rPr>
              <w:t>“磋商公告”</w:t>
            </w:r>
            <w:r>
              <w:rPr>
                <w:color w:val="auto"/>
                <w:szCs w:val="21"/>
              </w:rPr>
              <w:t>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46" w:type="dxa"/>
            <w:vMerge w:val="continue"/>
            <w:vAlign w:val="center"/>
          </w:tcPr>
          <w:p>
            <w:pPr>
              <w:snapToGrid w:val="0"/>
              <w:spacing w:line="360" w:lineRule="auto"/>
              <w:rPr>
                <w:color w:val="auto"/>
                <w:szCs w:val="21"/>
              </w:rPr>
            </w:pPr>
          </w:p>
        </w:tc>
        <w:tc>
          <w:tcPr>
            <w:tcW w:w="2392" w:type="dxa"/>
            <w:vAlign w:val="center"/>
          </w:tcPr>
          <w:p>
            <w:pPr>
              <w:snapToGrid w:val="0"/>
              <w:spacing w:line="360" w:lineRule="auto"/>
              <w:jc w:val="left"/>
              <w:rPr>
                <w:color w:val="auto"/>
                <w:szCs w:val="21"/>
              </w:rPr>
            </w:pPr>
            <w:r>
              <w:rPr>
                <w:color w:val="auto"/>
                <w:szCs w:val="21"/>
              </w:rPr>
              <w:t>（2）业绩要求</w:t>
            </w:r>
          </w:p>
        </w:tc>
        <w:tc>
          <w:tcPr>
            <w:tcW w:w="5907" w:type="dxa"/>
            <w:vAlign w:val="center"/>
          </w:tcPr>
          <w:p>
            <w:pPr>
              <w:snapToGrid w:val="0"/>
              <w:spacing w:line="360" w:lineRule="auto"/>
              <w:jc w:val="left"/>
              <w:rPr>
                <w:color w:val="auto"/>
                <w:szCs w:val="21"/>
              </w:rPr>
            </w:pPr>
            <w:r>
              <w:rPr>
                <w:color w:val="auto"/>
                <w:szCs w:val="21"/>
              </w:rPr>
              <w:t>须符合</w:t>
            </w:r>
            <w:r>
              <w:rPr>
                <w:rFonts w:hint="eastAsia"/>
                <w:color w:val="auto"/>
                <w:szCs w:val="21"/>
              </w:rPr>
              <w:t>“磋商公告”</w:t>
            </w:r>
            <w:r>
              <w:rPr>
                <w:color w:val="auto"/>
                <w:szCs w:val="21"/>
              </w:rPr>
              <w:t>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4" w:hRule="atLeast"/>
        </w:trPr>
        <w:tc>
          <w:tcPr>
            <w:tcW w:w="846" w:type="dxa"/>
            <w:vMerge w:val="continue"/>
            <w:vAlign w:val="center"/>
          </w:tcPr>
          <w:p>
            <w:pPr>
              <w:snapToGrid w:val="0"/>
              <w:spacing w:line="360" w:lineRule="auto"/>
              <w:jc w:val="left"/>
              <w:rPr>
                <w:color w:val="auto"/>
                <w:szCs w:val="21"/>
              </w:rPr>
            </w:pPr>
          </w:p>
        </w:tc>
        <w:tc>
          <w:tcPr>
            <w:tcW w:w="2392" w:type="dxa"/>
            <w:vMerge w:val="restart"/>
            <w:vAlign w:val="center"/>
          </w:tcPr>
          <w:p>
            <w:pPr>
              <w:snapToGrid w:val="0"/>
              <w:spacing w:line="360" w:lineRule="auto"/>
              <w:jc w:val="left"/>
              <w:rPr>
                <w:color w:val="auto"/>
                <w:szCs w:val="21"/>
              </w:rPr>
            </w:pPr>
            <w:r>
              <w:rPr>
                <w:rFonts w:hint="eastAsia"/>
                <w:color w:val="auto"/>
                <w:szCs w:val="21"/>
              </w:rPr>
              <w:t>（</w:t>
            </w:r>
            <w:r>
              <w:rPr>
                <w:color w:val="auto"/>
                <w:szCs w:val="21"/>
              </w:rPr>
              <w:t>3</w:t>
            </w:r>
            <w:r>
              <w:rPr>
                <w:rFonts w:hint="eastAsia"/>
                <w:color w:val="auto"/>
                <w:szCs w:val="21"/>
              </w:rPr>
              <w:t>）供应商不得参加响应的情形</w:t>
            </w:r>
          </w:p>
        </w:tc>
        <w:tc>
          <w:tcPr>
            <w:tcW w:w="5907" w:type="dxa"/>
            <w:vAlign w:val="center"/>
          </w:tcPr>
          <w:p>
            <w:pPr>
              <w:snapToGrid w:val="0"/>
              <w:spacing w:line="360" w:lineRule="auto"/>
              <w:jc w:val="left"/>
              <w:rPr>
                <w:color w:val="auto"/>
                <w:kern w:val="0"/>
                <w:szCs w:val="21"/>
              </w:rPr>
            </w:pPr>
            <w:r>
              <w:rPr>
                <w:color w:val="auto"/>
                <w:kern w:val="0"/>
                <w:szCs w:val="21"/>
              </w:rPr>
              <w:t>单位负责人为同一人或者存在直接控股、管理关系的不同供应商，不得参加本项目同一合同项下的政府采购活动。为本项目提供整体设计、规范编制或者项目管理、监理、检测等服务的供应商，不得再参加</w:t>
            </w:r>
            <w:r>
              <w:rPr>
                <w:rFonts w:hint="eastAsia"/>
                <w:color w:val="auto"/>
                <w:kern w:val="0"/>
                <w:szCs w:val="21"/>
              </w:rPr>
              <w:t>本</w:t>
            </w:r>
            <w:r>
              <w:rPr>
                <w:color w:val="auto"/>
                <w:kern w:val="0"/>
                <w:szCs w:val="21"/>
              </w:rPr>
              <w:t>项目的采购活动。</w:t>
            </w:r>
          </w:p>
          <w:p>
            <w:pPr>
              <w:snapToGrid w:val="0"/>
              <w:spacing w:line="360" w:lineRule="auto"/>
              <w:jc w:val="left"/>
              <w:rPr>
                <w:color w:val="auto"/>
                <w:szCs w:val="21"/>
              </w:rPr>
            </w:pPr>
            <w:r>
              <w:rPr>
                <w:color w:val="auto"/>
                <w:szCs w:val="21"/>
              </w:rPr>
              <w:t>须提供，格式见第六章</w:t>
            </w:r>
            <w:r>
              <w:rPr>
                <w:rFonts w:hint="eastAsia"/>
                <w:color w:val="auto"/>
                <w:szCs w:val="21"/>
              </w:rPr>
              <w:t>响应</w:t>
            </w:r>
            <w:r>
              <w:rPr>
                <w:color w:val="auto"/>
                <w:szCs w:val="21"/>
              </w:rPr>
              <w:t>文件格式“</w:t>
            </w:r>
            <w:r>
              <w:rPr>
                <w:rFonts w:hint="eastAsia"/>
                <w:color w:val="auto"/>
                <w:szCs w:val="21"/>
              </w:rPr>
              <w:t>供应商直接控股股东、管理关系信息表</w:t>
            </w:r>
            <w:r>
              <w:rPr>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1" w:hRule="atLeast"/>
        </w:trPr>
        <w:tc>
          <w:tcPr>
            <w:tcW w:w="846" w:type="dxa"/>
            <w:vMerge w:val="continue"/>
            <w:vAlign w:val="center"/>
          </w:tcPr>
          <w:p>
            <w:pPr>
              <w:snapToGrid w:val="0"/>
              <w:spacing w:line="360" w:lineRule="auto"/>
              <w:jc w:val="left"/>
              <w:rPr>
                <w:color w:val="auto"/>
                <w:szCs w:val="21"/>
              </w:rPr>
            </w:pPr>
          </w:p>
        </w:tc>
        <w:tc>
          <w:tcPr>
            <w:tcW w:w="2392" w:type="dxa"/>
            <w:vMerge w:val="continue"/>
            <w:vAlign w:val="center"/>
          </w:tcPr>
          <w:p>
            <w:pPr>
              <w:snapToGrid w:val="0"/>
              <w:spacing w:line="360" w:lineRule="auto"/>
              <w:jc w:val="left"/>
              <w:rPr>
                <w:color w:val="auto"/>
                <w:szCs w:val="21"/>
              </w:rPr>
            </w:pPr>
          </w:p>
        </w:tc>
        <w:tc>
          <w:tcPr>
            <w:tcW w:w="5907" w:type="dxa"/>
            <w:vAlign w:val="center"/>
          </w:tcPr>
          <w:p>
            <w:pPr>
              <w:snapToGrid w:val="0"/>
              <w:spacing w:line="360" w:lineRule="auto"/>
              <w:jc w:val="left"/>
              <w:rPr>
                <w:color w:val="auto"/>
                <w:kern w:val="0"/>
                <w:szCs w:val="21"/>
              </w:rPr>
            </w:pPr>
            <w:r>
              <w:rPr>
                <w:rFonts w:hint="eastAsia"/>
                <w:color w:val="auto"/>
                <w:kern w:val="0"/>
                <w:szCs w:val="21"/>
              </w:rPr>
              <w:t>不属于公益一类事业单位、使用事业编制且由财政拨款保障的群团组织。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846" w:type="dxa"/>
            <w:vMerge w:val="continue"/>
            <w:vAlign w:val="center"/>
          </w:tcPr>
          <w:p>
            <w:pPr>
              <w:snapToGrid w:val="0"/>
              <w:spacing w:line="360" w:lineRule="auto"/>
              <w:jc w:val="left"/>
              <w:rPr>
                <w:color w:val="auto"/>
                <w:kern w:val="0"/>
                <w:szCs w:val="21"/>
              </w:rPr>
            </w:pPr>
          </w:p>
        </w:tc>
        <w:tc>
          <w:tcPr>
            <w:tcW w:w="2392" w:type="dxa"/>
            <w:vAlign w:val="center"/>
          </w:tcPr>
          <w:p>
            <w:pPr>
              <w:snapToGrid w:val="0"/>
              <w:spacing w:line="360" w:lineRule="auto"/>
              <w:jc w:val="left"/>
              <w:rPr>
                <w:color w:val="auto"/>
                <w:kern w:val="0"/>
                <w:szCs w:val="21"/>
              </w:rPr>
            </w:pPr>
            <w:r>
              <w:rPr>
                <w:rFonts w:hint="eastAsia"/>
                <w:color w:val="auto"/>
                <w:szCs w:val="21"/>
              </w:rPr>
              <w:t>（</w:t>
            </w:r>
            <w:r>
              <w:rPr>
                <w:color w:val="auto"/>
                <w:szCs w:val="21"/>
              </w:rPr>
              <w:t>4</w:t>
            </w:r>
            <w:r>
              <w:rPr>
                <w:rFonts w:hint="eastAsia"/>
                <w:color w:val="auto"/>
                <w:szCs w:val="21"/>
              </w:rPr>
              <w:t>）诚信要求</w:t>
            </w:r>
          </w:p>
        </w:tc>
        <w:tc>
          <w:tcPr>
            <w:tcW w:w="5907" w:type="dxa"/>
          </w:tcPr>
          <w:p>
            <w:pPr>
              <w:snapToGrid w:val="0"/>
              <w:spacing w:line="360" w:lineRule="auto"/>
              <w:jc w:val="left"/>
              <w:rPr>
                <w:color w:val="auto"/>
                <w:kern w:val="0"/>
                <w:szCs w:val="21"/>
              </w:rPr>
            </w:pPr>
            <w:r>
              <w:rPr>
                <w:rFonts w:hint="eastAsia"/>
                <w:color w:val="auto"/>
                <w:szCs w:val="21"/>
              </w:rPr>
              <w:t>未被列入失信被执行人、税收违法黑名单</w:t>
            </w:r>
            <w:r>
              <w:rPr>
                <w:color w:val="auto"/>
                <w:szCs w:val="21"/>
              </w:rPr>
              <w:t>、政府采购严重违法失信行为记录名单</w:t>
            </w:r>
            <w:r>
              <w:rPr>
                <w:rFonts w:hint="eastAsia"/>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trPr>
        <w:tc>
          <w:tcPr>
            <w:tcW w:w="846" w:type="dxa"/>
            <w:vMerge w:val="continue"/>
            <w:vAlign w:val="center"/>
          </w:tcPr>
          <w:p>
            <w:pPr>
              <w:snapToGrid w:val="0"/>
              <w:spacing w:line="360" w:lineRule="auto"/>
              <w:jc w:val="left"/>
              <w:rPr>
                <w:color w:val="auto"/>
                <w:kern w:val="0"/>
                <w:szCs w:val="21"/>
              </w:rPr>
            </w:pPr>
          </w:p>
        </w:tc>
        <w:tc>
          <w:tcPr>
            <w:tcW w:w="2392" w:type="dxa"/>
            <w:vAlign w:val="center"/>
          </w:tcPr>
          <w:p>
            <w:pPr>
              <w:snapToGrid w:val="0"/>
              <w:spacing w:line="360" w:lineRule="auto"/>
              <w:jc w:val="left"/>
              <w:rPr>
                <w:color w:val="auto"/>
                <w:szCs w:val="21"/>
              </w:rPr>
            </w:pPr>
            <w:r>
              <w:rPr>
                <w:rFonts w:hint="eastAsia"/>
                <w:color w:val="auto"/>
                <w:szCs w:val="21"/>
              </w:rPr>
              <w:t>（5）其他要求</w:t>
            </w:r>
          </w:p>
        </w:tc>
        <w:tc>
          <w:tcPr>
            <w:tcW w:w="5907" w:type="dxa"/>
          </w:tcPr>
          <w:p>
            <w:pPr>
              <w:snapToGrid w:val="0"/>
              <w:spacing w:line="360" w:lineRule="auto"/>
              <w:jc w:val="left"/>
              <w:rPr>
                <w:color w:val="auto"/>
                <w:kern w:val="0"/>
                <w:szCs w:val="21"/>
              </w:rPr>
            </w:pPr>
            <w:r>
              <w:rPr>
                <w:rFonts w:hint="eastAsia"/>
                <w:color w:val="auto"/>
                <w:kern w:val="0"/>
                <w:szCs w:val="21"/>
              </w:rPr>
              <w:t>按</w:t>
            </w:r>
            <w:r>
              <w:rPr>
                <w:color w:val="auto"/>
                <w:kern w:val="0"/>
                <w:szCs w:val="21"/>
              </w:rPr>
              <w:t>照</w:t>
            </w:r>
            <w:r>
              <w:rPr>
                <w:rFonts w:hint="eastAsia"/>
                <w:color w:val="auto"/>
                <w:kern w:val="0"/>
                <w:szCs w:val="21"/>
              </w:rPr>
              <w:t>磋商</w:t>
            </w:r>
            <w:r>
              <w:rPr>
                <w:color w:val="auto"/>
                <w:kern w:val="0"/>
                <w:szCs w:val="21"/>
              </w:rPr>
              <w:t>公告规定获得</w:t>
            </w:r>
            <w:r>
              <w:rPr>
                <w:rFonts w:hint="eastAsia"/>
                <w:color w:val="auto"/>
                <w:kern w:val="0"/>
                <w:szCs w:val="21"/>
              </w:rPr>
              <w:t>采购</w:t>
            </w:r>
            <w:r>
              <w:rPr>
                <w:color w:val="auto"/>
                <w:kern w:val="0"/>
                <w:szCs w:val="21"/>
              </w:rPr>
              <w:t>文件。</w:t>
            </w:r>
            <w:r>
              <w:rPr>
                <w:rFonts w:hint="eastAsia"/>
                <w:color w:val="auto"/>
                <w:kern w:val="0"/>
                <w:szCs w:val="21"/>
              </w:rPr>
              <w:t>足额、及时缴纳磋商保证金。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atLeast"/>
        </w:trPr>
        <w:tc>
          <w:tcPr>
            <w:tcW w:w="846" w:type="dxa"/>
            <w:vAlign w:val="center"/>
          </w:tcPr>
          <w:p>
            <w:pPr>
              <w:snapToGrid w:val="0"/>
              <w:spacing w:line="360" w:lineRule="auto"/>
              <w:jc w:val="left"/>
              <w:rPr>
                <w:color w:val="auto"/>
                <w:kern w:val="0"/>
                <w:szCs w:val="21"/>
              </w:rPr>
            </w:pPr>
            <w:r>
              <w:rPr>
                <w:rFonts w:hint="eastAsia"/>
                <w:color w:val="auto"/>
                <w:kern w:val="0"/>
                <w:szCs w:val="21"/>
              </w:rPr>
              <w:t>采购政策</w:t>
            </w:r>
          </w:p>
        </w:tc>
        <w:tc>
          <w:tcPr>
            <w:tcW w:w="2392" w:type="dxa"/>
            <w:vAlign w:val="center"/>
          </w:tcPr>
          <w:p>
            <w:pPr>
              <w:snapToGrid w:val="0"/>
              <w:spacing w:line="360" w:lineRule="auto"/>
              <w:jc w:val="left"/>
              <w:rPr>
                <w:color w:val="auto"/>
                <w:kern w:val="0"/>
                <w:szCs w:val="21"/>
              </w:rPr>
            </w:pPr>
            <w:r>
              <w:rPr>
                <w:rFonts w:hint="eastAsia"/>
                <w:color w:val="auto"/>
                <w:kern w:val="0"/>
                <w:szCs w:val="21"/>
              </w:rPr>
              <w:t>落实政府采购政策需满足的资格要求</w:t>
            </w:r>
          </w:p>
        </w:tc>
        <w:tc>
          <w:tcPr>
            <w:tcW w:w="5907" w:type="dxa"/>
            <w:vAlign w:val="center"/>
          </w:tcPr>
          <w:p>
            <w:pPr>
              <w:snapToGrid w:val="0"/>
              <w:spacing w:line="360" w:lineRule="auto"/>
              <w:jc w:val="left"/>
              <w:rPr>
                <w:color w:val="auto"/>
                <w:kern w:val="0"/>
                <w:szCs w:val="21"/>
              </w:rPr>
            </w:pPr>
            <w:r>
              <w:rPr>
                <w:b/>
                <w:bCs/>
                <w:color w:val="auto"/>
                <w:kern w:val="0"/>
                <w:szCs w:val="21"/>
              </w:rPr>
              <w:t>本项目为专门面向中小企业项目，</w:t>
            </w:r>
            <w:r>
              <w:rPr>
                <w:rFonts w:hint="eastAsia"/>
                <w:b/>
                <w:bCs/>
                <w:color w:val="auto"/>
                <w:kern w:val="0"/>
                <w:szCs w:val="21"/>
              </w:rPr>
              <w:t>供应</w:t>
            </w:r>
            <w:r>
              <w:rPr>
                <w:b/>
                <w:bCs/>
                <w:color w:val="auto"/>
                <w:kern w:val="0"/>
                <w:szCs w:val="21"/>
              </w:rPr>
              <w:t>商应满足如下要求：</w:t>
            </w:r>
            <w:r>
              <w:rPr>
                <w:b/>
                <w:bCs/>
                <w:color w:val="auto"/>
                <w:kern w:val="0"/>
                <w:szCs w:val="21"/>
              </w:rPr>
              <w:br w:type="textWrapping"/>
            </w:r>
            <w:r>
              <w:rPr>
                <w:rFonts w:hint="eastAsia"/>
                <w:b/>
                <w:bCs/>
                <w:color w:val="auto"/>
                <w:kern w:val="0"/>
                <w:szCs w:val="21"/>
              </w:rPr>
              <w:t>①</w:t>
            </w:r>
            <w:r>
              <w:rPr>
                <w:b/>
                <w:bCs/>
                <w:color w:val="auto"/>
                <w:kern w:val="0"/>
                <w:szCs w:val="21"/>
              </w:rPr>
              <w:t>供应商声明制造商为中小企业的，应按</w:t>
            </w:r>
            <w:r>
              <w:rPr>
                <w:rFonts w:hint="eastAsia"/>
                <w:b/>
                <w:bCs/>
                <w:color w:val="auto"/>
                <w:kern w:val="0"/>
                <w:szCs w:val="21"/>
              </w:rPr>
              <w:t>采购</w:t>
            </w:r>
            <w:r>
              <w:rPr>
                <w:b/>
                <w:bCs/>
                <w:color w:val="auto"/>
                <w:kern w:val="0"/>
                <w:szCs w:val="21"/>
              </w:rPr>
              <w:t>文件规定在</w:t>
            </w:r>
            <w:r>
              <w:rPr>
                <w:rFonts w:hint="eastAsia"/>
                <w:b/>
                <w:bCs/>
                <w:color w:val="auto"/>
                <w:kern w:val="0"/>
                <w:szCs w:val="21"/>
              </w:rPr>
              <w:t>响应</w:t>
            </w:r>
            <w:r>
              <w:rPr>
                <w:b/>
                <w:bCs/>
                <w:color w:val="auto"/>
                <w:kern w:val="0"/>
                <w:szCs w:val="21"/>
              </w:rPr>
              <w:t>文件中提供中小企业声明函。</w:t>
            </w:r>
            <w:r>
              <w:rPr>
                <w:b/>
                <w:bCs/>
                <w:color w:val="auto"/>
                <w:kern w:val="0"/>
                <w:szCs w:val="21"/>
              </w:rPr>
              <w:br w:type="textWrapping"/>
            </w:r>
            <w:r>
              <w:rPr>
                <w:rFonts w:hint="eastAsia"/>
                <w:b/>
                <w:bCs/>
                <w:color w:val="auto"/>
                <w:kern w:val="0"/>
                <w:szCs w:val="21"/>
              </w:rPr>
              <w:t>②</w:t>
            </w:r>
            <w:r>
              <w:rPr>
                <w:b/>
                <w:bCs/>
                <w:color w:val="auto"/>
                <w:kern w:val="0"/>
                <w:szCs w:val="21"/>
              </w:rPr>
              <w:t>供应商声明制造商为监狱企业的，应按</w:t>
            </w:r>
            <w:r>
              <w:rPr>
                <w:rFonts w:hint="eastAsia"/>
                <w:b/>
                <w:bCs/>
                <w:color w:val="auto"/>
                <w:kern w:val="0"/>
                <w:szCs w:val="21"/>
              </w:rPr>
              <w:t>采购</w:t>
            </w:r>
            <w:r>
              <w:rPr>
                <w:b/>
                <w:bCs/>
                <w:color w:val="auto"/>
                <w:kern w:val="0"/>
                <w:szCs w:val="21"/>
              </w:rPr>
              <w:t>文件规定在</w:t>
            </w:r>
            <w:r>
              <w:rPr>
                <w:rFonts w:hint="eastAsia"/>
                <w:b/>
                <w:bCs/>
                <w:color w:val="auto"/>
                <w:kern w:val="0"/>
                <w:szCs w:val="21"/>
              </w:rPr>
              <w:t>响应</w:t>
            </w:r>
            <w:r>
              <w:rPr>
                <w:b/>
                <w:bCs/>
                <w:color w:val="auto"/>
                <w:kern w:val="0"/>
                <w:szCs w:val="21"/>
              </w:rPr>
              <w:t>文件中提供相关证明文件。</w:t>
            </w:r>
            <w:r>
              <w:rPr>
                <w:b/>
                <w:bCs/>
                <w:color w:val="auto"/>
                <w:kern w:val="0"/>
                <w:szCs w:val="21"/>
              </w:rPr>
              <w:br w:type="textWrapping"/>
            </w:r>
            <w:r>
              <w:rPr>
                <w:rFonts w:hint="eastAsia"/>
                <w:b/>
                <w:bCs/>
                <w:color w:val="auto"/>
                <w:kern w:val="0"/>
                <w:szCs w:val="21"/>
              </w:rPr>
              <w:t>③</w:t>
            </w:r>
            <w:r>
              <w:rPr>
                <w:b/>
                <w:bCs/>
                <w:color w:val="auto"/>
                <w:kern w:val="0"/>
                <w:szCs w:val="21"/>
              </w:rPr>
              <w:t>供应商声明制造商为残疾人福利性单位的，应当提供残疾人福利性单位声明函，并对声明的真实性负责。</w:t>
            </w:r>
            <w:r>
              <w:rPr>
                <w:b/>
                <w:bCs/>
                <w:color w:val="auto"/>
                <w:kern w:val="0"/>
                <w:szCs w:val="21"/>
              </w:rPr>
              <w:br w:type="textWrapping"/>
            </w:r>
            <w:r>
              <w:rPr>
                <w:b/>
                <w:bCs/>
                <w:color w:val="auto"/>
                <w:kern w:val="0"/>
                <w:szCs w:val="21"/>
              </w:rPr>
              <w:t>审查</w:t>
            </w:r>
            <w:r>
              <w:rPr>
                <w:rFonts w:hint="eastAsia"/>
                <w:b/>
                <w:bCs/>
                <w:color w:val="auto"/>
                <w:kern w:val="0"/>
                <w:szCs w:val="21"/>
              </w:rPr>
              <w:t>①</w:t>
            </w:r>
            <w:r>
              <w:rPr>
                <w:b/>
                <w:bCs/>
                <w:color w:val="auto"/>
                <w:kern w:val="0"/>
                <w:szCs w:val="21"/>
              </w:rPr>
              <w:t>或</w:t>
            </w:r>
            <w:r>
              <w:rPr>
                <w:rFonts w:hint="eastAsia"/>
                <w:b/>
                <w:bCs/>
                <w:color w:val="auto"/>
                <w:kern w:val="0"/>
                <w:szCs w:val="21"/>
              </w:rPr>
              <w:t>②</w:t>
            </w:r>
            <w:r>
              <w:rPr>
                <w:b/>
                <w:bCs/>
                <w:color w:val="auto"/>
                <w:kern w:val="0"/>
                <w:szCs w:val="21"/>
              </w:rPr>
              <w:t>或</w:t>
            </w:r>
            <w:r>
              <w:rPr>
                <w:rFonts w:hint="eastAsia"/>
                <w:b/>
                <w:bCs/>
                <w:color w:val="auto"/>
                <w:kern w:val="0"/>
                <w:szCs w:val="21"/>
              </w:rPr>
              <w:t>③</w:t>
            </w:r>
            <w:r>
              <w:rPr>
                <w:b/>
                <w:bCs/>
                <w:color w:val="auto"/>
                <w:kern w:val="0"/>
                <w:szCs w:val="21"/>
              </w:rPr>
              <w:t>，满足其一，即为符合要求。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trPr>
        <w:tc>
          <w:tcPr>
            <w:tcW w:w="846" w:type="dxa"/>
            <w:vAlign w:val="center"/>
          </w:tcPr>
          <w:p>
            <w:pPr>
              <w:snapToGrid w:val="0"/>
              <w:spacing w:line="360" w:lineRule="auto"/>
              <w:rPr>
                <w:color w:val="auto"/>
                <w:szCs w:val="21"/>
              </w:rPr>
            </w:pPr>
            <w:r>
              <w:rPr>
                <w:rFonts w:hint="eastAsia"/>
                <w:color w:val="auto"/>
                <w:szCs w:val="21"/>
              </w:rPr>
              <w:t>联合体</w:t>
            </w:r>
          </w:p>
        </w:tc>
        <w:tc>
          <w:tcPr>
            <w:tcW w:w="2392" w:type="dxa"/>
            <w:vAlign w:val="center"/>
          </w:tcPr>
          <w:p>
            <w:pPr>
              <w:snapToGrid w:val="0"/>
              <w:spacing w:line="360" w:lineRule="auto"/>
              <w:rPr>
                <w:color w:val="auto"/>
                <w:szCs w:val="21"/>
              </w:rPr>
            </w:pPr>
            <w:r>
              <w:rPr>
                <w:rFonts w:hint="eastAsia"/>
                <w:color w:val="auto"/>
                <w:szCs w:val="21"/>
              </w:rPr>
              <w:t>联合体要求</w:t>
            </w:r>
          </w:p>
        </w:tc>
        <w:tc>
          <w:tcPr>
            <w:tcW w:w="5907" w:type="dxa"/>
            <w:vAlign w:val="center"/>
          </w:tcPr>
          <w:p>
            <w:pPr>
              <w:snapToGrid w:val="0"/>
              <w:spacing w:line="360" w:lineRule="auto"/>
              <w:rPr>
                <w:color w:val="auto"/>
                <w:szCs w:val="21"/>
              </w:rPr>
            </w:pPr>
            <w:r>
              <w:rPr>
                <w:rFonts w:hint="eastAsia"/>
                <w:color w:val="auto"/>
                <w:szCs w:val="21"/>
                <w:lang w:val="zh-CN"/>
              </w:rPr>
              <w:t>本项目如允许联合体，应提交联合体协议书。</w:t>
            </w:r>
          </w:p>
        </w:tc>
      </w:tr>
    </w:tbl>
    <w:p>
      <w:pPr>
        <w:snapToGrid w:val="0"/>
        <w:spacing w:before="120" w:line="360" w:lineRule="auto"/>
        <w:ind w:firstLine="413" w:firstLineChars="196"/>
        <w:outlineLvl w:val="1"/>
        <w:rPr>
          <w:color w:val="auto"/>
          <w:szCs w:val="21"/>
        </w:rPr>
      </w:pPr>
      <w:r>
        <w:rPr>
          <w:b/>
          <w:bCs/>
          <w:color w:val="auto"/>
          <w:kern w:val="0"/>
          <w:szCs w:val="21"/>
        </w:rPr>
        <w:t>3</w:t>
      </w:r>
      <w:r>
        <w:rPr>
          <w:rFonts w:hint="eastAsia"/>
          <w:b/>
          <w:bCs/>
          <w:color w:val="auto"/>
          <w:kern w:val="0"/>
          <w:szCs w:val="21"/>
        </w:rPr>
        <w:t>.</w:t>
      </w:r>
      <w:r>
        <w:rPr>
          <w:b/>
          <w:bCs/>
          <w:color w:val="auto"/>
          <w:kern w:val="0"/>
          <w:szCs w:val="21"/>
        </w:rPr>
        <w:t>符合性审查</w:t>
      </w:r>
      <w:r>
        <w:rPr>
          <w:rFonts w:hint="eastAsia"/>
          <w:b/>
          <w:bCs/>
          <w:color w:val="auto"/>
          <w:kern w:val="0"/>
          <w:szCs w:val="21"/>
        </w:rPr>
        <w:t>标准（不满足任何一项审查内容要求，符合性审查即为不合格）</w:t>
      </w:r>
    </w:p>
    <w:tbl>
      <w:tblPr>
        <w:tblStyle w:val="52"/>
        <w:tblW w:w="9279"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1"/>
        <w:gridCol w:w="2424"/>
        <w:gridCol w:w="5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1571" w:type="dxa"/>
            <w:vAlign w:val="center"/>
          </w:tcPr>
          <w:p>
            <w:pPr>
              <w:snapToGrid w:val="0"/>
              <w:spacing w:line="360" w:lineRule="auto"/>
              <w:jc w:val="center"/>
              <w:rPr>
                <w:b/>
                <w:color w:val="auto"/>
                <w:kern w:val="0"/>
                <w:szCs w:val="21"/>
              </w:rPr>
            </w:pPr>
            <w:bookmarkStart w:id="64" w:name="_Hlk20388968"/>
            <w:bookmarkStart w:id="65" w:name="_Hlk48146640"/>
            <w:r>
              <w:rPr>
                <w:rFonts w:hint="eastAsia"/>
                <w:b/>
                <w:color w:val="auto"/>
                <w:kern w:val="0"/>
                <w:szCs w:val="21"/>
              </w:rPr>
              <w:t>审查</w:t>
            </w:r>
            <w:r>
              <w:rPr>
                <w:b/>
                <w:color w:val="auto"/>
                <w:kern w:val="0"/>
                <w:szCs w:val="21"/>
              </w:rPr>
              <w:t>因素</w:t>
            </w:r>
          </w:p>
        </w:tc>
        <w:tc>
          <w:tcPr>
            <w:tcW w:w="2424" w:type="dxa"/>
            <w:vAlign w:val="center"/>
          </w:tcPr>
          <w:p>
            <w:pPr>
              <w:snapToGrid w:val="0"/>
              <w:spacing w:line="360" w:lineRule="auto"/>
              <w:jc w:val="center"/>
              <w:rPr>
                <w:b/>
                <w:color w:val="auto"/>
                <w:kern w:val="0"/>
                <w:szCs w:val="21"/>
              </w:rPr>
            </w:pPr>
            <w:r>
              <w:rPr>
                <w:rFonts w:hint="eastAsia"/>
                <w:b/>
                <w:color w:val="auto"/>
                <w:kern w:val="0"/>
                <w:szCs w:val="21"/>
              </w:rPr>
              <w:t>审查内容</w:t>
            </w:r>
          </w:p>
        </w:tc>
        <w:tc>
          <w:tcPr>
            <w:tcW w:w="5284" w:type="dxa"/>
          </w:tcPr>
          <w:p>
            <w:pPr>
              <w:snapToGrid w:val="0"/>
              <w:spacing w:line="360" w:lineRule="auto"/>
              <w:jc w:val="center"/>
              <w:rPr>
                <w:b/>
                <w:color w:val="auto"/>
                <w:kern w:val="0"/>
                <w:szCs w:val="21"/>
              </w:rPr>
            </w:pPr>
          </w:p>
          <w:p>
            <w:pPr>
              <w:snapToGrid w:val="0"/>
              <w:spacing w:line="360" w:lineRule="auto"/>
              <w:jc w:val="center"/>
              <w:rPr>
                <w:b/>
                <w:color w:val="auto"/>
                <w:kern w:val="0"/>
                <w:szCs w:val="21"/>
              </w:rPr>
            </w:pPr>
            <w:r>
              <w:rPr>
                <w:rFonts w:hint="eastAsia"/>
                <w:b/>
                <w:color w:val="auto"/>
                <w:kern w:val="0"/>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1" w:hRule="atLeast"/>
        </w:trPr>
        <w:tc>
          <w:tcPr>
            <w:tcW w:w="1571" w:type="dxa"/>
            <w:vMerge w:val="restart"/>
            <w:vAlign w:val="center"/>
          </w:tcPr>
          <w:p>
            <w:pPr>
              <w:snapToGrid w:val="0"/>
              <w:spacing w:line="360" w:lineRule="auto"/>
              <w:jc w:val="center"/>
              <w:rPr>
                <w:color w:val="auto"/>
                <w:kern w:val="0"/>
                <w:szCs w:val="21"/>
              </w:rPr>
            </w:pPr>
            <w:r>
              <w:rPr>
                <w:rFonts w:hint="eastAsia"/>
                <w:color w:val="auto"/>
                <w:kern w:val="0"/>
                <w:szCs w:val="21"/>
              </w:rPr>
              <w:t>商务</w:t>
            </w:r>
          </w:p>
        </w:tc>
        <w:tc>
          <w:tcPr>
            <w:tcW w:w="2424" w:type="dxa"/>
            <w:vAlign w:val="center"/>
          </w:tcPr>
          <w:p>
            <w:pPr>
              <w:snapToGrid w:val="0"/>
              <w:spacing w:line="360" w:lineRule="auto"/>
              <w:rPr>
                <w:color w:val="auto"/>
              </w:rPr>
            </w:pPr>
            <w:r>
              <w:rPr>
                <w:rFonts w:hint="eastAsia"/>
                <w:color w:val="auto"/>
              </w:rPr>
              <w:t>法定代表人身份证明及授权委托书</w:t>
            </w:r>
          </w:p>
        </w:tc>
        <w:tc>
          <w:tcPr>
            <w:tcW w:w="5284" w:type="dxa"/>
            <w:vAlign w:val="center"/>
          </w:tcPr>
          <w:p>
            <w:pPr>
              <w:snapToGrid w:val="0"/>
              <w:spacing w:line="360" w:lineRule="auto"/>
              <w:rPr>
                <w:color w:val="auto"/>
                <w:szCs w:val="21"/>
              </w:rPr>
            </w:pPr>
            <w:r>
              <w:rPr>
                <w:rFonts w:hint="eastAsia"/>
                <w:color w:val="auto"/>
                <w:szCs w:val="21"/>
              </w:rPr>
              <w:t>授权</w:t>
            </w:r>
            <w:r>
              <w:rPr>
                <w:color w:val="auto"/>
                <w:szCs w:val="21"/>
              </w:rPr>
              <w:t>代表</w:t>
            </w:r>
            <w:r>
              <w:rPr>
                <w:rFonts w:hint="eastAsia"/>
                <w:color w:val="auto"/>
                <w:szCs w:val="21"/>
              </w:rPr>
              <w:t>参加响应</w:t>
            </w:r>
            <w:r>
              <w:rPr>
                <w:color w:val="auto"/>
                <w:szCs w:val="21"/>
              </w:rPr>
              <w:t>时审查</w:t>
            </w:r>
            <w:r>
              <w:rPr>
                <w:color w:val="auto"/>
              </w:rPr>
              <w:t>：</w:t>
            </w:r>
            <w:r>
              <w:rPr>
                <w:rFonts w:ascii="宋体" w:hAnsi="宋体"/>
                <w:color w:val="auto"/>
                <w:szCs w:val="21"/>
              </w:rPr>
              <w:t>法定代表人授权委托书及附件</w:t>
            </w:r>
            <w:r>
              <w:rPr>
                <w:color w:val="auto"/>
                <w:szCs w:val="21"/>
              </w:rPr>
              <w:t xml:space="preserve"> </w:t>
            </w:r>
          </w:p>
          <w:p>
            <w:pPr>
              <w:snapToGrid w:val="0"/>
              <w:spacing w:line="360" w:lineRule="auto"/>
              <w:rPr>
                <w:rFonts w:ascii="宋体" w:hAnsi="宋体"/>
                <w:color w:val="auto"/>
                <w:szCs w:val="21"/>
              </w:rPr>
            </w:pPr>
            <w:r>
              <w:rPr>
                <w:rFonts w:hint="eastAsia"/>
                <w:color w:val="auto"/>
                <w:szCs w:val="21"/>
              </w:rPr>
              <w:t>法定代表人直接参加响应</w:t>
            </w:r>
            <w:r>
              <w:rPr>
                <w:color w:val="auto"/>
                <w:szCs w:val="21"/>
              </w:rPr>
              <w:t>时审查</w:t>
            </w:r>
            <w:r>
              <w:rPr>
                <w:color w:val="auto"/>
              </w:rPr>
              <w:t>：</w:t>
            </w:r>
            <w:r>
              <w:rPr>
                <w:rFonts w:ascii="宋体" w:hAnsi="宋体"/>
                <w:color w:val="auto"/>
                <w:szCs w:val="21"/>
              </w:rPr>
              <w:t>法定代表人身份证明</w:t>
            </w:r>
            <w:r>
              <w:rPr>
                <w:rFonts w:hint="eastAsia" w:ascii="宋体" w:hAnsi="宋体"/>
                <w:color w:val="auto"/>
                <w:szCs w:val="21"/>
              </w:rPr>
              <w:t>及</w:t>
            </w:r>
            <w:r>
              <w:rPr>
                <w:rFonts w:ascii="宋体" w:hAnsi="宋体"/>
                <w:color w:val="auto"/>
                <w:szCs w:val="21"/>
              </w:rPr>
              <w:t>附件</w:t>
            </w:r>
          </w:p>
          <w:p>
            <w:pPr>
              <w:snapToGrid w:val="0"/>
              <w:spacing w:line="360" w:lineRule="auto"/>
              <w:rPr>
                <w:color w:val="auto"/>
              </w:rPr>
            </w:pPr>
            <w:r>
              <w:rPr>
                <w:rFonts w:ascii="宋体" w:hAnsi="宋体"/>
                <w:color w:val="auto"/>
                <w:szCs w:val="21"/>
              </w:rPr>
              <w:t>格式及附件见第六章响应文件格式要求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1571" w:type="dxa"/>
            <w:vMerge w:val="continue"/>
            <w:vAlign w:val="center"/>
          </w:tcPr>
          <w:p>
            <w:pPr>
              <w:snapToGrid w:val="0"/>
              <w:spacing w:line="360" w:lineRule="auto"/>
              <w:jc w:val="center"/>
              <w:rPr>
                <w:color w:val="auto"/>
                <w:kern w:val="0"/>
                <w:szCs w:val="21"/>
              </w:rPr>
            </w:pPr>
          </w:p>
        </w:tc>
        <w:tc>
          <w:tcPr>
            <w:tcW w:w="2424" w:type="dxa"/>
            <w:vAlign w:val="center"/>
          </w:tcPr>
          <w:p>
            <w:pPr>
              <w:snapToGrid w:val="0"/>
              <w:spacing w:line="360" w:lineRule="auto"/>
              <w:rPr>
                <w:color w:val="auto"/>
                <w:szCs w:val="21"/>
              </w:rPr>
            </w:pPr>
            <w:r>
              <w:rPr>
                <w:rFonts w:hint="eastAsia"/>
                <w:color w:val="auto"/>
                <w:szCs w:val="21"/>
              </w:rPr>
              <w:t>实质性条款响应</w:t>
            </w:r>
          </w:p>
        </w:tc>
        <w:tc>
          <w:tcPr>
            <w:tcW w:w="5284" w:type="dxa"/>
            <w:vAlign w:val="center"/>
          </w:tcPr>
          <w:p>
            <w:pPr>
              <w:snapToGrid w:val="0"/>
              <w:spacing w:line="360" w:lineRule="auto"/>
              <w:rPr>
                <w:color w:val="auto"/>
                <w:szCs w:val="21"/>
              </w:rPr>
            </w:pPr>
            <w:r>
              <w:rPr>
                <w:rFonts w:ascii="Calibri" w:hAnsi="Calibri"/>
                <w:color w:val="auto"/>
                <w:szCs w:val="21"/>
                <w:lang w:val="zh-CN"/>
              </w:rPr>
              <w:t>对</w:t>
            </w:r>
            <w:r>
              <w:rPr>
                <w:rFonts w:hint="eastAsia" w:ascii="Calibri" w:hAnsi="Calibri"/>
                <w:color w:val="auto"/>
                <w:szCs w:val="21"/>
                <w:lang w:val="zh-CN"/>
              </w:rPr>
              <w:t>采购文件</w:t>
            </w:r>
            <w:r>
              <w:rPr>
                <w:rFonts w:ascii="Calibri" w:hAnsi="Calibri"/>
                <w:color w:val="auto"/>
                <w:szCs w:val="21"/>
                <w:lang w:val="zh-CN"/>
              </w:rPr>
              <w:t>中所有标注▲号的实质性条款要求响应均无负偏离。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1571" w:type="dxa"/>
            <w:vMerge w:val="continue"/>
            <w:vAlign w:val="center"/>
          </w:tcPr>
          <w:p>
            <w:pPr>
              <w:snapToGrid w:val="0"/>
              <w:spacing w:line="360" w:lineRule="auto"/>
              <w:jc w:val="center"/>
              <w:rPr>
                <w:color w:val="auto"/>
                <w:kern w:val="0"/>
                <w:szCs w:val="21"/>
              </w:rPr>
            </w:pPr>
          </w:p>
        </w:tc>
        <w:tc>
          <w:tcPr>
            <w:tcW w:w="2424" w:type="dxa"/>
            <w:vAlign w:val="center"/>
          </w:tcPr>
          <w:p>
            <w:pPr>
              <w:snapToGrid w:val="0"/>
              <w:spacing w:line="360" w:lineRule="auto"/>
              <w:rPr>
                <w:color w:val="auto"/>
                <w:szCs w:val="21"/>
              </w:rPr>
            </w:pPr>
            <w:r>
              <w:rPr>
                <w:rFonts w:hint="eastAsia"/>
                <w:color w:val="auto"/>
                <w:szCs w:val="21"/>
              </w:rPr>
              <w:t>串通投标</w:t>
            </w:r>
          </w:p>
        </w:tc>
        <w:tc>
          <w:tcPr>
            <w:tcW w:w="5284" w:type="dxa"/>
            <w:vAlign w:val="center"/>
          </w:tcPr>
          <w:p>
            <w:pPr>
              <w:snapToGrid w:val="0"/>
              <w:spacing w:line="360" w:lineRule="auto"/>
              <w:rPr>
                <w:color w:val="auto"/>
                <w:szCs w:val="21"/>
              </w:rPr>
            </w:pPr>
            <w:r>
              <w:rPr>
                <w:rFonts w:hint="eastAsia" w:ascii="宋体" w:hAnsi="宋体"/>
                <w:color w:val="auto"/>
                <w:szCs w:val="21"/>
              </w:rPr>
              <w:t>不属于供应商须知正文第</w:t>
            </w:r>
            <w:r>
              <w:rPr>
                <w:rFonts w:ascii="宋体" w:hAnsi="宋体"/>
                <w:color w:val="auto"/>
                <w:szCs w:val="21"/>
              </w:rPr>
              <w:t>6</w:t>
            </w:r>
            <w:r>
              <w:rPr>
                <w:rFonts w:hint="eastAsia" w:ascii="宋体" w:hAnsi="宋体"/>
                <w:color w:val="auto"/>
                <w:szCs w:val="21"/>
              </w:rPr>
              <w:t>.</w:t>
            </w:r>
            <w:r>
              <w:rPr>
                <w:rFonts w:ascii="宋体" w:hAnsi="宋体"/>
                <w:color w:val="auto"/>
                <w:szCs w:val="21"/>
              </w:rPr>
              <w:t>3</w:t>
            </w:r>
            <w:r>
              <w:rPr>
                <w:rFonts w:hint="eastAsia" w:ascii="宋体" w:hAnsi="宋体"/>
                <w:color w:val="auto"/>
                <w:szCs w:val="21"/>
              </w:rPr>
              <w:t>.</w:t>
            </w:r>
            <w:r>
              <w:rPr>
                <w:rFonts w:ascii="宋体" w:hAnsi="宋体"/>
                <w:color w:val="auto"/>
                <w:szCs w:val="21"/>
              </w:rPr>
              <w:t>8</w:t>
            </w:r>
            <w:r>
              <w:rPr>
                <w:rFonts w:hint="eastAsia" w:ascii="宋体" w:hAnsi="宋体"/>
                <w:color w:val="auto"/>
                <w:szCs w:val="21"/>
              </w:rPr>
              <w:t>规定的串通投标情形，见</w:t>
            </w:r>
            <w:r>
              <w:rPr>
                <w:rFonts w:ascii="宋体" w:hAnsi="宋体"/>
                <w:color w:val="auto"/>
                <w:szCs w:val="21"/>
              </w:rPr>
              <w:t>第六章响应文件格式要求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1571" w:type="dxa"/>
            <w:vAlign w:val="center"/>
          </w:tcPr>
          <w:p>
            <w:pPr>
              <w:snapToGrid w:val="0"/>
              <w:spacing w:line="360" w:lineRule="auto"/>
              <w:jc w:val="center"/>
              <w:rPr>
                <w:color w:val="auto"/>
                <w:kern w:val="0"/>
                <w:szCs w:val="21"/>
              </w:rPr>
            </w:pPr>
            <w:r>
              <w:rPr>
                <w:rFonts w:hint="eastAsia"/>
                <w:color w:val="auto"/>
                <w:kern w:val="0"/>
                <w:szCs w:val="21"/>
              </w:rPr>
              <w:t>技术</w:t>
            </w:r>
          </w:p>
        </w:tc>
        <w:tc>
          <w:tcPr>
            <w:tcW w:w="2424" w:type="dxa"/>
            <w:vAlign w:val="center"/>
          </w:tcPr>
          <w:p>
            <w:pPr>
              <w:snapToGrid w:val="0"/>
              <w:spacing w:line="360" w:lineRule="auto"/>
              <w:rPr>
                <w:color w:val="auto"/>
                <w:szCs w:val="21"/>
              </w:rPr>
            </w:pPr>
            <w:r>
              <w:rPr>
                <w:rFonts w:hint="eastAsia"/>
                <w:color w:val="auto"/>
                <w:szCs w:val="21"/>
              </w:rPr>
              <w:t>实质性条款响应</w:t>
            </w:r>
          </w:p>
        </w:tc>
        <w:tc>
          <w:tcPr>
            <w:tcW w:w="5284" w:type="dxa"/>
            <w:vAlign w:val="center"/>
          </w:tcPr>
          <w:p>
            <w:pPr>
              <w:snapToGrid w:val="0"/>
              <w:spacing w:line="360" w:lineRule="auto"/>
              <w:rPr>
                <w:rFonts w:ascii="宋体" w:hAnsi="宋体"/>
                <w:color w:val="auto"/>
                <w:szCs w:val="21"/>
              </w:rPr>
            </w:pPr>
            <w:r>
              <w:rPr>
                <w:rFonts w:ascii="Calibri" w:hAnsi="Calibri"/>
                <w:color w:val="auto"/>
                <w:szCs w:val="21"/>
                <w:lang w:val="zh-CN"/>
              </w:rPr>
              <w:t>对</w:t>
            </w:r>
            <w:r>
              <w:rPr>
                <w:rFonts w:hint="eastAsia" w:ascii="Calibri" w:hAnsi="Calibri"/>
                <w:color w:val="auto"/>
                <w:szCs w:val="21"/>
                <w:lang w:val="zh-CN"/>
              </w:rPr>
              <w:t>采购文件</w:t>
            </w:r>
            <w:r>
              <w:rPr>
                <w:rFonts w:ascii="Calibri" w:hAnsi="Calibri"/>
                <w:color w:val="auto"/>
                <w:szCs w:val="21"/>
                <w:lang w:val="zh-CN"/>
              </w:rPr>
              <w:t>中所有标注▲号的实质性条款要求响应均无负偏离。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1571" w:type="dxa"/>
            <w:vMerge w:val="restart"/>
            <w:vAlign w:val="center"/>
          </w:tcPr>
          <w:p>
            <w:pPr>
              <w:snapToGrid w:val="0"/>
              <w:spacing w:line="360" w:lineRule="auto"/>
              <w:jc w:val="center"/>
              <w:rPr>
                <w:color w:val="auto"/>
                <w:kern w:val="0"/>
                <w:szCs w:val="21"/>
              </w:rPr>
            </w:pPr>
            <w:r>
              <w:rPr>
                <w:rFonts w:hint="eastAsia"/>
                <w:color w:val="auto"/>
                <w:kern w:val="0"/>
                <w:szCs w:val="21"/>
              </w:rPr>
              <w:t>报价</w:t>
            </w:r>
          </w:p>
        </w:tc>
        <w:tc>
          <w:tcPr>
            <w:tcW w:w="2424" w:type="dxa"/>
            <w:vAlign w:val="center"/>
          </w:tcPr>
          <w:p>
            <w:pPr>
              <w:snapToGrid w:val="0"/>
              <w:spacing w:line="360" w:lineRule="auto"/>
              <w:rPr>
                <w:color w:val="auto"/>
                <w:szCs w:val="21"/>
              </w:rPr>
            </w:pPr>
            <w:r>
              <w:rPr>
                <w:rFonts w:hint="eastAsia"/>
                <w:color w:val="auto"/>
                <w:szCs w:val="21"/>
              </w:rPr>
              <w:t>有效报价</w:t>
            </w:r>
          </w:p>
        </w:tc>
        <w:tc>
          <w:tcPr>
            <w:tcW w:w="5284" w:type="dxa"/>
            <w:vAlign w:val="center"/>
          </w:tcPr>
          <w:p>
            <w:pPr>
              <w:snapToGrid w:val="0"/>
              <w:spacing w:line="360" w:lineRule="auto"/>
              <w:rPr>
                <w:bCs/>
                <w:color w:val="auto"/>
                <w:kern w:val="0"/>
                <w:szCs w:val="21"/>
              </w:rPr>
            </w:pPr>
            <w:r>
              <w:rPr>
                <w:rFonts w:hint="eastAsia"/>
                <w:color w:val="auto"/>
              </w:rPr>
              <w:t>最后报价未超出采购预算金额（包括分项预算），也未超出最高限价（如有）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571" w:type="dxa"/>
            <w:vMerge w:val="continue"/>
            <w:vAlign w:val="center"/>
          </w:tcPr>
          <w:p>
            <w:pPr>
              <w:snapToGrid w:val="0"/>
              <w:spacing w:line="360" w:lineRule="auto"/>
              <w:jc w:val="center"/>
              <w:rPr>
                <w:color w:val="auto"/>
                <w:kern w:val="0"/>
                <w:szCs w:val="21"/>
              </w:rPr>
            </w:pPr>
          </w:p>
        </w:tc>
        <w:tc>
          <w:tcPr>
            <w:tcW w:w="2424" w:type="dxa"/>
            <w:vAlign w:val="center"/>
          </w:tcPr>
          <w:p>
            <w:pPr>
              <w:snapToGrid w:val="0"/>
              <w:spacing w:line="360" w:lineRule="auto"/>
              <w:rPr>
                <w:bCs/>
                <w:color w:val="auto"/>
                <w:kern w:val="0"/>
                <w:szCs w:val="21"/>
              </w:rPr>
            </w:pPr>
            <w:r>
              <w:rPr>
                <w:rFonts w:hint="eastAsia"/>
                <w:bCs/>
                <w:color w:val="auto"/>
                <w:kern w:val="0"/>
                <w:szCs w:val="21"/>
              </w:rPr>
              <w:t>漏项报价</w:t>
            </w:r>
          </w:p>
        </w:tc>
        <w:tc>
          <w:tcPr>
            <w:tcW w:w="5284" w:type="dxa"/>
            <w:vAlign w:val="center"/>
          </w:tcPr>
          <w:p>
            <w:pPr>
              <w:snapToGrid w:val="0"/>
              <w:spacing w:line="360" w:lineRule="auto"/>
              <w:rPr>
                <w:rFonts w:hAnsi="宋体"/>
                <w:color w:val="auto"/>
                <w:szCs w:val="21"/>
              </w:rPr>
            </w:pPr>
            <w:r>
              <w:rPr>
                <w:rFonts w:hint="eastAsia" w:ascii="宋体" w:hAnsi="宋体"/>
                <w:color w:val="auto"/>
                <w:szCs w:val="21"/>
              </w:rPr>
              <w:t>未就所投分标进行报价或者存在漏项报价；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1571" w:type="dxa"/>
            <w:vMerge w:val="continue"/>
            <w:vAlign w:val="center"/>
          </w:tcPr>
          <w:p>
            <w:pPr>
              <w:snapToGrid w:val="0"/>
              <w:spacing w:line="360" w:lineRule="auto"/>
              <w:jc w:val="center"/>
              <w:rPr>
                <w:color w:val="auto"/>
                <w:kern w:val="0"/>
                <w:szCs w:val="21"/>
              </w:rPr>
            </w:pPr>
          </w:p>
        </w:tc>
        <w:tc>
          <w:tcPr>
            <w:tcW w:w="2424" w:type="dxa"/>
            <w:vAlign w:val="center"/>
          </w:tcPr>
          <w:p>
            <w:pPr>
              <w:snapToGrid w:val="0"/>
              <w:spacing w:line="360" w:lineRule="auto"/>
              <w:rPr>
                <w:rFonts w:hAnsi="宋体"/>
                <w:color w:val="auto"/>
                <w:szCs w:val="21"/>
              </w:rPr>
            </w:pPr>
            <w:r>
              <w:rPr>
                <w:rFonts w:hint="eastAsia" w:hAnsi="宋体"/>
                <w:color w:val="auto"/>
                <w:szCs w:val="21"/>
              </w:rPr>
              <w:t>响应报价唯一性</w:t>
            </w:r>
          </w:p>
        </w:tc>
        <w:tc>
          <w:tcPr>
            <w:tcW w:w="5284" w:type="dxa"/>
            <w:vAlign w:val="center"/>
          </w:tcPr>
          <w:p>
            <w:pPr>
              <w:snapToGrid w:val="0"/>
              <w:spacing w:line="360" w:lineRule="auto"/>
              <w:rPr>
                <w:color w:val="auto"/>
                <w:szCs w:val="21"/>
              </w:rPr>
            </w:pPr>
            <w:r>
              <w:rPr>
                <w:rFonts w:hint="eastAsia" w:ascii="宋体" w:hAnsi="宋体"/>
                <w:color w:val="auto"/>
                <w:szCs w:val="21"/>
              </w:rPr>
              <w:t>不存在有选择、有条件的最后报价（采购文件允许有备选方案或者其他约定的除外）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1571" w:type="dxa"/>
            <w:vMerge w:val="continue"/>
            <w:vAlign w:val="center"/>
          </w:tcPr>
          <w:p>
            <w:pPr>
              <w:snapToGrid w:val="0"/>
              <w:spacing w:line="360" w:lineRule="auto"/>
              <w:jc w:val="center"/>
              <w:rPr>
                <w:color w:val="auto"/>
                <w:kern w:val="0"/>
                <w:szCs w:val="21"/>
              </w:rPr>
            </w:pPr>
          </w:p>
        </w:tc>
        <w:tc>
          <w:tcPr>
            <w:tcW w:w="2424" w:type="dxa"/>
            <w:vAlign w:val="center"/>
          </w:tcPr>
          <w:p>
            <w:pPr>
              <w:snapToGrid w:val="0"/>
              <w:spacing w:line="360" w:lineRule="auto"/>
              <w:rPr>
                <w:rFonts w:ascii="宋体" w:hAnsi="宋体"/>
                <w:color w:val="auto"/>
                <w:szCs w:val="21"/>
              </w:rPr>
            </w:pPr>
            <w:r>
              <w:rPr>
                <w:rFonts w:hint="eastAsia"/>
                <w:color w:val="auto"/>
                <w:szCs w:val="21"/>
              </w:rPr>
              <w:t>响应有效期</w:t>
            </w:r>
          </w:p>
        </w:tc>
        <w:tc>
          <w:tcPr>
            <w:tcW w:w="5284" w:type="dxa"/>
            <w:vAlign w:val="center"/>
          </w:tcPr>
          <w:p>
            <w:pPr>
              <w:snapToGrid w:val="0"/>
              <w:spacing w:line="360" w:lineRule="auto"/>
              <w:rPr>
                <w:color w:val="auto"/>
                <w:szCs w:val="21"/>
              </w:rPr>
            </w:pPr>
            <w:r>
              <w:rPr>
                <w:rFonts w:hint="eastAsia" w:ascii="宋体" w:hAnsi="宋体"/>
                <w:color w:val="auto"/>
                <w:szCs w:val="21"/>
              </w:rPr>
              <w:t>满足采购文件规定</w:t>
            </w:r>
          </w:p>
        </w:tc>
      </w:tr>
      <w:bookmarkEnd w:id="64"/>
      <w:bookmarkEnd w:id="65"/>
    </w:tbl>
    <w:p>
      <w:pPr>
        <w:tabs>
          <w:tab w:val="left" w:pos="1950"/>
        </w:tabs>
        <w:snapToGrid w:val="0"/>
        <w:spacing w:before="120" w:line="360" w:lineRule="auto"/>
        <w:jc w:val="left"/>
        <w:outlineLvl w:val="1"/>
        <w:rPr>
          <w:b/>
          <w:bCs/>
          <w:color w:val="auto"/>
          <w:kern w:val="0"/>
          <w:szCs w:val="21"/>
        </w:rPr>
      </w:pPr>
    </w:p>
    <w:p>
      <w:pPr>
        <w:tabs>
          <w:tab w:val="left" w:pos="1950"/>
        </w:tabs>
        <w:snapToGrid w:val="0"/>
        <w:spacing w:before="120" w:line="360" w:lineRule="auto"/>
        <w:jc w:val="left"/>
        <w:outlineLvl w:val="1"/>
        <w:rPr>
          <w:b/>
          <w:bCs/>
          <w:color w:val="auto"/>
          <w:kern w:val="0"/>
          <w:szCs w:val="21"/>
        </w:rPr>
      </w:pPr>
      <w:r>
        <w:rPr>
          <w:b/>
          <w:bCs/>
          <w:color w:val="auto"/>
          <w:kern w:val="0"/>
          <w:szCs w:val="21"/>
        </w:rPr>
        <w:t>4.</w:t>
      </w:r>
      <w:r>
        <w:rPr>
          <w:rFonts w:hint="eastAsia"/>
          <w:b/>
          <w:bCs/>
          <w:color w:val="auto"/>
          <w:kern w:val="0"/>
          <w:szCs w:val="21"/>
        </w:rPr>
        <w:t>评审标准</w:t>
      </w:r>
    </w:p>
    <w:p>
      <w:pPr>
        <w:snapToGrid w:val="0"/>
        <w:spacing w:line="360" w:lineRule="auto"/>
        <w:ind w:firstLine="420" w:firstLineChars="200"/>
        <w:rPr>
          <w:color w:val="auto"/>
        </w:rPr>
      </w:pPr>
      <w:r>
        <w:rPr>
          <w:rFonts w:hint="eastAsia"/>
          <w:color w:val="auto"/>
        </w:rPr>
        <w:t>（1）技术及商务资信分</w:t>
      </w:r>
    </w:p>
    <w:tbl>
      <w:tblPr>
        <w:tblStyle w:val="52"/>
        <w:tblW w:w="9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1123"/>
        <w:gridCol w:w="1173"/>
        <w:gridCol w:w="5115"/>
        <w:gridCol w:w="810"/>
        <w:gridCol w:w="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vAlign w:val="center"/>
          </w:tcPr>
          <w:p>
            <w:pPr>
              <w:snapToGrid w:val="0"/>
              <w:spacing w:line="360" w:lineRule="auto"/>
              <w:jc w:val="center"/>
              <w:rPr>
                <w:b/>
                <w:color w:val="auto"/>
                <w:szCs w:val="21"/>
              </w:rPr>
            </w:pPr>
            <w:r>
              <w:rPr>
                <w:b/>
                <w:color w:val="auto"/>
                <w:szCs w:val="21"/>
              </w:rPr>
              <w:t>序号</w:t>
            </w:r>
          </w:p>
        </w:tc>
        <w:tc>
          <w:tcPr>
            <w:tcW w:w="1123" w:type="dxa"/>
            <w:vAlign w:val="center"/>
          </w:tcPr>
          <w:p>
            <w:pPr>
              <w:snapToGrid w:val="0"/>
              <w:spacing w:line="360" w:lineRule="auto"/>
              <w:jc w:val="center"/>
              <w:rPr>
                <w:b/>
                <w:color w:val="auto"/>
                <w:szCs w:val="21"/>
              </w:rPr>
            </w:pPr>
            <w:r>
              <w:rPr>
                <w:rFonts w:hint="eastAsia"/>
                <w:b/>
                <w:color w:val="auto"/>
                <w:szCs w:val="21"/>
              </w:rPr>
              <w:t>类型</w:t>
            </w:r>
          </w:p>
        </w:tc>
        <w:tc>
          <w:tcPr>
            <w:tcW w:w="1173" w:type="dxa"/>
            <w:vAlign w:val="center"/>
          </w:tcPr>
          <w:p>
            <w:pPr>
              <w:snapToGrid w:val="0"/>
              <w:spacing w:line="360" w:lineRule="auto"/>
              <w:jc w:val="center"/>
              <w:rPr>
                <w:b/>
                <w:color w:val="auto"/>
                <w:szCs w:val="21"/>
              </w:rPr>
            </w:pPr>
            <w:r>
              <w:rPr>
                <w:rFonts w:hint="eastAsia"/>
                <w:b/>
                <w:color w:val="auto"/>
                <w:szCs w:val="21"/>
              </w:rPr>
              <w:t>分值属性</w:t>
            </w:r>
          </w:p>
        </w:tc>
        <w:tc>
          <w:tcPr>
            <w:tcW w:w="5115" w:type="dxa"/>
            <w:vAlign w:val="center"/>
          </w:tcPr>
          <w:p>
            <w:pPr>
              <w:snapToGrid w:val="0"/>
              <w:spacing w:line="360" w:lineRule="auto"/>
              <w:jc w:val="center"/>
              <w:rPr>
                <w:b/>
                <w:color w:val="auto"/>
                <w:szCs w:val="21"/>
              </w:rPr>
            </w:pPr>
            <w:r>
              <w:rPr>
                <w:rFonts w:hint="eastAsia"/>
                <w:b/>
                <w:color w:val="auto"/>
                <w:szCs w:val="21"/>
              </w:rPr>
              <w:t>评分标准</w:t>
            </w:r>
          </w:p>
        </w:tc>
        <w:tc>
          <w:tcPr>
            <w:tcW w:w="810" w:type="dxa"/>
            <w:vAlign w:val="center"/>
          </w:tcPr>
          <w:p>
            <w:pPr>
              <w:snapToGrid w:val="0"/>
              <w:spacing w:line="360" w:lineRule="auto"/>
              <w:jc w:val="center"/>
              <w:rPr>
                <w:b/>
                <w:color w:val="auto"/>
                <w:szCs w:val="21"/>
              </w:rPr>
            </w:pPr>
            <w:r>
              <w:rPr>
                <w:rFonts w:hint="eastAsia"/>
                <w:b/>
                <w:color w:val="auto"/>
                <w:szCs w:val="21"/>
              </w:rPr>
              <w:t>分值</w:t>
            </w:r>
          </w:p>
        </w:tc>
        <w:tc>
          <w:tcPr>
            <w:tcW w:w="715" w:type="dxa"/>
            <w:vAlign w:val="center"/>
          </w:tcPr>
          <w:p>
            <w:pPr>
              <w:snapToGrid w:val="0"/>
              <w:spacing w:line="360" w:lineRule="auto"/>
              <w:jc w:val="center"/>
              <w:rPr>
                <w:b/>
                <w:color w:val="auto"/>
                <w:szCs w:val="21"/>
              </w:rPr>
            </w:pPr>
            <w:r>
              <w:rPr>
                <w:b/>
                <w:color w:val="auto"/>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vAlign w:val="center"/>
          </w:tcPr>
          <w:p>
            <w:pPr>
              <w:snapToGrid w:val="0"/>
              <w:spacing w:line="360" w:lineRule="auto"/>
              <w:jc w:val="center"/>
              <w:rPr>
                <w:b/>
                <w:color w:val="auto"/>
                <w:szCs w:val="21"/>
              </w:rPr>
            </w:pPr>
            <w:r>
              <w:rPr>
                <w:rFonts w:hint="eastAsia"/>
                <w:b/>
                <w:color w:val="auto"/>
                <w:szCs w:val="21"/>
              </w:rPr>
              <w:t>1</w:t>
            </w:r>
          </w:p>
        </w:tc>
        <w:tc>
          <w:tcPr>
            <w:tcW w:w="1123" w:type="dxa"/>
            <w:vAlign w:val="center"/>
          </w:tcPr>
          <w:p>
            <w:pPr>
              <w:snapToGrid w:val="0"/>
              <w:spacing w:line="360" w:lineRule="auto"/>
              <w:jc w:val="center"/>
              <w:rPr>
                <w:b/>
                <w:color w:val="auto"/>
                <w:szCs w:val="21"/>
              </w:rPr>
            </w:pPr>
            <w:r>
              <w:rPr>
                <w:rFonts w:hint="eastAsia"/>
                <w:color w:val="auto"/>
                <w:szCs w:val="21"/>
              </w:rPr>
              <w:t>技术/商务资信分</w:t>
            </w:r>
          </w:p>
        </w:tc>
        <w:tc>
          <w:tcPr>
            <w:tcW w:w="1173" w:type="dxa"/>
            <w:vAlign w:val="center"/>
          </w:tcPr>
          <w:p>
            <w:pPr>
              <w:snapToGrid w:val="0"/>
              <w:spacing w:line="360" w:lineRule="auto"/>
              <w:jc w:val="center"/>
              <w:rPr>
                <w:color w:val="auto"/>
                <w:szCs w:val="21"/>
              </w:rPr>
            </w:pPr>
            <w:r>
              <w:rPr>
                <w:rFonts w:hint="eastAsia"/>
                <w:color w:val="auto"/>
                <w:szCs w:val="21"/>
              </w:rPr>
              <w:t>客观分</w:t>
            </w:r>
          </w:p>
        </w:tc>
        <w:tc>
          <w:tcPr>
            <w:tcW w:w="5115" w:type="dxa"/>
            <w:vAlign w:val="center"/>
          </w:tcPr>
          <w:p>
            <w:pPr>
              <w:numPr>
                <w:ilvl w:val="0"/>
                <w:numId w:val="5"/>
              </w:numPr>
              <w:snapToGrid w:val="0"/>
              <w:spacing w:line="360" w:lineRule="auto"/>
              <w:rPr>
                <w:color w:val="auto"/>
                <w:szCs w:val="21"/>
              </w:rPr>
            </w:pPr>
            <w:r>
              <w:rPr>
                <w:rFonts w:hint="eastAsia"/>
                <w:color w:val="auto"/>
                <w:szCs w:val="21"/>
              </w:rPr>
              <w:t>企业业绩分（满分10分）：</w:t>
            </w:r>
          </w:p>
          <w:p>
            <w:pPr>
              <w:snapToGrid w:val="0"/>
              <w:spacing w:line="360" w:lineRule="auto"/>
              <w:rPr>
                <w:color w:val="auto"/>
                <w:szCs w:val="21"/>
              </w:rPr>
            </w:pPr>
            <w:r>
              <w:rPr>
                <w:rFonts w:hint="eastAsia"/>
                <w:color w:val="auto"/>
                <w:szCs w:val="21"/>
              </w:rPr>
              <w:t>供应商提供2019年1月1日至本项目响应截止时间止的同类（旅游规划、咨询或全域旅游示范区创建指导项目）项目成功案例，每个得2分，满分10分</w:t>
            </w:r>
          </w:p>
          <w:p>
            <w:pPr>
              <w:snapToGrid w:val="0"/>
              <w:spacing w:line="360" w:lineRule="auto"/>
              <w:rPr>
                <w:color w:val="auto"/>
                <w:szCs w:val="21"/>
              </w:rPr>
            </w:pPr>
            <w:r>
              <w:rPr>
                <w:rFonts w:hint="eastAsia"/>
                <w:color w:val="auto"/>
              </w:rPr>
              <w:t>证明材料：</w:t>
            </w:r>
            <w:r>
              <w:rPr>
                <w:rFonts w:hint="eastAsia"/>
                <w:color w:val="auto"/>
                <w:szCs w:val="21"/>
              </w:rPr>
              <w:t>项目合同书及中标（成交）通知书；资料均需提供且落款时间必须为2019年1月1日或以后，否则不得分。</w:t>
            </w:r>
          </w:p>
        </w:tc>
        <w:tc>
          <w:tcPr>
            <w:tcW w:w="810" w:type="dxa"/>
            <w:vAlign w:val="center"/>
          </w:tcPr>
          <w:p>
            <w:pPr>
              <w:snapToGrid w:val="0"/>
              <w:spacing w:line="360" w:lineRule="auto"/>
              <w:rPr>
                <w:color w:val="auto"/>
                <w:szCs w:val="21"/>
              </w:rPr>
            </w:pPr>
            <w:r>
              <w:rPr>
                <w:rFonts w:hint="eastAsia"/>
                <w:color w:val="auto"/>
                <w:szCs w:val="21"/>
              </w:rPr>
              <w:t>10分</w:t>
            </w:r>
          </w:p>
        </w:tc>
        <w:tc>
          <w:tcPr>
            <w:tcW w:w="715" w:type="dxa"/>
            <w:vAlign w:val="center"/>
          </w:tcPr>
          <w:p>
            <w:pPr>
              <w:snapToGrid w:val="0"/>
              <w:spacing w:line="360" w:lineRule="auto"/>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723" w:type="dxa"/>
            <w:vAlign w:val="center"/>
          </w:tcPr>
          <w:p>
            <w:pPr>
              <w:snapToGrid w:val="0"/>
              <w:spacing w:line="360" w:lineRule="auto"/>
              <w:jc w:val="center"/>
              <w:rPr>
                <w:b/>
                <w:color w:val="auto"/>
                <w:szCs w:val="21"/>
              </w:rPr>
            </w:pPr>
            <w:r>
              <w:rPr>
                <w:rFonts w:hint="eastAsia"/>
                <w:b/>
                <w:color w:val="auto"/>
                <w:szCs w:val="21"/>
              </w:rPr>
              <w:t>2</w:t>
            </w:r>
          </w:p>
        </w:tc>
        <w:tc>
          <w:tcPr>
            <w:tcW w:w="1123" w:type="dxa"/>
            <w:vAlign w:val="center"/>
          </w:tcPr>
          <w:p>
            <w:pPr>
              <w:snapToGrid w:val="0"/>
              <w:spacing w:line="360" w:lineRule="auto"/>
              <w:jc w:val="center"/>
              <w:rPr>
                <w:b/>
                <w:color w:val="auto"/>
                <w:szCs w:val="21"/>
              </w:rPr>
            </w:pPr>
            <w:r>
              <w:rPr>
                <w:rFonts w:hint="eastAsia"/>
                <w:color w:val="auto"/>
                <w:szCs w:val="21"/>
              </w:rPr>
              <w:t>技术/商务资信分</w:t>
            </w:r>
          </w:p>
        </w:tc>
        <w:tc>
          <w:tcPr>
            <w:tcW w:w="1173" w:type="dxa"/>
            <w:vAlign w:val="center"/>
          </w:tcPr>
          <w:p>
            <w:pPr>
              <w:snapToGrid w:val="0"/>
              <w:spacing w:line="360" w:lineRule="auto"/>
              <w:jc w:val="center"/>
              <w:rPr>
                <w:color w:val="auto"/>
                <w:szCs w:val="21"/>
              </w:rPr>
            </w:pPr>
            <w:r>
              <w:rPr>
                <w:rFonts w:hint="eastAsia"/>
                <w:color w:val="auto"/>
                <w:szCs w:val="21"/>
              </w:rPr>
              <w:t>主观分</w:t>
            </w:r>
          </w:p>
        </w:tc>
        <w:tc>
          <w:tcPr>
            <w:tcW w:w="5115" w:type="dxa"/>
            <w:vAlign w:val="center"/>
          </w:tcPr>
          <w:p>
            <w:pPr>
              <w:spacing w:line="480" w:lineRule="exact"/>
              <w:jc w:val="left"/>
              <w:rPr>
                <w:color w:val="auto"/>
              </w:rPr>
            </w:pPr>
            <w:r>
              <w:rPr>
                <w:rFonts w:hint="eastAsia"/>
                <w:color w:val="auto"/>
              </w:rPr>
              <w:t>（2）拟投入人员分（满分20分）</w:t>
            </w:r>
          </w:p>
          <w:p>
            <w:pPr>
              <w:shd w:val="clear" w:color="auto" w:fill="FFFFFF"/>
              <w:spacing w:line="480" w:lineRule="exact"/>
              <w:jc w:val="left"/>
              <w:rPr>
                <w:rFonts w:ascii="宋体" w:hAnsi="宋体" w:cs="宋体"/>
                <w:color w:val="auto"/>
                <w:kern w:val="0"/>
                <w:szCs w:val="21"/>
              </w:rPr>
            </w:pPr>
            <w:r>
              <w:rPr>
                <w:rFonts w:hint="eastAsia" w:ascii="宋体" w:hAnsi="宋体" w:cs="宋体"/>
                <w:color w:val="auto"/>
                <w:kern w:val="0"/>
                <w:szCs w:val="21"/>
              </w:rPr>
              <w:t>一档（5分）：项目负责人不是</w:t>
            </w:r>
            <w:r>
              <w:rPr>
                <w:rFonts w:hint="eastAsia" w:ascii="宋体" w:hAnsi="宋体" w:cs="宋体"/>
                <w:bCs/>
                <w:color w:val="auto"/>
                <w:szCs w:val="21"/>
              </w:rPr>
              <w:t>旅游管理、经济学</w:t>
            </w:r>
            <w:r>
              <w:rPr>
                <w:rFonts w:hint="eastAsia" w:ascii="宋体" w:hAnsi="宋体" w:cs="宋体"/>
                <w:color w:val="auto"/>
                <w:kern w:val="0"/>
                <w:szCs w:val="21"/>
              </w:rPr>
              <w:t>等相关专业高级职称；拟投入其他技术人员具备</w:t>
            </w:r>
            <w:r>
              <w:rPr>
                <w:rFonts w:hint="eastAsia" w:ascii="宋体" w:hAnsi="宋体" w:cs="宋体"/>
                <w:bCs/>
                <w:color w:val="auto"/>
                <w:szCs w:val="21"/>
              </w:rPr>
              <w:t>旅游管理、经济学</w:t>
            </w:r>
            <w:r>
              <w:rPr>
                <w:rFonts w:hint="eastAsia" w:ascii="宋体" w:hAnsi="宋体" w:cs="宋体"/>
                <w:color w:val="auto"/>
                <w:kern w:val="0"/>
                <w:szCs w:val="21"/>
              </w:rPr>
              <w:t>等相关专业中级职称及以上的不足3人。</w:t>
            </w:r>
          </w:p>
          <w:p>
            <w:pPr>
              <w:spacing w:line="480" w:lineRule="exact"/>
              <w:jc w:val="left"/>
              <w:rPr>
                <w:color w:val="auto"/>
              </w:rPr>
            </w:pPr>
            <w:r>
              <w:rPr>
                <w:rFonts w:hint="eastAsia"/>
                <w:color w:val="auto"/>
              </w:rPr>
              <w:t>二档（10分）：项目负责人具备</w:t>
            </w:r>
            <w:r>
              <w:rPr>
                <w:rFonts w:hint="eastAsia" w:ascii="宋体" w:hAnsi="宋体" w:cs="宋体"/>
                <w:bCs/>
                <w:color w:val="auto"/>
                <w:szCs w:val="21"/>
              </w:rPr>
              <w:t>旅游管理、经济</w:t>
            </w:r>
            <w:r>
              <w:rPr>
                <w:rFonts w:hint="eastAsia"/>
                <w:color w:val="auto"/>
              </w:rPr>
              <w:t>等相关专业副</w:t>
            </w:r>
            <w:r>
              <w:rPr>
                <w:rFonts w:hint="eastAsia" w:ascii="宋体" w:hAnsi="宋体" w:cs="宋体"/>
                <w:color w:val="auto"/>
                <w:kern w:val="0"/>
                <w:szCs w:val="21"/>
              </w:rPr>
              <w:t>高级及以上职称</w:t>
            </w:r>
            <w:r>
              <w:rPr>
                <w:rFonts w:hint="eastAsia"/>
                <w:color w:val="auto"/>
              </w:rPr>
              <w:t>；拟投入其他技术人员具备</w:t>
            </w:r>
            <w:r>
              <w:rPr>
                <w:rFonts w:hint="eastAsia" w:ascii="宋体" w:hAnsi="宋体" w:cs="宋体"/>
                <w:bCs/>
                <w:color w:val="auto"/>
                <w:szCs w:val="21"/>
              </w:rPr>
              <w:t>旅游管理、经济学</w:t>
            </w:r>
            <w:r>
              <w:rPr>
                <w:rFonts w:hint="eastAsia"/>
                <w:color w:val="auto"/>
              </w:rPr>
              <w:t>等相关专业中级及以上职称3到6人，其中两人是副高级及以上职称；</w:t>
            </w:r>
          </w:p>
          <w:p>
            <w:pPr>
              <w:spacing w:line="480" w:lineRule="exact"/>
              <w:jc w:val="left"/>
              <w:rPr>
                <w:color w:val="auto"/>
              </w:rPr>
            </w:pPr>
            <w:r>
              <w:rPr>
                <w:rFonts w:hint="eastAsia"/>
                <w:color w:val="auto"/>
              </w:rPr>
              <w:t>三档（15分）：项目负责人具备</w:t>
            </w:r>
            <w:r>
              <w:rPr>
                <w:rFonts w:hint="eastAsia" w:ascii="宋体" w:hAnsi="宋体" w:cs="宋体"/>
                <w:bCs/>
                <w:color w:val="auto"/>
                <w:szCs w:val="21"/>
              </w:rPr>
              <w:t>旅游管理、经济学</w:t>
            </w:r>
            <w:r>
              <w:rPr>
                <w:rFonts w:hint="eastAsia"/>
                <w:color w:val="auto"/>
              </w:rPr>
              <w:t>等相关专业正</w:t>
            </w:r>
            <w:r>
              <w:rPr>
                <w:rFonts w:hint="eastAsia" w:ascii="宋体" w:hAnsi="宋体" w:cs="宋体"/>
                <w:color w:val="auto"/>
                <w:kern w:val="0"/>
                <w:szCs w:val="21"/>
              </w:rPr>
              <w:t>高级职称</w:t>
            </w:r>
            <w:r>
              <w:rPr>
                <w:rFonts w:hint="eastAsia"/>
                <w:color w:val="auto"/>
              </w:rPr>
              <w:t>；拟投入其他技术人员具备</w:t>
            </w:r>
            <w:r>
              <w:rPr>
                <w:rFonts w:hint="eastAsia" w:ascii="宋体" w:hAnsi="宋体" w:cs="宋体"/>
                <w:bCs/>
                <w:color w:val="auto"/>
                <w:szCs w:val="21"/>
              </w:rPr>
              <w:t>旅游管理、经济学</w:t>
            </w:r>
            <w:r>
              <w:rPr>
                <w:rFonts w:hint="eastAsia"/>
                <w:color w:val="auto"/>
              </w:rPr>
              <w:t>等相关专业中级及以上职称的7到11人，其中2人或以上具备是正高级职称；</w:t>
            </w:r>
          </w:p>
          <w:p>
            <w:pPr>
              <w:spacing w:line="480" w:lineRule="exact"/>
              <w:jc w:val="left"/>
              <w:rPr>
                <w:color w:val="auto"/>
              </w:rPr>
            </w:pPr>
            <w:r>
              <w:rPr>
                <w:rFonts w:hint="eastAsia"/>
                <w:color w:val="auto"/>
              </w:rPr>
              <w:t>四档（20分）：项目负责人具备</w:t>
            </w:r>
            <w:r>
              <w:rPr>
                <w:rFonts w:hint="eastAsia" w:ascii="宋体" w:hAnsi="宋体" w:cs="宋体"/>
                <w:bCs/>
                <w:color w:val="auto"/>
                <w:szCs w:val="21"/>
              </w:rPr>
              <w:t>旅游管理、经济学</w:t>
            </w:r>
            <w:r>
              <w:rPr>
                <w:rFonts w:hint="eastAsia"/>
                <w:color w:val="auto"/>
              </w:rPr>
              <w:t>等相关专业正</w:t>
            </w:r>
            <w:r>
              <w:rPr>
                <w:rFonts w:hint="eastAsia" w:ascii="宋体" w:hAnsi="宋体" w:cs="宋体"/>
                <w:color w:val="auto"/>
                <w:kern w:val="0"/>
                <w:szCs w:val="21"/>
              </w:rPr>
              <w:t>高级职称</w:t>
            </w:r>
            <w:r>
              <w:rPr>
                <w:rFonts w:hint="eastAsia"/>
                <w:color w:val="auto"/>
              </w:rPr>
              <w:t>；拟投入其他技术人员具备</w:t>
            </w:r>
            <w:r>
              <w:rPr>
                <w:rFonts w:hint="eastAsia" w:ascii="宋体" w:hAnsi="宋体" w:cs="宋体"/>
                <w:bCs/>
                <w:color w:val="auto"/>
                <w:szCs w:val="21"/>
              </w:rPr>
              <w:t>旅游管理、经济学</w:t>
            </w:r>
            <w:r>
              <w:rPr>
                <w:rFonts w:hint="eastAsia"/>
                <w:color w:val="auto"/>
              </w:rPr>
              <w:t>等相关专业中级及以上职称的12人以上，其中5人或以上具备正高级职称，2人或以上具备博士学位。</w:t>
            </w:r>
          </w:p>
          <w:p>
            <w:pPr>
              <w:spacing w:line="480" w:lineRule="exact"/>
              <w:jc w:val="left"/>
              <w:rPr>
                <w:color w:val="auto"/>
              </w:rPr>
            </w:pPr>
            <w:r>
              <w:rPr>
                <w:rFonts w:hint="eastAsia"/>
                <w:color w:val="auto"/>
              </w:rPr>
              <w:t>注：</w:t>
            </w:r>
          </w:p>
          <w:p>
            <w:pPr>
              <w:spacing w:line="480" w:lineRule="exact"/>
              <w:jc w:val="left"/>
              <w:rPr>
                <w:color w:val="auto"/>
              </w:rPr>
            </w:pPr>
            <w:r>
              <w:rPr>
                <w:rFonts w:hint="eastAsia"/>
                <w:color w:val="auto"/>
              </w:rPr>
              <w:t>①提供人员的职称证书【学位证书（如有）】及身份证复印件。</w:t>
            </w:r>
          </w:p>
          <w:p>
            <w:pPr>
              <w:spacing w:line="480" w:lineRule="exact"/>
              <w:jc w:val="left"/>
              <w:rPr>
                <w:color w:val="auto"/>
              </w:rPr>
            </w:pPr>
            <w:r>
              <w:rPr>
                <w:rFonts w:hint="eastAsia"/>
                <w:color w:val="auto"/>
              </w:rPr>
              <w:t>②提供供应商或供应商</w:t>
            </w:r>
            <w:r>
              <w:rPr>
                <w:rFonts w:hint="eastAsia" w:ascii="Arial" w:hAnsi="Arial" w:cs="Arial"/>
                <w:color w:val="auto"/>
                <w:szCs w:val="21"/>
              </w:rPr>
              <w:t>所属企事业单位在</w:t>
            </w:r>
            <w:r>
              <w:rPr>
                <w:rFonts w:hint="eastAsia"/>
                <w:color w:val="auto"/>
              </w:rPr>
              <w:t>响应文件递交截止时间前6个月内，拟投入人员任意1个月的社保缴费证明</w:t>
            </w:r>
            <w:r>
              <w:rPr>
                <w:rFonts w:hint="eastAsia"/>
                <w:color w:val="auto"/>
                <w:lang w:val="en-US" w:eastAsia="zh-CN"/>
              </w:rPr>
              <w:t>或</w:t>
            </w:r>
            <w:r>
              <w:rPr>
                <w:rFonts w:hint="eastAsia"/>
                <w:color w:val="auto"/>
              </w:rPr>
              <w:t>《依法缴纳或依法免缴社保费证明》复印件或现任职单位承诺为其依法缴纳社会保险的承诺函。</w:t>
            </w:r>
          </w:p>
          <w:p>
            <w:pPr>
              <w:pStyle w:val="20"/>
              <w:rPr>
                <w:color w:val="auto"/>
              </w:rPr>
            </w:pPr>
            <w:r>
              <w:rPr>
                <w:rFonts w:hint="eastAsia"/>
                <w:color w:val="auto"/>
                <w:sz w:val="21"/>
              </w:rPr>
              <w:t>③</w:t>
            </w:r>
            <w:r>
              <w:rPr>
                <w:color w:val="auto"/>
                <w:sz w:val="21"/>
              </w:rPr>
              <w:t>不能同时满足</w:t>
            </w:r>
            <w:r>
              <w:rPr>
                <w:rFonts w:hint="eastAsia"/>
                <w:color w:val="auto"/>
                <w:sz w:val="21"/>
              </w:rPr>
              <w:t>档次内</w:t>
            </w:r>
            <w:r>
              <w:rPr>
                <w:color w:val="auto"/>
                <w:sz w:val="21"/>
              </w:rPr>
              <w:t>要求的，按满足的最低一档计分</w:t>
            </w:r>
            <w:r>
              <w:rPr>
                <w:rFonts w:hint="eastAsia"/>
                <w:color w:val="auto"/>
                <w:sz w:val="21"/>
              </w:rPr>
              <w:t>。</w:t>
            </w:r>
          </w:p>
        </w:tc>
        <w:tc>
          <w:tcPr>
            <w:tcW w:w="810" w:type="dxa"/>
            <w:vAlign w:val="center"/>
          </w:tcPr>
          <w:p>
            <w:pPr>
              <w:snapToGrid w:val="0"/>
              <w:spacing w:line="360" w:lineRule="auto"/>
              <w:rPr>
                <w:color w:val="auto"/>
                <w:szCs w:val="21"/>
              </w:rPr>
            </w:pPr>
            <w:r>
              <w:rPr>
                <w:rFonts w:hint="eastAsia"/>
                <w:color w:val="auto"/>
                <w:szCs w:val="21"/>
              </w:rPr>
              <w:t>20分</w:t>
            </w:r>
          </w:p>
        </w:tc>
        <w:tc>
          <w:tcPr>
            <w:tcW w:w="715" w:type="dxa"/>
            <w:vAlign w:val="center"/>
          </w:tcPr>
          <w:p>
            <w:pPr>
              <w:snapToGrid w:val="0"/>
              <w:spacing w:line="360" w:lineRule="auto"/>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723" w:type="dxa"/>
            <w:vAlign w:val="center"/>
          </w:tcPr>
          <w:p>
            <w:pPr>
              <w:snapToGrid w:val="0"/>
              <w:spacing w:line="360" w:lineRule="auto"/>
              <w:jc w:val="center"/>
              <w:rPr>
                <w:b/>
                <w:color w:val="auto"/>
                <w:szCs w:val="21"/>
              </w:rPr>
            </w:pPr>
            <w:r>
              <w:rPr>
                <w:rFonts w:hint="eastAsia"/>
                <w:b/>
                <w:color w:val="auto"/>
                <w:szCs w:val="21"/>
              </w:rPr>
              <w:t>4</w:t>
            </w:r>
          </w:p>
        </w:tc>
        <w:tc>
          <w:tcPr>
            <w:tcW w:w="1123" w:type="dxa"/>
            <w:vAlign w:val="center"/>
          </w:tcPr>
          <w:p>
            <w:pPr>
              <w:snapToGrid w:val="0"/>
              <w:spacing w:line="360" w:lineRule="auto"/>
              <w:jc w:val="center"/>
              <w:rPr>
                <w:color w:val="auto"/>
                <w:szCs w:val="21"/>
              </w:rPr>
            </w:pPr>
            <w:r>
              <w:rPr>
                <w:rFonts w:hint="eastAsia"/>
                <w:color w:val="auto"/>
                <w:szCs w:val="21"/>
              </w:rPr>
              <w:t>技术/商务资信分</w:t>
            </w:r>
          </w:p>
        </w:tc>
        <w:tc>
          <w:tcPr>
            <w:tcW w:w="1173" w:type="dxa"/>
            <w:vAlign w:val="center"/>
          </w:tcPr>
          <w:p>
            <w:pPr>
              <w:snapToGrid w:val="0"/>
              <w:spacing w:line="360" w:lineRule="auto"/>
              <w:jc w:val="center"/>
              <w:rPr>
                <w:color w:val="auto"/>
                <w:szCs w:val="21"/>
              </w:rPr>
            </w:pPr>
            <w:r>
              <w:rPr>
                <w:rFonts w:hint="eastAsia"/>
                <w:color w:val="auto"/>
                <w:szCs w:val="21"/>
              </w:rPr>
              <w:t>主观分</w:t>
            </w:r>
          </w:p>
        </w:tc>
        <w:tc>
          <w:tcPr>
            <w:tcW w:w="5115" w:type="dxa"/>
            <w:vAlign w:val="center"/>
          </w:tcPr>
          <w:p>
            <w:pPr>
              <w:shd w:val="clear" w:color="auto" w:fill="FFFFFF"/>
              <w:spacing w:line="480" w:lineRule="exact"/>
              <w:jc w:val="left"/>
              <w:rPr>
                <w:color w:val="auto"/>
              </w:rPr>
            </w:pPr>
            <w:r>
              <w:rPr>
                <w:rFonts w:hint="eastAsia"/>
                <w:color w:val="auto"/>
              </w:rPr>
              <w:t>（</w:t>
            </w:r>
            <w:r>
              <w:rPr>
                <w:rFonts w:hint="eastAsia"/>
                <w:color w:val="auto"/>
                <w:lang w:val="en-US" w:eastAsia="zh-CN"/>
              </w:rPr>
              <w:t>3</w:t>
            </w:r>
            <w:r>
              <w:rPr>
                <w:rFonts w:hint="eastAsia"/>
                <w:color w:val="auto"/>
              </w:rPr>
              <w:t>）</w:t>
            </w:r>
            <w:r>
              <w:rPr>
                <w:color w:val="auto"/>
              </w:rPr>
              <w:t>项目背景分析、规划提纲和技术路线（</w:t>
            </w:r>
            <w:r>
              <w:rPr>
                <w:rFonts w:hint="eastAsia"/>
                <w:color w:val="auto"/>
              </w:rPr>
              <w:t>18</w:t>
            </w:r>
            <w:r>
              <w:rPr>
                <w:color w:val="auto"/>
              </w:rPr>
              <w:t>分）</w:t>
            </w:r>
          </w:p>
          <w:p>
            <w:pPr>
              <w:shd w:val="clear" w:color="auto" w:fill="FFFFFF"/>
              <w:spacing w:line="480" w:lineRule="exact"/>
              <w:jc w:val="left"/>
              <w:rPr>
                <w:color w:val="auto"/>
              </w:rPr>
            </w:pPr>
            <w:r>
              <w:rPr>
                <w:rFonts w:hint="eastAsia"/>
                <w:color w:val="auto"/>
              </w:rPr>
              <w:t>一档（2分）：对本项目背景理解有偏差，有规划提纲，技术线路简单，没有针对性；</w:t>
            </w:r>
          </w:p>
          <w:p>
            <w:pPr>
              <w:shd w:val="clear" w:color="auto" w:fill="FFFFFF"/>
              <w:spacing w:line="480" w:lineRule="exact"/>
              <w:jc w:val="left"/>
              <w:rPr>
                <w:color w:val="auto"/>
              </w:rPr>
            </w:pPr>
            <w:r>
              <w:rPr>
                <w:rFonts w:hint="eastAsia"/>
                <w:color w:val="auto"/>
              </w:rPr>
              <w:t>二档（6分）：对本项目背景理解一般，规划提纲基本可行，技术线路可行，针对性一般；</w:t>
            </w:r>
          </w:p>
          <w:p>
            <w:pPr>
              <w:shd w:val="clear" w:color="auto" w:fill="FFFFFF"/>
              <w:spacing w:line="480" w:lineRule="exact"/>
              <w:jc w:val="left"/>
              <w:rPr>
                <w:color w:val="auto"/>
              </w:rPr>
            </w:pPr>
            <w:r>
              <w:rPr>
                <w:rFonts w:hint="eastAsia"/>
                <w:color w:val="auto"/>
              </w:rPr>
              <w:t>三档（12分）：对本项目背景理解深入，规划提纲详尽，符合贵港市的远景实际，技术线路先进可行，针对性强。</w:t>
            </w:r>
          </w:p>
          <w:p>
            <w:pPr>
              <w:shd w:val="clear" w:color="auto" w:fill="FFFFFF"/>
              <w:spacing w:line="480" w:lineRule="exact"/>
              <w:jc w:val="left"/>
              <w:rPr>
                <w:color w:val="auto"/>
              </w:rPr>
            </w:pPr>
            <w:r>
              <w:rPr>
                <w:rFonts w:hint="eastAsia"/>
                <w:color w:val="auto"/>
              </w:rPr>
              <w:t>四档（18分）：对本项目背景理解深入，有实地考察经历，提供有实地数据分析表，规划提纲详尽有，符合贵港市的远景实际，技术线路先进可行，针对性强。</w:t>
            </w:r>
          </w:p>
        </w:tc>
        <w:tc>
          <w:tcPr>
            <w:tcW w:w="810" w:type="dxa"/>
            <w:vAlign w:val="center"/>
          </w:tcPr>
          <w:p>
            <w:pPr>
              <w:snapToGrid w:val="0"/>
              <w:spacing w:line="360" w:lineRule="auto"/>
              <w:rPr>
                <w:color w:val="auto"/>
                <w:szCs w:val="21"/>
              </w:rPr>
            </w:pPr>
            <w:r>
              <w:rPr>
                <w:rFonts w:hint="eastAsia"/>
                <w:color w:val="auto"/>
                <w:szCs w:val="21"/>
              </w:rPr>
              <w:t>18分</w:t>
            </w:r>
          </w:p>
        </w:tc>
        <w:tc>
          <w:tcPr>
            <w:tcW w:w="715" w:type="dxa"/>
            <w:vAlign w:val="center"/>
          </w:tcPr>
          <w:p>
            <w:pPr>
              <w:snapToGrid w:val="0"/>
              <w:spacing w:line="360" w:lineRule="auto"/>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8" w:hRule="atLeast"/>
          <w:jc w:val="center"/>
        </w:trPr>
        <w:tc>
          <w:tcPr>
            <w:tcW w:w="723" w:type="dxa"/>
            <w:vAlign w:val="center"/>
          </w:tcPr>
          <w:p>
            <w:pPr>
              <w:snapToGrid w:val="0"/>
              <w:spacing w:line="360" w:lineRule="auto"/>
              <w:jc w:val="center"/>
              <w:rPr>
                <w:b/>
                <w:color w:val="auto"/>
                <w:szCs w:val="21"/>
              </w:rPr>
            </w:pPr>
            <w:r>
              <w:rPr>
                <w:rFonts w:hint="eastAsia"/>
                <w:b/>
                <w:color w:val="auto"/>
                <w:szCs w:val="21"/>
              </w:rPr>
              <w:t>5</w:t>
            </w:r>
          </w:p>
        </w:tc>
        <w:tc>
          <w:tcPr>
            <w:tcW w:w="1123" w:type="dxa"/>
            <w:vAlign w:val="center"/>
          </w:tcPr>
          <w:p>
            <w:pPr>
              <w:snapToGrid w:val="0"/>
              <w:spacing w:line="360" w:lineRule="auto"/>
              <w:jc w:val="center"/>
              <w:rPr>
                <w:b/>
                <w:color w:val="auto"/>
                <w:szCs w:val="21"/>
              </w:rPr>
            </w:pPr>
            <w:r>
              <w:rPr>
                <w:rFonts w:hint="eastAsia"/>
                <w:color w:val="auto"/>
                <w:szCs w:val="21"/>
              </w:rPr>
              <w:t>技术/商务资信分</w:t>
            </w:r>
          </w:p>
        </w:tc>
        <w:tc>
          <w:tcPr>
            <w:tcW w:w="1173" w:type="dxa"/>
            <w:vAlign w:val="center"/>
          </w:tcPr>
          <w:p>
            <w:pPr>
              <w:snapToGrid w:val="0"/>
              <w:spacing w:line="360" w:lineRule="auto"/>
              <w:jc w:val="center"/>
              <w:rPr>
                <w:color w:val="auto"/>
                <w:szCs w:val="21"/>
              </w:rPr>
            </w:pPr>
            <w:r>
              <w:rPr>
                <w:rFonts w:hint="eastAsia"/>
                <w:color w:val="auto"/>
                <w:szCs w:val="21"/>
              </w:rPr>
              <w:t>主观分</w:t>
            </w:r>
          </w:p>
        </w:tc>
        <w:tc>
          <w:tcPr>
            <w:tcW w:w="5115" w:type="dxa"/>
            <w:vAlign w:val="center"/>
          </w:tcPr>
          <w:p>
            <w:pPr>
              <w:shd w:val="clear" w:color="auto" w:fill="FFFFFF"/>
              <w:spacing w:line="480" w:lineRule="exact"/>
              <w:jc w:val="left"/>
              <w:rPr>
                <w:color w:val="auto"/>
              </w:rPr>
            </w:pPr>
            <w:r>
              <w:rPr>
                <w:rFonts w:hint="eastAsia"/>
                <w:color w:val="auto"/>
              </w:rPr>
              <w:t>（</w:t>
            </w:r>
            <w:r>
              <w:rPr>
                <w:rFonts w:hint="eastAsia"/>
                <w:color w:val="auto"/>
                <w:lang w:val="en-US" w:eastAsia="zh-CN"/>
              </w:rPr>
              <w:t>4</w:t>
            </w:r>
            <w:r>
              <w:rPr>
                <w:rFonts w:hint="eastAsia"/>
                <w:color w:val="auto"/>
              </w:rPr>
              <w:t>）项目实施方案（22分)</w:t>
            </w:r>
          </w:p>
          <w:p>
            <w:pPr>
              <w:shd w:val="clear" w:color="auto" w:fill="FFFFFF"/>
              <w:spacing w:line="480" w:lineRule="exact"/>
              <w:jc w:val="left"/>
              <w:rPr>
                <w:color w:val="auto"/>
              </w:rPr>
            </w:pPr>
            <w:r>
              <w:rPr>
                <w:rFonts w:hint="eastAsia"/>
                <w:color w:val="auto"/>
              </w:rPr>
              <w:t>一档（2分）：项目实施方案不符合实际，粗制滥造，无进度安排，无人员投入计划。</w:t>
            </w:r>
          </w:p>
          <w:p>
            <w:pPr>
              <w:shd w:val="clear" w:color="auto" w:fill="FFFFFF"/>
              <w:spacing w:line="480" w:lineRule="exact"/>
              <w:jc w:val="left"/>
              <w:rPr>
                <w:color w:val="auto"/>
              </w:rPr>
            </w:pPr>
            <w:r>
              <w:rPr>
                <w:rFonts w:hint="eastAsia"/>
                <w:color w:val="auto"/>
              </w:rPr>
              <w:t>二档（6分）：对项目的基本情况进行了分析，了解项目的基本情况，工作计划安排基本合理，方案简单不详细，基本能保证按承诺时间完成任务。</w:t>
            </w:r>
          </w:p>
          <w:p>
            <w:pPr>
              <w:shd w:val="clear" w:color="auto" w:fill="FFFFFF"/>
              <w:spacing w:line="480" w:lineRule="exact"/>
              <w:jc w:val="left"/>
              <w:rPr>
                <w:color w:val="auto"/>
              </w:rPr>
            </w:pPr>
            <w:r>
              <w:rPr>
                <w:rFonts w:hint="eastAsia"/>
                <w:color w:val="auto"/>
              </w:rPr>
              <w:t>三档（11分）：对项目的基本情况进行了分析，能考虑到开展工作的优势和劣势，有重难点分析但没有合理应对措施；工作安排较合理，能保证按承诺时间完成任务。</w:t>
            </w:r>
          </w:p>
          <w:p>
            <w:pPr>
              <w:shd w:val="clear" w:color="auto" w:fill="FFFFFF"/>
              <w:spacing w:line="480" w:lineRule="exact"/>
              <w:jc w:val="left"/>
              <w:rPr>
                <w:color w:val="auto"/>
              </w:rPr>
            </w:pPr>
            <w:r>
              <w:rPr>
                <w:rFonts w:hint="eastAsia"/>
                <w:color w:val="auto"/>
              </w:rPr>
              <w:t>四档（16分）：对项目的基本情况进行了分析，能充分认识到本项目具体情况，有重难点分析并有合理应对措施；工作有详细时间安排且计划周密，有详细的人员投入计划，能有力保证按承诺时间完成任务。</w:t>
            </w:r>
          </w:p>
          <w:p>
            <w:pPr>
              <w:shd w:val="clear" w:color="auto" w:fill="FFFFFF"/>
              <w:spacing w:line="480" w:lineRule="exact"/>
              <w:jc w:val="left"/>
              <w:rPr>
                <w:color w:val="auto"/>
              </w:rPr>
            </w:pPr>
            <w:r>
              <w:rPr>
                <w:rFonts w:hint="eastAsia"/>
                <w:color w:val="auto"/>
              </w:rPr>
              <w:t>五档（22分）：技术大纲思路清晰，对项目的基本情况进行了分析，能充分认识到本项目具体情况，有重难点分析并有合理应对措施；工作有详细时间安排且计划周密，进度控制合理；切实有效保证按承诺时间完成任务。</w:t>
            </w:r>
          </w:p>
        </w:tc>
        <w:tc>
          <w:tcPr>
            <w:tcW w:w="810" w:type="dxa"/>
            <w:vAlign w:val="center"/>
          </w:tcPr>
          <w:p>
            <w:pPr>
              <w:snapToGrid w:val="0"/>
              <w:spacing w:line="360" w:lineRule="auto"/>
              <w:rPr>
                <w:color w:val="auto"/>
                <w:szCs w:val="21"/>
              </w:rPr>
            </w:pPr>
            <w:r>
              <w:rPr>
                <w:rFonts w:hint="eastAsia"/>
                <w:color w:val="auto"/>
                <w:szCs w:val="21"/>
              </w:rPr>
              <w:t>22分</w:t>
            </w:r>
          </w:p>
        </w:tc>
        <w:tc>
          <w:tcPr>
            <w:tcW w:w="715" w:type="dxa"/>
            <w:vAlign w:val="center"/>
          </w:tcPr>
          <w:p>
            <w:pPr>
              <w:snapToGrid w:val="0"/>
              <w:spacing w:line="360" w:lineRule="auto"/>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3" w:type="dxa"/>
            <w:vAlign w:val="center"/>
          </w:tcPr>
          <w:p>
            <w:pPr>
              <w:snapToGrid w:val="0"/>
              <w:spacing w:line="360" w:lineRule="auto"/>
              <w:jc w:val="center"/>
              <w:rPr>
                <w:b/>
                <w:color w:val="auto"/>
                <w:szCs w:val="21"/>
              </w:rPr>
            </w:pPr>
            <w:r>
              <w:rPr>
                <w:rFonts w:hint="eastAsia"/>
                <w:b/>
                <w:color w:val="auto"/>
                <w:szCs w:val="21"/>
              </w:rPr>
              <w:t>6</w:t>
            </w:r>
          </w:p>
        </w:tc>
        <w:tc>
          <w:tcPr>
            <w:tcW w:w="1123" w:type="dxa"/>
            <w:vAlign w:val="center"/>
          </w:tcPr>
          <w:p>
            <w:pPr>
              <w:snapToGrid w:val="0"/>
              <w:spacing w:line="360" w:lineRule="auto"/>
              <w:jc w:val="center"/>
              <w:rPr>
                <w:b/>
                <w:color w:val="auto"/>
                <w:szCs w:val="21"/>
              </w:rPr>
            </w:pPr>
            <w:r>
              <w:rPr>
                <w:rFonts w:hint="eastAsia"/>
                <w:color w:val="auto"/>
                <w:szCs w:val="21"/>
              </w:rPr>
              <w:t>技术/商务资信分</w:t>
            </w:r>
          </w:p>
        </w:tc>
        <w:tc>
          <w:tcPr>
            <w:tcW w:w="1173" w:type="dxa"/>
            <w:vAlign w:val="center"/>
          </w:tcPr>
          <w:p>
            <w:pPr>
              <w:snapToGrid w:val="0"/>
              <w:spacing w:line="360" w:lineRule="auto"/>
              <w:jc w:val="center"/>
              <w:rPr>
                <w:color w:val="auto"/>
                <w:szCs w:val="21"/>
              </w:rPr>
            </w:pPr>
            <w:r>
              <w:rPr>
                <w:rFonts w:hint="eastAsia"/>
                <w:color w:val="auto"/>
                <w:szCs w:val="21"/>
              </w:rPr>
              <w:t>主观分</w:t>
            </w:r>
          </w:p>
        </w:tc>
        <w:tc>
          <w:tcPr>
            <w:tcW w:w="5115" w:type="dxa"/>
            <w:vAlign w:val="center"/>
          </w:tcPr>
          <w:p>
            <w:pPr>
              <w:shd w:val="clear" w:color="auto" w:fill="FFFFFF"/>
              <w:spacing w:line="480" w:lineRule="exact"/>
              <w:jc w:val="left"/>
              <w:rPr>
                <w:color w:val="auto"/>
              </w:rPr>
            </w:pPr>
            <w:r>
              <w:rPr>
                <w:rFonts w:hint="eastAsia"/>
                <w:color w:val="auto"/>
              </w:rPr>
              <w:t>（</w:t>
            </w:r>
            <w:r>
              <w:rPr>
                <w:rFonts w:hint="eastAsia"/>
                <w:color w:val="auto"/>
                <w:lang w:val="en-US" w:eastAsia="zh-CN"/>
              </w:rPr>
              <w:t>5</w:t>
            </w:r>
            <w:r>
              <w:rPr>
                <w:rFonts w:hint="eastAsia"/>
                <w:color w:val="auto"/>
              </w:rPr>
              <w:t>）服务质量承诺及保证措施（20分）：</w:t>
            </w:r>
          </w:p>
          <w:p>
            <w:pPr>
              <w:shd w:val="clear" w:color="auto" w:fill="FFFFFF"/>
              <w:spacing w:line="480" w:lineRule="exact"/>
              <w:jc w:val="left"/>
              <w:rPr>
                <w:color w:val="auto"/>
              </w:rPr>
            </w:pPr>
            <w:r>
              <w:rPr>
                <w:rFonts w:hint="eastAsia"/>
                <w:color w:val="auto"/>
              </w:rPr>
              <w:t>一档（2分）：承诺服务内容不切实际，毫无针对性；质量保证措施敷衍了事。</w:t>
            </w:r>
          </w:p>
          <w:p>
            <w:pPr>
              <w:shd w:val="clear" w:color="auto" w:fill="FFFFFF"/>
              <w:spacing w:line="480" w:lineRule="exact"/>
              <w:jc w:val="left"/>
              <w:rPr>
                <w:color w:val="auto"/>
              </w:rPr>
            </w:pPr>
            <w:r>
              <w:rPr>
                <w:rFonts w:hint="eastAsia"/>
                <w:color w:val="auto"/>
              </w:rPr>
              <w:t>二档（6分）：承诺服务内容不全、措施没有针对性，人员安排不到位，质量保证措施简单；相应的承诺安排不符合项目需求。</w:t>
            </w:r>
          </w:p>
          <w:p>
            <w:pPr>
              <w:shd w:val="clear" w:color="auto" w:fill="FFFFFF"/>
              <w:spacing w:line="480" w:lineRule="exact"/>
              <w:jc w:val="left"/>
              <w:rPr>
                <w:color w:val="auto"/>
              </w:rPr>
            </w:pPr>
            <w:r>
              <w:rPr>
                <w:rFonts w:hint="eastAsia"/>
                <w:color w:val="auto"/>
              </w:rPr>
              <w:t>三档（13分）：承诺服务内容较全面、措施有一定的针对性，人员安排较及时，质量保证措施有较合理，质量保证及质量承诺符合项目需求；相应的承诺安排基本符合项目需求。</w:t>
            </w:r>
          </w:p>
          <w:p>
            <w:pPr>
              <w:shd w:val="clear" w:color="auto" w:fill="FFFFFF"/>
              <w:spacing w:line="480" w:lineRule="exact"/>
              <w:jc w:val="left"/>
              <w:rPr>
                <w:color w:val="auto"/>
              </w:rPr>
            </w:pPr>
            <w:r>
              <w:rPr>
                <w:rFonts w:hint="eastAsia"/>
                <w:color w:val="auto"/>
              </w:rPr>
              <w:t>四档（20分）：承诺服务内容全面、措施针对性强，人员安排到位，质量保证措施有力合理，质量保证及质量承诺符合项目需求；相应的承诺工作安排合理紧凑，完全符合项目需求。</w:t>
            </w:r>
          </w:p>
        </w:tc>
        <w:tc>
          <w:tcPr>
            <w:tcW w:w="810" w:type="dxa"/>
            <w:vAlign w:val="center"/>
          </w:tcPr>
          <w:p>
            <w:pPr>
              <w:snapToGrid w:val="0"/>
              <w:spacing w:line="360" w:lineRule="auto"/>
              <w:rPr>
                <w:color w:val="auto"/>
                <w:szCs w:val="21"/>
              </w:rPr>
            </w:pPr>
            <w:r>
              <w:rPr>
                <w:rFonts w:hint="eastAsia"/>
                <w:color w:val="auto"/>
                <w:szCs w:val="21"/>
              </w:rPr>
              <w:t>20分</w:t>
            </w:r>
          </w:p>
        </w:tc>
        <w:tc>
          <w:tcPr>
            <w:tcW w:w="715" w:type="dxa"/>
            <w:vAlign w:val="center"/>
          </w:tcPr>
          <w:p>
            <w:pPr>
              <w:snapToGrid w:val="0"/>
              <w:spacing w:line="360" w:lineRule="auto"/>
              <w:rPr>
                <w:color w:val="auto"/>
                <w:szCs w:val="21"/>
              </w:rPr>
            </w:pPr>
          </w:p>
        </w:tc>
      </w:tr>
    </w:tbl>
    <w:p>
      <w:pPr>
        <w:snapToGrid w:val="0"/>
        <w:spacing w:line="360" w:lineRule="auto"/>
        <w:ind w:firstLine="315" w:firstLineChars="150"/>
        <w:rPr>
          <w:color w:val="auto"/>
          <w:lang w:val="zh-CN"/>
        </w:rPr>
      </w:pPr>
      <w:r>
        <w:rPr>
          <w:rFonts w:hint="eastAsia"/>
          <w:color w:val="auto"/>
          <w:lang w:val="zh-CN"/>
        </w:rPr>
        <w:t>（2）最后报价分</w:t>
      </w:r>
    </w:p>
    <w:tbl>
      <w:tblPr>
        <w:tblStyle w:val="52"/>
        <w:tblW w:w="9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1227"/>
        <w:gridCol w:w="1008"/>
        <w:gridCol w:w="3894"/>
        <w:gridCol w:w="762"/>
        <w:gridCol w:w="21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8" w:hRule="atLeast"/>
          <w:jc w:val="center"/>
        </w:trPr>
        <w:tc>
          <w:tcPr>
            <w:tcW w:w="785" w:type="dxa"/>
            <w:vAlign w:val="center"/>
          </w:tcPr>
          <w:p>
            <w:pPr>
              <w:snapToGrid w:val="0"/>
              <w:spacing w:line="360" w:lineRule="auto"/>
              <w:jc w:val="center"/>
              <w:rPr>
                <w:b/>
                <w:color w:val="auto"/>
                <w:szCs w:val="21"/>
              </w:rPr>
            </w:pPr>
            <w:r>
              <w:rPr>
                <w:b/>
                <w:color w:val="auto"/>
                <w:szCs w:val="21"/>
              </w:rPr>
              <w:t>序号</w:t>
            </w:r>
          </w:p>
        </w:tc>
        <w:tc>
          <w:tcPr>
            <w:tcW w:w="1227" w:type="dxa"/>
            <w:vAlign w:val="center"/>
          </w:tcPr>
          <w:p>
            <w:pPr>
              <w:snapToGrid w:val="0"/>
              <w:spacing w:line="360" w:lineRule="auto"/>
              <w:jc w:val="center"/>
              <w:rPr>
                <w:b/>
                <w:color w:val="auto"/>
                <w:szCs w:val="21"/>
              </w:rPr>
            </w:pPr>
            <w:r>
              <w:rPr>
                <w:rFonts w:hint="eastAsia"/>
                <w:b/>
                <w:color w:val="auto"/>
                <w:szCs w:val="21"/>
              </w:rPr>
              <w:t>类型</w:t>
            </w:r>
          </w:p>
        </w:tc>
        <w:tc>
          <w:tcPr>
            <w:tcW w:w="1008" w:type="dxa"/>
            <w:vAlign w:val="center"/>
          </w:tcPr>
          <w:p>
            <w:pPr>
              <w:snapToGrid w:val="0"/>
              <w:spacing w:line="360" w:lineRule="auto"/>
              <w:jc w:val="center"/>
              <w:rPr>
                <w:b/>
                <w:color w:val="auto"/>
                <w:szCs w:val="21"/>
              </w:rPr>
            </w:pPr>
            <w:r>
              <w:rPr>
                <w:rFonts w:hint="eastAsia"/>
                <w:b/>
                <w:color w:val="auto"/>
                <w:szCs w:val="21"/>
              </w:rPr>
              <w:t>分值属性</w:t>
            </w:r>
          </w:p>
        </w:tc>
        <w:tc>
          <w:tcPr>
            <w:tcW w:w="3894" w:type="dxa"/>
            <w:vAlign w:val="center"/>
          </w:tcPr>
          <w:p>
            <w:pPr>
              <w:snapToGrid w:val="0"/>
              <w:spacing w:line="360" w:lineRule="auto"/>
              <w:jc w:val="center"/>
              <w:rPr>
                <w:b/>
                <w:color w:val="auto"/>
                <w:szCs w:val="21"/>
              </w:rPr>
            </w:pPr>
            <w:r>
              <w:rPr>
                <w:rFonts w:hint="eastAsia"/>
                <w:b/>
                <w:color w:val="auto"/>
                <w:szCs w:val="21"/>
              </w:rPr>
              <w:t>评分标准</w:t>
            </w:r>
          </w:p>
        </w:tc>
        <w:tc>
          <w:tcPr>
            <w:tcW w:w="762" w:type="dxa"/>
            <w:vAlign w:val="center"/>
          </w:tcPr>
          <w:p>
            <w:pPr>
              <w:snapToGrid w:val="0"/>
              <w:spacing w:line="360" w:lineRule="auto"/>
              <w:jc w:val="center"/>
              <w:rPr>
                <w:b/>
                <w:color w:val="auto"/>
                <w:szCs w:val="21"/>
              </w:rPr>
            </w:pPr>
            <w:r>
              <w:rPr>
                <w:rFonts w:hint="eastAsia"/>
                <w:b/>
                <w:color w:val="auto"/>
                <w:szCs w:val="21"/>
              </w:rPr>
              <w:t>分值</w:t>
            </w:r>
          </w:p>
        </w:tc>
        <w:tc>
          <w:tcPr>
            <w:tcW w:w="2144" w:type="dxa"/>
            <w:vAlign w:val="center"/>
          </w:tcPr>
          <w:p>
            <w:pPr>
              <w:snapToGrid w:val="0"/>
              <w:spacing w:line="360" w:lineRule="auto"/>
              <w:jc w:val="center"/>
              <w:rPr>
                <w:b/>
                <w:color w:val="auto"/>
                <w:szCs w:val="21"/>
              </w:rPr>
            </w:pPr>
            <w:r>
              <w:rPr>
                <w:b/>
                <w:color w:val="auto"/>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6" w:hRule="atLeast"/>
          <w:jc w:val="center"/>
        </w:trPr>
        <w:tc>
          <w:tcPr>
            <w:tcW w:w="785" w:type="dxa"/>
            <w:vAlign w:val="center"/>
          </w:tcPr>
          <w:p>
            <w:pPr>
              <w:snapToGrid w:val="0"/>
              <w:spacing w:line="360" w:lineRule="auto"/>
              <w:jc w:val="center"/>
              <w:rPr>
                <w:b/>
                <w:color w:val="auto"/>
                <w:szCs w:val="21"/>
              </w:rPr>
            </w:pPr>
            <w:r>
              <w:rPr>
                <w:rFonts w:hint="eastAsia"/>
                <w:b/>
                <w:color w:val="auto"/>
                <w:szCs w:val="21"/>
              </w:rPr>
              <w:t>1</w:t>
            </w:r>
          </w:p>
        </w:tc>
        <w:tc>
          <w:tcPr>
            <w:tcW w:w="1227" w:type="dxa"/>
            <w:vAlign w:val="center"/>
          </w:tcPr>
          <w:p>
            <w:pPr>
              <w:snapToGrid w:val="0"/>
              <w:spacing w:line="360" w:lineRule="auto"/>
              <w:rPr>
                <w:color w:val="auto"/>
                <w:szCs w:val="21"/>
              </w:rPr>
            </w:pPr>
            <w:r>
              <w:rPr>
                <w:rFonts w:hint="eastAsia"/>
                <w:color w:val="auto"/>
                <w:szCs w:val="21"/>
              </w:rPr>
              <w:t>响应报价分</w:t>
            </w:r>
          </w:p>
        </w:tc>
        <w:tc>
          <w:tcPr>
            <w:tcW w:w="1008" w:type="dxa"/>
            <w:vAlign w:val="center"/>
          </w:tcPr>
          <w:p>
            <w:pPr>
              <w:snapToGrid w:val="0"/>
              <w:spacing w:line="360" w:lineRule="auto"/>
              <w:rPr>
                <w:color w:val="auto"/>
                <w:szCs w:val="21"/>
              </w:rPr>
            </w:pPr>
            <w:r>
              <w:rPr>
                <w:rFonts w:hint="eastAsia"/>
                <w:color w:val="auto"/>
                <w:szCs w:val="21"/>
              </w:rPr>
              <w:t>客观分</w:t>
            </w:r>
          </w:p>
        </w:tc>
        <w:tc>
          <w:tcPr>
            <w:tcW w:w="3894" w:type="dxa"/>
            <w:vAlign w:val="center"/>
          </w:tcPr>
          <w:p>
            <w:pPr>
              <w:rPr>
                <w:color w:val="auto"/>
                <w:szCs w:val="21"/>
              </w:rPr>
            </w:pPr>
            <w:r>
              <w:rPr>
                <w:rFonts w:hint="eastAsia"/>
                <w:color w:val="auto"/>
                <w:szCs w:val="21"/>
              </w:rPr>
              <w:t>以满足采购文件要求且响应价格最低的响应报价为评标基准价，其价格分为满分。其他供应商的价格分统一按照下列公式计算：响应报价得分</w:t>
            </w:r>
            <w:r>
              <w:rPr>
                <w:color w:val="auto"/>
                <w:szCs w:val="21"/>
              </w:rPr>
              <w:t>=（评标基准价/</w:t>
            </w:r>
            <w:r>
              <w:rPr>
                <w:rFonts w:hint="eastAsia"/>
                <w:color w:val="auto"/>
                <w:szCs w:val="21"/>
              </w:rPr>
              <w:t>响应</w:t>
            </w:r>
            <w:r>
              <w:rPr>
                <w:color w:val="auto"/>
                <w:szCs w:val="21"/>
              </w:rPr>
              <w:t>报价）×</w:t>
            </w:r>
            <w:r>
              <w:rPr>
                <w:rFonts w:hint="eastAsia"/>
                <w:color w:val="auto"/>
                <w:szCs w:val="21"/>
              </w:rPr>
              <w:t>响应</w:t>
            </w:r>
            <w:r>
              <w:rPr>
                <w:color w:val="auto"/>
                <w:szCs w:val="21"/>
              </w:rPr>
              <w:t>报价分满分分值。</w:t>
            </w:r>
          </w:p>
        </w:tc>
        <w:tc>
          <w:tcPr>
            <w:tcW w:w="762" w:type="dxa"/>
            <w:vAlign w:val="center"/>
          </w:tcPr>
          <w:p>
            <w:pPr>
              <w:rPr>
                <w:color w:val="auto"/>
                <w:szCs w:val="21"/>
              </w:rPr>
            </w:pPr>
            <w:r>
              <w:rPr>
                <w:rFonts w:hint="eastAsia"/>
                <w:color w:val="auto"/>
                <w:szCs w:val="21"/>
              </w:rPr>
              <w:t>10</w:t>
            </w:r>
          </w:p>
        </w:tc>
        <w:tc>
          <w:tcPr>
            <w:tcW w:w="2144" w:type="dxa"/>
            <w:vAlign w:val="center"/>
          </w:tcPr>
          <w:p>
            <w:pPr>
              <w:rPr>
                <w:color w:val="auto"/>
                <w:szCs w:val="21"/>
              </w:rPr>
            </w:pPr>
            <w:r>
              <w:rPr>
                <w:rFonts w:hint="eastAsia"/>
                <w:color w:val="auto"/>
                <w:szCs w:val="21"/>
              </w:rPr>
              <w:t>响应报价计算时均为供应商的实际响应报价，最终中标（成交）金额＝响应报价。</w:t>
            </w:r>
          </w:p>
        </w:tc>
      </w:tr>
    </w:tbl>
    <w:p>
      <w:pPr>
        <w:snapToGrid w:val="0"/>
        <w:spacing w:line="360" w:lineRule="auto"/>
        <w:ind w:firstLine="315" w:firstLineChars="150"/>
        <w:rPr>
          <w:color w:val="auto"/>
        </w:rPr>
      </w:pPr>
      <w:r>
        <w:rPr>
          <w:rFonts w:hint="eastAsia"/>
          <w:color w:val="auto"/>
        </w:rPr>
        <w:t>（</w:t>
      </w:r>
      <w:r>
        <w:rPr>
          <w:color w:val="auto"/>
        </w:rPr>
        <w:t>3</w:t>
      </w:r>
      <w:r>
        <w:rPr>
          <w:rFonts w:hint="eastAsia"/>
          <w:color w:val="auto"/>
        </w:rPr>
        <w:t>）</w:t>
      </w:r>
      <w:r>
        <w:rPr>
          <w:color w:val="auto"/>
        </w:rPr>
        <w:t>综合得分</w:t>
      </w:r>
    </w:p>
    <w:tbl>
      <w:tblPr>
        <w:tblStyle w:val="52"/>
        <w:tblW w:w="99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2"/>
        <w:gridCol w:w="3207"/>
        <w:gridCol w:w="3204"/>
        <w:gridCol w:w="2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jc w:val="center"/>
        </w:trPr>
        <w:tc>
          <w:tcPr>
            <w:tcW w:w="842" w:type="dxa"/>
            <w:vAlign w:val="center"/>
          </w:tcPr>
          <w:p>
            <w:pPr>
              <w:snapToGrid w:val="0"/>
              <w:spacing w:line="360" w:lineRule="auto"/>
              <w:jc w:val="center"/>
              <w:rPr>
                <w:b/>
                <w:color w:val="auto"/>
                <w:szCs w:val="21"/>
              </w:rPr>
            </w:pPr>
            <w:r>
              <w:rPr>
                <w:rFonts w:hint="eastAsia"/>
                <w:b/>
                <w:color w:val="auto"/>
                <w:szCs w:val="21"/>
              </w:rPr>
              <w:t>分项</w:t>
            </w:r>
          </w:p>
        </w:tc>
        <w:tc>
          <w:tcPr>
            <w:tcW w:w="3207" w:type="dxa"/>
            <w:vAlign w:val="center"/>
          </w:tcPr>
          <w:p>
            <w:pPr>
              <w:snapToGrid w:val="0"/>
              <w:spacing w:line="360" w:lineRule="auto"/>
              <w:jc w:val="center"/>
              <w:rPr>
                <w:b/>
                <w:color w:val="auto"/>
                <w:szCs w:val="21"/>
              </w:rPr>
            </w:pPr>
            <w:r>
              <w:rPr>
                <w:rFonts w:hint="eastAsia"/>
                <w:b/>
                <w:color w:val="auto"/>
                <w:szCs w:val="21"/>
              </w:rPr>
              <w:t>技术及商务资信分</w:t>
            </w:r>
          </w:p>
        </w:tc>
        <w:tc>
          <w:tcPr>
            <w:tcW w:w="3204" w:type="dxa"/>
            <w:vAlign w:val="center"/>
          </w:tcPr>
          <w:p>
            <w:pPr>
              <w:snapToGrid w:val="0"/>
              <w:spacing w:line="360" w:lineRule="auto"/>
              <w:jc w:val="center"/>
              <w:rPr>
                <w:b/>
                <w:color w:val="auto"/>
                <w:szCs w:val="21"/>
              </w:rPr>
            </w:pPr>
            <w:r>
              <w:rPr>
                <w:rFonts w:hint="eastAsia"/>
                <w:b/>
                <w:color w:val="auto"/>
                <w:szCs w:val="21"/>
              </w:rPr>
              <w:t>响应报价得分</w:t>
            </w:r>
          </w:p>
        </w:tc>
        <w:tc>
          <w:tcPr>
            <w:tcW w:w="2684" w:type="dxa"/>
            <w:vAlign w:val="center"/>
          </w:tcPr>
          <w:p>
            <w:pPr>
              <w:snapToGrid w:val="0"/>
              <w:spacing w:line="360" w:lineRule="auto"/>
              <w:jc w:val="center"/>
              <w:rPr>
                <w:b/>
                <w:color w:val="auto"/>
                <w:szCs w:val="21"/>
              </w:rPr>
            </w:pPr>
            <w:r>
              <w:rPr>
                <w:rFonts w:hint="eastAsia"/>
                <w:b/>
                <w:color w:val="auto"/>
                <w:szCs w:val="21"/>
              </w:rPr>
              <w:t>总分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99" w:hRule="atLeast"/>
          <w:jc w:val="center"/>
        </w:trPr>
        <w:tc>
          <w:tcPr>
            <w:tcW w:w="842" w:type="dxa"/>
            <w:vAlign w:val="center"/>
          </w:tcPr>
          <w:p>
            <w:pPr>
              <w:snapToGrid w:val="0"/>
              <w:spacing w:line="360" w:lineRule="auto"/>
              <w:jc w:val="center"/>
              <w:rPr>
                <w:b/>
                <w:color w:val="auto"/>
                <w:szCs w:val="21"/>
              </w:rPr>
            </w:pPr>
            <w:r>
              <w:rPr>
                <w:rFonts w:hint="eastAsia"/>
                <w:b/>
                <w:color w:val="auto"/>
                <w:szCs w:val="21"/>
              </w:rPr>
              <w:t>分值</w:t>
            </w:r>
          </w:p>
        </w:tc>
        <w:tc>
          <w:tcPr>
            <w:tcW w:w="3207" w:type="dxa"/>
            <w:vAlign w:val="center"/>
          </w:tcPr>
          <w:p>
            <w:pPr>
              <w:snapToGrid w:val="0"/>
              <w:spacing w:line="360" w:lineRule="auto"/>
              <w:jc w:val="center"/>
              <w:rPr>
                <w:color w:val="auto"/>
                <w:szCs w:val="21"/>
              </w:rPr>
            </w:pPr>
            <w:r>
              <w:rPr>
                <w:rFonts w:hint="eastAsia"/>
                <w:color w:val="auto"/>
                <w:szCs w:val="21"/>
              </w:rPr>
              <w:t>90分</w:t>
            </w:r>
          </w:p>
        </w:tc>
        <w:tc>
          <w:tcPr>
            <w:tcW w:w="3204" w:type="dxa"/>
            <w:vAlign w:val="center"/>
          </w:tcPr>
          <w:p>
            <w:pPr>
              <w:snapToGrid w:val="0"/>
              <w:spacing w:line="360" w:lineRule="auto"/>
              <w:jc w:val="center"/>
              <w:rPr>
                <w:color w:val="auto"/>
                <w:szCs w:val="21"/>
              </w:rPr>
            </w:pPr>
            <w:r>
              <w:rPr>
                <w:rFonts w:hint="eastAsia"/>
                <w:color w:val="auto"/>
                <w:szCs w:val="21"/>
              </w:rPr>
              <w:t>10分</w:t>
            </w:r>
          </w:p>
        </w:tc>
        <w:tc>
          <w:tcPr>
            <w:tcW w:w="2684" w:type="dxa"/>
            <w:vAlign w:val="center"/>
          </w:tcPr>
          <w:p>
            <w:pPr>
              <w:snapToGrid w:val="0"/>
              <w:spacing w:line="360" w:lineRule="auto"/>
              <w:jc w:val="center"/>
              <w:rPr>
                <w:color w:val="auto"/>
                <w:szCs w:val="21"/>
              </w:rPr>
            </w:pPr>
            <w:r>
              <w:rPr>
                <w:rFonts w:hint="eastAsia"/>
                <w:color w:val="auto"/>
                <w:szCs w:val="21"/>
              </w:rPr>
              <w:t>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1" w:hRule="atLeast"/>
          <w:jc w:val="center"/>
        </w:trPr>
        <w:tc>
          <w:tcPr>
            <w:tcW w:w="9937" w:type="dxa"/>
            <w:gridSpan w:val="4"/>
            <w:vAlign w:val="center"/>
          </w:tcPr>
          <w:p>
            <w:pPr>
              <w:snapToGrid w:val="0"/>
              <w:spacing w:line="360" w:lineRule="auto"/>
              <w:rPr>
                <w:color w:val="auto"/>
                <w:szCs w:val="21"/>
              </w:rPr>
            </w:pPr>
            <w:r>
              <w:rPr>
                <w:rFonts w:hint="eastAsia"/>
                <w:color w:val="auto"/>
                <w:szCs w:val="21"/>
              </w:rPr>
              <w:t>综合得分</w:t>
            </w:r>
            <w:r>
              <w:rPr>
                <w:color w:val="auto"/>
                <w:szCs w:val="21"/>
              </w:rPr>
              <w:t>=</w:t>
            </w:r>
            <w:r>
              <w:rPr>
                <w:rFonts w:hint="eastAsia"/>
                <w:color w:val="auto"/>
                <w:szCs w:val="21"/>
              </w:rPr>
              <w:t>技术及商务资信分+响应报价得分（</w:t>
            </w:r>
            <w:r>
              <w:rPr>
                <w:rFonts w:hint="eastAsia"/>
                <w:color w:val="auto"/>
              </w:rPr>
              <w:t>注：各</w:t>
            </w:r>
            <w:r>
              <w:rPr>
                <w:color w:val="auto"/>
                <w:szCs w:val="21"/>
              </w:rPr>
              <w:t>项评分分值计算保留小数点后两位，小数点后第三位“四舍五入”</w:t>
            </w:r>
            <w:r>
              <w:rPr>
                <w:rFonts w:hint="eastAsia"/>
                <w:color w:val="auto"/>
                <w:szCs w:val="21"/>
              </w:rPr>
              <w:t>）</w:t>
            </w:r>
          </w:p>
        </w:tc>
      </w:tr>
    </w:tbl>
    <w:p>
      <w:pPr>
        <w:snapToGrid w:val="0"/>
        <w:spacing w:before="120" w:line="360" w:lineRule="auto"/>
        <w:ind w:firstLine="420" w:firstLineChars="200"/>
        <w:rPr>
          <w:color w:val="auto"/>
        </w:rPr>
      </w:pPr>
      <w:r>
        <w:rPr>
          <w:color w:val="auto"/>
        </w:rPr>
        <w:t>4.1</w:t>
      </w:r>
      <w:r>
        <w:rPr>
          <w:rFonts w:hint="eastAsia"/>
          <w:color w:val="auto"/>
        </w:rPr>
        <w:t>偏离认定说明</w:t>
      </w:r>
    </w:p>
    <w:p>
      <w:pPr>
        <w:snapToGrid w:val="0"/>
        <w:spacing w:before="120" w:line="360" w:lineRule="auto"/>
        <w:ind w:firstLine="420" w:firstLineChars="200"/>
        <w:rPr>
          <w:color w:val="auto"/>
          <w:szCs w:val="21"/>
        </w:rPr>
      </w:pPr>
      <w:r>
        <w:rPr>
          <w:rFonts w:hint="eastAsia"/>
          <w:color w:val="auto"/>
          <w:szCs w:val="21"/>
        </w:rPr>
        <w:t>供应商根据采购需求中技术参数为基准，填写响应表，对于响应表或证明材料与技术参数不符的，按如下规定：</w:t>
      </w:r>
    </w:p>
    <w:p>
      <w:pPr>
        <w:snapToGrid w:val="0"/>
        <w:spacing w:before="120" w:line="360" w:lineRule="auto"/>
        <w:ind w:firstLine="420" w:firstLineChars="200"/>
        <w:rPr>
          <w:color w:val="auto"/>
          <w:szCs w:val="21"/>
        </w:rPr>
      </w:pPr>
      <w:r>
        <w:rPr>
          <w:rFonts w:hint="eastAsia"/>
          <w:color w:val="auto"/>
          <w:szCs w:val="21"/>
        </w:rPr>
        <w:t>（1）实质性参数要求提交证明材料的，证明材料没有体现响应表中响应的内容的或未提供证明材料的，视为无效响应。非实质性参数要求提交证明材料的，证明材料没有体现响应表中响应的内容的或未提供证明材料的，视为负偏离。</w:t>
      </w:r>
    </w:p>
    <w:p>
      <w:pPr>
        <w:snapToGrid w:val="0"/>
        <w:spacing w:before="120" w:line="360" w:lineRule="auto"/>
        <w:ind w:firstLine="420" w:firstLineChars="200"/>
        <w:rPr>
          <w:color w:val="auto"/>
          <w:szCs w:val="21"/>
        </w:rPr>
      </w:pPr>
      <w:r>
        <w:rPr>
          <w:rFonts w:hint="eastAsia"/>
          <w:color w:val="auto"/>
          <w:szCs w:val="21"/>
        </w:rPr>
        <w:t>（2）响应表中响应的内容与证明材料不一致的，以证明材料为准作为评审依据。</w:t>
      </w:r>
    </w:p>
    <w:p>
      <w:pPr>
        <w:snapToGrid w:val="0"/>
        <w:spacing w:before="120" w:line="360" w:lineRule="auto"/>
        <w:ind w:firstLine="420" w:firstLineChars="200"/>
        <w:rPr>
          <w:color w:val="auto"/>
          <w:szCs w:val="21"/>
        </w:rPr>
      </w:pPr>
      <w:r>
        <w:rPr>
          <w:rFonts w:hint="eastAsia"/>
          <w:color w:val="auto"/>
          <w:szCs w:val="21"/>
        </w:rPr>
        <w:t>（3）同时出现以上两种情况的，按照（1）-（2）顺序认定。</w:t>
      </w:r>
    </w:p>
    <w:p>
      <w:pPr>
        <w:snapToGrid w:val="0"/>
        <w:spacing w:before="120" w:line="360" w:lineRule="auto"/>
        <w:ind w:firstLine="420" w:firstLineChars="200"/>
        <w:rPr>
          <w:color w:val="auto"/>
          <w:szCs w:val="21"/>
        </w:rPr>
      </w:pPr>
      <w:r>
        <w:rPr>
          <w:rFonts w:hint="eastAsia"/>
          <w:color w:val="auto"/>
          <w:szCs w:val="21"/>
        </w:rPr>
        <w:t>（</w:t>
      </w:r>
      <w:r>
        <w:rPr>
          <w:color w:val="auto"/>
          <w:szCs w:val="21"/>
        </w:rPr>
        <w:t>4</w:t>
      </w:r>
      <w:r>
        <w:rPr>
          <w:rFonts w:hint="eastAsia"/>
          <w:color w:val="auto"/>
          <w:szCs w:val="21"/>
        </w:rPr>
        <w:t>）响应表与采购需求中技术参数比较有漏项的，如为实质性参数漏项，视为未响应；如为非实质性参数漏项，视为负偏离。</w:t>
      </w:r>
    </w:p>
    <w:p>
      <w:pPr>
        <w:snapToGrid w:val="0"/>
        <w:spacing w:before="120" w:line="360" w:lineRule="auto"/>
        <w:ind w:firstLine="420" w:firstLineChars="200"/>
        <w:rPr>
          <w:color w:val="auto"/>
          <w:szCs w:val="21"/>
        </w:rPr>
      </w:pPr>
      <w:r>
        <w:rPr>
          <w:rFonts w:hint="eastAsia"/>
          <w:color w:val="auto"/>
          <w:szCs w:val="21"/>
        </w:rPr>
        <w:t>（</w:t>
      </w:r>
      <w:r>
        <w:rPr>
          <w:color w:val="auto"/>
          <w:szCs w:val="21"/>
        </w:rPr>
        <w:t>5</w:t>
      </w:r>
      <w:r>
        <w:rPr>
          <w:rFonts w:hint="eastAsia"/>
          <w:color w:val="auto"/>
          <w:szCs w:val="21"/>
        </w:rPr>
        <w:t>）一项技术参数有多条小项要求的，必须全部响应。如只响应部分参数，视为漏项。评审时以每一条技术参数为评审依据。</w:t>
      </w:r>
    </w:p>
    <w:p>
      <w:pPr>
        <w:snapToGrid w:val="0"/>
        <w:spacing w:before="120" w:line="360" w:lineRule="auto"/>
        <w:ind w:firstLine="420" w:firstLineChars="200"/>
        <w:rPr>
          <w:color w:val="auto"/>
          <w:szCs w:val="21"/>
        </w:rPr>
      </w:pPr>
      <w:r>
        <w:rPr>
          <w:rFonts w:hint="eastAsia"/>
          <w:color w:val="auto"/>
          <w:szCs w:val="21"/>
        </w:rPr>
        <w:t>（</w:t>
      </w:r>
      <w:r>
        <w:rPr>
          <w:color w:val="auto"/>
          <w:szCs w:val="21"/>
        </w:rPr>
        <w:t>6</w:t>
      </w:r>
      <w:r>
        <w:rPr>
          <w:rFonts w:hint="eastAsia"/>
          <w:color w:val="auto"/>
          <w:szCs w:val="21"/>
        </w:rPr>
        <w:t>）对于区间涵盖值参数，例：电压“测量范围</w:t>
      </w:r>
      <w:r>
        <w:rPr>
          <w:color w:val="auto"/>
          <w:szCs w:val="21"/>
        </w:rPr>
        <w:t>3V-5V</w:t>
      </w:r>
      <w:r>
        <w:rPr>
          <w:rFonts w:hint="eastAsia"/>
          <w:color w:val="auto"/>
          <w:szCs w:val="21"/>
        </w:rPr>
        <w:t>”，同时满足下限值更低及上限值更高才视为正偏离，例：响应为“测量范围</w:t>
      </w:r>
      <w:r>
        <w:rPr>
          <w:color w:val="auto"/>
          <w:szCs w:val="21"/>
        </w:rPr>
        <w:t>2V-6V”</w:t>
      </w:r>
      <w:r>
        <w:rPr>
          <w:rFonts w:hint="eastAsia"/>
          <w:color w:val="auto"/>
          <w:szCs w:val="21"/>
        </w:rPr>
        <w:t>。如有一端负偏离，不管另一端如何，均视为负偏离，例：响应为“测量范围4</w:t>
      </w:r>
      <w:r>
        <w:rPr>
          <w:color w:val="auto"/>
          <w:szCs w:val="21"/>
        </w:rPr>
        <w:t>V-6V</w:t>
      </w:r>
      <w:r>
        <w:rPr>
          <w:rFonts w:hint="eastAsia"/>
          <w:color w:val="auto"/>
          <w:szCs w:val="21"/>
        </w:rPr>
        <w:t>”。</w:t>
      </w:r>
    </w:p>
    <w:p>
      <w:pPr>
        <w:snapToGrid w:val="0"/>
        <w:spacing w:before="120" w:line="360" w:lineRule="auto"/>
        <w:ind w:firstLine="420" w:firstLineChars="200"/>
        <w:rPr>
          <w:color w:val="auto"/>
          <w:szCs w:val="21"/>
        </w:rPr>
      </w:pPr>
      <w:r>
        <w:rPr>
          <w:rFonts w:hint="eastAsia"/>
          <w:color w:val="auto"/>
          <w:szCs w:val="21"/>
        </w:rPr>
        <w:t>（</w:t>
      </w:r>
      <w:r>
        <w:rPr>
          <w:color w:val="auto"/>
          <w:szCs w:val="21"/>
        </w:rPr>
        <w:t>7</w:t>
      </w:r>
      <w:r>
        <w:rPr>
          <w:rFonts w:hint="eastAsia"/>
          <w:color w:val="auto"/>
          <w:szCs w:val="21"/>
        </w:rPr>
        <w:t>）对于区间任意值参数，例“</w:t>
      </w:r>
      <w:r>
        <w:rPr>
          <w:color w:val="auto"/>
          <w:szCs w:val="21"/>
        </w:rPr>
        <w:t>5</w:t>
      </w:r>
      <w:r>
        <w:rPr>
          <w:rFonts w:hint="eastAsia"/>
          <w:color w:val="auto"/>
          <w:szCs w:val="21"/>
        </w:rPr>
        <w:t>m</w:t>
      </w:r>
      <w:r>
        <w:rPr>
          <w:color w:val="auto"/>
          <w:szCs w:val="21"/>
        </w:rPr>
        <w:t>m</w:t>
      </w:r>
      <w:r>
        <w:rPr>
          <w:rFonts w:hint="eastAsia"/>
          <w:color w:val="auto"/>
          <w:szCs w:val="21"/>
        </w:rPr>
        <w:t>≤间距≤1</w:t>
      </w:r>
      <w:r>
        <w:rPr>
          <w:color w:val="auto"/>
          <w:szCs w:val="21"/>
        </w:rPr>
        <w:t>0</w:t>
      </w:r>
      <w:r>
        <w:rPr>
          <w:rFonts w:hint="eastAsia"/>
          <w:color w:val="auto"/>
          <w:szCs w:val="21"/>
        </w:rPr>
        <w:t>m</w:t>
      </w:r>
      <w:r>
        <w:rPr>
          <w:color w:val="auto"/>
          <w:szCs w:val="21"/>
        </w:rPr>
        <w:t>m</w:t>
      </w:r>
      <w:r>
        <w:rPr>
          <w:rFonts w:hint="eastAsia"/>
          <w:color w:val="auto"/>
          <w:szCs w:val="21"/>
        </w:rPr>
        <w:t>”，若间距响应值为</w:t>
      </w:r>
      <w:r>
        <w:rPr>
          <w:color w:val="auto"/>
          <w:szCs w:val="21"/>
        </w:rPr>
        <w:t>5</w:t>
      </w:r>
      <w:r>
        <w:rPr>
          <w:rFonts w:hint="eastAsia"/>
          <w:color w:val="auto"/>
          <w:szCs w:val="21"/>
        </w:rPr>
        <w:t>m</w:t>
      </w:r>
      <w:r>
        <w:rPr>
          <w:color w:val="auto"/>
          <w:szCs w:val="21"/>
        </w:rPr>
        <w:t>m-10mm</w:t>
      </w:r>
      <w:r>
        <w:rPr>
          <w:rFonts w:hint="eastAsia"/>
          <w:color w:val="auto"/>
          <w:szCs w:val="21"/>
        </w:rPr>
        <w:t>中任意一个数值（含本数）时为无偏离；超过区间范围视为负偏离；此类参数不存在正偏离。</w:t>
      </w:r>
    </w:p>
    <w:p>
      <w:pPr>
        <w:snapToGrid w:val="0"/>
        <w:spacing w:before="120" w:line="360" w:lineRule="auto"/>
        <w:ind w:firstLine="420" w:firstLineChars="200"/>
        <w:rPr>
          <w:color w:val="auto"/>
          <w:szCs w:val="21"/>
        </w:rPr>
      </w:pPr>
      <w:r>
        <w:rPr>
          <w:rFonts w:hint="eastAsia"/>
          <w:color w:val="auto"/>
          <w:szCs w:val="21"/>
        </w:rPr>
        <w:t>（</w:t>
      </w:r>
      <w:r>
        <w:rPr>
          <w:color w:val="auto"/>
          <w:szCs w:val="21"/>
        </w:rPr>
        <w:t>8</w:t>
      </w:r>
      <w:r>
        <w:rPr>
          <w:rFonts w:hint="eastAsia"/>
          <w:color w:val="auto"/>
          <w:szCs w:val="21"/>
        </w:rPr>
        <w:t>）对于单边任意参数的要求，例“长度≥5</w:t>
      </w:r>
      <w:r>
        <w:rPr>
          <w:color w:val="auto"/>
          <w:szCs w:val="21"/>
        </w:rPr>
        <w:t>0cm”</w:t>
      </w:r>
      <w:r>
        <w:rPr>
          <w:rFonts w:hint="eastAsia"/>
          <w:color w:val="auto"/>
          <w:szCs w:val="21"/>
        </w:rPr>
        <w:t>，若响应为5</w:t>
      </w:r>
      <w:r>
        <w:rPr>
          <w:color w:val="auto"/>
          <w:szCs w:val="21"/>
        </w:rPr>
        <w:t>0 cm</w:t>
      </w:r>
      <w:r>
        <w:rPr>
          <w:rFonts w:hint="eastAsia"/>
          <w:color w:val="auto"/>
          <w:szCs w:val="21"/>
        </w:rPr>
        <w:t>及5</w:t>
      </w:r>
      <w:r>
        <w:rPr>
          <w:color w:val="auto"/>
          <w:szCs w:val="21"/>
        </w:rPr>
        <w:t>0cm</w:t>
      </w:r>
      <w:r>
        <w:rPr>
          <w:rFonts w:hint="eastAsia"/>
          <w:color w:val="auto"/>
          <w:szCs w:val="21"/>
        </w:rPr>
        <w:t>以上任意一个数值，均视为无偏离；若响应小于5</w:t>
      </w:r>
      <w:r>
        <w:rPr>
          <w:color w:val="auto"/>
          <w:szCs w:val="21"/>
        </w:rPr>
        <w:t>0cm</w:t>
      </w:r>
      <w:r>
        <w:rPr>
          <w:rFonts w:hint="eastAsia"/>
          <w:color w:val="auto"/>
          <w:szCs w:val="21"/>
        </w:rPr>
        <w:t>，视为负偏离。此类参数无正偏离。</w:t>
      </w:r>
    </w:p>
    <w:p>
      <w:pPr>
        <w:snapToGrid w:val="0"/>
        <w:spacing w:before="120" w:line="360" w:lineRule="auto"/>
        <w:ind w:firstLine="420" w:firstLineChars="200"/>
        <w:rPr>
          <w:color w:val="auto"/>
          <w:szCs w:val="21"/>
        </w:rPr>
      </w:pPr>
      <w:r>
        <w:rPr>
          <w:rFonts w:hint="eastAsia"/>
          <w:color w:val="auto"/>
          <w:szCs w:val="21"/>
        </w:rPr>
        <w:t>（</w:t>
      </w:r>
      <w:r>
        <w:rPr>
          <w:color w:val="auto"/>
          <w:szCs w:val="21"/>
        </w:rPr>
        <w:t>9</w:t>
      </w:r>
      <w:r>
        <w:rPr>
          <w:rFonts w:hint="eastAsia"/>
          <w:color w:val="auto"/>
          <w:szCs w:val="21"/>
        </w:rPr>
        <w:t>）如采购需求中技术参数有特殊要求与上述说明不一致的，以特殊要求为准。</w:t>
      </w:r>
    </w:p>
    <w:p>
      <w:pPr>
        <w:spacing w:before="120" w:line="320" w:lineRule="atLeast"/>
        <w:ind w:firstLine="420" w:firstLineChars="200"/>
        <w:rPr>
          <w:color w:val="auto"/>
          <w:szCs w:val="21"/>
        </w:rPr>
      </w:pPr>
    </w:p>
    <w:p>
      <w:pPr>
        <w:pStyle w:val="6"/>
        <w:rPr>
          <w:color w:val="auto"/>
          <w:szCs w:val="21"/>
        </w:rPr>
      </w:pPr>
    </w:p>
    <w:p>
      <w:pPr>
        <w:rPr>
          <w:color w:val="auto"/>
        </w:rPr>
        <w:sectPr>
          <w:headerReference r:id="rId16" w:type="default"/>
          <w:pgSz w:w="11906" w:h="16838"/>
          <w:pgMar w:top="1418" w:right="1418" w:bottom="1246" w:left="1418" w:header="851" w:footer="992" w:gutter="0"/>
          <w:cols w:space="720" w:num="1"/>
          <w:docGrid w:linePitch="312" w:charSpace="0"/>
        </w:sectPr>
      </w:pPr>
    </w:p>
    <w:bookmarkEnd w:id="62"/>
    <w:bookmarkEnd w:id="63"/>
    <w:p>
      <w:pPr>
        <w:pStyle w:val="28"/>
        <w:tabs>
          <w:tab w:val="left" w:pos="630"/>
          <w:tab w:val="center" w:pos="4535"/>
        </w:tabs>
        <w:snapToGrid w:val="0"/>
        <w:spacing w:before="120" w:after="120" w:line="320" w:lineRule="exact"/>
        <w:jc w:val="center"/>
        <w:outlineLvl w:val="0"/>
        <w:rPr>
          <w:rFonts w:ascii="Times New Roman" w:hAnsi="Times New Roman" w:cs="Times New Roman"/>
          <w:color w:val="auto"/>
          <w:sz w:val="32"/>
          <w:szCs w:val="32"/>
        </w:rPr>
      </w:pPr>
      <w:bookmarkStart w:id="66" w:name="_Toc16303"/>
      <w:r>
        <w:rPr>
          <w:rFonts w:ascii="Times New Roman" w:hAnsi="Times New Roman" w:cs="Times New Roman"/>
          <w:color w:val="auto"/>
          <w:sz w:val="32"/>
          <w:szCs w:val="32"/>
        </w:rPr>
        <w:t>第五章  合同主要条款格式</w:t>
      </w:r>
      <w:bookmarkEnd w:id="66"/>
    </w:p>
    <w:p>
      <w:pPr>
        <w:pStyle w:val="28"/>
        <w:snapToGrid w:val="0"/>
        <w:ind w:firstLine="240"/>
        <w:jc w:val="center"/>
        <w:rPr>
          <w:rFonts w:ascii="Times New Roman" w:hAnsi="Times New Roman" w:cs="Times New Roman"/>
          <w:b/>
          <w:color w:val="auto"/>
          <w:sz w:val="24"/>
          <w:szCs w:val="24"/>
        </w:rPr>
      </w:pPr>
      <w:bookmarkStart w:id="67" w:name="_Hlk77611300"/>
    </w:p>
    <w:p>
      <w:pPr>
        <w:spacing w:before="120" w:line="320" w:lineRule="atLeast"/>
        <w:ind w:firstLine="422" w:firstLineChars="200"/>
        <w:jc w:val="center"/>
        <w:outlineLvl w:val="1"/>
        <w:rPr>
          <w:b/>
          <w:bCs/>
          <w:color w:val="auto"/>
          <w:kern w:val="0"/>
          <w:szCs w:val="21"/>
        </w:rPr>
      </w:pPr>
      <w:r>
        <w:rPr>
          <w:b/>
          <w:bCs/>
          <w:color w:val="auto"/>
          <w:kern w:val="0"/>
          <w:szCs w:val="21"/>
        </w:rPr>
        <w:t>广西壮族自治区政府采购合同</w:t>
      </w:r>
    </w:p>
    <w:bookmarkEnd w:id="67"/>
    <w:p>
      <w:pPr>
        <w:snapToGrid w:val="0"/>
        <w:spacing w:line="360" w:lineRule="exact"/>
        <w:ind w:right="480" w:firstLine="5985" w:firstLineChars="2850"/>
        <w:rPr>
          <w:bCs/>
          <w:color w:val="auto"/>
          <w:szCs w:val="21"/>
        </w:rPr>
      </w:pPr>
    </w:p>
    <w:p>
      <w:pPr>
        <w:snapToGrid w:val="0"/>
        <w:spacing w:line="360" w:lineRule="exact"/>
        <w:ind w:right="480" w:firstLine="5985" w:firstLineChars="2850"/>
        <w:rPr>
          <w:bCs/>
          <w:color w:val="auto"/>
          <w:szCs w:val="21"/>
          <w:u w:val="single"/>
        </w:rPr>
      </w:pPr>
      <w:r>
        <w:rPr>
          <w:bCs/>
          <w:color w:val="auto"/>
          <w:szCs w:val="21"/>
        </w:rPr>
        <w:t>合同编号：</w:t>
      </w:r>
    </w:p>
    <w:p>
      <w:pPr>
        <w:snapToGrid w:val="0"/>
        <w:spacing w:line="360" w:lineRule="exact"/>
        <w:rPr>
          <w:color w:val="auto"/>
          <w:szCs w:val="21"/>
        </w:rPr>
      </w:pPr>
    </w:p>
    <w:p>
      <w:pPr>
        <w:snapToGrid w:val="0"/>
        <w:spacing w:line="360" w:lineRule="exact"/>
        <w:rPr>
          <w:color w:val="auto"/>
          <w:szCs w:val="21"/>
          <w:u w:val="single"/>
        </w:rPr>
      </w:pPr>
      <w:r>
        <w:rPr>
          <w:color w:val="auto"/>
          <w:szCs w:val="21"/>
        </w:rPr>
        <w:t>采购单位（甲方）</w:t>
      </w:r>
      <w:r>
        <w:rPr>
          <w:color w:val="auto"/>
          <w:szCs w:val="21"/>
          <w:u w:val="single"/>
        </w:rPr>
        <w:t xml:space="preserve">                          </w:t>
      </w:r>
      <w:r>
        <w:rPr>
          <w:color w:val="auto"/>
          <w:szCs w:val="21"/>
        </w:rPr>
        <w:t xml:space="preserve">  </w:t>
      </w:r>
      <w:r>
        <w:rPr>
          <w:color w:val="auto"/>
          <w:spacing w:val="-20"/>
          <w:szCs w:val="21"/>
        </w:rPr>
        <w:t>采 购 计 划 号</w:t>
      </w:r>
      <w:r>
        <w:rPr>
          <w:color w:val="auto"/>
          <w:szCs w:val="21"/>
          <w:u w:val="single"/>
        </w:rPr>
        <w:t xml:space="preserve">                        </w:t>
      </w:r>
    </w:p>
    <w:p>
      <w:pPr>
        <w:snapToGrid w:val="0"/>
        <w:spacing w:line="360" w:lineRule="exact"/>
        <w:rPr>
          <w:color w:val="auto"/>
          <w:szCs w:val="21"/>
          <w:u w:val="single"/>
        </w:rPr>
      </w:pPr>
      <w:r>
        <w:rPr>
          <w:color w:val="auto"/>
          <w:szCs w:val="21"/>
        </w:rPr>
        <w:t>供 应 商（乙方）</w:t>
      </w:r>
      <w:r>
        <w:rPr>
          <w:color w:val="auto"/>
          <w:szCs w:val="21"/>
          <w:u w:val="single"/>
        </w:rPr>
        <w:t xml:space="preserve">                          </w:t>
      </w:r>
      <w:r>
        <w:rPr>
          <w:color w:val="auto"/>
          <w:szCs w:val="21"/>
        </w:rPr>
        <w:t xml:space="preserve">  项目名称</w:t>
      </w:r>
      <w:r>
        <w:rPr>
          <w:color w:val="auto"/>
          <w:spacing w:val="-20"/>
          <w:szCs w:val="21"/>
        </w:rPr>
        <w:t>编号</w:t>
      </w:r>
      <w:r>
        <w:rPr>
          <w:color w:val="auto"/>
          <w:szCs w:val="21"/>
          <w:u w:val="single"/>
        </w:rPr>
        <w:t xml:space="preserve">                       </w:t>
      </w:r>
    </w:p>
    <w:p>
      <w:pPr>
        <w:snapToGrid w:val="0"/>
        <w:spacing w:line="360" w:lineRule="exact"/>
        <w:rPr>
          <w:color w:val="auto"/>
          <w:szCs w:val="21"/>
          <w:u w:val="single"/>
        </w:rPr>
      </w:pPr>
      <w:r>
        <w:rPr>
          <w:color w:val="auto"/>
          <w:szCs w:val="21"/>
        </w:rPr>
        <w:t xml:space="preserve">签  订  地  点  </w:t>
      </w:r>
      <w:r>
        <w:rPr>
          <w:color w:val="auto"/>
          <w:szCs w:val="21"/>
          <w:u w:val="single"/>
        </w:rPr>
        <w:t xml:space="preserve">                          </w:t>
      </w:r>
      <w:r>
        <w:rPr>
          <w:color w:val="auto"/>
          <w:szCs w:val="21"/>
        </w:rPr>
        <w:t xml:space="preserve">  签 订 时 间</w:t>
      </w:r>
      <w:r>
        <w:rPr>
          <w:color w:val="auto"/>
          <w:szCs w:val="21"/>
          <w:u w:val="single"/>
        </w:rPr>
        <w:t xml:space="preserve">                       </w:t>
      </w:r>
    </w:p>
    <w:p>
      <w:pPr>
        <w:snapToGrid w:val="0"/>
        <w:spacing w:line="360" w:lineRule="exact"/>
        <w:ind w:firstLine="420" w:firstLineChars="200"/>
        <w:rPr>
          <w:color w:val="auto"/>
          <w:szCs w:val="21"/>
        </w:rPr>
      </w:pPr>
    </w:p>
    <w:p>
      <w:pPr>
        <w:pStyle w:val="28"/>
        <w:spacing w:line="420" w:lineRule="exact"/>
        <w:ind w:firstLine="420" w:firstLineChars="200"/>
        <w:rPr>
          <w:rFonts w:ascii="Times New Roman" w:hAnsi="Times New Roman" w:cs="Times New Roman"/>
          <w:color w:val="auto"/>
        </w:rPr>
      </w:pPr>
      <w:r>
        <w:rPr>
          <w:rFonts w:ascii="Times New Roman" w:hAnsi="Times New Roman" w:cs="Times New Roman"/>
          <w:color w:val="auto"/>
        </w:rPr>
        <w:t>根据《中华人民共和国政府采购法》等法律、法规规定，按照采购文件规定条款和乙方响应文件及其承诺，甲乙双方签订本合同。</w:t>
      </w:r>
    </w:p>
    <w:p>
      <w:pPr>
        <w:snapToGrid w:val="0"/>
        <w:spacing w:line="360" w:lineRule="exact"/>
        <w:ind w:firstLine="422" w:firstLineChars="200"/>
        <w:rPr>
          <w:b/>
          <w:color w:val="auto"/>
          <w:szCs w:val="21"/>
        </w:rPr>
      </w:pPr>
      <w:r>
        <w:rPr>
          <w:b/>
          <w:color w:val="auto"/>
          <w:szCs w:val="21"/>
        </w:rPr>
        <w:t>第一条　项目概况及服务范围</w:t>
      </w:r>
    </w:p>
    <w:p>
      <w:pPr>
        <w:snapToGrid w:val="0"/>
        <w:spacing w:line="360" w:lineRule="exact"/>
        <w:ind w:firstLine="420" w:firstLineChars="200"/>
        <w:rPr>
          <w:color w:val="auto"/>
          <w:szCs w:val="21"/>
        </w:rPr>
      </w:pPr>
      <w:r>
        <w:rPr>
          <w:color w:val="auto"/>
          <w:szCs w:val="21"/>
        </w:rPr>
        <w:t>1.项目名称：</w:t>
      </w:r>
      <w:r>
        <w:rPr>
          <w:rFonts w:hint="eastAsia"/>
          <w:color w:val="auto"/>
          <w:kern w:val="0"/>
          <w:szCs w:val="21"/>
          <w:u w:val="single"/>
        </w:rPr>
        <w:t>贵港市运动休闲旅游产品体系规划编制服务项目</w:t>
      </w:r>
    </w:p>
    <w:p>
      <w:pPr>
        <w:snapToGrid w:val="0"/>
        <w:spacing w:line="360" w:lineRule="exact"/>
        <w:ind w:firstLine="420" w:firstLineChars="200"/>
        <w:rPr>
          <w:color w:val="auto"/>
          <w:szCs w:val="21"/>
        </w:rPr>
      </w:pPr>
      <w:r>
        <w:rPr>
          <w:color w:val="auto"/>
          <w:szCs w:val="21"/>
        </w:rPr>
        <w:t>2.服务内容及范围：</w:t>
      </w:r>
      <w:r>
        <w:rPr>
          <w:color w:val="auto"/>
          <w:szCs w:val="21"/>
          <w:u w:val="single"/>
        </w:rPr>
        <w:t xml:space="preserve">   </w:t>
      </w:r>
      <w:r>
        <w:rPr>
          <w:rFonts w:hint="eastAsia"/>
          <w:color w:val="auto"/>
          <w:kern w:val="0"/>
          <w:szCs w:val="21"/>
          <w:u w:val="single"/>
        </w:rPr>
        <w:t>贵港市运动休闲旅游产品体系规划编制服务项目</w:t>
      </w:r>
      <w:r>
        <w:rPr>
          <w:color w:val="auto"/>
          <w:szCs w:val="21"/>
          <w:u w:val="single"/>
        </w:rPr>
        <w:t xml:space="preserve">    ；</w:t>
      </w:r>
      <w:r>
        <w:rPr>
          <w:color w:val="auto"/>
          <w:szCs w:val="21"/>
        </w:rPr>
        <w:t xml:space="preserve">  </w:t>
      </w:r>
    </w:p>
    <w:p>
      <w:pPr>
        <w:snapToGrid w:val="0"/>
        <w:spacing w:line="360" w:lineRule="exact"/>
        <w:ind w:firstLine="420" w:firstLineChars="200"/>
        <w:rPr>
          <w:color w:val="auto"/>
          <w:szCs w:val="21"/>
        </w:rPr>
      </w:pPr>
      <w:r>
        <w:rPr>
          <w:color w:val="auto"/>
          <w:szCs w:val="21"/>
        </w:rPr>
        <w:t>3.服务期：</w:t>
      </w:r>
      <w:r>
        <w:rPr>
          <w:color w:val="auto"/>
          <w:szCs w:val="21"/>
          <w:u w:val="single"/>
        </w:rPr>
        <w:t xml:space="preserve">                                                            </w:t>
      </w:r>
      <w:r>
        <w:rPr>
          <w:color w:val="auto"/>
          <w:szCs w:val="21"/>
        </w:rPr>
        <w:t>；</w:t>
      </w:r>
    </w:p>
    <w:p>
      <w:pPr>
        <w:snapToGrid w:val="0"/>
        <w:spacing w:line="360" w:lineRule="exact"/>
        <w:ind w:firstLine="420" w:firstLineChars="200"/>
        <w:rPr>
          <w:color w:val="auto"/>
          <w:szCs w:val="21"/>
        </w:rPr>
      </w:pPr>
      <w:r>
        <w:rPr>
          <w:color w:val="auto"/>
          <w:szCs w:val="21"/>
        </w:rPr>
        <w:t>4.交付时间及地点：</w:t>
      </w:r>
      <w:r>
        <w:rPr>
          <w:color w:val="auto"/>
          <w:szCs w:val="21"/>
          <w:u w:val="single"/>
        </w:rPr>
        <w:t xml:space="preserve">                                                    </w:t>
      </w:r>
      <w:r>
        <w:rPr>
          <w:color w:val="auto"/>
          <w:szCs w:val="21"/>
        </w:rPr>
        <w:t xml:space="preserve">； </w:t>
      </w:r>
    </w:p>
    <w:p>
      <w:pPr>
        <w:snapToGrid w:val="0"/>
        <w:spacing w:line="360" w:lineRule="exact"/>
        <w:ind w:firstLine="420" w:firstLineChars="200"/>
        <w:rPr>
          <w:color w:val="auto"/>
          <w:szCs w:val="21"/>
        </w:rPr>
      </w:pPr>
      <w:r>
        <w:rPr>
          <w:color w:val="auto"/>
          <w:szCs w:val="21"/>
        </w:rPr>
        <w:t>5.报价要求：合同合计金额可能包括服务交付成果（产品）、设计、编绘、组织、策划、开发、</w:t>
      </w:r>
      <w:r>
        <w:rPr>
          <w:rFonts w:hint="eastAsia"/>
          <w:color w:val="auto"/>
          <w:szCs w:val="21"/>
        </w:rPr>
        <w:t>摄制、</w:t>
      </w:r>
      <w:r>
        <w:rPr>
          <w:color w:val="auto"/>
          <w:szCs w:val="21"/>
        </w:rPr>
        <w:t>调研、技术指导等类似服务内容的全部费用。如采购文件对其另有规定的，从其规定。</w:t>
      </w:r>
    </w:p>
    <w:p>
      <w:pPr>
        <w:pStyle w:val="28"/>
        <w:spacing w:line="300" w:lineRule="exact"/>
        <w:ind w:firstLine="420" w:firstLineChars="200"/>
        <w:rPr>
          <w:rFonts w:ascii="Times New Roman" w:hAnsi="Times New Roman" w:cs="Times New Roman"/>
          <w:color w:val="auto"/>
        </w:rPr>
      </w:pPr>
      <w:bookmarkStart w:id="68" w:name="_Hlk77611311"/>
      <w:r>
        <w:rPr>
          <w:rFonts w:ascii="Times New Roman" w:hAnsi="Times New Roman" w:cs="Times New Roman"/>
          <w:color w:val="auto"/>
        </w:rPr>
        <w:t>6</w:t>
      </w:r>
      <w:r>
        <w:rPr>
          <w:rFonts w:hint="eastAsia" w:ascii="Times New Roman" w:hAnsi="Times New Roman" w:cs="Times New Roman"/>
          <w:color w:val="auto"/>
        </w:rPr>
        <w:t>.合同价格形式：</w:t>
      </w:r>
      <w:r>
        <w:rPr>
          <w:rFonts w:hint="eastAsia" w:ascii="Times New Roman" w:hAnsi="Times New Roman" w:cs="Times New Roman"/>
          <w:color w:val="auto"/>
        </w:rPr>
        <w:sym w:font="Wingdings 2" w:char="0052"/>
      </w:r>
      <w:r>
        <w:rPr>
          <w:rFonts w:hint="eastAsia" w:ascii="Times New Roman" w:hAnsi="Times New Roman" w:cs="Times New Roman"/>
          <w:color w:val="auto"/>
        </w:rPr>
        <w:t xml:space="preserve">固定总价 </w:t>
      </w:r>
      <w:r>
        <w:rPr>
          <w:rFonts w:ascii="Times New Roman" w:hAnsi="Times New Roman" w:cs="Times New Roman"/>
          <w:color w:val="auto"/>
        </w:rPr>
        <w:t xml:space="preserve"> </w:t>
      </w:r>
      <w:r>
        <w:rPr>
          <w:rFonts w:hint="eastAsia" w:ascii="Times New Roman" w:hAnsi="Times New Roman" w:cs="Times New Roman"/>
          <w:color w:val="auto"/>
        </w:rPr>
        <w:t>□固定单价 □成本补偿 □绩效激励</w:t>
      </w:r>
      <w:bookmarkEnd w:id="68"/>
    </w:p>
    <w:p>
      <w:pPr>
        <w:snapToGrid w:val="0"/>
        <w:spacing w:line="360" w:lineRule="exact"/>
        <w:ind w:firstLine="422" w:firstLineChars="200"/>
        <w:rPr>
          <w:b/>
          <w:color w:val="auto"/>
          <w:szCs w:val="21"/>
        </w:rPr>
      </w:pPr>
      <w:r>
        <w:rPr>
          <w:b/>
          <w:color w:val="auto"/>
          <w:szCs w:val="21"/>
        </w:rPr>
        <w:t>第二条　服务交付成果（产品）清单</w:t>
      </w:r>
    </w:p>
    <w:tbl>
      <w:tblPr>
        <w:tblStyle w:val="52"/>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2"/>
        <w:gridCol w:w="1583"/>
        <w:gridCol w:w="816"/>
        <w:gridCol w:w="1311"/>
        <w:gridCol w:w="1311"/>
        <w:gridCol w:w="1748"/>
        <w:gridCol w:w="1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8" w:hRule="atLeast"/>
        </w:trPr>
        <w:tc>
          <w:tcPr>
            <w:tcW w:w="602" w:type="dxa"/>
            <w:vAlign w:val="center"/>
          </w:tcPr>
          <w:p>
            <w:pPr>
              <w:snapToGrid w:val="0"/>
              <w:spacing w:line="360" w:lineRule="exact"/>
              <w:jc w:val="center"/>
              <w:rPr>
                <w:color w:val="auto"/>
                <w:szCs w:val="21"/>
              </w:rPr>
            </w:pPr>
            <w:r>
              <w:rPr>
                <w:color w:val="auto"/>
                <w:szCs w:val="21"/>
              </w:rPr>
              <w:t>序号</w:t>
            </w:r>
          </w:p>
        </w:tc>
        <w:tc>
          <w:tcPr>
            <w:tcW w:w="1583" w:type="dxa"/>
            <w:vAlign w:val="center"/>
          </w:tcPr>
          <w:p>
            <w:pPr>
              <w:snapToGrid w:val="0"/>
              <w:spacing w:line="360" w:lineRule="exact"/>
              <w:jc w:val="center"/>
              <w:rPr>
                <w:color w:val="auto"/>
                <w:szCs w:val="21"/>
              </w:rPr>
            </w:pPr>
            <w:r>
              <w:rPr>
                <w:color w:val="auto"/>
                <w:szCs w:val="21"/>
              </w:rPr>
              <w:t>服务交付成果</w:t>
            </w:r>
            <w:r>
              <w:rPr>
                <w:rFonts w:hint="eastAsia"/>
                <w:color w:val="auto"/>
                <w:szCs w:val="21"/>
              </w:rPr>
              <w:t>（产品）</w:t>
            </w:r>
            <w:r>
              <w:rPr>
                <w:color w:val="auto"/>
                <w:szCs w:val="21"/>
              </w:rPr>
              <w:t>名称</w:t>
            </w:r>
          </w:p>
        </w:tc>
        <w:tc>
          <w:tcPr>
            <w:tcW w:w="816" w:type="dxa"/>
            <w:vAlign w:val="center"/>
          </w:tcPr>
          <w:p>
            <w:pPr>
              <w:snapToGrid w:val="0"/>
              <w:spacing w:line="360" w:lineRule="exact"/>
              <w:jc w:val="center"/>
              <w:rPr>
                <w:color w:val="auto"/>
                <w:szCs w:val="21"/>
              </w:rPr>
            </w:pPr>
            <w:r>
              <w:rPr>
                <w:color w:val="auto"/>
                <w:szCs w:val="21"/>
              </w:rPr>
              <w:t>数 量</w:t>
            </w:r>
          </w:p>
        </w:tc>
        <w:tc>
          <w:tcPr>
            <w:tcW w:w="1311" w:type="dxa"/>
            <w:vAlign w:val="center"/>
          </w:tcPr>
          <w:p>
            <w:pPr>
              <w:snapToGrid w:val="0"/>
              <w:spacing w:line="360" w:lineRule="exact"/>
              <w:jc w:val="center"/>
              <w:rPr>
                <w:color w:val="auto"/>
                <w:szCs w:val="21"/>
              </w:rPr>
            </w:pPr>
            <w:r>
              <w:rPr>
                <w:color w:val="auto"/>
                <w:szCs w:val="21"/>
              </w:rPr>
              <w:t>单位</w:t>
            </w:r>
          </w:p>
        </w:tc>
        <w:tc>
          <w:tcPr>
            <w:tcW w:w="1311" w:type="dxa"/>
            <w:vAlign w:val="center"/>
          </w:tcPr>
          <w:p>
            <w:pPr>
              <w:snapToGrid w:val="0"/>
              <w:spacing w:line="360" w:lineRule="exact"/>
              <w:jc w:val="center"/>
              <w:rPr>
                <w:color w:val="auto"/>
                <w:szCs w:val="21"/>
              </w:rPr>
            </w:pPr>
            <w:r>
              <w:rPr>
                <w:color w:val="auto"/>
                <w:szCs w:val="21"/>
              </w:rPr>
              <w:t>单  价</w:t>
            </w:r>
          </w:p>
          <w:p>
            <w:pPr>
              <w:snapToGrid w:val="0"/>
              <w:spacing w:line="360" w:lineRule="exact"/>
              <w:jc w:val="center"/>
              <w:rPr>
                <w:color w:val="auto"/>
                <w:szCs w:val="21"/>
              </w:rPr>
            </w:pPr>
            <w:r>
              <w:rPr>
                <w:color w:val="auto"/>
                <w:szCs w:val="21"/>
              </w:rPr>
              <w:t>（元）</w:t>
            </w:r>
          </w:p>
        </w:tc>
        <w:tc>
          <w:tcPr>
            <w:tcW w:w="1748" w:type="dxa"/>
            <w:vAlign w:val="center"/>
          </w:tcPr>
          <w:p>
            <w:pPr>
              <w:snapToGrid w:val="0"/>
              <w:spacing w:line="360" w:lineRule="exact"/>
              <w:jc w:val="center"/>
              <w:rPr>
                <w:color w:val="auto"/>
                <w:szCs w:val="21"/>
              </w:rPr>
            </w:pPr>
            <w:r>
              <w:rPr>
                <w:rFonts w:hint="eastAsia"/>
                <w:color w:val="auto"/>
                <w:szCs w:val="21"/>
              </w:rPr>
              <w:t xml:space="preserve">总 </w:t>
            </w:r>
            <w:r>
              <w:rPr>
                <w:color w:val="auto"/>
                <w:szCs w:val="21"/>
              </w:rPr>
              <w:t xml:space="preserve"> </w:t>
            </w:r>
            <w:r>
              <w:rPr>
                <w:rFonts w:hint="eastAsia"/>
                <w:color w:val="auto"/>
                <w:szCs w:val="21"/>
              </w:rPr>
              <w:t>价</w:t>
            </w:r>
          </w:p>
          <w:p>
            <w:pPr>
              <w:snapToGrid w:val="0"/>
              <w:spacing w:line="360" w:lineRule="exact"/>
              <w:jc w:val="center"/>
              <w:rPr>
                <w:color w:val="auto"/>
                <w:szCs w:val="21"/>
              </w:rPr>
            </w:pPr>
            <w:r>
              <w:rPr>
                <w:color w:val="auto"/>
                <w:szCs w:val="21"/>
              </w:rPr>
              <w:t>（元）</w:t>
            </w:r>
          </w:p>
        </w:tc>
        <w:tc>
          <w:tcPr>
            <w:tcW w:w="1748" w:type="dxa"/>
          </w:tcPr>
          <w:p>
            <w:pPr>
              <w:snapToGrid w:val="0"/>
              <w:spacing w:line="360" w:lineRule="exact"/>
              <w:jc w:val="center"/>
              <w:rPr>
                <w:color w:val="auto"/>
                <w:szCs w:val="21"/>
              </w:rPr>
            </w:pPr>
            <w:r>
              <w:rPr>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602" w:type="dxa"/>
            <w:vAlign w:val="center"/>
          </w:tcPr>
          <w:p>
            <w:pPr>
              <w:snapToGrid w:val="0"/>
              <w:spacing w:line="360" w:lineRule="exact"/>
              <w:jc w:val="center"/>
              <w:rPr>
                <w:color w:val="auto"/>
                <w:szCs w:val="21"/>
              </w:rPr>
            </w:pPr>
            <w:r>
              <w:rPr>
                <w:color w:val="auto"/>
                <w:szCs w:val="21"/>
              </w:rPr>
              <w:t>1</w:t>
            </w:r>
          </w:p>
        </w:tc>
        <w:tc>
          <w:tcPr>
            <w:tcW w:w="1583" w:type="dxa"/>
            <w:vAlign w:val="center"/>
          </w:tcPr>
          <w:p>
            <w:pPr>
              <w:snapToGrid w:val="0"/>
              <w:spacing w:line="360" w:lineRule="exact"/>
              <w:jc w:val="center"/>
              <w:rPr>
                <w:color w:val="auto"/>
                <w:szCs w:val="21"/>
              </w:rPr>
            </w:pPr>
          </w:p>
        </w:tc>
        <w:tc>
          <w:tcPr>
            <w:tcW w:w="816" w:type="dxa"/>
          </w:tcPr>
          <w:p>
            <w:pPr>
              <w:snapToGrid w:val="0"/>
              <w:spacing w:line="360" w:lineRule="exact"/>
              <w:jc w:val="center"/>
              <w:rPr>
                <w:color w:val="auto"/>
                <w:szCs w:val="21"/>
              </w:rPr>
            </w:pPr>
          </w:p>
        </w:tc>
        <w:tc>
          <w:tcPr>
            <w:tcW w:w="1311" w:type="dxa"/>
          </w:tcPr>
          <w:p>
            <w:pPr>
              <w:snapToGrid w:val="0"/>
              <w:spacing w:line="360" w:lineRule="exact"/>
              <w:jc w:val="center"/>
              <w:rPr>
                <w:color w:val="auto"/>
                <w:szCs w:val="21"/>
              </w:rPr>
            </w:pPr>
          </w:p>
        </w:tc>
        <w:tc>
          <w:tcPr>
            <w:tcW w:w="1311" w:type="dxa"/>
            <w:vAlign w:val="center"/>
          </w:tcPr>
          <w:p>
            <w:pPr>
              <w:snapToGrid w:val="0"/>
              <w:spacing w:line="360" w:lineRule="exact"/>
              <w:jc w:val="center"/>
              <w:rPr>
                <w:color w:val="auto"/>
                <w:szCs w:val="21"/>
              </w:rPr>
            </w:pPr>
          </w:p>
        </w:tc>
        <w:tc>
          <w:tcPr>
            <w:tcW w:w="1748" w:type="dxa"/>
            <w:vAlign w:val="center"/>
          </w:tcPr>
          <w:p>
            <w:pPr>
              <w:snapToGrid w:val="0"/>
              <w:spacing w:line="360" w:lineRule="exact"/>
              <w:jc w:val="center"/>
              <w:rPr>
                <w:color w:val="auto"/>
                <w:szCs w:val="21"/>
              </w:rPr>
            </w:pPr>
          </w:p>
        </w:tc>
        <w:tc>
          <w:tcPr>
            <w:tcW w:w="1748" w:type="dxa"/>
            <w:vMerge w:val="restart"/>
          </w:tcPr>
          <w:p>
            <w:pPr>
              <w:snapToGrid w:val="0"/>
              <w:spacing w:line="360" w:lineRule="exact"/>
              <w:jc w:val="left"/>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602" w:type="dxa"/>
            <w:vAlign w:val="center"/>
          </w:tcPr>
          <w:p>
            <w:pPr>
              <w:snapToGrid w:val="0"/>
              <w:spacing w:line="360" w:lineRule="exact"/>
              <w:jc w:val="center"/>
              <w:rPr>
                <w:color w:val="auto"/>
                <w:szCs w:val="21"/>
              </w:rPr>
            </w:pPr>
            <w:r>
              <w:rPr>
                <w:color w:val="auto"/>
                <w:szCs w:val="21"/>
              </w:rPr>
              <w:t>2</w:t>
            </w:r>
          </w:p>
        </w:tc>
        <w:tc>
          <w:tcPr>
            <w:tcW w:w="1583" w:type="dxa"/>
            <w:vAlign w:val="center"/>
          </w:tcPr>
          <w:p>
            <w:pPr>
              <w:snapToGrid w:val="0"/>
              <w:spacing w:line="360" w:lineRule="exact"/>
              <w:jc w:val="center"/>
              <w:rPr>
                <w:color w:val="auto"/>
                <w:szCs w:val="21"/>
              </w:rPr>
            </w:pPr>
          </w:p>
        </w:tc>
        <w:tc>
          <w:tcPr>
            <w:tcW w:w="816" w:type="dxa"/>
          </w:tcPr>
          <w:p>
            <w:pPr>
              <w:snapToGrid w:val="0"/>
              <w:spacing w:line="360" w:lineRule="exact"/>
              <w:jc w:val="center"/>
              <w:rPr>
                <w:color w:val="auto"/>
                <w:szCs w:val="21"/>
              </w:rPr>
            </w:pPr>
          </w:p>
        </w:tc>
        <w:tc>
          <w:tcPr>
            <w:tcW w:w="1311" w:type="dxa"/>
          </w:tcPr>
          <w:p>
            <w:pPr>
              <w:snapToGrid w:val="0"/>
              <w:spacing w:line="360" w:lineRule="exact"/>
              <w:jc w:val="center"/>
              <w:rPr>
                <w:color w:val="auto"/>
                <w:szCs w:val="21"/>
              </w:rPr>
            </w:pPr>
          </w:p>
        </w:tc>
        <w:tc>
          <w:tcPr>
            <w:tcW w:w="1311" w:type="dxa"/>
            <w:vAlign w:val="center"/>
          </w:tcPr>
          <w:p>
            <w:pPr>
              <w:snapToGrid w:val="0"/>
              <w:spacing w:line="360" w:lineRule="exact"/>
              <w:jc w:val="center"/>
              <w:rPr>
                <w:color w:val="auto"/>
                <w:szCs w:val="21"/>
              </w:rPr>
            </w:pPr>
          </w:p>
        </w:tc>
        <w:tc>
          <w:tcPr>
            <w:tcW w:w="1748" w:type="dxa"/>
            <w:vAlign w:val="center"/>
          </w:tcPr>
          <w:p>
            <w:pPr>
              <w:snapToGrid w:val="0"/>
              <w:spacing w:line="360" w:lineRule="exact"/>
              <w:jc w:val="center"/>
              <w:rPr>
                <w:color w:val="auto"/>
                <w:szCs w:val="21"/>
              </w:rPr>
            </w:pPr>
          </w:p>
        </w:tc>
        <w:tc>
          <w:tcPr>
            <w:tcW w:w="1748" w:type="dxa"/>
            <w:vMerge w:val="continue"/>
          </w:tcPr>
          <w:p>
            <w:pPr>
              <w:snapToGrid w:val="0"/>
              <w:spacing w:line="360" w:lineRule="exact"/>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602" w:type="dxa"/>
            <w:vAlign w:val="center"/>
          </w:tcPr>
          <w:p>
            <w:pPr>
              <w:snapToGrid w:val="0"/>
              <w:spacing w:line="360" w:lineRule="exact"/>
              <w:jc w:val="center"/>
              <w:rPr>
                <w:color w:val="auto"/>
                <w:szCs w:val="21"/>
              </w:rPr>
            </w:pPr>
            <w:r>
              <w:rPr>
                <w:color w:val="auto"/>
                <w:szCs w:val="21"/>
              </w:rPr>
              <w:t>3</w:t>
            </w:r>
          </w:p>
        </w:tc>
        <w:tc>
          <w:tcPr>
            <w:tcW w:w="1583" w:type="dxa"/>
            <w:vAlign w:val="center"/>
          </w:tcPr>
          <w:p>
            <w:pPr>
              <w:snapToGrid w:val="0"/>
              <w:spacing w:line="360" w:lineRule="exact"/>
              <w:jc w:val="center"/>
              <w:rPr>
                <w:color w:val="auto"/>
                <w:szCs w:val="21"/>
              </w:rPr>
            </w:pPr>
          </w:p>
        </w:tc>
        <w:tc>
          <w:tcPr>
            <w:tcW w:w="816" w:type="dxa"/>
          </w:tcPr>
          <w:p>
            <w:pPr>
              <w:snapToGrid w:val="0"/>
              <w:spacing w:line="360" w:lineRule="exact"/>
              <w:jc w:val="center"/>
              <w:rPr>
                <w:color w:val="auto"/>
                <w:szCs w:val="21"/>
              </w:rPr>
            </w:pPr>
          </w:p>
        </w:tc>
        <w:tc>
          <w:tcPr>
            <w:tcW w:w="1311" w:type="dxa"/>
          </w:tcPr>
          <w:p>
            <w:pPr>
              <w:snapToGrid w:val="0"/>
              <w:spacing w:line="360" w:lineRule="exact"/>
              <w:jc w:val="center"/>
              <w:rPr>
                <w:color w:val="auto"/>
                <w:szCs w:val="21"/>
              </w:rPr>
            </w:pPr>
          </w:p>
        </w:tc>
        <w:tc>
          <w:tcPr>
            <w:tcW w:w="1311" w:type="dxa"/>
            <w:vAlign w:val="center"/>
          </w:tcPr>
          <w:p>
            <w:pPr>
              <w:snapToGrid w:val="0"/>
              <w:spacing w:line="360" w:lineRule="exact"/>
              <w:jc w:val="center"/>
              <w:rPr>
                <w:color w:val="auto"/>
                <w:szCs w:val="21"/>
              </w:rPr>
            </w:pPr>
          </w:p>
        </w:tc>
        <w:tc>
          <w:tcPr>
            <w:tcW w:w="1748" w:type="dxa"/>
            <w:vAlign w:val="center"/>
          </w:tcPr>
          <w:p>
            <w:pPr>
              <w:snapToGrid w:val="0"/>
              <w:spacing w:line="360" w:lineRule="exact"/>
              <w:jc w:val="center"/>
              <w:rPr>
                <w:color w:val="auto"/>
                <w:szCs w:val="21"/>
              </w:rPr>
            </w:pPr>
          </w:p>
        </w:tc>
        <w:tc>
          <w:tcPr>
            <w:tcW w:w="1748" w:type="dxa"/>
            <w:vMerge w:val="continue"/>
          </w:tcPr>
          <w:p>
            <w:pPr>
              <w:snapToGrid w:val="0"/>
              <w:spacing w:line="360" w:lineRule="exact"/>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602" w:type="dxa"/>
            <w:vAlign w:val="center"/>
          </w:tcPr>
          <w:p>
            <w:pPr>
              <w:snapToGrid w:val="0"/>
              <w:spacing w:line="360" w:lineRule="exact"/>
              <w:jc w:val="center"/>
              <w:rPr>
                <w:color w:val="auto"/>
                <w:szCs w:val="21"/>
              </w:rPr>
            </w:pPr>
          </w:p>
        </w:tc>
        <w:tc>
          <w:tcPr>
            <w:tcW w:w="8517" w:type="dxa"/>
            <w:gridSpan w:val="6"/>
            <w:vAlign w:val="center"/>
          </w:tcPr>
          <w:p>
            <w:pPr>
              <w:snapToGrid w:val="0"/>
              <w:spacing w:line="360" w:lineRule="exact"/>
              <w:jc w:val="left"/>
              <w:rPr>
                <w:color w:val="auto"/>
                <w:szCs w:val="21"/>
              </w:rPr>
            </w:pPr>
            <w:r>
              <w:rPr>
                <w:color w:val="auto"/>
                <w:szCs w:val="21"/>
              </w:rPr>
              <w:t>人民币合计金额（大写）                          （小写）</w:t>
            </w:r>
          </w:p>
        </w:tc>
      </w:tr>
    </w:tbl>
    <w:p>
      <w:pPr>
        <w:snapToGrid w:val="0"/>
        <w:spacing w:line="360" w:lineRule="exact"/>
        <w:ind w:firstLine="422" w:firstLineChars="200"/>
        <w:rPr>
          <w:b/>
          <w:color w:val="auto"/>
          <w:szCs w:val="21"/>
        </w:rPr>
      </w:pPr>
      <w:r>
        <w:rPr>
          <w:b/>
          <w:color w:val="auto"/>
          <w:szCs w:val="21"/>
        </w:rPr>
        <w:t>第三条  甲方权利和义务</w:t>
      </w:r>
    </w:p>
    <w:p>
      <w:pPr>
        <w:snapToGrid w:val="0"/>
        <w:spacing w:line="360" w:lineRule="exact"/>
        <w:ind w:firstLine="420" w:firstLineChars="200"/>
        <w:rPr>
          <w:color w:val="auto"/>
          <w:szCs w:val="21"/>
        </w:rPr>
      </w:pPr>
      <w:r>
        <w:rPr>
          <w:color w:val="auto"/>
          <w:szCs w:val="21"/>
        </w:rPr>
        <w:t>1. 甲方有权要求乙方按时、按质、按量、按计划与合同协议约定完成本项目，并有权对乙方工作情况进行监督。</w:t>
      </w:r>
    </w:p>
    <w:p>
      <w:pPr>
        <w:snapToGrid w:val="0"/>
        <w:spacing w:line="360" w:lineRule="exact"/>
        <w:ind w:firstLine="420" w:firstLineChars="200"/>
        <w:rPr>
          <w:color w:val="auto"/>
          <w:szCs w:val="21"/>
        </w:rPr>
      </w:pPr>
      <w:r>
        <w:rPr>
          <w:color w:val="auto"/>
          <w:szCs w:val="21"/>
        </w:rPr>
        <w:t>2. 根据项目进度，甲方有权及时对乙方提交的方案提出修改意见，并要求乙方按修改意见完成服务工作。</w:t>
      </w:r>
    </w:p>
    <w:p>
      <w:pPr>
        <w:snapToGrid w:val="0"/>
        <w:spacing w:line="360" w:lineRule="exact"/>
        <w:ind w:firstLine="420" w:firstLineChars="200"/>
        <w:rPr>
          <w:color w:val="auto"/>
          <w:szCs w:val="21"/>
        </w:rPr>
      </w:pPr>
      <w:r>
        <w:rPr>
          <w:color w:val="auto"/>
          <w:szCs w:val="21"/>
        </w:rPr>
        <w:t>3. 乙方配备的项目投入人员应得到甲方的认可。</w:t>
      </w:r>
    </w:p>
    <w:p>
      <w:pPr>
        <w:snapToGrid w:val="0"/>
        <w:spacing w:line="360" w:lineRule="exact"/>
        <w:ind w:firstLine="420" w:firstLineChars="200"/>
        <w:rPr>
          <w:color w:val="auto"/>
          <w:szCs w:val="21"/>
        </w:rPr>
      </w:pPr>
      <w:r>
        <w:rPr>
          <w:color w:val="auto"/>
          <w:szCs w:val="21"/>
        </w:rPr>
        <w:t>4.甲方有权要求乙方更换不合格的工作人员。</w:t>
      </w:r>
    </w:p>
    <w:p>
      <w:pPr>
        <w:snapToGrid w:val="0"/>
        <w:spacing w:line="360" w:lineRule="exact"/>
        <w:ind w:firstLine="420" w:firstLineChars="200"/>
        <w:rPr>
          <w:color w:val="auto"/>
          <w:szCs w:val="21"/>
        </w:rPr>
      </w:pPr>
      <w:r>
        <w:rPr>
          <w:color w:val="auto"/>
          <w:szCs w:val="21"/>
        </w:rPr>
        <w:t>5. 按合同要求及时向乙方支付产品和服务费用。</w:t>
      </w:r>
    </w:p>
    <w:p>
      <w:pPr>
        <w:snapToGrid w:val="0"/>
        <w:spacing w:line="360" w:lineRule="exact"/>
        <w:ind w:firstLine="420" w:firstLineChars="200"/>
        <w:rPr>
          <w:color w:val="auto"/>
          <w:szCs w:val="21"/>
        </w:rPr>
      </w:pPr>
      <w:bookmarkStart w:id="69" w:name="_Hlk77611324"/>
      <w:r>
        <w:rPr>
          <w:rFonts w:hint="eastAsia"/>
          <w:color w:val="auto"/>
          <w:szCs w:val="21"/>
        </w:rPr>
        <w:t>6</w:t>
      </w:r>
      <w:r>
        <w:rPr>
          <w:color w:val="auto"/>
          <w:szCs w:val="21"/>
        </w:rPr>
        <w:t>.</w:t>
      </w:r>
      <w:r>
        <w:rPr>
          <w:rFonts w:hint="eastAsia"/>
          <w:color w:val="auto"/>
        </w:rPr>
        <w:t xml:space="preserve"> </w:t>
      </w:r>
      <w:r>
        <w:rPr>
          <w:rFonts w:hint="eastAsia"/>
          <w:color w:val="auto"/>
          <w:szCs w:val="21"/>
        </w:rPr>
        <w:t>如采购项目涉及采购标的的知识产权归属的，产权归属为：</w:t>
      </w:r>
      <w:r>
        <w:rPr>
          <w:rFonts w:hint="eastAsia"/>
          <w:color w:val="auto"/>
          <w:szCs w:val="21"/>
          <w:u w:val="single"/>
        </w:rPr>
        <w:t xml:space="preserve">    甲方    </w:t>
      </w:r>
      <w:r>
        <w:rPr>
          <w:rFonts w:hint="eastAsia"/>
          <w:color w:val="auto"/>
          <w:szCs w:val="21"/>
        </w:rPr>
        <w:t xml:space="preserve">    </w:t>
      </w:r>
    </w:p>
    <w:p>
      <w:pPr>
        <w:snapToGrid w:val="0"/>
        <w:spacing w:line="360" w:lineRule="exact"/>
        <w:ind w:firstLine="420" w:firstLineChars="200"/>
        <w:rPr>
          <w:color w:val="auto"/>
          <w:szCs w:val="21"/>
          <w:u w:val="single"/>
        </w:rPr>
      </w:pPr>
      <w:r>
        <w:rPr>
          <w:rFonts w:hint="eastAsia"/>
          <w:color w:val="auto"/>
          <w:szCs w:val="21"/>
        </w:rPr>
        <w:t>处理方式：</w:t>
      </w:r>
      <w:r>
        <w:rPr>
          <w:rFonts w:hint="eastAsia"/>
          <w:color w:val="auto"/>
          <w:szCs w:val="21"/>
          <w:u w:val="single"/>
        </w:rPr>
        <w:t>采购人在中华人民共和国境内使用供应商提供的产品及服务时免受第三方提出的侵犯其专利权或其它知识产权的起诉。如果第三方提出侵权指控，乙方应承担由此而引起的一切法律责任和费用。</w:t>
      </w:r>
      <w:bookmarkEnd w:id="69"/>
    </w:p>
    <w:p>
      <w:pPr>
        <w:snapToGrid w:val="0"/>
        <w:spacing w:line="360" w:lineRule="exact"/>
        <w:ind w:firstLine="422" w:firstLineChars="200"/>
        <w:rPr>
          <w:b/>
          <w:color w:val="auto"/>
          <w:szCs w:val="21"/>
        </w:rPr>
      </w:pPr>
      <w:r>
        <w:rPr>
          <w:b/>
          <w:color w:val="auto"/>
          <w:szCs w:val="21"/>
        </w:rPr>
        <w:t>第四条  乙方权利和义务</w:t>
      </w:r>
    </w:p>
    <w:p>
      <w:pPr>
        <w:snapToGrid w:val="0"/>
        <w:spacing w:line="360" w:lineRule="exact"/>
        <w:ind w:firstLine="420" w:firstLineChars="200"/>
        <w:rPr>
          <w:color w:val="auto"/>
          <w:szCs w:val="21"/>
        </w:rPr>
      </w:pPr>
      <w:r>
        <w:rPr>
          <w:color w:val="auto"/>
          <w:szCs w:val="21"/>
        </w:rPr>
        <w:t>1. 严格履行合同文件（含采购文件、响应文件等）约定和承诺的服务内容和质量标准，保证甲方项目的相关工作质量和进度。</w:t>
      </w:r>
    </w:p>
    <w:p>
      <w:pPr>
        <w:snapToGrid w:val="0"/>
        <w:spacing w:line="360" w:lineRule="exact"/>
        <w:ind w:firstLine="420" w:firstLineChars="200"/>
        <w:rPr>
          <w:color w:val="auto"/>
          <w:szCs w:val="21"/>
        </w:rPr>
      </w:pPr>
      <w:r>
        <w:rPr>
          <w:color w:val="auto"/>
          <w:szCs w:val="21"/>
        </w:rPr>
        <w:t>2. 必须严格实施乙方响应文件中承诺的人力资源配置。在必须补充或更换人员时，必须补充或更换优于或等同于响应文件所承诺资质的服务人员，并需取得甲方书面同意。</w:t>
      </w:r>
    </w:p>
    <w:p>
      <w:pPr>
        <w:snapToGrid w:val="0"/>
        <w:spacing w:line="360" w:lineRule="exact"/>
        <w:ind w:firstLine="420" w:firstLineChars="200"/>
        <w:rPr>
          <w:color w:val="auto"/>
          <w:szCs w:val="21"/>
        </w:rPr>
      </w:pPr>
      <w:r>
        <w:rPr>
          <w:color w:val="auto"/>
          <w:szCs w:val="21"/>
        </w:rPr>
        <w:t>3. 乙方项目负责人及服务团队成员须与响应文件保持一致。合同存续期内，未经甲方书面要求或同意，项目负责人不应调整。</w:t>
      </w:r>
    </w:p>
    <w:p>
      <w:pPr>
        <w:snapToGrid w:val="0"/>
        <w:spacing w:line="360" w:lineRule="exact"/>
        <w:ind w:firstLine="420" w:firstLineChars="200"/>
        <w:rPr>
          <w:color w:val="auto"/>
          <w:szCs w:val="21"/>
        </w:rPr>
      </w:pPr>
      <w:r>
        <w:rPr>
          <w:color w:val="auto"/>
          <w:szCs w:val="21"/>
        </w:rPr>
        <w:t>4.乙方依本合同约定向甲方提供的报告、资料、文件等内容及服务成果后，甲方即对上述内容享有充分、完整和排他的著作权和知识产权。未经甲方书面许可，乙方不得向任何第三方提供上述报告、资料、文件等内容及服务成果。即使向履行本合同有关的人员提供，也应注意保密并限于履行合同的必需范围。</w:t>
      </w:r>
    </w:p>
    <w:p>
      <w:pPr>
        <w:snapToGrid w:val="0"/>
        <w:spacing w:line="360" w:lineRule="exact"/>
        <w:ind w:firstLine="420" w:firstLineChars="200"/>
        <w:rPr>
          <w:color w:val="auto"/>
          <w:szCs w:val="21"/>
        </w:rPr>
      </w:pPr>
      <w:r>
        <w:rPr>
          <w:color w:val="auto"/>
          <w:szCs w:val="21"/>
        </w:rPr>
        <w:t>5. 乙方服务人员应履行保密义务。如乙方因违反本条约定给甲方造成损失的，乙方应当承担相应的法律责任，并赔偿由此给甲方造成的一切损失。</w:t>
      </w:r>
    </w:p>
    <w:p>
      <w:pPr>
        <w:snapToGrid w:val="0"/>
        <w:spacing w:line="360" w:lineRule="exact"/>
        <w:ind w:firstLine="420" w:firstLineChars="200"/>
        <w:rPr>
          <w:color w:val="auto"/>
          <w:szCs w:val="21"/>
        </w:rPr>
      </w:pPr>
      <w:r>
        <w:rPr>
          <w:color w:val="auto"/>
          <w:szCs w:val="21"/>
        </w:rPr>
        <w:t>6. 按照合同约定收取服务费，当甲方出现无故拖欠费用时，乙方有权采取适当方式进行催缴，若甲方仍未支付费用，乙方有权停止工作。</w:t>
      </w:r>
    </w:p>
    <w:p>
      <w:pPr>
        <w:snapToGrid w:val="0"/>
        <w:spacing w:line="360" w:lineRule="exact"/>
        <w:ind w:firstLine="422" w:firstLineChars="200"/>
        <w:rPr>
          <w:b/>
          <w:color w:val="auto"/>
          <w:szCs w:val="21"/>
        </w:rPr>
      </w:pPr>
      <w:r>
        <w:rPr>
          <w:b/>
          <w:color w:val="auto"/>
          <w:szCs w:val="21"/>
        </w:rPr>
        <w:t>第五条  包装和运输</w:t>
      </w:r>
    </w:p>
    <w:p>
      <w:pPr>
        <w:snapToGrid w:val="0"/>
        <w:spacing w:line="360" w:lineRule="exact"/>
        <w:ind w:firstLine="420" w:firstLineChars="200"/>
        <w:rPr>
          <w:color w:val="auto"/>
          <w:szCs w:val="21"/>
        </w:rPr>
      </w:pPr>
      <w:r>
        <w:rPr>
          <w:color w:val="auto"/>
          <w:szCs w:val="21"/>
        </w:rPr>
        <w:t>1.乙方提供的服务交付成果均应按采购文件要求的包装材料、包装标准、包装方式进行包装，每一包装单元内应附详细的交付清单。</w:t>
      </w:r>
    </w:p>
    <w:p>
      <w:pPr>
        <w:snapToGrid w:val="0"/>
        <w:spacing w:line="360" w:lineRule="exact"/>
        <w:ind w:firstLine="420" w:firstLineChars="200"/>
        <w:rPr>
          <w:color w:val="auto"/>
          <w:szCs w:val="21"/>
        </w:rPr>
      </w:pPr>
      <w:r>
        <w:rPr>
          <w:color w:val="auto"/>
          <w:szCs w:val="21"/>
        </w:rPr>
        <w:t>2. 乙方负责服务交付成果、产品的运输。服务交付成果、产品的运输方式由乙方自定。服务交付成果、产品运输合理损耗及计算方法由乙方负责。</w:t>
      </w:r>
    </w:p>
    <w:p>
      <w:pPr>
        <w:pStyle w:val="28"/>
        <w:spacing w:line="300" w:lineRule="exact"/>
        <w:ind w:firstLine="420" w:firstLineChars="200"/>
        <w:rPr>
          <w:rFonts w:ascii="Times New Roman" w:hAnsi="Times New Roman" w:cs="Times New Roman"/>
          <w:color w:val="auto"/>
        </w:rPr>
      </w:pPr>
      <w:bookmarkStart w:id="70" w:name="_Hlk60651149"/>
      <w:r>
        <w:rPr>
          <w:rFonts w:ascii="Times New Roman" w:hAnsi="Times New Roman" w:cs="Times New Roman"/>
          <w:color w:val="auto"/>
        </w:rPr>
        <w:t>3.</w:t>
      </w:r>
      <w:r>
        <w:rPr>
          <w:rFonts w:hint="eastAsia" w:ascii="Times New Roman" w:hAnsi="Times New Roman" w:cs="Times New Roman"/>
          <w:color w:val="auto"/>
        </w:rPr>
        <w:t>乙方提供的产品包装及快递包装应满足《财政部等三部门联合印发商品包装和快递包装政府采购需求标准（试行）》财办库【2020】123号文要求。</w:t>
      </w:r>
      <w:bookmarkEnd w:id="70"/>
    </w:p>
    <w:p>
      <w:pPr>
        <w:snapToGrid w:val="0"/>
        <w:spacing w:line="360" w:lineRule="exact"/>
        <w:ind w:firstLine="422" w:firstLineChars="200"/>
        <w:rPr>
          <w:color w:val="auto"/>
          <w:szCs w:val="21"/>
        </w:rPr>
      </w:pPr>
      <w:r>
        <w:rPr>
          <w:b/>
          <w:color w:val="auto"/>
          <w:szCs w:val="21"/>
        </w:rPr>
        <w:t>第六条  交付和验收</w:t>
      </w:r>
    </w:p>
    <w:p>
      <w:pPr>
        <w:snapToGrid w:val="0"/>
        <w:spacing w:line="360" w:lineRule="exact"/>
        <w:ind w:firstLine="420" w:firstLineChars="200"/>
        <w:rPr>
          <w:color w:val="auto"/>
          <w:szCs w:val="21"/>
        </w:rPr>
      </w:pPr>
      <w:r>
        <w:rPr>
          <w:color w:val="auto"/>
          <w:szCs w:val="21"/>
        </w:rPr>
        <w:t>1.交付使用时间：按乙方响应文件中所承诺的时间；地点：甲方指定地点。</w:t>
      </w:r>
    </w:p>
    <w:p>
      <w:pPr>
        <w:snapToGrid w:val="0"/>
        <w:spacing w:line="360" w:lineRule="exact"/>
        <w:ind w:firstLine="420" w:firstLineChars="200"/>
        <w:rPr>
          <w:color w:val="auto"/>
        </w:rPr>
      </w:pPr>
      <w:r>
        <w:rPr>
          <w:color w:val="auto"/>
          <w:szCs w:val="21"/>
        </w:rPr>
        <w:t>2.乙方提供不符合采购文件和本合同规定的交付成果，甲方有权拒绝接受。</w:t>
      </w:r>
    </w:p>
    <w:p>
      <w:pPr>
        <w:snapToGrid w:val="0"/>
        <w:spacing w:line="360" w:lineRule="exact"/>
        <w:ind w:left="420" w:leftChars="200"/>
        <w:rPr>
          <w:color w:val="auto"/>
          <w:szCs w:val="21"/>
        </w:rPr>
      </w:pPr>
      <w:r>
        <w:rPr>
          <w:color w:val="auto"/>
          <w:szCs w:val="21"/>
        </w:rPr>
        <w:t>3.甲方应当在服务成果提交并检验完后</w:t>
      </w:r>
      <w:r>
        <w:rPr>
          <w:rFonts w:hint="eastAsia"/>
          <w:color w:val="auto"/>
          <w:szCs w:val="21"/>
          <w:u w:val="single"/>
        </w:rPr>
        <w:t xml:space="preserve"> </w:t>
      </w:r>
      <w:r>
        <w:rPr>
          <w:rFonts w:hint="eastAsia"/>
          <w:color w:val="auto"/>
          <w:szCs w:val="21"/>
          <w:u w:val="single"/>
          <w:lang w:val="en-US" w:eastAsia="zh-CN"/>
        </w:rPr>
        <w:t>30</w:t>
      </w:r>
      <w:r>
        <w:rPr>
          <w:color w:val="auto"/>
          <w:szCs w:val="21"/>
          <w:u w:val="single"/>
        </w:rPr>
        <w:t>日内</w:t>
      </w:r>
      <w:r>
        <w:rPr>
          <w:color w:val="auto"/>
          <w:szCs w:val="21"/>
        </w:rPr>
        <w:t>进行</w:t>
      </w:r>
      <w:r>
        <w:rPr>
          <w:rFonts w:hint="eastAsia"/>
          <w:color w:val="auto"/>
          <w:szCs w:val="21"/>
        </w:rPr>
        <w:t>评审</w:t>
      </w:r>
      <w:r>
        <w:rPr>
          <w:color w:val="auto"/>
          <w:szCs w:val="21"/>
        </w:rPr>
        <w:t>，逾期不</w:t>
      </w:r>
      <w:r>
        <w:rPr>
          <w:rFonts w:hint="eastAsia"/>
          <w:color w:val="auto"/>
          <w:szCs w:val="21"/>
        </w:rPr>
        <w:t>评审</w:t>
      </w:r>
      <w:r>
        <w:rPr>
          <w:color w:val="auto"/>
          <w:szCs w:val="21"/>
        </w:rPr>
        <w:t>的，乙方可视同</w:t>
      </w:r>
      <w:r>
        <w:rPr>
          <w:rFonts w:hint="eastAsia"/>
          <w:color w:val="auto"/>
          <w:szCs w:val="21"/>
        </w:rPr>
        <w:t>评审</w:t>
      </w:r>
      <w:r>
        <w:rPr>
          <w:color w:val="auto"/>
          <w:szCs w:val="21"/>
        </w:rPr>
        <w:t>合格。</w:t>
      </w:r>
    </w:p>
    <w:p>
      <w:pPr>
        <w:snapToGrid w:val="0"/>
        <w:spacing w:line="360" w:lineRule="exact"/>
        <w:ind w:firstLine="420" w:firstLineChars="200"/>
        <w:rPr>
          <w:color w:val="auto"/>
          <w:szCs w:val="21"/>
        </w:rPr>
      </w:pPr>
      <w:r>
        <w:rPr>
          <w:rFonts w:hint="eastAsia"/>
          <w:color w:val="auto"/>
          <w:szCs w:val="21"/>
        </w:rPr>
        <w:t>4</w:t>
      </w:r>
      <w:r>
        <w:rPr>
          <w:color w:val="auto"/>
          <w:szCs w:val="21"/>
        </w:rPr>
        <w:t>. 其他未尽事宜应严格按照《关于印发广西壮族自治区政府采购项目履约验收管理办法的通知》[桂财采〔2015〕22号]以及《财政部关于进一步加强政府采购需求和履约验收管理的指导意见》[财库〔2016〕205号]规定执行。</w:t>
      </w:r>
    </w:p>
    <w:p>
      <w:pPr>
        <w:pStyle w:val="28"/>
        <w:snapToGrid w:val="0"/>
        <w:spacing w:before="120" w:after="120" w:line="300" w:lineRule="exact"/>
        <w:ind w:firstLine="420" w:firstLineChars="200"/>
        <w:jc w:val="left"/>
        <w:rPr>
          <w:rFonts w:ascii="Times New Roman" w:hAnsi="Times New Roman" w:cs="Times New Roman"/>
          <w:color w:val="auto"/>
        </w:rPr>
      </w:pPr>
      <w:bookmarkStart w:id="71" w:name="_Hlk77611338"/>
      <w:r>
        <w:rPr>
          <w:rFonts w:hint="eastAsia" w:ascii="Times New Roman" w:hAnsi="Times New Roman" w:cs="Times New Roman"/>
          <w:color w:val="auto"/>
        </w:rPr>
        <w:t>5</w:t>
      </w:r>
      <w:r>
        <w:rPr>
          <w:rFonts w:ascii="Times New Roman" w:hAnsi="Times New Roman" w:cs="Times New Roman"/>
          <w:color w:val="auto"/>
        </w:rPr>
        <w:t>.</w:t>
      </w:r>
      <w:r>
        <w:rPr>
          <w:rFonts w:hint="eastAsia" w:ascii="Times New Roman" w:hAnsi="Times New Roman" w:cs="Times New Roman"/>
          <w:color w:val="auto"/>
        </w:rPr>
        <w:t>履约验收方案详见附件。</w:t>
      </w:r>
      <w:bookmarkEnd w:id="71"/>
    </w:p>
    <w:p>
      <w:pPr>
        <w:snapToGrid w:val="0"/>
        <w:spacing w:line="360" w:lineRule="exact"/>
        <w:ind w:firstLine="422" w:firstLineChars="200"/>
        <w:rPr>
          <w:b/>
          <w:color w:val="auto"/>
          <w:szCs w:val="21"/>
        </w:rPr>
      </w:pPr>
      <w:r>
        <w:rPr>
          <w:b/>
          <w:color w:val="auto"/>
          <w:szCs w:val="21"/>
        </w:rPr>
        <w:t>第七条  服务和培训</w:t>
      </w:r>
    </w:p>
    <w:p>
      <w:pPr>
        <w:snapToGrid w:val="0"/>
        <w:spacing w:line="360" w:lineRule="exact"/>
        <w:ind w:firstLine="420" w:firstLineChars="200"/>
        <w:rPr>
          <w:color w:val="auto"/>
          <w:szCs w:val="21"/>
        </w:rPr>
      </w:pPr>
      <w:r>
        <w:rPr>
          <w:color w:val="auto"/>
          <w:szCs w:val="21"/>
        </w:rPr>
        <w:t>1.甲方应提供必要服务条件（如</w:t>
      </w:r>
      <w:r>
        <w:rPr>
          <w:rFonts w:hint="eastAsia"/>
          <w:color w:val="auto"/>
          <w:szCs w:val="21"/>
        </w:rPr>
        <w:t>为乙方工作提供介绍信、人员陪同</w:t>
      </w:r>
      <w:r>
        <w:rPr>
          <w:color w:val="auto"/>
          <w:szCs w:val="21"/>
        </w:rPr>
        <w:t>等）。</w:t>
      </w:r>
    </w:p>
    <w:p>
      <w:pPr>
        <w:snapToGrid w:val="0"/>
        <w:spacing w:line="360" w:lineRule="exact"/>
        <w:ind w:firstLine="420" w:firstLineChars="200"/>
        <w:rPr>
          <w:color w:val="auto"/>
          <w:szCs w:val="21"/>
          <w:u w:val="single"/>
        </w:rPr>
      </w:pPr>
      <w:r>
        <w:rPr>
          <w:color w:val="auto"/>
          <w:szCs w:val="21"/>
        </w:rPr>
        <w:t>2.乙方负责甲方有关人员的培训。培训时间、地点：</w:t>
      </w:r>
      <w:r>
        <w:rPr>
          <w:color w:val="auto"/>
          <w:szCs w:val="21"/>
          <w:u w:val="single"/>
        </w:rPr>
        <w:t xml:space="preserve"> 由甲方决定。</w:t>
      </w:r>
    </w:p>
    <w:p>
      <w:pPr>
        <w:snapToGrid w:val="0"/>
        <w:spacing w:line="360" w:lineRule="exact"/>
        <w:ind w:firstLine="422" w:firstLineChars="200"/>
        <w:rPr>
          <w:b/>
          <w:color w:val="auto"/>
          <w:szCs w:val="21"/>
        </w:rPr>
      </w:pPr>
      <w:r>
        <w:rPr>
          <w:b/>
          <w:color w:val="auto"/>
          <w:szCs w:val="21"/>
        </w:rPr>
        <w:t>第八条  售后服务、质保期</w:t>
      </w:r>
    </w:p>
    <w:p>
      <w:pPr>
        <w:snapToGrid w:val="0"/>
        <w:spacing w:line="360" w:lineRule="exact"/>
        <w:ind w:firstLine="420" w:firstLineChars="200"/>
        <w:rPr>
          <w:color w:val="auto"/>
          <w:szCs w:val="21"/>
        </w:rPr>
      </w:pPr>
      <w:r>
        <w:rPr>
          <w:color w:val="auto"/>
          <w:szCs w:val="21"/>
        </w:rPr>
        <w:t>1.乙方应按照国家有关法律法规和“三包”规定以及采购文件和本合同附件，为甲方提供售后服务。</w:t>
      </w:r>
    </w:p>
    <w:p>
      <w:pPr>
        <w:snapToGrid w:val="0"/>
        <w:spacing w:line="360" w:lineRule="exact"/>
        <w:ind w:firstLine="420" w:firstLineChars="200"/>
        <w:rPr>
          <w:color w:val="auto"/>
          <w:szCs w:val="21"/>
        </w:rPr>
      </w:pPr>
      <w:r>
        <w:rPr>
          <w:color w:val="auto"/>
          <w:szCs w:val="21"/>
        </w:rPr>
        <w:t>2.服务成果质保期：</w:t>
      </w:r>
      <w:r>
        <w:rPr>
          <w:b/>
          <w:color w:val="auto"/>
          <w:szCs w:val="21"/>
          <w:u w:val="single"/>
        </w:rPr>
        <w:t>按乙方承诺，但是不得低于国家相关标准</w:t>
      </w:r>
      <w:r>
        <w:rPr>
          <w:color w:val="auto"/>
          <w:szCs w:val="21"/>
        </w:rPr>
        <w:t>。</w:t>
      </w:r>
    </w:p>
    <w:p>
      <w:pPr>
        <w:snapToGrid w:val="0"/>
        <w:spacing w:line="360" w:lineRule="exact"/>
        <w:ind w:firstLine="420" w:firstLineChars="200"/>
        <w:rPr>
          <w:color w:val="auto"/>
          <w:szCs w:val="21"/>
        </w:rPr>
      </w:pPr>
      <w:r>
        <w:rPr>
          <w:color w:val="auto"/>
          <w:szCs w:val="21"/>
        </w:rPr>
        <w:t>3. 按采购文件规定的服务质量标准，并达到或优于成交供应商承诺的标准。</w:t>
      </w:r>
    </w:p>
    <w:p>
      <w:pPr>
        <w:snapToGrid w:val="0"/>
        <w:spacing w:line="360" w:lineRule="exact"/>
        <w:ind w:firstLine="422" w:firstLineChars="200"/>
        <w:rPr>
          <w:color w:val="auto"/>
          <w:szCs w:val="21"/>
        </w:rPr>
      </w:pPr>
      <w:r>
        <w:rPr>
          <w:b/>
          <w:color w:val="auto"/>
          <w:szCs w:val="21"/>
        </w:rPr>
        <w:t>第九条　付款方式</w:t>
      </w:r>
    </w:p>
    <w:p>
      <w:pPr>
        <w:snapToGrid w:val="0"/>
        <w:spacing w:line="360" w:lineRule="exact"/>
        <w:ind w:firstLine="420" w:firstLineChars="200"/>
        <w:rPr>
          <w:color w:val="auto"/>
          <w:szCs w:val="21"/>
        </w:rPr>
      </w:pPr>
      <w:r>
        <w:rPr>
          <w:color w:val="auto"/>
          <w:szCs w:val="21"/>
        </w:rPr>
        <w:t>1.资金性质：</w:t>
      </w:r>
      <w:r>
        <w:rPr>
          <w:color w:val="auto"/>
          <w:szCs w:val="21"/>
          <w:u w:val="single"/>
        </w:rPr>
        <w:t>财政性资金</w:t>
      </w:r>
      <w:r>
        <w:rPr>
          <w:color w:val="auto"/>
          <w:szCs w:val="21"/>
        </w:rPr>
        <w:t>。</w:t>
      </w:r>
    </w:p>
    <w:p>
      <w:pPr>
        <w:snapToGrid w:val="0"/>
        <w:spacing w:line="360" w:lineRule="exact"/>
        <w:ind w:firstLine="420" w:firstLineChars="200"/>
        <w:rPr>
          <w:color w:val="auto"/>
          <w:szCs w:val="21"/>
        </w:rPr>
      </w:pPr>
      <w:r>
        <w:rPr>
          <w:color w:val="auto"/>
          <w:szCs w:val="21"/>
        </w:rPr>
        <w:t>2.付款方式：</w:t>
      </w:r>
    </w:p>
    <w:p>
      <w:pPr>
        <w:spacing w:line="300" w:lineRule="exact"/>
        <w:rPr>
          <w:color w:val="auto"/>
          <w:szCs w:val="21"/>
        </w:rPr>
      </w:pPr>
      <w:bookmarkStart w:id="72" w:name="_Hlk47715495"/>
      <w:bookmarkStart w:id="73" w:name="_Hlk48146882"/>
      <w:r>
        <w:rPr>
          <w:rFonts w:hint="eastAsia"/>
          <w:color w:val="auto"/>
          <w:szCs w:val="21"/>
        </w:rPr>
        <w:t>（1）供应商按采购合同要求服务完成后，采购人签署项目验收书；</w:t>
      </w:r>
    </w:p>
    <w:p>
      <w:pPr>
        <w:spacing w:line="300" w:lineRule="exact"/>
        <w:rPr>
          <w:color w:val="auto"/>
          <w:szCs w:val="21"/>
        </w:rPr>
      </w:pPr>
      <w:r>
        <w:rPr>
          <w:rFonts w:hint="eastAsia"/>
          <w:color w:val="auto"/>
          <w:szCs w:val="21"/>
        </w:rPr>
        <w:t>（2）每次申请付款，供应商必须提供合格的票据并按采购单位的要求附相关证明资料；</w:t>
      </w:r>
    </w:p>
    <w:p>
      <w:pPr>
        <w:spacing w:line="300" w:lineRule="exact"/>
        <w:rPr>
          <w:color w:val="auto"/>
          <w:szCs w:val="21"/>
        </w:rPr>
      </w:pPr>
      <w:r>
        <w:rPr>
          <w:rFonts w:hint="eastAsia"/>
          <w:color w:val="auto"/>
          <w:szCs w:val="21"/>
        </w:rPr>
        <w:t>（3）票据要求：成交供应商必须按照采购人要求提供真实、有效、合法的正式发票。一旦发现成交供应商提供虚假发票，除须向采购人补开合法发票外，须赔偿采购人发票票面金额一倍的违约金，且采购人有权终止合同，供应商不得提出异议，因终止合同而产生的一切损失均由供应商承担；</w:t>
      </w:r>
    </w:p>
    <w:p>
      <w:pPr>
        <w:spacing w:line="300" w:lineRule="exact"/>
        <w:rPr>
          <w:b/>
          <w:bCs/>
          <w:color w:val="auto"/>
          <w:szCs w:val="21"/>
          <w:highlight w:val="none"/>
          <w:u w:val="single"/>
        </w:rPr>
      </w:pPr>
      <w:r>
        <w:rPr>
          <w:rFonts w:hint="eastAsia"/>
          <w:b/>
          <w:bCs/>
          <w:color w:val="auto"/>
          <w:szCs w:val="21"/>
        </w:rPr>
        <w:t>（4）付款方式：</w:t>
      </w:r>
      <w:r>
        <w:rPr>
          <w:rFonts w:hint="eastAsia"/>
          <w:b/>
          <w:bCs/>
          <w:color w:val="auto"/>
          <w:szCs w:val="21"/>
          <w:highlight w:val="none"/>
          <w:u w:val="single"/>
        </w:rPr>
        <w:t>①采购人与供应商签订合同后，采购人应在合同生效以及具备实施条件后15</w:t>
      </w:r>
      <w:r>
        <w:rPr>
          <w:rFonts w:hint="eastAsia"/>
          <w:b/>
          <w:bCs/>
          <w:color w:val="auto"/>
          <w:szCs w:val="21"/>
          <w:highlight w:val="none"/>
          <w:u w:val="single"/>
          <w:lang w:val="en-US" w:eastAsia="zh-CN"/>
        </w:rPr>
        <w:t>个工作</w:t>
      </w:r>
      <w:r>
        <w:rPr>
          <w:rFonts w:hint="eastAsia"/>
          <w:b/>
          <w:bCs/>
          <w:color w:val="auto"/>
          <w:szCs w:val="21"/>
          <w:highlight w:val="none"/>
          <w:u w:val="single"/>
        </w:rPr>
        <w:t>日内向供应商支付合同金额</w:t>
      </w:r>
      <w:r>
        <w:rPr>
          <w:rFonts w:hint="eastAsia"/>
          <w:b/>
          <w:bCs/>
          <w:color w:val="auto"/>
          <w:szCs w:val="21"/>
          <w:highlight w:val="none"/>
          <w:u w:val="single"/>
          <w:lang w:val="en-US" w:eastAsia="zh-CN"/>
        </w:rPr>
        <w:t>3</w:t>
      </w:r>
      <w:r>
        <w:rPr>
          <w:rFonts w:hint="eastAsia"/>
          <w:b/>
          <w:bCs/>
          <w:color w:val="auto"/>
          <w:szCs w:val="21"/>
          <w:highlight w:val="none"/>
          <w:u w:val="single"/>
        </w:rPr>
        <w:t>0%的预付款。在签订合同时，供应商明确表示无需预付款或者主动要求降低预付款比例的，采购人可不适用前述规定；</w:t>
      </w:r>
    </w:p>
    <w:p>
      <w:pPr>
        <w:spacing w:line="300" w:lineRule="exact"/>
        <w:rPr>
          <w:rFonts w:hint="eastAsia"/>
          <w:b/>
          <w:bCs/>
          <w:color w:val="auto"/>
          <w:szCs w:val="21"/>
          <w:highlight w:val="none"/>
          <w:u w:val="single"/>
        </w:rPr>
      </w:pPr>
      <w:r>
        <w:rPr>
          <w:rFonts w:hint="eastAsia"/>
          <w:b/>
          <w:bCs/>
          <w:color w:val="auto"/>
          <w:szCs w:val="21"/>
          <w:highlight w:val="none"/>
          <w:u w:val="single"/>
        </w:rPr>
        <w:t>②供应商按要求</w:t>
      </w:r>
      <w:r>
        <w:rPr>
          <w:rFonts w:hint="eastAsia"/>
          <w:b/>
          <w:bCs/>
          <w:color w:val="auto"/>
          <w:szCs w:val="21"/>
          <w:highlight w:val="none"/>
          <w:u w:val="single"/>
          <w:lang w:eastAsia="zh-CN"/>
        </w:rPr>
        <w:t>完成</w:t>
      </w:r>
      <w:r>
        <w:rPr>
          <w:rFonts w:hint="eastAsia"/>
          <w:b/>
          <w:bCs/>
          <w:color w:val="auto"/>
          <w:szCs w:val="21"/>
          <w:highlight w:val="none"/>
          <w:u w:val="single"/>
          <w:lang w:val="en-US" w:eastAsia="zh-CN"/>
        </w:rPr>
        <w:t>规划初稿后，</w:t>
      </w:r>
      <w:r>
        <w:rPr>
          <w:rFonts w:hint="eastAsia"/>
          <w:b/>
          <w:bCs/>
          <w:color w:val="auto"/>
          <w:szCs w:val="21"/>
          <w:highlight w:val="none"/>
          <w:u w:val="single"/>
        </w:rPr>
        <w:t>15</w:t>
      </w:r>
      <w:r>
        <w:rPr>
          <w:rFonts w:hint="eastAsia"/>
          <w:b/>
          <w:bCs/>
          <w:color w:val="auto"/>
          <w:szCs w:val="21"/>
          <w:highlight w:val="none"/>
          <w:u w:val="single"/>
          <w:lang w:val="en-US" w:eastAsia="zh-CN"/>
        </w:rPr>
        <w:t>工作</w:t>
      </w:r>
      <w:r>
        <w:rPr>
          <w:rFonts w:hint="eastAsia"/>
          <w:b/>
          <w:bCs/>
          <w:color w:val="auto"/>
          <w:szCs w:val="21"/>
          <w:highlight w:val="none"/>
          <w:u w:val="single"/>
        </w:rPr>
        <w:t>日内向供应商支付合同金额</w:t>
      </w:r>
      <w:r>
        <w:rPr>
          <w:rFonts w:hint="eastAsia"/>
          <w:b/>
          <w:bCs/>
          <w:color w:val="auto"/>
          <w:szCs w:val="21"/>
          <w:highlight w:val="none"/>
          <w:u w:val="single"/>
          <w:lang w:eastAsia="zh-CN"/>
        </w:rPr>
        <w:t>的</w:t>
      </w:r>
      <w:r>
        <w:rPr>
          <w:rFonts w:hint="eastAsia"/>
          <w:b/>
          <w:bCs/>
          <w:color w:val="auto"/>
          <w:szCs w:val="21"/>
          <w:highlight w:val="none"/>
          <w:u w:val="single"/>
          <w:lang w:val="en-US" w:eastAsia="zh-CN"/>
        </w:rPr>
        <w:t>4</w:t>
      </w:r>
      <w:r>
        <w:rPr>
          <w:rFonts w:hint="eastAsia"/>
          <w:b/>
          <w:bCs/>
          <w:color w:val="auto"/>
          <w:szCs w:val="21"/>
          <w:highlight w:val="none"/>
          <w:u w:val="single"/>
        </w:rPr>
        <w:t>0%。</w:t>
      </w:r>
    </w:p>
    <w:p>
      <w:pPr>
        <w:spacing w:line="300" w:lineRule="exact"/>
        <w:rPr>
          <w:rFonts w:hint="eastAsia" w:eastAsia="宋体"/>
          <w:b/>
          <w:bCs/>
          <w:color w:val="auto"/>
          <w:szCs w:val="21"/>
          <w:highlight w:val="none"/>
          <w:u w:val="single"/>
          <w:lang w:val="en-US" w:eastAsia="zh-CN"/>
        </w:rPr>
      </w:pPr>
      <w:r>
        <w:rPr>
          <w:rFonts w:hint="default" w:ascii="Calibri" w:hAnsi="Calibri" w:cs="Calibri"/>
          <w:b/>
          <w:bCs/>
          <w:color w:val="auto"/>
          <w:szCs w:val="21"/>
          <w:highlight w:val="none"/>
          <w:u w:val="single"/>
        </w:rPr>
        <w:t>③</w:t>
      </w:r>
      <w:r>
        <w:rPr>
          <w:rFonts w:hint="eastAsia"/>
          <w:b/>
          <w:bCs/>
          <w:color w:val="auto"/>
          <w:szCs w:val="21"/>
          <w:highlight w:val="none"/>
          <w:u w:val="single"/>
        </w:rPr>
        <w:t>供应商按要求提交</w:t>
      </w:r>
      <w:r>
        <w:rPr>
          <w:rFonts w:hint="eastAsia"/>
          <w:b/>
          <w:bCs/>
          <w:color w:val="auto"/>
          <w:szCs w:val="21"/>
          <w:highlight w:val="none"/>
          <w:u w:val="single"/>
          <w:lang w:val="en-US" w:eastAsia="zh-CN"/>
        </w:rPr>
        <w:t>符合要求的规划终稿，并</w:t>
      </w:r>
      <w:r>
        <w:rPr>
          <w:rFonts w:hint="eastAsia"/>
          <w:b/>
          <w:bCs/>
          <w:color w:val="auto"/>
          <w:szCs w:val="21"/>
          <w:highlight w:val="none"/>
          <w:u w:val="single"/>
          <w:lang w:eastAsia="zh-CN"/>
        </w:rPr>
        <w:t>经</w:t>
      </w:r>
      <w:r>
        <w:rPr>
          <w:rFonts w:hint="eastAsia"/>
          <w:b/>
          <w:bCs/>
          <w:color w:val="auto"/>
          <w:szCs w:val="21"/>
          <w:highlight w:val="none"/>
          <w:u w:val="single"/>
        </w:rPr>
        <w:t>采购人</w:t>
      </w:r>
      <w:r>
        <w:rPr>
          <w:rFonts w:hint="eastAsia"/>
          <w:b/>
          <w:bCs/>
          <w:color w:val="auto"/>
          <w:szCs w:val="21"/>
          <w:highlight w:val="none"/>
          <w:u w:val="single"/>
          <w:lang w:eastAsia="zh-CN"/>
        </w:rPr>
        <w:t>验收</w:t>
      </w:r>
      <w:r>
        <w:rPr>
          <w:rFonts w:hint="eastAsia"/>
          <w:b/>
          <w:bCs/>
          <w:color w:val="auto"/>
          <w:szCs w:val="21"/>
          <w:highlight w:val="none"/>
          <w:u w:val="single"/>
        </w:rPr>
        <w:t>合格后</w:t>
      </w:r>
      <w:r>
        <w:rPr>
          <w:rFonts w:hint="eastAsia"/>
          <w:b/>
          <w:bCs/>
          <w:color w:val="auto"/>
          <w:szCs w:val="21"/>
          <w:highlight w:val="none"/>
          <w:u w:val="single"/>
          <w:lang w:val="en-US" w:eastAsia="zh-CN"/>
        </w:rPr>
        <w:t>15个工作日内</w:t>
      </w:r>
      <w:r>
        <w:rPr>
          <w:rFonts w:hint="eastAsia"/>
          <w:b/>
          <w:bCs/>
          <w:color w:val="auto"/>
          <w:szCs w:val="21"/>
          <w:highlight w:val="none"/>
          <w:u w:val="single"/>
        </w:rPr>
        <w:t>支付</w:t>
      </w:r>
      <w:r>
        <w:rPr>
          <w:rFonts w:hint="eastAsia"/>
          <w:b/>
          <w:bCs/>
          <w:color w:val="auto"/>
          <w:szCs w:val="21"/>
          <w:highlight w:val="none"/>
          <w:u w:val="single"/>
          <w:lang w:val="en-US" w:eastAsia="zh-CN"/>
        </w:rPr>
        <w:t>3</w:t>
      </w:r>
      <w:r>
        <w:rPr>
          <w:rFonts w:hint="eastAsia"/>
          <w:b/>
          <w:bCs/>
          <w:color w:val="auto"/>
          <w:szCs w:val="21"/>
          <w:highlight w:val="none"/>
          <w:u w:val="single"/>
        </w:rPr>
        <w:t>0%</w:t>
      </w:r>
      <w:r>
        <w:rPr>
          <w:rFonts w:hint="eastAsia"/>
          <w:b/>
          <w:bCs/>
          <w:color w:val="auto"/>
          <w:szCs w:val="21"/>
          <w:highlight w:val="none"/>
          <w:u w:val="single"/>
          <w:lang w:eastAsia="zh-CN"/>
        </w:rPr>
        <w:t>的尾</w:t>
      </w:r>
      <w:r>
        <w:rPr>
          <w:rFonts w:hint="eastAsia"/>
          <w:b/>
          <w:bCs/>
          <w:color w:val="auto"/>
          <w:szCs w:val="21"/>
          <w:highlight w:val="none"/>
          <w:u w:val="single"/>
        </w:rPr>
        <w:t>款</w:t>
      </w:r>
      <w:r>
        <w:rPr>
          <w:rFonts w:hint="eastAsia"/>
          <w:b/>
          <w:bCs/>
          <w:color w:val="auto"/>
          <w:szCs w:val="21"/>
          <w:highlight w:val="none"/>
          <w:u w:val="single"/>
          <w:lang w:eastAsia="zh-CN"/>
        </w:rPr>
        <w:t>。</w:t>
      </w:r>
    </w:p>
    <w:p>
      <w:pPr>
        <w:spacing w:line="300" w:lineRule="exact"/>
        <w:ind w:firstLine="420" w:firstLineChars="200"/>
        <w:jc w:val="left"/>
        <w:rPr>
          <w:color w:val="auto"/>
          <w:szCs w:val="21"/>
        </w:rPr>
      </w:pPr>
      <w:r>
        <w:rPr>
          <w:rFonts w:hint="eastAsia"/>
          <w:color w:val="auto"/>
          <w:szCs w:val="21"/>
        </w:rPr>
        <w:t>（5）本合同使用货币币制如未作特别说明均为人民币。</w:t>
      </w:r>
    </w:p>
    <w:bookmarkEnd w:id="72"/>
    <w:bookmarkEnd w:id="73"/>
    <w:p>
      <w:pPr>
        <w:snapToGrid w:val="0"/>
        <w:spacing w:line="360" w:lineRule="exact"/>
        <w:ind w:firstLine="316" w:firstLineChars="150"/>
        <w:rPr>
          <w:b/>
          <w:color w:val="auto"/>
          <w:szCs w:val="21"/>
        </w:rPr>
      </w:pPr>
      <w:r>
        <w:rPr>
          <w:b/>
          <w:color w:val="auto"/>
          <w:szCs w:val="21"/>
        </w:rPr>
        <w:t xml:space="preserve">第十条履约保证金    </w:t>
      </w:r>
    </w:p>
    <w:p>
      <w:pPr>
        <w:spacing w:line="300" w:lineRule="exact"/>
        <w:ind w:firstLine="420" w:firstLineChars="200"/>
        <w:jc w:val="left"/>
        <w:rPr>
          <w:color w:val="auto"/>
          <w:szCs w:val="21"/>
        </w:rPr>
      </w:pPr>
      <w:bookmarkStart w:id="74" w:name="_Hlk19106598"/>
      <w:r>
        <w:rPr>
          <w:color w:val="auto"/>
          <w:szCs w:val="21"/>
        </w:rPr>
        <w:t>1.履约保证金</w:t>
      </w:r>
      <w:r>
        <w:rPr>
          <w:rFonts w:hint="eastAsia"/>
          <w:color w:val="auto"/>
          <w:szCs w:val="21"/>
        </w:rPr>
        <w:t>金额：</w:t>
      </w:r>
      <w:r>
        <w:rPr>
          <w:rFonts w:hint="eastAsia"/>
          <w:color w:val="auto"/>
          <w:szCs w:val="21"/>
          <w:u w:val="single"/>
        </w:rPr>
        <w:t xml:space="preserve"> </w:t>
      </w:r>
      <w:r>
        <w:rPr>
          <w:color w:val="auto"/>
          <w:szCs w:val="21"/>
          <w:u w:val="single"/>
        </w:rPr>
        <w:t xml:space="preserve">    </w:t>
      </w:r>
      <w:r>
        <w:rPr>
          <w:rFonts w:hint="eastAsia"/>
          <w:color w:val="auto"/>
          <w:szCs w:val="21"/>
          <w:u w:val="single"/>
        </w:rPr>
        <w:t>无</w:t>
      </w:r>
      <w:r>
        <w:rPr>
          <w:color w:val="auto"/>
          <w:szCs w:val="21"/>
          <w:u w:val="single"/>
        </w:rPr>
        <w:t xml:space="preserve">       </w:t>
      </w:r>
      <w:r>
        <w:rPr>
          <w:rFonts w:hint="eastAsia"/>
          <w:color w:val="auto"/>
          <w:szCs w:val="21"/>
          <w:u w:val="single"/>
        </w:rPr>
        <w:t xml:space="preserve"> </w:t>
      </w:r>
      <w:r>
        <w:rPr>
          <w:color w:val="auto"/>
          <w:szCs w:val="21"/>
          <w:u w:val="single"/>
        </w:rPr>
        <w:t xml:space="preserve">  </w:t>
      </w:r>
    </w:p>
    <w:p>
      <w:pPr>
        <w:spacing w:line="300" w:lineRule="exact"/>
        <w:ind w:firstLine="420" w:firstLineChars="200"/>
        <w:jc w:val="left"/>
        <w:rPr>
          <w:color w:val="auto"/>
          <w:szCs w:val="21"/>
        </w:rPr>
      </w:pPr>
      <w:r>
        <w:rPr>
          <w:rFonts w:hint="eastAsia"/>
          <w:color w:val="auto"/>
          <w:szCs w:val="21"/>
        </w:rPr>
        <w:t>履约保证金缴纳形式：供应商可以选择</w:t>
      </w:r>
      <w:r>
        <w:rPr>
          <w:color w:val="auto"/>
          <w:szCs w:val="21"/>
        </w:rPr>
        <w:t>电汇、转账</w:t>
      </w:r>
      <w:r>
        <w:rPr>
          <w:rFonts w:hint="eastAsia"/>
          <w:color w:val="auto"/>
          <w:szCs w:val="21"/>
        </w:rPr>
        <w:t>、</w:t>
      </w:r>
      <w:r>
        <w:rPr>
          <w:color w:val="auto"/>
          <w:szCs w:val="21"/>
        </w:rPr>
        <w:t>支票、汇票、本票、保函等形式缴纳或提交</w:t>
      </w:r>
      <w:r>
        <w:rPr>
          <w:rFonts w:hint="eastAsia"/>
          <w:color w:val="auto"/>
          <w:szCs w:val="21"/>
        </w:rPr>
        <w:t>；采用保函形式缴纳的，采购人在保证期限届满后及时对收取的保证金进行核实和结算。</w:t>
      </w:r>
    </w:p>
    <w:p>
      <w:pPr>
        <w:spacing w:line="276" w:lineRule="auto"/>
        <w:ind w:firstLine="420" w:firstLineChars="200"/>
        <w:rPr>
          <w:color w:val="auto"/>
          <w:szCs w:val="21"/>
          <w:u w:val="single"/>
        </w:rPr>
      </w:pPr>
      <w:r>
        <w:rPr>
          <w:color w:val="auto"/>
          <w:szCs w:val="21"/>
        </w:rPr>
        <w:t>保证金缴纳的账号信息：</w:t>
      </w:r>
      <w:r>
        <w:rPr>
          <w:rFonts w:hint="eastAsia"/>
          <w:color w:val="auto"/>
          <w:szCs w:val="21"/>
          <w:u w:val="single"/>
        </w:rPr>
        <w:t xml:space="preserve"> </w:t>
      </w:r>
      <w:r>
        <w:rPr>
          <w:color w:val="auto"/>
          <w:szCs w:val="21"/>
          <w:u w:val="single"/>
        </w:rPr>
        <w:t xml:space="preserve">               </w:t>
      </w:r>
    </w:p>
    <w:p>
      <w:pPr>
        <w:spacing w:line="276" w:lineRule="auto"/>
        <w:ind w:firstLine="420" w:firstLineChars="200"/>
        <w:rPr>
          <w:color w:val="auto"/>
          <w:szCs w:val="21"/>
          <w:u w:val="single"/>
        </w:rPr>
      </w:pPr>
      <w:r>
        <w:rPr>
          <w:color w:val="auto"/>
          <w:szCs w:val="21"/>
        </w:rPr>
        <w:t>开户名称：</w:t>
      </w:r>
      <w:r>
        <w:rPr>
          <w:rFonts w:hint="eastAsia"/>
          <w:color w:val="auto"/>
          <w:szCs w:val="21"/>
          <w:u w:val="single"/>
        </w:rPr>
        <w:t xml:space="preserve"> </w:t>
      </w:r>
      <w:r>
        <w:rPr>
          <w:color w:val="auto"/>
          <w:szCs w:val="21"/>
          <w:u w:val="single"/>
        </w:rPr>
        <w:t xml:space="preserve">               </w:t>
      </w:r>
      <w:r>
        <w:rPr>
          <w:rFonts w:hint="eastAsia"/>
          <w:color w:val="auto"/>
          <w:szCs w:val="21"/>
          <w:u w:val="single"/>
        </w:rPr>
        <w:t xml:space="preserve">   </w:t>
      </w:r>
      <w:r>
        <w:rPr>
          <w:color w:val="auto"/>
          <w:szCs w:val="21"/>
          <w:u w:val="single"/>
        </w:rPr>
        <w:t xml:space="preserve">  </w:t>
      </w:r>
    </w:p>
    <w:p>
      <w:pPr>
        <w:spacing w:line="276" w:lineRule="auto"/>
        <w:ind w:firstLine="420" w:firstLineChars="200"/>
        <w:rPr>
          <w:color w:val="auto"/>
          <w:szCs w:val="21"/>
          <w:u w:val="single"/>
        </w:rPr>
      </w:pPr>
      <w:r>
        <w:rPr>
          <w:color w:val="auto"/>
          <w:szCs w:val="21"/>
        </w:rPr>
        <w:t>开户银行：</w:t>
      </w:r>
      <w:r>
        <w:rPr>
          <w:rFonts w:hint="eastAsia"/>
          <w:color w:val="auto"/>
          <w:szCs w:val="21"/>
          <w:u w:val="single"/>
        </w:rPr>
        <w:t xml:space="preserve"> </w:t>
      </w:r>
      <w:r>
        <w:rPr>
          <w:color w:val="auto"/>
          <w:szCs w:val="21"/>
          <w:u w:val="single"/>
        </w:rPr>
        <w:t xml:space="preserve">          </w:t>
      </w:r>
      <w:r>
        <w:rPr>
          <w:rFonts w:hint="eastAsia"/>
          <w:color w:val="auto"/>
          <w:szCs w:val="21"/>
          <w:u w:val="single"/>
        </w:rPr>
        <w:t xml:space="preserve">       </w:t>
      </w:r>
      <w:r>
        <w:rPr>
          <w:color w:val="auto"/>
          <w:szCs w:val="21"/>
          <w:u w:val="single"/>
        </w:rPr>
        <w:t xml:space="preserve">    </w:t>
      </w:r>
    </w:p>
    <w:p>
      <w:pPr>
        <w:spacing w:line="276" w:lineRule="auto"/>
        <w:ind w:firstLine="420" w:firstLineChars="200"/>
        <w:rPr>
          <w:color w:val="auto"/>
          <w:szCs w:val="21"/>
          <w:u w:val="single"/>
        </w:rPr>
      </w:pPr>
      <w:r>
        <w:rPr>
          <w:color w:val="auto"/>
          <w:szCs w:val="21"/>
        </w:rPr>
        <w:t>银行账号：</w:t>
      </w:r>
      <w:r>
        <w:rPr>
          <w:rFonts w:hint="eastAsia"/>
          <w:color w:val="auto"/>
          <w:szCs w:val="21"/>
          <w:u w:val="single"/>
        </w:rPr>
        <w:t xml:space="preserve"> </w:t>
      </w:r>
      <w:r>
        <w:rPr>
          <w:color w:val="auto"/>
          <w:szCs w:val="21"/>
          <w:u w:val="single"/>
        </w:rPr>
        <w:t xml:space="preserve">              </w:t>
      </w:r>
      <w:r>
        <w:rPr>
          <w:rFonts w:hint="eastAsia"/>
          <w:color w:val="auto"/>
          <w:szCs w:val="21"/>
          <w:u w:val="single"/>
        </w:rPr>
        <w:t xml:space="preserve">    </w:t>
      </w:r>
      <w:r>
        <w:rPr>
          <w:color w:val="auto"/>
          <w:szCs w:val="21"/>
          <w:u w:val="single"/>
        </w:rPr>
        <w:t xml:space="preserve">    </w:t>
      </w:r>
    </w:p>
    <w:p>
      <w:pPr>
        <w:snapToGrid w:val="0"/>
        <w:spacing w:line="360" w:lineRule="exact"/>
        <w:ind w:firstLine="420" w:firstLineChars="200"/>
        <w:rPr>
          <w:color w:val="auto"/>
          <w:szCs w:val="21"/>
        </w:rPr>
      </w:pPr>
      <w:r>
        <w:rPr>
          <w:rFonts w:hint="eastAsia"/>
          <w:color w:val="auto"/>
          <w:szCs w:val="21"/>
        </w:rPr>
        <w:t>履约保证金退还方式及时间、条件、不予退还的情形：履约保证金自合同生效之日起生效至合同材料验收证书或进度款支付函签署之日起2</w:t>
      </w:r>
      <w:r>
        <w:rPr>
          <w:color w:val="auto"/>
          <w:szCs w:val="21"/>
        </w:rPr>
        <w:t>8</w:t>
      </w:r>
      <w:r>
        <w:rPr>
          <w:rFonts w:hint="eastAsia"/>
          <w:color w:val="auto"/>
          <w:szCs w:val="21"/>
        </w:rPr>
        <w:t>天后失效，</w:t>
      </w:r>
      <w:r>
        <w:rPr>
          <w:color w:val="auto"/>
          <w:szCs w:val="21"/>
        </w:rPr>
        <w:t>项目验收合格后，成交供应商可向采购人申请办理履约保证金的退付手续；</w:t>
      </w:r>
      <w:r>
        <w:rPr>
          <w:color w:val="auto"/>
        </w:rPr>
        <w:t>如果</w:t>
      </w:r>
      <w:r>
        <w:rPr>
          <w:rFonts w:hint="eastAsia"/>
          <w:color w:val="auto"/>
        </w:rPr>
        <w:t>成交供应商</w:t>
      </w:r>
      <w:r>
        <w:rPr>
          <w:color w:val="auto"/>
        </w:rPr>
        <w:t>不履行合同约定的义务或其履行不符合合同的 约定，</w:t>
      </w:r>
      <w:r>
        <w:rPr>
          <w:rFonts w:hint="eastAsia"/>
          <w:color w:val="auto"/>
        </w:rPr>
        <w:t>采购人</w:t>
      </w:r>
      <w:r>
        <w:rPr>
          <w:color w:val="auto"/>
        </w:rPr>
        <w:t>有权扣划</w:t>
      </w:r>
      <w:r>
        <w:rPr>
          <w:rFonts w:hint="eastAsia"/>
          <w:color w:val="auto"/>
        </w:rPr>
        <w:t>全部或</w:t>
      </w:r>
      <w:r>
        <w:rPr>
          <w:color w:val="auto"/>
        </w:rPr>
        <w:t>相应金额的履约保证金。</w:t>
      </w:r>
      <w:r>
        <w:rPr>
          <w:color w:val="auto"/>
          <w:szCs w:val="21"/>
        </w:rPr>
        <w:t xml:space="preserve"> </w:t>
      </w:r>
    </w:p>
    <w:p>
      <w:pPr>
        <w:snapToGrid w:val="0"/>
        <w:spacing w:line="300" w:lineRule="exact"/>
        <w:ind w:firstLine="420" w:firstLineChars="200"/>
        <w:rPr>
          <w:color w:val="auto"/>
          <w:szCs w:val="21"/>
        </w:rPr>
      </w:pPr>
      <w:r>
        <w:rPr>
          <w:rFonts w:hint="eastAsia"/>
          <w:color w:val="auto"/>
          <w:szCs w:val="21"/>
        </w:rPr>
        <w:t>履约保证金符合退还条件的，采购人在收到成交供应商提交的履约保证金退付申请之日起</w:t>
      </w:r>
      <w:r>
        <w:rPr>
          <w:rFonts w:hint="eastAsia"/>
          <w:color w:val="auto"/>
          <w:szCs w:val="21"/>
          <w:u w:val="single"/>
        </w:rPr>
        <w:t xml:space="preserve"> </w:t>
      </w:r>
      <w:r>
        <w:rPr>
          <w:color w:val="auto"/>
          <w:szCs w:val="21"/>
          <w:u w:val="single"/>
        </w:rPr>
        <w:t xml:space="preserve">   </w:t>
      </w:r>
      <w:r>
        <w:rPr>
          <w:rFonts w:hint="eastAsia"/>
          <w:color w:val="auto"/>
          <w:szCs w:val="21"/>
        </w:rPr>
        <w:t>天内退还履约保证金，如未在规定时间内退还的，成交供应商可予以催告，经成交供应商催告后</w:t>
      </w:r>
      <w:r>
        <w:rPr>
          <w:rFonts w:hint="eastAsia"/>
          <w:color w:val="auto"/>
          <w:szCs w:val="21"/>
          <w:u w:val="single"/>
        </w:rPr>
        <w:t xml:space="preserve"> </w:t>
      </w:r>
      <w:r>
        <w:rPr>
          <w:color w:val="auto"/>
          <w:szCs w:val="21"/>
          <w:u w:val="single"/>
        </w:rPr>
        <w:t xml:space="preserve">   </w:t>
      </w:r>
      <w:r>
        <w:rPr>
          <w:color w:val="auto"/>
          <w:szCs w:val="21"/>
        </w:rPr>
        <w:t xml:space="preserve"> </w:t>
      </w:r>
      <w:r>
        <w:rPr>
          <w:rFonts w:hint="eastAsia"/>
          <w:color w:val="auto"/>
          <w:szCs w:val="21"/>
        </w:rPr>
        <w:t>天内仍未退还履约保证金的，采购人应按中国人民银行发布的同期同类贷款基准利率向成交供应商支付自催告日期起的利息。</w:t>
      </w:r>
    </w:p>
    <w:bookmarkEnd w:id="74"/>
    <w:p>
      <w:pPr>
        <w:snapToGrid w:val="0"/>
        <w:spacing w:line="360" w:lineRule="exact"/>
        <w:ind w:firstLine="422" w:firstLineChars="200"/>
        <w:rPr>
          <w:b/>
          <w:color w:val="auto"/>
          <w:szCs w:val="21"/>
        </w:rPr>
      </w:pPr>
      <w:r>
        <w:rPr>
          <w:b/>
          <w:color w:val="auto"/>
          <w:szCs w:val="21"/>
        </w:rPr>
        <w:t>第十一条 税费</w:t>
      </w:r>
    </w:p>
    <w:p>
      <w:pPr>
        <w:snapToGrid w:val="0"/>
        <w:spacing w:line="360" w:lineRule="exact"/>
        <w:ind w:firstLine="420" w:firstLineChars="200"/>
        <w:rPr>
          <w:color w:val="auto"/>
          <w:szCs w:val="21"/>
        </w:rPr>
      </w:pPr>
      <w:r>
        <w:rPr>
          <w:color w:val="auto"/>
          <w:szCs w:val="21"/>
        </w:rPr>
        <w:t>本合同执行中相关的一切税费均由乙方负担。</w:t>
      </w:r>
    </w:p>
    <w:p>
      <w:pPr>
        <w:snapToGrid w:val="0"/>
        <w:spacing w:line="360" w:lineRule="exact"/>
        <w:ind w:firstLine="422" w:firstLineChars="200"/>
        <w:rPr>
          <w:b/>
          <w:color w:val="auto"/>
          <w:szCs w:val="21"/>
        </w:rPr>
      </w:pPr>
      <w:r>
        <w:rPr>
          <w:b/>
          <w:color w:val="auto"/>
          <w:szCs w:val="21"/>
        </w:rPr>
        <w:t>第十</w:t>
      </w:r>
      <w:r>
        <w:rPr>
          <w:rFonts w:hint="eastAsia"/>
          <w:b/>
          <w:color w:val="auto"/>
          <w:szCs w:val="21"/>
        </w:rPr>
        <w:t>二</w:t>
      </w:r>
      <w:r>
        <w:rPr>
          <w:b/>
          <w:color w:val="auto"/>
          <w:szCs w:val="21"/>
        </w:rPr>
        <w:t>条　违约责任</w:t>
      </w:r>
    </w:p>
    <w:p>
      <w:pPr>
        <w:snapToGrid w:val="0"/>
        <w:spacing w:line="360" w:lineRule="exact"/>
        <w:ind w:firstLine="420" w:firstLineChars="200"/>
        <w:rPr>
          <w:color w:val="auto"/>
          <w:szCs w:val="21"/>
        </w:rPr>
      </w:pPr>
      <w:r>
        <w:rPr>
          <w:color w:val="auto"/>
          <w:szCs w:val="21"/>
        </w:rPr>
        <w:t>1.</w:t>
      </w:r>
      <w:r>
        <w:rPr>
          <w:rFonts w:eastAsia="微软雅黑"/>
          <w:color w:val="auto"/>
          <w:szCs w:val="21"/>
        </w:rPr>
        <w:t xml:space="preserve"> </w:t>
      </w:r>
      <w:r>
        <w:rPr>
          <w:color w:val="auto"/>
          <w:szCs w:val="21"/>
        </w:rPr>
        <w:t>若因乙方原因而未能履行合同或未达到合同约定的要求，甲方有权书面</w:t>
      </w:r>
      <w:r>
        <w:rPr>
          <w:rFonts w:hint="eastAsia"/>
          <w:color w:val="auto"/>
          <w:szCs w:val="21"/>
        </w:rPr>
        <w:t>督促</w:t>
      </w:r>
      <w:r>
        <w:rPr>
          <w:color w:val="auto"/>
          <w:szCs w:val="21"/>
        </w:rPr>
        <w:t>乙方履行合同，乙方应在收到甲方书面通知之日起七日内给予书面答复并进行整改；如乙方在上述时间未答复，或无故拖延履行合同超过</w:t>
      </w:r>
      <w:r>
        <w:rPr>
          <w:color w:val="auto"/>
          <w:szCs w:val="21"/>
          <w:u w:val="single"/>
        </w:rPr>
        <w:t xml:space="preserve">    </w:t>
      </w:r>
      <w:r>
        <w:rPr>
          <w:color w:val="auto"/>
          <w:szCs w:val="21"/>
        </w:rPr>
        <w:t>日，或经</w:t>
      </w:r>
      <w:r>
        <w:rPr>
          <w:color w:val="auto"/>
          <w:szCs w:val="21"/>
          <w:u w:val="single"/>
        </w:rPr>
        <w:t xml:space="preserve">    </w:t>
      </w:r>
      <w:r>
        <w:rPr>
          <w:color w:val="auto"/>
          <w:szCs w:val="21"/>
        </w:rPr>
        <w:t>次整改后仍未达到甲方要求，甲方有权书面通知乙方解除服务合同，且无需支付合同解除后的合同后续费用。同时，乙方必须退还甲方已付出的所有服务费用，并赔偿由此给甲方造成的全部损失。</w:t>
      </w:r>
    </w:p>
    <w:p>
      <w:pPr>
        <w:snapToGrid w:val="0"/>
        <w:spacing w:line="360" w:lineRule="exact"/>
        <w:ind w:firstLine="420" w:firstLineChars="200"/>
        <w:rPr>
          <w:color w:val="auto"/>
          <w:szCs w:val="21"/>
        </w:rPr>
      </w:pPr>
      <w:r>
        <w:rPr>
          <w:color w:val="auto"/>
          <w:szCs w:val="21"/>
        </w:rPr>
        <w:t>2. 乙方未得到甲方同意，擅自更换项目负责人及服务团队成员时，甲方有权书面通知乙方解除服务合同，且无需支付合同解除后的合同后续费用。同时，乙方必须退还甲方已付出的所有服务费用，并赔偿由此给甲方造成的全部损失。</w:t>
      </w:r>
    </w:p>
    <w:p>
      <w:pPr>
        <w:snapToGrid w:val="0"/>
        <w:spacing w:line="360" w:lineRule="exact"/>
        <w:ind w:firstLine="420" w:firstLineChars="200"/>
        <w:rPr>
          <w:color w:val="auto"/>
          <w:szCs w:val="21"/>
        </w:rPr>
      </w:pPr>
      <w:r>
        <w:rPr>
          <w:color w:val="auto"/>
          <w:szCs w:val="21"/>
        </w:rPr>
        <w:t>3.乙方或乙方人员违反保密义务时，甲方有权书面通知乙方解除合同，且无需支付合同解除后的合同后续费用。同时，乙方必须退还甲方已付出的所有费用，并赔偿由此给甲方造成的全部损失。</w:t>
      </w:r>
    </w:p>
    <w:p>
      <w:pPr>
        <w:snapToGrid w:val="0"/>
        <w:spacing w:line="360" w:lineRule="exact"/>
        <w:ind w:firstLine="420" w:firstLineChars="200"/>
        <w:rPr>
          <w:color w:val="auto"/>
          <w:szCs w:val="21"/>
        </w:rPr>
      </w:pPr>
      <w:r>
        <w:rPr>
          <w:color w:val="auto"/>
          <w:szCs w:val="21"/>
        </w:rPr>
        <w:t>4.乙方提供的交付成果或服务如侵犯了第三方合法权益而引发的任何纠纷或诉讼，均由乙方负责交涉并承担全部责任。</w:t>
      </w:r>
    </w:p>
    <w:p>
      <w:pPr>
        <w:snapToGrid w:val="0"/>
        <w:spacing w:line="360" w:lineRule="exact"/>
        <w:ind w:firstLine="420" w:firstLineChars="200"/>
        <w:rPr>
          <w:color w:val="auto"/>
          <w:szCs w:val="21"/>
        </w:rPr>
      </w:pPr>
      <w:r>
        <w:rPr>
          <w:rFonts w:hint="eastAsia"/>
          <w:color w:val="auto"/>
          <w:szCs w:val="21"/>
        </w:rPr>
        <w:t>5</w:t>
      </w:r>
      <w:r>
        <w:rPr>
          <w:color w:val="auto"/>
          <w:szCs w:val="21"/>
        </w:rPr>
        <w:t>.甲方无故延期接收服务交付成果、乙方逾期交付的，每天向对方偿付违约交付成果或服务费用金额的3‰违约金，但违约金累计不得超过违约交付成果或服务费用金额的5%，超过 30 天对方有权解除合同，违约方承担因此给对方造成经济损失；甲方延期付交付成果或服务费用金额的，每天向乙方偿付延期交付成果或服务费用金额的3‰ 作为滞纳金，但滞纳金累计不得超过延期交付成果或服务费用金额的5%。</w:t>
      </w:r>
    </w:p>
    <w:p>
      <w:pPr>
        <w:snapToGrid w:val="0"/>
        <w:spacing w:line="360" w:lineRule="exact"/>
        <w:ind w:firstLine="420" w:firstLineChars="200"/>
        <w:rPr>
          <w:color w:val="auto"/>
          <w:szCs w:val="21"/>
        </w:rPr>
      </w:pPr>
      <w:r>
        <w:rPr>
          <w:rFonts w:hint="eastAsia"/>
          <w:color w:val="auto"/>
          <w:szCs w:val="21"/>
        </w:rPr>
        <w:t>6</w:t>
      </w:r>
      <w:r>
        <w:rPr>
          <w:color w:val="auto"/>
          <w:szCs w:val="21"/>
        </w:rPr>
        <w:t>.乙方未按本合同和响应文件中规定的服务承诺提供售后服务的，乙方应按本合同合计金额 5%向甲方支付违约金。</w:t>
      </w:r>
    </w:p>
    <w:p>
      <w:pPr>
        <w:snapToGrid w:val="0"/>
        <w:spacing w:line="360" w:lineRule="exact"/>
        <w:ind w:firstLine="420" w:firstLineChars="200"/>
        <w:rPr>
          <w:color w:val="auto"/>
          <w:szCs w:val="21"/>
        </w:rPr>
      </w:pPr>
      <w:r>
        <w:rPr>
          <w:rFonts w:hint="eastAsia"/>
          <w:color w:val="auto"/>
          <w:szCs w:val="21"/>
        </w:rPr>
        <w:t>7</w:t>
      </w:r>
      <w:r>
        <w:rPr>
          <w:color w:val="auto"/>
          <w:szCs w:val="21"/>
        </w:rPr>
        <w:t>.其它违约行为按违约服务成果费用金额5%收取违约金并赔偿经济损失。</w:t>
      </w:r>
    </w:p>
    <w:p>
      <w:pPr>
        <w:snapToGrid w:val="0"/>
        <w:spacing w:line="360" w:lineRule="exact"/>
        <w:ind w:firstLine="420" w:firstLineChars="200"/>
        <w:rPr>
          <w:color w:val="auto"/>
          <w:szCs w:val="21"/>
        </w:rPr>
      </w:pPr>
      <w:r>
        <w:rPr>
          <w:rFonts w:hint="eastAsia"/>
          <w:color w:val="auto"/>
          <w:szCs w:val="21"/>
        </w:rPr>
        <w:t>8</w:t>
      </w:r>
      <w:r>
        <w:rPr>
          <w:color w:val="auto"/>
          <w:szCs w:val="21"/>
        </w:rPr>
        <w:t>.</w:t>
      </w:r>
      <w:r>
        <w:rPr>
          <w:rFonts w:hint="eastAsia"/>
          <w:color w:val="auto"/>
          <w:szCs w:val="21"/>
        </w:rPr>
        <w:t>因甲方原因导致变更、中止或者终止政府采购合同的，应当依照合同约定对乙方受到的损失予以赔偿或者补偿。</w:t>
      </w:r>
      <w:r>
        <w:rPr>
          <w:color w:val="auto"/>
          <w:szCs w:val="21"/>
        </w:rPr>
        <w:t>赔偿（补偿）标准：</w:t>
      </w:r>
      <w:r>
        <w:rPr>
          <w:rFonts w:hint="eastAsia"/>
          <w:color w:val="auto"/>
          <w:szCs w:val="21"/>
        </w:rPr>
        <w:t>按实际损失赔偿</w:t>
      </w:r>
    </w:p>
    <w:p>
      <w:pPr>
        <w:snapToGrid w:val="0"/>
        <w:spacing w:line="300" w:lineRule="exact"/>
        <w:ind w:firstLine="420" w:firstLineChars="200"/>
        <w:rPr>
          <w:color w:val="auto"/>
          <w:szCs w:val="21"/>
        </w:rPr>
      </w:pPr>
      <w:bookmarkStart w:id="75" w:name="_Hlk19199013"/>
      <w:r>
        <w:rPr>
          <w:rFonts w:hint="eastAsia"/>
          <w:color w:val="auto"/>
          <w:szCs w:val="21"/>
        </w:rPr>
        <w:t>9</w:t>
      </w:r>
      <w:r>
        <w:rPr>
          <w:color w:val="auto"/>
          <w:szCs w:val="21"/>
        </w:rPr>
        <w:t>.</w:t>
      </w:r>
      <w:r>
        <w:rPr>
          <w:rFonts w:hint="eastAsia"/>
          <w:color w:val="auto"/>
          <w:szCs w:val="21"/>
        </w:rPr>
        <w:t>因甲方原因导致变更、中止或者终止政府采购合同的，应当依照合同约定对乙方受到的损失予以赔偿或者补偿。</w:t>
      </w:r>
      <w:r>
        <w:rPr>
          <w:color w:val="auto"/>
          <w:szCs w:val="21"/>
        </w:rPr>
        <w:t>赔偿（补偿）标准：</w:t>
      </w:r>
      <w:r>
        <w:rPr>
          <w:rFonts w:hint="eastAsia"/>
          <w:color w:val="auto"/>
          <w:szCs w:val="21"/>
          <w:u w:val="single"/>
        </w:rPr>
        <w:t>按实际损失赔偿</w:t>
      </w:r>
      <w:r>
        <w:rPr>
          <w:color w:val="auto"/>
          <w:szCs w:val="21"/>
          <w:u w:val="single"/>
        </w:rPr>
        <w:t xml:space="preserve">    </w:t>
      </w:r>
    </w:p>
    <w:bookmarkEnd w:id="75"/>
    <w:p>
      <w:pPr>
        <w:snapToGrid w:val="0"/>
        <w:spacing w:line="300" w:lineRule="exact"/>
        <w:ind w:firstLine="422" w:firstLineChars="200"/>
        <w:rPr>
          <w:b/>
          <w:color w:val="auto"/>
        </w:rPr>
      </w:pPr>
      <w:r>
        <w:rPr>
          <w:b/>
          <w:color w:val="auto"/>
        </w:rPr>
        <w:t>第十</w:t>
      </w:r>
      <w:r>
        <w:rPr>
          <w:rFonts w:hint="eastAsia"/>
          <w:b/>
          <w:color w:val="auto"/>
        </w:rPr>
        <w:t>三</w:t>
      </w:r>
      <w:r>
        <w:rPr>
          <w:b/>
          <w:color w:val="auto"/>
        </w:rPr>
        <w:t>条 不可抗力事件处理</w:t>
      </w:r>
    </w:p>
    <w:p>
      <w:pPr>
        <w:snapToGrid w:val="0"/>
        <w:spacing w:line="360" w:lineRule="exact"/>
        <w:ind w:firstLine="420" w:firstLineChars="200"/>
        <w:rPr>
          <w:color w:val="auto"/>
          <w:szCs w:val="21"/>
        </w:rPr>
      </w:pPr>
      <w:r>
        <w:rPr>
          <w:color w:val="auto"/>
          <w:szCs w:val="21"/>
        </w:rPr>
        <w:t>1. 在合同有效期内，任何一方因不可抗力事件导致不能履行合同，则合同履行期可延长，其延长期与不可抗力影响期相同。</w:t>
      </w:r>
    </w:p>
    <w:p>
      <w:pPr>
        <w:snapToGrid w:val="0"/>
        <w:spacing w:line="360" w:lineRule="exact"/>
        <w:ind w:firstLine="420" w:firstLineChars="200"/>
        <w:rPr>
          <w:color w:val="auto"/>
          <w:szCs w:val="21"/>
        </w:rPr>
      </w:pPr>
      <w:r>
        <w:rPr>
          <w:color w:val="auto"/>
          <w:szCs w:val="21"/>
        </w:rPr>
        <w:t>2. 不可抗力事件发生后，应立即通知对方，并寄送有关权威机构出具的证明。</w:t>
      </w:r>
    </w:p>
    <w:p>
      <w:pPr>
        <w:snapToGrid w:val="0"/>
        <w:spacing w:line="360" w:lineRule="exact"/>
        <w:ind w:firstLine="420" w:firstLineChars="200"/>
        <w:rPr>
          <w:color w:val="auto"/>
          <w:szCs w:val="21"/>
        </w:rPr>
      </w:pPr>
      <w:r>
        <w:rPr>
          <w:color w:val="auto"/>
          <w:szCs w:val="21"/>
        </w:rPr>
        <w:t>3. 不可抗力事件延续一百二十天以上，双方应通过友好协商，确定是否继续履行合同。</w:t>
      </w:r>
    </w:p>
    <w:p>
      <w:pPr>
        <w:snapToGrid w:val="0"/>
        <w:spacing w:line="360" w:lineRule="exact"/>
        <w:ind w:firstLine="422" w:firstLineChars="200"/>
        <w:rPr>
          <w:color w:val="auto"/>
          <w:szCs w:val="21"/>
        </w:rPr>
      </w:pPr>
      <w:r>
        <w:rPr>
          <w:b/>
          <w:color w:val="auto"/>
          <w:szCs w:val="21"/>
        </w:rPr>
        <w:t>第十</w:t>
      </w:r>
      <w:r>
        <w:rPr>
          <w:rFonts w:hint="eastAsia"/>
          <w:b/>
          <w:color w:val="auto"/>
          <w:szCs w:val="21"/>
        </w:rPr>
        <w:t>四</w:t>
      </w:r>
      <w:r>
        <w:rPr>
          <w:b/>
          <w:color w:val="auto"/>
          <w:szCs w:val="21"/>
        </w:rPr>
        <w:t>条  合同争议解决</w:t>
      </w:r>
    </w:p>
    <w:p>
      <w:pPr>
        <w:snapToGrid w:val="0"/>
        <w:spacing w:line="360" w:lineRule="exact"/>
        <w:ind w:firstLine="420" w:firstLineChars="200"/>
        <w:rPr>
          <w:color w:val="auto"/>
          <w:szCs w:val="21"/>
        </w:rPr>
      </w:pPr>
      <w:r>
        <w:rPr>
          <w:color w:val="auto"/>
          <w:szCs w:val="21"/>
        </w:rPr>
        <w:t>1 因交付成果或服务质量问题发生争议的，应邀请国家认</w:t>
      </w:r>
      <w:r>
        <w:rPr>
          <w:rFonts w:hint="eastAsia"/>
          <w:color w:val="auto"/>
          <w:szCs w:val="21"/>
        </w:rPr>
        <w:t>定</w:t>
      </w:r>
      <w:r>
        <w:rPr>
          <w:color w:val="auto"/>
          <w:szCs w:val="21"/>
        </w:rPr>
        <w:t>的质量检测机构按照国家标准对交付成果或服务质量进行验收。交付成果或服务符合国家标准的，鉴定费由甲方承担；交付成果或服务不符合国家标准的，鉴定费由乙方承担。</w:t>
      </w:r>
    </w:p>
    <w:p>
      <w:pPr>
        <w:snapToGrid w:val="0"/>
        <w:spacing w:line="360" w:lineRule="exact"/>
        <w:ind w:firstLine="420" w:firstLineChars="200"/>
        <w:rPr>
          <w:color w:val="auto"/>
          <w:szCs w:val="21"/>
        </w:rPr>
      </w:pPr>
      <w:r>
        <w:rPr>
          <w:color w:val="auto"/>
          <w:szCs w:val="21"/>
        </w:rPr>
        <w:t>2 因履行本合同引起的或与本合同有关的争议，甲乙双方应首先通过友好协商解决，如果协商不能解决，可向甲方所在地人民法院提起诉讼。</w:t>
      </w:r>
    </w:p>
    <w:p>
      <w:pPr>
        <w:snapToGrid w:val="0"/>
        <w:spacing w:line="360" w:lineRule="exact"/>
        <w:ind w:firstLine="420" w:firstLineChars="200"/>
        <w:rPr>
          <w:color w:val="auto"/>
          <w:szCs w:val="21"/>
        </w:rPr>
      </w:pPr>
      <w:r>
        <w:rPr>
          <w:color w:val="auto"/>
          <w:szCs w:val="21"/>
        </w:rPr>
        <w:t>3 诉讼期间，本合同继续履行。</w:t>
      </w:r>
    </w:p>
    <w:p>
      <w:pPr>
        <w:pStyle w:val="28"/>
        <w:snapToGrid w:val="0"/>
        <w:spacing w:before="120" w:after="120" w:line="360" w:lineRule="exact"/>
        <w:ind w:firstLine="422" w:firstLineChars="200"/>
        <w:rPr>
          <w:rFonts w:ascii="Times New Roman" w:hAnsi="Times New Roman" w:cs="Times New Roman"/>
          <w:b/>
          <w:color w:val="auto"/>
        </w:rPr>
      </w:pPr>
      <w:r>
        <w:rPr>
          <w:rFonts w:ascii="Times New Roman" w:hAnsi="Times New Roman" w:cs="Times New Roman"/>
          <w:b/>
          <w:color w:val="auto"/>
        </w:rPr>
        <w:t>第十</w:t>
      </w:r>
      <w:r>
        <w:rPr>
          <w:rFonts w:hint="eastAsia" w:ascii="Times New Roman" w:hAnsi="Times New Roman" w:cs="Times New Roman"/>
          <w:b/>
          <w:color w:val="auto"/>
        </w:rPr>
        <w:t>五</w:t>
      </w:r>
      <w:r>
        <w:rPr>
          <w:rFonts w:ascii="Times New Roman" w:hAnsi="Times New Roman" w:cs="Times New Roman"/>
          <w:b/>
          <w:color w:val="auto"/>
        </w:rPr>
        <w:t>条 合同生效及其它</w:t>
      </w:r>
    </w:p>
    <w:p>
      <w:pPr>
        <w:snapToGrid w:val="0"/>
        <w:spacing w:line="300" w:lineRule="exact"/>
        <w:ind w:firstLine="420" w:firstLineChars="200"/>
        <w:rPr>
          <w:color w:val="auto"/>
          <w:szCs w:val="21"/>
        </w:rPr>
      </w:pPr>
      <w:bookmarkStart w:id="76" w:name="_Hlk19199032"/>
      <w:r>
        <w:rPr>
          <w:color w:val="auto"/>
          <w:szCs w:val="21"/>
        </w:rPr>
        <w:t>1．本合同履行期限为</w:t>
      </w:r>
      <w:r>
        <w:rPr>
          <w:color w:val="auto"/>
          <w:szCs w:val="21"/>
          <w:u w:val="single"/>
        </w:rPr>
        <w:t>：</w:t>
      </w:r>
      <w:r>
        <w:rPr>
          <w:rFonts w:hint="eastAsia"/>
          <w:color w:val="auto"/>
          <w:szCs w:val="21"/>
          <w:u w:val="single"/>
        </w:rPr>
        <w:t xml:space="preserve">         </w:t>
      </w:r>
      <w:r>
        <w:rPr>
          <w:color w:val="auto"/>
          <w:szCs w:val="21"/>
          <w:u w:val="single"/>
        </w:rPr>
        <w:t xml:space="preserve"> ；</w:t>
      </w:r>
      <w:r>
        <w:rPr>
          <w:color w:val="auto"/>
          <w:szCs w:val="21"/>
        </w:rPr>
        <w:t>合同履行地点为：</w:t>
      </w:r>
      <w:r>
        <w:rPr>
          <w:color w:val="auto"/>
          <w:szCs w:val="21"/>
          <w:u w:val="single"/>
        </w:rPr>
        <w:t xml:space="preserve">  </w:t>
      </w:r>
      <w:r>
        <w:rPr>
          <w:rFonts w:hint="eastAsia"/>
          <w:color w:val="auto"/>
          <w:szCs w:val="21"/>
          <w:u w:val="single"/>
        </w:rPr>
        <w:t>贵港市</w:t>
      </w:r>
      <w:r>
        <w:rPr>
          <w:color w:val="auto"/>
          <w:szCs w:val="21"/>
          <w:u w:val="single"/>
        </w:rPr>
        <w:t xml:space="preserve">  </w:t>
      </w:r>
      <w:r>
        <w:rPr>
          <w:color w:val="auto"/>
          <w:szCs w:val="21"/>
        </w:rPr>
        <w:t>；合同履行的方式：</w:t>
      </w:r>
      <w:r>
        <w:rPr>
          <w:color w:val="auto"/>
          <w:szCs w:val="21"/>
          <w:u w:val="single"/>
        </w:rPr>
        <w:t xml:space="preserve"> 按照本合同约定  </w:t>
      </w:r>
      <w:r>
        <w:rPr>
          <w:color w:val="auto"/>
          <w:szCs w:val="21"/>
        </w:rPr>
        <w:t>。</w:t>
      </w:r>
    </w:p>
    <w:bookmarkEnd w:id="76"/>
    <w:p>
      <w:pPr>
        <w:snapToGrid w:val="0"/>
        <w:spacing w:line="360" w:lineRule="exact"/>
        <w:ind w:firstLine="420" w:firstLineChars="200"/>
        <w:rPr>
          <w:color w:val="auto"/>
          <w:szCs w:val="21"/>
        </w:rPr>
      </w:pPr>
      <w:r>
        <w:rPr>
          <w:color w:val="auto"/>
          <w:szCs w:val="21"/>
        </w:rPr>
        <w:t>2．合同经双方法定代表人或授权代表签字并加盖单位公章后生效。</w:t>
      </w:r>
    </w:p>
    <w:p>
      <w:pPr>
        <w:snapToGrid w:val="0"/>
        <w:spacing w:line="360" w:lineRule="exact"/>
        <w:ind w:firstLine="420" w:firstLineChars="200"/>
        <w:rPr>
          <w:color w:val="auto"/>
          <w:szCs w:val="21"/>
        </w:rPr>
      </w:pPr>
      <w:r>
        <w:rPr>
          <w:color w:val="auto"/>
          <w:szCs w:val="21"/>
        </w:rPr>
        <w:t>3．合同执行中涉及采购资金和采购内容修改或补充的，须经财政部门审批，并签书面补充协议报财政部门备案，方可作为主合同不可分割的一部分。</w:t>
      </w:r>
    </w:p>
    <w:p>
      <w:pPr>
        <w:snapToGrid w:val="0"/>
        <w:spacing w:line="360" w:lineRule="exact"/>
        <w:ind w:firstLine="420" w:firstLineChars="200"/>
        <w:rPr>
          <w:color w:val="auto"/>
          <w:szCs w:val="21"/>
        </w:rPr>
      </w:pPr>
      <w:r>
        <w:rPr>
          <w:color w:val="auto"/>
          <w:szCs w:val="21"/>
        </w:rPr>
        <w:t>4．本合同未尽事宜，遵照《</w:t>
      </w:r>
      <w:r>
        <w:rPr>
          <w:rFonts w:hint="eastAsia"/>
          <w:color w:val="auto"/>
          <w:szCs w:val="21"/>
        </w:rPr>
        <w:t>民法典</w:t>
      </w:r>
      <w:r>
        <w:rPr>
          <w:color w:val="auto"/>
          <w:szCs w:val="21"/>
        </w:rPr>
        <w:t>》有关条文执行。</w:t>
      </w:r>
    </w:p>
    <w:p>
      <w:pPr>
        <w:snapToGrid w:val="0"/>
        <w:spacing w:line="360" w:lineRule="exact"/>
        <w:ind w:firstLine="422" w:firstLineChars="200"/>
        <w:rPr>
          <w:b/>
          <w:color w:val="auto"/>
          <w:szCs w:val="21"/>
        </w:rPr>
      </w:pPr>
      <w:r>
        <w:rPr>
          <w:b/>
          <w:color w:val="auto"/>
          <w:szCs w:val="21"/>
        </w:rPr>
        <w:t>第十</w:t>
      </w:r>
      <w:r>
        <w:rPr>
          <w:rFonts w:hint="eastAsia"/>
          <w:b/>
          <w:color w:val="auto"/>
          <w:szCs w:val="21"/>
        </w:rPr>
        <w:t>六</w:t>
      </w:r>
      <w:r>
        <w:rPr>
          <w:b/>
          <w:color w:val="auto"/>
          <w:szCs w:val="21"/>
        </w:rPr>
        <w:t>条　合同的变更、终止与转让</w:t>
      </w:r>
    </w:p>
    <w:p>
      <w:pPr>
        <w:snapToGrid w:val="0"/>
        <w:spacing w:line="360" w:lineRule="exact"/>
        <w:ind w:firstLine="420" w:firstLineChars="200"/>
        <w:rPr>
          <w:color w:val="auto"/>
          <w:szCs w:val="21"/>
        </w:rPr>
      </w:pPr>
      <w:r>
        <w:rPr>
          <w:color w:val="auto"/>
          <w:szCs w:val="21"/>
        </w:rPr>
        <w:t>1.除《中华人民共和国政府采购法》第五十条规定的情形外，本合同一经签订，甲乙双方不得擅自变更、中止或终止。</w:t>
      </w:r>
    </w:p>
    <w:p>
      <w:pPr>
        <w:snapToGrid w:val="0"/>
        <w:spacing w:line="360" w:lineRule="exact"/>
        <w:ind w:firstLine="420" w:firstLineChars="200"/>
        <w:rPr>
          <w:color w:val="auto"/>
          <w:szCs w:val="21"/>
        </w:rPr>
      </w:pPr>
      <w:r>
        <w:rPr>
          <w:color w:val="auto"/>
          <w:szCs w:val="21"/>
        </w:rPr>
        <w:t>2.未经甲方书面同意，</w:t>
      </w:r>
      <w:r>
        <w:rPr>
          <w:rFonts w:hint="eastAsia"/>
          <w:color w:val="auto"/>
          <w:szCs w:val="21"/>
        </w:rPr>
        <w:t>乙方不得擅自转让其应履行的合同义务。</w:t>
      </w:r>
      <w:r>
        <w:rPr>
          <w:color w:val="auto"/>
          <w:szCs w:val="21"/>
        </w:rPr>
        <w:t>。</w:t>
      </w:r>
    </w:p>
    <w:p>
      <w:pPr>
        <w:snapToGrid w:val="0"/>
        <w:spacing w:line="360" w:lineRule="exact"/>
        <w:ind w:firstLine="422" w:firstLineChars="200"/>
        <w:rPr>
          <w:b/>
          <w:color w:val="auto"/>
          <w:szCs w:val="21"/>
        </w:rPr>
      </w:pPr>
      <w:r>
        <w:rPr>
          <w:b/>
          <w:color w:val="auto"/>
          <w:szCs w:val="21"/>
        </w:rPr>
        <w:t>第十</w:t>
      </w:r>
      <w:r>
        <w:rPr>
          <w:rFonts w:hint="eastAsia"/>
          <w:b/>
          <w:color w:val="auto"/>
          <w:szCs w:val="21"/>
        </w:rPr>
        <w:t>七</w:t>
      </w:r>
      <w:r>
        <w:rPr>
          <w:b/>
          <w:color w:val="auto"/>
          <w:szCs w:val="21"/>
        </w:rPr>
        <w:t>条　签订本合同依据</w:t>
      </w:r>
    </w:p>
    <w:p>
      <w:pPr>
        <w:snapToGrid w:val="0"/>
        <w:spacing w:line="360" w:lineRule="exact"/>
        <w:ind w:firstLine="420" w:firstLineChars="200"/>
        <w:rPr>
          <w:color w:val="auto"/>
          <w:szCs w:val="21"/>
        </w:rPr>
      </w:pPr>
      <w:r>
        <w:rPr>
          <w:color w:val="auto"/>
          <w:szCs w:val="21"/>
        </w:rPr>
        <w:t>1.政府采购采购文件；</w:t>
      </w:r>
    </w:p>
    <w:p>
      <w:pPr>
        <w:snapToGrid w:val="0"/>
        <w:spacing w:line="360" w:lineRule="exact"/>
        <w:ind w:firstLine="420" w:firstLineChars="200"/>
        <w:rPr>
          <w:color w:val="auto"/>
          <w:szCs w:val="21"/>
        </w:rPr>
      </w:pPr>
      <w:r>
        <w:rPr>
          <w:color w:val="auto"/>
          <w:szCs w:val="21"/>
        </w:rPr>
        <w:t>2.乙方提供的响应文件；</w:t>
      </w:r>
    </w:p>
    <w:p>
      <w:pPr>
        <w:snapToGrid w:val="0"/>
        <w:spacing w:line="360" w:lineRule="exact"/>
        <w:ind w:firstLine="420" w:firstLineChars="200"/>
        <w:rPr>
          <w:color w:val="auto"/>
          <w:szCs w:val="21"/>
        </w:rPr>
      </w:pPr>
      <w:r>
        <w:rPr>
          <w:color w:val="auto"/>
          <w:szCs w:val="21"/>
        </w:rPr>
        <w:t>3.响应承诺书；</w:t>
      </w:r>
    </w:p>
    <w:p>
      <w:pPr>
        <w:snapToGrid w:val="0"/>
        <w:spacing w:line="360" w:lineRule="exact"/>
        <w:ind w:firstLine="420" w:firstLineChars="200"/>
        <w:rPr>
          <w:color w:val="auto"/>
          <w:szCs w:val="21"/>
          <w:u w:val="single"/>
        </w:rPr>
      </w:pPr>
      <w:r>
        <w:rPr>
          <w:color w:val="auto"/>
          <w:szCs w:val="21"/>
        </w:rPr>
        <w:t>4.成交通知书。</w:t>
      </w:r>
    </w:p>
    <w:p>
      <w:pPr>
        <w:snapToGrid w:val="0"/>
        <w:spacing w:line="360" w:lineRule="exact"/>
        <w:ind w:firstLine="422" w:firstLineChars="200"/>
        <w:rPr>
          <w:color w:val="auto"/>
          <w:szCs w:val="21"/>
        </w:rPr>
      </w:pPr>
      <w:r>
        <w:rPr>
          <w:b/>
          <w:color w:val="auto"/>
          <w:szCs w:val="21"/>
        </w:rPr>
        <w:t>第十</w:t>
      </w:r>
      <w:r>
        <w:rPr>
          <w:rFonts w:hint="eastAsia"/>
          <w:b/>
          <w:color w:val="auto"/>
          <w:szCs w:val="21"/>
        </w:rPr>
        <w:t>八</w:t>
      </w:r>
      <w:r>
        <w:rPr>
          <w:b/>
          <w:color w:val="auto"/>
          <w:szCs w:val="21"/>
        </w:rPr>
        <w:t>条　</w:t>
      </w:r>
      <w:r>
        <w:rPr>
          <w:color w:val="auto"/>
          <w:szCs w:val="21"/>
        </w:rPr>
        <w:t>本合同一式五份，具有同等法律效力。</w:t>
      </w:r>
      <w:r>
        <w:rPr>
          <w:color w:val="auto"/>
          <w:spacing w:val="4"/>
          <w:szCs w:val="21"/>
        </w:rPr>
        <w:t>政府采购监督管理部门、采购代理机构</w:t>
      </w:r>
      <w:r>
        <w:rPr>
          <w:color w:val="auto"/>
          <w:szCs w:val="21"/>
        </w:rPr>
        <w:t>各一份，甲方两份，乙方一份。</w:t>
      </w:r>
    </w:p>
    <w:p>
      <w:pPr>
        <w:snapToGrid w:val="0"/>
        <w:spacing w:line="360" w:lineRule="exact"/>
        <w:ind w:firstLine="420" w:firstLineChars="200"/>
        <w:rPr>
          <w:color w:val="auto"/>
          <w:szCs w:val="21"/>
        </w:rPr>
      </w:pPr>
      <w:r>
        <w:rPr>
          <w:color w:val="auto"/>
          <w:szCs w:val="21"/>
        </w:rPr>
        <w:t>本合同经甲乙双方法定代表人或被授权代表签字并加盖单位公章后生效。</w:t>
      </w:r>
    </w:p>
    <w:p>
      <w:pPr>
        <w:snapToGrid w:val="0"/>
        <w:spacing w:line="360" w:lineRule="exact"/>
        <w:ind w:firstLine="420" w:firstLineChars="200"/>
        <w:rPr>
          <w:color w:val="auto"/>
          <w:szCs w:val="21"/>
        </w:rPr>
      </w:pPr>
    </w:p>
    <w:tbl>
      <w:tblPr>
        <w:tblStyle w:val="52"/>
        <w:tblW w:w="95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67"/>
        <w:gridCol w:w="4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9" w:hRule="atLeast"/>
        </w:trPr>
        <w:tc>
          <w:tcPr>
            <w:tcW w:w="4667" w:type="dxa"/>
            <w:vAlign w:val="center"/>
          </w:tcPr>
          <w:p>
            <w:pPr>
              <w:snapToGrid w:val="0"/>
              <w:spacing w:line="360" w:lineRule="exact"/>
              <w:rPr>
                <w:color w:val="auto"/>
                <w:szCs w:val="21"/>
              </w:rPr>
            </w:pPr>
            <w:r>
              <w:rPr>
                <w:color w:val="auto"/>
                <w:szCs w:val="21"/>
              </w:rPr>
              <w:t xml:space="preserve">甲方（章）           </w:t>
            </w:r>
          </w:p>
          <w:p>
            <w:pPr>
              <w:snapToGrid w:val="0"/>
              <w:spacing w:line="360" w:lineRule="exact"/>
              <w:ind w:firstLine="945" w:firstLineChars="450"/>
              <w:jc w:val="right"/>
              <w:rPr>
                <w:color w:val="auto"/>
                <w:szCs w:val="21"/>
              </w:rPr>
            </w:pPr>
          </w:p>
        </w:tc>
        <w:tc>
          <w:tcPr>
            <w:tcW w:w="4932" w:type="dxa"/>
            <w:vAlign w:val="center"/>
          </w:tcPr>
          <w:p>
            <w:pPr>
              <w:snapToGrid w:val="0"/>
              <w:spacing w:line="360" w:lineRule="exact"/>
              <w:rPr>
                <w:color w:val="auto"/>
                <w:szCs w:val="21"/>
              </w:rPr>
            </w:pPr>
            <w:r>
              <w:rPr>
                <w:color w:val="auto"/>
                <w:szCs w:val="21"/>
              </w:rPr>
              <w:t xml:space="preserve">乙方（章）              </w:t>
            </w:r>
          </w:p>
          <w:p>
            <w:pPr>
              <w:snapToGrid w:val="0"/>
              <w:spacing w:line="360" w:lineRule="exact"/>
              <w:jc w:val="right"/>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trPr>
        <w:tc>
          <w:tcPr>
            <w:tcW w:w="4667" w:type="dxa"/>
            <w:vAlign w:val="center"/>
          </w:tcPr>
          <w:p>
            <w:pPr>
              <w:snapToGrid w:val="0"/>
              <w:spacing w:line="360" w:lineRule="exact"/>
              <w:rPr>
                <w:color w:val="auto"/>
                <w:szCs w:val="21"/>
              </w:rPr>
            </w:pPr>
            <w:r>
              <w:rPr>
                <w:color w:val="auto"/>
                <w:szCs w:val="21"/>
              </w:rPr>
              <w:t>单位地址：</w:t>
            </w:r>
          </w:p>
        </w:tc>
        <w:tc>
          <w:tcPr>
            <w:tcW w:w="4932" w:type="dxa"/>
            <w:vAlign w:val="center"/>
          </w:tcPr>
          <w:p>
            <w:pPr>
              <w:snapToGrid w:val="0"/>
              <w:spacing w:line="360" w:lineRule="exact"/>
              <w:rPr>
                <w:color w:val="auto"/>
                <w:szCs w:val="21"/>
              </w:rPr>
            </w:pPr>
            <w:r>
              <w:rPr>
                <w:color w:val="auto"/>
                <w:szCs w:val="21"/>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4667" w:type="dxa"/>
            <w:vAlign w:val="center"/>
          </w:tcPr>
          <w:p>
            <w:pPr>
              <w:snapToGrid w:val="0"/>
              <w:spacing w:line="360" w:lineRule="exact"/>
              <w:rPr>
                <w:color w:val="auto"/>
                <w:szCs w:val="21"/>
              </w:rPr>
            </w:pPr>
            <w:r>
              <w:rPr>
                <w:color w:val="auto"/>
                <w:szCs w:val="21"/>
              </w:rPr>
              <w:t>法定代表人：</w:t>
            </w:r>
          </w:p>
        </w:tc>
        <w:tc>
          <w:tcPr>
            <w:tcW w:w="4932" w:type="dxa"/>
            <w:vAlign w:val="center"/>
          </w:tcPr>
          <w:p>
            <w:pPr>
              <w:snapToGrid w:val="0"/>
              <w:spacing w:line="360" w:lineRule="exact"/>
              <w:rPr>
                <w:color w:val="auto"/>
                <w:szCs w:val="21"/>
              </w:rPr>
            </w:pPr>
            <w:r>
              <w:rPr>
                <w:color w:val="auto"/>
                <w:szCs w:val="21"/>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4667" w:type="dxa"/>
            <w:vAlign w:val="center"/>
          </w:tcPr>
          <w:p>
            <w:pPr>
              <w:snapToGrid w:val="0"/>
              <w:spacing w:line="360" w:lineRule="exact"/>
              <w:rPr>
                <w:color w:val="auto"/>
                <w:szCs w:val="21"/>
              </w:rPr>
            </w:pPr>
            <w:r>
              <w:rPr>
                <w:color w:val="auto"/>
                <w:szCs w:val="21"/>
              </w:rPr>
              <w:t>委托代理人：</w:t>
            </w:r>
          </w:p>
        </w:tc>
        <w:tc>
          <w:tcPr>
            <w:tcW w:w="4932" w:type="dxa"/>
            <w:vAlign w:val="center"/>
          </w:tcPr>
          <w:p>
            <w:pPr>
              <w:snapToGrid w:val="0"/>
              <w:spacing w:line="360" w:lineRule="exact"/>
              <w:rPr>
                <w:color w:val="auto"/>
                <w:szCs w:val="21"/>
              </w:rPr>
            </w:pPr>
            <w:r>
              <w:rPr>
                <w:color w:val="auto"/>
                <w:szCs w:val="21"/>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7" w:hRule="atLeast"/>
        </w:trPr>
        <w:tc>
          <w:tcPr>
            <w:tcW w:w="4667" w:type="dxa"/>
            <w:vAlign w:val="center"/>
          </w:tcPr>
          <w:p>
            <w:pPr>
              <w:snapToGrid w:val="0"/>
              <w:spacing w:line="360" w:lineRule="exact"/>
              <w:rPr>
                <w:color w:val="auto"/>
                <w:szCs w:val="21"/>
              </w:rPr>
            </w:pPr>
            <w:r>
              <w:rPr>
                <w:color w:val="auto"/>
                <w:szCs w:val="21"/>
              </w:rPr>
              <w:t>电话：</w:t>
            </w:r>
          </w:p>
        </w:tc>
        <w:tc>
          <w:tcPr>
            <w:tcW w:w="4932" w:type="dxa"/>
            <w:vAlign w:val="center"/>
          </w:tcPr>
          <w:p>
            <w:pPr>
              <w:snapToGrid w:val="0"/>
              <w:spacing w:line="360" w:lineRule="exact"/>
              <w:rPr>
                <w:color w:val="auto"/>
                <w:szCs w:val="21"/>
              </w:rPr>
            </w:pPr>
            <w:r>
              <w:rPr>
                <w:color w:val="auto"/>
                <w:szCs w:val="21"/>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trPr>
        <w:tc>
          <w:tcPr>
            <w:tcW w:w="4667" w:type="dxa"/>
            <w:vAlign w:val="center"/>
          </w:tcPr>
          <w:p>
            <w:pPr>
              <w:snapToGrid w:val="0"/>
              <w:spacing w:line="360" w:lineRule="exact"/>
              <w:rPr>
                <w:color w:val="auto"/>
                <w:szCs w:val="21"/>
              </w:rPr>
            </w:pPr>
            <w:r>
              <w:rPr>
                <w:color w:val="auto"/>
                <w:szCs w:val="21"/>
              </w:rPr>
              <w:t>电子邮箱：</w:t>
            </w:r>
          </w:p>
        </w:tc>
        <w:tc>
          <w:tcPr>
            <w:tcW w:w="4932" w:type="dxa"/>
            <w:vAlign w:val="center"/>
          </w:tcPr>
          <w:p>
            <w:pPr>
              <w:snapToGrid w:val="0"/>
              <w:spacing w:line="360" w:lineRule="exact"/>
              <w:rPr>
                <w:color w:val="auto"/>
                <w:szCs w:val="21"/>
              </w:rPr>
            </w:pPr>
            <w:r>
              <w:rPr>
                <w:color w:val="auto"/>
                <w:szCs w:val="21"/>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4667" w:type="dxa"/>
            <w:vAlign w:val="center"/>
          </w:tcPr>
          <w:p>
            <w:pPr>
              <w:snapToGrid w:val="0"/>
              <w:spacing w:line="360" w:lineRule="exact"/>
              <w:rPr>
                <w:color w:val="auto"/>
                <w:szCs w:val="21"/>
              </w:rPr>
            </w:pPr>
            <w:r>
              <w:rPr>
                <w:color w:val="auto"/>
                <w:szCs w:val="21"/>
              </w:rPr>
              <w:t>开户银行：</w:t>
            </w:r>
          </w:p>
        </w:tc>
        <w:tc>
          <w:tcPr>
            <w:tcW w:w="4932" w:type="dxa"/>
            <w:vAlign w:val="center"/>
          </w:tcPr>
          <w:p>
            <w:pPr>
              <w:snapToGrid w:val="0"/>
              <w:spacing w:line="360" w:lineRule="exact"/>
              <w:rPr>
                <w:color w:val="auto"/>
                <w:szCs w:val="21"/>
              </w:rPr>
            </w:pPr>
            <w:r>
              <w:rPr>
                <w:color w:val="auto"/>
                <w:szCs w:val="21"/>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atLeast"/>
        </w:trPr>
        <w:tc>
          <w:tcPr>
            <w:tcW w:w="4667" w:type="dxa"/>
            <w:vAlign w:val="center"/>
          </w:tcPr>
          <w:p>
            <w:pPr>
              <w:snapToGrid w:val="0"/>
              <w:spacing w:line="360" w:lineRule="exact"/>
              <w:rPr>
                <w:color w:val="auto"/>
                <w:szCs w:val="21"/>
              </w:rPr>
            </w:pPr>
            <w:r>
              <w:rPr>
                <w:color w:val="auto"/>
                <w:szCs w:val="21"/>
              </w:rPr>
              <w:t>账号：</w:t>
            </w:r>
          </w:p>
        </w:tc>
        <w:tc>
          <w:tcPr>
            <w:tcW w:w="4932" w:type="dxa"/>
            <w:vAlign w:val="center"/>
          </w:tcPr>
          <w:p>
            <w:pPr>
              <w:snapToGrid w:val="0"/>
              <w:spacing w:line="360" w:lineRule="exact"/>
              <w:rPr>
                <w:color w:val="auto"/>
                <w:szCs w:val="21"/>
              </w:rPr>
            </w:pPr>
            <w:r>
              <w:rPr>
                <w:color w:val="auto"/>
                <w:szCs w:val="21"/>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4667" w:type="dxa"/>
            <w:vAlign w:val="center"/>
          </w:tcPr>
          <w:p>
            <w:pPr>
              <w:snapToGrid w:val="0"/>
              <w:spacing w:line="360" w:lineRule="exact"/>
              <w:rPr>
                <w:color w:val="auto"/>
                <w:szCs w:val="21"/>
              </w:rPr>
            </w:pPr>
            <w:r>
              <w:rPr>
                <w:color w:val="auto"/>
                <w:szCs w:val="21"/>
              </w:rPr>
              <w:t>邮政编码：</w:t>
            </w:r>
          </w:p>
        </w:tc>
        <w:tc>
          <w:tcPr>
            <w:tcW w:w="4932" w:type="dxa"/>
            <w:vAlign w:val="center"/>
          </w:tcPr>
          <w:p>
            <w:pPr>
              <w:snapToGrid w:val="0"/>
              <w:spacing w:line="360" w:lineRule="exact"/>
              <w:rPr>
                <w:color w:val="auto"/>
                <w:szCs w:val="21"/>
              </w:rPr>
            </w:pPr>
            <w:r>
              <w:rPr>
                <w:color w:val="auto"/>
                <w:szCs w:val="21"/>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7" w:hRule="atLeast"/>
        </w:trPr>
        <w:tc>
          <w:tcPr>
            <w:tcW w:w="9599" w:type="dxa"/>
            <w:gridSpan w:val="2"/>
          </w:tcPr>
          <w:p>
            <w:pPr>
              <w:snapToGrid w:val="0"/>
              <w:spacing w:line="360" w:lineRule="exact"/>
              <w:rPr>
                <w:color w:val="auto"/>
                <w:szCs w:val="21"/>
              </w:rPr>
            </w:pPr>
            <w:r>
              <w:rPr>
                <w:color w:val="auto"/>
                <w:szCs w:val="21"/>
              </w:rPr>
              <w:t>经办人：</w:t>
            </w:r>
          </w:p>
          <w:p>
            <w:pPr>
              <w:snapToGrid w:val="0"/>
              <w:spacing w:line="360" w:lineRule="exact"/>
              <w:ind w:firstLine="630" w:firstLineChars="300"/>
              <w:jc w:val="right"/>
              <w:rPr>
                <w:color w:val="auto"/>
                <w:szCs w:val="21"/>
              </w:rPr>
            </w:pPr>
          </w:p>
          <w:p>
            <w:pPr>
              <w:snapToGrid w:val="0"/>
              <w:spacing w:line="360" w:lineRule="exact"/>
              <w:ind w:firstLine="630" w:firstLineChars="300"/>
              <w:jc w:val="right"/>
              <w:rPr>
                <w:color w:val="auto"/>
                <w:szCs w:val="21"/>
              </w:rPr>
            </w:pPr>
          </w:p>
          <w:p>
            <w:pPr>
              <w:snapToGrid w:val="0"/>
              <w:spacing w:line="360" w:lineRule="exact"/>
              <w:ind w:firstLine="630" w:firstLineChars="300"/>
              <w:jc w:val="right"/>
              <w:rPr>
                <w:color w:val="auto"/>
                <w:szCs w:val="21"/>
              </w:rPr>
            </w:pPr>
            <w:r>
              <w:rPr>
                <w:color w:val="auto"/>
                <w:szCs w:val="21"/>
              </w:rPr>
              <w:t>年    月    日</w:t>
            </w:r>
          </w:p>
        </w:tc>
      </w:tr>
    </w:tbl>
    <w:p>
      <w:pPr>
        <w:spacing w:before="120" w:line="320" w:lineRule="atLeast"/>
        <w:jc w:val="left"/>
        <w:outlineLvl w:val="1"/>
        <w:rPr>
          <w:b/>
          <w:bCs/>
          <w:color w:val="auto"/>
          <w:kern w:val="0"/>
          <w:szCs w:val="21"/>
        </w:rPr>
      </w:pPr>
      <w:r>
        <w:rPr>
          <w:color w:val="auto"/>
          <w:szCs w:val="21"/>
        </w:rPr>
        <w:br w:type="page"/>
      </w:r>
      <w:r>
        <w:rPr>
          <w:b/>
          <w:bCs/>
          <w:color w:val="auto"/>
          <w:kern w:val="0"/>
          <w:szCs w:val="21"/>
        </w:rPr>
        <w:t>合同附件1</w:t>
      </w:r>
    </w:p>
    <w:p>
      <w:pPr>
        <w:spacing w:before="120" w:line="320" w:lineRule="atLeast"/>
        <w:jc w:val="left"/>
        <w:outlineLvl w:val="1"/>
        <w:rPr>
          <w:b/>
          <w:bCs/>
          <w:color w:val="auto"/>
          <w:kern w:val="0"/>
          <w:szCs w:val="21"/>
        </w:rPr>
      </w:pPr>
      <w:r>
        <w:rPr>
          <w:b/>
          <w:bCs/>
          <w:color w:val="auto"/>
          <w:kern w:val="0"/>
          <w:szCs w:val="21"/>
        </w:rPr>
        <w:t>合同附件2</w:t>
      </w:r>
    </w:p>
    <w:p>
      <w:pPr>
        <w:snapToGrid w:val="0"/>
        <w:spacing w:line="360" w:lineRule="exact"/>
        <w:jc w:val="center"/>
        <w:rPr>
          <w:b/>
          <w:bCs/>
          <w:color w:val="auto"/>
          <w:szCs w:val="21"/>
        </w:rPr>
      </w:pPr>
      <w:bookmarkStart w:id="77" w:name="_Hlk80978015"/>
    </w:p>
    <w:p>
      <w:pPr>
        <w:snapToGrid w:val="0"/>
        <w:spacing w:line="360" w:lineRule="exact"/>
        <w:jc w:val="center"/>
        <w:rPr>
          <w:b/>
          <w:bCs/>
          <w:color w:val="auto"/>
          <w:szCs w:val="21"/>
        </w:rPr>
      </w:pPr>
      <w:bookmarkStart w:id="78" w:name="_Hlk77607667"/>
      <w:r>
        <w:rPr>
          <w:b/>
          <w:bCs/>
          <w:color w:val="auto"/>
          <w:szCs w:val="21"/>
        </w:rPr>
        <w:t>履约</w:t>
      </w:r>
      <w:r>
        <w:rPr>
          <w:rFonts w:hint="eastAsia"/>
          <w:b/>
          <w:bCs/>
          <w:color w:val="auto"/>
          <w:szCs w:val="21"/>
        </w:rPr>
        <w:t>验收方案</w:t>
      </w:r>
    </w:p>
    <w:p>
      <w:pPr>
        <w:widowControl/>
        <w:jc w:val="left"/>
        <w:rPr>
          <w:color w:val="auto"/>
          <w:szCs w:val="21"/>
        </w:rPr>
      </w:pPr>
    </w:p>
    <w:p>
      <w:pPr>
        <w:spacing w:before="120" w:line="320" w:lineRule="exact"/>
        <w:jc w:val="left"/>
        <w:rPr>
          <w:rFonts w:ascii="宋体" w:hAnsi="宋体" w:cs="宋体"/>
          <w:b/>
          <w:bCs/>
          <w:color w:val="auto"/>
          <w:szCs w:val="21"/>
        </w:rPr>
      </w:pPr>
      <w:r>
        <w:rPr>
          <w:rFonts w:hint="eastAsia" w:ascii="宋体" w:hAnsi="宋体" w:cs="宋体"/>
          <w:b/>
          <w:bCs/>
          <w:color w:val="auto"/>
          <w:szCs w:val="21"/>
        </w:rPr>
        <w:t>1.履约验收工作参加人员</w:t>
      </w:r>
    </w:p>
    <w:p>
      <w:pPr>
        <w:spacing w:before="120" w:line="320" w:lineRule="exact"/>
        <w:jc w:val="left"/>
        <w:rPr>
          <w:rFonts w:ascii="宋体" w:hAnsi="宋体" w:cs="宋体"/>
          <w:color w:val="auto"/>
          <w:szCs w:val="21"/>
        </w:rPr>
      </w:pPr>
      <w:r>
        <w:rPr>
          <w:rFonts w:hint="eastAsia" w:ascii="宋体" w:hAnsi="宋体" w:cs="宋体"/>
          <w:b/>
          <w:bCs/>
          <w:color w:val="auto"/>
          <w:szCs w:val="21"/>
        </w:rPr>
        <w:t>1.1履约验收主体单位</w:t>
      </w:r>
    </w:p>
    <w:p>
      <w:pPr>
        <w:spacing w:before="120" w:line="320" w:lineRule="exact"/>
        <w:ind w:firstLine="420" w:firstLineChars="200"/>
        <w:jc w:val="left"/>
        <w:rPr>
          <w:rFonts w:ascii="宋体" w:hAnsi="宋体" w:cs="宋体"/>
          <w:color w:val="auto"/>
          <w:szCs w:val="21"/>
          <w:u w:val="single"/>
        </w:rPr>
      </w:pPr>
      <w:r>
        <w:rPr>
          <w:rStyle w:val="59"/>
          <w:rFonts w:hint="eastAsia"/>
          <w:color w:val="auto"/>
        </w:rPr>
        <w:t>采购人或采购人委托的机构（如委托第三方机构签订，应注明收费方式）</w:t>
      </w:r>
    </w:p>
    <w:p>
      <w:pPr>
        <w:spacing w:before="120" w:line="320" w:lineRule="exact"/>
        <w:jc w:val="left"/>
        <w:rPr>
          <w:rFonts w:ascii="宋体" w:hAnsi="宋体" w:cs="宋体"/>
          <w:color w:val="auto"/>
          <w:szCs w:val="21"/>
        </w:rPr>
      </w:pPr>
      <w:r>
        <w:rPr>
          <w:rFonts w:hint="eastAsia" w:ascii="宋体" w:hAnsi="宋体" w:cs="宋体"/>
          <w:b/>
          <w:bCs/>
          <w:color w:val="auto"/>
          <w:szCs w:val="21"/>
        </w:rPr>
        <w:t>1.2履约验收参加人员</w:t>
      </w:r>
    </w:p>
    <w:p>
      <w:pPr>
        <w:spacing w:before="120" w:line="320" w:lineRule="exact"/>
        <w:ind w:firstLine="420" w:firstLineChars="200"/>
        <w:jc w:val="left"/>
        <w:rPr>
          <w:rFonts w:ascii="宋体" w:hAnsi="宋体" w:cs="宋体"/>
          <w:color w:val="auto"/>
          <w:szCs w:val="21"/>
          <w:u w:val="single"/>
        </w:rPr>
      </w:pPr>
      <w:r>
        <w:rPr>
          <w:rFonts w:hint="eastAsia"/>
          <w:color w:val="auto"/>
        </w:rPr>
        <w:t>采购人代表、委托机构代表、成交供应商代表及采购人邀请的其他人员</w:t>
      </w:r>
    </w:p>
    <w:p>
      <w:pPr>
        <w:spacing w:before="120" w:line="320" w:lineRule="exact"/>
        <w:jc w:val="left"/>
        <w:rPr>
          <w:rFonts w:ascii="宋体" w:hAnsi="宋体" w:cs="宋体"/>
          <w:b/>
          <w:bCs/>
          <w:color w:val="auto"/>
          <w:szCs w:val="21"/>
        </w:rPr>
      </w:pPr>
      <w:r>
        <w:rPr>
          <w:rFonts w:hint="eastAsia" w:ascii="宋体" w:hAnsi="宋体" w:cs="宋体"/>
          <w:b/>
          <w:bCs/>
          <w:color w:val="auto"/>
          <w:szCs w:val="21"/>
        </w:rPr>
        <w:t>2.履约验收时间</w:t>
      </w:r>
    </w:p>
    <w:p>
      <w:pPr>
        <w:spacing w:before="120" w:line="320" w:lineRule="exact"/>
        <w:jc w:val="left"/>
        <w:rPr>
          <w:rFonts w:ascii="宋体" w:hAnsi="宋体" w:cs="宋体"/>
          <w:color w:val="auto"/>
          <w:szCs w:val="21"/>
        </w:rPr>
      </w:pPr>
      <w:r>
        <w:rPr>
          <w:rFonts w:hint="eastAsia" w:ascii="宋体" w:hAnsi="宋体" w:cs="宋体"/>
          <w:color w:val="auto"/>
          <w:szCs w:val="21"/>
        </w:rPr>
        <w:t>20XX年XX月XX日</w:t>
      </w:r>
    </w:p>
    <w:p>
      <w:pPr>
        <w:spacing w:before="120" w:line="320" w:lineRule="exact"/>
        <w:jc w:val="left"/>
        <w:rPr>
          <w:rFonts w:ascii="宋体" w:hAnsi="宋体" w:cs="宋体"/>
          <w:b/>
          <w:bCs/>
          <w:color w:val="auto"/>
          <w:szCs w:val="21"/>
        </w:rPr>
      </w:pPr>
      <w:r>
        <w:rPr>
          <w:rFonts w:hint="eastAsia" w:ascii="宋体" w:hAnsi="宋体" w:cs="宋体"/>
          <w:b/>
          <w:bCs/>
          <w:color w:val="auto"/>
          <w:szCs w:val="21"/>
        </w:rPr>
        <w:t>3.履约验收地点</w:t>
      </w:r>
    </w:p>
    <w:p>
      <w:pPr>
        <w:spacing w:before="120" w:line="320" w:lineRule="exact"/>
        <w:jc w:val="left"/>
        <w:rPr>
          <w:rFonts w:ascii="宋体" w:hAnsi="宋体" w:cs="宋体"/>
          <w:color w:val="auto"/>
          <w:szCs w:val="21"/>
        </w:rPr>
      </w:pPr>
      <w:r>
        <w:rPr>
          <w:rFonts w:hint="eastAsia" w:ascii="宋体" w:hAnsi="宋体" w:cs="宋体"/>
          <w:color w:val="auto"/>
          <w:szCs w:val="21"/>
        </w:rPr>
        <w:t>XX市XX区XX路XX号</w:t>
      </w:r>
    </w:p>
    <w:p>
      <w:pPr>
        <w:spacing w:before="120" w:line="320" w:lineRule="exact"/>
        <w:jc w:val="left"/>
        <w:rPr>
          <w:rFonts w:ascii="宋体" w:hAnsi="宋体" w:cs="宋体"/>
          <w:b/>
          <w:bCs/>
          <w:color w:val="auto"/>
          <w:szCs w:val="21"/>
        </w:rPr>
      </w:pPr>
      <w:r>
        <w:rPr>
          <w:rFonts w:hint="eastAsia" w:ascii="宋体" w:hAnsi="宋体" w:cs="宋体"/>
          <w:b/>
          <w:bCs/>
          <w:color w:val="auto"/>
          <w:szCs w:val="21"/>
        </w:rPr>
        <w:t>4.履约验收方式</w:t>
      </w:r>
    </w:p>
    <w:p>
      <w:pPr>
        <w:spacing w:before="120" w:line="320" w:lineRule="exact"/>
        <w:jc w:val="left"/>
        <w:rPr>
          <w:rFonts w:ascii="宋体" w:hAnsi="宋体" w:cs="宋体"/>
          <w:b/>
          <w:bCs/>
          <w:color w:val="auto"/>
          <w:szCs w:val="21"/>
        </w:rPr>
      </w:pPr>
      <w:r>
        <w:rPr>
          <w:rFonts w:hint="eastAsia" w:ascii="宋体" w:hAnsi="宋体" w:cs="宋体"/>
          <w:color w:val="auto"/>
          <w:szCs w:val="21"/>
        </w:rPr>
        <w:t>采购人自行验收</w:t>
      </w:r>
    </w:p>
    <w:p>
      <w:pPr>
        <w:spacing w:before="120" w:line="320" w:lineRule="exact"/>
        <w:jc w:val="left"/>
        <w:rPr>
          <w:rFonts w:ascii="宋体" w:hAnsi="宋体" w:cs="宋体"/>
          <w:b/>
          <w:bCs/>
          <w:color w:val="auto"/>
          <w:szCs w:val="21"/>
        </w:rPr>
      </w:pPr>
      <w:r>
        <w:rPr>
          <w:rFonts w:hint="eastAsia" w:ascii="宋体" w:hAnsi="宋体" w:cs="宋体"/>
          <w:b/>
          <w:bCs/>
          <w:color w:val="auto"/>
          <w:szCs w:val="21"/>
        </w:rPr>
        <w:t>5.履约验收程序</w:t>
      </w:r>
    </w:p>
    <w:p>
      <w:pPr>
        <w:spacing w:before="120" w:line="320" w:lineRule="exact"/>
        <w:jc w:val="left"/>
        <w:rPr>
          <w:rFonts w:ascii="宋体" w:hAnsi="宋体" w:cs="宋体"/>
          <w:b/>
          <w:bCs/>
          <w:color w:val="auto"/>
          <w:szCs w:val="21"/>
        </w:rPr>
      </w:pPr>
      <w:r>
        <w:rPr>
          <w:rFonts w:hint="eastAsia" w:ascii="宋体" w:hAnsi="宋体" w:cs="宋体"/>
          <w:b/>
          <w:bCs/>
          <w:color w:val="auto"/>
          <w:szCs w:val="21"/>
        </w:rPr>
        <w:t>5.1成立验收小组</w:t>
      </w:r>
    </w:p>
    <w:p>
      <w:pPr>
        <w:spacing w:before="120" w:line="320" w:lineRule="exact"/>
        <w:jc w:val="left"/>
        <w:rPr>
          <w:rFonts w:ascii="宋体" w:hAnsi="宋体" w:cs="宋体"/>
          <w:b/>
          <w:bCs/>
          <w:color w:val="auto"/>
          <w:szCs w:val="21"/>
        </w:rPr>
      </w:pPr>
      <w:r>
        <w:rPr>
          <w:rFonts w:hint="eastAsia" w:ascii="宋体" w:hAnsi="宋体" w:cs="宋体"/>
          <w:b/>
          <w:bCs/>
          <w:color w:val="auto"/>
          <w:szCs w:val="21"/>
        </w:rPr>
        <w:t>5</w:t>
      </w:r>
      <w:r>
        <w:rPr>
          <w:rFonts w:ascii="宋体" w:hAnsi="宋体" w:cs="宋体"/>
          <w:b/>
          <w:bCs/>
          <w:color w:val="auto"/>
          <w:szCs w:val="21"/>
        </w:rPr>
        <w:t>.2</w:t>
      </w:r>
      <w:r>
        <w:rPr>
          <w:rFonts w:hint="eastAsia" w:ascii="宋体" w:hAnsi="宋体" w:cs="宋体"/>
          <w:b/>
          <w:bCs/>
          <w:color w:val="auto"/>
          <w:szCs w:val="21"/>
        </w:rPr>
        <w:t>量化验收标准</w:t>
      </w:r>
    </w:p>
    <w:p>
      <w:pPr>
        <w:spacing w:before="120" w:line="320" w:lineRule="exact"/>
        <w:jc w:val="left"/>
        <w:rPr>
          <w:rFonts w:ascii="宋体" w:hAnsi="宋体" w:cs="宋体"/>
          <w:b/>
          <w:bCs/>
          <w:color w:val="auto"/>
          <w:szCs w:val="21"/>
        </w:rPr>
      </w:pPr>
      <w:r>
        <w:rPr>
          <w:rFonts w:hint="eastAsia" w:ascii="宋体" w:hAnsi="宋体" w:cs="宋体"/>
          <w:b/>
          <w:bCs/>
          <w:color w:val="auto"/>
          <w:szCs w:val="21"/>
        </w:rPr>
        <w:t>5.</w:t>
      </w:r>
      <w:r>
        <w:rPr>
          <w:rFonts w:ascii="宋体" w:hAnsi="宋体" w:cs="宋体"/>
          <w:b/>
          <w:bCs/>
          <w:color w:val="auto"/>
          <w:szCs w:val="21"/>
        </w:rPr>
        <w:t>3</w:t>
      </w:r>
      <w:r>
        <w:rPr>
          <w:rFonts w:hint="eastAsia" w:ascii="宋体" w:hAnsi="宋体" w:cs="宋体"/>
          <w:b/>
          <w:bCs/>
          <w:color w:val="auto"/>
          <w:szCs w:val="21"/>
        </w:rPr>
        <w:t>组织验收</w:t>
      </w:r>
    </w:p>
    <w:p>
      <w:pPr>
        <w:spacing w:before="120" w:line="320" w:lineRule="exact"/>
        <w:jc w:val="left"/>
        <w:rPr>
          <w:rFonts w:ascii="宋体" w:hAnsi="宋体" w:cs="宋体"/>
          <w:b/>
          <w:bCs/>
          <w:color w:val="auto"/>
          <w:szCs w:val="21"/>
        </w:rPr>
      </w:pPr>
      <w:r>
        <w:rPr>
          <w:rFonts w:hint="eastAsia" w:ascii="宋体" w:hAnsi="宋体" w:cs="宋体"/>
          <w:b/>
          <w:bCs/>
          <w:color w:val="auto"/>
          <w:szCs w:val="21"/>
        </w:rPr>
        <w:t>5.</w:t>
      </w:r>
      <w:r>
        <w:rPr>
          <w:rFonts w:ascii="宋体" w:hAnsi="宋体" w:cs="宋体"/>
          <w:b/>
          <w:bCs/>
          <w:color w:val="auto"/>
          <w:szCs w:val="21"/>
        </w:rPr>
        <w:t>4</w:t>
      </w:r>
      <w:r>
        <w:rPr>
          <w:rFonts w:hint="eastAsia" w:ascii="宋体" w:hAnsi="宋体" w:cs="宋体"/>
          <w:b/>
          <w:bCs/>
          <w:color w:val="auto"/>
          <w:szCs w:val="21"/>
        </w:rPr>
        <w:t>出具验收报告</w:t>
      </w:r>
    </w:p>
    <w:p>
      <w:pPr>
        <w:spacing w:before="120" w:line="320" w:lineRule="exact"/>
        <w:jc w:val="left"/>
        <w:rPr>
          <w:rFonts w:ascii="宋体" w:hAnsi="宋体" w:cs="宋体"/>
          <w:b/>
          <w:bCs/>
          <w:color w:val="auto"/>
          <w:szCs w:val="21"/>
        </w:rPr>
      </w:pPr>
      <w:r>
        <w:rPr>
          <w:rFonts w:hint="eastAsia" w:ascii="宋体" w:hAnsi="宋体" w:cs="宋体"/>
          <w:b/>
          <w:bCs/>
          <w:color w:val="auto"/>
          <w:szCs w:val="21"/>
        </w:rPr>
        <w:t>5.</w:t>
      </w:r>
      <w:r>
        <w:rPr>
          <w:rFonts w:ascii="宋体" w:hAnsi="宋体" w:cs="宋体"/>
          <w:b/>
          <w:bCs/>
          <w:color w:val="auto"/>
          <w:szCs w:val="21"/>
        </w:rPr>
        <w:t>5</w:t>
      </w:r>
      <w:r>
        <w:rPr>
          <w:rFonts w:hint="eastAsia" w:ascii="宋体" w:hAnsi="宋体" w:cs="宋体"/>
          <w:b/>
          <w:bCs/>
          <w:color w:val="auto"/>
          <w:szCs w:val="21"/>
        </w:rPr>
        <w:t>验收结果公告</w:t>
      </w:r>
    </w:p>
    <w:p>
      <w:pPr>
        <w:spacing w:before="120" w:line="320" w:lineRule="exact"/>
        <w:jc w:val="left"/>
        <w:rPr>
          <w:rFonts w:ascii="宋体" w:hAnsi="宋体" w:cs="宋体"/>
          <w:b/>
          <w:bCs/>
          <w:color w:val="auto"/>
          <w:szCs w:val="21"/>
        </w:rPr>
      </w:pPr>
      <w:r>
        <w:rPr>
          <w:rFonts w:hint="eastAsia" w:ascii="宋体" w:hAnsi="宋体" w:cs="宋体"/>
          <w:b/>
          <w:bCs/>
          <w:color w:val="auto"/>
          <w:szCs w:val="21"/>
        </w:rPr>
        <w:t>5.</w:t>
      </w:r>
      <w:r>
        <w:rPr>
          <w:rFonts w:ascii="宋体" w:hAnsi="宋体" w:cs="宋体"/>
          <w:b/>
          <w:bCs/>
          <w:color w:val="auto"/>
          <w:szCs w:val="21"/>
        </w:rPr>
        <w:t>6</w:t>
      </w:r>
      <w:r>
        <w:rPr>
          <w:rFonts w:hint="eastAsia" w:ascii="宋体" w:hAnsi="宋体" w:cs="宋体"/>
          <w:b/>
          <w:bCs/>
          <w:color w:val="auto"/>
          <w:szCs w:val="21"/>
        </w:rPr>
        <w:t>验收资料归档</w:t>
      </w:r>
    </w:p>
    <w:p>
      <w:pPr>
        <w:spacing w:before="120" w:line="320" w:lineRule="exact"/>
        <w:ind w:firstLine="420" w:firstLineChars="200"/>
        <w:jc w:val="left"/>
        <w:rPr>
          <w:rFonts w:ascii="宋体" w:hAnsi="宋体" w:cs="宋体"/>
          <w:color w:val="auto"/>
          <w:szCs w:val="21"/>
        </w:rPr>
      </w:pPr>
      <w:r>
        <w:rPr>
          <w:rFonts w:hint="eastAsia" w:ascii="宋体" w:hAnsi="宋体" w:cs="宋体"/>
          <w:color w:val="auto"/>
          <w:szCs w:val="21"/>
        </w:rPr>
        <w:t>采购合同项目完成验收后，采购人整理好验收原始记录、验收书等资料后妥善保管，不得变造、隐匿或者销毁，验收资料保存期为采购结束之日起至少保存15年。</w:t>
      </w:r>
    </w:p>
    <w:p>
      <w:pPr>
        <w:spacing w:before="120" w:line="320" w:lineRule="exact"/>
        <w:jc w:val="left"/>
        <w:rPr>
          <w:rFonts w:ascii="宋体" w:hAnsi="宋体" w:cs="宋体"/>
          <w:b/>
          <w:bCs/>
          <w:iCs/>
          <w:color w:val="auto"/>
          <w:szCs w:val="21"/>
        </w:rPr>
      </w:pPr>
      <w:r>
        <w:rPr>
          <w:rFonts w:hint="eastAsia" w:ascii="宋体" w:hAnsi="宋体" w:cs="宋体"/>
          <w:b/>
          <w:bCs/>
          <w:color w:val="auto"/>
          <w:szCs w:val="21"/>
        </w:rPr>
        <w:t>6.履约验收内容</w:t>
      </w:r>
    </w:p>
    <w:p>
      <w:pPr>
        <w:spacing w:before="120" w:line="320" w:lineRule="exact"/>
        <w:jc w:val="left"/>
        <w:rPr>
          <w:rFonts w:ascii="宋体" w:hAnsi="宋体" w:cs="宋体"/>
          <w:iCs/>
          <w:color w:val="auto"/>
          <w:szCs w:val="21"/>
        </w:rPr>
      </w:pPr>
      <w:r>
        <w:rPr>
          <w:rFonts w:hint="eastAsia" w:ascii="宋体" w:hAnsi="宋体" w:cs="宋体"/>
          <w:b/>
          <w:bCs/>
          <w:color w:val="auto"/>
          <w:szCs w:val="21"/>
        </w:rPr>
        <w:t>6.1商务验收内容</w:t>
      </w:r>
    </w:p>
    <w:p>
      <w:pPr>
        <w:spacing w:before="120" w:line="320" w:lineRule="exact"/>
        <w:ind w:firstLine="420" w:firstLineChars="200"/>
        <w:jc w:val="left"/>
        <w:rPr>
          <w:rFonts w:ascii="宋体" w:hAnsi="宋体" w:eastAsia="Microsoft YaHei UI" w:cs="宋体"/>
          <w:color w:val="auto"/>
          <w:szCs w:val="21"/>
          <w:u w:val="single"/>
        </w:rPr>
      </w:pPr>
      <w:r>
        <w:rPr>
          <w:rFonts w:hint="eastAsia" w:ascii="宋体" w:hAnsi="宋体" w:cs="宋体"/>
          <w:color w:val="auto"/>
          <w:szCs w:val="21"/>
        </w:rPr>
        <w:t>对采购标的交付的情况、财务和服务要求，包括交付（实施）的时间（期限）和地点（范围），付款条件（进度和方式），包装和运输，售后服务，保险等进行验收。</w:t>
      </w:r>
    </w:p>
    <w:p>
      <w:pPr>
        <w:spacing w:before="120" w:line="320" w:lineRule="exact"/>
        <w:jc w:val="left"/>
        <w:rPr>
          <w:rFonts w:ascii="宋体" w:hAnsi="宋体" w:cs="宋体"/>
          <w:iCs/>
          <w:color w:val="auto"/>
          <w:szCs w:val="21"/>
        </w:rPr>
      </w:pPr>
      <w:r>
        <w:rPr>
          <w:rFonts w:hint="eastAsia" w:ascii="宋体" w:hAnsi="宋体" w:cs="宋体"/>
          <w:b/>
          <w:bCs/>
          <w:color w:val="auto"/>
          <w:szCs w:val="21"/>
        </w:rPr>
        <w:t>6.2技术验收内容</w:t>
      </w:r>
    </w:p>
    <w:p>
      <w:pPr>
        <w:spacing w:before="120" w:line="320" w:lineRule="exact"/>
        <w:ind w:firstLine="420" w:firstLineChars="200"/>
        <w:jc w:val="left"/>
        <w:rPr>
          <w:rFonts w:ascii="宋体" w:hAnsi="宋体" w:cs="宋体"/>
          <w:color w:val="auto"/>
          <w:szCs w:val="21"/>
          <w:u w:val="single"/>
        </w:rPr>
      </w:pPr>
      <w:r>
        <w:rPr>
          <w:rFonts w:hint="eastAsia" w:ascii="宋体" w:hAnsi="宋体" w:cs="宋体"/>
          <w:color w:val="auto"/>
          <w:szCs w:val="21"/>
        </w:rPr>
        <w:t>对采购标的的功能和质量要求，包括性能、材料、结构、外观、安全，或者服务内容和标准等进行验收。</w:t>
      </w:r>
    </w:p>
    <w:p>
      <w:pPr>
        <w:spacing w:before="120" w:line="320" w:lineRule="exact"/>
        <w:jc w:val="left"/>
        <w:rPr>
          <w:rFonts w:ascii="宋体" w:hAnsi="宋体" w:cs="宋体"/>
          <w:b/>
          <w:bCs/>
          <w:color w:val="auto"/>
          <w:szCs w:val="21"/>
        </w:rPr>
      </w:pPr>
      <w:r>
        <w:rPr>
          <w:rFonts w:hint="eastAsia" w:ascii="宋体" w:hAnsi="宋体" w:cs="宋体"/>
          <w:b/>
          <w:bCs/>
          <w:color w:val="auto"/>
          <w:szCs w:val="21"/>
        </w:rPr>
        <w:t>7.履约验收标准</w:t>
      </w:r>
    </w:p>
    <w:p>
      <w:pPr>
        <w:pStyle w:val="175"/>
        <w:spacing w:before="120" w:line="320" w:lineRule="exact"/>
        <w:ind w:firstLine="420"/>
        <w:rPr>
          <w:rFonts w:ascii="宋体" w:hAnsi="宋体" w:eastAsia="宋体" w:cs="宋体"/>
          <w:color w:val="auto"/>
          <w:sz w:val="21"/>
          <w:szCs w:val="21"/>
        </w:rPr>
      </w:pPr>
      <w:r>
        <w:rPr>
          <w:rFonts w:hint="eastAsia" w:ascii="宋体" w:hAnsi="宋体" w:eastAsia="宋体" w:cs="宋体"/>
          <w:color w:val="auto"/>
          <w:sz w:val="21"/>
          <w:szCs w:val="21"/>
        </w:rPr>
        <w:t>货物（服务）类验收标准：</w:t>
      </w:r>
    </w:p>
    <w:p>
      <w:pPr>
        <w:pStyle w:val="175"/>
        <w:spacing w:before="120" w:line="320" w:lineRule="exact"/>
        <w:ind w:firstLine="420"/>
        <w:rPr>
          <w:rFonts w:ascii="宋体" w:hAnsi="宋体" w:cs="宋体"/>
          <w:color w:val="auto"/>
          <w:sz w:val="21"/>
          <w:szCs w:val="21"/>
        </w:rPr>
      </w:pPr>
      <w:r>
        <w:rPr>
          <w:rFonts w:hint="eastAsia" w:ascii="等线" w:hAnsi="等线" w:eastAsia="等线" w:cs="等线"/>
          <w:color w:val="auto"/>
          <w:sz w:val="21"/>
          <w:szCs w:val="21"/>
        </w:rPr>
        <w:t>（1）中标（成交）供应商应提供完备的技术或服务资料、装箱单和合格证等。验收合格条件如下：</w:t>
      </w:r>
    </w:p>
    <w:p>
      <w:pPr>
        <w:spacing w:before="120" w:line="320" w:lineRule="exact"/>
        <w:rPr>
          <w:rFonts w:ascii="宋体" w:hAnsi="宋体" w:cs="宋体"/>
          <w:color w:val="auto"/>
          <w:szCs w:val="21"/>
        </w:rPr>
      </w:pPr>
      <w:r>
        <w:rPr>
          <w:rFonts w:hint="eastAsia" w:ascii="宋体" w:hAnsi="宋体" w:cs="宋体"/>
          <w:color w:val="auto"/>
          <w:szCs w:val="21"/>
        </w:rPr>
        <w:t>服务技术参数与响应文件中响应表或证明材料一致，性能或指标达到规定的标准。否则，以服务技术参数与响应文件响应表参数或证明材料比较，按如下情况处理：</w:t>
      </w:r>
    </w:p>
    <w:p>
      <w:pPr>
        <w:spacing w:before="120" w:line="320" w:lineRule="exact"/>
        <w:rPr>
          <w:rFonts w:ascii="宋体" w:hAnsi="宋体" w:cs="宋体"/>
          <w:color w:val="auto"/>
          <w:szCs w:val="21"/>
        </w:rPr>
      </w:pPr>
      <w:r>
        <w:rPr>
          <w:rFonts w:hint="eastAsia" w:ascii="宋体" w:hAnsi="宋体" w:cs="宋体"/>
          <w:color w:val="auto"/>
          <w:szCs w:val="21"/>
        </w:rPr>
        <w:t>①供应商响应文件响应表或证明材料中满足或优于的技术参数，在验收时实际不满足技术参数要求的，视为供货商违约，采购人有权终止合同拒收货物，并追究供应商责任，同时报财政部门备案。</w:t>
      </w:r>
    </w:p>
    <w:p>
      <w:pPr>
        <w:spacing w:before="120" w:line="320" w:lineRule="exact"/>
        <w:rPr>
          <w:rFonts w:ascii="宋体" w:hAnsi="宋体" w:cs="宋体"/>
          <w:color w:val="auto"/>
          <w:szCs w:val="21"/>
        </w:rPr>
      </w:pPr>
      <w:r>
        <w:rPr>
          <w:rFonts w:hint="eastAsia" w:ascii="宋体" w:hAnsi="宋体" w:cs="宋体"/>
          <w:color w:val="auto"/>
          <w:szCs w:val="21"/>
        </w:rPr>
        <w:t>②供应商响应文件响应表或证明材料中优于的技术参数，在验收时实际仅满足并未优于技术参数要求的，视为供货商违约，采购人有权终止合同拒收货物，并追究供应商责任，同时报财政部门备案。</w:t>
      </w:r>
    </w:p>
    <w:p>
      <w:pPr>
        <w:spacing w:before="120" w:line="320" w:lineRule="exact"/>
        <w:rPr>
          <w:rFonts w:ascii="宋体" w:hAnsi="宋体" w:cs="宋体"/>
          <w:color w:val="auto"/>
          <w:szCs w:val="21"/>
        </w:rPr>
      </w:pPr>
      <w:r>
        <w:rPr>
          <w:rFonts w:hint="eastAsia" w:ascii="宋体" w:hAnsi="宋体" w:cs="宋体"/>
          <w:color w:val="auto"/>
          <w:szCs w:val="21"/>
        </w:rPr>
        <w:t xml:space="preserve">③供应商响应文件响应表或证明材料中不满足的技术参数，在验收时实际满足技术参数的要求，以满足技术参数的要求验收。 </w:t>
      </w:r>
    </w:p>
    <w:p>
      <w:pPr>
        <w:spacing w:before="120" w:line="320" w:lineRule="exact"/>
        <w:rPr>
          <w:rFonts w:ascii="宋体" w:hAnsi="宋体" w:cs="宋体"/>
          <w:color w:val="auto"/>
          <w:szCs w:val="21"/>
        </w:rPr>
      </w:pPr>
      <w:r>
        <w:rPr>
          <w:rFonts w:hint="eastAsia" w:ascii="宋体" w:hAnsi="宋体" w:cs="宋体"/>
          <w:color w:val="auto"/>
          <w:szCs w:val="21"/>
        </w:rPr>
        <w:t>④供应商响应文件响应表或证明材料中满足的技术参数，在验收时实际优于技术参数的要求，以满足技术参数的要求验收。</w:t>
      </w:r>
    </w:p>
    <w:p>
      <w:pPr>
        <w:spacing w:before="120" w:line="320" w:lineRule="exact"/>
        <w:rPr>
          <w:rFonts w:ascii="宋体" w:hAnsi="宋体" w:cs="宋体"/>
          <w:color w:val="auto"/>
          <w:szCs w:val="21"/>
        </w:rPr>
      </w:pPr>
      <w:r>
        <w:rPr>
          <w:rFonts w:hint="eastAsia" w:ascii="宋体" w:hAnsi="宋体" w:cs="宋体"/>
          <w:color w:val="auto"/>
          <w:szCs w:val="21"/>
        </w:rPr>
        <w:t>⑤供应商响应文件响应表或证明材料中优于的技术参数，在验收时实际也优于技术参数的要求，但没有达到响应表或证明材料中优于的程度，由采购人与供应商协商按是否满足要求验收。</w:t>
      </w:r>
    </w:p>
    <w:p>
      <w:pPr>
        <w:spacing w:before="120" w:line="320" w:lineRule="exact"/>
        <w:ind w:firstLine="420" w:firstLineChars="200"/>
        <w:jc w:val="left"/>
        <w:rPr>
          <w:rFonts w:ascii="宋体" w:hAnsi="宋体" w:cs="宋体"/>
          <w:color w:val="auto"/>
          <w:szCs w:val="21"/>
        </w:rPr>
      </w:pPr>
      <w:r>
        <w:rPr>
          <w:rFonts w:hint="eastAsia" w:ascii="宋体" w:hAnsi="宋体" w:cs="宋体"/>
          <w:color w:val="auto"/>
          <w:szCs w:val="21"/>
        </w:rPr>
        <w:t>（2）技术资料等资料齐全。</w:t>
      </w:r>
    </w:p>
    <w:p>
      <w:pPr>
        <w:spacing w:before="120" w:line="320" w:lineRule="exact"/>
        <w:ind w:firstLine="420" w:firstLineChars="200"/>
        <w:jc w:val="left"/>
        <w:rPr>
          <w:rFonts w:ascii="宋体" w:hAnsi="宋体" w:cs="宋体"/>
          <w:color w:val="auto"/>
          <w:szCs w:val="21"/>
        </w:rPr>
      </w:pPr>
      <w:r>
        <w:rPr>
          <w:rFonts w:hint="eastAsia" w:ascii="宋体" w:hAnsi="宋体" w:cs="宋体"/>
          <w:color w:val="auto"/>
          <w:szCs w:val="21"/>
        </w:rPr>
        <w:t>（3）在规定时间内完成服务及验收，并经采购人确认。</w:t>
      </w:r>
    </w:p>
    <w:p>
      <w:pPr>
        <w:spacing w:before="120" w:line="320" w:lineRule="exact"/>
        <w:ind w:firstLine="420" w:firstLineChars="200"/>
        <w:jc w:val="left"/>
        <w:rPr>
          <w:rFonts w:ascii="宋体" w:hAnsi="宋体" w:cs="宋体"/>
          <w:color w:val="auto"/>
          <w:szCs w:val="21"/>
        </w:rPr>
      </w:pPr>
      <w:r>
        <w:rPr>
          <w:rFonts w:hint="eastAsia" w:ascii="宋体" w:hAnsi="宋体" w:cs="宋体"/>
          <w:color w:val="auto"/>
          <w:szCs w:val="21"/>
        </w:rPr>
        <w:t>（4）成交供应商提供的服务未达到采购文件规定要求，且对采购人造成损失的，由成交供应商承担一切责任，并赔偿所造成的损失。</w:t>
      </w:r>
    </w:p>
    <w:p>
      <w:pPr>
        <w:spacing w:before="120" w:line="320" w:lineRule="exact"/>
        <w:ind w:firstLine="420" w:firstLineChars="200"/>
        <w:jc w:val="left"/>
        <w:rPr>
          <w:rFonts w:ascii="宋体" w:hAnsi="宋体" w:cs="宋体"/>
          <w:color w:val="auto"/>
          <w:szCs w:val="21"/>
        </w:rPr>
      </w:pPr>
      <w:r>
        <w:rPr>
          <w:rFonts w:hint="eastAsia" w:ascii="宋体" w:hAnsi="宋体" w:cs="宋体"/>
          <w:color w:val="auto"/>
          <w:szCs w:val="21"/>
        </w:rPr>
        <w:t>（5）产品包装材料归采购人所有。</w:t>
      </w:r>
    </w:p>
    <w:p>
      <w:pPr>
        <w:spacing w:before="120" w:line="320" w:lineRule="exact"/>
        <w:ind w:firstLine="420" w:firstLineChars="200"/>
        <w:jc w:val="left"/>
        <w:rPr>
          <w:rFonts w:ascii="宋体" w:hAnsi="宋体" w:cs="宋体"/>
          <w:color w:val="auto"/>
          <w:szCs w:val="21"/>
        </w:rPr>
      </w:pPr>
      <w:r>
        <w:rPr>
          <w:rFonts w:hint="eastAsia" w:ascii="宋体" w:hAnsi="宋体" w:cs="宋体"/>
          <w:color w:val="auto"/>
          <w:szCs w:val="21"/>
        </w:rPr>
        <w:t>（6）政府采购合同约定的其他要求及响应文件响应的其他标准。</w:t>
      </w:r>
    </w:p>
    <w:p>
      <w:pPr>
        <w:spacing w:before="120" w:line="320" w:lineRule="exact"/>
        <w:jc w:val="left"/>
        <w:rPr>
          <w:rFonts w:ascii="宋体" w:hAnsi="宋体" w:cs="宋体"/>
          <w:b/>
          <w:bCs/>
          <w:color w:val="auto"/>
          <w:szCs w:val="21"/>
        </w:rPr>
      </w:pPr>
      <w:r>
        <w:rPr>
          <w:rFonts w:hint="eastAsia" w:ascii="宋体" w:hAnsi="宋体" w:cs="宋体"/>
          <w:b/>
          <w:bCs/>
          <w:color w:val="auto"/>
          <w:szCs w:val="21"/>
        </w:rPr>
        <w:t>8.履约验收其他事项</w:t>
      </w:r>
    </w:p>
    <w:p>
      <w:pPr>
        <w:spacing w:before="120" w:line="320" w:lineRule="exact"/>
        <w:rPr>
          <w:rFonts w:ascii="仿宋" w:hAnsi="仿宋" w:eastAsia="仿宋"/>
          <w:color w:val="auto"/>
          <w:szCs w:val="21"/>
          <w:u w:val="single"/>
        </w:rPr>
      </w:pPr>
      <w:r>
        <w:rPr>
          <w:rFonts w:hint="eastAsia" w:ascii="仿宋" w:hAnsi="仿宋" w:eastAsia="仿宋"/>
          <w:color w:val="auto"/>
          <w:szCs w:val="21"/>
          <w:u w:val="single"/>
        </w:rPr>
        <w:br w:type="page"/>
      </w:r>
    </w:p>
    <w:bookmarkEnd w:id="77"/>
    <w:bookmarkEnd w:id="78"/>
    <w:p>
      <w:pPr>
        <w:snapToGrid w:val="0"/>
        <w:spacing w:line="360" w:lineRule="exact"/>
        <w:jc w:val="center"/>
        <w:rPr>
          <w:b/>
          <w:bCs/>
          <w:color w:val="auto"/>
          <w:szCs w:val="21"/>
        </w:rPr>
      </w:pPr>
      <w:r>
        <w:rPr>
          <w:b/>
          <w:bCs/>
          <w:color w:val="auto"/>
          <w:szCs w:val="21"/>
        </w:rPr>
        <w:t>广西壮族自治区政府采购项目合同验收书</w:t>
      </w:r>
    </w:p>
    <w:p>
      <w:pPr>
        <w:widowControl/>
        <w:snapToGrid w:val="0"/>
        <w:spacing w:before="100" w:beforeAutospacing="1" w:after="100" w:afterAutospacing="1" w:line="320" w:lineRule="exact"/>
        <w:ind w:left="-359" w:leftChars="-171" w:firstLine="420" w:firstLineChars="200"/>
        <w:jc w:val="left"/>
        <w:rPr>
          <w:color w:val="auto"/>
          <w:kern w:val="0"/>
          <w:szCs w:val="21"/>
        </w:rPr>
      </w:pPr>
      <w:r>
        <w:rPr>
          <w:color w:val="auto"/>
          <w:kern w:val="0"/>
          <w:szCs w:val="21"/>
        </w:rPr>
        <w:t>根据政府采购项目（</w:t>
      </w:r>
      <w:r>
        <w:rPr>
          <w:color w:val="auto"/>
          <w:kern w:val="0"/>
          <w:szCs w:val="21"/>
          <w:u w:val="single"/>
        </w:rPr>
        <w:t>采购合同编号：</w:t>
      </w:r>
      <w:r>
        <w:rPr>
          <w:rFonts w:hint="eastAsia" w:cs="Arial"/>
          <w:color w:val="auto"/>
          <w:szCs w:val="21"/>
          <w:u w:val="single"/>
        </w:rPr>
        <w:t xml:space="preserve">               </w:t>
      </w:r>
      <w:r>
        <w:rPr>
          <w:color w:val="auto"/>
          <w:kern w:val="0"/>
          <w:szCs w:val="21"/>
        </w:rPr>
        <w:t>）的约定，我单位对（</w:t>
      </w:r>
      <w:r>
        <w:rPr>
          <w:rFonts w:hint="eastAsia" w:cs="Arial"/>
          <w:color w:val="auto"/>
          <w:szCs w:val="21"/>
          <w:u w:val="single"/>
        </w:rPr>
        <w:t>XXXX采购项目</w:t>
      </w:r>
      <w:r>
        <w:rPr>
          <w:color w:val="auto"/>
          <w:kern w:val="0"/>
          <w:szCs w:val="21"/>
        </w:rPr>
        <w:t>）政府采购项目中标（或成交）供应商</w:t>
      </w:r>
      <w:r>
        <w:rPr>
          <w:rFonts w:hint="eastAsia"/>
          <w:color w:val="auto"/>
          <w:kern w:val="0"/>
          <w:szCs w:val="21"/>
          <w:u w:val="single"/>
        </w:rPr>
        <w:t>XX公司（填写供应商名称）</w:t>
      </w:r>
      <w:r>
        <w:rPr>
          <w:color w:val="auto"/>
          <w:kern w:val="0"/>
          <w:szCs w:val="21"/>
        </w:rPr>
        <w:t>提供的</w:t>
      </w:r>
      <w:r>
        <w:rPr>
          <w:rFonts w:hint="eastAsia"/>
          <w:color w:val="auto"/>
          <w:kern w:val="0"/>
          <w:szCs w:val="21"/>
        </w:rPr>
        <w:t>货物（或工程、服务）</w:t>
      </w:r>
      <w:r>
        <w:rPr>
          <w:color w:val="auto"/>
          <w:kern w:val="0"/>
          <w:szCs w:val="21"/>
        </w:rPr>
        <w:t>进行了验收，验收情况如下：</w:t>
      </w:r>
    </w:p>
    <w:tbl>
      <w:tblPr>
        <w:tblStyle w:val="52"/>
        <w:tblW w:w="962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661"/>
        <w:gridCol w:w="866"/>
        <w:gridCol w:w="977"/>
        <w:gridCol w:w="2263"/>
        <w:gridCol w:w="1608"/>
        <w:gridCol w:w="850"/>
        <w:gridCol w:w="242"/>
        <w:gridCol w:w="216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61" w:hRule="atLeast"/>
          <w:jc w:val="center"/>
        </w:trPr>
        <w:tc>
          <w:tcPr>
            <w:tcW w:w="2504" w:type="dxa"/>
            <w:gridSpan w:val="3"/>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ind w:left="-3" w:firstLine="4" w:firstLineChars="2"/>
              <w:jc w:val="center"/>
              <w:rPr>
                <w:color w:val="auto"/>
                <w:kern w:val="0"/>
                <w:szCs w:val="21"/>
              </w:rPr>
            </w:pPr>
            <w:r>
              <w:rPr>
                <w:color w:val="auto"/>
                <w:kern w:val="0"/>
                <w:szCs w:val="21"/>
              </w:rPr>
              <w:t>验收方式：</w:t>
            </w:r>
          </w:p>
        </w:tc>
        <w:tc>
          <w:tcPr>
            <w:tcW w:w="7123" w:type="dxa"/>
            <w:gridSpan w:val="5"/>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ind w:left="-3" w:firstLine="420" w:firstLineChars="200"/>
              <w:jc w:val="center"/>
              <w:rPr>
                <w:color w:val="auto"/>
                <w:kern w:val="0"/>
                <w:szCs w:val="21"/>
              </w:rPr>
            </w:pPr>
            <w:r>
              <w:rPr>
                <w:rFonts w:hint="eastAsia" w:cs="Arial"/>
                <w:color w:val="auto"/>
                <w:szCs w:val="21"/>
              </w:rPr>
              <w:t>□</w:t>
            </w:r>
            <w:r>
              <w:rPr>
                <w:color w:val="auto"/>
                <w:kern w:val="0"/>
                <w:szCs w:val="21"/>
              </w:rPr>
              <w:t>自行验收        </w:t>
            </w:r>
            <w:r>
              <w:rPr>
                <w:rFonts w:cs="Arial"/>
                <w:color w:val="auto"/>
                <w:szCs w:val="21"/>
              </w:rPr>
              <w:sym w:font="Wingdings 2" w:char="00A3"/>
            </w:r>
            <w:r>
              <w:rPr>
                <w:color w:val="auto"/>
                <w:kern w:val="0"/>
                <w:szCs w:val="21"/>
              </w:rPr>
              <w:t>委托验收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24" w:hRule="atLeast"/>
          <w:jc w:val="center"/>
        </w:trPr>
        <w:tc>
          <w:tcPr>
            <w:tcW w:w="661" w:type="dxa"/>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ind w:firstLine="2" w:firstLineChars="1"/>
              <w:jc w:val="center"/>
              <w:rPr>
                <w:color w:val="auto"/>
                <w:kern w:val="0"/>
                <w:szCs w:val="21"/>
              </w:rPr>
            </w:pPr>
            <w:r>
              <w:rPr>
                <w:color w:val="auto"/>
                <w:kern w:val="0"/>
                <w:szCs w:val="21"/>
              </w:rPr>
              <w:t>序号</w:t>
            </w:r>
          </w:p>
        </w:tc>
        <w:tc>
          <w:tcPr>
            <w:tcW w:w="1843" w:type="dxa"/>
            <w:gridSpan w:val="2"/>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ind w:left="-3" w:firstLine="2" w:firstLineChars="1"/>
              <w:jc w:val="center"/>
              <w:rPr>
                <w:color w:val="auto"/>
                <w:kern w:val="0"/>
                <w:szCs w:val="21"/>
              </w:rPr>
            </w:pPr>
            <w:r>
              <w:rPr>
                <w:color w:val="auto"/>
                <w:kern w:val="0"/>
                <w:szCs w:val="21"/>
              </w:rPr>
              <w:t>名  称</w:t>
            </w:r>
          </w:p>
        </w:tc>
        <w:tc>
          <w:tcPr>
            <w:tcW w:w="3871" w:type="dxa"/>
            <w:gridSpan w:val="2"/>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ind w:left="-3" w:firstLine="2" w:firstLineChars="1"/>
              <w:jc w:val="center"/>
              <w:rPr>
                <w:color w:val="auto"/>
                <w:kern w:val="0"/>
                <w:szCs w:val="21"/>
              </w:rPr>
            </w:pPr>
            <w:r>
              <w:rPr>
                <w:color w:val="auto"/>
                <w:kern w:val="0"/>
                <w:szCs w:val="21"/>
              </w:rPr>
              <w:t>服务内容、标准</w:t>
            </w:r>
          </w:p>
        </w:tc>
        <w:tc>
          <w:tcPr>
            <w:tcW w:w="850" w:type="dxa"/>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jc w:val="center"/>
              <w:rPr>
                <w:color w:val="auto"/>
                <w:kern w:val="0"/>
                <w:szCs w:val="21"/>
              </w:rPr>
            </w:pPr>
            <w:r>
              <w:rPr>
                <w:color w:val="auto"/>
                <w:kern w:val="0"/>
                <w:szCs w:val="21"/>
              </w:rPr>
              <w:t>数量</w:t>
            </w:r>
          </w:p>
        </w:tc>
        <w:tc>
          <w:tcPr>
            <w:tcW w:w="2402" w:type="dxa"/>
            <w:gridSpan w:val="2"/>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ind w:left="-3" w:firstLine="2" w:firstLineChars="1"/>
              <w:jc w:val="center"/>
              <w:rPr>
                <w:color w:val="auto"/>
                <w:kern w:val="0"/>
                <w:szCs w:val="21"/>
              </w:rPr>
            </w:pPr>
            <w:r>
              <w:rPr>
                <w:color w:val="auto"/>
                <w:kern w:val="0"/>
                <w:szCs w:val="21"/>
              </w:rPr>
              <w:t>金  额</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661" w:type="dxa"/>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ind w:left="-3" w:firstLine="4" w:firstLineChars="2"/>
              <w:jc w:val="center"/>
              <w:rPr>
                <w:color w:val="auto"/>
                <w:kern w:val="0"/>
                <w:szCs w:val="21"/>
              </w:rPr>
            </w:pPr>
            <w:r>
              <w:rPr>
                <w:rFonts w:hint="eastAsia"/>
                <w:color w:val="auto"/>
                <w:kern w:val="0"/>
                <w:szCs w:val="21"/>
              </w:rPr>
              <w:t>1</w:t>
            </w:r>
          </w:p>
        </w:tc>
        <w:tc>
          <w:tcPr>
            <w:tcW w:w="1843" w:type="dxa"/>
            <w:gridSpan w:val="2"/>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ind w:left="-3" w:firstLine="420" w:firstLineChars="200"/>
              <w:jc w:val="left"/>
              <w:rPr>
                <w:color w:val="auto"/>
                <w:kern w:val="0"/>
                <w:szCs w:val="21"/>
              </w:rPr>
            </w:pPr>
            <w:r>
              <w:rPr>
                <w:rFonts w:hint="eastAsia"/>
                <w:color w:val="auto"/>
                <w:kern w:val="0"/>
                <w:szCs w:val="21"/>
              </w:rPr>
              <w:t>XXXX</w:t>
            </w:r>
          </w:p>
        </w:tc>
        <w:tc>
          <w:tcPr>
            <w:tcW w:w="3871" w:type="dxa"/>
            <w:gridSpan w:val="2"/>
            <w:tcBorders>
              <w:top w:val="single" w:color="auto" w:sz="8" w:space="0"/>
              <w:left w:val="single" w:color="auto" w:sz="8" w:space="0"/>
              <w:bottom w:val="single" w:color="auto" w:sz="8" w:space="0"/>
              <w:right w:val="single" w:color="auto" w:sz="8" w:space="0"/>
            </w:tcBorders>
            <w:vAlign w:val="center"/>
          </w:tcPr>
          <w:p>
            <w:pPr>
              <w:pStyle w:val="177"/>
              <w:ind w:firstLine="0" w:firstLineChars="0"/>
              <w:rPr>
                <w:color w:val="auto"/>
                <w:kern w:val="0"/>
                <w:szCs w:val="21"/>
              </w:rPr>
            </w:pPr>
          </w:p>
        </w:tc>
        <w:tc>
          <w:tcPr>
            <w:tcW w:w="850" w:type="dxa"/>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jc w:val="center"/>
              <w:rPr>
                <w:color w:val="auto"/>
                <w:kern w:val="0"/>
                <w:szCs w:val="21"/>
              </w:rPr>
            </w:pPr>
          </w:p>
        </w:tc>
        <w:tc>
          <w:tcPr>
            <w:tcW w:w="2402" w:type="dxa"/>
            <w:gridSpan w:val="2"/>
            <w:tcBorders>
              <w:top w:val="single" w:color="auto" w:sz="8" w:space="0"/>
              <w:left w:val="single" w:color="auto" w:sz="8" w:space="0"/>
              <w:bottom w:val="single" w:color="auto" w:sz="8" w:space="0"/>
              <w:right w:val="single" w:color="auto" w:sz="8" w:space="0"/>
            </w:tcBorders>
            <w:vAlign w:val="center"/>
          </w:tcPr>
          <w:p>
            <w:pPr>
              <w:pStyle w:val="177"/>
              <w:ind w:firstLine="0" w:firstLineChars="0"/>
              <w:jc w:val="center"/>
              <w:rPr>
                <w:color w:val="auto"/>
                <w:kern w:val="0"/>
                <w:szCs w:val="21"/>
              </w:rPr>
            </w:pPr>
            <w:r>
              <w:rPr>
                <w:color w:val="auto"/>
                <w:kern w:val="0"/>
                <w:szCs w:val="21"/>
              </w:rPr>
              <w:t>¥0.00元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6375" w:type="dxa"/>
            <w:gridSpan w:val="5"/>
            <w:tcBorders>
              <w:top w:val="single" w:color="auto" w:sz="8" w:space="0"/>
              <w:left w:val="single" w:color="auto" w:sz="8" w:space="0"/>
              <w:bottom w:val="single" w:color="auto" w:sz="8" w:space="0"/>
              <w:right w:val="single" w:color="auto" w:sz="8" w:space="0"/>
            </w:tcBorders>
            <w:vAlign w:val="center"/>
          </w:tcPr>
          <w:p>
            <w:pPr>
              <w:pStyle w:val="177"/>
              <w:ind w:firstLine="0" w:firstLineChars="0"/>
              <w:jc w:val="center"/>
              <w:rPr>
                <w:color w:val="auto"/>
                <w:kern w:val="0"/>
                <w:szCs w:val="21"/>
              </w:rPr>
            </w:pPr>
            <w:r>
              <w:rPr>
                <w:rFonts w:hint="eastAsia"/>
                <w:color w:val="auto"/>
                <w:kern w:val="0"/>
                <w:szCs w:val="21"/>
              </w:rPr>
              <w:t>合 计</w:t>
            </w:r>
          </w:p>
        </w:tc>
        <w:tc>
          <w:tcPr>
            <w:tcW w:w="850" w:type="dxa"/>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jc w:val="center"/>
              <w:rPr>
                <w:color w:val="auto"/>
                <w:kern w:val="0"/>
                <w:szCs w:val="21"/>
              </w:rPr>
            </w:pPr>
          </w:p>
        </w:tc>
        <w:tc>
          <w:tcPr>
            <w:tcW w:w="2402" w:type="dxa"/>
            <w:gridSpan w:val="2"/>
            <w:tcBorders>
              <w:top w:val="single" w:color="auto" w:sz="8" w:space="0"/>
              <w:left w:val="single" w:color="auto" w:sz="8" w:space="0"/>
              <w:bottom w:val="single" w:color="auto" w:sz="8" w:space="0"/>
              <w:right w:val="single" w:color="auto" w:sz="8" w:space="0"/>
            </w:tcBorders>
            <w:vAlign w:val="center"/>
          </w:tcPr>
          <w:p>
            <w:pPr>
              <w:pStyle w:val="177"/>
              <w:ind w:firstLine="0" w:firstLineChars="0"/>
              <w:jc w:val="center"/>
              <w:rPr>
                <w:color w:val="auto"/>
                <w:kern w:val="0"/>
                <w:szCs w:val="21"/>
              </w:rPr>
            </w:pPr>
            <w:r>
              <w:rPr>
                <w:color w:val="auto"/>
                <w:kern w:val="0"/>
                <w:szCs w:val="21"/>
              </w:rPr>
              <w:t>¥0.00元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55" w:hRule="atLeast"/>
          <w:jc w:val="center"/>
        </w:trPr>
        <w:tc>
          <w:tcPr>
            <w:tcW w:w="9627" w:type="dxa"/>
            <w:gridSpan w:val="8"/>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ind w:firstLine="2" w:firstLineChars="1"/>
              <w:jc w:val="left"/>
              <w:rPr>
                <w:color w:val="auto"/>
                <w:kern w:val="0"/>
                <w:szCs w:val="21"/>
              </w:rPr>
            </w:pPr>
            <w:r>
              <w:rPr>
                <w:color w:val="auto"/>
                <w:kern w:val="0"/>
                <w:szCs w:val="21"/>
              </w:rPr>
              <w:t>合计大写金额：</w:t>
            </w:r>
            <w:r>
              <w:rPr>
                <w:rFonts w:hint="eastAsia"/>
                <w:color w:val="auto"/>
                <w:kern w:val="0"/>
                <w:szCs w:val="21"/>
              </w:rPr>
              <w:t>人民币元整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49" w:hRule="atLeast"/>
          <w:jc w:val="center"/>
        </w:trPr>
        <w:tc>
          <w:tcPr>
            <w:tcW w:w="1527" w:type="dxa"/>
            <w:gridSpan w:val="2"/>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ind w:firstLine="2" w:firstLineChars="1"/>
              <w:jc w:val="left"/>
              <w:rPr>
                <w:rFonts w:ascii="宋体" w:hAnsi="宋体" w:cs="宋体"/>
                <w:color w:val="auto"/>
                <w:kern w:val="0"/>
                <w:szCs w:val="21"/>
              </w:rPr>
            </w:pPr>
            <w:r>
              <w:rPr>
                <w:rFonts w:hint="eastAsia" w:ascii="宋体" w:hAnsi="宋体" w:cs="宋体"/>
                <w:color w:val="auto"/>
                <w:kern w:val="0"/>
                <w:szCs w:val="21"/>
              </w:rPr>
              <w:t>实际供货日期</w:t>
            </w:r>
          </w:p>
        </w:tc>
        <w:tc>
          <w:tcPr>
            <w:tcW w:w="3240" w:type="dxa"/>
            <w:gridSpan w:val="2"/>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2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20  年  月  日</w:t>
            </w:r>
          </w:p>
        </w:tc>
        <w:tc>
          <w:tcPr>
            <w:tcW w:w="2700" w:type="dxa"/>
            <w:gridSpan w:val="3"/>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20" w:lineRule="exact"/>
              <w:ind w:firstLine="39" w:firstLineChars="19"/>
              <w:jc w:val="center"/>
              <w:rPr>
                <w:rFonts w:ascii="宋体" w:hAnsi="宋体" w:cs="宋体"/>
                <w:color w:val="auto"/>
                <w:kern w:val="0"/>
                <w:szCs w:val="21"/>
              </w:rPr>
            </w:pPr>
            <w:r>
              <w:rPr>
                <w:rFonts w:hint="eastAsia" w:ascii="宋体" w:hAnsi="宋体" w:cs="宋体"/>
                <w:color w:val="auto"/>
                <w:kern w:val="0"/>
                <w:szCs w:val="21"/>
              </w:rPr>
              <w:t>合同交货验收日期</w:t>
            </w:r>
          </w:p>
        </w:tc>
        <w:tc>
          <w:tcPr>
            <w:tcW w:w="2160" w:type="dxa"/>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2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20  年  月  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93" w:hRule="atLeast"/>
          <w:jc w:val="center"/>
        </w:trPr>
        <w:tc>
          <w:tcPr>
            <w:tcW w:w="1527" w:type="dxa"/>
            <w:gridSpan w:val="2"/>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napToGrid w:val="0"/>
              <w:spacing w:before="100" w:beforeAutospacing="1" w:after="100" w:afterAutospacing="1" w:line="320" w:lineRule="exact"/>
              <w:jc w:val="left"/>
              <w:rPr>
                <w:rFonts w:ascii="宋体" w:hAnsi="宋体" w:cs="宋体"/>
                <w:color w:val="auto"/>
                <w:kern w:val="0"/>
                <w:szCs w:val="21"/>
              </w:rPr>
            </w:pPr>
            <w:r>
              <w:rPr>
                <w:rFonts w:hint="eastAsia" w:ascii="宋体" w:hAnsi="宋体" w:cs="宋体"/>
                <w:color w:val="auto"/>
                <w:kern w:val="0"/>
                <w:szCs w:val="21"/>
              </w:rPr>
              <w:t>验收具体内容</w:t>
            </w:r>
          </w:p>
        </w:tc>
        <w:tc>
          <w:tcPr>
            <w:tcW w:w="8100" w:type="dxa"/>
            <w:gridSpan w:val="6"/>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Style w:val="177"/>
              <w:ind w:firstLine="0" w:firstLineChars="0"/>
              <w:rPr>
                <w:rFonts w:hint="eastAsia" w:ascii="宋体" w:hAnsi="宋体" w:eastAsia="宋体" w:cs="宋体"/>
                <w:color w:val="auto"/>
                <w:kern w:val="0"/>
                <w:szCs w:val="21"/>
                <w:lang w:eastAsia="zh-CN"/>
              </w:rPr>
            </w:pPr>
            <w:r>
              <w:rPr>
                <w:rFonts w:hint="eastAsia" w:ascii="宋体" w:hAnsi="宋体" w:eastAsia="宋体" w:cs="宋体"/>
                <w:color w:val="auto"/>
                <w:kern w:val="0"/>
                <w:szCs w:val="21"/>
                <w:lang w:eastAsia="zh-CN"/>
              </w:rPr>
              <w:t>待完善合同内容后，按合同第二条服务交付成果清单的内容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46" w:hRule="atLeast"/>
          <w:jc w:val="center"/>
        </w:trPr>
        <w:tc>
          <w:tcPr>
            <w:tcW w:w="1527" w:type="dxa"/>
            <w:gridSpan w:val="2"/>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20" w:lineRule="exact"/>
              <w:jc w:val="left"/>
              <w:rPr>
                <w:rFonts w:ascii="宋体" w:hAnsi="宋体" w:cs="宋体"/>
                <w:color w:val="auto"/>
                <w:kern w:val="0"/>
                <w:szCs w:val="21"/>
              </w:rPr>
            </w:pPr>
            <w:r>
              <w:rPr>
                <w:rFonts w:hint="eastAsia" w:ascii="宋体" w:hAnsi="宋体" w:cs="宋体"/>
                <w:color w:val="auto"/>
                <w:kern w:val="0"/>
                <w:szCs w:val="21"/>
              </w:rPr>
              <w:t>验收小组意见</w:t>
            </w:r>
          </w:p>
        </w:tc>
        <w:tc>
          <w:tcPr>
            <w:tcW w:w="8100" w:type="dxa"/>
            <w:gridSpan w:val="6"/>
            <w:tcBorders>
              <w:top w:val="single" w:color="auto" w:sz="8" w:space="0"/>
              <w:left w:val="single" w:color="auto" w:sz="8" w:space="0"/>
              <w:bottom w:val="single" w:color="auto" w:sz="4" w:space="0"/>
              <w:right w:val="single" w:color="auto" w:sz="8" w:space="0"/>
            </w:tcBorders>
            <w:vAlign w:val="center"/>
          </w:tcPr>
          <w:p>
            <w:pPr>
              <w:widowControl/>
              <w:spacing w:before="100" w:beforeAutospacing="1" w:after="100" w:afterAutospacing="1" w:line="320" w:lineRule="exact"/>
              <w:jc w:val="left"/>
              <w:rPr>
                <w:rFonts w:ascii="宋体" w:hAnsi="宋体" w:cs="宋体"/>
                <w:color w:val="auto"/>
                <w:kern w:val="0"/>
                <w:szCs w:val="21"/>
              </w:rPr>
            </w:pPr>
            <w:r>
              <w:rPr>
                <w:rFonts w:hint="eastAsia" w:ascii="宋体" w:hAnsi="宋体" w:cs="宋体"/>
                <w:color w:val="auto"/>
                <w:kern w:val="0"/>
                <w:szCs w:val="21"/>
              </w:rPr>
              <w:t>验收结论性意见：同意（不同意）通过项目验收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37" w:hRule="atLeast"/>
          <w:jc w:val="center"/>
        </w:trPr>
        <w:tc>
          <w:tcPr>
            <w:tcW w:w="1527" w:type="dxa"/>
            <w:gridSpan w:val="2"/>
            <w:vMerge w:val="continue"/>
            <w:tcBorders>
              <w:top w:val="single" w:color="auto" w:sz="8" w:space="0"/>
              <w:left w:val="single" w:color="auto" w:sz="8" w:space="0"/>
              <w:bottom w:val="single" w:color="auto" w:sz="8" w:space="0"/>
              <w:right w:val="single" w:color="auto" w:sz="8" w:space="0"/>
            </w:tcBorders>
            <w:vAlign w:val="center"/>
          </w:tcPr>
          <w:p>
            <w:pPr>
              <w:widowControl/>
              <w:spacing w:line="320" w:lineRule="exact"/>
              <w:jc w:val="left"/>
              <w:rPr>
                <w:rFonts w:ascii="宋体" w:hAnsi="宋体" w:cs="宋体"/>
                <w:color w:val="auto"/>
                <w:kern w:val="0"/>
                <w:szCs w:val="21"/>
              </w:rPr>
            </w:pPr>
          </w:p>
        </w:tc>
        <w:tc>
          <w:tcPr>
            <w:tcW w:w="8100" w:type="dxa"/>
            <w:gridSpan w:val="6"/>
            <w:tcBorders>
              <w:top w:val="single" w:color="auto" w:sz="4" w:space="0"/>
              <w:left w:val="single" w:color="auto" w:sz="8" w:space="0"/>
              <w:bottom w:val="single" w:color="auto" w:sz="8" w:space="0"/>
              <w:right w:val="single" w:color="auto" w:sz="8" w:space="0"/>
            </w:tcBorders>
            <w:vAlign w:val="center"/>
          </w:tcPr>
          <w:p>
            <w:pPr>
              <w:pStyle w:val="177"/>
              <w:ind w:firstLine="0" w:firstLineChars="0"/>
              <w:rPr>
                <w:rFonts w:ascii="宋体" w:hAnsi="宋体" w:eastAsia="宋体" w:cs="宋体"/>
                <w:color w:val="auto"/>
                <w:kern w:val="0"/>
                <w:szCs w:val="21"/>
              </w:rPr>
            </w:pPr>
            <w:r>
              <w:rPr>
                <w:rFonts w:hint="eastAsia" w:ascii="宋体" w:hAnsi="宋体" w:eastAsia="宋体" w:cs="宋体"/>
                <w:color w:val="auto"/>
                <w:kern w:val="0"/>
                <w:szCs w:val="21"/>
              </w:rPr>
              <w:t>有异议的意见和说明理由：</w:t>
            </w:r>
          </w:p>
          <w:p>
            <w:pPr>
              <w:pStyle w:val="177"/>
              <w:ind w:firstLine="5880" w:firstLineChars="2800"/>
              <w:rPr>
                <w:rFonts w:ascii="宋体" w:hAnsi="宋体" w:eastAsia="宋体" w:cs="宋体"/>
                <w:color w:val="auto"/>
                <w:kern w:val="0"/>
                <w:szCs w:val="21"/>
              </w:rPr>
            </w:pPr>
            <w:r>
              <w:rPr>
                <w:rFonts w:hint="eastAsia" w:ascii="宋体" w:hAnsi="宋体" w:eastAsia="宋体" w:cs="宋体"/>
                <w:color w:val="auto"/>
                <w:kern w:val="0"/>
                <w:szCs w:val="21"/>
              </w:rPr>
              <w:t>签字：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331" w:hRule="atLeast"/>
          <w:jc w:val="center"/>
        </w:trPr>
        <w:tc>
          <w:tcPr>
            <w:tcW w:w="9627" w:type="dxa"/>
            <w:gridSpan w:val="8"/>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20" w:lineRule="exact"/>
              <w:jc w:val="left"/>
              <w:rPr>
                <w:color w:val="auto"/>
                <w:kern w:val="0"/>
                <w:szCs w:val="21"/>
              </w:rPr>
            </w:pPr>
            <w:r>
              <w:rPr>
                <w:color w:val="auto"/>
                <w:kern w:val="0"/>
                <w:szCs w:val="21"/>
              </w:rPr>
              <w:t>验收小组成员签字：</w:t>
            </w:r>
          </w:p>
          <w:p>
            <w:pPr>
              <w:widowControl/>
              <w:spacing w:before="100" w:beforeAutospacing="1" w:after="100" w:afterAutospacing="1" w:line="320" w:lineRule="exact"/>
              <w:jc w:val="left"/>
              <w:rPr>
                <w:color w:val="auto"/>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110" w:hRule="atLeast"/>
          <w:jc w:val="center"/>
        </w:trPr>
        <w:tc>
          <w:tcPr>
            <w:tcW w:w="9627" w:type="dxa"/>
            <w:gridSpan w:val="8"/>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20" w:lineRule="exact"/>
              <w:jc w:val="left"/>
              <w:rPr>
                <w:color w:val="auto"/>
                <w:kern w:val="0"/>
                <w:szCs w:val="21"/>
              </w:rPr>
            </w:pPr>
            <w:r>
              <w:rPr>
                <w:color w:val="auto"/>
                <w:kern w:val="0"/>
                <w:szCs w:val="21"/>
              </w:rPr>
              <w:t>监督人员或其他相关人员签字：</w:t>
            </w:r>
          </w:p>
          <w:p>
            <w:pPr>
              <w:widowControl/>
              <w:spacing w:before="100" w:beforeAutospacing="1" w:after="100" w:afterAutospacing="1" w:line="320" w:lineRule="exact"/>
              <w:ind w:firstLine="65" w:firstLineChars="31"/>
              <w:jc w:val="left"/>
              <w:rPr>
                <w:color w:val="auto"/>
                <w:kern w:val="0"/>
                <w:szCs w:val="21"/>
              </w:rPr>
            </w:pPr>
            <w:r>
              <w:rPr>
                <w:color w:val="auto"/>
                <w:kern w:val="0"/>
                <w:szCs w:val="21"/>
              </w:rPr>
              <w:t>或受邀机构的意见（盖章）：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418" w:hRule="atLeast"/>
          <w:jc w:val="center"/>
        </w:trPr>
        <w:tc>
          <w:tcPr>
            <w:tcW w:w="4767" w:type="dxa"/>
            <w:gridSpan w:val="4"/>
            <w:tcBorders>
              <w:top w:val="single" w:color="auto" w:sz="8" w:space="0"/>
              <w:left w:val="single" w:color="auto" w:sz="8" w:space="0"/>
              <w:bottom w:val="single" w:color="auto" w:sz="8" w:space="0"/>
              <w:right w:val="nil"/>
            </w:tcBorders>
            <w:tcMar>
              <w:top w:w="0" w:type="dxa"/>
              <w:left w:w="108" w:type="dxa"/>
              <w:bottom w:w="0" w:type="dxa"/>
              <w:right w:w="108" w:type="dxa"/>
            </w:tcMar>
            <w:vAlign w:val="center"/>
          </w:tcPr>
          <w:p>
            <w:pPr>
              <w:widowControl/>
              <w:spacing w:before="100" w:beforeAutospacing="1" w:after="100" w:afterAutospacing="1" w:line="320" w:lineRule="exact"/>
              <w:ind w:firstLine="65" w:firstLineChars="31"/>
              <w:jc w:val="left"/>
              <w:rPr>
                <w:color w:val="auto"/>
                <w:kern w:val="0"/>
                <w:szCs w:val="21"/>
              </w:rPr>
            </w:pPr>
            <w:r>
              <w:rPr>
                <w:color w:val="auto"/>
                <w:kern w:val="0"/>
                <w:szCs w:val="21"/>
              </w:rPr>
              <w:t>中标或者成交供应商负责人签字或盖章：</w:t>
            </w:r>
          </w:p>
          <w:p>
            <w:pPr>
              <w:widowControl/>
              <w:spacing w:before="100" w:beforeAutospacing="1" w:after="100" w:afterAutospacing="1" w:line="320" w:lineRule="exact"/>
              <w:jc w:val="left"/>
              <w:rPr>
                <w:color w:val="auto"/>
                <w:kern w:val="0"/>
                <w:szCs w:val="21"/>
              </w:rPr>
            </w:pPr>
            <w:r>
              <w:rPr>
                <w:color w:val="auto"/>
                <w:kern w:val="0"/>
                <w:szCs w:val="21"/>
              </w:rPr>
              <w:t>联系电话：     </w:t>
            </w:r>
            <w:r>
              <w:rPr>
                <w:rFonts w:hint="eastAsia"/>
                <w:color w:val="auto"/>
                <w:kern w:val="0"/>
                <w:szCs w:val="21"/>
              </w:rPr>
              <w:t xml:space="preserve">   </w:t>
            </w:r>
            <w:r>
              <w:rPr>
                <w:color w:val="auto"/>
                <w:kern w:val="0"/>
                <w:szCs w:val="21"/>
              </w:rPr>
              <w:t>  年</w:t>
            </w:r>
            <w:r>
              <w:rPr>
                <w:rFonts w:hint="eastAsia"/>
                <w:color w:val="auto"/>
                <w:kern w:val="0"/>
                <w:szCs w:val="21"/>
              </w:rPr>
              <w:t xml:space="preserve">  </w:t>
            </w:r>
            <w:r>
              <w:rPr>
                <w:color w:val="auto"/>
                <w:kern w:val="0"/>
                <w:szCs w:val="21"/>
              </w:rPr>
              <w:t> 月 </w:t>
            </w:r>
            <w:r>
              <w:rPr>
                <w:rFonts w:hint="eastAsia"/>
                <w:color w:val="auto"/>
                <w:kern w:val="0"/>
                <w:szCs w:val="21"/>
              </w:rPr>
              <w:t xml:space="preserve">  </w:t>
            </w:r>
            <w:r>
              <w:rPr>
                <w:color w:val="auto"/>
                <w:kern w:val="0"/>
                <w:szCs w:val="21"/>
              </w:rPr>
              <w:t>日</w:t>
            </w:r>
          </w:p>
          <w:p>
            <w:pPr>
              <w:widowControl/>
              <w:spacing w:before="100" w:beforeAutospacing="1" w:after="100" w:afterAutospacing="1" w:line="320" w:lineRule="exact"/>
              <w:jc w:val="left"/>
              <w:rPr>
                <w:color w:val="auto"/>
                <w:kern w:val="0"/>
                <w:szCs w:val="21"/>
              </w:rPr>
            </w:pPr>
          </w:p>
          <w:p>
            <w:pPr>
              <w:widowControl/>
              <w:spacing w:before="100" w:beforeAutospacing="1" w:after="100" w:afterAutospacing="1" w:line="320" w:lineRule="exact"/>
              <w:ind w:firstLine="65" w:firstLineChars="31"/>
              <w:jc w:val="left"/>
              <w:rPr>
                <w:color w:val="auto"/>
                <w:kern w:val="0"/>
                <w:szCs w:val="21"/>
              </w:rPr>
            </w:pPr>
            <w:r>
              <w:rPr>
                <w:rFonts w:hint="eastAsia"/>
                <w:color w:val="auto"/>
                <w:kern w:val="0"/>
                <w:szCs w:val="21"/>
              </w:rPr>
              <w:t>采购人</w:t>
            </w:r>
            <w:r>
              <w:rPr>
                <w:color w:val="auto"/>
                <w:kern w:val="0"/>
                <w:szCs w:val="21"/>
              </w:rPr>
              <w:t>签字或盖章：</w:t>
            </w:r>
          </w:p>
          <w:p>
            <w:pPr>
              <w:widowControl/>
              <w:spacing w:before="100" w:beforeAutospacing="1" w:after="100" w:afterAutospacing="1" w:line="320" w:lineRule="exact"/>
              <w:jc w:val="left"/>
              <w:rPr>
                <w:color w:val="auto"/>
                <w:kern w:val="0"/>
                <w:szCs w:val="21"/>
              </w:rPr>
            </w:pPr>
            <w:r>
              <w:rPr>
                <w:color w:val="auto"/>
                <w:kern w:val="0"/>
                <w:szCs w:val="21"/>
              </w:rPr>
              <w:t xml:space="preserve">联系电话：      </w:t>
            </w:r>
            <w:r>
              <w:rPr>
                <w:rFonts w:hint="eastAsia"/>
                <w:color w:val="auto"/>
                <w:kern w:val="0"/>
                <w:szCs w:val="21"/>
              </w:rPr>
              <w:t xml:space="preserve"> </w:t>
            </w:r>
            <w:r>
              <w:rPr>
                <w:color w:val="auto"/>
                <w:kern w:val="0"/>
                <w:szCs w:val="21"/>
              </w:rPr>
              <w:t>  年</w:t>
            </w:r>
            <w:r>
              <w:rPr>
                <w:rFonts w:hint="eastAsia"/>
                <w:color w:val="auto"/>
                <w:kern w:val="0"/>
                <w:szCs w:val="21"/>
              </w:rPr>
              <w:t xml:space="preserve">  </w:t>
            </w:r>
            <w:r>
              <w:rPr>
                <w:color w:val="auto"/>
                <w:kern w:val="0"/>
                <w:szCs w:val="21"/>
              </w:rPr>
              <w:t> 月 </w:t>
            </w:r>
            <w:r>
              <w:rPr>
                <w:rFonts w:hint="eastAsia"/>
                <w:color w:val="auto"/>
                <w:kern w:val="0"/>
                <w:szCs w:val="21"/>
              </w:rPr>
              <w:t xml:space="preserve">  </w:t>
            </w:r>
            <w:r>
              <w:rPr>
                <w:color w:val="auto"/>
                <w:kern w:val="0"/>
                <w:szCs w:val="21"/>
              </w:rPr>
              <w:t>日</w:t>
            </w:r>
          </w:p>
        </w:tc>
        <w:tc>
          <w:tcPr>
            <w:tcW w:w="4860" w:type="dxa"/>
            <w:gridSpan w:val="4"/>
            <w:tcBorders>
              <w:top w:val="single" w:color="auto" w:sz="8" w:space="0"/>
              <w:left w:val="nil"/>
              <w:bottom w:val="single" w:color="auto" w:sz="8" w:space="0"/>
              <w:right w:val="single" w:color="auto" w:sz="8" w:space="0"/>
            </w:tcBorders>
            <w:vAlign w:val="center"/>
          </w:tcPr>
          <w:p>
            <w:pPr>
              <w:widowControl/>
              <w:spacing w:before="100" w:beforeAutospacing="1" w:after="100" w:afterAutospacing="1" w:line="320" w:lineRule="exact"/>
              <w:jc w:val="left"/>
              <w:rPr>
                <w:color w:val="auto"/>
                <w:kern w:val="0"/>
                <w:szCs w:val="21"/>
              </w:rPr>
            </w:pPr>
            <w:r>
              <w:rPr>
                <w:color w:val="auto"/>
                <w:kern w:val="0"/>
                <w:szCs w:val="21"/>
              </w:rPr>
              <w:t> 受托机构的意见（盖章）：</w:t>
            </w:r>
          </w:p>
          <w:p>
            <w:pPr>
              <w:widowControl/>
              <w:spacing w:before="100" w:beforeAutospacing="1" w:after="100" w:afterAutospacing="1" w:line="320" w:lineRule="exact"/>
              <w:jc w:val="left"/>
              <w:rPr>
                <w:color w:val="auto"/>
                <w:kern w:val="0"/>
                <w:szCs w:val="21"/>
              </w:rPr>
            </w:pPr>
            <w:r>
              <w:rPr>
                <w:color w:val="auto"/>
                <w:kern w:val="0"/>
                <w:szCs w:val="21"/>
              </w:rPr>
              <w:t xml:space="preserve">联系电话：                 </w:t>
            </w:r>
            <w:r>
              <w:rPr>
                <w:rFonts w:hint="eastAsia"/>
                <w:color w:val="auto"/>
                <w:kern w:val="0"/>
                <w:szCs w:val="21"/>
              </w:rPr>
              <w:t xml:space="preserve">    </w:t>
            </w:r>
            <w:r>
              <w:rPr>
                <w:color w:val="auto"/>
                <w:kern w:val="0"/>
                <w:szCs w:val="21"/>
              </w:rPr>
              <w:t>年   月   日</w:t>
            </w:r>
          </w:p>
          <w:p>
            <w:pPr>
              <w:widowControl/>
              <w:spacing w:before="100" w:beforeAutospacing="1" w:after="100" w:afterAutospacing="1" w:line="320" w:lineRule="exact"/>
              <w:jc w:val="left"/>
              <w:rPr>
                <w:color w:val="auto"/>
                <w:kern w:val="0"/>
                <w:szCs w:val="21"/>
              </w:rPr>
            </w:pPr>
          </w:p>
          <w:p>
            <w:pPr>
              <w:widowControl/>
              <w:spacing w:before="100" w:beforeAutospacing="1" w:after="100" w:afterAutospacing="1" w:line="320" w:lineRule="exact"/>
              <w:jc w:val="left"/>
              <w:rPr>
                <w:color w:val="auto"/>
                <w:kern w:val="0"/>
                <w:szCs w:val="21"/>
              </w:rPr>
            </w:pPr>
          </w:p>
          <w:p>
            <w:pPr>
              <w:widowControl/>
              <w:spacing w:before="100" w:beforeAutospacing="1" w:after="100" w:afterAutospacing="1" w:line="320" w:lineRule="exact"/>
              <w:jc w:val="left"/>
              <w:rPr>
                <w:color w:val="auto"/>
                <w:kern w:val="0"/>
                <w:szCs w:val="21"/>
              </w:rPr>
            </w:pPr>
          </w:p>
        </w:tc>
      </w:tr>
    </w:tbl>
    <w:p>
      <w:pPr>
        <w:widowControl/>
        <w:jc w:val="left"/>
        <w:rPr>
          <w:rFonts w:ascii="仿宋" w:hAnsi="仿宋" w:eastAsia="仿宋"/>
          <w:color w:val="auto"/>
          <w:szCs w:val="21"/>
          <w:u w:val="single"/>
        </w:rPr>
      </w:pPr>
      <w:r>
        <w:rPr>
          <w:color w:val="auto"/>
          <w:spacing w:val="-10"/>
          <w:kern w:val="0"/>
          <w:szCs w:val="21"/>
        </w:rPr>
        <w:t>备注：本报告单一式4份（采购单位1份、供应商1份、采购监督部门备案1份、采购代理机构1份）</w:t>
      </w:r>
      <w:r>
        <w:rPr>
          <w:rFonts w:hint="eastAsia"/>
          <w:color w:val="auto"/>
          <w:szCs w:val="21"/>
        </w:rPr>
        <w:t xml:space="preserve"> </w:t>
      </w:r>
    </w:p>
    <w:p>
      <w:pPr>
        <w:spacing w:before="120" w:line="320" w:lineRule="atLeast"/>
        <w:jc w:val="left"/>
        <w:outlineLvl w:val="1"/>
        <w:rPr>
          <w:rFonts w:ascii="仿宋" w:eastAsia="仿宋" w:cs="仿宋"/>
          <w:color w:val="auto"/>
          <w:kern w:val="0"/>
        </w:rPr>
      </w:pPr>
      <w:r>
        <w:rPr>
          <w:b/>
          <w:color w:val="auto"/>
          <w:sz w:val="32"/>
          <w:szCs w:val="32"/>
        </w:rPr>
        <w:br w:type="page"/>
      </w:r>
      <w:bookmarkStart w:id="79" w:name="_Hlk48147045"/>
    </w:p>
    <w:bookmarkEnd w:id="0"/>
    <w:bookmarkEnd w:id="1"/>
    <w:bookmarkEnd w:id="79"/>
    <w:p>
      <w:pPr>
        <w:widowControl/>
        <w:jc w:val="center"/>
        <w:outlineLvl w:val="0"/>
        <w:rPr>
          <w:color w:val="auto"/>
          <w:sz w:val="32"/>
          <w:szCs w:val="32"/>
        </w:rPr>
      </w:pPr>
      <w:bookmarkStart w:id="80" w:name="_Toc26903"/>
      <w:r>
        <w:rPr>
          <w:color w:val="auto"/>
          <w:sz w:val="32"/>
          <w:szCs w:val="32"/>
        </w:rPr>
        <w:t>第六章  响应文件格式</w:t>
      </w:r>
      <w:bookmarkEnd w:id="80"/>
    </w:p>
    <w:p>
      <w:pPr>
        <w:rPr>
          <w:color w:val="auto"/>
          <w:sz w:val="28"/>
          <w:szCs w:val="28"/>
        </w:rPr>
      </w:pPr>
      <w:bookmarkStart w:id="81" w:name="_Toc254970697"/>
      <w:bookmarkStart w:id="82" w:name="_Toc254970556"/>
    </w:p>
    <w:bookmarkEnd w:id="81"/>
    <w:bookmarkEnd w:id="82"/>
    <w:p>
      <w:pPr>
        <w:rPr>
          <w:color w:val="auto"/>
          <w:sz w:val="28"/>
          <w:szCs w:val="28"/>
        </w:rPr>
      </w:pPr>
    </w:p>
    <w:p>
      <w:pPr>
        <w:spacing w:line="500" w:lineRule="exact"/>
        <w:ind w:firstLine="560" w:firstLineChars="200"/>
        <w:rPr>
          <w:rFonts w:ascii="宋体" w:hAnsi="宋体"/>
          <w:color w:val="auto"/>
          <w:sz w:val="24"/>
        </w:rPr>
      </w:pPr>
      <w:bookmarkStart w:id="83" w:name="_Hlk19199063"/>
      <w:r>
        <w:rPr>
          <w:rFonts w:hint="eastAsia"/>
          <w:color w:val="auto"/>
          <w:sz w:val="28"/>
          <w:szCs w:val="28"/>
        </w:rPr>
        <w:t>注：有签字、盖章要求的应按要求</w:t>
      </w:r>
      <w:bookmarkEnd w:id="83"/>
      <w:r>
        <w:rPr>
          <w:rFonts w:hint="eastAsia"/>
          <w:color w:val="auto"/>
          <w:sz w:val="28"/>
          <w:szCs w:val="28"/>
        </w:rPr>
        <w:t>签字（签章）、盖章（签章）。</w:t>
      </w:r>
      <w:r>
        <w:rPr>
          <w:bCs/>
          <w:color w:val="auto"/>
          <w:sz w:val="24"/>
        </w:rPr>
        <w:t xml:space="preserve"> </w:t>
      </w:r>
    </w:p>
    <w:p>
      <w:pPr>
        <w:snapToGrid w:val="0"/>
        <w:spacing w:before="120" w:beforeLines="50" w:after="50" w:line="440" w:lineRule="exact"/>
        <w:jc w:val="left"/>
        <w:outlineLvl w:val="1"/>
        <w:rPr>
          <w:b/>
          <w:color w:val="auto"/>
          <w:sz w:val="24"/>
        </w:rPr>
      </w:pPr>
      <w:r>
        <w:rPr>
          <w:color w:val="auto"/>
          <w:sz w:val="24"/>
        </w:rPr>
        <w:br w:type="page"/>
      </w:r>
      <w:r>
        <w:rPr>
          <w:rFonts w:hint="eastAsia"/>
          <w:b/>
          <w:color w:val="auto"/>
          <w:sz w:val="24"/>
        </w:rPr>
        <w:t>1</w:t>
      </w:r>
      <w:r>
        <w:rPr>
          <w:b/>
          <w:color w:val="auto"/>
          <w:sz w:val="24"/>
        </w:rPr>
        <w:t xml:space="preserve">.响应文件封面格式： </w:t>
      </w:r>
    </w:p>
    <w:p>
      <w:pPr>
        <w:snapToGrid w:val="0"/>
        <w:spacing w:before="120" w:beforeLines="50" w:after="50" w:line="360" w:lineRule="exact"/>
        <w:rPr>
          <w:color w:val="auto"/>
          <w:sz w:val="24"/>
        </w:rPr>
      </w:pPr>
    </w:p>
    <w:p>
      <w:pPr>
        <w:snapToGrid w:val="0"/>
        <w:spacing w:before="120" w:beforeLines="50" w:after="50" w:line="360" w:lineRule="exact"/>
        <w:jc w:val="center"/>
        <w:rPr>
          <w:bCs/>
          <w:color w:val="auto"/>
          <w:sz w:val="24"/>
        </w:rPr>
      </w:pPr>
    </w:p>
    <w:p>
      <w:pPr>
        <w:snapToGrid w:val="0"/>
        <w:spacing w:before="120" w:beforeLines="50" w:after="50" w:line="360" w:lineRule="exact"/>
        <w:jc w:val="center"/>
        <w:rPr>
          <w:b/>
          <w:bCs/>
          <w:color w:val="auto"/>
          <w:sz w:val="44"/>
          <w:szCs w:val="44"/>
        </w:rPr>
      </w:pPr>
      <w:r>
        <w:rPr>
          <w:rFonts w:hint="eastAsia"/>
          <w:b/>
          <w:bCs/>
          <w:color w:val="auto"/>
          <w:sz w:val="44"/>
          <w:szCs w:val="44"/>
        </w:rPr>
        <w:t>电子</w:t>
      </w:r>
      <w:r>
        <w:rPr>
          <w:b/>
          <w:bCs/>
          <w:color w:val="auto"/>
          <w:sz w:val="44"/>
          <w:szCs w:val="44"/>
        </w:rPr>
        <w:t>响应文件</w:t>
      </w:r>
    </w:p>
    <w:p>
      <w:pPr>
        <w:snapToGrid w:val="0"/>
        <w:spacing w:before="120" w:beforeLines="50" w:after="50" w:line="360" w:lineRule="exact"/>
        <w:rPr>
          <w:bCs/>
          <w:color w:val="auto"/>
          <w:sz w:val="24"/>
        </w:rPr>
      </w:pPr>
    </w:p>
    <w:p>
      <w:pPr>
        <w:snapToGrid w:val="0"/>
        <w:spacing w:before="120" w:beforeLines="50" w:after="50" w:line="360" w:lineRule="exact"/>
        <w:ind w:firstLine="720" w:firstLineChars="300"/>
        <w:rPr>
          <w:bCs/>
          <w:color w:val="auto"/>
          <w:sz w:val="24"/>
        </w:rPr>
      </w:pPr>
      <w:r>
        <w:rPr>
          <w:bCs/>
          <w:color w:val="auto"/>
          <w:sz w:val="24"/>
        </w:rPr>
        <w:t xml:space="preserve">项目名称： </w:t>
      </w:r>
    </w:p>
    <w:p>
      <w:pPr>
        <w:snapToGrid w:val="0"/>
        <w:spacing w:before="120" w:beforeLines="50" w:after="50" w:line="360" w:lineRule="exact"/>
        <w:ind w:firstLine="720" w:firstLineChars="300"/>
        <w:rPr>
          <w:bCs/>
          <w:color w:val="auto"/>
          <w:sz w:val="24"/>
        </w:rPr>
      </w:pPr>
      <w:r>
        <w:rPr>
          <w:bCs/>
          <w:color w:val="auto"/>
          <w:sz w:val="24"/>
        </w:rPr>
        <w:t>项目编号：</w:t>
      </w:r>
    </w:p>
    <w:p>
      <w:pPr>
        <w:snapToGrid w:val="0"/>
        <w:spacing w:before="120" w:beforeLines="50" w:after="50" w:line="440" w:lineRule="exact"/>
        <w:ind w:firstLine="720" w:firstLineChars="300"/>
        <w:rPr>
          <w:bCs/>
          <w:color w:val="auto"/>
          <w:sz w:val="24"/>
        </w:rPr>
      </w:pPr>
      <w:r>
        <w:rPr>
          <w:bCs/>
          <w:color w:val="auto"/>
          <w:sz w:val="24"/>
        </w:rPr>
        <w:t>分标号：（若无</w:t>
      </w:r>
      <w:r>
        <w:rPr>
          <w:rFonts w:hint="eastAsia"/>
          <w:bCs/>
          <w:color w:val="auto"/>
          <w:sz w:val="24"/>
        </w:rPr>
        <w:t>留空或写</w:t>
      </w:r>
      <w:r>
        <w:rPr>
          <w:bCs/>
          <w:color w:val="auto"/>
          <w:sz w:val="24"/>
        </w:rPr>
        <w:t>“/”）</w:t>
      </w:r>
    </w:p>
    <w:p>
      <w:pPr>
        <w:pStyle w:val="8"/>
        <w:snapToGrid w:val="0"/>
        <w:spacing w:before="50" w:after="50" w:line="440" w:lineRule="exact"/>
        <w:ind w:firstLine="720" w:firstLineChars="300"/>
        <w:rPr>
          <w:bCs/>
          <w:color w:val="auto"/>
          <w:sz w:val="24"/>
          <w:szCs w:val="24"/>
        </w:rPr>
      </w:pPr>
      <w:r>
        <w:rPr>
          <w:bCs/>
          <w:color w:val="auto"/>
          <w:sz w:val="24"/>
          <w:szCs w:val="24"/>
        </w:rPr>
        <w:t>响应文件名称：资格</w:t>
      </w:r>
      <w:r>
        <w:rPr>
          <w:rFonts w:hint="eastAsia"/>
          <w:bCs/>
          <w:color w:val="auto"/>
          <w:sz w:val="24"/>
          <w:szCs w:val="24"/>
        </w:rPr>
        <w:t>证明</w:t>
      </w:r>
      <w:r>
        <w:rPr>
          <w:bCs/>
          <w:color w:val="auto"/>
          <w:sz w:val="24"/>
          <w:szCs w:val="24"/>
        </w:rPr>
        <w:t>文件、商务</w:t>
      </w:r>
      <w:r>
        <w:rPr>
          <w:rFonts w:hint="eastAsia"/>
          <w:bCs/>
          <w:color w:val="auto"/>
          <w:sz w:val="24"/>
          <w:szCs w:val="24"/>
        </w:rPr>
        <w:t>技术</w:t>
      </w:r>
      <w:r>
        <w:rPr>
          <w:bCs/>
          <w:color w:val="auto"/>
          <w:sz w:val="24"/>
          <w:szCs w:val="24"/>
        </w:rPr>
        <w:t>文件、报价文件</w:t>
      </w:r>
    </w:p>
    <w:p>
      <w:pPr>
        <w:snapToGrid w:val="0"/>
        <w:spacing w:before="120" w:beforeLines="50" w:after="50" w:line="360" w:lineRule="exact"/>
        <w:ind w:firstLine="720" w:firstLineChars="300"/>
        <w:rPr>
          <w:bCs/>
          <w:color w:val="auto"/>
          <w:sz w:val="24"/>
        </w:rPr>
      </w:pPr>
      <w:r>
        <w:rPr>
          <w:bCs/>
          <w:color w:val="auto"/>
          <w:sz w:val="24"/>
        </w:rPr>
        <w:t>供应商名称：</w:t>
      </w:r>
    </w:p>
    <w:p>
      <w:pPr>
        <w:snapToGrid w:val="0"/>
        <w:spacing w:before="120" w:beforeLines="50" w:after="50" w:line="360" w:lineRule="exact"/>
        <w:ind w:firstLine="720" w:firstLineChars="300"/>
        <w:rPr>
          <w:bCs/>
          <w:color w:val="auto"/>
          <w:sz w:val="24"/>
        </w:rPr>
      </w:pPr>
      <w:r>
        <w:rPr>
          <w:bCs/>
          <w:color w:val="auto"/>
          <w:sz w:val="24"/>
        </w:rPr>
        <w:t>供应商地址：</w:t>
      </w:r>
    </w:p>
    <w:p>
      <w:pPr>
        <w:pStyle w:val="8"/>
        <w:snapToGrid w:val="0"/>
        <w:spacing w:before="50" w:after="50" w:line="360" w:lineRule="exact"/>
        <w:ind w:firstLine="960" w:firstLineChars="400"/>
        <w:rPr>
          <w:bCs/>
          <w:color w:val="auto"/>
          <w:sz w:val="24"/>
          <w:szCs w:val="24"/>
        </w:rPr>
      </w:pPr>
    </w:p>
    <w:p>
      <w:pPr>
        <w:snapToGrid w:val="0"/>
        <w:spacing w:before="120" w:beforeLines="50" w:after="50" w:line="360" w:lineRule="exact"/>
        <w:jc w:val="center"/>
        <w:rPr>
          <w:color w:val="auto"/>
          <w:sz w:val="24"/>
        </w:rPr>
      </w:pPr>
      <w:r>
        <w:rPr>
          <w:color w:val="auto"/>
          <w:sz w:val="24"/>
        </w:rPr>
        <w:t xml:space="preserve">                        年  月  日</w:t>
      </w:r>
    </w:p>
    <w:p>
      <w:pPr>
        <w:snapToGrid w:val="0"/>
        <w:spacing w:before="120" w:beforeLines="50" w:after="50" w:line="440" w:lineRule="exact"/>
        <w:jc w:val="center"/>
        <w:outlineLvl w:val="1"/>
        <w:rPr>
          <w:b/>
          <w:bCs/>
          <w:color w:val="auto"/>
          <w:sz w:val="24"/>
        </w:rPr>
      </w:pPr>
      <w:bookmarkStart w:id="84" w:name="_Toc254970698"/>
      <w:bookmarkStart w:id="85" w:name="_Toc254970557"/>
      <w:r>
        <w:rPr>
          <w:color w:val="auto"/>
          <w:sz w:val="24"/>
        </w:rPr>
        <w:br w:type="page"/>
      </w:r>
      <w:bookmarkEnd w:id="84"/>
      <w:bookmarkEnd w:id="85"/>
    </w:p>
    <w:p>
      <w:pPr>
        <w:snapToGrid w:val="0"/>
        <w:spacing w:before="120" w:beforeLines="50" w:after="50" w:line="440" w:lineRule="exact"/>
        <w:jc w:val="center"/>
        <w:rPr>
          <w:color w:val="auto"/>
          <w:sz w:val="24"/>
        </w:rPr>
      </w:pPr>
    </w:p>
    <w:p>
      <w:pPr>
        <w:snapToGrid w:val="0"/>
        <w:spacing w:before="50" w:after="50" w:line="440" w:lineRule="exact"/>
        <w:ind w:firstLine="138" w:firstLineChars="49"/>
        <w:jc w:val="center"/>
        <w:rPr>
          <w:b/>
          <w:color w:val="auto"/>
          <w:sz w:val="28"/>
          <w:szCs w:val="28"/>
        </w:rPr>
      </w:pPr>
      <w:r>
        <w:rPr>
          <w:b/>
          <w:color w:val="auto"/>
          <w:sz w:val="28"/>
          <w:szCs w:val="28"/>
        </w:rPr>
        <w:t>目录</w:t>
      </w:r>
    </w:p>
    <w:p>
      <w:pPr>
        <w:jc w:val="center"/>
        <w:rPr>
          <w:b/>
          <w:color w:val="auto"/>
          <w:sz w:val="24"/>
        </w:rPr>
      </w:pPr>
      <w:r>
        <w:rPr>
          <w:b/>
          <w:color w:val="auto"/>
          <w:sz w:val="24"/>
        </w:rPr>
        <w:t>（需有页码）</w:t>
      </w:r>
    </w:p>
    <w:p>
      <w:pPr>
        <w:jc w:val="center"/>
        <w:outlineLvl w:val="1"/>
        <w:rPr>
          <w:bCs/>
          <w:vanish/>
          <w:color w:val="auto"/>
          <w:sz w:val="24"/>
        </w:rPr>
      </w:pPr>
      <w:r>
        <w:rPr>
          <w:color w:val="auto"/>
        </w:rPr>
        <w:br w:type="page"/>
      </w:r>
      <w:r>
        <w:rPr>
          <w:bCs/>
          <w:color w:val="auto"/>
          <w:sz w:val="24"/>
        </w:rPr>
        <w:t>第一部分 资格</w:t>
      </w:r>
      <w:r>
        <w:rPr>
          <w:rFonts w:hint="eastAsia"/>
          <w:bCs/>
          <w:color w:val="auto"/>
          <w:sz w:val="24"/>
        </w:rPr>
        <w:t>证明</w:t>
      </w:r>
      <w:r>
        <w:rPr>
          <w:bCs/>
          <w:color w:val="auto"/>
          <w:sz w:val="24"/>
        </w:rPr>
        <w:t>文件</w:t>
      </w:r>
    </w:p>
    <w:p>
      <w:pPr>
        <w:snapToGrid w:val="0"/>
        <w:spacing w:before="50" w:after="120" w:afterLines="50" w:line="400" w:lineRule="exact"/>
        <w:jc w:val="left"/>
        <w:rPr>
          <w:b/>
          <w:color w:val="auto"/>
          <w:szCs w:val="21"/>
        </w:rPr>
      </w:pPr>
      <w:bookmarkStart w:id="86" w:name="_Hlk19199154"/>
    </w:p>
    <w:p>
      <w:pPr>
        <w:snapToGrid w:val="0"/>
        <w:spacing w:before="50" w:after="120" w:afterLines="50" w:line="400" w:lineRule="exact"/>
        <w:jc w:val="left"/>
        <w:rPr>
          <w:b/>
          <w:color w:val="auto"/>
          <w:szCs w:val="21"/>
        </w:rPr>
      </w:pPr>
      <w:r>
        <w:rPr>
          <w:b/>
          <w:color w:val="auto"/>
          <w:szCs w:val="21"/>
        </w:rPr>
        <w:t>1．响应声明书格式：</w:t>
      </w:r>
      <w:bookmarkEnd w:id="86"/>
    </w:p>
    <w:p>
      <w:pPr>
        <w:snapToGrid w:val="0"/>
        <w:spacing w:before="120" w:beforeLines="50" w:after="50" w:line="360" w:lineRule="exact"/>
        <w:jc w:val="center"/>
        <w:rPr>
          <w:b/>
          <w:color w:val="auto"/>
          <w:szCs w:val="21"/>
        </w:rPr>
      </w:pPr>
      <w:r>
        <w:rPr>
          <w:b/>
          <w:color w:val="auto"/>
          <w:szCs w:val="21"/>
        </w:rPr>
        <w:t>响应声明书</w:t>
      </w:r>
    </w:p>
    <w:p>
      <w:pPr>
        <w:snapToGrid w:val="0"/>
        <w:spacing w:before="120" w:beforeLines="50" w:after="50" w:line="360" w:lineRule="exact"/>
        <w:jc w:val="center"/>
        <w:rPr>
          <w:color w:val="auto"/>
          <w:szCs w:val="21"/>
        </w:rPr>
      </w:pPr>
    </w:p>
    <w:p>
      <w:pPr>
        <w:snapToGrid w:val="0"/>
        <w:spacing w:before="120" w:beforeLines="50" w:after="50" w:line="360" w:lineRule="exact"/>
        <w:rPr>
          <w:color w:val="auto"/>
          <w:szCs w:val="21"/>
        </w:rPr>
      </w:pPr>
      <w:bookmarkStart w:id="87" w:name="_Hlk19199166"/>
      <w:r>
        <w:rPr>
          <w:color w:val="auto"/>
          <w:szCs w:val="21"/>
        </w:rPr>
        <w:t>致：</w:t>
      </w:r>
      <w:r>
        <w:rPr>
          <w:i/>
          <w:iCs/>
          <w:color w:val="auto"/>
          <w:szCs w:val="21"/>
          <w:u w:val="single"/>
        </w:rPr>
        <w:t>（采购</w:t>
      </w:r>
      <w:r>
        <w:rPr>
          <w:rFonts w:hint="eastAsia"/>
          <w:i/>
          <w:iCs/>
          <w:color w:val="auto"/>
          <w:szCs w:val="21"/>
          <w:u w:val="single"/>
        </w:rPr>
        <w:t>人</w:t>
      </w:r>
      <w:r>
        <w:rPr>
          <w:i/>
          <w:iCs/>
          <w:color w:val="auto"/>
          <w:szCs w:val="21"/>
          <w:u w:val="single"/>
        </w:rPr>
        <w:t>名称）</w:t>
      </w:r>
      <w:r>
        <w:rPr>
          <w:color w:val="auto"/>
          <w:szCs w:val="21"/>
        </w:rPr>
        <w:t>：</w:t>
      </w:r>
    </w:p>
    <w:p>
      <w:pPr>
        <w:snapToGrid w:val="0"/>
        <w:spacing w:before="120" w:beforeLines="50" w:after="50" w:line="360" w:lineRule="exact"/>
        <w:ind w:firstLine="630" w:firstLineChars="300"/>
        <w:rPr>
          <w:color w:val="auto"/>
          <w:szCs w:val="21"/>
        </w:rPr>
      </w:pPr>
      <w:r>
        <w:rPr>
          <w:i/>
          <w:iCs/>
          <w:color w:val="auto"/>
          <w:szCs w:val="21"/>
          <w:u w:val="single"/>
        </w:rPr>
        <w:t>（供应商名称）</w:t>
      </w:r>
      <w:r>
        <w:rPr>
          <w:color w:val="auto"/>
          <w:szCs w:val="21"/>
        </w:rPr>
        <w:t>系中华人民共和国合法企业，</w:t>
      </w:r>
      <w:r>
        <w:rPr>
          <w:rFonts w:hint="eastAsia"/>
          <w:color w:val="auto"/>
          <w:szCs w:val="21"/>
          <w:u w:val="single"/>
        </w:rPr>
        <w:t xml:space="preserve"> </w:t>
      </w:r>
      <w:r>
        <w:rPr>
          <w:i/>
          <w:iCs/>
          <w:color w:val="auto"/>
          <w:szCs w:val="21"/>
          <w:u w:val="single"/>
        </w:rPr>
        <w:t xml:space="preserve"> </w:t>
      </w:r>
      <w:r>
        <w:rPr>
          <w:rFonts w:hint="eastAsia"/>
          <w:i/>
          <w:iCs/>
          <w:color w:val="auto"/>
          <w:szCs w:val="21"/>
          <w:u w:val="single"/>
        </w:rPr>
        <w:t>（</w:t>
      </w:r>
      <w:r>
        <w:rPr>
          <w:i/>
          <w:iCs/>
          <w:color w:val="auto"/>
          <w:szCs w:val="21"/>
          <w:u w:val="single"/>
        </w:rPr>
        <w:t>经营地址</w:t>
      </w:r>
      <w:r>
        <w:rPr>
          <w:rFonts w:hint="eastAsia"/>
          <w:i/>
          <w:iCs/>
          <w:color w:val="auto"/>
          <w:szCs w:val="21"/>
          <w:u w:val="single"/>
        </w:rPr>
        <w:t xml:space="preserve">） </w:t>
      </w:r>
      <w:r>
        <w:rPr>
          <w:i/>
          <w:iCs/>
          <w:color w:val="auto"/>
          <w:szCs w:val="21"/>
          <w:u w:val="single"/>
        </w:rPr>
        <w:t xml:space="preserve"> </w:t>
      </w:r>
      <w:r>
        <w:rPr>
          <w:color w:val="auto"/>
          <w:szCs w:val="21"/>
          <w:u w:val="single"/>
        </w:rPr>
        <w:t xml:space="preserve">  </w:t>
      </w:r>
      <w:r>
        <w:rPr>
          <w:color w:val="auto"/>
          <w:szCs w:val="21"/>
        </w:rPr>
        <w:t>。</w:t>
      </w:r>
    </w:p>
    <w:p>
      <w:pPr>
        <w:snapToGrid w:val="0"/>
        <w:spacing w:before="120" w:beforeLines="50" w:after="50" w:line="360" w:lineRule="exact"/>
        <w:ind w:firstLine="645"/>
        <w:rPr>
          <w:color w:val="auto"/>
          <w:szCs w:val="21"/>
        </w:rPr>
      </w:pPr>
      <w:r>
        <w:rPr>
          <w:color w:val="auto"/>
          <w:szCs w:val="21"/>
        </w:rPr>
        <w:t>我</w:t>
      </w:r>
      <w:r>
        <w:rPr>
          <w:i/>
          <w:iCs/>
          <w:color w:val="auto"/>
          <w:szCs w:val="21"/>
          <w:u w:val="single"/>
        </w:rPr>
        <w:t>（姓名）</w:t>
      </w:r>
      <w:r>
        <w:rPr>
          <w:rFonts w:hint="eastAsia"/>
          <w:i/>
          <w:iCs/>
          <w:color w:val="auto"/>
          <w:szCs w:val="21"/>
          <w:u w:val="single"/>
        </w:rPr>
        <w:t xml:space="preserve"> </w:t>
      </w:r>
      <w:r>
        <w:rPr>
          <w:color w:val="auto"/>
          <w:szCs w:val="21"/>
        </w:rPr>
        <w:t>系</w:t>
      </w:r>
      <w:r>
        <w:rPr>
          <w:i/>
          <w:iCs/>
          <w:color w:val="auto"/>
          <w:szCs w:val="21"/>
          <w:u w:val="single"/>
        </w:rPr>
        <w:t>（供应商名称）</w:t>
      </w:r>
      <w:r>
        <w:rPr>
          <w:color w:val="auto"/>
          <w:szCs w:val="21"/>
        </w:rPr>
        <w:t>的法定代表人，我方愿意参加贵方组织的</w:t>
      </w:r>
      <w:r>
        <w:rPr>
          <w:rFonts w:hint="eastAsia"/>
          <w:i/>
          <w:iCs/>
          <w:color w:val="auto"/>
          <w:szCs w:val="21"/>
          <w:u w:val="single"/>
        </w:rPr>
        <w:t>（项目名称）</w:t>
      </w:r>
      <w:r>
        <w:rPr>
          <w:color w:val="auto"/>
          <w:szCs w:val="21"/>
        </w:rPr>
        <w:t>项目的磋商，为便于贵方公正、择优地确定成交供应商及其响应产品和服务，我方就本次磋商有关事项郑重声明如下：</w:t>
      </w:r>
    </w:p>
    <w:p>
      <w:pPr>
        <w:snapToGrid w:val="0"/>
        <w:spacing w:before="120" w:beforeLines="50" w:line="360" w:lineRule="auto"/>
        <w:ind w:firstLine="420" w:firstLineChars="200"/>
        <w:rPr>
          <w:color w:val="auto"/>
          <w:szCs w:val="21"/>
        </w:rPr>
      </w:pPr>
      <w:r>
        <w:rPr>
          <w:color w:val="auto"/>
          <w:szCs w:val="21"/>
        </w:rPr>
        <w:t>（1）我方向贵方提交的所有响应文件、资料都是准确的和真实的。</w:t>
      </w:r>
    </w:p>
    <w:p>
      <w:pPr>
        <w:snapToGrid w:val="0"/>
        <w:spacing w:before="120" w:beforeLines="50" w:line="360" w:lineRule="auto"/>
        <w:ind w:firstLine="420" w:firstLineChars="200"/>
        <w:rPr>
          <w:color w:val="auto"/>
          <w:szCs w:val="21"/>
        </w:rPr>
      </w:pPr>
      <w:r>
        <w:rPr>
          <w:color w:val="auto"/>
          <w:szCs w:val="21"/>
        </w:rPr>
        <w:t>（2）我方不是采购人的附属机构；也不是为本项目提供整体设计、规范编制或者项目管理、监理、检测等服务的供应商或其附属机构。</w:t>
      </w:r>
    </w:p>
    <w:p>
      <w:pPr>
        <w:snapToGrid w:val="0"/>
        <w:spacing w:before="120" w:beforeLines="50" w:line="360" w:lineRule="auto"/>
        <w:ind w:firstLine="420" w:firstLineChars="200"/>
        <w:rPr>
          <w:color w:val="auto"/>
          <w:szCs w:val="21"/>
        </w:rPr>
      </w:pPr>
      <w:r>
        <w:rPr>
          <w:color w:val="auto"/>
          <w:szCs w:val="21"/>
        </w:rPr>
        <w:t>（3） 我方承诺在参加本政府采购项目活动前，没有被纳入政府部门或银行认定的失信名单，我方具有良好的商业信誉。</w:t>
      </w:r>
    </w:p>
    <w:p>
      <w:pPr>
        <w:snapToGrid w:val="0"/>
        <w:spacing w:before="120" w:beforeLines="50" w:line="360" w:lineRule="auto"/>
        <w:ind w:firstLine="420" w:firstLineChars="200"/>
        <w:rPr>
          <w:color w:val="auto"/>
          <w:szCs w:val="21"/>
        </w:rPr>
      </w:pPr>
      <w:r>
        <w:rPr>
          <w:color w:val="auto"/>
          <w:szCs w:val="21"/>
        </w:rPr>
        <w:t>（4）我方及本人承诺在参加本政府采购项目活动前三年内，在经营活动中没有重大违法记录及不良信用记录。重大违法记录是指供应商因违法经营受到刑事处罚或者责令停产停业、吊销许可证或者执照、较大数额罚款等行政处罚。如我方提供的声明不实，则自愿承担《政府采购法》有关提供虚假材料的规定给予的处罚。</w:t>
      </w:r>
    </w:p>
    <w:p>
      <w:pPr>
        <w:snapToGrid w:val="0"/>
        <w:spacing w:before="120" w:beforeLines="50" w:line="360" w:lineRule="auto"/>
        <w:ind w:firstLine="420" w:firstLineChars="200"/>
        <w:rPr>
          <w:color w:val="auto"/>
          <w:szCs w:val="21"/>
          <w:lang w:val="zh-CN"/>
        </w:rPr>
      </w:pPr>
      <w:r>
        <w:rPr>
          <w:color w:val="auto"/>
          <w:szCs w:val="21"/>
        </w:rPr>
        <w:t>（5）</w:t>
      </w:r>
      <w:r>
        <w:rPr>
          <w:color w:val="auto"/>
          <w:szCs w:val="21"/>
          <w:lang w:val="zh-CN"/>
        </w:rPr>
        <w:t>我方</w:t>
      </w:r>
      <w:r>
        <w:rPr>
          <w:color w:val="auto"/>
          <w:szCs w:val="21"/>
        </w:rPr>
        <w:t>承诺</w:t>
      </w:r>
      <w:r>
        <w:rPr>
          <w:color w:val="auto"/>
          <w:szCs w:val="21"/>
          <w:lang w:val="zh-CN"/>
        </w:rPr>
        <w:t>具有履行本项目合同所必需的设备和专业技术能力。</w:t>
      </w:r>
    </w:p>
    <w:p>
      <w:pPr>
        <w:snapToGrid w:val="0"/>
        <w:spacing w:before="120" w:beforeLines="50" w:line="360" w:lineRule="auto"/>
        <w:ind w:firstLine="420" w:firstLineChars="200"/>
        <w:rPr>
          <w:color w:val="auto"/>
          <w:szCs w:val="21"/>
        </w:rPr>
      </w:pPr>
      <w:r>
        <w:rPr>
          <w:rFonts w:hint="eastAsia"/>
          <w:color w:val="auto"/>
          <w:szCs w:val="21"/>
        </w:rPr>
        <w:t>（6）我方承诺</w:t>
      </w:r>
      <w:r>
        <w:rPr>
          <w:color w:val="auto"/>
          <w:szCs w:val="21"/>
        </w:rPr>
        <w:t>未被列入失信被执行人、</w:t>
      </w:r>
      <w:r>
        <w:rPr>
          <w:rFonts w:hint="eastAsia"/>
          <w:color w:val="auto"/>
          <w:szCs w:val="21"/>
        </w:rPr>
        <w:t>税收违法黑名单</w:t>
      </w:r>
      <w:r>
        <w:rPr>
          <w:color w:val="auto"/>
          <w:szCs w:val="21"/>
        </w:rPr>
        <w:t>、政府采购严重违法失信行为记录名单</w:t>
      </w:r>
      <w:r>
        <w:rPr>
          <w:rFonts w:hint="eastAsia"/>
          <w:color w:val="auto"/>
          <w:szCs w:val="21"/>
        </w:rPr>
        <w:t>，如我方提供的声明不实，则接受本次响应作为响应无效的处理，</w:t>
      </w:r>
      <w:r>
        <w:rPr>
          <w:color w:val="auto"/>
          <w:szCs w:val="21"/>
        </w:rPr>
        <w:t>并根据财库〔2016〕125号《财政部关于在政府采购活动中查询及使用信用记录有关问题的通知》规定接受失信联合惩戒。</w:t>
      </w:r>
    </w:p>
    <w:p>
      <w:pPr>
        <w:snapToGrid w:val="0"/>
        <w:spacing w:before="120" w:beforeLines="50" w:line="360" w:lineRule="auto"/>
        <w:ind w:firstLine="420" w:firstLineChars="200"/>
        <w:rPr>
          <w:color w:val="auto"/>
          <w:szCs w:val="21"/>
        </w:rPr>
      </w:pPr>
      <w:r>
        <w:rPr>
          <w:rFonts w:hint="eastAsia"/>
          <w:color w:val="auto"/>
          <w:szCs w:val="21"/>
        </w:rPr>
        <w:t>（7）我方承诺成交后按规定缴纳代理服务费。如未按时缴纳，贵方有权对我方在贵方辖区内的人民法院提出诉讼。由此产生的一切后果由我方承担。后果包含但不限于：列入失信被执行人等。</w:t>
      </w:r>
    </w:p>
    <w:p>
      <w:pPr>
        <w:pStyle w:val="18"/>
        <w:snapToGrid w:val="0"/>
        <w:spacing w:line="360" w:lineRule="auto"/>
        <w:ind w:firstLine="420" w:firstLineChars="200"/>
        <w:rPr>
          <w:color w:val="auto"/>
        </w:rPr>
      </w:pPr>
      <w:bookmarkStart w:id="88" w:name="_Hlk33622999"/>
      <w:r>
        <w:rPr>
          <w:rFonts w:hint="eastAsia"/>
          <w:color w:val="auto"/>
          <w:szCs w:val="21"/>
        </w:rPr>
        <w:t>（</w:t>
      </w:r>
      <w:bookmarkStart w:id="89" w:name="_Hlk33623752"/>
      <w:r>
        <w:rPr>
          <w:rFonts w:hint="eastAsia"/>
          <w:color w:val="auto"/>
          <w:szCs w:val="21"/>
        </w:rPr>
        <w:t>8）我方承诺不属于公益一类事业单位、使用事业编制且由财政拨款保障的群团组织，可以作为政府购买服务的承接主体。</w:t>
      </w:r>
      <w:bookmarkEnd w:id="88"/>
      <w:bookmarkEnd w:id="89"/>
    </w:p>
    <w:p>
      <w:pPr>
        <w:snapToGrid w:val="0"/>
        <w:spacing w:before="120" w:beforeLines="50" w:line="360" w:lineRule="auto"/>
        <w:ind w:firstLine="420" w:firstLineChars="200"/>
        <w:rPr>
          <w:color w:val="auto"/>
          <w:szCs w:val="21"/>
        </w:rPr>
      </w:pPr>
      <w:r>
        <w:rPr>
          <w:color w:val="auto"/>
          <w:szCs w:val="21"/>
        </w:rPr>
        <w:t>我方对以上声明负全部法律责任。如有虚假或隐瞒，我方愿意承担一切后果，并不再寻求任何旨在减轻或免除法律责任的辩解。</w:t>
      </w:r>
    </w:p>
    <w:bookmarkEnd w:id="87"/>
    <w:p>
      <w:pPr>
        <w:snapToGrid w:val="0"/>
        <w:spacing w:before="120" w:beforeLines="50" w:after="50" w:line="360" w:lineRule="exact"/>
        <w:ind w:firstLine="3570" w:firstLineChars="1700"/>
        <w:rPr>
          <w:color w:val="auto"/>
          <w:szCs w:val="21"/>
        </w:rPr>
      </w:pPr>
      <w:r>
        <w:rPr>
          <w:color w:val="auto"/>
          <w:szCs w:val="21"/>
        </w:rPr>
        <w:t>供应商</w:t>
      </w:r>
      <w:r>
        <w:rPr>
          <w:rFonts w:hint="eastAsia"/>
          <w:color w:val="auto"/>
          <w:szCs w:val="21"/>
        </w:rPr>
        <w:t>名称（电子签章）</w:t>
      </w:r>
      <w:r>
        <w:rPr>
          <w:color w:val="auto"/>
          <w:szCs w:val="21"/>
        </w:rPr>
        <w:t>：</w:t>
      </w:r>
      <w:r>
        <w:rPr>
          <w:color w:val="auto"/>
          <w:szCs w:val="21"/>
          <w:u w:val="single"/>
        </w:rPr>
        <w:t xml:space="preserve">                </w:t>
      </w:r>
    </w:p>
    <w:p>
      <w:pPr>
        <w:snapToGrid w:val="0"/>
        <w:spacing w:before="120" w:beforeLines="50" w:after="50" w:line="360" w:lineRule="exact"/>
        <w:ind w:firstLine="210" w:firstLineChars="100"/>
        <w:rPr>
          <w:color w:val="auto"/>
          <w:szCs w:val="21"/>
        </w:rPr>
      </w:pPr>
      <w:r>
        <w:rPr>
          <w:color w:val="auto"/>
          <w:szCs w:val="21"/>
        </w:rPr>
        <w:t xml:space="preserve">                                          年    月    日</w:t>
      </w:r>
    </w:p>
    <w:p>
      <w:pPr>
        <w:snapToGrid w:val="0"/>
        <w:spacing w:before="120" w:beforeLines="50" w:after="50" w:line="360" w:lineRule="exact"/>
        <w:rPr>
          <w:b/>
          <w:color w:val="auto"/>
          <w:szCs w:val="21"/>
        </w:rPr>
      </w:pPr>
      <w:r>
        <w:rPr>
          <w:color w:val="auto"/>
          <w:szCs w:val="21"/>
        </w:rPr>
        <w:br w:type="page"/>
      </w:r>
      <w:bookmarkStart w:id="90" w:name="_Hlk19199735"/>
      <w:r>
        <w:rPr>
          <w:b/>
          <w:color w:val="auto"/>
          <w:szCs w:val="21"/>
        </w:rPr>
        <w:t>2．</w:t>
      </w:r>
      <w:r>
        <w:rPr>
          <w:color w:val="auto"/>
          <w:szCs w:val="21"/>
        </w:rPr>
        <w:t>法定代表人身份证明</w:t>
      </w:r>
      <w:r>
        <w:rPr>
          <w:rFonts w:hint="eastAsia"/>
          <w:b/>
          <w:color w:val="auto"/>
          <w:szCs w:val="21"/>
        </w:rPr>
        <w:t>（无授权</w:t>
      </w:r>
      <w:r>
        <w:rPr>
          <w:b/>
          <w:color w:val="auto"/>
          <w:szCs w:val="21"/>
        </w:rPr>
        <w:t>代表</w:t>
      </w:r>
      <w:r>
        <w:rPr>
          <w:rFonts w:hint="eastAsia"/>
          <w:b/>
          <w:color w:val="auto"/>
          <w:szCs w:val="21"/>
        </w:rPr>
        <w:t>时提供）</w:t>
      </w:r>
      <w:r>
        <w:rPr>
          <w:b/>
          <w:color w:val="auto"/>
          <w:szCs w:val="21"/>
        </w:rPr>
        <w:t>：</w:t>
      </w:r>
    </w:p>
    <w:bookmarkEnd w:id="90"/>
    <w:p>
      <w:pPr>
        <w:jc w:val="center"/>
        <w:rPr>
          <w:color w:val="auto"/>
        </w:rPr>
      </w:pPr>
      <w:bookmarkStart w:id="91" w:name="_Toc455309222"/>
      <w:bookmarkStart w:id="92" w:name="_Toc462320613"/>
      <w:bookmarkStart w:id="93" w:name="_Toc462223472"/>
    </w:p>
    <w:bookmarkEnd w:id="91"/>
    <w:bookmarkEnd w:id="92"/>
    <w:bookmarkEnd w:id="93"/>
    <w:p>
      <w:pPr>
        <w:snapToGrid w:val="0"/>
        <w:spacing w:before="120" w:beforeLines="50" w:after="50" w:line="440" w:lineRule="exact"/>
        <w:jc w:val="center"/>
        <w:rPr>
          <w:b/>
          <w:color w:val="auto"/>
          <w:szCs w:val="21"/>
        </w:rPr>
      </w:pPr>
      <w:r>
        <w:rPr>
          <w:b/>
          <w:color w:val="auto"/>
          <w:szCs w:val="21"/>
        </w:rPr>
        <w:t>法定代表人身份证明</w:t>
      </w:r>
    </w:p>
    <w:p>
      <w:pPr>
        <w:spacing w:line="360" w:lineRule="auto"/>
        <w:rPr>
          <w:color w:val="auto"/>
        </w:rPr>
      </w:pPr>
    </w:p>
    <w:p>
      <w:pPr>
        <w:spacing w:line="360" w:lineRule="auto"/>
        <w:rPr>
          <w:color w:val="auto"/>
        </w:rPr>
      </w:pPr>
    </w:p>
    <w:p>
      <w:pPr>
        <w:spacing w:line="540" w:lineRule="exact"/>
        <w:rPr>
          <w:color w:val="auto"/>
          <w:szCs w:val="21"/>
        </w:rPr>
      </w:pPr>
      <w:r>
        <w:rPr>
          <w:color w:val="auto"/>
          <w:szCs w:val="21"/>
        </w:rPr>
        <w:t>供应商名称：</w:t>
      </w:r>
      <w:r>
        <w:rPr>
          <w:color w:val="auto"/>
          <w:szCs w:val="21"/>
          <w:u w:val="single"/>
        </w:rPr>
        <w:t xml:space="preserve">                                         </w:t>
      </w:r>
    </w:p>
    <w:p>
      <w:pPr>
        <w:spacing w:line="540" w:lineRule="exact"/>
        <w:rPr>
          <w:color w:val="auto"/>
          <w:szCs w:val="21"/>
        </w:rPr>
      </w:pPr>
      <w:r>
        <w:rPr>
          <w:color w:val="auto"/>
          <w:szCs w:val="21"/>
        </w:rPr>
        <w:t>单位性质：</w:t>
      </w:r>
      <w:r>
        <w:rPr>
          <w:color w:val="auto"/>
          <w:szCs w:val="21"/>
          <w:u w:val="single"/>
        </w:rPr>
        <w:t xml:space="preserve">                                           </w:t>
      </w:r>
    </w:p>
    <w:p>
      <w:pPr>
        <w:spacing w:line="540" w:lineRule="exact"/>
        <w:rPr>
          <w:color w:val="auto"/>
          <w:szCs w:val="21"/>
        </w:rPr>
      </w:pPr>
      <w:r>
        <w:rPr>
          <w:color w:val="auto"/>
          <w:szCs w:val="21"/>
        </w:rPr>
        <w:t>地址：</w:t>
      </w:r>
      <w:r>
        <w:rPr>
          <w:color w:val="auto"/>
          <w:szCs w:val="21"/>
          <w:u w:val="single"/>
        </w:rPr>
        <w:t xml:space="preserve">                                               </w:t>
      </w:r>
    </w:p>
    <w:p>
      <w:pPr>
        <w:spacing w:line="540" w:lineRule="exact"/>
        <w:rPr>
          <w:color w:val="auto"/>
          <w:szCs w:val="21"/>
          <w:u w:val="single"/>
        </w:rPr>
      </w:pPr>
      <w:r>
        <w:rPr>
          <w:color w:val="auto"/>
          <w:szCs w:val="21"/>
        </w:rPr>
        <w:t>成立时间：</w:t>
      </w:r>
      <w:r>
        <w:rPr>
          <w:color w:val="auto"/>
          <w:szCs w:val="21"/>
          <w:u w:val="single"/>
        </w:rPr>
        <w:t xml:space="preserve">          年        月        日</w:t>
      </w:r>
    </w:p>
    <w:p>
      <w:pPr>
        <w:spacing w:line="540" w:lineRule="exact"/>
        <w:rPr>
          <w:color w:val="auto"/>
          <w:szCs w:val="21"/>
        </w:rPr>
      </w:pPr>
      <w:r>
        <w:rPr>
          <w:color w:val="auto"/>
          <w:szCs w:val="21"/>
        </w:rPr>
        <w:t>经营期限：</w:t>
      </w:r>
      <w:r>
        <w:rPr>
          <w:color w:val="auto"/>
          <w:szCs w:val="21"/>
          <w:u w:val="single"/>
        </w:rPr>
        <w:t xml:space="preserve">                                           </w:t>
      </w:r>
    </w:p>
    <w:p>
      <w:pPr>
        <w:spacing w:line="540" w:lineRule="exact"/>
        <w:rPr>
          <w:color w:val="auto"/>
          <w:szCs w:val="21"/>
        </w:rPr>
      </w:pPr>
      <w:r>
        <w:rPr>
          <w:color w:val="auto"/>
          <w:szCs w:val="21"/>
        </w:rPr>
        <w:t>姓名：</w:t>
      </w:r>
      <w:r>
        <w:rPr>
          <w:color w:val="auto"/>
          <w:szCs w:val="21"/>
          <w:u w:val="single"/>
        </w:rPr>
        <w:t xml:space="preserve">                   </w:t>
      </w:r>
      <w:r>
        <w:rPr>
          <w:color w:val="auto"/>
          <w:szCs w:val="21"/>
        </w:rPr>
        <w:t>；性别：</w:t>
      </w:r>
      <w:r>
        <w:rPr>
          <w:color w:val="auto"/>
          <w:szCs w:val="21"/>
          <w:u w:val="single"/>
        </w:rPr>
        <w:t xml:space="preserve">              </w:t>
      </w:r>
      <w:r>
        <w:rPr>
          <w:color w:val="auto"/>
          <w:szCs w:val="21"/>
        </w:rPr>
        <w:t xml:space="preserve">        </w:t>
      </w:r>
    </w:p>
    <w:p>
      <w:pPr>
        <w:spacing w:line="540" w:lineRule="exact"/>
        <w:rPr>
          <w:color w:val="auto"/>
          <w:szCs w:val="21"/>
        </w:rPr>
      </w:pPr>
      <w:r>
        <w:rPr>
          <w:color w:val="auto"/>
          <w:szCs w:val="21"/>
        </w:rPr>
        <w:t>年龄：</w:t>
      </w:r>
      <w:r>
        <w:rPr>
          <w:color w:val="auto"/>
          <w:szCs w:val="21"/>
          <w:u w:val="single"/>
        </w:rPr>
        <w:t xml:space="preserve">         </w:t>
      </w:r>
      <w:r>
        <w:rPr>
          <w:color w:val="auto"/>
          <w:szCs w:val="21"/>
        </w:rPr>
        <w:t>；职务：</w:t>
      </w:r>
      <w:r>
        <w:rPr>
          <w:color w:val="auto"/>
          <w:szCs w:val="21"/>
          <w:u w:val="single"/>
        </w:rPr>
        <w:t xml:space="preserve">              </w:t>
      </w:r>
      <w:r>
        <w:rPr>
          <w:color w:val="auto"/>
          <w:szCs w:val="21"/>
        </w:rPr>
        <w:t>；身份证：</w:t>
      </w:r>
      <w:r>
        <w:rPr>
          <w:color w:val="auto"/>
          <w:szCs w:val="21"/>
          <w:u w:val="single"/>
        </w:rPr>
        <w:t xml:space="preserve">                                      </w:t>
      </w:r>
    </w:p>
    <w:p>
      <w:pPr>
        <w:spacing w:line="540" w:lineRule="exact"/>
        <w:rPr>
          <w:color w:val="auto"/>
          <w:szCs w:val="21"/>
        </w:rPr>
      </w:pPr>
      <w:r>
        <w:rPr>
          <w:color w:val="auto"/>
          <w:szCs w:val="21"/>
        </w:rPr>
        <w:t>系</w:t>
      </w:r>
      <w:r>
        <w:rPr>
          <w:color w:val="auto"/>
          <w:szCs w:val="21"/>
          <w:u w:val="single"/>
        </w:rPr>
        <w:t xml:space="preserve">                                      （ 供应商名称）</w:t>
      </w:r>
      <w:r>
        <w:rPr>
          <w:color w:val="auto"/>
          <w:szCs w:val="21"/>
        </w:rPr>
        <w:t>的法定代表人。</w:t>
      </w:r>
    </w:p>
    <w:p>
      <w:pPr>
        <w:spacing w:line="540" w:lineRule="exact"/>
        <w:rPr>
          <w:color w:val="auto"/>
          <w:szCs w:val="21"/>
        </w:rPr>
      </w:pPr>
    </w:p>
    <w:p>
      <w:pPr>
        <w:spacing w:line="540" w:lineRule="exact"/>
        <w:ind w:firstLine="420" w:firstLineChars="200"/>
        <w:rPr>
          <w:color w:val="auto"/>
          <w:szCs w:val="21"/>
        </w:rPr>
      </w:pPr>
      <w:r>
        <w:rPr>
          <w:color w:val="auto"/>
          <w:szCs w:val="21"/>
        </w:rPr>
        <w:t>特此证明。</w:t>
      </w:r>
    </w:p>
    <w:p>
      <w:pPr>
        <w:spacing w:line="540" w:lineRule="exact"/>
        <w:rPr>
          <w:color w:val="auto"/>
          <w:szCs w:val="21"/>
        </w:rPr>
      </w:pPr>
    </w:p>
    <w:p>
      <w:pPr>
        <w:spacing w:line="360" w:lineRule="auto"/>
        <w:ind w:firstLine="4830" w:firstLineChars="2300"/>
        <w:rPr>
          <w:color w:val="auto"/>
          <w:szCs w:val="21"/>
        </w:rPr>
      </w:pPr>
      <w:r>
        <w:rPr>
          <w:color w:val="auto"/>
          <w:szCs w:val="21"/>
        </w:rPr>
        <w:t>供应商</w:t>
      </w:r>
      <w:r>
        <w:rPr>
          <w:rFonts w:hint="eastAsia"/>
          <w:color w:val="auto"/>
          <w:szCs w:val="21"/>
        </w:rPr>
        <w:t>名称（电子签章）</w:t>
      </w:r>
      <w:r>
        <w:rPr>
          <w:color w:val="auto"/>
          <w:szCs w:val="21"/>
        </w:rPr>
        <w:t>：</w:t>
      </w:r>
      <w:r>
        <w:rPr>
          <w:color w:val="auto"/>
          <w:szCs w:val="21"/>
          <w:u w:val="single"/>
        </w:rPr>
        <w:t xml:space="preserve">                </w:t>
      </w:r>
    </w:p>
    <w:p>
      <w:pPr>
        <w:spacing w:line="360" w:lineRule="auto"/>
        <w:rPr>
          <w:color w:val="auto"/>
          <w:szCs w:val="21"/>
        </w:rPr>
      </w:pPr>
      <w:r>
        <w:rPr>
          <w:color w:val="auto"/>
          <w:szCs w:val="21"/>
        </w:rPr>
        <w:t xml:space="preserve">                                                   年       月       日 </w:t>
      </w:r>
    </w:p>
    <w:p>
      <w:pPr>
        <w:spacing w:line="540" w:lineRule="exact"/>
        <w:rPr>
          <w:color w:val="auto"/>
          <w:szCs w:val="21"/>
        </w:rPr>
      </w:pPr>
    </w:p>
    <w:p>
      <w:pPr>
        <w:spacing w:line="360" w:lineRule="auto"/>
        <w:rPr>
          <w:color w:val="auto"/>
          <w:szCs w:val="21"/>
        </w:rPr>
      </w:pPr>
      <w:bookmarkStart w:id="94" w:name="_Hlk19199756"/>
      <w:r>
        <w:rPr>
          <w:color w:val="auto"/>
          <w:szCs w:val="21"/>
        </w:rPr>
        <w:t>附件：法定代表人身份证复印件</w:t>
      </w:r>
    </w:p>
    <w:p>
      <w:pPr>
        <w:spacing w:line="360" w:lineRule="auto"/>
        <w:rPr>
          <w:color w:val="auto"/>
          <w:szCs w:val="21"/>
        </w:rPr>
      </w:pPr>
    </w:p>
    <w:bookmarkEnd w:id="94"/>
    <w:p>
      <w:pPr>
        <w:snapToGrid w:val="0"/>
        <w:spacing w:before="120" w:beforeLines="50" w:after="50" w:line="360" w:lineRule="exact"/>
        <w:jc w:val="left"/>
        <w:rPr>
          <w:color w:val="auto"/>
        </w:rPr>
      </w:pPr>
      <w:r>
        <w:rPr>
          <w:b/>
          <w:color w:val="auto"/>
          <w:szCs w:val="21"/>
        </w:rPr>
        <w:br w:type="page"/>
      </w:r>
      <w:bookmarkStart w:id="95" w:name="_Hlk19199766"/>
      <w:r>
        <w:rPr>
          <w:rFonts w:hint="eastAsia"/>
          <w:b/>
          <w:color w:val="auto"/>
          <w:szCs w:val="21"/>
        </w:rPr>
        <w:t>2</w:t>
      </w:r>
      <w:r>
        <w:rPr>
          <w:b/>
          <w:color w:val="auto"/>
          <w:szCs w:val="21"/>
        </w:rPr>
        <w:t>．</w:t>
      </w:r>
      <w:r>
        <w:rPr>
          <w:rFonts w:hint="eastAsia"/>
          <w:b/>
          <w:color w:val="auto"/>
          <w:szCs w:val="21"/>
        </w:rPr>
        <w:t>授权</w:t>
      </w:r>
      <w:r>
        <w:rPr>
          <w:b/>
          <w:color w:val="auto"/>
          <w:szCs w:val="21"/>
        </w:rPr>
        <w:t>委托书</w:t>
      </w:r>
      <w:r>
        <w:rPr>
          <w:rFonts w:hint="eastAsia"/>
          <w:b/>
          <w:color w:val="auto"/>
          <w:szCs w:val="21"/>
        </w:rPr>
        <w:t>（有授权</w:t>
      </w:r>
      <w:r>
        <w:rPr>
          <w:b/>
          <w:color w:val="auto"/>
          <w:szCs w:val="21"/>
        </w:rPr>
        <w:t>代表</w:t>
      </w:r>
      <w:r>
        <w:rPr>
          <w:rFonts w:hint="eastAsia"/>
          <w:b/>
          <w:color w:val="auto"/>
          <w:szCs w:val="21"/>
        </w:rPr>
        <w:t>时提供）</w:t>
      </w:r>
      <w:r>
        <w:rPr>
          <w:b/>
          <w:color w:val="auto"/>
          <w:szCs w:val="21"/>
        </w:rPr>
        <w:t>：</w:t>
      </w:r>
    </w:p>
    <w:bookmarkEnd w:id="95"/>
    <w:p>
      <w:pPr>
        <w:snapToGrid w:val="0"/>
        <w:spacing w:before="120" w:beforeLines="50" w:after="50" w:line="360" w:lineRule="exact"/>
        <w:jc w:val="center"/>
        <w:rPr>
          <w:b/>
          <w:color w:val="auto"/>
          <w:szCs w:val="21"/>
        </w:rPr>
      </w:pPr>
      <w:r>
        <w:rPr>
          <w:b/>
          <w:color w:val="auto"/>
          <w:szCs w:val="21"/>
        </w:rPr>
        <w:t>法定代表人授权委托书</w:t>
      </w:r>
    </w:p>
    <w:p>
      <w:pPr>
        <w:snapToGrid w:val="0"/>
        <w:spacing w:before="120" w:beforeLines="50" w:after="50" w:line="440" w:lineRule="exact"/>
        <w:rPr>
          <w:b/>
          <w:bCs/>
          <w:color w:val="auto"/>
          <w:szCs w:val="21"/>
        </w:rPr>
      </w:pPr>
      <w:bookmarkStart w:id="96" w:name="_Hlk19199779"/>
      <w:r>
        <w:rPr>
          <w:bCs/>
          <w:color w:val="auto"/>
          <w:szCs w:val="21"/>
        </w:rPr>
        <w:t>致：</w:t>
      </w:r>
      <w:r>
        <w:rPr>
          <w:i/>
          <w:iCs/>
          <w:color w:val="auto"/>
          <w:szCs w:val="21"/>
          <w:u w:val="single"/>
        </w:rPr>
        <w:t>（采购人名称）</w:t>
      </w:r>
    </w:p>
    <w:p>
      <w:pPr>
        <w:snapToGrid w:val="0"/>
        <w:spacing w:before="120" w:beforeLines="50" w:after="50" w:line="440" w:lineRule="exact"/>
        <w:ind w:firstLine="420" w:firstLineChars="200"/>
        <w:rPr>
          <w:color w:val="auto"/>
          <w:szCs w:val="21"/>
        </w:rPr>
      </w:pPr>
      <w:r>
        <w:rPr>
          <w:color w:val="auto"/>
          <w:szCs w:val="21"/>
        </w:rPr>
        <w:t>我</w:t>
      </w:r>
      <w:r>
        <w:rPr>
          <w:rFonts w:hint="eastAsia"/>
          <w:color w:val="auto"/>
          <w:szCs w:val="21"/>
        </w:rPr>
        <w:t xml:space="preserve"> </w:t>
      </w:r>
      <w:r>
        <w:rPr>
          <w:i/>
          <w:iCs/>
          <w:color w:val="auto"/>
          <w:szCs w:val="21"/>
          <w:u w:val="single"/>
        </w:rPr>
        <w:t>（姓名）</w:t>
      </w:r>
      <w:r>
        <w:rPr>
          <w:rFonts w:hint="eastAsia"/>
          <w:color w:val="auto"/>
          <w:szCs w:val="21"/>
          <w:u w:val="single"/>
        </w:rPr>
        <w:t xml:space="preserve"> </w:t>
      </w:r>
      <w:r>
        <w:rPr>
          <w:color w:val="auto"/>
          <w:szCs w:val="21"/>
          <w:u w:val="single"/>
        </w:rPr>
        <w:t xml:space="preserve"> </w:t>
      </w:r>
      <w:r>
        <w:rPr>
          <w:color w:val="auto"/>
          <w:szCs w:val="21"/>
        </w:rPr>
        <w:t>系</w:t>
      </w:r>
      <w:r>
        <w:rPr>
          <w:i/>
          <w:iCs/>
          <w:color w:val="auto"/>
          <w:szCs w:val="21"/>
          <w:u w:val="single"/>
        </w:rPr>
        <w:t>（供应商名称）</w:t>
      </w:r>
      <w:r>
        <w:rPr>
          <w:color w:val="auto"/>
          <w:szCs w:val="21"/>
        </w:rPr>
        <w:t>的法定代表人，现授权委托本单位在职职工</w:t>
      </w:r>
      <w:r>
        <w:rPr>
          <w:i/>
          <w:iCs/>
          <w:color w:val="auto"/>
          <w:szCs w:val="21"/>
          <w:u w:val="single"/>
        </w:rPr>
        <w:t>（姓名）</w:t>
      </w:r>
      <w:r>
        <w:rPr>
          <w:color w:val="auto"/>
          <w:szCs w:val="21"/>
        </w:rPr>
        <w:t>以我方的名义参加</w:t>
      </w:r>
      <w:r>
        <w:rPr>
          <w:rFonts w:hint="eastAsia"/>
          <w:i/>
          <w:iCs/>
          <w:color w:val="auto"/>
          <w:szCs w:val="21"/>
          <w:u w:val="single"/>
        </w:rPr>
        <w:t>（项目名称 ）</w:t>
      </w:r>
      <w:r>
        <w:rPr>
          <w:color w:val="auto"/>
          <w:szCs w:val="21"/>
        </w:rPr>
        <w:t>项目的磋商活动，并代表我方全权办理针对上述项目的磋商、截标、评审、签约等具体事务和签署相关文件。</w:t>
      </w:r>
    </w:p>
    <w:p>
      <w:pPr>
        <w:snapToGrid w:val="0"/>
        <w:spacing w:before="120" w:beforeLines="50" w:after="50" w:line="440" w:lineRule="exact"/>
        <w:rPr>
          <w:color w:val="auto"/>
          <w:szCs w:val="21"/>
        </w:rPr>
      </w:pPr>
      <w:r>
        <w:rPr>
          <w:color w:val="auto"/>
          <w:szCs w:val="21"/>
        </w:rPr>
        <w:t xml:space="preserve">    我方对被授权人的签名事项负全部责任。</w:t>
      </w:r>
    </w:p>
    <w:p>
      <w:pPr>
        <w:snapToGrid w:val="0"/>
        <w:spacing w:before="120" w:beforeLines="50" w:after="50" w:line="440" w:lineRule="exact"/>
        <w:ind w:firstLine="480"/>
        <w:rPr>
          <w:color w:val="auto"/>
          <w:szCs w:val="21"/>
        </w:rPr>
      </w:pPr>
      <w:r>
        <w:rPr>
          <w:color w:val="auto"/>
          <w:szCs w:val="21"/>
        </w:rPr>
        <w:t>在撤销授权的书面通知以前，本授权书一直有效。被授权人在授权书有效期内签署的所有文件不因授权的撤销而失效。</w:t>
      </w:r>
    </w:p>
    <w:p>
      <w:pPr>
        <w:snapToGrid w:val="0"/>
        <w:spacing w:before="120" w:beforeLines="50" w:after="50" w:line="440" w:lineRule="exact"/>
        <w:ind w:firstLine="480"/>
        <w:rPr>
          <w:color w:val="auto"/>
          <w:szCs w:val="21"/>
        </w:rPr>
      </w:pPr>
      <w:r>
        <w:rPr>
          <w:color w:val="auto"/>
          <w:szCs w:val="21"/>
        </w:rPr>
        <w:t>被授权人无转委托权，特此委托。</w:t>
      </w:r>
    </w:p>
    <w:p>
      <w:pPr>
        <w:snapToGrid w:val="0"/>
        <w:spacing w:before="120" w:beforeLines="50" w:after="50" w:line="440" w:lineRule="exact"/>
        <w:rPr>
          <w:color w:val="auto"/>
          <w:szCs w:val="21"/>
          <w:u w:val="single"/>
        </w:rPr>
      </w:pPr>
      <w:r>
        <w:rPr>
          <w:color w:val="auto"/>
          <w:szCs w:val="21"/>
        </w:rPr>
        <w:t>被授权人签名或</w:t>
      </w:r>
      <w:r>
        <w:rPr>
          <w:rFonts w:hint="eastAsia"/>
          <w:color w:val="auto"/>
          <w:szCs w:val="21"/>
        </w:rPr>
        <w:t>签章</w:t>
      </w:r>
      <w:r>
        <w:rPr>
          <w:color w:val="auto"/>
          <w:szCs w:val="21"/>
        </w:rPr>
        <w:t>：</w:t>
      </w:r>
      <w:r>
        <w:rPr>
          <w:color w:val="auto"/>
          <w:szCs w:val="21"/>
          <w:u w:val="single"/>
        </w:rPr>
        <w:t xml:space="preserve">          </w:t>
      </w:r>
      <w:r>
        <w:rPr>
          <w:color w:val="auto"/>
          <w:szCs w:val="21"/>
        </w:rPr>
        <w:t xml:space="preserve">                     法定代表人签名或</w:t>
      </w:r>
      <w:r>
        <w:rPr>
          <w:rFonts w:hint="eastAsia"/>
          <w:color w:val="auto"/>
          <w:szCs w:val="21"/>
        </w:rPr>
        <w:t>签章</w:t>
      </w:r>
      <w:r>
        <w:rPr>
          <w:color w:val="auto"/>
          <w:szCs w:val="21"/>
        </w:rPr>
        <w:t>：</w:t>
      </w:r>
      <w:r>
        <w:rPr>
          <w:color w:val="auto"/>
          <w:szCs w:val="21"/>
          <w:u w:val="single"/>
        </w:rPr>
        <w:t xml:space="preserve">          </w:t>
      </w:r>
    </w:p>
    <w:p>
      <w:pPr>
        <w:snapToGrid w:val="0"/>
        <w:spacing w:before="120" w:beforeLines="50" w:after="50" w:line="440" w:lineRule="exact"/>
        <w:rPr>
          <w:color w:val="auto"/>
          <w:szCs w:val="21"/>
        </w:rPr>
      </w:pPr>
      <w:r>
        <w:rPr>
          <w:color w:val="auto"/>
          <w:szCs w:val="21"/>
        </w:rPr>
        <w:t>职务：</w:t>
      </w:r>
      <w:r>
        <w:rPr>
          <w:color w:val="auto"/>
          <w:szCs w:val="21"/>
          <w:u w:val="single"/>
        </w:rPr>
        <w:t xml:space="preserve">           </w:t>
      </w:r>
      <w:r>
        <w:rPr>
          <w:color w:val="auto"/>
          <w:szCs w:val="21"/>
        </w:rPr>
        <w:t xml:space="preserve">                                  职务：</w:t>
      </w:r>
      <w:r>
        <w:rPr>
          <w:color w:val="auto"/>
          <w:szCs w:val="21"/>
          <w:u w:val="single"/>
        </w:rPr>
        <w:t xml:space="preserve">           </w:t>
      </w:r>
    </w:p>
    <w:p>
      <w:pPr>
        <w:snapToGrid w:val="0"/>
        <w:spacing w:before="120" w:beforeLines="50" w:after="50" w:line="440" w:lineRule="exact"/>
        <w:rPr>
          <w:color w:val="auto"/>
          <w:szCs w:val="21"/>
        </w:rPr>
      </w:pPr>
      <w:r>
        <w:rPr>
          <w:color w:val="auto"/>
          <w:szCs w:val="21"/>
        </w:rPr>
        <w:t>被授权人身份证号码：</w:t>
      </w:r>
      <w:r>
        <w:rPr>
          <w:color w:val="auto"/>
          <w:szCs w:val="21"/>
          <w:u w:val="single"/>
        </w:rPr>
        <w:t xml:space="preserve">                   </w:t>
      </w:r>
      <w:r>
        <w:rPr>
          <w:color w:val="auto"/>
          <w:szCs w:val="21"/>
        </w:rPr>
        <w:t xml:space="preserve">            授权人身份证号码：</w:t>
      </w:r>
      <w:r>
        <w:rPr>
          <w:color w:val="auto"/>
          <w:szCs w:val="21"/>
          <w:u w:val="single"/>
        </w:rPr>
        <w:t xml:space="preserve">                 </w:t>
      </w:r>
    </w:p>
    <w:p>
      <w:pPr>
        <w:snapToGrid w:val="0"/>
        <w:spacing w:before="120" w:beforeLines="50" w:after="50" w:line="440" w:lineRule="exact"/>
        <w:rPr>
          <w:color w:val="auto"/>
          <w:szCs w:val="21"/>
        </w:rPr>
      </w:pPr>
      <w:r>
        <w:rPr>
          <w:color w:val="auto"/>
          <w:szCs w:val="21"/>
        </w:rPr>
        <w:t xml:space="preserve">                                </w:t>
      </w:r>
    </w:p>
    <w:p>
      <w:pPr>
        <w:snapToGrid w:val="0"/>
        <w:spacing w:before="120" w:beforeLines="50" w:after="50" w:line="440" w:lineRule="exact"/>
        <w:ind w:firstLine="5670" w:firstLineChars="2700"/>
        <w:rPr>
          <w:color w:val="auto"/>
          <w:szCs w:val="21"/>
        </w:rPr>
      </w:pPr>
      <w:r>
        <w:rPr>
          <w:color w:val="auto"/>
          <w:szCs w:val="21"/>
        </w:rPr>
        <w:t>供应商</w:t>
      </w:r>
      <w:r>
        <w:rPr>
          <w:rFonts w:hint="eastAsia"/>
          <w:color w:val="auto"/>
          <w:szCs w:val="21"/>
        </w:rPr>
        <w:t>名称（电子签章）</w:t>
      </w:r>
      <w:r>
        <w:rPr>
          <w:color w:val="auto"/>
          <w:szCs w:val="21"/>
        </w:rPr>
        <w:t>：</w:t>
      </w:r>
      <w:r>
        <w:rPr>
          <w:color w:val="auto"/>
          <w:szCs w:val="21"/>
          <w:u w:val="single"/>
        </w:rPr>
        <w:t xml:space="preserve">                </w:t>
      </w:r>
    </w:p>
    <w:p>
      <w:pPr>
        <w:snapToGrid w:val="0"/>
        <w:spacing w:before="120" w:beforeLines="50" w:after="50" w:line="440" w:lineRule="exact"/>
        <w:jc w:val="center"/>
        <w:rPr>
          <w:color w:val="auto"/>
          <w:szCs w:val="21"/>
        </w:rPr>
      </w:pPr>
      <w:r>
        <w:rPr>
          <w:color w:val="auto"/>
          <w:szCs w:val="21"/>
        </w:rPr>
        <w:t xml:space="preserve">                                        年    月    日</w:t>
      </w:r>
    </w:p>
    <w:p>
      <w:pPr>
        <w:spacing w:line="360" w:lineRule="auto"/>
        <w:rPr>
          <w:color w:val="auto"/>
          <w:szCs w:val="21"/>
        </w:rPr>
      </w:pPr>
      <w:r>
        <w:rPr>
          <w:color w:val="auto"/>
          <w:szCs w:val="21"/>
        </w:rPr>
        <w:t>附件：法定代表人身份证复印件及授权代表身份证复印件</w:t>
      </w:r>
    </w:p>
    <w:p>
      <w:pPr>
        <w:spacing w:line="360" w:lineRule="auto"/>
        <w:rPr>
          <w:color w:val="auto"/>
        </w:rPr>
      </w:pPr>
    </w:p>
    <w:p>
      <w:pPr>
        <w:numPr>
          <w:ilvl w:val="0"/>
          <w:numId w:val="6"/>
        </w:numPr>
        <w:snapToGrid w:val="0"/>
        <w:spacing w:before="120" w:beforeLines="50" w:after="50" w:line="440" w:lineRule="exact"/>
        <w:rPr>
          <w:b/>
          <w:bCs/>
          <w:color w:val="auto"/>
          <w:szCs w:val="21"/>
        </w:rPr>
      </w:pPr>
      <w:r>
        <w:rPr>
          <w:color w:val="auto"/>
          <w:szCs w:val="21"/>
        </w:rPr>
        <w:br w:type="page"/>
      </w:r>
      <w:bookmarkEnd w:id="96"/>
      <w:r>
        <w:rPr>
          <w:rFonts w:hint="eastAsia"/>
          <w:color w:val="auto"/>
          <w:szCs w:val="21"/>
        </w:rPr>
        <w:t>具有独立承担民事责任的能力。</w:t>
      </w:r>
      <w:r>
        <w:rPr>
          <w:rFonts w:hint="eastAsia"/>
          <w:b/>
          <w:bCs/>
          <w:color w:val="auto"/>
          <w:szCs w:val="21"/>
        </w:rPr>
        <w:t>（</w:t>
      </w:r>
      <w:r>
        <w:rPr>
          <w:rFonts w:hint="eastAsia"/>
          <w:b/>
          <w:bCs/>
          <w:color w:val="auto"/>
          <w:szCs w:val="21"/>
          <w:lang w:val="en-US" w:eastAsia="zh-CN"/>
        </w:rPr>
        <w:t>必须</w:t>
      </w:r>
      <w:r>
        <w:rPr>
          <w:rFonts w:hint="eastAsia"/>
          <w:b/>
          <w:bCs/>
          <w:color w:val="auto"/>
          <w:szCs w:val="21"/>
        </w:rPr>
        <w:t>提供：政府采购项目投标资格承诺函（详见附件一））</w:t>
      </w:r>
    </w:p>
    <w:p>
      <w:pPr>
        <w:snapToGrid w:val="0"/>
        <w:spacing w:before="120" w:beforeLines="50" w:after="50" w:line="440" w:lineRule="exact"/>
        <w:rPr>
          <w:b/>
          <w:bCs/>
          <w:color w:val="auto"/>
          <w:szCs w:val="21"/>
        </w:rPr>
      </w:pPr>
      <w:r>
        <w:rPr>
          <w:b/>
          <w:bCs/>
          <w:color w:val="auto"/>
          <w:szCs w:val="21"/>
        </w:rPr>
        <w:t>（加盖</w:t>
      </w:r>
      <w:bookmarkStart w:id="97" w:name="_Hlk89177738"/>
      <w:r>
        <w:rPr>
          <w:b/>
          <w:bCs/>
          <w:color w:val="auto"/>
          <w:szCs w:val="21"/>
        </w:rPr>
        <w:t>供应商</w:t>
      </w:r>
      <w:r>
        <w:rPr>
          <w:rFonts w:hint="eastAsia"/>
          <w:b/>
          <w:bCs/>
          <w:color w:val="auto"/>
          <w:szCs w:val="21"/>
        </w:rPr>
        <w:t>电子签章</w:t>
      </w:r>
      <w:bookmarkEnd w:id="97"/>
      <w:r>
        <w:rPr>
          <w:b/>
          <w:bCs/>
          <w:color w:val="auto"/>
          <w:szCs w:val="21"/>
        </w:rPr>
        <w:t>）</w:t>
      </w:r>
      <w:r>
        <w:rPr>
          <w:rFonts w:hint="eastAsia"/>
          <w:b/>
          <w:bCs/>
          <w:color w:val="auto"/>
          <w:szCs w:val="21"/>
        </w:rPr>
        <w:t>。</w:t>
      </w:r>
    </w:p>
    <w:p>
      <w:pPr>
        <w:snapToGrid w:val="0"/>
        <w:spacing w:before="120" w:beforeLines="50" w:after="50" w:line="440" w:lineRule="exact"/>
        <w:rPr>
          <w:b/>
          <w:color w:val="auto"/>
          <w:szCs w:val="21"/>
        </w:rPr>
      </w:pPr>
    </w:p>
    <w:p>
      <w:pPr>
        <w:snapToGrid w:val="0"/>
        <w:spacing w:before="120" w:beforeLines="50" w:after="50" w:line="440" w:lineRule="exact"/>
        <w:rPr>
          <w:b/>
          <w:bCs/>
          <w:color w:val="auto"/>
          <w:szCs w:val="21"/>
        </w:rPr>
      </w:pPr>
      <w:r>
        <w:rPr>
          <w:rFonts w:hint="eastAsia"/>
          <w:color w:val="auto"/>
          <w:szCs w:val="21"/>
        </w:rPr>
        <w:t>4</w:t>
      </w:r>
      <w:r>
        <w:rPr>
          <w:color w:val="auto"/>
          <w:szCs w:val="21"/>
        </w:rPr>
        <w:t>．具有良好的商业信誉和健全的财务会计制度</w:t>
      </w:r>
      <w:r>
        <w:rPr>
          <w:rFonts w:hint="eastAsia"/>
          <w:color w:val="auto"/>
          <w:szCs w:val="21"/>
        </w:rPr>
        <w:t>。</w:t>
      </w:r>
      <w:r>
        <w:rPr>
          <w:rFonts w:hint="eastAsia"/>
          <w:b/>
          <w:bCs/>
          <w:color w:val="auto"/>
          <w:szCs w:val="21"/>
        </w:rPr>
        <w:t>（</w:t>
      </w:r>
      <w:r>
        <w:rPr>
          <w:rFonts w:hint="eastAsia"/>
          <w:b/>
          <w:bCs/>
          <w:color w:val="auto"/>
          <w:szCs w:val="21"/>
          <w:lang w:val="en-US" w:eastAsia="zh-CN"/>
        </w:rPr>
        <w:t>必须</w:t>
      </w:r>
      <w:r>
        <w:rPr>
          <w:rFonts w:hint="eastAsia"/>
          <w:b/>
          <w:bCs/>
          <w:color w:val="auto"/>
          <w:szCs w:val="21"/>
        </w:rPr>
        <w:t>提供：政府采购项目投标资格承诺函（详见附件一））</w:t>
      </w:r>
      <w:r>
        <w:rPr>
          <w:b/>
          <w:bCs/>
          <w:color w:val="auto"/>
          <w:szCs w:val="21"/>
        </w:rPr>
        <w:t>（加盖供应商</w:t>
      </w:r>
      <w:r>
        <w:rPr>
          <w:rFonts w:hint="eastAsia"/>
          <w:b/>
          <w:bCs/>
          <w:color w:val="auto"/>
          <w:szCs w:val="21"/>
        </w:rPr>
        <w:t>电子签章</w:t>
      </w:r>
      <w:r>
        <w:rPr>
          <w:b/>
          <w:bCs/>
          <w:color w:val="auto"/>
          <w:szCs w:val="21"/>
        </w:rPr>
        <w:t>）</w:t>
      </w:r>
      <w:r>
        <w:rPr>
          <w:rFonts w:hint="eastAsia"/>
          <w:b/>
          <w:bCs/>
          <w:color w:val="auto"/>
          <w:szCs w:val="21"/>
        </w:rPr>
        <w:t>。</w:t>
      </w:r>
    </w:p>
    <w:p>
      <w:pPr>
        <w:snapToGrid w:val="0"/>
        <w:spacing w:before="50" w:after="120" w:afterLines="50" w:line="440" w:lineRule="exact"/>
        <w:jc w:val="left"/>
        <w:rPr>
          <w:color w:val="auto"/>
          <w:szCs w:val="21"/>
        </w:rPr>
      </w:pPr>
    </w:p>
    <w:p>
      <w:pPr>
        <w:snapToGrid w:val="0"/>
        <w:spacing w:before="50" w:after="120" w:afterLines="50" w:line="440" w:lineRule="exact"/>
        <w:jc w:val="left"/>
        <w:rPr>
          <w:b/>
          <w:bCs/>
          <w:color w:val="auto"/>
          <w:szCs w:val="21"/>
          <w:lang w:val="zh-CN"/>
        </w:rPr>
      </w:pPr>
      <w:r>
        <w:rPr>
          <w:color w:val="auto"/>
          <w:szCs w:val="21"/>
        </w:rPr>
        <w:t>5．</w:t>
      </w:r>
      <w:r>
        <w:rPr>
          <w:color w:val="auto"/>
          <w:szCs w:val="21"/>
          <w:lang w:val="zh-CN"/>
        </w:rPr>
        <w:t>有依法缴纳税收和社会保障金的良好记录</w:t>
      </w:r>
      <w:r>
        <w:rPr>
          <w:rFonts w:hint="eastAsia"/>
          <w:color w:val="auto"/>
          <w:szCs w:val="21"/>
          <w:lang w:val="zh-CN"/>
        </w:rPr>
        <w:t>。</w:t>
      </w:r>
      <w:r>
        <w:rPr>
          <w:rFonts w:hint="eastAsia"/>
          <w:b/>
          <w:bCs/>
          <w:color w:val="auto"/>
          <w:szCs w:val="21"/>
        </w:rPr>
        <w:t>（</w:t>
      </w:r>
      <w:r>
        <w:rPr>
          <w:rFonts w:hint="eastAsia"/>
          <w:b/>
          <w:bCs/>
          <w:color w:val="auto"/>
          <w:szCs w:val="21"/>
          <w:lang w:val="en-US" w:eastAsia="zh-CN"/>
        </w:rPr>
        <w:t>必须</w:t>
      </w:r>
      <w:r>
        <w:rPr>
          <w:rFonts w:hint="eastAsia"/>
          <w:b/>
          <w:bCs/>
          <w:color w:val="auto"/>
          <w:szCs w:val="21"/>
        </w:rPr>
        <w:t>提供：政府采购项目投标资格承诺函（详见附件一））</w:t>
      </w:r>
    </w:p>
    <w:p>
      <w:pPr>
        <w:snapToGrid w:val="0"/>
        <w:spacing w:before="50" w:after="120" w:afterLines="50" w:line="440" w:lineRule="exact"/>
        <w:jc w:val="left"/>
        <w:rPr>
          <w:b/>
          <w:bCs/>
          <w:color w:val="auto"/>
          <w:szCs w:val="21"/>
        </w:rPr>
      </w:pPr>
      <w:r>
        <w:rPr>
          <w:b/>
          <w:bCs/>
          <w:color w:val="auto"/>
          <w:szCs w:val="21"/>
        </w:rPr>
        <w:t>（加盖供应商</w:t>
      </w:r>
      <w:r>
        <w:rPr>
          <w:rFonts w:hint="eastAsia"/>
          <w:b/>
          <w:bCs/>
          <w:color w:val="auto"/>
          <w:szCs w:val="21"/>
        </w:rPr>
        <w:t>电子签章</w:t>
      </w:r>
      <w:r>
        <w:rPr>
          <w:b/>
          <w:bCs/>
          <w:color w:val="auto"/>
          <w:szCs w:val="21"/>
        </w:rPr>
        <w:t>）</w:t>
      </w:r>
      <w:r>
        <w:rPr>
          <w:rFonts w:hint="eastAsia"/>
          <w:b/>
          <w:bCs/>
          <w:color w:val="auto"/>
          <w:szCs w:val="21"/>
        </w:rPr>
        <w:t>。</w:t>
      </w:r>
    </w:p>
    <w:p>
      <w:pPr>
        <w:pStyle w:val="20"/>
        <w:rPr>
          <w:color w:val="auto"/>
        </w:rPr>
      </w:pPr>
    </w:p>
    <w:p>
      <w:pPr>
        <w:snapToGrid w:val="0"/>
        <w:spacing w:before="120" w:beforeLines="50" w:after="50" w:line="440" w:lineRule="exact"/>
        <w:rPr>
          <w:b/>
          <w:bCs/>
          <w:color w:val="auto"/>
          <w:szCs w:val="21"/>
        </w:rPr>
      </w:pPr>
      <w:r>
        <w:rPr>
          <w:rFonts w:hint="eastAsia"/>
          <w:color w:val="auto"/>
        </w:rPr>
        <w:t>6</w:t>
      </w:r>
      <w:r>
        <w:rPr>
          <w:color w:val="auto"/>
        </w:rPr>
        <w:t>．</w:t>
      </w:r>
      <w:r>
        <w:rPr>
          <w:color w:val="auto"/>
          <w:szCs w:val="21"/>
          <w:lang w:val="zh-CN"/>
        </w:rPr>
        <w:t>具有履行合同所必需的设备和专业技术能力</w:t>
      </w:r>
      <w:r>
        <w:rPr>
          <w:rFonts w:hint="eastAsia"/>
          <w:color w:val="auto"/>
          <w:szCs w:val="21"/>
        </w:rPr>
        <w:t>。</w:t>
      </w:r>
      <w:r>
        <w:rPr>
          <w:rFonts w:hint="eastAsia"/>
          <w:b/>
          <w:bCs/>
          <w:color w:val="auto"/>
          <w:szCs w:val="21"/>
        </w:rPr>
        <w:t>（</w:t>
      </w:r>
      <w:r>
        <w:rPr>
          <w:rFonts w:hint="eastAsia"/>
          <w:b/>
          <w:bCs/>
          <w:color w:val="auto"/>
          <w:szCs w:val="21"/>
          <w:lang w:val="en-US" w:eastAsia="zh-CN"/>
        </w:rPr>
        <w:t>必须</w:t>
      </w:r>
      <w:r>
        <w:rPr>
          <w:rFonts w:hint="eastAsia"/>
          <w:b/>
          <w:bCs/>
          <w:color w:val="auto"/>
          <w:szCs w:val="21"/>
        </w:rPr>
        <w:t>提供：政府采购项目投标资格承诺函（详见附件一））</w:t>
      </w:r>
      <w:r>
        <w:rPr>
          <w:b/>
          <w:bCs/>
          <w:color w:val="auto"/>
          <w:szCs w:val="21"/>
        </w:rPr>
        <w:t>（加盖供应商</w:t>
      </w:r>
      <w:r>
        <w:rPr>
          <w:rFonts w:hint="eastAsia"/>
          <w:b/>
          <w:bCs/>
          <w:color w:val="auto"/>
          <w:szCs w:val="21"/>
        </w:rPr>
        <w:t>电子签章</w:t>
      </w:r>
      <w:r>
        <w:rPr>
          <w:b/>
          <w:bCs/>
          <w:color w:val="auto"/>
          <w:szCs w:val="21"/>
        </w:rPr>
        <w:t>）</w:t>
      </w:r>
      <w:r>
        <w:rPr>
          <w:rFonts w:hint="eastAsia"/>
          <w:b/>
          <w:bCs/>
          <w:color w:val="auto"/>
          <w:szCs w:val="21"/>
        </w:rPr>
        <w:t>。</w:t>
      </w:r>
    </w:p>
    <w:p>
      <w:pPr>
        <w:pStyle w:val="20"/>
        <w:rPr>
          <w:color w:val="auto"/>
        </w:rPr>
      </w:pPr>
    </w:p>
    <w:p>
      <w:pPr>
        <w:snapToGrid w:val="0"/>
        <w:spacing w:before="120" w:beforeLines="50" w:after="50" w:line="440" w:lineRule="exact"/>
        <w:rPr>
          <w:b/>
          <w:bCs/>
          <w:color w:val="auto"/>
          <w:szCs w:val="21"/>
        </w:rPr>
      </w:pPr>
      <w:r>
        <w:rPr>
          <w:rFonts w:hint="eastAsia"/>
          <w:b/>
          <w:bCs/>
          <w:color w:val="auto"/>
          <w:szCs w:val="21"/>
        </w:rPr>
        <w:t>注：以上3-6项，只须提供一份完整的《政府采购项目投标资格承诺函》即可。</w:t>
      </w:r>
    </w:p>
    <w:p>
      <w:pPr>
        <w:snapToGrid w:val="0"/>
        <w:spacing w:before="50" w:after="120" w:afterLines="50" w:line="440" w:lineRule="exact"/>
        <w:jc w:val="left"/>
        <w:rPr>
          <w:color w:val="auto"/>
        </w:rPr>
      </w:pPr>
    </w:p>
    <w:p>
      <w:pPr>
        <w:snapToGrid w:val="0"/>
        <w:spacing w:before="50" w:after="120" w:afterLines="50" w:line="440" w:lineRule="exact"/>
        <w:jc w:val="left"/>
        <w:rPr>
          <w:b/>
          <w:color w:val="auto"/>
          <w:szCs w:val="21"/>
        </w:rPr>
      </w:pPr>
      <w:r>
        <w:rPr>
          <w:color w:val="auto"/>
          <w:szCs w:val="21"/>
        </w:rPr>
        <w:t>7．</w:t>
      </w:r>
      <w:r>
        <w:rPr>
          <w:b/>
          <w:bCs/>
          <w:color w:val="auto"/>
        </w:rPr>
        <w:t>满足供应商特定资格条件的</w:t>
      </w:r>
      <w:r>
        <w:rPr>
          <w:color w:val="auto"/>
        </w:rPr>
        <w:t>其他证明材料</w:t>
      </w:r>
      <w:r>
        <w:rPr>
          <w:color w:val="auto"/>
          <w:szCs w:val="21"/>
        </w:rPr>
        <w:t>加盖供应商</w:t>
      </w:r>
      <w:r>
        <w:rPr>
          <w:rFonts w:hint="eastAsia"/>
          <w:color w:val="auto"/>
          <w:szCs w:val="21"/>
        </w:rPr>
        <w:t>电子签章</w:t>
      </w:r>
      <w:r>
        <w:rPr>
          <w:color w:val="auto"/>
        </w:rPr>
        <w:t>（</w:t>
      </w:r>
      <w:r>
        <w:rPr>
          <w:color w:val="auto"/>
          <w:szCs w:val="21"/>
        </w:rPr>
        <w:t>按“评审方法及标准” “资格性检查表”“</w:t>
      </w:r>
      <w:r>
        <w:rPr>
          <w:color w:val="auto"/>
          <w:szCs w:val="21"/>
          <w:lang w:val="zh-CN"/>
        </w:rPr>
        <w:t xml:space="preserve"> 供应商应符合的</w:t>
      </w:r>
      <w:r>
        <w:rPr>
          <w:color w:val="auto"/>
          <w:szCs w:val="21"/>
        </w:rPr>
        <w:t>特定资格条件”规定提供</w:t>
      </w:r>
      <w:r>
        <w:rPr>
          <w:color w:val="auto"/>
        </w:rPr>
        <w:t>）。</w:t>
      </w:r>
      <w:r>
        <w:rPr>
          <w:rFonts w:hint="eastAsia"/>
          <w:b/>
          <w:color w:val="auto"/>
          <w:szCs w:val="21"/>
        </w:rPr>
        <w:t>（如采购文件有要求时提供）</w:t>
      </w:r>
    </w:p>
    <w:p>
      <w:pPr>
        <w:snapToGrid w:val="0"/>
        <w:spacing w:before="50" w:after="120" w:afterLines="50" w:line="440" w:lineRule="exact"/>
        <w:jc w:val="left"/>
        <w:rPr>
          <w:color w:val="auto"/>
          <w:szCs w:val="21"/>
        </w:rPr>
      </w:pPr>
    </w:p>
    <w:p>
      <w:pPr>
        <w:snapToGrid w:val="0"/>
        <w:spacing w:before="50" w:after="120" w:afterLines="50" w:line="440" w:lineRule="exact"/>
        <w:jc w:val="left"/>
        <w:rPr>
          <w:color w:val="auto"/>
        </w:rPr>
      </w:pPr>
      <w:r>
        <w:rPr>
          <w:rFonts w:hint="eastAsia"/>
          <w:color w:val="auto"/>
          <w:szCs w:val="21"/>
        </w:rPr>
        <w:t>8</w:t>
      </w:r>
      <w:r>
        <w:rPr>
          <w:color w:val="auto"/>
          <w:szCs w:val="21"/>
        </w:rPr>
        <w:t>．具备法律、行政法规规定的其他要求的证明材料</w:t>
      </w:r>
      <w:r>
        <w:rPr>
          <w:color w:val="auto"/>
        </w:rPr>
        <w:t>（</w:t>
      </w:r>
      <w:r>
        <w:rPr>
          <w:color w:val="auto"/>
          <w:szCs w:val="21"/>
        </w:rPr>
        <w:t>按“评审方法及标准” “资格性检查表”规定提供</w:t>
      </w:r>
      <w:r>
        <w:rPr>
          <w:color w:val="auto"/>
        </w:rPr>
        <w:t>）。</w:t>
      </w:r>
      <w:r>
        <w:rPr>
          <w:rFonts w:hint="eastAsia"/>
          <w:b/>
          <w:color w:val="auto"/>
          <w:szCs w:val="21"/>
        </w:rPr>
        <w:t>（如采购文件有要求时提供）</w:t>
      </w:r>
    </w:p>
    <w:p>
      <w:pPr>
        <w:snapToGrid w:val="0"/>
        <w:spacing w:before="50" w:after="120" w:afterLines="50" w:line="440" w:lineRule="exact"/>
        <w:jc w:val="left"/>
        <w:rPr>
          <w:color w:val="auto"/>
        </w:rPr>
      </w:pPr>
    </w:p>
    <w:p>
      <w:pPr>
        <w:rPr>
          <w:b/>
          <w:bCs/>
          <w:color w:val="auto"/>
        </w:rPr>
      </w:pPr>
      <w:r>
        <w:rPr>
          <w:rFonts w:hint="eastAsia"/>
          <w:b/>
          <w:bCs/>
          <w:color w:val="auto"/>
        </w:rPr>
        <w:br w:type="page"/>
      </w:r>
    </w:p>
    <w:p>
      <w:pPr>
        <w:rPr>
          <w:b/>
          <w:bCs/>
          <w:color w:val="auto"/>
          <w:szCs w:val="21"/>
        </w:rPr>
      </w:pPr>
      <w:r>
        <w:rPr>
          <w:rFonts w:hint="eastAsia"/>
          <w:b/>
          <w:bCs/>
          <w:color w:val="auto"/>
        </w:rPr>
        <w:t>9.</w:t>
      </w:r>
      <w:r>
        <w:rPr>
          <w:rFonts w:hint="eastAsia"/>
          <w:b/>
          <w:bCs/>
          <w:color w:val="auto"/>
          <w:szCs w:val="21"/>
        </w:rPr>
        <w:t>落实政府采购政策需满足的资格要求</w:t>
      </w:r>
      <w:r>
        <w:rPr>
          <w:b/>
          <w:bCs/>
          <w:color w:val="auto"/>
          <w:szCs w:val="21"/>
        </w:rPr>
        <w:t>。（</w:t>
      </w:r>
      <w:r>
        <w:rPr>
          <w:rFonts w:hint="eastAsia"/>
          <w:b/>
          <w:bCs/>
          <w:color w:val="auto"/>
          <w:szCs w:val="21"/>
        </w:rPr>
        <w:t>必须</w:t>
      </w:r>
      <w:r>
        <w:rPr>
          <w:b/>
          <w:bCs/>
          <w:color w:val="auto"/>
          <w:szCs w:val="21"/>
        </w:rPr>
        <w:t>提供</w:t>
      </w:r>
      <w:r>
        <w:rPr>
          <w:rFonts w:hint="eastAsia"/>
          <w:b/>
          <w:bCs/>
          <w:color w:val="auto"/>
          <w:szCs w:val="21"/>
        </w:rPr>
        <w:t>，且供应应商必须属于中型企业、小型企业或微型企业</w:t>
      </w:r>
      <w:r>
        <w:rPr>
          <w:b/>
          <w:bCs/>
          <w:color w:val="auto"/>
          <w:szCs w:val="21"/>
        </w:rPr>
        <w:t>）</w:t>
      </w:r>
    </w:p>
    <w:p>
      <w:pPr>
        <w:snapToGrid w:val="0"/>
        <w:spacing w:before="50" w:after="120" w:afterLines="50"/>
        <w:jc w:val="left"/>
        <w:rPr>
          <w:b/>
          <w:color w:val="auto"/>
          <w:szCs w:val="21"/>
        </w:rPr>
      </w:pPr>
      <w:r>
        <w:rPr>
          <w:rFonts w:hint="eastAsia"/>
          <w:b/>
          <w:color w:val="auto"/>
          <w:szCs w:val="21"/>
        </w:rPr>
        <w:t>9.1</w:t>
      </w:r>
      <w:r>
        <w:rPr>
          <w:b/>
          <w:color w:val="auto"/>
          <w:szCs w:val="21"/>
        </w:rPr>
        <w:t>符合</w:t>
      </w:r>
      <w:r>
        <w:rPr>
          <w:rFonts w:hint="eastAsia"/>
          <w:b/>
          <w:color w:val="auto"/>
          <w:szCs w:val="21"/>
        </w:rPr>
        <w:t>中</w:t>
      </w:r>
      <w:r>
        <w:rPr>
          <w:b/>
          <w:color w:val="auto"/>
          <w:szCs w:val="21"/>
        </w:rPr>
        <w:t>小型、微型企业政府采购政策证明材料。</w:t>
      </w:r>
    </w:p>
    <w:p>
      <w:pPr>
        <w:spacing w:line="360" w:lineRule="auto"/>
        <w:ind w:firstLine="3584" w:firstLineChars="1700"/>
        <w:rPr>
          <w:b/>
          <w:color w:val="auto"/>
          <w:szCs w:val="21"/>
        </w:rPr>
      </w:pPr>
    </w:p>
    <w:p>
      <w:pPr>
        <w:spacing w:line="360" w:lineRule="auto"/>
        <w:ind w:firstLine="3584" w:firstLineChars="1700"/>
        <w:rPr>
          <w:b/>
          <w:color w:val="auto"/>
          <w:szCs w:val="21"/>
        </w:rPr>
      </w:pPr>
      <w:r>
        <w:rPr>
          <w:rFonts w:hint="eastAsia"/>
          <w:b/>
          <w:color w:val="auto"/>
          <w:szCs w:val="21"/>
        </w:rPr>
        <w:t>中小企业声明函（服务）</w:t>
      </w:r>
    </w:p>
    <w:p>
      <w:pPr>
        <w:spacing w:line="360" w:lineRule="auto"/>
        <w:ind w:firstLine="420"/>
        <w:rPr>
          <w:bCs/>
          <w:color w:val="auto"/>
          <w:szCs w:val="21"/>
        </w:rPr>
      </w:pPr>
      <w:r>
        <w:rPr>
          <w:rFonts w:hint="eastAsia"/>
          <w:bCs/>
          <w:color w:val="auto"/>
          <w:szCs w:val="21"/>
        </w:rPr>
        <w:t>本公司（联合体）郑重声明，根据《政府采购促进中小企业发展管理办法》（财库﹝2020﹞46 号）的规定，本公司（联合体）参加</w:t>
      </w:r>
      <w:r>
        <w:rPr>
          <w:rFonts w:hint="eastAsia"/>
          <w:bCs/>
          <w:color w:val="auto"/>
          <w:szCs w:val="21"/>
          <w:u w:val="single"/>
        </w:rPr>
        <w:t>（单位名称）</w:t>
      </w:r>
      <w:r>
        <w:rPr>
          <w:rFonts w:hint="eastAsia"/>
          <w:bCs/>
          <w:color w:val="auto"/>
          <w:szCs w:val="21"/>
        </w:rPr>
        <w:t>的</w:t>
      </w:r>
      <w:r>
        <w:rPr>
          <w:rFonts w:hint="eastAsia"/>
          <w:bCs/>
          <w:color w:val="auto"/>
          <w:szCs w:val="21"/>
          <w:u w:val="single"/>
        </w:rPr>
        <w:t>（项目名称）</w:t>
      </w:r>
      <w:r>
        <w:rPr>
          <w:rFonts w:hint="eastAsia"/>
          <w:bCs/>
          <w:color w:val="auto"/>
          <w:szCs w:val="21"/>
        </w:rPr>
        <w:t>采购活动，服务全部由符合政策要求的中小企业承接。相关企业（含联合体中的中小企业、签订分包意向协议的中小企业） 的具体情况如下：</w:t>
      </w:r>
    </w:p>
    <w:p>
      <w:pPr>
        <w:spacing w:line="360" w:lineRule="auto"/>
        <w:ind w:firstLine="420"/>
        <w:rPr>
          <w:bCs/>
          <w:color w:val="auto"/>
          <w:szCs w:val="21"/>
        </w:rPr>
      </w:pPr>
      <w:r>
        <w:rPr>
          <w:bCs/>
          <w:color w:val="auto"/>
          <w:szCs w:val="21"/>
        </w:rPr>
        <w:t>1.</w:t>
      </w:r>
      <w:r>
        <w:rPr>
          <w:rFonts w:hint="eastAsia"/>
          <w:bCs/>
          <w:color w:val="auto"/>
          <w:szCs w:val="21"/>
          <w:u w:val="single"/>
        </w:rPr>
        <w:t>（标的名称）</w:t>
      </w:r>
      <w:r>
        <w:rPr>
          <w:rFonts w:hint="eastAsia"/>
          <w:bCs/>
          <w:color w:val="auto"/>
          <w:szCs w:val="21"/>
        </w:rPr>
        <w:t>，属于</w:t>
      </w:r>
      <w:r>
        <w:rPr>
          <w:rFonts w:hint="eastAsia"/>
          <w:bCs/>
          <w:color w:val="auto"/>
          <w:szCs w:val="21"/>
          <w:u w:val="single"/>
        </w:rPr>
        <w:t>（采购文件中明确的所属行业）</w:t>
      </w:r>
      <w:r>
        <w:rPr>
          <w:rFonts w:hint="eastAsia"/>
          <w:bCs/>
          <w:color w:val="auto"/>
          <w:szCs w:val="21"/>
        </w:rPr>
        <w:t>行业；承接企业为</w:t>
      </w:r>
      <w:r>
        <w:rPr>
          <w:rFonts w:hint="eastAsia"/>
          <w:bCs/>
          <w:color w:val="auto"/>
          <w:szCs w:val="21"/>
          <w:u w:val="single"/>
        </w:rPr>
        <w:t>（企业名称）</w:t>
      </w:r>
      <w:r>
        <w:rPr>
          <w:rFonts w:hint="eastAsia"/>
          <w:bCs/>
          <w:color w:val="auto"/>
          <w:szCs w:val="21"/>
        </w:rPr>
        <w:t>，从业人员</w:t>
      </w:r>
      <w:r>
        <w:rPr>
          <w:bCs/>
          <w:color w:val="auto"/>
          <w:szCs w:val="21"/>
          <w:u w:val="single"/>
        </w:rPr>
        <w:t xml:space="preserve">    </w:t>
      </w:r>
      <w:r>
        <w:rPr>
          <w:rFonts w:hint="eastAsia"/>
          <w:bCs/>
          <w:color w:val="auto"/>
          <w:szCs w:val="21"/>
        </w:rPr>
        <w:t>人，营业收入为</w:t>
      </w:r>
      <w:r>
        <w:rPr>
          <w:rFonts w:hint="eastAsia"/>
          <w:bCs/>
          <w:color w:val="auto"/>
          <w:szCs w:val="21"/>
          <w:u w:val="single"/>
        </w:rPr>
        <w:t xml:space="preserve"> </w:t>
      </w:r>
      <w:r>
        <w:rPr>
          <w:bCs/>
          <w:color w:val="auto"/>
          <w:szCs w:val="21"/>
          <w:u w:val="single"/>
        </w:rPr>
        <w:t xml:space="preserve">  </w:t>
      </w:r>
      <w:r>
        <w:rPr>
          <w:rFonts w:hint="eastAsia"/>
          <w:bCs/>
          <w:color w:val="auto"/>
          <w:szCs w:val="21"/>
          <w:u w:val="single"/>
        </w:rPr>
        <w:t xml:space="preserve"> </w:t>
      </w:r>
      <w:r>
        <w:rPr>
          <w:rFonts w:hint="eastAsia"/>
          <w:bCs/>
          <w:color w:val="auto"/>
          <w:szCs w:val="21"/>
        </w:rPr>
        <w:t>万元，资产总额为</w:t>
      </w:r>
      <w:r>
        <w:rPr>
          <w:rFonts w:hint="eastAsia"/>
          <w:bCs/>
          <w:color w:val="auto"/>
          <w:szCs w:val="21"/>
          <w:u w:val="single"/>
        </w:rPr>
        <w:t xml:space="preserve">    </w:t>
      </w:r>
      <w:r>
        <w:rPr>
          <w:rFonts w:hint="eastAsia"/>
          <w:bCs/>
          <w:color w:val="auto"/>
          <w:szCs w:val="21"/>
        </w:rPr>
        <w:t>万元，属于</w:t>
      </w:r>
      <w:r>
        <w:rPr>
          <w:rFonts w:hint="eastAsia"/>
          <w:bCs/>
          <w:color w:val="auto"/>
          <w:szCs w:val="21"/>
          <w:u w:val="single"/>
        </w:rPr>
        <w:t>（中型企业、小型企业、微型企业）</w:t>
      </w:r>
      <w:r>
        <w:rPr>
          <w:rFonts w:hint="eastAsia"/>
          <w:bCs/>
          <w:color w:val="auto"/>
          <w:szCs w:val="21"/>
        </w:rPr>
        <w:t>；</w:t>
      </w:r>
    </w:p>
    <w:p>
      <w:pPr>
        <w:spacing w:line="360" w:lineRule="auto"/>
        <w:ind w:firstLine="420"/>
        <w:rPr>
          <w:bCs/>
          <w:color w:val="auto"/>
          <w:szCs w:val="21"/>
        </w:rPr>
      </w:pPr>
      <w:r>
        <w:rPr>
          <w:bCs/>
          <w:color w:val="auto"/>
          <w:szCs w:val="21"/>
        </w:rPr>
        <w:t>2.</w:t>
      </w:r>
      <w:r>
        <w:rPr>
          <w:rFonts w:hint="eastAsia"/>
          <w:bCs/>
          <w:color w:val="auto"/>
          <w:szCs w:val="21"/>
          <w:u w:val="single"/>
        </w:rPr>
        <w:t>（标的名称）</w:t>
      </w:r>
      <w:r>
        <w:rPr>
          <w:rFonts w:hint="eastAsia"/>
          <w:bCs/>
          <w:color w:val="auto"/>
          <w:szCs w:val="21"/>
        </w:rPr>
        <w:t>，属于</w:t>
      </w:r>
      <w:r>
        <w:rPr>
          <w:rFonts w:hint="eastAsia"/>
          <w:bCs/>
          <w:color w:val="auto"/>
          <w:szCs w:val="21"/>
          <w:u w:val="single"/>
        </w:rPr>
        <w:t>（采购文件中明确的所属行业）</w:t>
      </w:r>
      <w:r>
        <w:rPr>
          <w:rFonts w:hint="eastAsia"/>
          <w:bCs/>
          <w:color w:val="auto"/>
          <w:szCs w:val="21"/>
        </w:rPr>
        <w:t>行业；承接企业为</w:t>
      </w:r>
      <w:r>
        <w:rPr>
          <w:rFonts w:hint="eastAsia"/>
          <w:bCs/>
          <w:color w:val="auto"/>
          <w:szCs w:val="21"/>
          <w:u w:val="single"/>
        </w:rPr>
        <w:t>（企业名称）</w:t>
      </w:r>
      <w:r>
        <w:rPr>
          <w:rFonts w:hint="eastAsia"/>
          <w:bCs/>
          <w:color w:val="auto"/>
          <w:szCs w:val="21"/>
        </w:rPr>
        <w:t>，从业人员</w:t>
      </w:r>
      <w:r>
        <w:rPr>
          <w:rFonts w:hint="eastAsia"/>
          <w:bCs/>
          <w:color w:val="auto"/>
          <w:szCs w:val="21"/>
          <w:u w:val="single"/>
        </w:rPr>
        <w:t xml:space="preserve">       </w:t>
      </w:r>
      <w:r>
        <w:rPr>
          <w:rFonts w:hint="eastAsia"/>
          <w:bCs/>
          <w:color w:val="auto"/>
          <w:szCs w:val="21"/>
        </w:rPr>
        <w:t>人，营业收入为</w:t>
      </w:r>
      <w:r>
        <w:rPr>
          <w:rFonts w:hint="eastAsia"/>
          <w:bCs/>
          <w:color w:val="auto"/>
          <w:szCs w:val="21"/>
          <w:u w:val="single"/>
        </w:rPr>
        <w:t xml:space="preserve">     </w:t>
      </w:r>
      <w:r>
        <w:rPr>
          <w:rFonts w:hint="eastAsia"/>
          <w:bCs/>
          <w:color w:val="auto"/>
          <w:szCs w:val="21"/>
        </w:rPr>
        <w:t>万元，资产总额为</w:t>
      </w:r>
      <w:r>
        <w:rPr>
          <w:rFonts w:hint="eastAsia"/>
          <w:bCs/>
          <w:color w:val="auto"/>
          <w:szCs w:val="21"/>
          <w:u w:val="single"/>
        </w:rPr>
        <w:t xml:space="preserve"> </w:t>
      </w:r>
      <w:r>
        <w:rPr>
          <w:bCs/>
          <w:color w:val="auto"/>
          <w:szCs w:val="21"/>
          <w:u w:val="single"/>
        </w:rPr>
        <w:t xml:space="preserve">     </w:t>
      </w:r>
      <w:r>
        <w:rPr>
          <w:rFonts w:hint="eastAsia"/>
          <w:bCs/>
          <w:color w:val="auto"/>
          <w:szCs w:val="21"/>
          <w:u w:val="single"/>
        </w:rPr>
        <w:t xml:space="preserve"> </w:t>
      </w:r>
      <w:r>
        <w:rPr>
          <w:rFonts w:hint="eastAsia"/>
          <w:bCs/>
          <w:color w:val="auto"/>
          <w:szCs w:val="21"/>
        </w:rPr>
        <w:t>万元，属于</w:t>
      </w:r>
      <w:r>
        <w:rPr>
          <w:rFonts w:hint="eastAsia"/>
          <w:bCs/>
          <w:color w:val="auto"/>
          <w:szCs w:val="21"/>
          <w:u w:val="single"/>
        </w:rPr>
        <w:t>（中型企业、小型企业、微型企业）</w:t>
      </w:r>
      <w:r>
        <w:rPr>
          <w:rFonts w:hint="eastAsia"/>
          <w:bCs/>
          <w:color w:val="auto"/>
          <w:szCs w:val="21"/>
        </w:rPr>
        <w:t>；</w:t>
      </w:r>
    </w:p>
    <w:p>
      <w:pPr>
        <w:spacing w:line="360" w:lineRule="auto"/>
        <w:ind w:firstLine="420"/>
        <w:rPr>
          <w:bCs/>
          <w:color w:val="auto"/>
          <w:szCs w:val="21"/>
        </w:rPr>
      </w:pPr>
      <w:r>
        <w:rPr>
          <w:rFonts w:hint="eastAsia"/>
          <w:bCs/>
          <w:color w:val="auto"/>
          <w:szCs w:val="21"/>
        </w:rPr>
        <w:t>……</w:t>
      </w:r>
    </w:p>
    <w:p>
      <w:pPr>
        <w:spacing w:line="360" w:lineRule="auto"/>
        <w:ind w:firstLine="420"/>
        <w:rPr>
          <w:bCs/>
          <w:color w:val="auto"/>
          <w:szCs w:val="21"/>
        </w:rPr>
      </w:pPr>
      <w:r>
        <w:rPr>
          <w:rFonts w:hint="eastAsia"/>
          <w:bCs/>
          <w:color w:val="auto"/>
          <w:szCs w:val="21"/>
        </w:rPr>
        <w:t>以上企业，不属于大企业的分支机构，不存在控股股东为大企业的情形，也不存在与大企业的负责人为同一人的情形。</w:t>
      </w:r>
    </w:p>
    <w:p>
      <w:pPr>
        <w:spacing w:line="360" w:lineRule="auto"/>
        <w:ind w:firstLine="420"/>
        <w:rPr>
          <w:bCs/>
          <w:color w:val="auto"/>
          <w:szCs w:val="21"/>
        </w:rPr>
      </w:pPr>
      <w:r>
        <w:rPr>
          <w:rFonts w:hint="eastAsia"/>
          <w:bCs/>
          <w:color w:val="auto"/>
          <w:szCs w:val="21"/>
        </w:rPr>
        <w:t>本企业对上述声明内容的真实性负责。如有虚假，将依法承担相应责任。</w:t>
      </w:r>
    </w:p>
    <w:p>
      <w:pPr>
        <w:spacing w:line="360" w:lineRule="auto"/>
        <w:ind w:firstLine="3150" w:firstLineChars="1500"/>
        <w:rPr>
          <w:bCs/>
          <w:color w:val="auto"/>
          <w:szCs w:val="21"/>
        </w:rPr>
      </w:pPr>
      <w:r>
        <w:rPr>
          <w:rFonts w:hint="eastAsia"/>
          <w:bCs/>
          <w:color w:val="auto"/>
          <w:szCs w:val="21"/>
        </w:rPr>
        <w:t>企业名称（电子签章）：日期：</w:t>
      </w:r>
    </w:p>
    <w:p>
      <w:pPr>
        <w:spacing w:line="360" w:lineRule="auto"/>
        <w:jc w:val="left"/>
        <w:rPr>
          <w:bCs/>
          <w:color w:val="auto"/>
          <w:szCs w:val="21"/>
        </w:rPr>
      </w:pPr>
      <w:r>
        <w:rPr>
          <w:rFonts w:hint="eastAsia"/>
          <w:bCs/>
          <w:color w:val="auto"/>
          <w:szCs w:val="21"/>
        </w:rPr>
        <w:t>注：（1）如供应商为联合体或分包的，声明函中“项目名称”应填写联合体中小微企业承担的具体内容或者小微企业具体分包内容。</w:t>
      </w:r>
    </w:p>
    <w:p>
      <w:pPr>
        <w:spacing w:line="360" w:lineRule="auto"/>
        <w:jc w:val="left"/>
        <w:rPr>
          <w:bCs/>
          <w:color w:val="auto"/>
          <w:szCs w:val="21"/>
        </w:rPr>
      </w:pPr>
      <w:r>
        <w:rPr>
          <w:rFonts w:hint="eastAsia"/>
          <w:bCs/>
          <w:color w:val="auto"/>
          <w:szCs w:val="21"/>
        </w:rPr>
        <w:t>（</w:t>
      </w:r>
      <w:r>
        <w:rPr>
          <w:bCs/>
          <w:color w:val="auto"/>
          <w:szCs w:val="21"/>
        </w:rPr>
        <w:t>2</w:t>
      </w:r>
      <w:r>
        <w:rPr>
          <w:rFonts w:hint="eastAsia"/>
          <w:bCs/>
          <w:color w:val="auto"/>
          <w:szCs w:val="21"/>
        </w:rPr>
        <w:t>）请根据真实情况出具《中小企业声明函》。依法享受中小企业优惠政策的，采购人或采购代理机构在公告成交结果时，同时公告其《中小企业声明函》，接受社会监督。</w:t>
      </w:r>
    </w:p>
    <w:p>
      <w:pPr>
        <w:spacing w:line="360" w:lineRule="auto"/>
        <w:jc w:val="left"/>
        <w:rPr>
          <w:bCs/>
          <w:color w:val="auto"/>
          <w:szCs w:val="21"/>
        </w:rPr>
      </w:pPr>
      <w:r>
        <w:rPr>
          <w:rFonts w:hint="eastAsia"/>
          <w:bCs/>
          <w:color w:val="auto"/>
          <w:szCs w:val="21"/>
        </w:rPr>
        <w:t>（</w:t>
      </w:r>
      <w:r>
        <w:rPr>
          <w:bCs/>
          <w:color w:val="auto"/>
          <w:szCs w:val="21"/>
        </w:rPr>
        <w:t>3</w:t>
      </w:r>
      <w:r>
        <w:rPr>
          <w:rFonts w:hint="eastAsia"/>
          <w:bCs/>
          <w:color w:val="auto"/>
          <w:szCs w:val="21"/>
        </w:rPr>
        <w:t>）从业人员、营业收入、资产总额填报上一年度数据，无上一年度数据的新成立企业参照国务院批准的中小企业划分标准，根据企业自身情况如实判断。</w:t>
      </w:r>
    </w:p>
    <w:p>
      <w:pPr>
        <w:rPr>
          <w:bCs/>
          <w:color w:val="auto"/>
          <w:szCs w:val="21"/>
        </w:rPr>
      </w:pPr>
      <w:r>
        <w:rPr>
          <w:rFonts w:hint="eastAsia"/>
          <w:bCs/>
          <w:color w:val="auto"/>
          <w:szCs w:val="21"/>
        </w:rPr>
        <w:br w:type="page"/>
      </w:r>
    </w:p>
    <w:p>
      <w:pPr>
        <w:pStyle w:val="20"/>
        <w:rPr>
          <w:color w:val="auto"/>
        </w:rPr>
      </w:pPr>
    </w:p>
    <w:p>
      <w:pPr>
        <w:ind w:right="420"/>
        <w:rPr>
          <w:color w:val="auto"/>
          <w:szCs w:val="21"/>
        </w:rPr>
      </w:pPr>
    </w:p>
    <w:p>
      <w:pPr>
        <w:snapToGrid w:val="0"/>
        <w:spacing w:before="50" w:after="120" w:afterLines="50"/>
        <w:jc w:val="left"/>
        <w:rPr>
          <w:color w:val="auto"/>
          <w:szCs w:val="21"/>
        </w:rPr>
      </w:pPr>
      <w:r>
        <w:rPr>
          <w:rFonts w:hint="eastAsia"/>
          <w:color w:val="auto"/>
          <w:szCs w:val="21"/>
        </w:rPr>
        <w:t>9</w:t>
      </w:r>
      <w:r>
        <w:rPr>
          <w:color w:val="auto"/>
          <w:szCs w:val="21"/>
        </w:rPr>
        <w:t>.2监狱企业须提供最新一期《XX省监狱企业产品目录》或其他监狱企业证明材料。（非监狱企业无需提供）</w:t>
      </w:r>
    </w:p>
    <w:p>
      <w:pPr>
        <w:snapToGrid w:val="0"/>
        <w:spacing w:before="50" w:after="120" w:afterLines="50"/>
        <w:jc w:val="left"/>
        <w:rPr>
          <w:color w:val="auto"/>
          <w:szCs w:val="21"/>
        </w:rPr>
      </w:pPr>
    </w:p>
    <w:p>
      <w:pPr>
        <w:snapToGrid w:val="0"/>
        <w:spacing w:before="50" w:after="120" w:afterLines="50"/>
        <w:jc w:val="left"/>
        <w:rPr>
          <w:color w:val="auto"/>
        </w:rPr>
      </w:pPr>
      <w:r>
        <w:rPr>
          <w:rFonts w:hint="eastAsia"/>
          <w:color w:val="auto"/>
          <w:szCs w:val="21"/>
        </w:rPr>
        <w:t>9</w:t>
      </w:r>
      <w:r>
        <w:rPr>
          <w:color w:val="auto"/>
          <w:szCs w:val="21"/>
        </w:rPr>
        <w:t>.3</w:t>
      </w:r>
      <w:r>
        <w:rPr>
          <w:color w:val="auto"/>
        </w:rPr>
        <w:t>残疾人福利性单位须提供《残疾人福利性单位声明函》，格式如下。</w:t>
      </w:r>
      <w:r>
        <w:rPr>
          <w:color w:val="auto"/>
          <w:szCs w:val="21"/>
        </w:rPr>
        <w:t>（非残疾人福利性单位无需提供）</w:t>
      </w:r>
    </w:p>
    <w:p>
      <w:pPr>
        <w:snapToGrid w:val="0"/>
        <w:spacing w:before="50" w:after="120" w:afterLines="50"/>
        <w:jc w:val="left"/>
        <w:rPr>
          <w:color w:val="auto"/>
        </w:rPr>
      </w:pPr>
    </w:p>
    <w:p>
      <w:pPr>
        <w:spacing w:line="360" w:lineRule="auto"/>
        <w:jc w:val="center"/>
        <w:rPr>
          <w:b/>
          <w:color w:val="auto"/>
          <w:szCs w:val="21"/>
        </w:rPr>
      </w:pPr>
      <w:r>
        <w:rPr>
          <w:b/>
          <w:color w:val="auto"/>
          <w:szCs w:val="21"/>
        </w:rPr>
        <w:t>残疾人福利性单位声明函</w:t>
      </w:r>
    </w:p>
    <w:p>
      <w:pPr>
        <w:spacing w:line="360" w:lineRule="auto"/>
        <w:ind w:firstLine="420"/>
        <w:jc w:val="left"/>
        <w:rPr>
          <w:color w:val="auto"/>
          <w:szCs w:val="21"/>
        </w:rPr>
      </w:pPr>
      <w:r>
        <w:rPr>
          <w:color w:val="auto"/>
          <w:szCs w:val="21"/>
        </w:rPr>
        <w:t>本单位郑重声明，根据《财政部 民政部 中国残疾人联合会关于促进残疾人就业政府采购政策的通知》（财库〔2017〕141号）的规定，本单位为符合条件的残疾人福利性单位，且本单位参加</w:t>
      </w:r>
      <w:r>
        <w:rPr>
          <w:color w:val="auto"/>
          <w:szCs w:val="21"/>
          <w:u w:val="single"/>
        </w:rPr>
        <w:t xml:space="preserve">        </w:t>
      </w:r>
      <w:r>
        <w:rPr>
          <w:color w:val="auto"/>
          <w:szCs w:val="21"/>
        </w:rPr>
        <w:t>单位的</w:t>
      </w:r>
      <w:r>
        <w:rPr>
          <w:color w:val="auto"/>
          <w:szCs w:val="21"/>
          <w:u w:val="single"/>
        </w:rPr>
        <w:t xml:space="preserve">           </w:t>
      </w:r>
      <w:r>
        <w:rPr>
          <w:color w:val="auto"/>
          <w:szCs w:val="21"/>
        </w:rPr>
        <w:t>项目采购活动提供本单位制造的货物（由本单位承担工程/提供服务），或者提供其他残疾人福利性单位制造的货物（不包括使用非残疾人福利性单位注册商标的货物）。</w:t>
      </w:r>
    </w:p>
    <w:p>
      <w:pPr>
        <w:spacing w:line="360" w:lineRule="auto"/>
        <w:ind w:firstLine="420"/>
        <w:rPr>
          <w:color w:val="auto"/>
          <w:szCs w:val="21"/>
        </w:rPr>
      </w:pPr>
      <w:r>
        <w:rPr>
          <w:color w:val="auto"/>
          <w:szCs w:val="21"/>
        </w:rPr>
        <w:t>本单位对上述声明的真实性负责。如有虚假，将依法承担相应责任。</w:t>
      </w:r>
    </w:p>
    <w:p>
      <w:pPr>
        <w:spacing w:line="360" w:lineRule="auto"/>
        <w:ind w:firstLine="420"/>
        <w:rPr>
          <w:color w:val="auto"/>
          <w:spacing w:val="6"/>
          <w:szCs w:val="21"/>
        </w:rPr>
      </w:pPr>
      <w:r>
        <w:rPr>
          <w:rFonts w:eastAsia="仿宋_GB2312"/>
          <w:color w:val="auto"/>
          <w:spacing w:val="6"/>
          <w:sz w:val="30"/>
          <w:szCs w:val="30"/>
        </w:rPr>
        <w:t xml:space="preserve">              </w:t>
      </w:r>
      <w:r>
        <w:rPr>
          <w:color w:val="auto"/>
          <w:spacing w:val="6"/>
          <w:szCs w:val="21"/>
        </w:rPr>
        <w:t xml:space="preserve"> </w:t>
      </w:r>
      <w:r>
        <w:rPr>
          <w:rFonts w:hint="eastAsia"/>
          <w:color w:val="auto"/>
          <w:spacing w:val="6"/>
          <w:szCs w:val="21"/>
        </w:rPr>
        <w:t xml:space="preserve">                          </w:t>
      </w:r>
      <w:r>
        <w:rPr>
          <w:color w:val="auto"/>
          <w:spacing w:val="6"/>
          <w:szCs w:val="21"/>
        </w:rPr>
        <w:t>单位名称（</w:t>
      </w:r>
      <w:r>
        <w:rPr>
          <w:rFonts w:hint="eastAsia"/>
          <w:bCs/>
          <w:color w:val="auto"/>
          <w:szCs w:val="21"/>
        </w:rPr>
        <w:t>电子签章</w:t>
      </w:r>
      <w:r>
        <w:rPr>
          <w:color w:val="auto"/>
          <w:spacing w:val="6"/>
          <w:szCs w:val="21"/>
        </w:rPr>
        <w:t xml:space="preserve">）：          </w:t>
      </w:r>
    </w:p>
    <w:p>
      <w:pPr>
        <w:spacing w:line="360" w:lineRule="auto"/>
        <w:ind w:firstLine="420"/>
        <w:rPr>
          <w:color w:val="auto"/>
          <w:spacing w:val="6"/>
          <w:szCs w:val="21"/>
        </w:rPr>
      </w:pPr>
      <w:r>
        <w:rPr>
          <w:color w:val="auto"/>
          <w:spacing w:val="6"/>
          <w:szCs w:val="21"/>
        </w:rPr>
        <w:t xml:space="preserve"> </w:t>
      </w:r>
      <w:r>
        <w:rPr>
          <w:rFonts w:hint="eastAsia"/>
          <w:color w:val="auto"/>
          <w:spacing w:val="6"/>
          <w:szCs w:val="21"/>
        </w:rPr>
        <w:t xml:space="preserve">                                                      </w:t>
      </w:r>
      <w:r>
        <w:rPr>
          <w:color w:val="auto"/>
          <w:spacing w:val="6"/>
          <w:szCs w:val="21"/>
        </w:rPr>
        <w:t>日  期：</w:t>
      </w:r>
    </w:p>
    <w:p>
      <w:pPr>
        <w:snapToGrid w:val="0"/>
        <w:spacing w:before="50" w:after="120" w:afterLines="50"/>
        <w:jc w:val="left"/>
        <w:rPr>
          <w:color w:val="auto"/>
          <w:szCs w:val="21"/>
        </w:rPr>
      </w:pPr>
      <w:r>
        <w:rPr>
          <w:rFonts w:hint="eastAsia"/>
          <w:color w:val="auto"/>
          <w:szCs w:val="21"/>
        </w:rPr>
        <w:t>9</w:t>
      </w:r>
      <w:r>
        <w:rPr>
          <w:color w:val="auto"/>
          <w:szCs w:val="21"/>
        </w:rPr>
        <w:t>.4</w:t>
      </w:r>
      <w:r>
        <w:rPr>
          <w:rFonts w:hint="eastAsia"/>
          <w:color w:val="auto"/>
          <w:szCs w:val="21"/>
        </w:rPr>
        <w:t>如本项目允许分包，非小微企业供应商应提供分包意向协议书，分包意向协议书应明确约定小微企业分包商的合同份额占到合同总金额的比例。分包意向协议书</w:t>
      </w:r>
      <w:r>
        <w:rPr>
          <w:color w:val="auto"/>
          <w:szCs w:val="21"/>
        </w:rPr>
        <w:t>格式</w:t>
      </w:r>
      <w:r>
        <w:rPr>
          <w:rFonts w:hint="eastAsia"/>
          <w:color w:val="auto"/>
          <w:szCs w:val="21"/>
        </w:rPr>
        <w:t>自拟</w:t>
      </w:r>
      <w:r>
        <w:rPr>
          <w:color w:val="auto"/>
          <w:szCs w:val="21"/>
        </w:rPr>
        <w:t>。</w:t>
      </w:r>
    </w:p>
    <w:p>
      <w:pPr>
        <w:pStyle w:val="6"/>
        <w:rPr>
          <w:color w:val="auto"/>
        </w:rPr>
      </w:pPr>
    </w:p>
    <w:p>
      <w:pPr>
        <w:rPr>
          <w:color w:val="auto"/>
          <w:szCs w:val="21"/>
        </w:rPr>
      </w:pPr>
      <w:r>
        <w:rPr>
          <w:color w:val="auto"/>
          <w:szCs w:val="21"/>
        </w:rPr>
        <w:br w:type="page"/>
      </w:r>
    </w:p>
    <w:p>
      <w:pPr>
        <w:snapToGrid w:val="0"/>
        <w:spacing w:before="50" w:after="120" w:afterLines="50"/>
        <w:jc w:val="left"/>
        <w:rPr>
          <w:color w:val="auto"/>
          <w:szCs w:val="21"/>
        </w:rPr>
      </w:pPr>
      <w:r>
        <w:rPr>
          <w:rFonts w:hint="eastAsia"/>
          <w:color w:val="auto"/>
          <w:szCs w:val="21"/>
        </w:rPr>
        <w:t>10</w:t>
      </w:r>
      <w:r>
        <w:rPr>
          <w:color w:val="auto"/>
          <w:szCs w:val="21"/>
        </w:rPr>
        <w:t>．供应商认为应当要提交的资格证明材料。</w:t>
      </w:r>
    </w:p>
    <w:p>
      <w:pPr>
        <w:pStyle w:val="8"/>
        <w:overflowPunct w:val="0"/>
        <w:ind w:firstLine="0"/>
        <w:rPr>
          <w:rFonts w:ascii="宋体" w:hAnsi="宋体"/>
          <w:color w:val="auto"/>
          <w:sz w:val="24"/>
        </w:rPr>
      </w:pPr>
      <w:bookmarkStart w:id="98" w:name="_Hlk60652166"/>
      <w:r>
        <w:rPr>
          <w:rFonts w:ascii="宋体" w:hAnsi="宋体"/>
          <w:color w:val="auto"/>
          <w:sz w:val="24"/>
        </w:rPr>
        <w:t xml:space="preserve"> </w:t>
      </w:r>
    </w:p>
    <w:bookmarkEnd w:id="98"/>
    <w:p>
      <w:pPr>
        <w:spacing w:line="276" w:lineRule="auto"/>
        <w:rPr>
          <w:color w:val="auto"/>
          <w:szCs w:val="21"/>
        </w:rPr>
      </w:pPr>
      <w:r>
        <w:rPr>
          <w:color w:val="auto"/>
          <w:szCs w:val="21"/>
        </w:rPr>
        <w:t>1</w:t>
      </w:r>
      <w:r>
        <w:rPr>
          <w:rFonts w:hint="eastAsia"/>
          <w:color w:val="auto"/>
          <w:szCs w:val="21"/>
        </w:rPr>
        <w:t>1</w:t>
      </w:r>
      <w:r>
        <w:rPr>
          <w:color w:val="auto"/>
          <w:szCs w:val="21"/>
        </w:rPr>
        <w:t>．</w:t>
      </w:r>
      <w:r>
        <w:rPr>
          <w:rFonts w:hint="eastAsia"/>
          <w:color w:val="auto"/>
          <w:szCs w:val="21"/>
        </w:rPr>
        <w:t>如本项目接受联合体，供应商应提交联合体协议书。联合体协议书应明确约定小微企业分包商的合同份额占到合同总金额的比例。格式如下：</w:t>
      </w:r>
    </w:p>
    <w:p>
      <w:pPr>
        <w:rPr>
          <w:rFonts w:ascii="宋体" w:hAnsi="宋体" w:cs="宋体"/>
          <w:b/>
          <w:bCs/>
          <w:color w:val="auto"/>
          <w:kern w:val="0"/>
          <w:sz w:val="28"/>
          <w:szCs w:val="28"/>
          <w:lang w:bidi="ar"/>
        </w:rPr>
      </w:pPr>
    </w:p>
    <w:p>
      <w:pPr>
        <w:pStyle w:val="20"/>
        <w:rPr>
          <w:color w:val="auto"/>
        </w:rPr>
      </w:pPr>
    </w:p>
    <w:p>
      <w:pPr>
        <w:pStyle w:val="8"/>
        <w:overflowPunct w:val="0"/>
        <w:ind w:firstLine="0"/>
        <w:jc w:val="center"/>
        <w:rPr>
          <w:rFonts w:ascii="宋体" w:hAnsi="宋体"/>
          <w:b/>
          <w:bCs/>
          <w:color w:val="auto"/>
          <w:sz w:val="32"/>
          <w:szCs w:val="32"/>
        </w:rPr>
      </w:pPr>
      <w:r>
        <w:rPr>
          <w:rFonts w:hint="eastAsia" w:ascii="宋体" w:hAnsi="宋体"/>
          <w:b/>
          <w:bCs/>
          <w:color w:val="auto"/>
          <w:sz w:val="32"/>
          <w:szCs w:val="32"/>
        </w:rPr>
        <w:t>联合体协议书</w:t>
      </w:r>
    </w:p>
    <w:p>
      <w:pPr>
        <w:pStyle w:val="8"/>
        <w:overflowPunct w:val="0"/>
        <w:rPr>
          <w:rFonts w:ascii="宋体" w:hAnsi="宋体"/>
          <w:color w:val="auto"/>
          <w:sz w:val="24"/>
        </w:rPr>
      </w:pPr>
    </w:p>
    <w:p>
      <w:pPr>
        <w:pStyle w:val="8"/>
        <w:overflowPunct w:val="0"/>
        <w:rPr>
          <w:rFonts w:ascii="宋体" w:hAnsi="宋体"/>
          <w:color w:val="auto"/>
          <w:sz w:val="24"/>
        </w:rPr>
      </w:pPr>
    </w:p>
    <w:p>
      <w:pPr>
        <w:pStyle w:val="8"/>
        <w:overflowPunct w:val="0"/>
        <w:ind w:firstLine="0"/>
        <w:rPr>
          <w:rFonts w:ascii="宋体" w:hAnsi="宋体"/>
          <w:color w:val="auto"/>
          <w:sz w:val="24"/>
          <w:u w:val="single"/>
        </w:rPr>
      </w:pPr>
    </w:p>
    <w:p>
      <w:pPr>
        <w:pStyle w:val="8"/>
        <w:overflowPunct w:val="0"/>
        <w:rPr>
          <w:color w:val="auto"/>
          <w:szCs w:val="21"/>
        </w:rPr>
      </w:pPr>
      <w:r>
        <w:rPr>
          <w:color w:val="auto"/>
          <w:szCs w:val="21"/>
          <w:u w:val="single"/>
        </w:rPr>
        <w:t xml:space="preserve"> </w:t>
      </w:r>
      <w:r>
        <w:rPr>
          <w:color w:val="auto"/>
          <w:szCs w:val="21"/>
          <w:u w:val="single"/>
        </w:rPr>
        <w:tab/>
      </w:r>
      <w:r>
        <w:rPr>
          <w:rFonts w:hint="eastAsia"/>
          <w:color w:val="auto"/>
          <w:szCs w:val="21"/>
          <w:u w:val="single"/>
        </w:rPr>
        <w:t>（所有成员单位名称）</w:t>
      </w:r>
      <w:r>
        <w:rPr>
          <w:rFonts w:hint="eastAsia"/>
          <w:color w:val="auto"/>
          <w:szCs w:val="21"/>
        </w:rPr>
        <w:t>自愿组成</w:t>
      </w:r>
      <w:r>
        <w:rPr>
          <w:color w:val="auto"/>
          <w:szCs w:val="21"/>
        </w:rPr>
        <w:t xml:space="preserve"> </w:t>
      </w:r>
      <w:r>
        <w:rPr>
          <w:color w:val="auto"/>
          <w:szCs w:val="21"/>
          <w:u w:val="single"/>
        </w:rPr>
        <w:t xml:space="preserve">       </w:t>
      </w:r>
      <w:r>
        <w:rPr>
          <w:rFonts w:hint="eastAsia"/>
          <w:color w:val="auto"/>
          <w:szCs w:val="21"/>
          <w:u w:val="single"/>
        </w:rPr>
        <w:t>（联合体名称）</w:t>
      </w:r>
      <w:r>
        <w:rPr>
          <w:rFonts w:hint="eastAsia"/>
          <w:color w:val="auto"/>
          <w:szCs w:val="21"/>
        </w:rPr>
        <w:t>联合体，共同参加</w:t>
      </w:r>
      <w:r>
        <w:rPr>
          <w:color w:val="auto"/>
          <w:szCs w:val="21"/>
        </w:rPr>
        <w:t xml:space="preserve"> </w:t>
      </w:r>
      <w:r>
        <w:rPr>
          <w:color w:val="auto"/>
          <w:szCs w:val="21"/>
          <w:u w:val="single"/>
        </w:rPr>
        <w:tab/>
      </w:r>
      <w:r>
        <w:rPr>
          <w:rFonts w:hint="eastAsia"/>
          <w:color w:val="auto"/>
          <w:szCs w:val="21"/>
          <w:u w:val="single"/>
        </w:rPr>
        <w:t>（项目名称）</w:t>
      </w:r>
      <w:r>
        <w:rPr>
          <w:rFonts w:hint="eastAsia"/>
          <w:color w:val="auto"/>
          <w:szCs w:val="21"/>
        </w:rPr>
        <w:t>采购招标项目响应。现就联合体响应事宜订立如下协议。</w:t>
      </w:r>
    </w:p>
    <w:p>
      <w:pPr>
        <w:pStyle w:val="8"/>
        <w:overflowPunct w:val="0"/>
        <w:rPr>
          <w:color w:val="auto"/>
          <w:szCs w:val="21"/>
        </w:rPr>
      </w:pPr>
    </w:p>
    <w:p>
      <w:pPr>
        <w:pStyle w:val="8"/>
        <w:overflowPunct w:val="0"/>
        <w:ind w:firstLine="367" w:firstLineChars="175"/>
        <w:rPr>
          <w:color w:val="auto"/>
          <w:szCs w:val="21"/>
        </w:rPr>
      </w:pPr>
      <w:r>
        <w:rPr>
          <w:color w:val="auto"/>
          <w:szCs w:val="21"/>
        </w:rPr>
        <w:t xml:space="preserve">1. </w:t>
      </w:r>
      <w:r>
        <w:rPr>
          <w:color w:val="auto"/>
          <w:szCs w:val="21"/>
          <w:u w:val="single"/>
        </w:rPr>
        <w:t xml:space="preserve">  </w:t>
      </w:r>
      <w:r>
        <w:rPr>
          <w:color w:val="auto"/>
          <w:szCs w:val="21"/>
          <w:u w:val="single"/>
        </w:rPr>
        <w:tab/>
      </w:r>
      <w:r>
        <w:rPr>
          <w:rFonts w:hint="eastAsia"/>
          <w:color w:val="auto"/>
          <w:szCs w:val="21"/>
          <w:u w:val="single"/>
        </w:rPr>
        <w:t>（某成员单位名称）</w:t>
      </w:r>
      <w:r>
        <w:rPr>
          <w:rFonts w:hint="eastAsia"/>
          <w:color w:val="auto"/>
          <w:szCs w:val="21"/>
        </w:rPr>
        <w:t>为</w:t>
      </w:r>
      <w:r>
        <w:rPr>
          <w:color w:val="auto"/>
          <w:szCs w:val="21"/>
          <w:u w:val="single"/>
        </w:rPr>
        <w:t xml:space="preserve"> </w:t>
      </w:r>
      <w:r>
        <w:rPr>
          <w:color w:val="auto"/>
          <w:szCs w:val="21"/>
          <w:u w:val="single"/>
        </w:rPr>
        <w:tab/>
      </w:r>
      <w:r>
        <w:rPr>
          <w:rFonts w:hint="eastAsia"/>
          <w:color w:val="auto"/>
          <w:szCs w:val="21"/>
          <w:u w:val="single"/>
        </w:rPr>
        <w:t>（联合体名称）</w:t>
      </w:r>
      <w:r>
        <w:rPr>
          <w:rFonts w:hint="eastAsia"/>
          <w:color w:val="auto"/>
          <w:szCs w:val="21"/>
        </w:rPr>
        <w:t>牵头人。</w:t>
      </w:r>
    </w:p>
    <w:p>
      <w:pPr>
        <w:pStyle w:val="8"/>
        <w:overflowPunct w:val="0"/>
        <w:ind w:firstLine="367" w:firstLineChars="175"/>
        <w:rPr>
          <w:color w:val="auto"/>
          <w:szCs w:val="21"/>
        </w:rPr>
      </w:pPr>
      <w:r>
        <w:rPr>
          <w:color w:val="auto"/>
          <w:szCs w:val="21"/>
        </w:rPr>
        <w:t>2.</w:t>
      </w:r>
      <w:r>
        <w:rPr>
          <w:rFonts w:hint="eastAsia"/>
          <w:color w:val="auto"/>
          <w:szCs w:val="21"/>
        </w:rPr>
        <w:t>联合体各成员授权牵头人代表联合体参加响应活动，签署文件及对文件的盖章，提交和接收相关的资料、信息及指示，进行合同谈判活动，负责合同实施阶段的组织和协调工作，以及处理与本招标项</w:t>
      </w:r>
      <w:r>
        <w:rPr>
          <w:color w:val="auto"/>
          <w:szCs w:val="21"/>
        </w:rPr>
        <w:t xml:space="preserve"> </w:t>
      </w:r>
      <w:r>
        <w:rPr>
          <w:rFonts w:hint="eastAsia"/>
          <w:color w:val="auto"/>
          <w:szCs w:val="21"/>
        </w:rPr>
        <w:t>目有关的一切事宜。</w:t>
      </w:r>
    </w:p>
    <w:p>
      <w:pPr>
        <w:pStyle w:val="8"/>
        <w:overflowPunct w:val="0"/>
        <w:ind w:firstLine="367" w:firstLineChars="175"/>
        <w:rPr>
          <w:color w:val="auto"/>
          <w:szCs w:val="21"/>
        </w:rPr>
      </w:pPr>
      <w:r>
        <w:rPr>
          <w:color w:val="auto"/>
          <w:szCs w:val="21"/>
        </w:rPr>
        <w:t>3.</w:t>
      </w:r>
      <w:r>
        <w:rPr>
          <w:rFonts w:hint="eastAsia"/>
          <w:color w:val="auto"/>
          <w:szCs w:val="21"/>
        </w:rPr>
        <w:t>联合体牵头人在本项目中签署和盖章的一切文件和处理的一切事宜，联合体各成员均予以承认。联合体各成员将严格按照采购文件、响应文件和合同的要求全面履行义务，并向采购人承担连带责任。</w:t>
      </w:r>
    </w:p>
    <w:p>
      <w:pPr>
        <w:pStyle w:val="8"/>
        <w:overflowPunct w:val="0"/>
        <w:ind w:firstLine="367" w:firstLineChars="175"/>
        <w:rPr>
          <w:color w:val="auto"/>
          <w:szCs w:val="21"/>
        </w:rPr>
      </w:pPr>
      <w:r>
        <w:rPr>
          <w:color w:val="auto"/>
          <w:szCs w:val="21"/>
        </w:rPr>
        <w:t>4.</w:t>
      </w:r>
      <w:r>
        <w:rPr>
          <w:rFonts w:hint="eastAsia"/>
          <w:color w:val="auto"/>
          <w:szCs w:val="21"/>
        </w:rPr>
        <w:t>联合体各成员单位内部的职责分工如下：</w:t>
      </w:r>
      <w:r>
        <w:rPr>
          <w:color w:val="auto"/>
          <w:szCs w:val="21"/>
        </w:rPr>
        <w:t xml:space="preserve"> </w:t>
      </w:r>
      <w:r>
        <w:rPr>
          <w:color w:val="auto"/>
          <w:szCs w:val="21"/>
        </w:rPr>
        <w:tab/>
      </w:r>
      <w:r>
        <w:rPr>
          <w:rFonts w:hint="eastAsia"/>
          <w:color w:val="auto"/>
          <w:szCs w:val="21"/>
        </w:rPr>
        <w:t>。</w:t>
      </w:r>
    </w:p>
    <w:p>
      <w:pPr>
        <w:pStyle w:val="8"/>
        <w:overflowPunct w:val="0"/>
        <w:ind w:firstLine="367" w:firstLineChars="175"/>
        <w:rPr>
          <w:color w:val="auto"/>
          <w:szCs w:val="21"/>
          <w:u w:val="single"/>
        </w:rPr>
      </w:pPr>
      <w:r>
        <w:rPr>
          <w:rFonts w:hint="eastAsia"/>
          <w:color w:val="auto"/>
          <w:szCs w:val="21"/>
        </w:rPr>
        <w:t>5.联合体中为小微企业的成员名称：</w:t>
      </w:r>
      <w:r>
        <w:rPr>
          <w:rFonts w:hint="eastAsia"/>
          <w:color w:val="auto"/>
          <w:szCs w:val="21"/>
          <w:u w:val="single"/>
        </w:rPr>
        <w:t xml:space="preserve"> </w:t>
      </w:r>
      <w:r>
        <w:rPr>
          <w:color w:val="auto"/>
          <w:szCs w:val="21"/>
          <w:u w:val="single"/>
        </w:rPr>
        <w:t xml:space="preserve">         </w:t>
      </w:r>
      <w:r>
        <w:rPr>
          <w:rFonts w:hint="eastAsia"/>
          <w:color w:val="auto"/>
          <w:szCs w:val="21"/>
        </w:rPr>
        <w:t>。小微企业联合体成员承担的合同金额比例合计为：</w:t>
      </w:r>
      <w:r>
        <w:rPr>
          <w:rFonts w:hint="eastAsia"/>
          <w:color w:val="auto"/>
          <w:szCs w:val="21"/>
          <w:u w:val="single"/>
        </w:rPr>
        <w:t xml:space="preserve"> </w:t>
      </w:r>
      <w:r>
        <w:rPr>
          <w:color w:val="auto"/>
          <w:szCs w:val="21"/>
          <w:u w:val="single"/>
        </w:rPr>
        <w:t xml:space="preserve">      </w:t>
      </w:r>
      <w:r>
        <w:rPr>
          <w:rFonts w:hint="eastAsia"/>
          <w:color w:val="auto"/>
          <w:szCs w:val="21"/>
          <w:u w:val="single"/>
        </w:rPr>
        <w:t>。</w:t>
      </w:r>
    </w:p>
    <w:p>
      <w:pPr>
        <w:pStyle w:val="8"/>
        <w:overflowPunct w:val="0"/>
        <w:ind w:firstLine="367" w:firstLineChars="175"/>
        <w:rPr>
          <w:color w:val="auto"/>
          <w:szCs w:val="21"/>
        </w:rPr>
      </w:pPr>
      <w:r>
        <w:rPr>
          <w:color w:val="auto"/>
          <w:szCs w:val="21"/>
        </w:rPr>
        <w:t>6.</w:t>
      </w:r>
      <w:r>
        <w:rPr>
          <w:rFonts w:hint="eastAsia"/>
          <w:color w:val="auto"/>
          <w:szCs w:val="21"/>
        </w:rPr>
        <w:t>本协议书自所有成员单位法定代表人或者其委托代理人签字或者盖公章之日起生效，合同履行完毕后自动失效。</w:t>
      </w:r>
    </w:p>
    <w:p>
      <w:pPr>
        <w:pStyle w:val="8"/>
        <w:overflowPunct w:val="0"/>
        <w:ind w:firstLine="367" w:firstLineChars="175"/>
        <w:rPr>
          <w:color w:val="auto"/>
          <w:szCs w:val="21"/>
        </w:rPr>
      </w:pPr>
      <w:r>
        <w:rPr>
          <w:color w:val="auto"/>
          <w:szCs w:val="21"/>
        </w:rPr>
        <w:t>7.</w:t>
      </w:r>
      <w:r>
        <w:rPr>
          <w:rFonts w:hint="eastAsia"/>
          <w:color w:val="auto"/>
          <w:szCs w:val="21"/>
        </w:rPr>
        <w:t>本协议书一式</w:t>
      </w:r>
      <w:r>
        <w:rPr>
          <w:color w:val="auto"/>
          <w:szCs w:val="21"/>
          <w:u w:val="single"/>
        </w:rPr>
        <w:t xml:space="preserve"> </w:t>
      </w:r>
      <w:r>
        <w:rPr>
          <w:color w:val="auto"/>
          <w:szCs w:val="21"/>
          <w:u w:val="single"/>
        </w:rPr>
        <w:tab/>
      </w:r>
      <w:r>
        <w:rPr>
          <w:rFonts w:hint="eastAsia"/>
          <w:color w:val="auto"/>
          <w:szCs w:val="21"/>
          <w:u w:val="single"/>
        </w:rPr>
        <w:t>份</w:t>
      </w:r>
      <w:r>
        <w:rPr>
          <w:rFonts w:hint="eastAsia"/>
          <w:color w:val="auto"/>
          <w:szCs w:val="21"/>
        </w:rPr>
        <w:t>，联合体成员和采购人各执一份。</w:t>
      </w:r>
    </w:p>
    <w:p>
      <w:pPr>
        <w:pStyle w:val="8"/>
        <w:overflowPunct w:val="0"/>
        <w:ind w:firstLine="0"/>
        <w:rPr>
          <w:color w:val="auto"/>
          <w:szCs w:val="21"/>
        </w:rPr>
      </w:pPr>
    </w:p>
    <w:p>
      <w:pPr>
        <w:pStyle w:val="8"/>
        <w:overflowPunct w:val="0"/>
        <w:ind w:firstLine="367" w:firstLineChars="175"/>
        <w:rPr>
          <w:color w:val="auto"/>
          <w:szCs w:val="21"/>
        </w:rPr>
      </w:pPr>
      <w:r>
        <w:rPr>
          <w:rFonts w:hint="eastAsia"/>
          <w:color w:val="auto"/>
          <w:szCs w:val="21"/>
        </w:rPr>
        <w:t>注：本协议书由法定代表人签字的，应附法定代表人身份</w:t>
      </w:r>
    </w:p>
    <w:p>
      <w:pPr>
        <w:pStyle w:val="8"/>
        <w:overflowPunct w:val="0"/>
        <w:ind w:firstLine="367" w:firstLineChars="175"/>
        <w:rPr>
          <w:color w:val="auto"/>
          <w:szCs w:val="21"/>
        </w:rPr>
      </w:pPr>
      <w:r>
        <w:rPr>
          <w:rFonts w:hint="eastAsia"/>
          <w:color w:val="auto"/>
          <w:szCs w:val="21"/>
        </w:rPr>
        <w:t>证明；由委托代理人签字的，应附授权委托书。</w:t>
      </w:r>
    </w:p>
    <w:p>
      <w:pPr>
        <w:pStyle w:val="8"/>
        <w:overflowPunct w:val="0"/>
        <w:ind w:firstLine="367" w:firstLineChars="175"/>
        <w:rPr>
          <w:color w:val="auto"/>
          <w:szCs w:val="21"/>
        </w:rPr>
      </w:pPr>
    </w:p>
    <w:p>
      <w:pPr>
        <w:pStyle w:val="8"/>
        <w:overflowPunct w:val="0"/>
        <w:ind w:firstLine="367" w:firstLineChars="175"/>
        <w:rPr>
          <w:color w:val="auto"/>
          <w:szCs w:val="21"/>
        </w:rPr>
      </w:pPr>
      <w:r>
        <w:rPr>
          <w:rFonts w:hint="eastAsia"/>
          <w:color w:val="auto"/>
          <w:szCs w:val="21"/>
        </w:rPr>
        <w:t>联合体牵头人名称（盖公章或电子签章）：</w:t>
      </w:r>
    </w:p>
    <w:p>
      <w:pPr>
        <w:pStyle w:val="8"/>
        <w:overflowPunct w:val="0"/>
        <w:ind w:firstLine="367" w:firstLineChars="175"/>
        <w:rPr>
          <w:color w:val="auto"/>
          <w:szCs w:val="21"/>
        </w:rPr>
      </w:pPr>
    </w:p>
    <w:p>
      <w:pPr>
        <w:pStyle w:val="8"/>
        <w:overflowPunct w:val="0"/>
        <w:ind w:firstLine="367" w:firstLineChars="175"/>
        <w:rPr>
          <w:color w:val="auto"/>
          <w:szCs w:val="21"/>
        </w:rPr>
      </w:pPr>
      <w:r>
        <w:rPr>
          <w:rFonts w:hint="eastAsia"/>
          <w:color w:val="auto"/>
          <w:szCs w:val="21"/>
        </w:rPr>
        <w:t>法定代表人或者其委托代理人：</w:t>
      </w:r>
      <w:r>
        <w:rPr>
          <w:color w:val="auto"/>
          <w:szCs w:val="21"/>
        </w:rPr>
        <w:t xml:space="preserve"> </w:t>
      </w:r>
      <w:r>
        <w:rPr>
          <w:color w:val="auto"/>
          <w:szCs w:val="21"/>
        </w:rPr>
        <w:tab/>
      </w:r>
      <w:r>
        <w:rPr>
          <w:rFonts w:hint="eastAsia"/>
          <w:color w:val="auto"/>
          <w:szCs w:val="21"/>
        </w:rPr>
        <w:t>（签字或签章）</w:t>
      </w:r>
    </w:p>
    <w:p>
      <w:pPr>
        <w:pStyle w:val="8"/>
        <w:overflowPunct w:val="0"/>
        <w:ind w:firstLine="367" w:firstLineChars="175"/>
        <w:rPr>
          <w:color w:val="auto"/>
          <w:szCs w:val="21"/>
        </w:rPr>
      </w:pPr>
    </w:p>
    <w:p>
      <w:pPr>
        <w:pStyle w:val="8"/>
        <w:overflowPunct w:val="0"/>
        <w:ind w:firstLine="367" w:firstLineChars="175"/>
        <w:rPr>
          <w:color w:val="auto"/>
          <w:szCs w:val="21"/>
        </w:rPr>
      </w:pPr>
      <w:r>
        <w:rPr>
          <w:rFonts w:hint="eastAsia"/>
          <w:color w:val="auto"/>
          <w:szCs w:val="21"/>
        </w:rPr>
        <w:t>联合体成员名称（盖公章或电子签章）：</w:t>
      </w:r>
    </w:p>
    <w:p>
      <w:pPr>
        <w:pStyle w:val="8"/>
        <w:overflowPunct w:val="0"/>
        <w:ind w:firstLine="367" w:firstLineChars="175"/>
        <w:rPr>
          <w:color w:val="auto"/>
          <w:szCs w:val="21"/>
        </w:rPr>
      </w:pPr>
    </w:p>
    <w:p>
      <w:pPr>
        <w:pStyle w:val="8"/>
        <w:overflowPunct w:val="0"/>
        <w:ind w:firstLine="367" w:firstLineChars="175"/>
        <w:rPr>
          <w:color w:val="auto"/>
          <w:szCs w:val="21"/>
        </w:rPr>
      </w:pPr>
      <w:r>
        <w:rPr>
          <w:rFonts w:hint="eastAsia"/>
          <w:color w:val="auto"/>
          <w:szCs w:val="21"/>
        </w:rPr>
        <w:t>法定代表人或者其委托代理人：</w:t>
      </w:r>
      <w:r>
        <w:rPr>
          <w:color w:val="auto"/>
          <w:szCs w:val="21"/>
        </w:rPr>
        <w:t xml:space="preserve"> </w:t>
      </w:r>
      <w:r>
        <w:rPr>
          <w:color w:val="auto"/>
          <w:szCs w:val="21"/>
        </w:rPr>
        <w:tab/>
      </w:r>
      <w:r>
        <w:rPr>
          <w:rFonts w:hint="eastAsia"/>
          <w:color w:val="auto"/>
          <w:szCs w:val="21"/>
        </w:rPr>
        <w:t>（签字或签章）</w:t>
      </w:r>
    </w:p>
    <w:p>
      <w:pPr>
        <w:pStyle w:val="8"/>
        <w:overflowPunct w:val="0"/>
        <w:ind w:firstLine="367" w:firstLineChars="175"/>
        <w:rPr>
          <w:color w:val="auto"/>
          <w:szCs w:val="21"/>
        </w:rPr>
      </w:pPr>
    </w:p>
    <w:p>
      <w:pPr>
        <w:pStyle w:val="8"/>
        <w:overflowPunct w:val="0"/>
        <w:ind w:firstLine="367" w:firstLineChars="175"/>
        <w:rPr>
          <w:color w:val="auto"/>
          <w:szCs w:val="21"/>
        </w:rPr>
      </w:pPr>
      <w:r>
        <w:rPr>
          <w:rFonts w:hint="eastAsia"/>
          <w:color w:val="auto"/>
          <w:szCs w:val="21"/>
        </w:rPr>
        <w:t>联合体成员名称（盖公章或电子签章）：</w:t>
      </w:r>
    </w:p>
    <w:p>
      <w:pPr>
        <w:pStyle w:val="8"/>
        <w:overflowPunct w:val="0"/>
        <w:ind w:firstLine="367" w:firstLineChars="175"/>
        <w:rPr>
          <w:color w:val="auto"/>
          <w:szCs w:val="21"/>
        </w:rPr>
      </w:pPr>
    </w:p>
    <w:p>
      <w:pPr>
        <w:pStyle w:val="8"/>
        <w:overflowPunct w:val="0"/>
        <w:ind w:firstLine="367" w:firstLineChars="175"/>
        <w:rPr>
          <w:color w:val="auto"/>
          <w:szCs w:val="21"/>
        </w:rPr>
      </w:pPr>
      <w:r>
        <w:rPr>
          <w:rFonts w:hint="eastAsia"/>
          <w:color w:val="auto"/>
          <w:szCs w:val="21"/>
        </w:rPr>
        <w:t>法定代表人或者其委托代理人：</w:t>
      </w:r>
      <w:r>
        <w:rPr>
          <w:color w:val="auto"/>
          <w:szCs w:val="21"/>
        </w:rPr>
        <w:t xml:space="preserve"> </w:t>
      </w:r>
      <w:r>
        <w:rPr>
          <w:color w:val="auto"/>
          <w:szCs w:val="21"/>
        </w:rPr>
        <w:tab/>
      </w:r>
      <w:r>
        <w:rPr>
          <w:rFonts w:hint="eastAsia"/>
          <w:color w:val="auto"/>
          <w:szCs w:val="21"/>
        </w:rPr>
        <w:t>（签字或签章）</w:t>
      </w:r>
    </w:p>
    <w:p>
      <w:pPr>
        <w:pStyle w:val="8"/>
        <w:overflowPunct w:val="0"/>
        <w:ind w:firstLine="367" w:firstLineChars="175"/>
        <w:rPr>
          <w:color w:val="auto"/>
          <w:szCs w:val="21"/>
        </w:rPr>
      </w:pPr>
    </w:p>
    <w:p>
      <w:pPr>
        <w:pStyle w:val="8"/>
        <w:overflowPunct w:val="0"/>
        <w:ind w:firstLine="367" w:firstLineChars="175"/>
        <w:rPr>
          <w:color w:val="auto"/>
          <w:szCs w:val="21"/>
        </w:rPr>
      </w:pPr>
      <w:r>
        <w:rPr>
          <w:color w:val="auto"/>
          <w:szCs w:val="21"/>
        </w:rPr>
        <w:t>……</w:t>
      </w:r>
    </w:p>
    <w:p>
      <w:pPr>
        <w:pStyle w:val="8"/>
        <w:overflowPunct w:val="0"/>
        <w:ind w:firstLine="367" w:firstLineChars="175"/>
        <w:rPr>
          <w:color w:val="auto"/>
          <w:szCs w:val="21"/>
        </w:rPr>
      </w:pPr>
    </w:p>
    <w:p>
      <w:pPr>
        <w:pStyle w:val="8"/>
        <w:overflowPunct w:val="0"/>
        <w:ind w:firstLine="367" w:firstLineChars="175"/>
        <w:rPr>
          <w:color w:val="auto"/>
          <w:szCs w:val="21"/>
        </w:rPr>
      </w:pPr>
      <w:r>
        <w:rPr>
          <w:color w:val="auto"/>
          <w:szCs w:val="21"/>
        </w:rPr>
        <w:t xml:space="preserve"> </w:t>
      </w:r>
      <w:r>
        <w:rPr>
          <w:color w:val="auto"/>
          <w:szCs w:val="21"/>
        </w:rPr>
        <w:tab/>
      </w:r>
      <w:r>
        <w:rPr>
          <w:rFonts w:hint="eastAsia"/>
          <w:color w:val="auto"/>
          <w:szCs w:val="21"/>
        </w:rPr>
        <w:t>年</w:t>
      </w:r>
      <w:r>
        <w:rPr>
          <w:color w:val="auto"/>
          <w:szCs w:val="21"/>
        </w:rPr>
        <w:t xml:space="preserve"> </w:t>
      </w:r>
      <w:r>
        <w:rPr>
          <w:color w:val="auto"/>
          <w:szCs w:val="21"/>
        </w:rPr>
        <w:tab/>
      </w:r>
      <w:r>
        <w:rPr>
          <w:rFonts w:hint="eastAsia"/>
          <w:color w:val="auto"/>
          <w:szCs w:val="21"/>
        </w:rPr>
        <w:t>月</w:t>
      </w:r>
      <w:r>
        <w:rPr>
          <w:color w:val="auto"/>
          <w:szCs w:val="21"/>
        </w:rPr>
        <w:t xml:space="preserve"> </w:t>
      </w:r>
      <w:r>
        <w:rPr>
          <w:color w:val="auto"/>
          <w:szCs w:val="21"/>
        </w:rPr>
        <w:tab/>
      </w:r>
      <w:r>
        <w:rPr>
          <w:rFonts w:hint="eastAsia"/>
          <w:color w:val="auto"/>
          <w:szCs w:val="21"/>
        </w:rPr>
        <w:t>日</w:t>
      </w:r>
    </w:p>
    <w:p>
      <w:pPr>
        <w:rPr>
          <w:color w:val="auto"/>
          <w:szCs w:val="21"/>
        </w:rPr>
      </w:pPr>
      <w:r>
        <w:rPr>
          <w:color w:val="auto"/>
          <w:szCs w:val="21"/>
        </w:rPr>
        <w:br w:type="page"/>
      </w:r>
    </w:p>
    <w:p>
      <w:pPr>
        <w:pStyle w:val="8"/>
        <w:overflowPunct w:val="0"/>
        <w:ind w:firstLine="0"/>
        <w:rPr>
          <w:color w:val="auto"/>
        </w:rPr>
      </w:pPr>
    </w:p>
    <w:p>
      <w:pPr>
        <w:widowControl/>
        <w:jc w:val="left"/>
        <w:rPr>
          <w:rFonts w:ascii="宋体" w:hAnsi="宋体" w:cs="宋体"/>
          <w:b/>
          <w:bCs/>
          <w:color w:val="auto"/>
          <w:kern w:val="0"/>
          <w:sz w:val="28"/>
          <w:szCs w:val="28"/>
          <w:lang w:bidi="ar"/>
        </w:rPr>
      </w:pPr>
      <w:r>
        <w:rPr>
          <w:rFonts w:hint="eastAsia" w:ascii="宋体" w:hAnsi="宋体" w:cs="宋体"/>
          <w:b/>
          <w:bCs/>
          <w:color w:val="auto"/>
          <w:kern w:val="0"/>
          <w:sz w:val="28"/>
          <w:szCs w:val="28"/>
          <w:lang w:bidi="ar"/>
        </w:rPr>
        <w:t>附件一：</w:t>
      </w:r>
    </w:p>
    <w:p>
      <w:pPr>
        <w:widowControl/>
        <w:jc w:val="center"/>
        <w:rPr>
          <w:rFonts w:ascii="宋体" w:hAnsi="宋体" w:cs="宋体"/>
          <w:b/>
          <w:bCs/>
          <w:color w:val="auto"/>
        </w:rPr>
      </w:pPr>
      <w:r>
        <w:rPr>
          <w:rFonts w:hint="eastAsia" w:ascii="宋体" w:hAnsi="宋体" w:cs="宋体"/>
          <w:b/>
          <w:bCs/>
          <w:color w:val="auto"/>
          <w:kern w:val="0"/>
          <w:sz w:val="36"/>
          <w:szCs w:val="36"/>
          <w:lang w:bidi="ar"/>
        </w:rPr>
        <w:t>政府采购项目投标资格承诺函</w:t>
      </w:r>
    </w:p>
    <w:p>
      <w:pPr>
        <w:snapToGrid w:val="0"/>
        <w:spacing w:before="50" w:after="120" w:afterLines="50" w:line="440" w:lineRule="exact"/>
        <w:ind w:firstLine="420" w:firstLineChars="200"/>
        <w:jc w:val="left"/>
        <w:rPr>
          <w:color w:val="auto"/>
        </w:rPr>
      </w:pPr>
      <w:r>
        <w:rPr>
          <w:rFonts w:hint="eastAsia"/>
          <w:color w:val="auto"/>
        </w:rPr>
        <w:t xml:space="preserve">本公司郑重承诺，根据《中华人民共和国政府采购法》第二十二条的规定，本公司为参加政府采购活动的合格供应商。即本公司同时满足以下条件： </w:t>
      </w:r>
    </w:p>
    <w:p>
      <w:pPr>
        <w:snapToGrid w:val="0"/>
        <w:spacing w:before="50" w:after="120" w:afterLines="50" w:line="440" w:lineRule="exact"/>
        <w:jc w:val="left"/>
        <w:rPr>
          <w:color w:val="auto"/>
        </w:rPr>
      </w:pPr>
      <w:r>
        <w:rPr>
          <w:rFonts w:hint="eastAsia"/>
          <w:color w:val="auto"/>
        </w:rPr>
        <w:t xml:space="preserve">1.具有独立承担民事责任的能力。 </w:t>
      </w:r>
    </w:p>
    <w:p>
      <w:pPr>
        <w:snapToGrid w:val="0"/>
        <w:spacing w:before="50" w:after="120" w:afterLines="50" w:line="440" w:lineRule="exact"/>
        <w:jc w:val="left"/>
        <w:rPr>
          <w:color w:val="auto"/>
        </w:rPr>
      </w:pPr>
      <w:r>
        <w:rPr>
          <w:rFonts w:hint="eastAsia"/>
          <w:color w:val="auto"/>
        </w:rPr>
        <w:t xml:space="preserve">2.具有良好的商业信誉和健全的财务会计制度。 </w:t>
      </w:r>
    </w:p>
    <w:p>
      <w:pPr>
        <w:snapToGrid w:val="0"/>
        <w:spacing w:before="50" w:after="120" w:afterLines="50" w:line="440" w:lineRule="exact"/>
        <w:jc w:val="left"/>
        <w:rPr>
          <w:color w:val="auto"/>
        </w:rPr>
      </w:pPr>
      <w:r>
        <w:rPr>
          <w:rFonts w:hint="eastAsia"/>
          <w:color w:val="auto"/>
        </w:rPr>
        <w:t xml:space="preserve">3.具有履行合同所必需的设备和专业技术能力。 </w:t>
      </w:r>
    </w:p>
    <w:p>
      <w:pPr>
        <w:snapToGrid w:val="0"/>
        <w:spacing w:before="50" w:after="120" w:afterLines="50" w:line="440" w:lineRule="exact"/>
        <w:jc w:val="left"/>
        <w:rPr>
          <w:color w:val="auto"/>
        </w:rPr>
      </w:pPr>
      <w:r>
        <w:rPr>
          <w:rFonts w:hint="eastAsia"/>
          <w:color w:val="auto"/>
        </w:rPr>
        <w:t xml:space="preserve">4.有依法缴纳税收和社会保障资金的良好记录。 </w:t>
      </w:r>
    </w:p>
    <w:p>
      <w:pPr>
        <w:snapToGrid w:val="0"/>
        <w:spacing w:before="50" w:after="120" w:afterLines="50" w:line="440" w:lineRule="exact"/>
        <w:jc w:val="left"/>
        <w:rPr>
          <w:color w:val="auto"/>
        </w:rPr>
      </w:pPr>
      <w:r>
        <w:rPr>
          <w:rFonts w:hint="eastAsia"/>
          <w:color w:val="auto"/>
        </w:rPr>
        <w:t xml:space="preserve">5. 提交响应文件截止日期前三年内，在经营活动中没有重大违法记录。 </w:t>
      </w:r>
    </w:p>
    <w:p>
      <w:pPr>
        <w:snapToGrid w:val="0"/>
        <w:spacing w:before="50" w:after="120" w:afterLines="50" w:line="440" w:lineRule="exact"/>
        <w:ind w:firstLine="420" w:firstLineChars="200"/>
        <w:jc w:val="left"/>
        <w:rPr>
          <w:color w:val="auto"/>
        </w:rPr>
      </w:pPr>
      <w:r>
        <w:rPr>
          <w:rFonts w:hint="eastAsia"/>
          <w:color w:val="auto"/>
        </w:rPr>
        <w:t xml:space="preserve">本公司对上述承诺的真实性负责，并接受政府采购、税务、社会保障等监督管理部门、采购文件规定的资格审查机构、社会公众的监督和检查。如有虚假，将依法承担相应责任。 </w:t>
      </w:r>
    </w:p>
    <w:p>
      <w:pPr>
        <w:snapToGrid w:val="0"/>
        <w:spacing w:before="50" w:after="120" w:afterLines="50" w:line="440" w:lineRule="exact"/>
        <w:jc w:val="left"/>
        <w:rPr>
          <w:color w:val="auto"/>
        </w:rPr>
      </w:pPr>
    </w:p>
    <w:p>
      <w:pPr>
        <w:snapToGrid w:val="0"/>
        <w:spacing w:before="50" w:after="120" w:afterLines="50" w:line="440" w:lineRule="exact"/>
        <w:ind w:firstLine="4216" w:firstLineChars="2000"/>
        <w:jc w:val="left"/>
        <w:rPr>
          <w:b/>
          <w:bCs/>
          <w:color w:val="auto"/>
          <w:u w:val="single"/>
        </w:rPr>
      </w:pPr>
      <w:r>
        <w:rPr>
          <w:rFonts w:hint="eastAsia"/>
          <w:b/>
          <w:bCs/>
          <w:color w:val="auto"/>
        </w:rPr>
        <w:t>供应商名称（盖章）：</w:t>
      </w:r>
      <w:r>
        <w:rPr>
          <w:rFonts w:hint="eastAsia"/>
          <w:b/>
          <w:bCs/>
          <w:color w:val="auto"/>
          <w:u w:val="single"/>
        </w:rPr>
        <w:t xml:space="preserve">                   </w:t>
      </w:r>
    </w:p>
    <w:p>
      <w:pPr>
        <w:snapToGrid w:val="0"/>
        <w:spacing w:before="50" w:after="120" w:afterLines="50" w:line="440" w:lineRule="exact"/>
        <w:ind w:firstLine="4006" w:firstLineChars="1900"/>
        <w:jc w:val="left"/>
        <w:rPr>
          <w:b/>
          <w:bCs/>
          <w:color w:val="auto"/>
          <w:u w:val="single"/>
        </w:rPr>
      </w:pPr>
      <w:r>
        <w:rPr>
          <w:rFonts w:hint="eastAsia"/>
          <w:b/>
          <w:bCs/>
          <w:color w:val="auto"/>
        </w:rPr>
        <w:t>法定代表人（签名）：</w:t>
      </w:r>
      <w:r>
        <w:rPr>
          <w:rFonts w:hint="eastAsia"/>
          <w:b/>
          <w:bCs/>
          <w:color w:val="auto"/>
          <w:u w:val="single"/>
        </w:rPr>
        <w:t xml:space="preserve">                   </w:t>
      </w:r>
    </w:p>
    <w:p>
      <w:pPr>
        <w:snapToGrid w:val="0"/>
        <w:spacing w:before="50" w:after="120" w:afterLines="50" w:line="440" w:lineRule="exact"/>
        <w:ind w:firstLine="4200" w:firstLineChars="2000"/>
        <w:jc w:val="left"/>
        <w:rPr>
          <w:color w:val="auto"/>
        </w:rPr>
      </w:pPr>
      <w:r>
        <w:rPr>
          <w:rFonts w:hint="eastAsia"/>
          <w:color w:val="auto"/>
        </w:rPr>
        <w:t>日期： 年 月   日</w:t>
      </w:r>
    </w:p>
    <w:p>
      <w:pPr>
        <w:snapToGrid w:val="0"/>
        <w:spacing w:before="50" w:after="120" w:afterLines="50" w:line="440" w:lineRule="exact"/>
        <w:jc w:val="left"/>
        <w:rPr>
          <w:color w:val="auto"/>
        </w:rPr>
      </w:pPr>
    </w:p>
    <w:p>
      <w:pPr>
        <w:snapToGrid w:val="0"/>
        <w:spacing w:before="50" w:after="120" w:afterLines="50" w:line="440" w:lineRule="exact"/>
        <w:jc w:val="left"/>
        <w:rPr>
          <w:color w:val="auto"/>
        </w:rPr>
      </w:pPr>
    </w:p>
    <w:p>
      <w:pPr>
        <w:snapToGrid w:val="0"/>
        <w:spacing w:before="50" w:after="120" w:afterLines="50" w:line="440" w:lineRule="exact"/>
        <w:jc w:val="left"/>
        <w:rPr>
          <w:color w:val="auto"/>
        </w:rPr>
      </w:pPr>
    </w:p>
    <w:p>
      <w:pPr>
        <w:snapToGrid w:val="0"/>
        <w:spacing w:before="50" w:after="120" w:afterLines="50" w:line="440" w:lineRule="exact"/>
        <w:jc w:val="left"/>
        <w:rPr>
          <w:color w:val="auto"/>
        </w:rPr>
      </w:pPr>
    </w:p>
    <w:p>
      <w:pPr>
        <w:snapToGrid w:val="0"/>
        <w:spacing w:before="50" w:after="120" w:afterLines="50" w:line="400" w:lineRule="exact"/>
        <w:jc w:val="left"/>
        <w:rPr>
          <w:bCs/>
          <w:color w:val="auto"/>
          <w:sz w:val="24"/>
        </w:rPr>
      </w:pPr>
      <w:r>
        <w:rPr>
          <w:rFonts w:hint="eastAsia"/>
          <w:color w:val="auto"/>
          <w:szCs w:val="21"/>
        </w:rPr>
        <w:t>附：供应商有效的营业执照副本复印件以及法人身份证复印件并加盖公章。</w:t>
      </w:r>
      <w:r>
        <w:rPr>
          <w:bCs/>
          <w:color w:val="auto"/>
          <w:sz w:val="24"/>
        </w:rPr>
        <w:br w:type="page"/>
      </w:r>
    </w:p>
    <w:p>
      <w:pPr>
        <w:snapToGrid w:val="0"/>
        <w:spacing w:before="120" w:beforeLines="50" w:after="50" w:line="440" w:lineRule="exact"/>
        <w:jc w:val="center"/>
        <w:outlineLvl w:val="1"/>
        <w:rPr>
          <w:bCs/>
          <w:color w:val="auto"/>
          <w:sz w:val="24"/>
        </w:rPr>
      </w:pPr>
      <w:r>
        <w:rPr>
          <w:bCs/>
          <w:color w:val="auto"/>
          <w:sz w:val="24"/>
        </w:rPr>
        <w:t>第二部分 商务</w:t>
      </w:r>
      <w:r>
        <w:rPr>
          <w:rFonts w:hint="eastAsia"/>
          <w:bCs/>
          <w:color w:val="auto"/>
          <w:sz w:val="24"/>
        </w:rPr>
        <w:t>技术</w:t>
      </w:r>
      <w:r>
        <w:rPr>
          <w:bCs/>
          <w:color w:val="auto"/>
          <w:sz w:val="24"/>
        </w:rPr>
        <w:t>文件</w:t>
      </w:r>
    </w:p>
    <w:p>
      <w:pPr>
        <w:jc w:val="center"/>
        <w:rPr>
          <w:bCs/>
          <w:color w:val="auto"/>
          <w:sz w:val="24"/>
        </w:rPr>
      </w:pPr>
      <w:r>
        <w:rPr>
          <w:color w:val="auto"/>
        </w:rPr>
        <w:t>（本商务文件供应商可自行编写，也可参照下述提纲编写）</w:t>
      </w:r>
    </w:p>
    <w:p>
      <w:pPr>
        <w:snapToGrid w:val="0"/>
        <w:spacing w:before="50" w:after="120" w:afterLines="50"/>
        <w:jc w:val="left"/>
        <w:rPr>
          <w:color w:val="auto"/>
          <w:szCs w:val="21"/>
        </w:rPr>
      </w:pPr>
    </w:p>
    <w:p>
      <w:pPr>
        <w:rPr>
          <w:color w:val="auto"/>
          <w:szCs w:val="21"/>
        </w:rPr>
      </w:pPr>
      <w:r>
        <w:rPr>
          <w:rFonts w:hint="eastAsia"/>
          <w:color w:val="auto"/>
          <w:szCs w:val="21"/>
        </w:rPr>
        <w:t>1</w:t>
      </w:r>
      <w:r>
        <w:rPr>
          <w:color w:val="auto"/>
          <w:szCs w:val="21"/>
        </w:rPr>
        <w:t>．</w:t>
      </w:r>
      <w:r>
        <w:rPr>
          <w:rFonts w:hint="eastAsia"/>
          <w:color w:val="auto"/>
          <w:szCs w:val="21"/>
        </w:rPr>
        <w:t>对</w:t>
      </w:r>
      <w:r>
        <w:rPr>
          <w:color w:val="auto"/>
          <w:szCs w:val="21"/>
        </w:rPr>
        <w:t>本项目第</w:t>
      </w:r>
      <w:r>
        <w:rPr>
          <w:rFonts w:hint="eastAsia"/>
          <w:color w:val="auto"/>
          <w:szCs w:val="21"/>
        </w:rPr>
        <w:t>二</w:t>
      </w:r>
      <w:r>
        <w:rPr>
          <w:color w:val="auto"/>
          <w:szCs w:val="21"/>
        </w:rPr>
        <w:t>章</w:t>
      </w:r>
      <w:r>
        <w:rPr>
          <w:rFonts w:hint="eastAsia"/>
          <w:color w:val="auto"/>
          <w:szCs w:val="21"/>
        </w:rPr>
        <w:t>《</w:t>
      </w:r>
      <w:r>
        <w:rPr>
          <w:color w:val="auto"/>
          <w:szCs w:val="21"/>
        </w:rPr>
        <w:t>采购需求</w:t>
      </w:r>
      <w:r>
        <w:rPr>
          <w:rFonts w:hint="eastAsia"/>
          <w:color w:val="auto"/>
          <w:szCs w:val="21"/>
        </w:rPr>
        <w:t>》技术</w:t>
      </w:r>
      <w:r>
        <w:rPr>
          <w:color w:val="auto"/>
          <w:szCs w:val="21"/>
        </w:rPr>
        <w:t>要求的</w:t>
      </w:r>
      <w:r>
        <w:rPr>
          <w:rFonts w:hint="eastAsia"/>
          <w:color w:val="auto"/>
          <w:szCs w:val="21"/>
        </w:rPr>
        <w:t>响应表</w:t>
      </w:r>
      <w:r>
        <w:rPr>
          <w:color w:val="auto"/>
          <w:szCs w:val="21"/>
        </w:rPr>
        <w:t>：</w:t>
      </w:r>
    </w:p>
    <w:tbl>
      <w:tblPr>
        <w:tblStyle w:val="5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6"/>
        <w:gridCol w:w="3595"/>
        <w:gridCol w:w="3405"/>
        <w:gridCol w:w="108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8" w:hRule="atLeast"/>
          <w:jc w:val="center"/>
        </w:trPr>
        <w:tc>
          <w:tcPr>
            <w:tcW w:w="74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color w:val="auto"/>
                <w:szCs w:val="21"/>
              </w:rPr>
            </w:pPr>
            <w:r>
              <w:rPr>
                <w:color w:val="auto"/>
                <w:szCs w:val="21"/>
              </w:rPr>
              <w:t>序号</w:t>
            </w:r>
          </w:p>
        </w:tc>
        <w:tc>
          <w:tcPr>
            <w:tcW w:w="3595"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color w:val="auto"/>
                <w:szCs w:val="21"/>
              </w:rPr>
            </w:pPr>
            <w:r>
              <w:rPr>
                <w:rFonts w:hint="eastAsia"/>
                <w:color w:val="auto"/>
                <w:szCs w:val="21"/>
              </w:rPr>
              <w:t>采购文件</w:t>
            </w:r>
            <w:r>
              <w:rPr>
                <w:color w:val="auto"/>
                <w:szCs w:val="21"/>
              </w:rPr>
              <w:t>要求（注明章节及条款号）</w:t>
            </w:r>
          </w:p>
        </w:tc>
        <w:tc>
          <w:tcPr>
            <w:tcW w:w="3405"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color w:val="auto"/>
                <w:szCs w:val="21"/>
              </w:rPr>
            </w:pPr>
            <w:r>
              <w:rPr>
                <w:rFonts w:hint="eastAsia"/>
                <w:color w:val="auto"/>
                <w:szCs w:val="21"/>
              </w:rPr>
              <w:t>响应</w:t>
            </w:r>
            <w:r>
              <w:rPr>
                <w:color w:val="auto"/>
                <w:szCs w:val="21"/>
              </w:rPr>
              <w:t>文件响应内容（</w:t>
            </w:r>
            <w:r>
              <w:rPr>
                <w:rFonts w:hint="eastAsia"/>
                <w:color w:val="auto"/>
                <w:szCs w:val="21"/>
              </w:rPr>
              <w:t>可</w:t>
            </w:r>
            <w:r>
              <w:rPr>
                <w:color w:val="auto"/>
                <w:szCs w:val="21"/>
              </w:rPr>
              <w:t>注明所在页码）</w:t>
            </w:r>
          </w:p>
        </w:tc>
        <w:tc>
          <w:tcPr>
            <w:tcW w:w="1082"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color w:val="auto"/>
                <w:szCs w:val="21"/>
              </w:rPr>
            </w:pPr>
            <w:r>
              <w:rPr>
                <w:color w:val="auto"/>
              </w:rPr>
              <w:t>偏离</w:t>
            </w:r>
            <w:r>
              <w:rPr>
                <w:color w:val="auto"/>
                <w:szCs w:val="21"/>
              </w:rPr>
              <w:t>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color w:val="auto"/>
                <w:szCs w:val="21"/>
              </w:rPr>
            </w:pPr>
          </w:p>
        </w:tc>
        <w:tc>
          <w:tcPr>
            <w:tcW w:w="3595"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color w:val="auto"/>
                <w:szCs w:val="21"/>
              </w:rPr>
            </w:pPr>
          </w:p>
        </w:tc>
        <w:tc>
          <w:tcPr>
            <w:tcW w:w="3405"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color w:val="auto"/>
                <w:szCs w:val="21"/>
              </w:rPr>
            </w:pPr>
          </w:p>
        </w:tc>
        <w:tc>
          <w:tcPr>
            <w:tcW w:w="1082"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color w:val="auto"/>
                <w:szCs w:val="21"/>
              </w:rPr>
            </w:pPr>
          </w:p>
        </w:tc>
        <w:tc>
          <w:tcPr>
            <w:tcW w:w="3595"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color w:val="auto"/>
                <w:szCs w:val="21"/>
              </w:rPr>
            </w:pPr>
          </w:p>
        </w:tc>
        <w:tc>
          <w:tcPr>
            <w:tcW w:w="3405"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color w:val="auto"/>
                <w:szCs w:val="21"/>
              </w:rPr>
            </w:pPr>
          </w:p>
        </w:tc>
        <w:tc>
          <w:tcPr>
            <w:tcW w:w="1082"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color w:val="auto"/>
                <w:szCs w:val="21"/>
              </w:rPr>
            </w:pPr>
            <w:r>
              <w:rPr>
                <w:color w:val="auto"/>
                <w:szCs w:val="21"/>
              </w:rPr>
              <w:t>……</w:t>
            </w:r>
          </w:p>
        </w:tc>
        <w:tc>
          <w:tcPr>
            <w:tcW w:w="3595"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color w:val="auto"/>
                <w:szCs w:val="21"/>
              </w:rPr>
            </w:pPr>
          </w:p>
        </w:tc>
        <w:tc>
          <w:tcPr>
            <w:tcW w:w="3405"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color w:val="auto"/>
                <w:szCs w:val="21"/>
              </w:rPr>
            </w:pPr>
          </w:p>
        </w:tc>
        <w:tc>
          <w:tcPr>
            <w:tcW w:w="1082"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color w:val="auto"/>
                <w:szCs w:val="21"/>
              </w:rPr>
            </w:pPr>
            <w:r>
              <w:rPr>
                <w:color w:val="auto"/>
                <w:szCs w:val="21"/>
              </w:rPr>
              <w:t>……</w:t>
            </w:r>
          </w:p>
        </w:tc>
        <w:tc>
          <w:tcPr>
            <w:tcW w:w="3595"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color w:val="auto"/>
                <w:szCs w:val="21"/>
              </w:rPr>
            </w:pPr>
          </w:p>
        </w:tc>
        <w:tc>
          <w:tcPr>
            <w:tcW w:w="3405"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color w:val="auto"/>
                <w:szCs w:val="21"/>
              </w:rPr>
            </w:pPr>
          </w:p>
        </w:tc>
        <w:tc>
          <w:tcPr>
            <w:tcW w:w="1082"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color w:val="auto"/>
                <w:szCs w:val="21"/>
              </w:rPr>
            </w:pPr>
          </w:p>
        </w:tc>
      </w:tr>
    </w:tbl>
    <w:p>
      <w:pPr>
        <w:rPr>
          <w:color w:val="auto"/>
          <w:szCs w:val="21"/>
        </w:rPr>
      </w:pPr>
    </w:p>
    <w:p>
      <w:pPr>
        <w:pStyle w:val="28"/>
        <w:tabs>
          <w:tab w:val="left" w:pos="2127"/>
        </w:tabs>
        <w:spacing w:line="340" w:lineRule="exact"/>
        <w:jc w:val="left"/>
        <w:rPr>
          <w:rFonts w:ascii="Times New Roman" w:hAnsi="Times New Roman" w:cs="Times New Roman"/>
          <w:color w:val="auto"/>
        </w:rPr>
      </w:pPr>
      <w:r>
        <w:rPr>
          <w:color w:val="auto"/>
        </w:rPr>
        <w:t>注：（1）</w:t>
      </w:r>
      <w:r>
        <w:rPr>
          <w:rFonts w:ascii="Times New Roman" w:hAnsi="Times New Roman" w:cs="Times New Roman"/>
          <w:color w:val="auto"/>
        </w:rPr>
        <w:t>本表应对采购文件</w:t>
      </w:r>
      <w:r>
        <w:rPr>
          <w:color w:val="auto"/>
        </w:rPr>
        <w:t>第</w:t>
      </w:r>
      <w:r>
        <w:rPr>
          <w:rFonts w:hint="eastAsia"/>
          <w:color w:val="auto"/>
        </w:rPr>
        <w:t>二</w:t>
      </w:r>
      <w:r>
        <w:rPr>
          <w:color w:val="auto"/>
        </w:rPr>
        <w:t>章</w:t>
      </w:r>
      <w:r>
        <w:rPr>
          <w:rFonts w:hint="eastAsia"/>
          <w:color w:val="auto"/>
        </w:rPr>
        <w:t>《采购需求》</w:t>
      </w:r>
      <w:r>
        <w:rPr>
          <w:rFonts w:ascii="Times New Roman" w:hAnsi="Times New Roman" w:cs="Times New Roman"/>
          <w:color w:val="auto"/>
        </w:rPr>
        <w:t>中所列</w:t>
      </w:r>
      <w:r>
        <w:rPr>
          <w:rFonts w:hint="eastAsia" w:ascii="Times New Roman" w:hAnsi="Times New Roman" w:cs="Times New Roman"/>
          <w:color w:val="auto"/>
        </w:rPr>
        <w:t>技术</w:t>
      </w:r>
      <w:r>
        <w:rPr>
          <w:rFonts w:ascii="Times New Roman" w:hAnsi="Times New Roman" w:cs="Times New Roman"/>
          <w:color w:val="auto"/>
        </w:rPr>
        <w:t>要求进行响应，并根据响应情况在“偏离说明”栏填写正偏离或负偏离及原因，完全符合的填写</w:t>
      </w:r>
      <w:r>
        <w:rPr>
          <w:rFonts w:hint="eastAsia" w:ascii="Times New Roman" w:hAnsi="Times New Roman" w:cs="Times New Roman"/>
          <w:color w:val="auto"/>
        </w:rPr>
        <w:t>“</w:t>
      </w:r>
      <w:r>
        <w:rPr>
          <w:rFonts w:ascii="Times New Roman" w:hAnsi="Times New Roman" w:cs="Times New Roman"/>
          <w:color w:val="auto"/>
        </w:rPr>
        <w:t>无偏离</w:t>
      </w:r>
      <w:r>
        <w:rPr>
          <w:rFonts w:hint="eastAsia" w:ascii="Times New Roman" w:hAnsi="Times New Roman" w:cs="Times New Roman"/>
          <w:color w:val="auto"/>
        </w:rPr>
        <w:t>”</w:t>
      </w:r>
      <w:r>
        <w:rPr>
          <w:rFonts w:ascii="Times New Roman" w:hAnsi="Times New Roman" w:cs="Times New Roman"/>
          <w:color w:val="auto"/>
        </w:rPr>
        <w:t>。</w:t>
      </w:r>
    </w:p>
    <w:p>
      <w:pPr>
        <w:rPr>
          <w:color w:val="auto"/>
        </w:rPr>
      </w:pPr>
      <w:r>
        <w:rPr>
          <w:rFonts w:hint="eastAsia"/>
          <w:color w:val="auto"/>
        </w:rPr>
        <w:t>（2）</w:t>
      </w:r>
      <w:r>
        <w:rPr>
          <w:color w:val="auto"/>
        </w:rPr>
        <w:t>第</w:t>
      </w:r>
      <w:r>
        <w:rPr>
          <w:rFonts w:hint="eastAsia"/>
          <w:color w:val="auto"/>
        </w:rPr>
        <w:t>二</w:t>
      </w:r>
      <w:r>
        <w:rPr>
          <w:color w:val="auto"/>
        </w:rPr>
        <w:t>章</w:t>
      </w:r>
      <w:r>
        <w:rPr>
          <w:rFonts w:hint="eastAsia"/>
          <w:color w:val="auto"/>
        </w:rPr>
        <w:t>《采购需求》中的总体要求无需响应。</w:t>
      </w:r>
    </w:p>
    <w:p>
      <w:pPr>
        <w:rPr>
          <w:color w:val="auto"/>
        </w:rPr>
      </w:pPr>
      <w:r>
        <w:rPr>
          <w:rFonts w:hint="eastAsia"/>
          <w:color w:val="auto"/>
        </w:rPr>
        <w:t>（</w:t>
      </w:r>
      <w:r>
        <w:rPr>
          <w:color w:val="auto"/>
        </w:rPr>
        <w:t>3</w:t>
      </w:r>
      <w:r>
        <w:rPr>
          <w:rFonts w:hint="eastAsia"/>
          <w:color w:val="auto"/>
        </w:rPr>
        <w:t>）偏离认定说明详见评审方法及标准。</w:t>
      </w:r>
    </w:p>
    <w:p>
      <w:pPr>
        <w:rPr>
          <w:color w:val="auto"/>
        </w:rPr>
      </w:pPr>
      <w:r>
        <w:rPr>
          <w:color w:val="auto"/>
        </w:rPr>
        <w:t>（4）本表可扩展。</w:t>
      </w:r>
    </w:p>
    <w:p>
      <w:pPr>
        <w:rPr>
          <w:color w:val="auto"/>
          <w:szCs w:val="21"/>
        </w:rPr>
      </w:pPr>
    </w:p>
    <w:p>
      <w:pPr>
        <w:rPr>
          <w:color w:val="auto"/>
          <w:spacing w:val="20"/>
          <w:szCs w:val="21"/>
          <w:u w:val="single"/>
        </w:rPr>
      </w:pPr>
    </w:p>
    <w:p>
      <w:pPr>
        <w:rPr>
          <w:color w:val="auto"/>
          <w:szCs w:val="21"/>
        </w:rPr>
      </w:pPr>
      <w:r>
        <w:rPr>
          <w:color w:val="auto"/>
          <w:szCs w:val="21"/>
        </w:rPr>
        <w:t>供应商</w:t>
      </w:r>
      <w:r>
        <w:rPr>
          <w:rFonts w:hint="eastAsia"/>
          <w:color w:val="auto"/>
          <w:szCs w:val="21"/>
        </w:rPr>
        <w:t>名称(电子签章</w:t>
      </w:r>
      <w:r>
        <w:rPr>
          <w:color w:val="auto"/>
          <w:szCs w:val="21"/>
        </w:rPr>
        <w:t>)</w:t>
      </w:r>
      <w:r>
        <w:rPr>
          <w:color w:val="auto"/>
          <w:spacing w:val="20"/>
          <w:szCs w:val="21"/>
        </w:rPr>
        <w:t>：</w:t>
      </w:r>
      <w:r>
        <w:rPr>
          <w:color w:val="auto"/>
          <w:spacing w:val="20"/>
          <w:szCs w:val="21"/>
          <w:u w:val="single"/>
        </w:rPr>
        <w:t xml:space="preserve">            </w:t>
      </w:r>
      <w:r>
        <w:rPr>
          <w:color w:val="auto"/>
          <w:spacing w:val="20"/>
          <w:szCs w:val="21"/>
        </w:rPr>
        <w:t xml:space="preserve">              日 期：</w:t>
      </w:r>
      <w:r>
        <w:rPr>
          <w:color w:val="auto"/>
          <w:spacing w:val="20"/>
          <w:szCs w:val="21"/>
          <w:u w:val="single"/>
        </w:rPr>
        <w:t xml:space="preserve">            </w:t>
      </w:r>
    </w:p>
    <w:p>
      <w:pPr>
        <w:rPr>
          <w:color w:val="auto"/>
          <w:spacing w:val="20"/>
          <w:szCs w:val="21"/>
          <w:u w:val="single"/>
        </w:rPr>
      </w:pPr>
    </w:p>
    <w:p>
      <w:pPr>
        <w:rPr>
          <w:color w:val="auto"/>
          <w:spacing w:val="20"/>
          <w:szCs w:val="21"/>
          <w:u w:val="single"/>
        </w:rPr>
      </w:pPr>
    </w:p>
    <w:p>
      <w:pPr>
        <w:snapToGrid w:val="0"/>
        <w:spacing w:before="50" w:after="120" w:afterLines="50"/>
        <w:jc w:val="left"/>
        <w:rPr>
          <w:color w:val="auto"/>
          <w:szCs w:val="21"/>
        </w:rPr>
      </w:pPr>
      <w:r>
        <w:rPr>
          <w:color w:val="auto"/>
          <w:szCs w:val="21"/>
        </w:rPr>
        <w:t>2．本项目服务采购需求中必须提供的服务交付成果（产品）清单：</w:t>
      </w:r>
    </w:p>
    <w:tbl>
      <w:tblPr>
        <w:tblStyle w:val="52"/>
        <w:tblW w:w="9338"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937"/>
        <w:gridCol w:w="774"/>
        <w:gridCol w:w="775"/>
        <w:gridCol w:w="1033"/>
        <w:gridCol w:w="1033"/>
        <w:gridCol w:w="1514"/>
        <w:gridCol w:w="15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1" w:hRule="atLeast"/>
        </w:trPr>
        <w:tc>
          <w:tcPr>
            <w:tcW w:w="680" w:type="dxa"/>
            <w:vAlign w:val="center"/>
          </w:tcPr>
          <w:p>
            <w:pPr>
              <w:snapToGrid w:val="0"/>
              <w:spacing w:line="360" w:lineRule="exact"/>
              <w:jc w:val="center"/>
              <w:rPr>
                <w:color w:val="auto"/>
                <w:szCs w:val="21"/>
              </w:rPr>
            </w:pPr>
            <w:r>
              <w:rPr>
                <w:color w:val="auto"/>
                <w:szCs w:val="21"/>
              </w:rPr>
              <w:t>序号</w:t>
            </w:r>
          </w:p>
        </w:tc>
        <w:tc>
          <w:tcPr>
            <w:tcW w:w="1937" w:type="dxa"/>
            <w:vAlign w:val="center"/>
          </w:tcPr>
          <w:p>
            <w:pPr>
              <w:snapToGrid w:val="0"/>
              <w:spacing w:line="360" w:lineRule="exact"/>
              <w:jc w:val="center"/>
              <w:rPr>
                <w:color w:val="auto"/>
                <w:szCs w:val="21"/>
              </w:rPr>
            </w:pPr>
            <w:r>
              <w:rPr>
                <w:color w:val="auto"/>
                <w:szCs w:val="21"/>
              </w:rPr>
              <w:t>服务交付成果（产品）名称</w:t>
            </w:r>
          </w:p>
        </w:tc>
        <w:tc>
          <w:tcPr>
            <w:tcW w:w="774" w:type="dxa"/>
            <w:vAlign w:val="center"/>
          </w:tcPr>
          <w:p>
            <w:pPr>
              <w:snapToGrid w:val="0"/>
              <w:spacing w:line="360" w:lineRule="exact"/>
              <w:jc w:val="center"/>
              <w:rPr>
                <w:color w:val="auto"/>
                <w:szCs w:val="21"/>
              </w:rPr>
            </w:pPr>
            <w:r>
              <w:rPr>
                <w:color w:val="auto"/>
                <w:szCs w:val="21"/>
              </w:rPr>
              <w:t>数  量</w:t>
            </w:r>
          </w:p>
        </w:tc>
        <w:tc>
          <w:tcPr>
            <w:tcW w:w="775" w:type="dxa"/>
            <w:vAlign w:val="center"/>
          </w:tcPr>
          <w:p>
            <w:pPr>
              <w:snapToGrid w:val="0"/>
              <w:spacing w:line="360" w:lineRule="exact"/>
              <w:jc w:val="center"/>
              <w:rPr>
                <w:color w:val="auto"/>
                <w:szCs w:val="21"/>
              </w:rPr>
            </w:pPr>
            <w:r>
              <w:rPr>
                <w:color w:val="auto"/>
                <w:szCs w:val="21"/>
              </w:rPr>
              <w:t>单位</w:t>
            </w:r>
          </w:p>
        </w:tc>
        <w:tc>
          <w:tcPr>
            <w:tcW w:w="1033" w:type="dxa"/>
          </w:tcPr>
          <w:p>
            <w:pPr>
              <w:snapToGrid w:val="0"/>
              <w:spacing w:line="360" w:lineRule="exact"/>
              <w:jc w:val="center"/>
              <w:rPr>
                <w:color w:val="auto"/>
                <w:szCs w:val="21"/>
              </w:rPr>
            </w:pPr>
            <w:r>
              <w:rPr>
                <w:color w:val="auto"/>
                <w:szCs w:val="21"/>
              </w:rPr>
              <w:t>单  价</w:t>
            </w:r>
          </w:p>
          <w:p>
            <w:pPr>
              <w:snapToGrid w:val="0"/>
              <w:spacing w:line="360" w:lineRule="exact"/>
              <w:jc w:val="center"/>
              <w:rPr>
                <w:color w:val="auto"/>
                <w:szCs w:val="21"/>
              </w:rPr>
            </w:pPr>
            <w:r>
              <w:rPr>
                <w:color w:val="auto"/>
                <w:szCs w:val="21"/>
              </w:rPr>
              <w:t>（元）</w:t>
            </w:r>
          </w:p>
        </w:tc>
        <w:tc>
          <w:tcPr>
            <w:tcW w:w="1033" w:type="dxa"/>
            <w:vAlign w:val="center"/>
          </w:tcPr>
          <w:p>
            <w:pPr>
              <w:snapToGrid w:val="0"/>
              <w:spacing w:line="360" w:lineRule="exact"/>
              <w:jc w:val="center"/>
              <w:rPr>
                <w:color w:val="auto"/>
                <w:szCs w:val="21"/>
              </w:rPr>
            </w:pPr>
            <w:r>
              <w:rPr>
                <w:rFonts w:hint="eastAsia"/>
                <w:color w:val="auto"/>
                <w:szCs w:val="21"/>
              </w:rPr>
              <w:t xml:space="preserve">总 </w:t>
            </w:r>
            <w:r>
              <w:rPr>
                <w:color w:val="auto"/>
                <w:szCs w:val="21"/>
              </w:rPr>
              <w:t xml:space="preserve"> </w:t>
            </w:r>
            <w:r>
              <w:rPr>
                <w:rFonts w:hint="eastAsia"/>
                <w:color w:val="auto"/>
                <w:szCs w:val="21"/>
              </w:rPr>
              <w:t>价</w:t>
            </w:r>
          </w:p>
          <w:p>
            <w:pPr>
              <w:snapToGrid w:val="0"/>
              <w:spacing w:line="360" w:lineRule="exact"/>
              <w:jc w:val="center"/>
              <w:rPr>
                <w:color w:val="auto"/>
                <w:szCs w:val="21"/>
              </w:rPr>
            </w:pPr>
            <w:r>
              <w:rPr>
                <w:color w:val="auto"/>
                <w:szCs w:val="21"/>
              </w:rPr>
              <w:t>（元）</w:t>
            </w:r>
          </w:p>
        </w:tc>
        <w:tc>
          <w:tcPr>
            <w:tcW w:w="1514" w:type="dxa"/>
            <w:vAlign w:val="center"/>
          </w:tcPr>
          <w:p>
            <w:pPr>
              <w:snapToGrid w:val="0"/>
              <w:spacing w:line="360" w:lineRule="exact"/>
              <w:jc w:val="center"/>
              <w:rPr>
                <w:color w:val="auto"/>
                <w:szCs w:val="21"/>
              </w:rPr>
            </w:pPr>
            <w:r>
              <w:rPr>
                <w:color w:val="auto"/>
                <w:szCs w:val="21"/>
              </w:rPr>
              <w:t>完成时间或交付时间</w:t>
            </w:r>
          </w:p>
        </w:tc>
        <w:tc>
          <w:tcPr>
            <w:tcW w:w="1592" w:type="dxa"/>
          </w:tcPr>
          <w:p>
            <w:pPr>
              <w:snapToGrid w:val="0"/>
              <w:spacing w:line="360" w:lineRule="exact"/>
              <w:jc w:val="center"/>
              <w:rPr>
                <w:color w:val="auto"/>
                <w:szCs w:val="21"/>
              </w:rPr>
            </w:pPr>
            <w:r>
              <w:rPr>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trPr>
        <w:tc>
          <w:tcPr>
            <w:tcW w:w="680" w:type="dxa"/>
            <w:vAlign w:val="center"/>
          </w:tcPr>
          <w:p>
            <w:pPr>
              <w:snapToGrid w:val="0"/>
              <w:spacing w:line="360" w:lineRule="exact"/>
              <w:jc w:val="center"/>
              <w:rPr>
                <w:color w:val="auto"/>
                <w:szCs w:val="21"/>
              </w:rPr>
            </w:pPr>
            <w:r>
              <w:rPr>
                <w:color w:val="auto"/>
                <w:szCs w:val="21"/>
              </w:rPr>
              <w:t>1</w:t>
            </w:r>
          </w:p>
        </w:tc>
        <w:tc>
          <w:tcPr>
            <w:tcW w:w="1937" w:type="dxa"/>
            <w:vAlign w:val="center"/>
          </w:tcPr>
          <w:p>
            <w:pPr>
              <w:snapToGrid w:val="0"/>
              <w:spacing w:line="360" w:lineRule="exact"/>
              <w:jc w:val="center"/>
              <w:rPr>
                <w:color w:val="auto"/>
                <w:szCs w:val="21"/>
              </w:rPr>
            </w:pPr>
          </w:p>
        </w:tc>
        <w:tc>
          <w:tcPr>
            <w:tcW w:w="774" w:type="dxa"/>
          </w:tcPr>
          <w:p>
            <w:pPr>
              <w:snapToGrid w:val="0"/>
              <w:spacing w:line="360" w:lineRule="exact"/>
              <w:jc w:val="center"/>
              <w:rPr>
                <w:color w:val="auto"/>
                <w:szCs w:val="21"/>
              </w:rPr>
            </w:pPr>
          </w:p>
        </w:tc>
        <w:tc>
          <w:tcPr>
            <w:tcW w:w="775" w:type="dxa"/>
          </w:tcPr>
          <w:p>
            <w:pPr>
              <w:snapToGrid w:val="0"/>
              <w:spacing w:line="360" w:lineRule="exact"/>
              <w:jc w:val="center"/>
              <w:rPr>
                <w:color w:val="auto"/>
                <w:szCs w:val="21"/>
              </w:rPr>
            </w:pPr>
          </w:p>
        </w:tc>
        <w:tc>
          <w:tcPr>
            <w:tcW w:w="1033" w:type="dxa"/>
          </w:tcPr>
          <w:p>
            <w:pPr>
              <w:snapToGrid w:val="0"/>
              <w:spacing w:line="360" w:lineRule="exact"/>
              <w:jc w:val="center"/>
              <w:rPr>
                <w:color w:val="auto"/>
                <w:szCs w:val="21"/>
              </w:rPr>
            </w:pPr>
          </w:p>
        </w:tc>
        <w:tc>
          <w:tcPr>
            <w:tcW w:w="1033" w:type="dxa"/>
            <w:vAlign w:val="center"/>
          </w:tcPr>
          <w:p>
            <w:pPr>
              <w:snapToGrid w:val="0"/>
              <w:spacing w:line="360" w:lineRule="exact"/>
              <w:jc w:val="center"/>
              <w:rPr>
                <w:color w:val="auto"/>
                <w:szCs w:val="21"/>
              </w:rPr>
            </w:pPr>
          </w:p>
        </w:tc>
        <w:tc>
          <w:tcPr>
            <w:tcW w:w="1514" w:type="dxa"/>
            <w:vAlign w:val="center"/>
          </w:tcPr>
          <w:p>
            <w:pPr>
              <w:snapToGrid w:val="0"/>
              <w:spacing w:line="360" w:lineRule="exact"/>
              <w:jc w:val="center"/>
              <w:rPr>
                <w:color w:val="auto"/>
                <w:szCs w:val="21"/>
              </w:rPr>
            </w:pPr>
          </w:p>
        </w:tc>
        <w:tc>
          <w:tcPr>
            <w:tcW w:w="1592" w:type="dxa"/>
            <w:vMerge w:val="restart"/>
          </w:tcPr>
          <w:p>
            <w:pPr>
              <w:snapToGrid w:val="0"/>
              <w:spacing w:line="360" w:lineRule="exact"/>
              <w:jc w:val="left"/>
              <w:rPr>
                <w:color w:val="auto"/>
                <w:szCs w:val="21"/>
              </w:rPr>
            </w:pPr>
            <w:r>
              <w:rPr>
                <w:color w:val="auto"/>
                <w:szCs w:val="21"/>
              </w:rPr>
              <w:t>如有商标品牌、型号参数、生产厂家等信息请注明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trPr>
        <w:tc>
          <w:tcPr>
            <w:tcW w:w="680" w:type="dxa"/>
            <w:vAlign w:val="center"/>
          </w:tcPr>
          <w:p>
            <w:pPr>
              <w:snapToGrid w:val="0"/>
              <w:spacing w:line="360" w:lineRule="exact"/>
              <w:jc w:val="center"/>
              <w:rPr>
                <w:color w:val="auto"/>
                <w:szCs w:val="21"/>
              </w:rPr>
            </w:pPr>
            <w:r>
              <w:rPr>
                <w:color w:val="auto"/>
                <w:szCs w:val="21"/>
              </w:rPr>
              <w:t>2</w:t>
            </w:r>
          </w:p>
        </w:tc>
        <w:tc>
          <w:tcPr>
            <w:tcW w:w="1937" w:type="dxa"/>
            <w:vAlign w:val="center"/>
          </w:tcPr>
          <w:p>
            <w:pPr>
              <w:snapToGrid w:val="0"/>
              <w:spacing w:line="360" w:lineRule="exact"/>
              <w:jc w:val="center"/>
              <w:rPr>
                <w:color w:val="auto"/>
                <w:szCs w:val="21"/>
              </w:rPr>
            </w:pPr>
          </w:p>
        </w:tc>
        <w:tc>
          <w:tcPr>
            <w:tcW w:w="774" w:type="dxa"/>
          </w:tcPr>
          <w:p>
            <w:pPr>
              <w:snapToGrid w:val="0"/>
              <w:spacing w:line="360" w:lineRule="exact"/>
              <w:jc w:val="center"/>
              <w:rPr>
                <w:color w:val="auto"/>
                <w:szCs w:val="21"/>
              </w:rPr>
            </w:pPr>
          </w:p>
        </w:tc>
        <w:tc>
          <w:tcPr>
            <w:tcW w:w="775" w:type="dxa"/>
          </w:tcPr>
          <w:p>
            <w:pPr>
              <w:snapToGrid w:val="0"/>
              <w:spacing w:line="360" w:lineRule="exact"/>
              <w:jc w:val="center"/>
              <w:rPr>
                <w:color w:val="auto"/>
                <w:szCs w:val="21"/>
              </w:rPr>
            </w:pPr>
          </w:p>
        </w:tc>
        <w:tc>
          <w:tcPr>
            <w:tcW w:w="1033" w:type="dxa"/>
          </w:tcPr>
          <w:p>
            <w:pPr>
              <w:snapToGrid w:val="0"/>
              <w:spacing w:line="360" w:lineRule="exact"/>
              <w:jc w:val="center"/>
              <w:rPr>
                <w:color w:val="auto"/>
                <w:szCs w:val="21"/>
              </w:rPr>
            </w:pPr>
          </w:p>
        </w:tc>
        <w:tc>
          <w:tcPr>
            <w:tcW w:w="1033" w:type="dxa"/>
            <w:vAlign w:val="center"/>
          </w:tcPr>
          <w:p>
            <w:pPr>
              <w:snapToGrid w:val="0"/>
              <w:spacing w:line="360" w:lineRule="exact"/>
              <w:jc w:val="center"/>
              <w:rPr>
                <w:color w:val="auto"/>
                <w:szCs w:val="21"/>
              </w:rPr>
            </w:pPr>
          </w:p>
        </w:tc>
        <w:tc>
          <w:tcPr>
            <w:tcW w:w="1514" w:type="dxa"/>
            <w:vAlign w:val="center"/>
          </w:tcPr>
          <w:p>
            <w:pPr>
              <w:snapToGrid w:val="0"/>
              <w:spacing w:line="360" w:lineRule="exact"/>
              <w:jc w:val="center"/>
              <w:rPr>
                <w:color w:val="auto"/>
                <w:szCs w:val="21"/>
              </w:rPr>
            </w:pPr>
          </w:p>
        </w:tc>
        <w:tc>
          <w:tcPr>
            <w:tcW w:w="1592" w:type="dxa"/>
            <w:vMerge w:val="continue"/>
          </w:tcPr>
          <w:p>
            <w:pPr>
              <w:snapToGrid w:val="0"/>
              <w:spacing w:line="360" w:lineRule="exact"/>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trPr>
        <w:tc>
          <w:tcPr>
            <w:tcW w:w="680" w:type="dxa"/>
            <w:vAlign w:val="center"/>
          </w:tcPr>
          <w:p>
            <w:pPr>
              <w:snapToGrid w:val="0"/>
              <w:spacing w:line="360" w:lineRule="exact"/>
              <w:jc w:val="center"/>
              <w:rPr>
                <w:color w:val="auto"/>
                <w:szCs w:val="21"/>
              </w:rPr>
            </w:pPr>
            <w:r>
              <w:rPr>
                <w:color w:val="auto"/>
                <w:szCs w:val="21"/>
              </w:rPr>
              <w:t>3</w:t>
            </w:r>
          </w:p>
        </w:tc>
        <w:tc>
          <w:tcPr>
            <w:tcW w:w="1937" w:type="dxa"/>
            <w:vAlign w:val="center"/>
          </w:tcPr>
          <w:p>
            <w:pPr>
              <w:snapToGrid w:val="0"/>
              <w:spacing w:line="360" w:lineRule="exact"/>
              <w:jc w:val="center"/>
              <w:rPr>
                <w:color w:val="auto"/>
                <w:szCs w:val="21"/>
              </w:rPr>
            </w:pPr>
          </w:p>
        </w:tc>
        <w:tc>
          <w:tcPr>
            <w:tcW w:w="774" w:type="dxa"/>
          </w:tcPr>
          <w:p>
            <w:pPr>
              <w:snapToGrid w:val="0"/>
              <w:spacing w:line="360" w:lineRule="exact"/>
              <w:jc w:val="center"/>
              <w:rPr>
                <w:color w:val="auto"/>
                <w:szCs w:val="21"/>
              </w:rPr>
            </w:pPr>
          </w:p>
        </w:tc>
        <w:tc>
          <w:tcPr>
            <w:tcW w:w="775" w:type="dxa"/>
          </w:tcPr>
          <w:p>
            <w:pPr>
              <w:snapToGrid w:val="0"/>
              <w:spacing w:line="360" w:lineRule="exact"/>
              <w:jc w:val="center"/>
              <w:rPr>
                <w:color w:val="auto"/>
                <w:szCs w:val="21"/>
              </w:rPr>
            </w:pPr>
          </w:p>
        </w:tc>
        <w:tc>
          <w:tcPr>
            <w:tcW w:w="1033" w:type="dxa"/>
          </w:tcPr>
          <w:p>
            <w:pPr>
              <w:snapToGrid w:val="0"/>
              <w:spacing w:line="360" w:lineRule="exact"/>
              <w:jc w:val="center"/>
              <w:rPr>
                <w:color w:val="auto"/>
                <w:szCs w:val="21"/>
              </w:rPr>
            </w:pPr>
          </w:p>
        </w:tc>
        <w:tc>
          <w:tcPr>
            <w:tcW w:w="1033" w:type="dxa"/>
            <w:vAlign w:val="center"/>
          </w:tcPr>
          <w:p>
            <w:pPr>
              <w:snapToGrid w:val="0"/>
              <w:spacing w:line="360" w:lineRule="exact"/>
              <w:jc w:val="center"/>
              <w:rPr>
                <w:color w:val="auto"/>
                <w:szCs w:val="21"/>
              </w:rPr>
            </w:pPr>
          </w:p>
        </w:tc>
        <w:tc>
          <w:tcPr>
            <w:tcW w:w="1514" w:type="dxa"/>
            <w:vAlign w:val="center"/>
          </w:tcPr>
          <w:p>
            <w:pPr>
              <w:snapToGrid w:val="0"/>
              <w:spacing w:line="360" w:lineRule="exact"/>
              <w:jc w:val="center"/>
              <w:rPr>
                <w:color w:val="auto"/>
                <w:szCs w:val="21"/>
              </w:rPr>
            </w:pPr>
          </w:p>
        </w:tc>
        <w:tc>
          <w:tcPr>
            <w:tcW w:w="1592" w:type="dxa"/>
            <w:vMerge w:val="continue"/>
          </w:tcPr>
          <w:p>
            <w:pPr>
              <w:snapToGrid w:val="0"/>
              <w:spacing w:line="360" w:lineRule="exact"/>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trPr>
        <w:tc>
          <w:tcPr>
            <w:tcW w:w="680" w:type="dxa"/>
            <w:vAlign w:val="center"/>
          </w:tcPr>
          <w:p>
            <w:pPr>
              <w:snapToGrid w:val="0"/>
              <w:spacing w:line="360" w:lineRule="exact"/>
              <w:jc w:val="center"/>
              <w:rPr>
                <w:color w:val="auto"/>
                <w:szCs w:val="21"/>
              </w:rPr>
            </w:pPr>
          </w:p>
        </w:tc>
        <w:tc>
          <w:tcPr>
            <w:tcW w:w="8658" w:type="dxa"/>
            <w:gridSpan w:val="7"/>
          </w:tcPr>
          <w:p>
            <w:pPr>
              <w:snapToGrid w:val="0"/>
              <w:spacing w:line="360" w:lineRule="exact"/>
              <w:jc w:val="left"/>
              <w:rPr>
                <w:color w:val="auto"/>
                <w:szCs w:val="21"/>
              </w:rPr>
            </w:pPr>
            <w:r>
              <w:rPr>
                <w:color w:val="auto"/>
                <w:szCs w:val="21"/>
              </w:rPr>
              <w:t>人民币合计金额（大写）                          （小写）</w:t>
            </w:r>
          </w:p>
        </w:tc>
      </w:tr>
    </w:tbl>
    <w:p>
      <w:pPr>
        <w:snapToGrid w:val="0"/>
        <w:spacing w:before="50" w:after="50" w:line="440" w:lineRule="exact"/>
        <w:rPr>
          <w:color w:val="auto"/>
          <w:szCs w:val="21"/>
        </w:rPr>
      </w:pPr>
      <w:r>
        <w:rPr>
          <w:color w:val="auto"/>
          <w:szCs w:val="21"/>
        </w:rPr>
        <w:t>注：在填写时，如本表格不适合采购内容的实际情况，可自行调整。</w:t>
      </w:r>
    </w:p>
    <w:p>
      <w:pPr>
        <w:snapToGrid w:val="0"/>
        <w:spacing w:before="50" w:after="50" w:line="440" w:lineRule="exact"/>
        <w:rPr>
          <w:color w:val="auto"/>
          <w:szCs w:val="21"/>
        </w:rPr>
      </w:pPr>
      <w:r>
        <w:rPr>
          <w:color w:val="auto"/>
          <w:szCs w:val="21"/>
        </w:rPr>
        <w:t>供应商</w:t>
      </w:r>
      <w:r>
        <w:rPr>
          <w:rFonts w:hint="eastAsia"/>
          <w:color w:val="auto"/>
          <w:szCs w:val="21"/>
        </w:rPr>
        <w:t>名称(电子签章</w:t>
      </w:r>
      <w:r>
        <w:rPr>
          <w:color w:val="auto"/>
          <w:szCs w:val="21"/>
        </w:rPr>
        <w:t>)</w:t>
      </w:r>
      <w:r>
        <w:rPr>
          <w:color w:val="auto"/>
          <w:spacing w:val="20"/>
          <w:szCs w:val="21"/>
        </w:rPr>
        <w:t>：</w:t>
      </w:r>
      <w:r>
        <w:rPr>
          <w:color w:val="auto"/>
          <w:spacing w:val="20"/>
          <w:szCs w:val="21"/>
          <w:u w:val="single"/>
        </w:rPr>
        <w:t xml:space="preserve">            </w:t>
      </w:r>
      <w:r>
        <w:rPr>
          <w:color w:val="auto"/>
          <w:spacing w:val="20"/>
          <w:szCs w:val="21"/>
        </w:rPr>
        <w:t xml:space="preserve">              日  期：</w:t>
      </w:r>
      <w:r>
        <w:rPr>
          <w:color w:val="auto"/>
          <w:spacing w:val="20"/>
          <w:szCs w:val="21"/>
          <w:u w:val="single"/>
        </w:rPr>
        <w:t xml:space="preserve">          </w:t>
      </w:r>
    </w:p>
    <w:p>
      <w:pPr>
        <w:rPr>
          <w:color w:val="auto"/>
          <w:szCs w:val="21"/>
        </w:rPr>
      </w:pPr>
    </w:p>
    <w:p>
      <w:pPr>
        <w:rPr>
          <w:color w:val="auto"/>
          <w:szCs w:val="21"/>
        </w:rPr>
      </w:pPr>
      <w:r>
        <w:rPr>
          <w:color w:val="auto"/>
          <w:szCs w:val="21"/>
        </w:rPr>
        <w:br w:type="page"/>
      </w:r>
    </w:p>
    <w:p>
      <w:pPr>
        <w:snapToGrid w:val="0"/>
        <w:spacing w:before="50" w:after="120" w:afterLines="50"/>
        <w:jc w:val="left"/>
        <w:rPr>
          <w:color w:val="auto"/>
          <w:szCs w:val="21"/>
        </w:rPr>
      </w:pPr>
      <w:r>
        <w:rPr>
          <w:rFonts w:hint="eastAsia" w:hAnsi="宋体"/>
          <w:color w:val="auto"/>
          <w:szCs w:val="21"/>
        </w:rPr>
        <w:t>3.拟投入</w:t>
      </w:r>
      <w:r>
        <w:rPr>
          <w:rFonts w:hint="eastAsia" w:ascii="宋体" w:hAnsi="宋体"/>
          <w:color w:val="auto"/>
        </w:rPr>
        <w:t>团队成员</w:t>
      </w:r>
      <w:r>
        <w:rPr>
          <w:color w:val="auto"/>
          <w:szCs w:val="21"/>
        </w:rPr>
        <w:t>（包括但不限于学历、证书情况、职称、</w:t>
      </w:r>
      <w:r>
        <w:rPr>
          <w:rFonts w:hint="eastAsia"/>
          <w:color w:val="auto"/>
          <w:szCs w:val="21"/>
        </w:rPr>
        <w:t>工作年限</w:t>
      </w:r>
      <w:r>
        <w:rPr>
          <w:color w:val="auto"/>
          <w:szCs w:val="21"/>
        </w:rPr>
        <w:t>等）</w:t>
      </w:r>
    </w:p>
    <w:p>
      <w:pPr>
        <w:snapToGrid w:val="0"/>
        <w:spacing w:before="120" w:beforeLines="50" w:after="50" w:line="400" w:lineRule="exact"/>
        <w:jc w:val="center"/>
        <w:rPr>
          <w:color w:val="auto"/>
          <w:szCs w:val="21"/>
        </w:rPr>
      </w:pPr>
      <w:r>
        <w:rPr>
          <w:color w:val="auto"/>
          <w:szCs w:val="21"/>
        </w:rPr>
        <w:t>项目拟投入服务团队人员（含项目负责人）一览表</w:t>
      </w:r>
    </w:p>
    <w:tbl>
      <w:tblPr>
        <w:tblStyle w:val="5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57"/>
        <w:gridCol w:w="1379"/>
        <w:gridCol w:w="1660"/>
        <w:gridCol w:w="1774"/>
        <w:gridCol w:w="216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4" w:hRule="atLeast"/>
          <w:jc w:val="center"/>
        </w:trPr>
        <w:tc>
          <w:tcPr>
            <w:tcW w:w="1457"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jc w:val="center"/>
              <w:rPr>
                <w:color w:val="auto"/>
                <w:szCs w:val="21"/>
              </w:rPr>
            </w:pPr>
            <w:r>
              <w:rPr>
                <w:color w:val="auto"/>
                <w:szCs w:val="21"/>
              </w:rPr>
              <w:t>姓名</w:t>
            </w:r>
          </w:p>
        </w:tc>
        <w:tc>
          <w:tcPr>
            <w:tcW w:w="1379"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jc w:val="center"/>
              <w:rPr>
                <w:color w:val="auto"/>
                <w:szCs w:val="21"/>
              </w:rPr>
            </w:pPr>
            <w:r>
              <w:rPr>
                <w:color w:val="auto"/>
                <w:szCs w:val="21"/>
              </w:rPr>
              <w:t>职务</w:t>
            </w:r>
          </w:p>
        </w:tc>
        <w:tc>
          <w:tcPr>
            <w:tcW w:w="16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jc w:val="center"/>
              <w:rPr>
                <w:color w:val="auto"/>
                <w:szCs w:val="21"/>
              </w:rPr>
            </w:pPr>
            <w:r>
              <w:rPr>
                <w:color w:val="auto"/>
                <w:szCs w:val="21"/>
              </w:rPr>
              <w:t>持证情况</w:t>
            </w:r>
          </w:p>
        </w:tc>
        <w:tc>
          <w:tcPr>
            <w:tcW w:w="1774"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jc w:val="center"/>
              <w:rPr>
                <w:color w:val="auto"/>
                <w:szCs w:val="21"/>
              </w:rPr>
            </w:pPr>
            <w:r>
              <w:rPr>
                <w:rFonts w:hint="eastAsia"/>
                <w:color w:val="auto"/>
                <w:szCs w:val="21"/>
              </w:rPr>
              <w:t>工作年限</w:t>
            </w:r>
          </w:p>
        </w:tc>
        <w:tc>
          <w:tcPr>
            <w:tcW w:w="216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jc w:val="center"/>
              <w:rPr>
                <w:bCs/>
                <w:color w:val="auto"/>
                <w:szCs w:val="21"/>
              </w:rPr>
            </w:pPr>
            <w:r>
              <w:rPr>
                <w:rFonts w:hint="eastAsia"/>
                <w:bCs/>
                <w:color w:val="auto"/>
                <w:szCs w:val="21"/>
              </w:rPr>
              <w:t>拟在本项目中担任职务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3" w:hRule="atLeast"/>
          <w:jc w:val="center"/>
        </w:trPr>
        <w:tc>
          <w:tcPr>
            <w:tcW w:w="1457"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color w:val="auto"/>
                <w:szCs w:val="21"/>
              </w:rPr>
            </w:pPr>
          </w:p>
        </w:tc>
        <w:tc>
          <w:tcPr>
            <w:tcW w:w="1379"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color w:val="auto"/>
                <w:szCs w:val="21"/>
              </w:rPr>
            </w:pPr>
          </w:p>
        </w:tc>
        <w:tc>
          <w:tcPr>
            <w:tcW w:w="1660"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color w:val="auto"/>
                <w:szCs w:val="21"/>
              </w:rPr>
            </w:pPr>
          </w:p>
        </w:tc>
        <w:tc>
          <w:tcPr>
            <w:tcW w:w="1774"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color w:val="auto"/>
                <w:szCs w:val="21"/>
              </w:rPr>
            </w:pPr>
          </w:p>
        </w:tc>
        <w:tc>
          <w:tcPr>
            <w:tcW w:w="2168"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color w:val="auto"/>
                <w:szCs w:val="21"/>
              </w:rPr>
            </w:pPr>
            <w:r>
              <w:rPr>
                <w:rFonts w:hint="eastAsia"/>
                <w:color w:val="auto"/>
                <w:szCs w:val="21"/>
              </w:rPr>
              <w:t>项目负责人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3" w:hRule="atLeast"/>
          <w:jc w:val="center"/>
        </w:trPr>
        <w:tc>
          <w:tcPr>
            <w:tcW w:w="1457"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color w:val="auto"/>
                <w:szCs w:val="21"/>
              </w:rPr>
            </w:pPr>
          </w:p>
        </w:tc>
        <w:tc>
          <w:tcPr>
            <w:tcW w:w="1379"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color w:val="auto"/>
                <w:szCs w:val="21"/>
              </w:rPr>
            </w:pPr>
          </w:p>
        </w:tc>
        <w:tc>
          <w:tcPr>
            <w:tcW w:w="1660"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color w:val="auto"/>
                <w:szCs w:val="21"/>
              </w:rPr>
            </w:pPr>
          </w:p>
        </w:tc>
        <w:tc>
          <w:tcPr>
            <w:tcW w:w="1774"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color w:val="auto"/>
                <w:szCs w:val="21"/>
              </w:rPr>
            </w:pPr>
          </w:p>
        </w:tc>
        <w:tc>
          <w:tcPr>
            <w:tcW w:w="2168"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3" w:hRule="atLeast"/>
          <w:jc w:val="center"/>
        </w:trPr>
        <w:tc>
          <w:tcPr>
            <w:tcW w:w="1457"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color w:val="auto"/>
                <w:szCs w:val="21"/>
              </w:rPr>
            </w:pPr>
          </w:p>
        </w:tc>
        <w:tc>
          <w:tcPr>
            <w:tcW w:w="1379"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color w:val="auto"/>
                <w:szCs w:val="21"/>
              </w:rPr>
            </w:pPr>
          </w:p>
        </w:tc>
        <w:tc>
          <w:tcPr>
            <w:tcW w:w="1660"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color w:val="auto"/>
                <w:szCs w:val="21"/>
              </w:rPr>
            </w:pPr>
          </w:p>
        </w:tc>
        <w:tc>
          <w:tcPr>
            <w:tcW w:w="1774"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color w:val="auto"/>
                <w:szCs w:val="21"/>
              </w:rPr>
            </w:pPr>
          </w:p>
        </w:tc>
        <w:tc>
          <w:tcPr>
            <w:tcW w:w="2168"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3" w:hRule="atLeast"/>
          <w:jc w:val="center"/>
        </w:trPr>
        <w:tc>
          <w:tcPr>
            <w:tcW w:w="1457"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color w:val="auto"/>
                <w:szCs w:val="21"/>
              </w:rPr>
            </w:pPr>
          </w:p>
        </w:tc>
        <w:tc>
          <w:tcPr>
            <w:tcW w:w="1379"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color w:val="auto"/>
                <w:szCs w:val="21"/>
              </w:rPr>
            </w:pPr>
          </w:p>
        </w:tc>
        <w:tc>
          <w:tcPr>
            <w:tcW w:w="1660"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color w:val="auto"/>
                <w:szCs w:val="21"/>
              </w:rPr>
            </w:pPr>
          </w:p>
        </w:tc>
        <w:tc>
          <w:tcPr>
            <w:tcW w:w="1774"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color w:val="auto"/>
                <w:szCs w:val="21"/>
              </w:rPr>
            </w:pPr>
          </w:p>
        </w:tc>
        <w:tc>
          <w:tcPr>
            <w:tcW w:w="2168"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3" w:hRule="atLeast"/>
          <w:jc w:val="center"/>
        </w:trPr>
        <w:tc>
          <w:tcPr>
            <w:tcW w:w="1457"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color w:val="auto"/>
                <w:szCs w:val="21"/>
              </w:rPr>
            </w:pPr>
          </w:p>
        </w:tc>
        <w:tc>
          <w:tcPr>
            <w:tcW w:w="1379"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color w:val="auto"/>
                <w:szCs w:val="21"/>
              </w:rPr>
            </w:pPr>
          </w:p>
        </w:tc>
        <w:tc>
          <w:tcPr>
            <w:tcW w:w="1660"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color w:val="auto"/>
                <w:szCs w:val="21"/>
              </w:rPr>
            </w:pPr>
          </w:p>
        </w:tc>
        <w:tc>
          <w:tcPr>
            <w:tcW w:w="1774"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color w:val="auto"/>
                <w:szCs w:val="21"/>
              </w:rPr>
            </w:pPr>
          </w:p>
        </w:tc>
        <w:tc>
          <w:tcPr>
            <w:tcW w:w="2168"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3" w:hRule="atLeast"/>
          <w:jc w:val="center"/>
        </w:trPr>
        <w:tc>
          <w:tcPr>
            <w:tcW w:w="1457"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color w:val="auto"/>
                <w:szCs w:val="21"/>
              </w:rPr>
            </w:pPr>
          </w:p>
        </w:tc>
        <w:tc>
          <w:tcPr>
            <w:tcW w:w="1379"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color w:val="auto"/>
                <w:szCs w:val="21"/>
              </w:rPr>
            </w:pPr>
          </w:p>
        </w:tc>
        <w:tc>
          <w:tcPr>
            <w:tcW w:w="1660"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color w:val="auto"/>
                <w:szCs w:val="21"/>
              </w:rPr>
            </w:pPr>
          </w:p>
        </w:tc>
        <w:tc>
          <w:tcPr>
            <w:tcW w:w="1774"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color w:val="auto"/>
                <w:szCs w:val="21"/>
              </w:rPr>
            </w:pPr>
          </w:p>
        </w:tc>
        <w:tc>
          <w:tcPr>
            <w:tcW w:w="2168"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color w:val="auto"/>
                <w:szCs w:val="21"/>
              </w:rPr>
            </w:pPr>
          </w:p>
        </w:tc>
      </w:tr>
    </w:tbl>
    <w:p>
      <w:pPr>
        <w:snapToGrid w:val="0"/>
        <w:spacing w:before="50" w:after="120" w:afterLines="50" w:line="440" w:lineRule="exact"/>
        <w:jc w:val="left"/>
        <w:rPr>
          <w:color w:val="auto"/>
          <w:szCs w:val="21"/>
        </w:rPr>
      </w:pPr>
      <w:r>
        <w:rPr>
          <w:color w:val="auto"/>
          <w:szCs w:val="21"/>
        </w:rPr>
        <w:t>注：</w:t>
      </w:r>
      <w:r>
        <w:rPr>
          <w:rFonts w:hint="eastAsia" w:cs="Calibri"/>
          <w:color w:val="auto"/>
          <w:szCs w:val="21"/>
        </w:rPr>
        <w:t>（1）</w:t>
      </w:r>
      <w:r>
        <w:rPr>
          <w:color w:val="auto"/>
          <w:szCs w:val="21"/>
        </w:rPr>
        <w:t>在填写时，如本表格不适合投标单位的实际情况，可根据本表格式自行划表填写。</w:t>
      </w:r>
    </w:p>
    <w:p>
      <w:pPr>
        <w:pStyle w:val="180"/>
        <w:rPr>
          <w:rFonts w:ascii="Times New Roman" w:hAnsi="Times New Roman"/>
          <w:color w:val="auto"/>
        </w:rPr>
      </w:pPr>
      <w:r>
        <w:rPr>
          <w:rFonts w:hint="eastAsia" w:ascii="Times New Roman" w:hAnsi="Times New Roman"/>
          <w:color w:val="auto"/>
        </w:rPr>
        <w:t>（2）</w:t>
      </w:r>
      <w:r>
        <w:rPr>
          <w:rFonts w:ascii="Times New Roman" w:hAnsi="Times New Roman"/>
          <w:color w:val="auto"/>
        </w:rPr>
        <w:t>附</w:t>
      </w:r>
      <w:r>
        <w:rPr>
          <w:rFonts w:hint="eastAsia" w:ascii="Times New Roman" w:hAnsi="Times New Roman"/>
          <w:color w:val="auto"/>
        </w:rPr>
        <w:t>各人员的身份证</w:t>
      </w:r>
      <w:r>
        <w:rPr>
          <w:rFonts w:ascii="Times New Roman" w:hAnsi="Times New Roman"/>
          <w:color w:val="auto"/>
        </w:rPr>
        <w:t>、</w:t>
      </w:r>
      <w:r>
        <w:rPr>
          <w:rFonts w:hint="eastAsia" w:ascii="Times New Roman" w:hAnsi="Times New Roman"/>
          <w:color w:val="auto"/>
        </w:rPr>
        <w:t>职称证书等复印件、</w:t>
      </w:r>
      <w:r>
        <w:rPr>
          <w:rFonts w:ascii="Times New Roman" w:hAnsi="Times New Roman"/>
          <w:color w:val="auto"/>
        </w:rPr>
        <w:t>响应文件递交截止时间前6个月内</w:t>
      </w:r>
      <w:r>
        <w:rPr>
          <w:color w:val="auto"/>
        </w:rPr>
        <w:t>任意</w:t>
      </w:r>
      <w:r>
        <w:rPr>
          <w:rFonts w:hint="eastAsia" w:ascii="Times New Roman" w:hAnsi="Times New Roman"/>
          <w:color w:val="auto"/>
        </w:rPr>
        <w:t>1个月</w:t>
      </w:r>
      <w:r>
        <w:rPr>
          <w:rFonts w:ascii="Times New Roman" w:hAnsi="Times New Roman"/>
          <w:color w:val="auto"/>
        </w:rPr>
        <w:t>在现任职单位</w:t>
      </w:r>
      <w:r>
        <w:rPr>
          <w:rFonts w:hint="eastAsia" w:ascii="Times New Roman" w:hAnsi="Times New Roman"/>
          <w:color w:val="auto"/>
          <w:lang w:val="en-US" w:eastAsia="zh-CN"/>
        </w:rPr>
        <w:t>或供应商所属企事业单位</w:t>
      </w:r>
      <w:r>
        <w:rPr>
          <w:rFonts w:ascii="Times New Roman" w:hAnsi="Times New Roman"/>
          <w:color w:val="auto"/>
        </w:rPr>
        <w:t>依法缴纳社会保险的凭证</w:t>
      </w:r>
      <w:r>
        <w:rPr>
          <w:rFonts w:hint="eastAsia"/>
          <w:color w:val="auto"/>
          <w:szCs w:val="21"/>
        </w:rPr>
        <w:t>或现任职单位承诺为该人员依法缴纳社会保险的承诺函（格式自拟）</w:t>
      </w:r>
      <w:r>
        <w:rPr>
          <w:rFonts w:ascii="Times New Roman" w:hAnsi="Times New Roman"/>
          <w:color w:val="auto"/>
        </w:rPr>
        <w:t>以及供应商认为需要增加的其他证明材料复印件，以上复印件须加盖</w:t>
      </w:r>
      <w:r>
        <w:rPr>
          <w:color w:val="auto"/>
          <w:szCs w:val="21"/>
        </w:rPr>
        <w:t>供应商</w:t>
      </w:r>
      <w:r>
        <w:rPr>
          <w:rFonts w:hint="eastAsia"/>
          <w:color w:val="auto"/>
          <w:szCs w:val="21"/>
        </w:rPr>
        <w:t>电子签章</w:t>
      </w:r>
      <w:r>
        <w:rPr>
          <w:rFonts w:ascii="Times New Roman" w:hAnsi="Times New Roman"/>
          <w:color w:val="auto"/>
        </w:rPr>
        <w:t>。</w:t>
      </w:r>
    </w:p>
    <w:p>
      <w:pPr>
        <w:pStyle w:val="6"/>
        <w:rPr>
          <w:color w:val="auto"/>
        </w:rPr>
      </w:pPr>
    </w:p>
    <w:p>
      <w:pPr>
        <w:snapToGrid w:val="0"/>
        <w:spacing w:before="50" w:after="50" w:line="440" w:lineRule="exact"/>
        <w:rPr>
          <w:color w:val="auto"/>
          <w:spacing w:val="20"/>
          <w:szCs w:val="21"/>
          <w:u w:val="single"/>
        </w:rPr>
      </w:pPr>
      <w:r>
        <w:rPr>
          <w:color w:val="auto"/>
          <w:szCs w:val="21"/>
        </w:rPr>
        <w:t>供应商</w:t>
      </w:r>
      <w:r>
        <w:rPr>
          <w:rFonts w:hint="eastAsia"/>
          <w:color w:val="auto"/>
          <w:szCs w:val="21"/>
        </w:rPr>
        <w:t>名称(电子签章</w:t>
      </w:r>
      <w:r>
        <w:rPr>
          <w:color w:val="auto"/>
          <w:szCs w:val="21"/>
        </w:rPr>
        <w:t>)</w:t>
      </w:r>
      <w:r>
        <w:rPr>
          <w:color w:val="auto"/>
          <w:spacing w:val="20"/>
          <w:szCs w:val="21"/>
        </w:rPr>
        <w:t>：</w:t>
      </w:r>
      <w:r>
        <w:rPr>
          <w:color w:val="auto"/>
          <w:spacing w:val="20"/>
          <w:szCs w:val="21"/>
          <w:u w:val="single"/>
        </w:rPr>
        <w:t xml:space="preserve">            </w:t>
      </w:r>
      <w:r>
        <w:rPr>
          <w:color w:val="auto"/>
          <w:spacing w:val="20"/>
          <w:szCs w:val="21"/>
        </w:rPr>
        <w:t xml:space="preserve">              日  期：</w:t>
      </w:r>
      <w:r>
        <w:rPr>
          <w:color w:val="auto"/>
          <w:spacing w:val="20"/>
          <w:szCs w:val="21"/>
          <w:u w:val="single"/>
        </w:rPr>
        <w:t xml:space="preserve">          </w:t>
      </w:r>
    </w:p>
    <w:p>
      <w:pPr>
        <w:pStyle w:val="20"/>
        <w:rPr>
          <w:color w:val="auto"/>
          <w:spacing w:val="20"/>
          <w:szCs w:val="21"/>
          <w:u w:val="single"/>
        </w:rPr>
      </w:pPr>
    </w:p>
    <w:p>
      <w:pPr>
        <w:rPr>
          <w:color w:val="auto"/>
        </w:rPr>
      </w:pPr>
      <w:r>
        <w:rPr>
          <w:rFonts w:hint="eastAsia"/>
          <w:color w:val="auto"/>
        </w:rPr>
        <w:t>4.</w:t>
      </w:r>
      <w:r>
        <w:rPr>
          <w:color w:val="auto"/>
        </w:rPr>
        <w:t>拟</w:t>
      </w:r>
      <w:r>
        <w:rPr>
          <w:rFonts w:hint="eastAsia"/>
          <w:color w:val="auto"/>
        </w:rPr>
        <w:t>投入本项目的</w:t>
      </w:r>
      <w:r>
        <w:rPr>
          <w:color w:val="auto"/>
        </w:rPr>
        <w:t>仪器设备表</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
        <w:gridCol w:w="1575"/>
        <w:gridCol w:w="883"/>
        <w:gridCol w:w="730"/>
        <w:gridCol w:w="731"/>
        <w:gridCol w:w="1170"/>
        <w:gridCol w:w="1170"/>
        <w:gridCol w:w="16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849" w:type="dxa"/>
            <w:vAlign w:val="center"/>
          </w:tcPr>
          <w:p>
            <w:pPr>
              <w:jc w:val="center"/>
              <w:rPr>
                <w:color w:val="auto"/>
                <w:szCs w:val="21"/>
              </w:rPr>
            </w:pPr>
            <w:r>
              <w:rPr>
                <w:color w:val="auto"/>
                <w:szCs w:val="21"/>
              </w:rPr>
              <w:t>序号</w:t>
            </w:r>
          </w:p>
        </w:tc>
        <w:tc>
          <w:tcPr>
            <w:tcW w:w="1575" w:type="dxa"/>
            <w:vAlign w:val="center"/>
          </w:tcPr>
          <w:p>
            <w:pPr>
              <w:jc w:val="center"/>
              <w:rPr>
                <w:color w:val="auto"/>
                <w:szCs w:val="21"/>
              </w:rPr>
            </w:pPr>
            <w:r>
              <w:rPr>
                <w:color w:val="auto"/>
                <w:szCs w:val="21"/>
              </w:rPr>
              <w:t>仪器设备名称</w:t>
            </w:r>
          </w:p>
        </w:tc>
        <w:tc>
          <w:tcPr>
            <w:tcW w:w="883" w:type="dxa"/>
            <w:vAlign w:val="center"/>
          </w:tcPr>
          <w:p>
            <w:pPr>
              <w:jc w:val="center"/>
              <w:rPr>
                <w:color w:val="auto"/>
                <w:szCs w:val="21"/>
              </w:rPr>
            </w:pPr>
            <w:r>
              <w:rPr>
                <w:color w:val="auto"/>
                <w:szCs w:val="21"/>
              </w:rPr>
              <w:t>型号</w:t>
            </w:r>
          </w:p>
          <w:p>
            <w:pPr>
              <w:jc w:val="center"/>
              <w:rPr>
                <w:color w:val="auto"/>
                <w:szCs w:val="21"/>
              </w:rPr>
            </w:pPr>
            <w:r>
              <w:rPr>
                <w:color w:val="auto"/>
                <w:szCs w:val="21"/>
              </w:rPr>
              <w:t>规格</w:t>
            </w:r>
          </w:p>
        </w:tc>
        <w:tc>
          <w:tcPr>
            <w:tcW w:w="730" w:type="dxa"/>
            <w:vAlign w:val="center"/>
          </w:tcPr>
          <w:p>
            <w:pPr>
              <w:jc w:val="center"/>
              <w:rPr>
                <w:color w:val="auto"/>
                <w:szCs w:val="21"/>
              </w:rPr>
            </w:pPr>
            <w:r>
              <w:rPr>
                <w:color w:val="auto"/>
                <w:szCs w:val="21"/>
              </w:rPr>
              <w:t>数量</w:t>
            </w:r>
          </w:p>
        </w:tc>
        <w:tc>
          <w:tcPr>
            <w:tcW w:w="731" w:type="dxa"/>
            <w:vAlign w:val="center"/>
          </w:tcPr>
          <w:p>
            <w:pPr>
              <w:jc w:val="center"/>
              <w:rPr>
                <w:color w:val="auto"/>
                <w:szCs w:val="21"/>
              </w:rPr>
            </w:pPr>
            <w:r>
              <w:rPr>
                <w:color w:val="auto"/>
                <w:szCs w:val="21"/>
              </w:rPr>
              <w:t>国别</w:t>
            </w:r>
          </w:p>
          <w:p>
            <w:pPr>
              <w:jc w:val="center"/>
              <w:rPr>
                <w:color w:val="auto"/>
                <w:szCs w:val="21"/>
              </w:rPr>
            </w:pPr>
            <w:r>
              <w:rPr>
                <w:color w:val="auto"/>
                <w:szCs w:val="21"/>
              </w:rPr>
              <w:t>产地</w:t>
            </w:r>
          </w:p>
        </w:tc>
        <w:tc>
          <w:tcPr>
            <w:tcW w:w="1170" w:type="dxa"/>
            <w:vAlign w:val="center"/>
          </w:tcPr>
          <w:p>
            <w:pPr>
              <w:jc w:val="center"/>
              <w:rPr>
                <w:color w:val="auto"/>
                <w:szCs w:val="21"/>
              </w:rPr>
            </w:pPr>
            <w:r>
              <w:rPr>
                <w:rFonts w:hint="eastAsia"/>
                <w:color w:val="auto"/>
                <w:szCs w:val="21"/>
              </w:rPr>
              <w:t>生产（或购买）时间</w:t>
            </w:r>
          </w:p>
        </w:tc>
        <w:tc>
          <w:tcPr>
            <w:tcW w:w="1170" w:type="dxa"/>
            <w:vAlign w:val="center"/>
          </w:tcPr>
          <w:p>
            <w:pPr>
              <w:jc w:val="center"/>
              <w:rPr>
                <w:color w:val="auto"/>
                <w:szCs w:val="21"/>
              </w:rPr>
            </w:pPr>
            <w:r>
              <w:rPr>
                <w:color w:val="auto"/>
                <w:szCs w:val="21"/>
              </w:rPr>
              <w:t>用途</w:t>
            </w:r>
          </w:p>
        </w:tc>
        <w:tc>
          <w:tcPr>
            <w:tcW w:w="1609" w:type="dxa"/>
            <w:vAlign w:val="center"/>
          </w:tcPr>
          <w:p>
            <w:pPr>
              <w:jc w:val="center"/>
              <w:rPr>
                <w:color w:val="auto"/>
                <w:szCs w:val="21"/>
              </w:rPr>
            </w:pPr>
            <w:r>
              <w:rPr>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849" w:type="dxa"/>
            <w:vAlign w:val="center"/>
          </w:tcPr>
          <w:p>
            <w:pPr>
              <w:spacing w:line="360" w:lineRule="auto"/>
              <w:ind w:firstLine="420" w:firstLineChars="200"/>
              <w:rPr>
                <w:color w:val="auto"/>
                <w:szCs w:val="21"/>
              </w:rPr>
            </w:pPr>
          </w:p>
        </w:tc>
        <w:tc>
          <w:tcPr>
            <w:tcW w:w="1575" w:type="dxa"/>
            <w:vAlign w:val="center"/>
          </w:tcPr>
          <w:p>
            <w:pPr>
              <w:spacing w:line="360" w:lineRule="auto"/>
              <w:ind w:firstLine="420" w:firstLineChars="200"/>
              <w:rPr>
                <w:color w:val="auto"/>
                <w:szCs w:val="21"/>
              </w:rPr>
            </w:pPr>
          </w:p>
        </w:tc>
        <w:tc>
          <w:tcPr>
            <w:tcW w:w="883" w:type="dxa"/>
            <w:vAlign w:val="center"/>
          </w:tcPr>
          <w:p>
            <w:pPr>
              <w:spacing w:line="360" w:lineRule="auto"/>
              <w:ind w:firstLine="420" w:firstLineChars="200"/>
              <w:rPr>
                <w:color w:val="auto"/>
                <w:szCs w:val="21"/>
              </w:rPr>
            </w:pPr>
          </w:p>
        </w:tc>
        <w:tc>
          <w:tcPr>
            <w:tcW w:w="730" w:type="dxa"/>
            <w:vAlign w:val="center"/>
          </w:tcPr>
          <w:p>
            <w:pPr>
              <w:spacing w:line="360" w:lineRule="auto"/>
              <w:ind w:firstLine="420" w:firstLineChars="200"/>
              <w:rPr>
                <w:color w:val="auto"/>
                <w:szCs w:val="21"/>
              </w:rPr>
            </w:pPr>
          </w:p>
        </w:tc>
        <w:tc>
          <w:tcPr>
            <w:tcW w:w="731" w:type="dxa"/>
            <w:vAlign w:val="center"/>
          </w:tcPr>
          <w:p>
            <w:pPr>
              <w:spacing w:line="360" w:lineRule="auto"/>
              <w:ind w:firstLine="420" w:firstLineChars="200"/>
              <w:rPr>
                <w:color w:val="auto"/>
                <w:szCs w:val="21"/>
              </w:rPr>
            </w:pPr>
          </w:p>
        </w:tc>
        <w:tc>
          <w:tcPr>
            <w:tcW w:w="1170" w:type="dxa"/>
            <w:vAlign w:val="center"/>
          </w:tcPr>
          <w:p>
            <w:pPr>
              <w:spacing w:line="360" w:lineRule="auto"/>
              <w:ind w:firstLine="420" w:firstLineChars="200"/>
              <w:rPr>
                <w:color w:val="auto"/>
                <w:szCs w:val="21"/>
              </w:rPr>
            </w:pPr>
          </w:p>
        </w:tc>
        <w:tc>
          <w:tcPr>
            <w:tcW w:w="1170" w:type="dxa"/>
            <w:vAlign w:val="center"/>
          </w:tcPr>
          <w:p>
            <w:pPr>
              <w:spacing w:line="360" w:lineRule="auto"/>
              <w:ind w:firstLine="420" w:firstLineChars="200"/>
              <w:rPr>
                <w:color w:val="auto"/>
                <w:szCs w:val="21"/>
              </w:rPr>
            </w:pPr>
          </w:p>
        </w:tc>
        <w:tc>
          <w:tcPr>
            <w:tcW w:w="1609" w:type="dxa"/>
            <w:vAlign w:val="center"/>
          </w:tcPr>
          <w:p>
            <w:pPr>
              <w:spacing w:line="360" w:lineRule="auto"/>
              <w:ind w:firstLine="420" w:firstLineChars="200"/>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849" w:type="dxa"/>
            <w:vAlign w:val="center"/>
          </w:tcPr>
          <w:p>
            <w:pPr>
              <w:spacing w:line="360" w:lineRule="auto"/>
              <w:ind w:firstLine="420" w:firstLineChars="200"/>
              <w:rPr>
                <w:color w:val="auto"/>
                <w:szCs w:val="21"/>
              </w:rPr>
            </w:pPr>
          </w:p>
        </w:tc>
        <w:tc>
          <w:tcPr>
            <w:tcW w:w="1575" w:type="dxa"/>
            <w:vAlign w:val="center"/>
          </w:tcPr>
          <w:p>
            <w:pPr>
              <w:spacing w:line="360" w:lineRule="auto"/>
              <w:ind w:firstLine="420" w:firstLineChars="200"/>
              <w:rPr>
                <w:color w:val="auto"/>
                <w:szCs w:val="21"/>
              </w:rPr>
            </w:pPr>
          </w:p>
        </w:tc>
        <w:tc>
          <w:tcPr>
            <w:tcW w:w="883" w:type="dxa"/>
            <w:vAlign w:val="center"/>
          </w:tcPr>
          <w:p>
            <w:pPr>
              <w:spacing w:line="360" w:lineRule="auto"/>
              <w:ind w:firstLine="420" w:firstLineChars="200"/>
              <w:rPr>
                <w:color w:val="auto"/>
                <w:szCs w:val="21"/>
              </w:rPr>
            </w:pPr>
          </w:p>
        </w:tc>
        <w:tc>
          <w:tcPr>
            <w:tcW w:w="730" w:type="dxa"/>
            <w:vAlign w:val="center"/>
          </w:tcPr>
          <w:p>
            <w:pPr>
              <w:spacing w:line="360" w:lineRule="auto"/>
              <w:ind w:firstLine="420" w:firstLineChars="200"/>
              <w:rPr>
                <w:color w:val="auto"/>
                <w:szCs w:val="21"/>
              </w:rPr>
            </w:pPr>
          </w:p>
        </w:tc>
        <w:tc>
          <w:tcPr>
            <w:tcW w:w="731" w:type="dxa"/>
            <w:vAlign w:val="center"/>
          </w:tcPr>
          <w:p>
            <w:pPr>
              <w:spacing w:line="360" w:lineRule="auto"/>
              <w:ind w:firstLine="420" w:firstLineChars="200"/>
              <w:rPr>
                <w:color w:val="auto"/>
                <w:szCs w:val="21"/>
              </w:rPr>
            </w:pPr>
          </w:p>
        </w:tc>
        <w:tc>
          <w:tcPr>
            <w:tcW w:w="1170" w:type="dxa"/>
            <w:vAlign w:val="center"/>
          </w:tcPr>
          <w:p>
            <w:pPr>
              <w:spacing w:line="360" w:lineRule="auto"/>
              <w:ind w:firstLine="420" w:firstLineChars="200"/>
              <w:rPr>
                <w:color w:val="auto"/>
                <w:szCs w:val="21"/>
              </w:rPr>
            </w:pPr>
          </w:p>
        </w:tc>
        <w:tc>
          <w:tcPr>
            <w:tcW w:w="1170" w:type="dxa"/>
            <w:vAlign w:val="center"/>
          </w:tcPr>
          <w:p>
            <w:pPr>
              <w:spacing w:line="360" w:lineRule="auto"/>
              <w:ind w:firstLine="420" w:firstLineChars="200"/>
              <w:rPr>
                <w:color w:val="auto"/>
                <w:szCs w:val="21"/>
              </w:rPr>
            </w:pPr>
          </w:p>
        </w:tc>
        <w:tc>
          <w:tcPr>
            <w:tcW w:w="1609" w:type="dxa"/>
            <w:vAlign w:val="center"/>
          </w:tcPr>
          <w:p>
            <w:pPr>
              <w:spacing w:line="360" w:lineRule="auto"/>
              <w:ind w:firstLine="420" w:firstLineChars="200"/>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849" w:type="dxa"/>
            <w:vAlign w:val="center"/>
          </w:tcPr>
          <w:p>
            <w:pPr>
              <w:spacing w:line="360" w:lineRule="auto"/>
              <w:ind w:firstLine="420" w:firstLineChars="200"/>
              <w:rPr>
                <w:color w:val="auto"/>
                <w:szCs w:val="21"/>
              </w:rPr>
            </w:pPr>
          </w:p>
        </w:tc>
        <w:tc>
          <w:tcPr>
            <w:tcW w:w="1575" w:type="dxa"/>
            <w:vAlign w:val="center"/>
          </w:tcPr>
          <w:p>
            <w:pPr>
              <w:spacing w:line="360" w:lineRule="auto"/>
              <w:ind w:firstLine="420" w:firstLineChars="200"/>
              <w:rPr>
                <w:color w:val="auto"/>
                <w:szCs w:val="21"/>
              </w:rPr>
            </w:pPr>
          </w:p>
        </w:tc>
        <w:tc>
          <w:tcPr>
            <w:tcW w:w="883" w:type="dxa"/>
            <w:vAlign w:val="center"/>
          </w:tcPr>
          <w:p>
            <w:pPr>
              <w:spacing w:line="360" w:lineRule="auto"/>
              <w:ind w:firstLine="420" w:firstLineChars="200"/>
              <w:rPr>
                <w:color w:val="auto"/>
                <w:szCs w:val="21"/>
              </w:rPr>
            </w:pPr>
          </w:p>
        </w:tc>
        <w:tc>
          <w:tcPr>
            <w:tcW w:w="730" w:type="dxa"/>
            <w:vAlign w:val="center"/>
          </w:tcPr>
          <w:p>
            <w:pPr>
              <w:spacing w:line="360" w:lineRule="auto"/>
              <w:ind w:firstLine="420" w:firstLineChars="200"/>
              <w:rPr>
                <w:color w:val="auto"/>
                <w:szCs w:val="21"/>
              </w:rPr>
            </w:pPr>
          </w:p>
        </w:tc>
        <w:tc>
          <w:tcPr>
            <w:tcW w:w="731" w:type="dxa"/>
            <w:vAlign w:val="center"/>
          </w:tcPr>
          <w:p>
            <w:pPr>
              <w:spacing w:line="360" w:lineRule="auto"/>
              <w:ind w:firstLine="420" w:firstLineChars="200"/>
              <w:rPr>
                <w:color w:val="auto"/>
                <w:szCs w:val="21"/>
              </w:rPr>
            </w:pPr>
          </w:p>
        </w:tc>
        <w:tc>
          <w:tcPr>
            <w:tcW w:w="1170" w:type="dxa"/>
            <w:vAlign w:val="center"/>
          </w:tcPr>
          <w:p>
            <w:pPr>
              <w:spacing w:line="360" w:lineRule="auto"/>
              <w:ind w:firstLine="420" w:firstLineChars="200"/>
              <w:rPr>
                <w:color w:val="auto"/>
                <w:szCs w:val="21"/>
              </w:rPr>
            </w:pPr>
          </w:p>
        </w:tc>
        <w:tc>
          <w:tcPr>
            <w:tcW w:w="1170" w:type="dxa"/>
            <w:vAlign w:val="center"/>
          </w:tcPr>
          <w:p>
            <w:pPr>
              <w:spacing w:line="360" w:lineRule="auto"/>
              <w:ind w:firstLine="420" w:firstLineChars="200"/>
              <w:rPr>
                <w:color w:val="auto"/>
                <w:szCs w:val="21"/>
              </w:rPr>
            </w:pPr>
          </w:p>
        </w:tc>
        <w:tc>
          <w:tcPr>
            <w:tcW w:w="1609" w:type="dxa"/>
            <w:vAlign w:val="center"/>
          </w:tcPr>
          <w:p>
            <w:pPr>
              <w:spacing w:line="360" w:lineRule="auto"/>
              <w:ind w:firstLine="420" w:firstLineChars="200"/>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849" w:type="dxa"/>
            <w:vAlign w:val="center"/>
          </w:tcPr>
          <w:p>
            <w:pPr>
              <w:spacing w:line="360" w:lineRule="auto"/>
              <w:ind w:firstLine="420" w:firstLineChars="200"/>
              <w:rPr>
                <w:color w:val="auto"/>
                <w:szCs w:val="21"/>
              </w:rPr>
            </w:pPr>
          </w:p>
        </w:tc>
        <w:tc>
          <w:tcPr>
            <w:tcW w:w="1575" w:type="dxa"/>
            <w:vAlign w:val="center"/>
          </w:tcPr>
          <w:p>
            <w:pPr>
              <w:spacing w:line="360" w:lineRule="auto"/>
              <w:ind w:firstLine="420" w:firstLineChars="200"/>
              <w:rPr>
                <w:color w:val="auto"/>
                <w:szCs w:val="21"/>
              </w:rPr>
            </w:pPr>
          </w:p>
        </w:tc>
        <w:tc>
          <w:tcPr>
            <w:tcW w:w="883" w:type="dxa"/>
            <w:vAlign w:val="center"/>
          </w:tcPr>
          <w:p>
            <w:pPr>
              <w:spacing w:line="360" w:lineRule="auto"/>
              <w:ind w:firstLine="420" w:firstLineChars="200"/>
              <w:rPr>
                <w:color w:val="auto"/>
                <w:szCs w:val="21"/>
              </w:rPr>
            </w:pPr>
          </w:p>
        </w:tc>
        <w:tc>
          <w:tcPr>
            <w:tcW w:w="730" w:type="dxa"/>
            <w:vAlign w:val="center"/>
          </w:tcPr>
          <w:p>
            <w:pPr>
              <w:spacing w:line="360" w:lineRule="auto"/>
              <w:ind w:firstLine="420" w:firstLineChars="200"/>
              <w:rPr>
                <w:color w:val="auto"/>
                <w:szCs w:val="21"/>
              </w:rPr>
            </w:pPr>
          </w:p>
        </w:tc>
        <w:tc>
          <w:tcPr>
            <w:tcW w:w="731" w:type="dxa"/>
            <w:vAlign w:val="center"/>
          </w:tcPr>
          <w:p>
            <w:pPr>
              <w:spacing w:line="360" w:lineRule="auto"/>
              <w:ind w:firstLine="420" w:firstLineChars="200"/>
              <w:rPr>
                <w:color w:val="auto"/>
                <w:szCs w:val="21"/>
              </w:rPr>
            </w:pPr>
          </w:p>
        </w:tc>
        <w:tc>
          <w:tcPr>
            <w:tcW w:w="1170" w:type="dxa"/>
            <w:vAlign w:val="center"/>
          </w:tcPr>
          <w:p>
            <w:pPr>
              <w:spacing w:line="360" w:lineRule="auto"/>
              <w:ind w:firstLine="420" w:firstLineChars="200"/>
              <w:rPr>
                <w:color w:val="auto"/>
                <w:szCs w:val="21"/>
              </w:rPr>
            </w:pPr>
          </w:p>
        </w:tc>
        <w:tc>
          <w:tcPr>
            <w:tcW w:w="1170" w:type="dxa"/>
            <w:vAlign w:val="center"/>
          </w:tcPr>
          <w:p>
            <w:pPr>
              <w:spacing w:line="360" w:lineRule="auto"/>
              <w:ind w:firstLine="420" w:firstLineChars="200"/>
              <w:rPr>
                <w:color w:val="auto"/>
                <w:szCs w:val="21"/>
              </w:rPr>
            </w:pPr>
          </w:p>
        </w:tc>
        <w:tc>
          <w:tcPr>
            <w:tcW w:w="1609" w:type="dxa"/>
            <w:vAlign w:val="center"/>
          </w:tcPr>
          <w:p>
            <w:pPr>
              <w:spacing w:line="360" w:lineRule="auto"/>
              <w:ind w:firstLine="420" w:firstLineChars="200"/>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849" w:type="dxa"/>
            <w:vAlign w:val="center"/>
          </w:tcPr>
          <w:p>
            <w:pPr>
              <w:spacing w:line="360" w:lineRule="auto"/>
              <w:ind w:firstLine="420" w:firstLineChars="200"/>
              <w:rPr>
                <w:color w:val="auto"/>
                <w:szCs w:val="21"/>
              </w:rPr>
            </w:pPr>
          </w:p>
        </w:tc>
        <w:tc>
          <w:tcPr>
            <w:tcW w:w="1575" w:type="dxa"/>
            <w:vAlign w:val="center"/>
          </w:tcPr>
          <w:p>
            <w:pPr>
              <w:spacing w:line="360" w:lineRule="auto"/>
              <w:ind w:firstLine="420" w:firstLineChars="200"/>
              <w:rPr>
                <w:color w:val="auto"/>
                <w:szCs w:val="21"/>
              </w:rPr>
            </w:pPr>
          </w:p>
        </w:tc>
        <w:tc>
          <w:tcPr>
            <w:tcW w:w="883" w:type="dxa"/>
            <w:vAlign w:val="center"/>
          </w:tcPr>
          <w:p>
            <w:pPr>
              <w:spacing w:line="360" w:lineRule="auto"/>
              <w:ind w:firstLine="420" w:firstLineChars="200"/>
              <w:rPr>
                <w:color w:val="auto"/>
                <w:szCs w:val="21"/>
              </w:rPr>
            </w:pPr>
          </w:p>
        </w:tc>
        <w:tc>
          <w:tcPr>
            <w:tcW w:w="730" w:type="dxa"/>
            <w:vAlign w:val="center"/>
          </w:tcPr>
          <w:p>
            <w:pPr>
              <w:spacing w:line="360" w:lineRule="auto"/>
              <w:ind w:firstLine="420" w:firstLineChars="200"/>
              <w:rPr>
                <w:color w:val="auto"/>
                <w:szCs w:val="21"/>
              </w:rPr>
            </w:pPr>
          </w:p>
        </w:tc>
        <w:tc>
          <w:tcPr>
            <w:tcW w:w="731" w:type="dxa"/>
            <w:vAlign w:val="center"/>
          </w:tcPr>
          <w:p>
            <w:pPr>
              <w:spacing w:line="360" w:lineRule="auto"/>
              <w:ind w:firstLine="420" w:firstLineChars="200"/>
              <w:rPr>
                <w:color w:val="auto"/>
                <w:szCs w:val="21"/>
              </w:rPr>
            </w:pPr>
          </w:p>
        </w:tc>
        <w:tc>
          <w:tcPr>
            <w:tcW w:w="1170" w:type="dxa"/>
            <w:vAlign w:val="center"/>
          </w:tcPr>
          <w:p>
            <w:pPr>
              <w:spacing w:line="360" w:lineRule="auto"/>
              <w:ind w:firstLine="420" w:firstLineChars="200"/>
              <w:rPr>
                <w:color w:val="auto"/>
                <w:szCs w:val="21"/>
              </w:rPr>
            </w:pPr>
          </w:p>
        </w:tc>
        <w:tc>
          <w:tcPr>
            <w:tcW w:w="1170" w:type="dxa"/>
            <w:vAlign w:val="center"/>
          </w:tcPr>
          <w:p>
            <w:pPr>
              <w:spacing w:line="360" w:lineRule="auto"/>
              <w:ind w:firstLine="420" w:firstLineChars="200"/>
              <w:rPr>
                <w:color w:val="auto"/>
                <w:szCs w:val="21"/>
              </w:rPr>
            </w:pPr>
          </w:p>
        </w:tc>
        <w:tc>
          <w:tcPr>
            <w:tcW w:w="1609" w:type="dxa"/>
            <w:vAlign w:val="center"/>
          </w:tcPr>
          <w:p>
            <w:pPr>
              <w:spacing w:line="360" w:lineRule="auto"/>
              <w:ind w:firstLine="420" w:firstLineChars="200"/>
              <w:rPr>
                <w:color w:val="auto"/>
                <w:szCs w:val="21"/>
              </w:rPr>
            </w:pPr>
          </w:p>
        </w:tc>
      </w:tr>
    </w:tbl>
    <w:p>
      <w:pPr>
        <w:rPr>
          <w:color w:val="auto"/>
        </w:rPr>
      </w:pPr>
    </w:p>
    <w:p>
      <w:pPr>
        <w:snapToGrid w:val="0"/>
        <w:spacing w:before="50" w:after="50" w:line="440" w:lineRule="exact"/>
        <w:rPr>
          <w:color w:val="auto"/>
          <w:spacing w:val="20"/>
          <w:szCs w:val="21"/>
          <w:u w:val="single"/>
        </w:rPr>
      </w:pPr>
      <w:r>
        <w:rPr>
          <w:color w:val="auto"/>
          <w:szCs w:val="21"/>
        </w:rPr>
        <w:t>供应商</w:t>
      </w:r>
      <w:r>
        <w:rPr>
          <w:rFonts w:hint="eastAsia"/>
          <w:color w:val="auto"/>
          <w:szCs w:val="21"/>
        </w:rPr>
        <w:t>名称(电子签章</w:t>
      </w:r>
      <w:r>
        <w:rPr>
          <w:color w:val="auto"/>
          <w:szCs w:val="21"/>
        </w:rPr>
        <w:t>)</w:t>
      </w:r>
      <w:r>
        <w:rPr>
          <w:color w:val="auto"/>
          <w:spacing w:val="20"/>
          <w:szCs w:val="21"/>
        </w:rPr>
        <w:t>：</w:t>
      </w:r>
      <w:r>
        <w:rPr>
          <w:color w:val="auto"/>
          <w:spacing w:val="20"/>
          <w:szCs w:val="21"/>
          <w:u w:val="single"/>
        </w:rPr>
        <w:t xml:space="preserve">            </w:t>
      </w:r>
      <w:r>
        <w:rPr>
          <w:color w:val="auto"/>
          <w:spacing w:val="20"/>
          <w:szCs w:val="21"/>
        </w:rPr>
        <w:t xml:space="preserve">              日  期：</w:t>
      </w:r>
      <w:r>
        <w:rPr>
          <w:color w:val="auto"/>
          <w:spacing w:val="20"/>
          <w:szCs w:val="21"/>
          <w:u w:val="single"/>
        </w:rPr>
        <w:t xml:space="preserve">          </w:t>
      </w:r>
    </w:p>
    <w:p>
      <w:pPr>
        <w:pStyle w:val="6"/>
        <w:rPr>
          <w:color w:val="auto"/>
        </w:rPr>
      </w:pPr>
    </w:p>
    <w:p>
      <w:pPr>
        <w:rPr>
          <w:color w:val="auto"/>
        </w:rPr>
      </w:pPr>
      <w:r>
        <w:rPr>
          <w:rFonts w:hint="eastAsia"/>
          <w:color w:val="auto"/>
        </w:rPr>
        <w:br w:type="page"/>
      </w:r>
    </w:p>
    <w:p>
      <w:pPr>
        <w:snapToGrid w:val="0"/>
        <w:spacing w:before="50" w:after="120" w:afterLines="50"/>
        <w:jc w:val="left"/>
        <w:rPr>
          <w:color w:val="auto"/>
          <w:szCs w:val="21"/>
        </w:rPr>
      </w:pPr>
      <w:r>
        <w:rPr>
          <w:rFonts w:hint="eastAsia"/>
          <w:color w:val="auto"/>
          <w:szCs w:val="21"/>
        </w:rPr>
        <w:t>5.</w:t>
      </w:r>
      <w:r>
        <w:rPr>
          <w:color w:val="auto"/>
        </w:rPr>
        <w:t>项目背景分析、规划提纲和技术路线</w:t>
      </w:r>
      <w:r>
        <w:rPr>
          <w:rFonts w:hint="eastAsia"/>
          <w:color w:val="auto"/>
        </w:rPr>
        <w:t>（</w:t>
      </w:r>
      <w:r>
        <w:rPr>
          <w:rFonts w:hint="eastAsia" w:ascii="宋体"/>
          <w:color w:val="auto"/>
        </w:rPr>
        <w:t>针对项目</w:t>
      </w:r>
      <w:r>
        <w:rPr>
          <w:color w:val="auto"/>
        </w:rPr>
        <w:t>背景分析、规划提纲和技术路线</w:t>
      </w:r>
      <w:r>
        <w:rPr>
          <w:rFonts w:hint="eastAsia"/>
          <w:color w:val="auto"/>
        </w:rPr>
        <w:t>等）</w:t>
      </w:r>
    </w:p>
    <w:p>
      <w:pPr>
        <w:snapToGrid w:val="0"/>
        <w:spacing w:before="50" w:after="120" w:afterLines="50"/>
        <w:jc w:val="left"/>
        <w:rPr>
          <w:rFonts w:ascii="宋体"/>
          <w:color w:val="auto"/>
        </w:rPr>
      </w:pPr>
    </w:p>
    <w:p>
      <w:pPr>
        <w:snapToGrid w:val="0"/>
        <w:spacing w:before="50" w:after="120" w:afterLines="50"/>
        <w:jc w:val="left"/>
        <w:rPr>
          <w:rFonts w:ascii="宋体"/>
          <w:color w:val="auto"/>
        </w:rPr>
      </w:pPr>
      <w:r>
        <w:rPr>
          <w:rFonts w:hint="eastAsia" w:ascii="宋体"/>
          <w:color w:val="auto"/>
        </w:rPr>
        <w:t>6.项目实施方案（针对项目技术分析、工作安排、对本项目的建议等）</w:t>
      </w:r>
    </w:p>
    <w:p>
      <w:pPr>
        <w:pStyle w:val="6"/>
        <w:jc w:val="both"/>
        <w:rPr>
          <w:color w:val="auto"/>
        </w:rPr>
      </w:pPr>
    </w:p>
    <w:p>
      <w:pPr>
        <w:snapToGrid w:val="0"/>
        <w:spacing w:before="50" w:after="120" w:afterLines="50"/>
        <w:jc w:val="left"/>
        <w:rPr>
          <w:color w:val="auto"/>
          <w:szCs w:val="21"/>
        </w:rPr>
      </w:pPr>
      <w:r>
        <w:rPr>
          <w:rFonts w:hint="eastAsia" w:hAnsi="宋体"/>
          <w:bCs/>
          <w:color w:val="auto"/>
          <w:szCs w:val="21"/>
        </w:rPr>
        <w:t>7.服务质量承诺及保证措施</w:t>
      </w:r>
      <w:r>
        <w:rPr>
          <w:rFonts w:hint="eastAsia"/>
          <w:color w:val="auto"/>
          <w:szCs w:val="21"/>
        </w:rPr>
        <w:t>（针对本项目的服务质量承诺及保证措施等）</w:t>
      </w:r>
    </w:p>
    <w:p>
      <w:pPr>
        <w:snapToGrid w:val="0"/>
        <w:spacing w:before="50" w:after="120" w:afterLines="50"/>
        <w:jc w:val="left"/>
        <w:rPr>
          <w:rFonts w:ascii="宋体" w:hAnsi="宋体"/>
          <w:color w:val="auto"/>
        </w:rPr>
      </w:pPr>
    </w:p>
    <w:p>
      <w:pPr>
        <w:rPr>
          <w:color w:val="auto"/>
        </w:rPr>
      </w:pPr>
    </w:p>
    <w:p>
      <w:pPr>
        <w:rPr>
          <w:color w:val="auto"/>
          <w:spacing w:val="20"/>
          <w:szCs w:val="21"/>
        </w:rPr>
      </w:pPr>
    </w:p>
    <w:p>
      <w:pPr>
        <w:rPr>
          <w:color w:val="auto"/>
          <w:spacing w:val="20"/>
          <w:szCs w:val="21"/>
        </w:rPr>
      </w:pPr>
      <w:r>
        <w:rPr>
          <w:rFonts w:hint="eastAsia"/>
          <w:color w:val="auto"/>
          <w:spacing w:val="20"/>
          <w:szCs w:val="21"/>
        </w:rPr>
        <w:t>8.售后保障措施</w:t>
      </w:r>
    </w:p>
    <w:p>
      <w:pPr>
        <w:rPr>
          <w:color w:val="auto"/>
          <w:szCs w:val="21"/>
        </w:rPr>
      </w:pPr>
    </w:p>
    <w:p>
      <w:pPr>
        <w:snapToGrid w:val="0"/>
        <w:spacing w:before="50" w:after="120" w:afterLines="50"/>
        <w:jc w:val="left"/>
        <w:rPr>
          <w:color w:val="auto"/>
          <w:szCs w:val="21"/>
        </w:rPr>
      </w:pPr>
    </w:p>
    <w:p>
      <w:pPr>
        <w:snapToGrid w:val="0"/>
        <w:spacing w:before="50" w:after="120" w:afterLines="50"/>
        <w:jc w:val="left"/>
        <w:rPr>
          <w:color w:val="auto"/>
          <w:szCs w:val="21"/>
        </w:rPr>
      </w:pPr>
      <w:r>
        <w:rPr>
          <w:rFonts w:hint="eastAsia"/>
          <w:color w:val="auto"/>
          <w:szCs w:val="21"/>
        </w:rPr>
        <w:t>9</w:t>
      </w:r>
      <w:r>
        <w:rPr>
          <w:color w:val="auto"/>
          <w:szCs w:val="21"/>
        </w:rPr>
        <w:t>．企业管理体系认证</w:t>
      </w:r>
      <w:r>
        <w:rPr>
          <w:rFonts w:hint="eastAsia"/>
          <w:color w:val="auto"/>
          <w:szCs w:val="21"/>
        </w:rPr>
        <w:t>、</w:t>
      </w:r>
      <w:r>
        <w:rPr>
          <w:color w:val="auto"/>
          <w:szCs w:val="21"/>
        </w:rPr>
        <w:t>资质证明</w:t>
      </w:r>
      <w:r>
        <w:rPr>
          <w:rFonts w:hint="eastAsia"/>
          <w:color w:val="auto"/>
          <w:szCs w:val="21"/>
        </w:rPr>
        <w:t>、获奖情况</w:t>
      </w:r>
      <w:r>
        <w:rPr>
          <w:color w:val="auto"/>
          <w:szCs w:val="21"/>
        </w:rPr>
        <w:t>材料。</w:t>
      </w:r>
      <w:r>
        <w:rPr>
          <w:rFonts w:hint="eastAsia"/>
          <w:color w:val="auto"/>
          <w:szCs w:val="21"/>
        </w:rPr>
        <w:t>（如有，请提供）</w:t>
      </w:r>
    </w:p>
    <w:p>
      <w:pPr>
        <w:snapToGrid w:val="0"/>
        <w:spacing w:before="50" w:after="120" w:afterLines="50"/>
        <w:jc w:val="left"/>
        <w:rPr>
          <w:color w:val="auto"/>
          <w:szCs w:val="21"/>
        </w:rPr>
      </w:pPr>
    </w:p>
    <w:p>
      <w:pPr>
        <w:snapToGrid w:val="0"/>
        <w:spacing w:before="50" w:after="120" w:afterLines="50"/>
        <w:jc w:val="left"/>
        <w:rPr>
          <w:color w:val="auto"/>
          <w:szCs w:val="21"/>
        </w:rPr>
      </w:pPr>
      <w:r>
        <w:rPr>
          <w:rFonts w:hint="eastAsia"/>
          <w:color w:val="auto"/>
          <w:szCs w:val="21"/>
        </w:rPr>
        <w:t>10</w:t>
      </w:r>
      <w:r>
        <w:rPr>
          <w:color w:val="auto"/>
          <w:szCs w:val="21"/>
        </w:rPr>
        <w:t>．为本项目提供的其他优惠服务。</w:t>
      </w:r>
      <w:r>
        <w:rPr>
          <w:rFonts w:hint="eastAsia"/>
          <w:color w:val="auto"/>
          <w:szCs w:val="21"/>
        </w:rPr>
        <w:t>（如有，请提供）</w:t>
      </w:r>
    </w:p>
    <w:p>
      <w:pPr>
        <w:snapToGrid w:val="0"/>
        <w:spacing w:before="50" w:after="120" w:afterLines="50"/>
        <w:jc w:val="left"/>
        <w:rPr>
          <w:color w:val="auto"/>
          <w:szCs w:val="21"/>
        </w:rPr>
      </w:pPr>
    </w:p>
    <w:p>
      <w:pPr>
        <w:rPr>
          <w:color w:val="auto"/>
          <w:szCs w:val="21"/>
        </w:rPr>
      </w:pPr>
      <w:r>
        <w:rPr>
          <w:rFonts w:hint="eastAsia"/>
          <w:color w:val="auto"/>
          <w:szCs w:val="21"/>
        </w:rPr>
        <w:t>11</w:t>
      </w:r>
      <w:r>
        <w:rPr>
          <w:color w:val="auto"/>
          <w:szCs w:val="21"/>
        </w:rPr>
        <w:t>．供应商需要说明的其他文件和说明。</w:t>
      </w:r>
      <w:r>
        <w:rPr>
          <w:rFonts w:hint="eastAsia"/>
          <w:color w:val="auto"/>
          <w:szCs w:val="21"/>
        </w:rPr>
        <w:t>（如有，请提供）</w:t>
      </w:r>
    </w:p>
    <w:p>
      <w:pPr>
        <w:snapToGrid w:val="0"/>
        <w:spacing w:before="50" w:after="120" w:afterLines="50" w:line="440" w:lineRule="exact"/>
        <w:rPr>
          <w:color w:val="auto"/>
          <w:szCs w:val="21"/>
        </w:rPr>
      </w:pPr>
    </w:p>
    <w:p>
      <w:pPr>
        <w:snapToGrid w:val="0"/>
        <w:spacing w:before="50" w:after="120" w:afterLines="50" w:line="440" w:lineRule="exact"/>
        <w:rPr>
          <w:color w:val="auto"/>
        </w:rPr>
      </w:pPr>
      <w:r>
        <w:rPr>
          <w:color w:val="auto"/>
          <w:szCs w:val="21"/>
        </w:rPr>
        <w:t>1</w:t>
      </w:r>
      <w:r>
        <w:rPr>
          <w:rFonts w:hint="eastAsia"/>
          <w:color w:val="auto"/>
          <w:szCs w:val="21"/>
        </w:rPr>
        <w:t>2</w:t>
      </w:r>
      <w:r>
        <w:rPr>
          <w:color w:val="auto"/>
          <w:szCs w:val="21"/>
        </w:rPr>
        <w:t>．</w:t>
      </w:r>
      <w:r>
        <w:rPr>
          <w:rFonts w:hint="eastAsia"/>
          <w:color w:val="auto"/>
          <w:szCs w:val="21"/>
        </w:rPr>
        <w:t>对</w:t>
      </w:r>
      <w:r>
        <w:rPr>
          <w:color w:val="auto"/>
          <w:szCs w:val="21"/>
        </w:rPr>
        <w:t>本项目第</w:t>
      </w:r>
      <w:r>
        <w:rPr>
          <w:rFonts w:hint="eastAsia"/>
          <w:color w:val="auto"/>
          <w:szCs w:val="21"/>
        </w:rPr>
        <w:t>二</w:t>
      </w:r>
      <w:r>
        <w:rPr>
          <w:color w:val="auto"/>
          <w:szCs w:val="21"/>
        </w:rPr>
        <w:t>章</w:t>
      </w:r>
      <w:r>
        <w:rPr>
          <w:rFonts w:hint="eastAsia"/>
          <w:color w:val="auto"/>
          <w:szCs w:val="21"/>
        </w:rPr>
        <w:t>《</w:t>
      </w:r>
      <w:r>
        <w:rPr>
          <w:color w:val="auto"/>
          <w:szCs w:val="21"/>
        </w:rPr>
        <w:t>采购需求</w:t>
      </w:r>
      <w:r>
        <w:rPr>
          <w:rFonts w:hint="eastAsia"/>
          <w:color w:val="auto"/>
          <w:szCs w:val="21"/>
        </w:rPr>
        <w:t>》</w:t>
      </w:r>
      <w:r>
        <w:rPr>
          <w:color w:val="auto"/>
          <w:szCs w:val="21"/>
        </w:rPr>
        <w:t>商务要求的</w:t>
      </w:r>
      <w:r>
        <w:rPr>
          <w:rFonts w:hint="eastAsia"/>
          <w:color w:val="auto"/>
          <w:szCs w:val="21"/>
        </w:rPr>
        <w:t>响应表</w:t>
      </w:r>
      <w:r>
        <w:rPr>
          <w:color w:val="auto"/>
          <w:szCs w:val="21"/>
        </w:rPr>
        <w:t>：</w:t>
      </w:r>
    </w:p>
    <w:tbl>
      <w:tblPr>
        <w:tblStyle w:val="5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6"/>
        <w:gridCol w:w="3595"/>
        <w:gridCol w:w="3405"/>
        <w:gridCol w:w="108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8" w:hRule="atLeast"/>
          <w:jc w:val="center"/>
        </w:trPr>
        <w:tc>
          <w:tcPr>
            <w:tcW w:w="74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color w:val="auto"/>
                <w:szCs w:val="21"/>
              </w:rPr>
            </w:pPr>
            <w:r>
              <w:rPr>
                <w:color w:val="auto"/>
                <w:szCs w:val="21"/>
              </w:rPr>
              <w:t>序号</w:t>
            </w:r>
          </w:p>
        </w:tc>
        <w:tc>
          <w:tcPr>
            <w:tcW w:w="3595"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color w:val="auto"/>
                <w:szCs w:val="21"/>
              </w:rPr>
            </w:pPr>
            <w:r>
              <w:rPr>
                <w:color w:val="auto"/>
                <w:szCs w:val="21"/>
              </w:rPr>
              <w:t>采购文件要求（注明章节及条款号）</w:t>
            </w:r>
          </w:p>
        </w:tc>
        <w:tc>
          <w:tcPr>
            <w:tcW w:w="3405"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color w:val="auto"/>
                <w:szCs w:val="21"/>
              </w:rPr>
            </w:pPr>
            <w:r>
              <w:rPr>
                <w:color w:val="auto"/>
                <w:szCs w:val="21"/>
              </w:rPr>
              <w:t>响应文件响应内容（</w:t>
            </w:r>
            <w:r>
              <w:rPr>
                <w:rFonts w:hint="eastAsia"/>
                <w:color w:val="auto"/>
                <w:szCs w:val="21"/>
              </w:rPr>
              <w:t>可</w:t>
            </w:r>
            <w:r>
              <w:rPr>
                <w:color w:val="auto"/>
                <w:szCs w:val="21"/>
              </w:rPr>
              <w:t>注明所在页码）</w:t>
            </w:r>
          </w:p>
        </w:tc>
        <w:tc>
          <w:tcPr>
            <w:tcW w:w="1082"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color w:val="auto"/>
                <w:szCs w:val="21"/>
              </w:rPr>
            </w:pPr>
            <w:r>
              <w:rPr>
                <w:color w:val="auto"/>
              </w:rPr>
              <w:t>偏离</w:t>
            </w:r>
            <w:r>
              <w:rPr>
                <w:color w:val="auto"/>
                <w:szCs w:val="21"/>
              </w:rPr>
              <w:t>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color w:val="auto"/>
                <w:szCs w:val="21"/>
              </w:rPr>
            </w:pPr>
          </w:p>
        </w:tc>
        <w:tc>
          <w:tcPr>
            <w:tcW w:w="3595"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color w:val="auto"/>
                <w:szCs w:val="21"/>
              </w:rPr>
            </w:pPr>
          </w:p>
        </w:tc>
        <w:tc>
          <w:tcPr>
            <w:tcW w:w="3405"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color w:val="auto"/>
                <w:szCs w:val="21"/>
              </w:rPr>
            </w:pPr>
          </w:p>
        </w:tc>
        <w:tc>
          <w:tcPr>
            <w:tcW w:w="1082"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color w:val="auto"/>
                <w:szCs w:val="21"/>
              </w:rPr>
            </w:pPr>
            <w:r>
              <w:rPr>
                <w:color w:val="auto"/>
                <w:szCs w:val="21"/>
              </w:rPr>
              <w:t>……</w:t>
            </w:r>
          </w:p>
        </w:tc>
        <w:tc>
          <w:tcPr>
            <w:tcW w:w="3595"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color w:val="auto"/>
                <w:szCs w:val="21"/>
              </w:rPr>
            </w:pPr>
          </w:p>
        </w:tc>
        <w:tc>
          <w:tcPr>
            <w:tcW w:w="3405"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color w:val="auto"/>
                <w:szCs w:val="21"/>
              </w:rPr>
            </w:pPr>
          </w:p>
        </w:tc>
        <w:tc>
          <w:tcPr>
            <w:tcW w:w="1082"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color w:val="auto"/>
                <w:szCs w:val="21"/>
              </w:rPr>
            </w:pPr>
          </w:p>
        </w:tc>
      </w:tr>
    </w:tbl>
    <w:p>
      <w:pPr>
        <w:pStyle w:val="28"/>
        <w:tabs>
          <w:tab w:val="left" w:pos="2127"/>
        </w:tabs>
        <w:spacing w:line="340" w:lineRule="exact"/>
        <w:ind w:firstLine="420" w:firstLineChars="200"/>
        <w:jc w:val="left"/>
        <w:rPr>
          <w:rFonts w:ascii="Times New Roman" w:hAnsi="Times New Roman" w:cs="Times New Roman"/>
          <w:color w:val="auto"/>
        </w:rPr>
      </w:pPr>
      <w:bookmarkStart w:id="99" w:name="_Hlk48144603"/>
      <w:r>
        <w:rPr>
          <w:rFonts w:ascii="Times New Roman" w:hAnsi="Times New Roman" w:cs="Times New Roman"/>
          <w:color w:val="auto"/>
        </w:rPr>
        <w:t>注：</w:t>
      </w:r>
      <w:bookmarkStart w:id="100" w:name="_Hlk19049081"/>
      <w:r>
        <w:rPr>
          <w:rFonts w:ascii="Times New Roman" w:hAnsi="Times New Roman" w:cs="Times New Roman"/>
          <w:color w:val="auto"/>
        </w:rPr>
        <w:t>（1）本表应对采购文件</w:t>
      </w:r>
      <w:r>
        <w:rPr>
          <w:color w:val="auto"/>
        </w:rPr>
        <w:t>第</w:t>
      </w:r>
      <w:r>
        <w:rPr>
          <w:rFonts w:hint="eastAsia"/>
          <w:color w:val="auto"/>
        </w:rPr>
        <w:t>二</w:t>
      </w:r>
      <w:r>
        <w:rPr>
          <w:color w:val="auto"/>
        </w:rPr>
        <w:t>章</w:t>
      </w:r>
      <w:r>
        <w:rPr>
          <w:rFonts w:hint="eastAsia"/>
          <w:color w:val="auto"/>
        </w:rPr>
        <w:t>《采购需求》</w:t>
      </w:r>
      <w:r>
        <w:rPr>
          <w:rFonts w:ascii="Times New Roman" w:hAnsi="Times New Roman" w:cs="Times New Roman"/>
          <w:color w:val="auto"/>
        </w:rPr>
        <w:t>中所列商务要求进行响应，并根据响应情况在“偏离说明”栏填写正偏离或负偏离及原因，完全符合的填写</w:t>
      </w:r>
      <w:r>
        <w:rPr>
          <w:rFonts w:hint="eastAsia" w:ascii="Times New Roman" w:hAnsi="Times New Roman" w:cs="Times New Roman"/>
          <w:color w:val="auto"/>
        </w:rPr>
        <w:t>“</w:t>
      </w:r>
      <w:r>
        <w:rPr>
          <w:rFonts w:ascii="Times New Roman" w:hAnsi="Times New Roman" w:cs="Times New Roman"/>
          <w:color w:val="auto"/>
        </w:rPr>
        <w:t>无偏离</w:t>
      </w:r>
      <w:r>
        <w:rPr>
          <w:rFonts w:hint="eastAsia" w:ascii="Times New Roman" w:hAnsi="Times New Roman" w:cs="Times New Roman"/>
          <w:color w:val="auto"/>
        </w:rPr>
        <w:t>”</w:t>
      </w:r>
      <w:r>
        <w:rPr>
          <w:rFonts w:ascii="Times New Roman" w:hAnsi="Times New Roman" w:cs="Times New Roman"/>
          <w:color w:val="auto"/>
        </w:rPr>
        <w:t>。</w:t>
      </w:r>
    </w:p>
    <w:p>
      <w:pPr>
        <w:pStyle w:val="28"/>
        <w:tabs>
          <w:tab w:val="left" w:pos="2127"/>
        </w:tabs>
        <w:spacing w:line="340" w:lineRule="exact"/>
        <w:ind w:firstLine="420" w:firstLineChars="200"/>
        <w:jc w:val="left"/>
        <w:rPr>
          <w:rFonts w:ascii="Times New Roman" w:hAnsi="Times New Roman" w:cs="Times New Roman"/>
          <w:color w:val="auto"/>
        </w:rPr>
      </w:pPr>
      <w:r>
        <w:rPr>
          <w:rFonts w:hint="eastAsia" w:ascii="Times New Roman" w:hAnsi="Times New Roman" w:cs="Times New Roman"/>
          <w:color w:val="auto"/>
        </w:rPr>
        <w:t>（2）</w:t>
      </w:r>
      <w:r>
        <w:rPr>
          <w:color w:val="auto"/>
        </w:rPr>
        <w:t>第</w:t>
      </w:r>
      <w:r>
        <w:rPr>
          <w:rFonts w:hint="eastAsia"/>
          <w:color w:val="auto"/>
        </w:rPr>
        <w:t>二</w:t>
      </w:r>
      <w:r>
        <w:rPr>
          <w:color w:val="auto"/>
        </w:rPr>
        <w:t>章</w:t>
      </w:r>
      <w:r>
        <w:rPr>
          <w:rFonts w:hint="eastAsia"/>
          <w:color w:val="auto"/>
        </w:rPr>
        <w:t>《采购需求》</w:t>
      </w:r>
      <w:r>
        <w:rPr>
          <w:rFonts w:hint="eastAsia" w:ascii="Times New Roman" w:hAnsi="Times New Roman" w:cs="Times New Roman"/>
          <w:color w:val="auto"/>
        </w:rPr>
        <w:t>中的总体要求无需响应。</w:t>
      </w:r>
    </w:p>
    <w:p>
      <w:pPr>
        <w:ind w:firstLine="420" w:firstLineChars="200"/>
        <w:rPr>
          <w:color w:val="auto"/>
        </w:rPr>
      </w:pPr>
      <w:r>
        <w:rPr>
          <w:rFonts w:hint="eastAsia"/>
          <w:color w:val="auto"/>
        </w:rPr>
        <w:t>（</w:t>
      </w:r>
      <w:r>
        <w:rPr>
          <w:color w:val="auto"/>
        </w:rPr>
        <w:t>3</w:t>
      </w:r>
      <w:r>
        <w:rPr>
          <w:rFonts w:hint="eastAsia"/>
          <w:color w:val="auto"/>
        </w:rPr>
        <w:t>）偏离认定说明详见评审方法及标准。</w:t>
      </w:r>
    </w:p>
    <w:bookmarkEnd w:id="100"/>
    <w:p>
      <w:pPr>
        <w:pStyle w:val="28"/>
        <w:tabs>
          <w:tab w:val="left" w:pos="2127"/>
        </w:tabs>
        <w:spacing w:line="340" w:lineRule="exact"/>
        <w:ind w:firstLine="420" w:firstLineChars="200"/>
        <w:jc w:val="left"/>
        <w:rPr>
          <w:rFonts w:ascii="Times New Roman" w:hAnsi="Times New Roman" w:cs="Times New Roman"/>
          <w:color w:val="auto"/>
        </w:rPr>
      </w:pPr>
      <w:r>
        <w:rPr>
          <w:rFonts w:ascii="Times New Roman" w:hAnsi="Times New Roman" w:cs="Times New Roman"/>
          <w:color w:val="auto"/>
        </w:rPr>
        <w:t>（4）本表可扩展。</w:t>
      </w:r>
    </w:p>
    <w:bookmarkEnd w:id="99"/>
    <w:p>
      <w:pPr>
        <w:snapToGrid w:val="0"/>
        <w:spacing w:before="50" w:after="120" w:afterLines="50" w:line="440" w:lineRule="exact"/>
        <w:jc w:val="left"/>
        <w:rPr>
          <w:color w:val="auto"/>
          <w:spacing w:val="20"/>
          <w:szCs w:val="21"/>
          <w:u w:val="single"/>
        </w:rPr>
      </w:pPr>
      <w:r>
        <w:rPr>
          <w:color w:val="auto"/>
          <w:szCs w:val="21"/>
        </w:rPr>
        <w:t>供应商</w:t>
      </w:r>
      <w:r>
        <w:rPr>
          <w:rFonts w:hint="eastAsia"/>
          <w:color w:val="auto"/>
          <w:szCs w:val="21"/>
        </w:rPr>
        <w:t>名称(电子签章</w:t>
      </w:r>
      <w:r>
        <w:rPr>
          <w:color w:val="auto"/>
          <w:szCs w:val="21"/>
        </w:rPr>
        <w:t>)</w:t>
      </w:r>
      <w:r>
        <w:rPr>
          <w:color w:val="auto"/>
          <w:spacing w:val="20"/>
          <w:szCs w:val="21"/>
        </w:rPr>
        <w:t>：</w:t>
      </w:r>
      <w:r>
        <w:rPr>
          <w:color w:val="auto"/>
          <w:spacing w:val="20"/>
          <w:szCs w:val="21"/>
          <w:u w:val="single"/>
        </w:rPr>
        <w:t xml:space="preserve">            </w:t>
      </w:r>
      <w:r>
        <w:rPr>
          <w:color w:val="auto"/>
          <w:spacing w:val="20"/>
          <w:szCs w:val="21"/>
        </w:rPr>
        <w:t xml:space="preserve">             日  期：</w:t>
      </w:r>
      <w:r>
        <w:rPr>
          <w:color w:val="auto"/>
          <w:spacing w:val="20"/>
          <w:szCs w:val="21"/>
          <w:u w:val="single"/>
        </w:rPr>
        <w:t xml:space="preserve">        </w:t>
      </w:r>
    </w:p>
    <w:p>
      <w:pPr>
        <w:snapToGrid w:val="0"/>
        <w:spacing w:before="50" w:after="120" w:afterLines="50" w:line="440" w:lineRule="exact"/>
        <w:jc w:val="left"/>
        <w:rPr>
          <w:color w:val="auto"/>
          <w:spacing w:val="20"/>
          <w:szCs w:val="21"/>
          <w:u w:val="single"/>
        </w:rPr>
      </w:pPr>
    </w:p>
    <w:p>
      <w:pPr>
        <w:pStyle w:val="28"/>
        <w:tabs>
          <w:tab w:val="left" w:pos="2127"/>
        </w:tabs>
        <w:spacing w:line="340" w:lineRule="exact"/>
        <w:ind w:firstLine="420" w:firstLineChars="200"/>
        <w:jc w:val="left"/>
        <w:rPr>
          <w:rFonts w:ascii="Times New Roman" w:hAnsi="Times New Roman" w:cs="Times New Roman"/>
          <w:color w:val="auto"/>
        </w:rPr>
      </w:pPr>
    </w:p>
    <w:p>
      <w:pPr>
        <w:rPr>
          <w:color w:val="auto"/>
        </w:rPr>
      </w:pPr>
      <w:r>
        <w:rPr>
          <w:rFonts w:hint="eastAsia"/>
          <w:color w:val="auto"/>
        </w:rPr>
        <w:br w:type="page"/>
      </w:r>
    </w:p>
    <w:p>
      <w:pPr>
        <w:rPr>
          <w:color w:val="auto"/>
        </w:rPr>
      </w:pPr>
    </w:p>
    <w:p>
      <w:pPr>
        <w:snapToGrid w:val="0"/>
        <w:spacing w:before="50" w:after="120" w:afterLines="50"/>
        <w:jc w:val="left"/>
        <w:rPr>
          <w:b/>
          <w:color w:val="auto"/>
          <w:szCs w:val="21"/>
        </w:rPr>
      </w:pPr>
      <w:r>
        <w:rPr>
          <w:color w:val="auto"/>
          <w:szCs w:val="21"/>
        </w:rPr>
        <w:t>1</w:t>
      </w:r>
      <w:r>
        <w:rPr>
          <w:rFonts w:hint="eastAsia"/>
          <w:color w:val="auto"/>
          <w:szCs w:val="21"/>
        </w:rPr>
        <w:t>3</w:t>
      </w:r>
      <w:r>
        <w:rPr>
          <w:color w:val="auto"/>
          <w:szCs w:val="21"/>
        </w:rPr>
        <w:t>．近年供应商类似成功案例的业绩证明</w:t>
      </w:r>
    </w:p>
    <w:p>
      <w:pPr>
        <w:snapToGrid w:val="0"/>
        <w:spacing w:before="50" w:after="120" w:afterLines="50"/>
        <w:jc w:val="center"/>
        <w:rPr>
          <w:color w:val="auto"/>
          <w:szCs w:val="21"/>
        </w:rPr>
      </w:pPr>
      <w:r>
        <w:rPr>
          <w:b/>
          <w:color w:val="auto"/>
          <w:szCs w:val="21"/>
        </w:rPr>
        <w:t>类似成功案例业绩一览表</w:t>
      </w:r>
    </w:p>
    <w:tbl>
      <w:tblPr>
        <w:tblStyle w:val="52"/>
        <w:tblW w:w="931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66"/>
        <w:gridCol w:w="1513"/>
        <w:gridCol w:w="1916"/>
        <w:gridCol w:w="1488"/>
        <w:gridCol w:w="1315"/>
        <w:gridCol w:w="121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94" w:hRule="atLeast"/>
        </w:trPr>
        <w:tc>
          <w:tcPr>
            <w:tcW w:w="1866"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color w:val="auto"/>
                <w:szCs w:val="21"/>
              </w:rPr>
            </w:pPr>
            <w:r>
              <w:rPr>
                <w:color w:val="auto"/>
                <w:szCs w:val="21"/>
              </w:rPr>
              <w:t>采购单位名称</w:t>
            </w:r>
          </w:p>
        </w:tc>
        <w:tc>
          <w:tcPr>
            <w:tcW w:w="1513"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color w:val="auto"/>
                <w:szCs w:val="21"/>
              </w:rPr>
            </w:pPr>
            <w:r>
              <w:rPr>
                <w:color w:val="auto"/>
                <w:szCs w:val="21"/>
              </w:rPr>
              <w:t>项目名称或服务内容</w:t>
            </w:r>
          </w:p>
        </w:tc>
        <w:tc>
          <w:tcPr>
            <w:tcW w:w="1916"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color w:val="auto"/>
                <w:szCs w:val="21"/>
              </w:rPr>
            </w:pPr>
            <w:r>
              <w:rPr>
                <w:color w:val="auto"/>
                <w:szCs w:val="21"/>
              </w:rPr>
              <w:t>服务</w:t>
            </w:r>
          </w:p>
          <w:p>
            <w:pPr>
              <w:snapToGrid w:val="0"/>
              <w:spacing w:line="240" w:lineRule="exact"/>
              <w:jc w:val="center"/>
              <w:rPr>
                <w:color w:val="auto"/>
                <w:szCs w:val="21"/>
              </w:rPr>
            </w:pPr>
            <w:r>
              <w:rPr>
                <w:color w:val="auto"/>
                <w:szCs w:val="21"/>
              </w:rPr>
              <w:t>数量或年限</w:t>
            </w:r>
          </w:p>
        </w:tc>
        <w:tc>
          <w:tcPr>
            <w:tcW w:w="1488"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color w:val="auto"/>
                <w:szCs w:val="21"/>
              </w:rPr>
            </w:pPr>
            <w:r>
              <w:rPr>
                <w:color w:val="auto"/>
                <w:szCs w:val="21"/>
              </w:rPr>
              <w:t>单价</w:t>
            </w:r>
            <w:r>
              <w:rPr>
                <w:rFonts w:hint="eastAsia"/>
                <w:color w:val="auto"/>
                <w:szCs w:val="21"/>
              </w:rPr>
              <w:t>（元）</w:t>
            </w:r>
          </w:p>
        </w:tc>
        <w:tc>
          <w:tcPr>
            <w:tcW w:w="1315"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color w:val="auto"/>
                <w:szCs w:val="21"/>
              </w:rPr>
            </w:pPr>
            <w:r>
              <w:rPr>
                <w:color w:val="auto"/>
                <w:szCs w:val="21"/>
              </w:rPr>
              <w:t>合同</w:t>
            </w:r>
            <w:r>
              <w:rPr>
                <w:rFonts w:hint="eastAsia"/>
                <w:color w:val="auto"/>
                <w:szCs w:val="21"/>
              </w:rPr>
              <w:t>总价</w:t>
            </w:r>
          </w:p>
          <w:p>
            <w:pPr>
              <w:snapToGrid w:val="0"/>
              <w:spacing w:line="240" w:lineRule="exact"/>
              <w:jc w:val="center"/>
              <w:rPr>
                <w:color w:val="auto"/>
                <w:szCs w:val="21"/>
              </w:rPr>
            </w:pPr>
            <w:r>
              <w:rPr>
                <w:color w:val="auto"/>
                <w:szCs w:val="21"/>
              </w:rPr>
              <w:t>（元）</w:t>
            </w:r>
          </w:p>
        </w:tc>
        <w:tc>
          <w:tcPr>
            <w:tcW w:w="1212" w:type="dxa"/>
            <w:vMerge w:val="restart"/>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color w:val="auto"/>
                <w:szCs w:val="21"/>
              </w:rPr>
              <w:t>采购单位联系人及联系电话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43" w:hRule="atLeast"/>
        </w:trPr>
        <w:tc>
          <w:tcPr>
            <w:tcW w:w="186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Cs w:val="21"/>
              </w:rPr>
            </w:pPr>
          </w:p>
        </w:tc>
        <w:tc>
          <w:tcPr>
            <w:tcW w:w="151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Cs w:val="21"/>
              </w:rPr>
            </w:pPr>
          </w:p>
        </w:tc>
        <w:tc>
          <w:tcPr>
            <w:tcW w:w="19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Cs w:val="21"/>
              </w:rPr>
            </w:pPr>
          </w:p>
        </w:tc>
        <w:tc>
          <w:tcPr>
            <w:tcW w:w="14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Cs w:val="21"/>
              </w:rPr>
            </w:pPr>
          </w:p>
        </w:tc>
        <w:tc>
          <w:tcPr>
            <w:tcW w:w="13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Cs w:val="21"/>
              </w:rPr>
            </w:pPr>
          </w:p>
        </w:tc>
        <w:tc>
          <w:tcPr>
            <w:tcW w:w="12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48" w:hRule="atLeast"/>
        </w:trPr>
        <w:tc>
          <w:tcPr>
            <w:tcW w:w="1866"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color w:val="auto"/>
                <w:szCs w:val="21"/>
              </w:rPr>
            </w:pPr>
          </w:p>
        </w:tc>
        <w:tc>
          <w:tcPr>
            <w:tcW w:w="1513"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color w:val="auto"/>
                <w:szCs w:val="21"/>
              </w:rPr>
            </w:pPr>
          </w:p>
        </w:tc>
        <w:tc>
          <w:tcPr>
            <w:tcW w:w="1916"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color w:val="auto"/>
                <w:szCs w:val="21"/>
              </w:rPr>
            </w:pPr>
          </w:p>
        </w:tc>
        <w:tc>
          <w:tcPr>
            <w:tcW w:w="1488"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color w:val="auto"/>
                <w:szCs w:val="21"/>
              </w:rPr>
            </w:pPr>
          </w:p>
        </w:tc>
        <w:tc>
          <w:tcPr>
            <w:tcW w:w="1315"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color w:val="auto"/>
                <w:szCs w:val="21"/>
              </w:rPr>
            </w:pPr>
          </w:p>
        </w:tc>
        <w:tc>
          <w:tcPr>
            <w:tcW w:w="1212"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3" w:hRule="atLeast"/>
        </w:trPr>
        <w:tc>
          <w:tcPr>
            <w:tcW w:w="1866"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color w:val="auto"/>
                <w:szCs w:val="21"/>
              </w:rPr>
            </w:pPr>
          </w:p>
        </w:tc>
        <w:tc>
          <w:tcPr>
            <w:tcW w:w="1513"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color w:val="auto"/>
                <w:szCs w:val="21"/>
              </w:rPr>
            </w:pPr>
          </w:p>
        </w:tc>
        <w:tc>
          <w:tcPr>
            <w:tcW w:w="1916"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color w:val="auto"/>
                <w:szCs w:val="21"/>
              </w:rPr>
            </w:pPr>
          </w:p>
        </w:tc>
        <w:tc>
          <w:tcPr>
            <w:tcW w:w="148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color w:val="auto"/>
                <w:szCs w:val="21"/>
              </w:rPr>
            </w:pPr>
          </w:p>
        </w:tc>
        <w:tc>
          <w:tcPr>
            <w:tcW w:w="1315"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color w:val="auto"/>
                <w:szCs w:val="21"/>
              </w:rPr>
            </w:pPr>
          </w:p>
        </w:tc>
        <w:tc>
          <w:tcPr>
            <w:tcW w:w="1212"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45" w:hRule="atLeast"/>
        </w:trPr>
        <w:tc>
          <w:tcPr>
            <w:tcW w:w="1866"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color w:val="auto"/>
                <w:szCs w:val="21"/>
              </w:rPr>
            </w:pPr>
          </w:p>
        </w:tc>
        <w:tc>
          <w:tcPr>
            <w:tcW w:w="1513"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color w:val="auto"/>
                <w:szCs w:val="21"/>
              </w:rPr>
            </w:pPr>
          </w:p>
        </w:tc>
        <w:tc>
          <w:tcPr>
            <w:tcW w:w="1916"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color w:val="auto"/>
                <w:szCs w:val="21"/>
              </w:rPr>
            </w:pPr>
          </w:p>
        </w:tc>
        <w:tc>
          <w:tcPr>
            <w:tcW w:w="148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color w:val="auto"/>
                <w:szCs w:val="21"/>
              </w:rPr>
            </w:pPr>
          </w:p>
        </w:tc>
        <w:tc>
          <w:tcPr>
            <w:tcW w:w="1315"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color w:val="auto"/>
                <w:szCs w:val="21"/>
              </w:rPr>
            </w:pPr>
          </w:p>
        </w:tc>
        <w:tc>
          <w:tcPr>
            <w:tcW w:w="1212"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3" w:hRule="atLeast"/>
        </w:trPr>
        <w:tc>
          <w:tcPr>
            <w:tcW w:w="1866"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color w:val="auto"/>
                <w:szCs w:val="21"/>
              </w:rPr>
            </w:pPr>
          </w:p>
        </w:tc>
        <w:tc>
          <w:tcPr>
            <w:tcW w:w="1513"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color w:val="auto"/>
                <w:szCs w:val="21"/>
              </w:rPr>
            </w:pPr>
          </w:p>
        </w:tc>
        <w:tc>
          <w:tcPr>
            <w:tcW w:w="1916"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color w:val="auto"/>
                <w:szCs w:val="21"/>
              </w:rPr>
            </w:pPr>
          </w:p>
        </w:tc>
        <w:tc>
          <w:tcPr>
            <w:tcW w:w="148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color w:val="auto"/>
                <w:szCs w:val="21"/>
              </w:rPr>
            </w:pPr>
          </w:p>
        </w:tc>
        <w:tc>
          <w:tcPr>
            <w:tcW w:w="1315"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color w:val="auto"/>
                <w:szCs w:val="21"/>
              </w:rPr>
            </w:pPr>
          </w:p>
        </w:tc>
        <w:tc>
          <w:tcPr>
            <w:tcW w:w="1212"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7" w:hRule="atLeast"/>
        </w:trPr>
        <w:tc>
          <w:tcPr>
            <w:tcW w:w="1866"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color w:val="auto"/>
                <w:szCs w:val="21"/>
              </w:rPr>
            </w:pPr>
          </w:p>
        </w:tc>
        <w:tc>
          <w:tcPr>
            <w:tcW w:w="1513"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color w:val="auto"/>
                <w:szCs w:val="21"/>
              </w:rPr>
            </w:pPr>
          </w:p>
        </w:tc>
        <w:tc>
          <w:tcPr>
            <w:tcW w:w="1916"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color w:val="auto"/>
                <w:szCs w:val="21"/>
              </w:rPr>
            </w:pPr>
          </w:p>
        </w:tc>
        <w:tc>
          <w:tcPr>
            <w:tcW w:w="148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color w:val="auto"/>
                <w:szCs w:val="21"/>
              </w:rPr>
            </w:pPr>
          </w:p>
        </w:tc>
        <w:tc>
          <w:tcPr>
            <w:tcW w:w="1315"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color w:val="auto"/>
                <w:szCs w:val="21"/>
              </w:rPr>
            </w:pPr>
          </w:p>
        </w:tc>
        <w:tc>
          <w:tcPr>
            <w:tcW w:w="1212"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color w:val="auto"/>
                <w:szCs w:val="21"/>
              </w:rPr>
            </w:pPr>
          </w:p>
        </w:tc>
      </w:tr>
    </w:tbl>
    <w:p>
      <w:pPr>
        <w:pStyle w:val="16"/>
        <w:snapToGrid w:val="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注：</w:t>
      </w:r>
    </w:p>
    <w:p>
      <w:pPr>
        <w:pStyle w:val="16"/>
        <w:snapToGrid w:val="0"/>
        <w:rPr>
          <w:rFonts w:ascii="Times New Roman" w:hAnsi="Times New Roman" w:eastAsia="宋体" w:cs="Times New Roman"/>
          <w:color w:val="auto"/>
          <w:sz w:val="21"/>
          <w:szCs w:val="21"/>
        </w:rPr>
      </w:pPr>
      <w:r>
        <w:rPr>
          <w:rFonts w:ascii="Times New Roman" w:hAnsi="Times New Roman" w:eastAsia="宋体" w:cs="Times New Roman"/>
          <w:color w:val="auto"/>
          <w:szCs w:val="21"/>
        </w:rPr>
        <w:t>（1）</w:t>
      </w:r>
      <w:r>
        <w:rPr>
          <w:rFonts w:ascii="Times New Roman" w:hAnsi="Times New Roman" w:eastAsia="宋体" w:cs="Times New Roman"/>
          <w:color w:val="auto"/>
          <w:sz w:val="21"/>
          <w:szCs w:val="21"/>
        </w:rPr>
        <w:t>未附</w:t>
      </w:r>
      <w:r>
        <w:rPr>
          <w:rFonts w:hint="eastAsia" w:ascii="Times New Roman" w:hAnsi="Times New Roman" w:eastAsia="宋体" w:cs="Times New Roman"/>
          <w:color w:val="auto"/>
          <w:sz w:val="21"/>
          <w:szCs w:val="21"/>
        </w:rPr>
        <w:t>证明材料</w:t>
      </w:r>
      <w:r>
        <w:rPr>
          <w:rFonts w:ascii="Times New Roman" w:hAnsi="Times New Roman" w:eastAsia="宋体" w:cs="Times New Roman"/>
          <w:color w:val="auto"/>
          <w:sz w:val="21"/>
          <w:szCs w:val="21"/>
        </w:rPr>
        <w:t>的业绩无效</w:t>
      </w:r>
      <w:r>
        <w:rPr>
          <w:rFonts w:hint="eastAsia" w:ascii="Times New Roman" w:hAnsi="Times New Roman" w:eastAsia="宋体" w:cs="Times New Roman"/>
          <w:color w:val="auto"/>
          <w:sz w:val="21"/>
          <w:szCs w:val="21"/>
        </w:rPr>
        <w:t>，证明材料</w:t>
      </w:r>
      <w:r>
        <w:rPr>
          <w:rFonts w:ascii="Times New Roman" w:hAnsi="Times New Roman" w:eastAsia="宋体" w:cs="Times New Roman"/>
          <w:color w:val="auto"/>
          <w:sz w:val="21"/>
          <w:szCs w:val="21"/>
        </w:rPr>
        <w:t>见第四章《评审方法及标准》规定</w:t>
      </w:r>
      <w:r>
        <w:rPr>
          <w:rFonts w:hint="eastAsia" w:ascii="Times New Roman" w:hAnsi="Times New Roman" w:eastAsia="宋体" w:cs="Times New Roman"/>
          <w:color w:val="auto"/>
          <w:sz w:val="21"/>
          <w:szCs w:val="21"/>
        </w:rPr>
        <w:t>。</w:t>
      </w:r>
    </w:p>
    <w:p>
      <w:pPr>
        <w:pStyle w:val="16"/>
        <w:snapToGrid w:val="0"/>
        <w:rPr>
          <w:rFonts w:ascii="Times New Roman" w:hAnsi="Times New Roman" w:eastAsia="宋体" w:cs="Times New Roman"/>
          <w:color w:val="auto"/>
          <w:sz w:val="21"/>
          <w:szCs w:val="21"/>
        </w:rPr>
      </w:pPr>
      <w:r>
        <w:rPr>
          <w:rFonts w:ascii="Times New Roman" w:hAnsi="Times New Roman" w:eastAsia="宋体" w:cs="Times New Roman"/>
          <w:color w:val="auto"/>
          <w:szCs w:val="21"/>
        </w:rPr>
        <w:t>（2）</w:t>
      </w:r>
      <w:r>
        <w:rPr>
          <w:rFonts w:ascii="Times New Roman" w:hAnsi="Times New Roman" w:eastAsia="宋体" w:cs="Times New Roman"/>
          <w:color w:val="auto"/>
          <w:sz w:val="21"/>
          <w:szCs w:val="21"/>
        </w:rPr>
        <w:t>类似项目的定义见第四章《评审方法及标准》规定。</w:t>
      </w:r>
    </w:p>
    <w:p>
      <w:pPr>
        <w:rPr>
          <w:color w:val="auto"/>
        </w:rPr>
      </w:pPr>
      <w:r>
        <w:rPr>
          <w:color w:val="auto"/>
          <w:szCs w:val="21"/>
        </w:rPr>
        <w:t>（3）</w:t>
      </w:r>
      <w:r>
        <w:rPr>
          <w:color w:val="auto"/>
        </w:rPr>
        <w:t>本表可拓展</w:t>
      </w:r>
    </w:p>
    <w:p>
      <w:pPr>
        <w:snapToGrid w:val="0"/>
        <w:spacing w:before="50"/>
        <w:jc w:val="left"/>
        <w:rPr>
          <w:color w:val="auto"/>
          <w:szCs w:val="21"/>
        </w:rPr>
      </w:pPr>
    </w:p>
    <w:p>
      <w:pPr>
        <w:snapToGrid w:val="0"/>
        <w:spacing w:before="50"/>
        <w:jc w:val="left"/>
        <w:rPr>
          <w:color w:val="auto"/>
          <w:szCs w:val="21"/>
        </w:rPr>
        <w:sectPr>
          <w:headerReference r:id="rId17" w:type="default"/>
          <w:footerReference r:id="rId18" w:type="default"/>
          <w:pgSz w:w="11906" w:h="16838"/>
          <w:pgMar w:top="1418" w:right="1418" w:bottom="1418" w:left="1274" w:header="851" w:footer="992" w:gutter="0"/>
          <w:cols w:space="720" w:num="1"/>
          <w:docGrid w:linePitch="312" w:charSpace="0"/>
        </w:sectPr>
      </w:pPr>
      <w:r>
        <w:rPr>
          <w:color w:val="auto"/>
          <w:szCs w:val="21"/>
        </w:rPr>
        <w:t>供应商</w:t>
      </w:r>
      <w:r>
        <w:rPr>
          <w:rFonts w:hint="eastAsia"/>
          <w:color w:val="auto"/>
          <w:szCs w:val="21"/>
        </w:rPr>
        <w:t>名称(电子签章</w:t>
      </w:r>
      <w:r>
        <w:rPr>
          <w:color w:val="auto"/>
          <w:szCs w:val="21"/>
        </w:rPr>
        <w:t>)：</w:t>
      </w:r>
      <w:r>
        <w:rPr>
          <w:color w:val="auto"/>
          <w:szCs w:val="21"/>
          <w:u w:val="single"/>
        </w:rPr>
        <w:t xml:space="preserve">              </w:t>
      </w:r>
      <w:r>
        <w:rPr>
          <w:color w:val="auto"/>
          <w:szCs w:val="21"/>
        </w:rPr>
        <w:t xml:space="preserve">                                          年    月   </w:t>
      </w:r>
    </w:p>
    <w:p>
      <w:pPr>
        <w:snapToGrid w:val="0"/>
        <w:spacing w:before="50" w:after="120" w:afterLines="50"/>
        <w:jc w:val="left"/>
        <w:rPr>
          <w:color w:val="auto"/>
          <w:szCs w:val="21"/>
        </w:rPr>
      </w:pPr>
      <w:bookmarkStart w:id="101" w:name="_Hlk93046716"/>
      <w:bookmarkStart w:id="102" w:name="_Hlk19110561"/>
      <w:r>
        <w:rPr>
          <w:color w:val="auto"/>
          <w:szCs w:val="21"/>
        </w:rPr>
        <w:t>1</w:t>
      </w:r>
      <w:r>
        <w:rPr>
          <w:rFonts w:hint="eastAsia"/>
          <w:color w:val="auto"/>
          <w:szCs w:val="21"/>
        </w:rPr>
        <w:t>4</w:t>
      </w:r>
      <w:r>
        <w:rPr>
          <w:color w:val="auto"/>
          <w:szCs w:val="21"/>
        </w:rPr>
        <w:t>.</w:t>
      </w:r>
      <w:r>
        <w:rPr>
          <w:rFonts w:hint="eastAsia"/>
          <w:color w:val="auto"/>
        </w:rPr>
        <w:t xml:space="preserve"> </w:t>
      </w:r>
      <w:r>
        <w:rPr>
          <w:rFonts w:hint="eastAsia"/>
          <w:color w:val="auto"/>
          <w:szCs w:val="21"/>
        </w:rPr>
        <w:t>无串标行为承诺函</w:t>
      </w:r>
    </w:p>
    <w:p>
      <w:pPr>
        <w:snapToGrid w:val="0"/>
        <w:spacing w:before="50" w:after="120" w:afterLines="50"/>
        <w:jc w:val="center"/>
        <w:rPr>
          <w:color w:val="auto"/>
          <w:szCs w:val="21"/>
        </w:rPr>
      </w:pPr>
    </w:p>
    <w:p>
      <w:pPr>
        <w:snapToGrid w:val="0"/>
        <w:spacing w:before="50" w:after="120" w:afterLines="50"/>
        <w:jc w:val="center"/>
        <w:rPr>
          <w:color w:val="auto"/>
          <w:szCs w:val="21"/>
        </w:rPr>
      </w:pPr>
      <w:r>
        <w:rPr>
          <w:rFonts w:hint="eastAsia"/>
          <w:color w:val="auto"/>
          <w:szCs w:val="21"/>
        </w:rPr>
        <w:t>供应商参加本项目无围标串标行为的承诺函</w:t>
      </w:r>
    </w:p>
    <w:p>
      <w:pPr>
        <w:snapToGrid w:val="0"/>
        <w:spacing w:before="50" w:after="120" w:afterLines="50"/>
        <w:jc w:val="left"/>
        <w:rPr>
          <w:color w:val="auto"/>
          <w:szCs w:val="21"/>
        </w:rPr>
      </w:pPr>
    </w:p>
    <w:p>
      <w:pPr>
        <w:snapToGrid w:val="0"/>
        <w:spacing w:before="50" w:after="120" w:afterLines="50"/>
        <w:jc w:val="left"/>
        <w:rPr>
          <w:color w:val="auto"/>
          <w:szCs w:val="21"/>
        </w:rPr>
      </w:pPr>
      <w:r>
        <w:rPr>
          <w:rFonts w:hint="eastAsia"/>
          <w:color w:val="auto"/>
          <w:szCs w:val="21"/>
        </w:rPr>
        <w:t>一、我方承诺无下列相互串通投标的情形：</w:t>
      </w:r>
    </w:p>
    <w:p>
      <w:pPr>
        <w:snapToGrid w:val="0"/>
        <w:spacing w:before="50" w:after="120" w:afterLines="50"/>
        <w:jc w:val="left"/>
        <w:rPr>
          <w:color w:val="auto"/>
          <w:szCs w:val="21"/>
        </w:rPr>
      </w:pPr>
      <w:r>
        <w:rPr>
          <w:rFonts w:hint="eastAsia"/>
          <w:color w:val="auto"/>
          <w:szCs w:val="21"/>
        </w:rPr>
        <w:t>1.不同供应商的响应文件由同一单位或者个人编制；或者不同供应商报名的IP地址一致的；</w:t>
      </w:r>
    </w:p>
    <w:p>
      <w:pPr>
        <w:snapToGrid w:val="0"/>
        <w:spacing w:before="50" w:after="120" w:afterLines="50"/>
        <w:jc w:val="left"/>
        <w:rPr>
          <w:color w:val="auto"/>
          <w:szCs w:val="21"/>
        </w:rPr>
      </w:pPr>
      <w:r>
        <w:rPr>
          <w:rFonts w:hint="eastAsia"/>
          <w:color w:val="auto"/>
          <w:szCs w:val="21"/>
        </w:rPr>
        <w:t>2.不同供应商委托同一单位或者个人办理投标事宜；</w:t>
      </w:r>
    </w:p>
    <w:p>
      <w:pPr>
        <w:snapToGrid w:val="0"/>
        <w:spacing w:before="50" w:after="120" w:afterLines="50"/>
        <w:jc w:val="left"/>
        <w:rPr>
          <w:color w:val="auto"/>
          <w:szCs w:val="21"/>
        </w:rPr>
      </w:pPr>
      <w:r>
        <w:rPr>
          <w:rFonts w:hint="eastAsia"/>
          <w:color w:val="auto"/>
          <w:szCs w:val="21"/>
        </w:rPr>
        <w:t>3.不同的供应商的响应文件载明的项目管理员为同一个人；</w:t>
      </w:r>
    </w:p>
    <w:p>
      <w:pPr>
        <w:snapToGrid w:val="0"/>
        <w:spacing w:before="50" w:after="120" w:afterLines="50"/>
        <w:jc w:val="left"/>
        <w:rPr>
          <w:color w:val="auto"/>
          <w:szCs w:val="21"/>
        </w:rPr>
      </w:pPr>
      <w:r>
        <w:rPr>
          <w:rFonts w:hint="eastAsia"/>
          <w:color w:val="auto"/>
          <w:szCs w:val="21"/>
        </w:rPr>
        <w:t>4.不同供应商的响应文件异常一致或者投标报价呈规律性差异；</w:t>
      </w:r>
    </w:p>
    <w:p>
      <w:pPr>
        <w:snapToGrid w:val="0"/>
        <w:spacing w:before="50" w:after="120" w:afterLines="50"/>
        <w:jc w:val="left"/>
        <w:rPr>
          <w:color w:val="auto"/>
          <w:szCs w:val="21"/>
        </w:rPr>
      </w:pPr>
      <w:r>
        <w:rPr>
          <w:rFonts w:hint="eastAsia"/>
          <w:color w:val="auto"/>
          <w:szCs w:val="21"/>
        </w:rPr>
        <w:t>5.不同供应商的响应文件相互混装；</w:t>
      </w:r>
    </w:p>
    <w:p>
      <w:pPr>
        <w:snapToGrid w:val="0"/>
        <w:spacing w:before="50" w:after="120" w:afterLines="50"/>
        <w:jc w:val="left"/>
        <w:rPr>
          <w:color w:val="auto"/>
          <w:szCs w:val="21"/>
        </w:rPr>
      </w:pPr>
      <w:r>
        <w:rPr>
          <w:rFonts w:hint="eastAsia"/>
          <w:color w:val="auto"/>
          <w:szCs w:val="21"/>
        </w:rPr>
        <w:t>6.不同供应商的磋商保证金从同一单位或者个人账户转出。</w:t>
      </w:r>
    </w:p>
    <w:p>
      <w:pPr>
        <w:snapToGrid w:val="0"/>
        <w:spacing w:before="50" w:after="120" w:afterLines="50"/>
        <w:jc w:val="left"/>
        <w:rPr>
          <w:color w:val="auto"/>
          <w:szCs w:val="21"/>
        </w:rPr>
      </w:pPr>
      <w:r>
        <w:rPr>
          <w:rFonts w:hint="eastAsia"/>
          <w:color w:val="auto"/>
          <w:szCs w:val="21"/>
        </w:rPr>
        <w:t>二、我方承诺无下列恶意串通的情形：</w:t>
      </w:r>
    </w:p>
    <w:p>
      <w:pPr>
        <w:snapToGrid w:val="0"/>
        <w:spacing w:before="50" w:after="120" w:afterLines="50"/>
        <w:jc w:val="left"/>
        <w:rPr>
          <w:color w:val="auto"/>
          <w:szCs w:val="21"/>
        </w:rPr>
      </w:pPr>
      <w:r>
        <w:rPr>
          <w:rFonts w:hint="eastAsia"/>
          <w:color w:val="auto"/>
          <w:szCs w:val="21"/>
        </w:rPr>
        <w:t>1.供应商直接或者间接从采购人或者采购代理机构处获得其他供应商的相关信息并修改其响应文件或者响应文件；</w:t>
      </w:r>
    </w:p>
    <w:p>
      <w:pPr>
        <w:snapToGrid w:val="0"/>
        <w:spacing w:before="50" w:after="120" w:afterLines="50"/>
        <w:jc w:val="left"/>
        <w:rPr>
          <w:color w:val="auto"/>
          <w:szCs w:val="21"/>
        </w:rPr>
      </w:pPr>
      <w:r>
        <w:rPr>
          <w:rFonts w:hint="eastAsia"/>
          <w:color w:val="auto"/>
          <w:szCs w:val="21"/>
        </w:rPr>
        <w:t>2.供应商按照采购人或者采购代理机构的授意撤换、修改响应文件或者响应文件；</w:t>
      </w:r>
    </w:p>
    <w:p>
      <w:pPr>
        <w:snapToGrid w:val="0"/>
        <w:spacing w:before="50" w:after="120" w:afterLines="50"/>
        <w:jc w:val="left"/>
        <w:rPr>
          <w:color w:val="auto"/>
          <w:szCs w:val="21"/>
        </w:rPr>
      </w:pPr>
      <w:r>
        <w:rPr>
          <w:rFonts w:hint="eastAsia"/>
          <w:color w:val="auto"/>
          <w:szCs w:val="21"/>
        </w:rPr>
        <w:t>3.供应商之间协商报价、技术方案等响应文件或者响应文件的实质性内容；</w:t>
      </w:r>
    </w:p>
    <w:p>
      <w:pPr>
        <w:snapToGrid w:val="0"/>
        <w:spacing w:before="50" w:after="120" w:afterLines="50"/>
        <w:jc w:val="left"/>
        <w:rPr>
          <w:color w:val="auto"/>
          <w:szCs w:val="21"/>
        </w:rPr>
      </w:pPr>
      <w:r>
        <w:rPr>
          <w:rFonts w:hint="eastAsia"/>
          <w:color w:val="auto"/>
          <w:szCs w:val="21"/>
        </w:rPr>
        <w:t>4.属于同一集团、协会、商会等组织成员的供应商按照该组织要求协同参加政府采购活动；</w:t>
      </w:r>
    </w:p>
    <w:p>
      <w:pPr>
        <w:snapToGrid w:val="0"/>
        <w:spacing w:before="50" w:after="120" w:afterLines="50"/>
        <w:jc w:val="left"/>
        <w:rPr>
          <w:color w:val="auto"/>
          <w:szCs w:val="21"/>
        </w:rPr>
      </w:pPr>
      <w:r>
        <w:rPr>
          <w:rFonts w:hint="eastAsia"/>
          <w:color w:val="auto"/>
          <w:szCs w:val="21"/>
        </w:rPr>
        <w:t>5.供应商之间事先约定一致抬高或者压低投标报价，或者在招标项目中事先约定轮流以高价位或者低价位中标，或者事先约定由某一特定供应商中标，然后再参加投标；</w:t>
      </w:r>
    </w:p>
    <w:p>
      <w:pPr>
        <w:snapToGrid w:val="0"/>
        <w:spacing w:before="50" w:after="120" w:afterLines="50"/>
        <w:jc w:val="left"/>
        <w:rPr>
          <w:color w:val="auto"/>
          <w:szCs w:val="21"/>
        </w:rPr>
      </w:pPr>
      <w:r>
        <w:rPr>
          <w:rFonts w:hint="eastAsia"/>
          <w:color w:val="auto"/>
          <w:szCs w:val="21"/>
        </w:rPr>
        <w:t>6.供应商之间商定部分供应商放弃参加政府采购活动或者放弃中标；</w:t>
      </w:r>
    </w:p>
    <w:p>
      <w:pPr>
        <w:snapToGrid w:val="0"/>
        <w:spacing w:before="50" w:after="120" w:afterLines="50"/>
        <w:jc w:val="left"/>
        <w:rPr>
          <w:color w:val="auto"/>
          <w:szCs w:val="21"/>
        </w:rPr>
      </w:pPr>
      <w:r>
        <w:rPr>
          <w:rFonts w:hint="eastAsia"/>
          <w:color w:val="auto"/>
          <w:szCs w:val="21"/>
        </w:rPr>
        <w:t>7.供应商与采购人或者采购代理机构之间、供应商相互之间，为谋求特定供应商中标或者排斥其他供应商的其他串通行为。</w:t>
      </w:r>
    </w:p>
    <w:p>
      <w:pPr>
        <w:snapToGrid w:val="0"/>
        <w:spacing w:before="50" w:after="120" w:afterLines="50"/>
        <w:jc w:val="left"/>
        <w:rPr>
          <w:color w:val="auto"/>
          <w:szCs w:val="21"/>
        </w:rPr>
      </w:pPr>
      <w:r>
        <w:rPr>
          <w:rFonts w:hint="eastAsia"/>
          <w:color w:val="auto"/>
          <w:szCs w:val="21"/>
        </w:rPr>
        <w:t>以上情形一经核查属实，我方愿意承担一切后果，并不再寻求任何旨在减轻或者免除法律责任的辩解。</w:t>
      </w:r>
    </w:p>
    <w:p>
      <w:pPr>
        <w:snapToGrid w:val="0"/>
        <w:spacing w:before="50" w:after="120" w:afterLines="50"/>
        <w:jc w:val="center"/>
        <w:rPr>
          <w:color w:val="auto"/>
          <w:szCs w:val="21"/>
        </w:rPr>
      </w:pPr>
      <w:r>
        <w:rPr>
          <w:rFonts w:hint="eastAsia"/>
          <w:color w:val="auto"/>
          <w:szCs w:val="21"/>
        </w:rPr>
        <w:t xml:space="preserve"> </w:t>
      </w:r>
      <w:r>
        <w:rPr>
          <w:color w:val="auto"/>
          <w:szCs w:val="21"/>
        </w:rPr>
        <w:t xml:space="preserve"> </w:t>
      </w:r>
    </w:p>
    <w:p>
      <w:pPr>
        <w:snapToGrid w:val="0"/>
        <w:spacing w:before="50" w:after="120" w:afterLines="50"/>
        <w:jc w:val="center"/>
        <w:rPr>
          <w:color w:val="auto"/>
          <w:szCs w:val="21"/>
        </w:rPr>
      </w:pPr>
    </w:p>
    <w:p>
      <w:pPr>
        <w:snapToGrid w:val="0"/>
        <w:spacing w:before="50" w:after="120" w:afterLines="50"/>
        <w:jc w:val="center"/>
        <w:rPr>
          <w:color w:val="auto"/>
          <w:szCs w:val="21"/>
        </w:rPr>
      </w:pPr>
    </w:p>
    <w:p>
      <w:pPr>
        <w:snapToGrid w:val="0"/>
        <w:spacing w:before="50" w:after="120" w:afterLines="50"/>
        <w:jc w:val="center"/>
        <w:rPr>
          <w:color w:val="auto"/>
          <w:szCs w:val="21"/>
        </w:rPr>
      </w:pPr>
      <w:r>
        <w:rPr>
          <w:color w:val="auto"/>
          <w:szCs w:val="21"/>
        </w:rPr>
        <w:t>供应商</w:t>
      </w:r>
      <w:r>
        <w:rPr>
          <w:rFonts w:hint="eastAsia"/>
          <w:color w:val="auto"/>
          <w:szCs w:val="21"/>
        </w:rPr>
        <w:t>名称(电子签章</w:t>
      </w:r>
      <w:r>
        <w:rPr>
          <w:color w:val="auto"/>
          <w:szCs w:val="21"/>
        </w:rPr>
        <w:t>)</w:t>
      </w:r>
      <w:r>
        <w:rPr>
          <w:rFonts w:hint="eastAsia"/>
          <w:color w:val="auto"/>
          <w:szCs w:val="21"/>
        </w:rPr>
        <w:t>：</w:t>
      </w:r>
    </w:p>
    <w:p>
      <w:pPr>
        <w:snapToGrid w:val="0"/>
        <w:spacing w:before="50" w:after="120" w:afterLines="50"/>
        <w:jc w:val="center"/>
        <w:rPr>
          <w:color w:val="auto"/>
          <w:szCs w:val="21"/>
        </w:rPr>
      </w:pPr>
      <w:r>
        <w:rPr>
          <w:rFonts w:hint="eastAsia"/>
          <w:color w:val="auto"/>
          <w:szCs w:val="21"/>
        </w:rPr>
        <w:t>日期：  年  月   日</w:t>
      </w:r>
    </w:p>
    <w:p>
      <w:pPr>
        <w:snapToGrid w:val="0"/>
        <w:spacing w:before="120" w:beforeLines="50" w:after="50" w:line="440" w:lineRule="exact"/>
        <w:jc w:val="center"/>
        <w:outlineLvl w:val="1"/>
        <w:rPr>
          <w:bCs/>
          <w:color w:val="auto"/>
          <w:sz w:val="24"/>
        </w:rPr>
      </w:pPr>
      <w:r>
        <w:rPr>
          <w:color w:val="auto"/>
          <w:szCs w:val="21"/>
        </w:rPr>
        <w:br w:type="page"/>
      </w:r>
      <w:bookmarkEnd w:id="101"/>
      <w:bookmarkEnd w:id="102"/>
      <w:r>
        <w:rPr>
          <w:bCs/>
          <w:color w:val="auto"/>
          <w:sz w:val="24"/>
        </w:rPr>
        <w:t>第</w:t>
      </w:r>
      <w:r>
        <w:rPr>
          <w:rFonts w:hint="eastAsia"/>
          <w:bCs/>
          <w:color w:val="auto"/>
          <w:sz w:val="24"/>
        </w:rPr>
        <w:t>三</w:t>
      </w:r>
      <w:r>
        <w:rPr>
          <w:bCs/>
          <w:color w:val="auto"/>
          <w:sz w:val="24"/>
        </w:rPr>
        <w:t>部分 报价文件</w:t>
      </w:r>
    </w:p>
    <w:p>
      <w:pPr>
        <w:jc w:val="center"/>
        <w:rPr>
          <w:b/>
          <w:bCs/>
          <w:color w:val="auto"/>
          <w:szCs w:val="21"/>
        </w:rPr>
      </w:pPr>
    </w:p>
    <w:p>
      <w:pPr>
        <w:rPr>
          <w:b/>
          <w:color w:val="auto"/>
          <w:szCs w:val="21"/>
        </w:rPr>
      </w:pPr>
      <w:r>
        <w:rPr>
          <w:b/>
          <w:color w:val="auto"/>
          <w:szCs w:val="21"/>
        </w:rPr>
        <w:t>1．响应函格式：</w:t>
      </w:r>
    </w:p>
    <w:p>
      <w:pPr>
        <w:rPr>
          <w:b/>
          <w:color w:val="auto"/>
          <w:szCs w:val="21"/>
        </w:rPr>
      </w:pPr>
    </w:p>
    <w:p>
      <w:pPr>
        <w:jc w:val="center"/>
        <w:rPr>
          <w:b/>
          <w:color w:val="auto"/>
          <w:szCs w:val="21"/>
        </w:rPr>
      </w:pPr>
      <w:r>
        <w:rPr>
          <w:b/>
          <w:color w:val="auto"/>
          <w:szCs w:val="21"/>
        </w:rPr>
        <w:t>响 应 函</w:t>
      </w:r>
    </w:p>
    <w:p>
      <w:pPr>
        <w:rPr>
          <w:b/>
          <w:color w:val="auto"/>
          <w:szCs w:val="21"/>
        </w:rPr>
      </w:pPr>
    </w:p>
    <w:p>
      <w:pPr>
        <w:spacing w:line="360" w:lineRule="auto"/>
        <w:rPr>
          <w:color w:val="auto"/>
          <w:szCs w:val="21"/>
        </w:rPr>
      </w:pPr>
      <w:bookmarkStart w:id="103" w:name="_Hlk19110643"/>
      <w:r>
        <w:rPr>
          <w:color w:val="auto"/>
          <w:szCs w:val="21"/>
        </w:rPr>
        <w:t>致：_</w:t>
      </w:r>
      <w:r>
        <w:rPr>
          <w:i/>
          <w:iCs/>
          <w:color w:val="auto"/>
          <w:szCs w:val="21"/>
          <w:u w:val="single"/>
        </w:rPr>
        <w:t>（采购</w:t>
      </w:r>
      <w:r>
        <w:rPr>
          <w:rFonts w:hint="eastAsia"/>
          <w:i/>
          <w:iCs/>
          <w:color w:val="auto"/>
          <w:szCs w:val="21"/>
          <w:u w:val="single"/>
        </w:rPr>
        <w:t>人</w:t>
      </w:r>
      <w:r>
        <w:rPr>
          <w:i/>
          <w:iCs/>
          <w:color w:val="auto"/>
          <w:szCs w:val="21"/>
          <w:u w:val="single"/>
        </w:rPr>
        <w:t>名称）</w:t>
      </w:r>
      <w:r>
        <w:rPr>
          <w:i/>
          <w:iCs/>
          <w:color w:val="auto"/>
          <w:szCs w:val="21"/>
        </w:rPr>
        <w:t>_</w:t>
      </w:r>
    </w:p>
    <w:p>
      <w:pPr>
        <w:spacing w:line="360" w:lineRule="auto"/>
        <w:ind w:firstLine="420" w:firstLineChars="200"/>
        <w:rPr>
          <w:color w:val="auto"/>
          <w:szCs w:val="21"/>
        </w:rPr>
      </w:pPr>
      <w:r>
        <w:rPr>
          <w:color w:val="auto"/>
          <w:szCs w:val="21"/>
        </w:rPr>
        <w:t>我方已仔细研究了</w:t>
      </w:r>
      <w:r>
        <w:rPr>
          <w:rFonts w:hint="eastAsia"/>
          <w:i/>
          <w:iCs/>
          <w:color w:val="auto"/>
          <w:szCs w:val="21"/>
          <w:u w:val="single"/>
        </w:rPr>
        <w:t>（项目名称）</w:t>
      </w:r>
      <w:r>
        <w:rPr>
          <w:color w:val="auto"/>
          <w:szCs w:val="21"/>
        </w:rPr>
        <w:t>的</w:t>
      </w:r>
      <w:r>
        <w:rPr>
          <w:rFonts w:hint="eastAsia"/>
          <w:color w:val="auto"/>
          <w:szCs w:val="21"/>
        </w:rPr>
        <w:t>采购文件</w:t>
      </w:r>
      <w:r>
        <w:rPr>
          <w:color w:val="auto"/>
          <w:szCs w:val="21"/>
        </w:rPr>
        <w:t>的全部内容</w:t>
      </w:r>
      <w:r>
        <w:rPr>
          <w:rFonts w:hint="eastAsia"/>
          <w:color w:val="auto"/>
          <w:szCs w:val="21"/>
        </w:rPr>
        <w:t>，</w:t>
      </w:r>
      <w:r>
        <w:rPr>
          <w:color w:val="auto"/>
          <w:szCs w:val="21"/>
        </w:rPr>
        <w:t>签字代表</w:t>
      </w:r>
      <w:r>
        <w:rPr>
          <w:rFonts w:hint="eastAsia"/>
          <w:i/>
          <w:iCs/>
          <w:color w:val="auto"/>
          <w:szCs w:val="21"/>
          <w:u w:val="single"/>
        </w:rPr>
        <w:t>（授权代表姓名）</w:t>
      </w:r>
      <w:r>
        <w:rPr>
          <w:color w:val="auto"/>
          <w:szCs w:val="21"/>
        </w:rPr>
        <w:t>经正式授权并代表供应商</w:t>
      </w:r>
      <w:r>
        <w:rPr>
          <w:color w:val="auto"/>
          <w:szCs w:val="21"/>
          <w:u w:val="single"/>
        </w:rPr>
        <w:t xml:space="preserve"> </w:t>
      </w:r>
      <w:r>
        <w:rPr>
          <w:i/>
          <w:iCs/>
          <w:color w:val="auto"/>
          <w:szCs w:val="21"/>
          <w:u w:val="single"/>
        </w:rPr>
        <w:t>（供应商名称）</w:t>
      </w:r>
      <w:r>
        <w:rPr>
          <w:rFonts w:hint="eastAsia"/>
          <w:i/>
          <w:iCs/>
          <w:color w:val="auto"/>
          <w:szCs w:val="21"/>
          <w:u w:val="single"/>
        </w:rPr>
        <w:t xml:space="preserve"> </w:t>
      </w:r>
      <w:r>
        <w:rPr>
          <w:color w:val="auto"/>
          <w:szCs w:val="21"/>
        </w:rPr>
        <w:t>提交响应文件。</w:t>
      </w:r>
    </w:p>
    <w:bookmarkEnd w:id="103"/>
    <w:p>
      <w:pPr>
        <w:spacing w:line="360" w:lineRule="auto"/>
        <w:ind w:firstLine="420" w:firstLineChars="200"/>
        <w:rPr>
          <w:color w:val="auto"/>
          <w:szCs w:val="21"/>
        </w:rPr>
      </w:pPr>
      <w:r>
        <w:rPr>
          <w:color w:val="auto"/>
          <w:szCs w:val="21"/>
        </w:rPr>
        <w:t>据此函，签字代表宣布同意如下：</w:t>
      </w:r>
    </w:p>
    <w:p>
      <w:pPr>
        <w:spacing w:line="360" w:lineRule="auto"/>
        <w:rPr>
          <w:color w:val="auto"/>
          <w:szCs w:val="21"/>
        </w:rPr>
      </w:pPr>
      <w:r>
        <w:rPr>
          <w:color w:val="auto"/>
          <w:szCs w:val="21"/>
        </w:rPr>
        <w:t>（1）供应商已详细审查全部“采购文件”，包括修改文件（如有的话）以及全部参考资料和有关附件，已经了解我方对于采购文件、采购过程、采购结果有依法进行询问、质疑、投诉的权利及相关渠道和要求。</w:t>
      </w:r>
    </w:p>
    <w:p>
      <w:pPr>
        <w:spacing w:line="360" w:lineRule="auto"/>
        <w:rPr>
          <w:color w:val="auto"/>
          <w:szCs w:val="21"/>
        </w:rPr>
      </w:pPr>
      <w:r>
        <w:rPr>
          <w:color w:val="auto"/>
          <w:szCs w:val="21"/>
        </w:rPr>
        <w:t>（2）供应商在响应之前已经与贵方进行了充分的沟通，完全理解并接受采购文件的各项规定和要求，对采购文件的合理性、合法性不再有异议。</w:t>
      </w:r>
    </w:p>
    <w:p>
      <w:pPr>
        <w:spacing w:line="360" w:lineRule="auto"/>
        <w:rPr>
          <w:color w:val="auto"/>
          <w:szCs w:val="21"/>
        </w:rPr>
      </w:pPr>
      <w:r>
        <w:rPr>
          <w:color w:val="auto"/>
          <w:szCs w:val="21"/>
        </w:rPr>
        <w:t>（3）本响应有效期自响应文件递交截止之日起</w:t>
      </w:r>
      <w:r>
        <w:rPr>
          <w:color w:val="auto"/>
          <w:szCs w:val="21"/>
          <w:u w:val="single"/>
        </w:rPr>
        <w:t xml:space="preserve">     </w:t>
      </w:r>
      <w:r>
        <w:rPr>
          <w:color w:val="auto"/>
          <w:szCs w:val="21"/>
        </w:rPr>
        <w:t>天。</w:t>
      </w:r>
    </w:p>
    <w:p>
      <w:pPr>
        <w:spacing w:line="360" w:lineRule="auto"/>
        <w:rPr>
          <w:color w:val="auto"/>
          <w:szCs w:val="21"/>
        </w:rPr>
      </w:pPr>
      <w:r>
        <w:rPr>
          <w:color w:val="auto"/>
          <w:szCs w:val="21"/>
        </w:rPr>
        <w:t>（4）如成交，本响应文件至本项目合同履行完毕止均保持有效，本供应商将按“采购文件”及政府采购法律、法规的规定履行合同责任和义务</w:t>
      </w:r>
      <w:r>
        <w:rPr>
          <w:rFonts w:hint="eastAsia"/>
          <w:color w:val="auto"/>
          <w:szCs w:val="21"/>
        </w:rPr>
        <w:t>，并承诺</w:t>
      </w:r>
      <w:r>
        <w:rPr>
          <w:color w:val="auto"/>
          <w:szCs w:val="21"/>
        </w:rPr>
        <w:t>不分包及转包他人。</w:t>
      </w:r>
    </w:p>
    <w:p>
      <w:pPr>
        <w:spacing w:line="360" w:lineRule="auto"/>
        <w:rPr>
          <w:color w:val="auto"/>
          <w:szCs w:val="21"/>
        </w:rPr>
      </w:pPr>
      <w:r>
        <w:rPr>
          <w:color w:val="auto"/>
          <w:szCs w:val="21"/>
        </w:rPr>
        <w:t>（5）供应商同意按照贵方要求提供与响应有关的一切数据或资料。</w:t>
      </w:r>
    </w:p>
    <w:p>
      <w:pPr>
        <w:spacing w:line="360" w:lineRule="auto"/>
        <w:rPr>
          <w:color w:val="auto"/>
          <w:szCs w:val="21"/>
        </w:rPr>
      </w:pPr>
      <w:r>
        <w:rPr>
          <w:color w:val="auto"/>
          <w:szCs w:val="21"/>
        </w:rPr>
        <w:t>（</w:t>
      </w:r>
      <w:r>
        <w:rPr>
          <w:rFonts w:hint="eastAsia"/>
          <w:color w:val="auto"/>
          <w:szCs w:val="21"/>
        </w:rPr>
        <w:t>6</w:t>
      </w:r>
      <w:r>
        <w:rPr>
          <w:color w:val="auto"/>
          <w:szCs w:val="21"/>
        </w:rPr>
        <w:t>）与本项目有关的一切正式往来信函请寄：</w:t>
      </w:r>
    </w:p>
    <w:p>
      <w:pPr>
        <w:spacing w:line="360" w:lineRule="auto"/>
        <w:rPr>
          <w:color w:val="auto"/>
          <w:szCs w:val="21"/>
        </w:rPr>
      </w:pPr>
      <w:r>
        <w:rPr>
          <w:color w:val="auto"/>
          <w:szCs w:val="21"/>
        </w:rPr>
        <w:t>地址：</w:t>
      </w:r>
      <w:r>
        <w:rPr>
          <w:color w:val="auto"/>
          <w:szCs w:val="21"/>
          <w:u w:val="single"/>
        </w:rPr>
        <w:t xml:space="preserve">                      </w:t>
      </w:r>
      <w:r>
        <w:rPr>
          <w:color w:val="auto"/>
          <w:szCs w:val="21"/>
        </w:rPr>
        <w:t>邮编：</w:t>
      </w:r>
      <w:r>
        <w:rPr>
          <w:color w:val="auto"/>
          <w:szCs w:val="21"/>
          <w:u w:val="single"/>
        </w:rPr>
        <w:t xml:space="preserve">         </w:t>
      </w:r>
      <w:r>
        <w:rPr>
          <w:color w:val="auto"/>
          <w:szCs w:val="21"/>
        </w:rPr>
        <w:t xml:space="preserve">  电话：</w:t>
      </w:r>
      <w:r>
        <w:rPr>
          <w:color w:val="auto"/>
          <w:szCs w:val="21"/>
          <w:u w:val="single"/>
        </w:rPr>
        <w:t xml:space="preserve">            </w:t>
      </w:r>
    </w:p>
    <w:p>
      <w:pPr>
        <w:spacing w:line="360" w:lineRule="auto"/>
        <w:rPr>
          <w:color w:val="auto"/>
          <w:szCs w:val="21"/>
        </w:rPr>
      </w:pPr>
      <w:r>
        <w:rPr>
          <w:color w:val="auto"/>
          <w:szCs w:val="21"/>
        </w:rPr>
        <w:t>传真：</w:t>
      </w:r>
      <w:r>
        <w:rPr>
          <w:color w:val="auto"/>
          <w:szCs w:val="21"/>
          <w:u w:val="single"/>
        </w:rPr>
        <w:t xml:space="preserve">           </w:t>
      </w:r>
      <w:r>
        <w:rPr>
          <w:color w:val="auto"/>
          <w:szCs w:val="21"/>
        </w:rPr>
        <w:t xml:space="preserve"> </w:t>
      </w:r>
    </w:p>
    <w:p>
      <w:pPr>
        <w:spacing w:line="360" w:lineRule="auto"/>
        <w:rPr>
          <w:color w:val="auto"/>
          <w:szCs w:val="21"/>
        </w:rPr>
      </w:pPr>
      <w:r>
        <w:rPr>
          <w:color w:val="auto"/>
          <w:szCs w:val="21"/>
        </w:rPr>
        <w:t>供应商代表姓名</w:t>
      </w:r>
      <w:r>
        <w:rPr>
          <w:color w:val="auto"/>
          <w:szCs w:val="21"/>
          <w:u w:val="single"/>
        </w:rPr>
        <w:t xml:space="preserve">         </w:t>
      </w:r>
      <w:r>
        <w:rPr>
          <w:color w:val="auto"/>
          <w:szCs w:val="21"/>
        </w:rPr>
        <w:t xml:space="preserve">  职务：</w:t>
      </w:r>
      <w:r>
        <w:rPr>
          <w:color w:val="auto"/>
          <w:szCs w:val="21"/>
          <w:u w:val="single"/>
        </w:rPr>
        <w:t xml:space="preserve">             </w:t>
      </w:r>
      <w:r>
        <w:rPr>
          <w:rFonts w:hint="eastAsia"/>
          <w:color w:val="auto"/>
          <w:szCs w:val="21"/>
        </w:rPr>
        <w:t>邮箱：</w:t>
      </w:r>
      <w:r>
        <w:rPr>
          <w:rFonts w:hint="eastAsia"/>
          <w:color w:val="auto"/>
          <w:szCs w:val="21"/>
          <w:u w:val="single"/>
        </w:rPr>
        <w:t xml:space="preserve"> </w:t>
      </w:r>
      <w:r>
        <w:rPr>
          <w:color w:val="auto"/>
          <w:szCs w:val="21"/>
          <w:u w:val="single"/>
        </w:rPr>
        <w:t xml:space="preserve">             </w:t>
      </w:r>
    </w:p>
    <w:p>
      <w:pPr>
        <w:spacing w:line="360" w:lineRule="auto"/>
        <w:rPr>
          <w:color w:val="auto"/>
          <w:szCs w:val="21"/>
        </w:rPr>
      </w:pPr>
    </w:p>
    <w:p>
      <w:pPr>
        <w:spacing w:line="360" w:lineRule="auto"/>
        <w:rPr>
          <w:color w:val="auto"/>
          <w:szCs w:val="21"/>
        </w:rPr>
      </w:pPr>
    </w:p>
    <w:p>
      <w:pPr>
        <w:spacing w:line="360" w:lineRule="auto"/>
        <w:rPr>
          <w:color w:val="auto"/>
          <w:szCs w:val="21"/>
          <w:u w:val="single"/>
        </w:rPr>
      </w:pPr>
      <w:r>
        <w:rPr>
          <w:color w:val="auto"/>
          <w:szCs w:val="21"/>
        </w:rPr>
        <w:t>供应商</w:t>
      </w:r>
      <w:r>
        <w:rPr>
          <w:rFonts w:hint="eastAsia"/>
          <w:color w:val="auto"/>
          <w:szCs w:val="21"/>
        </w:rPr>
        <w:t>名称(电子签章</w:t>
      </w:r>
      <w:r>
        <w:rPr>
          <w:color w:val="auto"/>
          <w:szCs w:val="21"/>
        </w:rPr>
        <w:t>)：：</w:t>
      </w:r>
      <w:r>
        <w:rPr>
          <w:color w:val="auto"/>
          <w:szCs w:val="21"/>
          <w:u w:val="single"/>
        </w:rPr>
        <w:t xml:space="preserve">                  </w:t>
      </w:r>
    </w:p>
    <w:p>
      <w:pPr>
        <w:spacing w:line="360" w:lineRule="auto"/>
        <w:rPr>
          <w:color w:val="auto"/>
          <w:szCs w:val="21"/>
        </w:rPr>
      </w:pPr>
    </w:p>
    <w:p>
      <w:pPr>
        <w:spacing w:line="360" w:lineRule="auto"/>
        <w:rPr>
          <w:color w:val="auto"/>
          <w:szCs w:val="21"/>
        </w:rPr>
      </w:pPr>
    </w:p>
    <w:p>
      <w:pPr>
        <w:spacing w:line="360" w:lineRule="auto"/>
        <w:rPr>
          <w:color w:val="auto"/>
          <w:szCs w:val="21"/>
        </w:rPr>
      </w:pPr>
      <w:r>
        <w:rPr>
          <w:color w:val="auto"/>
          <w:szCs w:val="21"/>
        </w:rPr>
        <w:t>日期：</w:t>
      </w:r>
      <w:r>
        <w:rPr>
          <w:color w:val="auto"/>
          <w:szCs w:val="21"/>
          <w:u w:val="single"/>
        </w:rPr>
        <w:t xml:space="preserve">      </w:t>
      </w:r>
      <w:r>
        <w:rPr>
          <w:color w:val="auto"/>
          <w:szCs w:val="21"/>
        </w:rPr>
        <w:t>年</w:t>
      </w:r>
      <w:r>
        <w:rPr>
          <w:color w:val="auto"/>
          <w:szCs w:val="21"/>
          <w:u w:val="single"/>
        </w:rPr>
        <w:t xml:space="preserve">    </w:t>
      </w:r>
      <w:r>
        <w:rPr>
          <w:color w:val="auto"/>
          <w:szCs w:val="21"/>
        </w:rPr>
        <w:t>月</w:t>
      </w:r>
      <w:r>
        <w:rPr>
          <w:color w:val="auto"/>
          <w:szCs w:val="21"/>
          <w:u w:val="single"/>
        </w:rPr>
        <w:t xml:space="preserve">   </w:t>
      </w:r>
      <w:r>
        <w:rPr>
          <w:color w:val="auto"/>
          <w:szCs w:val="21"/>
        </w:rPr>
        <w:t>日</w:t>
      </w:r>
    </w:p>
    <w:p>
      <w:pPr>
        <w:rPr>
          <w:b/>
          <w:color w:val="auto"/>
          <w:szCs w:val="21"/>
        </w:rPr>
      </w:pPr>
      <w:r>
        <w:rPr>
          <w:b/>
          <w:color w:val="auto"/>
          <w:szCs w:val="21"/>
        </w:rPr>
        <w:br w:type="page"/>
      </w:r>
      <w:r>
        <w:rPr>
          <w:b/>
          <w:color w:val="auto"/>
          <w:szCs w:val="21"/>
        </w:rPr>
        <w:t>2．响应报价明细表格式：</w:t>
      </w:r>
    </w:p>
    <w:p>
      <w:pPr>
        <w:jc w:val="center"/>
        <w:rPr>
          <w:b/>
          <w:color w:val="auto"/>
          <w:szCs w:val="21"/>
        </w:rPr>
      </w:pPr>
      <w:r>
        <w:rPr>
          <w:b/>
          <w:color w:val="auto"/>
          <w:szCs w:val="21"/>
        </w:rPr>
        <w:t>响应报价明细表</w:t>
      </w:r>
    </w:p>
    <w:p>
      <w:pPr>
        <w:ind w:firstLine="2415" w:firstLineChars="1150"/>
        <w:rPr>
          <w:color w:val="auto"/>
          <w:szCs w:val="21"/>
        </w:rPr>
      </w:pPr>
      <w:r>
        <w:rPr>
          <w:color w:val="auto"/>
          <w:szCs w:val="21"/>
        </w:rPr>
        <w:t xml:space="preserve">                            金额单位：人民币（元）</w:t>
      </w:r>
    </w:p>
    <w:tbl>
      <w:tblPr>
        <w:tblStyle w:val="5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40"/>
        <w:gridCol w:w="2845"/>
        <w:gridCol w:w="1575"/>
        <w:gridCol w:w="1470"/>
        <w:gridCol w:w="168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1" w:hRule="exact"/>
          <w:jc w:val="center"/>
        </w:trPr>
        <w:tc>
          <w:tcPr>
            <w:tcW w:w="1040" w:type="dxa"/>
            <w:tcBorders>
              <w:top w:val="single" w:color="auto" w:sz="4" w:space="0"/>
              <w:left w:val="single" w:color="auto" w:sz="4" w:space="0"/>
              <w:bottom w:val="single" w:color="auto" w:sz="4" w:space="0"/>
              <w:right w:val="single" w:color="auto" w:sz="4" w:space="0"/>
            </w:tcBorders>
            <w:vAlign w:val="center"/>
          </w:tcPr>
          <w:p>
            <w:pPr>
              <w:jc w:val="center"/>
              <w:rPr>
                <w:color w:val="auto"/>
                <w:spacing w:val="20"/>
                <w:szCs w:val="21"/>
              </w:rPr>
            </w:pPr>
            <w:r>
              <w:rPr>
                <w:color w:val="auto"/>
                <w:szCs w:val="21"/>
              </w:rPr>
              <w:t>序号</w:t>
            </w:r>
          </w:p>
        </w:tc>
        <w:tc>
          <w:tcPr>
            <w:tcW w:w="2845"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color w:val="auto"/>
                <w:szCs w:val="21"/>
              </w:rPr>
              <w:t>服务名称</w:t>
            </w:r>
          </w:p>
        </w:tc>
        <w:tc>
          <w:tcPr>
            <w:tcW w:w="1575"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color w:val="auto"/>
                <w:szCs w:val="21"/>
              </w:rPr>
              <w:t>单位及数量</w:t>
            </w:r>
          </w:p>
        </w:tc>
        <w:tc>
          <w:tcPr>
            <w:tcW w:w="1470"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color w:val="auto"/>
                <w:szCs w:val="21"/>
              </w:rPr>
              <w:t>单价</w:t>
            </w:r>
          </w:p>
        </w:tc>
        <w:tc>
          <w:tcPr>
            <w:tcW w:w="1686"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rFonts w:hint="eastAsia"/>
                <w:color w:val="auto"/>
                <w:szCs w:val="21"/>
              </w:rPr>
              <w:t>合计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1" w:hRule="exact"/>
          <w:jc w:val="center"/>
        </w:trPr>
        <w:tc>
          <w:tcPr>
            <w:tcW w:w="1040" w:type="dxa"/>
            <w:tcBorders>
              <w:top w:val="single" w:color="auto" w:sz="4" w:space="0"/>
              <w:left w:val="single" w:color="auto" w:sz="4" w:space="0"/>
              <w:bottom w:val="single" w:color="auto" w:sz="4" w:space="0"/>
              <w:right w:val="single" w:color="auto" w:sz="4" w:space="0"/>
            </w:tcBorders>
            <w:vAlign w:val="center"/>
          </w:tcPr>
          <w:p>
            <w:pPr>
              <w:jc w:val="center"/>
              <w:rPr>
                <w:color w:val="auto"/>
                <w:spacing w:val="20"/>
                <w:szCs w:val="21"/>
              </w:rPr>
            </w:pPr>
            <w:r>
              <w:rPr>
                <w:rFonts w:hint="eastAsia"/>
                <w:color w:val="auto"/>
                <w:spacing w:val="20"/>
                <w:szCs w:val="21"/>
              </w:rPr>
              <w:t>1</w:t>
            </w:r>
          </w:p>
        </w:tc>
        <w:tc>
          <w:tcPr>
            <w:tcW w:w="2845" w:type="dxa"/>
            <w:tcBorders>
              <w:top w:val="single" w:color="auto" w:sz="4" w:space="0"/>
              <w:left w:val="single" w:color="auto" w:sz="4" w:space="0"/>
              <w:bottom w:val="single" w:color="auto" w:sz="4" w:space="0"/>
              <w:right w:val="single" w:color="auto" w:sz="4" w:space="0"/>
            </w:tcBorders>
            <w:vAlign w:val="center"/>
          </w:tcPr>
          <w:p>
            <w:pPr>
              <w:jc w:val="center"/>
              <w:rPr>
                <w:color w:val="auto"/>
                <w:spacing w:val="20"/>
                <w:szCs w:val="21"/>
              </w:rPr>
            </w:pPr>
            <w:r>
              <w:rPr>
                <w:rFonts w:hint="eastAsia"/>
                <w:color w:val="auto"/>
                <w:spacing w:val="20"/>
                <w:szCs w:val="21"/>
              </w:rPr>
              <w:t>贵港市运动休闲旅游产品体系规划编制服务项目</w:t>
            </w:r>
          </w:p>
        </w:tc>
        <w:tc>
          <w:tcPr>
            <w:tcW w:w="1575" w:type="dxa"/>
            <w:tcBorders>
              <w:top w:val="single" w:color="auto" w:sz="4" w:space="0"/>
              <w:left w:val="single" w:color="auto" w:sz="4" w:space="0"/>
              <w:bottom w:val="single" w:color="auto" w:sz="4" w:space="0"/>
              <w:right w:val="single" w:color="auto" w:sz="4" w:space="0"/>
            </w:tcBorders>
            <w:vAlign w:val="center"/>
          </w:tcPr>
          <w:p>
            <w:pPr>
              <w:jc w:val="center"/>
              <w:rPr>
                <w:color w:val="auto"/>
                <w:spacing w:val="20"/>
                <w:szCs w:val="21"/>
              </w:rPr>
            </w:pPr>
            <w:r>
              <w:rPr>
                <w:rFonts w:hint="eastAsia"/>
                <w:color w:val="auto"/>
                <w:spacing w:val="20"/>
                <w:szCs w:val="21"/>
              </w:rPr>
              <w:t>1项</w:t>
            </w:r>
          </w:p>
        </w:tc>
        <w:tc>
          <w:tcPr>
            <w:tcW w:w="1470" w:type="dxa"/>
            <w:tcBorders>
              <w:top w:val="single" w:color="auto" w:sz="4" w:space="0"/>
              <w:left w:val="single" w:color="auto" w:sz="4" w:space="0"/>
              <w:bottom w:val="single" w:color="auto" w:sz="4" w:space="0"/>
              <w:right w:val="single" w:color="auto" w:sz="4" w:space="0"/>
            </w:tcBorders>
            <w:vAlign w:val="center"/>
          </w:tcPr>
          <w:p>
            <w:pPr>
              <w:jc w:val="center"/>
              <w:rPr>
                <w:color w:val="auto"/>
                <w:spacing w:val="20"/>
                <w:szCs w:val="21"/>
              </w:rPr>
            </w:pPr>
          </w:p>
        </w:tc>
        <w:tc>
          <w:tcPr>
            <w:tcW w:w="1686" w:type="dxa"/>
            <w:tcBorders>
              <w:top w:val="single" w:color="auto" w:sz="4" w:space="0"/>
              <w:left w:val="single" w:color="auto" w:sz="4" w:space="0"/>
              <w:bottom w:val="single" w:color="auto" w:sz="4" w:space="0"/>
              <w:right w:val="single" w:color="auto" w:sz="4" w:space="0"/>
            </w:tcBorders>
            <w:vAlign w:val="center"/>
          </w:tcPr>
          <w:p>
            <w:pPr>
              <w:jc w:val="center"/>
              <w:rPr>
                <w:color w:val="auto"/>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1" w:hRule="exact"/>
          <w:jc w:val="center"/>
        </w:trPr>
        <w:tc>
          <w:tcPr>
            <w:tcW w:w="1040" w:type="dxa"/>
            <w:tcBorders>
              <w:top w:val="single" w:color="auto" w:sz="4" w:space="0"/>
              <w:left w:val="single" w:color="auto" w:sz="4" w:space="0"/>
              <w:bottom w:val="single" w:color="auto" w:sz="4" w:space="0"/>
              <w:right w:val="single" w:color="auto" w:sz="4" w:space="0"/>
            </w:tcBorders>
            <w:vAlign w:val="center"/>
          </w:tcPr>
          <w:p>
            <w:pPr>
              <w:jc w:val="center"/>
              <w:rPr>
                <w:color w:val="auto"/>
                <w:spacing w:val="20"/>
                <w:szCs w:val="21"/>
              </w:rPr>
            </w:pPr>
          </w:p>
        </w:tc>
        <w:tc>
          <w:tcPr>
            <w:tcW w:w="2845" w:type="dxa"/>
            <w:tcBorders>
              <w:top w:val="single" w:color="auto" w:sz="4" w:space="0"/>
              <w:left w:val="single" w:color="auto" w:sz="4" w:space="0"/>
              <w:bottom w:val="single" w:color="auto" w:sz="4" w:space="0"/>
              <w:right w:val="single" w:color="auto" w:sz="4" w:space="0"/>
            </w:tcBorders>
            <w:vAlign w:val="center"/>
          </w:tcPr>
          <w:p>
            <w:pPr>
              <w:jc w:val="center"/>
              <w:rPr>
                <w:color w:val="auto"/>
                <w:spacing w:val="20"/>
                <w:szCs w:val="21"/>
              </w:rPr>
            </w:pPr>
          </w:p>
        </w:tc>
        <w:tc>
          <w:tcPr>
            <w:tcW w:w="1575" w:type="dxa"/>
            <w:tcBorders>
              <w:top w:val="single" w:color="auto" w:sz="4" w:space="0"/>
              <w:left w:val="single" w:color="auto" w:sz="4" w:space="0"/>
              <w:bottom w:val="single" w:color="auto" w:sz="4" w:space="0"/>
              <w:right w:val="single" w:color="auto" w:sz="4" w:space="0"/>
            </w:tcBorders>
            <w:vAlign w:val="center"/>
          </w:tcPr>
          <w:p>
            <w:pPr>
              <w:jc w:val="center"/>
              <w:rPr>
                <w:color w:val="auto"/>
                <w:spacing w:val="20"/>
                <w:szCs w:val="21"/>
              </w:rPr>
            </w:pPr>
          </w:p>
        </w:tc>
        <w:tc>
          <w:tcPr>
            <w:tcW w:w="1470" w:type="dxa"/>
            <w:tcBorders>
              <w:top w:val="single" w:color="auto" w:sz="4" w:space="0"/>
              <w:left w:val="single" w:color="auto" w:sz="4" w:space="0"/>
              <w:bottom w:val="single" w:color="auto" w:sz="4" w:space="0"/>
              <w:right w:val="single" w:color="auto" w:sz="4" w:space="0"/>
            </w:tcBorders>
            <w:vAlign w:val="center"/>
          </w:tcPr>
          <w:p>
            <w:pPr>
              <w:jc w:val="center"/>
              <w:rPr>
                <w:color w:val="auto"/>
                <w:spacing w:val="20"/>
                <w:szCs w:val="21"/>
              </w:rPr>
            </w:pPr>
          </w:p>
        </w:tc>
        <w:tc>
          <w:tcPr>
            <w:tcW w:w="1686" w:type="dxa"/>
            <w:tcBorders>
              <w:top w:val="single" w:color="auto" w:sz="4" w:space="0"/>
              <w:left w:val="single" w:color="auto" w:sz="4" w:space="0"/>
              <w:bottom w:val="single" w:color="auto" w:sz="4" w:space="0"/>
              <w:right w:val="single" w:color="auto" w:sz="4" w:space="0"/>
            </w:tcBorders>
            <w:vAlign w:val="center"/>
          </w:tcPr>
          <w:p>
            <w:pPr>
              <w:jc w:val="center"/>
              <w:rPr>
                <w:color w:val="auto"/>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1" w:hRule="exact"/>
          <w:jc w:val="center"/>
        </w:trPr>
        <w:tc>
          <w:tcPr>
            <w:tcW w:w="1040" w:type="dxa"/>
            <w:tcBorders>
              <w:top w:val="single" w:color="auto" w:sz="4" w:space="0"/>
              <w:left w:val="single" w:color="auto" w:sz="4" w:space="0"/>
              <w:bottom w:val="single" w:color="auto" w:sz="4" w:space="0"/>
              <w:right w:val="single" w:color="auto" w:sz="4" w:space="0"/>
            </w:tcBorders>
            <w:vAlign w:val="center"/>
          </w:tcPr>
          <w:p>
            <w:pPr>
              <w:jc w:val="center"/>
              <w:rPr>
                <w:color w:val="auto"/>
                <w:spacing w:val="20"/>
                <w:szCs w:val="21"/>
              </w:rPr>
            </w:pPr>
          </w:p>
        </w:tc>
        <w:tc>
          <w:tcPr>
            <w:tcW w:w="2845" w:type="dxa"/>
            <w:tcBorders>
              <w:top w:val="single" w:color="auto" w:sz="4" w:space="0"/>
              <w:left w:val="single" w:color="auto" w:sz="4" w:space="0"/>
              <w:bottom w:val="single" w:color="auto" w:sz="4" w:space="0"/>
              <w:right w:val="single" w:color="auto" w:sz="4" w:space="0"/>
            </w:tcBorders>
            <w:vAlign w:val="center"/>
          </w:tcPr>
          <w:p>
            <w:pPr>
              <w:jc w:val="center"/>
              <w:rPr>
                <w:color w:val="auto"/>
                <w:spacing w:val="20"/>
                <w:szCs w:val="21"/>
              </w:rPr>
            </w:pPr>
            <w:r>
              <w:rPr>
                <w:color w:val="auto"/>
                <w:spacing w:val="20"/>
                <w:szCs w:val="21"/>
              </w:rPr>
              <w:t>……</w:t>
            </w:r>
          </w:p>
        </w:tc>
        <w:tc>
          <w:tcPr>
            <w:tcW w:w="1575" w:type="dxa"/>
            <w:tcBorders>
              <w:top w:val="single" w:color="auto" w:sz="4" w:space="0"/>
              <w:left w:val="single" w:color="auto" w:sz="4" w:space="0"/>
              <w:bottom w:val="single" w:color="auto" w:sz="4" w:space="0"/>
              <w:right w:val="single" w:color="auto" w:sz="4" w:space="0"/>
            </w:tcBorders>
            <w:vAlign w:val="center"/>
          </w:tcPr>
          <w:p>
            <w:pPr>
              <w:jc w:val="center"/>
              <w:rPr>
                <w:color w:val="auto"/>
                <w:spacing w:val="20"/>
                <w:szCs w:val="21"/>
              </w:rPr>
            </w:pPr>
          </w:p>
        </w:tc>
        <w:tc>
          <w:tcPr>
            <w:tcW w:w="1470" w:type="dxa"/>
            <w:tcBorders>
              <w:top w:val="single" w:color="auto" w:sz="4" w:space="0"/>
              <w:left w:val="single" w:color="auto" w:sz="4" w:space="0"/>
              <w:bottom w:val="single" w:color="auto" w:sz="4" w:space="0"/>
              <w:right w:val="single" w:color="auto" w:sz="4" w:space="0"/>
            </w:tcBorders>
            <w:vAlign w:val="center"/>
          </w:tcPr>
          <w:p>
            <w:pPr>
              <w:jc w:val="center"/>
              <w:rPr>
                <w:color w:val="auto"/>
                <w:spacing w:val="20"/>
                <w:szCs w:val="21"/>
              </w:rPr>
            </w:pPr>
          </w:p>
        </w:tc>
        <w:tc>
          <w:tcPr>
            <w:tcW w:w="1686" w:type="dxa"/>
            <w:tcBorders>
              <w:top w:val="single" w:color="auto" w:sz="4" w:space="0"/>
              <w:left w:val="single" w:color="auto" w:sz="4" w:space="0"/>
              <w:bottom w:val="single" w:color="auto" w:sz="4" w:space="0"/>
              <w:right w:val="single" w:color="auto" w:sz="4" w:space="0"/>
            </w:tcBorders>
            <w:vAlign w:val="center"/>
          </w:tcPr>
          <w:p>
            <w:pPr>
              <w:jc w:val="center"/>
              <w:rPr>
                <w:color w:val="auto"/>
                <w:spacing w:val="20"/>
                <w:szCs w:val="21"/>
              </w:rPr>
            </w:pPr>
          </w:p>
        </w:tc>
      </w:tr>
    </w:tbl>
    <w:p>
      <w:pPr>
        <w:rPr>
          <w:color w:val="auto"/>
          <w:spacing w:val="20"/>
          <w:szCs w:val="21"/>
          <w:u w:val="single"/>
        </w:rPr>
      </w:pPr>
    </w:p>
    <w:p>
      <w:pPr>
        <w:spacing w:line="360" w:lineRule="auto"/>
        <w:rPr>
          <w:color w:val="auto"/>
          <w:spacing w:val="20"/>
          <w:szCs w:val="21"/>
        </w:rPr>
      </w:pPr>
    </w:p>
    <w:p>
      <w:pPr>
        <w:pStyle w:val="18"/>
        <w:rPr>
          <w:color w:val="auto"/>
        </w:rPr>
      </w:pPr>
      <w:r>
        <w:rPr>
          <w:color w:val="auto"/>
          <w:szCs w:val="21"/>
        </w:rPr>
        <w:t>注：</w:t>
      </w:r>
      <w:r>
        <w:rPr>
          <w:rFonts w:hint="eastAsia"/>
          <w:color w:val="auto"/>
          <w:szCs w:val="21"/>
        </w:rPr>
        <w:t>本表如</w:t>
      </w:r>
      <w:r>
        <w:rPr>
          <w:rFonts w:hint="eastAsia"/>
          <w:color w:val="auto"/>
        </w:rPr>
        <w:t>与政采云平台不一致的，以政采云平台为准。</w:t>
      </w:r>
    </w:p>
    <w:p>
      <w:pPr>
        <w:jc w:val="left"/>
        <w:rPr>
          <w:color w:val="auto"/>
          <w:szCs w:val="21"/>
        </w:rPr>
      </w:pPr>
    </w:p>
    <w:p>
      <w:pPr>
        <w:spacing w:line="360" w:lineRule="auto"/>
        <w:rPr>
          <w:color w:val="auto"/>
          <w:spacing w:val="20"/>
          <w:szCs w:val="21"/>
        </w:rPr>
      </w:pPr>
    </w:p>
    <w:p>
      <w:pPr>
        <w:spacing w:line="360" w:lineRule="auto"/>
        <w:rPr>
          <w:color w:val="auto"/>
          <w:szCs w:val="21"/>
        </w:rPr>
      </w:pPr>
      <w:r>
        <w:rPr>
          <w:color w:val="auto"/>
          <w:szCs w:val="21"/>
        </w:rPr>
        <w:t>供应商名称（</w:t>
      </w:r>
      <w:r>
        <w:rPr>
          <w:rFonts w:hint="eastAsia"/>
          <w:color w:val="auto"/>
          <w:szCs w:val="21"/>
        </w:rPr>
        <w:t>电子签章</w:t>
      </w:r>
      <w:r>
        <w:rPr>
          <w:color w:val="auto"/>
          <w:szCs w:val="21"/>
        </w:rPr>
        <w:t>）：</w:t>
      </w:r>
      <w:r>
        <w:rPr>
          <w:color w:val="auto"/>
          <w:szCs w:val="21"/>
          <w:u w:val="single"/>
        </w:rPr>
        <w:t xml:space="preserve">                          </w:t>
      </w:r>
    </w:p>
    <w:p>
      <w:pPr>
        <w:spacing w:line="360" w:lineRule="auto"/>
        <w:rPr>
          <w:color w:val="auto"/>
          <w:szCs w:val="21"/>
        </w:rPr>
      </w:pPr>
      <w:r>
        <w:rPr>
          <w:color w:val="auto"/>
          <w:szCs w:val="21"/>
        </w:rPr>
        <w:t>日  期：：</w:t>
      </w:r>
      <w:r>
        <w:rPr>
          <w:color w:val="auto"/>
          <w:szCs w:val="21"/>
          <w:u w:val="single"/>
        </w:rPr>
        <w:t xml:space="preserve">         </w:t>
      </w:r>
      <w:r>
        <w:rPr>
          <w:color w:val="auto"/>
          <w:szCs w:val="21"/>
        </w:rPr>
        <w:t>年</w:t>
      </w:r>
      <w:r>
        <w:rPr>
          <w:color w:val="auto"/>
          <w:szCs w:val="21"/>
          <w:u w:val="single"/>
        </w:rPr>
        <w:t xml:space="preserve">   </w:t>
      </w:r>
      <w:r>
        <w:rPr>
          <w:color w:val="auto"/>
          <w:szCs w:val="21"/>
        </w:rPr>
        <w:t>月</w:t>
      </w:r>
      <w:r>
        <w:rPr>
          <w:color w:val="auto"/>
          <w:szCs w:val="21"/>
          <w:u w:val="single"/>
        </w:rPr>
        <w:t xml:space="preserve">   </w:t>
      </w:r>
      <w:r>
        <w:rPr>
          <w:color w:val="auto"/>
          <w:szCs w:val="21"/>
        </w:rPr>
        <w:t xml:space="preserve">日 </w:t>
      </w:r>
      <w:bookmarkStart w:id="104" w:name="_Hlk65852042"/>
      <w:r>
        <w:rPr>
          <w:color w:val="auto"/>
          <w:szCs w:val="21"/>
        </w:rPr>
        <w:br w:type="page"/>
      </w:r>
      <w:r>
        <w:rPr>
          <w:color w:val="auto"/>
          <w:szCs w:val="21"/>
        </w:rPr>
        <w:t>4</w:t>
      </w:r>
      <w:r>
        <w:rPr>
          <w:rFonts w:hint="eastAsia"/>
          <w:color w:val="auto"/>
          <w:szCs w:val="21"/>
        </w:rPr>
        <w:t>.开标一览表</w:t>
      </w:r>
    </w:p>
    <w:p>
      <w:pPr>
        <w:widowControl/>
        <w:jc w:val="left"/>
        <w:rPr>
          <w:color w:val="auto"/>
          <w:szCs w:val="21"/>
        </w:rPr>
      </w:pPr>
    </w:p>
    <w:p>
      <w:pPr>
        <w:widowControl/>
        <w:jc w:val="left"/>
        <w:rPr>
          <w:color w:val="auto"/>
          <w:szCs w:val="21"/>
        </w:rPr>
      </w:pPr>
    </w:p>
    <w:p>
      <w:pPr>
        <w:widowControl/>
        <w:jc w:val="left"/>
        <w:rPr>
          <w:color w:val="auto"/>
          <w:szCs w:val="21"/>
        </w:rPr>
      </w:pPr>
    </w:p>
    <w:p>
      <w:pPr>
        <w:rPr>
          <w:b/>
          <w:color w:val="auto"/>
          <w:szCs w:val="21"/>
        </w:rPr>
      </w:pPr>
    </w:p>
    <w:p>
      <w:pPr>
        <w:rPr>
          <w:b/>
          <w:color w:val="auto"/>
          <w:szCs w:val="21"/>
        </w:rPr>
      </w:pPr>
    </w:p>
    <w:p>
      <w:pPr>
        <w:rPr>
          <w:b/>
          <w:color w:val="auto"/>
          <w:szCs w:val="21"/>
        </w:rPr>
      </w:pPr>
      <w:r>
        <w:rPr>
          <w:rFonts w:hint="eastAsia"/>
          <w:b/>
          <w:color w:val="auto"/>
          <w:szCs w:val="21"/>
        </w:rPr>
        <w:t>格式详见政采云平台，且仅在政采云平台填写即可。</w:t>
      </w:r>
    </w:p>
    <w:bookmarkEnd w:id="104"/>
    <w:p>
      <w:pPr>
        <w:rPr>
          <w:b/>
          <w:color w:val="auto"/>
          <w:szCs w:val="21"/>
        </w:rPr>
      </w:pPr>
    </w:p>
    <w:sectPr>
      <w:headerReference r:id="rId19" w:type="default"/>
      <w:pgSz w:w="11906" w:h="16838"/>
      <w:pgMar w:top="1418" w:right="1133" w:bottom="1246" w:left="14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_x000B__x000C_">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Wingdings 2">
    <w:panose1 w:val="05020102010507070707"/>
    <w:charset w:val="02"/>
    <w:family w:val="roman"/>
    <w:pitch w:val="default"/>
    <w:sig w:usb0="00000000" w:usb1="00000000" w:usb2="00000000" w:usb3="00000000" w:csb0="80000000" w:csb1="00000000"/>
  </w:font>
  <w:font w:name="Microsoft YaHei UI">
    <w:panose1 w:val="020B0503020204020204"/>
    <w:charset w:val="86"/>
    <w:family w:val="swiss"/>
    <w:pitch w:val="default"/>
    <w:sig w:usb0="80000287" w:usb1="2ACF3C50" w:usb2="00000016" w:usb3="00000000" w:csb0="0004001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framePr w:wrap="around" w:vAnchor="text" w:hAnchor="margin" w:xAlign="center" w:y="1"/>
      <w:rPr>
        <w:rStyle w:val="56"/>
      </w:rPr>
    </w:pPr>
    <w:r>
      <w:fldChar w:fldCharType="begin"/>
    </w:r>
    <w:r>
      <w:rPr>
        <w:rStyle w:val="56"/>
      </w:rPr>
      <w:instrText xml:space="preserve">PAGE  </w:instrText>
    </w:r>
    <w:r>
      <w:fldChar w:fldCharType="end"/>
    </w:r>
  </w:p>
  <w:p>
    <w:pPr>
      <w:pStyle w:val="3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ind w:right="360"/>
      <w:jc w:val="both"/>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framePr w:wrap="around" w:vAnchor="text" w:hAnchor="margin" w:xAlign="center" w:y="1"/>
      <w:rPr>
        <w:rStyle w:val="56"/>
      </w:rPr>
    </w:pPr>
    <w:r>
      <w:fldChar w:fldCharType="begin"/>
    </w:r>
    <w:r>
      <w:rPr>
        <w:rStyle w:val="56"/>
      </w:rPr>
      <w:instrText xml:space="preserve">PAGE  </w:instrText>
    </w:r>
    <w:r>
      <w:fldChar w:fldCharType="separate"/>
    </w:r>
    <w:r>
      <w:rPr>
        <w:rStyle w:val="56"/>
      </w:rPr>
      <w:t>8</w:t>
    </w:r>
    <w:r>
      <w:fldChar w:fldCharType="end"/>
    </w:r>
  </w:p>
  <w:p>
    <w:pPr>
      <w:pStyle w:val="32"/>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center"/>
    </w:pPr>
    <w:r>
      <w:fldChar w:fldCharType="begin"/>
    </w:r>
    <w:r>
      <w:instrText xml:space="preserve">PAGE   \* MERGEFORMAT</w:instrText>
    </w:r>
    <w:r>
      <w:fldChar w:fldCharType="separate"/>
    </w:r>
    <w:r>
      <w:rPr>
        <w:lang w:val="zh-CN"/>
      </w:rPr>
      <w:t>1</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center"/>
    </w:pPr>
    <w:r>
      <w:fldChar w:fldCharType="begin"/>
    </w:r>
    <w:r>
      <w:instrText xml:space="preserve">PAGE   \* MERGEFORMAT</w:instrText>
    </w:r>
    <w:r>
      <w:fldChar w:fldCharType="separate"/>
    </w:r>
    <w:r>
      <w:rPr>
        <w:lang w:val="zh-CN"/>
      </w:rPr>
      <w:t>7</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framePr w:wrap="around" w:vAnchor="text" w:hAnchor="margin" w:xAlign="center" w:y="1"/>
      <w:rPr>
        <w:rStyle w:val="56"/>
      </w:rPr>
    </w:pPr>
    <w:r>
      <w:fldChar w:fldCharType="begin"/>
    </w:r>
    <w:r>
      <w:rPr>
        <w:rStyle w:val="56"/>
      </w:rPr>
      <w:instrText xml:space="preserve">PAGE  </w:instrText>
    </w:r>
    <w:r>
      <w:fldChar w:fldCharType="separate"/>
    </w:r>
    <w:r>
      <w:rPr>
        <w:rStyle w:val="56"/>
      </w:rPr>
      <w:t>57</w:t>
    </w:r>
    <w:r>
      <w:fldChar w:fldCharType="end"/>
    </w:r>
  </w:p>
  <w:p>
    <w:pPr>
      <w:pStyle w:val="32"/>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Bdr>
        <w:bottom w:val="none" w:color="auto" w:sz="0" w:space="0"/>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 w:val="18"/>
        <w:szCs w:val="18"/>
        <w:u w:val="single"/>
      </w:rPr>
    </w:pPr>
    <w:r>
      <w:rPr>
        <w:rFonts w:hint="eastAsia"/>
        <w:sz w:val="18"/>
        <w:szCs w:val="18"/>
        <w:u w:val="single"/>
      </w:rPr>
      <w:t xml:space="preserve">广西机电设备招标有限公司采购文件                                                           </w:t>
    </w:r>
    <w:r>
      <w:rPr>
        <w:sz w:val="18"/>
        <w:szCs w:val="18"/>
        <w:u w:val="singl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left"/>
    </w:pPr>
    <w:r>
      <w:rPr>
        <w:rFonts w:hint="eastAsia"/>
      </w:rPr>
      <w:t xml:space="preserve">广西机电设备招标有限公司采购文件                                                               </w:t>
    </w:r>
  </w:p>
  <w:p>
    <w:pPr>
      <w:pStyle w:val="3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left"/>
    </w:pPr>
    <w:r>
      <w:rPr>
        <w:rFonts w:hint="eastAsia"/>
      </w:rPr>
      <w:t xml:space="preserve">广西机电设备招标有限公司采购文件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left"/>
    </w:pPr>
    <w:r>
      <w:rPr>
        <w:rFonts w:hint="eastAsia"/>
      </w:rPr>
      <w:t xml:space="preserve">广西机电设备招标有限公司采购文件                                                         </w:t>
    </w:r>
  </w:p>
  <w:p>
    <w:pPr>
      <w:pStyle w:val="33"/>
      <w:pBdr>
        <w:bottom w:val="none" w:color="auto" w:sz="0" w:space="0"/>
      </w:pBdr>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Bdr>
        <w:bottom w:val="single" w:color="auto" w:sz="6" w:space="0"/>
      </w:pBdr>
      <w:jc w:val="left"/>
    </w:pPr>
    <w:r>
      <w:rPr>
        <w:rFonts w:hint="eastAsia"/>
      </w:rPr>
      <w:t xml:space="preserve">广西机电设备招标有限公司采购文件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left"/>
    </w:pPr>
    <w:r>
      <w:rPr>
        <w:rFonts w:hint="eastAsia"/>
      </w:rPr>
      <w:t xml:space="preserve">广西机电设备招标有限公司采购文件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left"/>
    </w:pPr>
    <w:r>
      <w:rPr>
        <w:rFonts w:hint="eastAsia"/>
      </w:rPr>
      <w:t xml:space="preserve">广西机电设备招标有限公司采购文件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left"/>
    </w:pPr>
    <w:r>
      <w:rPr>
        <w:rFonts w:hint="eastAsia"/>
      </w:rPr>
      <w:t xml:space="preserve">广西机电设备招标有限公司采购文件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 w:val="18"/>
        <w:szCs w:val="18"/>
        <w:u w:val="single"/>
      </w:rPr>
    </w:pPr>
    <w:r>
      <w:rPr>
        <w:rFonts w:hint="eastAsia"/>
        <w:sz w:val="18"/>
        <w:szCs w:val="18"/>
        <w:u w:val="single"/>
      </w:rPr>
      <w:t xml:space="preserve">广西机电设备招标有限公司采购文件                                                           </w:t>
    </w:r>
    <w:r>
      <w:rPr>
        <w:sz w:val="18"/>
        <w:szCs w:val="18"/>
        <w:u w:val="singl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ACD7B5"/>
    <w:multiLevelType w:val="singleLevel"/>
    <w:tmpl w:val="82ACD7B5"/>
    <w:lvl w:ilvl="0" w:tentative="0">
      <w:start w:val="1"/>
      <w:numFmt w:val="decimal"/>
      <w:suff w:val="nothing"/>
      <w:lvlText w:val="（%1）"/>
      <w:lvlJc w:val="left"/>
    </w:lvl>
  </w:abstractNum>
  <w:abstractNum w:abstractNumId="1">
    <w:nsid w:val="959B806D"/>
    <w:multiLevelType w:val="singleLevel"/>
    <w:tmpl w:val="959B806D"/>
    <w:lvl w:ilvl="0" w:tentative="0">
      <w:start w:val="1"/>
      <w:numFmt w:val="chineseCounting"/>
      <w:suff w:val="nothing"/>
      <w:lvlText w:val="%1、"/>
      <w:lvlJc w:val="left"/>
      <w:rPr>
        <w:rFonts w:hint="eastAsia"/>
      </w:rPr>
    </w:lvl>
  </w:abstractNum>
  <w:abstractNum w:abstractNumId="2">
    <w:nsid w:val="F3708BED"/>
    <w:multiLevelType w:val="singleLevel"/>
    <w:tmpl w:val="F3708BED"/>
    <w:lvl w:ilvl="0" w:tentative="0">
      <w:start w:val="5"/>
      <w:numFmt w:val="chineseCounting"/>
      <w:suff w:val="nothing"/>
      <w:lvlText w:val="%1、"/>
      <w:lvlJc w:val="left"/>
      <w:rPr>
        <w:rFonts w:hint="eastAsia"/>
      </w:rPr>
    </w:lvl>
  </w:abstractNum>
  <w:abstractNum w:abstractNumId="3">
    <w:nsid w:val="00000013"/>
    <w:multiLevelType w:val="multilevel"/>
    <w:tmpl w:val="00000013"/>
    <w:lvl w:ilvl="0" w:tentative="0">
      <w:start w:val="1"/>
      <w:numFmt w:val="decimal"/>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21BE5635"/>
    <w:multiLevelType w:val="singleLevel"/>
    <w:tmpl w:val="21BE5635"/>
    <w:lvl w:ilvl="0" w:tentative="0">
      <w:start w:val="3"/>
      <w:numFmt w:val="decimal"/>
      <w:lvlText w:val="%1."/>
      <w:lvlJc w:val="left"/>
      <w:pPr>
        <w:tabs>
          <w:tab w:val="left" w:pos="312"/>
        </w:tabs>
      </w:pPr>
    </w:lvl>
  </w:abstractNum>
  <w:abstractNum w:abstractNumId="5">
    <w:nsid w:val="789C49E6"/>
    <w:multiLevelType w:val="singleLevel"/>
    <w:tmpl w:val="789C49E6"/>
    <w:lvl w:ilvl="0" w:tentative="0">
      <w:start w:val="3"/>
      <w:numFmt w:val="decimal"/>
      <w:suff w:val="nothing"/>
      <w:lvlText w:val="%1．"/>
      <w:lvlJc w:val="left"/>
    </w:lvl>
  </w:abstractNum>
  <w:num w:numId="1">
    <w:abstractNumId w:val="4"/>
  </w:num>
  <w:num w:numId="2">
    <w:abstractNumId w:val="1"/>
  </w:num>
  <w:num w:numId="3">
    <w:abstractNumId w:val="2"/>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Q3NmYyOGMwMzQwZWY4Y2VmZjJjODAwZDIzMmM3YTEifQ=="/>
  </w:docVars>
  <w:rsids>
    <w:rsidRoot w:val="00172A27"/>
    <w:rsid w:val="000003EF"/>
    <w:rsid w:val="000005B6"/>
    <w:rsid w:val="0000091B"/>
    <w:rsid w:val="00000D0A"/>
    <w:rsid w:val="00000D19"/>
    <w:rsid w:val="00000E1A"/>
    <w:rsid w:val="0000104A"/>
    <w:rsid w:val="000014EC"/>
    <w:rsid w:val="000016CE"/>
    <w:rsid w:val="00001B3E"/>
    <w:rsid w:val="00001CD6"/>
    <w:rsid w:val="00001D90"/>
    <w:rsid w:val="0000215C"/>
    <w:rsid w:val="00002584"/>
    <w:rsid w:val="00002A53"/>
    <w:rsid w:val="00002DDA"/>
    <w:rsid w:val="00003DAE"/>
    <w:rsid w:val="00004272"/>
    <w:rsid w:val="000055EE"/>
    <w:rsid w:val="000058D7"/>
    <w:rsid w:val="00005E55"/>
    <w:rsid w:val="000067B7"/>
    <w:rsid w:val="00006E2C"/>
    <w:rsid w:val="000074D7"/>
    <w:rsid w:val="000079FF"/>
    <w:rsid w:val="00007B0D"/>
    <w:rsid w:val="000102A9"/>
    <w:rsid w:val="00011095"/>
    <w:rsid w:val="00011D72"/>
    <w:rsid w:val="00012078"/>
    <w:rsid w:val="000127F0"/>
    <w:rsid w:val="0001283C"/>
    <w:rsid w:val="00012E43"/>
    <w:rsid w:val="0001306C"/>
    <w:rsid w:val="0001312F"/>
    <w:rsid w:val="00013607"/>
    <w:rsid w:val="00013748"/>
    <w:rsid w:val="00013D41"/>
    <w:rsid w:val="0001408B"/>
    <w:rsid w:val="000143A3"/>
    <w:rsid w:val="00014DD6"/>
    <w:rsid w:val="0001598C"/>
    <w:rsid w:val="0001618B"/>
    <w:rsid w:val="00016C31"/>
    <w:rsid w:val="00020BB1"/>
    <w:rsid w:val="00020BF0"/>
    <w:rsid w:val="000215B7"/>
    <w:rsid w:val="000217BF"/>
    <w:rsid w:val="00021C98"/>
    <w:rsid w:val="00021CCD"/>
    <w:rsid w:val="00021EE3"/>
    <w:rsid w:val="00022368"/>
    <w:rsid w:val="000228AB"/>
    <w:rsid w:val="000233CA"/>
    <w:rsid w:val="00023652"/>
    <w:rsid w:val="00024633"/>
    <w:rsid w:val="00024B6F"/>
    <w:rsid w:val="00024F95"/>
    <w:rsid w:val="0002560A"/>
    <w:rsid w:val="000256C1"/>
    <w:rsid w:val="00025CAB"/>
    <w:rsid w:val="00025DA0"/>
    <w:rsid w:val="0002696D"/>
    <w:rsid w:val="0002754D"/>
    <w:rsid w:val="00027666"/>
    <w:rsid w:val="000276B2"/>
    <w:rsid w:val="00027A46"/>
    <w:rsid w:val="00027AF3"/>
    <w:rsid w:val="00030024"/>
    <w:rsid w:val="00030124"/>
    <w:rsid w:val="000305FD"/>
    <w:rsid w:val="0003084F"/>
    <w:rsid w:val="00030C2F"/>
    <w:rsid w:val="000311F9"/>
    <w:rsid w:val="00031757"/>
    <w:rsid w:val="00032533"/>
    <w:rsid w:val="00032686"/>
    <w:rsid w:val="0003274B"/>
    <w:rsid w:val="00032AD8"/>
    <w:rsid w:val="000331CC"/>
    <w:rsid w:val="0003322E"/>
    <w:rsid w:val="00033927"/>
    <w:rsid w:val="00035840"/>
    <w:rsid w:val="00035844"/>
    <w:rsid w:val="00036BAA"/>
    <w:rsid w:val="0003738D"/>
    <w:rsid w:val="00037C63"/>
    <w:rsid w:val="00037CE4"/>
    <w:rsid w:val="00040187"/>
    <w:rsid w:val="00040AC1"/>
    <w:rsid w:val="000418B1"/>
    <w:rsid w:val="00041BFC"/>
    <w:rsid w:val="00042BF9"/>
    <w:rsid w:val="00042F4A"/>
    <w:rsid w:val="00043295"/>
    <w:rsid w:val="00043829"/>
    <w:rsid w:val="000441ED"/>
    <w:rsid w:val="00044EE7"/>
    <w:rsid w:val="00045069"/>
    <w:rsid w:val="00045828"/>
    <w:rsid w:val="00045947"/>
    <w:rsid w:val="000462A8"/>
    <w:rsid w:val="00046360"/>
    <w:rsid w:val="0004653D"/>
    <w:rsid w:val="000465AB"/>
    <w:rsid w:val="00046900"/>
    <w:rsid w:val="00046E59"/>
    <w:rsid w:val="0004716B"/>
    <w:rsid w:val="000472E6"/>
    <w:rsid w:val="000479CD"/>
    <w:rsid w:val="000500E6"/>
    <w:rsid w:val="0005037C"/>
    <w:rsid w:val="000504FE"/>
    <w:rsid w:val="000513A7"/>
    <w:rsid w:val="00053BFC"/>
    <w:rsid w:val="000541A4"/>
    <w:rsid w:val="0005428F"/>
    <w:rsid w:val="00054870"/>
    <w:rsid w:val="00054ABD"/>
    <w:rsid w:val="00054F7D"/>
    <w:rsid w:val="00055230"/>
    <w:rsid w:val="00055557"/>
    <w:rsid w:val="00055A8A"/>
    <w:rsid w:val="00055B65"/>
    <w:rsid w:val="00055E6D"/>
    <w:rsid w:val="00055FFC"/>
    <w:rsid w:val="0005625F"/>
    <w:rsid w:val="0005649E"/>
    <w:rsid w:val="00056597"/>
    <w:rsid w:val="0005700C"/>
    <w:rsid w:val="00057393"/>
    <w:rsid w:val="00057629"/>
    <w:rsid w:val="00057E45"/>
    <w:rsid w:val="000606B6"/>
    <w:rsid w:val="00060F97"/>
    <w:rsid w:val="00062637"/>
    <w:rsid w:val="000631AC"/>
    <w:rsid w:val="000631B7"/>
    <w:rsid w:val="000637FF"/>
    <w:rsid w:val="000639D4"/>
    <w:rsid w:val="00063D47"/>
    <w:rsid w:val="00064A48"/>
    <w:rsid w:val="00064C80"/>
    <w:rsid w:val="000655D7"/>
    <w:rsid w:val="00065AB7"/>
    <w:rsid w:val="00065D71"/>
    <w:rsid w:val="000667DB"/>
    <w:rsid w:val="000673D8"/>
    <w:rsid w:val="00067B14"/>
    <w:rsid w:val="00067DE7"/>
    <w:rsid w:val="000706AC"/>
    <w:rsid w:val="00070950"/>
    <w:rsid w:val="000709D3"/>
    <w:rsid w:val="000712F8"/>
    <w:rsid w:val="00071309"/>
    <w:rsid w:val="00071A6A"/>
    <w:rsid w:val="00071C95"/>
    <w:rsid w:val="00072A95"/>
    <w:rsid w:val="00072E1C"/>
    <w:rsid w:val="00072E6E"/>
    <w:rsid w:val="00074923"/>
    <w:rsid w:val="00074FED"/>
    <w:rsid w:val="000750EA"/>
    <w:rsid w:val="00075286"/>
    <w:rsid w:val="00076417"/>
    <w:rsid w:val="00077698"/>
    <w:rsid w:val="00077733"/>
    <w:rsid w:val="00077891"/>
    <w:rsid w:val="000778ED"/>
    <w:rsid w:val="0007791D"/>
    <w:rsid w:val="0007797E"/>
    <w:rsid w:val="0008017C"/>
    <w:rsid w:val="00080AA6"/>
    <w:rsid w:val="0008186A"/>
    <w:rsid w:val="00081C1C"/>
    <w:rsid w:val="000822F0"/>
    <w:rsid w:val="00082611"/>
    <w:rsid w:val="0008264F"/>
    <w:rsid w:val="0008278B"/>
    <w:rsid w:val="00082EFD"/>
    <w:rsid w:val="0008372E"/>
    <w:rsid w:val="000839ED"/>
    <w:rsid w:val="00083A64"/>
    <w:rsid w:val="00083B97"/>
    <w:rsid w:val="00083DE9"/>
    <w:rsid w:val="0008480B"/>
    <w:rsid w:val="00084DAF"/>
    <w:rsid w:val="000856A1"/>
    <w:rsid w:val="0008572C"/>
    <w:rsid w:val="000859E6"/>
    <w:rsid w:val="00085F62"/>
    <w:rsid w:val="00085FB6"/>
    <w:rsid w:val="000866A9"/>
    <w:rsid w:val="00086C00"/>
    <w:rsid w:val="00086EC2"/>
    <w:rsid w:val="00087358"/>
    <w:rsid w:val="000873F5"/>
    <w:rsid w:val="00087AF8"/>
    <w:rsid w:val="00087E3D"/>
    <w:rsid w:val="000900DF"/>
    <w:rsid w:val="00090193"/>
    <w:rsid w:val="0009021F"/>
    <w:rsid w:val="00090373"/>
    <w:rsid w:val="00090FAF"/>
    <w:rsid w:val="00091B1D"/>
    <w:rsid w:val="00091D8D"/>
    <w:rsid w:val="0009229B"/>
    <w:rsid w:val="00093DF8"/>
    <w:rsid w:val="000941F6"/>
    <w:rsid w:val="000945C5"/>
    <w:rsid w:val="000947F1"/>
    <w:rsid w:val="00094ECF"/>
    <w:rsid w:val="00094F56"/>
    <w:rsid w:val="0009592E"/>
    <w:rsid w:val="00095D1D"/>
    <w:rsid w:val="00096B35"/>
    <w:rsid w:val="00096DFE"/>
    <w:rsid w:val="0009715C"/>
    <w:rsid w:val="000973E6"/>
    <w:rsid w:val="000A0DB9"/>
    <w:rsid w:val="000A10DB"/>
    <w:rsid w:val="000A1466"/>
    <w:rsid w:val="000A1F25"/>
    <w:rsid w:val="000A2968"/>
    <w:rsid w:val="000A346E"/>
    <w:rsid w:val="000A3515"/>
    <w:rsid w:val="000A3518"/>
    <w:rsid w:val="000A3F79"/>
    <w:rsid w:val="000A5540"/>
    <w:rsid w:val="000A59B9"/>
    <w:rsid w:val="000A5CFB"/>
    <w:rsid w:val="000A66A7"/>
    <w:rsid w:val="000A6F1D"/>
    <w:rsid w:val="000A70C7"/>
    <w:rsid w:val="000A7238"/>
    <w:rsid w:val="000A791D"/>
    <w:rsid w:val="000B09FE"/>
    <w:rsid w:val="000B0EFF"/>
    <w:rsid w:val="000B15EF"/>
    <w:rsid w:val="000B2225"/>
    <w:rsid w:val="000B26D6"/>
    <w:rsid w:val="000B316D"/>
    <w:rsid w:val="000B3194"/>
    <w:rsid w:val="000B3741"/>
    <w:rsid w:val="000B3CFE"/>
    <w:rsid w:val="000B42D5"/>
    <w:rsid w:val="000B4EF3"/>
    <w:rsid w:val="000B522C"/>
    <w:rsid w:val="000B554C"/>
    <w:rsid w:val="000B588F"/>
    <w:rsid w:val="000B5D87"/>
    <w:rsid w:val="000B67AE"/>
    <w:rsid w:val="000B6F18"/>
    <w:rsid w:val="000B7189"/>
    <w:rsid w:val="000B7E6D"/>
    <w:rsid w:val="000C11FD"/>
    <w:rsid w:val="000C350A"/>
    <w:rsid w:val="000C3CDF"/>
    <w:rsid w:val="000C4020"/>
    <w:rsid w:val="000C41AA"/>
    <w:rsid w:val="000C4959"/>
    <w:rsid w:val="000C4988"/>
    <w:rsid w:val="000C4E28"/>
    <w:rsid w:val="000C50DF"/>
    <w:rsid w:val="000C59D1"/>
    <w:rsid w:val="000C61CD"/>
    <w:rsid w:val="000C7045"/>
    <w:rsid w:val="000C757A"/>
    <w:rsid w:val="000C7A24"/>
    <w:rsid w:val="000C7D9F"/>
    <w:rsid w:val="000D1274"/>
    <w:rsid w:val="000D12D5"/>
    <w:rsid w:val="000D1B95"/>
    <w:rsid w:val="000D1C10"/>
    <w:rsid w:val="000D1E5A"/>
    <w:rsid w:val="000D38A6"/>
    <w:rsid w:val="000D3E1B"/>
    <w:rsid w:val="000D4061"/>
    <w:rsid w:val="000D4860"/>
    <w:rsid w:val="000D48FB"/>
    <w:rsid w:val="000D4B4F"/>
    <w:rsid w:val="000D4C66"/>
    <w:rsid w:val="000D4EC1"/>
    <w:rsid w:val="000D549B"/>
    <w:rsid w:val="000D55FD"/>
    <w:rsid w:val="000D5634"/>
    <w:rsid w:val="000D574F"/>
    <w:rsid w:val="000D5E20"/>
    <w:rsid w:val="000D6768"/>
    <w:rsid w:val="000E01DF"/>
    <w:rsid w:val="000E0FA4"/>
    <w:rsid w:val="000E1C04"/>
    <w:rsid w:val="000E2AD1"/>
    <w:rsid w:val="000E3D2F"/>
    <w:rsid w:val="000E4340"/>
    <w:rsid w:val="000E4712"/>
    <w:rsid w:val="000E4718"/>
    <w:rsid w:val="000E612C"/>
    <w:rsid w:val="000E6237"/>
    <w:rsid w:val="000E6D38"/>
    <w:rsid w:val="000E6FA0"/>
    <w:rsid w:val="000E72E7"/>
    <w:rsid w:val="000E72F6"/>
    <w:rsid w:val="000E75B3"/>
    <w:rsid w:val="000E7CC8"/>
    <w:rsid w:val="000F1264"/>
    <w:rsid w:val="000F1266"/>
    <w:rsid w:val="000F1B78"/>
    <w:rsid w:val="000F1E74"/>
    <w:rsid w:val="000F1F51"/>
    <w:rsid w:val="000F1FB0"/>
    <w:rsid w:val="000F2181"/>
    <w:rsid w:val="000F24AC"/>
    <w:rsid w:val="000F254B"/>
    <w:rsid w:val="000F2830"/>
    <w:rsid w:val="000F2F60"/>
    <w:rsid w:val="000F3326"/>
    <w:rsid w:val="000F4B3A"/>
    <w:rsid w:val="000F4EDD"/>
    <w:rsid w:val="000F5331"/>
    <w:rsid w:val="000F55C9"/>
    <w:rsid w:val="000F5E8B"/>
    <w:rsid w:val="000F6242"/>
    <w:rsid w:val="000F6F32"/>
    <w:rsid w:val="000F70F9"/>
    <w:rsid w:val="000F75A8"/>
    <w:rsid w:val="000F76E0"/>
    <w:rsid w:val="000F77B4"/>
    <w:rsid w:val="00100331"/>
    <w:rsid w:val="00101255"/>
    <w:rsid w:val="001016BB"/>
    <w:rsid w:val="0010251A"/>
    <w:rsid w:val="00102BC3"/>
    <w:rsid w:val="00103458"/>
    <w:rsid w:val="00104AFF"/>
    <w:rsid w:val="001054B0"/>
    <w:rsid w:val="00105A06"/>
    <w:rsid w:val="00105B2E"/>
    <w:rsid w:val="00107326"/>
    <w:rsid w:val="001078F4"/>
    <w:rsid w:val="00110797"/>
    <w:rsid w:val="00111ECD"/>
    <w:rsid w:val="001121DD"/>
    <w:rsid w:val="0011227C"/>
    <w:rsid w:val="00112DBF"/>
    <w:rsid w:val="00113646"/>
    <w:rsid w:val="00113992"/>
    <w:rsid w:val="0011487E"/>
    <w:rsid w:val="001149C5"/>
    <w:rsid w:val="0011539F"/>
    <w:rsid w:val="00116015"/>
    <w:rsid w:val="00116258"/>
    <w:rsid w:val="00116781"/>
    <w:rsid w:val="00117559"/>
    <w:rsid w:val="0012026D"/>
    <w:rsid w:val="00120457"/>
    <w:rsid w:val="001204EB"/>
    <w:rsid w:val="0012077F"/>
    <w:rsid w:val="00120813"/>
    <w:rsid w:val="0012099E"/>
    <w:rsid w:val="00120E60"/>
    <w:rsid w:val="0012130E"/>
    <w:rsid w:val="001213B0"/>
    <w:rsid w:val="00121741"/>
    <w:rsid w:val="00121832"/>
    <w:rsid w:val="0012235C"/>
    <w:rsid w:val="00122A75"/>
    <w:rsid w:val="001241D1"/>
    <w:rsid w:val="00124985"/>
    <w:rsid w:val="00125609"/>
    <w:rsid w:val="00125FC1"/>
    <w:rsid w:val="00126655"/>
    <w:rsid w:val="00126707"/>
    <w:rsid w:val="001269E0"/>
    <w:rsid w:val="00126C18"/>
    <w:rsid w:val="00126EBE"/>
    <w:rsid w:val="0012725A"/>
    <w:rsid w:val="00127E1B"/>
    <w:rsid w:val="00127FC8"/>
    <w:rsid w:val="001318F4"/>
    <w:rsid w:val="0013190A"/>
    <w:rsid w:val="00131945"/>
    <w:rsid w:val="00131C94"/>
    <w:rsid w:val="00131DE6"/>
    <w:rsid w:val="001326DF"/>
    <w:rsid w:val="00132AD8"/>
    <w:rsid w:val="00132CCE"/>
    <w:rsid w:val="00133D01"/>
    <w:rsid w:val="00134510"/>
    <w:rsid w:val="00135A65"/>
    <w:rsid w:val="00136073"/>
    <w:rsid w:val="001361F7"/>
    <w:rsid w:val="001364D5"/>
    <w:rsid w:val="00136606"/>
    <w:rsid w:val="00136806"/>
    <w:rsid w:val="001369A6"/>
    <w:rsid w:val="00136A93"/>
    <w:rsid w:val="00136BD6"/>
    <w:rsid w:val="00136DBC"/>
    <w:rsid w:val="00136F77"/>
    <w:rsid w:val="00136FA8"/>
    <w:rsid w:val="00137856"/>
    <w:rsid w:val="00137AF6"/>
    <w:rsid w:val="00137BD8"/>
    <w:rsid w:val="00140291"/>
    <w:rsid w:val="001404CD"/>
    <w:rsid w:val="00140BCF"/>
    <w:rsid w:val="00141AA7"/>
    <w:rsid w:val="00141AE5"/>
    <w:rsid w:val="00141E8C"/>
    <w:rsid w:val="001422D4"/>
    <w:rsid w:val="00142890"/>
    <w:rsid w:val="00143DF9"/>
    <w:rsid w:val="001442C2"/>
    <w:rsid w:val="001449E1"/>
    <w:rsid w:val="00144D5F"/>
    <w:rsid w:val="00145054"/>
    <w:rsid w:val="00145135"/>
    <w:rsid w:val="00145F55"/>
    <w:rsid w:val="0014647C"/>
    <w:rsid w:val="00147916"/>
    <w:rsid w:val="0014795D"/>
    <w:rsid w:val="001479AA"/>
    <w:rsid w:val="00147F00"/>
    <w:rsid w:val="00150564"/>
    <w:rsid w:val="001506A7"/>
    <w:rsid w:val="00150882"/>
    <w:rsid w:val="00150A4A"/>
    <w:rsid w:val="001518B5"/>
    <w:rsid w:val="00151BBA"/>
    <w:rsid w:val="0015252D"/>
    <w:rsid w:val="00152656"/>
    <w:rsid w:val="00152C00"/>
    <w:rsid w:val="00152C2B"/>
    <w:rsid w:val="00152E98"/>
    <w:rsid w:val="00153084"/>
    <w:rsid w:val="00153BED"/>
    <w:rsid w:val="00154304"/>
    <w:rsid w:val="001546D6"/>
    <w:rsid w:val="0015477A"/>
    <w:rsid w:val="001549D0"/>
    <w:rsid w:val="00154F0A"/>
    <w:rsid w:val="0015563E"/>
    <w:rsid w:val="00156891"/>
    <w:rsid w:val="00156958"/>
    <w:rsid w:val="00156BA3"/>
    <w:rsid w:val="00157320"/>
    <w:rsid w:val="001579B9"/>
    <w:rsid w:val="00157CBD"/>
    <w:rsid w:val="001602EB"/>
    <w:rsid w:val="001610EB"/>
    <w:rsid w:val="00161C1F"/>
    <w:rsid w:val="00161C2F"/>
    <w:rsid w:val="00162013"/>
    <w:rsid w:val="001620B6"/>
    <w:rsid w:val="00162664"/>
    <w:rsid w:val="00162995"/>
    <w:rsid w:val="00163194"/>
    <w:rsid w:val="0016397B"/>
    <w:rsid w:val="00163DB9"/>
    <w:rsid w:val="001641BB"/>
    <w:rsid w:val="00164A8F"/>
    <w:rsid w:val="00164E8A"/>
    <w:rsid w:val="00164F8F"/>
    <w:rsid w:val="001650BB"/>
    <w:rsid w:val="0016529F"/>
    <w:rsid w:val="001658F5"/>
    <w:rsid w:val="00165F38"/>
    <w:rsid w:val="001661B8"/>
    <w:rsid w:val="00166237"/>
    <w:rsid w:val="00166416"/>
    <w:rsid w:val="0016644D"/>
    <w:rsid w:val="00166EE6"/>
    <w:rsid w:val="001672AF"/>
    <w:rsid w:val="00167629"/>
    <w:rsid w:val="0016783A"/>
    <w:rsid w:val="00170740"/>
    <w:rsid w:val="00170A14"/>
    <w:rsid w:val="0017112B"/>
    <w:rsid w:val="001726CF"/>
    <w:rsid w:val="00172A27"/>
    <w:rsid w:val="00172BAF"/>
    <w:rsid w:val="00172EC0"/>
    <w:rsid w:val="00173191"/>
    <w:rsid w:val="001737FE"/>
    <w:rsid w:val="0017426E"/>
    <w:rsid w:val="00174E71"/>
    <w:rsid w:val="00176E50"/>
    <w:rsid w:val="0017723E"/>
    <w:rsid w:val="001772FF"/>
    <w:rsid w:val="001775DA"/>
    <w:rsid w:val="00177AD0"/>
    <w:rsid w:val="001808E8"/>
    <w:rsid w:val="00180AE0"/>
    <w:rsid w:val="00181135"/>
    <w:rsid w:val="00181C0B"/>
    <w:rsid w:val="00182382"/>
    <w:rsid w:val="00182A1C"/>
    <w:rsid w:val="00182DF8"/>
    <w:rsid w:val="00183951"/>
    <w:rsid w:val="00183CB0"/>
    <w:rsid w:val="00183CC7"/>
    <w:rsid w:val="001842FD"/>
    <w:rsid w:val="00185DB6"/>
    <w:rsid w:val="00186AE7"/>
    <w:rsid w:val="00187892"/>
    <w:rsid w:val="00187948"/>
    <w:rsid w:val="001879F2"/>
    <w:rsid w:val="00187DFB"/>
    <w:rsid w:val="001900A7"/>
    <w:rsid w:val="00190463"/>
    <w:rsid w:val="001913D1"/>
    <w:rsid w:val="00191435"/>
    <w:rsid w:val="00191F8F"/>
    <w:rsid w:val="00192213"/>
    <w:rsid w:val="001927A2"/>
    <w:rsid w:val="001927AF"/>
    <w:rsid w:val="00192C5B"/>
    <w:rsid w:val="00192CB9"/>
    <w:rsid w:val="001930B3"/>
    <w:rsid w:val="00193169"/>
    <w:rsid w:val="0019335B"/>
    <w:rsid w:val="0019394C"/>
    <w:rsid w:val="00193CA3"/>
    <w:rsid w:val="00193D49"/>
    <w:rsid w:val="0019423A"/>
    <w:rsid w:val="00195648"/>
    <w:rsid w:val="001959DC"/>
    <w:rsid w:val="00195F44"/>
    <w:rsid w:val="00195F61"/>
    <w:rsid w:val="00196019"/>
    <w:rsid w:val="00196A3F"/>
    <w:rsid w:val="00196B94"/>
    <w:rsid w:val="00196C83"/>
    <w:rsid w:val="00196E92"/>
    <w:rsid w:val="001A0614"/>
    <w:rsid w:val="001A0896"/>
    <w:rsid w:val="001A168C"/>
    <w:rsid w:val="001A1F4F"/>
    <w:rsid w:val="001A315B"/>
    <w:rsid w:val="001A3856"/>
    <w:rsid w:val="001A3F6D"/>
    <w:rsid w:val="001A4029"/>
    <w:rsid w:val="001A4A30"/>
    <w:rsid w:val="001A4C94"/>
    <w:rsid w:val="001A5DA1"/>
    <w:rsid w:val="001A636F"/>
    <w:rsid w:val="001A6601"/>
    <w:rsid w:val="001A775C"/>
    <w:rsid w:val="001A7CBA"/>
    <w:rsid w:val="001B064E"/>
    <w:rsid w:val="001B0A5F"/>
    <w:rsid w:val="001B1736"/>
    <w:rsid w:val="001B18AC"/>
    <w:rsid w:val="001B1AE6"/>
    <w:rsid w:val="001B1CC4"/>
    <w:rsid w:val="001B2033"/>
    <w:rsid w:val="001B32D3"/>
    <w:rsid w:val="001B32E4"/>
    <w:rsid w:val="001B3383"/>
    <w:rsid w:val="001B3778"/>
    <w:rsid w:val="001B3DDF"/>
    <w:rsid w:val="001B3E30"/>
    <w:rsid w:val="001B4ED3"/>
    <w:rsid w:val="001B50CC"/>
    <w:rsid w:val="001B5234"/>
    <w:rsid w:val="001B5355"/>
    <w:rsid w:val="001B6049"/>
    <w:rsid w:val="001B60D4"/>
    <w:rsid w:val="001B6482"/>
    <w:rsid w:val="001B6B84"/>
    <w:rsid w:val="001B7014"/>
    <w:rsid w:val="001B7C32"/>
    <w:rsid w:val="001B7CBF"/>
    <w:rsid w:val="001C0FC6"/>
    <w:rsid w:val="001C148A"/>
    <w:rsid w:val="001C15DB"/>
    <w:rsid w:val="001C1814"/>
    <w:rsid w:val="001C1FAC"/>
    <w:rsid w:val="001C21B9"/>
    <w:rsid w:val="001C3D80"/>
    <w:rsid w:val="001C4361"/>
    <w:rsid w:val="001C51A3"/>
    <w:rsid w:val="001C5358"/>
    <w:rsid w:val="001C56D1"/>
    <w:rsid w:val="001C5E07"/>
    <w:rsid w:val="001C7792"/>
    <w:rsid w:val="001C7A8C"/>
    <w:rsid w:val="001D05FE"/>
    <w:rsid w:val="001D07C6"/>
    <w:rsid w:val="001D15D9"/>
    <w:rsid w:val="001D1747"/>
    <w:rsid w:val="001D2019"/>
    <w:rsid w:val="001D23EF"/>
    <w:rsid w:val="001D2B65"/>
    <w:rsid w:val="001D3185"/>
    <w:rsid w:val="001D3534"/>
    <w:rsid w:val="001D42DA"/>
    <w:rsid w:val="001D537F"/>
    <w:rsid w:val="001D547D"/>
    <w:rsid w:val="001D6E58"/>
    <w:rsid w:val="001D723E"/>
    <w:rsid w:val="001D7681"/>
    <w:rsid w:val="001D7E8C"/>
    <w:rsid w:val="001E0CA5"/>
    <w:rsid w:val="001E131D"/>
    <w:rsid w:val="001E1F74"/>
    <w:rsid w:val="001E1FA3"/>
    <w:rsid w:val="001E20BB"/>
    <w:rsid w:val="001E21AC"/>
    <w:rsid w:val="001E24A4"/>
    <w:rsid w:val="001E28CC"/>
    <w:rsid w:val="001E321D"/>
    <w:rsid w:val="001E38B1"/>
    <w:rsid w:val="001E40F5"/>
    <w:rsid w:val="001E478C"/>
    <w:rsid w:val="001E4865"/>
    <w:rsid w:val="001E4C00"/>
    <w:rsid w:val="001E4D12"/>
    <w:rsid w:val="001E4D56"/>
    <w:rsid w:val="001E60F0"/>
    <w:rsid w:val="001E6214"/>
    <w:rsid w:val="001E7179"/>
    <w:rsid w:val="001E71E6"/>
    <w:rsid w:val="001E72E0"/>
    <w:rsid w:val="001E7B04"/>
    <w:rsid w:val="001F0064"/>
    <w:rsid w:val="001F1396"/>
    <w:rsid w:val="001F16DF"/>
    <w:rsid w:val="001F1960"/>
    <w:rsid w:val="001F2EB1"/>
    <w:rsid w:val="001F3105"/>
    <w:rsid w:val="001F3DAE"/>
    <w:rsid w:val="001F40B0"/>
    <w:rsid w:val="001F4A98"/>
    <w:rsid w:val="001F4E02"/>
    <w:rsid w:val="001F6159"/>
    <w:rsid w:val="001F62FF"/>
    <w:rsid w:val="001F63FA"/>
    <w:rsid w:val="001F6680"/>
    <w:rsid w:val="001F6CE9"/>
    <w:rsid w:val="001F6FB6"/>
    <w:rsid w:val="001F740D"/>
    <w:rsid w:val="001F792F"/>
    <w:rsid w:val="001F7AC9"/>
    <w:rsid w:val="001F7B9E"/>
    <w:rsid w:val="001F7BE1"/>
    <w:rsid w:val="001F7C97"/>
    <w:rsid w:val="00200A84"/>
    <w:rsid w:val="00200DCF"/>
    <w:rsid w:val="00200E44"/>
    <w:rsid w:val="002014F7"/>
    <w:rsid w:val="00201A35"/>
    <w:rsid w:val="00201A96"/>
    <w:rsid w:val="00202576"/>
    <w:rsid w:val="00202B50"/>
    <w:rsid w:val="00202EF9"/>
    <w:rsid w:val="00203204"/>
    <w:rsid w:val="00203236"/>
    <w:rsid w:val="002036E8"/>
    <w:rsid w:val="00203B3F"/>
    <w:rsid w:val="002048AD"/>
    <w:rsid w:val="002051F7"/>
    <w:rsid w:val="0020531C"/>
    <w:rsid w:val="002067D2"/>
    <w:rsid w:val="0020695B"/>
    <w:rsid w:val="0020708A"/>
    <w:rsid w:val="00207642"/>
    <w:rsid w:val="00207F6A"/>
    <w:rsid w:val="00210256"/>
    <w:rsid w:val="00210394"/>
    <w:rsid w:val="0021076E"/>
    <w:rsid w:val="00211882"/>
    <w:rsid w:val="00212B08"/>
    <w:rsid w:val="00212EE4"/>
    <w:rsid w:val="00212F20"/>
    <w:rsid w:val="00213289"/>
    <w:rsid w:val="0021364B"/>
    <w:rsid w:val="00213819"/>
    <w:rsid w:val="00213825"/>
    <w:rsid w:val="00214189"/>
    <w:rsid w:val="00214ADD"/>
    <w:rsid w:val="0021525B"/>
    <w:rsid w:val="00216B19"/>
    <w:rsid w:val="00216B94"/>
    <w:rsid w:val="00216CCC"/>
    <w:rsid w:val="00216E16"/>
    <w:rsid w:val="00217250"/>
    <w:rsid w:val="0021738B"/>
    <w:rsid w:val="002175E6"/>
    <w:rsid w:val="00217F25"/>
    <w:rsid w:val="00220082"/>
    <w:rsid w:val="002203BD"/>
    <w:rsid w:val="00220630"/>
    <w:rsid w:val="00220776"/>
    <w:rsid w:val="002210C8"/>
    <w:rsid w:val="002221C3"/>
    <w:rsid w:val="002223BA"/>
    <w:rsid w:val="00222572"/>
    <w:rsid w:val="0022299A"/>
    <w:rsid w:val="00222B91"/>
    <w:rsid w:val="002230FD"/>
    <w:rsid w:val="002232B3"/>
    <w:rsid w:val="002242DB"/>
    <w:rsid w:val="00224756"/>
    <w:rsid w:val="00224878"/>
    <w:rsid w:val="00224B93"/>
    <w:rsid w:val="0022514D"/>
    <w:rsid w:val="002254D7"/>
    <w:rsid w:val="00225ADB"/>
    <w:rsid w:val="00225CEE"/>
    <w:rsid w:val="00226447"/>
    <w:rsid w:val="002266DB"/>
    <w:rsid w:val="00226894"/>
    <w:rsid w:val="002268B0"/>
    <w:rsid w:val="00226A4A"/>
    <w:rsid w:val="00227577"/>
    <w:rsid w:val="002277E9"/>
    <w:rsid w:val="002279E3"/>
    <w:rsid w:val="002303A6"/>
    <w:rsid w:val="00230894"/>
    <w:rsid w:val="002308E9"/>
    <w:rsid w:val="002309DD"/>
    <w:rsid w:val="00230C2C"/>
    <w:rsid w:val="00230CBE"/>
    <w:rsid w:val="00231B36"/>
    <w:rsid w:val="00231F9E"/>
    <w:rsid w:val="00232498"/>
    <w:rsid w:val="0023254E"/>
    <w:rsid w:val="00232733"/>
    <w:rsid w:val="00232785"/>
    <w:rsid w:val="00232918"/>
    <w:rsid w:val="0023350C"/>
    <w:rsid w:val="002337A4"/>
    <w:rsid w:val="00233E70"/>
    <w:rsid w:val="00234281"/>
    <w:rsid w:val="00234FD3"/>
    <w:rsid w:val="00235E3F"/>
    <w:rsid w:val="00236A66"/>
    <w:rsid w:val="00236B90"/>
    <w:rsid w:val="002371BF"/>
    <w:rsid w:val="00237427"/>
    <w:rsid w:val="002376E3"/>
    <w:rsid w:val="00237820"/>
    <w:rsid w:val="00237A87"/>
    <w:rsid w:val="002403A1"/>
    <w:rsid w:val="002404C3"/>
    <w:rsid w:val="002406A2"/>
    <w:rsid w:val="00240F64"/>
    <w:rsid w:val="00241129"/>
    <w:rsid w:val="00241840"/>
    <w:rsid w:val="00241C36"/>
    <w:rsid w:val="00241F48"/>
    <w:rsid w:val="002427EB"/>
    <w:rsid w:val="002427F0"/>
    <w:rsid w:val="002428BD"/>
    <w:rsid w:val="002429C1"/>
    <w:rsid w:val="00242A17"/>
    <w:rsid w:val="00242E09"/>
    <w:rsid w:val="00242EEF"/>
    <w:rsid w:val="00243026"/>
    <w:rsid w:val="002432B7"/>
    <w:rsid w:val="0024349B"/>
    <w:rsid w:val="00243BB5"/>
    <w:rsid w:val="0024400C"/>
    <w:rsid w:val="002440B2"/>
    <w:rsid w:val="002458CE"/>
    <w:rsid w:val="00246513"/>
    <w:rsid w:val="00246B1D"/>
    <w:rsid w:val="00247BDE"/>
    <w:rsid w:val="00247CEA"/>
    <w:rsid w:val="00250B11"/>
    <w:rsid w:val="00251EB3"/>
    <w:rsid w:val="00252472"/>
    <w:rsid w:val="002525A9"/>
    <w:rsid w:val="0025329B"/>
    <w:rsid w:val="002538BA"/>
    <w:rsid w:val="00253ABF"/>
    <w:rsid w:val="00253EC4"/>
    <w:rsid w:val="0025418A"/>
    <w:rsid w:val="00254240"/>
    <w:rsid w:val="00254266"/>
    <w:rsid w:val="00255BC2"/>
    <w:rsid w:val="002561BF"/>
    <w:rsid w:val="00256539"/>
    <w:rsid w:val="00256DEA"/>
    <w:rsid w:val="002572EB"/>
    <w:rsid w:val="00257C49"/>
    <w:rsid w:val="00257C4C"/>
    <w:rsid w:val="0026072F"/>
    <w:rsid w:val="00260952"/>
    <w:rsid w:val="00260A98"/>
    <w:rsid w:val="00261192"/>
    <w:rsid w:val="00261A11"/>
    <w:rsid w:val="00261CB5"/>
    <w:rsid w:val="0026202B"/>
    <w:rsid w:val="002625F2"/>
    <w:rsid w:val="00262869"/>
    <w:rsid w:val="00263268"/>
    <w:rsid w:val="00263413"/>
    <w:rsid w:val="002635F3"/>
    <w:rsid w:val="0026431A"/>
    <w:rsid w:val="002644A4"/>
    <w:rsid w:val="0026495A"/>
    <w:rsid w:val="00265066"/>
    <w:rsid w:val="00265C93"/>
    <w:rsid w:val="00266300"/>
    <w:rsid w:val="0026640E"/>
    <w:rsid w:val="002664CA"/>
    <w:rsid w:val="00271150"/>
    <w:rsid w:val="00271B87"/>
    <w:rsid w:val="00271C7B"/>
    <w:rsid w:val="00271D11"/>
    <w:rsid w:val="0027296D"/>
    <w:rsid w:val="00272D84"/>
    <w:rsid w:val="002735DD"/>
    <w:rsid w:val="00273892"/>
    <w:rsid w:val="002747CC"/>
    <w:rsid w:val="00274830"/>
    <w:rsid w:val="0027494B"/>
    <w:rsid w:val="00274DF9"/>
    <w:rsid w:val="00275170"/>
    <w:rsid w:val="00275D77"/>
    <w:rsid w:val="002778F2"/>
    <w:rsid w:val="00277F52"/>
    <w:rsid w:val="002809A3"/>
    <w:rsid w:val="00281979"/>
    <w:rsid w:val="00281E85"/>
    <w:rsid w:val="002837F8"/>
    <w:rsid w:val="00283978"/>
    <w:rsid w:val="00283ACF"/>
    <w:rsid w:val="00283C0D"/>
    <w:rsid w:val="00283C99"/>
    <w:rsid w:val="0028473D"/>
    <w:rsid w:val="00284850"/>
    <w:rsid w:val="00284D22"/>
    <w:rsid w:val="00285326"/>
    <w:rsid w:val="00285DE8"/>
    <w:rsid w:val="002866E2"/>
    <w:rsid w:val="00290891"/>
    <w:rsid w:val="0029132B"/>
    <w:rsid w:val="00291DA9"/>
    <w:rsid w:val="00292773"/>
    <w:rsid w:val="002927AC"/>
    <w:rsid w:val="00292A11"/>
    <w:rsid w:val="0029469F"/>
    <w:rsid w:val="00294A5F"/>
    <w:rsid w:val="0029506F"/>
    <w:rsid w:val="00295405"/>
    <w:rsid w:val="002954FB"/>
    <w:rsid w:val="0029618D"/>
    <w:rsid w:val="002964D9"/>
    <w:rsid w:val="002965BA"/>
    <w:rsid w:val="00296814"/>
    <w:rsid w:val="0029716C"/>
    <w:rsid w:val="0029798E"/>
    <w:rsid w:val="002A0DD4"/>
    <w:rsid w:val="002A2537"/>
    <w:rsid w:val="002A2AB8"/>
    <w:rsid w:val="002A2B8E"/>
    <w:rsid w:val="002A4B29"/>
    <w:rsid w:val="002A5126"/>
    <w:rsid w:val="002A5948"/>
    <w:rsid w:val="002A64F2"/>
    <w:rsid w:val="002A6590"/>
    <w:rsid w:val="002A7478"/>
    <w:rsid w:val="002A74AA"/>
    <w:rsid w:val="002A7B26"/>
    <w:rsid w:val="002B01AD"/>
    <w:rsid w:val="002B047F"/>
    <w:rsid w:val="002B11A6"/>
    <w:rsid w:val="002B1ACA"/>
    <w:rsid w:val="002B1C6E"/>
    <w:rsid w:val="002B2D78"/>
    <w:rsid w:val="002B32C9"/>
    <w:rsid w:val="002B3736"/>
    <w:rsid w:val="002B4054"/>
    <w:rsid w:val="002B4621"/>
    <w:rsid w:val="002B46FF"/>
    <w:rsid w:val="002B48A7"/>
    <w:rsid w:val="002B497D"/>
    <w:rsid w:val="002B4D0E"/>
    <w:rsid w:val="002B4F7B"/>
    <w:rsid w:val="002B542A"/>
    <w:rsid w:val="002B5495"/>
    <w:rsid w:val="002B54C5"/>
    <w:rsid w:val="002B55E5"/>
    <w:rsid w:val="002B653E"/>
    <w:rsid w:val="002B6703"/>
    <w:rsid w:val="002B6BCB"/>
    <w:rsid w:val="002B6D69"/>
    <w:rsid w:val="002B6F67"/>
    <w:rsid w:val="002B7411"/>
    <w:rsid w:val="002B7D02"/>
    <w:rsid w:val="002B7F1B"/>
    <w:rsid w:val="002C0083"/>
    <w:rsid w:val="002C00C0"/>
    <w:rsid w:val="002C032E"/>
    <w:rsid w:val="002C081A"/>
    <w:rsid w:val="002C108A"/>
    <w:rsid w:val="002C1553"/>
    <w:rsid w:val="002C1875"/>
    <w:rsid w:val="002C1F27"/>
    <w:rsid w:val="002C2CCD"/>
    <w:rsid w:val="002C2E7C"/>
    <w:rsid w:val="002C2E96"/>
    <w:rsid w:val="002C2F7F"/>
    <w:rsid w:val="002C2FB4"/>
    <w:rsid w:val="002C2FD3"/>
    <w:rsid w:val="002C3683"/>
    <w:rsid w:val="002C3B38"/>
    <w:rsid w:val="002C5319"/>
    <w:rsid w:val="002C6DC2"/>
    <w:rsid w:val="002C6DDA"/>
    <w:rsid w:val="002C713E"/>
    <w:rsid w:val="002C7335"/>
    <w:rsid w:val="002C79CC"/>
    <w:rsid w:val="002D053D"/>
    <w:rsid w:val="002D0B99"/>
    <w:rsid w:val="002D0D30"/>
    <w:rsid w:val="002D134A"/>
    <w:rsid w:val="002D1936"/>
    <w:rsid w:val="002D1CE8"/>
    <w:rsid w:val="002D2FB2"/>
    <w:rsid w:val="002D3782"/>
    <w:rsid w:val="002D3A97"/>
    <w:rsid w:val="002D48E6"/>
    <w:rsid w:val="002D499B"/>
    <w:rsid w:val="002D5010"/>
    <w:rsid w:val="002D5B16"/>
    <w:rsid w:val="002D5BA1"/>
    <w:rsid w:val="002D613A"/>
    <w:rsid w:val="002D62D2"/>
    <w:rsid w:val="002D769A"/>
    <w:rsid w:val="002D7789"/>
    <w:rsid w:val="002D77B7"/>
    <w:rsid w:val="002D7CC4"/>
    <w:rsid w:val="002D7DBC"/>
    <w:rsid w:val="002E02AA"/>
    <w:rsid w:val="002E0C21"/>
    <w:rsid w:val="002E0E96"/>
    <w:rsid w:val="002E1616"/>
    <w:rsid w:val="002E192A"/>
    <w:rsid w:val="002E2471"/>
    <w:rsid w:val="002E2B84"/>
    <w:rsid w:val="002E300A"/>
    <w:rsid w:val="002E3092"/>
    <w:rsid w:val="002E3543"/>
    <w:rsid w:val="002E3B82"/>
    <w:rsid w:val="002E3C95"/>
    <w:rsid w:val="002E40D7"/>
    <w:rsid w:val="002E474C"/>
    <w:rsid w:val="002E4BB3"/>
    <w:rsid w:val="002E5F0D"/>
    <w:rsid w:val="002E6D33"/>
    <w:rsid w:val="002E6EE7"/>
    <w:rsid w:val="002F0C6B"/>
    <w:rsid w:val="002F1CD0"/>
    <w:rsid w:val="002F1D5C"/>
    <w:rsid w:val="002F207F"/>
    <w:rsid w:val="002F24AF"/>
    <w:rsid w:val="002F32ED"/>
    <w:rsid w:val="002F3799"/>
    <w:rsid w:val="002F3869"/>
    <w:rsid w:val="002F43B6"/>
    <w:rsid w:val="002F49F9"/>
    <w:rsid w:val="002F515D"/>
    <w:rsid w:val="002F6673"/>
    <w:rsid w:val="002F66DB"/>
    <w:rsid w:val="002F6B16"/>
    <w:rsid w:val="002F6D83"/>
    <w:rsid w:val="002F7EB8"/>
    <w:rsid w:val="003000D8"/>
    <w:rsid w:val="00300191"/>
    <w:rsid w:val="0030086D"/>
    <w:rsid w:val="00300D86"/>
    <w:rsid w:val="003017E1"/>
    <w:rsid w:val="00302676"/>
    <w:rsid w:val="00302F6A"/>
    <w:rsid w:val="003040C0"/>
    <w:rsid w:val="00304B0A"/>
    <w:rsid w:val="00305CC7"/>
    <w:rsid w:val="00305EB6"/>
    <w:rsid w:val="00305F62"/>
    <w:rsid w:val="0030652B"/>
    <w:rsid w:val="0030688B"/>
    <w:rsid w:val="003070FF"/>
    <w:rsid w:val="003074FD"/>
    <w:rsid w:val="00307A2D"/>
    <w:rsid w:val="00307E65"/>
    <w:rsid w:val="00310204"/>
    <w:rsid w:val="00310272"/>
    <w:rsid w:val="00310D86"/>
    <w:rsid w:val="00310F34"/>
    <w:rsid w:val="00311088"/>
    <w:rsid w:val="00311327"/>
    <w:rsid w:val="003115FC"/>
    <w:rsid w:val="00312462"/>
    <w:rsid w:val="00312AF6"/>
    <w:rsid w:val="00312CB7"/>
    <w:rsid w:val="00312E68"/>
    <w:rsid w:val="0031351A"/>
    <w:rsid w:val="003140C5"/>
    <w:rsid w:val="0031499C"/>
    <w:rsid w:val="003161E5"/>
    <w:rsid w:val="00316413"/>
    <w:rsid w:val="00316C18"/>
    <w:rsid w:val="00317071"/>
    <w:rsid w:val="003170F2"/>
    <w:rsid w:val="003204DA"/>
    <w:rsid w:val="00320582"/>
    <w:rsid w:val="00321282"/>
    <w:rsid w:val="0032130E"/>
    <w:rsid w:val="0032187E"/>
    <w:rsid w:val="003218EA"/>
    <w:rsid w:val="00321F93"/>
    <w:rsid w:val="0032278A"/>
    <w:rsid w:val="0032279E"/>
    <w:rsid w:val="00322912"/>
    <w:rsid w:val="00322A25"/>
    <w:rsid w:val="00322EDB"/>
    <w:rsid w:val="0032318E"/>
    <w:rsid w:val="00324A14"/>
    <w:rsid w:val="00325668"/>
    <w:rsid w:val="00325798"/>
    <w:rsid w:val="003262AB"/>
    <w:rsid w:val="0032659C"/>
    <w:rsid w:val="00327292"/>
    <w:rsid w:val="003272FD"/>
    <w:rsid w:val="0032744E"/>
    <w:rsid w:val="00327480"/>
    <w:rsid w:val="00330290"/>
    <w:rsid w:val="00330A37"/>
    <w:rsid w:val="00330B81"/>
    <w:rsid w:val="00330BA9"/>
    <w:rsid w:val="00331E93"/>
    <w:rsid w:val="00333A15"/>
    <w:rsid w:val="00333A6D"/>
    <w:rsid w:val="00333F1D"/>
    <w:rsid w:val="00335776"/>
    <w:rsid w:val="00335E73"/>
    <w:rsid w:val="00336075"/>
    <w:rsid w:val="00336176"/>
    <w:rsid w:val="0033621C"/>
    <w:rsid w:val="00336705"/>
    <w:rsid w:val="00336C5F"/>
    <w:rsid w:val="00336E5A"/>
    <w:rsid w:val="00336ED2"/>
    <w:rsid w:val="003374B9"/>
    <w:rsid w:val="003375AB"/>
    <w:rsid w:val="003378B1"/>
    <w:rsid w:val="003404C5"/>
    <w:rsid w:val="003408E2"/>
    <w:rsid w:val="003415A2"/>
    <w:rsid w:val="00342528"/>
    <w:rsid w:val="0034312D"/>
    <w:rsid w:val="0034330F"/>
    <w:rsid w:val="003434B6"/>
    <w:rsid w:val="00343669"/>
    <w:rsid w:val="00343C67"/>
    <w:rsid w:val="0034413A"/>
    <w:rsid w:val="00344BA3"/>
    <w:rsid w:val="00344BDC"/>
    <w:rsid w:val="00344D5E"/>
    <w:rsid w:val="00345475"/>
    <w:rsid w:val="00345EEC"/>
    <w:rsid w:val="0034641D"/>
    <w:rsid w:val="00346AE5"/>
    <w:rsid w:val="00346C56"/>
    <w:rsid w:val="00347782"/>
    <w:rsid w:val="00347D51"/>
    <w:rsid w:val="00347E11"/>
    <w:rsid w:val="00350195"/>
    <w:rsid w:val="003501EB"/>
    <w:rsid w:val="00350268"/>
    <w:rsid w:val="00350594"/>
    <w:rsid w:val="003518DC"/>
    <w:rsid w:val="0035214B"/>
    <w:rsid w:val="00352542"/>
    <w:rsid w:val="0035298B"/>
    <w:rsid w:val="0035326A"/>
    <w:rsid w:val="0035327A"/>
    <w:rsid w:val="003533C8"/>
    <w:rsid w:val="003534CB"/>
    <w:rsid w:val="00353FC5"/>
    <w:rsid w:val="00354407"/>
    <w:rsid w:val="00354730"/>
    <w:rsid w:val="00354B00"/>
    <w:rsid w:val="0035557E"/>
    <w:rsid w:val="003555CF"/>
    <w:rsid w:val="00355B59"/>
    <w:rsid w:val="0035620E"/>
    <w:rsid w:val="00356219"/>
    <w:rsid w:val="003564B6"/>
    <w:rsid w:val="0035669E"/>
    <w:rsid w:val="00356AAB"/>
    <w:rsid w:val="0035738B"/>
    <w:rsid w:val="003574FA"/>
    <w:rsid w:val="00357563"/>
    <w:rsid w:val="00357C05"/>
    <w:rsid w:val="00357DE5"/>
    <w:rsid w:val="003601F2"/>
    <w:rsid w:val="0036071E"/>
    <w:rsid w:val="00361429"/>
    <w:rsid w:val="003618B0"/>
    <w:rsid w:val="00362E06"/>
    <w:rsid w:val="00363B12"/>
    <w:rsid w:val="0036423C"/>
    <w:rsid w:val="003648BB"/>
    <w:rsid w:val="00364D59"/>
    <w:rsid w:val="003654BE"/>
    <w:rsid w:val="003654DD"/>
    <w:rsid w:val="00365D2E"/>
    <w:rsid w:val="00365DBB"/>
    <w:rsid w:val="00365ECB"/>
    <w:rsid w:val="00366F81"/>
    <w:rsid w:val="003673E6"/>
    <w:rsid w:val="003675F0"/>
    <w:rsid w:val="00367A90"/>
    <w:rsid w:val="00367EE6"/>
    <w:rsid w:val="00370104"/>
    <w:rsid w:val="003701AB"/>
    <w:rsid w:val="003703EC"/>
    <w:rsid w:val="00370963"/>
    <w:rsid w:val="00371009"/>
    <w:rsid w:val="00371BC4"/>
    <w:rsid w:val="003722E8"/>
    <w:rsid w:val="00372733"/>
    <w:rsid w:val="0037280D"/>
    <w:rsid w:val="003728E1"/>
    <w:rsid w:val="00372C4C"/>
    <w:rsid w:val="00373B9D"/>
    <w:rsid w:val="00374100"/>
    <w:rsid w:val="003745D0"/>
    <w:rsid w:val="00375B8A"/>
    <w:rsid w:val="00375BB2"/>
    <w:rsid w:val="00375C42"/>
    <w:rsid w:val="00375E04"/>
    <w:rsid w:val="00375E62"/>
    <w:rsid w:val="0037642E"/>
    <w:rsid w:val="00377D45"/>
    <w:rsid w:val="003801DC"/>
    <w:rsid w:val="00380E15"/>
    <w:rsid w:val="00380F51"/>
    <w:rsid w:val="00381070"/>
    <w:rsid w:val="00381993"/>
    <w:rsid w:val="00381B3A"/>
    <w:rsid w:val="00381F75"/>
    <w:rsid w:val="0038248C"/>
    <w:rsid w:val="00383E24"/>
    <w:rsid w:val="00384000"/>
    <w:rsid w:val="003847DB"/>
    <w:rsid w:val="00384837"/>
    <w:rsid w:val="00384F69"/>
    <w:rsid w:val="00385085"/>
    <w:rsid w:val="003856C6"/>
    <w:rsid w:val="00385E50"/>
    <w:rsid w:val="003860CA"/>
    <w:rsid w:val="0038685F"/>
    <w:rsid w:val="00386B07"/>
    <w:rsid w:val="00386B43"/>
    <w:rsid w:val="00386C77"/>
    <w:rsid w:val="00386CBA"/>
    <w:rsid w:val="00386FC4"/>
    <w:rsid w:val="003879A5"/>
    <w:rsid w:val="00387E69"/>
    <w:rsid w:val="003906C0"/>
    <w:rsid w:val="003911F2"/>
    <w:rsid w:val="00391268"/>
    <w:rsid w:val="003915D4"/>
    <w:rsid w:val="00391901"/>
    <w:rsid w:val="00391AC1"/>
    <w:rsid w:val="00391B2B"/>
    <w:rsid w:val="003923E6"/>
    <w:rsid w:val="00393FE9"/>
    <w:rsid w:val="0039476B"/>
    <w:rsid w:val="00395BEC"/>
    <w:rsid w:val="00396113"/>
    <w:rsid w:val="00396F26"/>
    <w:rsid w:val="003973FD"/>
    <w:rsid w:val="00397413"/>
    <w:rsid w:val="00397491"/>
    <w:rsid w:val="0039760C"/>
    <w:rsid w:val="003976E4"/>
    <w:rsid w:val="00397B53"/>
    <w:rsid w:val="00397E21"/>
    <w:rsid w:val="00397FDC"/>
    <w:rsid w:val="003A04AE"/>
    <w:rsid w:val="003A0667"/>
    <w:rsid w:val="003A19D6"/>
    <w:rsid w:val="003A2372"/>
    <w:rsid w:val="003A2C9B"/>
    <w:rsid w:val="003A2D4E"/>
    <w:rsid w:val="003A3999"/>
    <w:rsid w:val="003A4462"/>
    <w:rsid w:val="003A4663"/>
    <w:rsid w:val="003A4BFF"/>
    <w:rsid w:val="003A4F4E"/>
    <w:rsid w:val="003A5D90"/>
    <w:rsid w:val="003A62DA"/>
    <w:rsid w:val="003A72DF"/>
    <w:rsid w:val="003A759F"/>
    <w:rsid w:val="003A7B14"/>
    <w:rsid w:val="003A7B7B"/>
    <w:rsid w:val="003A7D2A"/>
    <w:rsid w:val="003A7D38"/>
    <w:rsid w:val="003B08CD"/>
    <w:rsid w:val="003B14FD"/>
    <w:rsid w:val="003B2427"/>
    <w:rsid w:val="003B2835"/>
    <w:rsid w:val="003B2D7D"/>
    <w:rsid w:val="003B2F1D"/>
    <w:rsid w:val="003B3AC6"/>
    <w:rsid w:val="003B3C63"/>
    <w:rsid w:val="003B3E12"/>
    <w:rsid w:val="003B3FEB"/>
    <w:rsid w:val="003B4696"/>
    <w:rsid w:val="003B46D9"/>
    <w:rsid w:val="003B4E65"/>
    <w:rsid w:val="003B4EB6"/>
    <w:rsid w:val="003B5400"/>
    <w:rsid w:val="003B6031"/>
    <w:rsid w:val="003B6599"/>
    <w:rsid w:val="003B6E81"/>
    <w:rsid w:val="003B7A2A"/>
    <w:rsid w:val="003B7E05"/>
    <w:rsid w:val="003C052A"/>
    <w:rsid w:val="003C131E"/>
    <w:rsid w:val="003C19A5"/>
    <w:rsid w:val="003C1C85"/>
    <w:rsid w:val="003C1F69"/>
    <w:rsid w:val="003C2434"/>
    <w:rsid w:val="003C3037"/>
    <w:rsid w:val="003C323F"/>
    <w:rsid w:val="003C324C"/>
    <w:rsid w:val="003C3A2A"/>
    <w:rsid w:val="003C3E7F"/>
    <w:rsid w:val="003C3FF9"/>
    <w:rsid w:val="003C4482"/>
    <w:rsid w:val="003C5260"/>
    <w:rsid w:val="003C574F"/>
    <w:rsid w:val="003C612F"/>
    <w:rsid w:val="003C6468"/>
    <w:rsid w:val="003C7B0C"/>
    <w:rsid w:val="003D0AF6"/>
    <w:rsid w:val="003D0BFD"/>
    <w:rsid w:val="003D0DB4"/>
    <w:rsid w:val="003D11D9"/>
    <w:rsid w:val="003D1E5A"/>
    <w:rsid w:val="003D27A0"/>
    <w:rsid w:val="003D3990"/>
    <w:rsid w:val="003D42B5"/>
    <w:rsid w:val="003D42CB"/>
    <w:rsid w:val="003D43E2"/>
    <w:rsid w:val="003D461B"/>
    <w:rsid w:val="003D4B62"/>
    <w:rsid w:val="003D4E9A"/>
    <w:rsid w:val="003D51F4"/>
    <w:rsid w:val="003D52CB"/>
    <w:rsid w:val="003D5811"/>
    <w:rsid w:val="003D58C5"/>
    <w:rsid w:val="003D5FB3"/>
    <w:rsid w:val="003D6638"/>
    <w:rsid w:val="003D7667"/>
    <w:rsid w:val="003D7786"/>
    <w:rsid w:val="003D7FC4"/>
    <w:rsid w:val="003E0354"/>
    <w:rsid w:val="003E08DC"/>
    <w:rsid w:val="003E17CF"/>
    <w:rsid w:val="003E184A"/>
    <w:rsid w:val="003E1887"/>
    <w:rsid w:val="003E18C9"/>
    <w:rsid w:val="003E19E2"/>
    <w:rsid w:val="003E2538"/>
    <w:rsid w:val="003E278F"/>
    <w:rsid w:val="003E2E55"/>
    <w:rsid w:val="003E383A"/>
    <w:rsid w:val="003E3AF6"/>
    <w:rsid w:val="003E3C62"/>
    <w:rsid w:val="003E40AA"/>
    <w:rsid w:val="003E4296"/>
    <w:rsid w:val="003E43C8"/>
    <w:rsid w:val="003E4B5F"/>
    <w:rsid w:val="003E528F"/>
    <w:rsid w:val="003E530F"/>
    <w:rsid w:val="003E5A33"/>
    <w:rsid w:val="003E5D0E"/>
    <w:rsid w:val="003E65FD"/>
    <w:rsid w:val="003E69CF"/>
    <w:rsid w:val="003E6DA0"/>
    <w:rsid w:val="003E72DA"/>
    <w:rsid w:val="003E73CD"/>
    <w:rsid w:val="003F031C"/>
    <w:rsid w:val="003F05D0"/>
    <w:rsid w:val="003F0D94"/>
    <w:rsid w:val="003F101F"/>
    <w:rsid w:val="003F1622"/>
    <w:rsid w:val="003F1AA3"/>
    <w:rsid w:val="003F2005"/>
    <w:rsid w:val="003F207C"/>
    <w:rsid w:val="003F25B7"/>
    <w:rsid w:val="003F25EF"/>
    <w:rsid w:val="003F289B"/>
    <w:rsid w:val="003F3277"/>
    <w:rsid w:val="003F3928"/>
    <w:rsid w:val="003F3FC1"/>
    <w:rsid w:val="003F48C4"/>
    <w:rsid w:val="003F4C79"/>
    <w:rsid w:val="003F4E06"/>
    <w:rsid w:val="003F4EA8"/>
    <w:rsid w:val="003F525C"/>
    <w:rsid w:val="003F5E3F"/>
    <w:rsid w:val="003F5F6E"/>
    <w:rsid w:val="003F67CB"/>
    <w:rsid w:val="003F70AA"/>
    <w:rsid w:val="003F71FE"/>
    <w:rsid w:val="003F759C"/>
    <w:rsid w:val="00400A20"/>
    <w:rsid w:val="00400AEC"/>
    <w:rsid w:val="00401241"/>
    <w:rsid w:val="00401CD0"/>
    <w:rsid w:val="004024AD"/>
    <w:rsid w:val="00402608"/>
    <w:rsid w:val="00402764"/>
    <w:rsid w:val="004029C9"/>
    <w:rsid w:val="00403542"/>
    <w:rsid w:val="00403A15"/>
    <w:rsid w:val="00403A3E"/>
    <w:rsid w:val="00403DBE"/>
    <w:rsid w:val="00405461"/>
    <w:rsid w:val="00405477"/>
    <w:rsid w:val="0040566B"/>
    <w:rsid w:val="00405B56"/>
    <w:rsid w:val="004067F1"/>
    <w:rsid w:val="00406C91"/>
    <w:rsid w:val="00407403"/>
    <w:rsid w:val="00410441"/>
    <w:rsid w:val="0041078F"/>
    <w:rsid w:val="004108AD"/>
    <w:rsid w:val="004109ED"/>
    <w:rsid w:val="00410B78"/>
    <w:rsid w:val="00410FE6"/>
    <w:rsid w:val="0041102C"/>
    <w:rsid w:val="00411154"/>
    <w:rsid w:val="0041161B"/>
    <w:rsid w:val="004121CD"/>
    <w:rsid w:val="00412BDE"/>
    <w:rsid w:val="0041351D"/>
    <w:rsid w:val="00413FDE"/>
    <w:rsid w:val="004146E5"/>
    <w:rsid w:val="00414DE0"/>
    <w:rsid w:val="004150AC"/>
    <w:rsid w:val="004150FE"/>
    <w:rsid w:val="004158A0"/>
    <w:rsid w:val="00415CAD"/>
    <w:rsid w:val="00415D69"/>
    <w:rsid w:val="00415FAD"/>
    <w:rsid w:val="0041619C"/>
    <w:rsid w:val="00416523"/>
    <w:rsid w:val="0041747C"/>
    <w:rsid w:val="00417701"/>
    <w:rsid w:val="00417C68"/>
    <w:rsid w:val="00417D7A"/>
    <w:rsid w:val="004203AA"/>
    <w:rsid w:val="00420BA6"/>
    <w:rsid w:val="00420C84"/>
    <w:rsid w:val="00420E35"/>
    <w:rsid w:val="00420EED"/>
    <w:rsid w:val="0042121D"/>
    <w:rsid w:val="0042181C"/>
    <w:rsid w:val="00421F4C"/>
    <w:rsid w:val="00422508"/>
    <w:rsid w:val="0042267A"/>
    <w:rsid w:val="00422AB1"/>
    <w:rsid w:val="00422C59"/>
    <w:rsid w:val="00422CFC"/>
    <w:rsid w:val="00423915"/>
    <w:rsid w:val="0042412E"/>
    <w:rsid w:val="0042472D"/>
    <w:rsid w:val="004247B9"/>
    <w:rsid w:val="0042505E"/>
    <w:rsid w:val="004256CA"/>
    <w:rsid w:val="004257A7"/>
    <w:rsid w:val="00425EF9"/>
    <w:rsid w:val="0042642F"/>
    <w:rsid w:val="00427D16"/>
    <w:rsid w:val="00427DB2"/>
    <w:rsid w:val="004305C5"/>
    <w:rsid w:val="00430984"/>
    <w:rsid w:val="004318F9"/>
    <w:rsid w:val="0043244C"/>
    <w:rsid w:val="00432621"/>
    <w:rsid w:val="004326EF"/>
    <w:rsid w:val="004328FB"/>
    <w:rsid w:val="00432B9E"/>
    <w:rsid w:val="00432EAC"/>
    <w:rsid w:val="00433584"/>
    <w:rsid w:val="004342CB"/>
    <w:rsid w:val="00434374"/>
    <w:rsid w:val="00434954"/>
    <w:rsid w:val="00435197"/>
    <w:rsid w:val="004363D1"/>
    <w:rsid w:val="0043678E"/>
    <w:rsid w:val="00436CF3"/>
    <w:rsid w:val="0043731F"/>
    <w:rsid w:val="00437B57"/>
    <w:rsid w:val="0044054A"/>
    <w:rsid w:val="00440CD7"/>
    <w:rsid w:val="00440D7A"/>
    <w:rsid w:val="004410BC"/>
    <w:rsid w:val="00441164"/>
    <w:rsid w:val="0044130A"/>
    <w:rsid w:val="004414D3"/>
    <w:rsid w:val="00441A6C"/>
    <w:rsid w:val="00441F3E"/>
    <w:rsid w:val="004420F9"/>
    <w:rsid w:val="00443064"/>
    <w:rsid w:val="004435D7"/>
    <w:rsid w:val="00444188"/>
    <w:rsid w:val="00444473"/>
    <w:rsid w:val="0044482D"/>
    <w:rsid w:val="00444927"/>
    <w:rsid w:val="00444FEA"/>
    <w:rsid w:val="004458AB"/>
    <w:rsid w:val="00445C9F"/>
    <w:rsid w:val="0044668C"/>
    <w:rsid w:val="00446D64"/>
    <w:rsid w:val="004479C3"/>
    <w:rsid w:val="004503A1"/>
    <w:rsid w:val="00450674"/>
    <w:rsid w:val="00450BE0"/>
    <w:rsid w:val="00450D8E"/>
    <w:rsid w:val="0045201A"/>
    <w:rsid w:val="004526C7"/>
    <w:rsid w:val="00452BE5"/>
    <w:rsid w:val="00453DB3"/>
    <w:rsid w:val="00454B8F"/>
    <w:rsid w:val="00454C20"/>
    <w:rsid w:val="004558FA"/>
    <w:rsid w:val="00455AB8"/>
    <w:rsid w:val="00455CAE"/>
    <w:rsid w:val="00455E9B"/>
    <w:rsid w:val="00456D15"/>
    <w:rsid w:val="004578E3"/>
    <w:rsid w:val="00460244"/>
    <w:rsid w:val="004602D4"/>
    <w:rsid w:val="00460529"/>
    <w:rsid w:val="00460847"/>
    <w:rsid w:val="00460A4B"/>
    <w:rsid w:val="00461074"/>
    <w:rsid w:val="00461252"/>
    <w:rsid w:val="0046159B"/>
    <w:rsid w:val="00461A84"/>
    <w:rsid w:val="00462286"/>
    <w:rsid w:val="00462F25"/>
    <w:rsid w:val="004631A1"/>
    <w:rsid w:val="0046330C"/>
    <w:rsid w:val="00463717"/>
    <w:rsid w:val="00463754"/>
    <w:rsid w:val="004637CD"/>
    <w:rsid w:val="004642AE"/>
    <w:rsid w:val="004653AD"/>
    <w:rsid w:val="00465498"/>
    <w:rsid w:val="00465A3C"/>
    <w:rsid w:val="00465F55"/>
    <w:rsid w:val="0046615C"/>
    <w:rsid w:val="00466414"/>
    <w:rsid w:val="0046650F"/>
    <w:rsid w:val="00466742"/>
    <w:rsid w:val="00466AE4"/>
    <w:rsid w:val="0046713B"/>
    <w:rsid w:val="004673C5"/>
    <w:rsid w:val="0046756D"/>
    <w:rsid w:val="00467B68"/>
    <w:rsid w:val="00470EB0"/>
    <w:rsid w:val="00470ED5"/>
    <w:rsid w:val="00471361"/>
    <w:rsid w:val="00471B51"/>
    <w:rsid w:val="00471F60"/>
    <w:rsid w:val="00472834"/>
    <w:rsid w:val="00472ADA"/>
    <w:rsid w:val="00472AF9"/>
    <w:rsid w:val="00472E55"/>
    <w:rsid w:val="00472E87"/>
    <w:rsid w:val="004740ED"/>
    <w:rsid w:val="00474322"/>
    <w:rsid w:val="00474620"/>
    <w:rsid w:val="004750C4"/>
    <w:rsid w:val="0047548C"/>
    <w:rsid w:val="00476446"/>
    <w:rsid w:val="00477320"/>
    <w:rsid w:val="004779AB"/>
    <w:rsid w:val="004779CC"/>
    <w:rsid w:val="00477FA2"/>
    <w:rsid w:val="004801BA"/>
    <w:rsid w:val="0048028B"/>
    <w:rsid w:val="00481C87"/>
    <w:rsid w:val="004824B9"/>
    <w:rsid w:val="004828B4"/>
    <w:rsid w:val="00482E73"/>
    <w:rsid w:val="00482F94"/>
    <w:rsid w:val="00483AF5"/>
    <w:rsid w:val="00483FBD"/>
    <w:rsid w:val="004840B7"/>
    <w:rsid w:val="00484204"/>
    <w:rsid w:val="00484850"/>
    <w:rsid w:val="00485352"/>
    <w:rsid w:val="00485E18"/>
    <w:rsid w:val="0048614C"/>
    <w:rsid w:val="0048639E"/>
    <w:rsid w:val="00487507"/>
    <w:rsid w:val="004876C2"/>
    <w:rsid w:val="004878B6"/>
    <w:rsid w:val="00487CD9"/>
    <w:rsid w:val="00490724"/>
    <w:rsid w:val="00490831"/>
    <w:rsid w:val="00491095"/>
    <w:rsid w:val="004918B1"/>
    <w:rsid w:val="00492611"/>
    <w:rsid w:val="00492C56"/>
    <w:rsid w:val="00492EFA"/>
    <w:rsid w:val="00492F1A"/>
    <w:rsid w:val="0049339A"/>
    <w:rsid w:val="00493782"/>
    <w:rsid w:val="00493CF5"/>
    <w:rsid w:val="00493E2D"/>
    <w:rsid w:val="00494B2E"/>
    <w:rsid w:val="004952A2"/>
    <w:rsid w:val="004952BD"/>
    <w:rsid w:val="0049590C"/>
    <w:rsid w:val="00495D9A"/>
    <w:rsid w:val="004962D8"/>
    <w:rsid w:val="004966E0"/>
    <w:rsid w:val="004969D3"/>
    <w:rsid w:val="004971AE"/>
    <w:rsid w:val="004974DE"/>
    <w:rsid w:val="004976EF"/>
    <w:rsid w:val="004A034F"/>
    <w:rsid w:val="004A0440"/>
    <w:rsid w:val="004A0E27"/>
    <w:rsid w:val="004A0ECC"/>
    <w:rsid w:val="004A1246"/>
    <w:rsid w:val="004A17FA"/>
    <w:rsid w:val="004A1FA8"/>
    <w:rsid w:val="004A213B"/>
    <w:rsid w:val="004A25D9"/>
    <w:rsid w:val="004A399B"/>
    <w:rsid w:val="004A3F18"/>
    <w:rsid w:val="004A4D06"/>
    <w:rsid w:val="004A4FC8"/>
    <w:rsid w:val="004A5232"/>
    <w:rsid w:val="004A55FF"/>
    <w:rsid w:val="004A61A6"/>
    <w:rsid w:val="004A6C65"/>
    <w:rsid w:val="004A76F0"/>
    <w:rsid w:val="004A7B7A"/>
    <w:rsid w:val="004B0A5F"/>
    <w:rsid w:val="004B11AD"/>
    <w:rsid w:val="004B15CE"/>
    <w:rsid w:val="004B2630"/>
    <w:rsid w:val="004B34B8"/>
    <w:rsid w:val="004B3F15"/>
    <w:rsid w:val="004B51A3"/>
    <w:rsid w:val="004B534E"/>
    <w:rsid w:val="004B59CB"/>
    <w:rsid w:val="004B5E9F"/>
    <w:rsid w:val="004B6901"/>
    <w:rsid w:val="004B6F05"/>
    <w:rsid w:val="004C0712"/>
    <w:rsid w:val="004C0F0D"/>
    <w:rsid w:val="004C1838"/>
    <w:rsid w:val="004C1CE3"/>
    <w:rsid w:val="004C33F7"/>
    <w:rsid w:val="004C3BD1"/>
    <w:rsid w:val="004C3FD7"/>
    <w:rsid w:val="004C5715"/>
    <w:rsid w:val="004C5AA1"/>
    <w:rsid w:val="004C600D"/>
    <w:rsid w:val="004C6374"/>
    <w:rsid w:val="004C64D0"/>
    <w:rsid w:val="004C683A"/>
    <w:rsid w:val="004C6B4F"/>
    <w:rsid w:val="004C6D63"/>
    <w:rsid w:val="004C6DF5"/>
    <w:rsid w:val="004C6F27"/>
    <w:rsid w:val="004C79D9"/>
    <w:rsid w:val="004D25E2"/>
    <w:rsid w:val="004D2D35"/>
    <w:rsid w:val="004D3A17"/>
    <w:rsid w:val="004D3C27"/>
    <w:rsid w:val="004D4AC2"/>
    <w:rsid w:val="004D5038"/>
    <w:rsid w:val="004D525C"/>
    <w:rsid w:val="004D5EBD"/>
    <w:rsid w:val="004D6314"/>
    <w:rsid w:val="004D6A67"/>
    <w:rsid w:val="004D71AA"/>
    <w:rsid w:val="004D7312"/>
    <w:rsid w:val="004D736E"/>
    <w:rsid w:val="004D7420"/>
    <w:rsid w:val="004E054D"/>
    <w:rsid w:val="004E07DA"/>
    <w:rsid w:val="004E1454"/>
    <w:rsid w:val="004E234B"/>
    <w:rsid w:val="004E2921"/>
    <w:rsid w:val="004E2BC5"/>
    <w:rsid w:val="004E305F"/>
    <w:rsid w:val="004E3C85"/>
    <w:rsid w:val="004E3FB6"/>
    <w:rsid w:val="004E41AF"/>
    <w:rsid w:val="004E4277"/>
    <w:rsid w:val="004E45CE"/>
    <w:rsid w:val="004E4F95"/>
    <w:rsid w:val="004E500F"/>
    <w:rsid w:val="004E53FC"/>
    <w:rsid w:val="004E578F"/>
    <w:rsid w:val="004E5CF5"/>
    <w:rsid w:val="004E5E88"/>
    <w:rsid w:val="004E67EA"/>
    <w:rsid w:val="004E7113"/>
    <w:rsid w:val="004E7540"/>
    <w:rsid w:val="004E76AF"/>
    <w:rsid w:val="004E7FC0"/>
    <w:rsid w:val="004F05B8"/>
    <w:rsid w:val="004F1A7E"/>
    <w:rsid w:val="004F1EEE"/>
    <w:rsid w:val="004F2C3F"/>
    <w:rsid w:val="004F2F35"/>
    <w:rsid w:val="004F3434"/>
    <w:rsid w:val="004F3BE6"/>
    <w:rsid w:val="004F3D20"/>
    <w:rsid w:val="004F4978"/>
    <w:rsid w:val="004F4F47"/>
    <w:rsid w:val="004F56ED"/>
    <w:rsid w:val="004F5D56"/>
    <w:rsid w:val="004F5FA0"/>
    <w:rsid w:val="004F6045"/>
    <w:rsid w:val="004F6147"/>
    <w:rsid w:val="004F614F"/>
    <w:rsid w:val="004F69FE"/>
    <w:rsid w:val="004F752A"/>
    <w:rsid w:val="004F781C"/>
    <w:rsid w:val="004F7918"/>
    <w:rsid w:val="0050098F"/>
    <w:rsid w:val="00500B7B"/>
    <w:rsid w:val="00500BA2"/>
    <w:rsid w:val="00500C74"/>
    <w:rsid w:val="00500CC6"/>
    <w:rsid w:val="0050145C"/>
    <w:rsid w:val="00502649"/>
    <w:rsid w:val="0050280C"/>
    <w:rsid w:val="00502E30"/>
    <w:rsid w:val="005030DB"/>
    <w:rsid w:val="00503797"/>
    <w:rsid w:val="0050398F"/>
    <w:rsid w:val="00503F6D"/>
    <w:rsid w:val="00505B35"/>
    <w:rsid w:val="005067EB"/>
    <w:rsid w:val="00506B64"/>
    <w:rsid w:val="0050788C"/>
    <w:rsid w:val="005111E1"/>
    <w:rsid w:val="00511E0D"/>
    <w:rsid w:val="0051227C"/>
    <w:rsid w:val="0051254F"/>
    <w:rsid w:val="005130A1"/>
    <w:rsid w:val="00513D82"/>
    <w:rsid w:val="00513E25"/>
    <w:rsid w:val="005140F2"/>
    <w:rsid w:val="0051430B"/>
    <w:rsid w:val="005144B5"/>
    <w:rsid w:val="00514710"/>
    <w:rsid w:val="005162F1"/>
    <w:rsid w:val="00516603"/>
    <w:rsid w:val="005172C1"/>
    <w:rsid w:val="0051788F"/>
    <w:rsid w:val="00520235"/>
    <w:rsid w:val="005219BF"/>
    <w:rsid w:val="00522FBE"/>
    <w:rsid w:val="005234BC"/>
    <w:rsid w:val="00523817"/>
    <w:rsid w:val="00523D53"/>
    <w:rsid w:val="00523F12"/>
    <w:rsid w:val="00523FCF"/>
    <w:rsid w:val="005241B4"/>
    <w:rsid w:val="00524E47"/>
    <w:rsid w:val="00525285"/>
    <w:rsid w:val="0052553B"/>
    <w:rsid w:val="00525BBB"/>
    <w:rsid w:val="00525C00"/>
    <w:rsid w:val="00526118"/>
    <w:rsid w:val="005263EB"/>
    <w:rsid w:val="0052699C"/>
    <w:rsid w:val="0052700A"/>
    <w:rsid w:val="005273BC"/>
    <w:rsid w:val="00527A5E"/>
    <w:rsid w:val="00527BA9"/>
    <w:rsid w:val="00530166"/>
    <w:rsid w:val="00530771"/>
    <w:rsid w:val="00530783"/>
    <w:rsid w:val="00530833"/>
    <w:rsid w:val="00530DE9"/>
    <w:rsid w:val="00531B21"/>
    <w:rsid w:val="005320EA"/>
    <w:rsid w:val="00532601"/>
    <w:rsid w:val="0053625D"/>
    <w:rsid w:val="00536F59"/>
    <w:rsid w:val="00537507"/>
    <w:rsid w:val="00537A32"/>
    <w:rsid w:val="0054077E"/>
    <w:rsid w:val="00540889"/>
    <w:rsid w:val="005408E9"/>
    <w:rsid w:val="00540997"/>
    <w:rsid w:val="005412F3"/>
    <w:rsid w:val="00541413"/>
    <w:rsid w:val="005431C5"/>
    <w:rsid w:val="005431F0"/>
    <w:rsid w:val="005431FC"/>
    <w:rsid w:val="00543446"/>
    <w:rsid w:val="005439F9"/>
    <w:rsid w:val="00544329"/>
    <w:rsid w:val="00544453"/>
    <w:rsid w:val="005446AA"/>
    <w:rsid w:val="00544D2B"/>
    <w:rsid w:val="005450A6"/>
    <w:rsid w:val="005451B1"/>
    <w:rsid w:val="005463FC"/>
    <w:rsid w:val="0054766B"/>
    <w:rsid w:val="005477A6"/>
    <w:rsid w:val="005477C1"/>
    <w:rsid w:val="00550AA6"/>
    <w:rsid w:val="005516BD"/>
    <w:rsid w:val="005527AC"/>
    <w:rsid w:val="005530E3"/>
    <w:rsid w:val="00553457"/>
    <w:rsid w:val="005539EC"/>
    <w:rsid w:val="00553A0B"/>
    <w:rsid w:val="00553C49"/>
    <w:rsid w:val="00554498"/>
    <w:rsid w:val="00554607"/>
    <w:rsid w:val="00554627"/>
    <w:rsid w:val="005547FF"/>
    <w:rsid w:val="00554930"/>
    <w:rsid w:val="00554EE3"/>
    <w:rsid w:val="00555E12"/>
    <w:rsid w:val="005563C9"/>
    <w:rsid w:val="00556583"/>
    <w:rsid w:val="005566AD"/>
    <w:rsid w:val="005574F9"/>
    <w:rsid w:val="00557902"/>
    <w:rsid w:val="00557A43"/>
    <w:rsid w:val="00560031"/>
    <w:rsid w:val="0056055D"/>
    <w:rsid w:val="00560624"/>
    <w:rsid w:val="005609DD"/>
    <w:rsid w:val="00560C38"/>
    <w:rsid w:val="00560DE2"/>
    <w:rsid w:val="00560FAC"/>
    <w:rsid w:val="005612D4"/>
    <w:rsid w:val="005613A3"/>
    <w:rsid w:val="005613A7"/>
    <w:rsid w:val="005619B7"/>
    <w:rsid w:val="00561C1C"/>
    <w:rsid w:val="005620C0"/>
    <w:rsid w:val="00562E3D"/>
    <w:rsid w:val="00563700"/>
    <w:rsid w:val="0056385C"/>
    <w:rsid w:val="00563ADB"/>
    <w:rsid w:val="00563F75"/>
    <w:rsid w:val="005640EB"/>
    <w:rsid w:val="00565514"/>
    <w:rsid w:val="00565567"/>
    <w:rsid w:val="005658D3"/>
    <w:rsid w:val="00565A55"/>
    <w:rsid w:val="00566000"/>
    <w:rsid w:val="00566845"/>
    <w:rsid w:val="00567EF7"/>
    <w:rsid w:val="0057034F"/>
    <w:rsid w:val="005704AC"/>
    <w:rsid w:val="00570584"/>
    <w:rsid w:val="005712D6"/>
    <w:rsid w:val="00571812"/>
    <w:rsid w:val="00571DCD"/>
    <w:rsid w:val="0057218C"/>
    <w:rsid w:val="00572C81"/>
    <w:rsid w:val="00572E70"/>
    <w:rsid w:val="00573369"/>
    <w:rsid w:val="005735D0"/>
    <w:rsid w:val="00573C20"/>
    <w:rsid w:val="0057418A"/>
    <w:rsid w:val="00574923"/>
    <w:rsid w:val="00574D59"/>
    <w:rsid w:val="00574E6D"/>
    <w:rsid w:val="00575302"/>
    <w:rsid w:val="005759DD"/>
    <w:rsid w:val="00575C24"/>
    <w:rsid w:val="00576226"/>
    <w:rsid w:val="005762EA"/>
    <w:rsid w:val="005767AE"/>
    <w:rsid w:val="00576F1E"/>
    <w:rsid w:val="00580390"/>
    <w:rsid w:val="00580B47"/>
    <w:rsid w:val="00580E2B"/>
    <w:rsid w:val="005817B2"/>
    <w:rsid w:val="005819F7"/>
    <w:rsid w:val="00581C35"/>
    <w:rsid w:val="005824C6"/>
    <w:rsid w:val="00582674"/>
    <w:rsid w:val="0058271E"/>
    <w:rsid w:val="0058283F"/>
    <w:rsid w:val="00583930"/>
    <w:rsid w:val="00583BFE"/>
    <w:rsid w:val="00583D8A"/>
    <w:rsid w:val="005840EF"/>
    <w:rsid w:val="005845A3"/>
    <w:rsid w:val="005848F8"/>
    <w:rsid w:val="00584E2F"/>
    <w:rsid w:val="00585151"/>
    <w:rsid w:val="0058525B"/>
    <w:rsid w:val="00585B3C"/>
    <w:rsid w:val="00585C03"/>
    <w:rsid w:val="00585CB6"/>
    <w:rsid w:val="0058619F"/>
    <w:rsid w:val="00586637"/>
    <w:rsid w:val="005868DC"/>
    <w:rsid w:val="005873E8"/>
    <w:rsid w:val="00587C46"/>
    <w:rsid w:val="00587F56"/>
    <w:rsid w:val="00587FD9"/>
    <w:rsid w:val="005908B9"/>
    <w:rsid w:val="00591265"/>
    <w:rsid w:val="00591283"/>
    <w:rsid w:val="005915A4"/>
    <w:rsid w:val="005924D3"/>
    <w:rsid w:val="005924F1"/>
    <w:rsid w:val="005925E3"/>
    <w:rsid w:val="00592E3B"/>
    <w:rsid w:val="0059304D"/>
    <w:rsid w:val="00593059"/>
    <w:rsid w:val="00593314"/>
    <w:rsid w:val="005933AE"/>
    <w:rsid w:val="00595156"/>
    <w:rsid w:val="005957B9"/>
    <w:rsid w:val="005959DB"/>
    <w:rsid w:val="00596832"/>
    <w:rsid w:val="00596CCB"/>
    <w:rsid w:val="00596DB6"/>
    <w:rsid w:val="005973C3"/>
    <w:rsid w:val="00597753"/>
    <w:rsid w:val="005977BB"/>
    <w:rsid w:val="00597E6F"/>
    <w:rsid w:val="005A0203"/>
    <w:rsid w:val="005A052F"/>
    <w:rsid w:val="005A0EFC"/>
    <w:rsid w:val="005A1018"/>
    <w:rsid w:val="005A1099"/>
    <w:rsid w:val="005A12EF"/>
    <w:rsid w:val="005A1980"/>
    <w:rsid w:val="005A1A26"/>
    <w:rsid w:val="005A1DAB"/>
    <w:rsid w:val="005A1F74"/>
    <w:rsid w:val="005A22F7"/>
    <w:rsid w:val="005A2593"/>
    <w:rsid w:val="005A3196"/>
    <w:rsid w:val="005A339E"/>
    <w:rsid w:val="005A3561"/>
    <w:rsid w:val="005A3757"/>
    <w:rsid w:val="005A3FD0"/>
    <w:rsid w:val="005A408B"/>
    <w:rsid w:val="005A4B38"/>
    <w:rsid w:val="005A4CE3"/>
    <w:rsid w:val="005A566A"/>
    <w:rsid w:val="005A61CD"/>
    <w:rsid w:val="005A6F80"/>
    <w:rsid w:val="005A7215"/>
    <w:rsid w:val="005A726F"/>
    <w:rsid w:val="005A7601"/>
    <w:rsid w:val="005A782E"/>
    <w:rsid w:val="005A793B"/>
    <w:rsid w:val="005A7949"/>
    <w:rsid w:val="005A79AE"/>
    <w:rsid w:val="005B1142"/>
    <w:rsid w:val="005B1546"/>
    <w:rsid w:val="005B1E57"/>
    <w:rsid w:val="005B2054"/>
    <w:rsid w:val="005B2607"/>
    <w:rsid w:val="005B26FD"/>
    <w:rsid w:val="005B429E"/>
    <w:rsid w:val="005B44D0"/>
    <w:rsid w:val="005B4C55"/>
    <w:rsid w:val="005B4CD8"/>
    <w:rsid w:val="005B5B11"/>
    <w:rsid w:val="005B5C20"/>
    <w:rsid w:val="005B60BD"/>
    <w:rsid w:val="005B6837"/>
    <w:rsid w:val="005B730E"/>
    <w:rsid w:val="005B7879"/>
    <w:rsid w:val="005B78D4"/>
    <w:rsid w:val="005C00A0"/>
    <w:rsid w:val="005C0607"/>
    <w:rsid w:val="005C0A76"/>
    <w:rsid w:val="005C0F51"/>
    <w:rsid w:val="005C11E6"/>
    <w:rsid w:val="005C1F3B"/>
    <w:rsid w:val="005C208C"/>
    <w:rsid w:val="005C2E67"/>
    <w:rsid w:val="005C35ED"/>
    <w:rsid w:val="005C35FA"/>
    <w:rsid w:val="005C3AA3"/>
    <w:rsid w:val="005C4049"/>
    <w:rsid w:val="005C48FB"/>
    <w:rsid w:val="005C4D24"/>
    <w:rsid w:val="005C4DD7"/>
    <w:rsid w:val="005C539A"/>
    <w:rsid w:val="005C5C1B"/>
    <w:rsid w:val="005C688B"/>
    <w:rsid w:val="005C75CC"/>
    <w:rsid w:val="005C778A"/>
    <w:rsid w:val="005C794A"/>
    <w:rsid w:val="005C7B1F"/>
    <w:rsid w:val="005D03DC"/>
    <w:rsid w:val="005D04B6"/>
    <w:rsid w:val="005D107D"/>
    <w:rsid w:val="005D12BF"/>
    <w:rsid w:val="005D14E9"/>
    <w:rsid w:val="005D1B75"/>
    <w:rsid w:val="005D1C71"/>
    <w:rsid w:val="005D21A6"/>
    <w:rsid w:val="005D24F9"/>
    <w:rsid w:val="005D2888"/>
    <w:rsid w:val="005D29D5"/>
    <w:rsid w:val="005D3109"/>
    <w:rsid w:val="005D3E97"/>
    <w:rsid w:val="005D4095"/>
    <w:rsid w:val="005D4641"/>
    <w:rsid w:val="005D49FF"/>
    <w:rsid w:val="005D4D0A"/>
    <w:rsid w:val="005D5695"/>
    <w:rsid w:val="005D63D6"/>
    <w:rsid w:val="005D7ED3"/>
    <w:rsid w:val="005D7FAA"/>
    <w:rsid w:val="005E0862"/>
    <w:rsid w:val="005E0CC0"/>
    <w:rsid w:val="005E1375"/>
    <w:rsid w:val="005E147F"/>
    <w:rsid w:val="005E1CEB"/>
    <w:rsid w:val="005E2A30"/>
    <w:rsid w:val="005E2FF1"/>
    <w:rsid w:val="005E3850"/>
    <w:rsid w:val="005E3DEF"/>
    <w:rsid w:val="005E4E79"/>
    <w:rsid w:val="005E4E97"/>
    <w:rsid w:val="005E5C65"/>
    <w:rsid w:val="005E5DFA"/>
    <w:rsid w:val="005E682E"/>
    <w:rsid w:val="005E6F86"/>
    <w:rsid w:val="005E7479"/>
    <w:rsid w:val="005E75A1"/>
    <w:rsid w:val="005E7892"/>
    <w:rsid w:val="005E7A45"/>
    <w:rsid w:val="005E7E04"/>
    <w:rsid w:val="005F0245"/>
    <w:rsid w:val="005F0652"/>
    <w:rsid w:val="005F07BE"/>
    <w:rsid w:val="005F0AF1"/>
    <w:rsid w:val="005F0FCE"/>
    <w:rsid w:val="005F1146"/>
    <w:rsid w:val="005F17F5"/>
    <w:rsid w:val="005F3411"/>
    <w:rsid w:val="005F3CEA"/>
    <w:rsid w:val="005F4A97"/>
    <w:rsid w:val="005F4E44"/>
    <w:rsid w:val="005F4E85"/>
    <w:rsid w:val="005F546F"/>
    <w:rsid w:val="005F5479"/>
    <w:rsid w:val="005F5B32"/>
    <w:rsid w:val="005F66DC"/>
    <w:rsid w:val="005F6868"/>
    <w:rsid w:val="005F6E3E"/>
    <w:rsid w:val="005F731B"/>
    <w:rsid w:val="006002D9"/>
    <w:rsid w:val="0060060D"/>
    <w:rsid w:val="00600773"/>
    <w:rsid w:val="00600C6B"/>
    <w:rsid w:val="00600CF0"/>
    <w:rsid w:val="00601200"/>
    <w:rsid w:val="006013FB"/>
    <w:rsid w:val="00601F1A"/>
    <w:rsid w:val="00602746"/>
    <w:rsid w:val="0060294C"/>
    <w:rsid w:val="00603073"/>
    <w:rsid w:val="00603128"/>
    <w:rsid w:val="006033B6"/>
    <w:rsid w:val="006036E2"/>
    <w:rsid w:val="006037C5"/>
    <w:rsid w:val="00603DC4"/>
    <w:rsid w:val="00604F87"/>
    <w:rsid w:val="006052B9"/>
    <w:rsid w:val="00605607"/>
    <w:rsid w:val="00605E4D"/>
    <w:rsid w:val="00606458"/>
    <w:rsid w:val="00606CC5"/>
    <w:rsid w:val="00606F86"/>
    <w:rsid w:val="00607141"/>
    <w:rsid w:val="00607B23"/>
    <w:rsid w:val="00607E93"/>
    <w:rsid w:val="0061023E"/>
    <w:rsid w:val="0061061E"/>
    <w:rsid w:val="00610EB2"/>
    <w:rsid w:val="00611189"/>
    <w:rsid w:val="00611AD0"/>
    <w:rsid w:val="006125C5"/>
    <w:rsid w:val="0061278B"/>
    <w:rsid w:val="00613E2B"/>
    <w:rsid w:val="006144BB"/>
    <w:rsid w:val="00615CB3"/>
    <w:rsid w:val="00616900"/>
    <w:rsid w:val="00616ACC"/>
    <w:rsid w:val="00616B2A"/>
    <w:rsid w:val="006173B8"/>
    <w:rsid w:val="0061744E"/>
    <w:rsid w:val="0061799E"/>
    <w:rsid w:val="00617CDA"/>
    <w:rsid w:val="00620356"/>
    <w:rsid w:val="006204AA"/>
    <w:rsid w:val="006204D9"/>
    <w:rsid w:val="006205AD"/>
    <w:rsid w:val="00621323"/>
    <w:rsid w:val="00621934"/>
    <w:rsid w:val="00622007"/>
    <w:rsid w:val="00622D41"/>
    <w:rsid w:val="00623D94"/>
    <w:rsid w:val="00623F1D"/>
    <w:rsid w:val="00624D93"/>
    <w:rsid w:val="006254B1"/>
    <w:rsid w:val="00626034"/>
    <w:rsid w:val="00627058"/>
    <w:rsid w:val="00630007"/>
    <w:rsid w:val="006305AE"/>
    <w:rsid w:val="00630928"/>
    <w:rsid w:val="00630940"/>
    <w:rsid w:val="00630B6A"/>
    <w:rsid w:val="006312F7"/>
    <w:rsid w:val="0063144C"/>
    <w:rsid w:val="006320CB"/>
    <w:rsid w:val="00632656"/>
    <w:rsid w:val="00632CD4"/>
    <w:rsid w:val="00632EDC"/>
    <w:rsid w:val="00632F67"/>
    <w:rsid w:val="0063315B"/>
    <w:rsid w:val="00633602"/>
    <w:rsid w:val="006345ED"/>
    <w:rsid w:val="006345EE"/>
    <w:rsid w:val="00634903"/>
    <w:rsid w:val="00634D1D"/>
    <w:rsid w:val="00635040"/>
    <w:rsid w:val="0063559F"/>
    <w:rsid w:val="006356A0"/>
    <w:rsid w:val="00636403"/>
    <w:rsid w:val="00637324"/>
    <w:rsid w:val="00640005"/>
    <w:rsid w:val="0064043A"/>
    <w:rsid w:val="0064099A"/>
    <w:rsid w:val="00641758"/>
    <w:rsid w:val="00641DF1"/>
    <w:rsid w:val="00642146"/>
    <w:rsid w:val="0064243B"/>
    <w:rsid w:val="00642B83"/>
    <w:rsid w:val="0064341D"/>
    <w:rsid w:val="006450A9"/>
    <w:rsid w:val="00645164"/>
    <w:rsid w:val="006469A2"/>
    <w:rsid w:val="00646AB8"/>
    <w:rsid w:val="00646D0D"/>
    <w:rsid w:val="006471F9"/>
    <w:rsid w:val="0064782E"/>
    <w:rsid w:val="00650691"/>
    <w:rsid w:val="006507E9"/>
    <w:rsid w:val="00650822"/>
    <w:rsid w:val="00650A98"/>
    <w:rsid w:val="00651C2B"/>
    <w:rsid w:val="00652863"/>
    <w:rsid w:val="0065290E"/>
    <w:rsid w:val="00652921"/>
    <w:rsid w:val="006529EE"/>
    <w:rsid w:val="00653829"/>
    <w:rsid w:val="00653C4B"/>
    <w:rsid w:val="00653D6D"/>
    <w:rsid w:val="00654978"/>
    <w:rsid w:val="00654B18"/>
    <w:rsid w:val="006560A2"/>
    <w:rsid w:val="00656401"/>
    <w:rsid w:val="00656957"/>
    <w:rsid w:val="00656989"/>
    <w:rsid w:val="00656F93"/>
    <w:rsid w:val="006572C7"/>
    <w:rsid w:val="006578FA"/>
    <w:rsid w:val="0066025F"/>
    <w:rsid w:val="0066047B"/>
    <w:rsid w:val="00660524"/>
    <w:rsid w:val="00660E13"/>
    <w:rsid w:val="0066141F"/>
    <w:rsid w:val="00661731"/>
    <w:rsid w:val="00661B9D"/>
    <w:rsid w:val="00662555"/>
    <w:rsid w:val="006626DD"/>
    <w:rsid w:val="00662B82"/>
    <w:rsid w:val="00662E8A"/>
    <w:rsid w:val="00663136"/>
    <w:rsid w:val="00663BB8"/>
    <w:rsid w:val="00663F9C"/>
    <w:rsid w:val="00664085"/>
    <w:rsid w:val="0066419D"/>
    <w:rsid w:val="0066434A"/>
    <w:rsid w:val="006655C3"/>
    <w:rsid w:val="006661AE"/>
    <w:rsid w:val="006661E7"/>
    <w:rsid w:val="00666401"/>
    <w:rsid w:val="006667CC"/>
    <w:rsid w:val="0066711D"/>
    <w:rsid w:val="006674AF"/>
    <w:rsid w:val="00667861"/>
    <w:rsid w:val="00667DED"/>
    <w:rsid w:val="00667EF3"/>
    <w:rsid w:val="00667FEE"/>
    <w:rsid w:val="006701A1"/>
    <w:rsid w:val="006707CC"/>
    <w:rsid w:val="00670B0B"/>
    <w:rsid w:val="00670BA3"/>
    <w:rsid w:val="00670CAA"/>
    <w:rsid w:val="00670E7B"/>
    <w:rsid w:val="00670ECD"/>
    <w:rsid w:val="006711C8"/>
    <w:rsid w:val="00671EB9"/>
    <w:rsid w:val="00672482"/>
    <w:rsid w:val="0067279A"/>
    <w:rsid w:val="00673BEE"/>
    <w:rsid w:val="006740EF"/>
    <w:rsid w:val="0067429C"/>
    <w:rsid w:val="006746D0"/>
    <w:rsid w:val="0067478F"/>
    <w:rsid w:val="00675115"/>
    <w:rsid w:val="00675FA0"/>
    <w:rsid w:val="00677520"/>
    <w:rsid w:val="006777A9"/>
    <w:rsid w:val="00677A56"/>
    <w:rsid w:val="00677B79"/>
    <w:rsid w:val="00677D36"/>
    <w:rsid w:val="00677FAC"/>
    <w:rsid w:val="00680770"/>
    <w:rsid w:val="00680A37"/>
    <w:rsid w:val="00680B1F"/>
    <w:rsid w:val="00680E20"/>
    <w:rsid w:val="00681CEB"/>
    <w:rsid w:val="00681D97"/>
    <w:rsid w:val="00681F24"/>
    <w:rsid w:val="006826D6"/>
    <w:rsid w:val="00682EDE"/>
    <w:rsid w:val="00682F49"/>
    <w:rsid w:val="00683589"/>
    <w:rsid w:val="006838FF"/>
    <w:rsid w:val="0068398D"/>
    <w:rsid w:val="00683A64"/>
    <w:rsid w:val="006840C7"/>
    <w:rsid w:val="0068431E"/>
    <w:rsid w:val="0068441B"/>
    <w:rsid w:val="0068476F"/>
    <w:rsid w:val="00684C89"/>
    <w:rsid w:val="0068553C"/>
    <w:rsid w:val="00686F72"/>
    <w:rsid w:val="0068744E"/>
    <w:rsid w:val="00687644"/>
    <w:rsid w:val="00687A58"/>
    <w:rsid w:val="00687CF6"/>
    <w:rsid w:val="00687D00"/>
    <w:rsid w:val="0069098B"/>
    <w:rsid w:val="006914F0"/>
    <w:rsid w:val="00691625"/>
    <w:rsid w:val="0069302C"/>
    <w:rsid w:val="006930F8"/>
    <w:rsid w:val="00693912"/>
    <w:rsid w:val="00693BDB"/>
    <w:rsid w:val="006940D3"/>
    <w:rsid w:val="006940F0"/>
    <w:rsid w:val="00694113"/>
    <w:rsid w:val="006949CD"/>
    <w:rsid w:val="0069551F"/>
    <w:rsid w:val="006957DC"/>
    <w:rsid w:val="00695B1A"/>
    <w:rsid w:val="00695C9D"/>
    <w:rsid w:val="006966DF"/>
    <w:rsid w:val="00697D3C"/>
    <w:rsid w:val="006A0747"/>
    <w:rsid w:val="006A0F53"/>
    <w:rsid w:val="006A18E6"/>
    <w:rsid w:val="006A1DBF"/>
    <w:rsid w:val="006A29F8"/>
    <w:rsid w:val="006A3D1B"/>
    <w:rsid w:val="006A414B"/>
    <w:rsid w:val="006A4D96"/>
    <w:rsid w:val="006A55B0"/>
    <w:rsid w:val="006A6C1F"/>
    <w:rsid w:val="006A77AB"/>
    <w:rsid w:val="006A7D09"/>
    <w:rsid w:val="006B0723"/>
    <w:rsid w:val="006B0794"/>
    <w:rsid w:val="006B0B8C"/>
    <w:rsid w:val="006B14B4"/>
    <w:rsid w:val="006B1692"/>
    <w:rsid w:val="006B199B"/>
    <w:rsid w:val="006B1ACD"/>
    <w:rsid w:val="006B1B0F"/>
    <w:rsid w:val="006B1E28"/>
    <w:rsid w:val="006B25B8"/>
    <w:rsid w:val="006B2652"/>
    <w:rsid w:val="006B3E1A"/>
    <w:rsid w:val="006B3F37"/>
    <w:rsid w:val="006B4EB7"/>
    <w:rsid w:val="006B51B9"/>
    <w:rsid w:val="006B75B6"/>
    <w:rsid w:val="006B7772"/>
    <w:rsid w:val="006B7B40"/>
    <w:rsid w:val="006C0484"/>
    <w:rsid w:val="006C05A9"/>
    <w:rsid w:val="006C0734"/>
    <w:rsid w:val="006C1643"/>
    <w:rsid w:val="006C178D"/>
    <w:rsid w:val="006C179E"/>
    <w:rsid w:val="006C183B"/>
    <w:rsid w:val="006C1850"/>
    <w:rsid w:val="006C3887"/>
    <w:rsid w:val="006C3AB5"/>
    <w:rsid w:val="006C562C"/>
    <w:rsid w:val="006C61A8"/>
    <w:rsid w:val="006C65A0"/>
    <w:rsid w:val="006C690B"/>
    <w:rsid w:val="006C6934"/>
    <w:rsid w:val="006C6E7A"/>
    <w:rsid w:val="006C6E9F"/>
    <w:rsid w:val="006C76C7"/>
    <w:rsid w:val="006C7EC3"/>
    <w:rsid w:val="006D0603"/>
    <w:rsid w:val="006D0793"/>
    <w:rsid w:val="006D0F97"/>
    <w:rsid w:val="006D1A08"/>
    <w:rsid w:val="006D1FBD"/>
    <w:rsid w:val="006D2AB1"/>
    <w:rsid w:val="006D2EBB"/>
    <w:rsid w:val="006D348B"/>
    <w:rsid w:val="006D3522"/>
    <w:rsid w:val="006D3530"/>
    <w:rsid w:val="006D3751"/>
    <w:rsid w:val="006D3870"/>
    <w:rsid w:val="006D4415"/>
    <w:rsid w:val="006D47F4"/>
    <w:rsid w:val="006D5683"/>
    <w:rsid w:val="006D60C9"/>
    <w:rsid w:val="006D7B59"/>
    <w:rsid w:val="006D7EAC"/>
    <w:rsid w:val="006E046B"/>
    <w:rsid w:val="006E0E44"/>
    <w:rsid w:val="006E17E8"/>
    <w:rsid w:val="006E1A47"/>
    <w:rsid w:val="006E2B76"/>
    <w:rsid w:val="006E37B2"/>
    <w:rsid w:val="006E3F38"/>
    <w:rsid w:val="006E54D2"/>
    <w:rsid w:val="006E566E"/>
    <w:rsid w:val="006E630E"/>
    <w:rsid w:val="006E6B34"/>
    <w:rsid w:val="006E737E"/>
    <w:rsid w:val="006E7887"/>
    <w:rsid w:val="006E799E"/>
    <w:rsid w:val="006E7CBD"/>
    <w:rsid w:val="006F003B"/>
    <w:rsid w:val="006F0301"/>
    <w:rsid w:val="006F15A9"/>
    <w:rsid w:val="006F27E3"/>
    <w:rsid w:val="006F28FB"/>
    <w:rsid w:val="006F316D"/>
    <w:rsid w:val="006F39CD"/>
    <w:rsid w:val="006F3DAA"/>
    <w:rsid w:val="006F3E1E"/>
    <w:rsid w:val="006F50BC"/>
    <w:rsid w:val="006F5642"/>
    <w:rsid w:val="006F63EF"/>
    <w:rsid w:val="006F647C"/>
    <w:rsid w:val="006F6796"/>
    <w:rsid w:val="006F6DAF"/>
    <w:rsid w:val="006F7DDF"/>
    <w:rsid w:val="00700123"/>
    <w:rsid w:val="007004A0"/>
    <w:rsid w:val="007004CE"/>
    <w:rsid w:val="00700D03"/>
    <w:rsid w:val="0070109F"/>
    <w:rsid w:val="00701447"/>
    <w:rsid w:val="007016D3"/>
    <w:rsid w:val="007017DE"/>
    <w:rsid w:val="00701979"/>
    <w:rsid w:val="00701F65"/>
    <w:rsid w:val="007021DE"/>
    <w:rsid w:val="007023A5"/>
    <w:rsid w:val="00702F78"/>
    <w:rsid w:val="00702F7F"/>
    <w:rsid w:val="00703334"/>
    <w:rsid w:val="00703623"/>
    <w:rsid w:val="007037BE"/>
    <w:rsid w:val="00703C9A"/>
    <w:rsid w:val="00703E2E"/>
    <w:rsid w:val="00703FAC"/>
    <w:rsid w:val="00704583"/>
    <w:rsid w:val="00704A0E"/>
    <w:rsid w:val="00705495"/>
    <w:rsid w:val="007055DE"/>
    <w:rsid w:val="007056E8"/>
    <w:rsid w:val="0070698D"/>
    <w:rsid w:val="00706A57"/>
    <w:rsid w:val="00706F45"/>
    <w:rsid w:val="00706FCE"/>
    <w:rsid w:val="00707892"/>
    <w:rsid w:val="007103E2"/>
    <w:rsid w:val="007104DD"/>
    <w:rsid w:val="00710889"/>
    <w:rsid w:val="00710B4F"/>
    <w:rsid w:val="00711196"/>
    <w:rsid w:val="00711B3F"/>
    <w:rsid w:val="007121B4"/>
    <w:rsid w:val="007125D5"/>
    <w:rsid w:val="00712886"/>
    <w:rsid w:val="00712D7E"/>
    <w:rsid w:val="007132A9"/>
    <w:rsid w:val="0071424A"/>
    <w:rsid w:val="00714306"/>
    <w:rsid w:val="007150D4"/>
    <w:rsid w:val="00716ECD"/>
    <w:rsid w:val="00717844"/>
    <w:rsid w:val="0071786A"/>
    <w:rsid w:val="00717B75"/>
    <w:rsid w:val="00717ECB"/>
    <w:rsid w:val="00717FE8"/>
    <w:rsid w:val="00720220"/>
    <w:rsid w:val="007203E3"/>
    <w:rsid w:val="00720C72"/>
    <w:rsid w:val="007213E4"/>
    <w:rsid w:val="0072163E"/>
    <w:rsid w:val="00721B12"/>
    <w:rsid w:val="007239F9"/>
    <w:rsid w:val="00723F70"/>
    <w:rsid w:val="0072492D"/>
    <w:rsid w:val="00724F6C"/>
    <w:rsid w:val="0072578A"/>
    <w:rsid w:val="0072662E"/>
    <w:rsid w:val="00726866"/>
    <w:rsid w:val="00726CC5"/>
    <w:rsid w:val="00726F7A"/>
    <w:rsid w:val="0072750D"/>
    <w:rsid w:val="00730355"/>
    <w:rsid w:val="0073158E"/>
    <w:rsid w:val="0073172A"/>
    <w:rsid w:val="00731C19"/>
    <w:rsid w:val="00732705"/>
    <w:rsid w:val="00732773"/>
    <w:rsid w:val="00732EBC"/>
    <w:rsid w:val="00733465"/>
    <w:rsid w:val="00733672"/>
    <w:rsid w:val="0073379C"/>
    <w:rsid w:val="00733A82"/>
    <w:rsid w:val="00733E3B"/>
    <w:rsid w:val="00733FFC"/>
    <w:rsid w:val="00734118"/>
    <w:rsid w:val="0073414D"/>
    <w:rsid w:val="00734289"/>
    <w:rsid w:val="007345C7"/>
    <w:rsid w:val="00735046"/>
    <w:rsid w:val="00735263"/>
    <w:rsid w:val="00735626"/>
    <w:rsid w:val="00735C2D"/>
    <w:rsid w:val="00736733"/>
    <w:rsid w:val="00736D4A"/>
    <w:rsid w:val="007371A6"/>
    <w:rsid w:val="00737264"/>
    <w:rsid w:val="00737308"/>
    <w:rsid w:val="00737BA6"/>
    <w:rsid w:val="0074090A"/>
    <w:rsid w:val="007409B2"/>
    <w:rsid w:val="00740DDE"/>
    <w:rsid w:val="00740FB1"/>
    <w:rsid w:val="00741510"/>
    <w:rsid w:val="00742058"/>
    <w:rsid w:val="007435B1"/>
    <w:rsid w:val="00743ADC"/>
    <w:rsid w:val="00744416"/>
    <w:rsid w:val="00744493"/>
    <w:rsid w:val="007449A1"/>
    <w:rsid w:val="00744C97"/>
    <w:rsid w:val="007456EB"/>
    <w:rsid w:val="00745A19"/>
    <w:rsid w:val="007462EC"/>
    <w:rsid w:val="00746589"/>
    <w:rsid w:val="0074663B"/>
    <w:rsid w:val="007500E5"/>
    <w:rsid w:val="0075090A"/>
    <w:rsid w:val="00750B94"/>
    <w:rsid w:val="00750F63"/>
    <w:rsid w:val="00751195"/>
    <w:rsid w:val="007522AF"/>
    <w:rsid w:val="007533C9"/>
    <w:rsid w:val="007539CB"/>
    <w:rsid w:val="0075437B"/>
    <w:rsid w:val="007544A9"/>
    <w:rsid w:val="007549F4"/>
    <w:rsid w:val="00755D9A"/>
    <w:rsid w:val="007564C4"/>
    <w:rsid w:val="00756B31"/>
    <w:rsid w:val="00757425"/>
    <w:rsid w:val="007605E5"/>
    <w:rsid w:val="007615F8"/>
    <w:rsid w:val="00761AC8"/>
    <w:rsid w:val="0076206F"/>
    <w:rsid w:val="00762CF0"/>
    <w:rsid w:val="007632E0"/>
    <w:rsid w:val="0076362F"/>
    <w:rsid w:val="00763C1F"/>
    <w:rsid w:val="00763DE9"/>
    <w:rsid w:val="00764453"/>
    <w:rsid w:val="00764801"/>
    <w:rsid w:val="00764C4A"/>
    <w:rsid w:val="0076515D"/>
    <w:rsid w:val="007655FA"/>
    <w:rsid w:val="007658E5"/>
    <w:rsid w:val="00765AA7"/>
    <w:rsid w:val="00766DC3"/>
    <w:rsid w:val="007679EB"/>
    <w:rsid w:val="00770D94"/>
    <w:rsid w:val="00771631"/>
    <w:rsid w:val="00771A6B"/>
    <w:rsid w:val="00771F9B"/>
    <w:rsid w:val="0077261D"/>
    <w:rsid w:val="0077271B"/>
    <w:rsid w:val="00772ADE"/>
    <w:rsid w:val="0077338B"/>
    <w:rsid w:val="00773552"/>
    <w:rsid w:val="007755CC"/>
    <w:rsid w:val="007755CD"/>
    <w:rsid w:val="00775E74"/>
    <w:rsid w:val="00775F75"/>
    <w:rsid w:val="007762CD"/>
    <w:rsid w:val="0077650F"/>
    <w:rsid w:val="00777290"/>
    <w:rsid w:val="007777F7"/>
    <w:rsid w:val="00777920"/>
    <w:rsid w:val="00780273"/>
    <w:rsid w:val="00780956"/>
    <w:rsid w:val="0078233F"/>
    <w:rsid w:val="00782630"/>
    <w:rsid w:val="00782D8F"/>
    <w:rsid w:val="00782F00"/>
    <w:rsid w:val="00782FC5"/>
    <w:rsid w:val="0078357E"/>
    <w:rsid w:val="0078385A"/>
    <w:rsid w:val="007839E7"/>
    <w:rsid w:val="007841FF"/>
    <w:rsid w:val="007846C1"/>
    <w:rsid w:val="00784CBB"/>
    <w:rsid w:val="00785009"/>
    <w:rsid w:val="00785621"/>
    <w:rsid w:val="00785E26"/>
    <w:rsid w:val="00785EFF"/>
    <w:rsid w:val="007864E5"/>
    <w:rsid w:val="00786824"/>
    <w:rsid w:val="0078724C"/>
    <w:rsid w:val="00787C9D"/>
    <w:rsid w:val="007906CA"/>
    <w:rsid w:val="007910B0"/>
    <w:rsid w:val="00791503"/>
    <w:rsid w:val="0079220D"/>
    <w:rsid w:val="00792A53"/>
    <w:rsid w:val="007934D4"/>
    <w:rsid w:val="0079374C"/>
    <w:rsid w:val="007938D1"/>
    <w:rsid w:val="007939BD"/>
    <w:rsid w:val="00793C16"/>
    <w:rsid w:val="00793F4D"/>
    <w:rsid w:val="00793FBD"/>
    <w:rsid w:val="00795610"/>
    <w:rsid w:val="00795792"/>
    <w:rsid w:val="00796016"/>
    <w:rsid w:val="00796287"/>
    <w:rsid w:val="00796366"/>
    <w:rsid w:val="00796AC3"/>
    <w:rsid w:val="00796C5E"/>
    <w:rsid w:val="0079775B"/>
    <w:rsid w:val="007A0692"/>
    <w:rsid w:val="007A0B62"/>
    <w:rsid w:val="007A0C5A"/>
    <w:rsid w:val="007A11B0"/>
    <w:rsid w:val="007A1236"/>
    <w:rsid w:val="007A1266"/>
    <w:rsid w:val="007A1D32"/>
    <w:rsid w:val="007A2091"/>
    <w:rsid w:val="007A21A0"/>
    <w:rsid w:val="007A22B8"/>
    <w:rsid w:val="007A25B2"/>
    <w:rsid w:val="007A2A69"/>
    <w:rsid w:val="007A2A6F"/>
    <w:rsid w:val="007A39D3"/>
    <w:rsid w:val="007A3BDD"/>
    <w:rsid w:val="007A3E20"/>
    <w:rsid w:val="007A3E4D"/>
    <w:rsid w:val="007A4506"/>
    <w:rsid w:val="007A538A"/>
    <w:rsid w:val="007A57AE"/>
    <w:rsid w:val="007A6E20"/>
    <w:rsid w:val="007A73DA"/>
    <w:rsid w:val="007A74B2"/>
    <w:rsid w:val="007B07C4"/>
    <w:rsid w:val="007B0B94"/>
    <w:rsid w:val="007B11EC"/>
    <w:rsid w:val="007B17A6"/>
    <w:rsid w:val="007B1F57"/>
    <w:rsid w:val="007B3D31"/>
    <w:rsid w:val="007B4597"/>
    <w:rsid w:val="007B47A0"/>
    <w:rsid w:val="007B5174"/>
    <w:rsid w:val="007B52EC"/>
    <w:rsid w:val="007B5336"/>
    <w:rsid w:val="007B55BA"/>
    <w:rsid w:val="007B55C5"/>
    <w:rsid w:val="007B57D2"/>
    <w:rsid w:val="007B5E43"/>
    <w:rsid w:val="007B6A17"/>
    <w:rsid w:val="007B70FB"/>
    <w:rsid w:val="007B74DB"/>
    <w:rsid w:val="007C0482"/>
    <w:rsid w:val="007C0832"/>
    <w:rsid w:val="007C123C"/>
    <w:rsid w:val="007C1DC9"/>
    <w:rsid w:val="007C20FE"/>
    <w:rsid w:val="007C2678"/>
    <w:rsid w:val="007C298F"/>
    <w:rsid w:val="007C2C41"/>
    <w:rsid w:val="007C2FF2"/>
    <w:rsid w:val="007C3435"/>
    <w:rsid w:val="007C376A"/>
    <w:rsid w:val="007C3888"/>
    <w:rsid w:val="007C3E04"/>
    <w:rsid w:val="007C456F"/>
    <w:rsid w:val="007C4A77"/>
    <w:rsid w:val="007C53A3"/>
    <w:rsid w:val="007C54E9"/>
    <w:rsid w:val="007C55BE"/>
    <w:rsid w:val="007C5AB5"/>
    <w:rsid w:val="007C7119"/>
    <w:rsid w:val="007C766F"/>
    <w:rsid w:val="007C7AD6"/>
    <w:rsid w:val="007C7C59"/>
    <w:rsid w:val="007C7DC7"/>
    <w:rsid w:val="007D1E09"/>
    <w:rsid w:val="007D35A0"/>
    <w:rsid w:val="007D40F5"/>
    <w:rsid w:val="007D46D8"/>
    <w:rsid w:val="007D4892"/>
    <w:rsid w:val="007D48E9"/>
    <w:rsid w:val="007D53CB"/>
    <w:rsid w:val="007D5857"/>
    <w:rsid w:val="007D5E14"/>
    <w:rsid w:val="007D6F86"/>
    <w:rsid w:val="007D72EB"/>
    <w:rsid w:val="007D7CD6"/>
    <w:rsid w:val="007E0F8F"/>
    <w:rsid w:val="007E14A4"/>
    <w:rsid w:val="007E1C37"/>
    <w:rsid w:val="007E28AE"/>
    <w:rsid w:val="007E2F83"/>
    <w:rsid w:val="007E317C"/>
    <w:rsid w:val="007E3562"/>
    <w:rsid w:val="007E3E82"/>
    <w:rsid w:val="007E44F9"/>
    <w:rsid w:val="007E5E79"/>
    <w:rsid w:val="007E5ED9"/>
    <w:rsid w:val="007E5EDC"/>
    <w:rsid w:val="007E60AD"/>
    <w:rsid w:val="007E6646"/>
    <w:rsid w:val="007E6C51"/>
    <w:rsid w:val="007E6E28"/>
    <w:rsid w:val="007E7232"/>
    <w:rsid w:val="007E72AB"/>
    <w:rsid w:val="007E7891"/>
    <w:rsid w:val="007E7B16"/>
    <w:rsid w:val="007F0378"/>
    <w:rsid w:val="007F0684"/>
    <w:rsid w:val="007F06B6"/>
    <w:rsid w:val="007F06E8"/>
    <w:rsid w:val="007F0AF8"/>
    <w:rsid w:val="007F137F"/>
    <w:rsid w:val="007F1391"/>
    <w:rsid w:val="007F219A"/>
    <w:rsid w:val="007F385C"/>
    <w:rsid w:val="007F3F16"/>
    <w:rsid w:val="007F4981"/>
    <w:rsid w:val="007F4D3F"/>
    <w:rsid w:val="007F4D49"/>
    <w:rsid w:val="007F58A3"/>
    <w:rsid w:val="007F59DB"/>
    <w:rsid w:val="007F65DB"/>
    <w:rsid w:val="007F6761"/>
    <w:rsid w:val="007F6BC4"/>
    <w:rsid w:val="007F70D4"/>
    <w:rsid w:val="007F76B6"/>
    <w:rsid w:val="007F79BE"/>
    <w:rsid w:val="0080009A"/>
    <w:rsid w:val="00800120"/>
    <w:rsid w:val="008001B8"/>
    <w:rsid w:val="00800599"/>
    <w:rsid w:val="0080073F"/>
    <w:rsid w:val="008011BE"/>
    <w:rsid w:val="0080143D"/>
    <w:rsid w:val="00801CB1"/>
    <w:rsid w:val="00802515"/>
    <w:rsid w:val="00802AA7"/>
    <w:rsid w:val="00802B6F"/>
    <w:rsid w:val="00802C08"/>
    <w:rsid w:val="00802C7C"/>
    <w:rsid w:val="00803108"/>
    <w:rsid w:val="008039D0"/>
    <w:rsid w:val="00803ACE"/>
    <w:rsid w:val="00803EB7"/>
    <w:rsid w:val="008040BB"/>
    <w:rsid w:val="008041C2"/>
    <w:rsid w:val="008046E2"/>
    <w:rsid w:val="008054B3"/>
    <w:rsid w:val="00805B99"/>
    <w:rsid w:val="00806E9B"/>
    <w:rsid w:val="00807090"/>
    <w:rsid w:val="0080733C"/>
    <w:rsid w:val="00807926"/>
    <w:rsid w:val="00807A15"/>
    <w:rsid w:val="00807A2C"/>
    <w:rsid w:val="00807AB5"/>
    <w:rsid w:val="00807EEA"/>
    <w:rsid w:val="008100A2"/>
    <w:rsid w:val="008107F5"/>
    <w:rsid w:val="00810E30"/>
    <w:rsid w:val="00810ED7"/>
    <w:rsid w:val="008138D8"/>
    <w:rsid w:val="00813AEB"/>
    <w:rsid w:val="00814CAD"/>
    <w:rsid w:val="00815424"/>
    <w:rsid w:val="0081587D"/>
    <w:rsid w:val="00815AF2"/>
    <w:rsid w:val="00816320"/>
    <w:rsid w:val="008163C7"/>
    <w:rsid w:val="008171B1"/>
    <w:rsid w:val="00817D96"/>
    <w:rsid w:val="00817F9A"/>
    <w:rsid w:val="00820CCC"/>
    <w:rsid w:val="008227FA"/>
    <w:rsid w:val="008229A2"/>
    <w:rsid w:val="00823667"/>
    <w:rsid w:val="00823C3A"/>
    <w:rsid w:val="0082443D"/>
    <w:rsid w:val="008246FE"/>
    <w:rsid w:val="00824792"/>
    <w:rsid w:val="00824A9E"/>
    <w:rsid w:val="00825EA0"/>
    <w:rsid w:val="00825F58"/>
    <w:rsid w:val="008268CF"/>
    <w:rsid w:val="00826F8E"/>
    <w:rsid w:val="008270EE"/>
    <w:rsid w:val="00827497"/>
    <w:rsid w:val="00827D53"/>
    <w:rsid w:val="0083026B"/>
    <w:rsid w:val="00831472"/>
    <w:rsid w:val="00831612"/>
    <w:rsid w:val="00831789"/>
    <w:rsid w:val="00831EC1"/>
    <w:rsid w:val="00832696"/>
    <w:rsid w:val="008326A2"/>
    <w:rsid w:val="00832832"/>
    <w:rsid w:val="008329FF"/>
    <w:rsid w:val="00832ECB"/>
    <w:rsid w:val="00833526"/>
    <w:rsid w:val="008340EC"/>
    <w:rsid w:val="00834ACC"/>
    <w:rsid w:val="00834B47"/>
    <w:rsid w:val="00835459"/>
    <w:rsid w:val="00835609"/>
    <w:rsid w:val="00835DF4"/>
    <w:rsid w:val="0083659E"/>
    <w:rsid w:val="008365C4"/>
    <w:rsid w:val="00836D76"/>
    <w:rsid w:val="00837C41"/>
    <w:rsid w:val="00837C92"/>
    <w:rsid w:val="00837F0F"/>
    <w:rsid w:val="008416E5"/>
    <w:rsid w:val="0084210C"/>
    <w:rsid w:val="00842AD4"/>
    <w:rsid w:val="00842BBA"/>
    <w:rsid w:val="00842D41"/>
    <w:rsid w:val="00843029"/>
    <w:rsid w:val="008430CB"/>
    <w:rsid w:val="00843420"/>
    <w:rsid w:val="00843B5D"/>
    <w:rsid w:val="008447C7"/>
    <w:rsid w:val="008447D4"/>
    <w:rsid w:val="00844FEB"/>
    <w:rsid w:val="0084506C"/>
    <w:rsid w:val="008454BD"/>
    <w:rsid w:val="0084562F"/>
    <w:rsid w:val="00845BE7"/>
    <w:rsid w:val="008462BA"/>
    <w:rsid w:val="008463F3"/>
    <w:rsid w:val="00846D76"/>
    <w:rsid w:val="008471B2"/>
    <w:rsid w:val="0085005F"/>
    <w:rsid w:val="0085062F"/>
    <w:rsid w:val="00851307"/>
    <w:rsid w:val="008515B1"/>
    <w:rsid w:val="00851789"/>
    <w:rsid w:val="00851F92"/>
    <w:rsid w:val="00852508"/>
    <w:rsid w:val="00852E5B"/>
    <w:rsid w:val="00853498"/>
    <w:rsid w:val="00853677"/>
    <w:rsid w:val="008537EC"/>
    <w:rsid w:val="00853ACD"/>
    <w:rsid w:val="00853ACF"/>
    <w:rsid w:val="00853F1F"/>
    <w:rsid w:val="008544D3"/>
    <w:rsid w:val="00855143"/>
    <w:rsid w:val="008551EE"/>
    <w:rsid w:val="008558A1"/>
    <w:rsid w:val="0085642F"/>
    <w:rsid w:val="0085649E"/>
    <w:rsid w:val="008572D7"/>
    <w:rsid w:val="008573AF"/>
    <w:rsid w:val="00857645"/>
    <w:rsid w:val="00857D80"/>
    <w:rsid w:val="008602FC"/>
    <w:rsid w:val="008606F1"/>
    <w:rsid w:val="00860989"/>
    <w:rsid w:val="00860CF9"/>
    <w:rsid w:val="00861BF1"/>
    <w:rsid w:val="008622D3"/>
    <w:rsid w:val="0086268A"/>
    <w:rsid w:val="008639A2"/>
    <w:rsid w:val="00863BBB"/>
    <w:rsid w:val="0086401E"/>
    <w:rsid w:val="008640FD"/>
    <w:rsid w:val="0086426C"/>
    <w:rsid w:val="0086445F"/>
    <w:rsid w:val="008646E1"/>
    <w:rsid w:val="0086564F"/>
    <w:rsid w:val="00865681"/>
    <w:rsid w:val="00866618"/>
    <w:rsid w:val="00866858"/>
    <w:rsid w:val="00866DF4"/>
    <w:rsid w:val="00867B6B"/>
    <w:rsid w:val="00870AFC"/>
    <w:rsid w:val="00870AFD"/>
    <w:rsid w:val="00871452"/>
    <w:rsid w:val="008715CC"/>
    <w:rsid w:val="00872589"/>
    <w:rsid w:val="00872770"/>
    <w:rsid w:val="00873754"/>
    <w:rsid w:val="00873814"/>
    <w:rsid w:val="00875138"/>
    <w:rsid w:val="008752FC"/>
    <w:rsid w:val="00875FA4"/>
    <w:rsid w:val="00876044"/>
    <w:rsid w:val="008763C8"/>
    <w:rsid w:val="0087660D"/>
    <w:rsid w:val="00877D6E"/>
    <w:rsid w:val="00877E35"/>
    <w:rsid w:val="0088014E"/>
    <w:rsid w:val="00880BAB"/>
    <w:rsid w:val="00881604"/>
    <w:rsid w:val="008817FF"/>
    <w:rsid w:val="00881E99"/>
    <w:rsid w:val="008820C1"/>
    <w:rsid w:val="0088239C"/>
    <w:rsid w:val="00882745"/>
    <w:rsid w:val="008828F7"/>
    <w:rsid w:val="0088294F"/>
    <w:rsid w:val="00882A65"/>
    <w:rsid w:val="00882E58"/>
    <w:rsid w:val="0088302A"/>
    <w:rsid w:val="008835B1"/>
    <w:rsid w:val="008836F9"/>
    <w:rsid w:val="008837DE"/>
    <w:rsid w:val="00883B3F"/>
    <w:rsid w:val="008851BE"/>
    <w:rsid w:val="00885538"/>
    <w:rsid w:val="00885CA8"/>
    <w:rsid w:val="00886188"/>
    <w:rsid w:val="00887063"/>
    <w:rsid w:val="00887908"/>
    <w:rsid w:val="00887BD8"/>
    <w:rsid w:val="00887F1B"/>
    <w:rsid w:val="008900CF"/>
    <w:rsid w:val="00891602"/>
    <w:rsid w:val="00892011"/>
    <w:rsid w:val="008922CF"/>
    <w:rsid w:val="008923D1"/>
    <w:rsid w:val="008925B9"/>
    <w:rsid w:val="008928F3"/>
    <w:rsid w:val="008931AA"/>
    <w:rsid w:val="008937CB"/>
    <w:rsid w:val="0089427B"/>
    <w:rsid w:val="0089483C"/>
    <w:rsid w:val="00894A6B"/>
    <w:rsid w:val="00894A7F"/>
    <w:rsid w:val="00895922"/>
    <w:rsid w:val="00895E5A"/>
    <w:rsid w:val="0089601F"/>
    <w:rsid w:val="008960C3"/>
    <w:rsid w:val="00897502"/>
    <w:rsid w:val="00897855"/>
    <w:rsid w:val="008A0E63"/>
    <w:rsid w:val="008A1450"/>
    <w:rsid w:val="008A15A7"/>
    <w:rsid w:val="008A173F"/>
    <w:rsid w:val="008A1EFD"/>
    <w:rsid w:val="008A2340"/>
    <w:rsid w:val="008A238A"/>
    <w:rsid w:val="008A2783"/>
    <w:rsid w:val="008A2790"/>
    <w:rsid w:val="008A2C5D"/>
    <w:rsid w:val="008A33B4"/>
    <w:rsid w:val="008A3B87"/>
    <w:rsid w:val="008A3C32"/>
    <w:rsid w:val="008A3EE7"/>
    <w:rsid w:val="008A42CE"/>
    <w:rsid w:val="008A4680"/>
    <w:rsid w:val="008A473D"/>
    <w:rsid w:val="008A4F57"/>
    <w:rsid w:val="008A52CE"/>
    <w:rsid w:val="008A574C"/>
    <w:rsid w:val="008A6A25"/>
    <w:rsid w:val="008A70F7"/>
    <w:rsid w:val="008B0968"/>
    <w:rsid w:val="008B0BA7"/>
    <w:rsid w:val="008B1E06"/>
    <w:rsid w:val="008B1FAB"/>
    <w:rsid w:val="008B20A4"/>
    <w:rsid w:val="008B2F1A"/>
    <w:rsid w:val="008B31AD"/>
    <w:rsid w:val="008B331F"/>
    <w:rsid w:val="008B3A87"/>
    <w:rsid w:val="008B3C1F"/>
    <w:rsid w:val="008B4243"/>
    <w:rsid w:val="008B42D0"/>
    <w:rsid w:val="008B4953"/>
    <w:rsid w:val="008B4A6D"/>
    <w:rsid w:val="008B4E19"/>
    <w:rsid w:val="008B4F72"/>
    <w:rsid w:val="008B5A96"/>
    <w:rsid w:val="008B5E1D"/>
    <w:rsid w:val="008B5F58"/>
    <w:rsid w:val="008B6367"/>
    <w:rsid w:val="008B63AD"/>
    <w:rsid w:val="008B646F"/>
    <w:rsid w:val="008B658C"/>
    <w:rsid w:val="008B7546"/>
    <w:rsid w:val="008C0557"/>
    <w:rsid w:val="008C0771"/>
    <w:rsid w:val="008C0845"/>
    <w:rsid w:val="008C092D"/>
    <w:rsid w:val="008C1779"/>
    <w:rsid w:val="008C196C"/>
    <w:rsid w:val="008C1C57"/>
    <w:rsid w:val="008C1DC1"/>
    <w:rsid w:val="008C28B3"/>
    <w:rsid w:val="008C2A2B"/>
    <w:rsid w:val="008C3591"/>
    <w:rsid w:val="008C3A88"/>
    <w:rsid w:val="008C3AC1"/>
    <w:rsid w:val="008C3C11"/>
    <w:rsid w:val="008C4EB8"/>
    <w:rsid w:val="008C51A8"/>
    <w:rsid w:val="008C5856"/>
    <w:rsid w:val="008C5CB4"/>
    <w:rsid w:val="008C61B0"/>
    <w:rsid w:val="008C6FD3"/>
    <w:rsid w:val="008C70EB"/>
    <w:rsid w:val="008C7FA7"/>
    <w:rsid w:val="008D07F1"/>
    <w:rsid w:val="008D0C0E"/>
    <w:rsid w:val="008D155D"/>
    <w:rsid w:val="008D15E6"/>
    <w:rsid w:val="008D217D"/>
    <w:rsid w:val="008D229E"/>
    <w:rsid w:val="008D24C5"/>
    <w:rsid w:val="008D36D2"/>
    <w:rsid w:val="008D3C13"/>
    <w:rsid w:val="008D3FE4"/>
    <w:rsid w:val="008D415F"/>
    <w:rsid w:val="008D499F"/>
    <w:rsid w:val="008D4DF4"/>
    <w:rsid w:val="008D547C"/>
    <w:rsid w:val="008D5506"/>
    <w:rsid w:val="008D5DAB"/>
    <w:rsid w:val="008D6164"/>
    <w:rsid w:val="008D6641"/>
    <w:rsid w:val="008D67EC"/>
    <w:rsid w:val="008D6847"/>
    <w:rsid w:val="008D688E"/>
    <w:rsid w:val="008D6968"/>
    <w:rsid w:val="008D6C68"/>
    <w:rsid w:val="008D71F3"/>
    <w:rsid w:val="008D7AFD"/>
    <w:rsid w:val="008D7BE6"/>
    <w:rsid w:val="008D7E3E"/>
    <w:rsid w:val="008D7EA6"/>
    <w:rsid w:val="008E0029"/>
    <w:rsid w:val="008E01BA"/>
    <w:rsid w:val="008E0219"/>
    <w:rsid w:val="008E0386"/>
    <w:rsid w:val="008E0DE2"/>
    <w:rsid w:val="008E16F9"/>
    <w:rsid w:val="008E1CA4"/>
    <w:rsid w:val="008E2BCC"/>
    <w:rsid w:val="008E2D38"/>
    <w:rsid w:val="008E2ED0"/>
    <w:rsid w:val="008E38C7"/>
    <w:rsid w:val="008E489A"/>
    <w:rsid w:val="008E4C7D"/>
    <w:rsid w:val="008E5A4E"/>
    <w:rsid w:val="008E5E16"/>
    <w:rsid w:val="008E5F5F"/>
    <w:rsid w:val="008E6D37"/>
    <w:rsid w:val="008E6F6B"/>
    <w:rsid w:val="008E7155"/>
    <w:rsid w:val="008E71FB"/>
    <w:rsid w:val="008E7365"/>
    <w:rsid w:val="008E7838"/>
    <w:rsid w:val="008E7874"/>
    <w:rsid w:val="008E7BEB"/>
    <w:rsid w:val="008F0248"/>
    <w:rsid w:val="008F078E"/>
    <w:rsid w:val="008F07B8"/>
    <w:rsid w:val="008F0932"/>
    <w:rsid w:val="008F0A62"/>
    <w:rsid w:val="008F0EF5"/>
    <w:rsid w:val="008F1238"/>
    <w:rsid w:val="008F1892"/>
    <w:rsid w:val="008F257A"/>
    <w:rsid w:val="008F35D9"/>
    <w:rsid w:val="008F3793"/>
    <w:rsid w:val="008F438C"/>
    <w:rsid w:val="008F525C"/>
    <w:rsid w:val="008F540C"/>
    <w:rsid w:val="008F6060"/>
    <w:rsid w:val="008F6426"/>
    <w:rsid w:val="008F6B8B"/>
    <w:rsid w:val="00900731"/>
    <w:rsid w:val="0090146E"/>
    <w:rsid w:val="009014C6"/>
    <w:rsid w:val="00901E4D"/>
    <w:rsid w:val="009030CA"/>
    <w:rsid w:val="00903424"/>
    <w:rsid w:val="00903F71"/>
    <w:rsid w:val="00904173"/>
    <w:rsid w:val="00904206"/>
    <w:rsid w:val="00904BDA"/>
    <w:rsid w:val="00904CF7"/>
    <w:rsid w:val="00905456"/>
    <w:rsid w:val="00905829"/>
    <w:rsid w:val="00905A35"/>
    <w:rsid w:val="00905F98"/>
    <w:rsid w:val="0090621C"/>
    <w:rsid w:val="00906618"/>
    <w:rsid w:val="00906B8C"/>
    <w:rsid w:val="00906C4A"/>
    <w:rsid w:val="00907FD2"/>
    <w:rsid w:val="009100B1"/>
    <w:rsid w:val="009104A4"/>
    <w:rsid w:val="00910866"/>
    <w:rsid w:val="0091103D"/>
    <w:rsid w:val="009110AD"/>
    <w:rsid w:val="009111CC"/>
    <w:rsid w:val="009114FF"/>
    <w:rsid w:val="00911A79"/>
    <w:rsid w:val="00911B90"/>
    <w:rsid w:val="00911C5C"/>
    <w:rsid w:val="00911D8B"/>
    <w:rsid w:val="009127CC"/>
    <w:rsid w:val="00912AAF"/>
    <w:rsid w:val="00912B65"/>
    <w:rsid w:val="00912BC1"/>
    <w:rsid w:val="00914D40"/>
    <w:rsid w:val="009158B9"/>
    <w:rsid w:val="0091620A"/>
    <w:rsid w:val="00916863"/>
    <w:rsid w:val="0091728E"/>
    <w:rsid w:val="00917458"/>
    <w:rsid w:val="009176C9"/>
    <w:rsid w:val="0092096D"/>
    <w:rsid w:val="009214DE"/>
    <w:rsid w:val="00921B1B"/>
    <w:rsid w:val="00921E56"/>
    <w:rsid w:val="009221ED"/>
    <w:rsid w:val="0092259C"/>
    <w:rsid w:val="00922B73"/>
    <w:rsid w:val="00922F30"/>
    <w:rsid w:val="009231A0"/>
    <w:rsid w:val="009235C9"/>
    <w:rsid w:val="009235EC"/>
    <w:rsid w:val="00926F12"/>
    <w:rsid w:val="00927CE1"/>
    <w:rsid w:val="00927DE3"/>
    <w:rsid w:val="00930591"/>
    <w:rsid w:val="009305F9"/>
    <w:rsid w:val="00930609"/>
    <w:rsid w:val="0093071F"/>
    <w:rsid w:val="00930B72"/>
    <w:rsid w:val="0093196E"/>
    <w:rsid w:val="00931A58"/>
    <w:rsid w:val="00932113"/>
    <w:rsid w:val="0093264C"/>
    <w:rsid w:val="00932AD7"/>
    <w:rsid w:val="00932BD2"/>
    <w:rsid w:val="00932E71"/>
    <w:rsid w:val="009331AA"/>
    <w:rsid w:val="0093385B"/>
    <w:rsid w:val="00933CB4"/>
    <w:rsid w:val="00934790"/>
    <w:rsid w:val="009352C5"/>
    <w:rsid w:val="00935534"/>
    <w:rsid w:val="0093562F"/>
    <w:rsid w:val="00935978"/>
    <w:rsid w:val="00935F61"/>
    <w:rsid w:val="009360BB"/>
    <w:rsid w:val="00936B1F"/>
    <w:rsid w:val="00937808"/>
    <w:rsid w:val="009379F0"/>
    <w:rsid w:val="00937A67"/>
    <w:rsid w:val="00937A6A"/>
    <w:rsid w:val="0094115A"/>
    <w:rsid w:val="0094144F"/>
    <w:rsid w:val="00942B2E"/>
    <w:rsid w:val="00942D0E"/>
    <w:rsid w:val="00943238"/>
    <w:rsid w:val="0094352D"/>
    <w:rsid w:val="00943768"/>
    <w:rsid w:val="00943CFE"/>
    <w:rsid w:val="00943F96"/>
    <w:rsid w:val="00943FA2"/>
    <w:rsid w:val="0094494D"/>
    <w:rsid w:val="00944E59"/>
    <w:rsid w:val="00945401"/>
    <w:rsid w:val="009459F4"/>
    <w:rsid w:val="00945ABE"/>
    <w:rsid w:val="00945E58"/>
    <w:rsid w:val="00946127"/>
    <w:rsid w:val="00946907"/>
    <w:rsid w:val="00946E16"/>
    <w:rsid w:val="00950CAE"/>
    <w:rsid w:val="009512EC"/>
    <w:rsid w:val="00951992"/>
    <w:rsid w:val="009519A8"/>
    <w:rsid w:val="0095234A"/>
    <w:rsid w:val="009524FE"/>
    <w:rsid w:val="00952A5C"/>
    <w:rsid w:val="0095315A"/>
    <w:rsid w:val="009532F2"/>
    <w:rsid w:val="009534DD"/>
    <w:rsid w:val="009535C2"/>
    <w:rsid w:val="00953A73"/>
    <w:rsid w:val="00954D5A"/>
    <w:rsid w:val="009551A8"/>
    <w:rsid w:val="0095540A"/>
    <w:rsid w:val="0095640A"/>
    <w:rsid w:val="00956B6C"/>
    <w:rsid w:val="00956DE3"/>
    <w:rsid w:val="00957B5B"/>
    <w:rsid w:val="009601CB"/>
    <w:rsid w:val="0096044C"/>
    <w:rsid w:val="0096059A"/>
    <w:rsid w:val="0096081E"/>
    <w:rsid w:val="00960D39"/>
    <w:rsid w:val="00960F7E"/>
    <w:rsid w:val="009611A5"/>
    <w:rsid w:val="009614BD"/>
    <w:rsid w:val="0096193B"/>
    <w:rsid w:val="00961ABC"/>
    <w:rsid w:val="00962E6A"/>
    <w:rsid w:val="00963188"/>
    <w:rsid w:val="00963240"/>
    <w:rsid w:val="00963440"/>
    <w:rsid w:val="00963B82"/>
    <w:rsid w:val="00964475"/>
    <w:rsid w:val="00964A6E"/>
    <w:rsid w:val="00964FB4"/>
    <w:rsid w:val="009666BD"/>
    <w:rsid w:val="00966AC9"/>
    <w:rsid w:val="00966BFB"/>
    <w:rsid w:val="0096720E"/>
    <w:rsid w:val="00967CDA"/>
    <w:rsid w:val="00970048"/>
    <w:rsid w:val="00970278"/>
    <w:rsid w:val="00970847"/>
    <w:rsid w:val="00970858"/>
    <w:rsid w:val="00971831"/>
    <w:rsid w:val="00971B0F"/>
    <w:rsid w:val="0097216D"/>
    <w:rsid w:val="00972486"/>
    <w:rsid w:val="00972D8F"/>
    <w:rsid w:val="009735A7"/>
    <w:rsid w:val="00973C2B"/>
    <w:rsid w:val="0097437B"/>
    <w:rsid w:val="0097441E"/>
    <w:rsid w:val="0097517A"/>
    <w:rsid w:val="00975AEC"/>
    <w:rsid w:val="00975FB0"/>
    <w:rsid w:val="009762C7"/>
    <w:rsid w:val="0097670F"/>
    <w:rsid w:val="00976C61"/>
    <w:rsid w:val="00976ECA"/>
    <w:rsid w:val="00977532"/>
    <w:rsid w:val="009803EC"/>
    <w:rsid w:val="00981215"/>
    <w:rsid w:val="009812FC"/>
    <w:rsid w:val="009813BF"/>
    <w:rsid w:val="009819CD"/>
    <w:rsid w:val="0098256C"/>
    <w:rsid w:val="00982C0D"/>
    <w:rsid w:val="00982E78"/>
    <w:rsid w:val="009832BE"/>
    <w:rsid w:val="00983B0F"/>
    <w:rsid w:val="00983D98"/>
    <w:rsid w:val="00983EA1"/>
    <w:rsid w:val="009844B4"/>
    <w:rsid w:val="0098453B"/>
    <w:rsid w:val="00984D82"/>
    <w:rsid w:val="0098572B"/>
    <w:rsid w:val="00985CDA"/>
    <w:rsid w:val="0098603A"/>
    <w:rsid w:val="00986137"/>
    <w:rsid w:val="00986B96"/>
    <w:rsid w:val="0098740B"/>
    <w:rsid w:val="00987B9A"/>
    <w:rsid w:val="00987C6F"/>
    <w:rsid w:val="0099018C"/>
    <w:rsid w:val="00990549"/>
    <w:rsid w:val="00990708"/>
    <w:rsid w:val="0099078A"/>
    <w:rsid w:val="00990A3C"/>
    <w:rsid w:val="00990B18"/>
    <w:rsid w:val="00990C3D"/>
    <w:rsid w:val="00991603"/>
    <w:rsid w:val="0099199D"/>
    <w:rsid w:val="00991B9A"/>
    <w:rsid w:val="00991C09"/>
    <w:rsid w:val="00992EA9"/>
    <w:rsid w:val="00993499"/>
    <w:rsid w:val="009934DB"/>
    <w:rsid w:val="009939CB"/>
    <w:rsid w:val="00993D95"/>
    <w:rsid w:val="00994664"/>
    <w:rsid w:val="009948FE"/>
    <w:rsid w:val="009956CC"/>
    <w:rsid w:val="00995756"/>
    <w:rsid w:val="00997125"/>
    <w:rsid w:val="00997582"/>
    <w:rsid w:val="009A0208"/>
    <w:rsid w:val="009A05D0"/>
    <w:rsid w:val="009A0648"/>
    <w:rsid w:val="009A0B05"/>
    <w:rsid w:val="009A1B80"/>
    <w:rsid w:val="009A21EE"/>
    <w:rsid w:val="009A253B"/>
    <w:rsid w:val="009A3C6E"/>
    <w:rsid w:val="009A4973"/>
    <w:rsid w:val="009A640C"/>
    <w:rsid w:val="009A6698"/>
    <w:rsid w:val="009A68E7"/>
    <w:rsid w:val="009A6A04"/>
    <w:rsid w:val="009A6A34"/>
    <w:rsid w:val="009A78A6"/>
    <w:rsid w:val="009A7B46"/>
    <w:rsid w:val="009B01AE"/>
    <w:rsid w:val="009B04F2"/>
    <w:rsid w:val="009B0A43"/>
    <w:rsid w:val="009B0EEC"/>
    <w:rsid w:val="009B123D"/>
    <w:rsid w:val="009B1323"/>
    <w:rsid w:val="009B1676"/>
    <w:rsid w:val="009B1C1B"/>
    <w:rsid w:val="009B1E55"/>
    <w:rsid w:val="009B2E60"/>
    <w:rsid w:val="009B35BF"/>
    <w:rsid w:val="009B4C3E"/>
    <w:rsid w:val="009B4D2F"/>
    <w:rsid w:val="009B5038"/>
    <w:rsid w:val="009B5157"/>
    <w:rsid w:val="009B56BE"/>
    <w:rsid w:val="009B573C"/>
    <w:rsid w:val="009B583F"/>
    <w:rsid w:val="009B5DB6"/>
    <w:rsid w:val="009B604A"/>
    <w:rsid w:val="009B6E0F"/>
    <w:rsid w:val="009B71D8"/>
    <w:rsid w:val="009B7356"/>
    <w:rsid w:val="009B753E"/>
    <w:rsid w:val="009B7A8A"/>
    <w:rsid w:val="009C0978"/>
    <w:rsid w:val="009C099B"/>
    <w:rsid w:val="009C0AA5"/>
    <w:rsid w:val="009C0B86"/>
    <w:rsid w:val="009C1ADB"/>
    <w:rsid w:val="009C37BF"/>
    <w:rsid w:val="009C398A"/>
    <w:rsid w:val="009C4676"/>
    <w:rsid w:val="009C4FAC"/>
    <w:rsid w:val="009C5CCF"/>
    <w:rsid w:val="009C5E7B"/>
    <w:rsid w:val="009C5FC3"/>
    <w:rsid w:val="009C60E9"/>
    <w:rsid w:val="009C6629"/>
    <w:rsid w:val="009C71F3"/>
    <w:rsid w:val="009C7896"/>
    <w:rsid w:val="009D0292"/>
    <w:rsid w:val="009D0530"/>
    <w:rsid w:val="009D0C23"/>
    <w:rsid w:val="009D0CF4"/>
    <w:rsid w:val="009D0D52"/>
    <w:rsid w:val="009D140A"/>
    <w:rsid w:val="009D1A74"/>
    <w:rsid w:val="009D2215"/>
    <w:rsid w:val="009D2B87"/>
    <w:rsid w:val="009D3160"/>
    <w:rsid w:val="009D3219"/>
    <w:rsid w:val="009D39E1"/>
    <w:rsid w:val="009D3D90"/>
    <w:rsid w:val="009D43C4"/>
    <w:rsid w:val="009D45A9"/>
    <w:rsid w:val="009D4C5D"/>
    <w:rsid w:val="009D645F"/>
    <w:rsid w:val="009D6D3F"/>
    <w:rsid w:val="009D7410"/>
    <w:rsid w:val="009D7601"/>
    <w:rsid w:val="009D7622"/>
    <w:rsid w:val="009E075E"/>
    <w:rsid w:val="009E1788"/>
    <w:rsid w:val="009E1908"/>
    <w:rsid w:val="009E2011"/>
    <w:rsid w:val="009E233D"/>
    <w:rsid w:val="009E2463"/>
    <w:rsid w:val="009E2B4C"/>
    <w:rsid w:val="009E2C55"/>
    <w:rsid w:val="009E2E3F"/>
    <w:rsid w:val="009E2F8C"/>
    <w:rsid w:val="009E2FAC"/>
    <w:rsid w:val="009E3309"/>
    <w:rsid w:val="009E44A4"/>
    <w:rsid w:val="009E46DD"/>
    <w:rsid w:val="009E4A34"/>
    <w:rsid w:val="009E4E3B"/>
    <w:rsid w:val="009E59F4"/>
    <w:rsid w:val="009E5D7E"/>
    <w:rsid w:val="009E61B0"/>
    <w:rsid w:val="009E63F0"/>
    <w:rsid w:val="009E664F"/>
    <w:rsid w:val="009E7BCD"/>
    <w:rsid w:val="009F012F"/>
    <w:rsid w:val="009F0316"/>
    <w:rsid w:val="009F05AC"/>
    <w:rsid w:val="009F086C"/>
    <w:rsid w:val="009F0EA6"/>
    <w:rsid w:val="009F1387"/>
    <w:rsid w:val="009F1443"/>
    <w:rsid w:val="009F14F3"/>
    <w:rsid w:val="009F1778"/>
    <w:rsid w:val="009F1EEE"/>
    <w:rsid w:val="009F1FA6"/>
    <w:rsid w:val="009F239C"/>
    <w:rsid w:val="009F2E88"/>
    <w:rsid w:val="009F4825"/>
    <w:rsid w:val="009F49FF"/>
    <w:rsid w:val="009F4D3A"/>
    <w:rsid w:val="009F4E76"/>
    <w:rsid w:val="009F5BD7"/>
    <w:rsid w:val="009F5CE6"/>
    <w:rsid w:val="009F60E0"/>
    <w:rsid w:val="009F68A3"/>
    <w:rsid w:val="009F6B75"/>
    <w:rsid w:val="009F6C90"/>
    <w:rsid w:val="009F7297"/>
    <w:rsid w:val="009F7355"/>
    <w:rsid w:val="009F74DB"/>
    <w:rsid w:val="009F77DF"/>
    <w:rsid w:val="009F7813"/>
    <w:rsid w:val="00A00221"/>
    <w:rsid w:val="00A00437"/>
    <w:rsid w:val="00A005C0"/>
    <w:rsid w:val="00A0083A"/>
    <w:rsid w:val="00A00935"/>
    <w:rsid w:val="00A00DDA"/>
    <w:rsid w:val="00A00F7E"/>
    <w:rsid w:val="00A01385"/>
    <w:rsid w:val="00A01B9D"/>
    <w:rsid w:val="00A02089"/>
    <w:rsid w:val="00A02A2F"/>
    <w:rsid w:val="00A02C0A"/>
    <w:rsid w:val="00A03066"/>
    <w:rsid w:val="00A0310F"/>
    <w:rsid w:val="00A03652"/>
    <w:rsid w:val="00A03A2A"/>
    <w:rsid w:val="00A0480E"/>
    <w:rsid w:val="00A04844"/>
    <w:rsid w:val="00A06ED8"/>
    <w:rsid w:val="00A07147"/>
    <w:rsid w:val="00A07570"/>
    <w:rsid w:val="00A10103"/>
    <w:rsid w:val="00A11137"/>
    <w:rsid w:val="00A111EA"/>
    <w:rsid w:val="00A1135E"/>
    <w:rsid w:val="00A11447"/>
    <w:rsid w:val="00A11B67"/>
    <w:rsid w:val="00A11DEE"/>
    <w:rsid w:val="00A12405"/>
    <w:rsid w:val="00A12B28"/>
    <w:rsid w:val="00A12DF2"/>
    <w:rsid w:val="00A13EAB"/>
    <w:rsid w:val="00A162DF"/>
    <w:rsid w:val="00A16324"/>
    <w:rsid w:val="00A17013"/>
    <w:rsid w:val="00A17AF1"/>
    <w:rsid w:val="00A17B4D"/>
    <w:rsid w:val="00A17B91"/>
    <w:rsid w:val="00A20220"/>
    <w:rsid w:val="00A20CAE"/>
    <w:rsid w:val="00A2107F"/>
    <w:rsid w:val="00A2146D"/>
    <w:rsid w:val="00A216BF"/>
    <w:rsid w:val="00A21C7C"/>
    <w:rsid w:val="00A23269"/>
    <w:rsid w:val="00A233B1"/>
    <w:rsid w:val="00A23F95"/>
    <w:rsid w:val="00A2457D"/>
    <w:rsid w:val="00A24E61"/>
    <w:rsid w:val="00A25E6E"/>
    <w:rsid w:val="00A26462"/>
    <w:rsid w:val="00A26700"/>
    <w:rsid w:val="00A2670F"/>
    <w:rsid w:val="00A26B21"/>
    <w:rsid w:val="00A274E2"/>
    <w:rsid w:val="00A309AC"/>
    <w:rsid w:val="00A30B97"/>
    <w:rsid w:val="00A30BDB"/>
    <w:rsid w:val="00A31193"/>
    <w:rsid w:val="00A312FC"/>
    <w:rsid w:val="00A31F4F"/>
    <w:rsid w:val="00A31F9A"/>
    <w:rsid w:val="00A3288D"/>
    <w:rsid w:val="00A3307A"/>
    <w:rsid w:val="00A33F89"/>
    <w:rsid w:val="00A3466E"/>
    <w:rsid w:val="00A34BDA"/>
    <w:rsid w:val="00A34F8F"/>
    <w:rsid w:val="00A352BD"/>
    <w:rsid w:val="00A358DC"/>
    <w:rsid w:val="00A362FE"/>
    <w:rsid w:val="00A36A2B"/>
    <w:rsid w:val="00A40342"/>
    <w:rsid w:val="00A4164A"/>
    <w:rsid w:val="00A417B2"/>
    <w:rsid w:val="00A4189A"/>
    <w:rsid w:val="00A41C3D"/>
    <w:rsid w:val="00A41F2E"/>
    <w:rsid w:val="00A42159"/>
    <w:rsid w:val="00A42416"/>
    <w:rsid w:val="00A42DF3"/>
    <w:rsid w:val="00A432A0"/>
    <w:rsid w:val="00A4354B"/>
    <w:rsid w:val="00A43E26"/>
    <w:rsid w:val="00A43EC3"/>
    <w:rsid w:val="00A43F0A"/>
    <w:rsid w:val="00A43FF9"/>
    <w:rsid w:val="00A44220"/>
    <w:rsid w:val="00A454CD"/>
    <w:rsid w:val="00A46541"/>
    <w:rsid w:val="00A465E9"/>
    <w:rsid w:val="00A46A4B"/>
    <w:rsid w:val="00A47774"/>
    <w:rsid w:val="00A47BC1"/>
    <w:rsid w:val="00A50899"/>
    <w:rsid w:val="00A512A2"/>
    <w:rsid w:val="00A5216F"/>
    <w:rsid w:val="00A52254"/>
    <w:rsid w:val="00A52401"/>
    <w:rsid w:val="00A52622"/>
    <w:rsid w:val="00A5287D"/>
    <w:rsid w:val="00A53729"/>
    <w:rsid w:val="00A550F7"/>
    <w:rsid w:val="00A55431"/>
    <w:rsid w:val="00A560C7"/>
    <w:rsid w:val="00A562BE"/>
    <w:rsid w:val="00A56A4F"/>
    <w:rsid w:val="00A56DDE"/>
    <w:rsid w:val="00A571F5"/>
    <w:rsid w:val="00A57205"/>
    <w:rsid w:val="00A57839"/>
    <w:rsid w:val="00A5787F"/>
    <w:rsid w:val="00A57914"/>
    <w:rsid w:val="00A57A70"/>
    <w:rsid w:val="00A57E73"/>
    <w:rsid w:val="00A60242"/>
    <w:rsid w:val="00A60436"/>
    <w:rsid w:val="00A607D9"/>
    <w:rsid w:val="00A60C3A"/>
    <w:rsid w:val="00A60EC2"/>
    <w:rsid w:val="00A61039"/>
    <w:rsid w:val="00A612AC"/>
    <w:rsid w:val="00A6190A"/>
    <w:rsid w:val="00A6209A"/>
    <w:rsid w:val="00A621B7"/>
    <w:rsid w:val="00A62AC5"/>
    <w:rsid w:val="00A63037"/>
    <w:rsid w:val="00A6323E"/>
    <w:rsid w:val="00A63478"/>
    <w:rsid w:val="00A63AAC"/>
    <w:rsid w:val="00A63AF3"/>
    <w:rsid w:val="00A63D28"/>
    <w:rsid w:val="00A6419E"/>
    <w:rsid w:val="00A64B15"/>
    <w:rsid w:val="00A64E8C"/>
    <w:rsid w:val="00A64EF8"/>
    <w:rsid w:val="00A65E01"/>
    <w:rsid w:val="00A664B6"/>
    <w:rsid w:val="00A6677B"/>
    <w:rsid w:val="00A66AC3"/>
    <w:rsid w:val="00A67466"/>
    <w:rsid w:val="00A67D1C"/>
    <w:rsid w:val="00A70065"/>
    <w:rsid w:val="00A710AC"/>
    <w:rsid w:val="00A717AD"/>
    <w:rsid w:val="00A7186E"/>
    <w:rsid w:val="00A71FC9"/>
    <w:rsid w:val="00A725DB"/>
    <w:rsid w:val="00A73738"/>
    <w:rsid w:val="00A73D7C"/>
    <w:rsid w:val="00A73E8F"/>
    <w:rsid w:val="00A7475B"/>
    <w:rsid w:val="00A747DC"/>
    <w:rsid w:val="00A74CC1"/>
    <w:rsid w:val="00A74D4E"/>
    <w:rsid w:val="00A75204"/>
    <w:rsid w:val="00A753BD"/>
    <w:rsid w:val="00A761EE"/>
    <w:rsid w:val="00A767D8"/>
    <w:rsid w:val="00A76B33"/>
    <w:rsid w:val="00A76D4A"/>
    <w:rsid w:val="00A76F54"/>
    <w:rsid w:val="00A77933"/>
    <w:rsid w:val="00A77BEC"/>
    <w:rsid w:val="00A77F98"/>
    <w:rsid w:val="00A80343"/>
    <w:rsid w:val="00A80813"/>
    <w:rsid w:val="00A80B2E"/>
    <w:rsid w:val="00A80EA4"/>
    <w:rsid w:val="00A81536"/>
    <w:rsid w:val="00A819DD"/>
    <w:rsid w:val="00A81C95"/>
    <w:rsid w:val="00A822D7"/>
    <w:rsid w:val="00A83768"/>
    <w:rsid w:val="00A83A16"/>
    <w:rsid w:val="00A83CA5"/>
    <w:rsid w:val="00A84336"/>
    <w:rsid w:val="00A84863"/>
    <w:rsid w:val="00A84EBD"/>
    <w:rsid w:val="00A84EDD"/>
    <w:rsid w:val="00A84F34"/>
    <w:rsid w:val="00A8542C"/>
    <w:rsid w:val="00A8620E"/>
    <w:rsid w:val="00A864E9"/>
    <w:rsid w:val="00A86CC9"/>
    <w:rsid w:val="00A87906"/>
    <w:rsid w:val="00A87958"/>
    <w:rsid w:val="00A87D0C"/>
    <w:rsid w:val="00A87E9E"/>
    <w:rsid w:val="00A901BE"/>
    <w:rsid w:val="00A904E2"/>
    <w:rsid w:val="00A90D2E"/>
    <w:rsid w:val="00A912E7"/>
    <w:rsid w:val="00A91E97"/>
    <w:rsid w:val="00A92BCF"/>
    <w:rsid w:val="00A93095"/>
    <w:rsid w:val="00A938E8"/>
    <w:rsid w:val="00A95EE7"/>
    <w:rsid w:val="00A96085"/>
    <w:rsid w:val="00A96424"/>
    <w:rsid w:val="00A96F5C"/>
    <w:rsid w:val="00AA04FA"/>
    <w:rsid w:val="00AA19A6"/>
    <w:rsid w:val="00AA1AED"/>
    <w:rsid w:val="00AA20B1"/>
    <w:rsid w:val="00AA22E3"/>
    <w:rsid w:val="00AA22F5"/>
    <w:rsid w:val="00AA262E"/>
    <w:rsid w:val="00AA2C89"/>
    <w:rsid w:val="00AA3451"/>
    <w:rsid w:val="00AA364A"/>
    <w:rsid w:val="00AA43BD"/>
    <w:rsid w:val="00AA46E6"/>
    <w:rsid w:val="00AA48C1"/>
    <w:rsid w:val="00AA52CC"/>
    <w:rsid w:val="00AA60A4"/>
    <w:rsid w:val="00AA6240"/>
    <w:rsid w:val="00AA682F"/>
    <w:rsid w:val="00AA73A8"/>
    <w:rsid w:val="00AA784D"/>
    <w:rsid w:val="00AA7A8A"/>
    <w:rsid w:val="00AB006F"/>
    <w:rsid w:val="00AB1A9F"/>
    <w:rsid w:val="00AB2483"/>
    <w:rsid w:val="00AB3037"/>
    <w:rsid w:val="00AB3184"/>
    <w:rsid w:val="00AB33F9"/>
    <w:rsid w:val="00AB3CEC"/>
    <w:rsid w:val="00AB3E8B"/>
    <w:rsid w:val="00AB4AFF"/>
    <w:rsid w:val="00AB537C"/>
    <w:rsid w:val="00AB5887"/>
    <w:rsid w:val="00AB5B81"/>
    <w:rsid w:val="00AB5C13"/>
    <w:rsid w:val="00AB5D24"/>
    <w:rsid w:val="00AB64E5"/>
    <w:rsid w:val="00AB6C31"/>
    <w:rsid w:val="00AB7213"/>
    <w:rsid w:val="00AB7442"/>
    <w:rsid w:val="00AB7888"/>
    <w:rsid w:val="00AC0BBF"/>
    <w:rsid w:val="00AC1226"/>
    <w:rsid w:val="00AC1686"/>
    <w:rsid w:val="00AC179A"/>
    <w:rsid w:val="00AC2484"/>
    <w:rsid w:val="00AC24F6"/>
    <w:rsid w:val="00AC299E"/>
    <w:rsid w:val="00AC2CC9"/>
    <w:rsid w:val="00AC2F23"/>
    <w:rsid w:val="00AC318F"/>
    <w:rsid w:val="00AC3535"/>
    <w:rsid w:val="00AC449D"/>
    <w:rsid w:val="00AC55C2"/>
    <w:rsid w:val="00AC5C6A"/>
    <w:rsid w:val="00AC5D05"/>
    <w:rsid w:val="00AC636B"/>
    <w:rsid w:val="00AC65AF"/>
    <w:rsid w:val="00AC7052"/>
    <w:rsid w:val="00AC70AF"/>
    <w:rsid w:val="00AC7703"/>
    <w:rsid w:val="00AC7736"/>
    <w:rsid w:val="00AC7E57"/>
    <w:rsid w:val="00AD0508"/>
    <w:rsid w:val="00AD0558"/>
    <w:rsid w:val="00AD05B2"/>
    <w:rsid w:val="00AD0DCF"/>
    <w:rsid w:val="00AD10E5"/>
    <w:rsid w:val="00AD1DF3"/>
    <w:rsid w:val="00AD1FF4"/>
    <w:rsid w:val="00AD23CC"/>
    <w:rsid w:val="00AD31EC"/>
    <w:rsid w:val="00AD3498"/>
    <w:rsid w:val="00AD35A4"/>
    <w:rsid w:val="00AD37F0"/>
    <w:rsid w:val="00AD3C2A"/>
    <w:rsid w:val="00AD3E6B"/>
    <w:rsid w:val="00AD4379"/>
    <w:rsid w:val="00AD4E47"/>
    <w:rsid w:val="00AD5D9A"/>
    <w:rsid w:val="00AD6676"/>
    <w:rsid w:val="00AD6833"/>
    <w:rsid w:val="00AD715B"/>
    <w:rsid w:val="00AD77FA"/>
    <w:rsid w:val="00AE0323"/>
    <w:rsid w:val="00AE1923"/>
    <w:rsid w:val="00AE1D4C"/>
    <w:rsid w:val="00AE2457"/>
    <w:rsid w:val="00AE252A"/>
    <w:rsid w:val="00AE2565"/>
    <w:rsid w:val="00AE2BAC"/>
    <w:rsid w:val="00AE3B43"/>
    <w:rsid w:val="00AE48A4"/>
    <w:rsid w:val="00AE4F38"/>
    <w:rsid w:val="00AE507F"/>
    <w:rsid w:val="00AE5427"/>
    <w:rsid w:val="00AE67C4"/>
    <w:rsid w:val="00AE6873"/>
    <w:rsid w:val="00AE6D21"/>
    <w:rsid w:val="00AE70EF"/>
    <w:rsid w:val="00AE7169"/>
    <w:rsid w:val="00AE7523"/>
    <w:rsid w:val="00AE7F9B"/>
    <w:rsid w:val="00AF0D16"/>
    <w:rsid w:val="00AF1DE2"/>
    <w:rsid w:val="00AF2806"/>
    <w:rsid w:val="00AF2A30"/>
    <w:rsid w:val="00AF3BEC"/>
    <w:rsid w:val="00AF406C"/>
    <w:rsid w:val="00AF428A"/>
    <w:rsid w:val="00AF4370"/>
    <w:rsid w:val="00AF498E"/>
    <w:rsid w:val="00AF4AF0"/>
    <w:rsid w:val="00AF4E90"/>
    <w:rsid w:val="00AF5912"/>
    <w:rsid w:val="00AF59AE"/>
    <w:rsid w:val="00AF5B5D"/>
    <w:rsid w:val="00AF5D8B"/>
    <w:rsid w:val="00AF5DBD"/>
    <w:rsid w:val="00AF60BF"/>
    <w:rsid w:val="00AF629F"/>
    <w:rsid w:val="00AF6AEC"/>
    <w:rsid w:val="00AF6B59"/>
    <w:rsid w:val="00AF7341"/>
    <w:rsid w:val="00AF7D80"/>
    <w:rsid w:val="00B0063B"/>
    <w:rsid w:val="00B00F17"/>
    <w:rsid w:val="00B01DB9"/>
    <w:rsid w:val="00B01E36"/>
    <w:rsid w:val="00B03B4D"/>
    <w:rsid w:val="00B04293"/>
    <w:rsid w:val="00B04643"/>
    <w:rsid w:val="00B04C10"/>
    <w:rsid w:val="00B055B1"/>
    <w:rsid w:val="00B0575B"/>
    <w:rsid w:val="00B05779"/>
    <w:rsid w:val="00B068E4"/>
    <w:rsid w:val="00B068FF"/>
    <w:rsid w:val="00B06BA0"/>
    <w:rsid w:val="00B06EA8"/>
    <w:rsid w:val="00B115ED"/>
    <w:rsid w:val="00B117CB"/>
    <w:rsid w:val="00B117D7"/>
    <w:rsid w:val="00B11972"/>
    <w:rsid w:val="00B12516"/>
    <w:rsid w:val="00B12732"/>
    <w:rsid w:val="00B13785"/>
    <w:rsid w:val="00B13B8E"/>
    <w:rsid w:val="00B142E0"/>
    <w:rsid w:val="00B14312"/>
    <w:rsid w:val="00B14CF7"/>
    <w:rsid w:val="00B15237"/>
    <w:rsid w:val="00B154C1"/>
    <w:rsid w:val="00B17485"/>
    <w:rsid w:val="00B22822"/>
    <w:rsid w:val="00B22EBA"/>
    <w:rsid w:val="00B231BC"/>
    <w:rsid w:val="00B23278"/>
    <w:rsid w:val="00B23573"/>
    <w:rsid w:val="00B23ABE"/>
    <w:rsid w:val="00B23B67"/>
    <w:rsid w:val="00B24B78"/>
    <w:rsid w:val="00B24E97"/>
    <w:rsid w:val="00B25FEF"/>
    <w:rsid w:val="00B26303"/>
    <w:rsid w:val="00B26797"/>
    <w:rsid w:val="00B26BE1"/>
    <w:rsid w:val="00B26C98"/>
    <w:rsid w:val="00B26E4F"/>
    <w:rsid w:val="00B271E8"/>
    <w:rsid w:val="00B275D8"/>
    <w:rsid w:val="00B27680"/>
    <w:rsid w:val="00B27DA7"/>
    <w:rsid w:val="00B313F6"/>
    <w:rsid w:val="00B323E3"/>
    <w:rsid w:val="00B32506"/>
    <w:rsid w:val="00B32BF9"/>
    <w:rsid w:val="00B32F66"/>
    <w:rsid w:val="00B3325C"/>
    <w:rsid w:val="00B33364"/>
    <w:rsid w:val="00B33678"/>
    <w:rsid w:val="00B33DDF"/>
    <w:rsid w:val="00B33FD6"/>
    <w:rsid w:val="00B34406"/>
    <w:rsid w:val="00B3463B"/>
    <w:rsid w:val="00B34827"/>
    <w:rsid w:val="00B34AFD"/>
    <w:rsid w:val="00B3512D"/>
    <w:rsid w:val="00B354E2"/>
    <w:rsid w:val="00B358C1"/>
    <w:rsid w:val="00B3652D"/>
    <w:rsid w:val="00B36705"/>
    <w:rsid w:val="00B37073"/>
    <w:rsid w:val="00B40037"/>
    <w:rsid w:val="00B412F3"/>
    <w:rsid w:val="00B41861"/>
    <w:rsid w:val="00B41A1A"/>
    <w:rsid w:val="00B42107"/>
    <w:rsid w:val="00B4226E"/>
    <w:rsid w:val="00B428D3"/>
    <w:rsid w:val="00B4371F"/>
    <w:rsid w:val="00B440D1"/>
    <w:rsid w:val="00B44A28"/>
    <w:rsid w:val="00B44CF2"/>
    <w:rsid w:val="00B453BC"/>
    <w:rsid w:val="00B457E4"/>
    <w:rsid w:val="00B457F9"/>
    <w:rsid w:val="00B45869"/>
    <w:rsid w:val="00B45A65"/>
    <w:rsid w:val="00B45BBA"/>
    <w:rsid w:val="00B462D8"/>
    <w:rsid w:val="00B46347"/>
    <w:rsid w:val="00B46444"/>
    <w:rsid w:val="00B46E16"/>
    <w:rsid w:val="00B4762E"/>
    <w:rsid w:val="00B47DE4"/>
    <w:rsid w:val="00B507E3"/>
    <w:rsid w:val="00B51909"/>
    <w:rsid w:val="00B51CE3"/>
    <w:rsid w:val="00B52EAD"/>
    <w:rsid w:val="00B52F36"/>
    <w:rsid w:val="00B531A4"/>
    <w:rsid w:val="00B53A39"/>
    <w:rsid w:val="00B53E30"/>
    <w:rsid w:val="00B5474A"/>
    <w:rsid w:val="00B549A7"/>
    <w:rsid w:val="00B54B97"/>
    <w:rsid w:val="00B55825"/>
    <w:rsid w:val="00B558AD"/>
    <w:rsid w:val="00B55D4F"/>
    <w:rsid w:val="00B55E9E"/>
    <w:rsid w:val="00B56591"/>
    <w:rsid w:val="00B56ACA"/>
    <w:rsid w:val="00B57320"/>
    <w:rsid w:val="00B574FC"/>
    <w:rsid w:val="00B5752D"/>
    <w:rsid w:val="00B577AE"/>
    <w:rsid w:val="00B57AC2"/>
    <w:rsid w:val="00B60A5C"/>
    <w:rsid w:val="00B60E24"/>
    <w:rsid w:val="00B61068"/>
    <w:rsid w:val="00B6118D"/>
    <w:rsid w:val="00B62C41"/>
    <w:rsid w:val="00B64054"/>
    <w:rsid w:val="00B642B3"/>
    <w:rsid w:val="00B64A9A"/>
    <w:rsid w:val="00B666F5"/>
    <w:rsid w:val="00B66A53"/>
    <w:rsid w:val="00B66C43"/>
    <w:rsid w:val="00B6706A"/>
    <w:rsid w:val="00B6718B"/>
    <w:rsid w:val="00B6739C"/>
    <w:rsid w:val="00B674BE"/>
    <w:rsid w:val="00B67A5D"/>
    <w:rsid w:val="00B67BF5"/>
    <w:rsid w:val="00B70240"/>
    <w:rsid w:val="00B706E0"/>
    <w:rsid w:val="00B70E68"/>
    <w:rsid w:val="00B7111B"/>
    <w:rsid w:val="00B71BEA"/>
    <w:rsid w:val="00B71D0E"/>
    <w:rsid w:val="00B71D2A"/>
    <w:rsid w:val="00B71D57"/>
    <w:rsid w:val="00B71DE3"/>
    <w:rsid w:val="00B72616"/>
    <w:rsid w:val="00B7351F"/>
    <w:rsid w:val="00B743DF"/>
    <w:rsid w:val="00B74B6F"/>
    <w:rsid w:val="00B752A3"/>
    <w:rsid w:val="00B75640"/>
    <w:rsid w:val="00B75690"/>
    <w:rsid w:val="00B76433"/>
    <w:rsid w:val="00B76743"/>
    <w:rsid w:val="00B76EBE"/>
    <w:rsid w:val="00B77355"/>
    <w:rsid w:val="00B77E94"/>
    <w:rsid w:val="00B80321"/>
    <w:rsid w:val="00B81B04"/>
    <w:rsid w:val="00B82AE5"/>
    <w:rsid w:val="00B82D16"/>
    <w:rsid w:val="00B838E8"/>
    <w:rsid w:val="00B847A7"/>
    <w:rsid w:val="00B84EB3"/>
    <w:rsid w:val="00B85FEE"/>
    <w:rsid w:val="00B863E7"/>
    <w:rsid w:val="00B8778B"/>
    <w:rsid w:val="00B87C95"/>
    <w:rsid w:val="00B9031C"/>
    <w:rsid w:val="00B90653"/>
    <w:rsid w:val="00B91213"/>
    <w:rsid w:val="00B925DB"/>
    <w:rsid w:val="00B9333B"/>
    <w:rsid w:val="00B934DE"/>
    <w:rsid w:val="00B938E4"/>
    <w:rsid w:val="00B94269"/>
    <w:rsid w:val="00B947BF"/>
    <w:rsid w:val="00B94A1E"/>
    <w:rsid w:val="00B94B69"/>
    <w:rsid w:val="00B94E55"/>
    <w:rsid w:val="00B94F87"/>
    <w:rsid w:val="00B951C1"/>
    <w:rsid w:val="00B9556E"/>
    <w:rsid w:val="00B95A50"/>
    <w:rsid w:val="00B95D2C"/>
    <w:rsid w:val="00B95DC7"/>
    <w:rsid w:val="00B963A6"/>
    <w:rsid w:val="00B96C52"/>
    <w:rsid w:val="00B96C53"/>
    <w:rsid w:val="00B96E50"/>
    <w:rsid w:val="00B973D0"/>
    <w:rsid w:val="00B975CF"/>
    <w:rsid w:val="00BA0F89"/>
    <w:rsid w:val="00BA1049"/>
    <w:rsid w:val="00BA179D"/>
    <w:rsid w:val="00BA1AFD"/>
    <w:rsid w:val="00BA217B"/>
    <w:rsid w:val="00BA2A85"/>
    <w:rsid w:val="00BA4525"/>
    <w:rsid w:val="00BA475F"/>
    <w:rsid w:val="00BA4BFB"/>
    <w:rsid w:val="00BA510A"/>
    <w:rsid w:val="00BA51F6"/>
    <w:rsid w:val="00BA5B47"/>
    <w:rsid w:val="00BA5ED6"/>
    <w:rsid w:val="00BA62EF"/>
    <w:rsid w:val="00BA648B"/>
    <w:rsid w:val="00BA6818"/>
    <w:rsid w:val="00BA77DE"/>
    <w:rsid w:val="00BA782E"/>
    <w:rsid w:val="00BA7A25"/>
    <w:rsid w:val="00BA7B21"/>
    <w:rsid w:val="00BA7F1B"/>
    <w:rsid w:val="00BB05F4"/>
    <w:rsid w:val="00BB0630"/>
    <w:rsid w:val="00BB0CA5"/>
    <w:rsid w:val="00BB0F61"/>
    <w:rsid w:val="00BB12F6"/>
    <w:rsid w:val="00BB13AC"/>
    <w:rsid w:val="00BB14DD"/>
    <w:rsid w:val="00BB174C"/>
    <w:rsid w:val="00BB3436"/>
    <w:rsid w:val="00BB3A7C"/>
    <w:rsid w:val="00BB3C90"/>
    <w:rsid w:val="00BB3D9E"/>
    <w:rsid w:val="00BB48F9"/>
    <w:rsid w:val="00BB51DC"/>
    <w:rsid w:val="00BB5776"/>
    <w:rsid w:val="00BB591D"/>
    <w:rsid w:val="00BB5B56"/>
    <w:rsid w:val="00BB6172"/>
    <w:rsid w:val="00BB6853"/>
    <w:rsid w:val="00BB6B0B"/>
    <w:rsid w:val="00BB6C0B"/>
    <w:rsid w:val="00BB6DEB"/>
    <w:rsid w:val="00BB6E54"/>
    <w:rsid w:val="00BB6F1C"/>
    <w:rsid w:val="00BB7144"/>
    <w:rsid w:val="00BB772D"/>
    <w:rsid w:val="00BB7A21"/>
    <w:rsid w:val="00BB7DB2"/>
    <w:rsid w:val="00BC062E"/>
    <w:rsid w:val="00BC091B"/>
    <w:rsid w:val="00BC13E1"/>
    <w:rsid w:val="00BC14C0"/>
    <w:rsid w:val="00BC23C0"/>
    <w:rsid w:val="00BC265E"/>
    <w:rsid w:val="00BC2978"/>
    <w:rsid w:val="00BC3563"/>
    <w:rsid w:val="00BC3677"/>
    <w:rsid w:val="00BC5795"/>
    <w:rsid w:val="00BC5D84"/>
    <w:rsid w:val="00BC66F9"/>
    <w:rsid w:val="00BC6794"/>
    <w:rsid w:val="00BC6B0B"/>
    <w:rsid w:val="00BC730B"/>
    <w:rsid w:val="00BC7C23"/>
    <w:rsid w:val="00BD00C1"/>
    <w:rsid w:val="00BD0750"/>
    <w:rsid w:val="00BD0E33"/>
    <w:rsid w:val="00BD1B8C"/>
    <w:rsid w:val="00BD1C96"/>
    <w:rsid w:val="00BD1D83"/>
    <w:rsid w:val="00BD283C"/>
    <w:rsid w:val="00BD35F1"/>
    <w:rsid w:val="00BD37BA"/>
    <w:rsid w:val="00BD383C"/>
    <w:rsid w:val="00BD4B63"/>
    <w:rsid w:val="00BD4CCC"/>
    <w:rsid w:val="00BD5031"/>
    <w:rsid w:val="00BD541B"/>
    <w:rsid w:val="00BD601C"/>
    <w:rsid w:val="00BD70AE"/>
    <w:rsid w:val="00BD7218"/>
    <w:rsid w:val="00BE0DCB"/>
    <w:rsid w:val="00BE1859"/>
    <w:rsid w:val="00BE24E9"/>
    <w:rsid w:val="00BE2D0C"/>
    <w:rsid w:val="00BE422F"/>
    <w:rsid w:val="00BE4477"/>
    <w:rsid w:val="00BE4B93"/>
    <w:rsid w:val="00BE538C"/>
    <w:rsid w:val="00BE6738"/>
    <w:rsid w:val="00BE756C"/>
    <w:rsid w:val="00BE7822"/>
    <w:rsid w:val="00BE7934"/>
    <w:rsid w:val="00BE7AC2"/>
    <w:rsid w:val="00BF01F1"/>
    <w:rsid w:val="00BF04AD"/>
    <w:rsid w:val="00BF07D6"/>
    <w:rsid w:val="00BF0A42"/>
    <w:rsid w:val="00BF1740"/>
    <w:rsid w:val="00BF2184"/>
    <w:rsid w:val="00BF2F32"/>
    <w:rsid w:val="00BF381C"/>
    <w:rsid w:val="00BF4607"/>
    <w:rsid w:val="00BF4733"/>
    <w:rsid w:val="00BF498B"/>
    <w:rsid w:val="00BF4EB8"/>
    <w:rsid w:val="00BF5363"/>
    <w:rsid w:val="00BF5D42"/>
    <w:rsid w:val="00BF60CD"/>
    <w:rsid w:val="00BF6690"/>
    <w:rsid w:val="00BF74EB"/>
    <w:rsid w:val="00BF7E99"/>
    <w:rsid w:val="00C0040C"/>
    <w:rsid w:val="00C00469"/>
    <w:rsid w:val="00C0047B"/>
    <w:rsid w:val="00C010FA"/>
    <w:rsid w:val="00C01B68"/>
    <w:rsid w:val="00C01BB0"/>
    <w:rsid w:val="00C0279B"/>
    <w:rsid w:val="00C02F70"/>
    <w:rsid w:val="00C03FC3"/>
    <w:rsid w:val="00C042FB"/>
    <w:rsid w:val="00C047D8"/>
    <w:rsid w:val="00C05422"/>
    <w:rsid w:val="00C05541"/>
    <w:rsid w:val="00C0591B"/>
    <w:rsid w:val="00C0643E"/>
    <w:rsid w:val="00C06FD8"/>
    <w:rsid w:val="00C07452"/>
    <w:rsid w:val="00C07AE4"/>
    <w:rsid w:val="00C10A2E"/>
    <w:rsid w:val="00C10E4A"/>
    <w:rsid w:val="00C10F84"/>
    <w:rsid w:val="00C1163D"/>
    <w:rsid w:val="00C11958"/>
    <w:rsid w:val="00C11D67"/>
    <w:rsid w:val="00C11E76"/>
    <w:rsid w:val="00C129C1"/>
    <w:rsid w:val="00C13EC6"/>
    <w:rsid w:val="00C14064"/>
    <w:rsid w:val="00C14145"/>
    <w:rsid w:val="00C14D49"/>
    <w:rsid w:val="00C15346"/>
    <w:rsid w:val="00C15E18"/>
    <w:rsid w:val="00C16DA8"/>
    <w:rsid w:val="00C17CD2"/>
    <w:rsid w:val="00C17D16"/>
    <w:rsid w:val="00C17EC4"/>
    <w:rsid w:val="00C202DC"/>
    <w:rsid w:val="00C20431"/>
    <w:rsid w:val="00C20D32"/>
    <w:rsid w:val="00C20DA8"/>
    <w:rsid w:val="00C20DF3"/>
    <w:rsid w:val="00C21563"/>
    <w:rsid w:val="00C21792"/>
    <w:rsid w:val="00C21910"/>
    <w:rsid w:val="00C21E6C"/>
    <w:rsid w:val="00C21FFB"/>
    <w:rsid w:val="00C2200C"/>
    <w:rsid w:val="00C220B5"/>
    <w:rsid w:val="00C22309"/>
    <w:rsid w:val="00C224D0"/>
    <w:rsid w:val="00C22E40"/>
    <w:rsid w:val="00C22E4B"/>
    <w:rsid w:val="00C22E7B"/>
    <w:rsid w:val="00C23E65"/>
    <w:rsid w:val="00C240D2"/>
    <w:rsid w:val="00C24652"/>
    <w:rsid w:val="00C24886"/>
    <w:rsid w:val="00C24A19"/>
    <w:rsid w:val="00C24A20"/>
    <w:rsid w:val="00C251CF"/>
    <w:rsid w:val="00C25770"/>
    <w:rsid w:val="00C2619D"/>
    <w:rsid w:val="00C262DD"/>
    <w:rsid w:val="00C26352"/>
    <w:rsid w:val="00C2636E"/>
    <w:rsid w:val="00C268C6"/>
    <w:rsid w:val="00C27F83"/>
    <w:rsid w:val="00C3074B"/>
    <w:rsid w:val="00C30904"/>
    <w:rsid w:val="00C310EC"/>
    <w:rsid w:val="00C318AF"/>
    <w:rsid w:val="00C31D26"/>
    <w:rsid w:val="00C321FC"/>
    <w:rsid w:val="00C324F0"/>
    <w:rsid w:val="00C3267E"/>
    <w:rsid w:val="00C327BC"/>
    <w:rsid w:val="00C33435"/>
    <w:rsid w:val="00C3360B"/>
    <w:rsid w:val="00C3385B"/>
    <w:rsid w:val="00C34193"/>
    <w:rsid w:val="00C35323"/>
    <w:rsid w:val="00C35747"/>
    <w:rsid w:val="00C35A2D"/>
    <w:rsid w:val="00C3671C"/>
    <w:rsid w:val="00C3678C"/>
    <w:rsid w:val="00C368B2"/>
    <w:rsid w:val="00C36FB7"/>
    <w:rsid w:val="00C37102"/>
    <w:rsid w:val="00C37435"/>
    <w:rsid w:val="00C37A49"/>
    <w:rsid w:val="00C4227F"/>
    <w:rsid w:val="00C42302"/>
    <w:rsid w:val="00C43770"/>
    <w:rsid w:val="00C43DB2"/>
    <w:rsid w:val="00C43F3C"/>
    <w:rsid w:val="00C44B2F"/>
    <w:rsid w:val="00C4508E"/>
    <w:rsid w:val="00C45463"/>
    <w:rsid w:val="00C46905"/>
    <w:rsid w:val="00C4786D"/>
    <w:rsid w:val="00C47DE2"/>
    <w:rsid w:val="00C50543"/>
    <w:rsid w:val="00C505BA"/>
    <w:rsid w:val="00C50835"/>
    <w:rsid w:val="00C5157D"/>
    <w:rsid w:val="00C52726"/>
    <w:rsid w:val="00C52A31"/>
    <w:rsid w:val="00C52CEE"/>
    <w:rsid w:val="00C530B7"/>
    <w:rsid w:val="00C53869"/>
    <w:rsid w:val="00C53C97"/>
    <w:rsid w:val="00C56DA7"/>
    <w:rsid w:val="00C56EA1"/>
    <w:rsid w:val="00C57277"/>
    <w:rsid w:val="00C57319"/>
    <w:rsid w:val="00C57A60"/>
    <w:rsid w:val="00C57C31"/>
    <w:rsid w:val="00C60E54"/>
    <w:rsid w:val="00C60ED4"/>
    <w:rsid w:val="00C61032"/>
    <w:rsid w:val="00C61102"/>
    <w:rsid w:val="00C61E12"/>
    <w:rsid w:val="00C620C3"/>
    <w:rsid w:val="00C6241F"/>
    <w:rsid w:val="00C624A9"/>
    <w:rsid w:val="00C62B22"/>
    <w:rsid w:val="00C63304"/>
    <w:rsid w:val="00C63BC0"/>
    <w:rsid w:val="00C63D7F"/>
    <w:rsid w:val="00C64D09"/>
    <w:rsid w:val="00C65AE0"/>
    <w:rsid w:val="00C661CD"/>
    <w:rsid w:val="00C66925"/>
    <w:rsid w:val="00C66FFA"/>
    <w:rsid w:val="00C6779C"/>
    <w:rsid w:val="00C67BA4"/>
    <w:rsid w:val="00C702FB"/>
    <w:rsid w:val="00C70B35"/>
    <w:rsid w:val="00C7112E"/>
    <w:rsid w:val="00C71A7E"/>
    <w:rsid w:val="00C71B29"/>
    <w:rsid w:val="00C71C06"/>
    <w:rsid w:val="00C71FAC"/>
    <w:rsid w:val="00C7234C"/>
    <w:rsid w:val="00C7346A"/>
    <w:rsid w:val="00C736A6"/>
    <w:rsid w:val="00C737B3"/>
    <w:rsid w:val="00C73BEB"/>
    <w:rsid w:val="00C73F09"/>
    <w:rsid w:val="00C744C0"/>
    <w:rsid w:val="00C74D6B"/>
    <w:rsid w:val="00C7524C"/>
    <w:rsid w:val="00C75AA9"/>
    <w:rsid w:val="00C766FC"/>
    <w:rsid w:val="00C76D6D"/>
    <w:rsid w:val="00C776FD"/>
    <w:rsid w:val="00C7774B"/>
    <w:rsid w:val="00C77879"/>
    <w:rsid w:val="00C77DF2"/>
    <w:rsid w:val="00C8020F"/>
    <w:rsid w:val="00C804E2"/>
    <w:rsid w:val="00C81842"/>
    <w:rsid w:val="00C8201D"/>
    <w:rsid w:val="00C8225E"/>
    <w:rsid w:val="00C82DF5"/>
    <w:rsid w:val="00C83948"/>
    <w:rsid w:val="00C83FC0"/>
    <w:rsid w:val="00C84351"/>
    <w:rsid w:val="00C84552"/>
    <w:rsid w:val="00C848BA"/>
    <w:rsid w:val="00C84F98"/>
    <w:rsid w:val="00C852CD"/>
    <w:rsid w:val="00C85810"/>
    <w:rsid w:val="00C86A07"/>
    <w:rsid w:val="00C87468"/>
    <w:rsid w:val="00C8799A"/>
    <w:rsid w:val="00C87FF5"/>
    <w:rsid w:val="00C903B9"/>
    <w:rsid w:val="00C90800"/>
    <w:rsid w:val="00C90877"/>
    <w:rsid w:val="00C91770"/>
    <w:rsid w:val="00C91C46"/>
    <w:rsid w:val="00C91E35"/>
    <w:rsid w:val="00C921B9"/>
    <w:rsid w:val="00C93087"/>
    <w:rsid w:val="00C93165"/>
    <w:rsid w:val="00C93944"/>
    <w:rsid w:val="00C9424C"/>
    <w:rsid w:val="00C94297"/>
    <w:rsid w:val="00C94660"/>
    <w:rsid w:val="00C94796"/>
    <w:rsid w:val="00C94C8D"/>
    <w:rsid w:val="00C9533D"/>
    <w:rsid w:val="00C95411"/>
    <w:rsid w:val="00C955AD"/>
    <w:rsid w:val="00C955D7"/>
    <w:rsid w:val="00C95F4E"/>
    <w:rsid w:val="00C96502"/>
    <w:rsid w:val="00C9688C"/>
    <w:rsid w:val="00C971AB"/>
    <w:rsid w:val="00C97654"/>
    <w:rsid w:val="00C978C8"/>
    <w:rsid w:val="00C97BC4"/>
    <w:rsid w:val="00C97E35"/>
    <w:rsid w:val="00CA043B"/>
    <w:rsid w:val="00CA062B"/>
    <w:rsid w:val="00CA0CFC"/>
    <w:rsid w:val="00CA1C86"/>
    <w:rsid w:val="00CA1CBB"/>
    <w:rsid w:val="00CA1D40"/>
    <w:rsid w:val="00CA2076"/>
    <w:rsid w:val="00CA2E6A"/>
    <w:rsid w:val="00CA301A"/>
    <w:rsid w:val="00CA33FB"/>
    <w:rsid w:val="00CA3632"/>
    <w:rsid w:val="00CA3981"/>
    <w:rsid w:val="00CA4552"/>
    <w:rsid w:val="00CA46A4"/>
    <w:rsid w:val="00CA4B8E"/>
    <w:rsid w:val="00CA4CB1"/>
    <w:rsid w:val="00CA52BC"/>
    <w:rsid w:val="00CA5A78"/>
    <w:rsid w:val="00CA5BD2"/>
    <w:rsid w:val="00CA6039"/>
    <w:rsid w:val="00CA6484"/>
    <w:rsid w:val="00CA68D4"/>
    <w:rsid w:val="00CB0479"/>
    <w:rsid w:val="00CB0A16"/>
    <w:rsid w:val="00CB0F3D"/>
    <w:rsid w:val="00CB1696"/>
    <w:rsid w:val="00CB1DCD"/>
    <w:rsid w:val="00CB2774"/>
    <w:rsid w:val="00CB285D"/>
    <w:rsid w:val="00CB2A32"/>
    <w:rsid w:val="00CB41FA"/>
    <w:rsid w:val="00CB4562"/>
    <w:rsid w:val="00CB47F9"/>
    <w:rsid w:val="00CB4D3C"/>
    <w:rsid w:val="00CB4F91"/>
    <w:rsid w:val="00CB5516"/>
    <w:rsid w:val="00CB5679"/>
    <w:rsid w:val="00CB5713"/>
    <w:rsid w:val="00CB68A2"/>
    <w:rsid w:val="00CB731B"/>
    <w:rsid w:val="00CB74A7"/>
    <w:rsid w:val="00CB7F3B"/>
    <w:rsid w:val="00CC01EB"/>
    <w:rsid w:val="00CC0A7F"/>
    <w:rsid w:val="00CC150E"/>
    <w:rsid w:val="00CC158F"/>
    <w:rsid w:val="00CC1F66"/>
    <w:rsid w:val="00CC25FD"/>
    <w:rsid w:val="00CC2932"/>
    <w:rsid w:val="00CC2CA2"/>
    <w:rsid w:val="00CC2E62"/>
    <w:rsid w:val="00CC2FBC"/>
    <w:rsid w:val="00CC30CE"/>
    <w:rsid w:val="00CC327F"/>
    <w:rsid w:val="00CC3624"/>
    <w:rsid w:val="00CC474A"/>
    <w:rsid w:val="00CC4BE7"/>
    <w:rsid w:val="00CC4C03"/>
    <w:rsid w:val="00CC4C62"/>
    <w:rsid w:val="00CC4D1A"/>
    <w:rsid w:val="00CC4EF2"/>
    <w:rsid w:val="00CC56A1"/>
    <w:rsid w:val="00CC61AA"/>
    <w:rsid w:val="00CC6875"/>
    <w:rsid w:val="00CC71A0"/>
    <w:rsid w:val="00CC75C2"/>
    <w:rsid w:val="00CC778A"/>
    <w:rsid w:val="00CC7F41"/>
    <w:rsid w:val="00CD0246"/>
    <w:rsid w:val="00CD03CF"/>
    <w:rsid w:val="00CD0842"/>
    <w:rsid w:val="00CD157B"/>
    <w:rsid w:val="00CD1B67"/>
    <w:rsid w:val="00CD21FE"/>
    <w:rsid w:val="00CD23D6"/>
    <w:rsid w:val="00CD2656"/>
    <w:rsid w:val="00CD365A"/>
    <w:rsid w:val="00CD3911"/>
    <w:rsid w:val="00CD3912"/>
    <w:rsid w:val="00CD3F18"/>
    <w:rsid w:val="00CD45E3"/>
    <w:rsid w:val="00CD4B8D"/>
    <w:rsid w:val="00CD5618"/>
    <w:rsid w:val="00CD5857"/>
    <w:rsid w:val="00CD5FFD"/>
    <w:rsid w:val="00CD688F"/>
    <w:rsid w:val="00CD6ACE"/>
    <w:rsid w:val="00CD7CCB"/>
    <w:rsid w:val="00CE02E6"/>
    <w:rsid w:val="00CE1043"/>
    <w:rsid w:val="00CE1B0F"/>
    <w:rsid w:val="00CE1F2E"/>
    <w:rsid w:val="00CE1F54"/>
    <w:rsid w:val="00CE31E5"/>
    <w:rsid w:val="00CE344C"/>
    <w:rsid w:val="00CE3564"/>
    <w:rsid w:val="00CE3ADC"/>
    <w:rsid w:val="00CE419A"/>
    <w:rsid w:val="00CE5D82"/>
    <w:rsid w:val="00CE6528"/>
    <w:rsid w:val="00CE6B16"/>
    <w:rsid w:val="00CE6BB0"/>
    <w:rsid w:val="00CE6F27"/>
    <w:rsid w:val="00CE7054"/>
    <w:rsid w:val="00CE76D3"/>
    <w:rsid w:val="00CE79FE"/>
    <w:rsid w:val="00CE7B16"/>
    <w:rsid w:val="00CE7E16"/>
    <w:rsid w:val="00CF010F"/>
    <w:rsid w:val="00CF01A9"/>
    <w:rsid w:val="00CF072B"/>
    <w:rsid w:val="00CF0ADD"/>
    <w:rsid w:val="00CF0AFE"/>
    <w:rsid w:val="00CF0D20"/>
    <w:rsid w:val="00CF1132"/>
    <w:rsid w:val="00CF176A"/>
    <w:rsid w:val="00CF20CC"/>
    <w:rsid w:val="00CF2344"/>
    <w:rsid w:val="00CF28EE"/>
    <w:rsid w:val="00CF2E9D"/>
    <w:rsid w:val="00CF3159"/>
    <w:rsid w:val="00CF3471"/>
    <w:rsid w:val="00CF347A"/>
    <w:rsid w:val="00CF402D"/>
    <w:rsid w:val="00CF431B"/>
    <w:rsid w:val="00CF5577"/>
    <w:rsid w:val="00CF62A8"/>
    <w:rsid w:val="00CF67BC"/>
    <w:rsid w:val="00CF6D2B"/>
    <w:rsid w:val="00CF6DF4"/>
    <w:rsid w:val="00CF6EA7"/>
    <w:rsid w:val="00CF6EFA"/>
    <w:rsid w:val="00CF75DB"/>
    <w:rsid w:val="00CF7684"/>
    <w:rsid w:val="00D0024E"/>
    <w:rsid w:val="00D00F0F"/>
    <w:rsid w:val="00D00FC1"/>
    <w:rsid w:val="00D00FC7"/>
    <w:rsid w:val="00D0212E"/>
    <w:rsid w:val="00D02668"/>
    <w:rsid w:val="00D04A80"/>
    <w:rsid w:val="00D04F7B"/>
    <w:rsid w:val="00D050A6"/>
    <w:rsid w:val="00D0512C"/>
    <w:rsid w:val="00D06211"/>
    <w:rsid w:val="00D06E9F"/>
    <w:rsid w:val="00D06FFF"/>
    <w:rsid w:val="00D07B7D"/>
    <w:rsid w:val="00D113E7"/>
    <w:rsid w:val="00D116F0"/>
    <w:rsid w:val="00D119B8"/>
    <w:rsid w:val="00D11B26"/>
    <w:rsid w:val="00D122BD"/>
    <w:rsid w:val="00D12A77"/>
    <w:rsid w:val="00D12E24"/>
    <w:rsid w:val="00D12E4D"/>
    <w:rsid w:val="00D13CD4"/>
    <w:rsid w:val="00D14332"/>
    <w:rsid w:val="00D15178"/>
    <w:rsid w:val="00D1522A"/>
    <w:rsid w:val="00D15901"/>
    <w:rsid w:val="00D15B0C"/>
    <w:rsid w:val="00D167E6"/>
    <w:rsid w:val="00D16F7A"/>
    <w:rsid w:val="00D16F9B"/>
    <w:rsid w:val="00D17457"/>
    <w:rsid w:val="00D17611"/>
    <w:rsid w:val="00D17E36"/>
    <w:rsid w:val="00D20677"/>
    <w:rsid w:val="00D21A5A"/>
    <w:rsid w:val="00D21BA4"/>
    <w:rsid w:val="00D22863"/>
    <w:rsid w:val="00D22A36"/>
    <w:rsid w:val="00D23502"/>
    <w:rsid w:val="00D24778"/>
    <w:rsid w:val="00D25ADF"/>
    <w:rsid w:val="00D25BE6"/>
    <w:rsid w:val="00D25C2E"/>
    <w:rsid w:val="00D25FFA"/>
    <w:rsid w:val="00D264A4"/>
    <w:rsid w:val="00D26C79"/>
    <w:rsid w:val="00D26DF4"/>
    <w:rsid w:val="00D26E87"/>
    <w:rsid w:val="00D27086"/>
    <w:rsid w:val="00D27CDB"/>
    <w:rsid w:val="00D30458"/>
    <w:rsid w:val="00D30B67"/>
    <w:rsid w:val="00D30BE1"/>
    <w:rsid w:val="00D30D2F"/>
    <w:rsid w:val="00D31529"/>
    <w:rsid w:val="00D3190D"/>
    <w:rsid w:val="00D3320D"/>
    <w:rsid w:val="00D3345B"/>
    <w:rsid w:val="00D33974"/>
    <w:rsid w:val="00D340C1"/>
    <w:rsid w:val="00D34219"/>
    <w:rsid w:val="00D346EB"/>
    <w:rsid w:val="00D34895"/>
    <w:rsid w:val="00D350F8"/>
    <w:rsid w:val="00D353B8"/>
    <w:rsid w:val="00D35DEF"/>
    <w:rsid w:val="00D362D1"/>
    <w:rsid w:val="00D36FEC"/>
    <w:rsid w:val="00D3723B"/>
    <w:rsid w:val="00D374CF"/>
    <w:rsid w:val="00D377B1"/>
    <w:rsid w:val="00D37996"/>
    <w:rsid w:val="00D37DF7"/>
    <w:rsid w:val="00D405B2"/>
    <w:rsid w:val="00D4101C"/>
    <w:rsid w:val="00D411AB"/>
    <w:rsid w:val="00D4180D"/>
    <w:rsid w:val="00D41BD7"/>
    <w:rsid w:val="00D41D83"/>
    <w:rsid w:val="00D41E32"/>
    <w:rsid w:val="00D42078"/>
    <w:rsid w:val="00D42726"/>
    <w:rsid w:val="00D42A50"/>
    <w:rsid w:val="00D42CC1"/>
    <w:rsid w:val="00D42F6C"/>
    <w:rsid w:val="00D43A1F"/>
    <w:rsid w:val="00D44755"/>
    <w:rsid w:val="00D44866"/>
    <w:rsid w:val="00D45EDA"/>
    <w:rsid w:val="00D46126"/>
    <w:rsid w:val="00D47048"/>
    <w:rsid w:val="00D474B0"/>
    <w:rsid w:val="00D47580"/>
    <w:rsid w:val="00D508A2"/>
    <w:rsid w:val="00D50DFF"/>
    <w:rsid w:val="00D512A4"/>
    <w:rsid w:val="00D5138A"/>
    <w:rsid w:val="00D51A7A"/>
    <w:rsid w:val="00D521C2"/>
    <w:rsid w:val="00D53401"/>
    <w:rsid w:val="00D5370C"/>
    <w:rsid w:val="00D53A72"/>
    <w:rsid w:val="00D54213"/>
    <w:rsid w:val="00D54F96"/>
    <w:rsid w:val="00D5509A"/>
    <w:rsid w:val="00D56D7F"/>
    <w:rsid w:val="00D57027"/>
    <w:rsid w:val="00D570F3"/>
    <w:rsid w:val="00D57379"/>
    <w:rsid w:val="00D578DF"/>
    <w:rsid w:val="00D60147"/>
    <w:rsid w:val="00D6064B"/>
    <w:rsid w:val="00D608CE"/>
    <w:rsid w:val="00D609B2"/>
    <w:rsid w:val="00D609BF"/>
    <w:rsid w:val="00D60C25"/>
    <w:rsid w:val="00D60DEF"/>
    <w:rsid w:val="00D61D9D"/>
    <w:rsid w:val="00D62119"/>
    <w:rsid w:val="00D6217D"/>
    <w:rsid w:val="00D6231B"/>
    <w:rsid w:val="00D62DFA"/>
    <w:rsid w:val="00D63ACC"/>
    <w:rsid w:val="00D640F3"/>
    <w:rsid w:val="00D65E2D"/>
    <w:rsid w:val="00D66949"/>
    <w:rsid w:val="00D67A60"/>
    <w:rsid w:val="00D70016"/>
    <w:rsid w:val="00D70178"/>
    <w:rsid w:val="00D701D4"/>
    <w:rsid w:val="00D703F6"/>
    <w:rsid w:val="00D7100B"/>
    <w:rsid w:val="00D71336"/>
    <w:rsid w:val="00D71461"/>
    <w:rsid w:val="00D71471"/>
    <w:rsid w:val="00D714AC"/>
    <w:rsid w:val="00D71C56"/>
    <w:rsid w:val="00D7211E"/>
    <w:rsid w:val="00D72859"/>
    <w:rsid w:val="00D72BCB"/>
    <w:rsid w:val="00D72C2A"/>
    <w:rsid w:val="00D73826"/>
    <w:rsid w:val="00D73AC8"/>
    <w:rsid w:val="00D73C72"/>
    <w:rsid w:val="00D73DDB"/>
    <w:rsid w:val="00D7519D"/>
    <w:rsid w:val="00D75281"/>
    <w:rsid w:val="00D75B25"/>
    <w:rsid w:val="00D7657C"/>
    <w:rsid w:val="00D76BAD"/>
    <w:rsid w:val="00D76E8B"/>
    <w:rsid w:val="00D76F16"/>
    <w:rsid w:val="00D7706C"/>
    <w:rsid w:val="00D77433"/>
    <w:rsid w:val="00D80A82"/>
    <w:rsid w:val="00D80F0E"/>
    <w:rsid w:val="00D810BB"/>
    <w:rsid w:val="00D814EC"/>
    <w:rsid w:val="00D81801"/>
    <w:rsid w:val="00D8205D"/>
    <w:rsid w:val="00D825C5"/>
    <w:rsid w:val="00D82A69"/>
    <w:rsid w:val="00D82E60"/>
    <w:rsid w:val="00D82FCF"/>
    <w:rsid w:val="00D844C1"/>
    <w:rsid w:val="00D846FB"/>
    <w:rsid w:val="00D84B97"/>
    <w:rsid w:val="00D84E58"/>
    <w:rsid w:val="00D84E93"/>
    <w:rsid w:val="00D85673"/>
    <w:rsid w:val="00D8567A"/>
    <w:rsid w:val="00D86512"/>
    <w:rsid w:val="00D86695"/>
    <w:rsid w:val="00D867A8"/>
    <w:rsid w:val="00D86A06"/>
    <w:rsid w:val="00D86ABB"/>
    <w:rsid w:val="00D86AD8"/>
    <w:rsid w:val="00D87080"/>
    <w:rsid w:val="00D87115"/>
    <w:rsid w:val="00D879C1"/>
    <w:rsid w:val="00D9051D"/>
    <w:rsid w:val="00D90A77"/>
    <w:rsid w:val="00D90BA1"/>
    <w:rsid w:val="00D91893"/>
    <w:rsid w:val="00D91911"/>
    <w:rsid w:val="00D91B8A"/>
    <w:rsid w:val="00D9376B"/>
    <w:rsid w:val="00D93E53"/>
    <w:rsid w:val="00D9449B"/>
    <w:rsid w:val="00D94A33"/>
    <w:rsid w:val="00D95349"/>
    <w:rsid w:val="00D967F6"/>
    <w:rsid w:val="00D97CB3"/>
    <w:rsid w:val="00DA018F"/>
    <w:rsid w:val="00DA037D"/>
    <w:rsid w:val="00DA0ADB"/>
    <w:rsid w:val="00DA182E"/>
    <w:rsid w:val="00DA1E23"/>
    <w:rsid w:val="00DA32AF"/>
    <w:rsid w:val="00DA33EF"/>
    <w:rsid w:val="00DA35AD"/>
    <w:rsid w:val="00DA3EAD"/>
    <w:rsid w:val="00DA3EE9"/>
    <w:rsid w:val="00DA4370"/>
    <w:rsid w:val="00DA477A"/>
    <w:rsid w:val="00DA4973"/>
    <w:rsid w:val="00DA5172"/>
    <w:rsid w:val="00DA5259"/>
    <w:rsid w:val="00DA545B"/>
    <w:rsid w:val="00DA5A10"/>
    <w:rsid w:val="00DA5D6A"/>
    <w:rsid w:val="00DA67B4"/>
    <w:rsid w:val="00DA6B61"/>
    <w:rsid w:val="00DA6CF4"/>
    <w:rsid w:val="00DA70E8"/>
    <w:rsid w:val="00DA73AF"/>
    <w:rsid w:val="00DA7CFE"/>
    <w:rsid w:val="00DB0056"/>
    <w:rsid w:val="00DB016D"/>
    <w:rsid w:val="00DB0C10"/>
    <w:rsid w:val="00DB0C40"/>
    <w:rsid w:val="00DB0DD9"/>
    <w:rsid w:val="00DB1023"/>
    <w:rsid w:val="00DB1950"/>
    <w:rsid w:val="00DB2032"/>
    <w:rsid w:val="00DB2A7D"/>
    <w:rsid w:val="00DB30F4"/>
    <w:rsid w:val="00DB39E2"/>
    <w:rsid w:val="00DB3A12"/>
    <w:rsid w:val="00DB3D95"/>
    <w:rsid w:val="00DB3E37"/>
    <w:rsid w:val="00DB3EE0"/>
    <w:rsid w:val="00DB49CD"/>
    <w:rsid w:val="00DB4D2C"/>
    <w:rsid w:val="00DB4E7F"/>
    <w:rsid w:val="00DB4FAD"/>
    <w:rsid w:val="00DB59FC"/>
    <w:rsid w:val="00DB5AB4"/>
    <w:rsid w:val="00DB6E07"/>
    <w:rsid w:val="00DB73D7"/>
    <w:rsid w:val="00DB7541"/>
    <w:rsid w:val="00DB7D54"/>
    <w:rsid w:val="00DB7ED2"/>
    <w:rsid w:val="00DC0D2B"/>
    <w:rsid w:val="00DC0E44"/>
    <w:rsid w:val="00DC17AE"/>
    <w:rsid w:val="00DC1926"/>
    <w:rsid w:val="00DC1C01"/>
    <w:rsid w:val="00DC1E36"/>
    <w:rsid w:val="00DC2670"/>
    <w:rsid w:val="00DC2886"/>
    <w:rsid w:val="00DC2A62"/>
    <w:rsid w:val="00DC2C50"/>
    <w:rsid w:val="00DC30EE"/>
    <w:rsid w:val="00DC390F"/>
    <w:rsid w:val="00DC3A85"/>
    <w:rsid w:val="00DC3E38"/>
    <w:rsid w:val="00DC46CB"/>
    <w:rsid w:val="00DC5CE2"/>
    <w:rsid w:val="00DC5DB6"/>
    <w:rsid w:val="00DC6BB2"/>
    <w:rsid w:val="00DC7552"/>
    <w:rsid w:val="00DC7624"/>
    <w:rsid w:val="00DC7C54"/>
    <w:rsid w:val="00DC7D21"/>
    <w:rsid w:val="00DD0024"/>
    <w:rsid w:val="00DD0241"/>
    <w:rsid w:val="00DD0E81"/>
    <w:rsid w:val="00DD2301"/>
    <w:rsid w:val="00DD2520"/>
    <w:rsid w:val="00DD28FB"/>
    <w:rsid w:val="00DD30CB"/>
    <w:rsid w:val="00DD3791"/>
    <w:rsid w:val="00DD3A1E"/>
    <w:rsid w:val="00DD4752"/>
    <w:rsid w:val="00DD488F"/>
    <w:rsid w:val="00DD4D46"/>
    <w:rsid w:val="00DD4DAF"/>
    <w:rsid w:val="00DD56E2"/>
    <w:rsid w:val="00DD5948"/>
    <w:rsid w:val="00DD6294"/>
    <w:rsid w:val="00DD67E5"/>
    <w:rsid w:val="00DD6A57"/>
    <w:rsid w:val="00DD6DE4"/>
    <w:rsid w:val="00DD7848"/>
    <w:rsid w:val="00DD7EAF"/>
    <w:rsid w:val="00DE0DAC"/>
    <w:rsid w:val="00DE0FBE"/>
    <w:rsid w:val="00DE1B18"/>
    <w:rsid w:val="00DE1D5F"/>
    <w:rsid w:val="00DE20F1"/>
    <w:rsid w:val="00DE21F5"/>
    <w:rsid w:val="00DE2445"/>
    <w:rsid w:val="00DE2792"/>
    <w:rsid w:val="00DE2EB4"/>
    <w:rsid w:val="00DE34E7"/>
    <w:rsid w:val="00DE357C"/>
    <w:rsid w:val="00DE37AE"/>
    <w:rsid w:val="00DE38E9"/>
    <w:rsid w:val="00DE3A21"/>
    <w:rsid w:val="00DE3CCD"/>
    <w:rsid w:val="00DE3CE5"/>
    <w:rsid w:val="00DE4063"/>
    <w:rsid w:val="00DE472C"/>
    <w:rsid w:val="00DE5E6C"/>
    <w:rsid w:val="00DE6425"/>
    <w:rsid w:val="00DE6EB9"/>
    <w:rsid w:val="00DE7B6E"/>
    <w:rsid w:val="00DF0532"/>
    <w:rsid w:val="00DF074F"/>
    <w:rsid w:val="00DF0B4D"/>
    <w:rsid w:val="00DF12B3"/>
    <w:rsid w:val="00DF1783"/>
    <w:rsid w:val="00DF1842"/>
    <w:rsid w:val="00DF1A16"/>
    <w:rsid w:val="00DF1C08"/>
    <w:rsid w:val="00DF21F4"/>
    <w:rsid w:val="00DF2583"/>
    <w:rsid w:val="00DF26B1"/>
    <w:rsid w:val="00DF2CE5"/>
    <w:rsid w:val="00DF2E7F"/>
    <w:rsid w:val="00DF3158"/>
    <w:rsid w:val="00DF3219"/>
    <w:rsid w:val="00DF3BCE"/>
    <w:rsid w:val="00DF3DA5"/>
    <w:rsid w:val="00DF4435"/>
    <w:rsid w:val="00DF467D"/>
    <w:rsid w:val="00DF47F8"/>
    <w:rsid w:val="00DF4FB9"/>
    <w:rsid w:val="00DF6037"/>
    <w:rsid w:val="00DF60F3"/>
    <w:rsid w:val="00DF7942"/>
    <w:rsid w:val="00DF7C09"/>
    <w:rsid w:val="00E001D0"/>
    <w:rsid w:val="00E00419"/>
    <w:rsid w:val="00E0064F"/>
    <w:rsid w:val="00E00737"/>
    <w:rsid w:val="00E0085F"/>
    <w:rsid w:val="00E00A9C"/>
    <w:rsid w:val="00E00EF7"/>
    <w:rsid w:val="00E01412"/>
    <w:rsid w:val="00E014CA"/>
    <w:rsid w:val="00E01CA7"/>
    <w:rsid w:val="00E02E95"/>
    <w:rsid w:val="00E033BA"/>
    <w:rsid w:val="00E03692"/>
    <w:rsid w:val="00E036E5"/>
    <w:rsid w:val="00E0382F"/>
    <w:rsid w:val="00E03980"/>
    <w:rsid w:val="00E03D17"/>
    <w:rsid w:val="00E041EC"/>
    <w:rsid w:val="00E04674"/>
    <w:rsid w:val="00E047AD"/>
    <w:rsid w:val="00E050F0"/>
    <w:rsid w:val="00E058EE"/>
    <w:rsid w:val="00E05FC9"/>
    <w:rsid w:val="00E06676"/>
    <w:rsid w:val="00E06836"/>
    <w:rsid w:val="00E06840"/>
    <w:rsid w:val="00E06A0D"/>
    <w:rsid w:val="00E075DE"/>
    <w:rsid w:val="00E07AA3"/>
    <w:rsid w:val="00E07AB5"/>
    <w:rsid w:val="00E11DB0"/>
    <w:rsid w:val="00E1213E"/>
    <w:rsid w:val="00E12CBB"/>
    <w:rsid w:val="00E12D6C"/>
    <w:rsid w:val="00E12EDF"/>
    <w:rsid w:val="00E132F3"/>
    <w:rsid w:val="00E13E81"/>
    <w:rsid w:val="00E1448C"/>
    <w:rsid w:val="00E14B7B"/>
    <w:rsid w:val="00E14D04"/>
    <w:rsid w:val="00E1520B"/>
    <w:rsid w:val="00E15B3A"/>
    <w:rsid w:val="00E15B76"/>
    <w:rsid w:val="00E16380"/>
    <w:rsid w:val="00E16B28"/>
    <w:rsid w:val="00E16D2F"/>
    <w:rsid w:val="00E17206"/>
    <w:rsid w:val="00E1720E"/>
    <w:rsid w:val="00E17B40"/>
    <w:rsid w:val="00E17D6E"/>
    <w:rsid w:val="00E17F71"/>
    <w:rsid w:val="00E21224"/>
    <w:rsid w:val="00E22E87"/>
    <w:rsid w:val="00E2360B"/>
    <w:rsid w:val="00E23C52"/>
    <w:rsid w:val="00E23C67"/>
    <w:rsid w:val="00E23CEF"/>
    <w:rsid w:val="00E25014"/>
    <w:rsid w:val="00E25696"/>
    <w:rsid w:val="00E25709"/>
    <w:rsid w:val="00E2631F"/>
    <w:rsid w:val="00E265C0"/>
    <w:rsid w:val="00E26A6B"/>
    <w:rsid w:val="00E27665"/>
    <w:rsid w:val="00E278AC"/>
    <w:rsid w:val="00E27BEE"/>
    <w:rsid w:val="00E3052B"/>
    <w:rsid w:val="00E30729"/>
    <w:rsid w:val="00E30D5D"/>
    <w:rsid w:val="00E30DCA"/>
    <w:rsid w:val="00E31710"/>
    <w:rsid w:val="00E32188"/>
    <w:rsid w:val="00E328D8"/>
    <w:rsid w:val="00E32CE2"/>
    <w:rsid w:val="00E32D37"/>
    <w:rsid w:val="00E33A4B"/>
    <w:rsid w:val="00E33C12"/>
    <w:rsid w:val="00E33F65"/>
    <w:rsid w:val="00E34142"/>
    <w:rsid w:val="00E3495E"/>
    <w:rsid w:val="00E3737C"/>
    <w:rsid w:val="00E37667"/>
    <w:rsid w:val="00E406DA"/>
    <w:rsid w:val="00E40850"/>
    <w:rsid w:val="00E4085B"/>
    <w:rsid w:val="00E40ADA"/>
    <w:rsid w:val="00E415FC"/>
    <w:rsid w:val="00E4170E"/>
    <w:rsid w:val="00E41943"/>
    <w:rsid w:val="00E4199C"/>
    <w:rsid w:val="00E4225A"/>
    <w:rsid w:val="00E430B6"/>
    <w:rsid w:val="00E43398"/>
    <w:rsid w:val="00E43FB8"/>
    <w:rsid w:val="00E44214"/>
    <w:rsid w:val="00E44A83"/>
    <w:rsid w:val="00E44BFF"/>
    <w:rsid w:val="00E44C59"/>
    <w:rsid w:val="00E44E7C"/>
    <w:rsid w:val="00E44E8D"/>
    <w:rsid w:val="00E45377"/>
    <w:rsid w:val="00E4549D"/>
    <w:rsid w:val="00E45BF2"/>
    <w:rsid w:val="00E45DEA"/>
    <w:rsid w:val="00E472A3"/>
    <w:rsid w:val="00E47684"/>
    <w:rsid w:val="00E47D29"/>
    <w:rsid w:val="00E47F9B"/>
    <w:rsid w:val="00E50C4C"/>
    <w:rsid w:val="00E50EA9"/>
    <w:rsid w:val="00E51829"/>
    <w:rsid w:val="00E51E48"/>
    <w:rsid w:val="00E5324B"/>
    <w:rsid w:val="00E538FD"/>
    <w:rsid w:val="00E54291"/>
    <w:rsid w:val="00E5459C"/>
    <w:rsid w:val="00E549C2"/>
    <w:rsid w:val="00E557B5"/>
    <w:rsid w:val="00E56BD8"/>
    <w:rsid w:val="00E56F3C"/>
    <w:rsid w:val="00E57B6A"/>
    <w:rsid w:val="00E6036F"/>
    <w:rsid w:val="00E607D4"/>
    <w:rsid w:val="00E60952"/>
    <w:rsid w:val="00E60D85"/>
    <w:rsid w:val="00E61E23"/>
    <w:rsid w:val="00E620A6"/>
    <w:rsid w:val="00E6210D"/>
    <w:rsid w:val="00E62171"/>
    <w:rsid w:val="00E62768"/>
    <w:rsid w:val="00E636D1"/>
    <w:rsid w:val="00E63F38"/>
    <w:rsid w:val="00E6462C"/>
    <w:rsid w:val="00E64656"/>
    <w:rsid w:val="00E6499A"/>
    <w:rsid w:val="00E652FF"/>
    <w:rsid w:val="00E65BCA"/>
    <w:rsid w:val="00E66281"/>
    <w:rsid w:val="00E66365"/>
    <w:rsid w:val="00E669D5"/>
    <w:rsid w:val="00E67497"/>
    <w:rsid w:val="00E676F9"/>
    <w:rsid w:val="00E714F7"/>
    <w:rsid w:val="00E71702"/>
    <w:rsid w:val="00E719D3"/>
    <w:rsid w:val="00E720FD"/>
    <w:rsid w:val="00E720FE"/>
    <w:rsid w:val="00E72A86"/>
    <w:rsid w:val="00E72C29"/>
    <w:rsid w:val="00E73583"/>
    <w:rsid w:val="00E73BE1"/>
    <w:rsid w:val="00E74EE7"/>
    <w:rsid w:val="00E758E0"/>
    <w:rsid w:val="00E76052"/>
    <w:rsid w:val="00E76782"/>
    <w:rsid w:val="00E76956"/>
    <w:rsid w:val="00E77030"/>
    <w:rsid w:val="00E779CB"/>
    <w:rsid w:val="00E77C4F"/>
    <w:rsid w:val="00E80B80"/>
    <w:rsid w:val="00E814BC"/>
    <w:rsid w:val="00E81603"/>
    <w:rsid w:val="00E81A4E"/>
    <w:rsid w:val="00E81FCA"/>
    <w:rsid w:val="00E83CFF"/>
    <w:rsid w:val="00E83D1B"/>
    <w:rsid w:val="00E84AB4"/>
    <w:rsid w:val="00E84B48"/>
    <w:rsid w:val="00E84EBF"/>
    <w:rsid w:val="00E8590A"/>
    <w:rsid w:val="00E85F07"/>
    <w:rsid w:val="00E85F38"/>
    <w:rsid w:val="00E85FC0"/>
    <w:rsid w:val="00E861A8"/>
    <w:rsid w:val="00E86ED2"/>
    <w:rsid w:val="00E87629"/>
    <w:rsid w:val="00E87846"/>
    <w:rsid w:val="00E87853"/>
    <w:rsid w:val="00E90346"/>
    <w:rsid w:val="00E90402"/>
    <w:rsid w:val="00E90423"/>
    <w:rsid w:val="00E9047F"/>
    <w:rsid w:val="00E90630"/>
    <w:rsid w:val="00E912CC"/>
    <w:rsid w:val="00E91621"/>
    <w:rsid w:val="00E91C47"/>
    <w:rsid w:val="00E91D47"/>
    <w:rsid w:val="00E92935"/>
    <w:rsid w:val="00E9342F"/>
    <w:rsid w:val="00E935D9"/>
    <w:rsid w:val="00E949D3"/>
    <w:rsid w:val="00E96473"/>
    <w:rsid w:val="00E9686D"/>
    <w:rsid w:val="00E97928"/>
    <w:rsid w:val="00E97A5E"/>
    <w:rsid w:val="00EA04A2"/>
    <w:rsid w:val="00EA0BD4"/>
    <w:rsid w:val="00EA0D57"/>
    <w:rsid w:val="00EA0E45"/>
    <w:rsid w:val="00EA1848"/>
    <w:rsid w:val="00EA1EAD"/>
    <w:rsid w:val="00EA205B"/>
    <w:rsid w:val="00EA3D6B"/>
    <w:rsid w:val="00EA45CC"/>
    <w:rsid w:val="00EA4907"/>
    <w:rsid w:val="00EA4974"/>
    <w:rsid w:val="00EA4A2E"/>
    <w:rsid w:val="00EA4E69"/>
    <w:rsid w:val="00EA5618"/>
    <w:rsid w:val="00EA5645"/>
    <w:rsid w:val="00EA59A0"/>
    <w:rsid w:val="00EA6303"/>
    <w:rsid w:val="00EA6872"/>
    <w:rsid w:val="00EA697A"/>
    <w:rsid w:val="00EA6B90"/>
    <w:rsid w:val="00EA6B93"/>
    <w:rsid w:val="00EA6EA1"/>
    <w:rsid w:val="00EA6ED6"/>
    <w:rsid w:val="00EA714F"/>
    <w:rsid w:val="00EA7A0F"/>
    <w:rsid w:val="00EB04B5"/>
    <w:rsid w:val="00EB09CB"/>
    <w:rsid w:val="00EB1073"/>
    <w:rsid w:val="00EB199B"/>
    <w:rsid w:val="00EB1D24"/>
    <w:rsid w:val="00EB1DFC"/>
    <w:rsid w:val="00EB210B"/>
    <w:rsid w:val="00EB269D"/>
    <w:rsid w:val="00EB2979"/>
    <w:rsid w:val="00EB39F9"/>
    <w:rsid w:val="00EB3BCE"/>
    <w:rsid w:val="00EB3CC7"/>
    <w:rsid w:val="00EB47E5"/>
    <w:rsid w:val="00EB5877"/>
    <w:rsid w:val="00EB5CAD"/>
    <w:rsid w:val="00EB5CE3"/>
    <w:rsid w:val="00EB5D52"/>
    <w:rsid w:val="00EB6195"/>
    <w:rsid w:val="00EB621E"/>
    <w:rsid w:val="00EB65A1"/>
    <w:rsid w:val="00EB6633"/>
    <w:rsid w:val="00EB684B"/>
    <w:rsid w:val="00EB7584"/>
    <w:rsid w:val="00EB7939"/>
    <w:rsid w:val="00EB7C89"/>
    <w:rsid w:val="00EC0683"/>
    <w:rsid w:val="00EC0698"/>
    <w:rsid w:val="00EC0BF9"/>
    <w:rsid w:val="00EC0DD2"/>
    <w:rsid w:val="00EC0E14"/>
    <w:rsid w:val="00EC0E73"/>
    <w:rsid w:val="00EC13D5"/>
    <w:rsid w:val="00EC1543"/>
    <w:rsid w:val="00EC1BC1"/>
    <w:rsid w:val="00EC23B5"/>
    <w:rsid w:val="00EC25EB"/>
    <w:rsid w:val="00EC2961"/>
    <w:rsid w:val="00EC2C2F"/>
    <w:rsid w:val="00EC2CF2"/>
    <w:rsid w:val="00EC2D88"/>
    <w:rsid w:val="00EC2E03"/>
    <w:rsid w:val="00EC3159"/>
    <w:rsid w:val="00EC323A"/>
    <w:rsid w:val="00EC34E3"/>
    <w:rsid w:val="00EC3A7F"/>
    <w:rsid w:val="00EC3B32"/>
    <w:rsid w:val="00EC3D4A"/>
    <w:rsid w:val="00EC4820"/>
    <w:rsid w:val="00EC5DD1"/>
    <w:rsid w:val="00EC5E9D"/>
    <w:rsid w:val="00EC6ADB"/>
    <w:rsid w:val="00EC6C74"/>
    <w:rsid w:val="00EC70DF"/>
    <w:rsid w:val="00EC70F7"/>
    <w:rsid w:val="00EC7EB7"/>
    <w:rsid w:val="00ED053F"/>
    <w:rsid w:val="00ED1071"/>
    <w:rsid w:val="00ED1A2D"/>
    <w:rsid w:val="00ED241C"/>
    <w:rsid w:val="00ED246C"/>
    <w:rsid w:val="00ED28D4"/>
    <w:rsid w:val="00ED291F"/>
    <w:rsid w:val="00ED2936"/>
    <w:rsid w:val="00ED2F2E"/>
    <w:rsid w:val="00ED35C0"/>
    <w:rsid w:val="00ED3A50"/>
    <w:rsid w:val="00ED46D7"/>
    <w:rsid w:val="00ED4A0D"/>
    <w:rsid w:val="00ED542F"/>
    <w:rsid w:val="00ED5977"/>
    <w:rsid w:val="00ED6A8D"/>
    <w:rsid w:val="00ED6B2E"/>
    <w:rsid w:val="00ED6F52"/>
    <w:rsid w:val="00ED710B"/>
    <w:rsid w:val="00ED7133"/>
    <w:rsid w:val="00EE11F8"/>
    <w:rsid w:val="00EE1486"/>
    <w:rsid w:val="00EE27E2"/>
    <w:rsid w:val="00EE2819"/>
    <w:rsid w:val="00EE2EC4"/>
    <w:rsid w:val="00EE38B4"/>
    <w:rsid w:val="00EE392A"/>
    <w:rsid w:val="00EE3F23"/>
    <w:rsid w:val="00EE4383"/>
    <w:rsid w:val="00EE59ED"/>
    <w:rsid w:val="00EE6168"/>
    <w:rsid w:val="00EE6853"/>
    <w:rsid w:val="00EE6C9F"/>
    <w:rsid w:val="00EE7E5F"/>
    <w:rsid w:val="00EF04B9"/>
    <w:rsid w:val="00EF067D"/>
    <w:rsid w:val="00EF102C"/>
    <w:rsid w:val="00EF105D"/>
    <w:rsid w:val="00EF155A"/>
    <w:rsid w:val="00EF176F"/>
    <w:rsid w:val="00EF1978"/>
    <w:rsid w:val="00EF24F5"/>
    <w:rsid w:val="00EF2565"/>
    <w:rsid w:val="00EF27D0"/>
    <w:rsid w:val="00EF28B1"/>
    <w:rsid w:val="00EF2C82"/>
    <w:rsid w:val="00EF2DE8"/>
    <w:rsid w:val="00EF32F6"/>
    <w:rsid w:val="00EF34F8"/>
    <w:rsid w:val="00EF4580"/>
    <w:rsid w:val="00EF539F"/>
    <w:rsid w:val="00EF5632"/>
    <w:rsid w:val="00EF662C"/>
    <w:rsid w:val="00EF6928"/>
    <w:rsid w:val="00EF6E11"/>
    <w:rsid w:val="00EF6E56"/>
    <w:rsid w:val="00EF75DC"/>
    <w:rsid w:val="00F0129A"/>
    <w:rsid w:val="00F016E4"/>
    <w:rsid w:val="00F019E4"/>
    <w:rsid w:val="00F03A7D"/>
    <w:rsid w:val="00F03C06"/>
    <w:rsid w:val="00F04097"/>
    <w:rsid w:val="00F045E2"/>
    <w:rsid w:val="00F04724"/>
    <w:rsid w:val="00F05409"/>
    <w:rsid w:val="00F05F94"/>
    <w:rsid w:val="00F0689B"/>
    <w:rsid w:val="00F06A9B"/>
    <w:rsid w:val="00F06E52"/>
    <w:rsid w:val="00F06E7C"/>
    <w:rsid w:val="00F06F62"/>
    <w:rsid w:val="00F078FD"/>
    <w:rsid w:val="00F079EC"/>
    <w:rsid w:val="00F07EC3"/>
    <w:rsid w:val="00F100E0"/>
    <w:rsid w:val="00F10625"/>
    <w:rsid w:val="00F1079D"/>
    <w:rsid w:val="00F10F97"/>
    <w:rsid w:val="00F11209"/>
    <w:rsid w:val="00F1134A"/>
    <w:rsid w:val="00F11A83"/>
    <w:rsid w:val="00F11C39"/>
    <w:rsid w:val="00F11CEB"/>
    <w:rsid w:val="00F12388"/>
    <w:rsid w:val="00F1248F"/>
    <w:rsid w:val="00F1264C"/>
    <w:rsid w:val="00F13573"/>
    <w:rsid w:val="00F13E9C"/>
    <w:rsid w:val="00F14673"/>
    <w:rsid w:val="00F1469A"/>
    <w:rsid w:val="00F1480E"/>
    <w:rsid w:val="00F149A3"/>
    <w:rsid w:val="00F1525F"/>
    <w:rsid w:val="00F15443"/>
    <w:rsid w:val="00F15BD1"/>
    <w:rsid w:val="00F1677E"/>
    <w:rsid w:val="00F16802"/>
    <w:rsid w:val="00F16E20"/>
    <w:rsid w:val="00F170D1"/>
    <w:rsid w:val="00F1767B"/>
    <w:rsid w:val="00F20E6E"/>
    <w:rsid w:val="00F20F9C"/>
    <w:rsid w:val="00F211C1"/>
    <w:rsid w:val="00F21AEF"/>
    <w:rsid w:val="00F21EEB"/>
    <w:rsid w:val="00F22157"/>
    <w:rsid w:val="00F229C9"/>
    <w:rsid w:val="00F23077"/>
    <w:rsid w:val="00F234F2"/>
    <w:rsid w:val="00F2578C"/>
    <w:rsid w:val="00F25F15"/>
    <w:rsid w:val="00F26758"/>
    <w:rsid w:val="00F26877"/>
    <w:rsid w:val="00F2691D"/>
    <w:rsid w:val="00F26B08"/>
    <w:rsid w:val="00F27C7B"/>
    <w:rsid w:val="00F30562"/>
    <w:rsid w:val="00F30CB3"/>
    <w:rsid w:val="00F3163A"/>
    <w:rsid w:val="00F31A97"/>
    <w:rsid w:val="00F320EB"/>
    <w:rsid w:val="00F32E30"/>
    <w:rsid w:val="00F3344A"/>
    <w:rsid w:val="00F3372C"/>
    <w:rsid w:val="00F33FEC"/>
    <w:rsid w:val="00F3447C"/>
    <w:rsid w:val="00F35519"/>
    <w:rsid w:val="00F35842"/>
    <w:rsid w:val="00F36501"/>
    <w:rsid w:val="00F36694"/>
    <w:rsid w:val="00F36CD4"/>
    <w:rsid w:val="00F37033"/>
    <w:rsid w:val="00F373F8"/>
    <w:rsid w:val="00F3767D"/>
    <w:rsid w:val="00F378E0"/>
    <w:rsid w:val="00F4093E"/>
    <w:rsid w:val="00F40970"/>
    <w:rsid w:val="00F40CB9"/>
    <w:rsid w:val="00F40CE4"/>
    <w:rsid w:val="00F40EC8"/>
    <w:rsid w:val="00F4170C"/>
    <w:rsid w:val="00F41879"/>
    <w:rsid w:val="00F41CFF"/>
    <w:rsid w:val="00F4243B"/>
    <w:rsid w:val="00F42646"/>
    <w:rsid w:val="00F42EA6"/>
    <w:rsid w:val="00F43598"/>
    <w:rsid w:val="00F43A0D"/>
    <w:rsid w:val="00F44755"/>
    <w:rsid w:val="00F46613"/>
    <w:rsid w:val="00F4667C"/>
    <w:rsid w:val="00F46963"/>
    <w:rsid w:val="00F46D0D"/>
    <w:rsid w:val="00F47047"/>
    <w:rsid w:val="00F4798F"/>
    <w:rsid w:val="00F47D8C"/>
    <w:rsid w:val="00F50392"/>
    <w:rsid w:val="00F503C5"/>
    <w:rsid w:val="00F50828"/>
    <w:rsid w:val="00F50AA7"/>
    <w:rsid w:val="00F53002"/>
    <w:rsid w:val="00F531AB"/>
    <w:rsid w:val="00F5331C"/>
    <w:rsid w:val="00F533B5"/>
    <w:rsid w:val="00F539C7"/>
    <w:rsid w:val="00F5410C"/>
    <w:rsid w:val="00F54455"/>
    <w:rsid w:val="00F54714"/>
    <w:rsid w:val="00F54865"/>
    <w:rsid w:val="00F54BA2"/>
    <w:rsid w:val="00F558D4"/>
    <w:rsid w:val="00F55913"/>
    <w:rsid w:val="00F55FFC"/>
    <w:rsid w:val="00F56709"/>
    <w:rsid w:val="00F56DAD"/>
    <w:rsid w:val="00F56F60"/>
    <w:rsid w:val="00F577C6"/>
    <w:rsid w:val="00F57800"/>
    <w:rsid w:val="00F578F4"/>
    <w:rsid w:val="00F57A73"/>
    <w:rsid w:val="00F603F5"/>
    <w:rsid w:val="00F6185D"/>
    <w:rsid w:val="00F62238"/>
    <w:rsid w:val="00F62391"/>
    <w:rsid w:val="00F62596"/>
    <w:rsid w:val="00F62A2D"/>
    <w:rsid w:val="00F63658"/>
    <w:rsid w:val="00F63A0E"/>
    <w:rsid w:val="00F63E05"/>
    <w:rsid w:val="00F642C3"/>
    <w:rsid w:val="00F642E8"/>
    <w:rsid w:val="00F64B72"/>
    <w:rsid w:val="00F64FC3"/>
    <w:rsid w:val="00F655FC"/>
    <w:rsid w:val="00F65A96"/>
    <w:rsid w:val="00F65B4B"/>
    <w:rsid w:val="00F66224"/>
    <w:rsid w:val="00F669B5"/>
    <w:rsid w:val="00F66E54"/>
    <w:rsid w:val="00F66F43"/>
    <w:rsid w:val="00F70042"/>
    <w:rsid w:val="00F70CFC"/>
    <w:rsid w:val="00F7113A"/>
    <w:rsid w:val="00F7132A"/>
    <w:rsid w:val="00F721EA"/>
    <w:rsid w:val="00F726C7"/>
    <w:rsid w:val="00F72B0E"/>
    <w:rsid w:val="00F72BF8"/>
    <w:rsid w:val="00F72D40"/>
    <w:rsid w:val="00F72F42"/>
    <w:rsid w:val="00F73016"/>
    <w:rsid w:val="00F731D2"/>
    <w:rsid w:val="00F7371F"/>
    <w:rsid w:val="00F73A5D"/>
    <w:rsid w:val="00F73C9D"/>
    <w:rsid w:val="00F73E94"/>
    <w:rsid w:val="00F74FA0"/>
    <w:rsid w:val="00F75320"/>
    <w:rsid w:val="00F75913"/>
    <w:rsid w:val="00F76222"/>
    <w:rsid w:val="00F76D63"/>
    <w:rsid w:val="00F77748"/>
    <w:rsid w:val="00F77E2A"/>
    <w:rsid w:val="00F8050A"/>
    <w:rsid w:val="00F80C8A"/>
    <w:rsid w:val="00F81169"/>
    <w:rsid w:val="00F82251"/>
    <w:rsid w:val="00F82462"/>
    <w:rsid w:val="00F83339"/>
    <w:rsid w:val="00F83355"/>
    <w:rsid w:val="00F83651"/>
    <w:rsid w:val="00F83EA1"/>
    <w:rsid w:val="00F84C88"/>
    <w:rsid w:val="00F84CA9"/>
    <w:rsid w:val="00F854D4"/>
    <w:rsid w:val="00F85A8A"/>
    <w:rsid w:val="00F85C4B"/>
    <w:rsid w:val="00F85E5F"/>
    <w:rsid w:val="00F85FCB"/>
    <w:rsid w:val="00F8681C"/>
    <w:rsid w:val="00F86C07"/>
    <w:rsid w:val="00F87A7C"/>
    <w:rsid w:val="00F87D3C"/>
    <w:rsid w:val="00F90299"/>
    <w:rsid w:val="00F9075E"/>
    <w:rsid w:val="00F912FF"/>
    <w:rsid w:val="00F92E46"/>
    <w:rsid w:val="00F92F04"/>
    <w:rsid w:val="00F93617"/>
    <w:rsid w:val="00F9431A"/>
    <w:rsid w:val="00F946AF"/>
    <w:rsid w:val="00F94CF3"/>
    <w:rsid w:val="00F957C9"/>
    <w:rsid w:val="00F96182"/>
    <w:rsid w:val="00F963DA"/>
    <w:rsid w:val="00F9643D"/>
    <w:rsid w:val="00F967F7"/>
    <w:rsid w:val="00F97D21"/>
    <w:rsid w:val="00FA106A"/>
    <w:rsid w:val="00FA2240"/>
    <w:rsid w:val="00FA27B3"/>
    <w:rsid w:val="00FA4EBE"/>
    <w:rsid w:val="00FA5B44"/>
    <w:rsid w:val="00FA68B5"/>
    <w:rsid w:val="00FA6D91"/>
    <w:rsid w:val="00FA745F"/>
    <w:rsid w:val="00FA7753"/>
    <w:rsid w:val="00FA77BD"/>
    <w:rsid w:val="00FA7FCE"/>
    <w:rsid w:val="00FB02A6"/>
    <w:rsid w:val="00FB1253"/>
    <w:rsid w:val="00FB16E3"/>
    <w:rsid w:val="00FB188E"/>
    <w:rsid w:val="00FB1E94"/>
    <w:rsid w:val="00FB20FB"/>
    <w:rsid w:val="00FB21C9"/>
    <w:rsid w:val="00FB240E"/>
    <w:rsid w:val="00FB280F"/>
    <w:rsid w:val="00FB2DD9"/>
    <w:rsid w:val="00FB3415"/>
    <w:rsid w:val="00FB35FD"/>
    <w:rsid w:val="00FB39F9"/>
    <w:rsid w:val="00FB3F40"/>
    <w:rsid w:val="00FB40EA"/>
    <w:rsid w:val="00FB4245"/>
    <w:rsid w:val="00FB44B4"/>
    <w:rsid w:val="00FB502D"/>
    <w:rsid w:val="00FB5254"/>
    <w:rsid w:val="00FB57A2"/>
    <w:rsid w:val="00FB636E"/>
    <w:rsid w:val="00FB6773"/>
    <w:rsid w:val="00FB75DE"/>
    <w:rsid w:val="00FB791F"/>
    <w:rsid w:val="00FB7943"/>
    <w:rsid w:val="00FB7C6D"/>
    <w:rsid w:val="00FB7F47"/>
    <w:rsid w:val="00FC01A7"/>
    <w:rsid w:val="00FC109F"/>
    <w:rsid w:val="00FC1B2C"/>
    <w:rsid w:val="00FC2034"/>
    <w:rsid w:val="00FC247E"/>
    <w:rsid w:val="00FC2DF9"/>
    <w:rsid w:val="00FC317E"/>
    <w:rsid w:val="00FC36C0"/>
    <w:rsid w:val="00FC3C1A"/>
    <w:rsid w:val="00FC3FA0"/>
    <w:rsid w:val="00FC49E2"/>
    <w:rsid w:val="00FC4ED3"/>
    <w:rsid w:val="00FC503A"/>
    <w:rsid w:val="00FC56DF"/>
    <w:rsid w:val="00FC57F9"/>
    <w:rsid w:val="00FC58F4"/>
    <w:rsid w:val="00FC63AC"/>
    <w:rsid w:val="00FC6D9B"/>
    <w:rsid w:val="00FC7517"/>
    <w:rsid w:val="00FC7803"/>
    <w:rsid w:val="00FC799F"/>
    <w:rsid w:val="00FC7B89"/>
    <w:rsid w:val="00FD0020"/>
    <w:rsid w:val="00FD11D9"/>
    <w:rsid w:val="00FD11F8"/>
    <w:rsid w:val="00FD1613"/>
    <w:rsid w:val="00FD1FEB"/>
    <w:rsid w:val="00FD36F8"/>
    <w:rsid w:val="00FD3EA0"/>
    <w:rsid w:val="00FD4189"/>
    <w:rsid w:val="00FD4326"/>
    <w:rsid w:val="00FD4789"/>
    <w:rsid w:val="00FD4BC6"/>
    <w:rsid w:val="00FD53A3"/>
    <w:rsid w:val="00FD5C7D"/>
    <w:rsid w:val="00FD5EAE"/>
    <w:rsid w:val="00FD6286"/>
    <w:rsid w:val="00FD6A99"/>
    <w:rsid w:val="00FE064B"/>
    <w:rsid w:val="00FE098C"/>
    <w:rsid w:val="00FE0AF5"/>
    <w:rsid w:val="00FE0D21"/>
    <w:rsid w:val="00FE162B"/>
    <w:rsid w:val="00FE21E9"/>
    <w:rsid w:val="00FE2D16"/>
    <w:rsid w:val="00FE31B2"/>
    <w:rsid w:val="00FE3716"/>
    <w:rsid w:val="00FE4D74"/>
    <w:rsid w:val="00FE559F"/>
    <w:rsid w:val="00FE6AAF"/>
    <w:rsid w:val="00FE6DAE"/>
    <w:rsid w:val="00FE6E03"/>
    <w:rsid w:val="00FE7473"/>
    <w:rsid w:val="00FF0CD1"/>
    <w:rsid w:val="00FF0F4C"/>
    <w:rsid w:val="00FF2DF6"/>
    <w:rsid w:val="00FF33A9"/>
    <w:rsid w:val="00FF3582"/>
    <w:rsid w:val="00FF3907"/>
    <w:rsid w:val="00FF3BC9"/>
    <w:rsid w:val="00FF3DCE"/>
    <w:rsid w:val="00FF4F68"/>
    <w:rsid w:val="00FF5044"/>
    <w:rsid w:val="00FF52DE"/>
    <w:rsid w:val="00FF565C"/>
    <w:rsid w:val="00FF579F"/>
    <w:rsid w:val="00FF5F0C"/>
    <w:rsid w:val="00FF601C"/>
    <w:rsid w:val="00FF64BE"/>
    <w:rsid w:val="00FF653B"/>
    <w:rsid w:val="00FF70B5"/>
    <w:rsid w:val="00FF7189"/>
    <w:rsid w:val="00FF7721"/>
    <w:rsid w:val="00FF7F30"/>
    <w:rsid w:val="011A11A4"/>
    <w:rsid w:val="014B5B44"/>
    <w:rsid w:val="018C5F7F"/>
    <w:rsid w:val="01BE4069"/>
    <w:rsid w:val="01BE5800"/>
    <w:rsid w:val="01C5787A"/>
    <w:rsid w:val="01E46F65"/>
    <w:rsid w:val="024144A6"/>
    <w:rsid w:val="02E536DD"/>
    <w:rsid w:val="03F06C42"/>
    <w:rsid w:val="041B3357"/>
    <w:rsid w:val="049F025D"/>
    <w:rsid w:val="04C34346"/>
    <w:rsid w:val="04E30437"/>
    <w:rsid w:val="059160E1"/>
    <w:rsid w:val="05F41FAA"/>
    <w:rsid w:val="061A58C7"/>
    <w:rsid w:val="063B78DC"/>
    <w:rsid w:val="070F7770"/>
    <w:rsid w:val="076E0F6D"/>
    <w:rsid w:val="07E84F31"/>
    <w:rsid w:val="080E0EBE"/>
    <w:rsid w:val="0812423F"/>
    <w:rsid w:val="0839529D"/>
    <w:rsid w:val="097640A4"/>
    <w:rsid w:val="09974C33"/>
    <w:rsid w:val="09B82947"/>
    <w:rsid w:val="0BF958C7"/>
    <w:rsid w:val="0C3F3332"/>
    <w:rsid w:val="0C5A09A9"/>
    <w:rsid w:val="0CDB719E"/>
    <w:rsid w:val="0E0812B7"/>
    <w:rsid w:val="0E2E7579"/>
    <w:rsid w:val="0EAB6A73"/>
    <w:rsid w:val="0ED72541"/>
    <w:rsid w:val="0F4D0707"/>
    <w:rsid w:val="0FBA2A45"/>
    <w:rsid w:val="0FC41654"/>
    <w:rsid w:val="0FDE7285"/>
    <w:rsid w:val="10486E0C"/>
    <w:rsid w:val="10F0718C"/>
    <w:rsid w:val="118C2ED5"/>
    <w:rsid w:val="11B83D31"/>
    <w:rsid w:val="12795B29"/>
    <w:rsid w:val="12F62B63"/>
    <w:rsid w:val="134B447B"/>
    <w:rsid w:val="135A6E08"/>
    <w:rsid w:val="13696837"/>
    <w:rsid w:val="13B31AEC"/>
    <w:rsid w:val="13FE3FBA"/>
    <w:rsid w:val="140E1568"/>
    <w:rsid w:val="14404369"/>
    <w:rsid w:val="1554004E"/>
    <w:rsid w:val="15683024"/>
    <w:rsid w:val="16BF46FB"/>
    <w:rsid w:val="175D674F"/>
    <w:rsid w:val="17CD2550"/>
    <w:rsid w:val="18114189"/>
    <w:rsid w:val="185F2D6C"/>
    <w:rsid w:val="18F06F2D"/>
    <w:rsid w:val="19223571"/>
    <w:rsid w:val="195A06FB"/>
    <w:rsid w:val="19A46720"/>
    <w:rsid w:val="19AD7F51"/>
    <w:rsid w:val="19ED2113"/>
    <w:rsid w:val="19FC1D6E"/>
    <w:rsid w:val="1BA50D14"/>
    <w:rsid w:val="1BA677E7"/>
    <w:rsid w:val="1C625D30"/>
    <w:rsid w:val="1C7671E3"/>
    <w:rsid w:val="1C777601"/>
    <w:rsid w:val="1C8A493E"/>
    <w:rsid w:val="1CB11B53"/>
    <w:rsid w:val="1CCB6998"/>
    <w:rsid w:val="1CD6623F"/>
    <w:rsid w:val="1CF90898"/>
    <w:rsid w:val="1CFA0FE7"/>
    <w:rsid w:val="1D8C69C4"/>
    <w:rsid w:val="1E1C7C6C"/>
    <w:rsid w:val="1E5F0369"/>
    <w:rsid w:val="1E786F00"/>
    <w:rsid w:val="1EC93A19"/>
    <w:rsid w:val="1F1F65F5"/>
    <w:rsid w:val="1F343C02"/>
    <w:rsid w:val="1FAC7E53"/>
    <w:rsid w:val="1FB13C8F"/>
    <w:rsid w:val="1FBA5534"/>
    <w:rsid w:val="20517FE3"/>
    <w:rsid w:val="208D3830"/>
    <w:rsid w:val="20CE2C18"/>
    <w:rsid w:val="211A16EC"/>
    <w:rsid w:val="217C1DAF"/>
    <w:rsid w:val="218220DE"/>
    <w:rsid w:val="222C76C6"/>
    <w:rsid w:val="22466CF3"/>
    <w:rsid w:val="22A344E7"/>
    <w:rsid w:val="22C33CE0"/>
    <w:rsid w:val="22DE3197"/>
    <w:rsid w:val="22F42D37"/>
    <w:rsid w:val="230E0741"/>
    <w:rsid w:val="23F63E16"/>
    <w:rsid w:val="240E6DA7"/>
    <w:rsid w:val="243A32C2"/>
    <w:rsid w:val="24DE608A"/>
    <w:rsid w:val="25093A3B"/>
    <w:rsid w:val="25236D0D"/>
    <w:rsid w:val="252F645D"/>
    <w:rsid w:val="258858A9"/>
    <w:rsid w:val="25A7119C"/>
    <w:rsid w:val="26757E2C"/>
    <w:rsid w:val="26790701"/>
    <w:rsid w:val="273508EE"/>
    <w:rsid w:val="27483692"/>
    <w:rsid w:val="276F6E45"/>
    <w:rsid w:val="278066D7"/>
    <w:rsid w:val="27827B0F"/>
    <w:rsid w:val="27886287"/>
    <w:rsid w:val="27F53526"/>
    <w:rsid w:val="27FA5E76"/>
    <w:rsid w:val="28690FE5"/>
    <w:rsid w:val="288E2BD2"/>
    <w:rsid w:val="28A04A85"/>
    <w:rsid w:val="28DC50AB"/>
    <w:rsid w:val="28E55271"/>
    <w:rsid w:val="2923374B"/>
    <w:rsid w:val="29BD796F"/>
    <w:rsid w:val="2AAC3644"/>
    <w:rsid w:val="2AAF4A15"/>
    <w:rsid w:val="2B8946FF"/>
    <w:rsid w:val="2C0A4741"/>
    <w:rsid w:val="2CA61832"/>
    <w:rsid w:val="2CF86E08"/>
    <w:rsid w:val="2D263397"/>
    <w:rsid w:val="2D9B15EF"/>
    <w:rsid w:val="2DC308CF"/>
    <w:rsid w:val="2E304308"/>
    <w:rsid w:val="2E5F4C31"/>
    <w:rsid w:val="2E6F7E34"/>
    <w:rsid w:val="2EB26D79"/>
    <w:rsid w:val="2F183753"/>
    <w:rsid w:val="2F7145F4"/>
    <w:rsid w:val="2F8F502E"/>
    <w:rsid w:val="2FEA72A9"/>
    <w:rsid w:val="30580298"/>
    <w:rsid w:val="30646F90"/>
    <w:rsid w:val="30CB0402"/>
    <w:rsid w:val="31B66D5F"/>
    <w:rsid w:val="324D2681"/>
    <w:rsid w:val="324E00CB"/>
    <w:rsid w:val="32F06670"/>
    <w:rsid w:val="34457450"/>
    <w:rsid w:val="34FD4189"/>
    <w:rsid w:val="35373F98"/>
    <w:rsid w:val="35E1219E"/>
    <w:rsid w:val="3631507A"/>
    <w:rsid w:val="363B7932"/>
    <w:rsid w:val="36D15C2A"/>
    <w:rsid w:val="36FA4BBC"/>
    <w:rsid w:val="371D61FE"/>
    <w:rsid w:val="374B5AC3"/>
    <w:rsid w:val="375B0380"/>
    <w:rsid w:val="37AE38F4"/>
    <w:rsid w:val="38187E4F"/>
    <w:rsid w:val="3820445B"/>
    <w:rsid w:val="38210467"/>
    <w:rsid w:val="38401B73"/>
    <w:rsid w:val="384B1D2A"/>
    <w:rsid w:val="386F5455"/>
    <w:rsid w:val="38727342"/>
    <w:rsid w:val="39780BBB"/>
    <w:rsid w:val="39D617F2"/>
    <w:rsid w:val="3A242E79"/>
    <w:rsid w:val="3A5E19B0"/>
    <w:rsid w:val="3B610C15"/>
    <w:rsid w:val="3B731AB5"/>
    <w:rsid w:val="3B833738"/>
    <w:rsid w:val="3B874762"/>
    <w:rsid w:val="3C2527C5"/>
    <w:rsid w:val="3C4F6C2D"/>
    <w:rsid w:val="3CA42688"/>
    <w:rsid w:val="3D6F75C9"/>
    <w:rsid w:val="3DE90F01"/>
    <w:rsid w:val="3E185EFF"/>
    <w:rsid w:val="3E266E35"/>
    <w:rsid w:val="3E8B1AFA"/>
    <w:rsid w:val="3F1A09C6"/>
    <w:rsid w:val="3F592D90"/>
    <w:rsid w:val="3F7A2BAD"/>
    <w:rsid w:val="3F7F04D5"/>
    <w:rsid w:val="40615707"/>
    <w:rsid w:val="40A005F0"/>
    <w:rsid w:val="414B5EF7"/>
    <w:rsid w:val="417E1386"/>
    <w:rsid w:val="422B6BF4"/>
    <w:rsid w:val="42347713"/>
    <w:rsid w:val="42354B6F"/>
    <w:rsid w:val="43B00A8F"/>
    <w:rsid w:val="45511B47"/>
    <w:rsid w:val="45A15DDB"/>
    <w:rsid w:val="45B22926"/>
    <w:rsid w:val="462E6F3B"/>
    <w:rsid w:val="46406652"/>
    <w:rsid w:val="4681712C"/>
    <w:rsid w:val="468B6718"/>
    <w:rsid w:val="473B23EB"/>
    <w:rsid w:val="476D64A6"/>
    <w:rsid w:val="47B32EAB"/>
    <w:rsid w:val="47C40E8C"/>
    <w:rsid w:val="481A193A"/>
    <w:rsid w:val="48201667"/>
    <w:rsid w:val="48B1218F"/>
    <w:rsid w:val="48B14AB0"/>
    <w:rsid w:val="48D6123C"/>
    <w:rsid w:val="49150F51"/>
    <w:rsid w:val="49480BD4"/>
    <w:rsid w:val="499F04DF"/>
    <w:rsid w:val="49CB3BFF"/>
    <w:rsid w:val="49F037B7"/>
    <w:rsid w:val="4AA4619B"/>
    <w:rsid w:val="4AAB01A5"/>
    <w:rsid w:val="4B284D77"/>
    <w:rsid w:val="4BEC1507"/>
    <w:rsid w:val="4CB212EF"/>
    <w:rsid w:val="4CD363C9"/>
    <w:rsid w:val="4D7F6702"/>
    <w:rsid w:val="4DAA2A72"/>
    <w:rsid w:val="4E5B34FC"/>
    <w:rsid w:val="4F123950"/>
    <w:rsid w:val="4F134C73"/>
    <w:rsid w:val="4F176AB2"/>
    <w:rsid w:val="4FAA6378"/>
    <w:rsid w:val="4FBA240D"/>
    <w:rsid w:val="50607291"/>
    <w:rsid w:val="507519D9"/>
    <w:rsid w:val="5090629B"/>
    <w:rsid w:val="50EC442B"/>
    <w:rsid w:val="52127D7D"/>
    <w:rsid w:val="52412A63"/>
    <w:rsid w:val="52B82610"/>
    <w:rsid w:val="532C73DD"/>
    <w:rsid w:val="53763D4D"/>
    <w:rsid w:val="538D45BD"/>
    <w:rsid w:val="54135280"/>
    <w:rsid w:val="543A21C7"/>
    <w:rsid w:val="54E862A5"/>
    <w:rsid w:val="55082A77"/>
    <w:rsid w:val="551C3D89"/>
    <w:rsid w:val="5526139C"/>
    <w:rsid w:val="552B2D26"/>
    <w:rsid w:val="554E1470"/>
    <w:rsid w:val="55986D51"/>
    <w:rsid w:val="55AA6B17"/>
    <w:rsid w:val="55D42624"/>
    <w:rsid w:val="56133CA0"/>
    <w:rsid w:val="569914FD"/>
    <w:rsid w:val="56DD4ABD"/>
    <w:rsid w:val="5703231E"/>
    <w:rsid w:val="57116442"/>
    <w:rsid w:val="578D3493"/>
    <w:rsid w:val="579D2D48"/>
    <w:rsid w:val="5857652F"/>
    <w:rsid w:val="586A7A45"/>
    <w:rsid w:val="58914C8B"/>
    <w:rsid w:val="58E3423E"/>
    <w:rsid w:val="58EF08E8"/>
    <w:rsid w:val="58F23ED5"/>
    <w:rsid w:val="5956205C"/>
    <w:rsid w:val="599E6CB8"/>
    <w:rsid w:val="59E031E2"/>
    <w:rsid w:val="5A2E4D91"/>
    <w:rsid w:val="5A8D35F1"/>
    <w:rsid w:val="5AA974E8"/>
    <w:rsid w:val="5AD424FD"/>
    <w:rsid w:val="5B8340E7"/>
    <w:rsid w:val="5B8D0599"/>
    <w:rsid w:val="5B937814"/>
    <w:rsid w:val="5BA627EA"/>
    <w:rsid w:val="5BAA125C"/>
    <w:rsid w:val="5BCA7F13"/>
    <w:rsid w:val="5C06784E"/>
    <w:rsid w:val="5C6E79F1"/>
    <w:rsid w:val="5C8657B1"/>
    <w:rsid w:val="5CA73484"/>
    <w:rsid w:val="5CE5499C"/>
    <w:rsid w:val="5D77243C"/>
    <w:rsid w:val="5D822C9D"/>
    <w:rsid w:val="5E2F13E4"/>
    <w:rsid w:val="5EC546B7"/>
    <w:rsid w:val="5EE01513"/>
    <w:rsid w:val="5EEE5095"/>
    <w:rsid w:val="5F1C19B0"/>
    <w:rsid w:val="5FA9036D"/>
    <w:rsid w:val="5FBA52BB"/>
    <w:rsid w:val="5FE20A6A"/>
    <w:rsid w:val="5FE80DF1"/>
    <w:rsid w:val="5FFF194A"/>
    <w:rsid w:val="60394F33"/>
    <w:rsid w:val="607A028C"/>
    <w:rsid w:val="60C761CB"/>
    <w:rsid w:val="61904268"/>
    <w:rsid w:val="61922827"/>
    <w:rsid w:val="61985AAE"/>
    <w:rsid w:val="619B21A0"/>
    <w:rsid w:val="61C95215"/>
    <w:rsid w:val="620863D2"/>
    <w:rsid w:val="626058BD"/>
    <w:rsid w:val="62D70238"/>
    <w:rsid w:val="62D9301B"/>
    <w:rsid w:val="634E5810"/>
    <w:rsid w:val="63A81226"/>
    <w:rsid w:val="64CA0CD4"/>
    <w:rsid w:val="65017A6D"/>
    <w:rsid w:val="650A079C"/>
    <w:rsid w:val="65E5355A"/>
    <w:rsid w:val="66BE2B6F"/>
    <w:rsid w:val="66E77ABF"/>
    <w:rsid w:val="674A3D4F"/>
    <w:rsid w:val="679006E0"/>
    <w:rsid w:val="6864772D"/>
    <w:rsid w:val="68BC6A3B"/>
    <w:rsid w:val="68D26F09"/>
    <w:rsid w:val="6A121AD7"/>
    <w:rsid w:val="6A3C248C"/>
    <w:rsid w:val="6A477470"/>
    <w:rsid w:val="6AD23B35"/>
    <w:rsid w:val="6C3226C6"/>
    <w:rsid w:val="6C545FF5"/>
    <w:rsid w:val="6C591BE2"/>
    <w:rsid w:val="6E0A4A26"/>
    <w:rsid w:val="6E113896"/>
    <w:rsid w:val="6E28744D"/>
    <w:rsid w:val="6E5E1B6C"/>
    <w:rsid w:val="6E8C65A9"/>
    <w:rsid w:val="6EB57A17"/>
    <w:rsid w:val="6EEF71D1"/>
    <w:rsid w:val="6F021A16"/>
    <w:rsid w:val="6F1D40CE"/>
    <w:rsid w:val="6FB11BBE"/>
    <w:rsid w:val="7051517A"/>
    <w:rsid w:val="70CC066A"/>
    <w:rsid w:val="70D85BD1"/>
    <w:rsid w:val="715B338A"/>
    <w:rsid w:val="716A7ADC"/>
    <w:rsid w:val="71DE2E53"/>
    <w:rsid w:val="721F39FF"/>
    <w:rsid w:val="729E121E"/>
    <w:rsid w:val="72E23A7A"/>
    <w:rsid w:val="72F6179B"/>
    <w:rsid w:val="738003CA"/>
    <w:rsid w:val="73C56EED"/>
    <w:rsid w:val="758D4AB4"/>
    <w:rsid w:val="75D12961"/>
    <w:rsid w:val="765941C5"/>
    <w:rsid w:val="773B6CD4"/>
    <w:rsid w:val="77E30949"/>
    <w:rsid w:val="77F16A53"/>
    <w:rsid w:val="783525A0"/>
    <w:rsid w:val="786F12BD"/>
    <w:rsid w:val="786F1AA9"/>
    <w:rsid w:val="7872551D"/>
    <w:rsid w:val="78BE11AE"/>
    <w:rsid w:val="7920071D"/>
    <w:rsid w:val="79C52BC7"/>
    <w:rsid w:val="79C747F6"/>
    <w:rsid w:val="79E72E7D"/>
    <w:rsid w:val="7A36659D"/>
    <w:rsid w:val="7A6027C1"/>
    <w:rsid w:val="7A854A12"/>
    <w:rsid w:val="7B237820"/>
    <w:rsid w:val="7B974622"/>
    <w:rsid w:val="7C41102A"/>
    <w:rsid w:val="7D4E72F0"/>
    <w:rsid w:val="7E9219F9"/>
    <w:rsid w:val="7EF87B3E"/>
    <w:rsid w:val="7F924DA0"/>
    <w:rsid w:val="7FAA0525"/>
    <w:rsid w:val="7FE162A9"/>
    <w:rsid w:val="7FE4440B"/>
    <w:rsid w:val="7FF46C92"/>
    <w:rsid w:val="9B7FD4FA"/>
    <w:rsid w:val="FF9D6C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2"/>
    <w:qFormat/>
    <w:uiPriority w:val="9"/>
    <w:pPr>
      <w:keepNext/>
      <w:keepLines/>
      <w:spacing w:before="340" w:after="330" w:line="576" w:lineRule="auto"/>
      <w:outlineLvl w:val="0"/>
    </w:pPr>
    <w:rPr>
      <w:b/>
      <w:bCs/>
      <w:kern w:val="44"/>
      <w:sz w:val="44"/>
      <w:szCs w:val="44"/>
    </w:rPr>
  </w:style>
  <w:style w:type="paragraph" w:styleId="4">
    <w:name w:val="heading 2"/>
    <w:basedOn w:val="1"/>
    <w:next w:val="1"/>
    <w:link w:val="65"/>
    <w:qFormat/>
    <w:uiPriority w:val="0"/>
    <w:pPr>
      <w:keepNext/>
      <w:keepLines/>
      <w:spacing w:before="260" w:after="260" w:line="413" w:lineRule="auto"/>
      <w:outlineLvl w:val="1"/>
    </w:pPr>
    <w:rPr>
      <w:rFonts w:ascii="Arial" w:hAnsi="Arial" w:eastAsia="黑体"/>
      <w:b/>
      <w:bCs/>
      <w:sz w:val="32"/>
      <w:szCs w:val="32"/>
    </w:rPr>
  </w:style>
  <w:style w:type="paragraph" w:styleId="5">
    <w:name w:val="heading 3"/>
    <w:basedOn w:val="1"/>
    <w:next w:val="1"/>
    <w:link w:val="61"/>
    <w:qFormat/>
    <w:uiPriority w:val="0"/>
    <w:pPr>
      <w:keepNext/>
      <w:keepLines/>
      <w:spacing w:before="260" w:after="260" w:line="413" w:lineRule="auto"/>
      <w:outlineLvl w:val="2"/>
    </w:pPr>
    <w:rPr>
      <w:b/>
      <w:bCs/>
      <w:sz w:val="32"/>
      <w:szCs w:val="32"/>
    </w:rPr>
  </w:style>
  <w:style w:type="paragraph" w:styleId="6">
    <w:name w:val="heading 4"/>
    <w:basedOn w:val="1"/>
    <w:next w:val="1"/>
    <w:link w:val="92"/>
    <w:qFormat/>
    <w:uiPriority w:val="0"/>
    <w:pPr>
      <w:keepNext/>
      <w:keepLines/>
      <w:widowControl/>
      <w:spacing w:before="120" w:after="120" w:line="360" w:lineRule="auto"/>
      <w:jc w:val="center"/>
      <w:outlineLvl w:val="3"/>
    </w:pPr>
    <w:rPr>
      <w:rFonts w:ascii="Arial" w:hAnsi="Arial" w:eastAsia="黑体"/>
      <w:kern w:val="0"/>
      <w:sz w:val="28"/>
      <w:szCs w:val="20"/>
    </w:rPr>
  </w:style>
  <w:style w:type="paragraph" w:styleId="7">
    <w:name w:val="heading 5"/>
    <w:basedOn w:val="1"/>
    <w:next w:val="8"/>
    <w:link w:val="90"/>
    <w:qFormat/>
    <w:uiPriority w:val="0"/>
    <w:pPr>
      <w:keepNext/>
      <w:keepLines/>
      <w:spacing w:before="280" w:after="290" w:line="372" w:lineRule="auto"/>
      <w:outlineLvl w:val="4"/>
    </w:pPr>
    <w:rPr>
      <w:b/>
      <w:sz w:val="28"/>
    </w:rPr>
  </w:style>
  <w:style w:type="paragraph" w:styleId="9">
    <w:name w:val="heading 6"/>
    <w:basedOn w:val="1"/>
    <w:next w:val="8"/>
    <w:link w:val="76"/>
    <w:qFormat/>
    <w:uiPriority w:val="0"/>
    <w:pPr>
      <w:keepNext/>
      <w:keepLines/>
      <w:spacing w:before="240" w:after="64" w:line="317" w:lineRule="auto"/>
      <w:outlineLvl w:val="5"/>
    </w:pPr>
    <w:rPr>
      <w:rFonts w:ascii="Arial" w:hAnsi="Arial" w:eastAsia="黑体"/>
      <w:b/>
      <w:sz w:val="24"/>
    </w:rPr>
  </w:style>
  <w:style w:type="paragraph" w:styleId="10">
    <w:name w:val="heading 7"/>
    <w:basedOn w:val="1"/>
    <w:next w:val="8"/>
    <w:link w:val="72"/>
    <w:qFormat/>
    <w:uiPriority w:val="0"/>
    <w:pPr>
      <w:keepNext/>
      <w:keepLines/>
      <w:spacing w:before="240" w:after="64" w:line="317" w:lineRule="auto"/>
      <w:outlineLvl w:val="6"/>
    </w:pPr>
    <w:rPr>
      <w:b/>
      <w:sz w:val="24"/>
    </w:rPr>
  </w:style>
  <w:style w:type="paragraph" w:styleId="11">
    <w:name w:val="heading 8"/>
    <w:basedOn w:val="1"/>
    <w:next w:val="8"/>
    <w:link w:val="81"/>
    <w:qFormat/>
    <w:uiPriority w:val="0"/>
    <w:pPr>
      <w:keepNext/>
      <w:keepLines/>
      <w:spacing w:before="240" w:after="64" w:line="317" w:lineRule="auto"/>
      <w:outlineLvl w:val="7"/>
    </w:pPr>
    <w:rPr>
      <w:rFonts w:ascii="Arial" w:hAnsi="Arial" w:eastAsia="黑体"/>
      <w:sz w:val="24"/>
    </w:rPr>
  </w:style>
  <w:style w:type="paragraph" w:styleId="12">
    <w:name w:val="heading 9"/>
    <w:basedOn w:val="1"/>
    <w:next w:val="8"/>
    <w:link w:val="83"/>
    <w:qFormat/>
    <w:uiPriority w:val="0"/>
    <w:pPr>
      <w:keepNext/>
      <w:keepLines/>
      <w:spacing w:before="240" w:after="64" w:line="317" w:lineRule="auto"/>
      <w:outlineLvl w:val="8"/>
    </w:pPr>
    <w:rPr>
      <w:rFonts w:ascii="Arial" w:hAnsi="Arial" w:eastAsia="黑体"/>
    </w:rPr>
  </w:style>
  <w:style w:type="character" w:default="1" w:styleId="54">
    <w:name w:val="Default Paragraph Font"/>
    <w:semiHidden/>
    <w:unhideWhenUsed/>
    <w:qFormat/>
    <w:uiPriority w:val="1"/>
  </w:style>
  <w:style w:type="table" w:default="1" w:styleId="52">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link w:val="97"/>
    <w:qFormat/>
    <w:uiPriority w:val="0"/>
    <w:pPr>
      <w:ind w:firstLine="630"/>
    </w:pPr>
    <w:rPr>
      <w:sz w:val="32"/>
      <w:szCs w:val="20"/>
    </w:rPr>
  </w:style>
  <w:style w:type="paragraph" w:styleId="8">
    <w:name w:val="Normal Indent"/>
    <w:basedOn w:val="1"/>
    <w:qFormat/>
    <w:uiPriority w:val="0"/>
    <w:pPr>
      <w:ind w:firstLine="420"/>
    </w:pPr>
    <w:rPr>
      <w:szCs w:val="20"/>
    </w:rPr>
  </w:style>
  <w:style w:type="paragraph" w:styleId="13">
    <w:name w:val="List 3"/>
    <w:basedOn w:val="1"/>
    <w:qFormat/>
    <w:uiPriority w:val="0"/>
    <w:pPr>
      <w:ind w:left="100" w:leftChars="400" w:hanging="200" w:hangingChars="200"/>
    </w:pPr>
  </w:style>
  <w:style w:type="paragraph" w:styleId="14">
    <w:name w:val="toc 7"/>
    <w:basedOn w:val="1"/>
    <w:next w:val="1"/>
    <w:qFormat/>
    <w:uiPriority w:val="0"/>
    <w:pPr>
      <w:tabs>
        <w:tab w:val="right" w:leader="dot" w:pos="9185"/>
      </w:tabs>
      <w:adjustRightInd w:val="0"/>
      <w:spacing w:line="312" w:lineRule="atLeast"/>
      <w:ind w:left="2520"/>
      <w:textAlignment w:val="baseline"/>
    </w:pPr>
    <w:rPr>
      <w:kern w:val="0"/>
      <w:szCs w:val="20"/>
    </w:rPr>
  </w:style>
  <w:style w:type="paragraph" w:styleId="15">
    <w:name w:val="List Number"/>
    <w:basedOn w:val="1"/>
    <w:qFormat/>
    <w:uiPriority w:val="0"/>
    <w:pPr>
      <w:widowControl/>
      <w:tabs>
        <w:tab w:val="left" w:pos="454"/>
        <w:tab w:val="left" w:pos="720"/>
        <w:tab w:val="left" w:pos="840"/>
      </w:tabs>
      <w:spacing w:after="156" w:afterLines="50"/>
      <w:ind w:left="454" w:hanging="284"/>
      <w:jc w:val="left"/>
    </w:pPr>
    <w:rPr>
      <w:kern w:val="0"/>
      <w:sz w:val="24"/>
      <w:szCs w:val="20"/>
    </w:rPr>
  </w:style>
  <w:style w:type="paragraph" w:styleId="16">
    <w:name w:val="caption"/>
    <w:basedOn w:val="1"/>
    <w:next w:val="1"/>
    <w:qFormat/>
    <w:uiPriority w:val="0"/>
    <w:pPr>
      <w:spacing w:before="152" w:after="160"/>
    </w:pPr>
    <w:rPr>
      <w:rFonts w:ascii="Arial" w:hAnsi="Arial" w:eastAsia="黑体" w:cs="Arial"/>
      <w:sz w:val="20"/>
      <w:szCs w:val="20"/>
    </w:rPr>
  </w:style>
  <w:style w:type="paragraph" w:styleId="17">
    <w:name w:val="Document Map"/>
    <w:basedOn w:val="1"/>
    <w:link w:val="94"/>
    <w:qFormat/>
    <w:uiPriority w:val="0"/>
    <w:pPr>
      <w:shd w:val="clear" w:color="auto" w:fill="000080"/>
      <w:adjustRightInd w:val="0"/>
      <w:spacing w:line="312" w:lineRule="atLeast"/>
      <w:textAlignment w:val="baseline"/>
    </w:pPr>
    <w:rPr>
      <w:kern w:val="0"/>
      <w:szCs w:val="20"/>
    </w:rPr>
  </w:style>
  <w:style w:type="paragraph" w:styleId="18">
    <w:name w:val="annotation text"/>
    <w:basedOn w:val="1"/>
    <w:link w:val="103"/>
    <w:qFormat/>
    <w:uiPriority w:val="0"/>
    <w:pPr>
      <w:jc w:val="left"/>
    </w:pPr>
  </w:style>
  <w:style w:type="paragraph" w:styleId="19">
    <w:name w:val="Body Text 3"/>
    <w:basedOn w:val="1"/>
    <w:link w:val="80"/>
    <w:qFormat/>
    <w:uiPriority w:val="0"/>
    <w:pPr>
      <w:spacing w:line="500" w:lineRule="exact"/>
    </w:pPr>
    <w:rPr>
      <w:b/>
      <w:bCs/>
      <w:sz w:val="24"/>
    </w:rPr>
  </w:style>
  <w:style w:type="paragraph" w:styleId="20">
    <w:name w:val="Body Text"/>
    <w:basedOn w:val="1"/>
    <w:next w:val="21"/>
    <w:link w:val="108"/>
    <w:qFormat/>
    <w:uiPriority w:val="99"/>
    <w:pPr>
      <w:spacing w:line="380" w:lineRule="exact"/>
    </w:pPr>
    <w:rPr>
      <w:sz w:val="24"/>
    </w:rPr>
  </w:style>
  <w:style w:type="paragraph" w:styleId="21">
    <w:name w:val="Subtitle"/>
    <w:basedOn w:val="1"/>
    <w:next w:val="1"/>
    <w:qFormat/>
    <w:uiPriority w:val="0"/>
    <w:pPr>
      <w:spacing w:before="240" w:after="60" w:line="312" w:lineRule="auto"/>
      <w:jc w:val="center"/>
      <w:outlineLvl w:val="1"/>
    </w:pPr>
    <w:rPr>
      <w:rFonts w:ascii="Cambria" w:hAnsi="Cambria" w:cs="Cambria"/>
      <w:b/>
      <w:bCs/>
      <w:kern w:val="28"/>
      <w:sz w:val="32"/>
      <w:szCs w:val="32"/>
    </w:rPr>
  </w:style>
  <w:style w:type="paragraph" w:styleId="22">
    <w:name w:val="Body Text Indent"/>
    <w:basedOn w:val="1"/>
    <w:link w:val="78"/>
    <w:qFormat/>
    <w:uiPriority w:val="99"/>
    <w:pPr>
      <w:ind w:firstLine="830" w:firstLineChars="352"/>
    </w:pPr>
    <w:rPr>
      <w:rFonts w:ascii="仿宋_GB2312" w:eastAsia="仿宋_GB2312"/>
      <w:sz w:val="32"/>
      <w:szCs w:val="20"/>
    </w:rPr>
  </w:style>
  <w:style w:type="paragraph" w:styleId="23">
    <w:name w:val="List Number 3"/>
    <w:basedOn w:val="1"/>
    <w:qFormat/>
    <w:uiPriority w:val="0"/>
    <w:pPr>
      <w:tabs>
        <w:tab w:val="left" w:pos="1200"/>
      </w:tabs>
      <w:ind w:left="1200" w:leftChars="400" w:hanging="360" w:hangingChars="200"/>
    </w:pPr>
  </w:style>
  <w:style w:type="paragraph" w:styleId="24">
    <w:name w:val="List 2"/>
    <w:basedOn w:val="1"/>
    <w:qFormat/>
    <w:uiPriority w:val="0"/>
    <w:pPr>
      <w:ind w:left="100" w:leftChars="200" w:hanging="200" w:hangingChars="200"/>
    </w:pPr>
    <w:rPr>
      <w:sz w:val="28"/>
    </w:rPr>
  </w:style>
  <w:style w:type="paragraph" w:styleId="25">
    <w:name w:val="Block Text"/>
    <w:basedOn w:val="1"/>
    <w:qFormat/>
    <w:uiPriority w:val="0"/>
    <w:pPr>
      <w:adjustRightInd w:val="0"/>
      <w:ind w:left="420" w:right="33"/>
      <w:jc w:val="left"/>
      <w:textAlignment w:val="baseline"/>
    </w:pPr>
    <w:rPr>
      <w:kern w:val="0"/>
      <w:sz w:val="24"/>
      <w:szCs w:val="20"/>
    </w:rPr>
  </w:style>
  <w:style w:type="paragraph" w:styleId="26">
    <w:name w:val="toc 5"/>
    <w:basedOn w:val="1"/>
    <w:next w:val="1"/>
    <w:qFormat/>
    <w:uiPriority w:val="0"/>
    <w:pPr>
      <w:tabs>
        <w:tab w:val="right" w:leader="dot" w:pos="9185"/>
      </w:tabs>
      <w:adjustRightInd w:val="0"/>
      <w:spacing w:line="312" w:lineRule="atLeast"/>
      <w:ind w:left="1680"/>
      <w:textAlignment w:val="baseline"/>
    </w:pPr>
    <w:rPr>
      <w:kern w:val="0"/>
      <w:szCs w:val="20"/>
    </w:rPr>
  </w:style>
  <w:style w:type="paragraph" w:styleId="27">
    <w:name w:val="toc 3"/>
    <w:basedOn w:val="1"/>
    <w:next w:val="1"/>
    <w:qFormat/>
    <w:uiPriority w:val="39"/>
    <w:pPr>
      <w:ind w:left="840" w:leftChars="400"/>
    </w:pPr>
  </w:style>
  <w:style w:type="paragraph" w:styleId="28">
    <w:name w:val="Plain Text"/>
    <w:basedOn w:val="1"/>
    <w:link w:val="104"/>
    <w:qFormat/>
    <w:uiPriority w:val="0"/>
    <w:rPr>
      <w:rFonts w:ascii="宋体" w:hAnsi="Courier New" w:cs="Courier New"/>
      <w:szCs w:val="21"/>
    </w:rPr>
  </w:style>
  <w:style w:type="paragraph" w:styleId="29">
    <w:name w:val="toc 8"/>
    <w:basedOn w:val="1"/>
    <w:next w:val="1"/>
    <w:qFormat/>
    <w:uiPriority w:val="0"/>
    <w:pPr>
      <w:tabs>
        <w:tab w:val="right" w:leader="dot" w:pos="9185"/>
      </w:tabs>
      <w:adjustRightInd w:val="0"/>
      <w:spacing w:line="312" w:lineRule="atLeast"/>
      <w:ind w:left="2940"/>
      <w:textAlignment w:val="baseline"/>
    </w:pPr>
    <w:rPr>
      <w:kern w:val="0"/>
      <w:szCs w:val="20"/>
    </w:rPr>
  </w:style>
  <w:style w:type="paragraph" w:styleId="30">
    <w:name w:val="Date"/>
    <w:basedOn w:val="1"/>
    <w:next w:val="1"/>
    <w:link w:val="71"/>
    <w:qFormat/>
    <w:uiPriority w:val="0"/>
    <w:pPr>
      <w:ind w:left="100" w:leftChars="2500"/>
    </w:pPr>
    <w:rPr>
      <w:rFonts w:ascii="宋体" w:hAnsi="Courier New"/>
      <w:szCs w:val="21"/>
    </w:rPr>
  </w:style>
  <w:style w:type="paragraph" w:styleId="31">
    <w:name w:val="Balloon Text"/>
    <w:basedOn w:val="1"/>
    <w:link w:val="93"/>
    <w:qFormat/>
    <w:uiPriority w:val="0"/>
    <w:rPr>
      <w:sz w:val="18"/>
      <w:szCs w:val="18"/>
    </w:rPr>
  </w:style>
  <w:style w:type="paragraph" w:styleId="32">
    <w:name w:val="footer"/>
    <w:basedOn w:val="1"/>
    <w:link w:val="67"/>
    <w:qFormat/>
    <w:uiPriority w:val="0"/>
    <w:pPr>
      <w:tabs>
        <w:tab w:val="center" w:pos="4153"/>
        <w:tab w:val="right" w:pos="8306"/>
      </w:tabs>
      <w:snapToGrid w:val="0"/>
      <w:jc w:val="left"/>
    </w:pPr>
    <w:rPr>
      <w:sz w:val="18"/>
      <w:szCs w:val="18"/>
    </w:rPr>
  </w:style>
  <w:style w:type="paragraph" w:styleId="33">
    <w:name w:val="header"/>
    <w:basedOn w:val="1"/>
    <w:link w:val="66"/>
    <w:qFormat/>
    <w:uiPriority w:val="99"/>
    <w:pPr>
      <w:pBdr>
        <w:bottom w:val="single" w:color="auto" w:sz="6" w:space="1"/>
      </w:pBdr>
      <w:tabs>
        <w:tab w:val="center" w:pos="4153"/>
        <w:tab w:val="right" w:pos="8306"/>
      </w:tabs>
      <w:snapToGrid w:val="0"/>
      <w:jc w:val="center"/>
    </w:pPr>
    <w:rPr>
      <w:sz w:val="18"/>
      <w:szCs w:val="18"/>
    </w:rPr>
  </w:style>
  <w:style w:type="paragraph" w:styleId="34">
    <w:name w:val="toc 1"/>
    <w:basedOn w:val="1"/>
    <w:next w:val="1"/>
    <w:qFormat/>
    <w:uiPriority w:val="39"/>
    <w:pPr>
      <w:tabs>
        <w:tab w:val="right" w:leader="dot" w:pos="8398"/>
      </w:tabs>
      <w:spacing w:before="120" w:after="120"/>
      <w:ind w:firstLine="240" w:firstLineChars="100"/>
      <w:jc w:val="left"/>
    </w:pPr>
    <w:rPr>
      <w:rFonts w:ascii="宋体" w:hAnsi="宋体"/>
      <w:b/>
      <w:bCs/>
      <w:caps/>
      <w:sz w:val="24"/>
    </w:rPr>
  </w:style>
  <w:style w:type="paragraph" w:styleId="35">
    <w:name w:val="toc 4"/>
    <w:basedOn w:val="1"/>
    <w:next w:val="1"/>
    <w:qFormat/>
    <w:uiPriority w:val="0"/>
    <w:pPr>
      <w:tabs>
        <w:tab w:val="right" w:leader="dot" w:pos="9185"/>
      </w:tabs>
      <w:adjustRightInd w:val="0"/>
      <w:spacing w:line="312" w:lineRule="atLeast"/>
      <w:ind w:left="1260"/>
      <w:textAlignment w:val="baseline"/>
    </w:pPr>
    <w:rPr>
      <w:kern w:val="0"/>
      <w:szCs w:val="20"/>
    </w:rPr>
  </w:style>
  <w:style w:type="paragraph" w:styleId="36">
    <w:name w:val="List"/>
    <w:basedOn w:val="1"/>
    <w:qFormat/>
    <w:uiPriority w:val="0"/>
    <w:pPr>
      <w:ind w:left="200" w:hanging="200" w:hangingChars="200"/>
    </w:pPr>
    <w:rPr>
      <w:sz w:val="28"/>
    </w:rPr>
  </w:style>
  <w:style w:type="paragraph" w:styleId="37">
    <w:name w:val="toc 6"/>
    <w:basedOn w:val="1"/>
    <w:next w:val="1"/>
    <w:qFormat/>
    <w:uiPriority w:val="0"/>
    <w:pPr>
      <w:tabs>
        <w:tab w:val="right" w:leader="dot" w:pos="9185"/>
      </w:tabs>
      <w:adjustRightInd w:val="0"/>
      <w:spacing w:line="312" w:lineRule="atLeast"/>
      <w:ind w:left="2100"/>
      <w:textAlignment w:val="baseline"/>
    </w:pPr>
    <w:rPr>
      <w:kern w:val="0"/>
      <w:szCs w:val="20"/>
    </w:rPr>
  </w:style>
  <w:style w:type="paragraph" w:styleId="38">
    <w:name w:val="List 5"/>
    <w:basedOn w:val="1"/>
    <w:qFormat/>
    <w:uiPriority w:val="0"/>
    <w:pPr>
      <w:ind w:left="2100" w:hanging="420"/>
    </w:pPr>
    <w:rPr>
      <w:szCs w:val="20"/>
    </w:rPr>
  </w:style>
  <w:style w:type="paragraph" w:styleId="39">
    <w:name w:val="Body Text Indent 3"/>
    <w:basedOn w:val="1"/>
    <w:link w:val="88"/>
    <w:qFormat/>
    <w:uiPriority w:val="0"/>
    <w:pPr>
      <w:spacing w:after="120"/>
      <w:ind w:left="420" w:leftChars="200"/>
    </w:pPr>
    <w:rPr>
      <w:sz w:val="16"/>
      <w:szCs w:val="16"/>
    </w:rPr>
  </w:style>
  <w:style w:type="paragraph" w:styleId="40">
    <w:name w:val="toc 2"/>
    <w:basedOn w:val="1"/>
    <w:next w:val="1"/>
    <w:qFormat/>
    <w:uiPriority w:val="39"/>
    <w:pPr>
      <w:ind w:left="420" w:leftChars="200"/>
    </w:pPr>
  </w:style>
  <w:style w:type="paragraph" w:styleId="41">
    <w:name w:val="toc 9"/>
    <w:basedOn w:val="1"/>
    <w:next w:val="1"/>
    <w:qFormat/>
    <w:uiPriority w:val="0"/>
    <w:pPr>
      <w:tabs>
        <w:tab w:val="right" w:leader="dot" w:pos="9185"/>
      </w:tabs>
      <w:adjustRightInd w:val="0"/>
      <w:spacing w:line="312" w:lineRule="atLeast"/>
      <w:ind w:left="3360"/>
      <w:textAlignment w:val="baseline"/>
    </w:pPr>
    <w:rPr>
      <w:kern w:val="0"/>
      <w:szCs w:val="20"/>
    </w:rPr>
  </w:style>
  <w:style w:type="paragraph" w:styleId="42">
    <w:name w:val="Body Text 2"/>
    <w:basedOn w:val="1"/>
    <w:link w:val="87"/>
    <w:qFormat/>
    <w:uiPriority w:val="0"/>
    <w:pPr>
      <w:spacing w:after="120" w:line="480" w:lineRule="auto"/>
    </w:pPr>
  </w:style>
  <w:style w:type="paragraph" w:styleId="43">
    <w:name w:val="List 4"/>
    <w:basedOn w:val="1"/>
    <w:qFormat/>
    <w:uiPriority w:val="0"/>
    <w:pPr>
      <w:ind w:left="100" w:leftChars="600" w:hanging="200" w:hangingChars="200"/>
    </w:pPr>
  </w:style>
  <w:style w:type="paragraph" w:styleId="44">
    <w:name w:val="List Continue 2"/>
    <w:basedOn w:val="1"/>
    <w:qFormat/>
    <w:uiPriority w:val="0"/>
    <w:pPr>
      <w:spacing w:after="120"/>
      <w:ind w:left="840" w:leftChars="400"/>
    </w:pPr>
  </w:style>
  <w:style w:type="paragraph" w:styleId="45">
    <w:name w:val="HTML Preformatted"/>
    <w:basedOn w:val="1"/>
    <w:link w:val="8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46">
    <w:name w:val="Normal (Web)"/>
    <w:basedOn w:val="1"/>
    <w:qFormat/>
    <w:uiPriority w:val="99"/>
    <w:pPr>
      <w:widowControl/>
      <w:spacing w:before="100" w:beforeAutospacing="1" w:after="100" w:afterAutospacing="1"/>
      <w:jc w:val="left"/>
    </w:pPr>
    <w:rPr>
      <w:rFonts w:ascii="宋体" w:hAnsi="宋体"/>
      <w:kern w:val="0"/>
      <w:sz w:val="24"/>
    </w:rPr>
  </w:style>
  <w:style w:type="paragraph" w:styleId="47">
    <w:name w:val="index 1"/>
    <w:basedOn w:val="1"/>
    <w:next w:val="1"/>
    <w:qFormat/>
    <w:uiPriority w:val="0"/>
    <w:pPr>
      <w:spacing w:line="400" w:lineRule="exact"/>
      <w:ind w:firstLine="420" w:firstLineChars="200"/>
    </w:pPr>
    <w:rPr>
      <w:rFonts w:ascii="宋体" w:hAnsi="Courier New"/>
      <w:b/>
      <w:szCs w:val="20"/>
    </w:rPr>
  </w:style>
  <w:style w:type="paragraph" w:styleId="48">
    <w:name w:val="Title"/>
    <w:basedOn w:val="1"/>
    <w:link w:val="70"/>
    <w:qFormat/>
    <w:uiPriority w:val="0"/>
    <w:pPr>
      <w:jc w:val="center"/>
    </w:pPr>
    <w:rPr>
      <w:sz w:val="30"/>
    </w:rPr>
  </w:style>
  <w:style w:type="paragraph" w:styleId="49">
    <w:name w:val="annotation subject"/>
    <w:basedOn w:val="18"/>
    <w:next w:val="18"/>
    <w:link w:val="77"/>
    <w:qFormat/>
    <w:uiPriority w:val="0"/>
    <w:rPr>
      <w:b/>
      <w:bCs/>
    </w:rPr>
  </w:style>
  <w:style w:type="paragraph" w:styleId="50">
    <w:name w:val="Body Text First Indent"/>
    <w:basedOn w:val="20"/>
    <w:link w:val="110"/>
    <w:qFormat/>
    <w:uiPriority w:val="0"/>
    <w:pPr>
      <w:spacing w:after="120" w:line="240" w:lineRule="auto"/>
      <w:ind w:firstLine="420" w:firstLineChars="100"/>
    </w:pPr>
    <w:rPr>
      <w:sz w:val="21"/>
    </w:rPr>
  </w:style>
  <w:style w:type="paragraph" w:styleId="51">
    <w:name w:val="Body Text First Indent 2"/>
    <w:basedOn w:val="22"/>
    <w:link w:val="95"/>
    <w:qFormat/>
    <w:uiPriority w:val="0"/>
    <w:pPr>
      <w:spacing w:after="120"/>
      <w:ind w:left="420" w:leftChars="200" w:firstLine="420" w:firstLineChars="200"/>
    </w:pPr>
    <w:rPr>
      <w:rFonts w:ascii="Times New Roman" w:eastAsia="宋体"/>
      <w:sz w:val="21"/>
      <w:szCs w:val="24"/>
    </w:rPr>
  </w:style>
  <w:style w:type="table" w:styleId="53">
    <w:name w:val="Table Grid"/>
    <w:basedOn w:val="5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5">
    <w:name w:val="Strong"/>
    <w:qFormat/>
    <w:uiPriority w:val="22"/>
    <w:rPr>
      <w:b/>
      <w:bCs/>
    </w:rPr>
  </w:style>
  <w:style w:type="character" w:styleId="56">
    <w:name w:val="page number"/>
    <w:basedOn w:val="54"/>
    <w:qFormat/>
    <w:uiPriority w:val="0"/>
  </w:style>
  <w:style w:type="character" w:styleId="57">
    <w:name w:val="FollowedHyperlink"/>
    <w:qFormat/>
    <w:uiPriority w:val="99"/>
    <w:rPr>
      <w:color w:val="800080"/>
      <w:u w:val="single"/>
    </w:rPr>
  </w:style>
  <w:style w:type="character" w:styleId="58">
    <w:name w:val="Hyperlink"/>
    <w:qFormat/>
    <w:uiPriority w:val="99"/>
    <w:rPr>
      <w:color w:val="0000FF"/>
      <w:u w:val="single"/>
    </w:rPr>
  </w:style>
  <w:style w:type="character" w:styleId="59">
    <w:name w:val="annotation reference"/>
    <w:qFormat/>
    <w:uiPriority w:val="0"/>
    <w:rPr>
      <w:sz w:val="21"/>
      <w:szCs w:val="21"/>
    </w:rPr>
  </w:style>
  <w:style w:type="character" w:styleId="60">
    <w:name w:val="HTML Sample"/>
    <w:basedOn w:val="54"/>
    <w:uiPriority w:val="0"/>
    <w:rPr>
      <w:rFonts w:ascii="Courier New" w:hAnsi="Courier New"/>
    </w:rPr>
  </w:style>
  <w:style w:type="character" w:customStyle="1" w:styleId="61">
    <w:name w:val="标题 3 字符"/>
    <w:link w:val="5"/>
    <w:qFormat/>
    <w:uiPriority w:val="0"/>
    <w:rPr>
      <w:b/>
      <w:bCs/>
      <w:kern w:val="2"/>
      <w:sz w:val="32"/>
      <w:szCs w:val="32"/>
    </w:rPr>
  </w:style>
  <w:style w:type="character" w:customStyle="1" w:styleId="62">
    <w:name w:val="标题 1 字符"/>
    <w:link w:val="3"/>
    <w:qFormat/>
    <w:uiPriority w:val="9"/>
    <w:rPr>
      <w:rFonts w:eastAsia="宋体"/>
      <w:b/>
      <w:bCs/>
      <w:kern w:val="44"/>
      <w:sz w:val="44"/>
      <w:szCs w:val="44"/>
      <w:lang w:val="en-US" w:eastAsia="zh-CN" w:bidi="ar-SA"/>
    </w:rPr>
  </w:style>
  <w:style w:type="character" w:customStyle="1" w:styleId="63">
    <w:name w:val="style11"/>
    <w:qFormat/>
    <w:uiPriority w:val="0"/>
    <w:rPr>
      <w:rFonts w:hint="default" w:ascii="Arial" w:hAnsi="Arial" w:cs="Arial"/>
    </w:rPr>
  </w:style>
  <w:style w:type="character" w:customStyle="1" w:styleId="64">
    <w:name w:val="short_text1"/>
    <w:qFormat/>
    <w:uiPriority w:val="0"/>
    <w:rPr>
      <w:sz w:val="26"/>
    </w:rPr>
  </w:style>
  <w:style w:type="character" w:customStyle="1" w:styleId="65">
    <w:name w:val="标题 2 字符"/>
    <w:link w:val="4"/>
    <w:qFormat/>
    <w:uiPriority w:val="0"/>
    <w:rPr>
      <w:rFonts w:ascii="Arial" w:hAnsi="Arial" w:eastAsia="黑体"/>
      <w:b/>
      <w:bCs/>
      <w:kern w:val="2"/>
      <w:sz w:val="32"/>
      <w:szCs w:val="32"/>
    </w:rPr>
  </w:style>
  <w:style w:type="character" w:customStyle="1" w:styleId="66">
    <w:name w:val="页眉 字符"/>
    <w:link w:val="33"/>
    <w:qFormat/>
    <w:uiPriority w:val="99"/>
    <w:rPr>
      <w:kern w:val="2"/>
      <w:sz w:val="18"/>
      <w:szCs w:val="18"/>
    </w:rPr>
  </w:style>
  <w:style w:type="character" w:customStyle="1" w:styleId="67">
    <w:name w:val="页脚 字符"/>
    <w:link w:val="32"/>
    <w:qFormat/>
    <w:uiPriority w:val="0"/>
    <w:rPr>
      <w:kern w:val="2"/>
      <w:sz w:val="18"/>
      <w:szCs w:val="18"/>
    </w:rPr>
  </w:style>
  <w:style w:type="character" w:customStyle="1" w:styleId="68">
    <w:name w:val="white"/>
    <w:basedOn w:val="54"/>
    <w:qFormat/>
    <w:uiPriority w:val="0"/>
  </w:style>
  <w:style w:type="character" w:customStyle="1" w:styleId="69">
    <w:name w:val="text11"/>
    <w:qFormat/>
    <w:uiPriority w:val="0"/>
    <w:rPr>
      <w:rFonts w:hint="default" w:ascii="Verdana" w:hAnsi="Verdana"/>
      <w:color w:val="4E4E4E"/>
      <w:sz w:val="18"/>
      <w:szCs w:val="18"/>
    </w:rPr>
  </w:style>
  <w:style w:type="character" w:customStyle="1" w:styleId="70">
    <w:name w:val="标题 字符"/>
    <w:link w:val="48"/>
    <w:qFormat/>
    <w:uiPriority w:val="0"/>
    <w:rPr>
      <w:kern w:val="2"/>
      <w:sz w:val="30"/>
      <w:szCs w:val="24"/>
    </w:rPr>
  </w:style>
  <w:style w:type="character" w:customStyle="1" w:styleId="71">
    <w:name w:val="日期 字符"/>
    <w:link w:val="30"/>
    <w:qFormat/>
    <w:uiPriority w:val="0"/>
    <w:rPr>
      <w:rFonts w:ascii="宋体" w:hAnsi="Courier New" w:cs="Courier New"/>
      <w:kern w:val="2"/>
      <w:sz w:val="21"/>
      <w:szCs w:val="21"/>
    </w:rPr>
  </w:style>
  <w:style w:type="character" w:customStyle="1" w:styleId="72">
    <w:name w:val="标题 7 字符"/>
    <w:link w:val="10"/>
    <w:qFormat/>
    <w:uiPriority w:val="0"/>
    <w:rPr>
      <w:b/>
      <w:kern w:val="2"/>
      <w:sz w:val="24"/>
      <w:szCs w:val="24"/>
    </w:rPr>
  </w:style>
  <w:style w:type="character" w:customStyle="1" w:styleId="73">
    <w:name w:val="mark8"/>
    <w:qFormat/>
    <w:uiPriority w:val="0"/>
    <w:rPr>
      <w:b/>
      <w:bCs/>
      <w:sz w:val="21"/>
      <w:szCs w:val="21"/>
    </w:rPr>
  </w:style>
  <w:style w:type="character" w:customStyle="1" w:styleId="74">
    <w:name w:val="纯文本 Char1"/>
    <w:qFormat/>
    <w:uiPriority w:val="0"/>
    <w:rPr>
      <w:rFonts w:ascii="宋体" w:hAnsi="Courier New" w:eastAsia="宋体" w:cs="Courier New"/>
      <w:kern w:val="2"/>
      <w:sz w:val="21"/>
      <w:szCs w:val="21"/>
      <w:lang w:val="en-US" w:eastAsia="zh-CN" w:bidi="ar-SA"/>
    </w:rPr>
  </w:style>
  <w:style w:type="character" w:customStyle="1" w:styleId="75">
    <w:name w:val="f151"/>
    <w:qFormat/>
    <w:uiPriority w:val="0"/>
    <w:rPr>
      <w:sz w:val="23"/>
      <w:szCs w:val="23"/>
    </w:rPr>
  </w:style>
  <w:style w:type="character" w:customStyle="1" w:styleId="76">
    <w:name w:val="标题 6 字符"/>
    <w:link w:val="9"/>
    <w:qFormat/>
    <w:uiPriority w:val="0"/>
    <w:rPr>
      <w:rFonts w:ascii="Arial" w:hAnsi="Arial" w:eastAsia="黑体"/>
      <w:b/>
      <w:kern w:val="2"/>
      <w:sz w:val="24"/>
      <w:szCs w:val="24"/>
    </w:rPr>
  </w:style>
  <w:style w:type="character" w:customStyle="1" w:styleId="77">
    <w:name w:val="批注主题 字符"/>
    <w:link w:val="49"/>
    <w:qFormat/>
    <w:uiPriority w:val="0"/>
    <w:rPr>
      <w:b/>
      <w:bCs/>
      <w:kern w:val="2"/>
      <w:sz w:val="21"/>
      <w:szCs w:val="24"/>
    </w:rPr>
  </w:style>
  <w:style w:type="character" w:customStyle="1" w:styleId="78">
    <w:name w:val="正文文本缩进 字符"/>
    <w:link w:val="22"/>
    <w:qFormat/>
    <w:uiPriority w:val="99"/>
    <w:rPr>
      <w:rFonts w:ascii="仿宋_GB2312" w:eastAsia="仿宋_GB2312"/>
      <w:kern w:val="2"/>
      <w:sz w:val="32"/>
    </w:rPr>
  </w:style>
  <w:style w:type="character" w:customStyle="1" w:styleId="79">
    <w:name w:val="062"/>
    <w:qFormat/>
    <w:uiPriority w:val="0"/>
    <w:rPr>
      <w:rFonts w:ascii="宋体" w:hAnsi="宋体"/>
      <w:b/>
      <w:bCs/>
      <w:sz w:val="32"/>
    </w:rPr>
  </w:style>
  <w:style w:type="character" w:customStyle="1" w:styleId="80">
    <w:name w:val="正文文本 3 字符"/>
    <w:link w:val="19"/>
    <w:qFormat/>
    <w:uiPriority w:val="0"/>
    <w:rPr>
      <w:b/>
      <w:bCs/>
      <w:kern w:val="2"/>
      <w:sz w:val="24"/>
      <w:szCs w:val="24"/>
    </w:rPr>
  </w:style>
  <w:style w:type="character" w:customStyle="1" w:styleId="81">
    <w:name w:val="标题 8 字符"/>
    <w:link w:val="11"/>
    <w:qFormat/>
    <w:uiPriority w:val="0"/>
    <w:rPr>
      <w:rFonts w:ascii="Arial" w:hAnsi="Arial" w:eastAsia="黑体"/>
      <w:kern w:val="2"/>
      <w:sz w:val="24"/>
      <w:szCs w:val="24"/>
    </w:rPr>
  </w:style>
  <w:style w:type="character" w:customStyle="1" w:styleId="82">
    <w:name w:val="gray12"/>
    <w:basedOn w:val="54"/>
    <w:qFormat/>
    <w:uiPriority w:val="0"/>
  </w:style>
  <w:style w:type="character" w:customStyle="1" w:styleId="83">
    <w:name w:val="标题 9 字符"/>
    <w:link w:val="12"/>
    <w:qFormat/>
    <w:uiPriority w:val="0"/>
    <w:rPr>
      <w:rFonts w:ascii="Arial" w:hAnsi="Arial" w:eastAsia="黑体"/>
      <w:kern w:val="2"/>
      <w:sz w:val="21"/>
      <w:szCs w:val="24"/>
    </w:rPr>
  </w:style>
  <w:style w:type="character" w:customStyle="1" w:styleId="84">
    <w:name w:val="1ji Char"/>
    <w:link w:val="85"/>
    <w:qFormat/>
    <w:uiPriority w:val="0"/>
    <w:rPr>
      <w:rFonts w:ascii="宋体" w:hAnsi="宋体" w:eastAsia="宋体"/>
      <w:b/>
      <w:bCs/>
      <w:kern w:val="44"/>
      <w:sz w:val="36"/>
      <w:szCs w:val="44"/>
      <w:lang w:val="en-US" w:eastAsia="zh-CN" w:bidi="ar-SA"/>
    </w:rPr>
  </w:style>
  <w:style w:type="paragraph" w:customStyle="1" w:styleId="85">
    <w:name w:val="1ji"/>
    <w:basedOn w:val="3"/>
    <w:link w:val="84"/>
    <w:qFormat/>
    <w:uiPriority w:val="0"/>
    <w:pPr>
      <w:keepLines w:val="0"/>
      <w:widowControl/>
      <w:spacing w:before="0" w:after="0" w:line="240" w:lineRule="auto"/>
      <w:jc w:val="center"/>
    </w:pPr>
    <w:rPr>
      <w:rFonts w:ascii="宋体" w:hAnsi="宋体"/>
      <w:sz w:val="36"/>
    </w:rPr>
  </w:style>
  <w:style w:type="character" w:customStyle="1" w:styleId="86">
    <w:name w:val="font01"/>
    <w:qFormat/>
    <w:uiPriority w:val="0"/>
    <w:rPr>
      <w:rFonts w:hint="eastAsia" w:ascii="宋体" w:hAnsi="宋体" w:eastAsia="宋体"/>
      <w:color w:val="000000"/>
      <w:sz w:val="22"/>
      <w:szCs w:val="22"/>
      <w:u w:val="none"/>
    </w:rPr>
  </w:style>
  <w:style w:type="character" w:customStyle="1" w:styleId="87">
    <w:name w:val="正文文本 2 字符"/>
    <w:link w:val="42"/>
    <w:qFormat/>
    <w:uiPriority w:val="0"/>
    <w:rPr>
      <w:kern w:val="2"/>
      <w:sz w:val="21"/>
      <w:szCs w:val="24"/>
    </w:rPr>
  </w:style>
  <w:style w:type="character" w:customStyle="1" w:styleId="88">
    <w:name w:val="正文文本缩进 3 字符"/>
    <w:link w:val="39"/>
    <w:qFormat/>
    <w:uiPriority w:val="0"/>
    <w:rPr>
      <w:kern w:val="2"/>
      <w:sz w:val="16"/>
      <w:szCs w:val="16"/>
    </w:rPr>
  </w:style>
  <w:style w:type="character" w:customStyle="1" w:styleId="89">
    <w:name w:val="HTML 预设格式 字符"/>
    <w:link w:val="45"/>
    <w:qFormat/>
    <w:uiPriority w:val="0"/>
    <w:rPr>
      <w:rFonts w:ascii="黑体" w:hAnsi="Courier New" w:eastAsia="黑体" w:cs="Courier New"/>
    </w:rPr>
  </w:style>
  <w:style w:type="character" w:customStyle="1" w:styleId="90">
    <w:name w:val="标题 5 字符"/>
    <w:link w:val="7"/>
    <w:qFormat/>
    <w:uiPriority w:val="0"/>
    <w:rPr>
      <w:b/>
      <w:kern w:val="2"/>
      <w:sz w:val="28"/>
      <w:szCs w:val="24"/>
    </w:rPr>
  </w:style>
  <w:style w:type="character" w:customStyle="1" w:styleId="91">
    <w:name w:val="small"/>
    <w:basedOn w:val="54"/>
    <w:qFormat/>
    <w:uiPriority w:val="0"/>
  </w:style>
  <w:style w:type="character" w:customStyle="1" w:styleId="92">
    <w:name w:val="标题 4 字符"/>
    <w:link w:val="6"/>
    <w:qFormat/>
    <w:uiPriority w:val="0"/>
    <w:rPr>
      <w:rFonts w:ascii="Arial" w:hAnsi="Arial" w:eastAsia="黑体"/>
      <w:sz w:val="28"/>
    </w:rPr>
  </w:style>
  <w:style w:type="character" w:customStyle="1" w:styleId="93">
    <w:name w:val="批注框文本 字符"/>
    <w:link w:val="31"/>
    <w:qFormat/>
    <w:uiPriority w:val="0"/>
    <w:rPr>
      <w:kern w:val="2"/>
      <w:sz w:val="18"/>
      <w:szCs w:val="18"/>
    </w:rPr>
  </w:style>
  <w:style w:type="character" w:customStyle="1" w:styleId="94">
    <w:name w:val="文档结构图 字符"/>
    <w:link w:val="17"/>
    <w:qFormat/>
    <w:uiPriority w:val="0"/>
    <w:rPr>
      <w:sz w:val="21"/>
      <w:shd w:val="clear" w:color="auto" w:fill="000080"/>
    </w:rPr>
  </w:style>
  <w:style w:type="character" w:customStyle="1" w:styleId="95">
    <w:name w:val="正文文本首行缩进 2 字符"/>
    <w:link w:val="51"/>
    <w:qFormat/>
    <w:uiPriority w:val="0"/>
    <w:rPr>
      <w:kern w:val="2"/>
      <w:sz w:val="21"/>
      <w:szCs w:val="24"/>
    </w:rPr>
  </w:style>
  <w:style w:type="character" w:customStyle="1" w:styleId="96">
    <w:name w:val="apple-converted-space"/>
    <w:qFormat/>
    <w:uiPriority w:val="0"/>
  </w:style>
  <w:style w:type="character" w:customStyle="1" w:styleId="97">
    <w:name w:val="正文文本缩进 2 字符"/>
    <w:link w:val="2"/>
    <w:qFormat/>
    <w:uiPriority w:val="0"/>
    <w:rPr>
      <w:kern w:val="2"/>
      <w:sz w:val="32"/>
    </w:rPr>
  </w:style>
  <w:style w:type="character" w:customStyle="1" w:styleId="98">
    <w:name w:val="case31"/>
    <w:qFormat/>
    <w:uiPriority w:val="0"/>
    <w:rPr>
      <w:rFonts w:hint="default" w:ascii="_x000B__x000C_" w:hAnsi="_x000B__x000C_"/>
      <w:sz w:val="21"/>
      <w:szCs w:val="21"/>
    </w:rPr>
  </w:style>
  <w:style w:type="character" w:customStyle="1" w:styleId="99">
    <w:name w:val="graytext1"/>
    <w:qFormat/>
    <w:uiPriority w:val="0"/>
    <w:rPr>
      <w:color w:val="666666"/>
    </w:rPr>
  </w:style>
  <w:style w:type="character" w:customStyle="1" w:styleId="100">
    <w:name w:val="标题3 Char"/>
    <w:link w:val="101"/>
    <w:qFormat/>
    <w:uiPriority w:val="0"/>
    <w:rPr>
      <w:rFonts w:ascii="宋体" w:hAnsi="宋体"/>
      <w:b/>
      <w:bCs/>
      <w:kern w:val="44"/>
      <w:sz w:val="24"/>
      <w:szCs w:val="24"/>
    </w:rPr>
  </w:style>
  <w:style w:type="paragraph" w:customStyle="1" w:styleId="101">
    <w:name w:val="标题3"/>
    <w:basedOn w:val="3"/>
    <w:link w:val="100"/>
    <w:qFormat/>
    <w:uiPriority w:val="0"/>
    <w:pPr>
      <w:spacing w:before="0" w:beforeLines="50" w:after="0" w:afterLines="50" w:line="400" w:lineRule="exact"/>
    </w:pPr>
    <w:rPr>
      <w:rFonts w:ascii="宋体" w:hAnsi="宋体"/>
      <w:sz w:val="24"/>
      <w:szCs w:val="24"/>
    </w:rPr>
  </w:style>
  <w:style w:type="character" w:customStyle="1" w:styleId="102">
    <w:name w:val="1051"/>
    <w:qFormat/>
    <w:uiPriority w:val="0"/>
    <w:rPr>
      <w:sz w:val="21"/>
      <w:szCs w:val="21"/>
    </w:rPr>
  </w:style>
  <w:style w:type="character" w:customStyle="1" w:styleId="103">
    <w:name w:val="批注文字 字符"/>
    <w:link w:val="18"/>
    <w:qFormat/>
    <w:uiPriority w:val="0"/>
    <w:rPr>
      <w:kern w:val="2"/>
      <w:sz w:val="21"/>
      <w:szCs w:val="24"/>
    </w:rPr>
  </w:style>
  <w:style w:type="character" w:customStyle="1" w:styleId="104">
    <w:name w:val="纯文本 字符"/>
    <w:link w:val="28"/>
    <w:qFormat/>
    <w:uiPriority w:val="99"/>
    <w:rPr>
      <w:rFonts w:ascii="宋体" w:hAnsi="Courier New" w:eastAsia="宋体" w:cs="Courier New"/>
      <w:kern w:val="2"/>
      <w:sz w:val="21"/>
      <w:szCs w:val="21"/>
      <w:lang w:val="en-US" w:eastAsia="zh-CN" w:bidi="ar-SA"/>
    </w:rPr>
  </w:style>
  <w:style w:type="character" w:customStyle="1" w:styleId="105">
    <w:name w:val="content2"/>
    <w:basedOn w:val="54"/>
    <w:qFormat/>
    <w:uiPriority w:val="0"/>
  </w:style>
  <w:style w:type="character" w:customStyle="1" w:styleId="106">
    <w:name w:val="z-窗体顶端 Char"/>
    <w:link w:val="107"/>
    <w:qFormat/>
    <w:uiPriority w:val="0"/>
    <w:rPr>
      <w:rFonts w:ascii="Arial"/>
      <w:vanish/>
      <w:kern w:val="2"/>
      <w:sz w:val="16"/>
      <w:szCs w:val="24"/>
    </w:rPr>
  </w:style>
  <w:style w:type="paragraph" w:customStyle="1" w:styleId="107">
    <w:name w:val="_Style 104"/>
    <w:basedOn w:val="1"/>
    <w:next w:val="1"/>
    <w:link w:val="106"/>
    <w:qFormat/>
    <w:uiPriority w:val="0"/>
    <w:pPr>
      <w:pBdr>
        <w:bottom w:val="single" w:color="auto" w:sz="6" w:space="1"/>
      </w:pBdr>
      <w:jc w:val="center"/>
    </w:pPr>
    <w:rPr>
      <w:rFonts w:ascii="Arial"/>
      <w:vanish/>
      <w:sz w:val="16"/>
    </w:rPr>
  </w:style>
  <w:style w:type="character" w:customStyle="1" w:styleId="108">
    <w:name w:val="正文文本 字符"/>
    <w:link w:val="20"/>
    <w:qFormat/>
    <w:uiPriority w:val="99"/>
    <w:rPr>
      <w:kern w:val="2"/>
      <w:sz w:val="24"/>
      <w:szCs w:val="24"/>
    </w:rPr>
  </w:style>
  <w:style w:type="character" w:customStyle="1" w:styleId="109">
    <w:name w:val="unnamed3"/>
    <w:basedOn w:val="54"/>
    <w:qFormat/>
    <w:uiPriority w:val="0"/>
  </w:style>
  <w:style w:type="character" w:customStyle="1" w:styleId="110">
    <w:name w:val="正文文本首行缩进 字符"/>
    <w:link w:val="50"/>
    <w:qFormat/>
    <w:uiPriority w:val="0"/>
    <w:rPr>
      <w:kern w:val="2"/>
      <w:sz w:val="21"/>
      <w:szCs w:val="24"/>
    </w:rPr>
  </w:style>
  <w:style w:type="character" w:customStyle="1" w:styleId="111">
    <w:name w:val="批注文字 Char2"/>
    <w:qFormat/>
    <w:uiPriority w:val="0"/>
    <w:rPr>
      <w:kern w:val="2"/>
      <w:sz w:val="21"/>
      <w:szCs w:val="24"/>
      <w:lang w:bidi="ar-SA"/>
    </w:rPr>
  </w:style>
  <w:style w:type="character" w:customStyle="1" w:styleId="112">
    <w:name w:val="style21"/>
    <w:qFormat/>
    <w:uiPriority w:val="0"/>
    <w:rPr>
      <w:sz w:val="17"/>
      <w:szCs w:val="17"/>
    </w:rPr>
  </w:style>
  <w:style w:type="paragraph" w:customStyle="1" w:styleId="113">
    <w:name w:val="Char"/>
    <w:basedOn w:val="1"/>
    <w:qFormat/>
    <w:uiPriority w:val="0"/>
    <w:pPr>
      <w:widowControl/>
      <w:spacing w:line="500" w:lineRule="exact"/>
      <w:outlineLvl w:val="2"/>
    </w:pPr>
    <w:rPr>
      <w:rFonts w:ascii="黑体" w:hAnsi="Verdana" w:eastAsia="黑体" w:cs="黑体"/>
      <w:kern w:val="0"/>
      <w:sz w:val="28"/>
      <w:szCs w:val="28"/>
      <w:lang w:eastAsia="en-US"/>
    </w:rPr>
  </w:style>
  <w:style w:type="paragraph" w:customStyle="1" w:styleId="114">
    <w:name w:val="Char1"/>
    <w:basedOn w:val="1"/>
    <w:qFormat/>
    <w:uiPriority w:val="0"/>
    <w:rPr>
      <w:szCs w:val="21"/>
    </w:rPr>
  </w:style>
  <w:style w:type="paragraph" w:customStyle="1" w:styleId="115">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16">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17">
    <w:name w:val="xl21"/>
    <w:basedOn w:val="1"/>
    <w:qFormat/>
    <w:uiPriority w:val="0"/>
    <w:pPr>
      <w:widowControl/>
      <w:spacing w:before="100" w:beforeAutospacing="1" w:after="100" w:afterAutospacing="1"/>
      <w:jc w:val="center"/>
    </w:pPr>
    <w:rPr>
      <w:rFonts w:ascii="宋体" w:hAnsi="宋体"/>
      <w:b/>
      <w:bCs/>
      <w:kern w:val="0"/>
      <w:sz w:val="28"/>
      <w:szCs w:val="28"/>
    </w:rPr>
  </w:style>
  <w:style w:type="paragraph" w:customStyle="1" w:styleId="118">
    <w:name w:val="List Paragraph1"/>
    <w:basedOn w:val="1"/>
    <w:qFormat/>
    <w:uiPriority w:val="0"/>
    <w:pPr>
      <w:ind w:firstLine="420" w:firstLineChars="200"/>
    </w:pPr>
    <w:rPr>
      <w:rFonts w:ascii="Calibri" w:hAnsi="Calibri"/>
      <w:szCs w:val="22"/>
    </w:rPr>
  </w:style>
  <w:style w:type="paragraph" w:styleId="119">
    <w:name w:val="List Paragraph"/>
    <w:basedOn w:val="1"/>
    <w:qFormat/>
    <w:uiPriority w:val="34"/>
    <w:pPr>
      <w:ind w:firstLine="420" w:firstLineChars="200"/>
    </w:pPr>
    <w:rPr>
      <w:rFonts w:ascii="Calibri" w:hAnsi="Calibri"/>
      <w:szCs w:val="22"/>
    </w:rPr>
  </w:style>
  <w:style w:type="paragraph" w:customStyle="1" w:styleId="120">
    <w:name w:val="Char Char Char Char Char Char Char"/>
    <w:basedOn w:val="1"/>
    <w:qFormat/>
    <w:uiPriority w:val="0"/>
  </w:style>
  <w:style w:type="paragraph" w:customStyle="1" w:styleId="121">
    <w:name w:val="Char21"/>
    <w:basedOn w:val="1"/>
    <w:qFormat/>
    <w:uiPriority w:val="0"/>
    <w:pPr>
      <w:tabs>
        <w:tab w:val="left" w:pos="360"/>
      </w:tabs>
      <w:ind w:left="252" w:hanging="252" w:hangingChars="140"/>
    </w:pPr>
    <w:rPr>
      <w:rFonts w:ascii="宋体"/>
      <w:sz w:val="18"/>
      <w:szCs w:val="18"/>
    </w:rPr>
  </w:style>
  <w:style w:type="paragraph" w:customStyle="1" w:styleId="122">
    <w:name w:val="次小点说明 Char"/>
    <w:basedOn w:val="8"/>
    <w:qFormat/>
    <w:uiPriority w:val="0"/>
    <w:pPr>
      <w:ind w:firstLine="0"/>
    </w:pPr>
    <w:rPr>
      <w:sz w:val="24"/>
      <w:szCs w:val="24"/>
    </w:rPr>
  </w:style>
  <w:style w:type="paragraph" w:customStyle="1" w:styleId="123">
    <w:name w:val="Char Char Char"/>
    <w:basedOn w:val="17"/>
    <w:qFormat/>
    <w:uiPriority w:val="0"/>
    <w:pPr>
      <w:adjustRightInd/>
      <w:spacing w:line="240" w:lineRule="auto"/>
      <w:textAlignment w:val="auto"/>
    </w:pPr>
    <w:rPr>
      <w:rFonts w:ascii="Tahoma" w:hAnsi="Tahoma"/>
      <w:kern w:val="2"/>
      <w:sz w:val="24"/>
      <w:szCs w:val="24"/>
    </w:rPr>
  </w:style>
  <w:style w:type="paragraph" w:customStyle="1" w:styleId="124">
    <w:name w:val="Char Char Char1"/>
    <w:basedOn w:val="17"/>
    <w:qFormat/>
    <w:uiPriority w:val="0"/>
    <w:pPr>
      <w:adjustRightInd/>
      <w:spacing w:line="240" w:lineRule="auto"/>
      <w:textAlignment w:val="auto"/>
    </w:pPr>
    <w:rPr>
      <w:rFonts w:ascii="Tahoma" w:hAnsi="Tahoma"/>
      <w:kern w:val="2"/>
      <w:sz w:val="24"/>
      <w:szCs w:val="24"/>
    </w:rPr>
  </w:style>
  <w:style w:type="paragraph" w:customStyle="1" w:styleId="125">
    <w:name w:val="五号正文（标准）"/>
    <w:basedOn w:val="1"/>
    <w:qFormat/>
    <w:uiPriority w:val="0"/>
    <w:pPr>
      <w:spacing w:line="360" w:lineRule="auto"/>
      <w:ind w:right="55" w:firstLine="560" w:firstLineChars="200"/>
    </w:pPr>
    <w:rPr>
      <w:rFonts w:eastAsia="仿宋_GB2312"/>
      <w:sz w:val="28"/>
      <w:szCs w:val="20"/>
    </w:rPr>
  </w:style>
  <w:style w:type="paragraph" w:customStyle="1" w:styleId="126">
    <w:name w:val="a9"/>
    <w:basedOn w:val="1"/>
    <w:qFormat/>
    <w:uiPriority w:val="0"/>
    <w:pPr>
      <w:widowControl/>
      <w:spacing w:before="100" w:beforeAutospacing="1" w:after="100" w:afterAutospacing="1"/>
      <w:jc w:val="left"/>
    </w:pPr>
    <w:rPr>
      <w:rFonts w:ascii="宋体" w:hAnsi="宋体" w:cs="宋体"/>
      <w:kern w:val="0"/>
      <w:sz w:val="24"/>
    </w:rPr>
  </w:style>
  <w:style w:type="paragraph" w:customStyle="1" w:styleId="127">
    <w:name w:val="默认段落字体 Para Char"/>
    <w:basedOn w:val="1"/>
    <w:qFormat/>
    <w:uiPriority w:val="0"/>
    <w:pPr>
      <w:adjustRightInd w:val="0"/>
      <w:spacing w:line="360" w:lineRule="auto"/>
    </w:pPr>
    <w:rPr>
      <w:kern w:val="0"/>
      <w:sz w:val="24"/>
      <w:szCs w:val="20"/>
    </w:rPr>
  </w:style>
  <w:style w:type="paragraph" w:customStyle="1" w:styleId="128">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pPr>
    <w:rPr>
      <w:kern w:val="0"/>
      <w:szCs w:val="21"/>
    </w:rPr>
  </w:style>
  <w:style w:type="paragraph" w:customStyle="1" w:styleId="129">
    <w:name w:val="样式1"/>
    <w:basedOn w:val="1"/>
    <w:qFormat/>
    <w:uiPriority w:val="0"/>
    <w:pPr>
      <w:spacing w:before="120" w:after="120" w:line="300" w:lineRule="auto"/>
    </w:pPr>
    <w:rPr>
      <w:rFonts w:ascii="宋体" w:hAnsi="宋体"/>
      <w:b/>
      <w:sz w:val="24"/>
      <w:szCs w:val="20"/>
    </w:rPr>
  </w:style>
  <w:style w:type="paragraph" w:customStyle="1" w:styleId="130">
    <w:name w:val="xl31"/>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131">
    <w:name w:val="Char Char Char Char Char Char Char Char Char Char Char Char Char Char Char Char"/>
    <w:basedOn w:val="1"/>
    <w:qFormat/>
    <w:uiPriority w:val="0"/>
    <w:pPr>
      <w:tabs>
        <w:tab w:val="left" w:pos="360"/>
      </w:tabs>
      <w:spacing w:line="360" w:lineRule="auto"/>
      <w:ind w:left="482" w:firstLine="200" w:firstLineChars="200"/>
    </w:pPr>
    <w:rPr>
      <w:rFonts w:ascii="宋体"/>
      <w:sz w:val="24"/>
    </w:rPr>
  </w:style>
  <w:style w:type="paragraph" w:customStyle="1" w:styleId="132">
    <w:name w:val="缺省文本"/>
    <w:basedOn w:val="1"/>
    <w:qFormat/>
    <w:uiPriority w:val="0"/>
    <w:pPr>
      <w:autoSpaceDE w:val="0"/>
      <w:autoSpaceDN w:val="0"/>
      <w:adjustRightInd w:val="0"/>
      <w:spacing w:line="360" w:lineRule="auto"/>
      <w:jc w:val="left"/>
    </w:pPr>
    <w:rPr>
      <w:kern w:val="0"/>
      <w:sz w:val="24"/>
      <w:szCs w:val="20"/>
    </w:rPr>
  </w:style>
  <w:style w:type="paragraph" w:customStyle="1" w:styleId="133">
    <w:name w:val="默认段落字体 Para Char1"/>
    <w:next w:val="1"/>
    <w:qFormat/>
    <w:uiPriority w:val="0"/>
    <w:pPr>
      <w:keepNext/>
      <w:keepLines/>
      <w:tabs>
        <w:tab w:val="left" w:pos="360"/>
      </w:tabs>
      <w:snapToGrid w:val="0"/>
      <w:spacing w:before="240" w:after="240"/>
      <w:outlineLvl w:val="7"/>
    </w:pPr>
    <w:rPr>
      <w:rFonts w:ascii="Arial" w:hAnsi="Arial" w:eastAsia="宋体" w:cs="Arial"/>
      <w:kern w:val="2"/>
      <w:lang w:val="en-US" w:eastAsia="zh-CN" w:bidi="ar-SA"/>
    </w:rPr>
  </w:style>
  <w:style w:type="paragraph" w:customStyle="1" w:styleId="134">
    <w:name w:val="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5">
    <w:name w:val="Char Char Char Char Char Char Char Char Char Char Char Char Char Char Char Char1"/>
    <w:basedOn w:val="1"/>
    <w:qFormat/>
    <w:uiPriority w:val="0"/>
    <w:pPr>
      <w:tabs>
        <w:tab w:val="left" w:pos="360"/>
      </w:tabs>
      <w:spacing w:line="360" w:lineRule="auto"/>
      <w:ind w:left="482" w:firstLine="200" w:firstLineChars="200"/>
    </w:pPr>
    <w:rPr>
      <w:rFonts w:ascii="宋体"/>
      <w:sz w:val="24"/>
    </w:rPr>
  </w:style>
  <w:style w:type="paragraph" w:customStyle="1" w:styleId="136">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137">
    <w:name w:val="xl3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kern w:val="0"/>
      <w:szCs w:val="21"/>
    </w:rPr>
  </w:style>
  <w:style w:type="paragraph" w:customStyle="1" w:styleId="138">
    <w:name w:val="正文首行缩进两字符"/>
    <w:basedOn w:val="1"/>
    <w:qFormat/>
    <w:uiPriority w:val="0"/>
    <w:pPr>
      <w:spacing w:line="360" w:lineRule="auto"/>
      <w:ind w:firstLine="200" w:firstLineChars="200"/>
    </w:pPr>
  </w:style>
  <w:style w:type="paragraph" w:customStyle="1" w:styleId="139">
    <w:name w:val="_Style 136"/>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40">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141">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142">
    <w:name w:val="Default Paragraph Font Para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43">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paragraph" w:customStyle="1" w:styleId="144">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4"/>
    </w:rPr>
  </w:style>
  <w:style w:type="paragraph" w:customStyle="1" w:styleId="145">
    <w:name w:val="1"/>
    <w:basedOn w:val="1"/>
    <w:next w:val="28"/>
    <w:qFormat/>
    <w:uiPriority w:val="0"/>
    <w:rPr>
      <w:rFonts w:ascii="宋体" w:hAnsi="Courier New"/>
      <w:szCs w:val="20"/>
    </w:rPr>
  </w:style>
  <w:style w:type="paragraph" w:customStyle="1" w:styleId="146">
    <w:name w:val="Char2"/>
    <w:basedOn w:val="1"/>
    <w:qFormat/>
    <w:uiPriority w:val="0"/>
    <w:pPr>
      <w:widowControl/>
      <w:spacing w:after="160" w:line="240" w:lineRule="exact"/>
      <w:jc w:val="left"/>
    </w:pPr>
    <w:rPr>
      <w:rFonts w:ascii="Verdana" w:hAnsi="Verdana"/>
      <w:kern w:val="0"/>
      <w:szCs w:val="20"/>
      <w:lang w:eastAsia="en-US"/>
    </w:rPr>
  </w:style>
  <w:style w:type="paragraph" w:customStyle="1" w:styleId="147">
    <w:name w:val="Char3"/>
    <w:basedOn w:val="1"/>
    <w:qFormat/>
    <w:uiPriority w:val="0"/>
    <w:pPr>
      <w:widowControl/>
      <w:spacing w:line="500" w:lineRule="exact"/>
      <w:outlineLvl w:val="2"/>
    </w:pPr>
    <w:rPr>
      <w:rFonts w:ascii="黑体" w:hAnsi="Verdana" w:eastAsia="黑体" w:cs="黑体"/>
      <w:kern w:val="0"/>
      <w:sz w:val="28"/>
      <w:szCs w:val="28"/>
      <w:lang w:eastAsia="en-US"/>
    </w:rPr>
  </w:style>
  <w:style w:type="paragraph" w:customStyle="1" w:styleId="148">
    <w:name w:val="Char Char Char2"/>
    <w:basedOn w:val="1"/>
    <w:qFormat/>
    <w:uiPriority w:val="0"/>
    <w:rPr>
      <w:rFonts w:ascii="Tahoma" w:hAnsi="Tahoma"/>
      <w:sz w:val="24"/>
      <w:szCs w:val="20"/>
    </w:rPr>
  </w:style>
  <w:style w:type="paragraph" w:customStyle="1" w:styleId="149">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50">
    <w:name w:val="Char Char Char Char Char Char Char Char Char Char Char Char Char"/>
    <w:basedOn w:val="17"/>
    <w:qFormat/>
    <w:uiPriority w:val="0"/>
    <w:pPr>
      <w:adjustRightInd/>
      <w:spacing w:line="240" w:lineRule="auto"/>
      <w:textAlignment w:val="auto"/>
    </w:pPr>
    <w:rPr>
      <w:rFonts w:ascii="Tahoma" w:hAnsi="Tahoma"/>
      <w:kern w:val="2"/>
      <w:sz w:val="24"/>
      <w:szCs w:val="24"/>
    </w:rPr>
  </w:style>
  <w:style w:type="paragraph" w:customStyle="1" w:styleId="151">
    <w:name w:val="样式 首行缩进:  2 字符"/>
    <w:basedOn w:val="1"/>
    <w:qFormat/>
    <w:uiPriority w:val="0"/>
    <w:pPr>
      <w:spacing w:line="400" w:lineRule="exact"/>
      <w:ind w:firstLine="200" w:firstLineChars="200"/>
    </w:pPr>
    <w:rPr>
      <w:rFonts w:cs="宋体"/>
      <w:sz w:val="24"/>
    </w:rPr>
  </w:style>
  <w:style w:type="paragraph" w:customStyle="1" w:styleId="152">
    <w:name w:val="Char Char Char Char Char Char1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153">
    <w:name w:val="表格"/>
    <w:basedOn w:val="1"/>
    <w:qFormat/>
    <w:uiPriority w:val="0"/>
    <w:pPr>
      <w:spacing w:line="400" w:lineRule="exact"/>
    </w:pPr>
    <w:rPr>
      <w:sz w:val="24"/>
    </w:rPr>
  </w:style>
  <w:style w:type="paragraph" w:customStyle="1" w:styleId="154">
    <w:name w:val="默认段落字体 Para Char Char Char Char Char Char Char Char Char1 Char Char Char Char"/>
    <w:basedOn w:val="1"/>
    <w:qFormat/>
    <w:uiPriority w:val="0"/>
    <w:rPr>
      <w:rFonts w:ascii="Tahoma" w:hAnsi="Tahoma"/>
      <w:sz w:val="24"/>
      <w:szCs w:val="20"/>
    </w:rPr>
  </w:style>
  <w:style w:type="paragraph" w:customStyle="1" w:styleId="15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56">
    <w:name w:val="Char Char Char Char Char Char Char1"/>
    <w:basedOn w:val="1"/>
    <w:qFormat/>
    <w:uiPriority w:val="0"/>
  </w:style>
  <w:style w:type="paragraph" w:customStyle="1" w:styleId="157">
    <w:name w:val="Char22"/>
    <w:basedOn w:val="1"/>
    <w:qFormat/>
    <w:uiPriority w:val="0"/>
    <w:pPr>
      <w:widowControl/>
      <w:spacing w:after="160" w:line="240" w:lineRule="exact"/>
      <w:jc w:val="left"/>
    </w:pPr>
    <w:rPr>
      <w:rFonts w:ascii="Verdana" w:hAnsi="Verdana"/>
      <w:kern w:val="0"/>
      <w:szCs w:val="20"/>
      <w:lang w:eastAsia="en-US"/>
    </w:rPr>
  </w:style>
  <w:style w:type="paragraph" w:customStyle="1" w:styleId="158">
    <w:name w:val="_Style 155"/>
    <w:unhideWhenUsed/>
    <w:qFormat/>
    <w:uiPriority w:val="99"/>
    <w:rPr>
      <w:rFonts w:ascii="Times New Roman" w:hAnsi="Times New Roman" w:eastAsia="宋体" w:cs="Times New Roman"/>
      <w:kern w:val="2"/>
      <w:sz w:val="21"/>
      <w:szCs w:val="24"/>
      <w:lang w:val="en-US" w:eastAsia="zh-CN" w:bidi="ar-SA"/>
    </w:rPr>
  </w:style>
  <w:style w:type="paragraph" w:customStyle="1" w:styleId="159">
    <w:name w:val="F2"/>
    <w:basedOn w:val="1"/>
    <w:qFormat/>
    <w:uiPriority w:val="0"/>
    <w:pPr>
      <w:autoSpaceDE w:val="0"/>
      <w:autoSpaceDN w:val="0"/>
      <w:adjustRightInd w:val="0"/>
      <w:ind w:firstLine="601"/>
      <w:textAlignment w:val="baseline"/>
    </w:pPr>
    <w:rPr>
      <w:kern w:val="0"/>
      <w:sz w:val="24"/>
      <w:szCs w:val="20"/>
    </w:rPr>
  </w:style>
  <w:style w:type="paragraph" w:customStyle="1" w:styleId="160">
    <w:name w:val="普通 (Web)"/>
    <w:basedOn w:val="1"/>
    <w:qFormat/>
    <w:uiPriority w:val="0"/>
    <w:pPr>
      <w:widowControl/>
      <w:spacing w:before="100" w:beforeAutospacing="1" w:after="100" w:afterAutospacing="1"/>
      <w:jc w:val="left"/>
    </w:pPr>
    <w:rPr>
      <w:rFonts w:ascii="宋体" w:hAnsi="宋体"/>
      <w:kern w:val="0"/>
      <w:sz w:val="24"/>
    </w:rPr>
  </w:style>
  <w:style w:type="paragraph" w:customStyle="1" w:styleId="161">
    <w:name w:val="tgt1"/>
    <w:basedOn w:val="1"/>
    <w:qFormat/>
    <w:uiPriority w:val="0"/>
    <w:pPr>
      <w:widowControl/>
      <w:spacing w:after="150"/>
      <w:jc w:val="left"/>
    </w:pPr>
    <w:rPr>
      <w:rFonts w:ascii="宋体" w:hAnsi="宋体" w:cs="宋体"/>
      <w:kern w:val="0"/>
      <w:sz w:val="24"/>
    </w:rPr>
  </w:style>
  <w:style w:type="paragraph" w:customStyle="1" w:styleId="162">
    <w:name w:val="正文段"/>
    <w:basedOn w:val="1"/>
    <w:qFormat/>
    <w:uiPriority w:val="0"/>
    <w:pPr>
      <w:widowControl/>
      <w:snapToGrid w:val="0"/>
      <w:spacing w:after="156" w:afterLines="50"/>
      <w:ind w:firstLine="200" w:firstLineChars="200"/>
    </w:pPr>
    <w:rPr>
      <w:kern w:val="0"/>
      <w:sz w:val="24"/>
      <w:szCs w:val="20"/>
    </w:rPr>
  </w:style>
  <w:style w:type="paragraph" w:customStyle="1" w:styleId="163">
    <w:name w:val="Char Char Char Char Char Char Char Char Char Char Char Char Char1"/>
    <w:basedOn w:val="17"/>
    <w:qFormat/>
    <w:uiPriority w:val="0"/>
    <w:pPr>
      <w:adjustRightInd/>
      <w:spacing w:line="240" w:lineRule="auto"/>
      <w:textAlignment w:val="auto"/>
    </w:pPr>
    <w:rPr>
      <w:rFonts w:ascii="Tahoma" w:hAnsi="Tahoma"/>
      <w:kern w:val="2"/>
      <w:sz w:val="24"/>
      <w:szCs w:val="24"/>
    </w:rPr>
  </w:style>
  <w:style w:type="paragraph" w:customStyle="1" w:styleId="164">
    <w:name w:val="2ji"/>
    <w:basedOn w:val="4"/>
    <w:qFormat/>
    <w:uiPriority w:val="0"/>
    <w:pPr>
      <w:adjustRightInd w:val="0"/>
      <w:spacing w:before="0" w:after="0" w:line="360" w:lineRule="auto"/>
      <w:textAlignment w:val="baseline"/>
    </w:pPr>
    <w:rPr>
      <w:rFonts w:ascii="宋体" w:hAnsi="宋体" w:eastAsia="宋体"/>
      <w:kern w:val="0"/>
      <w:sz w:val="21"/>
      <w:szCs w:val="21"/>
    </w:rPr>
  </w:style>
  <w:style w:type="paragraph" w:customStyle="1" w:styleId="165">
    <w:name w:val="Char Char Char Char Char Char1 Char1"/>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166">
    <w:name w:val="2-2ji"/>
    <w:basedOn w:val="4"/>
    <w:qFormat/>
    <w:uiPriority w:val="0"/>
    <w:pPr>
      <w:adjustRightInd w:val="0"/>
      <w:spacing w:before="0" w:after="0" w:line="360" w:lineRule="auto"/>
      <w:jc w:val="center"/>
      <w:textAlignment w:val="baseline"/>
    </w:pPr>
    <w:rPr>
      <w:rFonts w:ascii="宋体" w:hAnsi="宋体" w:eastAsia="宋体"/>
      <w:bCs w:val="0"/>
      <w:kern w:val="0"/>
      <w:sz w:val="36"/>
    </w:rPr>
  </w:style>
  <w:style w:type="paragraph" w:customStyle="1" w:styleId="167">
    <w:name w:val="444"/>
    <w:basedOn w:val="1"/>
    <w:qFormat/>
    <w:uiPriority w:val="0"/>
    <w:pPr>
      <w:adjustRightInd w:val="0"/>
      <w:spacing w:line="312" w:lineRule="atLeast"/>
      <w:jc w:val="center"/>
      <w:textAlignment w:val="baseline"/>
    </w:pPr>
    <w:rPr>
      <w:b/>
      <w:kern w:val="0"/>
      <w:sz w:val="36"/>
      <w:szCs w:val="36"/>
    </w:rPr>
  </w:style>
  <w:style w:type="paragraph" w:customStyle="1" w:styleId="168">
    <w:name w:val="Table Paragraph"/>
    <w:basedOn w:val="1"/>
    <w:qFormat/>
    <w:uiPriority w:val="1"/>
    <w:pPr>
      <w:autoSpaceDE w:val="0"/>
      <w:autoSpaceDN w:val="0"/>
      <w:adjustRightInd w:val="0"/>
      <w:jc w:val="left"/>
    </w:pPr>
    <w:rPr>
      <w:kern w:val="0"/>
      <w:sz w:val="24"/>
    </w:rPr>
  </w:style>
  <w:style w:type="character" w:customStyle="1" w:styleId="169">
    <w:name w:val="fd"/>
    <w:qFormat/>
    <w:uiPriority w:val="0"/>
  </w:style>
  <w:style w:type="paragraph" w:customStyle="1" w:styleId="170">
    <w:name w:val="paragraphindent"/>
    <w:basedOn w:val="1"/>
    <w:qFormat/>
    <w:uiPriority w:val="0"/>
    <w:pPr>
      <w:widowControl/>
      <w:spacing w:before="100" w:beforeAutospacing="1" w:after="100" w:afterAutospacing="1"/>
      <w:jc w:val="left"/>
    </w:pPr>
    <w:rPr>
      <w:rFonts w:ascii="宋体" w:hAnsi="宋体" w:cs="宋体"/>
      <w:kern w:val="0"/>
      <w:sz w:val="24"/>
    </w:rPr>
  </w:style>
  <w:style w:type="character" w:customStyle="1" w:styleId="171">
    <w:name w:val="批注文字 字符1"/>
    <w:qFormat/>
    <w:uiPriority w:val="0"/>
    <w:rPr>
      <w:kern w:val="2"/>
      <w:sz w:val="21"/>
      <w:szCs w:val="24"/>
    </w:rPr>
  </w:style>
  <w:style w:type="character" w:customStyle="1" w:styleId="172">
    <w:name w:val="_Style 169"/>
    <w:semiHidden/>
    <w:unhideWhenUsed/>
    <w:qFormat/>
    <w:uiPriority w:val="99"/>
    <w:rPr>
      <w:color w:val="605E5C"/>
      <w:shd w:val="clear" w:color="auto" w:fill="E1DFDD"/>
    </w:rPr>
  </w:style>
  <w:style w:type="character" w:customStyle="1" w:styleId="173">
    <w:name w:val="纯文本 字符1"/>
    <w:qFormat/>
    <w:uiPriority w:val="99"/>
    <w:rPr>
      <w:rFonts w:ascii="宋体" w:hAnsi="Courier New" w:eastAsia="宋体" w:cs="Courier New"/>
      <w:kern w:val="2"/>
      <w:sz w:val="21"/>
      <w:szCs w:val="21"/>
      <w:lang w:val="en-US" w:eastAsia="zh-CN" w:bidi="ar-SA"/>
    </w:rPr>
  </w:style>
  <w:style w:type="character" w:customStyle="1" w:styleId="174">
    <w:name w:val="正文文本 字符1"/>
    <w:qFormat/>
    <w:uiPriority w:val="99"/>
    <w:rPr>
      <w:kern w:val="2"/>
      <w:sz w:val="24"/>
      <w:szCs w:val="24"/>
    </w:rPr>
  </w:style>
  <w:style w:type="paragraph" w:customStyle="1" w:styleId="175">
    <w:name w:val="正文-2字符首行缩进"/>
    <w:basedOn w:val="1"/>
    <w:link w:val="176"/>
    <w:qFormat/>
    <w:uiPriority w:val="0"/>
    <w:pPr>
      <w:widowControl/>
      <w:spacing w:line="360" w:lineRule="auto"/>
      <w:ind w:firstLine="200" w:firstLineChars="200"/>
    </w:pPr>
    <w:rPr>
      <w:rFonts w:ascii="仿宋_GB2312" w:hAnsi="Calibri" w:eastAsia="仿宋_GB2312"/>
      <w:kern w:val="0"/>
      <w:sz w:val="28"/>
      <w:szCs w:val="22"/>
    </w:rPr>
  </w:style>
  <w:style w:type="character" w:customStyle="1" w:styleId="176">
    <w:name w:val="正文-2字符首行缩进 Char"/>
    <w:link w:val="175"/>
    <w:qFormat/>
    <w:uiPriority w:val="0"/>
    <w:rPr>
      <w:rFonts w:ascii="仿宋_GB2312" w:hAnsi="Calibri" w:eastAsia="仿宋_GB2312"/>
      <w:sz w:val="28"/>
      <w:szCs w:val="22"/>
    </w:rPr>
  </w:style>
  <w:style w:type="paragraph" w:customStyle="1" w:styleId="177">
    <w:name w:val="列出段落1"/>
    <w:basedOn w:val="1"/>
    <w:qFormat/>
    <w:uiPriority w:val="99"/>
    <w:pPr>
      <w:ind w:firstLine="420" w:firstLineChars="200"/>
    </w:pPr>
    <w:rPr>
      <w:rFonts w:ascii="等线" w:hAnsi="等线" w:eastAsia="等线"/>
    </w:rPr>
  </w:style>
  <w:style w:type="paragraph" w:customStyle="1" w:styleId="178">
    <w:name w:val="表格文字"/>
    <w:basedOn w:val="1"/>
    <w:qFormat/>
    <w:uiPriority w:val="0"/>
    <w:pPr>
      <w:spacing w:before="25" w:after="25"/>
      <w:jc w:val="left"/>
    </w:pPr>
    <w:rPr>
      <w:bCs/>
      <w:spacing w:val="10"/>
      <w:kern w:val="0"/>
      <w:sz w:val="24"/>
    </w:rPr>
  </w:style>
  <w:style w:type="paragraph" w:customStyle="1" w:styleId="179">
    <w:name w:val="修订1"/>
    <w:hidden/>
    <w:semiHidden/>
    <w:qFormat/>
    <w:uiPriority w:val="99"/>
    <w:rPr>
      <w:rFonts w:ascii="Times New Roman" w:hAnsi="Times New Roman" w:eastAsia="宋体" w:cs="Times New Roman"/>
      <w:kern w:val="2"/>
      <w:sz w:val="21"/>
      <w:szCs w:val="24"/>
      <w:lang w:val="en-US" w:eastAsia="zh-CN" w:bidi="ar-SA"/>
    </w:rPr>
  </w:style>
  <w:style w:type="paragraph" w:styleId="180">
    <w:name w:val="No Spacing"/>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header" Target="header10.xml"/><Relationship Id="rId18" Type="http://schemas.openxmlformats.org/officeDocument/2006/relationships/footer" Target="footer7.xml"/><Relationship Id="rId17" Type="http://schemas.openxmlformats.org/officeDocument/2006/relationships/header" Target="header9.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60</Pages>
  <Words>35166</Words>
  <Characters>36977</Characters>
  <Lines>295</Lines>
  <Paragraphs>83</Paragraphs>
  <TotalTime>1</TotalTime>
  <ScaleCrop>false</ScaleCrop>
  <LinksUpToDate>false</LinksUpToDate>
  <CharactersWithSpaces>39492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2022-06-13T19:17:00Z</dcterms:created>
  <dc:creator>微软用户</dc:creator>
  <cp:lastModifiedBy>小河</cp:lastModifiedBy>
  <cp:lastPrinted>2016-03-22T23:52:00Z</cp:lastPrinted>
  <dcterms:modified xsi:type="dcterms:W3CDTF">2022-06-17T09:02:17Z</dcterms:modified>
  <dc:title>桂财采〔2009〕 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Subject">
    <vt:lpwstr/>
  </property>
  <property fmtid="{D5CDD505-2E9C-101B-9397-08002B2CF9AE}" pid="4" name="Keywords">
    <vt:lpwstr/>
  </property>
  <property fmtid="{D5CDD505-2E9C-101B-9397-08002B2CF9AE}" pid="5" name="_Author">
    <vt:lpwstr>微软用户</vt:lpwstr>
  </property>
  <property fmtid="{D5CDD505-2E9C-101B-9397-08002B2CF9AE}" pid="6" name="_Category">
    <vt:lpwstr/>
  </property>
  <property fmtid="{D5CDD505-2E9C-101B-9397-08002B2CF9AE}" pid="7" name="Slides">
    <vt:lpwstr>0</vt:lpwstr>
  </property>
  <property fmtid="{D5CDD505-2E9C-101B-9397-08002B2CF9AE}" pid="8" name="Categories">
    <vt:lpwstr/>
  </property>
  <property fmtid="{D5CDD505-2E9C-101B-9397-08002B2CF9AE}" pid="9" name="Approval Level">
    <vt:lpwstr/>
  </property>
  <property fmtid="{D5CDD505-2E9C-101B-9397-08002B2CF9AE}" pid="10" name="_Comments">
    <vt:lpwstr/>
  </property>
  <property fmtid="{D5CDD505-2E9C-101B-9397-08002B2CF9AE}" pid="11" name="Assigned To">
    <vt:lpwstr/>
  </property>
  <property fmtid="{D5CDD505-2E9C-101B-9397-08002B2CF9AE}" pid="12" name="ContentTypeId">
    <vt:lpwstr>0x010100766A5C3ADF4EA94E9357209EBD74570E</vt:lpwstr>
  </property>
  <property fmtid="{D5CDD505-2E9C-101B-9397-08002B2CF9AE}" pid="13" name="ICV">
    <vt:lpwstr>48F568AAB5CB41BDB9DCFDFC169F404E</vt:lpwstr>
  </property>
</Properties>
</file>