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bCs/>
          <w:sz w:val="96"/>
          <w:szCs w:val="96"/>
          <w:highlight w:val="none"/>
        </w:rPr>
      </w:pPr>
      <w:permStart w:id="0" w:edGrp="everyone"/>
      <w:permEnd w:id="0"/>
      <w:bookmarkStart w:id="43" w:name="_GoBack"/>
      <w:bookmarkEnd w:id="43"/>
    </w:p>
    <w:p>
      <w:pPr>
        <w:snapToGrid w:val="0"/>
        <w:ind w:firstLine="0" w:firstLineChars="0"/>
        <w:jc w:val="center"/>
        <w:rPr>
          <w:rFonts w:ascii="宋体" w:hAnsi="宋体" w:cs="宋体"/>
          <w:b/>
          <w:sz w:val="84"/>
          <w:szCs w:val="84"/>
          <w:highlight w:val="none"/>
        </w:rPr>
      </w:pPr>
      <w:r>
        <w:rPr>
          <w:rFonts w:hint="eastAsia" w:ascii="宋体" w:hAnsi="宋体" w:cs="宋体"/>
          <w:b/>
          <w:sz w:val="84"/>
          <w:szCs w:val="84"/>
          <w:highlight w:val="none"/>
        </w:rPr>
        <w:t>招 标 文 件</w:t>
      </w:r>
    </w:p>
    <w:p>
      <w:pPr>
        <w:pStyle w:val="11"/>
        <w:ind w:firstLine="1680"/>
        <w:rPr>
          <w:sz w:val="84"/>
          <w:szCs w:val="84"/>
          <w:highlight w:val="none"/>
        </w:rPr>
      </w:pPr>
    </w:p>
    <w:p>
      <w:pPr>
        <w:snapToGrid w:val="0"/>
        <w:ind w:left="0" w:leftChars="0" w:firstLine="0" w:firstLineChars="0"/>
        <w:jc w:val="center"/>
        <w:rPr>
          <w:rFonts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天津科技大学连续平板式刮膜机购置项目</w:t>
      </w:r>
    </w:p>
    <w:p>
      <w:pPr>
        <w:pStyle w:val="11"/>
        <w:ind w:firstLine="480"/>
        <w:rPr>
          <w:highlight w:val="none"/>
          <w:lang w:val="en-US"/>
        </w:rPr>
      </w:pPr>
    </w:p>
    <w:p>
      <w:pPr>
        <w:snapToGrid w:val="0"/>
        <w:ind w:left="0" w:leftChars="0" w:firstLine="0" w:firstLineChars="0"/>
        <w:jc w:val="center"/>
        <w:rPr>
          <w:rFonts w:asciiTheme="majorEastAsia" w:hAnsiTheme="majorEastAsia" w:eastAsiaTheme="majorEastAsia" w:cstheme="majorEastAsia"/>
          <w:bCs/>
          <w:sz w:val="32"/>
          <w:szCs w:val="32"/>
          <w:highlight w:val="none"/>
        </w:rPr>
      </w:pPr>
      <w:r>
        <w:rPr>
          <w:rFonts w:hint="eastAsia" w:asciiTheme="majorEastAsia" w:hAnsiTheme="majorEastAsia" w:eastAsiaTheme="majorEastAsia" w:cstheme="majorEastAsia"/>
          <w:bCs/>
          <w:sz w:val="32"/>
          <w:szCs w:val="32"/>
          <w:highlight w:val="none"/>
        </w:rPr>
        <w:t>项目编号：</w:t>
      </w:r>
      <w:r>
        <w:rPr>
          <w:rFonts w:hint="eastAsia" w:asciiTheme="majorEastAsia" w:hAnsiTheme="majorEastAsia" w:eastAsiaTheme="majorEastAsia" w:cstheme="majorEastAsia"/>
          <w:bCs/>
          <w:sz w:val="32"/>
          <w:szCs w:val="32"/>
          <w:highlight w:val="none"/>
          <w:lang w:eastAsia="zh-CN"/>
        </w:rPr>
        <w:t>GY-2022-135</w:t>
      </w:r>
      <w:r>
        <w:rPr>
          <w:rFonts w:hint="eastAsia" w:asciiTheme="majorEastAsia" w:hAnsiTheme="majorEastAsia" w:eastAsiaTheme="majorEastAsia" w:cstheme="majorEastAsia"/>
          <w:bCs/>
          <w:sz w:val="32"/>
          <w:szCs w:val="32"/>
          <w:highlight w:val="none"/>
        </w:rPr>
        <w:t xml:space="preserve">      </w:t>
      </w:r>
    </w:p>
    <w:p>
      <w:pPr>
        <w:ind w:firstLine="480"/>
        <w:jc w:val="center"/>
        <w:rPr>
          <w:rFonts w:ascii="宋体" w:hAnsi="宋体" w:cs="宋体"/>
          <w:bCs/>
          <w:highlight w:val="none"/>
        </w:rPr>
      </w:pPr>
    </w:p>
    <w:p>
      <w:pPr>
        <w:ind w:firstLine="480"/>
        <w:jc w:val="center"/>
        <w:rPr>
          <w:rFonts w:ascii="宋体" w:hAnsi="宋体" w:cs="宋体"/>
          <w:bCs/>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3"/>
        <w:ind w:firstLine="480"/>
        <w:rPr>
          <w:rFonts w:ascii="宋体" w:hAnsi="宋体" w:cs="宋体"/>
          <w:bCs/>
          <w:highlight w:val="none"/>
        </w:rPr>
      </w:pPr>
    </w:p>
    <w:p>
      <w:pPr>
        <w:ind w:firstLine="480"/>
        <w:rPr>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sz w:val="28"/>
          <w:szCs w:val="28"/>
          <w:highlight w:val="none"/>
        </w:rPr>
      </w:pPr>
    </w:p>
    <w:p>
      <w:pPr>
        <w:snapToGrid w:val="0"/>
        <w:ind w:firstLine="560"/>
        <w:rPr>
          <w:rFonts w:ascii="宋体" w:hAnsi="宋体" w:cs="宋体"/>
          <w:bCs/>
          <w:sz w:val="28"/>
          <w:szCs w:val="28"/>
          <w:highlight w:val="none"/>
        </w:rPr>
      </w:pPr>
      <w:r>
        <w:rPr>
          <w:rFonts w:hint="eastAsia" w:ascii="宋体" w:hAnsi="宋体" w:cs="宋体"/>
          <w:bCs/>
          <w:sz w:val="28"/>
          <w:szCs w:val="28"/>
          <w:highlight w:val="none"/>
        </w:rPr>
        <w:t>采 购 人：天津科技大学</w:t>
      </w:r>
    </w:p>
    <w:p>
      <w:pPr>
        <w:snapToGrid w:val="0"/>
        <w:ind w:firstLine="560"/>
        <w:rPr>
          <w:rFonts w:ascii="宋体" w:hAnsi="宋体" w:cs="宋体"/>
          <w:bCs/>
          <w:sz w:val="28"/>
          <w:szCs w:val="28"/>
          <w:highlight w:val="none"/>
        </w:rPr>
      </w:pPr>
      <w:r>
        <w:rPr>
          <w:rFonts w:hint="eastAsia" w:ascii="宋体" w:hAnsi="宋体" w:cs="宋体"/>
          <w:bCs/>
          <w:sz w:val="28"/>
          <w:szCs w:val="28"/>
          <w:highlight w:val="none"/>
        </w:rPr>
        <w:t>代理机构：公允（天津）招标代理有限公司</w:t>
      </w:r>
    </w:p>
    <w:p>
      <w:pPr>
        <w:tabs>
          <w:tab w:val="left" w:pos="3281"/>
          <w:tab w:val="center" w:pos="4711"/>
        </w:tabs>
        <w:ind w:firstLine="560"/>
        <w:rPr>
          <w:rFonts w:ascii="宋体" w:hAnsi="宋体" w:cs="宋体"/>
          <w:sz w:val="28"/>
          <w:szCs w:val="28"/>
          <w:highlight w:val="none"/>
        </w:rPr>
      </w:pPr>
      <w:r>
        <w:rPr>
          <w:rFonts w:hint="eastAsia" w:ascii="宋体" w:hAnsi="宋体" w:cs="宋体"/>
          <w:sz w:val="28"/>
          <w:szCs w:val="28"/>
          <w:highlight w:val="none"/>
        </w:rPr>
        <w:t>日    期：2022年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p>
    <w:p>
      <w:pPr>
        <w:tabs>
          <w:tab w:val="left" w:pos="3281"/>
          <w:tab w:val="center" w:pos="4711"/>
        </w:tabs>
        <w:ind w:firstLine="560"/>
        <w:jc w:val="center"/>
        <w:rPr>
          <w:rFonts w:ascii="宋体" w:hAnsi="宋体" w:cs="宋体"/>
          <w:sz w:val="28"/>
          <w:szCs w:val="28"/>
          <w:highlight w:val="none"/>
        </w:rPr>
      </w:pPr>
    </w:p>
    <w:p>
      <w:pPr>
        <w:pStyle w:val="11"/>
        <w:ind w:firstLine="480"/>
        <w:rPr>
          <w:highlight w:val="none"/>
        </w:rPr>
      </w:pPr>
    </w:p>
    <w:p>
      <w:pPr>
        <w:tabs>
          <w:tab w:val="left" w:pos="3281"/>
          <w:tab w:val="center" w:pos="4711"/>
        </w:tabs>
        <w:ind w:firstLine="723"/>
        <w:jc w:val="center"/>
        <w:rPr>
          <w:rFonts w:ascii="宋体" w:hAnsi="宋体" w:cs="宋体"/>
          <w:b/>
          <w:bCs/>
          <w:sz w:val="36"/>
          <w:szCs w:val="36"/>
          <w:highlight w:val="none"/>
        </w:rPr>
      </w:pPr>
      <w:r>
        <w:rPr>
          <w:rFonts w:hint="eastAsia" w:ascii="宋体" w:hAnsi="宋体" w:cs="宋体"/>
          <w:b/>
          <w:bCs/>
          <w:sz w:val="36"/>
          <w:szCs w:val="36"/>
          <w:highlight w:val="none"/>
        </w:rPr>
        <w:t>温馨提示</w:t>
      </w:r>
    </w:p>
    <w:p>
      <w:pPr>
        <w:numPr>
          <w:ilvl w:val="0"/>
          <w:numId w:val="2"/>
        </w:numPr>
        <w:tabs>
          <w:tab w:val="left" w:pos="3281"/>
          <w:tab w:val="center" w:pos="4711"/>
        </w:tabs>
        <w:ind w:firstLine="480"/>
        <w:rPr>
          <w:rFonts w:ascii="宋体" w:hAnsi="宋体" w:cs="宋体"/>
          <w:highlight w:val="none"/>
        </w:rPr>
      </w:pPr>
      <w:r>
        <w:rPr>
          <w:rFonts w:hint="eastAsia" w:ascii="宋体" w:hAnsi="宋体" w:cs="宋体"/>
          <w:highlight w:val="none"/>
        </w:rPr>
        <w:t>本提示内容仅为善意提醒，非招标文件组成部分，如有不一致，以招标文件为准；</w:t>
      </w:r>
    </w:p>
    <w:p>
      <w:pPr>
        <w:tabs>
          <w:tab w:val="left" w:pos="3281"/>
          <w:tab w:val="center" w:pos="4711"/>
        </w:tabs>
        <w:ind w:firstLine="480"/>
        <w:rPr>
          <w:rFonts w:ascii="宋体" w:hAnsi="宋体" w:cs="宋体"/>
          <w:b/>
          <w:bCs/>
          <w:highlight w:val="none"/>
          <w:u w:val="single"/>
        </w:rPr>
      </w:pPr>
      <w:r>
        <w:rPr>
          <w:rFonts w:hint="eastAsia" w:ascii="宋体" w:hAnsi="宋体" w:cs="宋体"/>
          <w:highlight w:val="none"/>
        </w:rPr>
        <w:t>2、接收投标文件时间为递交截止时间前30分钟，截止时间一到，招标代理机构不再接收投标人的任何投标文件及相关资料。为避免因迟到而投标文件被拒绝，请</w:t>
      </w:r>
      <w:r>
        <w:rPr>
          <w:rFonts w:hint="eastAsia" w:ascii="宋体" w:hAnsi="宋体" w:cs="宋体"/>
          <w:b/>
          <w:bCs/>
          <w:highlight w:val="none"/>
          <w:u w:val="single"/>
        </w:rPr>
        <w:t>适当提前到达</w:t>
      </w:r>
      <w:r>
        <w:rPr>
          <w:rFonts w:hint="eastAsia" w:ascii="宋体" w:hAnsi="宋体" w:cs="宋体"/>
          <w:highlight w:val="none"/>
        </w:rPr>
        <w:t>；</w:t>
      </w:r>
    </w:p>
    <w:p>
      <w:pPr>
        <w:ind w:firstLine="480"/>
        <w:rPr>
          <w:rFonts w:ascii="宋体" w:hAnsi="宋体" w:cs="宋体"/>
          <w:b/>
          <w:bCs/>
          <w:highlight w:val="none"/>
          <w:u w:val="single"/>
        </w:rPr>
      </w:pPr>
      <w:r>
        <w:rPr>
          <w:rFonts w:hint="eastAsia" w:ascii="宋体" w:hAnsi="宋体" w:cs="宋体"/>
          <w:highlight w:val="none"/>
        </w:rPr>
        <w:t>3、请仔细检查投标文件是否已按要求</w:t>
      </w:r>
      <w:r>
        <w:rPr>
          <w:rFonts w:hint="eastAsia" w:ascii="宋体" w:hAnsi="宋体" w:cs="宋体"/>
          <w:b/>
          <w:bCs/>
          <w:highlight w:val="none"/>
          <w:u w:val="single"/>
        </w:rPr>
        <w:t>加盖公章、签名、签署日期</w:t>
      </w:r>
      <w:r>
        <w:rPr>
          <w:rFonts w:hint="eastAsia" w:ascii="宋体" w:hAnsi="宋体" w:cs="宋体"/>
          <w:highlight w:val="none"/>
        </w:rPr>
        <w:t>；</w:t>
      </w:r>
    </w:p>
    <w:p>
      <w:pPr>
        <w:ind w:firstLine="480"/>
        <w:rPr>
          <w:rFonts w:ascii="宋体" w:hAnsi="宋体" w:cs="宋体"/>
          <w:highlight w:val="none"/>
        </w:rPr>
      </w:pPr>
      <w:r>
        <w:rPr>
          <w:rFonts w:hint="eastAsia" w:ascii="宋体" w:hAnsi="宋体" w:cs="宋体"/>
          <w:highlight w:val="none"/>
        </w:rPr>
        <w:t>4、由于转账当天不一定能够到账，为避免投标保证金未到账而导致的投标资格被拒绝，建议投标保证金至少提前3个工作日转账，并与招标代理机构联系确认到账情况（保证金账户：公允（天津）招标代理有限公司，开户行：招商银行股份有限公司天津滨湖支行，账号：122908439710402）；</w:t>
      </w:r>
    </w:p>
    <w:p>
      <w:pPr>
        <w:ind w:firstLine="480"/>
        <w:jc w:val="left"/>
        <w:rPr>
          <w:rFonts w:ascii="宋体" w:hAnsi="宋体" w:cs="宋体"/>
          <w:highlight w:val="none"/>
        </w:rPr>
      </w:pPr>
      <w:r>
        <w:rPr>
          <w:rFonts w:hint="eastAsia" w:ascii="宋体" w:hAnsi="宋体" w:cs="宋体"/>
          <w:highlight w:val="none"/>
        </w:rPr>
        <w:t>5、为了提高采购效率，节约社会交易成本与时间，希望购买了招标文件而决定不参加本次投标的投标人，在投标文件截止递交时间的3天前，以书面形式告知招标代理机构。对您的支持与配合，谨此致谢。</w:t>
      </w:r>
    </w:p>
    <w:p>
      <w:pPr>
        <w:ind w:firstLine="880"/>
        <w:jc w:val="center"/>
        <w:rPr>
          <w:rFonts w:ascii="宋体" w:hAnsi="宋体" w:cs="宋体"/>
          <w:bCs/>
          <w:sz w:val="44"/>
          <w:szCs w:val="44"/>
          <w:highlight w:val="none"/>
        </w:rPr>
        <w:sectPr>
          <w:headerReference r:id="rId6" w:type="first"/>
          <w:headerReference r:id="rId5" w:type="default"/>
          <w:footerReference r:id="rId7" w:type="default"/>
          <w:pgSz w:w="11905" w:h="16838"/>
          <w:pgMar w:top="1440" w:right="1083" w:bottom="1440" w:left="1083" w:header="964" w:footer="992" w:gutter="0"/>
          <w:pgNumType w:fmt="decimal" w:start="1"/>
          <w:cols w:space="0" w:num="1"/>
          <w:titlePg/>
          <w:docGrid w:type="lines" w:linePitch="314" w:charSpace="0"/>
        </w:sectPr>
      </w:pPr>
    </w:p>
    <w:p>
      <w:pPr>
        <w:ind w:firstLine="720"/>
        <w:jc w:val="center"/>
        <w:rPr>
          <w:rFonts w:ascii="宋体" w:hAnsi="宋体" w:cs="宋体"/>
          <w:bCs/>
          <w:sz w:val="36"/>
          <w:szCs w:val="36"/>
          <w:highlight w:val="none"/>
        </w:rPr>
      </w:pPr>
    </w:p>
    <w:p>
      <w:pPr>
        <w:ind w:firstLine="723"/>
        <w:jc w:val="center"/>
        <w:rPr>
          <w:b/>
          <w:bCs/>
          <w:sz w:val="36"/>
          <w:szCs w:val="36"/>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pPr>
        <w:pStyle w:val="48"/>
        <w:tabs>
          <w:tab w:val="right" w:leader="dot" w:pos="9739"/>
        </w:tabs>
        <w:spacing w:line="360" w:lineRule="auto"/>
        <w:ind w:left="480" w:leftChars="200" w:right="480" w:rightChars="200"/>
        <w:rPr>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TOC \o "1-1" \h \u </w:instrText>
      </w:r>
      <w:r>
        <w:rPr>
          <w:rFonts w:hint="eastAsia" w:ascii="宋体" w:hAnsi="宋体" w:eastAsia="宋体" w:cs="宋体"/>
          <w:bCs/>
          <w:sz w:val="24"/>
          <w:szCs w:val="24"/>
          <w:highlight w:val="none"/>
        </w:rPr>
        <w:fldChar w:fldCharType="separate"/>
      </w:r>
      <w:r>
        <w:rPr>
          <w:highlight w:val="none"/>
        </w:rPr>
        <w:fldChar w:fldCharType="begin"/>
      </w:r>
      <w:r>
        <w:rPr>
          <w:highlight w:val="none"/>
        </w:rPr>
        <w:instrText xml:space="preserve"> HYPERLINK \l "_Toc31769" </w:instrText>
      </w:r>
      <w:r>
        <w:rPr>
          <w:highlight w:val="none"/>
        </w:rPr>
        <w:fldChar w:fldCharType="separate"/>
      </w:r>
      <w:r>
        <w:rPr>
          <w:rFonts w:hint="eastAsia" w:ascii="宋体" w:hAnsi="宋体" w:eastAsia="宋体" w:cs="宋体"/>
          <w:bCs/>
          <w:sz w:val="24"/>
          <w:szCs w:val="24"/>
          <w:highlight w:val="none"/>
        </w:rPr>
        <w:t>第一部分 投标邀请</w:t>
      </w:r>
      <w:r>
        <w:rPr>
          <w:sz w:val="24"/>
          <w:szCs w:val="24"/>
          <w:highlight w:val="none"/>
        </w:rPr>
        <w:tab/>
      </w:r>
      <w:r>
        <w:rPr>
          <w:rFonts w:hint="eastAsia"/>
          <w:sz w:val="24"/>
          <w:szCs w:val="24"/>
          <w:highlight w:val="none"/>
          <w:lang w:val="en-US" w:eastAsia="zh-CN"/>
        </w:rPr>
        <w:t>1</w:t>
      </w:r>
      <w:r>
        <w:rPr>
          <w:sz w:val="24"/>
          <w:szCs w:val="24"/>
          <w:highlight w:val="none"/>
        </w:rPr>
        <w:fldChar w:fldCharType="end"/>
      </w:r>
    </w:p>
    <w:p>
      <w:pPr>
        <w:pStyle w:val="48"/>
        <w:tabs>
          <w:tab w:val="right" w:leader="dot" w:pos="9739"/>
        </w:tabs>
        <w:spacing w:line="360" w:lineRule="auto"/>
        <w:ind w:left="480" w:leftChars="200" w:right="480" w:rightChars="200"/>
        <w:rPr>
          <w:sz w:val="24"/>
          <w:szCs w:val="24"/>
          <w:highlight w:val="none"/>
        </w:rPr>
      </w:pPr>
      <w:r>
        <w:rPr>
          <w:highlight w:val="none"/>
        </w:rPr>
        <w:fldChar w:fldCharType="begin"/>
      </w:r>
      <w:r>
        <w:rPr>
          <w:highlight w:val="none"/>
        </w:rPr>
        <w:instrText xml:space="preserve"> HYPERLINK \l "_Toc9937" </w:instrText>
      </w:r>
      <w:r>
        <w:rPr>
          <w:highlight w:val="none"/>
        </w:rPr>
        <w:fldChar w:fldCharType="separate"/>
      </w:r>
      <w:r>
        <w:rPr>
          <w:rFonts w:hint="eastAsia" w:ascii="宋体" w:hAnsi="宋体" w:eastAsia="宋体" w:cs="宋体"/>
          <w:bCs/>
          <w:sz w:val="24"/>
          <w:szCs w:val="24"/>
          <w:highlight w:val="none"/>
        </w:rPr>
        <w:t>第二部分 项目需求书</w:t>
      </w:r>
      <w:r>
        <w:rPr>
          <w:sz w:val="24"/>
          <w:szCs w:val="24"/>
          <w:highlight w:val="none"/>
        </w:rPr>
        <w:tab/>
      </w:r>
      <w:r>
        <w:rPr>
          <w:sz w:val="24"/>
          <w:szCs w:val="24"/>
          <w:highlight w:val="none"/>
        </w:rPr>
        <w:fldChar w:fldCharType="begin"/>
      </w:r>
      <w:r>
        <w:rPr>
          <w:sz w:val="24"/>
          <w:szCs w:val="24"/>
          <w:highlight w:val="none"/>
        </w:rPr>
        <w:instrText xml:space="preserve"> PAGEREF _Toc9937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48"/>
        <w:tabs>
          <w:tab w:val="right" w:leader="dot" w:pos="9739"/>
        </w:tabs>
        <w:spacing w:line="360" w:lineRule="auto"/>
        <w:ind w:left="480" w:leftChars="200" w:right="480" w:rightChars="200"/>
        <w:rPr>
          <w:sz w:val="24"/>
          <w:szCs w:val="24"/>
          <w:highlight w:val="none"/>
        </w:rPr>
      </w:pPr>
      <w:r>
        <w:rPr>
          <w:highlight w:val="none"/>
        </w:rPr>
        <w:fldChar w:fldCharType="begin"/>
      </w:r>
      <w:r>
        <w:rPr>
          <w:highlight w:val="none"/>
        </w:rPr>
        <w:instrText xml:space="preserve"> HYPERLINK \l "_Toc21316" </w:instrText>
      </w:r>
      <w:r>
        <w:rPr>
          <w:highlight w:val="none"/>
        </w:rPr>
        <w:fldChar w:fldCharType="separate"/>
      </w:r>
      <w:r>
        <w:rPr>
          <w:rFonts w:hint="eastAsia" w:ascii="宋体" w:hAnsi="宋体" w:eastAsia="宋体" w:cs="宋体"/>
          <w:bCs/>
          <w:kern w:val="44"/>
          <w:sz w:val="24"/>
          <w:szCs w:val="24"/>
          <w:highlight w:val="none"/>
        </w:rPr>
        <w:t>第三部分 投 标 须 知</w:t>
      </w:r>
      <w:r>
        <w:rPr>
          <w:sz w:val="24"/>
          <w:szCs w:val="24"/>
          <w:highlight w:val="none"/>
        </w:rPr>
        <w:tab/>
      </w:r>
      <w:r>
        <w:rPr>
          <w:sz w:val="24"/>
          <w:szCs w:val="24"/>
          <w:highlight w:val="none"/>
        </w:rPr>
        <w:fldChar w:fldCharType="begin"/>
      </w:r>
      <w:r>
        <w:rPr>
          <w:sz w:val="24"/>
          <w:szCs w:val="24"/>
          <w:highlight w:val="none"/>
        </w:rPr>
        <w:instrText xml:space="preserve"> PAGEREF _Toc21316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48"/>
        <w:tabs>
          <w:tab w:val="right" w:leader="dot" w:pos="9739"/>
        </w:tabs>
        <w:spacing w:line="360" w:lineRule="auto"/>
        <w:ind w:left="480" w:leftChars="200" w:right="480" w:rightChars="200"/>
        <w:rPr>
          <w:sz w:val="24"/>
          <w:szCs w:val="24"/>
          <w:highlight w:val="none"/>
        </w:rPr>
      </w:pPr>
      <w:r>
        <w:rPr>
          <w:highlight w:val="none"/>
        </w:rPr>
        <w:fldChar w:fldCharType="begin"/>
      </w:r>
      <w:r>
        <w:rPr>
          <w:highlight w:val="none"/>
        </w:rPr>
        <w:instrText xml:space="preserve"> HYPERLINK \l "_Toc19018" </w:instrText>
      </w:r>
      <w:r>
        <w:rPr>
          <w:highlight w:val="none"/>
        </w:rPr>
        <w:fldChar w:fldCharType="separate"/>
      </w:r>
      <w:r>
        <w:rPr>
          <w:rFonts w:hint="eastAsia" w:ascii="宋体" w:hAnsi="宋体" w:eastAsia="宋体" w:cs="宋体"/>
          <w:bCs/>
          <w:sz w:val="24"/>
          <w:szCs w:val="24"/>
          <w:highlight w:val="none"/>
        </w:rPr>
        <w:t>第四部分 评 标 方 法</w:t>
      </w:r>
      <w:r>
        <w:rPr>
          <w:sz w:val="24"/>
          <w:szCs w:val="24"/>
          <w:highlight w:val="none"/>
        </w:rPr>
        <w:tab/>
      </w:r>
      <w:r>
        <w:rPr>
          <w:sz w:val="24"/>
          <w:szCs w:val="24"/>
          <w:highlight w:val="none"/>
        </w:rPr>
        <w:fldChar w:fldCharType="begin"/>
      </w:r>
      <w:r>
        <w:rPr>
          <w:sz w:val="24"/>
          <w:szCs w:val="24"/>
          <w:highlight w:val="none"/>
        </w:rPr>
        <w:instrText xml:space="preserve"> PAGEREF _Toc19018 \h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pPr>
        <w:pStyle w:val="48"/>
        <w:tabs>
          <w:tab w:val="right" w:leader="dot" w:pos="9739"/>
        </w:tabs>
        <w:spacing w:line="360" w:lineRule="auto"/>
        <w:ind w:left="480" w:leftChars="200" w:right="480" w:rightChars="200"/>
        <w:rPr>
          <w:sz w:val="24"/>
          <w:szCs w:val="24"/>
          <w:highlight w:val="none"/>
        </w:rPr>
      </w:pPr>
      <w:r>
        <w:rPr>
          <w:highlight w:val="none"/>
        </w:rPr>
        <w:fldChar w:fldCharType="begin"/>
      </w:r>
      <w:r>
        <w:rPr>
          <w:highlight w:val="none"/>
        </w:rPr>
        <w:instrText xml:space="preserve"> HYPERLINK \l "_Toc10632" </w:instrText>
      </w:r>
      <w:r>
        <w:rPr>
          <w:highlight w:val="none"/>
        </w:rPr>
        <w:fldChar w:fldCharType="separate"/>
      </w:r>
      <w:r>
        <w:rPr>
          <w:rFonts w:hint="eastAsia" w:ascii="宋体" w:hAnsi="宋体" w:eastAsia="宋体" w:cs="宋体"/>
          <w:bCs/>
          <w:sz w:val="24"/>
          <w:szCs w:val="24"/>
          <w:highlight w:val="none"/>
        </w:rPr>
        <w:t>第五部分 合 同 格 式</w:t>
      </w:r>
      <w:r>
        <w:rPr>
          <w:sz w:val="24"/>
          <w:szCs w:val="24"/>
          <w:highlight w:val="none"/>
        </w:rPr>
        <w:tab/>
      </w:r>
      <w:r>
        <w:rPr>
          <w:sz w:val="24"/>
          <w:szCs w:val="24"/>
          <w:highlight w:val="none"/>
        </w:rPr>
        <w:fldChar w:fldCharType="begin"/>
      </w:r>
      <w:r>
        <w:rPr>
          <w:sz w:val="24"/>
          <w:szCs w:val="24"/>
          <w:highlight w:val="none"/>
        </w:rPr>
        <w:instrText xml:space="preserve"> PAGEREF _Toc10632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pPr>
        <w:pStyle w:val="48"/>
        <w:tabs>
          <w:tab w:val="right" w:leader="dot" w:pos="9739"/>
        </w:tabs>
        <w:spacing w:line="360" w:lineRule="auto"/>
        <w:ind w:left="480" w:leftChars="200" w:right="480" w:rightChars="200"/>
        <w:rPr>
          <w:sz w:val="24"/>
          <w:szCs w:val="24"/>
          <w:highlight w:val="none"/>
        </w:rPr>
      </w:pPr>
      <w:r>
        <w:rPr>
          <w:highlight w:val="none"/>
        </w:rPr>
        <w:fldChar w:fldCharType="begin"/>
      </w:r>
      <w:r>
        <w:rPr>
          <w:highlight w:val="none"/>
        </w:rPr>
        <w:instrText xml:space="preserve"> HYPERLINK \l "_Toc21133" </w:instrText>
      </w:r>
      <w:r>
        <w:rPr>
          <w:highlight w:val="none"/>
        </w:rPr>
        <w:fldChar w:fldCharType="separate"/>
      </w:r>
      <w:r>
        <w:rPr>
          <w:rFonts w:hint="eastAsia" w:ascii="宋体" w:hAnsi="宋体" w:eastAsia="宋体" w:cs="宋体"/>
          <w:bCs/>
          <w:sz w:val="24"/>
          <w:szCs w:val="24"/>
          <w:highlight w:val="none"/>
        </w:rPr>
        <w:t>第六部分 投 标 文 件 格 式</w:t>
      </w:r>
      <w:r>
        <w:rPr>
          <w:sz w:val="24"/>
          <w:szCs w:val="24"/>
          <w:highlight w:val="none"/>
        </w:rPr>
        <w:tab/>
      </w:r>
      <w:r>
        <w:rPr>
          <w:sz w:val="24"/>
          <w:szCs w:val="24"/>
          <w:highlight w:val="none"/>
        </w:rPr>
        <w:fldChar w:fldCharType="begin"/>
      </w:r>
      <w:r>
        <w:rPr>
          <w:sz w:val="24"/>
          <w:szCs w:val="24"/>
          <w:highlight w:val="none"/>
        </w:rPr>
        <w:instrText xml:space="preserve"> PAGEREF _Toc21133 \h </w:instrText>
      </w:r>
      <w:r>
        <w:rPr>
          <w:sz w:val="24"/>
          <w:szCs w:val="24"/>
          <w:highlight w:val="none"/>
        </w:rPr>
        <w:fldChar w:fldCharType="separate"/>
      </w:r>
      <w:r>
        <w:rPr>
          <w:sz w:val="24"/>
          <w:szCs w:val="24"/>
          <w:highlight w:val="none"/>
        </w:rPr>
        <w:t>26</w:t>
      </w:r>
      <w:r>
        <w:rPr>
          <w:sz w:val="24"/>
          <w:szCs w:val="24"/>
          <w:highlight w:val="none"/>
        </w:rPr>
        <w:fldChar w:fldCharType="end"/>
      </w:r>
      <w:r>
        <w:rPr>
          <w:sz w:val="24"/>
          <w:szCs w:val="24"/>
          <w:highlight w:val="none"/>
        </w:rPr>
        <w:fldChar w:fldCharType="end"/>
      </w:r>
    </w:p>
    <w:p>
      <w:pPr>
        <w:pStyle w:val="2"/>
        <w:spacing w:line="360" w:lineRule="auto"/>
        <w:ind w:left="480" w:leftChars="200" w:right="480" w:rightChars="200"/>
        <w:jc w:val="both"/>
        <w:rPr>
          <w:rFonts w:ascii="宋体" w:hAnsi="宋体" w:eastAsia="宋体" w:cs="宋体"/>
          <w:bCs/>
          <w:color w:val="auto"/>
          <w:sz w:val="36"/>
          <w:szCs w:val="36"/>
          <w:highlight w:val="none"/>
        </w:rPr>
        <w:sectPr>
          <w:footerReference r:id="rId8" w:type="default"/>
          <w:pgSz w:w="11905" w:h="16838"/>
          <w:pgMar w:top="1440" w:right="1083" w:bottom="1440" w:left="1083" w:header="851" w:footer="992" w:gutter="0"/>
          <w:pgNumType w:fmt="decimal"/>
          <w:cols w:space="0" w:num="1"/>
          <w:docGrid w:type="lines" w:linePitch="314" w:charSpace="0"/>
        </w:sectPr>
      </w:pPr>
      <w:r>
        <w:rPr>
          <w:rFonts w:hint="eastAsia" w:ascii="宋体" w:hAnsi="宋体" w:eastAsia="宋体" w:cs="宋体"/>
          <w:bCs/>
          <w:color w:val="auto"/>
          <w:highlight w:val="none"/>
        </w:rPr>
        <w:fldChar w:fldCharType="end"/>
      </w:r>
    </w:p>
    <w:p>
      <w:pPr>
        <w:pStyle w:val="4"/>
        <w:spacing w:after="314"/>
        <w:rPr>
          <w:highlight w:val="none"/>
        </w:rPr>
      </w:pPr>
      <w:r>
        <w:rPr>
          <w:rFonts w:hint="eastAsia"/>
          <w:highlight w:val="none"/>
        </w:rPr>
        <w:t>投标邀请</w:t>
      </w:r>
    </w:p>
    <w:p>
      <w:pPr>
        <w:snapToGrid w:val="0"/>
        <w:ind w:firstLine="480"/>
        <w:rPr>
          <w:highlight w:val="none"/>
        </w:rPr>
      </w:pPr>
      <w:r>
        <w:rPr>
          <w:rFonts w:hint="eastAsia" w:ascii="宋体" w:hAnsi="宋体" w:cs="宋体"/>
          <w:bCs/>
          <w:highlight w:val="none"/>
        </w:rPr>
        <w:t>受天津科技大学的委托，公允（天津）招标代理有限公司以公开招标方式，对天津科技大学连续平板式刮膜机购置项目实施招标。现欢迎合格的投标人参加投标。</w:t>
      </w:r>
    </w:p>
    <w:p>
      <w:pPr>
        <w:pStyle w:val="5"/>
        <w:spacing w:before="0" w:after="0"/>
        <w:rPr>
          <w:highlight w:val="none"/>
        </w:rPr>
      </w:pPr>
      <w:r>
        <w:rPr>
          <w:rFonts w:hint="eastAsia"/>
          <w:highlight w:val="none"/>
        </w:rPr>
        <w:t>项目名称和编号：</w:t>
      </w:r>
    </w:p>
    <w:p>
      <w:pPr>
        <w:pStyle w:val="6"/>
        <w:spacing w:before="0" w:after="0"/>
        <w:rPr>
          <w:highlight w:val="none"/>
        </w:rPr>
      </w:pPr>
      <w:r>
        <w:rPr>
          <w:rFonts w:hint="eastAsia"/>
          <w:highlight w:val="none"/>
        </w:rPr>
        <w:t>项目名称：天津科技大学连续平板式刮膜机购置项目</w:t>
      </w:r>
    </w:p>
    <w:p>
      <w:pPr>
        <w:pStyle w:val="6"/>
        <w:spacing w:before="0" w:after="0"/>
        <w:rPr>
          <w:highlight w:val="none"/>
        </w:rPr>
      </w:pPr>
      <w:r>
        <w:rPr>
          <w:rFonts w:hint="eastAsia"/>
          <w:highlight w:val="none"/>
        </w:rPr>
        <w:t>项目编号：</w:t>
      </w:r>
      <w:r>
        <w:rPr>
          <w:rFonts w:hint="eastAsia"/>
          <w:highlight w:val="none"/>
          <w:lang w:eastAsia="zh-CN"/>
        </w:rPr>
        <w:t>GY-2022-135</w:t>
      </w:r>
    </w:p>
    <w:p>
      <w:pPr>
        <w:pStyle w:val="5"/>
        <w:spacing w:before="0" w:after="0"/>
        <w:rPr>
          <w:highlight w:val="none"/>
        </w:rPr>
      </w:pPr>
      <w:r>
        <w:rPr>
          <w:rFonts w:hint="eastAsia"/>
          <w:highlight w:val="none"/>
        </w:rPr>
        <w:t>项目内容：</w:t>
      </w:r>
    </w:p>
    <w:p>
      <w:pPr>
        <w:pStyle w:val="6"/>
        <w:spacing w:before="0" w:after="0"/>
        <w:rPr>
          <w:highlight w:val="none"/>
        </w:rPr>
      </w:pPr>
      <w:r>
        <w:rPr>
          <w:rFonts w:hint="eastAsia"/>
          <w:highlight w:val="none"/>
        </w:rPr>
        <w:t>项目基本情况：详见项目需求书（详见第二部分项目需求书）</w:t>
      </w:r>
    </w:p>
    <w:p>
      <w:pPr>
        <w:pStyle w:val="6"/>
        <w:spacing w:before="0" w:after="0"/>
        <w:rPr>
          <w:highlight w:val="none"/>
        </w:rPr>
      </w:pPr>
      <w:r>
        <w:rPr>
          <w:rFonts w:hint="eastAsia"/>
          <w:highlight w:val="none"/>
        </w:rPr>
        <w:t>合同履行期限：合同生效定金后100天交货（有严重疫情发生顺延）；</w:t>
      </w:r>
    </w:p>
    <w:p>
      <w:pPr>
        <w:pStyle w:val="6"/>
        <w:spacing w:before="0" w:after="0"/>
        <w:rPr>
          <w:highlight w:val="none"/>
        </w:rPr>
      </w:pPr>
      <w:r>
        <w:rPr>
          <w:rFonts w:hint="eastAsia"/>
          <w:highlight w:val="none"/>
        </w:rPr>
        <w:t>本项目不接受进口产品投标</w:t>
      </w:r>
    </w:p>
    <w:p>
      <w:pPr>
        <w:pStyle w:val="5"/>
        <w:spacing w:before="0" w:after="0"/>
        <w:rPr>
          <w:highlight w:val="none"/>
        </w:rPr>
      </w:pPr>
      <w:r>
        <w:rPr>
          <w:rFonts w:hint="eastAsia"/>
          <w:highlight w:val="none"/>
        </w:rPr>
        <w:t>招标控制价：498000元（人民币）</w:t>
      </w:r>
    </w:p>
    <w:p>
      <w:pPr>
        <w:pStyle w:val="5"/>
        <w:spacing w:before="0" w:after="0"/>
        <w:rPr>
          <w:rFonts w:ascii="宋体" w:hAnsi="宋体" w:cs="宋体"/>
          <w:highlight w:val="none"/>
        </w:rPr>
      </w:pPr>
      <w:r>
        <w:rPr>
          <w:rFonts w:hint="eastAsia" w:ascii="宋体" w:hAnsi="宋体" w:cs="宋体"/>
          <w:highlight w:val="none"/>
        </w:rPr>
        <w:t>小微企业优惠政策</w:t>
      </w:r>
    </w:p>
    <w:p>
      <w:pPr>
        <w:pStyle w:val="6"/>
        <w:spacing w:before="0" w:after="0"/>
        <w:rPr>
          <w:highlight w:val="none"/>
        </w:rPr>
      </w:pPr>
      <w:r>
        <w:rPr>
          <w:rFonts w:hint="eastAsia"/>
          <w:b/>
          <w:bCs/>
          <w:highlight w:val="none"/>
        </w:rPr>
        <w:t>本项目专门面向中小企业采购</w:t>
      </w:r>
      <w:r>
        <w:rPr>
          <w:highlight w:val="none"/>
        </w:rPr>
        <w:t xml:space="preserve">。中小微企业投标文件中须提供《中小企业声明函》中小企业划分见“关于印发中小企业划型标准规定的通知”（工信部联企业〔2011〕300号）文件。 </w:t>
      </w:r>
    </w:p>
    <w:p>
      <w:pPr>
        <w:pStyle w:val="6"/>
        <w:spacing w:before="0" w:after="0"/>
        <w:rPr>
          <w:highlight w:val="none"/>
        </w:rPr>
      </w:pPr>
      <w:r>
        <w:rPr>
          <w:highlight w:val="none"/>
        </w:rPr>
        <w:t xml:space="preserve">对监狱企业视同小型、微型企业。监狱企业须提供由省级以上监狱管理局、戒毒管理局（含新疆生产建设兵团）出具的属于监狱企业的证明文件，未提供的将不予以认定。 </w:t>
      </w:r>
    </w:p>
    <w:p>
      <w:pPr>
        <w:pStyle w:val="6"/>
        <w:spacing w:before="0" w:after="0"/>
        <w:rPr>
          <w:highlight w:val="none"/>
        </w:rPr>
      </w:pPr>
      <w:r>
        <w:rPr>
          <w:highlight w:val="none"/>
        </w:rPr>
        <w:t xml:space="preserve">残疾人福利性单位视同小型、微型企业。残疾人福利性单位属于小型、微型企业的，不重复享受政策。符合条件的残疾人福利性单位须提供《残疾人福利性单位声明函》，并对声明的真实性负责。未提供《残疾人福利性单位声明函》的将不予以认定。 </w:t>
      </w:r>
    </w:p>
    <w:p>
      <w:pPr>
        <w:pStyle w:val="6"/>
        <w:spacing w:before="0" w:after="0"/>
        <w:rPr>
          <w:highlight w:val="none"/>
        </w:rPr>
      </w:pPr>
      <w:r>
        <w:rPr>
          <w:highlight w:val="none"/>
        </w:rPr>
        <w:t>注：小微企业以供应商填写的《中小企业声明函》为判定标准，残疾人福利性单位以供应商填写的《残疾人福利性单位声明函》为判定标准，监狱企业须供应商提供由省级以上监狱管理局、戒毒管理局</w:t>
      </w:r>
      <w:r>
        <w:rPr>
          <w:rFonts w:hint="eastAsia"/>
          <w:highlight w:val="none"/>
        </w:rPr>
        <w:t>（</w:t>
      </w:r>
      <w:r>
        <w:rPr>
          <w:highlight w:val="none"/>
        </w:rPr>
        <w:t>含新疆生产建设兵团</w:t>
      </w:r>
      <w:r>
        <w:rPr>
          <w:rFonts w:hint="eastAsia"/>
          <w:highlight w:val="none"/>
        </w:rPr>
        <w:t>）</w:t>
      </w:r>
      <w:r>
        <w:rPr>
          <w:highlight w:val="none"/>
        </w:rPr>
        <w:t>出具的属于监狱企业的证明文件，否则不予认定，以上</w:t>
      </w:r>
      <w:r>
        <w:rPr>
          <w:rFonts w:hint="eastAsia"/>
          <w:highlight w:val="none"/>
        </w:rPr>
        <w:t>条款</w:t>
      </w:r>
      <w:r>
        <w:rPr>
          <w:highlight w:val="none"/>
        </w:rPr>
        <w:t>不重复享受。</w:t>
      </w:r>
    </w:p>
    <w:p>
      <w:pPr>
        <w:pStyle w:val="5"/>
        <w:spacing w:before="0" w:after="0"/>
        <w:rPr>
          <w:highlight w:val="none"/>
        </w:rPr>
      </w:pPr>
      <w:r>
        <w:rPr>
          <w:rFonts w:hint="eastAsia"/>
          <w:highlight w:val="none"/>
        </w:rPr>
        <w:t>投标人资格要求：</w:t>
      </w:r>
    </w:p>
    <w:p>
      <w:pPr>
        <w:pStyle w:val="6"/>
        <w:spacing w:before="0" w:after="0"/>
        <w:rPr>
          <w:highlight w:val="none"/>
        </w:rPr>
      </w:pPr>
      <w:r>
        <w:rPr>
          <w:rFonts w:hint="eastAsia"/>
          <w:highlight w:val="none"/>
        </w:rPr>
        <w:t>营业执照副本或事业单位法人证书或民办非企业单位登记证书或社会团体法人登记证书或基金会法人登记证书（投标人具有独立承担民事责任的能力）；</w:t>
      </w:r>
    </w:p>
    <w:p>
      <w:pPr>
        <w:pStyle w:val="6"/>
        <w:spacing w:before="0" w:after="0"/>
        <w:rPr>
          <w:highlight w:val="none"/>
        </w:rPr>
      </w:pPr>
      <w:r>
        <w:rPr>
          <w:rFonts w:hint="eastAsia"/>
          <w:highlight w:val="none"/>
        </w:rPr>
        <w:t>投标人具有良好的商业信誉和健全的财务</w:t>
      </w:r>
      <w:r>
        <w:rPr>
          <w:highlight w:val="none"/>
        </w:rPr>
        <w:fldChar w:fldCharType="begin"/>
      </w:r>
      <w:r>
        <w:rPr>
          <w:highlight w:val="none"/>
        </w:rPr>
        <w:instrText xml:space="preserve"> HYPERLINK "http://www.chinaacc.com/" \t "_blank" </w:instrText>
      </w:r>
      <w:r>
        <w:rPr>
          <w:highlight w:val="none"/>
        </w:rPr>
        <w:fldChar w:fldCharType="separate"/>
      </w:r>
      <w:r>
        <w:rPr>
          <w:rFonts w:hint="eastAsia"/>
          <w:highlight w:val="none"/>
        </w:rPr>
        <w:t>会计</w:t>
      </w:r>
      <w:r>
        <w:rPr>
          <w:rFonts w:hint="eastAsia"/>
          <w:highlight w:val="none"/>
        </w:rPr>
        <w:fldChar w:fldCharType="end"/>
      </w:r>
      <w:r>
        <w:rPr>
          <w:rFonts w:hint="eastAsia"/>
          <w:highlight w:val="none"/>
        </w:rPr>
        <w:t>制度，提供2020或2021年度经第三方会计师事务所审计的企业财务报告或提交投标截止时间前3个月内由开户银行出具的资信证明；</w:t>
      </w:r>
    </w:p>
    <w:p>
      <w:pPr>
        <w:pStyle w:val="6"/>
        <w:spacing w:before="0" w:after="0"/>
        <w:rPr>
          <w:highlight w:val="none"/>
        </w:rPr>
      </w:pPr>
      <w:r>
        <w:rPr>
          <w:rFonts w:hint="eastAsia"/>
          <w:highlight w:val="none"/>
        </w:rPr>
        <w:t>投标人具有依法缴纳税收和社会保障资金的良好记录，提供2022年至投标截止时间任意一个月的相关证明材料；依法免税或不需要缴纳社会保障资金的投标人，须提供相关证明（相关证明指增值税纳税申报表，增值税减免申报明细表，企业所得税预缴纳税申报表及其他应纳税申报表，需要提供依法网上申报缴税所在官方网站的截图或税务机关出具的证明文件。）；</w:t>
      </w:r>
    </w:p>
    <w:p>
      <w:pPr>
        <w:pStyle w:val="6"/>
        <w:spacing w:before="0" w:after="0"/>
        <w:rPr>
          <w:highlight w:val="none"/>
        </w:rPr>
      </w:pPr>
      <w:r>
        <w:rPr>
          <w:rFonts w:hint="eastAsia"/>
          <w:highlight w:val="none"/>
        </w:rPr>
        <w:t>投标人参加采购活动前三年内，在经营活动中没有重大违法记录，并出具书面声明（截至开标当日成立不足3年的投标人可提供自成立以来无重大违法记录的书面声明）；</w:t>
      </w:r>
    </w:p>
    <w:p>
      <w:pPr>
        <w:pStyle w:val="6"/>
        <w:spacing w:before="0" w:after="0"/>
        <w:rPr>
          <w:highlight w:val="none"/>
        </w:rPr>
      </w:pPr>
      <w:r>
        <w:rPr>
          <w:rFonts w:hint="eastAsia"/>
          <w:highlight w:val="none"/>
        </w:rPr>
        <w:t>本项目专门面向中小企业采购，提供《中小企业声明函》</w:t>
      </w:r>
      <w:r>
        <w:rPr>
          <w:rFonts w:hint="eastAsia"/>
          <w:highlight w:val="none"/>
          <w:lang w:eastAsia="zh-CN"/>
        </w:rPr>
        <w:t>；</w:t>
      </w:r>
    </w:p>
    <w:p>
      <w:pPr>
        <w:pStyle w:val="6"/>
        <w:spacing w:before="0" w:after="0"/>
        <w:rPr>
          <w:highlight w:val="none"/>
        </w:rPr>
      </w:pPr>
      <w:r>
        <w:rPr>
          <w:rFonts w:hint="eastAsia"/>
          <w:highlight w:val="none"/>
        </w:rPr>
        <w:t>本项目不接受联合体投标；</w:t>
      </w:r>
    </w:p>
    <w:p>
      <w:pPr>
        <w:pStyle w:val="5"/>
        <w:spacing w:before="0" w:after="0"/>
        <w:rPr>
          <w:highlight w:val="none"/>
        </w:rPr>
      </w:pPr>
      <w:r>
        <w:rPr>
          <w:rFonts w:hint="eastAsia"/>
          <w:highlight w:val="none"/>
        </w:rPr>
        <w:t>获取招标文件时间、地点及招标文件售价：</w:t>
      </w:r>
    </w:p>
    <w:p>
      <w:pPr>
        <w:pStyle w:val="6"/>
        <w:spacing w:before="0" w:after="0"/>
        <w:rPr>
          <w:highlight w:val="none"/>
        </w:rPr>
      </w:pPr>
      <w:r>
        <w:rPr>
          <w:rFonts w:hint="eastAsia"/>
          <w:highlight w:val="none"/>
        </w:rPr>
        <w:t>获取招标文件的时间：北京时间2022年</w:t>
      </w:r>
      <w:r>
        <w:rPr>
          <w:rFonts w:hint="eastAsia"/>
          <w:highlight w:val="none"/>
          <w:lang w:val="en-US" w:eastAsia="zh-CN"/>
        </w:rPr>
        <w:t>6</w:t>
      </w:r>
      <w:r>
        <w:rPr>
          <w:rFonts w:hint="eastAsia"/>
          <w:highlight w:val="none"/>
        </w:rPr>
        <w:t>月</w:t>
      </w:r>
      <w:r>
        <w:rPr>
          <w:rFonts w:hint="eastAsia"/>
          <w:highlight w:val="none"/>
          <w:lang w:val="en-US" w:eastAsia="zh-CN"/>
        </w:rPr>
        <w:t>21</w:t>
      </w:r>
      <w:r>
        <w:rPr>
          <w:rFonts w:hint="eastAsia"/>
          <w:highlight w:val="none"/>
        </w:rPr>
        <w:t>日至</w:t>
      </w:r>
      <w:r>
        <w:rPr>
          <w:rFonts w:hint="eastAsia"/>
          <w:highlight w:val="none"/>
          <w:lang w:val="en-US" w:eastAsia="zh-CN"/>
        </w:rPr>
        <w:t>6</w:t>
      </w:r>
      <w:r>
        <w:rPr>
          <w:rFonts w:hint="eastAsia"/>
          <w:highlight w:val="none"/>
        </w:rPr>
        <w:t>月</w:t>
      </w:r>
      <w:r>
        <w:rPr>
          <w:rFonts w:hint="eastAsia"/>
          <w:highlight w:val="none"/>
          <w:lang w:val="en-US" w:eastAsia="zh-CN"/>
        </w:rPr>
        <w:t>28</w:t>
      </w:r>
      <w:r>
        <w:rPr>
          <w:rFonts w:hint="eastAsia"/>
          <w:highlight w:val="none"/>
        </w:rPr>
        <w:t>日，每日09:00-11:30，13:30-16:00（法定节假日除外）。</w:t>
      </w:r>
    </w:p>
    <w:p>
      <w:pPr>
        <w:pStyle w:val="6"/>
        <w:spacing w:before="0" w:after="0"/>
        <w:rPr>
          <w:highlight w:val="none"/>
        </w:rPr>
      </w:pPr>
      <w:r>
        <w:rPr>
          <w:rFonts w:hint="eastAsia"/>
          <w:highlight w:val="none"/>
        </w:rPr>
        <w:t>获取招标文件的地点：公允（天津）招标代理有限公司（天津市红旗南路濠景国际大厦A座602）</w:t>
      </w:r>
    </w:p>
    <w:p>
      <w:pPr>
        <w:pStyle w:val="6"/>
        <w:spacing w:before="0" w:after="0"/>
        <w:rPr>
          <w:highlight w:val="none"/>
        </w:rPr>
      </w:pPr>
      <w:r>
        <w:rPr>
          <w:rFonts w:hint="eastAsia"/>
          <w:highlight w:val="none"/>
        </w:rPr>
        <w:t>获取招标文件的方式：</w:t>
      </w:r>
    </w:p>
    <w:p>
      <w:pPr>
        <w:ind w:firstLine="480"/>
        <w:rPr>
          <w:highlight w:val="none"/>
        </w:rPr>
      </w:pPr>
      <w:r>
        <w:rPr>
          <w:rFonts w:hint="eastAsia"/>
          <w:highlight w:val="none"/>
        </w:rPr>
        <w:t>现场报名：</w:t>
      </w:r>
      <w:r>
        <w:rPr>
          <w:highlight w:val="none"/>
        </w:rPr>
        <w:t>符合资格要求的投标人可持营业执照复印件、法定代表人身份证复印件或受权委托人身份证复印件（以上复印件均须加盖公章）在规定的时间内到天津市南开区红旗南路仁爱濠景国际大厦A座6层601获取采购文件。</w:t>
      </w:r>
    </w:p>
    <w:p>
      <w:pPr>
        <w:ind w:firstLine="480"/>
        <w:rPr>
          <w:highlight w:val="none"/>
        </w:rPr>
      </w:pPr>
      <w:r>
        <w:rPr>
          <w:rFonts w:hint="eastAsia"/>
          <w:highlight w:val="none"/>
        </w:rPr>
        <w:t>非现场报名：符合资格要求的投标人，由其邮箱向公允（天津）招标代理有限公司（邮箱</w:t>
      </w:r>
      <w:r>
        <w:rPr>
          <w:highlight w:val="none"/>
        </w:rPr>
        <w:fldChar w:fldCharType="begin"/>
      </w:r>
      <w:r>
        <w:rPr>
          <w:highlight w:val="none"/>
        </w:rPr>
        <w:instrText xml:space="preserve"> HYPERLINK "mailto:gongyunzc601@163.com" </w:instrText>
      </w:r>
      <w:r>
        <w:rPr>
          <w:highlight w:val="none"/>
        </w:rPr>
        <w:fldChar w:fldCharType="separate"/>
      </w:r>
      <w:r>
        <w:rPr>
          <w:rFonts w:hint="eastAsia"/>
          <w:highlight w:val="none"/>
        </w:rPr>
        <w:t>gongyunzc601@163.com</w:t>
      </w:r>
      <w:r>
        <w:rPr>
          <w:rFonts w:hint="eastAsia"/>
          <w:highlight w:val="none"/>
        </w:rPr>
        <w:fldChar w:fldCharType="end"/>
      </w:r>
      <w:r>
        <w:rPr>
          <w:rFonts w:hint="eastAsia"/>
          <w:highlight w:val="none"/>
        </w:rPr>
        <w:t>）申请报名表和缴费码。填写后的报名信息和营业执照扫描件加盖公章与授权书及授权人身份证等扫描件于2022年</w:t>
      </w:r>
      <w:r>
        <w:rPr>
          <w:rFonts w:hint="eastAsia"/>
          <w:highlight w:val="none"/>
          <w:lang w:val="en-US" w:eastAsia="zh-CN"/>
        </w:rPr>
        <w:t>6</w:t>
      </w:r>
      <w:r>
        <w:rPr>
          <w:rFonts w:hint="eastAsia"/>
          <w:highlight w:val="none"/>
        </w:rPr>
        <w:t>月</w:t>
      </w:r>
      <w:r>
        <w:rPr>
          <w:rFonts w:hint="eastAsia"/>
          <w:highlight w:val="none"/>
          <w:lang w:val="en-US" w:eastAsia="zh-CN"/>
        </w:rPr>
        <w:t>28</w:t>
      </w:r>
      <w:r>
        <w:rPr>
          <w:rFonts w:hint="eastAsia"/>
          <w:highlight w:val="none"/>
        </w:rPr>
        <w:t>日16：00前上传至公允（天津）招标代理有限公司邮箱，并交费成功。</w:t>
      </w:r>
    </w:p>
    <w:p>
      <w:pPr>
        <w:pStyle w:val="6"/>
        <w:spacing w:before="0" w:after="0"/>
        <w:rPr>
          <w:highlight w:val="none"/>
        </w:rPr>
      </w:pPr>
      <w:r>
        <w:rPr>
          <w:rFonts w:hint="eastAsia"/>
          <w:highlight w:val="none"/>
        </w:rPr>
        <w:t>招标文件的售价：招标文件每套售价为500元/本。（招标文件一经售出，所收费用概不退还）。</w:t>
      </w:r>
    </w:p>
    <w:p>
      <w:pPr>
        <w:pStyle w:val="5"/>
        <w:spacing w:before="0" w:after="0"/>
        <w:rPr>
          <w:highlight w:val="none"/>
        </w:rPr>
      </w:pPr>
      <w:r>
        <w:rPr>
          <w:rFonts w:hint="eastAsia"/>
          <w:highlight w:val="none"/>
        </w:rPr>
        <w:t>投标截止时间及地点、开标时间及地点：</w:t>
      </w:r>
    </w:p>
    <w:p>
      <w:pPr>
        <w:pStyle w:val="6"/>
        <w:spacing w:before="0" w:after="0"/>
        <w:rPr>
          <w:highlight w:val="none"/>
        </w:rPr>
      </w:pPr>
      <w:r>
        <w:rPr>
          <w:rFonts w:hint="eastAsia"/>
          <w:highlight w:val="none"/>
        </w:rPr>
        <w:t>提交投标文件时间：北京时间2022年</w:t>
      </w:r>
      <w:r>
        <w:rPr>
          <w:rFonts w:hint="eastAsia"/>
          <w:highlight w:val="none"/>
          <w:lang w:val="en-US" w:eastAsia="zh-CN"/>
        </w:rPr>
        <w:t>7</w:t>
      </w:r>
      <w:r>
        <w:rPr>
          <w:rFonts w:hint="eastAsia"/>
          <w:highlight w:val="none"/>
        </w:rPr>
        <w:t>月</w:t>
      </w:r>
      <w:r>
        <w:rPr>
          <w:rFonts w:hint="eastAsia"/>
          <w:highlight w:val="none"/>
          <w:lang w:val="en-US" w:eastAsia="zh-CN"/>
        </w:rPr>
        <w:t>12</w:t>
      </w:r>
      <w:r>
        <w:rPr>
          <w:rFonts w:hint="eastAsia"/>
          <w:highlight w:val="none"/>
        </w:rPr>
        <w:t>日9：00至9：30时止；</w:t>
      </w:r>
    </w:p>
    <w:p>
      <w:pPr>
        <w:pStyle w:val="6"/>
        <w:spacing w:before="0" w:after="0"/>
        <w:rPr>
          <w:highlight w:val="none"/>
        </w:rPr>
      </w:pPr>
      <w:r>
        <w:rPr>
          <w:rFonts w:hint="eastAsia"/>
          <w:highlight w:val="none"/>
        </w:rPr>
        <w:t>提交投标文件的地址：天津市南开区红旗南路仁爱濠景国际大厦A座6层601（重要提示：鉴于疫情高发期，投标人只允许1人进入，经测温体温高于37.3°禁止进入）。随疫情防控形势变化，疫情防控部门有新规定的，从其规定。</w:t>
      </w:r>
    </w:p>
    <w:p>
      <w:pPr>
        <w:pStyle w:val="6"/>
        <w:spacing w:before="0" w:after="0"/>
        <w:rPr>
          <w:highlight w:val="none"/>
        </w:rPr>
      </w:pPr>
      <w:r>
        <w:rPr>
          <w:rFonts w:hint="eastAsia"/>
          <w:highlight w:val="none"/>
        </w:rPr>
        <w:t>开标时间：北京时间2022年</w:t>
      </w:r>
      <w:r>
        <w:rPr>
          <w:rFonts w:hint="eastAsia"/>
          <w:highlight w:val="none"/>
          <w:lang w:val="en-US" w:eastAsia="zh-CN"/>
        </w:rPr>
        <w:t>7</w:t>
      </w:r>
      <w:r>
        <w:rPr>
          <w:rFonts w:hint="eastAsia"/>
          <w:highlight w:val="none"/>
        </w:rPr>
        <w:t>月</w:t>
      </w:r>
      <w:r>
        <w:rPr>
          <w:rFonts w:hint="eastAsia"/>
          <w:highlight w:val="none"/>
          <w:lang w:val="en-US" w:eastAsia="zh-CN"/>
        </w:rPr>
        <w:t>12</w:t>
      </w:r>
      <w:r>
        <w:rPr>
          <w:rFonts w:hint="eastAsia"/>
          <w:highlight w:val="none"/>
        </w:rPr>
        <w:t>日9：30时；</w:t>
      </w:r>
    </w:p>
    <w:p>
      <w:pPr>
        <w:pStyle w:val="6"/>
        <w:spacing w:before="0" w:after="0"/>
        <w:rPr>
          <w:highlight w:val="none"/>
        </w:rPr>
      </w:pPr>
      <w:r>
        <w:rPr>
          <w:rFonts w:hint="eastAsia"/>
          <w:highlight w:val="none"/>
        </w:rPr>
        <w:t>开标地点：公允（天津）招标代理有限公司（天津市南开区红旗南路仁爱濠景国际大厦A座6层601）。</w:t>
      </w:r>
    </w:p>
    <w:p>
      <w:pPr>
        <w:pStyle w:val="5"/>
        <w:spacing w:before="0" w:after="0"/>
        <w:rPr>
          <w:highlight w:val="none"/>
        </w:rPr>
      </w:pPr>
      <w:r>
        <w:rPr>
          <w:rFonts w:hint="eastAsia"/>
          <w:highlight w:val="none"/>
        </w:rPr>
        <w:t>项目联系人及联系方式：</w:t>
      </w:r>
    </w:p>
    <w:p>
      <w:pPr>
        <w:pStyle w:val="6"/>
        <w:spacing w:before="0" w:after="0"/>
        <w:rPr>
          <w:highlight w:val="none"/>
        </w:rPr>
      </w:pPr>
      <w:r>
        <w:rPr>
          <w:rFonts w:hint="eastAsia"/>
          <w:highlight w:val="none"/>
        </w:rPr>
        <w:t>联系人：于工</w:t>
      </w:r>
      <w:r>
        <w:rPr>
          <w:rFonts w:hint="eastAsia"/>
          <w:highlight w:val="none"/>
        </w:rPr>
        <w:tab/>
      </w:r>
      <w:r>
        <w:rPr>
          <w:rFonts w:hint="eastAsia"/>
          <w:highlight w:val="none"/>
        </w:rPr>
        <w:tab/>
      </w:r>
    </w:p>
    <w:p>
      <w:pPr>
        <w:pStyle w:val="6"/>
        <w:spacing w:before="0" w:after="0"/>
        <w:rPr>
          <w:highlight w:val="none"/>
        </w:rPr>
      </w:pPr>
      <w:r>
        <w:rPr>
          <w:rFonts w:hint="eastAsia"/>
          <w:highlight w:val="none"/>
        </w:rPr>
        <w:t>联系方式：58500043</w:t>
      </w:r>
    </w:p>
    <w:p>
      <w:pPr>
        <w:pStyle w:val="5"/>
        <w:spacing w:before="0" w:after="0"/>
        <w:rPr>
          <w:highlight w:val="none"/>
        </w:rPr>
      </w:pPr>
      <w:r>
        <w:rPr>
          <w:rFonts w:hint="eastAsia"/>
          <w:highlight w:val="none"/>
        </w:rPr>
        <w:t>采购人的名称、地址和联系方式：</w:t>
      </w:r>
    </w:p>
    <w:p>
      <w:pPr>
        <w:pStyle w:val="6"/>
        <w:spacing w:before="0" w:after="0"/>
        <w:rPr>
          <w:highlight w:val="none"/>
        </w:rPr>
      </w:pPr>
      <w:r>
        <w:rPr>
          <w:rFonts w:hint="eastAsia"/>
          <w:highlight w:val="none"/>
        </w:rPr>
        <w:t>采购人名称：天津科技大学</w:t>
      </w:r>
    </w:p>
    <w:p>
      <w:pPr>
        <w:pStyle w:val="6"/>
        <w:spacing w:before="0" w:after="0"/>
        <w:rPr>
          <w:highlight w:val="none"/>
        </w:rPr>
      </w:pPr>
      <w:r>
        <w:rPr>
          <w:rFonts w:hint="eastAsia"/>
          <w:highlight w:val="none"/>
        </w:rPr>
        <w:t>采购人地址：天津市河西区大沽南路1038号</w:t>
      </w:r>
    </w:p>
    <w:p>
      <w:pPr>
        <w:pStyle w:val="6"/>
        <w:spacing w:before="0" w:after="0"/>
        <w:rPr>
          <w:highlight w:val="none"/>
        </w:rPr>
      </w:pPr>
      <w:r>
        <w:rPr>
          <w:rFonts w:hint="eastAsia"/>
          <w:highlight w:val="none"/>
        </w:rPr>
        <w:t>联系人和联系方式：张老师022-60600550</w:t>
      </w:r>
    </w:p>
    <w:p>
      <w:pPr>
        <w:pStyle w:val="5"/>
        <w:spacing w:before="0" w:after="0"/>
        <w:rPr>
          <w:highlight w:val="none"/>
        </w:rPr>
      </w:pPr>
      <w:r>
        <w:rPr>
          <w:rFonts w:hint="eastAsia"/>
          <w:highlight w:val="none"/>
        </w:rPr>
        <w:t>代理机构的名称、地址和联系方式：</w:t>
      </w:r>
    </w:p>
    <w:p>
      <w:pPr>
        <w:pStyle w:val="6"/>
        <w:spacing w:before="0" w:after="0"/>
        <w:rPr>
          <w:highlight w:val="none"/>
        </w:rPr>
      </w:pPr>
      <w:r>
        <w:rPr>
          <w:rFonts w:hint="eastAsia"/>
          <w:highlight w:val="none"/>
        </w:rPr>
        <w:t>代理机构名称：公允（天津）招标代理有限公司</w:t>
      </w:r>
    </w:p>
    <w:p>
      <w:pPr>
        <w:pStyle w:val="6"/>
        <w:spacing w:before="0" w:after="0"/>
        <w:rPr>
          <w:highlight w:val="none"/>
        </w:rPr>
      </w:pPr>
      <w:r>
        <w:rPr>
          <w:rFonts w:hint="eastAsia"/>
          <w:highlight w:val="none"/>
        </w:rPr>
        <w:t>代理机构地址：天津市南开区红旗南路仁爱濠景国际大厦A座6层601</w:t>
      </w:r>
    </w:p>
    <w:p>
      <w:pPr>
        <w:pStyle w:val="6"/>
        <w:spacing w:before="0" w:after="0"/>
        <w:rPr>
          <w:highlight w:val="none"/>
        </w:rPr>
      </w:pPr>
      <w:r>
        <w:rPr>
          <w:rFonts w:hint="eastAsia"/>
          <w:highlight w:val="none"/>
        </w:rPr>
        <w:t>代理机构联系方式：022-58500043</w:t>
      </w:r>
    </w:p>
    <w:p>
      <w:pPr>
        <w:pStyle w:val="6"/>
        <w:spacing w:before="0" w:after="0"/>
        <w:rPr>
          <w:highlight w:val="none"/>
        </w:rPr>
      </w:pPr>
      <w:r>
        <w:rPr>
          <w:rFonts w:hint="eastAsia"/>
          <w:highlight w:val="none"/>
        </w:rPr>
        <w:t>电子邮箱：</w:t>
      </w:r>
      <w:r>
        <w:rPr>
          <w:highlight w:val="none"/>
        </w:rPr>
        <w:fldChar w:fldCharType="begin"/>
      </w:r>
      <w:r>
        <w:rPr>
          <w:highlight w:val="none"/>
        </w:rPr>
        <w:instrText xml:space="preserve"> HYPERLINK "mailto:gongyunzc601@163.com" </w:instrText>
      </w:r>
      <w:r>
        <w:rPr>
          <w:highlight w:val="none"/>
        </w:rPr>
        <w:fldChar w:fldCharType="separate"/>
      </w:r>
      <w:r>
        <w:rPr>
          <w:rFonts w:hint="eastAsia"/>
          <w:highlight w:val="none"/>
        </w:rPr>
        <w:t>gongyunzc601@163.com</w:t>
      </w:r>
      <w:r>
        <w:rPr>
          <w:rFonts w:hint="eastAsia"/>
          <w:highlight w:val="none"/>
        </w:rPr>
        <w:fldChar w:fldCharType="end"/>
      </w:r>
    </w:p>
    <w:p>
      <w:pPr>
        <w:pStyle w:val="6"/>
        <w:spacing w:before="0" w:after="0"/>
        <w:rPr>
          <w:highlight w:val="none"/>
        </w:rPr>
      </w:pPr>
      <w:r>
        <w:rPr>
          <w:rFonts w:hint="eastAsia"/>
          <w:highlight w:val="none"/>
        </w:rPr>
        <w:t>代理机构汇款银行及账号：</w:t>
      </w:r>
    </w:p>
    <w:p>
      <w:pPr>
        <w:ind w:firstLine="480"/>
        <w:rPr>
          <w:highlight w:val="none"/>
        </w:rPr>
      </w:pPr>
      <w:r>
        <w:rPr>
          <w:rFonts w:hint="eastAsia"/>
          <w:highlight w:val="none"/>
        </w:rPr>
        <w:t>开户行：招商银行股份有限公司天津滨湖支行</w:t>
      </w:r>
    </w:p>
    <w:p>
      <w:pPr>
        <w:ind w:firstLine="480"/>
        <w:rPr>
          <w:highlight w:val="none"/>
        </w:rPr>
      </w:pPr>
      <w:r>
        <w:rPr>
          <w:rFonts w:hint="eastAsia"/>
          <w:highlight w:val="none"/>
        </w:rPr>
        <w:t>账号：122908439710402</w:t>
      </w:r>
    </w:p>
    <w:p>
      <w:pPr>
        <w:ind w:firstLine="480"/>
        <w:rPr>
          <w:highlight w:val="none"/>
        </w:rPr>
      </w:pPr>
      <w:r>
        <w:rPr>
          <w:rFonts w:hint="eastAsia"/>
          <w:highlight w:val="none"/>
        </w:rPr>
        <w:t>名称：公允（天津）招标代理有限公司</w:t>
      </w:r>
    </w:p>
    <w:p>
      <w:pPr>
        <w:pStyle w:val="5"/>
        <w:spacing w:before="0" w:after="0"/>
        <w:rPr>
          <w:highlight w:val="none"/>
        </w:rPr>
      </w:pPr>
      <w:r>
        <w:rPr>
          <w:rFonts w:hint="eastAsia"/>
          <w:highlight w:val="none"/>
        </w:rPr>
        <w:t>质疑方式：</w:t>
      </w:r>
    </w:p>
    <w:p>
      <w:pPr>
        <w:ind w:firstLine="480"/>
        <w:rPr>
          <w:highlight w:val="none"/>
        </w:rPr>
      </w:pPr>
      <w:r>
        <w:rPr>
          <w:rFonts w:hint="eastAsia"/>
          <w:highlight w:val="none"/>
        </w:rPr>
        <w:t>投标人认为招标文件或招标公告使自己的合法权益受到损害的，可以在获取招标文件之日或招标公告期限届满之日起7个工作日内，以书面形式向采购人、公允（天津）招标代理有限公司一次性提出针对同一招标程序环节的质疑，否则质疑无效，逾期不予受理。</w:t>
      </w:r>
    </w:p>
    <w:p>
      <w:pPr>
        <w:pStyle w:val="5"/>
        <w:spacing w:before="0" w:after="0"/>
        <w:rPr>
          <w:highlight w:val="none"/>
        </w:rPr>
      </w:pPr>
      <w:r>
        <w:rPr>
          <w:rFonts w:hint="eastAsia"/>
          <w:highlight w:val="none"/>
        </w:rPr>
        <w:t>公告期限：</w:t>
      </w:r>
    </w:p>
    <w:p>
      <w:pPr>
        <w:ind w:firstLine="480"/>
        <w:rPr>
          <w:highlight w:val="none"/>
        </w:rPr>
      </w:pPr>
      <w:r>
        <w:rPr>
          <w:rFonts w:hint="eastAsia"/>
          <w:highlight w:val="none"/>
        </w:rPr>
        <w:t>招标公告的公告期限为5个工作日。本次公告发布的媒介为</w:t>
      </w:r>
      <w:r>
        <w:rPr>
          <w:rFonts w:hint="eastAsia"/>
          <w:highlight w:val="none"/>
          <w:lang w:eastAsia="zh-CN"/>
        </w:rPr>
        <w:t>中国招标投标公共服务平台和中国政府采购网</w:t>
      </w:r>
      <w:r>
        <w:rPr>
          <w:rFonts w:hint="eastAsia"/>
          <w:highlight w:val="none"/>
        </w:rPr>
        <w:t xml:space="preserve">，其他媒介不得转载。因轻信其他组织、个人或媒体提供的信息而造成损失的，采购人、代理机构概不负责。  </w:t>
      </w:r>
    </w:p>
    <w:p>
      <w:pPr>
        <w:pStyle w:val="4"/>
        <w:spacing w:after="314"/>
        <w:rPr>
          <w:highlight w:val="none"/>
        </w:rPr>
      </w:pPr>
      <w:bookmarkStart w:id="0" w:name="_Toc13070"/>
      <w:bookmarkStart w:id="1" w:name="_Toc7247"/>
      <w:bookmarkStart w:id="2" w:name="_Toc9937"/>
      <w:r>
        <w:rPr>
          <w:rFonts w:hint="eastAsia"/>
          <w:highlight w:val="none"/>
        </w:rPr>
        <w:t xml:space="preserve"> 项目需求书</w:t>
      </w:r>
      <w:bookmarkEnd w:id="0"/>
      <w:bookmarkEnd w:id="1"/>
      <w:bookmarkEnd w:id="2"/>
    </w:p>
    <w:tbl>
      <w:tblPr>
        <w:tblStyle w:val="23"/>
        <w:tblpPr w:leftFromText="180" w:rightFromText="180" w:vertAnchor="text" w:horzAnchor="margin" w:tblpY="54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218"/>
        <w:gridCol w:w="4919"/>
        <w:gridCol w:w="121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pct"/>
            <w:vAlign w:val="center"/>
          </w:tcPr>
          <w:p>
            <w:pPr>
              <w:ind w:firstLine="0" w:firstLineChars="0"/>
              <w:jc w:val="center"/>
              <w:rPr>
                <w:rFonts w:ascii="宋体" w:hAnsi="宋体"/>
                <w:bCs/>
                <w:highlight w:val="none"/>
              </w:rPr>
            </w:pPr>
            <w:r>
              <w:rPr>
                <w:rFonts w:hint="eastAsia" w:ascii="宋体" w:hAnsi="宋体"/>
                <w:bCs/>
                <w:highlight w:val="none"/>
              </w:rPr>
              <w:t>序号</w:t>
            </w:r>
          </w:p>
        </w:tc>
        <w:tc>
          <w:tcPr>
            <w:tcW w:w="612" w:type="pct"/>
            <w:vAlign w:val="center"/>
          </w:tcPr>
          <w:p>
            <w:pPr>
              <w:ind w:firstLine="0" w:firstLineChars="0"/>
              <w:jc w:val="center"/>
              <w:rPr>
                <w:rFonts w:ascii="宋体" w:hAnsi="宋体"/>
                <w:bCs/>
                <w:highlight w:val="none"/>
              </w:rPr>
            </w:pPr>
            <w:r>
              <w:rPr>
                <w:rFonts w:hint="eastAsia" w:ascii="宋体" w:hAnsi="宋体"/>
                <w:bCs/>
                <w:highlight w:val="none"/>
              </w:rPr>
              <w:t>货物名称</w:t>
            </w:r>
          </w:p>
        </w:tc>
        <w:tc>
          <w:tcPr>
            <w:tcW w:w="2471" w:type="pct"/>
            <w:vAlign w:val="center"/>
          </w:tcPr>
          <w:p>
            <w:pPr>
              <w:ind w:firstLine="0" w:firstLineChars="0"/>
              <w:jc w:val="center"/>
              <w:rPr>
                <w:rFonts w:ascii="宋体" w:hAnsi="宋体"/>
                <w:bCs/>
                <w:highlight w:val="none"/>
              </w:rPr>
            </w:pPr>
            <w:r>
              <w:rPr>
                <w:rFonts w:hint="eastAsia" w:ascii="宋体" w:hAnsi="宋体"/>
                <w:bCs/>
                <w:highlight w:val="none"/>
              </w:rPr>
              <w:t>采购需求</w:t>
            </w:r>
          </w:p>
        </w:tc>
        <w:tc>
          <w:tcPr>
            <w:tcW w:w="612" w:type="pct"/>
            <w:vAlign w:val="center"/>
          </w:tcPr>
          <w:p>
            <w:pPr>
              <w:ind w:firstLine="0" w:firstLineChars="0"/>
              <w:jc w:val="center"/>
              <w:rPr>
                <w:rFonts w:ascii="宋体" w:hAnsi="宋体"/>
                <w:bCs/>
                <w:highlight w:val="none"/>
              </w:rPr>
            </w:pPr>
            <w:r>
              <w:rPr>
                <w:rFonts w:hint="eastAsia" w:ascii="宋体" w:hAnsi="宋体"/>
                <w:bCs/>
                <w:highlight w:val="none"/>
              </w:rPr>
              <w:t>单位</w:t>
            </w:r>
          </w:p>
        </w:tc>
        <w:tc>
          <w:tcPr>
            <w:tcW w:w="613" w:type="pct"/>
            <w:vAlign w:val="center"/>
          </w:tcPr>
          <w:p>
            <w:pPr>
              <w:ind w:firstLine="0" w:firstLineChars="0"/>
              <w:jc w:val="center"/>
              <w:rPr>
                <w:rFonts w:ascii="宋体" w:hAnsi="宋体"/>
                <w:bCs/>
                <w:highlight w:val="none"/>
              </w:rPr>
            </w:pPr>
            <w:r>
              <w:rPr>
                <w:rFonts w:hint="eastAsia" w:ascii="宋体" w:hAnsi="宋体"/>
                <w:bCs/>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0" w:type="pct"/>
            <w:vAlign w:val="center"/>
          </w:tcPr>
          <w:p>
            <w:pPr>
              <w:ind w:firstLine="480"/>
              <w:rPr>
                <w:rFonts w:ascii="宋体" w:hAnsi="宋体"/>
                <w:bCs/>
                <w:highlight w:val="none"/>
              </w:rPr>
            </w:pPr>
            <w:r>
              <w:rPr>
                <w:rFonts w:hint="eastAsia" w:ascii="宋体" w:hAnsi="宋体"/>
                <w:bCs/>
                <w:highlight w:val="none"/>
              </w:rPr>
              <w:t>1</w:t>
            </w:r>
          </w:p>
        </w:tc>
        <w:tc>
          <w:tcPr>
            <w:tcW w:w="612" w:type="pct"/>
            <w:vAlign w:val="center"/>
          </w:tcPr>
          <w:p>
            <w:pPr>
              <w:widowControl/>
              <w:spacing w:line="360" w:lineRule="exact"/>
              <w:ind w:firstLine="0" w:firstLineChars="0"/>
              <w:rPr>
                <w:rFonts w:ascii="宋体" w:hAnsi="宋体" w:cs="宋体"/>
                <w:bCs/>
                <w:kern w:val="0"/>
                <w:highlight w:val="none"/>
              </w:rPr>
            </w:pPr>
            <w:r>
              <w:rPr>
                <w:rFonts w:hint="eastAsia" w:ascii="宋体" w:hAnsi="宋体" w:cs="宋体"/>
                <w:b/>
                <w:bCs/>
                <w:highlight w:val="none"/>
              </w:rPr>
              <w:t>▲</w:t>
            </w:r>
            <w:r>
              <w:rPr>
                <w:rFonts w:hint="eastAsia" w:ascii="宋体" w:hAnsi="宋体" w:cs="宋体"/>
                <w:bCs/>
                <w:kern w:val="0"/>
                <w:highlight w:val="none"/>
              </w:rPr>
              <w:t>连续平板式刮膜机</w:t>
            </w:r>
          </w:p>
        </w:tc>
        <w:tc>
          <w:tcPr>
            <w:tcW w:w="2471" w:type="pct"/>
            <w:shd w:val="clear" w:color="auto" w:fill="auto"/>
            <w:vAlign w:val="center"/>
          </w:tcPr>
          <w:p>
            <w:pPr>
              <w:ind w:firstLine="480"/>
              <w:jc w:val="left"/>
              <w:rPr>
                <w:rFonts w:ascii="宋体" w:hAnsi="宋体"/>
                <w:bCs/>
                <w:szCs w:val="21"/>
                <w:highlight w:val="none"/>
              </w:rPr>
            </w:pPr>
            <w:r>
              <w:rPr>
                <w:rFonts w:hint="eastAsia" w:ascii="宋体" w:hAnsi="宋体"/>
                <w:bCs/>
                <w:szCs w:val="21"/>
                <w:highlight w:val="none"/>
              </w:rPr>
              <w:t>1.自动化程度高，满足TIPS法平板膜连续化生产和实验室制膜过程科研、教学参数调控。</w:t>
            </w:r>
          </w:p>
          <w:p>
            <w:pPr>
              <w:ind w:firstLine="480"/>
              <w:jc w:val="left"/>
              <w:rPr>
                <w:rFonts w:ascii="宋体" w:hAnsi="宋体"/>
                <w:bCs/>
                <w:szCs w:val="21"/>
                <w:highlight w:val="none"/>
              </w:rPr>
            </w:pPr>
            <w:r>
              <w:rPr>
                <w:rFonts w:hint="eastAsia" w:ascii="宋体" w:hAnsi="宋体"/>
                <w:bCs/>
                <w:szCs w:val="21"/>
                <w:highlight w:val="none"/>
              </w:rPr>
              <w:t>2.收卷架独立于设备外并设置纠偏，收卷导轮设置张力控制，张力不大于5 kg。</w:t>
            </w:r>
          </w:p>
          <w:p>
            <w:pPr>
              <w:ind w:firstLine="482"/>
              <w:jc w:val="left"/>
              <w:rPr>
                <w:rFonts w:ascii="宋体" w:hAnsi="宋体"/>
                <w:bCs/>
                <w:szCs w:val="21"/>
                <w:highlight w:val="none"/>
              </w:rPr>
            </w:pPr>
            <w:r>
              <w:rPr>
                <w:rFonts w:hint="eastAsia" w:ascii="宋体" w:hAnsi="宋体" w:cs="宋体"/>
                <w:b/>
                <w:bCs/>
                <w:highlight w:val="none"/>
              </w:rPr>
              <w:t>★</w:t>
            </w:r>
            <w:r>
              <w:rPr>
                <w:rFonts w:hint="eastAsia" w:ascii="宋体" w:hAnsi="宋体"/>
                <w:bCs/>
                <w:szCs w:val="21"/>
                <w:highlight w:val="none"/>
              </w:rPr>
              <w:t>3.背辊具备温度控制，材料为不锈钢316L或者PTFE，表面光滑（Ra 0.4），表面防锈或阳极氧化处理（硬质）；温度控制范围：室温至240℃。</w:t>
            </w:r>
          </w:p>
          <w:p>
            <w:pPr>
              <w:ind w:firstLine="482"/>
              <w:jc w:val="left"/>
              <w:rPr>
                <w:rFonts w:ascii="宋体" w:hAnsi="宋体"/>
                <w:bCs/>
                <w:szCs w:val="21"/>
                <w:highlight w:val="none"/>
              </w:rPr>
            </w:pPr>
            <w:r>
              <w:rPr>
                <w:rFonts w:hint="eastAsia" w:ascii="宋体" w:hAnsi="宋体" w:cs="宋体"/>
                <w:b/>
                <w:bCs/>
                <w:highlight w:val="none"/>
              </w:rPr>
              <w:t>★</w:t>
            </w:r>
            <w:r>
              <w:rPr>
                <w:rFonts w:hint="eastAsia" w:ascii="宋体" w:hAnsi="宋体"/>
                <w:bCs/>
                <w:szCs w:val="21"/>
                <w:highlight w:val="none"/>
              </w:rPr>
              <w:t>4.进料滑轨采用手柄拧动，设置从槽底至丝杆顶部高度尺（精度0.1 mm）。</w:t>
            </w:r>
          </w:p>
          <w:p>
            <w:pPr>
              <w:ind w:firstLine="480"/>
              <w:jc w:val="left"/>
              <w:rPr>
                <w:rFonts w:ascii="宋体" w:hAnsi="宋体"/>
                <w:bCs/>
                <w:szCs w:val="21"/>
                <w:highlight w:val="none"/>
              </w:rPr>
            </w:pPr>
            <w:r>
              <w:rPr>
                <w:rFonts w:hint="eastAsia" w:ascii="宋体" w:hAnsi="宋体"/>
                <w:bCs/>
                <w:szCs w:val="21"/>
                <w:highlight w:val="none"/>
              </w:rPr>
              <w:t>5.制膜无纺布不暴露于空气中，需设置防尘罩，兼顾保温，例如：可视化的硼砂玻璃罩，罩住膜正面和背面（温度范围：60℃~120℃）。</w:t>
            </w:r>
          </w:p>
          <w:p>
            <w:pPr>
              <w:ind w:firstLine="480"/>
              <w:jc w:val="left"/>
              <w:rPr>
                <w:rFonts w:ascii="宋体" w:hAnsi="宋体"/>
                <w:bCs/>
                <w:szCs w:val="21"/>
                <w:highlight w:val="none"/>
              </w:rPr>
            </w:pPr>
            <w:r>
              <w:rPr>
                <w:rFonts w:hint="eastAsia" w:ascii="宋体" w:hAnsi="宋体"/>
                <w:bCs/>
                <w:szCs w:val="21"/>
                <w:highlight w:val="none"/>
              </w:rPr>
              <w:t>6.凝胶区（保温），介质：油或水，温度：室温至90℃，循环，排料，溢流，并设置油水分离罐，罐有效体积：10L，底部配磁力泵回流至料槽，手动间歇停启，并设置外排口（DN25）。</w:t>
            </w:r>
          </w:p>
          <w:p>
            <w:pPr>
              <w:ind w:firstLine="480"/>
              <w:jc w:val="left"/>
              <w:rPr>
                <w:rFonts w:ascii="宋体" w:hAnsi="宋体"/>
                <w:bCs/>
                <w:szCs w:val="21"/>
                <w:highlight w:val="none"/>
              </w:rPr>
            </w:pPr>
            <w:r>
              <w:rPr>
                <w:rFonts w:hint="eastAsia" w:ascii="宋体" w:hAnsi="宋体"/>
                <w:bCs/>
                <w:szCs w:val="21"/>
                <w:highlight w:val="none"/>
              </w:rPr>
              <w:t>7.清洗区（保温），介质：水，温度：室温至70℃，循环，排料，溢流至油水收集罐，去油水收集罐管路设置阀门（DN25）。</w:t>
            </w:r>
          </w:p>
          <w:p>
            <w:pPr>
              <w:ind w:firstLine="480"/>
              <w:jc w:val="left"/>
              <w:rPr>
                <w:rFonts w:ascii="宋体" w:hAnsi="宋体"/>
                <w:bCs/>
                <w:szCs w:val="21"/>
                <w:highlight w:val="none"/>
              </w:rPr>
            </w:pPr>
            <w:r>
              <w:rPr>
                <w:rFonts w:hint="eastAsia" w:ascii="宋体" w:hAnsi="宋体"/>
                <w:bCs/>
                <w:szCs w:val="21"/>
                <w:highlight w:val="none"/>
              </w:rPr>
              <w:t>8.萃取区，介质：乙醇，温度：室温，循环，排料，设置密封罩，吸风机排气口，排气口DN65，排料口（DN25）。</w:t>
            </w:r>
          </w:p>
          <w:p>
            <w:pPr>
              <w:ind w:firstLine="480"/>
              <w:jc w:val="left"/>
              <w:rPr>
                <w:rFonts w:ascii="宋体" w:hAnsi="宋体"/>
                <w:bCs/>
                <w:szCs w:val="21"/>
                <w:highlight w:val="none"/>
              </w:rPr>
            </w:pPr>
            <w:r>
              <w:rPr>
                <w:rFonts w:hint="eastAsia" w:ascii="宋体" w:hAnsi="宋体"/>
                <w:bCs/>
                <w:szCs w:val="21"/>
                <w:highlight w:val="none"/>
              </w:rPr>
              <w:t>9. 溶剂萃取系统，类似反渗透的清洗系统，总长：2100 mm，设置三个区，每一个区温度逐渐增加，温度控制范围室温至50℃，介质：酒精，可以采用主动放卷和主动收卷（正反转，设置限位），电机和电器元件做防爆保护，防爆等级dIIt6，并设置集气罩与尾气吸收罐，吸收介质：室温自来水）</w:t>
            </w:r>
          </w:p>
          <w:p>
            <w:pPr>
              <w:ind w:firstLine="480"/>
              <w:jc w:val="left"/>
              <w:rPr>
                <w:rFonts w:ascii="宋体" w:hAnsi="宋体"/>
                <w:bCs/>
                <w:szCs w:val="21"/>
                <w:highlight w:val="none"/>
              </w:rPr>
            </w:pPr>
            <w:r>
              <w:rPr>
                <w:rFonts w:hint="eastAsia" w:ascii="宋体" w:hAnsi="宋体"/>
                <w:bCs/>
                <w:szCs w:val="21"/>
                <w:highlight w:val="none"/>
              </w:rPr>
              <w:t>10.长期稳定性好，液体槽密闭性良好稳定，机器运行平稳，可连续化制膜。</w:t>
            </w:r>
          </w:p>
          <w:p>
            <w:pPr>
              <w:ind w:firstLine="480"/>
              <w:jc w:val="left"/>
              <w:rPr>
                <w:rFonts w:ascii="宋体" w:hAnsi="宋体"/>
                <w:bCs/>
                <w:szCs w:val="21"/>
                <w:highlight w:val="none"/>
              </w:rPr>
            </w:pPr>
            <w:r>
              <w:rPr>
                <w:rFonts w:hint="eastAsia" w:ascii="宋体" w:hAnsi="宋体"/>
                <w:bCs/>
                <w:szCs w:val="21"/>
                <w:highlight w:val="none"/>
              </w:rPr>
              <w:t>11.提供设备工艺图和机械图纸，控制电路图纸。</w:t>
            </w:r>
          </w:p>
        </w:tc>
        <w:tc>
          <w:tcPr>
            <w:tcW w:w="612" w:type="pct"/>
            <w:shd w:val="clear" w:color="auto" w:fill="auto"/>
            <w:vAlign w:val="center"/>
          </w:tcPr>
          <w:p>
            <w:pPr>
              <w:ind w:firstLine="0" w:firstLineChars="0"/>
              <w:jc w:val="center"/>
              <w:rPr>
                <w:rFonts w:hint="default" w:ascii="宋体" w:hAnsi="宋体" w:eastAsia="宋体"/>
                <w:bCs/>
                <w:highlight w:val="none"/>
                <w:lang w:val="en-US" w:eastAsia="zh-CN"/>
              </w:rPr>
            </w:pPr>
            <w:r>
              <w:rPr>
                <w:rFonts w:hint="eastAsia" w:ascii="宋体" w:hAnsi="宋体"/>
                <w:bCs/>
                <w:highlight w:val="none"/>
                <w:lang w:val="en-US" w:eastAsia="zh-CN"/>
              </w:rPr>
              <w:t>台</w:t>
            </w:r>
          </w:p>
        </w:tc>
        <w:tc>
          <w:tcPr>
            <w:tcW w:w="613" w:type="pct"/>
            <w:shd w:val="clear" w:color="auto" w:fill="auto"/>
            <w:vAlign w:val="center"/>
          </w:tcPr>
          <w:p>
            <w:pPr>
              <w:ind w:firstLine="0" w:firstLineChars="0"/>
              <w:jc w:val="center"/>
              <w:rPr>
                <w:rFonts w:hint="eastAsia" w:ascii="宋体" w:hAnsi="宋体" w:eastAsia="宋体"/>
                <w:bCs/>
                <w:highlight w:val="none"/>
                <w:lang w:val="en-US" w:eastAsia="zh-CN"/>
              </w:rPr>
            </w:pPr>
            <w:r>
              <w:rPr>
                <w:rFonts w:hint="eastAsia" w:ascii="宋体" w:hAnsi="宋体"/>
                <w:bCs/>
                <w:highlight w:val="none"/>
                <w:lang w:val="en-US" w:eastAsia="zh-CN"/>
              </w:rPr>
              <w:t>1</w:t>
            </w:r>
          </w:p>
        </w:tc>
      </w:tr>
    </w:tbl>
    <w:p>
      <w:pPr>
        <w:ind w:firstLine="482"/>
        <w:rPr>
          <w:rFonts w:ascii="宋体" w:hAnsi="宋体" w:cs="宋体"/>
          <w:b/>
          <w:bCs/>
          <w:highlight w:val="none"/>
        </w:rPr>
      </w:pPr>
      <w:bookmarkStart w:id="3" w:name="_Toc30464"/>
      <w:bookmarkStart w:id="4" w:name="_Toc5692"/>
      <w:bookmarkStart w:id="5" w:name="_Toc19080"/>
      <w:bookmarkStart w:id="6" w:name="_Toc9277"/>
      <w:r>
        <w:rPr>
          <w:rFonts w:hint="eastAsia" w:ascii="宋体" w:hAnsi="宋体" w:cs="宋体"/>
          <w:b/>
          <w:bCs/>
          <w:highlight w:val="none"/>
        </w:rPr>
        <w:t>1.加注“★”号条款为实质性条款，不得出现负偏离，发生负偏离即做无效标处理。</w:t>
      </w:r>
    </w:p>
    <w:p>
      <w:pPr>
        <w:ind w:firstLine="482"/>
        <w:rPr>
          <w:rFonts w:ascii="宋体" w:hAnsi="宋体" w:cs="宋体"/>
          <w:b/>
          <w:bCs/>
          <w:highlight w:val="none"/>
        </w:rPr>
      </w:pPr>
      <w:r>
        <w:rPr>
          <w:rFonts w:hint="eastAsia" w:ascii="宋体" w:hAnsi="宋体" w:cs="宋体"/>
          <w:b/>
          <w:bCs/>
          <w:highlight w:val="none"/>
        </w:rPr>
        <w:t>2.项目需求中涉及的参照品牌、型号仅起说明作用，并没有任何限制性，投标人可以选用其他替代品牌或型号，但这些替代要实质上优于或相当于招标要求。</w:t>
      </w:r>
    </w:p>
    <w:p>
      <w:pPr>
        <w:ind w:firstLine="482"/>
        <w:rPr>
          <w:rFonts w:ascii="宋体" w:hAnsi="宋体" w:cs="宋体"/>
          <w:highlight w:val="none"/>
        </w:rPr>
      </w:pPr>
      <w:r>
        <w:rPr>
          <w:rFonts w:hint="eastAsia" w:ascii="宋体" w:hAnsi="宋体" w:cs="宋体"/>
          <w:b/>
          <w:bCs/>
          <w:highlight w:val="none"/>
        </w:rPr>
        <w:t>3.加注“▲”号的产品为核心产品（如项目需求书中未明确核心产品，则视为全部产品均为核心产品），任意一种核心产品为同一品牌时，按照第三部分“投标须知”中“五、不同投标人所投产品均为同一品牌或任一核心产品为同一品牌时，按以下原则处理”执行。</w:t>
      </w:r>
    </w:p>
    <w:p>
      <w:pPr>
        <w:ind w:right="-175" w:rightChars="-73" w:firstLine="482"/>
        <w:rPr>
          <w:rFonts w:ascii="宋体" w:hAnsi="宋体" w:cs="宋体"/>
          <w:b/>
          <w:highlight w:val="none"/>
        </w:rPr>
      </w:pPr>
    </w:p>
    <w:p>
      <w:pPr>
        <w:ind w:firstLine="480"/>
        <w:rPr>
          <w:rFonts w:ascii="宋体" w:hAnsi="宋体" w:cs="宋体"/>
          <w:highlight w:val="none"/>
        </w:rPr>
      </w:pPr>
      <w:r>
        <w:rPr>
          <w:rFonts w:hint="eastAsia" w:ascii="宋体" w:hAnsi="宋体" w:cs="宋体"/>
          <w:highlight w:val="none"/>
        </w:rPr>
        <w:br w:type="page"/>
      </w:r>
      <w:bookmarkEnd w:id="3"/>
      <w:bookmarkEnd w:id="4"/>
      <w:bookmarkEnd w:id="5"/>
      <w:bookmarkEnd w:id="6"/>
    </w:p>
    <w:p>
      <w:pPr>
        <w:pStyle w:val="4"/>
        <w:spacing w:after="314"/>
        <w:rPr>
          <w:highlight w:val="none"/>
        </w:rPr>
      </w:pPr>
      <w:bookmarkStart w:id="7" w:name="_Toc21316"/>
      <w:r>
        <w:rPr>
          <w:rFonts w:hint="eastAsia"/>
          <w:highlight w:val="none"/>
        </w:rPr>
        <w:t xml:space="preserve"> 投 标 须 知</w:t>
      </w:r>
      <w:bookmarkEnd w:id="7"/>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71" w:type="pct"/>
            <w:vAlign w:val="center"/>
          </w:tcPr>
          <w:p>
            <w:pPr>
              <w:ind w:firstLine="0" w:firstLineChars="0"/>
              <w:rPr>
                <w:rFonts w:ascii="宋体" w:hAnsi="宋体" w:cs="宋体"/>
                <w:bCs/>
                <w:highlight w:val="none"/>
              </w:rPr>
            </w:pPr>
            <w:r>
              <w:rPr>
                <w:rFonts w:hint="eastAsia" w:ascii="宋体" w:hAnsi="宋体" w:cs="宋体"/>
                <w:bCs/>
                <w:highlight w:val="none"/>
              </w:rPr>
              <w:t>序号</w:t>
            </w:r>
          </w:p>
        </w:tc>
        <w:tc>
          <w:tcPr>
            <w:tcW w:w="4628" w:type="pct"/>
            <w:vAlign w:val="center"/>
          </w:tcPr>
          <w:p>
            <w:pPr>
              <w:ind w:firstLine="480"/>
              <w:jc w:val="center"/>
              <w:rPr>
                <w:rFonts w:ascii="宋体" w:hAnsi="宋体" w:cs="宋体"/>
                <w:bCs/>
                <w:highlight w:val="none"/>
              </w:rPr>
            </w:pPr>
            <w:r>
              <w:rPr>
                <w:rFonts w:hint="eastAsia" w:ascii="宋体" w:hAnsi="宋体" w:cs="宋体"/>
                <w:bCs/>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开标一览表除在投标文件中提供外，还需单独封装1份，并密封提交。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2</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投标备选方案：不适用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3</w:t>
            </w:r>
          </w:p>
        </w:tc>
        <w:tc>
          <w:tcPr>
            <w:tcW w:w="4628" w:type="pct"/>
            <w:vAlign w:val="center"/>
          </w:tcPr>
          <w:p>
            <w:pPr>
              <w:pStyle w:val="11"/>
              <w:ind w:firstLine="0" w:firstLineChars="0"/>
              <w:rPr>
                <w:bCs/>
                <w:highlight w:val="none"/>
                <w:lang w:val="en-US"/>
              </w:rPr>
            </w:pPr>
            <w:r>
              <w:rPr>
                <w:rFonts w:hint="eastAsia"/>
                <w:bCs/>
                <w:highlight w:val="none"/>
                <w:lang w:val="en-US"/>
              </w:rPr>
              <w:t>商务要求：</w:t>
            </w:r>
          </w:p>
          <w:p>
            <w:pPr>
              <w:pStyle w:val="11"/>
              <w:ind w:firstLine="0" w:firstLineChars="0"/>
              <w:rPr>
                <w:bCs/>
                <w:highlight w:val="none"/>
                <w:lang w:val="en-US"/>
              </w:rPr>
            </w:pPr>
            <w:r>
              <w:rPr>
                <w:rFonts w:hint="eastAsia"/>
                <w:bCs/>
                <w:highlight w:val="none"/>
                <w:lang w:val="en-US"/>
              </w:rPr>
              <w:t>1、合同履行期限：合同生效定金后100天交货（有严重疫情发生顺延）</w:t>
            </w:r>
          </w:p>
          <w:p>
            <w:pPr>
              <w:pStyle w:val="11"/>
              <w:ind w:firstLine="0" w:firstLineChars="0"/>
              <w:rPr>
                <w:bCs/>
                <w:highlight w:val="none"/>
                <w:lang w:val="en-US"/>
              </w:rPr>
            </w:pPr>
            <w:r>
              <w:rPr>
                <w:rFonts w:hint="eastAsia"/>
                <w:bCs/>
                <w:highlight w:val="none"/>
                <w:lang w:val="en-US"/>
              </w:rPr>
              <w:t>2、交货地点：滨海中校区8-B108房间</w:t>
            </w:r>
          </w:p>
          <w:p>
            <w:pPr>
              <w:pStyle w:val="11"/>
              <w:ind w:firstLine="0" w:firstLineChars="0"/>
              <w:rPr>
                <w:bCs/>
                <w:highlight w:val="none"/>
                <w:lang w:val="en-US"/>
              </w:rPr>
            </w:pPr>
            <w:r>
              <w:rPr>
                <w:rFonts w:hint="eastAsia"/>
                <w:bCs/>
                <w:highlight w:val="none"/>
                <w:lang w:val="en-US"/>
              </w:rPr>
              <w:t>3、报价要求</w:t>
            </w:r>
          </w:p>
          <w:p>
            <w:pPr>
              <w:pStyle w:val="11"/>
              <w:ind w:firstLine="0" w:firstLineChars="0"/>
              <w:rPr>
                <w:bCs/>
                <w:highlight w:val="none"/>
                <w:lang w:val="en-US"/>
              </w:rPr>
            </w:pPr>
            <w:r>
              <w:rPr>
                <w:rFonts w:hint="eastAsia"/>
                <w:bCs/>
                <w:highlight w:val="none"/>
                <w:lang w:val="en-US"/>
              </w:rPr>
              <w:t>3.1报价以人民币填报（同时填报金额大小写，大小写不一致时，以大写为准）。</w:t>
            </w:r>
          </w:p>
          <w:p>
            <w:pPr>
              <w:pStyle w:val="10"/>
              <w:ind w:firstLine="0" w:firstLineChars="0"/>
              <w:rPr>
                <w:rFonts w:ascii="宋体" w:hAnsi="宋体" w:cs="宋体"/>
                <w:sz w:val="24"/>
                <w:highlight w:val="none"/>
              </w:rPr>
            </w:pPr>
            <w:r>
              <w:rPr>
                <w:rFonts w:hint="eastAsia" w:ascii="宋体" w:hAnsi="宋体" w:cs="宋体"/>
                <w:bCs/>
                <w:sz w:val="24"/>
                <w:highlight w:val="none"/>
              </w:rPr>
              <w:t>3.2投标报价应包含：产品及附件货款、运输费、运输保险费、装卸费、安装调试费、代理服务费和产品及附件货款、运输费、运输保险费、装卸费、安装调试费 、企业利润及税金等为完成招标文件规定的一切工作所需的全部费用。投标人所报价格应为最终优惠价格</w:t>
            </w:r>
            <w:r>
              <w:rPr>
                <w:rFonts w:hint="eastAsia" w:ascii="宋体" w:hAnsi="宋体" w:cs="宋体"/>
                <w:sz w:val="24"/>
                <w:highlight w:val="none"/>
              </w:rPr>
              <w:t>。</w:t>
            </w:r>
          </w:p>
          <w:p>
            <w:pPr>
              <w:pStyle w:val="11"/>
              <w:ind w:firstLine="0" w:firstLineChars="0"/>
              <w:rPr>
                <w:bCs/>
                <w:highlight w:val="none"/>
                <w:lang w:val="en-US"/>
              </w:rPr>
            </w:pPr>
            <w:r>
              <w:rPr>
                <w:rFonts w:hint="eastAsia"/>
                <w:bCs/>
                <w:highlight w:val="none"/>
                <w:lang w:val="en-US"/>
              </w:rPr>
              <w:t>3.4验收等相关费用由成交投标人承担。</w:t>
            </w:r>
          </w:p>
          <w:p>
            <w:pPr>
              <w:pStyle w:val="11"/>
              <w:ind w:firstLine="0" w:firstLineChars="0"/>
              <w:rPr>
                <w:bCs/>
                <w:highlight w:val="none"/>
                <w:lang w:val="en-US"/>
              </w:rPr>
            </w:pPr>
            <w:r>
              <w:rPr>
                <w:rFonts w:hint="eastAsia"/>
                <w:bCs/>
                <w:highlight w:val="none"/>
                <w:lang w:val="en-US"/>
              </w:rPr>
              <w:t>4、投标人不得转包、分包。</w:t>
            </w:r>
          </w:p>
          <w:p>
            <w:pPr>
              <w:pStyle w:val="11"/>
              <w:ind w:firstLine="0" w:firstLineChars="0"/>
              <w:rPr>
                <w:b/>
                <w:highlight w:val="none"/>
                <w:lang w:val="en-US"/>
              </w:rPr>
            </w:pPr>
            <w:r>
              <w:rPr>
                <w:rFonts w:hint="eastAsia"/>
                <w:bCs/>
                <w:highlight w:val="none"/>
                <w:lang w:val="en-US"/>
              </w:rPr>
              <w:t>5、付款方式：签订合同之日起10个工作日内支付合同总额的60%，设备安装调试验收合格后10个工作日内支付合同总额的30%，自验收合格之日起1年后10个工作日内支付合同总额10%的货款（特殊情况以合同为准）。</w:t>
            </w:r>
          </w:p>
          <w:p>
            <w:pPr>
              <w:pStyle w:val="11"/>
              <w:ind w:firstLine="0" w:firstLineChars="0"/>
              <w:rPr>
                <w:highlight w:val="none"/>
              </w:rPr>
            </w:pPr>
            <w:r>
              <w:rPr>
                <w:rFonts w:hint="eastAsia"/>
                <w:bCs/>
                <w:highlight w:val="none"/>
                <w:lang w:val="en-US"/>
              </w:rPr>
              <w:t>6、具体需求详见项目需求书。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4</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技术要求：</w:t>
            </w:r>
          </w:p>
          <w:p>
            <w:pPr>
              <w:ind w:firstLine="0" w:firstLineChars="0"/>
              <w:rPr>
                <w:rFonts w:ascii="宋体" w:hAnsi="宋体" w:cs="宋体"/>
                <w:bCs/>
                <w:highlight w:val="none"/>
              </w:rPr>
            </w:pPr>
            <w:r>
              <w:rPr>
                <w:rFonts w:hint="eastAsia" w:ascii="宋体" w:hAnsi="宋体" w:cs="宋体"/>
                <w:bCs/>
                <w:highlight w:val="none"/>
              </w:rPr>
              <w:t>1、提供所投产品1年的免费上门保修，终身维修。保修期内7×24小时技术响应，12小时内维修工程师到达维修现场。保修期自验收合格之日起计算。</w:t>
            </w:r>
          </w:p>
          <w:p>
            <w:pPr>
              <w:ind w:firstLine="0" w:firstLineChars="0"/>
              <w:rPr>
                <w:rFonts w:ascii="宋体" w:hAnsi="宋体" w:cs="宋体"/>
                <w:bCs/>
                <w:highlight w:val="none"/>
              </w:rPr>
            </w:pPr>
            <w:r>
              <w:rPr>
                <w:rFonts w:hint="eastAsia" w:ascii="宋体" w:hAnsi="宋体" w:cs="宋体"/>
                <w:bCs/>
                <w:highlight w:val="none"/>
              </w:rPr>
              <w:t>2、投标人须提供所投产品生产厂家服务机构情况，包括地址、联系方式及技术人员数量等。</w:t>
            </w:r>
          </w:p>
          <w:p>
            <w:pPr>
              <w:ind w:firstLine="0" w:firstLineChars="0"/>
              <w:rPr>
                <w:rFonts w:ascii="宋体" w:hAnsi="宋体" w:cs="宋体"/>
                <w:bCs/>
                <w:highlight w:val="none"/>
              </w:rPr>
            </w:pPr>
            <w:r>
              <w:rPr>
                <w:rFonts w:hint="eastAsia" w:ascii="宋体" w:hAnsi="宋体" w:cs="宋体"/>
                <w:bCs/>
                <w:highlight w:val="none"/>
              </w:rPr>
              <w:t>3、提供原厂标准的易耗品、消耗材料价格清单及折扣率，保修期后设备维修的价格清单及折扣率。</w:t>
            </w:r>
          </w:p>
          <w:p>
            <w:pPr>
              <w:ind w:firstLine="0" w:firstLineChars="0"/>
              <w:rPr>
                <w:rFonts w:ascii="宋体" w:hAnsi="宋体" w:cs="宋体"/>
                <w:bCs/>
                <w:highlight w:val="none"/>
              </w:rPr>
            </w:pPr>
            <w:r>
              <w:rPr>
                <w:rFonts w:hint="eastAsia" w:ascii="宋体" w:hAnsi="宋体" w:cs="宋体"/>
                <w:bCs/>
                <w:highlight w:val="none"/>
              </w:rPr>
              <w:t>4、提供现场技术培训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snapToGrid w:val="0"/>
              <w:ind w:firstLine="480"/>
              <w:jc w:val="center"/>
              <w:rPr>
                <w:rFonts w:ascii="宋体" w:hAnsi="宋体" w:cs="宋体"/>
                <w:bCs/>
                <w:highlight w:val="none"/>
              </w:rPr>
            </w:pPr>
            <w:r>
              <w:rPr>
                <w:rFonts w:hint="eastAsia" w:ascii="宋体" w:hAnsi="宋体" w:cs="宋体"/>
                <w:bCs/>
                <w:highlight w:val="none"/>
              </w:rPr>
              <w:t>5</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投标保证金提交要求：</w:t>
            </w:r>
          </w:p>
          <w:p>
            <w:pPr>
              <w:ind w:firstLine="0" w:firstLineChars="0"/>
              <w:rPr>
                <w:rFonts w:ascii="宋体" w:hAnsi="宋体" w:cs="宋体"/>
                <w:bCs/>
                <w:highlight w:val="none"/>
              </w:rPr>
            </w:pPr>
            <w:r>
              <w:rPr>
                <w:rFonts w:hint="eastAsia" w:ascii="宋体" w:hAnsi="宋体" w:cs="宋体"/>
                <w:bCs/>
                <w:highlight w:val="none"/>
              </w:rPr>
              <w:t>以电汇等非现金形式缴纳投标保证金9800元整（</w:t>
            </w:r>
            <w:r>
              <w:rPr>
                <w:rFonts w:hint="eastAsia" w:ascii="宋体" w:hAnsi="宋体" w:cs="宋体"/>
                <w:bCs/>
                <w:highlight w:val="none"/>
                <w:lang w:val="zh-TW" w:eastAsia="zh-TW"/>
              </w:rPr>
              <w:t>电汇银行开户名称与参与</w:t>
            </w:r>
            <w:r>
              <w:rPr>
                <w:rFonts w:hint="eastAsia" w:ascii="宋体" w:hAnsi="宋体" w:cs="宋体"/>
                <w:bCs/>
                <w:highlight w:val="none"/>
              </w:rPr>
              <w:t>投标人</w:t>
            </w:r>
            <w:r>
              <w:rPr>
                <w:rFonts w:hint="eastAsia" w:ascii="宋体" w:hAnsi="宋体" w:cs="宋体"/>
                <w:bCs/>
                <w:highlight w:val="none"/>
                <w:lang w:val="zh-TW" w:eastAsia="zh-TW"/>
              </w:rPr>
              <w:t>名称一致</w:t>
            </w:r>
            <w:r>
              <w:rPr>
                <w:rFonts w:hint="eastAsia" w:ascii="宋体" w:hAnsi="宋体" w:cs="宋体"/>
                <w:bCs/>
                <w:highlight w:val="none"/>
              </w:rPr>
              <w:t>）</w:t>
            </w:r>
          </w:p>
          <w:p>
            <w:pPr>
              <w:ind w:firstLine="0" w:firstLineChars="0"/>
              <w:rPr>
                <w:rFonts w:ascii="宋体" w:hAnsi="宋体" w:cs="宋体"/>
                <w:b/>
                <w:highlight w:val="none"/>
              </w:rPr>
            </w:pPr>
            <w:r>
              <w:rPr>
                <w:rFonts w:hint="eastAsia" w:ascii="宋体" w:hAnsi="宋体" w:cs="宋体"/>
                <w:bCs/>
                <w:highlight w:val="none"/>
              </w:rPr>
              <w:t>不接受个人电汇，在电汇时请各单位注明项目编号，响应文件提交截止时间后到账的投标保证金无效，由此带来的损失，由投标人自行承担</w:t>
            </w:r>
            <w:r>
              <w:rPr>
                <w:rFonts w:hint="eastAsia" w:ascii="宋体" w:hAnsi="宋体" w:cs="宋体"/>
                <w:b/>
                <w:highlight w:val="none"/>
              </w:rPr>
              <w:t>（保证金收据原件由代理机构工作人员现场发放）。</w:t>
            </w:r>
          </w:p>
          <w:p>
            <w:pPr>
              <w:ind w:firstLine="0" w:firstLineChars="0"/>
              <w:rPr>
                <w:rFonts w:ascii="宋体" w:hAnsi="宋体" w:cs="宋体"/>
                <w:bCs/>
                <w:highlight w:val="none"/>
              </w:rPr>
            </w:pPr>
            <w:r>
              <w:rPr>
                <w:rFonts w:hint="eastAsia" w:ascii="宋体" w:hAnsi="宋体" w:cs="宋体"/>
                <w:bCs/>
                <w:highlight w:val="none"/>
              </w:rPr>
              <w:t xml:space="preserve">代理机构汇款银行及账号：  </w:t>
            </w:r>
          </w:p>
          <w:p>
            <w:pPr>
              <w:ind w:firstLine="0" w:firstLineChars="0"/>
              <w:rPr>
                <w:rFonts w:ascii="宋体" w:hAnsi="宋体" w:cs="宋体"/>
                <w:bCs/>
                <w:highlight w:val="none"/>
              </w:rPr>
            </w:pPr>
            <w:r>
              <w:rPr>
                <w:rFonts w:hint="eastAsia" w:ascii="宋体" w:hAnsi="宋体" w:cs="宋体"/>
                <w:bCs/>
                <w:highlight w:val="none"/>
              </w:rPr>
              <w:t>开户行：招商银行股份有限公司天津滨湖支行；</w:t>
            </w:r>
          </w:p>
          <w:p>
            <w:pPr>
              <w:ind w:firstLine="0" w:firstLineChars="0"/>
              <w:rPr>
                <w:rFonts w:ascii="宋体" w:hAnsi="宋体" w:cs="宋体"/>
                <w:bCs/>
                <w:highlight w:val="none"/>
              </w:rPr>
            </w:pPr>
            <w:r>
              <w:rPr>
                <w:rFonts w:hint="eastAsia" w:ascii="宋体" w:hAnsi="宋体" w:cs="宋体"/>
                <w:bCs/>
                <w:highlight w:val="none"/>
              </w:rPr>
              <w:t xml:space="preserve">账号：122908439710402  </w:t>
            </w:r>
          </w:p>
          <w:p>
            <w:pPr>
              <w:ind w:firstLine="0" w:firstLineChars="0"/>
              <w:rPr>
                <w:rFonts w:ascii="宋体" w:hAnsi="宋体" w:cs="宋体"/>
                <w:bCs/>
                <w:highlight w:val="none"/>
              </w:rPr>
            </w:pPr>
            <w:r>
              <w:rPr>
                <w:rFonts w:hint="eastAsia" w:ascii="宋体" w:hAnsi="宋体" w:cs="宋体"/>
                <w:bCs/>
                <w:highlight w:val="none"/>
              </w:rPr>
              <w:t>名称：公允（天津）招标代理有限公司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snapToGrid w:val="0"/>
              <w:ind w:firstLine="480"/>
              <w:jc w:val="center"/>
              <w:rPr>
                <w:rFonts w:ascii="宋体" w:hAnsi="宋体" w:cs="宋体"/>
                <w:bCs/>
                <w:highlight w:val="none"/>
              </w:rPr>
            </w:pPr>
            <w:r>
              <w:rPr>
                <w:rFonts w:hint="eastAsia" w:ascii="宋体" w:hAnsi="宋体" w:cs="宋体"/>
                <w:bCs/>
                <w:highlight w:val="none"/>
              </w:rPr>
              <w:t>6</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履约保证金：本项目不收取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7</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投标文件有效期：60天（日历日）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8</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投标文件正本1份副本4份和投标文件内容一致的电子版光盘2份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9</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评审方法：综合评分法，详见第四部分《评标方法》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10</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中标候选人产生办法：按得分由高到低顺序确定中标候选人；得分相同的，按投标报价由低到高顺序排列；采购人或评标委员会经采购人授权后按中标候选人顺序确定中标供应商；本项目不承诺投标报价最低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11</w:t>
            </w:r>
          </w:p>
        </w:tc>
        <w:tc>
          <w:tcPr>
            <w:tcW w:w="4628" w:type="pct"/>
            <w:vAlign w:val="center"/>
          </w:tcPr>
          <w:p>
            <w:pPr>
              <w:ind w:firstLine="0" w:firstLineChars="0"/>
              <w:rPr>
                <w:highlight w:val="none"/>
              </w:rPr>
            </w:pPr>
            <w:r>
              <w:rPr>
                <w:rFonts w:hint="eastAsia"/>
                <w:highlight w:val="none"/>
              </w:rPr>
              <w:t>现场踏勘与答疑会：不组织</w:t>
            </w:r>
          </w:p>
          <w:p>
            <w:pPr>
              <w:ind w:firstLine="0" w:firstLineChars="0"/>
              <w:rPr>
                <w:rFonts w:ascii="宋体" w:hAnsi="宋体" w:cs="宋体"/>
                <w:bCs/>
                <w:highlight w:val="none"/>
              </w:rPr>
            </w:pPr>
            <w:r>
              <w:rPr>
                <w:rFonts w:hint="eastAsia" w:ascii="宋体" w:hAnsi="宋体" w:cs="宋体"/>
                <w:bCs/>
                <w:highlight w:val="none"/>
              </w:rPr>
              <w:t>投标人自行踏勘现场发生的费用自理，除采购人的原因外，投标人自行负责在踏勘现场中所发生的人员伤亡和财产损失。投标人自行踏勘项目场地和相关的周边环境情况，为供应商在编制投标文件时提供参考，采购人不对供应商据此作出的判断和决策负责。</w:t>
            </w:r>
          </w:p>
          <w:p>
            <w:pPr>
              <w:pStyle w:val="22"/>
              <w:ind w:firstLine="0" w:firstLineChars="0"/>
              <w:rPr>
                <w:highlight w:val="none"/>
              </w:rPr>
            </w:pPr>
            <w:r>
              <w:rPr>
                <w:rFonts w:hint="eastAsia"/>
                <w:bCs/>
                <w:highlight w:val="none"/>
                <w:lang w:val="en-US"/>
              </w:rPr>
              <w:t>投标人</w:t>
            </w:r>
            <w:r>
              <w:rPr>
                <w:rFonts w:hint="eastAsia"/>
                <w:bCs/>
                <w:highlight w:val="none"/>
              </w:rPr>
              <w:t>到项目场地踏勘以充分了解项目位置、情况、道路、储存空间、装卸限制及任何其他足以影响报价的情况，任何因忽视或误解项目场地情况而导致的索赔或</w:t>
            </w:r>
            <w:r>
              <w:rPr>
                <w:rFonts w:hint="eastAsia"/>
                <w:bCs/>
                <w:highlight w:val="none"/>
                <w:lang w:val="en-US"/>
              </w:rPr>
              <w:t>合同履行期</w:t>
            </w:r>
            <w:r>
              <w:rPr>
                <w:rFonts w:hint="eastAsia"/>
                <w:bCs/>
                <w:highlight w:val="none"/>
              </w:rPr>
              <w:t>延长</w:t>
            </w:r>
            <w:r>
              <w:rPr>
                <w:rFonts w:hint="eastAsia"/>
                <w:bCs/>
                <w:highlight w:val="none"/>
                <w:lang w:val="en-US"/>
              </w:rPr>
              <w:t>的</w:t>
            </w:r>
            <w:r>
              <w:rPr>
                <w:rFonts w:hint="eastAsia"/>
                <w:bCs/>
                <w:highlight w:val="none"/>
              </w:rPr>
              <w:t>申请将不被批准。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12</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投标人应对投标文件所提供的全部资料的真实性承担法律责任，并无条件接受评标委员会对其中任何资料进行核实的要求。评标委员会核对发现有疑义时，投标人应做出解释说明。无正当理由不按时（5 分钟内）作出解释说明的，不予认定。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13</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验收要求：符合国家相关规定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14</w:t>
            </w:r>
          </w:p>
        </w:tc>
        <w:tc>
          <w:tcPr>
            <w:tcW w:w="4628" w:type="pct"/>
            <w:vAlign w:val="center"/>
          </w:tcPr>
          <w:p>
            <w:pPr>
              <w:ind w:firstLine="0" w:firstLineChars="0"/>
              <w:rPr>
                <w:rFonts w:ascii="宋体" w:hAnsi="宋体" w:cs="宋体"/>
                <w:bCs/>
                <w:highlight w:val="none"/>
              </w:rPr>
            </w:pPr>
            <w:r>
              <w:rPr>
                <w:rFonts w:hint="eastAsia" w:ascii="宋体" w:hAnsi="宋体" w:cs="宋体"/>
                <w:bCs/>
                <w:highlight w:val="none"/>
              </w:rPr>
              <w:t>中标供应商应在收到中标通知书的同时向招标代理机构一次性支付招标代理服务费，按照2002（1980）号文件的收取</w:t>
            </w:r>
            <w:r>
              <w:rPr>
                <w:rFonts w:hint="eastAsia" w:ascii="宋体" w:hAnsi="宋体" w:cs="宋体"/>
                <w:bCs/>
                <w:szCs w:val="22"/>
                <w:highlight w:val="none"/>
              </w:rPr>
              <w:t>（以中标金额为基数）</w:t>
            </w:r>
            <w:r>
              <w:rPr>
                <w:rFonts w:hint="eastAsia" w:ascii="宋体" w:hAnsi="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71" w:type="pct"/>
            <w:vAlign w:val="center"/>
          </w:tcPr>
          <w:p>
            <w:pPr>
              <w:ind w:firstLine="480"/>
              <w:jc w:val="center"/>
              <w:rPr>
                <w:rFonts w:ascii="宋体" w:hAnsi="宋体" w:cs="宋体"/>
                <w:bCs/>
                <w:highlight w:val="none"/>
              </w:rPr>
            </w:pPr>
            <w:r>
              <w:rPr>
                <w:rFonts w:hint="eastAsia" w:ascii="宋体" w:hAnsi="宋体" w:cs="宋体"/>
                <w:bCs/>
                <w:highlight w:val="none"/>
              </w:rPr>
              <w:t>15</w:t>
            </w:r>
          </w:p>
        </w:tc>
        <w:tc>
          <w:tcPr>
            <w:tcW w:w="4628" w:type="pct"/>
            <w:vAlign w:val="center"/>
          </w:tcPr>
          <w:p>
            <w:pPr>
              <w:pStyle w:val="10"/>
              <w:ind w:firstLine="0" w:firstLineChars="0"/>
              <w:rPr>
                <w:rFonts w:ascii="宋体" w:hAnsi="宋体" w:cs="宋体"/>
                <w:bCs/>
                <w:sz w:val="24"/>
                <w:highlight w:val="none"/>
              </w:rPr>
            </w:pPr>
            <w:r>
              <w:rPr>
                <w:rFonts w:hint="eastAsia" w:asciiTheme="minorEastAsia" w:hAnsiTheme="minorEastAsia" w:cstheme="minorEastAsia"/>
                <w:b/>
                <w:bCs/>
                <w:kern w:val="0"/>
                <w:sz w:val="24"/>
                <w:highlight w:val="none"/>
              </w:rPr>
              <w:t>重要提示：鉴于当前疫情高发的严峻形势，投标人可在获取招标文件至投标截止日期间，递交或邮寄投标文件。投标人可自行选择不参加开标活动，如放弃参加开标权益，投标人应保持电话畅通，代理机构会通过电话或腾讯会议等方式通报唱标结果。开标全过程将在严密的监控下进行，投标人如对开标过程产生质疑，可依法提出。</w:t>
            </w:r>
          </w:p>
        </w:tc>
      </w:tr>
    </w:tbl>
    <w:p>
      <w:pPr>
        <w:pStyle w:val="14"/>
        <w:adjustRightInd w:val="0"/>
        <w:snapToGrid w:val="0"/>
        <w:ind w:firstLine="480"/>
        <w:rPr>
          <w:rFonts w:hAnsi="宋体" w:cs="宋体"/>
          <w:bCs/>
          <w:highlight w:val="none"/>
        </w:rPr>
      </w:pPr>
    </w:p>
    <w:tbl>
      <w:tblPr>
        <w:tblStyle w:val="23"/>
        <w:tblW w:w="9960"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2411"/>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CellSpacing w:w="0" w:type="dxa"/>
        </w:trPr>
        <w:tc>
          <w:tcPr>
            <w:tcW w:w="2663" w:type="dxa"/>
            <w:vMerge w:val="restart"/>
            <w:vAlign w:val="center"/>
          </w:tcPr>
          <w:p>
            <w:pPr>
              <w:ind w:firstLine="420"/>
              <w:jc w:val="center"/>
              <w:outlineLvl w:val="0"/>
              <w:rPr>
                <w:rFonts w:ascii="宋体" w:hAnsi="宋体" w:cs="宋体"/>
                <w:sz w:val="21"/>
                <w:szCs w:val="21"/>
                <w:highlight w:val="none"/>
              </w:rPr>
            </w:pPr>
            <w:bookmarkStart w:id="8" w:name="_Toc25923"/>
            <w:r>
              <w:rPr>
                <w:rFonts w:hint="eastAsia" w:ascii="宋体" w:hAnsi="宋体" w:cs="宋体"/>
                <w:sz w:val="21"/>
                <w:szCs w:val="21"/>
                <w:highlight w:val="none"/>
              </w:rPr>
              <w:t>中标金额（万元）</w:t>
            </w:r>
            <w:bookmarkEnd w:id="8"/>
          </w:p>
        </w:tc>
        <w:tc>
          <w:tcPr>
            <w:tcW w:w="7068" w:type="dxa"/>
            <w:gridSpan w:val="3"/>
            <w:vAlign w:val="center"/>
          </w:tcPr>
          <w:p>
            <w:pPr>
              <w:ind w:firstLine="420"/>
              <w:jc w:val="center"/>
              <w:outlineLvl w:val="0"/>
              <w:rPr>
                <w:rFonts w:ascii="宋体" w:hAnsi="宋体" w:cs="宋体"/>
                <w:sz w:val="21"/>
                <w:szCs w:val="21"/>
                <w:highlight w:val="none"/>
              </w:rPr>
            </w:pPr>
            <w:bookmarkStart w:id="9" w:name="_Toc7199"/>
            <w:r>
              <w:rPr>
                <w:rFonts w:hint="eastAsia" w:ascii="宋体" w:hAnsi="宋体" w:cs="宋体"/>
                <w:sz w:val="21"/>
                <w:szCs w:val="21"/>
                <w:highlight w:val="none"/>
              </w:rPr>
              <w:t>费率</w:t>
            </w:r>
            <w:bookmarkEnd w:id="9"/>
            <w:r>
              <w:rPr>
                <w:rFonts w:hint="eastAsia" w:ascii="宋体" w:hAnsi="宋体" w:cs="宋体"/>
                <w:sz w:val="21"/>
                <w:szCs w:val="21"/>
                <w:highlight w:val="none"/>
              </w:rPr>
              <w:t>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blCellSpacing w:w="0" w:type="dxa"/>
        </w:trPr>
        <w:tc>
          <w:tcPr>
            <w:tcW w:w="2663" w:type="dxa"/>
            <w:vMerge w:val="continue"/>
          </w:tcPr>
          <w:p>
            <w:pPr>
              <w:ind w:firstLine="420"/>
              <w:outlineLvl w:val="0"/>
              <w:rPr>
                <w:rFonts w:ascii="宋体" w:hAnsi="宋体" w:cs="宋体"/>
                <w:sz w:val="21"/>
                <w:szCs w:val="21"/>
                <w:highlight w:val="none"/>
              </w:rPr>
            </w:pPr>
          </w:p>
        </w:tc>
        <w:tc>
          <w:tcPr>
            <w:tcW w:w="2356" w:type="dxa"/>
            <w:vAlign w:val="center"/>
          </w:tcPr>
          <w:p>
            <w:pPr>
              <w:ind w:firstLine="420"/>
              <w:jc w:val="center"/>
              <w:outlineLvl w:val="0"/>
              <w:rPr>
                <w:rFonts w:ascii="宋体" w:hAnsi="宋体" w:cs="宋体"/>
                <w:sz w:val="21"/>
                <w:szCs w:val="21"/>
                <w:highlight w:val="none"/>
              </w:rPr>
            </w:pPr>
            <w:r>
              <w:rPr>
                <w:rFonts w:hint="eastAsia" w:ascii="宋体" w:hAnsi="宋体" w:cs="宋体"/>
                <w:sz w:val="21"/>
                <w:szCs w:val="21"/>
                <w:highlight w:val="none"/>
              </w:rPr>
              <w:t>货物类</w:t>
            </w:r>
          </w:p>
        </w:tc>
        <w:tc>
          <w:tcPr>
            <w:tcW w:w="2356" w:type="dxa"/>
            <w:vAlign w:val="center"/>
          </w:tcPr>
          <w:p>
            <w:pPr>
              <w:ind w:firstLine="420"/>
              <w:jc w:val="center"/>
              <w:outlineLvl w:val="0"/>
              <w:rPr>
                <w:rFonts w:ascii="宋体" w:hAnsi="宋体" w:cs="宋体"/>
                <w:sz w:val="21"/>
                <w:szCs w:val="21"/>
                <w:highlight w:val="none"/>
              </w:rPr>
            </w:pPr>
            <w:r>
              <w:rPr>
                <w:rFonts w:hint="eastAsia" w:ascii="宋体" w:hAnsi="宋体" w:cs="宋体"/>
                <w:sz w:val="21"/>
                <w:szCs w:val="21"/>
                <w:highlight w:val="none"/>
              </w:rPr>
              <w:t>服务类</w:t>
            </w:r>
          </w:p>
        </w:tc>
        <w:tc>
          <w:tcPr>
            <w:tcW w:w="2356" w:type="dxa"/>
            <w:vAlign w:val="center"/>
          </w:tcPr>
          <w:p>
            <w:pPr>
              <w:ind w:firstLine="420"/>
              <w:jc w:val="center"/>
              <w:outlineLvl w:val="0"/>
              <w:rPr>
                <w:rFonts w:ascii="宋体" w:hAnsi="宋体" w:cs="宋体"/>
                <w:sz w:val="21"/>
                <w:szCs w:val="21"/>
                <w:highlight w:val="none"/>
              </w:rPr>
            </w:pPr>
            <w:r>
              <w:rPr>
                <w:rFonts w:hint="eastAsia" w:ascii="宋体" w:hAnsi="宋体" w:cs="宋体"/>
                <w:sz w:val="21"/>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r>
              <w:rPr>
                <w:rFonts w:hint="eastAsia" w:ascii="宋体" w:hAnsi="宋体" w:cs="宋体"/>
                <w:sz w:val="21"/>
                <w:szCs w:val="21"/>
                <w:highlight w:val="none"/>
              </w:rPr>
              <w:t>10万元以下</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2000元</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2000元</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r>
              <w:rPr>
                <w:rFonts w:hint="eastAsia" w:ascii="宋体" w:hAnsi="宋体" w:cs="宋体"/>
                <w:sz w:val="21"/>
                <w:szCs w:val="21"/>
                <w:highlight w:val="none"/>
              </w:rPr>
              <w:t>10-20</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3000元</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3000元</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r>
              <w:rPr>
                <w:rFonts w:hint="eastAsia" w:ascii="宋体" w:hAnsi="宋体" w:cs="宋体"/>
                <w:sz w:val="21"/>
                <w:szCs w:val="21"/>
                <w:highlight w:val="none"/>
              </w:rPr>
              <w:t>20-30</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4500元</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4500元</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bookmarkStart w:id="10" w:name="_Toc26420"/>
            <w:r>
              <w:rPr>
                <w:rFonts w:hint="eastAsia" w:ascii="宋体" w:hAnsi="宋体" w:cs="宋体"/>
                <w:sz w:val="21"/>
                <w:szCs w:val="21"/>
                <w:highlight w:val="none"/>
              </w:rPr>
              <w:t>30-200</w:t>
            </w:r>
            <w:bookmarkEnd w:id="10"/>
          </w:p>
        </w:tc>
        <w:tc>
          <w:tcPr>
            <w:tcW w:w="2356" w:type="dxa"/>
            <w:vAlign w:val="center"/>
          </w:tcPr>
          <w:p>
            <w:pPr>
              <w:ind w:firstLine="420"/>
              <w:outlineLvl w:val="0"/>
              <w:rPr>
                <w:rFonts w:ascii="宋体" w:hAnsi="宋体" w:cs="宋体"/>
                <w:sz w:val="21"/>
                <w:szCs w:val="21"/>
                <w:highlight w:val="none"/>
              </w:rPr>
            </w:pPr>
            <w:bookmarkStart w:id="11" w:name="_Toc8235"/>
            <w:r>
              <w:rPr>
                <w:rFonts w:hint="eastAsia" w:ascii="宋体" w:hAnsi="宋体" w:cs="宋体"/>
                <w:sz w:val="21"/>
                <w:szCs w:val="21"/>
                <w:highlight w:val="none"/>
              </w:rPr>
              <w:t>1.5%</w:t>
            </w:r>
            <w:bookmarkEnd w:id="11"/>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1.5%</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bookmarkStart w:id="12" w:name="_Toc11026"/>
            <w:r>
              <w:rPr>
                <w:rFonts w:hint="eastAsia" w:ascii="宋体" w:hAnsi="宋体" w:cs="宋体"/>
                <w:sz w:val="21"/>
                <w:szCs w:val="21"/>
                <w:highlight w:val="none"/>
              </w:rPr>
              <w:t>200-500</w:t>
            </w:r>
            <w:bookmarkEnd w:id="12"/>
          </w:p>
        </w:tc>
        <w:tc>
          <w:tcPr>
            <w:tcW w:w="2356" w:type="dxa"/>
            <w:vAlign w:val="center"/>
          </w:tcPr>
          <w:p>
            <w:pPr>
              <w:ind w:firstLine="420"/>
              <w:outlineLvl w:val="0"/>
              <w:rPr>
                <w:rFonts w:ascii="宋体" w:hAnsi="宋体" w:cs="宋体"/>
                <w:sz w:val="21"/>
                <w:szCs w:val="21"/>
                <w:highlight w:val="none"/>
              </w:rPr>
            </w:pPr>
            <w:bookmarkStart w:id="13" w:name="_Toc7079"/>
            <w:r>
              <w:rPr>
                <w:rFonts w:hint="eastAsia" w:ascii="宋体" w:hAnsi="宋体" w:cs="宋体"/>
                <w:sz w:val="21"/>
                <w:szCs w:val="21"/>
                <w:highlight w:val="none"/>
              </w:rPr>
              <w:t>1.1%</w:t>
            </w:r>
            <w:bookmarkEnd w:id="13"/>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0.8%</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bookmarkStart w:id="14" w:name="_Toc15869"/>
            <w:r>
              <w:rPr>
                <w:rFonts w:hint="eastAsia" w:ascii="宋体" w:hAnsi="宋体" w:cs="宋体"/>
                <w:sz w:val="21"/>
                <w:szCs w:val="21"/>
                <w:highlight w:val="none"/>
              </w:rPr>
              <w:t>500-1000</w:t>
            </w:r>
            <w:bookmarkEnd w:id="14"/>
          </w:p>
        </w:tc>
        <w:tc>
          <w:tcPr>
            <w:tcW w:w="2356" w:type="dxa"/>
            <w:vAlign w:val="center"/>
          </w:tcPr>
          <w:p>
            <w:pPr>
              <w:ind w:firstLine="420"/>
              <w:outlineLvl w:val="0"/>
              <w:rPr>
                <w:rFonts w:ascii="宋体" w:hAnsi="宋体" w:cs="宋体"/>
                <w:sz w:val="21"/>
                <w:szCs w:val="21"/>
                <w:highlight w:val="none"/>
              </w:rPr>
            </w:pPr>
            <w:bookmarkStart w:id="15" w:name="_Toc17132"/>
            <w:r>
              <w:rPr>
                <w:rFonts w:hint="eastAsia" w:ascii="宋体" w:hAnsi="宋体" w:cs="宋体"/>
                <w:sz w:val="21"/>
                <w:szCs w:val="21"/>
                <w:highlight w:val="none"/>
              </w:rPr>
              <w:t>0.8%</w:t>
            </w:r>
            <w:bookmarkEnd w:id="15"/>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0.45%</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bookmarkStart w:id="16" w:name="_Toc22455"/>
            <w:r>
              <w:rPr>
                <w:rFonts w:hint="eastAsia" w:ascii="宋体" w:hAnsi="宋体" w:cs="宋体"/>
                <w:sz w:val="21"/>
                <w:szCs w:val="21"/>
                <w:highlight w:val="none"/>
              </w:rPr>
              <w:t>1000-5000</w:t>
            </w:r>
            <w:bookmarkEnd w:id="16"/>
          </w:p>
        </w:tc>
        <w:tc>
          <w:tcPr>
            <w:tcW w:w="2356" w:type="dxa"/>
            <w:vAlign w:val="center"/>
          </w:tcPr>
          <w:p>
            <w:pPr>
              <w:ind w:firstLine="420"/>
              <w:outlineLvl w:val="0"/>
              <w:rPr>
                <w:rFonts w:ascii="宋体" w:hAnsi="宋体" w:cs="宋体"/>
                <w:sz w:val="21"/>
                <w:szCs w:val="21"/>
                <w:highlight w:val="none"/>
              </w:rPr>
            </w:pPr>
            <w:bookmarkStart w:id="17" w:name="_Toc14403"/>
            <w:r>
              <w:rPr>
                <w:rFonts w:hint="eastAsia" w:ascii="宋体" w:hAnsi="宋体" w:cs="宋体"/>
                <w:sz w:val="21"/>
                <w:szCs w:val="21"/>
                <w:highlight w:val="none"/>
              </w:rPr>
              <w:t>0.5%</w:t>
            </w:r>
            <w:bookmarkEnd w:id="17"/>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0.25%</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663" w:type="dxa"/>
          </w:tcPr>
          <w:p>
            <w:pPr>
              <w:ind w:firstLine="420"/>
              <w:outlineLvl w:val="0"/>
              <w:rPr>
                <w:rFonts w:ascii="宋体" w:hAnsi="宋体" w:cs="宋体"/>
                <w:sz w:val="21"/>
                <w:szCs w:val="21"/>
                <w:highlight w:val="none"/>
              </w:rPr>
            </w:pPr>
            <w:bookmarkStart w:id="18" w:name="_Toc23753"/>
            <w:r>
              <w:rPr>
                <w:rFonts w:hint="eastAsia" w:ascii="宋体" w:hAnsi="宋体" w:cs="宋体"/>
                <w:sz w:val="21"/>
                <w:szCs w:val="21"/>
                <w:highlight w:val="none"/>
              </w:rPr>
              <w:t>5000-10000</w:t>
            </w:r>
            <w:bookmarkEnd w:id="18"/>
          </w:p>
        </w:tc>
        <w:tc>
          <w:tcPr>
            <w:tcW w:w="2356" w:type="dxa"/>
            <w:vAlign w:val="center"/>
          </w:tcPr>
          <w:p>
            <w:pPr>
              <w:ind w:firstLine="420"/>
              <w:outlineLvl w:val="0"/>
              <w:rPr>
                <w:rFonts w:ascii="宋体" w:hAnsi="宋体" w:cs="宋体"/>
                <w:sz w:val="21"/>
                <w:szCs w:val="21"/>
                <w:highlight w:val="none"/>
              </w:rPr>
            </w:pPr>
            <w:bookmarkStart w:id="19" w:name="_Toc29667"/>
            <w:r>
              <w:rPr>
                <w:rFonts w:hint="eastAsia" w:ascii="宋体" w:hAnsi="宋体" w:cs="宋体"/>
                <w:sz w:val="21"/>
                <w:szCs w:val="21"/>
                <w:highlight w:val="none"/>
              </w:rPr>
              <w:t>0.25%</w:t>
            </w:r>
            <w:bookmarkEnd w:id="19"/>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0.1%</w:t>
            </w:r>
          </w:p>
        </w:tc>
        <w:tc>
          <w:tcPr>
            <w:tcW w:w="2356" w:type="dxa"/>
            <w:vAlign w:val="center"/>
          </w:tcPr>
          <w:p>
            <w:pPr>
              <w:ind w:firstLine="420"/>
              <w:outlineLvl w:val="0"/>
              <w:rPr>
                <w:rFonts w:ascii="宋体" w:hAnsi="宋体" w:cs="宋体"/>
                <w:sz w:val="21"/>
                <w:szCs w:val="21"/>
                <w:highlight w:val="none"/>
              </w:rPr>
            </w:pPr>
            <w:r>
              <w:rPr>
                <w:rFonts w:hint="eastAsia" w:ascii="宋体" w:hAnsi="宋体" w:cs="宋体"/>
                <w:sz w:val="21"/>
                <w:szCs w:val="21"/>
                <w:highlight w:val="none"/>
              </w:rPr>
              <w:t>0.2%</w:t>
            </w:r>
          </w:p>
        </w:tc>
      </w:tr>
    </w:tbl>
    <w:p>
      <w:pPr>
        <w:pStyle w:val="14"/>
        <w:adjustRightInd w:val="0"/>
        <w:snapToGrid w:val="0"/>
        <w:ind w:firstLine="480"/>
        <w:rPr>
          <w:rFonts w:hAnsi="宋体" w:cs="宋体"/>
          <w:bCs/>
          <w:highlight w:val="none"/>
        </w:rPr>
      </w:pPr>
    </w:p>
    <w:p>
      <w:pPr>
        <w:pStyle w:val="5"/>
        <w:numPr>
          <w:ilvl w:val="1"/>
          <w:numId w:val="3"/>
        </w:numPr>
        <w:spacing w:before="0" w:after="0"/>
        <w:rPr>
          <w:highlight w:val="none"/>
        </w:rPr>
      </w:pPr>
      <w:r>
        <w:rPr>
          <w:rFonts w:hint="eastAsia"/>
          <w:highlight w:val="none"/>
        </w:rPr>
        <w:t>说  明</w:t>
      </w:r>
    </w:p>
    <w:p>
      <w:pPr>
        <w:pStyle w:val="6"/>
        <w:numPr>
          <w:ilvl w:val="2"/>
          <w:numId w:val="3"/>
        </w:numPr>
        <w:spacing w:before="0" w:after="0"/>
        <w:rPr>
          <w:highlight w:val="none"/>
        </w:rPr>
      </w:pPr>
      <w:r>
        <w:rPr>
          <w:rFonts w:hint="eastAsia"/>
          <w:highlight w:val="none"/>
        </w:rPr>
        <w:t>适用范围项目综合说明</w:t>
      </w:r>
    </w:p>
    <w:p>
      <w:pPr>
        <w:pStyle w:val="7"/>
        <w:numPr>
          <w:ilvl w:val="3"/>
          <w:numId w:val="3"/>
        </w:numPr>
        <w:spacing w:before="0" w:after="0"/>
        <w:rPr>
          <w:highlight w:val="none"/>
        </w:rPr>
      </w:pPr>
      <w:r>
        <w:rPr>
          <w:rFonts w:hint="eastAsia"/>
          <w:highlight w:val="none"/>
        </w:rPr>
        <w:t>本招标文件适用于本投标邀请中所述项目的采购。项目综合说明见《投标须知前附表》。</w:t>
      </w:r>
    </w:p>
    <w:p>
      <w:pPr>
        <w:pStyle w:val="6"/>
        <w:numPr>
          <w:ilvl w:val="2"/>
          <w:numId w:val="3"/>
        </w:numPr>
        <w:spacing w:before="0" w:after="0"/>
        <w:rPr>
          <w:highlight w:val="none"/>
        </w:rPr>
      </w:pPr>
      <w:r>
        <w:rPr>
          <w:rFonts w:hint="eastAsia"/>
          <w:highlight w:val="none"/>
        </w:rPr>
        <w:t>定义</w:t>
      </w:r>
    </w:p>
    <w:p>
      <w:pPr>
        <w:pStyle w:val="7"/>
        <w:numPr>
          <w:ilvl w:val="3"/>
          <w:numId w:val="3"/>
        </w:numPr>
        <w:spacing w:before="0" w:after="0"/>
        <w:rPr>
          <w:rFonts w:hAnsi="宋体" w:cs="宋体"/>
          <w:bCs/>
          <w:highlight w:val="none"/>
        </w:rPr>
      </w:pPr>
      <w:r>
        <w:rPr>
          <w:rFonts w:hint="eastAsia" w:hAnsi="宋体" w:cs="宋体"/>
          <w:bCs/>
          <w:highlight w:val="none"/>
        </w:rPr>
        <w:t>“采购人”是指：</w:t>
      </w:r>
      <w:r>
        <w:rPr>
          <w:rFonts w:hint="eastAsia" w:hAnsi="宋体" w:cs="宋体"/>
          <w:bCs/>
          <w:highlight w:val="none"/>
          <w:u w:val="single"/>
        </w:rPr>
        <w:t>天津科技大学</w:t>
      </w:r>
    </w:p>
    <w:p>
      <w:pPr>
        <w:pStyle w:val="7"/>
        <w:numPr>
          <w:ilvl w:val="3"/>
          <w:numId w:val="3"/>
        </w:numPr>
        <w:spacing w:before="0" w:after="0"/>
        <w:rPr>
          <w:rFonts w:hAnsi="宋体" w:cs="宋体"/>
          <w:bCs/>
          <w:highlight w:val="none"/>
        </w:rPr>
      </w:pPr>
      <w:r>
        <w:rPr>
          <w:rFonts w:hint="eastAsia" w:hAnsi="宋体" w:cs="宋体"/>
          <w:bCs/>
          <w:highlight w:val="none"/>
        </w:rPr>
        <w:t>“代理机构”是指：</w:t>
      </w:r>
      <w:r>
        <w:rPr>
          <w:rFonts w:hint="eastAsia" w:hAnsi="宋体" w:cs="宋体"/>
          <w:bCs/>
          <w:highlight w:val="none"/>
          <w:u w:val="single"/>
        </w:rPr>
        <w:t>公允（天津）招标代理有限公司</w:t>
      </w:r>
    </w:p>
    <w:p>
      <w:pPr>
        <w:pStyle w:val="7"/>
        <w:numPr>
          <w:ilvl w:val="3"/>
          <w:numId w:val="3"/>
        </w:numPr>
        <w:spacing w:before="0" w:after="0"/>
        <w:rPr>
          <w:highlight w:val="none"/>
        </w:rPr>
      </w:pPr>
      <w:r>
        <w:rPr>
          <w:rFonts w:hint="eastAsia"/>
          <w:highlight w:val="none"/>
        </w:rPr>
        <w:t xml:space="preserve">投标人资格条件： </w:t>
      </w:r>
    </w:p>
    <w:p>
      <w:pPr>
        <w:pStyle w:val="8"/>
        <w:numPr>
          <w:ilvl w:val="4"/>
          <w:numId w:val="3"/>
        </w:numPr>
        <w:spacing w:before="0" w:after="0"/>
        <w:rPr>
          <w:highlight w:val="none"/>
        </w:rPr>
      </w:pPr>
      <w:r>
        <w:rPr>
          <w:rFonts w:hint="eastAsia"/>
          <w:highlight w:val="none"/>
        </w:rPr>
        <w:t>详见“第一部分投标邀请—</w:t>
      </w:r>
      <w:r>
        <w:rPr>
          <w:rFonts w:hint="eastAsia"/>
          <w:lang w:val="en-US" w:eastAsia="zh-CN"/>
        </w:rPr>
        <w:t>五</w:t>
      </w:r>
      <w:r>
        <w:rPr>
          <w:rFonts w:hint="eastAsia"/>
          <w:highlight w:val="none"/>
        </w:rPr>
        <w:t>、投标人资格要求”。</w:t>
      </w:r>
    </w:p>
    <w:p>
      <w:pPr>
        <w:pStyle w:val="8"/>
        <w:numPr>
          <w:ilvl w:val="4"/>
          <w:numId w:val="3"/>
        </w:numPr>
        <w:spacing w:before="0" w:after="0"/>
        <w:rPr>
          <w:highlight w:val="none"/>
        </w:rPr>
      </w:pPr>
      <w:r>
        <w:rPr>
          <w:rFonts w:hint="eastAsia"/>
          <w:highlight w:val="none"/>
        </w:rPr>
        <w:t>除联合体外，单位负责人为同一人或者存在直接控股、管理关系的不同投标人，不得参加同一合同项下的采购活动。</w:t>
      </w:r>
    </w:p>
    <w:p>
      <w:pPr>
        <w:pStyle w:val="8"/>
        <w:numPr>
          <w:ilvl w:val="4"/>
          <w:numId w:val="3"/>
        </w:numPr>
        <w:spacing w:before="0" w:after="0"/>
        <w:rPr>
          <w:highlight w:val="none"/>
        </w:rPr>
      </w:pPr>
      <w:r>
        <w:rPr>
          <w:rFonts w:hint="eastAsia"/>
          <w:highlight w:val="none"/>
        </w:rPr>
        <w:t>关于分公司参与投标：投标人需提供具有法人资格的总公司的营业执照副本复印件及授权书。总公司可就本项目或此类项目在一定范围或时间内出具授权书。已由总公司授权的，总公司取得的相关资质证书对分公司有效。同一家总公司只能授权一家分支机构参与投标，且总公司不能与下属的分支机构同时参与投标。</w:t>
      </w:r>
    </w:p>
    <w:p>
      <w:pPr>
        <w:pStyle w:val="7"/>
        <w:numPr>
          <w:ilvl w:val="3"/>
          <w:numId w:val="3"/>
        </w:numPr>
        <w:spacing w:before="0" w:after="0"/>
        <w:rPr>
          <w:highlight w:val="none"/>
        </w:rPr>
      </w:pPr>
      <w:r>
        <w:rPr>
          <w:rFonts w:hint="eastAsia"/>
          <w:highlight w:val="none"/>
        </w:rPr>
        <w:t>“投标人”是指响应招标、参加投标竞争的法人、其他组织或者自然人。</w:t>
      </w:r>
    </w:p>
    <w:p>
      <w:pPr>
        <w:pStyle w:val="7"/>
        <w:numPr>
          <w:ilvl w:val="3"/>
          <w:numId w:val="3"/>
        </w:numPr>
        <w:spacing w:before="0" w:after="0"/>
        <w:rPr>
          <w:highlight w:val="none"/>
        </w:rPr>
      </w:pPr>
      <w:r>
        <w:rPr>
          <w:rFonts w:hint="eastAsia"/>
          <w:highlight w:val="none"/>
        </w:rPr>
        <w:t>“中标供应商”是指经法定程序确定并授予合同的投标人。</w:t>
      </w:r>
    </w:p>
    <w:p>
      <w:pPr>
        <w:pStyle w:val="6"/>
        <w:numPr>
          <w:ilvl w:val="2"/>
          <w:numId w:val="3"/>
        </w:numPr>
        <w:spacing w:before="0" w:after="0"/>
        <w:rPr>
          <w:highlight w:val="none"/>
        </w:rPr>
      </w:pPr>
      <w:r>
        <w:rPr>
          <w:rFonts w:hint="eastAsia"/>
          <w:highlight w:val="none"/>
        </w:rPr>
        <w:t>合格的货物</w:t>
      </w:r>
    </w:p>
    <w:p>
      <w:pPr>
        <w:ind w:firstLine="480"/>
        <w:rPr>
          <w:highlight w:val="none"/>
        </w:rPr>
      </w:pPr>
      <w:r>
        <w:rPr>
          <w:rFonts w:hint="eastAsia"/>
          <w:highlight w:val="none"/>
        </w:rPr>
        <w:t>“货物”是指投标人按招标文件规定，须向采购人提供的各种形态和种类的物品（包括原材料、燃料、设备、产品等）、备品备件、工具、手册及其它有关技术资料和材料。</w:t>
      </w:r>
    </w:p>
    <w:p>
      <w:pPr>
        <w:pStyle w:val="6"/>
        <w:numPr>
          <w:ilvl w:val="2"/>
          <w:numId w:val="3"/>
        </w:numPr>
        <w:spacing w:before="0" w:after="0"/>
        <w:rPr>
          <w:highlight w:val="none"/>
        </w:rPr>
      </w:pPr>
      <w:r>
        <w:rPr>
          <w:rFonts w:hint="eastAsia"/>
          <w:highlight w:val="none"/>
        </w:rPr>
        <w:t>投标费用</w:t>
      </w:r>
    </w:p>
    <w:p>
      <w:pPr>
        <w:pStyle w:val="7"/>
        <w:numPr>
          <w:ilvl w:val="3"/>
          <w:numId w:val="3"/>
        </w:numPr>
        <w:spacing w:before="0" w:after="0"/>
        <w:rPr>
          <w:highlight w:val="none"/>
        </w:rPr>
      </w:pPr>
      <w:r>
        <w:rPr>
          <w:rFonts w:hint="eastAsia"/>
          <w:highlight w:val="none"/>
        </w:rPr>
        <w:t>投标人应承担所有准备和参加投标有关的费用。不论投标的结果如何，代理机构和采购人均无义务和责任承担这些费用。</w:t>
      </w:r>
    </w:p>
    <w:p>
      <w:pPr>
        <w:pStyle w:val="7"/>
        <w:numPr>
          <w:ilvl w:val="3"/>
          <w:numId w:val="3"/>
        </w:numPr>
        <w:spacing w:before="0" w:after="0"/>
        <w:rPr>
          <w:highlight w:val="none"/>
        </w:rPr>
      </w:pPr>
      <w:r>
        <w:rPr>
          <w:rFonts w:hint="eastAsia"/>
          <w:highlight w:val="none"/>
        </w:rPr>
        <w:t>本次招标向中标供应商收取的招标代理服务费，参照国家有关规定执行。</w:t>
      </w:r>
    </w:p>
    <w:p>
      <w:pPr>
        <w:pStyle w:val="8"/>
        <w:numPr>
          <w:ilvl w:val="4"/>
          <w:numId w:val="3"/>
        </w:numPr>
        <w:spacing w:before="0" w:after="0"/>
        <w:rPr>
          <w:highlight w:val="none"/>
        </w:rPr>
      </w:pPr>
      <w:r>
        <w:rPr>
          <w:rFonts w:hint="eastAsia"/>
          <w:highlight w:val="none"/>
        </w:rPr>
        <w:t>招标代理服务费不列在投标报价中；</w:t>
      </w:r>
    </w:p>
    <w:p>
      <w:pPr>
        <w:pStyle w:val="5"/>
        <w:numPr>
          <w:ilvl w:val="1"/>
          <w:numId w:val="3"/>
        </w:numPr>
        <w:spacing w:before="0" w:after="0"/>
        <w:rPr>
          <w:highlight w:val="none"/>
        </w:rPr>
      </w:pPr>
      <w:r>
        <w:rPr>
          <w:rFonts w:hint="eastAsia"/>
          <w:highlight w:val="none"/>
        </w:rPr>
        <w:t>招标文件的构成</w:t>
      </w:r>
    </w:p>
    <w:p>
      <w:pPr>
        <w:pStyle w:val="6"/>
        <w:spacing w:before="0" w:after="0"/>
        <w:rPr>
          <w:highlight w:val="none"/>
        </w:rPr>
      </w:pPr>
      <w:r>
        <w:rPr>
          <w:rFonts w:hint="eastAsia"/>
          <w:highlight w:val="none"/>
        </w:rPr>
        <w:t>招标文件由下列文件以及在招标过程中发出的修正和补充文件组成：</w:t>
      </w:r>
    </w:p>
    <w:p>
      <w:pPr>
        <w:ind w:firstLine="480"/>
        <w:rPr>
          <w:highlight w:val="none"/>
        </w:rPr>
      </w:pPr>
      <w:r>
        <w:rPr>
          <w:rFonts w:hint="eastAsia"/>
          <w:highlight w:val="none"/>
        </w:rPr>
        <w:t>（1）投标邀请</w:t>
      </w:r>
    </w:p>
    <w:p>
      <w:pPr>
        <w:ind w:firstLine="480"/>
        <w:rPr>
          <w:highlight w:val="none"/>
        </w:rPr>
      </w:pPr>
      <w:r>
        <w:rPr>
          <w:rFonts w:hint="eastAsia"/>
          <w:highlight w:val="none"/>
        </w:rPr>
        <w:t>（2）项目需求书</w:t>
      </w:r>
    </w:p>
    <w:p>
      <w:pPr>
        <w:ind w:firstLine="480"/>
        <w:rPr>
          <w:highlight w:val="none"/>
        </w:rPr>
      </w:pPr>
      <w:r>
        <w:rPr>
          <w:rFonts w:hint="eastAsia"/>
          <w:highlight w:val="none"/>
        </w:rPr>
        <w:t>（3）投标须知</w:t>
      </w:r>
    </w:p>
    <w:p>
      <w:pPr>
        <w:ind w:firstLine="480"/>
        <w:rPr>
          <w:highlight w:val="none"/>
        </w:rPr>
      </w:pPr>
      <w:r>
        <w:rPr>
          <w:rFonts w:hint="eastAsia"/>
          <w:highlight w:val="none"/>
        </w:rPr>
        <w:t>（4）评标方法</w:t>
      </w:r>
    </w:p>
    <w:p>
      <w:pPr>
        <w:ind w:firstLine="480"/>
        <w:rPr>
          <w:highlight w:val="none"/>
        </w:rPr>
      </w:pPr>
      <w:r>
        <w:rPr>
          <w:rFonts w:hint="eastAsia"/>
          <w:highlight w:val="none"/>
        </w:rPr>
        <w:t>（5）合同格式</w:t>
      </w:r>
    </w:p>
    <w:p>
      <w:pPr>
        <w:ind w:firstLine="480"/>
        <w:rPr>
          <w:highlight w:val="none"/>
        </w:rPr>
      </w:pPr>
      <w:r>
        <w:rPr>
          <w:rFonts w:hint="eastAsia"/>
          <w:highlight w:val="none"/>
        </w:rPr>
        <w:t xml:space="preserve">（6）投标文件格式 </w:t>
      </w:r>
    </w:p>
    <w:p>
      <w:pPr>
        <w:pStyle w:val="7"/>
        <w:spacing w:before="0" w:after="0"/>
        <w:rPr>
          <w:highlight w:val="none"/>
        </w:rPr>
      </w:pPr>
      <w:r>
        <w:rPr>
          <w:rFonts w:hint="eastAsia"/>
          <w:highlight w:val="none"/>
        </w:rPr>
        <w:t>投标人应认真阅读、并充分理解招标文件的全部内容（包括所有的补充、修改内容、重要事项、格式、条款和技术规范、参数及要求等）。投标人没有按照招标文件要求提交全部资料，投标人没有对招标文件在各方面都作出实质性响应是投标人的风险，有可能导致其投标被拒绝，或被认定为无效投标。</w:t>
      </w:r>
    </w:p>
    <w:p>
      <w:pPr>
        <w:pStyle w:val="6"/>
        <w:spacing w:before="0" w:after="0"/>
        <w:rPr>
          <w:highlight w:val="none"/>
        </w:rPr>
      </w:pPr>
      <w:r>
        <w:rPr>
          <w:rFonts w:hint="eastAsia"/>
          <w:highlight w:val="none"/>
        </w:rPr>
        <w:t>招标文件的澄清</w:t>
      </w:r>
    </w:p>
    <w:p>
      <w:pPr>
        <w:pStyle w:val="7"/>
        <w:spacing w:before="0" w:after="0"/>
        <w:rPr>
          <w:highlight w:val="none"/>
        </w:rPr>
      </w:pPr>
      <w:r>
        <w:rPr>
          <w:rFonts w:hint="eastAsia"/>
          <w:highlight w:val="none"/>
        </w:rPr>
        <w:t>任何要求对招标文件进行澄清的投标人，均应以书面形式在投标截止时间15日以前通知代理机构。投标人应按招标文件所示的联系方式以书面形式将澄清要求通知代理机构，并须为代理机构在限期前的答复留下适当的工作时间。代理机构将组织采购人对投标人所要求澄清的内容均以书面形式予以答复。必要时，代理机构将组织相关专家召开答疑会，并将会议内容以书面的形式发给每个购买招标文件的潜在投标人（答复中不包括问题的来源）。</w:t>
      </w:r>
    </w:p>
    <w:p>
      <w:pPr>
        <w:pStyle w:val="7"/>
        <w:spacing w:before="0" w:after="0"/>
        <w:rPr>
          <w:rFonts w:hAnsi="宋体" w:cs="宋体"/>
          <w:bCs/>
          <w:spacing w:val="-6"/>
          <w:highlight w:val="none"/>
        </w:rPr>
      </w:pPr>
      <w:r>
        <w:rPr>
          <w:rFonts w:hint="eastAsia" w:hAnsi="宋体" w:cs="宋体"/>
          <w:bCs/>
          <w:spacing w:val="-6"/>
          <w:highlight w:val="none"/>
        </w:rPr>
        <w:t>投标人在规定的时间内未对招标文件要求澄清或提出疑问的，</w:t>
      </w:r>
      <w:r>
        <w:rPr>
          <w:rFonts w:hint="eastAsia" w:hAnsi="宋体" w:cs="宋体"/>
          <w:bCs/>
          <w:highlight w:val="none"/>
        </w:rPr>
        <w:t>代理机构将</w:t>
      </w:r>
      <w:r>
        <w:rPr>
          <w:rFonts w:hint="eastAsia" w:hAnsi="宋体" w:cs="宋体"/>
          <w:bCs/>
          <w:spacing w:val="-6"/>
          <w:highlight w:val="none"/>
        </w:rPr>
        <w:t>视其为无异议。</w:t>
      </w:r>
    </w:p>
    <w:p>
      <w:pPr>
        <w:pStyle w:val="6"/>
        <w:spacing w:before="0" w:after="0"/>
        <w:rPr>
          <w:highlight w:val="none"/>
        </w:rPr>
      </w:pPr>
      <w:r>
        <w:rPr>
          <w:rFonts w:hint="eastAsia"/>
          <w:highlight w:val="none"/>
        </w:rPr>
        <w:t>招标文件的修改</w:t>
      </w:r>
    </w:p>
    <w:p>
      <w:pPr>
        <w:pStyle w:val="7"/>
        <w:spacing w:before="0" w:after="0"/>
        <w:rPr>
          <w:highlight w:val="none"/>
        </w:rPr>
      </w:pPr>
      <w:r>
        <w:rPr>
          <w:rFonts w:hint="eastAsia"/>
          <w:highlight w:val="none"/>
        </w:rPr>
        <w:t>澄清或者修改的内容可能影响投标文件编制的，采购人或者招标代理机构应当在投标截止时间至少15日前发布澄清或者变更公告。</w:t>
      </w:r>
    </w:p>
    <w:p>
      <w:pPr>
        <w:ind w:firstLine="480"/>
        <w:rPr>
          <w:highlight w:val="none"/>
        </w:rPr>
      </w:pPr>
      <w:r>
        <w:rPr>
          <w:rFonts w:hint="eastAsia"/>
          <w:highlight w:val="none"/>
        </w:rPr>
        <w:t>澄清或者修改的内容可能影响投标文件编制的且不足15日的，采购人或者招标代理机构应当顺延提交投标文件的截止时间。</w:t>
      </w:r>
    </w:p>
    <w:p>
      <w:pPr>
        <w:pStyle w:val="7"/>
        <w:spacing w:before="0" w:after="0"/>
        <w:rPr>
          <w:highlight w:val="none"/>
        </w:rPr>
      </w:pPr>
      <w:r>
        <w:rPr>
          <w:rFonts w:hint="eastAsia"/>
          <w:highlight w:val="none"/>
        </w:rPr>
        <w:t xml:space="preserve"> 修改后的内容是招标文件的组成部分，将以书面形式通知所有购买招标文件的潜在投标人，并对潜在投标人具有约束力。潜在投标人在收到上述通知后，应立即以书面形式向代理机构确认。</w:t>
      </w:r>
    </w:p>
    <w:p>
      <w:pPr>
        <w:pStyle w:val="5"/>
        <w:spacing w:before="0" w:after="0"/>
        <w:rPr>
          <w:highlight w:val="none"/>
        </w:rPr>
      </w:pPr>
      <w:r>
        <w:rPr>
          <w:rFonts w:hint="eastAsia"/>
          <w:highlight w:val="none"/>
        </w:rPr>
        <w:t>投标文件的编制和数量</w:t>
      </w:r>
    </w:p>
    <w:p>
      <w:pPr>
        <w:pStyle w:val="6"/>
        <w:spacing w:before="0" w:after="0"/>
        <w:rPr>
          <w:highlight w:val="none"/>
        </w:rPr>
      </w:pPr>
      <w:r>
        <w:rPr>
          <w:rFonts w:hint="eastAsia"/>
          <w:highlight w:val="none"/>
        </w:rPr>
        <w:t>投标的语言</w:t>
      </w:r>
    </w:p>
    <w:p>
      <w:pPr>
        <w:pStyle w:val="7"/>
        <w:spacing w:before="0" w:after="0"/>
        <w:rPr>
          <w:highlight w:val="none"/>
        </w:rPr>
      </w:pPr>
      <w:r>
        <w:rPr>
          <w:rFonts w:hint="eastAsia"/>
          <w:highlight w:val="none"/>
        </w:rPr>
        <w:t>投标人提交的投标文件以及投标人与代理机构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6"/>
        <w:spacing w:before="0" w:after="0"/>
        <w:rPr>
          <w:highlight w:val="none"/>
        </w:rPr>
      </w:pPr>
      <w:r>
        <w:rPr>
          <w:rFonts w:hint="eastAsia"/>
          <w:highlight w:val="none"/>
        </w:rPr>
        <w:t>投标文件的构成</w:t>
      </w:r>
    </w:p>
    <w:p>
      <w:pPr>
        <w:pStyle w:val="7"/>
        <w:spacing w:before="0" w:after="0"/>
        <w:rPr>
          <w:highlight w:val="none"/>
        </w:rPr>
      </w:pPr>
      <w:r>
        <w:rPr>
          <w:rFonts w:hint="eastAsia"/>
          <w:highlight w:val="none"/>
        </w:rPr>
        <w:t>投标文件的构成应符合法律法规及招标文件的要求。</w:t>
      </w:r>
    </w:p>
    <w:p>
      <w:pPr>
        <w:pStyle w:val="7"/>
        <w:spacing w:before="0" w:after="0"/>
        <w:rPr>
          <w:highlight w:val="none"/>
        </w:rPr>
      </w:pPr>
      <w:r>
        <w:rPr>
          <w:rFonts w:hint="eastAsia"/>
          <w:highlight w:val="none"/>
        </w:rPr>
        <w:t xml:space="preserve">投标人应按本招标文件规定的内容和格式编制并提交投标文件，投标文件应参照招标文件第六部分的内容要求、编排顺序和格式要求，按顺序装订成册，提供全面的投标文件。 </w:t>
      </w:r>
    </w:p>
    <w:p>
      <w:pPr>
        <w:pStyle w:val="6"/>
        <w:spacing w:before="0" w:after="0"/>
        <w:rPr>
          <w:highlight w:val="none"/>
        </w:rPr>
      </w:pPr>
      <w:r>
        <w:rPr>
          <w:rFonts w:hint="eastAsia"/>
          <w:highlight w:val="none"/>
        </w:rPr>
        <w:t>投标文件编制</w:t>
      </w:r>
    </w:p>
    <w:p>
      <w:pPr>
        <w:pStyle w:val="7"/>
        <w:spacing w:before="0" w:after="0"/>
        <w:rPr>
          <w:highlight w:val="none"/>
        </w:rPr>
      </w:pPr>
      <w:r>
        <w:rPr>
          <w:rFonts w:hint="eastAsia"/>
          <w:highlight w:val="none"/>
        </w:rPr>
        <w:t>投标人对招标文件中多个包（组）进行投标的，其投标文件的编制应按每个包（组）的要求分别装订和封装。投标人应当对投标文件进行装订，对未经装订的投标文件可能发生的文件散落或缺损，由此产生的后果由投标人承担。</w:t>
      </w:r>
    </w:p>
    <w:p>
      <w:pPr>
        <w:pStyle w:val="7"/>
        <w:spacing w:before="0" w:after="0"/>
        <w:rPr>
          <w:highlight w:val="none"/>
        </w:rPr>
      </w:pPr>
      <w:r>
        <w:rPr>
          <w:rFonts w:hint="eastAsia"/>
          <w:highlight w:val="none"/>
        </w:rPr>
        <w:t>投标人应完整、真实、准确的填写招标文件中规定的所有内容。</w:t>
      </w:r>
    </w:p>
    <w:p>
      <w:pPr>
        <w:pStyle w:val="7"/>
        <w:spacing w:before="0" w:after="0"/>
        <w:rPr>
          <w:highlight w:val="none"/>
        </w:rPr>
      </w:pPr>
      <w:r>
        <w:rPr>
          <w:rFonts w:hint="eastAsia"/>
          <w:highlight w:val="none"/>
        </w:rPr>
        <w:t>投标人必须对投标文件所提供的全部资料的真实性承担法律责任，并无条件接受代理机构及采购人对其中任何资料进行核实的要求。投标人必须对投标文件所提供的全部资料的真实性承担法律责任。</w:t>
      </w:r>
    </w:p>
    <w:p>
      <w:pPr>
        <w:pStyle w:val="7"/>
        <w:spacing w:before="0" w:after="0"/>
        <w:rPr>
          <w:highlight w:val="none"/>
        </w:rPr>
      </w:pPr>
      <w:r>
        <w:rPr>
          <w:rFonts w:hint="eastAsia"/>
          <w:highlight w:val="none"/>
        </w:rPr>
        <w:t>如果因为投标人投标文件填报的内容不详，或没有提供招标文件中所要求的全部资料及数据，由此造成的后果，其责任由投标人承担。</w:t>
      </w:r>
    </w:p>
    <w:p>
      <w:pPr>
        <w:pStyle w:val="6"/>
        <w:spacing w:before="0" w:after="0"/>
        <w:rPr>
          <w:highlight w:val="none"/>
        </w:rPr>
      </w:pPr>
      <w:r>
        <w:rPr>
          <w:rFonts w:hint="eastAsia"/>
          <w:highlight w:val="none"/>
        </w:rPr>
        <w:t>投标报价</w:t>
      </w:r>
    </w:p>
    <w:p>
      <w:pPr>
        <w:pStyle w:val="7"/>
        <w:spacing w:before="0" w:after="0"/>
        <w:rPr>
          <w:highlight w:val="none"/>
        </w:rPr>
      </w:pPr>
      <w:r>
        <w:rPr>
          <w:rFonts w:hint="eastAsia"/>
          <w:highlight w:val="none"/>
        </w:rPr>
        <w:t>投标人所提供的货物均应以人民币报价，若同时以人民币及外币报价的，以人民币报价为准。</w:t>
      </w:r>
    </w:p>
    <w:p>
      <w:pPr>
        <w:pStyle w:val="7"/>
        <w:spacing w:before="0" w:after="0"/>
        <w:rPr>
          <w:highlight w:val="none"/>
        </w:rPr>
      </w:pPr>
      <w:r>
        <w:rPr>
          <w:rFonts w:hint="eastAsia"/>
          <w:highlight w:val="none"/>
        </w:rPr>
        <w:t>投标人应按照“第二部分项目需求书”规定的内容、责任范围以及合同条款进行报价。并按《开标一览表》和《开标分项一览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7"/>
        <w:spacing w:before="0" w:after="0"/>
        <w:rPr>
          <w:highlight w:val="none"/>
        </w:rPr>
      </w:pPr>
      <w:r>
        <w:rPr>
          <w:rFonts w:hint="eastAsia"/>
          <w:highlight w:val="none"/>
        </w:rPr>
        <w:t>《开标分项一览表》填写时应响应下列要求：</w:t>
      </w:r>
    </w:p>
    <w:p>
      <w:pPr>
        <w:pStyle w:val="8"/>
        <w:spacing w:before="0" w:after="0"/>
        <w:rPr>
          <w:highlight w:val="none"/>
        </w:rPr>
      </w:pPr>
      <w:r>
        <w:rPr>
          <w:rFonts w:hint="eastAsia"/>
          <w:highlight w:val="none"/>
        </w:rPr>
        <w:t>所有根据合同或其他原因应由投标人支付的税款和其他应交纳的费用都要包括在投标人提交的投标价格中；</w:t>
      </w:r>
    </w:p>
    <w:p>
      <w:pPr>
        <w:pStyle w:val="8"/>
        <w:spacing w:before="0" w:after="0"/>
        <w:rPr>
          <w:highlight w:val="none"/>
        </w:rPr>
      </w:pPr>
      <w:r>
        <w:rPr>
          <w:rFonts w:hint="eastAsia"/>
          <w:highlight w:val="none"/>
        </w:rPr>
        <w:t>应包含货物全过程和伴随服务的其他所有费用。</w:t>
      </w:r>
    </w:p>
    <w:p>
      <w:pPr>
        <w:pStyle w:val="7"/>
        <w:spacing w:before="0" w:after="0"/>
        <w:rPr>
          <w:highlight w:val="none"/>
        </w:rPr>
      </w:pPr>
      <w:r>
        <w:rPr>
          <w:rFonts w:hint="eastAsia"/>
          <w:highlight w:val="none"/>
        </w:rPr>
        <w:t xml:space="preserve"> 每项分类货物只允许有一个报价，否则将被视为无效投标。</w:t>
      </w:r>
    </w:p>
    <w:p>
      <w:pPr>
        <w:pStyle w:val="6"/>
        <w:spacing w:before="0" w:after="0"/>
        <w:rPr>
          <w:highlight w:val="none"/>
        </w:rPr>
      </w:pPr>
      <w:r>
        <w:rPr>
          <w:rFonts w:hint="eastAsia"/>
          <w:highlight w:val="none"/>
        </w:rPr>
        <w:t>投标人相关证明文件</w:t>
      </w:r>
    </w:p>
    <w:p>
      <w:pPr>
        <w:pStyle w:val="7"/>
        <w:spacing w:before="0" w:after="0"/>
        <w:rPr>
          <w:highlight w:val="none"/>
        </w:rPr>
      </w:pPr>
      <w:r>
        <w:rPr>
          <w:rFonts w:hint="eastAsia"/>
          <w:highlight w:val="none"/>
        </w:rPr>
        <w:t>投标人应按招标文件的要求，提交证明其能力的文件，并作为其投标文件的组成部分，格式见招标文件第六部分。</w:t>
      </w:r>
    </w:p>
    <w:p>
      <w:pPr>
        <w:pStyle w:val="7"/>
        <w:spacing w:before="0" w:after="0"/>
        <w:rPr>
          <w:highlight w:val="none"/>
        </w:rPr>
      </w:pPr>
      <w:r>
        <w:rPr>
          <w:rFonts w:hint="eastAsia"/>
          <w:highlight w:val="none"/>
        </w:rPr>
        <w:t>证明文件必须真实有效，复印件必须加盖单位公章。</w:t>
      </w:r>
    </w:p>
    <w:p>
      <w:pPr>
        <w:pStyle w:val="6"/>
        <w:spacing w:before="0" w:after="0"/>
        <w:rPr>
          <w:highlight w:val="none"/>
        </w:rPr>
      </w:pPr>
      <w:r>
        <w:rPr>
          <w:rFonts w:hint="eastAsia"/>
          <w:highlight w:val="none"/>
        </w:rPr>
        <w:t>证明投标标的的合格性和符合招标文件规定的文件：</w:t>
      </w:r>
    </w:p>
    <w:p>
      <w:pPr>
        <w:pStyle w:val="7"/>
        <w:spacing w:before="0" w:after="0"/>
        <w:rPr>
          <w:highlight w:val="none"/>
        </w:rPr>
      </w:pPr>
      <w:r>
        <w:rPr>
          <w:rFonts w:hint="eastAsia"/>
          <w:highlight w:val="none"/>
        </w:rPr>
        <w:t>证明货物与招标文件的要求相一致的文件，可以是文字资料、图纸、数据和实物，包括如下：</w:t>
      </w:r>
    </w:p>
    <w:p>
      <w:pPr>
        <w:pStyle w:val="8"/>
        <w:spacing w:before="0" w:after="0"/>
        <w:rPr>
          <w:highlight w:val="none"/>
        </w:rPr>
      </w:pPr>
      <w:r>
        <w:rPr>
          <w:rFonts w:hint="eastAsia"/>
          <w:highlight w:val="none"/>
        </w:rPr>
        <w:t>服务的详细说明；</w:t>
      </w:r>
    </w:p>
    <w:p>
      <w:pPr>
        <w:pStyle w:val="8"/>
        <w:spacing w:before="0" w:after="0"/>
        <w:rPr>
          <w:highlight w:val="none"/>
        </w:rPr>
      </w:pPr>
      <w:r>
        <w:rPr>
          <w:rFonts w:hint="eastAsia"/>
          <w:highlight w:val="none"/>
        </w:rPr>
        <w:t>详细的合同项下提供服务的执行时间表及其实施措施，明确标注出影响合同执行的关键时间及因素；</w:t>
      </w:r>
    </w:p>
    <w:p>
      <w:pPr>
        <w:pStyle w:val="8"/>
        <w:spacing w:before="0" w:after="0"/>
        <w:rPr>
          <w:highlight w:val="none"/>
        </w:rPr>
      </w:pPr>
      <w:r>
        <w:rPr>
          <w:rFonts w:hint="eastAsia"/>
          <w:highlight w:val="none"/>
        </w:rPr>
        <w:t>采购人在招标文件规定的周期内正常、连续的服务所必需的备品备件、专用工具的清单。</w:t>
      </w:r>
    </w:p>
    <w:p>
      <w:pPr>
        <w:pStyle w:val="8"/>
        <w:spacing w:before="0" w:after="0"/>
        <w:rPr>
          <w:highlight w:val="none"/>
        </w:rPr>
      </w:pPr>
      <w:r>
        <w:rPr>
          <w:rFonts w:hint="eastAsia"/>
          <w:highlight w:val="none"/>
        </w:rPr>
        <w:t>对照招标文件要求的服务，投标人逐条说明所提供的服务已对招标文件中的服务要求作出了实质性的响应；或申明与招标文件规定条文的偏差和例外。</w:t>
      </w:r>
    </w:p>
    <w:p>
      <w:pPr>
        <w:pStyle w:val="8"/>
        <w:spacing w:before="0" w:after="0"/>
        <w:rPr>
          <w:highlight w:val="none"/>
        </w:rPr>
      </w:pPr>
      <w:r>
        <w:rPr>
          <w:rFonts w:hint="eastAsia"/>
          <w:highlight w:val="none"/>
        </w:rPr>
        <w:t>在参加本次采购活动前三年内在经营活动中没有重大违法记录的证明；</w:t>
      </w:r>
    </w:p>
    <w:p>
      <w:pPr>
        <w:pStyle w:val="8"/>
        <w:spacing w:before="0" w:after="0"/>
        <w:rPr>
          <w:highlight w:val="none"/>
        </w:rPr>
      </w:pPr>
      <w:r>
        <w:rPr>
          <w:rFonts w:hint="eastAsia"/>
          <w:highlight w:val="none"/>
        </w:rPr>
        <w:t>在核定的经营范围内报价；</w:t>
      </w:r>
    </w:p>
    <w:p>
      <w:pPr>
        <w:pStyle w:val="6"/>
        <w:spacing w:before="0" w:after="0"/>
        <w:rPr>
          <w:highlight w:val="none"/>
        </w:rPr>
      </w:pPr>
      <w:r>
        <w:rPr>
          <w:rFonts w:hint="eastAsia"/>
          <w:highlight w:val="none"/>
        </w:rPr>
        <w:t>投标保证金</w:t>
      </w:r>
    </w:p>
    <w:p>
      <w:pPr>
        <w:pStyle w:val="7"/>
        <w:spacing w:before="0" w:after="0"/>
        <w:rPr>
          <w:highlight w:val="none"/>
        </w:rPr>
      </w:pPr>
      <w:r>
        <w:rPr>
          <w:rFonts w:hint="eastAsia"/>
          <w:highlight w:val="none"/>
        </w:rPr>
        <w:t>投标人应按招标文件规定的金额和期限交纳投标保证金，需将缴纳保证金后的电子回单或汇款凭证或支票、本票、汇票复印件或保函或保证金收据等作为投标文件的组成部分。投标人与交款人名称必须一致，非投标人缴纳的投标保证金无效。</w:t>
      </w:r>
    </w:p>
    <w:p>
      <w:pPr>
        <w:pStyle w:val="7"/>
        <w:spacing w:before="0" w:after="0"/>
        <w:rPr>
          <w:highlight w:val="none"/>
        </w:rPr>
      </w:pPr>
      <w:r>
        <w:rPr>
          <w:rFonts w:hint="eastAsia"/>
          <w:highlight w:val="none"/>
        </w:rPr>
        <w:t>投标保证金交纳形式：转账、银行保函等非现金形式。交纳时间：投标截止时间前到达代理机构账户。</w:t>
      </w:r>
    </w:p>
    <w:p>
      <w:pPr>
        <w:pStyle w:val="7"/>
        <w:spacing w:before="0" w:after="0"/>
        <w:rPr>
          <w:highlight w:val="none"/>
        </w:rPr>
      </w:pPr>
      <w:r>
        <w:rPr>
          <w:rFonts w:hint="eastAsia"/>
          <w:highlight w:val="none"/>
        </w:rPr>
        <w:t xml:space="preserve">投标人应向代理机构提交投标保证金。 </w:t>
      </w:r>
    </w:p>
    <w:p>
      <w:pPr>
        <w:pStyle w:val="7"/>
        <w:spacing w:before="0" w:after="0"/>
        <w:rPr>
          <w:highlight w:val="none"/>
        </w:rPr>
      </w:pPr>
      <w:r>
        <w:rPr>
          <w:rFonts w:hint="eastAsia"/>
          <w:highlight w:val="none"/>
        </w:rPr>
        <w:t>投标保证金应为人民币，可以选择下列方式中任何一种：</w:t>
      </w:r>
    </w:p>
    <w:p>
      <w:pPr>
        <w:pStyle w:val="8"/>
        <w:spacing w:before="0" w:after="0"/>
        <w:rPr>
          <w:highlight w:val="none"/>
        </w:rPr>
      </w:pPr>
      <w:r>
        <w:rPr>
          <w:rFonts w:hint="eastAsia"/>
          <w:highlight w:val="none"/>
        </w:rPr>
        <w:t>从投标人账户将投标保证金转入或汇入以下账户：</w:t>
      </w:r>
    </w:p>
    <w:p>
      <w:pPr>
        <w:ind w:firstLine="480"/>
        <w:rPr>
          <w:highlight w:val="none"/>
        </w:rPr>
      </w:pPr>
      <w:r>
        <w:rPr>
          <w:rFonts w:hint="eastAsia"/>
          <w:highlight w:val="none"/>
        </w:rPr>
        <w:t>a．投标人汇缴保证金时应按包或标段汇缴，并按招标文件规定的保证金金额汇缴。</w:t>
      </w:r>
    </w:p>
    <w:p>
      <w:pPr>
        <w:ind w:firstLine="480"/>
        <w:rPr>
          <w:highlight w:val="none"/>
        </w:rPr>
      </w:pPr>
      <w:r>
        <w:rPr>
          <w:rFonts w:hint="eastAsia"/>
          <w:highlight w:val="none"/>
        </w:rPr>
        <w:t>b．汇缴时务必在汇款单备注上标注招标编号。</w:t>
      </w:r>
    </w:p>
    <w:p>
      <w:pPr>
        <w:pStyle w:val="8"/>
        <w:spacing w:before="0" w:after="0"/>
        <w:rPr>
          <w:highlight w:val="none"/>
        </w:rPr>
      </w:pPr>
      <w:r>
        <w:rPr>
          <w:rFonts w:hint="eastAsia"/>
          <w:highlight w:val="none"/>
        </w:rPr>
        <w:t>用“银行保函”形式提交的：</w:t>
      </w:r>
    </w:p>
    <w:p>
      <w:pPr>
        <w:ind w:firstLine="480"/>
        <w:rPr>
          <w:highlight w:val="none"/>
        </w:rPr>
      </w:pPr>
      <w:r>
        <w:rPr>
          <w:rFonts w:hint="eastAsia"/>
          <w:highlight w:val="none"/>
        </w:rPr>
        <w:t>“银行保函”（原件）应于投标前提交（开标前24小时内提交无效），代理机构审核其内容、格式等是否符合规定；</w:t>
      </w:r>
    </w:p>
    <w:p>
      <w:pPr>
        <w:ind w:firstLine="480"/>
        <w:rPr>
          <w:highlight w:val="none"/>
        </w:rPr>
      </w:pPr>
      <w:r>
        <w:rPr>
          <w:rFonts w:hint="eastAsia"/>
          <w:highlight w:val="none"/>
        </w:rPr>
        <w:t>在投标时提供有效的“银行保函”复印件，作为投标文件的组成部分之一。</w:t>
      </w:r>
    </w:p>
    <w:p>
      <w:pPr>
        <w:pStyle w:val="7"/>
        <w:spacing w:before="0" w:after="0"/>
        <w:rPr>
          <w:highlight w:val="none"/>
        </w:rPr>
      </w:pPr>
      <w:r>
        <w:rPr>
          <w:rFonts w:hint="eastAsia"/>
          <w:highlight w:val="none"/>
        </w:rPr>
        <w:t>凡未按规定交纳投标保证金的投标，为无效投标。</w:t>
      </w:r>
    </w:p>
    <w:p>
      <w:pPr>
        <w:pStyle w:val="7"/>
        <w:spacing w:before="0" w:after="0"/>
        <w:rPr>
          <w:highlight w:val="none"/>
        </w:rPr>
      </w:pPr>
      <w:r>
        <w:rPr>
          <w:rFonts w:hint="eastAsia"/>
          <w:highlight w:val="none"/>
        </w:rPr>
        <w:t>未中标的投标人保证金，在中标通知书发出后五个工作日内原额退还。</w:t>
      </w:r>
    </w:p>
    <w:p>
      <w:pPr>
        <w:pStyle w:val="7"/>
        <w:spacing w:before="0" w:after="0"/>
        <w:rPr>
          <w:highlight w:val="none"/>
        </w:rPr>
      </w:pPr>
      <w:r>
        <w:rPr>
          <w:rFonts w:hint="eastAsia"/>
          <w:highlight w:val="none"/>
        </w:rPr>
        <w:t>中标供应商的投标保证金，在中标供应商与采购人签订采购合同后5个工作日内原额退还。</w:t>
      </w:r>
    </w:p>
    <w:p>
      <w:pPr>
        <w:pStyle w:val="7"/>
        <w:spacing w:before="0" w:after="0"/>
        <w:rPr>
          <w:highlight w:val="none"/>
        </w:rPr>
      </w:pPr>
      <w:r>
        <w:rPr>
          <w:rFonts w:hint="eastAsia"/>
          <w:highlight w:val="none"/>
        </w:rPr>
        <w:t>有下列情形之一的，投标保证金将不予退还：</w:t>
      </w:r>
    </w:p>
    <w:p>
      <w:pPr>
        <w:pStyle w:val="8"/>
        <w:spacing w:before="0" w:after="0"/>
        <w:rPr>
          <w:highlight w:val="none"/>
        </w:rPr>
      </w:pPr>
      <w:r>
        <w:rPr>
          <w:rFonts w:hint="eastAsia"/>
          <w:highlight w:val="none"/>
        </w:rPr>
        <w:t>中标后无正当理由放弃中标或不与采购人签订合同的。</w:t>
      </w:r>
    </w:p>
    <w:p>
      <w:pPr>
        <w:pStyle w:val="8"/>
        <w:spacing w:before="0" w:after="0"/>
        <w:rPr>
          <w:highlight w:val="none"/>
        </w:rPr>
      </w:pPr>
      <w:r>
        <w:rPr>
          <w:rFonts w:hint="eastAsia"/>
          <w:highlight w:val="none"/>
        </w:rPr>
        <w:t>在提交投标文件截止时间至招标文件规定的投标有效期内撤回投标文件的。</w:t>
      </w:r>
    </w:p>
    <w:p>
      <w:pPr>
        <w:pStyle w:val="8"/>
        <w:spacing w:before="0" w:after="0"/>
        <w:rPr>
          <w:highlight w:val="none"/>
        </w:rPr>
      </w:pPr>
      <w:r>
        <w:rPr>
          <w:rFonts w:hint="eastAsia"/>
          <w:highlight w:val="none"/>
        </w:rPr>
        <w:t>投标人在投标文件中提供虚假材料的。</w:t>
      </w:r>
    </w:p>
    <w:p>
      <w:pPr>
        <w:pStyle w:val="8"/>
        <w:spacing w:before="0" w:after="0"/>
        <w:rPr>
          <w:highlight w:val="none"/>
        </w:rPr>
      </w:pPr>
      <w:r>
        <w:rPr>
          <w:rFonts w:hint="eastAsia"/>
          <w:highlight w:val="none"/>
        </w:rPr>
        <w:t>投标人与采购人或其他投标人恶意串通的。</w:t>
      </w:r>
    </w:p>
    <w:p>
      <w:pPr>
        <w:pStyle w:val="6"/>
        <w:spacing w:before="0" w:after="0"/>
        <w:rPr>
          <w:highlight w:val="none"/>
        </w:rPr>
      </w:pPr>
      <w:r>
        <w:rPr>
          <w:rFonts w:hint="eastAsia"/>
          <w:highlight w:val="none"/>
        </w:rPr>
        <w:t>投标的截止期、投标有效期</w:t>
      </w:r>
    </w:p>
    <w:p>
      <w:pPr>
        <w:pStyle w:val="7"/>
        <w:spacing w:before="0" w:after="0"/>
        <w:rPr>
          <w:highlight w:val="none"/>
        </w:rPr>
      </w:pPr>
      <w:r>
        <w:rPr>
          <w:rFonts w:hint="eastAsia"/>
          <w:highlight w:val="none"/>
        </w:rPr>
        <w:t>在截止时间后送达或者未送达指定地点的投标文件，为无效投标文件，代理机构将拒收。</w:t>
      </w:r>
    </w:p>
    <w:p>
      <w:pPr>
        <w:pStyle w:val="7"/>
        <w:spacing w:before="0" w:after="0"/>
        <w:rPr>
          <w:highlight w:val="none"/>
        </w:rPr>
      </w:pPr>
      <w:r>
        <w:rPr>
          <w:rFonts w:hint="eastAsia"/>
          <w:highlight w:val="none"/>
        </w:rPr>
        <w:t>从投标截止日起，投标有效期为《投标须知前附表》规定天数。在特殊情况下，代理机构可于投标有效期满之前要求投标人同意延长有效期，要求与答复均应以书面形式。投标人可以拒绝上述要求而其投标保证金不被没收，同意延期的投标人在原投标有效期内应享之权利及应负之责任也相应延续。</w:t>
      </w:r>
    </w:p>
    <w:p>
      <w:pPr>
        <w:pStyle w:val="6"/>
        <w:spacing w:before="0" w:after="0"/>
        <w:rPr>
          <w:highlight w:val="none"/>
        </w:rPr>
      </w:pPr>
      <w:r>
        <w:rPr>
          <w:rFonts w:hint="eastAsia"/>
          <w:highlight w:val="none"/>
        </w:rPr>
        <w:t>投标文件的数量和签署</w:t>
      </w:r>
    </w:p>
    <w:p>
      <w:pPr>
        <w:pStyle w:val="7"/>
        <w:spacing w:before="0" w:after="0"/>
        <w:rPr>
          <w:highlight w:val="none"/>
        </w:rPr>
      </w:pPr>
      <w:r>
        <w:rPr>
          <w:rFonts w:hint="eastAsia"/>
          <w:highlight w:val="none"/>
        </w:rPr>
        <w:t>投标人应编制投标文件的数量见《投标须知前附表》规定，投标文件的副本可采用正本的复印件。每套投标文件须清楚地标明“正本”、“副本”。若副本与正本不符，以正本为准。</w:t>
      </w:r>
    </w:p>
    <w:p>
      <w:pPr>
        <w:pStyle w:val="7"/>
        <w:spacing w:before="0" w:after="0"/>
        <w:rPr>
          <w:highlight w:val="none"/>
        </w:rPr>
      </w:pPr>
      <w:r>
        <w:rPr>
          <w:rFonts w:hint="eastAsia"/>
          <w:highlight w:val="none"/>
        </w:rPr>
        <w:t>投标文件的正本需打印或用不褪色墨水书写，并由法定代表人或经其正式授权的代表签字。授权代表须出具书面授权证明，其《法定代表人授权书》应附在投标文件中。</w:t>
      </w:r>
    </w:p>
    <w:p>
      <w:pPr>
        <w:pStyle w:val="7"/>
        <w:spacing w:before="0" w:after="0"/>
        <w:rPr>
          <w:highlight w:val="none"/>
        </w:rPr>
      </w:pPr>
      <w:r>
        <w:rPr>
          <w:rFonts w:hint="eastAsia"/>
          <w:highlight w:val="none"/>
        </w:rPr>
        <w:t>投标文件中的任何重要的插字、涂改和增删，必须由法定代表人或经其正式授权的代表在旁边签名章或签字才有效。</w:t>
      </w:r>
    </w:p>
    <w:p>
      <w:pPr>
        <w:pStyle w:val="5"/>
        <w:spacing w:before="0" w:after="0"/>
        <w:rPr>
          <w:highlight w:val="none"/>
        </w:rPr>
      </w:pPr>
      <w:r>
        <w:rPr>
          <w:rFonts w:hint="eastAsia"/>
          <w:highlight w:val="none"/>
        </w:rPr>
        <w:t>投标文件的递交</w:t>
      </w:r>
    </w:p>
    <w:p>
      <w:pPr>
        <w:pStyle w:val="6"/>
        <w:spacing w:before="0" w:after="0"/>
        <w:rPr>
          <w:highlight w:val="none"/>
        </w:rPr>
      </w:pPr>
      <w:r>
        <w:rPr>
          <w:rFonts w:hint="eastAsia"/>
          <w:highlight w:val="none"/>
        </w:rPr>
        <w:t>投标文件的密封和标记</w:t>
      </w:r>
    </w:p>
    <w:p>
      <w:pPr>
        <w:pStyle w:val="7"/>
        <w:spacing w:before="0" w:after="0"/>
        <w:rPr>
          <w:rFonts w:ascii="宋体" w:hAnsi="宋体" w:cs="宋体"/>
          <w:bCs/>
          <w:highlight w:val="none"/>
        </w:rPr>
      </w:pPr>
      <w:r>
        <w:rPr>
          <w:rFonts w:hint="eastAsia" w:ascii="宋体" w:hAnsi="宋体" w:cs="宋体"/>
          <w:bCs/>
          <w:highlight w:val="none"/>
        </w:rPr>
        <w:t>投标人应将投标文件正本1份、副本4份分别胶装成册，注明正本、副本字样，电子光盘2份（格式采用word版），</w:t>
      </w:r>
      <w:r>
        <w:rPr>
          <w:rFonts w:hint="eastAsia" w:ascii="宋体" w:hAnsi="宋体" w:cs="宋体"/>
          <w:b/>
          <w:highlight w:val="none"/>
        </w:rPr>
        <w:t>正本、副本和电子版密封于一个包装袋内，开标一览表单独密封</w:t>
      </w:r>
      <w:r>
        <w:rPr>
          <w:rFonts w:hint="eastAsia" w:ascii="宋体" w:hAnsi="宋体" w:cs="宋体"/>
          <w:bCs/>
          <w:highlight w:val="none"/>
        </w:rPr>
        <w:t>。</w:t>
      </w:r>
    </w:p>
    <w:p>
      <w:pPr>
        <w:adjustRightInd w:val="0"/>
        <w:snapToGrid w:val="0"/>
        <w:ind w:firstLine="528"/>
        <w:jc w:val="center"/>
        <w:rPr>
          <w:rFonts w:ascii="宋体" w:hAnsi="宋体" w:cs="宋体"/>
          <w:bCs/>
          <w:highlight w:val="none"/>
        </w:rPr>
      </w:pPr>
      <w:r>
        <w:rPr>
          <w:rFonts w:hint="eastAsia" w:ascii="宋体" w:hAnsi="宋体" w:cs="宋体"/>
          <w:bCs/>
          <w:snapToGrid w:val="0"/>
          <w:spacing w:val="12"/>
          <w:highlight w:val="none"/>
        </w:rPr>
        <w:t>密封袋封面格式</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pStyle w:val="13"/>
              <w:ind w:left="0" w:firstLine="1231" w:firstLineChars="513"/>
              <w:jc w:val="center"/>
              <w:rPr>
                <w:rFonts w:hAnsi="宋体" w:cs="宋体"/>
                <w:bCs/>
                <w:sz w:val="24"/>
                <w:highlight w:val="none"/>
              </w:rPr>
            </w:pPr>
            <w:r>
              <w:rPr>
                <w:rFonts w:hint="eastAsia" w:hAnsi="宋体" w:cs="宋体"/>
                <w:bCs/>
                <w:sz w:val="24"/>
                <w:highlight w:val="none"/>
              </w:rPr>
              <w:t>投标文件</w:t>
            </w:r>
          </w:p>
          <w:p>
            <w:pPr>
              <w:pStyle w:val="13"/>
              <w:ind w:left="0" w:firstLine="840" w:firstLineChars="350"/>
              <w:jc w:val="left"/>
              <w:rPr>
                <w:rFonts w:hAnsi="宋体" w:cs="宋体"/>
                <w:bCs/>
                <w:sz w:val="24"/>
                <w:highlight w:val="none"/>
              </w:rPr>
            </w:pPr>
            <w:r>
              <w:rPr>
                <w:rFonts w:hint="eastAsia" w:hAnsi="宋体" w:cs="宋体"/>
                <w:bCs/>
                <w:sz w:val="24"/>
                <w:highlight w:val="none"/>
              </w:rPr>
              <w:t>项目编号：</w:t>
            </w:r>
          </w:p>
          <w:p>
            <w:pPr>
              <w:pStyle w:val="13"/>
              <w:ind w:left="0" w:firstLine="840" w:firstLineChars="350"/>
              <w:jc w:val="left"/>
              <w:rPr>
                <w:rFonts w:hAnsi="宋体" w:cs="宋体"/>
                <w:bCs/>
                <w:sz w:val="24"/>
                <w:highlight w:val="none"/>
              </w:rPr>
            </w:pPr>
            <w:r>
              <w:rPr>
                <w:rFonts w:hint="eastAsia" w:hAnsi="宋体" w:cs="宋体"/>
                <w:bCs/>
                <w:sz w:val="24"/>
                <w:highlight w:val="none"/>
              </w:rPr>
              <w:t>项目名称：</w:t>
            </w:r>
          </w:p>
          <w:p>
            <w:pPr>
              <w:pStyle w:val="13"/>
              <w:ind w:left="0" w:firstLine="840" w:firstLineChars="350"/>
              <w:jc w:val="left"/>
              <w:rPr>
                <w:rFonts w:hAnsi="宋体" w:cs="宋体"/>
                <w:bCs/>
                <w:sz w:val="24"/>
                <w:highlight w:val="none"/>
              </w:rPr>
            </w:pPr>
            <w:r>
              <w:rPr>
                <w:rFonts w:hint="eastAsia" w:hAnsi="宋体" w:cs="宋体"/>
                <w:bCs/>
                <w:sz w:val="24"/>
                <w:highlight w:val="none"/>
              </w:rPr>
              <w:t>投标人名称：</w:t>
            </w:r>
          </w:p>
          <w:p>
            <w:pPr>
              <w:pStyle w:val="13"/>
              <w:ind w:left="0" w:firstLine="840" w:firstLineChars="350"/>
              <w:jc w:val="left"/>
              <w:rPr>
                <w:rFonts w:hAnsi="宋体" w:cs="宋体"/>
                <w:bCs/>
                <w:sz w:val="24"/>
                <w:highlight w:val="none"/>
              </w:rPr>
            </w:pPr>
            <w:r>
              <w:rPr>
                <w:rFonts w:hint="eastAsia" w:hAnsi="宋体" w:cs="宋体"/>
                <w:bCs/>
                <w:sz w:val="24"/>
                <w:highlight w:val="none"/>
              </w:rPr>
              <w:t>投标人地址：</w:t>
            </w:r>
          </w:p>
          <w:p>
            <w:pPr>
              <w:pStyle w:val="13"/>
              <w:ind w:left="0" w:firstLine="840" w:firstLineChars="350"/>
              <w:jc w:val="left"/>
              <w:rPr>
                <w:rFonts w:hAnsi="宋体" w:cs="宋体"/>
                <w:bCs/>
                <w:sz w:val="24"/>
                <w:highlight w:val="none"/>
              </w:rPr>
            </w:pPr>
            <w:r>
              <w:rPr>
                <w:rFonts w:hint="eastAsia" w:hAnsi="宋体" w:cs="宋体"/>
                <w:bCs/>
                <w:sz w:val="24"/>
                <w:highlight w:val="none"/>
              </w:rPr>
              <w:t>投标人代表：</w:t>
            </w:r>
          </w:p>
          <w:p>
            <w:pPr>
              <w:pStyle w:val="13"/>
              <w:ind w:left="0" w:firstLine="840" w:firstLineChars="350"/>
              <w:jc w:val="left"/>
              <w:rPr>
                <w:rFonts w:hAnsi="宋体" w:cs="宋体"/>
                <w:bCs/>
                <w:sz w:val="24"/>
                <w:highlight w:val="none"/>
              </w:rPr>
            </w:pPr>
            <w:r>
              <w:rPr>
                <w:rFonts w:hint="eastAsia" w:hAnsi="宋体" w:cs="宋体"/>
                <w:bCs/>
                <w:sz w:val="24"/>
                <w:highlight w:val="none"/>
              </w:rPr>
              <w:t>投标人电话：</w:t>
            </w:r>
          </w:p>
          <w:p>
            <w:pPr>
              <w:pStyle w:val="13"/>
              <w:ind w:left="0" w:firstLine="840" w:firstLineChars="350"/>
              <w:jc w:val="left"/>
              <w:rPr>
                <w:rFonts w:hAnsi="宋体" w:cs="宋体"/>
                <w:bCs/>
                <w:sz w:val="24"/>
                <w:highlight w:val="none"/>
              </w:rPr>
            </w:pPr>
            <w:r>
              <w:rPr>
                <w:rFonts w:hint="eastAsia" w:hAnsi="宋体" w:cs="宋体"/>
                <w:bCs/>
                <w:sz w:val="24"/>
                <w:highlight w:val="none"/>
              </w:rPr>
              <w:t>法定代表人：</w:t>
            </w:r>
          </w:p>
          <w:p>
            <w:pPr>
              <w:pStyle w:val="13"/>
              <w:ind w:left="0" w:firstLine="840" w:firstLineChars="350"/>
              <w:jc w:val="left"/>
              <w:rPr>
                <w:rFonts w:hAnsi="宋体" w:cs="宋体"/>
                <w:bCs/>
                <w:sz w:val="24"/>
                <w:highlight w:val="none"/>
              </w:rPr>
            </w:pPr>
            <w:r>
              <w:rPr>
                <w:rFonts w:hint="eastAsia" w:hAnsi="宋体" w:cs="宋体"/>
                <w:bCs/>
                <w:sz w:val="24"/>
                <w:highlight w:val="none"/>
              </w:rPr>
              <w:t>递交日期：</w:t>
            </w:r>
          </w:p>
          <w:p>
            <w:pPr>
              <w:pStyle w:val="13"/>
              <w:ind w:left="0" w:firstLine="840" w:firstLineChars="350"/>
              <w:jc w:val="left"/>
              <w:rPr>
                <w:rFonts w:hAnsi="宋体" w:cs="宋体"/>
                <w:bCs/>
                <w:sz w:val="24"/>
                <w:highlight w:val="none"/>
              </w:rPr>
            </w:pPr>
            <w:r>
              <w:rPr>
                <w:rFonts w:hint="eastAsia" w:hAnsi="宋体" w:cs="宋体"/>
                <w:bCs/>
                <w:sz w:val="24"/>
                <w:highlight w:val="none"/>
              </w:rPr>
              <w:t>于   年  月  日   时之前（投标截止日期之前）不准启封</w:t>
            </w:r>
          </w:p>
        </w:tc>
      </w:tr>
    </w:tbl>
    <w:p>
      <w:pPr>
        <w:pStyle w:val="7"/>
        <w:spacing w:before="0" w:after="0"/>
        <w:rPr>
          <w:highlight w:val="none"/>
        </w:rPr>
      </w:pPr>
      <w:r>
        <w:rPr>
          <w:rFonts w:hint="eastAsia"/>
          <w:highlight w:val="none"/>
        </w:rPr>
        <w:t>投标人应在密封的信封上注明投标项目名称、项目编号，并在每一密封的信封上注明“于   年  月  日   时之前（投标截止日期之前）不准启封”的字样，同时在密封处加盖公章或法定代表人印章或密封章。</w:t>
      </w:r>
    </w:p>
    <w:p>
      <w:pPr>
        <w:pStyle w:val="7"/>
        <w:spacing w:before="0" w:after="0"/>
        <w:rPr>
          <w:highlight w:val="none"/>
        </w:rPr>
      </w:pPr>
      <w:r>
        <w:rPr>
          <w:rFonts w:hint="eastAsia"/>
          <w:highlight w:val="none"/>
        </w:rPr>
        <w:t>投标人应在密封的信封上注明投标人名称、投标人地址、联系电话、投标人代表、法定代表人等内容。</w:t>
      </w:r>
    </w:p>
    <w:p>
      <w:pPr>
        <w:pStyle w:val="7"/>
        <w:spacing w:before="0" w:after="0"/>
        <w:rPr>
          <w:highlight w:val="none"/>
        </w:rPr>
      </w:pPr>
      <w:r>
        <w:rPr>
          <w:rFonts w:hint="eastAsia"/>
          <w:highlight w:val="none"/>
        </w:rPr>
        <w:t>如投标文件由专人提交，按投标注明的时间和地址送至代理机构。</w:t>
      </w:r>
    </w:p>
    <w:p>
      <w:pPr>
        <w:pStyle w:val="7"/>
        <w:spacing w:before="0" w:after="0"/>
        <w:rPr>
          <w:highlight w:val="none"/>
        </w:rPr>
      </w:pPr>
      <w:r>
        <w:rPr>
          <w:rFonts w:hint="eastAsia"/>
          <w:highlight w:val="none"/>
        </w:rPr>
        <w:t>投标文件未按招标文件规定要求密封和标记的、字迹模糊无法辨认的，代理机构对误投或过早启封概不负责。</w:t>
      </w:r>
    </w:p>
    <w:p>
      <w:pPr>
        <w:pStyle w:val="7"/>
        <w:spacing w:before="0" w:after="0"/>
        <w:rPr>
          <w:highlight w:val="none"/>
        </w:rPr>
      </w:pPr>
      <w:r>
        <w:rPr>
          <w:rFonts w:hint="eastAsia"/>
          <w:highlight w:val="none"/>
        </w:rPr>
        <w:t>电报、电话、传真及其他形式的投标概不接受。</w:t>
      </w:r>
    </w:p>
    <w:p>
      <w:pPr>
        <w:pStyle w:val="7"/>
        <w:spacing w:before="0" w:after="0"/>
        <w:rPr>
          <w:highlight w:val="none"/>
        </w:rPr>
      </w:pPr>
      <w:r>
        <w:rPr>
          <w:rFonts w:hint="eastAsia"/>
          <w:highlight w:val="none"/>
        </w:rPr>
        <w:t>每个投标人须按照招标文件要求提交投标文件，一经投标，无论投标结果如何，其投标文件恕不退还。</w:t>
      </w:r>
    </w:p>
    <w:p>
      <w:pPr>
        <w:pStyle w:val="6"/>
        <w:spacing w:before="0" w:after="0"/>
        <w:rPr>
          <w:highlight w:val="none"/>
        </w:rPr>
      </w:pPr>
      <w:r>
        <w:rPr>
          <w:rFonts w:hint="eastAsia"/>
          <w:highlight w:val="none"/>
        </w:rPr>
        <w:t>提交投标文件的截止时间。</w:t>
      </w:r>
    </w:p>
    <w:p>
      <w:pPr>
        <w:pStyle w:val="7"/>
        <w:spacing w:before="0" w:after="0"/>
        <w:rPr>
          <w:highlight w:val="none"/>
        </w:rPr>
      </w:pPr>
      <w:r>
        <w:rPr>
          <w:rFonts w:hint="eastAsia"/>
          <w:highlight w:val="none"/>
        </w:rPr>
        <w:t>代理机构在招标公告中规定的地址收到投标文件的时间应不迟于招标公告中规定的截止时间。</w:t>
      </w:r>
    </w:p>
    <w:p>
      <w:pPr>
        <w:pStyle w:val="7"/>
        <w:spacing w:before="0" w:after="0"/>
        <w:rPr>
          <w:highlight w:val="none"/>
        </w:rPr>
      </w:pPr>
      <w:r>
        <w:rPr>
          <w:rFonts w:hint="eastAsia"/>
          <w:highlight w:val="none"/>
        </w:rPr>
        <w:t>代理机构可通过修改招标文件酌情延长投标截止日期。在此情况下，采购人和投标人受投标截止日期制约的所有权利和义务均应延长至新的截止日期。</w:t>
      </w:r>
    </w:p>
    <w:p>
      <w:pPr>
        <w:pStyle w:val="6"/>
        <w:spacing w:before="0" w:after="0"/>
        <w:rPr>
          <w:highlight w:val="none"/>
        </w:rPr>
      </w:pPr>
      <w:r>
        <w:rPr>
          <w:rFonts w:hint="eastAsia"/>
          <w:highlight w:val="none"/>
        </w:rPr>
        <w:t>迟交的投标文件</w:t>
      </w:r>
    </w:p>
    <w:p>
      <w:pPr>
        <w:ind w:firstLine="480"/>
        <w:rPr>
          <w:highlight w:val="none"/>
        </w:rPr>
      </w:pPr>
      <w:r>
        <w:rPr>
          <w:rFonts w:hint="eastAsia"/>
          <w:highlight w:val="none"/>
        </w:rPr>
        <w:t>在规定的投标截止时间后送到的任何投标文件拒绝接收。</w:t>
      </w:r>
    </w:p>
    <w:p>
      <w:pPr>
        <w:pStyle w:val="6"/>
        <w:spacing w:before="0" w:after="0"/>
        <w:rPr>
          <w:highlight w:val="none"/>
        </w:rPr>
      </w:pPr>
      <w:r>
        <w:rPr>
          <w:rFonts w:hint="eastAsia"/>
          <w:highlight w:val="none"/>
        </w:rPr>
        <w:t>投标文件的修改和撤回</w:t>
      </w:r>
    </w:p>
    <w:p>
      <w:pPr>
        <w:pStyle w:val="7"/>
        <w:spacing w:before="0" w:after="0"/>
        <w:rPr>
          <w:highlight w:val="none"/>
        </w:rPr>
      </w:pPr>
      <w:r>
        <w:rPr>
          <w:rFonts w:hint="eastAsia"/>
          <w:highlight w:val="none"/>
        </w:rPr>
        <w:t>投标人在投标截止时间前，可以对所提交的投标文件进行补充、修改或者撤回，并书面通知代理机构。补充、修改的内容应当按招标文件要求签署、盖章，并作为投标文件的组成部分。在投标截止时点之后，投标人不得对其投标文件做任何修改和补充。</w:t>
      </w:r>
    </w:p>
    <w:p>
      <w:pPr>
        <w:pStyle w:val="7"/>
        <w:spacing w:before="0" w:after="0"/>
        <w:rPr>
          <w:highlight w:val="none"/>
        </w:rPr>
      </w:pPr>
      <w:r>
        <w:rPr>
          <w:rFonts w:hint="eastAsia"/>
          <w:highlight w:val="none"/>
        </w:rPr>
        <w:t>投标人在提交投标文件后，可以撤回其投标，但投标人必须在规定的投标截止时点前以书面形式告知代理机构。</w:t>
      </w:r>
    </w:p>
    <w:p>
      <w:pPr>
        <w:pStyle w:val="7"/>
        <w:spacing w:before="0" w:after="0"/>
        <w:rPr>
          <w:highlight w:val="none"/>
        </w:rPr>
      </w:pPr>
      <w:r>
        <w:rPr>
          <w:rFonts w:hint="eastAsia"/>
          <w:highlight w:val="none"/>
        </w:rPr>
        <w:t>投标人所提交的投标文件在评标结束后，无论中标与否都不退还。</w:t>
      </w:r>
    </w:p>
    <w:p>
      <w:pPr>
        <w:pStyle w:val="5"/>
        <w:spacing w:before="0" w:after="0"/>
        <w:rPr>
          <w:highlight w:val="none"/>
        </w:rPr>
      </w:pPr>
      <w:r>
        <w:rPr>
          <w:rFonts w:hint="eastAsia"/>
          <w:highlight w:val="none"/>
        </w:rPr>
        <w:t>质疑</w:t>
      </w:r>
    </w:p>
    <w:p>
      <w:pPr>
        <w:pStyle w:val="6"/>
        <w:keepNext w:val="0"/>
        <w:keepLines w:val="0"/>
        <w:pageBreakBefore w:val="0"/>
        <w:widowControl w:val="0"/>
        <w:numPr>
          <w:ilvl w:val="2"/>
          <w:numId w:val="4"/>
        </w:numPr>
        <w:kinsoku/>
        <w:wordWrap/>
        <w:overflowPunct/>
        <w:topLinePunct w:val="0"/>
        <w:autoSpaceDE/>
        <w:autoSpaceDN/>
        <w:bidi w:val="0"/>
        <w:adjustRightInd/>
        <w:snapToGrid/>
        <w:spacing w:before="0" w:after="0"/>
        <w:ind w:firstLine="567"/>
        <w:textAlignment w:val="auto"/>
        <w:rPr>
          <w:rFonts w:hint="eastAsia"/>
        </w:rPr>
      </w:pPr>
      <w:r>
        <w:rPr>
          <w:rFonts w:hint="eastAsia"/>
        </w:rPr>
        <w:t>供应商认为</w:t>
      </w:r>
      <w:r>
        <w:rPr>
          <w:rFonts w:hint="eastAsia"/>
          <w:lang w:val="en-US" w:eastAsia="zh-CN"/>
        </w:rPr>
        <w:t>招标</w:t>
      </w:r>
      <w:r>
        <w:rPr>
          <w:rFonts w:hint="eastAsia"/>
        </w:rPr>
        <w:t>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pStyle w:val="6"/>
        <w:keepNext w:val="0"/>
        <w:keepLines w:val="0"/>
        <w:pageBreakBefore w:val="0"/>
        <w:widowControl w:val="0"/>
        <w:numPr>
          <w:ilvl w:val="2"/>
          <w:numId w:val="0"/>
        </w:numPr>
        <w:kinsoku/>
        <w:wordWrap/>
        <w:overflowPunct/>
        <w:topLinePunct w:val="0"/>
        <w:autoSpaceDE/>
        <w:autoSpaceDN/>
        <w:bidi w:val="0"/>
        <w:adjustRightInd/>
        <w:snapToGrid/>
        <w:spacing w:before="0" w:after="0"/>
        <w:ind w:left="567" w:leftChars="0"/>
        <w:textAlignment w:val="auto"/>
        <w:rPr>
          <w:rFonts w:hint="eastAsia"/>
        </w:rPr>
      </w:pPr>
      <w:r>
        <w:rPr>
          <w:rFonts w:hint="eastAsia"/>
        </w:rPr>
        <w:t>投标人应知其权益受到损害之日，是指：</w:t>
      </w:r>
    </w:p>
    <w:p>
      <w:pPr>
        <w:pStyle w:val="7"/>
        <w:keepNext w:val="0"/>
        <w:keepLines w:val="0"/>
        <w:pageBreakBefore w:val="0"/>
        <w:widowControl w:val="0"/>
        <w:numPr>
          <w:ilvl w:val="3"/>
          <w:numId w:val="4"/>
        </w:numPr>
        <w:kinsoku/>
        <w:wordWrap/>
        <w:overflowPunct/>
        <w:topLinePunct w:val="0"/>
        <w:autoSpaceDE/>
        <w:autoSpaceDN/>
        <w:bidi w:val="0"/>
        <w:adjustRightInd/>
        <w:snapToGrid/>
        <w:spacing w:before="0" w:after="0" w:line="360" w:lineRule="auto"/>
        <w:ind w:left="0" w:leftChars="0" w:firstLine="567" w:firstLineChars="0"/>
        <w:textAlignment w:val="auto"/>
        <w:rPr>
          <w:rFonts w:hint="eastAsia"/>
        </w:rPr>
      </w:pPr>
      <w:r>
        <w:rPr>
          <w:rFonts w:hint="eastAsia"/>
        </w:rPr>
        <w:t>对招标文件提出质疑的，为收到招标文件之日或者招标文件公告期限届满之日；</w:t>
      </w:r>
    </w:p>
    <w:p>
      <w:pPr>
        <w:pStyle w:val="7"/>
        <w:keepNext w:val="0"/>
        <w:keepLines w:val="0"/>
        <w:pageBreakBefore w:val="0"/>
        <w:widowControl w:val="0"/>
        <w:numPr>
          <w:ilvl w:val="3"/>
          <w:numId w:val="4"/>
        </w:numPr>
        <w:kinsoku/>
        <w:wordWrap/>
        <w:overflowPunct/>
        <w:topLinePunct w:val="0"/>
        <w:autoSpaceDE/>
        <w:autoSpaceDN/>
        <w:bidi w:val="0"/>
        <w:adjustRightInd/>
        <w:snapToGrid/>
        <w:spacing w:before="0" w:after="0" w:line="360" w:lineRule="auto"/>
        <w:ind w:left="0" w:leftChars="0" w:firstLine="567" w:firstLineChars="0"/>
        <w:textAlignment w:val="auto"/>
        <w:rPr>
          <w:rFonts w:hint="eastAsia"/>
        </w:rPr>
      </w:pPr>
      <w:r>
        <w:rPr>
          <w:rFonts w:hint="eastAsia"/>
        </w:rPr>
        <w:t>对招标过程提出质疑的，为各招标程序环节结束之</w:t>
      </w:r>
      <w:r>
        <w:rPr>
          <w:rFonts w:hint="eastAsia"/>
          <w:lang w:val="en-US" w:eastAsia="zh-CN"/>
        </w:rPr>
        <w:t>日</w:t>
      </w:r>
      <w:r>
        <w:rPr>
          <w:rFonts w:hint="eastAsia"/>
        </w:rPr>
        <w:t>；</w:t>
      </w:r>
    </w:p>
    <w:p>
      <w:pPr>
        <w:pStyle w:val="7"/>
        <w:keepNext w:val="0"/>
        <w:keepLines w:val="0"/>
        <w:pageBreakBefore w:val="0"/>
        <w:widowControl w:val="0"/>
        <w:numPr>
          <w:ilvl w:val="3"/>
          <w:numId w:val="4"/>
        </w:numPr>
        <w:kinsoku/>
        <w:wordWrap/>
        <w:overflowPunct/>
        <w:topLinePunct w:val="0"/>
        <w:autoSpaceDE/>
        <w:autoSpaceDN/>
        <w:bidi w:val="0"/>
        <w:adjustRightInd/>
        <w:snapToGrid/>
        <w:spacing w:before="0" w:after="0" w:line="360" w:lineRule="auto"/>
        <w:ind w:left="0" w:leftChars="0" w:firstLine="567" w:firstLineChars="0"/>
        <w:textAlignment w:val="auto"/>
        <w:rPr>
          <w:rFonts w:hint="eastAsia"/>
        </w:rPr>
      </w:pPr>
      <w:r>
        <w:rPr>
          <w:rFonts w:hint="eastAsia"/>
        </w:rPr>
        <w:t>对中标结果提出质疑的，为中标结果公告期限届满之日。</w:t>
      </w:r>
    </w:p>
    <w:p>
      <w:pPr>
        <w:pStyle w:val="6"/>
        <w:keepNext w:val="0"/>
        <w:keepLines w:val="0"/>
        <w:pageBreakBefore w:val="0"/>
        <w:widowControl w:val="0"/>
        <w:numPr>
          <w:ilvl w:val="2"/>
          <w:numId w:val="4"/>
        </w:numPr>
        <w:kinsoku/>
        <w:wordWrap/>
        <w:overflowPunct/>
        <w:topLinePunct w:val="0"/>
        <w:autoSpaceDE/>
        <w:autoSpaceDN/>
        <w:bidi w:val="0"/>
        <w:adjustRightInd/>
        <w:snapToGrid/>
        <w:spacing w:before="0" w:after="0"/>
        <w:ind w:firstLine="567"/>
        <w:textAlignment w:val="auto"/>
        <w:rPr>
          <w:rFonts w:hint="eastAsia"/>
        </w:rPr>
      </w:pPr>
      <w:r>
        <w:rPr>
          <w:rFonts w:hint="eastAsia"/>
          <w:lang w:val="en-US" w:eastAsia="zh-CN"/>
        </w:rPr>
        <w:t>供应商提出质疑</w:t>
      </w:r>
      <w:r>
        <w:rPr>
          <w:rFonts w:hint="eastAsia"/>
        </w:rPr>
        <w:t>应当提交质疑函和必要的证明材料。</w:t>
      </w:r>
    </w:p>
    <w:p>
      <w:pPr>
        <w:pStyle w:val="6"/>
        <w:keepNext w:val="0"/>
        <w:keepLines w:val="0"/>
        <w:pageBreakBefore w:val="0"/>
        <w:widowControl w:val="0"/>
        <w:numPr>
          <w:ilvl w:val="2"/>
          <w:numId w:val="4"/>
        </w:numPr>
        <w:kinsoku/>
        <w:wordWrap/>
        <w:overflowPunct/>
        <w:topLinePunct w:val="0"/>
        <w:autoSpaceDE/>
        <w:autoSpaceDN/>
        <w:bidi w:val="0"/>
        <w:adjustRightInd/>
        <w:snapToGrid/>
        <w:spacing w:before="0" w:after="0"/>
        <w:ind w:firstLine="567"/>
        <w:textAlignment w:val="auto"/>
        <w:rPr>
          <w:rFonts w:hint="eastAsia"/>
        </w:rPr>
      </w:pPr>
      <w:r>
        <w:rPr>
          <w:rFonts w:hint="eastAsia"/>
        </w:rPr>
        <w:t>供应商为自然人的，应当由本人签字；供应商为法人或者其他组织的，应当由法定代表人、主要负责人，或者其授权代表签字或者盖章，并加盖公章。</w:t>
      </w:r>
    </w:p>
    <w:p>
      <w:pPr>
        <w:pStyle w:val="6"/>
        <w:keepNext w:val="0"/>
        <w:keepLines w:val="0"/>
        <w:pageBreakBefore w:val="0"/>
        <w:widowControl w:val="0"/>
        <w:numPr>
          <w:ilvl w:val="2"/>
          <w:numId w:val="4"/>
        </w:numPr>
        <w:kinsoku/>
        <w:wordWrap/>
        <w:overflowPunct/>
        <w:topLinePunct w:val="0"/>
        <w:autoSpaceDE/>
        <w:autoSpaceDN/>
        <w:bidi w:val="0"/>
        <w:adjustRightInd/>
        <w:snapToGrid/>
        <w:spacing w:before="0" w:after="0"/>
        <w:ind w:firstLine="567"/>
        <w:textAlignment w:val="auto"/>
        <w:rPr>
          <w:rFonts w:hint="eastAsia"/>
        </w:rPr>
      </w:pPr>
      <w:r>
        <w:rPr>
          <w:rFonts w:hint="eastAsia"/>
        </w:rPr>
        <w:t>供应商应在法定质疑期内一次性提出针对同一采购程序环节的质疑，法定质疑期内针对同一采购程序环节再次提出的质疑，采购人、采购代理机构有权不予答复。</w:t>
      </w:r>
    </w:p>
    <w:p>
      <w:pPr>
        <w:pStyle w:val="6"/>
        <w:keepNext w:val="0"/>
        <w:keepLines w:val="0"/>
        <w:pageBreakBefore w:val="0"/>
        <w:widowControl w:val="0"/>
        <w:numPr>
          <w:ilvl w:val="2"/>
          <w:numId w:val="4"/>
        </w:numPr>
        <w:kinsoku/>
        <w:wordWrap/>
        <w:overflowPunct/>
        <w:topLinePunct w:val="0"/>
        <w:autoSpaceDE/>
        <w:autoSpaceDN/>
        <w:bidi w:val="0"/>
        <w:adjustRightInd/>
        <w:snapToGrid/>
        <w:spacing w:before="0" w:after="0"/>
        <w:ind w:firstLine="567"/>
        <w:textAlignment w:val="auto"/>
        <w:rPr>
          <w:rFonts w:hint="eastAsia"/>
        </w:rPr>
      </w:pPr>
      <w:r>
        <w:rPr>
          <w:rFonts w:hint="eastAsia"/>
          <w:lang w:val="en-US" w:eastAsia="zh-CN"/>
        </w:rPr>
        <w:t>供应商</w:t>
      </w:r>
      <w:r>
        <w:rPr>
          <w:rFonts w:hint="eastAsia"/>
        </w:rPr>
        <w:t>对此次采购活动有疑问</w:t>
      </w:r>
      <w:r>
        <w:rPr>
          <w:rFonts w:hint="eastAsia"/>
          <w:lang w:val="en-US" w:eastAsia="zh-CN"/>
        </w:rPr>
        <w:t>的</w:t>
      </w:r>
      <w:r>
        <w:rPr>
          <w:rFonts w:hint="eastAsia"/>
        </w:rPr>
        <w:t>，如认为采购文件表述有歧义或表述不清</w:t>
      </w:r>
      <w:r>
        <w:rPr>
          <w:rFonts w:hint="eastAsia"/>
          <w:lang w:eastAsia="zh-CN"/>
        </w:rPr>
        <w:t>，</w:t>
      </w:r>
      <w:r>
        <w:rPr>
          <w:rFonts w:hint="eastAsia"/>
        </w:rPr>
        <w:t>可向</w:t>
      </w:r>
      <w:r>
        <w:rPr>
          <w:rFonts w:hint="eastAsia"/>
          <w:lang w:eastAsia="zh-CN"/>
        </w:rPr>
        <w:t>采购人</w:t>
      </w:r>
      <w:r>
        <w:rPr>
          <w:rFonts w:hint="eastAsia"/>
        </w:rPr>
        <w:t>或代理机构提出</w:t>
      </w:r>
      <w:r>
        <w:rPr>
          <w:rFonts w:hint="eastAsia"/>
          <w:lang w:val="en-US" w:eastAsia="zh-CN"/>
        </w:rPr>
        <w:t>询问，</w:t>
      </w:r>
      <w:r>
        <w:rPr>
          <w:rFonts w:hint="eastAsia"/>
          <w:lang w:eastAsia="zh-CN"/>
        </w:rPr>
        <w:t>采购人</w:t>
      </w:r>
      <w:r>
        <w:rPr>
          <w:rFonts w:hint="eastAsia"/>
        </w:rPr>
        <w:t>或代理机构应当给与答复。</w:t>
      </w:r>
    </w:p>
    <w:p>
      <w:pPr>
        <w:pStyle w:val="5"/>
        <w:spacing w:before="0" w:after="0"/>
        <w:rPr>
          <w:highlight w:val="none"/>
        </w:rPr>
      </w:pPr>
      <w:r>
        <w:rPr>
          <w:rFonts w:hint="eastAsia"/>
          <w:highlight w:val="none"/>
        </w:rPr>
        <w:t>授予合同</w:t>
      </w:r>
    </w:p>
    <w:p>
      <w:pPr>
        <w:pStyle w:val="6"/>
        <w:spacing w:before="0" w:after="0"/>
        <w:rPr>
          <w:highlight w:val="none"/>
        </w:rPr>
      </w:pPr>
      <w:r>
        <w:rPr>
          <w:rFonts w:hint="eastAsia"/>
          <w:highlight w:val="none"/>
        </w:rPr>
        <w:t>中标通知</w:t>
      </w:r>
    </w:p>
    <w:p>
      <w:pPr>
        <w:pStyle w:val="7"/>
        <w:spacing w:before="0" w:after="0"/>
        <w:rPr>
          <w:highlight w:val="none"/>
        </w:rPr>
      </w:pPr>
      <w:r>
        <w:rPr>
          <w:rFonts w:hint="eastAsia"/>
          <w:highlight w:val="none"/>
        </w:rPr>
        <w:t>招标代理机构自评审结束之日起2个工作日内将评标报告提交采购人。采购人应当自收到评标报告之日起5个工作日内，在评标报告确定的中标候选人名单中按顺序确定中标供应商。</w:t>
      </w:r>
    </w:p>
    <w:p>
      <w:pPr>
        <w:pStyle w:val="7"/>
        <w:spacing w:before="0" w:after="0"/>
        <w:rPr>
          <w:highlight w:val="none"/>
        </w:rPr>
      </w:pPr>
      <w:r>
        <w:rPr>
          <w:rFonts w:hint="eastAsia"/>
          <w:highlight w:val="none"/>
        </w:rPr>
        <w:t>招标代理机构自中标供应商确定之日起2个工作日内，发出中标通知书，并在</w:t>
      </w:r>
      <w:r>
        <w:rPr>
          <w:rFonts w:hint="eastAsia" w:ascii="宋体" w:hAnsi="宋体" w:cs="宋体"/>
          <w:bCs/>
          <w:highlight w:val="none"/>
        </w:rPr>
        <w:t>原公告媒体</w:t>
      </w:r>
      <w:r>
        <w:rPr>
          <w:rFonts w:hint="eastAsia"/>
          <w:highlight w:val="none"/>
        </w:rPr>
        <w:t>上公告中标结果。</w:t>
      </w:r>
    </w:p>
    <w:p>
      <w:pPr>
        <w:pStyle w:val="7"/>
        <w:spacing w:before="0" w:after="0"/>
        <w:rPr>
          <w:highlight w:val="none"/>
        </w:rPr>
      </w:pPr>
      <w:r>
        <w:rPr>
          <w:rFonts w:hint="eastAsia"/>
          <w:highlight w:val="none"/>
        </w:rPr>
        <w:t>在发出《中标通知书》后，中标供应商在30日内应当签订采购合同。</w:t>
      </w:r>
    </w:p>
    <w:p>
      <w:pPr>
        <w:pStyle w:val="6"/>
        <w:spacing w:before="0" w:after="0"/>
        <w:rPr>
          <w:highlight w:val="none"/>
        </w:rPr>
      </w:pPr>
      <w:r>
        <w:rPr>
          <w:rFonts w:hint="eastAsia"/>
          <w:highlight w:val="none"/>
        </w:rPr>
        <w:t>签订合同</w:t>
      </w:r>
    </w:p>
    <w:p>
      <w:pPr>
        <w:pStyle w:val="7"/>
        <w:spacing w:before="0" w:after="0"/>
        <w:rPr>
          <w:highlight w:val="none"/>
        </w:rPr>
      </w:pPr>
      <w:r>
        <w:rPr>
          <w:rFonts w:hint="eastAsia"/>
          <w:highlight w:val="none"/>
        </w:rPr>
        <w:t>采购人与中标供应商自《中标通知书》发出之日起三十日内，按招标文件要求和中标供应商投标文件承诺签订采购合同，但不得超出招标文件和中标供应商投标文件的范围、也不得再行订立背离合同实质性内容的其他协议。</w:t>
      </w:r>
    </w:p>
    <w:p>
      <w:pPr>
        <w:pStyle w:val="7"/>
        <w:spacing w:before="0" w:after="0"/>
        <w:rPr>
          <w:highlight w:val="none"/>
        </w:rPr>
      </w:pPr>
      <w:r>
        <w:rPr>
          <w:rFonts w:hint="eastAsia"/>
          <w:highlight w:val="none"/>
        </w:rPr>
        <w:t>采购合同订立后，合同各方不得擅自变更、中止或者终止合同。</w:t>
      </w:r>
    </w:p>
    <w:p>
      <w:pPr>
        <w:pStyle w:val="7"/>
        <w:spacing w:before="0" w:after="0"/>
        <w:rPr>
          <w:highlight w:val="none"/>
        </w:rPr>
      </w:pPr>
      <w:r>
        <w:rPr>
          <w:rFonts w:hint="eastAsia"/>
          <w:highlight w:val="none"/>
        </w:rPr>
        <w:t>采购合同履行中，采购人需追加与合同标的相同的服务的，在不改变合同其他条款的前提下，可以与中标供应商签订补充合同，但所补充合同的采购金额不得超过原采购金额的百分之十。签订补充合同的必须按照招标文件的规定备案。</w:t>
      </w:r>
    </w:p>
    <w:p>
      <w:pPr>
        <w:pStyle w:val="4"/>
        <w:spacing w:after="314"/>
        <w:rPr>
          <w:highlight w:val="none"/>
        </w:rPr>
      </w:pPr>
      <w:r>
        <w:rPr>
          <w:rFonts w:hint="eastAsia"/>
          <w:highlight w:val="none"/>
        </w:rPr>
        <w:br w:type="page"/>
      </w:r>
      <w:bookmarkStart w:id="20" w:name="_Toc29505"/>
      <w:bookmarkStart w:id="21" w:name="_Toc13507"/>
      <w:bookmarkStart w:id="22" w:name="_Toc19018"/>
      <w:bookmarkStart w:id="23" w:name="_Toc8254"/>
      <w:r>
        <w:rPr>
          <w:rFonts w:hint="eastAsia"/>
          <w:highlight w:val="none"/>
        </w:rPr>
        <w:t>评 标 方 法</w:t>
      </w:r>
      <w:bookmarkEnd w:id="20"/>
      <w:bookmarkEnd w:id="21"/>
      <w:bookmarkEnd w:id="22"/>
    </w:p>
    <w:p>
      <w:pPr>
        <w:pStyle w:val="5"/>
        <w:numPr>
          <w:ilvl w:val="1"/>
          <w:numId w:val="5"/>
        </w:numPr>
        <w:spacing w:before="0" w:after="0"/>
        <w:rPr>
          <w:highlight w:val="none"/>
        </w:rPr>
      </w:pPr>
      <w:r>
        <w:rPr>
          <w:rFonts w:hint="eastAsia"/>
          <w:highlight w:val="none"/>
        </w:rPr>
        <w:t>总则</w:t>
      </w:r>
    </w:p>
    <w:p>
      <w:pPr>
        <w:pStyle w:val="6"/>
        <w:spacing w:before="0" w:after="0"/>
        <w:rPr>
          <w:highlight w:val="none"/>
        </w:rPr>
      </w:pPr>
      <w:r>
        <w:rPr>
          <w:rFonts w:hint="eastAsia"/>
          <w:highlight w:val="none"/>
        </w:rPr>
        <w:t>评标委员会</w:t>
      </w:r>
    </w:p>
    <w:p>
      <w:pPr>
        <w:pStyle w:val="7"/>
        <w:spacing w:before="0" w:after="0"/>
        <w:rPr>
          <w:rFonts w:ascii="宋体" w:hAnsi="宋体" w:cs="宋体"/>
          <w:bCs/>
          <w:highlight w:val="none"/>
        </w:rPr>
      </w:pPr>
      <w:r>
        <w:rPr>
          <w:rFonts w:hint="eastAsia" w:ascii="宋体" w:hAnsi="宋体" w:cs="宋体"/>
          <w:bCs/>
          <w:highlight w:val="none"/>
        </w:rPr>
        <w:t>本次招标依法组建评标委员会。本次评标的评标委员会依法由</w:t>
      </w:r>
      <w:r>
        <w:rPr>
          <w:rFonts w:hint="eastAsia" w:ascii="宋体" w:hAnsi="宋体" w:cs="宋体"/>
          <w:bCs/>
          <w:highlight w:val="none"/>
          <w:u w:val="single"/>
        </w:rPr>
        <w:t>5</w:t>
      </w:r>
      <w:r>
        <w:rPr>
          <w:rFonts w:hint="eastAsia" w:ascii="宋体" w:hAnsi="宋体" w:cs="宋体"/>
          <w:bCs/>
          <w:highlight w:val="none"/>
        </w:rPr>
        <w:t>位评委组成，评标委员会负责全部的评审工作，任何人不得干预评标委员会的工作。代理机构工作人员主要对评标委员会意见的整理、记录评标情况、整理编写评标报告等工作。采购人员及相关人员与投标人有下列利害关系之一的，应当回避：</w:t>
      </w:r>
    </w:p>
    <w:p>
      <w:pPr>
        <w:pStyle w:val="8"/>
        <w:spacing w:before="0" w:after="0"/>
        <w:rPr>
          <w:highlight w:val="none"/>
        </w:rPr>
      </w:pPr>
      <w:r>
        <w:rPr>
          <w:rFonts w:hint="eastAsia"/>
          <w:highlight w:val="none"/>
        </w:rPr>
        <w:t>参加采购活动前3年内与投标人存在劳动关系；</w:t>
      </w:r>
    </w:p>
    <w:p>
      <w:pPr>
        <w:pStyle w:val="8"/>
        <w:spacing w:before="0" w:after="0"/>
        <w:rPr>
          <w:highlight w:val="none"/>
        </w:rPr>
      </w:pPr>
      <w:r>
        <w:rPr>
          <w:rFonts w:hint="eastAsia"/>
          <w:highlight w:val="none"/>
        </w:rPr>
        <w:t>参加采购活动前3年内担任投标人的董事、监事；</w:t>
      </w:r>
    </w:p>
    <w:p>
      <w:pPr>
        <w:pStyle w:val="8"/>
        <w:spacing w:before="0" w:after="0"/>
        <w:rPr>
          <w:highlight w:val="none"/>
        </w:rPr>
      </w:pPr>
      <w:r>
        <w:rPr>
          <w:rFonts w:hint="eastAsia"/>
          <w:highlight w:val="none"/>
        </w:rPr>
        <w:t>参加采购活动前3年内是投标人的控股股东或者实际控制人；</w:t>
      </w:r>
    </w:p>
    <w:p>
      <w:pPr>
        <w:pStyle w:val="8"/>
        <w:spacing w:before="0" w:after="0"/>
        <w:rPr>
          <w:highlight w:val="none"/>
        </w:rPr>
      </w:pPr>
      <w:r>
        <w:rPr>
          <w:rFonts w:hint="eastAsia"/>
          <w:highlight w:val="none"/>
        </w:rPr>
        <w:t>与投标人的法定代表人或者负责人有夫妻、直系血亲、三代以内旁系血亲或者近姻亲关系；</w:t>
      </w:r>
    </w:p>
    <w:p>
      <w:pPr>
        <w:pStyle w:val="8"/>
        <w:spacing w:before="0" w:after="0"/>
        <w:rPr>
          <w:highlight w:val="none"/>
        </w:rPr>
      </w:pPr>
      <w:r>
        <w:rPr>
          <w:rFonts w:hint="eastAsia"/>
          <w:highlight w:val="none"/>
        </w:rPr>
        <w:t>与投标人有其他可能影响采购活动公平、公正进行的关系。</w:t>
      </w:r>
    </w:p>
    <w:p>
      <w:pPr>
        <w:pStyle w:val="7"/>
        <w:spacing w:before="0" w:after="0"/>
        <w:rPr>
          <w:highlight w:val="none"/>
        </w:rPr>
      </w:pPr>
      <w:r>
        <w:rPr>
          <w:rFonts w:hint="eastAsia"/>
          <w:highlight w:val="none"/>
        </w:rPr>
        <w:t>评标委员会将按照招标文件确定的评标方法进行评标。对招标文件中描述有歧义或前后不一致的地方，评标委员会有权按法律法规的规定进行评判，但对同一条款的评判应适用于每个投标人。</w:t>
      </w:r>
    </w:p>
    <w:p>
      <w:pPr>
        <w:pStyle w:val="7"/>
        <w:spacing w:before="0" w:after="0"/>
        <w:rPr>
          <w:highlight w:val="none"/>
        </w:rPr>
      </w:pPr>
      <w:r>
        <w:rPr>
          <w:rFonts w:hint="eastAsia"/>
          <w:highlight w:val="none"/>
        </w:rPr>
        <w:t>在评标期间，为方便对投标文件进行审核、评估和对比，评标委员会可以书面形式（专家签字）要求投标人对投标文件中含义不明确、对同类问题表述不一致或者有明显文字和计算错误的内容作出必要的书面澄清说明，但该澄清说明不得超出投标文件的范围或者改变投标文件的实质性内容。</w:t>
      </w:r>
    </w:p>
    <w:p>
      <w:pPr>
        <w:pStyle w:val="7"/>
        <w:spacing w:before="0" w:after="0"/>
        <w:rPr>
          <w:highlight w:val="none"/>
        </w:rPr>
      </w:pPr>
      <w:r>
        <w:rPr>
          <w:rFonts w:hint="eastAsia"/>
          <w:highlight w:val="none"/>
        </w:rPr>
        <w:t>如有必要，评标委员会将书面要求投标人修正投标文件中不构成实质性偏离的、微小的、非正规的、不一致的或不规则的地方，这些修正不应影响评标的公平公正。</w:t>
      </w:r>
    </w:p>
    <w:p>
      <w:pPr>
        <w:pStyle w:val="7"/>
        <w:spacing w:before="0" w:after="0"/>
        <w:rPr>
          <w:highlight w:val="none"/>
        </w:rPr>
      </w:pPr>
      <w:r>
        <w:rPr>
          <w:rFonts w:hint="eastAsia"/>
          <w:highlight w:val="none"/>
        </w:rPr>
        <w:t>参与评标工作的所有人员必须遵守相关法律、法规的规定，以确保评标的公平、公正。</w:t>
      </w:r>
    </w:p>
    <w:p>
      <w:pPr>
        <w:pStyle w:val="6"/>
        <w:spacing w:before="0" w:after="0"/>
        <w:rPr>
          <w:highlight w:val="none"/>
        </w:rPr>
      </w:pPr>
      <w:r>
        <w:rPr>
          <w:rFonts w:hint="eastAsia"/>
          <w:highlight w:val="none"/>
        </w:rPr>
        <w:t>评标方法</w:t>
      </w:r>
    </w:p>
    <w:p>
      <w:pPr>
        <w:pStyle w:val="7"/>
        <w:spacing w:before="0" w:after="0"/>
        <w:rPr>
          <w:highlight w:val="none"/>
        </w:rPr>
      </w:pPr>
      <w:r>
        <w:rPr>
          <w:rFonts w:hint="eastAsia"/>
          <w:highlight w:val="none"/>
        </w:rPr>
        <w:t>本次评标采用</w:t>
      </w:r>
      <w:r>
        <w:rPr>
          <w:rFonts w:hint="eastAsia"/>
          <w:b/>
          <w:bCs/>
          <w:highlight w:val="none"/>
        </w:rPr>
        <w:t>综合评分法</w:t>
      </w:r>
      <w:r>
        <w:rPr>
          <w:rFonts w:hint="eastAsia"/>
          <w:highlight w:val="none"/>
        </w:rPr>
        <w:t>。</w:t>
      </w:r>
    </w:p>
    <w:p>
      <w:pPr>
        <w:pStyle w:val="7"/>
        <w:spacing w:before="0" w:after="0"/>
        <w:rPr>
          <w:highlight w:val="none"/>
        </w:rPr>
      </w:pPr>
      <w:r>
        <w:rPr>
          <w:rFonts w:hint="eastAsia"/>
          <w:highlight w:val="none"/>
        </w:rPr>
        <w:t>评标委员会成员要依法独立评审，并对评审意见承担个人责任。评标委员会成员对需要共同认定的事项存在争议的，按照少数服从多数的原则作出结论。持不同意见的评标委员会成员应当在评审报告上签署不同意见并说明理由，否则视为同意。</w:t>
      </w:r>
    </w:p>
    <w:p>
      <w:pPr>
        <w:pStyle w:val="7"/>
        <w:spacing w:before="0" w:after="0"/>
        <w:rPr>
          <w:highlight w:val="none"/>
        </w:rPr>
      </w:pPr>
      <w:r>
        <w:rPr>
          <w:rFonts w:hint="eastAsia"/>
          <w:highlight w:val="none"/>
        </w:rPr>
        <w:t>本次评标是以招标文件为依据，按公正、科学、客观、平等竞争的要求，推荐技术先进、报价合理、经验丰富、信誉良好、售后服务好以及综合实力强的中标供应商。</w:t>
      </w:r>
    </w:p>
    <w:p>
      <w:pPr>
        <w:pStyle w:val="6"/>
        <w:spacing w:before="0" w:after="0"/>
        <w:rPr>
          <w:highlight w:val="none"/>
        </w:rPr>
      </w:pPr>
      <w:r>
        <w:rPr>
          <w:rFonts w:hint="eastAsia"/>
          <w:highlight w:val="none"/>
        </w:rPr>
        <w:t>开标程序</w:t>
      </w:r>
    </w:p>
    <w:p>
      <w:pPr>
        <w:ind w:firstLine="480"/>
        <w:rPr>
          <w:highlight w:val="none"/>
        </w:rPr>
      </w:pPr>
      <w:r>
        <w:rPr>
          <w:rFonts w:hint="eastAsia"/>
          <w:highlight w:val="none"/>
        </w:rPr>
        <w:t>（1）开标会议由采购人委托的招标代理机构主持。评标委员会成员不得参加开标活动。</w:t>
      </w:r>
    </w:p>
    <w:p>
      <w:pPr>
        <w:ind w:firstLine="480"/>
        <w:rPr>
          <w:highlight w:val="none"/>
        </w:rPr>
      </w:pPr>
      <w:r>
        <w:rPr>
          <w:rFonts w:hint="eastAsia"/>
          <w:highlight w:val="none"/>
        </w:rPr>
        <w:t>（2）由投标人或者其推选的代表查验投标文件密封情况，不符合要求的当众宣布否决其投标。</w:t>
      </w:r>
    </w:p>
    <w:p>
      <w:pPr>
        <w:ind w:firstLine="480"/>
        <w:rPr>
          <w:highlight w:val="none"/>
        </w:rPr>
      </w:pPr>
      <w:r>
        <w:rPr>
          <w:rFonts w:hint="eastAsia"/>
          <w:highlight w:val="none"/>
        </w:rPr>
        <w:t>（3）密封情况确认无误后由招标代理机构工作人员当众拆封当众开启投标文件，进行公开唱标，宣布投标人名称、投标价格和招标文件规定的需要宣布的其他内容。</w:t>
      </w:r>
    </w:p>
    <w:p>
      <w:pPr>
        <w:ind w:firstLine="480"/>
        <w:rPr>
          <w:highlight w:val="none"/>
        </w:rPr>
      </w:pPr>
      <w:r>
        <w:rPr>
          <w:rFonts w:hint="eastAsia"/>
          <w:highlight w:val="none"/>
        </w:rPr>
        <w:t>（4）开标过程应当由招标代理机构负责记录，由参加开标的各投标人代表和相关工作人员签字确认后随招标文件一并存档。</w:t>
      </w:r>
    </w:p>
    <w:p>
      <w:pPr>
        <w:ind w:firstLine="480"/>
        <w:rPr>
          <w:highlight w:val="none"/>
        </w:rPr>
      </w:pPr>
      <w:r>
        <w:rPr>
          <w:rFonts w:hint="eastAsia"/>
          <w:highlight w:val="none"/>
        </w:rPr>
        <w:t>（5）投标人未参加开标的，视同认可开标结果。</w:t>
      </w:r>
    </w:p>
    <w:p>
      <w:pPr>
        <w:ind w:firstLine="480"/>
        <w:rPr>
          <w:highlight w:val="none"/>
        </w:rPr>
      </w:pPr>
      <w:r>
        <w:rPr>
          <w:rFonts w:hint="eastAsia"/>
          <w:highlight w:val="none"/>
        </w:rPr>
        <w:t>（6）开标记录签字确认后，投标人的投标文件参加后续的资格审查、初步评审及详细评审。</w:t>
      </w:r>
    </w:p>
    <w:p>
      <w:pPr>
        <w:pStyle w:val="7"/>
        <w:spacing w:before="0" w:after="0"/>
        <w:rPr>
          <w:highlight w:val="none"/>
        </w:rPr>
      </w:pPr>
      <w:r>
        <w:rPr>
          <w:rFonts w:hint="eastAsia"/>
          <w:highlight w:val="none"/>
        </w:rPr>
        <w:t>在开标过程中发现有下列情形之一的，应当否决其投标：</w:t>
      </w:r>
    </w:p>
    <w:p>
      <w:pPr>
        <w:ind w:firstLine="480"/>
        <w:rPr>
          <w:highlight w:val="none"/>
        </w:rPr>
      </w:pPr>
      <w:r>
        <w:rPr>
          <w:rFonts w:hint="eastAsia"/>
          <w:highlight w:val="none"/>
        </w:rPr>
        <w:t>（1）投标文件未按照招标文件的要求予以密封和标记的；</w:t>
      </w:r>
    </w:p>
    <w:p>
      <w:pPr>
        <w:ind w:firstLine="480"/>
        <w:rPr>
          <w:highlight w:val="none"/>
        </w:rPr>
      </w:pPr>
      <w:r>
        <w:rPr>
          <w:rFonts w:hint="eastAsia"/>
          <w:highlight w:val="none"/>
        </w:rPr>
        <w:t>（2）提交投标文件截止时间之后送达的；</w:t>
      </w:r>
    </w:p>
    <w:p>
      <w:pPr>
        <w:ind w:firstLine="480"/>
        <w:rPr>
          <w:highlight w:val="none"/>
        </w:rPr>
      </w:pPr>
      <w:r>
        <w:rPr>
          <w:rFonts w:hint="eastAsia"/>
          <w:highlight w:val="none"/>
        </w:rPr>
        <w:t>（3）投标人名称与投标报名时不一致的；</w:t>
      </w:r>
    </w:p>
    <w:p>
      <w:pPr>
        <w:ind w:firstLine="480"/>
        <w:rPr>
          <w:highlight w:val="none"/>
        </w:rPr>
      </w:pPr>
      <w:r>
        <w:rPr>
          <w:rFonts w:hint="eastAsia"/>
          <w:highlight w:val="none"/>
        </w:rPr>
        <w:t>（4）投标文件未经投标单位盖章和法定代表人签字的；</w:t>
      </w:r>
    </w:p>
    <w:p>
      <w:pPr>
        <w:ind w:firstLine="480"/>
        <w:rPr>
          <w:highlight w:val="none"/>
        </w:rPr>
      </w:pPr>
      <w:r>
        <w:rPr>
          <w:rFonts w:hint="eastAsia"/>
          <w:highlight w:val="none"/>
        </w:rPr>
        <w:t>（5）被授权委托人的授权委托书未经法定代表人签字确认或盖章的；</w:t>
      </w:r>
    </w:p>
    <w:p>
      <w:pPr>
        <w:ind w:firstLine="480"/>
        <w:rPr>
          <w:highlight w:val="none"/>
        </w:rPr>
      </w:pPr>
      <w:r>
        <w:rPr>
          <w:rFonts w:hint="eastAsia"/>
          <w:highlight w:val="none"/>
        </w:rPr>
        <w:t>（6）有借用他人执照、提供伪造文件等违规情况；</w:t>
      </w:r>
    </w:p>
    <w:p>
      <w:pPr>
        <w:ind w:firstLine="480"/>
        <w:rPr>
          <w:highlight w:val="none"/>
        </w:rPr>
      </w:pPr>
      <w:r>
        <w:rPr>
          <w:rFonts w:hint="eastAsia"/>
          <w:highlight w:val="none"/>
        </w:rPr>
        <w:t>（7）未按照招标文件要求按时提交投标保证金的；</w:t>
      </w:r>
    </w:p>
    <w:p>
      <w:pPr>
        <w:ind w:firstLine="480"/>
        <w:rPr>
          <w:highlight w:val="none"/>
        </w:rPr>
      </w:pPr>
      <w:r>
        <w:rPr>
          <w:rFonts w:hint="eastAsia"/>
          <w:highlight w:val="none"/>
        </w:rPr>
        <w:t>（8）投标报价超出采购人预算的；</w:t>
      </w:r>
    </w:p>
    <w:p>
      <w:pPr>
        <w:ind w:firstLine="480"/>
        <w:rPr>
          <w:highlight w:val="none"/>
        </w:rPr>
      </w:pPr>
      <w:r>
        <w:rPr>
          <w:rFonts w:hint="eastAsia"/>
          <w:highlight w:val="none"/>
        </w:rPr>
        <w:t>开标过程中否决其投标行为的情形，由采购人签字。招标代理机构将其余有效的投标文件送达评标委员会进行评审。</w:t>
      </w:r>
    </w:p>
    <w:p>
      <w:pPr>
        <w:pStyle w:val="6"/>
        <w:spacing w:before="0" w:after="0"/>
        <w:rPr>
          <w:highlight w:val="none"/>
        </w:rPr>
      </w:pPr>
      <w:r>
        <w:rPr>
          <w:rFonts w:hint="eastAsia"/>
          <w:highlight w:val="none"/>
        </w:rPr>
        <w:t>资格审查程序</w:t>
      </w:r>
    </w:p>
    <w:p>
      <w:pPr>
        <w:ind w:firstLine="480"/>
        <w:rPr>
          <w:highlight w:val="none"/>
        </w:rPr>
      </w:pPr>
      <w:r>
        <w:rPr>
          <w:rFonts w:hint="eastAsia"/>
          <w:highlight w:val="none"/>
        </w:rPr>
        <w:t>采购人对投标人的投标文件进行资格审查，审查内容为招标文件第一章“投标人资格要求”的复印件加盖公章，审查条件不具备之一者，评审视为不合格，将不能通过资格审查，当众宣布否决其投标。</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579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pct"/>
          </w:tcPr>
          <w:p>
            <w:pPr>
              <w:ind w:firstLine="0" w:firstLineChars="0"/>
              <w:rPr>
                <w:rFonts w:ascii="宋体" w:hAnsi="宋体" w:cs="宋体"/>
                <w:bCs/>
                <w:sz w:val="21"/>
                <w:szCs w:val="21"/>
                <w:highlight w:val="none"/>
              </w:rPr>
            </w:pPr>
            <w:r>
              <w:rPr>
                <w:rFonts w:hint="eastAsia" w:ascii="宋体" w:hAnsi="宋体" w:cs="宋体"/>
                <w:bCs/>
                <w:sz w:val="21"/>
                <w:szCs w:val="21"/>
                <w:highlight w:val="none"/>
              </w:rPr>
              <w:t>序 号</w:t>
            </w:r>
          </w:p>
        </w:tc>
        <w:tc>
          <w:tcPr>
            <w:tcW w:w="2915" w:type="pct"/>
            <w:vAlign w:val="center"/>
          </w:tcPr>
          <w:p>
            <w:pPr>
              <w:ind w:firstLine="420"/>
              <w:jc w:val="center"/>
              <w:rPr>
                <w:rFonts w:ascii="宋体" w:hAnsi="宋体" w:cs="宋体"/>
                <w:bCs/>
                <w:sz w:val="21"/>
                <w:szCs w:val="21"/>
                <w:highlight w:val="none"/>
              </w:rPr>
            </w:pPr>
            <w:r>
              <w:rPr>
                <w:rFonts w:hint="eastAsia" w:ascii="宋体" w:hAnsi="宋体" w:cs="宋体"/>
                <w:bCs/>
                <w:sz w:val="21"/>
                <w:szCs w:val="21"/>
                <w:highlight w:val="none"/>
              </w:rPr>
              <w:t>证 件</w:t>
            </w:r>
          </w:p>
        </w:tc>
        <w:tc>
          <w:tcPr>
            <w:tcW w:w="1450" w:type="pct"/>
            <w:vAlign w:val="center"/>
          </w:tcPr>
          <w:p>
            <w:pPr>
              <w:ind w:firstLine="420"/>
              <w:jc w:val="center"/>
              <w:rPr>
                <w:rFonts w:ascii="宋体" w:hAnsi="宋体" w:cs="宋体"/>
                <w:bCs/>
                <w:sz w:val="21"/>
                <w:szCs w:val="21"/>
                <w:highlight w:val="none"/>
              </w:rPr>
            </w:pPr>
            <w:r>
              <w:rPr>
                <w:rFonts w:hint="eastAsia" w:ascii="宋体" w:hAnsi="宋体" w:cs="宋体"/>
                <w:bCs/>
                <w:sz w:val="21"/>
                <w:szCs w:val="21"/>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ind w:firstLine="420"/>
              <w:jc w:val="center"/>
              <w:rPr>
                <w:rFonts w:ascii="宋体" w:hAnsi="宋体" w:cs="宋体"/>
                <w:bCs/>
                <w:sz w:val="21"/>
                <w:szCs w:val="21"/>
                <w:highlight w:val="none"/>
              </w:rPr>
            </w:pPr>
            <w:r>
              <w:rPr>
                <w:rFonts w:hint="eastAsia" w:ascii="宋体" w:hAnsi="宋体" w:cs="宋体"/>
                <w:bCs/>
                <w:sz w:val="21"/>
                <w:szCs w:val="21"/>
                <w:highlight w:val="none"/>
              </w:rPr>
              <w:t>1</w:t>
            </w:r>
          </w:p>
        </w:tc>
        <w:tc>
          <w:tcPr>
            <w:tcW w:w="2915"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营业执照副本或事业单位法人证书或民办非企业单位登记证书或社会团体法人登记证书或基金会法人登记证书（投标人具有独立承担民事责任的能力）</w:t>
            </w:r>
          </w:p>
        </w:tc>
        <w:tc>
          <w:tcPr>
            <w:tcW w:w="1450" w:type="pct"/>
            <w:vAlign w:val="center"/>
          </w:tcPr>
          <w:p>
            <w:pPr>
              <w:adjustRightInd w:val="0"/>
              <w:snapToGrid w:val="0"/>
              <w:ind w:firstLine="0" w:firstLineChars="0"/>
              <w:rPr>
                <w:rFonts w:ascii="宋体" w:hAnsi="宋体" w:cs="宋体"/>
                <w:bCs/>
                <w:sz w:val="21"/>
                <w:szCs w:val="21"/>
                <w:highlight w:val="none"/>
              </w:rPr>
            </w:pPr>
            <w:r>
              <w:rPr>
                <w:rFonts w:hint="eastAsia" w:ascii="宋体" w:hAnsi="宋体" w:cs="宋体"/>
                <w:bCs/>
                <w:sz w:val="21"/>
                <w:szCs w:val="21"/>
                <w:highlight w:val="none"/>
              </w:rPr>
              <w:t>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ind w:firstLine="420"/>
              <w:jc w:val="center"/>
              <w:rPr>
                <w:rFonts w:ascii="宋体" w:hAnsi="宋体" w:cs="宋体"/>
                <w:bCs/>
                <w:sz w:val="21"/>
                <w:szCs w:val="21"/>
                <w:highlight w:val="none"/>
              </w:rPr>
            </w:pPr>
            <w:r>
              <w:rPr>
                <w:rFonts w:hint="eastAsia" w:ascii="宋体" w:hAnsi="宋体" w:cs="宋体"/>
                <w:bCs/>
                <w:sz w:val="21"/>
                <w:szCs w:val="21"/>
                <w:highlight w:val="none"/>
              </w:rPr>
              <w:t>2</w:t>
            </w:r>
          </w:p>
        </w:tc>
        <w:tc>
          <w:tcPr>
            <w:tcW w:w="2915"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投标人具有良好的商业信誉和健全的财务</w:t>
            </w:r>
            <w:r>
              <w:rPr>
                <w:highlight w:val="none"/>
              </w:rPr>
              <w:fldChar w:fldCharType="begin"/>
            </w:r>
            <w:r>
              <w:rPr>
                <w:highlight w:val="none"/>
              </w:rPr>
              <w:instrText xml:space="preserve"> HYPERLINK "http://www.chinaacc.com/" \t "_blank" </w:instrText>
            </w:r>
            <w:r>
              <w:rPr>
                <w:highlight w:val="none"/>
              </w:rPr>
              <w:fldChar w:fldCharType="separate"/>
            </w:r>
            <w:r>
              <w:rPr>
                <w:rFonts w:hint="eastAsia" w:ascii="宋体" w:hAnsi="宋体" w:cs="宋体"/>
                <w:sz w:val="21"/>
                <w:szCs w:val="21"/>
                <w:highlight w:val="none"/>
              </w:rPr>
              <w:t>会计</w:t>
            </w:r>
            <w:r>
              <w:rPr>
                <w:rFonts w:hint="eastAsia" w:ascii="宋体" w:hAnsi="宋体" w:cs="宋体"/>
                <w:sz w:val="21"/>
                <w:szCs w:val="21"/>
                <w:highlight w:val="none"/>
              </w:rPr>
              <w:fldChar w:fldCharType="end"/>
            </w:r>
            <w:r>
              <w:rPr>
                <w:rFonts w:hint="eastAsia" w:ascii="宋体" w:hAnsi="宋体" w:cs="宋体"/>
                <w:sz w:val="21"/>
                <w:szCs w:val="21"/>
                <w:highlight w:val="none"/>
              </w:rPr>
              <w:t>制度，提供</w:t>
            </w:r>
            <w:r>
              <w:rPr>
                <w:rFonts w:hint="eastAsia" w:hAnsi="宋体" w:cs="宋体"/>
                <w:sz w:val="21"/>
                <w:szCs w:val="21"/>
                <w:highlight w:val="none"/>
              </w:rPr>
              <w:t>2020或2021年度</w:t>
            </w:r>
            <w:r>
              <w:rPr>
                <w:rFonts w:hint="eastAsia" w:ascii="宋体" w:hAnsi="宋体" w:cs="宋体"/>
                <w:sz w:val="21"/>
                <w:szCs w:val="21"/>
                <w:highlight w:val="none"/>
              </w:rPr>
              <w:t>经第三方会计师事务所审计的企业财务报告或提交投标截止时间前3个月内由开户银行出具的资信证明</w:t>
            </w:r>
          </w:p>
        </w:tc>
        <w:tc>
          <w:tcPr>
            <w:tcW w:w="1450" w:type="pct"/>
            <w:vAlign w:val="center"/>
          </w:tcPr>
          <w:p>
            <w:pPr>
              <w:adjustRightInd w:val="0"/>
              <w:snapToGrid w:val="0"/>
              <w:ind w:firstLine="0" w:firstLineChars="0"/>
              <w:rPr>
                <w:rFonts w:ascii="宋体" w:hAnsi="宋体" w:cs="宋体"/>
                <w:bCs/>
                <w:sz w:val="21"/>
                <w:szCs w:val="21"/>
                <w:highlight w:val="none"/>
              </w:rPr>
            </w:pPr>
            <w:r>
              <w:rPr>
                <w:rFonts w:hint="eastAsia" w:ascii="宋体" w:hAnsi="宋体" w:cs="宋体"/>
                <w:bCs/>
                <w:sz w:val="21"/>
                <w:szCs w:val="21"/>
                <w:highlight w:val="none"/>
              </w:rPr>
              <w:t>审计报告或资信证明复印件加盖公章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ind w:firstLine="420"/>
              <w:jc w:val="center"/>
              <w:rPr>
                <w:rFonts w:ascii="宋体" w:hAnsi="宋体" w:cs="宋体"/>
                <w:bCs/>
                <w:sz w:val="21"/>
                <w:szCs w:val="21"/>
                <w:highlight w:val="none"/>
              </w:rPr>
            </w:pPr>
            <w:r>
              <w:rPr>
                <w:rFonts w:hint="eastAsia" w:ascii="宋体" w:hAnsi="宋体" w:cs="宋体"/>
                <w:bCs/>
                <w:sz w:val="21"/>
                <w:szCs w:val="21"/>
                <w:highlight w:val="none"/>
              </w:rPr>
              <w:t>3</w:t>
            </w:r>
          </w:p>
        </w:tc>
        <w:tc>
          <w:tcPr>
            <w:tcW w:w="2915"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投标人具有依法缴纳税收和社会保障资金的良好记录，提供2022年至投标截止时间任意一个月的相关证明材料；依法免税或不需要缴纳社会保障资金的投标人，须提供相关证明（相关证明指增值税纳税申报表，增值税减免申报明细表，企业所得税预缴纳税申报表及其他应纳税申报表，需要提供依法网上申报缴税所在官方网站的截图或税务机关出具的证明文件。）</w:t>
            </w:r>
          </w:p>
        </w:tc>
        <w:tc>
          <w:tcPr>
            <w:tcW w:w="1450" w:type="pct"/>
            <w:vAlign w:val="center"/>
          </w:tcPr>
          <w:p>
            <w:pPr>
              <w:adjustRightInd w:val="0"/>
              <w:snapToGrid w:val="0"/>
              <w:ind w:firstLine="0" w:firstLineChars="0"/>
              <w:rPr>
                <w:rFonts w:ascii="宋体" w:hAnsi="宋体" w:cs="宋体"/>
                <w:bCs/>
                <w:sz w:val="21"/>
                <w:szCs w:val="21"/>
                <w:highlight w:val="none"/>
              </w:rPr>
            </w:pPr>
            <w:r>
              <w:rPr>
                <w:rFonts w:hint="eastAsia" w:ascii="宋体" w:hAnsi="宋体" w:cs="宋体"/>
                <w:bCs/>
                <w:sz w:val="21"/>
                <w:szCs w:val="21"/>
                <w:highlight w:val="none"/>
              </w:rPr>
              <w:t>纳税社保复印件加盖公司章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ind w:firstLine="420"/>
              <w:jc w:val="center"/>
              <w:rPr>
                <w:rFonts w:ascii="宋体" w:hAnsi="宋体" w:cs="宋体"/>
                <w:bCs/>
                <w:sz w:val="21"/>
                <w:szCs w:val="21"/>
                <w:highlight w:val="none"/>
              </w:rPr>
            </w:pPr>
            <w:r>
              <w:rPr>
                <w:rFonts w:hint="eastAsia" w:ascii="宋体" w:hAnsi="宋体" w:cs="宋体"/>
                <w:bCs/>
                <w:sz w:val="21"/>
                <w:szCs w:val="21"/>
                <w:highlight w:val="none"/>
              </w:rPr>
              <w:t>4</w:t>
            </w:r>
          </w:p>
        </w:tc>
        <w:tc>
          <w:tcPr>
            <w:tcW w:w="2915"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投标人参加采购活动前三年内，在经营活动中没有重大违法记录，并出具书面声明（截至开标当日成立不足3年的投标人可提供自成立以来无重大违法记录的书面声明</w:t>
            </w:r>
          </w:p>
        </w:tc>
        <w:tc>
          <w:tcPr>
            <w:tcW w:w="1450" w:type="pct"/>
            <w:vAlign w:val="center"/>
          </w:tcPr>
          <w:p>
            <w:pPr>
              <w:adjustRightInd w:val="0"/>
              <w:snapToGrid w:val="0"/>
              <w:ind w:firstLine="0" w:firstLineChars="0"/>
              <w:rPr>
                <w:rFonts w:ascii="宋体" w:hAnsi="宋体" w:cs="宋体"/>
                <w:bCs/>
                <w:sz w:val="21"/>
                <w:szCs w:val="21"/>
                <w:highlight w:val="none"/>
              </w:rPr>
            </w:pPr>
            <w:r>
              <w:rPr>
                <w:rFonts w:hint="eastAsia" w:ascii="宋体" w:hAnsi="宋体" w:cs="宋体"/>
                <w:bCs/>
                <w:sz w:val="21"/>
                <w:szCs w:val="21"/>
                <w:highlight w:val="none"/>
              </w:rPr>
              <w:t>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ind w:firstLine="420"/>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2915" w:type="pct"/>
            <w:vAlign w:val="center"/>
          </w:tcPr>
          <w:p>
            <w:pPr>
              <w:widowControl/>
              <w:snapToGrid w:val="0"/>
              <w:ind w:firstLine="0" w:firstLineChars="0"/>
              <w:rPr>
                <w:rFonts w:hint="eastAsia" w:ascii="宋体" w:hAnsi="宋体" w:cs="宋体"/>
                <w:sz w:val="21"/>
                <w:szCs w:val="21"/>
                <w:highlight w:val="none"/>
              </w:rPr>
            </w:pPr>
            <w:r>
              <w:rPr>
                <w:rFonts w:hint="eastAsia"/>
                <w:lang w:val="en-US" w:eastAsia="zh-CN"/>
              </w:rPr>
              <w:t>根据投标文件开启时间后一个小时之内“信用中国”网（www.creditchina.gov.cn），对被列入失信被执行人、重大税收违法案件当事人名单、严重违法失信行为记录名单的投标人；和“国家企业信用信息公示系统”网（www.gsxt.gov.cn）被列入经营异常名录（未移出）和列入严重违法失信企业名单（黑名单）的投标人，拒绝参与本次采购活动，同时对信用信息查询记录和证据进行打印存档。现场查询</w:t>
            </w:r>
          </w:p>
        </w:tc>
        <w:tc>
          <w:tcPr>
            <w:tcW w:w="1450" w:type="pct"/>
            <w:vAlign w:val="center"/>
          </w:tcPr>
          <w:p>
            <w:pPr>
              <w:adjustRightInd w:val="0"/>
              <w:snapToGrid w:val="0"/>
              <w:ind w:firstLine="0" w:firstLineChars="0"/>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pPr>
              <w:ind w:firstLine="420"/>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6</w:t>
            </w:r>
          </w:p>
        </w:tc>
        <w:tc>
          <w:tcPr>
            <w:tcW w:w="2915"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本项目专门面向中小企业采购</w:t>
            </w:r>
          </w:p>
        </w:tc>
        <w:tc>
          <w:tcPr>
            <w:tcW w:w="1450"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33" w:type="pct"/>
            <w:vAlign w:val="center"/>
          </w:tcPr>
          <w:p>
            <w:pPr>
              <w:ind w:firstLine="420"/>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7</w:t>
            </w:r>
          </w:p>
        </w:tc>
        <w:tc>
          <w:tcPr>
            <w:tcW w:w="2915" w:type="pct"/>
            <w:vAlign w:val="center"/>
          </w:tcPr>
          <w:p>
            <w:pPr>
              <w:widowControl/>
              <w:snapToGrid w:val="0"/>
              <w:ind w:firstLine="0" w:firstLineChars="0"/>
              <w:rPr>
                <w:rFonts w:ascii="宋体" w:hAnsi="宋体" w:cs="宋体"/>
                <w:sz w:val="21"/>
                <w:szCs w:val="21"/>
                <w:highlight w:val="none"/>
              </w:rPr>
            </w:pPr>
            <w:r>
              <w:rPr>
                <w:rFonts w:hint="eastAsia" w:ascii="宋体" w:hAnsi="宋体" w:cs="宋体"/>
                <w:sz w:val="21"/>
                <w:szCs w:val="21"/>
                <w:highlight w:val="none"/>
              </w:rPr>
              <w:t>保证金（或银行保函）</w:t>
            </w:r>
          </w:p>
        </w:tc>
        <w:tc>
          <w:tcPr>
            <w:tcW w:w="1450" w:type="pct"/>
            <w:vAlign w:val="center"/>
          </w:tcPr>
          <w:p>
            <w:pPr>
              <w:adjustRightInd w:val="0"/>
              <w:snapToGrid w:val="0"/>
              <w:ind w:firstLine="0" w:firstLineChars="0"/>
              <w:rPr>
                <w:rFonts w:ascii="宋体" w:hAnsi="宋体" w:cs="宋体"/>
                <w:bCs/>
                <w:sz w:val="21"/>
                <w:szCs w:val="21"/>
                <w:highlight w:val="none"/>
              </w:rPr>
            </w:pPr>
            <w:r>
              <w:rPr>
                <w:rFonts w:hint="eastAsia" w:ascii="宋体" w:hAnsi="宋体" w:cs="宋体"/>
                <w:bCs/>
                <w:sz w:val="21"/>
                <w:szCs w:val="21"/>
                <w:highlight w:val="none"/>
              </w:rPr>
              <w:t>保证金收据原件或银行保函原件（由招标代理机构现场提供）</w:t>
            </w:r>
          </w:p>
        </w:tc>
      </w:tr>
    </w:tbl>
    <w:p>
      <w:pPr>
        <w:pStyle w:val="6"/>
        <w:spacing w:before="0" w:after="0"/>
        <w:rPr>
          <w:highlight w:val="none"/>
        </w:rPr>
      </w:pPr>
      <w:r>
        <w:rPr>
          <w:rFonts w:hint="eastAsia"/>
          <w:highlight w:val="none"/>
        </w:rPr>
        <w:t>评标程序</w:t>
      </w:r>
    </w:p>
    <w:p>
      <w:pPr>
        <w:pStyle w:val="7"/>
        <w:spacing w:before="0" w:after="0"/>
        <w:rPr>
          <w:highlight w:val="none"/>
        </w:rPr>
      </w:pPr>
      <w:r>
        <w:rPr>
          <w:rFonts w:hint="eastAsia"/>
          <w:highlight w:val="none"/>
        </w:rPr>
        <w:t>初步评审</w:t>
      </w:r>
    </w:p>
    <w:p>
      <w:pPr>
        <w:ind w:firstLine="480"/>
        <w:rPr>
          <w:highlight w:val="none"/>
        </w:rPr>
      </w:pPr>
      <w:r>
        <w:rPr>
          <w:rFonts w:hint="eastAsia"/>
          <w:highlight w:val="none"/>
        </w:rPr>
        <w:t>符合性审查。</w:t>
      </w:r>
    </w:p>
    <w:p>
      <w:pPr>
        <w:ind w:firstLine="480"/>
        <w:rPr>
          <w:highlight w:val="none"/>
        </w:rPr>
      </w:pPr>
      <w:r>
        <w:rPr>
          <w:rFonts w:hint="eastAsia"/>
          <w:highlight w:val="none"/>
        </w:rPr>
        <w:t>只对通过资格审查的投标人进行符合性审查。初步评审时发现投标文件有下列重大偏差情形之一的，应作废标处理：</w:t>
      </w:r>
    </w:p>
    <w:p>
      <w:pPr>
        <w:pStyle w:val="8"/>
        <w:spacing w:before="0" w:after="0"/>
        <w:rPr>
          <w:highlight w:val="none"/>
        </w:rPr>
      </w:pPr>
      <w:r>
        <w:rPr>
          <w:rFonts w:hint="eastAsia"/>
          <w:highlight w:val="none"/>
        </w:rPr>
        <w:t>投标文件内容不全或关键字迹模糊、无法辨认的。</w:t>
      </w:r>
    </w:p>
    <w:p>
      <w:pPr>
        <w:pStyle w:val="8"/>
        <w:spacing w:before="0" w:after="0"/>
        <w:rPr>
          <w:highlight w:val="none"/>
        </w:rPr>
      </w:pPr>
      <w:r>
        <w:rPr>
          <w:rFonts w:hint="eastAsia"/>
          <w:highlight w:val="none"/>
        </w:rPr>
        <w:t>法定代表人资格证明书原件未装订在正本文件中的或未按要求签字或盖章的。</w:t>
      </w:r>
    </w:p>
    <w:p>
      <w:pPr>
        <w:pStyle w:val="8"/>
        <w:spacing w:before="0" w:after="0"/>
        <w:rPr>
          <w:highlight w:val="none"/>
        </w:rPr>
      </w:pPr>
      <w:r>
        <w:rPr>
          <w:rFonts w:hint="eastAsia"/>
          <w:highlight w:val="none"/>
        </w:rPr>
        <w:t>授权代表的授权委托书原件未装订在正本文件中或投标人法定代表人未签字确认或盖章的。</w:t>
      </w:r>
    </w:p>
    <w:p>
      <w:pPr>
        <w:pStyle w:val="8"/>
        <w:spacing w:before="0" w:after="0"/>
        <w:rPr>
          <w:highlight w:val="none"/>
        </w:rPr>
      </w:pPr>
      <w:r>
        <w:rPr>
          <w:rFonts w:hint="eastAsia"/>
          <w:highlight w:val="none"/>
        </w:rPr>
        <w:t>由法定代表人投标的，投标文件未提供法人身份证明的。</w:t>
      </w:r>
    </w:p>
    <w:p>
      <w:pPr>
        <w:pStyle w:val="8"/>
        <w:spacing w:before="0" w:after="0"/>
        <w:rPr>
          <w:highlight w:val="none"/>
        </w:rPr>
      </w:pPr>
      <w:r>
        <w:rPr>
          <w:rFonts w:hint="eastAsia"/>
          <w:highlight w:val="none"/>
        </w:rPr>
        <w:t>未按招标文件要求提供投标人相关证件或证件不齐全或证件未在有效期内的。</w:t>
      </w:r>
    </w:p>
    <w:p>
      <w:pPr>
        <w:pStyle w:val="8"/>
        <w:spacing w:before="0" w:after="0"/>
        <w:rPr>
          <w:highlight w:val="none"/>
        </w:rPr>
      </w:pPr>
      <w:r>
        <w:rPr>
          <w:rFonts w:hint="eastAsia"/>
          <w:highlight w:val="none"/>
        </w:rPr>
        <w:t>投标人仍在停止参加投标处罚期内的，其投标按无效投标处理（以主管部门出具的处罚文件为准）。</w:t>
      </w:r>
    </w:p>
    <w:p>
      <w:pPr>
        <w:pStyle w:val="8"/>
        <w:spacing w:before="0" w:after="0"/>
        <w:rPr>
          <w:highlight w:val="none"/>
        </w:rPr>
      </w:pPr>
      <w:r>
        <w:rPr>
          <w:rFonts w:hint="eastAsia"/>
          <w:highlight w:val="none"/>
        </w:rPr>
        <w:t>没有按照招标文件要求提供投标担保（投标保证金）。</w:t>
      </w:r>
    </w:p>
    <w:p>
      <w:pPr>
        <w:pStyle w:val="8"/>
        <w:spacing w:before="0" w:after="0"/>
        <w:rPr>
          <w:highlight w:val="none"/>
        </w:rPr>
      </w:pPr>
      <w:r>
        <w:rPr>
          <w:rFonts w:hint="eastAsia"/>
          <w:highlight w:val="none"/>
        </w:rPr>
        <w:t>投标文件无单位盖章，或无法定代表人或被授权委托人签字或盖章的。</w:t>
      </w:r>
    </w:p>
    <w:p>
      <w:pPr>
        <w:pStyle w:val="8"/>
        <w:spacing w:before="0" w:after="0"/>
        <w:rPr>
          <w:highlight w:val="none"/>
        </w:rPr>
      </w:pPr>
      <w:r>
        <w:rPr>
          <w:rFonts w:hint="eastAsia"/>
          <w:highlight w:val="none"/>
        </w:rPr>
        <w:t>不按要求对投标文件进行澄清、说明或者补正的。</w:t>
      </w:r>
    </w:p>
    <w:p>
      <w:pPr>
        <w:pStyle w:val="8"/>
        <w:spacing w:before="0" w:after="0"/>
        <w:rPr>
          <w:highlight w:val="none"/>
        </w:rPr>
      </w:pPr>
      <w:r>
        <w:rPr>
          <w:rFonts w:hint="eastAsia"/>
          <w:highlight w:val="none"/>
        </w:rPr>
        <w:t>评标委员会认为投标人的报价明显低于其他通过符合性审查供应商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rPr>
          <w:highlight w:val="none"/>
        </w:rPr>
      </w:pPr>
      <w:r>
        <w:rPr>
          <w:rFonts w:hint="eastAsia"/>
          <w:highlight w:val="none"/>
        </w:rPr>
        <w:t>提示：投标人可以视情自行依据其提供的投标文件的商务、技术、服务等投标内容准备报价证明材料，不限于与项目相关的货物进销凭证、材料费和机械费组成资料、人工成本构成资料、税金和与项目相关业绩材料（能够证明项目招标控制价和中标价）。由于投标人现场不能说明其报价合理性的风险由其自行承担。</w:t>
      </w:r>
    </w:p>
    <w:p>
      <w:pPr>
        <w:pStyle w:val="8"/>
        <w:spacing w:before="0" w:after="0"/>
        <w:rPr>
          <w:highlight w:val="none"/>
        </w:rPr>
      </w:pPr>
      <w:r>
        <w:rPr>
          <w:rFonts w:hint="eastAsia"/>
          <w:highlight w:val="none"/>
        </w:rPr>
        <w:t>投标文件载明的招标项目完成期限超过招标文件规定的期限。</w:t>
      </w:r>
    </w:p>
    <w:p>
      <w:pPr>
        <w:pStyle w:val="8"/>
        <w:spacing w:before="0" w:after="0"/>
        <w:rPr>
          <w:highlight w:val="none"/>
        </w:rPr>
      </w:pPr>
      <w:r>
        <w:rPr>
          <w:rFonts w:hint="eastAsia"/>
          <w:highlight w:val="none"/>
        </w:rPr>
        <w:t>不符合招标文件中规定的其他实质性要求的。</w:t>
      </w:r>
    </w:p>
    <w:p>
      <w:pPr>
        <w:adjustRightInd w:val="0"/>
        <w:snapToGrid w:val="0"/>
        <w:ind w:firstLine="480"/>
        <w:rPr>
          <w:rFonts w:ascii="宋体" w:hAnsi="宋体" w:cs="宋体"/>
          <w:bCs/>
          <w:highlight w:val="none"/>
        </w:rPr>
      </w:pPr>
      <w:r>
        <w:rPr>
          <w:rFonts w:hint="eastAsia" w:ascii="宋体" w:hAnsi="宋体" w:cs="宋体"/>
          <w:bCs/>
          <w:highlight w:val="none"/>
        </w:rPr>
        <w:t>投标文件有上述重大偏差之一的，视为未能对招标文件作出实质性响应，作废标处理，不再进入以后的评标程序，采购人应当依法重新招标。</w:t>
      </w:r>
    </w:p>
    <w:p>
      <w:pPr>
        <w:pStyle w:val="7"/>
        <w:spacing w:before="0" w:after="0"/>
        <w:rPr>
          <w:highlight w:val="none"/>
        </w:rPr>
      </w:pPr>
      <w:r>
        <w:rPr>
          <w:rFonts w:hint="eastAsia"/>
          <w:highlight w:val="none"/>
        </w:rPr>
        <w:t>详细评审</w:t>
      </w:r>
    </w:p>
    <w:p>
      <w:pPr>
        <w:pStyle w:val="33"/>
        <w:adjustRightInd w:val="0"/>
        <w:snapToGrid w:val="0"/>
        <w:spacing w:line="360" w:lineRule="auto"/>
        <w:ind w:firstLine="480"/>
        <w:jc w:val="both"/>
        <w:rPr>
          <w:rFonts w:ascii="宋体" w:hAnsi="宋体" w:cs="宋体"/>
          <w:bCs/>
          <w:kern w:val="2"/>
          <w:sz w:val="24"/>
          <w:szCs w:val="24"/>
          <w:highlight w:val="none"/>
        </w:rPr>
      </w:pPr>
      <w:r>
        <w:rPr>
          <w:rFonts w:hint="eastAsia" w:ascii="宋体" w:hAnsi="宋体" w:cs="宋体"/>
          <w:bCs/>
          <w:kern w:val="2"/>
          <w:sz w:val="24"/>
          <w:szCs w:val="24"/>
          <w:highlight w:val="none"/>
        </w:rPr>
        <w:t>只有通过初步评审合格的投标人才方可进入详细评审。详细评审评分标准见下表：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11"/>
        <w:gridCol w:w="830"/>
        <w:gridCol w:w="5688"/>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5000" w:type="pct"/>
            <w:gridSpan w:val="5"/>
            <w:vAlign w:val="center"/>
          </w:tcPr>
          <w:p>
            <w:pPr>
              <w:ind w:firstLine="480"/>
              <w:jc w:val="center"/>
              <w:rPr>
                <w:rFonts w:ascii="宋体" w:hAnsi="宋体" w:cs="宋体"/>
                <w:bCs/>
                <w:szCs w:val="21"/>
                <w:highlight w:val="none"/>
              </w:rPr>
            </w:pPr>
            <w:r>
              <w:rPr>
                <w:rFonts w:hint="eastAsia" w:ascii="宋体" w:hAnsi="宋体" w:cs="宋体"/>
                <w:bCs/>
                <w:szCs w:val="21"/>
                <w:highlight w:val="none"/>
              </w:rPr>
              <w:t>评分因素及评标标准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5000" w:type="pct"/>
            <w:gridSpan w:val="5"/>
            <w:vAlign w:val="center"/>
          </w:tcPr>
          <w:p>
            <w:pPr>
              <w:ind w:firstLine="480"/>
              <w:jc w:val="center"/>
              <w:rPr>
                <w:rFonts w:ascii="宋体" w:hAnsi="宋体" w:cs="宋体"/>
                <w:bCs/>
                <w:szCs w:val="21"/>
                <w:highlight w:val="none"/>
              </w:rPr>
            </w:pPr>
            <w:r>
              <w:rPr>
                <w:rFonts w:hint="eastAsia" w:ascii="宋体" w:hAnsi="宋体" w:cs="宋体"/>
                <w:bCs/>
                <w:szCs w:val="21"/>
                <w:highlight w:val="none"/>
              </w:rPr>
              <w:t>客观分（21分）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序号</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内容</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分值</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评分标准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投标人实施能力</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9分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完全按照以下要求提供与本项目规模及内容相当且已完成的2018年1月1日至今已完成的成功案例，按照以下要求执行，否则不予认定加分。</w:t>
            </w:r>
            <w:r>
              <w:rPr>
                <w:rFonts w:hint="eastAsia" w:ascii="宋体" w:hAnsi="宋体" w:cs="宋体"/>
                <w:bCs/>
                <w:szCs w:val="21"/>
                <w:highlight w:val="none"/>
              </w:rPr>
              <w:br w:type="textWrapping"/>
            </w:r>
            <w:r>
              <w:rPr>
                <w:rFonts w:hint="eastAsia" w:ascii="宋体" w:hAnsi="宋体" w:cs="宋体"/>
                <w:bCs/>
                <w:szCs w:val="21"/>
                <w:highlight w:val="none"/>
              </w:rPr>
              <w:t xml:space="preserve">   （1）合同复印件。包括合同金额、买卖双方名称及盖章。</w:t>
            </w:r>
            <w:r>
              <w:rPr>
                <w:rFonts w:hint="eastAsia" w:ascii="宋体" w:hAnsi="宋体" w:cs="宋体"/>
                <w:bCs/>
                <w:szCs w:val="21"/>
                <w:highlight w:val="none"/>
              </w:rPr>
              <w:br w:type="textWrapping"/>
            </w:r>
            <w:r>
              <w:rPr>
                <w:rFonts w:hint="eastAsia" w:ascii="宋体" w:hAnsi="宋体" w:cs="宋体"/>
                <w:bCs/>
                <w:szCs w:val="21"/>
                <w:highlight w:val="none"/>
              </w:rPr>
              <w:t xml:space="preserve">   （2）验收报告复印件。</w:t>
            </w:r>
            <w:r>
              <w:rPr>
                <w:rFonts w:hint="eastAsia" w:ascii="宋体" w:hAnsi="宋体" w:cs="宋体"/>
                <w:bCs/>
                <w:szCs w:val="21"/>
                <w:highlight w:val="none"/>
              </w:rPr>
              <w:br w:type="textWrapping"/>
            </w:r>
            <w:r>
              <w:rPr>
                <w:rFonts w:hint="eastAsia" w:ascii="宋体" w:hAnsi="宋体" w:cs="宋体"/>
                <w:bCs/>
                <w:szCs w:val="21"/>
                <w:highlight w:val="none"/>
              </w:rPr>
              <w:t xml:space="preserve">   （3）用户出具的成功履行合同的相关证明材料。</w:t>
            </w:r>
            <w:r>
              <w:rPr>
                <w:rFonts w:hint="eastAsia" w:ascii="宋体" w:hAnsi="宋体" w:cs="宋体"/>
                <w:bCs/>
                <w:szCs w:val="21"/>
                <w:highlight w:val="none"/>
              </w:rPr>
              <w:br w:type="textWrapping"/>
            </w:r>
            <w:r>
              <w:rPr>
                <w:rFonts w:hint="eastAsia" w:ascii="宋体" w:hAnsi="宋体" w:cs="宋体"/>
                <w:bCs/>
                <w:szCs w:val="21"/>
                <w:highlight w:val="none"/>
              </w:rPr>
              <w:t xml:space="preserve">   （4）第（2）、（3）项可提供任意一项。</w:t>
            </w:r>
          </w:p>
          <w:p>
            <w:pPr>
              <w:ind w:firstLine="0" w:firstLineChars="0"/>
              <w:rPr>
                <w:rFonts w:ascii="宋体" w:hAnsi="宋体" w:cs="宋体"/>
                <w:bCs/>
                <w:szCs w:val="21"/>
                <w:highlight w:val="none"/>
              </w:rPr>
            </w:pPr>
            <w:r>
              <w:rPr>
                <w:rFonts w:hint="eastAsia" w:ascii="宋体" w:hAnsi="宋体" w:cs="宋体"/>
                <w:bCs/>
                <w:szCs w:val="21"/>
                <w:highlight w:val="none"/>
              </w:rPr>
              <w:t xml:space="preserve">1个案例3分，最多9分   </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2</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保修时间评价</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2分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满足招标文件要求的基础上所投核心产品每增加1年保修得1分，最多2分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3</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非“★”技术要求响应性评价</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10分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完全满足无偏离的得10分。非“★”技术要求劣于招标文件要求或未做应答的，每条扣1分，最低0分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点对点应答表偏离情况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5000" w:type="pct"/>
            <w:gridSpan w:val="5"/>
            <w:vAlign w:val="center"/>
          </w:tcPr>
          <w:p>
            <w:pPr>
              <w:ind w:firstLine="0" w:firstLineChars="0"/>
              <w:rPr>
                <w:rFonts w:ascii="宋体" w:hAnsi="宋体" w:cs="宋体"/>
                <w:bCs/>
                <w:szCs w:val="21"/>
                <w:highlight w:val="none"/>
              </w:rPr>
            </w:pPr>
            <w:r>
              <w:rPr>
                <w:rFonts w:hint="eastAsia" w:ascii="宋体" w:hAnsi="宋体" w:cs="宋体"/>
                <w:bCs/>
                <w:szCs w:val="21"/>
                <w:highlight w:val="none"/>
              </w:rPr>
              <w:t>主观分（49分）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序号</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审查内容</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分值</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评分标准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核心产品整体性能评价</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15分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核心产品整体设计理念描述先进、性能描述稳定、安全耐用，描述全面；</w:t>
            </w:r>
          </w:p>
          <w:p>
            <w:pPr>
              <w:ind w:firstLine="0" w:firstLineChars="0"/>
              <w:rPr>
                <w:rFonts w:ascii="宋体" w:hAnsi="宋体" w:cs="宋体"/>
                <w:bCs/>
                <w:szCs w:val="21"/>
                <w:highlight w:val="none"/>
              </w:rPr>
            </w:pPr>
            <w:r>
              <w:rPr>
                <w:rFonts w:hint="eastAsia" w:ascii="宋体" w:hAnsi="宋体" w:cs="宋体"/>
                <w:bCs/>
                <w:szCs w:val="21"/>
                <w:highlight w:val="none"/>
              </w:rPr>
              <w:t>方案具备以上三点要求并具有第三方机构相关认证：15分；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方案具备以上三点要求：10分；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方案具备以上两点要求：7分；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方案具备以上一点要求：3分；</w:t>
            </w:r>
          </w:p>
          <w:p>
            <w:pPr>
              <w:ind w:firstLine="0" w:firstLineChars="0"/>
              <w:rPr>
                <w:rFonts w:ascii="宋体" w:hAnsi="宋体" w:cs="宋体"/>
                <w:bCs/>
                <w:szCs w:val="21"/>
                <w:highlight w:val="none"/>
              </w:rPr>
            </w:pPr>
            <w:r>
              <w:rPr>
                <w:rFonts w:hint="eastAsia" w:ascii="宋体" w:hAnsi="宋体" w:cs="宋体"/>
                <w:bCs/>
                <w:szCs w:val="21"/>
                <w:highlight w:val="none"/>
              </w:rPr>
              <w:t>未提供不得分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详见投标文件方案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2</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安装实施方案评价</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12分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方案应包含方案完整详细，针对性、可操作性强；</w:t>
            </w:r>
          </w:p>
          <w:p>
            <w:pPr>
              <w:ind w:firstLine="0" w:firstLineChars="0"/>
              <w:rPr>
                <w:rFonts w:ascii="宋体" w:hAnsi="宋体" w:cs="宋体"/>
                <w:bCs/>
                <w:szCs w:val="21"/>
                <w:highlight w:val="none"/>
              </w:rPr>
            </w:pPr>
            <w:r>
              <w:rPr>
                <w:rFonts w:hint="eastAsia" w:ascii="宋体" w:hAnsi="宋体" w:cs="宋体"/>
                <w:bCs/>
                <w:szCs w:val="21"/>
                <w:highlight w:val="none"/>
              </w:rPr>
              <w:t>方案具备以上三点要求：12分；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方案具备以上两点要求：8分；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方案具备以上一点要求：4分；</w:t>
            </w:r>
          </w:p>
          <w:p>
            <w:pPr>
              <w:ind w:firstLine="0" w:firstLineChars="0"/>
              <w:rPr>
                <w:rFonts w:ascii="宋体" w:hAnsi="宋体" w:cs="宋体"/>
                <w:bCs/>
                <w:szCs w:val="21"/>
                <w:highlight w:val="none"/>
              </w:rPr>
            </w:pPr>
            <w:r>
              <w:rPr>
                <w:rFonts w:hint="eastAsia" w:ascii="宋体" w:hAnsi="宋体" w:cs="宋体"/>
                <w:bCs/>
                <w:szCs w:val="21"/>
                <w:highlight w:val="none"/>
              </w:rPr>
              <w:t>未提供不得分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详见投标文件方案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3</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售后服务方案评价</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12分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应包含制造商服务承诺、投标人服务承诺、服务响应时间、培训方案，方案完整详细，针对性、可操作性强</w:t>
            </w:r>
          </w:p>
          <w:p>
            <w:pPr>
              <w:ind w:firstLine="0" w:firstLineChars="0"/>
              <w:rPr>
                <w:rFonts w:ascii="宋体" w:hAnsi="宋体" w:cs="宋体"/>
                <w:bCs/>
                <w:szCs w:val="21"/>
                <w:highlight w:val="none"/>
              </w:rPr>
            </w:pPr>
            <w:r>
              <w:rPr>
                <w:rFonts w:hint="eastAsia" w:ascii="宋体" w:hAnsi="宋体" w:cs="宋体"/>
                <w:bCs/>
                <w:szCs w:val="21"/>
                <w:highlight w:val="none"/>
              </w:rPr>
              <w:t>方案具备以上三点要求：12分；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方案具备以上两点要求：8分；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方案具备以上一点要求：4分；</w:t>
            </w:r>
          </w:p>
          <w:p>
            <w:pPr>
              <w:ind w:firstLine="0" w:firstLineChars="0"/>
              <w:rPr>
                <w:rFonts w:ascii="宋体" w:hAnsi="宋体" w:cs="宋体"/>
                <w:bCs/>
                <w:szCs w:val="21"/>
                <w:highlight w:val="none"/>
              </w:rPr>
            </w:pPr>
            <w:r>
              <w:rPr>
                <w:rFonts w:hint="eastAsia" w:ascii="宋体" w:hAnsi="宋体" w:cs="宋体"/>
                <w:bCs/>
                <w:szCs w:val="21"/>
                <w:highlight w:val="none"/>
              </w:rPr>
              <w:t>未提供不得分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详见投标文件方案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4</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供货保障及质量保障措施</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10分</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投标人提供的供货保障及质量保障措施的方案完整详细，针对性、可操作性强；</w:t>
            </w:r>
          </w:p>
          <w:p>
            <w:pPr>
              <w:ind w:firstLine="0" w:firstLineChars="0"/>
              <w:rPr>
                <w:rFonts w:ascii="宋体" w:hAnsi="宋体" w:cs="宋体"/>
                <w:bCs/>
                <w:szCs w:val="21"/>
                <w:highlight w:val="none"/>
              </w:rPr>
            </w:pPr>
            <w:r>
              <w:rPr>
                <w:rFonts w:hint="eastAsia" w:ascii="宋体" w:hAnsi="宋体" w:cs="宋体"/>
                <w:bCs/>
                <w:szCs w:val="21"/>
                <w:highlight w:val="none"/>
              </w:rPr>
              <w:t>方案具备以上三点要求：10分；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方案具备以上两点要求：7分；</w:t>
            </w:r>
          </w:p>
          <w:p>
            <w:pPr>
              <w:ind w:firstLine="0" w:firstLineChars="0"/>
              <w:rPr>
                <w:rFonts w:ascii="宋体" w:hAnsi="宋体" w:cs="宋体"/>
                <w:bCs/>
                <w:szCs w:val="21"/>
                <w:highlight w:val="none"/>
              </w:rPr>
            </w:pPr>
            <w:r>
              <w:rPr>
                <w:rFonts w:hint="eastAsia" w:ascii="宋体" w:hAnsi="宋体" w:cs="宋体"/>
                <w:bCs/>
                <w:szCs w:val="21"/>
                <w:highlight w:val="none"/>
              </w:rPr>
              <w:t>方案具备以上一点要求：3分；</w:t>
            </w:r>
          </w:p>
          <w:p>
            <w:pPr>
              <w:ind w:firstLine="0" w:firstLineChars="0"/>
              <w:rPr>
                <w:rFonts w:ascii="宋体" w:hAnsi="宋体" w:cs="宋体"/>
                <w:bCs/>
                <w:szCs w:val="21"/>
                <w:highlight w:val="none"/>
              </w:rPr>
            </w:pPr>
            <w:r>
              <w:rPr>
                <w:rFonts w:hint="eastAsia" w:ascii="宋体" w:hAnsi="宋体" w:cs="宋体"/>
                <w:bCs/>
                <w:szCs w:val="21"/>
                <w:highlight w:val="none"/>
              </w:rPr>
              <w:t>未提供不得分</w:t>
            </w:r>
          </w:p>
        </w:tc>
        <w:tc>
          <w:tcPr>
            <w:tcW w:w="7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详见投标文件方案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000" w:type="pct"/>
            <w:gridSpan w:val="5"/>
            <w:vAlign w:val="center"/>
          </w:tcPr>
          <w:p>
            <w:pPr>
              <w:ind w:firstLine="0" w:firstLineChars="0"/>
              <w:rPr>
                <w:rFonts w:ascii="宋体" w:hAnsi="宋体" w:cs="宋体"/>
                <w:bCs/>
                <w:szCs w:val="21"/>
                <w:highlight w:val="none"/>
              </w:rPr>
            </w:pPr>
            <w:r>
              <w:rPr>
                <w:rFonts w:hint="eastAsia" w:ascii="宋体" w:hAnsi="宋体" w:cs="宋体"/>
                <w:bCs/>
                <w:szCs w:val="21"/>
                <w:highlight w:val="none"/>
              </w:rPr>
              <w:t>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jc w:val="center"/>
        </w:trPr>
        <w:tc>
          <w:tcPr>
            <w:tcW w:w="359"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1</w:t>
            </w:r>
          </w:p>
        </w:tc>
        <w:tc>
          <w:tcPr>
            <w:tcW w:w="608"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评标价格</w:t>
            </w:r>
          </w:p>
        </w:tc>
        <w:tc>
          <w:tcPr>
            <w:tcW w:w="41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30</w:t>
            </w:r>
          </w:p>
        </w:tc>
        <w:tc>
          <w:tcPr>
            <w:tcW w:w="2857" w:type="pct"/>
            <w:vAlign w:val="center"/>
          </w:tcPr>
          <w:p>
            <w:pPr>
              <w:ind w:firstLine="0" w:firstLineChars="0"/>
              <w:rPr>
                <w:rFonts w:ascii="宋体" w:hAnsi="宋体" w:cs="宋体"/>
                <w:bCs/>
                <w:szCs w:val="21"/>
                <w:highlight w:val="none"/>
              </w:rPr>
            </w:pPr>
            <w:r>
              <w:rPr>
                <w:rFonts w:hint="eastAsia" w:ascii="宋体" w:hAnsi="宋体" w:cs="宋体"/>
                <w:bCs/>
                <w:szCs w:val="21"/>
                <w:highlight w:val="none"/>
              </w:rPr>
              <w:t>投标报价分=（评标基准价/有效投标报价）×30；</w:t>
            </w:r>
          </w:p>
          <w:p>
            <w:pPr>
              <w:ind w:firstLine="0" w:firstLineChars="0"/>
              <w:rPr>
                <w:rFonts w:ascii="宋体" w:hAnsi="宋体" w:cs="宋体"/>
                <w:bCs/>
                <w:szCs w:val="21"/>
                <w:highlight w:val="none"/>
              </w:rPr>
            </w:pPr>
            <w:r>
              <w:rPr>
                <w:rFonts w:hint="eastAsia" w:ascii="宋体" w:hAnsi="宋体" w:cs="宋体"/>
                <w:bCs/>
                <w:szCs w:val="21"/>
                <w:highlight w:val="none"/>
              </w:rPr>
              <w:t>投标报价分四舍五入后保留小数点后两位数。</w:t>
            </w:r>
          </w:p>
          <w:p>
            <w:pPr>
              <w:ind w:firstLine="0" w:firstLineChars="0"/>
              <w:rPr>
                <w:rFonts w:ascii="宋体" w:hAnsi="宋体" w:cs="宋体"/>
                <w:bCs/>
                <w:szCs w:val="21"/>
                <w:highlight w:val="none"/>
              </w:rPr>
            </w:pPr>
            <w:r>
              <w:rPr>
                <w:rFonts w:hint="eastAsia" w:ascii="宋体" w:hAnsi="宋体" w:cs="宋体"/>
                <w:bCs/>
                <w:szCs w:val="21"/>
                <w:highlight w:val="none"/>
              </w:rPr>
              <w:t>注：</w:t>
            </w:r>
          </w:p>
          <w:p>
            <w:pPr>
              <w:ind w:firstLine="0" w:firstLineChars="0"/>
              <w:rPr>
                <w:rFonts w:ascii="宋体" w:hAnsi="宋体" w:cs="宋体"/>
                <w:bCs/>
                <w:szCs w:val="21"/>
                <w:highlight w:val="none"/>
              </w:rPr>
            </w:pPr>
            <w:r>
              <w:rPr>
                <w:rFonts w:hint="eastAsia" w:ascii="宋体" w:hAnsi="宋体" w:cs="宋体"/>
                <w:bCs/>
                <w:szCs w:val="21"/>
                <w:highlight w:val="none"/>
              </w:rPr>
              <w:t>1、满足招标文件要求且报价最低的为评标基准价。</w:t>
            </w:r>
          </w:p>
        </w:tc>
        <w:tc>
          <w:tcPr>
            <w:tcW w:w="757" w:type="pct"/>
            <w:vAlign w:val="center"/>
          </w:tcPr>
          <w:p>
            <w:pPr>
              <w:ind w:firstLine="0" w:firstLineChars="0"/>
              <w:rPr>
                <w:rFonts w:ascii="宋体" w:hAnsi="宋体" w:cs="宋体"/>
                <w:bCs/>
                <w:szCs w:val="21"/>
                <w:highlight w:val="none"/>
              </w:rPr>
            </w:pPr>
          </w:p>
        </w:tc>
      </w:tr>
    </w:tbl>
    <w:p>
      <w:pPr>
        <w:pStyle w:val="6"/>
        <w:spacing w:before="0" w:after="0"/>
        <w:rPr>
          <w:highlight w:val="none"/>
        </w:rPr>
      </w:pPr>
      <w:r>
        <w:rPr>
          <w:rFonts w:hint="eastAsia"/>
          <w:highlight w:val="none"/>
        </w:rPr>
        <w:t>评审汇总及评标结果</w:t>
      </w:r>
    </w:p>
    <w:p>
      <w:pPr>
        <w:ind w:firstLine="480"/>
        <w:rPr>
          <w:highlight w:val="none"/>
        </w:rPr>
      </w:pPr>
      <w:r>
        <w:rPr>
          <w:rFonts w:hint="eastAsia"/>
          <w:highlight w:val="none"/>
        </w:rPr>
        <w:t>评标委员会每位评委根据上述评标办法对投标文件进行评审打分，计算出每一投标人的得分，签字确认后，代理机构综合汇总每位评委的打分。评委打分的算术平均值为该投标人的得分，小数点后四舍五入保留两位小数。经核对无误后，评标委员会全体成员签字确认。再将评委打分与价格得分相加即为该投标人的总得分，总得分保留小数点后两位，小数点后保留值按四舍五入方式取舍。</w:t>
      </w:r>
    </w:p>
    <w:p>
      <w:pPr>
        <w:ind w:firstLine="480"/>
        <w:rPr>
          <w:highlight w:val="none"/>
        </w:rPr>
      </w:pPr>
      <w:r>
        <w:rPr>
          <w:rFonts w:hint="eastAsia"/>
          <w:highlight w:val="none"/>
        </w:rPr>
        <w:t>评标委员会根据投标人评审后得分由高到低顺序排列推荐前三名作为中标候选人，采购人根据评标委员会提出的书面评标报告和推荐的前三名中标候选人顺序确定中标供应商。获得最高分的投标人为中标单位。得分相同的，按投标报价由低到高顺序排列。得分且投标报价相同的，由评标委员会以不记名投票方式，按得票数量高低依次确定中标候选人的排序。</w:t>
      </w:r>
    </w:p>
    <w:p>
      <w:pPr>
        <w:ind w:firstLine="480"/>
        <w:rPr>
          <w:highlight w:val="none"/>
        </w:rPr>
      </w:pPr>
      <w:r>
        <w:rPr>
          <w:rFonts w:hint="eastAsia"/>
          <w:highlight w:val="none"/>
        </w:rPr>
        <w:t>当获得最高分的投标单位放弃中标、因不可抗力提出不能履行合同，可以依次顺延其他投标人为中标候选人或重新组织招标。</w:t>
      </w:r>
    </w:p>
    <w:p>
      <w:pPr>
        <w:pStyle w:val="6"/>
        <w:spacing w:before="0" w:after="0"/>
        <w:rPr>
          <w:highlight w:val="none"/>
        </w:rPr>
      </w:pPr>
      <w:r>
        <w:rPr>
          <w:rFonts w:hint="eastAsia"/>
          <w:highlight w:val="none"/>
        </w:rPr>
        <w:t>重新招标</w:t>
      </w:r>
    </w:p>
    <w:p>
      <w:pPr>
        <w:ind w:firstLine="480"/>
        <w:rPr>
          <w:highlight w:val="none"/>
        </w:rPr>
      </w:pPr>
      <w:r>
        <w:rPr>
          <w:rFonts w:hint="eastAsia"/>
          <w:highlight w:val="none"/>
        </w:rPr>
        <w:t>有下列情况之一的，采购人将依法重新招标：</w:t>
      </w:r>
    </w:p>
    <w:p>
      <w:pPr>
        <w:pStyle w:val="7"/>
        <w:spacing w:before="0" w:after="0"/>
        <w:rPr>
          <w:highlight w:val="none"/>
        </w:rPr>
      </w:pPr>
      <w:r>
        <w:rPr>
          <w:rFonts w:hint="eastAsia"/>
          <w:highlight w:val="none"/>
        </w:rPr>
        <w:t>投标人少于三个或者所有投标被否决的；</w:t>
      </w:r>
    </w:p>
    <w:p>
      <w:pPr>
        <w:pStyle w:val="7"/>
        <w:spacing w:before="0" w:after="0"/>
        <w:rPr>
          <w:highlight w:val="none"/>
        </w:rPr>
      </w:pPr>
      <w:r>
        <w:rPr>
          <w:rFonts w:hint="eastAsia"/>
          <w:highlight w:val="none"/>
        </w:rPr>
        <w:t>通过资格审查的投标人少于三家时；</w:t>
      </w:r>
    </w:p>
    <w:p>
      <w:pPr>
        <w:pStyle w:val="7"/>
        <w:spacing w:before="0" w:after="0"/>
        <w:rPr>
          <w:highlight w:val="none"/>
        </w:rPr>
      </w:pPr>
      <w:r>
        <w:rPr>
          <w:rFonts w:hint="eastAsia"/>
          <w:highlight w:val="none"/>
        </w:rPr>
        <w:t>评标委员会初步评审后，否决投标人的投标后，有效投标人不足三家时。</w:t>
      </w:r>
    </w:p>
    <w:p>
      <w:pPr>
        <w:tabs>
          <w:tab w:val="left" w:pos="1531"/>
        </w:tabs>
        <w:ind w:firstLine="480"/>
        <w:rPr>
          <w:rFonts w:ascii="宋体" w:hAnsi="宋体" w:cs="宋体"/>
          <w:szCs w:val="22"/>
          <w:highlight w:val="none"/>
        </w:rPr>
      </w:pPr>
    </w:p>
    <w:p>
      <w:pPr>
        <w:pStyle w:val="33"/>
        <w:adjustRightInd w:val="0"/>
        <w:snapToGrid w:val="0"/>
        <w:spacing w:line="360" w:lineRule="auto"/>
        <w:ind w:firstLine="480"/>
        <w:jc w:val="both"/>
        <w:rPr>
          <w:rFonts w:ascii="宋体" w:hAnsi="宋体" w:cs="宋体"/>
          <w:bCs/>
          <w:kern w:val="2"/>
          <w:sz w:val="24"/>
          <w:szCs w:val="22"/>
          <w:highlight w:val="none"/>
        </w:rPr>
        <w:sectPr>
          <w:headerReference r:id="rId9" w:type="first"/>
          <w:footerReference r:id="rId11" w:type="first"/>
          <w:footerReference r:id="rId10" w:type="default"/>
          <w:pgSz w:w="11905" w:h="16838"/>
          <w:pgMar w:top="1440" w:right="1083" w:bottom="1440" w:left="1083" w:header="907" w:footer="907" w:gutter="0"/>
          <w:pgNumType w:fmt="decimal" w:start="1"/>
          <w:cols w:space="0" w:num="1"/>
          <w:docGrid w:type="lines" w:linePitch="314" w:charSpace="0"/>
        </w:sectPr>
      </w:pPr>
    </w:p>
    <w:p>
      <w:pPr>
        <w:pStyle w:val="4"/>
        <w:spacing w:after="314"/>
        <w:rPr>
          <w:highlight w:val="none"/>
        </w:rPr>
      </w:pPr>
      <w:bookmarkStart w:id="24" w:name="_Toc10632"/>
      <w:bookmarkStart w:id="25" w:name="_Toc18681"/>
      <w:bookmarkStart w:id="26" w:name="_Toc2039"/>
      <w:r>
        <w:rPr>
          <w:rFonts w:hint="eastAsia"/>
          <w:highlight w:val="none"/>
        </w:rPr>
        <w:t>合 同 格 式</w:t>
      </w:r>
      <w:bookmarkEnd w:id="23"/>
      <w:bookmarkEnd w:id="24"/>
      <w:bookmarkEnd w:id="25"/>
      <w:bookmarkEnd w:id="26"/>
    </w:p>
    <w:p>
      <w:pPr>
        <w:pStyle w:val="2"/>
        <w:spacing w:line="360" w:lineRule="auto"/>
        <w:jc w:val="right"/>
        <w:rPr>
          <w:rFonts w:hint="eastAsia" w:ascii="宋体" w:hAnsi="宋体" w:eastAsia="宋体" w:cs="宋体"/>
          <w:color w:val="auto"/>
          <w:highlight w:val="none"/>
          <w:lang w:eastAsia="zh-CN"/>
        </w:rPr>
      </w:pPr>
      <w:bookmarkStart w:id="27" w:name="_Toc29287"/>
      <w:r>
        <w:rPr>
          <w:rFonts w:hint="eastAsia" w:ascii="宋体" w:hAnsi="宋体" w:eastAsia="宋体" w:cs="宋体"/>
          <w:color w:val="auto"/>
          <w:highlight w:val="none"/>
        </w:rPr>
        <w:t>合同编号：</w:t>
      </w:r>
      <w:r>
        <w:rPr>
          <w:rFonts w:hint="eastAsia" w:ascii="宋体" w:hAnsi="宋体" w:eastAsia="宋体" w:cs="宋体"/>
          <w:color w:val="auto"/>
          <w:highlight w:val="none"/>
          <w:lang w:eastAsia="zh-CN"/>
        </w:rPr>
        <w:t>GY-2022-135</w:t>
      </w:r>
    </w:p>
    <w:p>
      <w:pPr>
        <w:tabs>
          <w:tab w:val="left" w:pos="0"/>
          <w:tab w:val="left" w:pos="315"/>
        </w:tabs>
        <w:ind w:firstLine="562"/>
        <w:jc w:val="center"/>
        <w:rPr>
          <w:rFonts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天津科技大学连续平板式刮膜机购置项目</w:t>
      </w:r>
    </w:p>
    <w:p>
      <w:pPr>
        <w:pStyle w:val="11"/>
        <w:ind w:firstLine="562"/>
        <w:jc w:val="center"/>
        <w:rPr>
          <w:highlight w:val="none"/>
          <w:lang w:val="en-US"/>
        </w:rPr>
      </w:pPr>
      <w:r>
        <w:rPr>
          <w:rFonts w:hint="eastAsia" w:asciiTheme="majorEastAsia" w:hAnsiTheme="majorEastAsia" w:eastAsiaTheme="majorEastAsia" w:cstheme="majorEastAsia"/>
          <w:b/>
          <w:sz w:val="28"/>
          <w:szCs w:val="28"/>
          <w:highlight w:val="none"/>
          <w:lang w:val="en-US"/>
        </w:rPr>
        <w:t>服务合同</w:t>
      </w:r>
    </w:p>
    <w:p>
      <w:pPr>
        <w:tabs>
          <w:tab w:val="left" w:pos="360"/>
        </w:tabs>
        <w:ind w:firstLine="480"/>
        <w:rPr>
          <w:rFonts w:ascii="宋体" w:hAnsi="宋体" w:cs="宋体"/>
          <w:highlight w:val="none"/>
        </w:rPr>
      </w:pPr>
    </w:p>
    <w:p>
      <w:pPr>
        <w:tabs>
          <w:tab w:val="left" w:pos="360"/>
        </w:tabs>
        <w:ind w:firstLine="480"/>
        <w:rPr>
          <w:rFonts w:ascii="宋体" w:hAnsi="宋体" w:cs="宋体"/>
          <w:highlight w:val="none"/>
          <w:u w:val="single"/>
        </w:rPr>
      </w:pPr>
      <w:r>
        <w:rPr>
          <w:rFonts w:hint="eastAsia" w:ascii="宋体" w:hAnsi="宋体" w:cs="宋体"/>
          <w:highlight w:val="none"/>
        </w:rPr>
        <w:t>甲方：</w:t>
      </w:r>
      <w:r>
        <w:rPr>
          <w:rFonts w:hint="eastAsia" w:ascii="宋体" w:hAnsi="宋体" w:cs="宋体"/>
          <w:highlight w:val="none"/>
          <w:u w:val="single"/>
        </w:rPr>
        <w:t xml:space="preserve">                             </w:t>
      </w:r>
    </w:p>
    <w:p>
      <w:pPr>
        <w:tabs>
          <w:tab w:val="left" w:pos="360"/>
        </w:tabs>
        <w:ind w:firstLine="480"/>
        <w:rPr>
          <w:rFonts w:ascii="宋体" w:hAnsi="宋体" w:cs="宋体"/>
          <w:highlight w:val="none"/>
          <w:u w:val="single"/>
        </w:rPr>
      </w:pPr>
      <w:r>
        <w:rPr>
          <w:rFonts w:hint="eastAsia" w:ascii="宋体" w:hAnsi="宋体" w:cs="宋体"/>
          <w:highlight w:val="none"/>
        </w:rPr>
        <w:t>乙方：</w:t>
      </w:r>
      <w:r>
        <w:rPr>
          <w:rFonts w:hint="eastAsia" w:ascii="宋体" w:hAnsi="宋体" w:cs="宋体"/>
          <w:highlight w:val="none"/>
          <w:u w:val="single"/>
        </w:rPr>
        <w:t xml:space="preserve">                             </w:t>
      </w:r>
    </w:p>
    <w:p>
      <w:pPr>
        <w:tabs>
          <w:tab w:val="left" w:pos="360"/>
        </w:tabs>
        <w:ind w:firstLine="480"/>
        <w:rPr>
          <w:rFonts w:ascii="宋体" w:hAnsi="宋体" w:cs="宋体"/>
          <w:highlight w:val="none"/>
          <w:u w:val="single"/>
        </w:rPr>
      </w:pPr>
      <w:r>
        <w:rPr>
          <w:rFonts w:hint="eastAsia" w:ascii="宋体" w:hAnsi="宋体" w:cs="宋体"/>
          <w:highlight w:val="none"/>
        </w:rPr>
        <w:t>签订地点：</w:t>
      </w:r>
      <w:r>
        <w:rPr>
          <w:rFonts w:hint="eastAsia" w:ascii="宋体" w:hAnsi="宋体" w:cs="宋体"/>
          <w:highlight w:val="none"/>
          <w:u w:val="single"/>
        </w:rPr>
        <w:t xml:space="preserve">                         </w:t>
      </w:r>
    </w:p>
    <w:p>
      <w:pPr>
        <w:pStyle w:val="2"/>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p>
    <w:p>
      <w:pPr>
        <w:pStyle w:val="3"/>
        <w:ind w:left="0" w:firstLine="480"/>
        <w:rPr>
          <w:rFonts w:ascii="宋体" w:hAnsi="宋体" w:cs="宋体"/>
          <w:highlight w:val="none"/>
          <w:u w:val="single"/>
        </w:rPr>
      </w:pPr>
      <w:r>
        <w:rPr>
          <w:rFonts w:hint="eastAsia" w:ascii="宋体" w:hAnsi="宋体" w:cs="宋体"/>
          <w:highlight w:val="none"/>
        </w:rPr>
        <w:t>采购方式：</w:t>
      </w:r>
      <w:r>
        <w:rPr>
          <w:rFonts w:hint="eastAsia" w:ascii="宋体" w:hAnsi="宋体" w:cs="宋体"/>
          <w:highlight w:val="none"/>
          <w:u w:val="single"/>
        </w:rPr>
        <w:t xml:space="preserve">公开招标              </w:t>
      </w:r>
    </w:p>
    <w:p>
      <w:pPr>
        <w:pStyle w:val="3"/>
        <w:ind w:left="0" w:firstLine="480"/>
        <w:rPr>
          <w:rFonts w:ascii="宋体" w:hAnsi="宋体" w:cs="宋体"/>
          <w:highlight w:val="none"/>
          <w:u w:val="single"/>
        </w:rPr>
      </w:pPr>
      <w:r>
        <w:rPr>
          <w:rFonts w:hint="eastAsia" w:ascii="宋体" w:hAnsi="宋体" w:cs="宋体"/>
          <w:highlight w:val="none"/>
        </w:rPr>
        <w:t>开标日期：</w:t>
      </w:r>
      <w:r>
        <w:rPr>
          <w:rFonts w:hint="eastAsia" w:ascii="宋体" w:hAnsi="宋体" w:cs="宋体"/>
          <w:highlight w:val="none"/>
          <w:u w:val="single"/>
        </w:rPr>
        <w:t xml:space="preserve">                        </w:t>
      </w:r>
    </w:p>
    <w:p>
      <w:pPr>
        <w:numPr>
          <w:ilvl w:val="0"/>
          <w:numId w:val="6"/>
        </w:numPr>
        <w:ind w:firstLine="482"/>
        <w:rPr>
          <w:rFonts w:ascii="宋体" w:hAnsi="宋体" w:cs="宋体"/>
          <w:b/>
          <w:bCs/>
          <w:highlight w:val="none"/>
        </w:rPr>
      </w:pPr>
      <w:r>
        <w:rPr>
          <w:rFonts w:hint="eastAsia" w:ascii="宋体" w:hAnsi="宋体" w:cs="宋体"/>
          <w:b/>
          <w:bCs/>
          <w:highlight w:val="none"/>
        </w:rPr>
        <w:t>名称、数量、价款</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3316"/>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项目名称</w:t>
            </w:r>
          </w:p>
        </w:tc>
        <w:tc>
          <w:tcPr>
            <w:tcW w:w="1666" w:type="pct"/>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服务内容</w:t>
            </w:r>
          </w:p>
        </w:tc>
        <w:tc>
          <w:tcPr>
            <w:tcW w:w="1666" w:type="pct"/>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kern w:val="2"/>
                <w:highlight w:val="none"/>
              </w:rPr>
              <w:t>天津科技大学连续平板式刮膜机购置项目</w:t>
            </w:r>
          </w:p>
        </w:tc>
        <w:tc>
          <w:tcPr>
            <w:tcW w:w="1666" w:type="pct"/>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详见附件</w:t>
            </w:r>
          </w:p>
        </w:tc>
        <w:tc>
          <w:tcPr>
            <w:tcW w:w="1666" w:type="pct"/>
          </w:tcPr>
          <w:p>
            <w:pPr>
              <w:pStyle w:val="2"/>
              <w:spacing w:line="360" w:lineRule="auto"/>
              <w:jc w:val="both"/>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合计</w:t>
            </w:r>
          </w:p>
        </w:tc>
        <w:tc>
          <w:tcPr>
            <w:tcW w:w="1666" w:type="pct"/>
          </w:tcPr>
          <w:p>
            <w:pPr>
              <w:pStyle w:val="2"/>
              <w:spacing w:line="360" w:lineRule="auto"/>
              <w:jc w:val="both"/>
              <w:rPr>
                <w:rFonts w:ascii="宋体" w:hAnsi="宋体" w:eastAsia="宋体" w:cs="宋体"/>
                <w:color w:val="auto"/>
                <w:highlight w:val="none"/>
              </w:rPr>
            </w:pPr>
          </w:p>
        </w:tc>
        <w:tc>
          <w:tcPr>
            <w:tcW w:w="1666" w:type="pct"/>
          </w:tcPr>
          <w:p>
            <w:pPr>
              <w:pStyle w:val="2"/>
              <w:spacing w:line="360" w:lineRule="auto"/>
              <w:jc w:val="both"/>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pStyle w:val="2"/>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合计人民币（大写）：</w:t>
            </w:r>
          </w:p>
        </w:tc>
      </w:tr>
    </w:tbl>
    <w:p>
      <w:pPr>
        <w:numPr>
          <w:ilvl w:val="0"/>
          <w:numId w:val="6"/>
        </w:numPr>
        <w:ind w:firstLine="482"/>
        <w:rPr>
          <w:rFonts w:ascii="宋体" w:hAnsi="宋体" w:cs="宋体"/>
          <w:b/>
          <w:bCs/>
          <w:highlight w:val="none"/>
        </w:rPr>
      </w:pPr>
      <w:r>
        <w:rPr>
          <w:rFonts w:hint="eastAsia" w:ascii="宋体" w:hAnsi="宋体" w:cs="宋体"/>
          <w:b/>
          <w:bCs/>
          <w:highlight w:val="none"/>
        </w:rPr>
        <w:t>报价要求</w:t>
      </w:r>
    </w:p>
    <w:p>
      <w:pPr>
        <w:pStyle w:val="2"/>
        <w:spacing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1.投标报价以人民币填列</w:t>
      </w:r>
    </w:p>
    <w:p>
      <w:pPr>
        <w:pStyle w:val="2"/>
        <w:spacing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2.投标人的报价包括：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企业利润及税金等为完成招标文件规定的一切工作所需的全部费用。投标人所报价格应为最终优惠价格。</w:t>
      </w:r>
    </w:p>
    <w:p>
      <w:pPr>
        <w:numPr>
          <w:ilvl w:val="0"/>
          <w:numId w:val="6"/>
        </w:numPr>
        <w:ind w:firstLine="482"/>
        <w:rPr>
          <w:rFonts w:ascii="宋体" w:hAnsi="宋体" w:cs="宋体"/>
          <w:b/>
          <w:bCs/>
          <w:highlight w:val="none"/>
        </w:rPr>
      </w:pPr>
      <w:r>
        <w:rPr>
          <w:rFonts w:hint="eastAsia" w:ascii="宋体" w:hAnsi="宋体" w:cs="宋体"/>
          <w:b/>
          <w:bCs/>
          <w:highlight w:val="none"/>
        </w:rPr>
        <w:t>服务要求：详见附件</w:t>
      </w:r>
    </w:p>
    <w:p>
      <w:pPr>
        <w:numPr>
          <w:ilvl w:val="0"/>
          <w:numId w:val="6"/>
        </w:numPr>
        <w:ind w:firstLine="482"/>
        <w:rPr>
          <w:rFonts w:ascii="宋体" w:hAnsi="宋体" w:cs="宋体"/>
          <w:b/>
          <w:bCs/>
          <w:highlight w:val="none"/>
        </w:rPr>
      </w:pPr>
      <w:r>
        <w:rPr>
          <w:rFonts w:hint="eastAsia" w:ascii="宋体" w:hAnsi="宋体" w:cs="宋体"/>
          <w:b/>
          <w:bCs/>
          <w:highlight w:val="none"/>
        </w:rPr>
        <w:t>质量要求：严格按国家现行规范和质量评定标准检查验收。</w:t>
      </w:r>
    </w:p>
    <w:p>
      <w:pPr>
        <w:numPr>
          <w:ilvl w:val="0"/>
          <w:numId w:val="6"/>
        </w:numPr>
        <w:ind w:firstLine="482"/>
        <w:rPr>
          <w:rFonts w:ascii="宋体" w:hAnsi="宋体" w:cs="宋体"/>
          <w:b/>
          <w:bCs/>
          <w:highlight w:val="none"/>
        </w:rPr>
      </w:pPr>
      <w:r>
        <w:rPr>
          <w:rFonts w:hint="eastAsia" w:ascii="宋体" w:hAnsi="宋体" w:cs="宋体"/>
          <w:b/>
          <w:bCs/>
          <w:highlight w:val="none"/>
        </w:rPr>
        <w:t xml:space="preserve">服务期限： </w:t>
      </w:r>
    </w:p>
    <w:p>
      <w:pPr>
        <w:numPr>
          <w:ilvl w:val="0"/>
          <w:numId w:val="6"/>
        </w:numPr>
        <w:ind w:firstLine="482"/>
        <w:rPr>
          <w:rFonts w:ascii="宋体" w:hAnsi="宋体" w:cs="宋体"/>
          <w:b/>
          <w:bCs/>
          <w:highlight w:val="none"/>
        </w:rPr>
      </w:pPr>
      <w:r>
        <w:rPr>
          <w:rFonts w:hint="eastAsia" w:ascii="宋体" w:hAnsi="宋体" w:cs="宋体"/>
          <w:b/>
          <w:bCs/>
          <w:highlight w:val="none"/>
        </w:rPr>
        <w:t xml:space="preserve">服务地点： </w:t>
      </w:r>
    </w:p>
    <w:p>
      <w:pPr>
        <w:numPr>
          <w:ilvl w:val="0"/>
          <w:numId w:val="6"/>
        </w:numPr>
        <w:ind w:firstLine="482"/>
        <w:rPr>
          <w:rFonts w:ascii="宋体" w:hAnsi="宋体" w:cs="宋体"/>
          <w:b/>
          <w:bCs/>
          <w:highlight w:val="none"/>
        </w:rPr>
      </w:pPr>
      <w:r>
        <w:rPr>
          <w:rFonts w:hint="eastAsia" w:ascii="宋体" w:hAnsi="宋体" w:cs="宋体"/>
          <w:b/>
          <w:bCs/>
          <w:highlight w:val="none"/>
        </w:rPr>
        <w:t>付款方式：</w:t>
      </w:r>
    </w:p>
    <w:p>
      <w:pPr>
        <w:numPr>
          <w:ilvl w:val="0"/>
          <w:numId w:val="6"/>
        </w:numPr>
        <w:ind w:firstLine="482"/>
        <w:rPr>
          <w:rFonts w:ascii="宋体" w:hAnsi="宋体" w:cs="宋体"/>
          <w:b/>
          <w:bCs/>
          <w:highlight w:val="none"/>
        </w:rPr>
      </w:pPr>
      <w:r>
        <w:rPr>
          <w:rFonts w:hint="eastAsia" w:ascii="宋体" w:hAnsi="宋体" w:cs="宋体"/>
          <w:b/>
          <w:bCs/>
          <w:highlight w:val="none"/>
        </w:rPr>
        <w:t>违约责任：</w:t>
      </w:r>
    </w:p>
    <w:p>
      <w:pPr>
        <w:ind w:firstLine="480"/>
        <w:rPr>
          <w:rFonts w:ascii="宋体" w:hAnsi="宋体" w:cs="宋体"/>
          <w:highlight w:val="none"/>
        </w:rPr>
      </w:pPr>
      <w:r>
        <w:rPr>
          <w:rFonts w:hint="eastAsia" w:ascii="宋体" w:hAnsi="宋体" w:cs="宋体"/>
          <w:highlight w:val="none"/>
        </w:rPr>
        <w:t xml:space="preserve">甲方无正当理由拒收的，甲方向乙方偿付总值 30%的违约金。 </w:t>
      </w:r>
    </w:p>
    <w:p>
      <w:pPr>
        <w:ind w:firstLine="480"/>
        <w:rPr>
          <w:rFonts w:ascii="宋体" w:hAnsi="宋体" w:cs="宋体"/>
          <w:highlight w:val="none"/>
        </w:rPr>
      </w:pPr>
      <w:r>
        <w:rPr>
          <w:rFonts w:hint="eastAsia" w:ascii="宋体" w:hAnsi="宋体" w:cs="宋体"/>
          <w:highlight w:val="none"/>
        </w:rPr>
        <w:t xml:space="preserve">甲方逾期支付款项的，甲方向乙方每日偿付欠款总额 5‰的违约金。 </w:t>
      </w:r>
    </w:p>
    <w:p>
      <w:pPr>
        <w:ind w:firstLine="480"/>
        <w:rPr>
          <w:rFonts w:ascii="宋体" w:hAnsi="宋体" w:cs="宋体"/>
          <w:highlight w:val="none"/>
        </w:rPr>
      </w:pPr>
      <w:r>
        <w:rPr>
          <w:rFonts w:hint="eastAsia" w:ascii="宋体" w:hAnsi="宋体" w:cs="宋体"/>
          <w:highlight w:val="none"/>
        </w:rPr>
        <w:t>乙方所提供的服务不符合合同规定标准的，甲方有权拒收，乙方向甲方偿付总值 30%的违约金。</w:t>
      </w:r>
    </w:p>
    <w:p>
      <w:pPr>
        <w:ind w:firstLine="480"/>
        <w:rPr>
          <w:rFonts w:ascii="宋体" w:hAnsi="宋体" w:cs="宋体"/>
          <w:highlight w:val="none"/>
        </w:rPr>
      </w:pPr>
      <w:r>
        <w:rPr>
          <w:rFonts w:hint="eastAsia" w:ascii="宋体" w:hAnsi="宋体" w:cs="宋体"/>
          <w:highlight w:val="none"/>
        </w:rPr>
        <w:t xml:space="preserve">乙方不能提供服务的，乙方向甲方支付总值 30%的违约金。 </w:t>
      </w:r>
    </w:p>
    <w:p>
      <w:pPr>
        <w:ind w:firstLine="480"/>
        <w:rPr>
          <w:rFonts w:ascii="宋体" w:hAnsi="宋体" w:cs="宋体"/>
          <w:kern w:val="0"/>
          <w:sz w:val="20"/>
          <w:szCs w:val="20"/>
          <w:highlight w:val="none"/>
        </w:rPr>
      </w:pPr>
      <w:r>
        <w:rPr>
          <w:rFonts w:hint="eastAsia" w:ascii="宋体" w:hAnsi="宋体" w:cs="宋体"/>
          <w:highlight w:val="none"/>
        </w:rPr>
        <w:t>乙方逾期提供服务的，乙方向甲方每日偿付总额 5‰的违约金</w:t>
      </w:r>
      <w:r>
        <w:rPr>
          <w:rFonts w:hint="eastAsia" w:ascii="宋体" w:hAnsi="宋体" w:cs="宋体"/>
          <w:kern w:val="0"/>
          <w:sz w:val="20"/>
          <w:szCs w:val="20"/>
          <w:highlight w:val="none"/>
        </w:rPr>
        <w:t>。</w:t>
      </w:r>
    </w:p>
    <w:p>
      <w:pPr>
        <w:ind w:firstLine="482"/>
        <w:rPr>
          <w:rFonts w:ascii="宋体" w:hAnsi="宋体" w:cs="宋体"/>
          <w:b/>
          <w:bCs/>
          <w:highlight w:val="none"/>
        </w:rPr>
      </w:pPr>
      <w:r>
        <w:rPr>
          <w:rFonts w:hint="eastAsia" w:ascii="宋体" w:hAnsi="宋体" w:cs="宋体"/>
          <w:b/>
          <w:bCs/>
          <w:highlight w:val="none"/>
        </w:rPr>
        <w:t xml:space="preserve">第九条 乙方责任： </w:t>
      </w:r>
    </w:p>
    <w:p>
      <w:pPr>
        <w:ind w:firstLine="480"/>
        <w:rPr>
          <w:rFonts w:ascii="宋体" w:hAnsi="宋体" w:cs="宋体"/>
          <w:highlight w:val="none"/>
        </w:rPr>
      </w:pPr>
      <w:r>
        <w:rPr>
          <w:rFonts w:hint="eastAsia" w:ascii="宋体" w:hAnsi="宋体" w:cs="宋体"/>
          <w:highlight w:val="none"/>
        </w:rPr>
        <w:t xml:space="preserve">1.乙方提供的服务必须符合国家标准、行业标准以及企业标准。乙方承诺的服务条款必须与投标时承诺的完全一致，不存在任何偏差。如出现不一致，乙方将承担违约责任。 </w:t>
      </w:r>
    </w:p>
    <w:p>
      <w:pPr>
        <w:ind w:firstLine="480"/>
        <w:rPr>
          <w:rFonts w:ascii="宋体" w:hAnsi="宋体" w:cs="宋体"/>
          <w:highlight w:val="none"/>
        </w:rPr>
      </w:pPr>
      <w:r>
        <w:rPr>
          <w:rFonts w:hint="eastAsia" w:ascii="宋体" w:hAnsi="宋体" w:cs="宋体"/>
          <w:highlight w:val="none"/>
        </w:rPr>
        <w:t>2.乙方所提供的服务必须具有合法手续及相关文件。如涉及知识产权则必须是自己拥有合法使用的。</w:t>
      </w:r>
    </w:p>
    <w:p>
      <w:pPr>
        <w:ind w:firstLine="482"/>
        <w:rPr>
          <w:rFonts w:ascii="宋体" w:hAnsi="宋体" w:cs="宋体"/>
          <w:b/>
          <w:bCs/>
          <w:highlight w:val="none"/>
        </w:rPr>
      </w:pPr>
      <w:r>
        <w:rPr>
          <w:rFonts w:hint="eastAsia" w:ascii="宋体" w:hAnsi="宋体" w:cs="宋体"/>
          <w:b/>
          <w:bCs/>
          <w:highlight w:val="none"/>
        </w:rPr>
        <w:t>第十条 合同争议的解决方式</w:t>
      </w:r>
    </w:p>
    <w:p>
      <w:pPr>
        <w:ind w:firstLine="480"/>
        <w:rPr>
          <w:rFonts w:ascii="宋体" w:hAnsi="宋体" w:cs="宋体"/>
          <w:highlight w:val="none"/>
        </w:rPr>
      </w:pPr>
      <w:r>
        <w:rPr>
          <w:rFonts w:hint="eastAsia" w:ascii="宋体" w:hAnsi="宋体" w:cs="宋体"/>
          <w:highlight w:val="none"/>
        </w:rPr>
        <w:t xml:space="preserve">本合同在履行过程中发生的争议，由双方当事人协商解决；也可由有关部门调解；协商或调解不成的，按下列第（2）种方式解决。 </w:t>
      </w:r>
    </w:p>
    <w:p>
      <w:pPr>
        <w:ind w:firstLine="480"/>
        <w:rPr>
          <w:rFonts w:ascii="宋体" w:hAnsi="宋体" w:cs="宋体"/>
          <w:highlight w:val="none"/>
        </w:rPr>
      </w:pPr>
      <w:r>
        <w:rPr>
          <w:rFonts w:hint="eastAsia" w:ascii="宋体" w:hAnsi="宋体" w:cs="宋体"/>
          <w:highlight w:val="none"/>
        </w:rPr>
        <w:t xml:space="preserve">（1）提交仲裁委员会仲裁； </w:t>
      </w:r>
    </w:p>
    <w:p>
      <w:pPr>
        <w:ind w:firstLine="480"/>
        <w:rPr>
          <w:rFonts w:ascii="宋体" w:hAnsi="宋体" w:cs="宋体"/>
          <w:highlight w:val="none"/>
        </w:rPr>
      </w:pPr>
      <w:r>
        <w:rPr>
          <w:rFonts w:hint="eastAsia" w:ascii="宋体" w:hAnsi="宋体" w:cs="宋体"/>
          <w:highlight w:val="none"/>
        </w:rPr>
        <w:t>（2）依法向人民法院起诉</w:t>
      </w:r>
    </w:p>
    <w:p>
      <w:pPr>
        <w:ind w:firstLine="482"/>
        <w:rPr>
          <w:rFonts w:ascii="宋体" w:hAnsi="宋体" w:cs="宋体"/>
          <w:b/>
          <w:bCs/>
          <w:highlight w:val="none"/>
        </w:rPr>
      </w:pPr>
      <w:r>
        <w:rPr>
          <w:rFonts w:hint="eastAsia" w:ascii="宋体" w:hAnsi="宋体" w:cs="宋体"/>
          <w:b/>
          <w:bCs/>
          <w:highlight w:val="none"/>
        </w:rPr>
        <w:t xml:space="preserve">第十一条 </w:t>
      </w:r>
    </w:p>
    <w:p>
      <w:pPr>
        <w:ind w:firstLine="480"/>
        <w:rPr>
          <w:rFonts w:ascii="宋体" w:hAnsi="宋体" w:cs="宋体"/>
          <w:kern w:val="0"/>
          <w:sz w:val="20"/>
          <w:szCs w:val="20"/>
          <w:highlight w:val="none"/>
        </w:rPr>
      </w:pPr>
      <w:r>
        <w:rPr>
          <w:rFonts w:hint="eastAsia" w:ascii="宋体" w:hAnsi="宋体" w:cs="宋体"/>
          <w:highlight w:val="none"/>
        </w:rPr>
        <w:t>其他约定事项： 供应商的响应文件属于本合同一部分与本合同具有同等法律效应。相关附件是合同的组成部分，有关涉及本合同乙方在开标现场提交的响应文件及有关澄清资料和服务承诺均视为本合同不可分割的一部分，对乙方同样具有约束力与法律效率。</w:t>
      </w:r>
      <w:r>
        <w:rPr>
          <w:rFonts w:hint="eastAsia" w:ascii="宋体" w:hAnsi="宋体" w:cs="宋体"/>
          <w:kern w:val="0"/>
          <w:sz w:val="20"/>
          <w:szCs w:val="20"/>
          <w:highlight w:val="none"/>
        </w:rPr>
        <w:t xml:space="preserve"> </w:t>
      </w:r>
    </w:p>
    <w:p>
      <w:pPr>
        <w:ind w:firstLine="480"/>
        <w:rPr>
          <w:rFonts w:ascii="宋体" w:hAnsi="宋体" w:cs="宋体"/>
          <w:highlight w:val="none"/>
        </w:rPr>
      </w:pPr>
      <w:r>
        <w:rPr>
          <w:rFonts w:hint="eastAsia" w:ascii="宋体" w:hAnsi="宋体" w:cs="宋体"/>
          <w:highlight w:val="none"/>
        </w:rPr>
        <w:t>本合同一式</w:t>
      </w:r>
      <w:r>
        <w:rPr>
          <w:rFonts w:hint="eastAsia" w:ascii="宋体" w:hAnsi="宋体" w:cs="宋体"/>
          <w:highlight w:val="none"/>
          <w:u w:val="single"/>
        </w:rPr>
        <w:t xml:space="preserve">    </w:t>
      </w:r>
      <w:r>
        <w:rPr>
          <w:rFonts w:hint="eastAsia" w:ascii="宋体" w:hAnsi="宋体" w:cs="宋体"/>
          <w:highlight w:val="none"/>
        </w:rPr>
        <w:t>份，甲方持</w:t>
      </w:r>
      <w:r>
        <w:rPr>
          <w:rFonts w:hint="eastAsia" w:ascii="宋体" w:hAnsi="宋体" w:cs="宋体"/>
          <w:highlight w:val="none"/>
          <w:u w:val="single"/>
        </w:rPr>
        <w:t xml:space="preserve">    </w:t>
      </w:r>
      <w:r>
        <w:rPr>
          <w:rFonts w:hint="eastAsia" w:ascii="宋体" w:hAnsi="宋体" w:cs="宋体"/>
          <w:highlight w:val="none"/>
        </w:rPr>
        <w:t>份，乙方与公允（天津）招标代理有限公司持</w:t>
      </w:r>
      <w:r>
        <w:rPr>
          <w:rFonts w:hint="eastAsia" w:ascii="宋体" w:hAnsi="宋体" w:cs="宋体"/>
          <w:highlight w:val="none"/>
          <w:u w:val="single"/>
        </w:rPr>
        <w:t xml:space="preserve"> 1  </w:t>
      </w:r>
      <w:r>
        <w:rPr>
          <w:rFonts w:hint="eastAsia" w:ascii="宋体" w:hAnsi="宋体" w:cs="宋体"/>
          <w:highlight w:val="none"/>
        </w:rPr>
        <w:t>份</w:t>
      </w:r>
    </w:p>
    <w:p>
      <w:pPr>
        <w:tabs>
          <w:tab w:val="left" w:pos="360"/>
        </w:tabs>
        <w:ind w:firstLine="410" w:firstLineChars="171"/>
        <w:rPr>
          <w:rFonts w:ascii="宋体" w:hAnsi="宋体" w:cs="宋体"/>
          <w:highlight w:val="none"/>
        </w:rPr>
      </w:pPr>
      <w:r>
        <w:rPr>
          <w:rFonts w:hint="eastAsia" w:ascii="宋体" w:hAnsi="宋体" w:cs="宋体"/>
          <w:highlight w:val="none"/>
        </w:rPr>
        <w:t>附件1.项目需求书</w:t>
      </w:r>
    </w:p>
    <w:p>
      <w:pPr>
        <w:tabs>
          <w:tab w:val="left" w:pos="360"/>
        </w:tabs>
        <w:ind w:firstLine="410" w:firstLineChars="171"/>
        <w:rPr>
          <w:highlight w:val="none"/>
        </w:rPr>
      </w:pPr>
      <w:r>
        <w:rPr>
          <w:rFonts w:hint="eastAsia" w:ascii="宋体" w:hAnsi="宋体" w:cs="宋体"/>
          <w:highlight w:val="none"/>
        </w:rPr>
        <w:t>附件2.中标人应答表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7"/>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0" w:type="pct"/>
          </w:tcPr>
          <w:p>
            <w:pPr>
              <w:ind w:firstLine="480"/>
              <w:rPr>
                <w:rFonts w:ascii="宋体" w:hAnsi="宋体" w:cs="宋体"/>
                <w:highlight w:val="none"/>
              </w:rPr>
            </w:pPr>
            <w:r>
              <w:rPr>
                <w:rFonts w:hint="eastAsia" w:ascii="宋体" w:hAnsi="宋体" w:cs="宋体"/>
                <w:highlight w:val="none"/>
              </w:rPr>
              <w:t>甲方（盖章）:</w:t>
            </w:r>
          </w:p>
          <w:p>
            <w:pPr>
              <w:ind w:firstLine="480"/>
              <w:rPr>
                <w:rFonts w:ascii="宋体" w:hAnsi="宋体" w:cs="宋体"/>
                <w:highlight w:val="none"/>
              </w:rPr>
            </w:pPr>
            <w:r>
              <w:rPr>
                <w:rFonts w:hint="eastAsia" w:ascii="宋体" w:hAnsi="宋体" w:cs="宋体"/>
                <w:highlight w:val="none"/>
              </w:rPr>
              <w:t>地址及电话：</w:t>
            </w:r>
          </w:p>
          <w:p>
            <w:pPr>
              <w:ind w:firstLine="480"/>
              <w:rPr>
                <w:rFonts w:ascii="宋体" w:hAnsi="宋体" w:cs="宋体"/>
                <w:highlight w:val="none"/>
              </w:rPr>
            </w:pPr>
            <w:r>
              <w:rPr>
                <w:rFonts w:hint="eastAsia" w:ascii="宋体" w:hAnsi="宋体" w:cs="宋体"/>
                <w:highlight w:val="none"/>
              </w:rPr>
              <w:t>委托代理人：</w:t>
            </w:r>
          </w:p>
          <w:p>
            <w:pPr>
              <w:ind w:firstLine="480"/>
              <w:rPr>
                <w:rFonts w:ascii="宋体" w:hAnsi="宋体" w:cs="宋体"/>
                <w:highlight w:val="none"/>
              </w:rPr>
            </w:pPr>
            <w:r>
              <w:rPr>
                <w:rFonts w:hint="eastAsia" w:ascii="宋体" w:hAnsi="宋体" w:cs="宋体"/>
                <w:highlight w:val="none"/>
              </w:rPr>
              <w:t>法定代表人：</w:t>
            </w:r>
          </w:p>
          <w:p>
            <w:pPr>
              <w:ind w:firstLine="480"/>
              <w:rPr>
                <w:rFonts w:ascii="宋体" w:hAnsi="宋体" w:cs="宋体"/>
                <w:highlight w:val="none"/>
              </w:rPr>
            </w:pPr>
            <w:r>
              <w:rPr>
                <w:rFonts w:hint="eastAsia" w:ascii="宋体" w:hAnsi="宋体" w:cs="宋体"/>
                <w:highlight w:val="none"/>
              </w:rPr>
              <w:t>开户银行及账号：</w:t>
            </w:r>
          </w:p>
          <w:p>
            <w:pPr>
              <w:ind w:firstLine="480"/>
              <w:rPr>
                <w:rFonts w:ascii="宋体" w:hAnsi="宋体" w:cs="宋体"/>
                <w:highlight w:val="none"/>
              </w:rPr>
            </w:pPr>
            <w:r>
              <w:rPr>
                <w:rFonts w:hint="eastAsia" w:ascii="宋体" w:hAnsi="宋体" w:cs="宋体"/>
                <w:highlight w:val="none"/>
              </w:rPr>
              <w:t>邮政编码：</w:t>
            </w:r>
          </w:p>
        </w:tc>
        <w:tc>
          <w:tcPr>
            <w:tcW w:w="2500" w:type="pct"/>
          </w:tcPr>
          <w:p>
            <w:pPr>
              <w:ind w:firstLine="480"/>
              <w:rPr>
                <w:rFonts w:ascii="宋体" w:hAnsi="宋体" w:cs="宋体"/>
                <w:highlight w:val="none"/>
              </w:rPr>
            </w:pPr>
            <w:r>
              <w:rPr>
                <w:rFonts w:hint="eastAsia" w:ascii="宋体" w:hAnsi="宋体" w:cs="宋体"/>
                <w:highlight w:val="none"/>
              </w:rPr>
              <w:t>乙方（盖章）:</w:t>
            </w:r>
          </w:p>
          <w:p>
            <w:pPr>
              <w:ind w:firstLine="480"/>
              <w:rPr>
                <w:rFonts w:ascii="宋体" w:hAnsi="宋体" w:cs="宋体"/>
                <w:highlight w:val="none"/>
              </w:rPr>
            </w:pPr>
            <w:r>
              <w:rPr>
                <w:rFonts w:hint="eastAsia" w:ascii="宋体" w:hAnsi="宋体" w:cs="宋体"/>
                <w:highlight w:val="none"/>
              </w:rPr>
              <w:t>地址及电话：</w:t>
            </w:r>
          </w:p>
          <w:p>
            <w:pPr>
              <w:ind w:firstLine="480"/>
              <w:rPr>
                <w:rFonts w:ascii="宋体" w:hAnsi="宋体" w:cs="宋体"/>
                <w:highlight w:val="none"/>
              </w:rPr>
            </w:pPr>
            <w:r>
              <w:rPr>
                <w:rFonts w:hint="eastAsia" w:ascii="宋体" w:hAnsi="宋体" w:cs="宋体"/>
                <w:highlight w:val="none"/>
              </w:rPr>
              <w:t>委托代理人：</w:t>
            </w:r>
          </w:p>
          <w:p>
            <w:pPr>
              <w:ind w:firstLine="480"/>
              <w:rPr>
                <w:rFonts w:ascii="宋体" w:hAnsi="宋体" w:cs="宋体"/>
                <w:highlight w:val="none"/>
              </w:rPr>
            </w:pPr>
            <w:r>
              <w:rPr>
                <w:rFonts w:hint="eastAsia" w:ascii="宋体" w:hAnsi="宋体" w:cs="宋体"/>
                <w:highlight w:val="none"/>
              </w:rPr>
              <w:t>法定代表人：</w:t>
            </w:r>
          </w:p>
          <w:p>
            <w:pPr>
              <w:ind w:firstLine="480"/>
              <w:rPr>
                <w:rFonts w:ascii="宋体" w:hAnsi="宋体" w:cs="宋体"/>
                <w:highlight w:val="none"/>
              </w:rPr>
            </w:pPr>
            <w:r>
              <w:rPr>
                <w:rFonts w:hint="eastAsia" w:ascii="宋体" w:hAnsi="宋体" w:cs="宋体"/>
                <w:highlight w:val="none"/>
              </w:rPr>
              <w:t>开户银行及账号：</w:t>
            </w:r>
          </w:p>
          <w:p>
            <w:pPr>
              <w:ind w:firstLine="480"/>
              <w:rPr>
                <w:rFonts w:ascii="宋体" w:hAnsi="宋体" w:cs="宋体"/>
                <w:highlight w:val="none"/>
              </w:rPr>
            </w:pPr>
            <w:r>
              <w:rPr>
                <w:rFonts w:hint="eastAsia" w:ascii="宋体" w:hAnsi="宋体" w:cs="宋体"/>
                <w:highlight w:val="none"/>
              </w:rPr>
              <w:t>邮政编码：</w:t>
            </w:r>
          </w:p>
        </w:tc>
      </w:tr>
    </w:tbl>
    <w:p>
      <w:pPr>
        <w:ind w:firstLine="482"/>
        <w:rPr>
          <w:rFonts w:ascii="宋体" w:hAnsi="宋体" w:cs="宋体"/>
          <w:b/>
          <w:bCs/>
          <w:highlight w:val="none"/>
        </w:rPr>
      </w:pPr>
    </w:p>
    <w:p>
      <w:pPr>
        <w:ind w:firstLine="482"/>
        <w:jc w:val="center"/>
        <w:rPr>
          <w:rFonts w:ascii="宋体" w:hAnsi="宋体" w:cs="宋体"/>
          <w:highlight w:val="none"/>
        </w:rPr>
      </w:pPr>
      <w:r>
        <w:rPr>
          <w:rFonts w:hint="eastAsia" w:ascii="宋体" w:hAnsi="宋体" w:cs="宋体"/>
          <w:b/>
          <w:bCs/>
          <w:highlight w:val="none"/>
        </w:rPr>
        <w:t>合同特殊条款</w:t>
      </w:r>
    </w:p>
    <w:p>
      <w:pPr>
        <w:ind w:firstLine="480"/>
        <w:rPr>
          <w:rFonts w:ascii="宋体" w:hAnsi="宋体" w:cs="宋体"/>
          <w:highlight w:val="none"/>
        </w:rPr>
      </w:pPr>
      <w:r>
        <w:rPr>
          <w:rFonts w:hint="eastAsia" w:ascii="宋体" w:hAnsi="宋体" w:cs="宋体"/>
          <w:highlight w:val="none"/>
        </w:rPr>
        <w:t xml:space="preserve">合同特殊条款是合同一般条款的补充和修改。如果两者之间有抵触，应以特殊条款为准。 </w:t>
      </w:r>
    </w:p>
    <w:p>
      <w:pPr>
        <w:ind w:firstLine="480"/>
        <w:rPr>
          <w:rFonts w:ascii="宋体" w:hAnsi="宋体" w:cs="宋体"/>
          <w:highlight w:val="none"/>
        </w:rPr>
      </w:pPr>
      <w:r>
        <w:rPr>
          <w:rFonts w:hint="eastAsia" w:ascii="宋体" w:hAnsi="宋体" w:cs="宋体"/>
          <w:highlight w:val="none"/>
        </w:rPr>
        <w:t xml:space="preserve">合同特殊条款由供、需双方根据招标项目的具体情况协商拟订。 </w:t>
      </w:r>
    </w:p>
    <w:p>
      <w:pPr>
        <w:pStyle w:val="2"/>
        <w:spacing w:line="360" w:lineRule="auto"/>
        <w:rPr>
          <w:rFonts w:ascii="宋体" w:hAnsi="宋体" w:eastAsia="宋体" w:cs="宋体"/>
          <w:color w:val="auto"/>
          <w:highlight w:val="none"/>
        </w:rPr>
      </w:pPr>
    </w:p>
    <w:p>
      <w:pPr>
        <w:pStyle w:val="2"/>
        <w:spacing w:line="360" w:lineRule="auto"/>
        <w:rPr>
          <w:rFonts w:ascii="宋体" w:hAnsi="宋体" w:eastAsia="宋体" w:cs="宋体"/>
          <w:color w:val="auto"/>
          <w:highlight w:val="none"/>
        </w:rPr>
      </w:pPr>
    </w:p>
    <w:p>
      <w:pPr>
        <w:ind w:firstLine="880"/>
        <w:jc w:val="center"/>
        <w:rPr>
          <w:rFonts w:ascii="宋体" w:hAnsi="宋体" w:cs="宋体"/>
          <w:sz w:val="44"/>
          <w:szCs w:val="44"/>
          <w:highlight w:val="none"/>
        </w:rPr>
      </w:pPr>
      <w:r>
        <w:rPr>
          <w:rFonts w:hint="eastAsia" w:ascii="宋体" w:hAnsi="宋体" w:cs="宋体"/>
          <w:sz w:val="44"/>
          <w:szCs w:val="44"/>
          <w:highlight w:val="none"/>
        </w:rPr>
        <w:br w:type="page"/>
      </w:r>
    </w:p>
    <w:p>
      <w:pPr>
        <w:pStyle w:val="4"/>
        <w:spacing w:after="314"/>
        <w:rPr>
          <w:highlight w:val="none"/>
        </w:rPr>
      </w:pPr>
      <w:bookmarkStart w:id="28" w:name="_Toc12633"/>
      <w:bookmarkStart w:id="29" w:name="_Toc21133"/>
      <w:bookmarkStart w:id="30" w:name="_Toc11154"/>
      <w:r>
        <w:rPr>
          <w:rFonts w:hint="eastAsia"/>
          <w:highlight w:val="none"/>
        </w:rPr>
        <w:t>投 标 文 件 格 式</w:t>
      </w:r>
      <w:bookmarkEnd w:id="27"/>
      <w:bookmarkEnd w:id="28"/>
      <w:bookmarkEnd w:id="29"/>
      <w:bookmarkEnd w:id="30"/>
    </w:p>
    <w:p>
      <w:pPr>
        <w:autoSpaceDE w:val="0"/>
        <w:autoSpaceDN w:val="0"/>
        <w:adjustRightInd w:val="0"/>
        <w:ind w:firstLine="800"/>
        <w:jc w:val="center"/>
        <w:rPr>
          <w:rFonts w:ascii="宋体" w:hAnsi="宋体" w:cs="宋体"/>
          <w:bCs/>
          <w:sz w:val="40"/>
          <w:szCs w:val="36"/>
          <w:highlight w:val="none"/>
        </w:rPr>
      </w:pPr>
    </w:p>
    <w:p>
      <w:pPr>
        <w:autoSpaceDE w:val="0"/>
        <w:autoSpaceDN w:val="0"/>
        <w:adjustRightInd w:val="0"/>
        <w:ind w:firstLine="800"/>
        <w:jc w:val="center"/>
        <w:rPr>
          <w:rFonts w:ascii="宋体" w:hAnsi="宋体" w:cs="宋体"/>
          <w:bCs/>
          <w:highlight w:val="none"/>
        </w:rPr>
      </w:pPr>
      <w:r>
        <w:rPr>
          <w:rFonts w:hint="eastAsia" w:ascii="宋体" w:hAnsi="宋体" w:cs="宋体"/>
          <w:bCs/>
          <w:sz w:val="40"/>
          <w:szCs w:val="36"/>
          <w:highlight w:val="none"/>
        </w:rPr>
        <w:t xml:space="preserve">                     </w:t>
      </w:r>
    </w:p>
    <w:p>
      <w:pPr>
        <w:autoSpaceDE w:val="0"/>
        <w:autoSpaceDN w:val="0"/>
        <w:adjustRightInd w:val="0"/>
        <w:ind w:firstLine="0" w:firstLineChars="0"/>
        <w:jc w:val="center"/>
        <w:rPr>
          <w:rFonts w:ascii="宋体" w:hAnsi="宋体" w:cs="宋体"/>
          <w:bCs/>
          <w:sz w:val="72"/>
          <w:szCs w:val="52"/>
          <w:highlight w:val="none"/>
        </w:rPr>
      </w:pPr>
      <w:bookmarkStart w:id="31" w:name="_Toc2104"/>
      <w:r>
        <w:rPr>
          <w:rFonts w:hint="eastAsia" w:ascii="宋体" w:hAnsi="宋体" w:cs="宋体"/>
          <w:b/>
          <w:sz w:val="52"/>
          <w:szCs w:val="52"/>
          <w:highlight w:val="none"/>
        </w:rPr>
        <w:t>投 标 文 件</w:t>
      </w:r>
      <w:bookmarkEnd w:id="31"/>
    </w:p>
    <w:p>
      <w:pPr>
        <w:pStyle w:val="2"/>
        <w:spacing w:line="360" w:lineRule="auto"/>
        <w:jc w:val="center"/>
        <w:rPr>
          <w:rFonts w:ascii="宋体" w:hAnsi="宋体" w:eastAsia="宋体" w:cs="宋体"/>
          <w:bCs/>
          <w:color w:val="auto"/>
          <w:sz w:val="32"/>
          <w:szCs w:val="32"/>
          <w:highlight w:val="none"/>
        </w:rPr>
      </w:pPr>
      <w:bookmarkStart w:id="32" w:name="_Toc1590"/>
      <w:r>
        <w:rPr>
          <w:rFonts w:hint="eastAsia" w:ascii="宋体" w:hAnsi="宋体" w:eastAsia="宋体" w:cs="宋体"/>
          <w:bCs/>
          <w:color w:val="auto"/>
          <w:sz w:val="32"/>
          <w:szCs w:val="32"/>
          <w:highlight w:val="none"/>
        </w:rPr>
        <w:t>（正本或副本）</w:t>
      </w:r>
      <w:bookmarkEnd w:id="32"/>
    </w:p>
    <w:p>
      <w:pPr>
        <w:pStyle w:val="3"/>
        <w:ind w:firstLine="1440"/>
        <w:rPr>
          <w:rFonts w:ascii="宋体" w:hAnsi="宋体" w:cs="宋体"/>
          <w:bCs/>
          <w:sz w:val="72"/>
          <w:szCs w:val="52"/>
          <w:highlight w:val="none"/>
        </w:rPr>
      </w:pPr>
    </w:p>
    <w:p>
      <w:pPr>
        <w:ind w:firstLine="480"/>
        <w:rPr>
          <w:highlight w:val="none"/>
        </w:rPr>
      </w:pPr>
    </w:p>
    <w:p>
      <w:pPr>
        <w:ind w:firstLine="1440"/>
        <w:rPr>
          <w:rFonts w:ascii="宋体" w:hAnsi="宋体" w:cs="宋体"/>
          <w:bCs/>
          <w:sz w:val="72"/>
          <w:szCs w:val="52"/>
          <w:highlight w:val="none"/>
        </w:rPr>
      </w:pPr>
    </w:p>
    <w:p>
      <w:pPr>
        <w:pStyle w:val="11"/>
        <w:ind w:firstLine="1440"/>
        <w:rPr>
          <w:bCs/>
          <w:sz w:val="72"/>
          <w:szCs w:val="52"/>
          <w:highlight w:val="none"/>
        </w:rPr>
      </w:pPr>
    </w:p>
    <w:p>
      <w:pPr>
        <w:pStyle w:val="12"/>
        <w:spacing w:before="0" w:after="0"/>
        <w:ind w:firstLine="1440"/>
        <w:rPr>
          <w:rFonts w:cs="宋体"/>
          <w:bCs/>
          <w:sz w:val="72"/>
          <w:szCs w:val="52"/>
          <w:highlight w:val="none"/>
        </w:rPr>
      </w:pPr>
    </w:p>
    <w:p>
      <w:pPr>
        <w:ind w:firstLine="480"/>
        <w:rPr>
          <w:highlight w:val="none"/>
        </w:rPr>
      </w:pPr>
    </w:p>
    <w:p>
      <w:pPr>
        <w:ind w:firstLine="480"/>
        <w:rPr>
          <w:highlight w:val="none"/>
        </w:rPr>
      </w:pPr>
    </w:p>
    <w:p>
      <w:pPr>
        <w:ind w:firstLine="480"/>
        <w:rPr>
          <w:rFonts w:ascii="宋体" w:hAnsi="宋体" w:cs="宋体"/>
          <w:highlight w:val="none"/>
        </w:rPr>
      </w:pPr>
    </w:p>
    <w:p>
      <w:pPr>
        <w:ind w:firstLine="480"/>
        <w:rPr>
          <w:rFonts w:ascii="宋体" w:hAnsi="宋体" w:cs="宋体"/>
          <w:bCs/>
          <w:highlight w:val="none"/>
        </w:rPr>
      </w:pPr>
      <w:r>
        <w:rPr>
          <w:rFonts w:hint="eastAsia" w:ascii="宋体" w:hAnsi="宋体" w:cs="宋体"/>
          <w:bCs/>
          <w:highlight w:val="none"/>
        </w:rPr>
        <w:t>项目编号：</w:t>
      </w:r>
    </w:p>
    <w:p>
      <w:pPr>
        <w:ind w:firstLine="480"/>
        <w:rPr>
          <w:rFonts w:ascii="宋体" w:hAnsi="宋体" w:cs="宋体"/>
          <w:bCs/>
          <w:highlight w:val="none"/>
        </w:rPr>
      </w:pPr>
      <w:r>
        <w:rPr>
          <w:rFonts w:hint="eastAsia" w:ascii="宋体" w:hAnsi="宋体" w:cs="宋体"/>
          <w:bCs/>
          <w:highlight w:val="none"/>
        </w:rPr>
        <w:t>项目名称：</w:t>
      </w:r>
    </w:p>
    <w:p>
      <w:pPr>
        <w:ind w:firstLine="480"/>
        <w:rPr>
          <w:rFonts w:ascii="宋体" w:hAnsi="宋体" w:cs="宋体"/>
          <w:bCs/>
          <w:highlight w:val="none"/>
        </w:rPr>
      </w:pPr>
      <w:r>
        <w:rPr>
          <w:rFonts w:hint="eastAsia" w:ascii="宋体" w:hAnsi="宋体" w:cs="宋体"/>
          <w:bCs/>
          <w:highlight w:val="none"/>
        </w:rPr>
        <w:t>投标单位名称：</w:t>
      </w:r>
    </w:p>
    <w:p>
      <w:pPr>
        <w:ind w:firstLine="480"/>
        <w:rPr>
          <w:rFonts w:ascii="宋体" w:hAnsi="宋体" w:cs="宋体"/>
          <w:bCs/>
          <w:highlight w:val="none"/>
        </w:rPr>
      </w:pPr>
      <w:r>
        <w:rPr>
          <w:rFonts w:hint="eastAsia" w:ascii="宋体" w:hAnsi="宋体" w:cs="宋体"/>
          <w:bCs/>
          <w:highlight w:val="none"/>
        </w:rPr>
        <w:t>投标单位电话：</w:t>
      </w:r>
    </w:p>
    <w:p>
      <w:pPr>
        <w:ind w:firstLine="480"/>
        <w:rPr>
          <w:rFonts w:ascii="宋体" w:hAnsi="宋体" w:cs="宋体"/>
          <w:bCs/>
          <w:highlight w:val="none"/>
        </w:rPr>
      </w:pPr>
      <w:r>
        <w:rPr>
          <w:rFonts w:hint="eastAsia" w:ascii="宋体" w:hAnsi="宋体" w:cs="宋体"/>
          <w:bCs/>
          <w:highlight w:val="none"/>
        </w:rPr>
        <w:t>投标单位详细地址：</w:t>
      </w:r>
    </w:p>
    <w:p>
      <w:pPr>
        <w:ind w:firstLine="480"/>
        <w:rPr>
          <w:rFonts w:ascii="宋体" w:hAnsi="宋体" w:cs="宋体"/>
          <w:bCs/>
          <w:highlight w:val="none"/>
        </w:rPr>
      </w:pPr>
      <w:r>
        <w:rPr>
          <w:rFonts w:hint="eastAsia" w:ascii="宋体" w:hAnsi="宋体" w:cs="宋体"/>
          <w:bCs/>
          <w:highlight w:val="none"/>
        </w:rPr>
        <w:t>投标人代表：</w:t>
      </w:r>
    </w:p>
    <w:p>
      <w:pPr>
        <w:ind w:firstLine="480"/>
        <w:rPr>
          <w:rFonts w:ascii="宋体" w:hAnsi="宋体" w:cs="宋体"/>
          <w:bCs/>
          <w:highlight w:val="none"/>
        </w:rPr>
      </w:pPr>
      <w:r>
        <w:rPr>
          <w:rFonts w:hint="eastAsia" w:ascii="宋体" w:hAnsi="宋体" w:cs="宋体"/>
          <w:bCs/>
          <w:highlight w:val="none"/>
        </w:rPr>
        <w:t>法定代表人：</w:t>
      </w:r>
    </w:p>
    <w:p>
      <w:pPr>
        <w:ind w:firstLine="480"/>
        <w:rPr>
          <w:rFonts w:ascii="宋体" w:hAnsi="宋体" w:cs="宋体"/>
          <w:bCs/>
          <w:highlight w:val="none"/>
        </w:rPr>
      </w:pPr>
      <w:r>
        <w:rPr>
          <w:rFonts w:hint="eastAsia" w:ascii="宋体" w:hAnsi="宋体" w:cs="宋体"/>
          <w:bCs/>
          <w:highlight w:val="none"/>
        </w:rPr>
        <w:t>投标日期：   年   月   日</w:t>
      </w:r>
    </w:p>
    <w:p>
      <w:pPr>
        <w:ind w:firstLine="480"/>
        <w:rPr>
          <w:rFonts w:ascii="宋体" w:hAnsi="宋体" w:cs="宋体"/>
          <w:highlight w:val="none"/>
        </w:rPr>
      </w:pPr>
    </w:p>
    <w:p>
      <w:pPr>
        <w:pStyle w:val="11"/>
        <w:ind w:firstLine="480"/>
        <w:rPr>
          <w:highlight w:val="none"/>
        </w:rPr>
      </w:pPr>
    </w:p>
    <w:p>
      <w:pPr>
        <w:autoSpaceDN w:val="0"/>
        <w:ind w:firstLine="480"/>
        <w:rPr>
          <w:rFonts w:ascii="宋体" w:hAnsi="宋体" w:cs="宋体"/>
          <w:bCs/>
          <w:highlight w:val="none"/>
        </w:rPr>
      </w:pPr>
      <w:r>
        <w:rPr>
          <w:rFonts w:hint="eastAsia" w:ascii="宋体" w:hAnsi="宋体" w:cs="宋体"/>
          <w:bCs/>
          <w:highlight w:val="none"/>
        </w:rPr>
        <w:t>1.投标文件总目录（需投标人自行编制）</w:t>
      </w:r>
    </w:p>
    <w:p>
      <w:pPr>
        <w:ind w:firstLine="480"/>
        <w:rPr>
          <w:rFonts w:ascii="宋体" w:hAnsi="宋体" w:cs="宋体"/>
          <w:bCs/>
          <w:highlight w:val="none"/>
        </w:rPr>
      </w:pPr>
      <w:r>
        <w:rPr>
          <w:rFonts w:hint="eastAsia" w:ascii="宋体" w:hAnsi="宋体" w:cs="宋体"/>
          <w:bCs/>
          <w:highlight w:val="none"/>
        </w:rPr>
        <w:t>2.评分因素及评标标准页码检索（需投标人按招标文件“评分因素及评标标准”中除涉及价格的评分项外的每个评分项逐项列明页码）</w:t>
      </w: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2"/>
        <w:spacing w:line="360" w:lineRule="auto"/>
        <w:rPr>
          <w:rFonts w:ascii="宋体" w:hAnsi="宋体" w:eastAsia="宋体" w:cs="宋体"/>
          <w:bCs/>
          <w:color w:val="auto"/>
          <w:highlight w:val="none"/>
        </w:rPr>
      </w:pPr>
    </w:p>
    <w:p>
      <w:pPr>
        <w:pStyle w:val="3"/>
        <w:ind w:firstLine="480"/>
        <w:rPr>
          <w:rFonts w:ascii="宋体" w:hAnsi="宋体" w:cs="宋体"/>
          <w:highlight w:val="none"/>
        </w:rPr>
      </w:pPr>
    </w:p>
    <w:p>
      <w:pPr>
        <w:autoSpaceDN w:val="0"/>
        <w:ind w:firstLine="480"/>
        <w:rPr>
          <w:rFonts w:ascii="宋体" w:hAnsi="宋体" w:cs="宋体"/>
          <w:bCs/>
          <w:highlight w:val="none"/>
        </w:rPr>
      </w:pPr>
      <w:r>
        <w:rPr>
          <w:rFonts w:hint="eastAsia" w:ascii="宋体" w:hAnsi="宋体" w:cs="宋体"/>
          <w:bCs/>
          <w:highlight w:val="none"/>
        </w:rPr>
        <w:br w:type="page"/>
      </w:r>
      <w:bookmarkStart w:id="33" w:name="_Toc23468"/>
      <w:r>
        <w:rPr>
          <w:rFonts w:hint="eastAsia" w:ascii="宋体" w:hAnsi="宋体" w:cs="宋体"/>
          <w:bCs/>
          <w:highlight w:val="none"/>
        </w:rPr>
        <w:t>附件1</w:t>
      </w:r>
      <w:bookmarkEnd w:id="33"/>
    </w:p>
    <w:p>
      <w:pPr>
        <w:autoSpaceDN w:val="0"/>
        <w:ind w:firstLine="0" w:firstLineChars="0"/>
        <w:jc w:val="center"/>
        <w:rPr>
          <w:rFonts w:ascii="宋体" w:hAnsi="宋体" w:cs="宋体"/>
          <w:b/>
          <w:sz w:val="28"/>
          <w:szCs w:val="28"/>
          <w:highlight w:val="none"/>
        </w:rPr>
      </w:pPr>
      <w:r>
        <w:rPr>
          <w:rFonts w:hint="eastAsia" w:ascii="宋体" w:hAnsi="宋体" w:cs="宋体"/>
          <w:b/>
          <w:sz w:val="28"/>
          <w:szCs w:val="28"/>
          <w:highlight w:val="none"/>
        </w:rPr>
        <w:t>投标书</w:t>
      </w:r>
    </w:p>
    <w:p>
      <w:pPr>
        <w:ind w:firstLine="480"/>
        <w:rPr>
          <w:rFonts w:ascii="宋体" w:hAnsi="宋体" w:cs="宋体"/>
          <w:bCs/>
          <w:highlight w:val="none"/>
        </w:rPr>
      </w:pPr>
      <w:r>
        <w:rPr>
          <w:rFonts w:hint="eastAsia" w:ascii="宋体" w:hAnsi="宋体" w:cs="宋体"/>
          <w:bCs/>
          <w:highlight w:val="none"/>
        </w:rPr>
        <w:t>致：天津科技大学/公允（天津）招标代理有限公司</w:t>
      </w:r>
    </w:p>
    <w:p>
      <w:pPr>
        <w:ind w:firstLine="480"/>
        <w:rPr>
          <w:rFonts w:ascii="宋体" w:hAnsi="宋体" w:cs="宋体"/>
          <w:bCs/>
          <w:highlight w:val="none"/>
        </w:rPr>
      </w:pPr>
      <w:r>
        <w:rPr>
          <w:rFonts w:hint="eastAsia" w:ascii="宋体" w:hAnsi="宋体" w:cs="宋体"/>
          <w:bCs/>
          <w:highlight w:val="none"/>
        </w:rPr>
        <w:t>根据贵方为天津市</w:t>
      </w:r>
      <w:r>
        <w:rPr>
          <w:rFonts w:hint="eastAsia" w:ascii="宋体" w:hAnsi="宋体" w:cs="宋体"/>
          <w:bCs/>
          <w:highlight w:val="none"/>
          <w:u w:val="single"/>
        </w:rPr>
        <w:t xml:space="preserve">                  </w:t>
      </w:r>
      <w:r>
        <w:rPr>
          <w:rFonts w:hint="eastAsia" w:ascii="宋体" w:hAnsi="宋体" w:cs="宋体"/>
          <w:bCs/>
          <w:highlight w:val="none"/>
        </w:rPr>
        <w:t>项目（项目编号：</w:t>
      </w:r>
      <w:r>
        <w:rPr>
          <w:rFonts w:hint="eastAsia" w:ascii="宋体" w:hAnsi="宋体" w:cs="宋体"/>
          <w:bCs/>
          <w:highlight w:val="none"/>
          <w:u w:val="single"/>
        </w:rPr>
        <w:t xml:space="preserve">             </w:t>
      </w:r>
      <w:r>
        <w:rPr>
          <w:rFonts w:hint="eastAsia" w:ascii="宋体" w:hAnsi="宋体" w:cs="宋体"/>
          <w:bCs/>
          <w:highlight w:val="none"/>
        </w:rPr>
        <w:t>）的投标邀请，投标人代表</w:t>
      </w:r>
      <w:r>
        <w:rPr>
          <w:rFonts w:hint="eastAsia" w:ascii="宋体" w:hAnsi="宋体" w:cs="宋体"/>
          <w:bCs/>
          <w:highlight w:val="none"/>
          <w:u w:val="single"/>
        </w:rPr>
        <w:t xml:space="preserve">                           </w:t>
      </w:r>
      <w:r>
        <w:rPr>
          <w:rFonts w:hint="eastAsia" w:ascii="宋体" w:hAnsi="宋体" w:cs="宋体"/>
          <w:bCs/>
          <w:highlight w:val="none"/>
        </w:rPr>
        <w:t>（姓名</w:t>
      </w:r>
      <w:r>
        <w:rPr>
          <w:rFonts w:hint="eastAsia" w:ascii="宋体" w:hAnsi="宋体" w:cs="宋体"/>
          <w:bCs/>
          <w:highlight w:val="none"/>
          <w:lang w:val="en-GB"/>
        </w:rPr>
        <w:t>/</w:t>
      </w:r>
      <w:r>
        <w:rPr>
          <w:rFonts w:hint="eastAsia" w:ascii="宋体" w:hAnsi="宋体" w:cs="宋体"/>
          <w:bCs/>
          <w:highlight w:val="none"/>
        </w:rPr>
        <w:t>职务）经正式授权并代表我公司</w:t>
      </w:r>
      <w:r>
        <w:rPr>
          <w:rFonts w:hint="eastAsia" w:ascii="宋体" w:hAnsi="宋体" w:cs="宋体"/>
          <w:bCs/>
          <w:highlight w:val="none"/>
          <w:u w:val="single"/>
        </w:rPr>
        <w:t xml:space="preserve">          </w:t>
      </w:r>
      <w:r>
        <w:rPr>
          <w:rFonts w:hint="eastAsia" w:ascii="宋体" w:hAnsi="宋体" w:cs="宋体"/>
          <w:bCs/>
          <w:highlight w:val="none"/>
        </w:rPr>
        <w:t>（投标单位名称、地址）提交下述文件正本</w:t>
      </w:r>
      <w:r>
        <w:rPr>
          <w:rFonts w:hint="eastAsia" w:ascii="宋体" w:hAnsi="宋体" w:cs="宋体"/>
          <w:bCs/>
          <w:highlight w:val="none"/>
          <w:u w:val="single"/>
        </w:rPr>
        <w:t xml:space="preserve">    </w:t>
      </w:r>
      <w:r>
        <w:rPr>
          <w:rFonts w:hint="eastAsia" w:ascii="宋体" w:hAnsi="宋体" w:cs="宋体"/>
          <w:bCs/>
          <w:highlight w:val="none"/>
        </w:rPr>
        <w:t>份、副本</w:t>
      </w:r>
      <w:r>
        <w:rPr>
          <w:rFonts w:hint="eastAsia" w:ascii="宋体" w:hAnsi="宋体" w:cs="宋体"/>
          <w:bCs/>
          <w:highlight w:val="none"/>
          <w:u w:val="single"/>
        </w:rPr>
        <w:t xml:space="preserve">    </w:t>
      </w:r>
      <w:r>
        <w:rPr>
          <w:rFonts w:hint="eastAsia" w:ascii="宋体" w:hAnsi="宋体" w:cs="宋体"/>
          <w:bCs/>
          <w:highlight w:val="none"/>
        </w:rPr>
        <w:t>份、投标文件电子版光盘</w:t>
      </w:r>
      <w:r>
        <w:rPr>
          <w:rFonts w:hint="eastAsia" w:ascii="宋体" w:hAnsi="宋体" w:cs="宋体"/>
          <w:bCs/>
          <w:highlight w:val="none"/>
          <w:u w:val="single"/>
        </w:rPr>
        <w:t xml:space="preserve">    </w:t>
      </w:r>
      <w:r>
        <w:rPr>
          <w:rFonts w:hint="eastAsia" w:ascii="宋体" w:hAnsi="宋体" w:cs="宋体"/>
          <w:bCs/>
          <w:highlight w:val="none"/>
        </w:rPr>
        <w:t>份。</w:t>
      </w:r>
    </w:p>
    <w:p>
      <w:pPr>
        <w:ind w:firstLine="480"/>
        <w:rPr>
          <w:rFonts w:ascii="宋体" w:hAnsi="宋体" w:cs="宋体"/>
          <w:bCs/>
          <w:highlight w:val="none"/>
        </w:rPr>
      </w:pPr>
      <w:r>
        <w:rPr>
          <w:rFonts w:hint="eastAsia" w:ascii="宋体" w:hAnsi="宋体" w:cs="宋体"/>
          <w:bCs/>
          <w:highlight w:val="none"/>
        </w:rPr>
        <w:t>据此函，签字代表宣布如下：</w:t>
      </w:r>
    </w:p>
    <w:p>
      <w:pPr>
        <w:pStyle w:val="15"/>
        <w:tabs>
          <w:tab w:val="left" w:pos="360"/>
        </w:tabs>
        <w:spacing w:after="0" w:line="360" w:lineRule="auto"/>
        <w:ind w:left="480" w:firstLine="480"/>
        <w:rPr>
          <w:rFonts w:ascii="宋体" w:hAnsi="宋体" w:cs="宋体"/>
          <w:bCs/>
          <w:highlight w:val="none"/>
        </w:rPr>
      </w:pPr>
      <w:r>
        <w:rPr>
          <w:rFonts w:hint="eastAsia" w:ascii="宋体" w:hAnsi="宋体" w:cs="宋体"/>
          <w:bCs/>
          <w:highlight w:val="none"/>
        </w:rPr>
        <w:t xml:space="preserve">1、我方承诺 </w:t>
      </w:r>
      <w:r>
        <w:rPr>
          <w:rFonts w:hint="eastAsia" w:ascii="宋体" w:hAnsi="宋体" w:cs="宋体"/>
          <w:bCs/>
          <w:highlight w:val="none"/>
          <w:u w:val="single"/>
        </w:rPr>
        <w:t xml:space="preserve">  （说明：填写“已经具备”或“不具备”）  </w:t>
      </w:r>
      <w:r>
        <w:rPr>
          <w:rFonts w:hint="eastAsia" w:ascii="宋体" w:hAnsi="宋体" w:cs="宋体"/>
          <w:bCs/>
          <w:highlight w:val="none"/>
        </w:rPr>
        <w:t>招标文件中规定的参加采购活动的投标人应当具备的条件：</w:t>
      </w:r>
    </w:p>
    <w:p>
      <w:pPr>
        <w:pStyle w:val="34"/>
        <w:ind w:firstLine="480"/>
        <w:rPr>
          <w:rFonts w:ascii="宋体" w:hAnsi="宋体" w:cs="宋体"/>
          <w:bCs/>
          <w:highlight w:val="none"/>
        </w:rPr>
      </w:pPr>
      <w:r>
        <w:rPr>
          <w:rFonts w:hint="eastAsia" w:ascii="宋体" w:hAnsi="宋体" w:cs="宋体"/>
          <w:bCs/>
          <w:highlight w:val="none"/>
        </w:rPr>
        <w:t>（1）在中华人民共和国境内注册，具有独立承担民事责任的能力；</w:t>
      </w:r>
    </w:p>
    <w:p>
      <w:pPr>
        <w:tabs>
          <w:tab w:val="left" w:pos="7665"/>
        </w:tabs>
        <w:ind w:firstLine="480"/>
        <w:rPr>
          <w:rFonts w:ascii="宋体" w:hAnsi="宋体" w:cs="宋体"/>
          <w:bCs/>
          <w:highlight w:val="none"/>
        </w:rPr>
      </w:pPr>
      <w:r>
        <w:rPr>
          <w:rFonts w:hint="eastAsia" w:ascii="宋体" w:hAnsi="宋体" w:cs="宋体"/>
          <w:bCs/>
          <w:highlight w:val="none"/>
        </w:rPr>
        <w:t xml:space="preserve">    （2）具有良好的商业信誉和健全的财务会计制度；</w:t>
      </w:r>
    </w:p>
    <w:p>
      <w:pPr>
        <w:tabs>
          <w:tab w:val="left" w:pos="7665"/>
        </w:tabs>
        <w:ind w:firstLine="480"/>
        <w:rPr>
          <w:rFonts w:ascii="宋体" w:hAnsi="宋体" w:cs="宋体"/>
          <w:bCs/>
          <w:highlight w:val="none"/>
        </w:rPr>
      </w:pPr>
      <w:r>
        <w:rPr>
          <w:rFonts w:hint="eastAsia" w:ascii="宋体" w:hAnsi="宋体" w:cs="宋体"/>
          <w:bCs/>
          <w:highlight w:val="none"/>
        </w:rPr>
        <w:t xml:space="preserve">    （3）具有履行合同所必须的设备和专业技术能力；</w:t>
      </w:r>
    </w:p>
    <w:p>
      <w:pPr>
        <w:tabs>
          <w:tab w:val="left" w:pos="7665"/>
        </w:tabs>
        <w:ind w:firstLine="480"/>
        <w:rPr>
          <w:rFonts w:ascii="宋体" w:hAnsi="宋体" w:cs="宋体"/>
          <w:bCs/>
          <w:highlight w:val="none"/>
        </w:rPr>
      </w:pPr>
      <w:r>
        <w:rPr>
          <w:rFonts w:hint="eastAsia" w:ascii="宋体" w:hAnsi="宋体" w:cs="宋体"/>
          <w:bCs/>
          <w:highlight w:val="none"/>
        </w:rPr>
        <w:t xml:space="preserve">    （4）具有依法缴纳税收和社会保障资金的良好记录；</w:t>
      </w:r>
    </w:p>
    <w:p>
      <w:pPr>
        <w:tabs>
          <w:tab w:val="left" w:pos="7665"/>
        </w:tabs>
        <w:ind w:firstLine="480"/>
        <w:rPr>
          <w:rFonts w:ascii="宋体" w:hAnsi="宋体" w:cs="宋体"/>
          <w:bCs/>
          <w:highlight w:val="none"/>
        </w:rPr>
      </w:pPr>
      <w:r>
        <w:rPr>
          <w:rFonts w:hint="eastAsia" w:ascii="宋体" w:hAnsi="宋体" w:cs="宋体"/>
          <w:bCs/>
          <w:highlight w:val="none"/>
        </w:rPr>
        <w:t xml:space="preserve">    （5）参加本次采购活动前三年内，在经营活动中没有重大违法违规记录；</w:t>
      </w:r>
    </w:p>
    <w:p>
      <w:pPr>
        <w:tabs>
          <w:tab w:val="left" w:pos="7665"/>
        </w:tabs>
        <w:ind w:firstLine="480"/>
        <w:rPr>
          <w:rFonts w:ascii="宋体" w:hAnsi="宋体" w:cs="宋体"/>
          <w:bCs/>
          <w:highlight w:val="none"/>
        </w:rPr>
      </w:pPr>
      <w:r>
        <w:rPr>
          <w:rFonts w:hint="eastAsia" w:ascii="宋体" w:hAnsi="宋体" w:cs="宋体"/>
          <w:bCs/>
          <w:highlight w:val="none"/>
        </w:rPr>
        <w:t xml:space="preserve">    （6）法律、行政法规规定的其他条件。</w:t>
      </w:r>
    </w:p>
    <w:p>
      <w:pPr>
        <w:ind w:firstLine="480"/>
        <w:rPr>
          <w:rFonts w:ascii="宋体" w:hAnsi="宋体" w:cs="宋体"/>
          <w:bCs/>
          <w:highlight w:val="none"/>
        </w:rPr>
      </w:pPr>
      <w:r>
        <w:rPr>
          <w:rFonts w:hint="eastAsia" w:ascii="宋体" w:hAnsi="宋体" w:cs="宋体"/>
          <w:bCs/>
          <w:highlight w:val="none"/>
        </w:rPr>
        <w:t>2、所附开标一览表中规定的应提供的服务投标总价为：</w:t>
      </w:r>
    </w:p>
    <w:p>
      <w:pPr>
        <w:ind w:firstLine="480"/>
        <w:rPr>
          <w:rFonts w:ascii="宋体" w:hAnsi="宋体" w:cs="宋体"/>
          <w:bCs/>
          <w:highlight w:val="none"/>
        </w:rPr>
      </w:pPr>
      <w:r>
        <w:rPr>
          <w:rFonts w:hint="eastAsia" w:ascii="宋体" w:hAnsi="宋体" w:cs="宋体"/>
          <w:bCs/>
          <w:highlight w:val="none"/>
        </w:rPr>
        <w:t>￥</w:t>
      </w:r>
      <w:r>
        <w:rPr>
          <w:rFonts w:hint="eastAsia" w:ascii="宋体" w:hAnsi="宋体" w:cs="宋体"/>
          <w:bCs/>
          <w:highlight w:val="none"/>
          <w:u w:val="single"/>
        </w:rPr>
        <w:t xml:space="preserve">      </w:t>
      </w:r>
      <w:r>
        <w:rPr>
          <w:rFonts w:hint="eastAsia" w:ascii="宋体" w:hAnsi="宋体" w:cs="宋体"/>
          <w:bCs/>
          <w:highlight w:val="none"/>
        </w:rPr>
        <w:t>元（人民币），大写</w:t>
      </w:r>
      <w:r>
        <w:rPr>
          <w:rFonts w:hint="eastAsia" w:ascii="宋体" w:hAnsi="宋体" w:cs="宋体"/>
          <w:bCs/>
          <w:highlight w:val="none"/>
          <w:u w:val="single"/>
        </w:rPr>
        <w:t xml:space="preserve">                   </w:t>
      </w:r>
      <w:r>
        <w:rPr>
          <w:rFonts w:hint="eastAsia" w:ascii="宋体" w:hAnsi="宋体" w:cs="宋体"/>
          <w:bCs/>
          <w:highlight w:val="none"/>
        </w:rPr>
        <w:t>。</w:t>
      </w:r>
    </w:p>
    <w:p>
      <w:pPr>
        <w:ind w:firstLine="480"/>
        <w:rPr>
          <w:rFonts w:ascii="宋体" w:hAnsi="宋体" w:cs="宋体"/>
          <w:bCs/>
          <w:highlight w:val="none"/>
        </w:rPr>
      </w:pPr>
      <w:r>
        <w:rPr>
          <w:rFonts w:hint="eastAsia" w:ascii="宋体" w:hAnsi="宋体" w:cs="宋体"/>
          <w:bCs/>
          <w:highlight w:val="none"/>
        </w:rPr>
        <w:t>3、我公司将按招标文件的规定履行合同责任和义务。</w:t>
      </w:r>
    </w:p>
    <w:p>
      <w:pPr>
        <w:ind w:firstLine="480"/>
        <w:rPr>
          <w:rFonts w:ascii="宋体" w:hAnsi="宋体" w:cs="宋体"/>
          <w:bCs/>
          <w:highlight w:val="none"/>
        </w:rPr>
      </w:pPr>
      <w:r>
        <w:rPr>
          <w:rFonts w:hint="eastAsia" w:ascii="宋体" w:hAnsi="宋体" w:cs="宋体"/>
          <w:bCs/>
          <w:highlight w:val="none"/>
        </w:rPr>
        <w:t>4、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ind w:firstLine="480"/>
        <w:rPr>
          <w:rFonts w:ascii="宋体" w:hAnsi="宋体" w:cs="宋体"/>
          <w:bCs/>
          <w:highlight w:val="none"/>
        </w:rPr>
      </w:pPr>
      <w:r>
        <w:rPr>
          <w:rFonts w:hint="eastAsia" w:ascii="宋体" w:hAnsi="宋体" w:cs="宋体"/>
          <w:bCs/>
          <w:highlight w:val="none"/>
        </w:rPr>
        <w:t>5、我公司的投标有效期为开标之日起</w:t>
      </w:r>
      <w:r>
        <w:rPr>
          <w:rFonts w:hint="eastAsia" w:ascii="宋体" w:hAnsi="宋体" w:cs="宋体"/>
          <w:bCs/>
          <w:highlight w:val="none"/>
          <w:u w:val="single"/>
        </w:rPr>
        <w:t xml:space="preserve">        </w:t>
      </w:r>
      <w:r>
        <w:rPr>
          <w:rFonts w:hint="eastAsia" w:ascii="宋体" w:hAnsi="宋体" w:cs="宋体"/>
          <w:bCs/>
          <w:highlight w:val="none"/>
        </w:rPr>
        <w:t>天（日历日）。</w:t>
      </w:r>
    </w:p>
    <w:p>
      <w:pPr>
        <w:ind w:firstLine="480"/>
        <w:rPr>
          <w:rFonts w:ascii="宋体" w:hAnsi="宋体" w:cs="宋体"/>
          <w:bCs/>
          <w:highlight w:val="none"/>
        </w:rPr>
      </w:pPr>
      <w:r>
        <w:rPr>
          <w:rFonts w:hint="eastAsia" w:ascii="宋体" w:hAnsi="宋体" w:cs="宋体"/>
          <w:bCs/>
          <w:highlight w:val="none"/>
        </w:rPr>
        <w:t>6、我公司同意按照采购人要求提供的与投标有关的一切数据或资料，并声明投标文件及所提供的一切资料均真实有效。由于我公司提供资料不实而造成的责任和后果由我公司自行承担。</w:t>
      </w:r>
    </w:p>
    <w:p>
      <w:pPr>
        <w:ind w:firstLine="480"/>
        <w:rPr>
          <w:rFonts w:ascii="宋体" w:hAnsi="宋体" w:cs="宋体"/>
          <w:bCs/>
          <w:highlight w:val="none"/>
        </w:rPr>
      </w:pPr>
      <w:r>
        <w:rPr>
          <w:rFonts w:hint="eastAsia" w:ascii="宋体" w:hAnsi="宋体" w:cs="宋体"/>
          <w:bCs/>
          <w:highlight w:val="none"/>
        </w:rPr>
        <w:t>7、我公司保证所投产品来自合法的供货渠道，若中标，则有义务向采购人提供其需要的有效书面证明材料。如果提供非法渠道的商品，视为欺诈，并承担相关责任。</w:t>
      </w:r>
    </w:p>
    <w:p>
      <w:pPr>
        <w:ind w:firstLine="480"/>
        <w:rPr>
          <w:rFonts w:ascii="宋体" w:hAnsi="宋体" w:cs="宋体"/>
          <w:bCs/>
          <w:highlight w:val="none"/>
        </w:rPr>
      </w:pPr>
      <w:r>
        <w:rPr>
          <w:rFonts w:hint="eastAsia" w:ascii="宋体" w:hAnsi="宋体" w:cs="宋体"/>
          <w:bCs/>
          <w:highlight w:val="none"/>
        </w:rPr>
        <w:t>8、我公司承诺完全符合招标文件规定，并随时接受采购人的检查验证。在整个招标过程中，我公司若有违规行为，我公司完全接受贵公司依照相关法律法规和招标文件的规定给予相关处理。</w:t>
      </w:r>
    </w:p>
    <w:p>
      <w:pPr>
        <w:pStyle w:val="35"/>
        <w:ind w:left="-24" w:leftChars="-10" w:firstLine="499" w:firstLineChars="208"/>
        <w:rPr>
          <w:rFonts w:ascii="宋体" w:hAnsi="宋体" w:cs="宋体"/>
          <w:bCs/>
          <w:highlight w:val="none"/>
        </w:rPr>
      </w:pPr>
      <w:r>
        <w:rPr>
          <w:rFonts w:hint="eastAsia" w:ascii="宋体" w:hAnsi="宋体" w:cs="宋体"/>
          <w:bCs/>
          <w:highlight w:val="none"/>
        </w:rPr>
        <w:t>9、我公司若中标，本承诺将成为合同不可分割的一部分，与合同具有同等的法律效力。</w:t>
      </w:r>
    </w:p>
    <w:p>
      <w:pPr>
        <w:ind w:firstLine="480"/>
        <w:rPr>
          <w:rFonts w:ascii="宋体" w:hAnsi="宋体" w:cs="宋体"/>
          <w:bCs/>
          <w:highlight w:val="none"/>
        </w:rPr>
      </w:pPr>
      <w:r>
        <w:rPr>
          <w:rFonts w:hint="eastAsia" w:ascii="宋体" w:hAnsi="宋体" w:cs="宋体"/>
          <w:bCs/>
          <w:highlight w:val="none"/>
        </w:rPr>
        <w:t>10、如违反上述承诺，我公司投标无效且接受相关部门依法作出的处罚，并承担通过相关媒体予以公布的任何风险和责任。</w:t>
      </w:r>
    </w:p>
    <w:p>
      <w:pPr>
        <w:ind w:firstLine="480"/>
        <w:rPr>
          <w:rFonts w:ascii="宋体" w:hAnsi="宋体" w:cs="宋体"/>
          <w:bCs/>
          <w:highlight w:val="none"/>
        </w:rPr>
      </w:pPr>
      <w:r>
        <w:rPr>
          <w:rFonts w:hint="eastAsia" w:ascii="宋体" w:hAnsi="宋体" w:cs="宋体"/>
          <w:bCs/>
          <w:highlight w:val="none"/>
        </w:rPr>
        <w:t>11、与本投标有关的一切正式往来通讯请寄：</w:t>
      </w:r>
    </w:p>
    <w:p>
      <w:pPr>
        <w:ind w:firstLine="480"/>
        <w:rPr>
          <w:rFonts w:ascii="宋体" w:hAnsi="宋体" w:cs="宋体"/>
          <w:bCs/>
          <w:highlight w:val="none"/>
        </w:rPr>
      </w:pPr>
    </w:p>
    <w:p>
      <w:pPr>
        <w:ind w:firstLine="480"/>
        <w:rPr>
          <w:rFonts w:ascii="宋体" w:hAnsi="宋体" w:cs="宋体"/>
          <w:bCs/>
          <w:highlight w:val="none"/>
        </w:rPr>
      </w:pPr>
      <w:r>
        <w:rPr>
          <w:rFonts w:hint="eastAsia" w:ascii="宋体" w:hAnsi="宋体" w:cs="宋体"/>
          <w:bCs/>
          <w:highlight w:val="none"/>
        </w:rPr>
        <w:t>与本投标有关的一切正式往来通讯请寄：</w:t>
      </w:r>
    </w:p>
    <w:p>
      <w:pPr>
        <w:ind w:left="2" w:right="-817" w:firstLine="480"/>
        <w:rPr>
          <w:rFonts w:ascii="宋体" w:hAnsi="宋体" w:cs="宋体"/>
          <w:bCs/>
          <w:highlight w:val="none"/>
        </w:rPr>
      </w:pPr>
    </w:p>
    <w:p>
      <w:pPr>
        <w:ind w:left="2" w:right="-817" w:firstLine="480"/>
        <w:rPr>
          <w:rFonts w:ascii="宋体" w:hAnsi="宋体" w:cs="宋体"/>
          <w:bCs/>
          <w:highlight w:val="none"/>
        </w:rPr>
      </w:pPr>
    </w:p>
    <w:p>
      <w:pPr>
        <w:ind w:left="2" w:right="-817" w:firstLine="480"/>
        <w:rPr>
          <w:rFonts w:ascii="宋体" w:hAnsi="宋体" w:cs="宋体"/>
          <w:bCs/>
          <w:highlight w:val="none"/>
        </w:rPr>
      </w:pPr>
    </w:p>
    <w:p>
      <w:pPr>
        <w:ind w:left="2" w:right="-817" w:firstLine="480"/>
        <w:rPr>
          <w:rFonts w:ascii="宋体" w:hAnsi="宋体" w:cs="宋体"/>
          <w:bCs/>
          <w:highlight w:val="none"/>
        </w:rPr>
      </w:pPr>
      <w:r>
        <w:rPr>
          <w:rFonts w:hint="eastAsia" w:ascii="宋体" w:hAnsi="宋体" w:cs="宋体"/>
          <w:bCs/>
          <w:highlight w:val="none"/>
        </w:rPr>
        <w:t xml:space="preserve">法定代表人或授权代表（签字或盖章）：                    </w:t>
      </w:r>
    </w:p>
    <w:p>
      <w:pPr>
        <w:ind w:left="2" w:right="-817" w:firstLine="480"/>
        <w:rPr>
          <w:rFonts w:ascii="宋体" w:hAnsi="宋体" w:cs="宋体"/>
          <w:bCs/>
          <w:highlight w:val="none"/>
        </w:rPr>
      </w:pPr>
      <w:r>
        <w:rPr>
          <w:rFonts w:hint="eastAsia" w:ascii="宋体" w:hAnsi="宋体" w:cs="宋体"/>
          <w:bCs/>
          <w:highlight w:val="none"/>
        </w:rPr>
        <w:t xml:space="preserve">投标人名称（盖章）：                     </w:t>
      </w:r>
    </w:p>
    <w:p>
      <w:pPr>
        <w:ind w:left="2" w:right="-817" w:firstLine="480"/>
        <w:rPr>
          <w:rFonts w:ascii="宋体" w:hAnsi="宋体" w:cs="宋体"/>
          <w:bCs/>
          <w:szCs w:val="21"/>
          <w:highlight w:val="none"/>
        </w:rPr>
      </w:pPr>
      <w:r>
        <w:rPr>
          <w:rFonts w:hint="eastAsia" w:ascii="宋体" w:hAnsi="宋体" w:cs="宋体"/>
          <w:bCs/>
          <w:highlight w:val="none"/>
        </w:rPr>
        <w:t>日期：    年    月   日</w:t>
      </w:r>
    </w:p>
    <w:p>
      <w:pPr>
        <w:pStyle w:val="2"/>
        <w:spacing w:line="360" w:lineRule="auto"/>
        <w:rPr>
          <w:rFonts w:ascii="宋体" w:hAnsi="宋体" w:eastAsia="宋体" w:cs="宋体"/>
          <w:bCs/>
          <w:color w:val="auto"/>
          <w:highlight w:val="none"/>
        </w:rPr>
      </w:pPr>
    </w:p>
    <w:p>
      <w:pPr>
        <w:pStyle w:val="20"/>
        <w:spacing w:before="0" w:beforeAutospacing="0" w:after="0" w:afterAutospacing="0"/>
        <w:ind w:firstLine="480"/>
        <w:jc w:val="both"/>
        <w:rPr>
          <w:rFonts w:ascii="宋体" w:hAnsi="宋体" w:cs="宋体"/>
          <w:bCs/>
          <w:highlight w:val="none"/>
        </w:rPr>
      </w:pPr>
      <w:r>
        <w:rPr>
          <w:rFonts w:hint="eastAsia" w:ascii="宋体" w:hAnsi="宋体" w:cs="宋体"/>
          <w:bCs/>
          <w:highlight w:val="none"/>
        </w:rPr>
        <w:br w:type="page"/>
      </w:r>
      <w:bookmarkStart w:id="34" w:name="_Toc10155"/>
      <w:r>
        <w:rPr>
          <w:rFonts w:hint="eastAsia" w:ascii="宋体" w:hAnsi="宋体" w:cs="宋体"/>
          <w:bCs/>
          <w:highlight w:val="none"/>
        </w:rPr>
        <w:t>附件2</w:t>
      </w:r>
      <w:bookmarkEnd w:id="34"/>
      <w:r>
        <w:rPr>
          <w:rFonts w:hint="eastAsia" w:ascii="宋体" w:hAnsi="宋体" w:cs="宋体"/>
          <w:bCs/>
          <w:highlight w:val="none"/>
        </w:rPr>
        <w:t xml:space="preserve">         </w:t>
      </w:r>
    </w:p>
    <w:p>
      <w:pPr>
        <w:autoSpaceDN w:val="0"/>
        <w:ind w:firstLine="0" w:firstLineChars="0"/>
        <w:jc w:val="center"/>
        <w:rPr>
          <w:rFonts w:ascii="宋体" w:hAnsi="宋体" w:cs="宋体"/>
          <w:b/>
          <w:sz w:val="28"/>
          <w:szCs w:val="28"/>
          <w:highlight w:val="none"/>
        </w:rPr>
      </w:pPr>
      <w:r>
        <w:rPr>
          <w:rFonts w:hint="eastAsia" w:ascii="宋体" w:hAnsi="宋体" w:cs="宋体"/>
          <w:b/>
          <w:sz w:val="28"/>
          <w:szCs w:val="28"/>
          <w:highlight w:val="none"/>
        </w:rPr>
        <w:t>开标一览表</w:t>
      </w:r>
    </w:p>
    <w:p>
      <w:pPr>
        <w:pStyle w:val="33"/>
        <w:spacing w:line="360" w:lineRule="auto"/>
        <w:ind w:firstLine="0" w:firstLineChars="0"/>
        <w:rPr>
          <w:rFonts w:ascii="宋体" w:hAnsi="宋体" w:cs="宋体"/>
          <w:bCs/>
          <w:sz w:val="24"/>
          <w:szCs w:val="24"/>
          <w:highlight w:val="none"/>
        </w:rPr>
      </w:pPr>
      <w:r>
        <w:rPr>
          <w:rFonts w:hint="eastAsia" w:ascii="宋体" w:hAnsi="宋体" w:cs="宋体"/>
          <w:bCs/>
          <w:sz w:val="24"/>
          <w:szCs w:val="24"/>
          <w:highlight w:val="none"/>
        </w:rPr>
        <w:t xml:space="preserve">项目名称： </w:t>
      </w:r>
    </w:p>
    <w:p>
      <w:pPr>
        <w:pStyle w:val="33"/>
        <w:spacing w:line="360" w:lineRule="auto"/>
        <w:ind w:firstLine="0" w:firstLineChars="0"/>
        <w:rPr>
          <w:rFonts w:ascii="宋体" w:hAnsi="宋体" w:cs="宋体"/>
          <w:bCs/>
          <w:sz w:val="24"/>
          <w:szCs w:val="24"/>
          <w:highlight w:val="none"/>
        </w:rPr>
      </w:pPr>
      <w:r>
        <w:rPr>
          <w:rFonts w:hint="eastAsia" w:ascii="宋体" w:hAnsi="宋体" w:cs="宋体"/>
          <w:bCs/>
          <w:sz w:val="24"/>
          <w:szCs w:val="24"/>
          <w:highlight w:val="none"/>
        </w:rPr>
        <w:t xml:space="preserve">项目编号：  </w:t>
      </w:r>
    </w:p>
    <w:p>
      <w:pPr>
        <w:pStyle w:val="33"/>
        <w:spacing w:line="360" w:lineRule="auto"/>
        <w:ind w:firstLine="0" w:firstLineChars="0"/>
        <w:rPr>
          <w:rFonts w:ascii="宋体" w:hAnsi="宋体" w:cs="宋体"/>
          <w:bCs/>
          <w:sz w:val="24"/>
          <w:szCs w:val="24"/>
          <w:highlight w:val="none"/>
        </w:rPr>
      </w:pP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683"/>
        <w:gridCol w:w="1426"/>
        <w:gridCol w:w="2048"/>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0" w:type="pct"/>
            <w:vAlign w:val="center"/>
          </w:tcPr>
          <w:p>
            <w:pPr>
              <w:ind w:firstLine="0" w:firstLineChars="0"/>
              <w:jc w:val="center"/>
              <w:rPr>
                <w:rFonts w:ascii="宋体" w:hAnsi="宋体" w:cs="宋体"/>
                <w:highlight w:val="none"/>
              </w:rPr>
            </w:pPr>
            <w:r>
              <w:rPr>
                <w:rFonts w:hint="eastAsia" w:ascii="宋体" w:hAnsi="宋体" w:cs="宋体"/>
                <w:highlight w:val="none"/>
              </w:rPr>
              <w:t>序号</w:t>
            </w:r>
          </w:p>
        </w:tc>
        <w:tc>
          <w:tcPr>
            <w:tcW w:w="845" w:type="pct"/>
            <w:vAlign w:val="center"/>
          </w:tcPr>
          <w:p>
            <w:pPr>
              <w:ind w:firstLine="0" w:firstLineChars="0"/>
              <w:jc w:val="center"/>
              <w:rPr>
                <w:rFonts w:ascii="宋体" w:hAnsi="宋体" w:cs="宋体"/>
                <w:highlight w:val="none"/>
              </w:rPr>
            </w:pPr>
            <w:r>
              <w:rPr>
                <w:rFonts w:hint="eastAsia" w:ascii="宋体" w:hAnsi="宋体" w:cs="宋体"/>
                <w:highlight w:val="none"/>
              </w:rPr>
              <w:t>货物名称</w:t>
            </w:r>
          </w:p>
        </w:tc>
        <w:tc>
          <w:tcPr>
            <w:tcW w:w="716" w:type="pct"/>
            <w:vAlign w:val="center"/>
          </w:tcPr>
          <w:p>
            <w:pPr>
              <w:ind w:firstLine="0" w:firstLineChars="0"/>
              <w:jc w:val="center"/>
              <w:rPr>
                <w:rFonts w:ascii="宋体" w:hAnsi="宋体" w:cs="宋体"/>
                <w:highlight w:val="none"/>
              </w:rPr>
            </w:pPr>
            <w:r>
              <w:rPr>
                <w:rFonts w:hint="eastAsia" w:ascii="宋体" w:hAnsi="宋体" w:cs="宋体"/>
                <w:highlight w:val="none"/>
              </w:rPr>
              <w:t>总价</w:t>
            </w:r>
          </w:p>
        </w:tc>
        <w:tc>
          <w:tcPr>
            <w:tcW w:w="1028" w:type="pct"/>
            <w:vAlign w:val="center"/>
          </w:tcPr>
          <w:p>
            <w:pPr>
              <w:ind w:firstLine="0" w:firstLineChars="0"/>
              <w:jc w:val="center"/>
              <w:rPr>
                <w:rFonts w:ascii="宋体" w:hAnsi="宋体" w:cs="宋体"/>
                <w:highlight w:val="none"/>
              </w:rPr>
            </w:pPr>
            <w:r>
              <w:rPr>
                <w:rFonts w:hint="eastAsia" w:ascii="宋体" w:hAnsi="宋体" w:cs="宋体"/>
                <w:highlight w:val="none"/>
              </w:rPr>
              <w:t>时间要求</w:t>
            </w:r>
          </w:p>
        </w:tc>
        <w:tc>
          <w:tcPr>
            <w:tcW w:w="829" w:type="pct"/>
            <w:vAlign w:val="center"/>
          </w:tcPr>
          <w:p>
            <w:pPr>
              <w:ind w:firstLine="0" w:firstLineChars="0"/>
              <w:jc w:val="center"/>
              <w:rPr>
                <w:rFonts w:ascii="宋体" w:hAnsi="宋体" w:cs="宋体"/>
                <w:highlight w:val="none"/>
              </w:rPr>
            </w:pPr>
            <w:r>
              <w:rPr>
                <w:rFonts w:hint="eastAsia" w:ascii="宋体" w:hAnsi="宋体" w:cs="宋体"/>
                <w:highlight w:val="none"/>
              </w:rPr>
              <w:t>交货地点</w:t>
            </w:r>
          </w:p>
        </w:tc>
        <w:tc>
          <w:tcPr>
            <w:tcW w:w="829" w:type="pct"/>
            <w:vAlign w:val="center"/>
          </w:tcPr>
          <w:p>
            <w:pPr>
              <w:ind w:firstLine="0" w:firstLineChars="0"/>
              <w:jc w:val="center"/>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0" w:type="pct"/>
            <w:vAlign w:val="center"/>
          </w:tcPr>
          <w:p>
            <w:pPr>
              <w:ind w:firstLine="0" w:firstLineChars="0"/>
              <w:jc w:val="center"/>
              <w:rPr>
                <w:rFonts w:ascii="宋体" w:hAnsi="宋体" w:cs="宋体"/>
                <w:highlight w:val="none"/>
              </w:rPr>
            </w:pPr>
            <w:r>
              <w:rPr>
                <w:rFonts w:hint="eastAsia" w:ascii="宋体" w:hAnsi="宋体" w:cs="宋体"/>
                <w:highlight w:val="none"/>
              </w:rPr>
              <w:t>1</w:t>
            </w:r>
          </w:p>
        </w:tc>
        <w:tc>
          <w:tcPr>
            <w:tcW w:w="845" w:type="pct"/>
            <w:vAlign w:val="center"/>
          </w:tcPr>
          <w:p>
            <w:pPr>
              <w:ind w:firstLine="0" w:firstLineChars="0"/>
              <w:jc w:val="center"/>
              <w:rPr>
                <w:rFonts w:ascii="宋体" w:hAnsi="宋体" w:cs="宋体"/>
                <w:highlight w:val="none"/>
              </w:rPr>
            </w:pPr>
          </w:p>
        </w:tc>
        <w:tc>
          <w:tcPr>
            <w:tcW w:w="716" w:type="pct"/>
            <w:vAlign w:val="center"/>
          </w:tcPr>
          <w:p>
            <w:pPr>
              <w:ind w:firstLine="0" w:firstLineChars="0"/>
              <w:jc w:val="center"/>
              <w:rPr>
                <w:rFonts w:ascii="宋体" w:hAnsi="宋体" w:cs="宋体"/>
                <w:highlight w:val="none"/>
              </w:rPr>
            </w:pPr>
          </w:p>
        </w:tc>
        <w:tc>
          <w:tcPr>
            <w:tcW w:w="1028" w:type="pct"/>
            <w:vAlign w:val="center"/>
          </w:tcPr>
          <w:p>
            <w:pPr>
              <w:ind w:firstLine="0" w:firstLineChars="0"/>
              <w:jc w:val="center"/>
              <w:rPr>
                <w:rFonts w:ascii="宋体" w:hAnsi="宋体" w:cs="宋体"/>
                <w:highlight w:val="none"/>
              </w:rPr>
            </w:pPr>
          </w:p>
        </w:tc>
        <w:tc>
          <w:tcPr>
            <w:tcW w:w="829" w:type="pct"/>
            <w:vAlign w:val="center"/>
          </w:tcPr>
          <w:p>
            <w:pPr>
              <w:ind w:firstLine="0" w:firstLineChars="0"/>
              <w:jc w:val="center"/>
              <w:rPr>
                <w:rFonts w:ascii="宋体" w:hAnsi="宋体" w:cs="宋体"/>
                <w:highlight w:val="none"/>
              </w:rPr>
            </w:pPr>
          </w:p>
        </w:tc>
        <w:tc>
          <w:tcPr>
            <w:tcW w:w="829" w:type="pct"/>
            <w:vAlign w:val="center"/>
          </w:tcPr>
          <w:p>
            <w:pPr>
              <w:ind w:firstLine="0" w:firstLineChars="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0" w:type="pct"/>
            <w:vAlign w:val="center"/>
          </w:tcPr>
          <w:p>
            <w:pPr>
              <w:ind w:firstLine="0" w:firstLineChars="0"/>
              <w:jc w:val="center"/>
              <w:rPr>
                <w:rFonts w:ascii="宋体" w:hAnsi="宋体" w:cs="宋体"/>
                <w:highlight w:val="none"/>
              </w:rPr>
            </w:pPr>
            <w:r>
              <w:rPr>
                <w:rFonts w:hint="eastAsia" w:ascii="宋体" w:hAnsi="宋体" w:cs="宋体"/>
                <w:highlight w:val="none"/>
              </w:rPr>
              <w:t>2</w:t>
            </w:r>
          </w:p>
        </w:tc>
        <w:tc>
          <w:tcPr>
            <w:tcW w:w="845" w:type="pct"/>
            <w:vAlign w:val="center"/>
          </w:tcPr>
          <w:p>
            <w:pPr>
              <w:ind w:firstLine="0" w:firstLineChars="0"/>
              <w:jc w:val="center"/>
              <w:rPr>
                <w:rFonts w:ascii="宋体" w:hAnsi="宋体" w:cs="宋体"/>
                <w:highlight w:val="none"/>
              </w:rPr>
            </w:pPr>
          </w:p>
        </w:tc>
        <w:tc>
          <w:tcPr>
            <w:tcW w:w="716" w:type="pct"/>
            <w:vAlign w:val="center"/>
          </w:tcPr>
          <w:p>
            <w:pPr>
              <w:ind w:firstLine="0" w:firstLineChars="0"/>
              <w:jc w:val="center"/>
              <w:rPr>
                <w:rFonts w:ascii="宋体" w:hAnsi="宋体" w:cs="宋体"/>
                <w:highlight w:val="none"/>
              </w:rPr>
            </w:pPr>
          </w:p>
        </w:tc>
        <w:tc>
          <w:tcPr>
            <w:tcW w:w="1028" w:type="pct"/>
            <w:vAlign w:val="center"/>
          </w:tcPr>
          <w:p>
            <w:pPr>
              <w:ind w:firstLine="0" w:firstLineChars="0"/>
              <w:jc w:val="center"/>
              <w:rPr>
                <w:rFonts w:ascii="宋体" w:hAnsi="宋体" w:cs="宋体"/>
                <w:highlight w:val="none"/>
              </w:rPr>
            </w:pPr>
          </w:p>
        </w:tc>
        <w:tc>
          <w:tcPr>
            <w:tcW w:w="829" w:type="pct"/>
            <w:vAlign w:val="center"/>
          </w:tcPr>
          <w:p>
            <w:pPr>
              <w:ind w:firstLine="0" w:firstLineChars="0"/>
              <w:jc w:val="center"/>
              <w:rPr>
                <w:rFonts w:ascii="宋体" w:hAnsi="宋体" w:cs="宋体"/>
                <w:highlight w:val="none"/>
              </w:rPr>
            </w:pPr>
          </w:p>
        </w:tc>
        <w:tc>
          <w:tcPr>
            <w:tcW w:w="829" w:type="pct"/>
            <w:vAlign w:val="center"/>
          </w:tcPr>
          <w:p>
            <w:pPr>
              <w:ind w:firstLine="0" w:firstLineChars="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50" w:type="pct"/>
            <w:tcBorders>
              <w:bottom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合计</w:t>
            </w:r>
          </w:p>
        </w:tc>
        <w:tc>
          <w:tcPr>
            <w:tcW w:w="845" w:type="pct"/>
            <w:tcBorders>
              <w:bottom w:val="single" w:color="auto" w:sz="4" w:space="0"/>
            </w:tcBorders>
            <w:vAlign w:val="center"/>
          </w:tcPr>
          <w:p>
            <w:pPr>
              <w:ind w:firstLine="0" w:firstLineChars="0"/>
              <w:jc w:val="center"/>
              <w:rPr>
                <w:rFonts w:ascii="宋体" w:hAnsi="宋体" w:cs="宋体"/>
                <w:highlight w:val="none"/>
              </w:rPr>
            </w:pPr>
          </w:p>
        </w:tc>
        <w:tc>
          <w:tcPr>
            <w:tcW w:w="716" w:type="pct"/>
            <w:tcBorders>
              <w:bottom w:val="single" w:color="auto" w:sz="4" w:space="0"/>
            </w:tcBorders>
            <w:vAlign w:val="center"/>
          </w:tcPr>
          <w:p>
            <w:pPr>
              <w:ind w:firstLine="0" w:firstLineChars="0"/>
              <w:jc w:val="center"/>
              <w:rPr>
                <w:rFonts w:ascii="宋体" w:hAnsi="宋体" w:cs="宋体"/>
                <w:highlight w:val="none"/>
              </w:rPr>
            </w:pPr>
          </w:p>
        </w:tc>
        <w:tc>
          <w:tcPr>
            <w:tcW w:w="1028" w:type="pct"/>
            <w:tcBorders>
              <w:bottom w:val="single" w:color="auto" w:sz="4" w:space="0"/>
            </w:tcBorders>
            <w:vAlign w:val="center"/>
          </w:tcPr>
          <w:p>
            <w:pPr>
              <w:ind w:firstLine="0" w:firstLineChars="0"/>
              <w:jc w:val="center"/>
              <w:rPr>
                <w:rFonts w:ascii="宋体" w:hAnsi="宋体" w:cs="宋体"/>
                <w:highlight w:val="none"/>
              </w:rPr>
            </w:pPr>
          </w:p>
        </w:tc>
        <w:tc>
          <w:tcPr>
            <w:tcW w:w="829" w:type="pct"/>
            <w:tcBorders>
              <w:bottom w:val="single" w:color="auto" w:sz="4" w:space="0"/>
            </w:tcBorders>
            <w:vAlign w:val="center"/>
          </w:tcPr>
          <w:p>
            <w:pPr>
              <w:ind w:firstLine="0" w:firstLineChars="0"/>
              <w:jc w:val="center"/>
              <w:rPr>
                <w:rFonts w:ascii="宋体" w:hAnsi="宋体" w:cs="宋体"/>
                <w:highlight w:val="none"/>
              </w:rPr>
            </w:pPr>
          </w:p>
        </w:tc>
        <w:tc>
          <w:tcPr>
            <w:tcW w:w="829" w:type="pct"/>
            <w:tcBorders>
              <w:bottom w:val="single" w:color="auto" w:sz="4" w:space="0"/>
            </w:tcBorders>
            <w:vAlign w:val="center"/>
          </w:tcPr>
          <w:p>
            <w:pPr>
              <w:ind w:firstLine="0" w:firstLineChars="0"/>
              <w:jc w:val="center"/>
              <w:rPr>
                <w:rFonts w:ascii="宋体" w:hAnsi="宋体" w:cs="宋体"/>
                <w:highlight w:val="none"/>
              </w:rPr>
            </w:pPr>
          </w:p>
        </w:tc>
      </w:tr>
    </w:tbl>
    <w:p>
      <w:pPr>
        <w:ind w:left="2" w:right="-817" w:firstLine="480"/>
        <w:rPr>
          <w:rFonts w:ascii="宋体" w:hAnsi="宋体" w:cs="宋体"/>
          <w:bCs/>
          <w:highlight w:val="none"/>
        </w:rPr>
      </w:pPr>
    </w:p>
    <w:p>
      <w:pPr>
        <w:ind w:left="2" w:right="-817" w:firstLine="480"/>
        <w:rPr>
          <w:rFonts w:ascii="宋体" w:hAnsi="宋体" w:cs="宋体"/>
          <w:bCs/>
          <w:highlight w:val="none"/>
        </w:rPr>
      </w:pPr>
    </w:p>
    <w:p>
      <w:pPr>
        <w:ind w:left="2" w:right="-817" w:firstLine="480"/>
        <w:rPr>
          <w:rFonts w:ascii="宋体" w:hAnsi="宋体" w:cs="宋体"/>
          <w:bCs/>
          <w:highlight w:val="none"/>
        </w:rPr>
      </w:pPr>
      <w:r>
        <w:rPr>
          <w:rFonts w:hint="eastAsia" w:ascii="宋体" w:hAnsi="宋体" w:cs="宋体"/>
          <w:bCs/>
          <w:highlight w:val="none"/>
        </w:rPr>
        <w:t xml:space="preserve">法定代表人或授权代表（签字或盖章）：                    </w:t>
      </w:r>
    </w:p>
    <w:p>
      <w:pPr>
        <w:ind w:left="2" w:right="-817" w:firstLine="480"/>
        <w:rPr>
          <w:rFonts w:ascii="宋体" w:hAnsi="宋体" w:cs="宋体"/>
          <w:bCs/>
          <w:highlight w:val="none"/>
        </w:rPr>
      </w:pPr>
      <w:r>
        <w:rPr>
          <w:rFonts w:hint="eastAsia" w:ascii="宋体" w:hAnsi="宋体" w:cs="宋体"/>
          <w:bCs/>
          <w:highlight w:val="none"/>
        </w:rPr>
        <w:t xml:space="preserve">投标人名称（盖章）：                     </w:t>
      </w:r>
    </w:p>
    <w:p>
      <w:pPr>
        <w:ind w:left="2" w:right="-817" w:firstLine="480"/>
        <w:rPr>
          <w:rFonts w:ascii="宋体" w:hAnsi="宋体" w:cs="宋体"/>
          <w:bCs/>
          <w:szCs w:val="21"/>
          <w:highlight w:val="none"/>
        </w:rPr>
      </w:pPr>
      <w:r>
        <w:rPr>
          <w:rFonts w:hint="eastAsia" w:ascii="宋体" w:hAnsi="宋体" w:cs="宋体"/>
          <w:bCs/>
          <w:highlight w:val="none"/>
        </w:rPr>
        <w:t>日期：    年    月   日</w:t>
      </w:r>
    </w:p>
    <w:p>
      <w:pPr>
        <w:pStyle w:val="2"/>
        <w:spacing w:line="360" w:lineRule="auto"/>
        <w:rPr>
          <w:rFonts w:ascii="宋体" w:hAnsi="宋体" w:eastAsia="宋体" w:cs="宋体"/>
          <w:bCs/>
          <w:color w:val="auto"/>
          <w:szCs w:val="21"/>
          <w:highlight w:val="none"/>
        </w:rPr>
      </w:pPr>
    </w:p>
    <w:p>
      <w:pPr>
        <w:pStyle w:val="2"/>
        <w:spacing w:line="360" w:lineRule="auto"/>
        <w:rPr>
          <w:rFonts w:ascii="宋体" w:hAnsi="宋体" w:eastAsia="宋体" w:cs="宋体"/>
          <w:bCs/>
          <w:color w:val="auto"/>
          <w:szCs w:val="21"/>
          <w:highlight w:val="none"/>
        </w:rPr>
      </w:pPr>
    </w:p>
    <w:p>
      <w:pPr>
        <w:pStyle w:val="2"/>
        <w:spacing w:line="360" w:lineRule="auto"/>
        <w:rPr>
          <w:rFonts w:ascii="宋体" w:hAnsi="宋体" w:eastAsia="宋体" w:cs="宋体"/>
          <w:bCs/>
          <w:color w:val="auto"/>
          <w:szCs w:val="21"/>
          <w:highlight w:val="none"/>
        </w:rPr>
      </w:pPr>
    </w:p>
    <w:p>
      <w:pPr>
        <w:pStyle w:val="2"/>
        <w:spacing w:line="360" w:lineRule="auto"/>
        <w:rPr>
          <w:rFonts w:ascii="宋体" w:hAnsi="宋体" w:eastAsia="宋体" w:cs="宋体"/>
          <w:bCs/>
          <w:color w:val="auto"/>
          <w:szCs w:val="21"/>
          <w:highlight w:val="none"/>
        </w:rPr>
      </w:pPr>
    </w:p>
    <w:p>
      <w:pPr>
        <w:pStyle w:val="2"/>
        <w:spacing w:line="360" w:lineRule="auto"/>
        <w:rPr>
          <w:rFonts w:ascii="宋体" w:hAnsi="宋体" w:eastAsia="宋体" w:cs="宋体"/>
          <w:bCs/>
          <w:color w:val="auto"/>
          <w:szCs w:val="21"/>
          <w:highlight w:val="none"/>
        </w:rPr>
      </w:pPr>
    </w:p>
    <w:p>
      <w:pPr>
        <w:pStyle w:val="2"/>
        <w:spacing w:line="360" w:lineRule="auto"/>
        <w:rPr>
          <w:rFonts w:ascii="宋体" w:hAnsi="宋体" w:eastAsia="宋体" w:cs="宋体"/>
          <w:bCs/>
          <w:color w:val="auto"/>
          <w:szCs w:val="21"/>
          <w:highlight w:val="none"/>
        </w:rPr>
      </w:pPr>
    </w:p>
    <w:p>
      <w:pPr>
        <w:ind w:firstLine="480"/>
        <w:rPr>
          <w:rFonts w:ascii="宋体" w:hAnsi="宋体" w:cs="宋体"/>
          <w:bCs/>
          <w:highlight w:val="none"/>
        </w:rPr>
      </w:pPr>
      <w:r>
        <w:rPr>
          <w:rFonts w:hint="eastAsia" w:ascii="宋体" w:hAnsi="宋体" w:cs="宋体"/>
          <w:bCs/>
          <w:highlight w:val="none"/>
        </w:rPr>
        <w:br w:type="page"/>
      </w:r>
      <w:bookmarkStart w:id="35" w:name="_Toc28278"/>
      <w:r>
        <w:rPr>
          <w:rFonts w:hint="eastAsia" w:ascii="宋体" w:hAnsi="宋体" w:cs="宋体"/>
          <w:bCs/>
          <w:highlight w:val="none"/>
        </w:rPr>
        <w:t>附件3</w:t>
      </w:r>
      <w:bookmarkEnd w:id="35"/>
      <w:r>
        <w:rPr>
          <w:rFonts w:hint="eastAsia" w:ascii="宋体" w:hAnsi="宋体" w:cs="宋体"/>
          <w:bCs/>
          <w:highlight w:val="none"/>
        </w:rPr>
        <w:t xml:space="preserve">                            </w:t>
      </w:r>
    </w:p>
    <w:p>
      <w:pPr>
        <w:ind w:firstLine="0" w:firstLineChars="0"/>
        <w:jc w:val="center"/>
        <w:rPr>
          <w:rFonts w:ascii="宋体" w:hAnsi="宋体" w:cs="宋体"/>
          <w:b/>
          <w:sz w:val="28"/>
          <w:szCs w:val="28"/>
          <w:highlight w:val="none"/>
        </w:rPr>
      </w:pPr>
      <w:r>
        <w:rPr>
          <w:rFonts w:hint="eastAsia" w:ascii="宋体" w:hAnsi="宋体" w:cs="宋体"/>
          <w:b/>
          <w:sz w:val="28"/>
          <w:szCs w:val="28"/>
          <w:highlight w:val="none"/>
        </w:rPr>
        <w:t>开标分项一览表</w:t>
      </w:r>
    </w:p>
    <w:p>
      <w:pPr>
        <w:ind w:firstLine="228" w:firstLineChars="95"/>
        <w:rPr>
          <w:rFonts w:ascii="宋体" w:hAnsi="宋体" w:cs="宋体"/>
          <w:bCs/>
          <w:highlight w:val="none"/>
        </w:rPr>
      </w:pPr>
      <w:r>
        <w:rPr>
          <w:rFonts w:hint="eastAsia" w:ascii="宋体" w:hAnsi="宋体" w:cs="宋体"/>
          <w:bCs/>
          <w:highlight w:val="none"/>
        </w:rPr>
        <w:t xml:space="preserve">项目名称： </w:t>
      </w:r>
    </w:p>
    <w:p>
      <w:pPr>
        <w:ind w:firstLine="228" w:firstLineChars="95"/>
        <w:rPr>
          <w:rFonts w:ascii="宋体" w:hAnsi="宋体" w:cs="宋体"/>
          <w:bCs/>
          <w:szCs w:val="21"/>
          <w:highlight w:val="none"/>
        </w:rPr>
      </w:pPr>
      <w:r>
        <w:rPr>
          <w:rFonts w:hint="eastAsia" w:ascii="宋体" w:hAnsi="宋体" w:cs="宋体"/>
          <w:bCs/>
          <w:highlight w:val="none"/>
        </w:rPr>
        <w:t>项目编号：</w:t>
      </w:r>
      <w:r>
        <w:rPr>
          <w:rFonts w:hint="eastAsia" w:ascii="宋体" w:hAnsi="宋体" w:cs="宋体"/>
          <w:bCs/>
          <w:szCs w:val="21"/>
          <w:highlight w:val="none"/>
        </w:rPr>
        <w:t xml:space="preserve">       </w:t>
      </w:r>
    </w:p>
    <w:tbl>
      <w:tblPr>
        <w:tblStyle w:val="23"/>
        <w:tblW w:w="9926" w:type="dxa"/>
        <w:jc w:val="center"/>
        <w:tblLayout w:type="autofit"/>
        <w:tblCellMar>
          <w:top w:w="0" w:type="dxa"/>
          <w:left w:w="108" w:type="dxa"/>
          <w:bottom w:w="0" w:type="dxa"/>
          <w:right w:w="108" w:type="dxa"/>
        </w:tblCellMar>
      </w:tblPr>
      <w:tblGrid>
        <w:gridCol w:w="727"/>
        <w:gridCol w:w="1226"/>
        <w:gridCol w:w="783"/>
        <w:gridCol w:w="1254"/>
        <w:gridCol w:w="1052"/>
        <w:gridCol w:w="782"/>
        <w:gridCol w:w="819"/>
        <w:gridCol w:w="782"/>
        <w:gridCol w:w="824"/>
        <w:gridCol w:w="810"/>
        <w:gridCol w:w="867"/>
      </w:tblGrid>
      <w:tr>
        <w:tblPrEx>
          <w:tblCellMar>
            <w:top w:w="0" w:type="dxa"/>
            <w:left w:w="108" w:type="dxa"/>
            <w:bottom w:w="0" w:type="dxa"/>
            <w:right w:w="108" w:type="dxa"/>
          </w:tblCellMar>
        </w:tblPrEx>
        <w:trPr>
          <w:trHeight w:val="555" w:hRule="atLeast"/>
          <w:jc w:val="center"/>
        </w:trPr>
        <w:tc>
          <w:tcPr>
            <w:tcW w:w="727" w:type="dxa"/>
            <w:tcBorders>
              <w:top w:val="single" w:color="auto" w:sz="8" w:space="0"/>
              <w:left w:val="single" w:color="auto" w:sz="8" w:space="0"/>
              <w:bottom w:val="single" w:color="auto" w:sz="4" w:space="0"/>
              <w:right w:val="single" w:color="auto" w:sz="4" w:space="0"/>
            </w:tcBorders>
            <w:noWrap/>
            <w:vAlign w:val="center"/>
          </w:tcPr>
          <w:p>
            <w:pPr>
              <w:ind w:firstLine="0" w:firstLineChars="0"/>
              <w:jc w:val="center"/>
              <w:rPr>
                <w:rFonts w:ascii="宋体" w:hAnsi="宋体" w:cs="宋体"/>
                <w:highlight w:val="none"/>
              </w:rPr>
            </w:pPr>
            <w:r>
              <w:rPr>
                <w:rFonts w:hint="eastAsia" w:ascii="宋体" w:hAnsi="宋体" w:cs="宋体"/>
                <w:highlight w:val="none"/>
              </w:rPr>
              <w:t>项号</w:t>
            </w:r>
          </w:p>
        </w:tc>
        <w:tc>
          <w:tcPr>
            <w:tcW w:w="1226"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货物名称</w:t>
            </w:r>
          </w:p>
        </w:tc>
        <w:tc>
          <w:tcPr>
            <w:tcW w:w="783"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品牌</w:t>
            </w:r>
          </w:p>
        </w:tc>
        <w:tc>
          <w:tcPr>
            <w:tcW w:w="1254"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规格型号</w:t>
            </w:r>
          </w:p>
        </w:tc>
        <w:tc>
          <w:tcPr>
            <w:tcW w:w="1052"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制造商</w:t>
            </w:r>
          </w:p>
        </w:tc>
        <w:tc>
          <w:tcPr>
            <w:tcW w:w="782"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产地</w:t>
            </w:r>
          </w:p>
        </w:tc>
        <w:tc>
          <w:tcPr>
            <w:tcW w:w="819"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商品属性</w:t>
            </w:r>
          </w:p>
        </w:tc>
        <w:tc>
          <w:tcPr>
            <w:tcW w:w="782"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单价</w:t>
            </w:r>
          </w:p>
        </w:tc>
        <w:tc>
          <w:tcPr>
            <w:tcW w:w="824"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采购数量</w:t>
            </w:r>
          </w:p>
        </w:tc>
        <w:tc>
          <w:tcPr>
            <w:tcW w:w="810" w:type="dxa"/>
            <w:tcBorders>
              <w:top w:val="single" w:color="auto" w:sz="8" w:space="0"/>
              <w:left w:val="nil"/>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计量单位</w:t>
            </w:r>
          </w:p>
        </w:tc>
        <w:tc>
          <w:tcPr>
            <w:tcW w:w="867" w:type="dxa"/>
            <w:tcBorders>
              <w:top w:val="single" w:color="auto" w:sz="8" w:space="0"/>
              <w:left w:val="nil"/>
              <w:bottom w:val="single" w:color="auto" w:sz="4" w:space="0"/>
              <w:right w:val="single" w:color="auto" w:sz="8" w:space="0"/>
            </w:tcBorders>
            <w:vAlign w:val="center"/>
          </w:tcPr>
          <w:p>
            <w:pPr>
              <w:ind w:firstLine="0" w:firstLineChars="0"/>
              <w:jc w:val="center"/>
              <w:rPr>
                <w:rFonts w:ascii="宋体" w:hAnsi="宋体" w:cs="宋体"/>
                <w:highlight w:val="none"/>
              </w:rPr>
            </w:pPr>
            <w:r>
              <w:rPr>
                <w:rFonts w:hint="eastAsia" w:ascii="宋体" w:hAnsi="宋体" w:cs="宋体"/>
                <w:highlight w:val="none"/>
              </w:rPr>
              <w:t>总价</w:t>
            </w:r>
          </w:p>
        </w:tc>
      </w:tr>
      <w:tr>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26"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3"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54"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052"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2"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9" w:type="dxa"/>
            <w:tcBorders>
              <w:top w:val="nil"/>
              <w:left w:val="nil"/>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782" w:type="dxa"/>
            <w:tcBorders>
              <w:top w:val="nil"/>
              <w:left w:val="nil"/>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824"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0" w:type="dxa"/>
            <w:tcBorders>
              <w:top w:val="nil"/>
              <w:left w:val="nil"/>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67" w:type="dxa"/>
            <w:tcBorders>
              <w:top w:val="nil"/>
              <w:left w:val="nil"/>
              <w:bottom w:val="single" w:color="auto" w:sz="4" w:space="0"/>
              <w:right w:val="single" w:color="auto" w:sz="8" w:space="0"/>
            </w:tcBorders>
            <w:noWrap/>
            <w:vAlign w:val="center"/>
          </w:tcPr>
          <w:p>
            <w:pPr>
              <w:ind w:firstLine="0" w:firstLineChars="0"/>
              <w:jc w:val="center"/>
              <w:rPr>
                <w:rFonts w:ascii="宋体" w:hAnsi="宋体" w:cs="宋体"/>
                <w:highlight w:val="none"/>
              </w:rPr>
            </w:pPr>
          </w:p>
        </w:tc>
      </w:tr>
      <w:tr>
        <w:tblPrEx>
          <w:tblCellMar>
            <w:top w:w="0" w:type="dxa"/>
            <w:left w:w="108" w:type="dxa"/>
            <w:bottom w:w="0" w:type="dxa"/>
            <w:right w:w="108" w:type="dxa"/>
          </w:tblCellMar>
        </w:tblPrEx>
        <w:trPr>
          <w:trHeight w:val="465"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3"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0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82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6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r>
      <w:tr>
        <w:tblPrEx>
          <w:tblCellMar>
            <w:top w:w="0" w:type="dxa"/>
            <w:left w:w="108" w:type="dxa"/>
            <w:bottom w:w="0" w:type="dxa"/>
            <w:right w:w="108" w:type="dxa"/>
          </w:tblCellMar>
        </w:tblPrEx>
        <w:trPr>
          <w:trHeight w:val="465"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3"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0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82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6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r>
      <w:tr>
        <w:tblPrEx>
          <w:tblCellMar>
            <w:top w:w="0" w:type="dxa"/>
            <w:left w:w="108" w:type="dxa"/>
            <w:bottom w:w="0" w:type="dxa"/>
            <w:right w:w="108" w:type="dxa"/>
          </w:tblCellMar>
        </w:tblPrEx>
        <w:trPr>
          <w:trHeight w:val="465"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3"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10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78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p>
        </w:tc>
        <w:tc>
          <w:tcPr>
            <w:tcW w:w="824"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c>
          <w:tcPr>
            <w:tcW w:w="86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highlight w:val="none"/>
              </w:rPr>
            </w:pPr>
          </w:p>
        </w:tc>
      </w:tr>
    </w:tbl>
    <w:p>
      <w:pPr>
        <w:ind w:left="2" w:right="-817" w:firstLine="480"/>
        <w:rPr>
          <w:rFonts w:ascii="宋体" w:hAnsi="宋体" w:cs="宋体"/>
          <w:bCs/>
          <w:highlight w:val="none"/>
        </w:rPr>
      </w:pPr>
    </w:p>
    <w:p>
      <w:pPr>
        <w:ind w:left="2" w:right="-817" w:firstLine="3840" w:firstLineChars="1600"/>
        <w:rPr>
          <w:rFonts w:ascii="宋体" w:hAnsi="宋体" w:cs="宋体"/>
          <w:bCs/>
          <w:highlight w:val="none"/>
        </w:rPr>
      </w:pPr>
      <w:r>
        <w:rPr>
          <w:rFonts w:hint="eastAsia" w:ascii="宋体" w:hAnsi="宋体" w:cs="宋体"/>
          <w:bCs/>
          <w:highlight w:val="none"/>
        </w:rPr>
        <w:t xml:space="preserve">法定代表人或授权代表（签字或盖章）：                    </w:t>
      </w:r>
    </w:p>
    <w:p>
      <w:pPr>
        <w:ind w:left="2" w:right="-817" w:firstLine="5760" w:firstLineChars="2400"/>
        <w:rPr>
          <w:rFonts w:ascii="宋体" w:hAnsi="宋体" w:cs="宋体"/>
          <w:bCs/>
          <w:highlight w:val="none"/>
        </w:rPr>
      </w:pPr>
      <w:r>
        <w:rPr>
          <w:rFonts w:hint="eastAsia" w:ascii="宋体" w:hAnsi="宋体" w:cs="宋体"/>
          <w:bCs/>
          <w:highlight w:val="none"/>
        </w:rPr>
        <w:t xml:space="preserve">投标人名称（盖章）：                     </w:t>
      </w:r>
    </w:p>
    <w:p>
      <w:pPr>
        <w:ind w:left="2" w:right="-817" w:firstLine="5520" w:firstLineChars="2300"/>
        <w:rPr>
          <w:rFonts w:ascii="宋体" w:hAnsi="宋体" w:cs="宋体"/>
          <w:bCs/>
          <w:szCs w:val="21"/>
          <w:highlight w:val="none"/>
        </w:rPr>
      </w:pPr>
      <w:r>
        <w:rPr>
          <w:rFonts w:hint="eastAsia" w:ascii="宋体" w:hAnsi="宋体" w:cs="宋体"/>
          <w:bCs/>
          <w:highlight w:val="none"/>
        </w:rPr>
        <w:t>日期：    年    月   日</w:t>
      </w:r>
    </w:p>
    <w:p>
      <w:pPr>
        <w:ind w:firstLine="480"/>
        <w:rPr>
          <w:rFonts w:ascii="宋体" w:hAnsi="宋体" w:cs="宋体"/>
          <w:bCs/>
          <w:highlight w:val="none"/>
        </w:rPr>
      </w:pPr>
      <w:bookmarkStart w:id="36" w:name="_Toc10739"/>
      <w:r>
        <w:rPr>
          <w:rFonts w:hint="eastAsia" w:ascii="宋体" w:hAnsi="宋体" w:cs="宋体"/>
          <w:bCs/>
          <w:highlight w:val="none"/>
        </w:rPr>
        <w:br w:type="page"/>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附件4</w:t>
      </w:r>
      <w:bookmarkEnd w:id="36"/>
      <w:r>
        <w:rPr>
          <w:rFonts w:hint="eastAsia" w:ascii="宋体" w:hAnsi="宋体" w:eastAsia="宋体" w:cs="宋体"/>
          <w:bCs/>
          <w:color w:val="auto"/>
          <w:highlight w:val="none"/>
        </w:rPr>
        <w:t xml:space="preserve">                           </w:t>
      </w:r>
    </w:p>
    <w:p>
      <w:pPr>
        <w:ind w:firstLine="0" w:firstLineChars="0"/>
        <w:jc w:val="center"/>
        <w:rPr>
          <w:rFonts w:ascii="宋体" w:hAnsi="宋体" w:cs="宋体"/>
          <w:b/>
          <w:sz w:val="28"/>
          <w:szCs w:val="28"/>
          <w:highlight w:val="none"/>
        </w:rPr>
      </w:pPr>
      <w:r>
        <w:rPr>
          <w:rFonts w:hint="eastAsia" w:ascii="宋体" w:hAnsi="宋体" w:cs="宋体"/>
          <w:b/>
          <w:sz w:val="28"/>
          <w:szCs w:val="28"/>
          <w:highlight w:val="none"/>
        </w:rPr>
        <w:t>商务要求点对点应答表</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 xml:space="preserve">项目名称：                    </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 xml:space="preserve">项目编号：  </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 xml:space="preserve">包号：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166"/>
        <w:gridCol w:w="132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77" w:type="dxa"/>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166" w:type="dxa"/>
            <w:vAlign w:val="center"/>
          </w:tcPr>
          <w:p>
            <w:pPr>
              <w:pStyle w:val="2"/>
              <w:spacing w:line="360" w:lineRule="auto"/>
              <w:jc w:val="center"/>
              <w:rPr>
                <w:rFonts w:ascii="宋体" w:hAnsi="宋体" w:eastAsia="宋体" w:cs="宋体"/>
                <w:bCs/>
                <w:color w:val="auto"/>
                <w:highlight w:val="none"/>
              </w:rPr>
            </w:pPr>
            <w:r>
              <w:rPr>
                <w:rFonts w:hint="eastAsia" w:ascii="宋体" w:hAnsi="宋体" w:eastAsia="宋体" w:cs="宋体"/>
                <w:bCs/>
                <w:color w:val="auto"/>
                <w:highlight w:val="none"/>
              </w:rPr>
              <w:t>招标文件商务条款</w:t>
            </w:r>
          </w:p>
          <w:p>
            <w:pPr>
              <w:pStyle w:val="2"/>
              <w:spacing w:line="360" w:lineRule="auto"/>
              <w:jc w:val="center"/>
              <w:rPr>
                <w:rFonts w:ascii="宋体" w:hAnsi="宋体" w:eastAsia="宋体" w:cs="宋体"/>
                <w:bCs/>
                <w:color w:val="auto"/>
                <w:highlight w:val="none"/>
              </w:rPr>
            </w:pPr>
            <w:r>
              <w:rPr>
                <w:rFonts w:hint="eastAsia" w:ascii="宋体" w:hAnsi="宋体" w:eastAsia="宋体" w:cs="宋体"/>
                <w:bCs/>
                <w:color w:val="auto"/>
                <w:highlight w:val="none"/>
              </w:rPr>
              <w:t>（见第三部分商务要求、服务要求等，不含技术要求）</w:t>
            </w:r>
          </w:p>
        </w:tc>
        <w:tc>
          <w:tcPr>
            <w:tcW w:w="1327" w:type="dxa"/>
            <w:vAlign w:val="center"/>
          </w:tcPr>
          <w:p>
            <w:pPr>
              <w:pStyle w:val="2"/>
              <w:spacing w:line="360" w:lineRule="auto"/>
              <w:jc w:val="center"/>
              <w:rPr>
                <w:rFonts w:ascii="宋体" w:hAnsi="宋体" w:eastAsia="宋体" w:cs="宋体"/>
                <w:bCs/>
                <w:color w:val="auto"/>
                <w:highlight w:val="none"/>
              </w:rPr>
            </w:pPr>
            <w:r>
              <w:rPr>
                <w:rFonts w:hint="eastAsia" w:ascii="宋体" w:hAnsi="宋体" w:eastAsia="宋体" w:cs="宋体"/>
                <w:bCs/>
                <w:color w:val="auto"/>
                <w:highlight w:val="none"/>
              </w:rPr>
              <w:t>是否响应</w:t>
            </w:r>
          </w:p>
        </w:tc>
        <w:tc>
          <w:tcPr>
            <w:tcW w:w="1688" w:type="dxa"/>
            <w:vAlign w:val="center"/>
          </w:tcPr>
          <w:p>
            <w:pPr>
              <w:pStyle w:val="2"/>
              <w:spacing w:line="360" w:lineRule="auto"/>
              <w:jc w:val="center"/>
              <w:rPr>
                <w:rFonts w:ascii="宋体" w:hAnsi="宋体" w:eastAsia="宋体" w:cs="宋体"/>
                <w:bCs/>
                <w:color w:val="auto"/>
                <w:highlight w:val="none"/>
              </w:rPr>
            </w:pPr>
            <w:r>
              <w:rPr>
                <w:rFonts w:hint="eastAsia" w:ascii="宋体" w:hAnsi="宋体" w:eastAsia="宋体" w:cs="宋体"/>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77" w:type="dxa"/>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166" w:type="dxa"/>
            <w:vAlign w:val="center"/>
          </w:tcPr>
          <w:p>
            <w:pPr>
              <w:pStyle w:val="2"/>
              <w:spacing w:line="360" w:lineRule="auto"/>
              <w:jc w:val="both"/>
              <w:rPr>
                <w:rFonts w:ascii="宋体" w:hAnsi="宋体" w:eastAsia="宋体" w:cs="宋体"/>
                <w:bCs/>
                <w:color w:val="auto"/>
                <w:sz w:val="21"/>
                <w:szCs w:val="21"/>
                <w:highlight w:val="none"/>
              </w:rPr>
            </w:pPr>
          </w:p>
        </w:tc>
        <w:tc>
          <w:tcPr>
            <w:tcW w:w="1327" w:type="dxa"/>
            <w:vAlign w:val="center"/>
          </w:tcPr>
          <w:p>
            <w:pPr>
              <w:pStyle w:val="2"/>
              <w:spacing w:line="360" w:lineRule="auto"/>
              <w:jc w:val="both"/>
              <w:rPr>
                <w:rFonts w:ascii="宋体" w:hAnsi="宋体" w:eastAsia="宋体" w:cs="宋体"/>
                <w:bCs/>
                <w:color w:val="auto"/>
                <w:sz w:val="21"/>
                <w:szCs w:val="21"/>
                <w:highlight w:val="none"/>
              </w:rPr>
            </w:pPr>
          </w:p>
        </w:tc>
        <w:tc>
          <w:tcPr>
            <w:tcW w:w="1688" w:type="dxa"/>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77" w:type="dxa"/>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166" w:type="dxa"/>
            <w:vAlign w:val="center"/>
          </w:tcPr>
          <w:p>
            <w:pPr>
              <w:pStyle w:val="2"/>
              <w:spacing w:line="360" w:lineRule="auto"/>
              <w:jc w:val="both"/>
              <w:rPr>
                <w:rFonts w:ascii="宋体" w:hAnsi="宋体" w:eastAsia="宋体" w:cs="宋体"/>
                <w:bCs/>
                <w:color w:val="auto"/>
                <w:sz w:val="21"/>
                <w:szCs w:val="21"/>
                <w:highlight w:val="none"/>
              </w:rPr>
            </w:pPr>
          </w:p>
        </w:tc>
        <w:tc>
          <w:tcPr>
            <w:tcW w:w="1327" w:type="dxa"/>
            <w:vAlign w:val="center"/>
          </w:tcPr>
          <w:p>
            <w:pPr>
              <w:pStyle w:val="2"/>
              <w:spacing w:line="360" w:lineRule="auto"/>
              <w:jc w:val="both"/>
              <w:rPr>
                <w:rFonts w:ascii="宋体" w:hAnsi="宋体" w:eastAsia="宋体" w:cs="宋体"/>
                <w:bCs/>
                <w:color w:val="auto"/>
                <w:sz w:val="21"/>
                <w:szCs w:val="21"/>
                <w:highlight w:val="none"/>
              </w:rPr>
            </w:pPr>
          </w:p>
        </w:tc>
        <w:tc>
          <w:tcPr>
            <w:tcW w:w="1688" w:type="dxa"/>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77" w:type="dxa"/>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6166" w:type="dxa"/>
            <w:vAlign w:val="center"/>
          </w:tcPr>
          <w:p>
            <w:pPr>
              <w:pStyle w:val="2"/>
              <w:spacing w:line="360" w:lineRule="auto"/>
              <w:jc w:val="both"/>
              <w:rPr>
                <w:rFonts w:ascii="宋体" w:hAnsi="宋体" w:eastAsia="宋体" w:cs="宋体"/>
                <w:bCs/>
                <w:color w:val="auto"/>
                <w:sz w:val="21"/>
                <w:szCs w:val="21"/>
                <w:highlight w:val="none"/>
              </w:rPr>
            </w:pPr>
          </w:p>
        </w:tc>
        <w:tc>
          <w:tcPr>
            <w:tcW w:w="1327" w:type="dxa"/>
            <w:vAlign w:val="center"/>
          </w:tcPr>
          <w:p>
            <w:pPr>
              <w:pStyle w:val="2"/>
              <w:spacing w:line="360" w:lineRule="auto"/>
              <w:jc w:val="both"/>
              <w:rPr>
                <w:rFonts w:ascii="宋体" w:hAnsi="宋体" w:eastAsia="宋体" w:cs="宋体"/>
                <w:bCs/>
                <w:color w:val="auto"/>
                <w:sz w:val="21"/>
                <w:szCs w:val="21"/>
                <w:highlight w:val="none"/>
              </w:rPr>
            </w:pPr>
          </w:p>
        </w:tc>
        <w:tc>
          <w:tcPr>
            <w:tcW w:w="1688" w:type="dxa"/>
            <w:vAlign w:val="center"/>
          </w:tcPr>
          <w:p>
            <w:pPr>
              <w:pStyle w:val="2"/>
              <w:spacing w:line="360" w:lineRule="auto"/>
              <w:jc w:val="both"/>
              <w:rPr>
                <w:rFonts w:ascii="宋体" w:hAnsi="宋体" w:eastAsia="宋体" w:cs="宋体"/>
                <w:bCs/>
                <w:color w:val="auto"/>
                <w:sz w:val="21"/>
                <w:szCs w:val="21"/>
                <w:highlight w:val="none"/>
              </w:rPr>
            </w:pPr>
          </w:p>
        </w:tc>
      </w:tr>
    </w:tbl>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注：1. 不如实填写偏离情况的响应文件将视为虚假材料。</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2.如商务条款要求完全响应，且无偏离的情况下请在表格内“是否响应”栏填写“完全响应，无偏离”字样。</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3.如有偏离，请逐条列出并在偏离说明填写偏离原因。</w:t>
      </w: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ind w:left="2" w:right="-817" w:firstLine="480"/>
        <w:rPr>
          <w:rFonts w:ascii="宋体" w:hAnsi="宋体" w:cs="宋体"/>
          <w:bCs/>
          <w:highlight w:val="none"/>
        </w:rPr>
      </w:pPr>
      <w:r>
        <w:rPr>
          <w:rFonts w:hint="eastAsia" w:ascii="宋体" w:hAnsi="宋体" w:cs="宋体"/>
          <w:bCs/>
          <w:highlight w:val="none"/>
        </w:rPr>
        <w:t xml:space="preserve">法定代表人或授权代表（签字或盖章）：                    </w:t>
      </w:r>
    </w:p>
    <w:p>
      <w:pPr>
        <w:ind w:left="2" w:right="-817" w:firstLine="480"/>
        <w:rPr>
          <w:rFonts w:ascii="宋体" w:hAnsi="宋体" w:cs="宋体"/>
          <w:bCs/>
          <w:highlight w:val="none"/>
        </w:rPr>
      </w:pPr>
      <w:r>
        <w:rPr>
          <w:rFonts w:hint="eastAsia" w:ascii="宋体" w:hAnsi="宋体" w:cs="宋体"/>
          <w:bCs/>
          <w:highlight w:val="none"/>
        </w:rPr>
        <w:t xml:space="preserve">投标人名称（盖章）：                     </w:t>
      </w:r>
    </w:p>
    <w:p>
      <w:pPr>
        <w:ind w:left="2" w:right="-817" w:firstLine="480"/>
        <w:rPr>
          <w:rFonts w:ascii="宋体" w:hAnsi="宋体" w:cs="宋体"/>
          <w:bCs/>
          <w:szCs w:val="21"/>
          <w:highlight w:val="none"/>
        </w:rPr>
      </w:pPr>
      <w:r>
        <w:rPr>
          <w:rFonts w:hint="eastAsia" w:ascii="宋体" w:hAnsi="宋体" w:cs="宋体"/>
          <w:bCs/>
          <w:highlight w:val="none"/>
        </w:rPr>
        <w:t>日期：    年    月   日</w:t>
      </w: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p>
    <w:p>
      <w:pPr>
        <w:pStyle w:val="2"/>
        <w:spacing w:line="360" w:lineRule="auto"/>
        <w:jc w:val="both"/>
        <w:rPr>
          <w:rFonts w:ascii="宋体" w:hAnsi="宋体" w:eastAsia="宋体" w:cs="宋体"/>
          <w:bCs/>
          <w:color w:val="auto"/>
          <w:highlight w:val="none"/>
        </w:rPr>
      </w:pPr>
      <w:bookmarkStart w:id="37" w:name="_Toc22357"/>
      <w:r>
        <w:rPr>
          <w:rFonts w:hint="eastAsia" w:ascii="宋体" w:hAnsi="宋体" w:eastAsia="宋体" w:cs="宋体"/>
          <w:bCs/>
          <w:color w:val="auto"/>
          <w:highlight w:val="none"/>
        </w:rPr>
        <w:t>附件5</w:t>
      </w:r>
      <w:bookmarkEnd w:id="37"/>
      <w:r>
        <w:rPr>
          <w:rFonts w:hint="eastAsia" w:ascii="宋体" w:hAnsi="宋体" w:eastAsia="宋体" w:cs="宋体"/>
          <w:bCs/>
          <w:color w:val="auto"/>
          <w:highlight w:val="none"/>
        </w:rPr>
        <w:t xml:space="preserve">                         </w:t>
      </w:r>
    </w:p>
    <w:p>
      <w:pPr>
        <w:pStyle w:val="2"/>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技术需求点对点应答表</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 xml:space="preserve">项目名称：                    </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 xml:space="preserve">项目编号： </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 xml:space="preserve">包号：                    </w:t>
      </w:r>
    </w:p>
    <w:tbl>
      <w:tblPr>
        <w:tblStyle w:val="23"/>
        <w:tblW w:w="995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586"/>
        <w:gridCol w:w="4350"/>
        <w:gridCol w:w="2745"/>
        <w:gridCol w:w="1068"/>
        <w:gridCol w:w="12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0" w:hRule="atLeast"/>
          <w:tblHeader/>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招标文件中的技术标准</w:t>
            </w:r>
          </w:p>
          <w:p>
            <w:pPr>
              <w:pStyle w:val="2"/>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（见第二部分全部内容和第三部分技术要求）</w:t>
            </w: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投标文件中的技术标准应答</w:t>
            </w: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偏离说明</w:t>
            </w: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相关佐证材料页码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0" w:hRule="atLeast"/>
          <w:jc w:val="center"/>
        </w:trPr>
        <w:tc>
          <w:tcPr>
            <w:tcW w:w="5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4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7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0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c>
          <w:tcPr>
            <w:tcW w:w="120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
              <w:spacing w:line="360" w:lineRule="auto"/>
              <w:jc w:val="both"/>
              <w:rPr>
                <w:rFonts w:ascii="宋体" w:hAnsi="宋体" w:eastAsia="宋体" w:cs="宋体"/>
                <w:bCs/>
                <w:color w:val="auto"/>
                <w:sz w:val="21"/>
                <w:szCs w:val="21"/>
                <w:highlight w:val="none"/>
              </w:rPr>
            </w:pPr>
          </w:p>
        </w:tc>
      </w:tr>
    </w:tbl>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注：</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1.投标人须对应招标文件第二和第三部分内容逐项应答</w:t>
      </w:r>
      <w:r>
        <w:rPr>
          <w:rFonts w:hint="eastAsia" w:ascii="宋体" w:hAnsi="宋体" w:eastAsia="宋体" w:cs="宋体"/>
          <w:b/>
          <w:color w:val="auto"/>
          <w:highlight w:val="none"/>
        </w:rPr>
        <w:t>（★条款佐证必须标明页码）</w:t>
      </w:r>
      <w:r>
        <w:rPr>
          <w:rFonts w:hint="eastAsia" w:ascii="宋体" w:hAnsi="宋体" w:eastAsia="宋体" w:cs="宋体"/>
          <w:bCs/>
          <w:color w:val="auto"/>
          <w:highlight w:val="none"/>
        </w:rPr>
        <w:t>，并必须用具体数字或文字来表述，不能简单复制招标文件要求或仅填写“无偏离”或虚假响应。对虚假响应者，将视为未做实质性响应。</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2.“偏离说明”栏填写：</w:t>
      </w:r>
      <w:r>
        <w:rPr>
          <w:rFonts w:hint="eastAsia" w:ascii="宋体" w:hAnsi="宋体" w:eastAsia="宋体" w:cs="宋体"/>
          <w:bCs/>
          <w:color w:val="auto"/>
          <w:highlight w:val="none"/>
          <w:lang w:val="zh-TW" w:eastAsia="zh-TW"/>
        </w:rPr>
        <w:t>若无</w:t>
      </w:r>
      <w:r>
        <w:rPr>
          <w:rFonts w:hint="eastAsia" w:ascii="宋体" w:hAnsi="宋体" w:eastAsia="宋体" w:cs="宋体"/>
          <w:bCs/>
          <w:color w:val="auto"/>
          <w:highlight w:val="none"/>
        </w:rPr>
        <w:t>“</w:t>
      </w:r>
      <w:r>
        <w:rPr>
          <w:rFonts w:hint="eastAsia" w:ascii="宋体" w:hAnsi="宋体" w:eastAsia="宋体" w:cs="宋体"/>
          <w:bCs/>
          <w:color w:val="auto"/>
          <w:highlight w:val="none"/>
          <w:lang w:val="zh-TW" w:eastAsia="zh-TW"/>
        </w:rPr>
        <w:t>正偏离</w:t>
      </w:r>
      <w:r>
        <w:rPr>
          <w:rFonts w:hint="eastAsia" w:ascii="宋体" w:hAnsi="宋体" w:eastAsia="宋体" w:cs="宋体"/>
          <w:bCs/>
          <w:color w:val="auto"/>
          <w:highlight w:val="none"/>
        </w:rPr>
        <w:t>”</w:t>
      </w:r>
      <w:r>
        <w:rPr>
          <w:rFonts w:hint="eastAsia" w:ascii="宋体" w:hAnsi="宋体" w:eastAsia="宋体" w:cs="宋体"/>
          <w:bCs/>
          <w:color w:val="auto"/>
          <w:highlight w:val="none"/>
          <w:lang w:val="zh-TW" w:eastAsia="zh-TW"/>
        </w:rPr>
        <w:t>或</w:t>
      </w:r>
      <w:r>
        <w:rPr>
          <w:rFonts w:hint="eastAsia" w:ascii="宋体" w:hAnsi="宋体" w:eastAsia="宋体" w:cs="宋体"/>
          <w:bCs/>
          <w:color w:val="auto"/>
          <w:highlight w:val="none"/>
        </w:rPr>
        <w:t>“</w:t>
      </w:r>
      <w:r>
        <w:rPr>
          <w:rFonts w:hint="eastAsia" w:ascii="宋体" w:hAnsi="宋体" w:eastAsia="宋体" w:cs="宋体"/>
          <w:bCs/>
          <w:color w:val="auto"/>
          <w:highlight w:val="none"/>
          <w:lang w:val="zh-TW" w:eastAsia="zh-TW"/>
        </w:rPr>
        <w:t>负偏离</w:t>
      </w:r>
      <w:r>
        <w:rPr>
          <w:rFonts w:hint="eastAsia" w:ascii="宋体" w:hAnsi="宋体" w:eastAsia="宋体" w:cs="宋体"/>
          <w:bCs/>
          <w:color w:val="auto"/>
          <w:highlight w:val="none"/>
        </w:rPr>
        <w:t>”</w:t>
      </w:r>
      <w:r>
        <w:rPr>
          <w:rFonts w:hint="eastAsia" w:ascii="宋体" w:hAnsi="宋体" w:eastAsia="宋体" w:cs="宋体"/>
          <w:bCs/>
          <w:color w:val="auto"/>
          <w:highlight w:val="none"/>
          <w:lang w:val="zh-TW" w:eastAsia="zh-TW"/>
        </w:rPr>
        <w:t>，</w:t>
      </w:r>
      <w:r>
        <w:rPr>
          <w:rFonts w:hint="eastAsia" w:ascii="宋体" w:hAnsi="宋体" w:eastAsia="宋体" w:cs="宋体"/>
          <w:bCs/>
          <w:color w:val="auto"/>
          <w:highlight w:val="none"/>
        </w:rPr>
        <w:t>只填写“</w:t>
      </w:r>
      <w:r>
        <w:rPr>
          <w:rFonts w:hint="eastAsia" w:ascii="宋体" w:hAnsi="宋体" w:eastAsia="宋体" w:cs="宋体"/>
          <w:bCs/>
          <w:color w:val="auto"/>
          <w:highlight w:val="none"/>
          <w:lang w:val="zh-TW" w:eastAsia="zh-TW"/>
        </w:rPr>
        <w:t>无偏离</w:t>
      </w:r>
      <w:r>
        <w:rPr>
          <w:rFonts w:hint="eastAsia" w:ascii="宋体" w:hAnsi="宋体" w:eastAsia="宋体" w:cs="宋体"/>
          <w:bCs/>
          <w:color w:val="auto"/>
          <w:highlight w:val="none"/>
        </w:rPr>
        <w:t>”；</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若实际响应明显</w:t>
      </w:r>
      <w:r>
        <w:rPr>
          <w:rFonts w:hint="eastAsia" w:ascii="宋体" w:hAnsi="宋体" w:eastAsia="宋体" w:cs="宋体"/>
          <w:bCs/>
          <w:color w:val="auto"/>
          <w:highlight w:val="none"/>
          <w:lang w:val="zh-TW" w:eastAsia="zh-TW"/>
        </w:rPr>
        <w:t>优于</w:t>
      </w:r>
      <w:r>
        <w:rPr>
          <w:rFonts w:hint="eastAsia" w:ascii="宋体" w:hAnsi="宋体" w:eastAsia="宋体" w:cs="宋体"/>
          <w:bCs/>
          <w:color w:val="auto"/>
          <w:highlight w:val="none"/>
          <w:lang w:val="zh-TW"/>
        </w:rPr>
        <w:t>招标</w:t>
      </w:r>
      <w:r>
        <w:rPr>
          <w:rFonts w:hint="eastAsia" w:ascii="宋体" w:hAnsi="宋体" w:eastAsia="宋体" w:cs="宋体"/>
          <w:bCs/>
          <w:color w:val="auto"/>
          <w:highlight w:val="none"/>
          <w:lang w:val="zh-TW" w:eastAsia="zh-TW"/>
        </w:rPr>
        <w:t>文件要求的</w:t>
      </w:r>
      <w:r>
        <w:rPr>
          <w:rFonts w:hint="eastAsia" w:ascii="宋体" w:hAnsi="宋体" w:eastAsia="宋体" w:cs="宋体"/>
          <w:bCs/>
          <w:color w:val="auto"/>
          <w:highlight w:val="none"/>
          <w:lang w:val="zh-TW"/>
        </w:rPr>
        <w:t>，</w:t>
      </w:r>
      <w:r>
        <w:rPr>
          <w:rFonts w:hint="eastAsia" w:ascii="宋体" w:hAnsi="宋体" w:eastAsia="宋体" w:cs="宋体"/>
          <w:bCs/>
          <w:color w:val="auto"/>
          <w:highlight w:val="none"/>
        </w:rPr>
        <w:t>填写“正偏离”并说明理由；</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若实际响应明显劣</w:t>
      </w:r>
      <w:r>
        <w:rPr>
          <w:rFonts w:hint="eastAsia" w:ascii="宋体" w:hAnsi="宋体" w:eastAsia="宋体" w:cs="宋体"/>
          <w:bCs/>
          <w:color w:val="auto"/>
          <w:highlight w:val="none"/>
          <w:lang w:val="zh-TW" w:eastAsia="zh-TW"/>
        </w:rPr>
        <w:t>于</w:t>
      </w:r>
      <w:r>
        <w:rPr>
          <w:rFonts w:hint="eastAsia" w:ascii="宋体" w:hAnsi="宋体" w:eastAsia="宋体" w:cs="宋体"/>
          <w:bCs/>
          <w:color w:val="auto"/>
          <w:highlight w:val="none"/>
          <w:lang w:val="zh-TW"/>
        </w:rPr>
        <w:t>招标</w:t>
      </w:r>
      <w:r>
        <w:rPr>
          <w:rFonts w:hint="eastAsia" w:ascii="宋体" w:hAnsi="宋体" w:eastAsia="宋体" w:cs="宋体"/>
          <w:bCs/>
          <w:color w:val="auto"/>
          <w:highlight w:val="none"/>
          <w:lang w:val="zh-TW" w:eastAsia="zh-TW"/>
        </w:rPr>
        <w:t>文件要求的</w:t>
      </w:r>
      <w:r>
        <w:rPr>
          <w:rFonts w:hint="eastAsia" w:ascii="宋体" w:hAnsi="宋体" w:eastAsia="宋体" w:cs="宋体"/>
          <w:bCs/>
          <w:color w:val="auto"/>
          <w:highlight w:val="none"/>
          <w:lang w:val="zh-TW"/>
        </w:rPr>
        <w:t>，</w:t>
      </w:r>
      <w:r>
        <w:rPr>
          <w:rFonts w:hint="eastAsia" w:ascii="宋体" w:hAnsi="宋体" w:eastAsia="宋体" w:cs="宋体"/>
          <w:bCs/>
          <w:color w:val="auto"/>
          <w:highlight w:val="none"/>
        </w:rPr>
        <w:t>填写“负偏离”并说明理由。</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3.需要提供证明材料的，请填写响应文件页码。</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4.招标</w:t>
      </w:r>
      <w:r>
        <w:rPr>
          <w:rFonts w:hint="eastAsia" w:ascii="宋体" w:hAnsi="宋体" w:eastAsia="宋体" w:cs="宋体"/>
          <w:bCs/>
          <w:color w:val="auto"/>
          <w:highlight w:val="none"/>
          <w:lang w:val="zh-TW" w:eastAsia="zh-TW"/>
        </w:rPr>
        <w:t>应答和偏离说明与</w:t>
      </w:r>
      <w:r>
        <w:rPr>
          <w:rFonts w:hint="eastAsia" w:ascii="宋体" w:hAnsi="宋体" w:eastAsia="宋体" w:cs="宋体"/>
          <w:bCs/>
          <w:color w:val="auto"/>
          <w:highlight w:val="none"/>
        </w:rPr>
        <w:t>投标</w:t>
      </w:r>
      <w:r>
        <w:rPr>
          <w:rFonts w:hint="eastAsia" w:ascii="宋体" w:hAnsi="宋体" w:eastAsia="宋体" w:cs="宋体"/>
          <w:bCs/>
          <w:color w:val="auto"/>
          <w:highlight w:val="none"/>
          <w:lang w:val="zh-TW"/>
        </w:rPr>
        <w:t>文件</w:t>
      </w:r>
      <w:r>
        <w:rPr>
          <w:rFonts w:hint="eastAsia" w:ascii="宋体" w:hAnsi="宋体" w:eastAsia="宋体" w:cs="宋体"/>
          <w:bCs/>
          <w:color w:val="auto"/>
          <w:highlight w:val="none"/>
          <w:lang w:val="zh-TW" w:eastAsia="zh-TW"/>
        </w:rPr>
        <w:t>内容不一致时，以</w:t>
      </w:r>
      <w:r>
        <w:rPr>
          <w:rFonts w:hint="eastAsia" w:ascii="宋体" w:hAnsi="宋体" w:eastAsia="宋体" w:cs="宋体"/>
          <w:bCs/>
          <w:color w:val="auto"/>
          <w:highlight w:val="none"/>
        </w:rPr>
        <w:t>投标</w:t>
      </w:r>
      <w:r>
        <w:rPr>
          <w:rFonts w:hint="eastAsia" w:ascii="宋体" w:hAnsi="宋体" w:eastAsia="宋体" w:cs="宋体"/>
          <w:bCs/>
          <w:color w:val="auto"/>
          <w:highlight w:val="none"/>
          <w:lang w:val="zh-TW" w:eastAsia="zh-TW"/>
        </w:rPr>
        <w:t>文件为准。</w:t>
      </w:r>
    </w:p>
    <w:p>
      <w:pPr>
        <w:pStyle w:val="2"/>
        <w:spacing w:line="360" w:lineRule="auto"/>
        <w:jc w:val="both"/>
        <w:rPr>
          <w:rFonts w:ascii="宋体" w:hAnsi="宋体" w:eastAsia="宋体" w:cs="宋体"/>
          <w:bCs/>
          <w:color w:val="auto"/>
          <w:highlight w:val="none"/>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TW" w:eastAsia="zh-TW"/>
        </w:rPr>
        <w:t>如</w:t>
      </w:r>
      <w:r>
        <w:rPr>
          <w:rFonts w:hint="eastAsia" w:ascii="宋体" w:hAnsi="宋体" w:eastAsia="宋体" w:cs="宋体"/>
          <w:bCs/>
          <w:color w:val="auto"/>
          <w:highlight w:val="none"/>
        </w:rPr>
        <w:t>投标人</w:t>
      </w:r>
      <w:r>
        <w:rPr>
          <w:rFonts w:hint="eastAsia" w:ascii="宋体" w:hAnsi="宋体" w:eastAsia="宋体" w:cs="宋体"/>
          <w:bCs/>
          <w:color w:val="auto"/>
          <w:highlight w:val="none"/>
          <w:lang w:val="zh-TW" w:eastAsia="zh-TW"/>
        </w:rPr>
        <w:t>未按本表中确认的内容对合同文本进行修改或在确认无偏离后又对合同文本提出修改，造成采购人与</w:t>
      </w:r>
      <w:r>
        <w:rPr>
          <w:rFonts w:hint="eastAsia" w:ascii="宋体" w:hAnsi="宋体" w:eastAsia="宋体" w:cs="宋体"/>
          <w:bCs/>
          <w:color w:val="auto"/>
          <w:highlight w:val="none"/>
        </w:rPr>
        <w:t>投标人</w:t>
      </w:r>
      <w:r>
        <w:rPr>
          <w:rFonts w:hint="eastAsia" w:ascii="宋体" w:hAnsi="宋体" w:eastAsia="宋体" w:cs="宋体"/>
          <w:bCs/>
          <w:color w:val="auto"/>
          <w:highlight w:val="none"/>
          <w:lang w:val="zh-TW" w:eastAsia="zh-TW"/>
        </w:rPr>
        <w:t>不能就合同文本达成一致，采购人有权取消</w:t>
      </w:r>
      <w:r>
        <w:rPr>
          <w:rFonts w:hint="eastAsia" w:ascii="宋体" w:hAnsi="宋体" w:eastAsia="宋体" w:cs="宋体"/>
          <w:bCs/>
          <w:color w:val="auto"/>
          <w:highlight w:val="none"/>
        </w:rPr>
        <w:t>投标人</w:t>
      </w:r>
      <w:r>
        <w:rPr>
          <w:rFonts w:hint="eastAsia" w:ascii="宋体" w:hAnsi="宋体" w:eastAsia="宋体" w:cs="宋体"/>
          <w:bCs/>
          <w:color w:val="auto"/>
          <w:highlight w:val="none"/>
          <w:lang w:val="zh-TW" w:eastAsia="zh-TW"/>
        </w:rPr>
        <w:t>的资格，并有权对因此造成的损失要求供应商赔偿。</w:t>
      </w:r>
    </w:p>
    <w:p>
      <w:pPr>
        <w:ind w:left="2" w:right="-817" w:firstLine="480"/>
        <w:rPr>
          <w:rFonts w:ascii="宋体" w:hAnsi="宋体" w:cs="宋体"/>
          <w:bCs/>
          <w:highlight w:val="none"/>
        </w:rPr>
      </w:pPr>
    </w:p>
    <w:p>
      <w:pPr>
        <w:ind w:left="2" w:right="-817" w:firstLine="480"/>
        <w:rPr>
          <w:rFonts w:ascii="宋体" w:hAnsi="宋体" w:cs="宋体"/>
          <w:bCs/>
          <w:highlight w:val="none"/>
        </w:rPr>
      </w:pPr>
    </w:p>
    <w:p>
      <w:pPr>
        <w:ind w:left="2" w:right="-817" w:firstLine="480"/>
        <w:rPr>
          <w:rFonts w:ascii="宋体" w:hAnsi="宋体" w:cs="宋体"/>
          <w:bCs/>
          <w:highlight w:val="none"/>
        </w:rPr>
      </w:pPr>
    </w:p>
    <w:p>
      <w:pPr>
        <w:ind w:left="2" w:right="-817" w:firstLine="480"/>
        <w:rPr>
          <w:rFonts w:ascii="宋体" w:hAnsi="宋体" w:cs="宋体"/>
          <w:bCs/>
          <w:highlight w:val="none"/>
        </w:rPr>
      </w:pPr>
      <w:r>
        <w:rPr>
          <w:rFonts w:hint="eastAsia" w:ascii="宋体" w:hAnsi="宋体" w:cs="宋体"/>
          <w:bCs/>
          <w:highlight w:val="none"/>
        </w:rPr>
        <w:t xml:space="preserve">法定代表人或授权代表（签字或盖章）：                    </w:t>
      </w:r>
    </w:p>
    <w:p>
      <w:pPr>
        <w:ind w:left="2" w:right="-817" w:firstLine="480"/>
        <w:rPr>
          <w:rFonts w:ascii="宋体" w:hAnsi="宋体" w:cs="宋体"/>
          <w:bCs/>
          <w:highlight w:val="none"/>
        </w:rPr>
      </w:pPr>
      <w:r>
        <w:rPr>
          <w:rFonts w:hint="eastAsia" w:ascii="宋体" w:hAnsi="宋体" w:cs="宋体"/>
          <w:bCs/>
          <w:highlight w:val="none"/>
        </w:rPr>
        <w:t xml:space="preserve">投标人名称（盖章）：                     </w:t>
      </w:r>
    </w:p>
    <w:p>
      <w:pPr>
        <w:ind w:left="2" w:right="-817" w:firstLine="480"/>
        <w:rPr>
          <w:rFonts w:ascii="宋体" w:hAnsi="宋体" w:cs="宋体"/>
          <w:bCs/>
          <w:szCs w:val="21"/>
          <w:highlight w:val="none"/>
        </w:rPr>
      </w:pPr>
      <w:r>
        <w:rPr>
          <w:rFonts w:hint="eastAsia" w:ascii="宋体" w:hAnsi="宋体" w:cs="宋体"/>
          <w:bCs/>
          <w:highlight w:val="none"/>
        </w:rPr>
        <w:t>日期：    年    月   日</w:t>
      </w:r>
    </w:p>
    <w:p>
      <w:pPr>
        <w:pStyle w:val="2"/>
        <w:spacing w:line="360" w:lineRule="auto"/>
        <w:jc w:val="both"/>
        <w:rPr>
          <w:rFonts w:ascii="宋体" w:hAnsi="宋体" w:eastAsia="宋体" w:cs="宋体"/>
          <w:bCs/>
          <w:color w:val="auto"/>
          <w:highlight w:val="none"/>
        </w:rPr>
      </w:pPr>
    </w:p>
    <w:p>
      <w:pPr>
        <w:pStyle w:val="3"/>
        <w:ind w:firstLine="480"/>
        <w:rPr>
          <w:rFonts w:ascii="宋体" w:hAnsi="宋体" w:cs="宋体"/>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11"/>
        <w:ind w:firstLine="480"/>
        <w:rPr>
          <w:bCs/>
          <w:highlight w:val="none"/>
        </w:rPr>
      </w:pPr>
    </w:p>
    <w:p>
      <w:pPr>
        <w:ind w:firstLine="480"/>
        <w:rPr>
          <w:rFonts w:ascii="宋体" w:hAnsi="宋体" w:cs="宋体"/>
          <w:bCs/>
          <w:highlight w:val="none"/>
        </w:rPr>
      </w:pPr>
    </w:p>
    <w:p>
      <w:pPr>
        <w:pStyle w:val="2"/>
        <w:spacing w:line="360" w:lineRule="auto"/>
        <w:rPr>
          <w:rFonts w:ascii="宋体" w:hAnsi="宋体" w:eastAsia="宋体" w:cs="宋体"/>
          <w:bCs/>
          <w:color w:val="auto"/>
          <w:highlight w:val="none"/>
        </w:rPr>
      </w:pPr>
      <w:bookmarkStart w:id="38" w:name="_Toc14290"/>
      <w:r>
        <w:rPr>
          <w:rFonts w:hint="eastAsia" w:ascii="宋体" w:hAnsi="宋体" w:eastAsia="宋体" w:cs="宋体"/>
          <w:bCs/>
          <w:color w:val="auto"/>
          <w:highlight w:val="none"/>
        </w:rPr>
        <w:t>附件6</w:t>
      </w:r>
      <w:bookmarkEnd w:id="38"/>
    </w:p>
    <w:p>
      <w:pPr>
        <w:pStyle w:val="2"/>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资格证明文件</w:t>
      </w:r>
    </w:p>
    <w:p>
      <w:pPr>
        <w:ind w:firstLine="480"/>
        <w:rPr>
          <w:rFonts w:ascii="宋体" w:hAnsi="宋体" w:cs="宋体"/>
          <w:bCs/>
          <w:highlight w:val="none"/>
        </w:rPr>
      </w:pPr>
    </w:p>
    <w:p>
      <w:pPr>
        <w:ind w:firstLine="480"/>
        <w:rPr>
          <w:rFonts w:ascii="宋体" w:hAnsi="宋体" w:cs="宋体"/>
          <w:bCs/>
          <w:highlight w:val="none"/>
        </w:rPr>
      </w:pPr>
      <w:r>
        <w:rPr>
          <w:rFonts w:hint="eastAsia" w:ascii="宋体" w:hAnsi="宋体" w:cs="宋体"/>
          <w:bCs/>
          <w:highlight w:val="none"/>
        </w:rPr>
        <w:t>资格证明文件内容由投标人根据招标文件自行编制。</w:t>
      </w:r>
    </w:p>
    <w:p>
      <w:pPr>
        <w:ind w:firstLine="480"/>
        <w:rPr>
          <w:rFonts w:ascii="宋体" w:hAnsi="宋体" w:cs="宋体"/>
          <w:bCs/>
          <w:highlight w:val="none"/>
        </w:rPr>
      </w:pPr>
      <w:r>
        <w:rPr>
          <w:rFonts w:hint="eastAsia" w:ascii="宋体" w:hAnsi="宋体" w:cs="宋体"/>
          <w:bCs/>
          <w:highlight w:val="none"/>
        </w:rPr>
        <w:t>【包括但不限于营业执照副本、依法缴纳税收和社会保障资金的良好记录证明、财务审计报告、投标人参加采购活动前三年内在经营活动中没有重大违法记录的承诺函等】。</w:t>
      </w:r>
    </w:p>
    <w:p>
      <w:pPr>
        <w:ind w:firstLine="480"/>
        <w:rPr>
          <w:rFonts w:ascii="宋体" w:hAnsi="宋体" w:cs="宋体"/>
          <w:bCs/>
          <w:highlight w:val="none"/>
        </w:rPr>
      </w:pPr>
      <w:r>
        <w:rPr>
          <w:rFonts w:hint="eastAsia" w:ascii="宋体" w:hAnsi="宋体" w:cs="宋体"/>
          <w:bCs/>
          <w:highlight w:val="none"/>
        </w:rPr>
        <w:t>（复印件须字迹清晰且证件须在年检有效期内，并加盖公章）</w:t>
      </w:r>
    </w:p>
    <w:p>
      <w:pPr>
        <w:pStyle w:val="2"/>
        <w:spacing w:line="360" w:lineRule="auto"/>
        <w:rPr>
          <w:rFonts w:ascii="宋体" w:hAnsi="宋体" w:eastAsia="宋体" w:cs="宋体"/>
          <w:bCs/>
          <w:color w:val="auto"/>
          <w:highlight w:val="none"/>
        </w:rPr>
        <w:sectPr>
          <w:pgSz w:w="11905" w:h="16838"/>
          <w:pgMar w:top="1440" w:right="1083" w:bottom="1440" w:left="1083" w:header="680" w:footer="992" w:gutter="0"/>
          <w:pgNumType w:fmt="decimal"/>
          <w:cols w:space="0" w:num="1"/>
          <w:docGrid w:type="lines" w:linePitch="314" w:charSpace="0"/>
        </w:sectPr>
      </w:pPr>
    </w:p>
    <w:p>
      <w:pPr>
        <w:pStyle w:val="2"/>
        <w:spacing w:line="360" w:lineRule="auto"/>
        <w:rPr>
          <w:rFonts w:ascii="宋体" w:hAnsi="宋体" w:eastAsia="宋体" w:cs="宋体"/>
          <w:bCs/>
          <w:color w:val="auto"/>
          <w:highlight w:val="none"/>
        </w:rPr>
      </w:pPr>
      <w:bookmarkStart w:id="39" w:name="_Toc22031"/>
      <w:r>
        <w:rPr>
          <w:rFonts w:hint="eastAsia" w:ascii="宋体" w:hAnsi="宋体" w:eastAsia="宋体" w:cs="宋体"/>
          <w:bCs/>
          <w:color w:val="auto"/>
          <w:highlight w:val="none"/>
        </w:rPr>
        <w:t>附件7</w:t>
      </w:r>
      <w:bookmarkEnd w:id="39"/>
    </w:p>
    <w:p>
      <w:pPr>
        <w:pStyle w:val="2"/>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投标代表人授权书</w:t>
      </w:r>
    </w:p>
    <w:p>
      <w:pPr>
        <w:ind w:firstLine="2160" w:firstLineChars="900"/>
        <w:rPr>
          <w:rFonts w:ascii="宋体" w:hAnsi="宋体" w:cs="宋体"/>
          <w:bCs/>
          <w:highlight w:val="none"/>
        </w:rPr>
      </w:pPr>
      <w:r>
        <w:rPr>
          <w:rFonts w:hint="eastAsia" w:ascii="宋体" w:hAnsi="宋体" w:cs="宋体"/>
          <w:bCs/>
          <w:highlight w:val="none"/>
        </w:rPr>
        <w:t>法定代表人资格证明书（法定代表人投标时适用）</w:t>
      </w:r>
    </w:p>
    <w:p>
      <w:pPr>
        <w:pStyle w:val="20"/>
        <w:spacing w:before="0" w:beforeAutospacing="0" w:after="0" w:afterAutospacing="0"/>
        <w:ind w:firstLine="480"/>
        <w:jc w:val="both"/>
        <w:rPr>
          <w:rFonts w:ascii="宋体" w:hAnsi="宋体" w:cs="宋体"/>
          <w:bCs/>
          <w:highlight w:val="none"/>
          <w:u w:val="single"/>
        </w:rPr>
      </w:pPr>
      <w:r>
        <w:rPr>
          <w:rFonts w:hint="eastAsia" w:ascii="宋体" w:hAnsi="宋体" w:cs="宋体"/>
          <w:bCs/>
          <w:highlight w:val="none"/>
        </w:rPr>
        <w:t>单位名称：</w:t>
      </w:r>
      <w:r>
        <w:rPr>
          <w:rFonts w:hint="eastAsia" w:ascii="宋体" w:hAnsi="宋体" w:cs="宋体"/>
          <w:bCs/>
          <w:highlight w:val="none"/>
          <w:u w:val="single"/>
        </w:rPr>
        <w:t xml:space="preserve">                         </w:t>
      </w:r>
      <w:r>
        <w:rPr>
          <w:rFonts w:hint="eastAsia" w:ascii="宋体" w:hAnsi="宋体" w:cs="宋体"/>
          <w:bCs/>
          <w:highlight w:val="none"/>
        </w:rPr>
        <w:t>地址：</w:t>
      </w:r>
      <w:r>
        <w:rPr>
          <w:rFonts w:hint="eastAsia" w:ascii="宋体" w:hAnsi="宋体" w:cs="宋体"/>
          <w:bCs/>
          <w:highlight w:val="none"/>
          <w:u w:val="single"/>
        </w:rPr>
        <w:t xml:space="preserve">                       </w:t>
      </w:r>
    </w:p>
    <w:p>
      <w:pPr>
        <w:pStyle w:val="20"/>
        <w:spacing w:before="0" w:beforeAutospacing="0" w:after="0" w:afterAutospacing="0"/>
        <w:ind w:firstLine="480"/>
        <w:jc w:val="both"/>
        <w:rPr>
          <w:rFonts w:ascii="宋体" w:hAnsi="宋体" w:cs="宋体"/>
          <w:bCs/>
          <w:highlight w:val="none"/>
          <w:u w:val="single"/>
        </w:rPr>
      </w:pPr>
      <w:r>
        <w:rPr>
          <w:rFonts w:hint="eastAsia" w:ascii="宋体" w:hAnsi="宋体" w:cs="宋体"/>
          <w:bCs/>
          <w:highlight w:val="none"/>
        </w:rPr>
        <w:t>姓名：</w:t>
      </w:r>
      <w:r>
        <w:rPr>
          <w:rFonts w:hint="eastAsia" w:ascii="宋体" w:hAnsi="宋体" w:cs="宋体"/>
          <w:bCs/>
          <w:highlight w:val="none"/>
          <w:u w:val="single"/>
        </w:rPr>
        <w:t xml:space="preserve">                 </w:t>
      </w:r>
      <w:r>
        <w:rPr>
          <w:rFonts w:hint="eastAsia" w:ascii="宋体" w:hAnsi="宋体" w:cs="宋体"/>
          <w:bCs/>
          <w:highlight w:val="none"/>
        </w:rPr>
        <w:t>性别：</w:t>
      </w:r>
      <w:r>
        <w:rPr>
          <w:rFonts w:hint="eastAsia" w:ascii="宋体" w:hAnsi="宋体" w:cs="宋体"/>
          <w:bCs/>
          <w:highlight w:val="none"/>
          <w:u w:val="single"/>
        </w:rPr>
        <w:t xml:space="preserve">       </w:t>
      </w:r>
      <w:r>
        <w:rPr>
          <w:rFonts w:hint="eastAsia" w:ascii="宋体" w:hAnsi="宋体" w:cs="宋体"/>
          <w:bCs/>
          <w:highlight w:val="none"/>
        </w:rPr>
        <w:t>年龄：</w:t>
      </w:r>
      <w:r>
        <w:rPr>
          <w:rFonts w:hint="eastAsia" w:ascii="宋体" w:hAnsi="宋体" w:cs="宋体"/>
          <w:bCs/>
          <w:highlight w:val="none"/>
          <w:u w:val="single"/>
        </w:rPr>
        <w:t xml:space="preserve">      </w:t>
      </w:r>
      <w:r>
        <w:rPr>
          <w:rFonts w:hint="eastAsia" w:ascii="宋体" w:hAnsi="宋体" w:cs="宋体"/>
          <w:bCs/>
          <w:highlight w:val="none"/>
        </w:rPr>
        <w:t>职务：</w:t>
      </w:r>
      <w:r>
        <w:rPr>
          <w:rFonts w:hint="eastAsia" w:ascii="宋体" w:hAnsi="宋体" w:cs="宋体"/>
          <w:bCs/>
          <w:highlight w:val="none"/>
          <w:u w:val="single"/>
        </w:rPr>
        <w:t xml:space="preserve">              </w:t>
      </w:r>
    </w:p>
    <w:p>
      <w:pPr>
        <w:pStyle w:val="20"/>
        <w:spacing w:before="0" w:beforeAutospacing="0" w:after="0" w:afterAutospacing="0"/>
        <w:ind w:firstLine="480"/>
        <w:jc w:val="both"/>
        <w:rPr>
          <w:rFonts w:ascii="宋体" w:hAnsi="宋体" w:cs="宋体"/>
          <w:bCs/>
          <w:highlight w:val="none"/>
        </w:rPr>
      </w:pPr>
      <w:r>
        <w:rPr>
          <w:rFonts w:hint="eastAsia" w:ascii="宋体" w:hAnsi="宋体" w:cs="宋体"/>
          <w:bCs/>
          <w:highlight w:val="none"/>
        </w:rPr>
        <w:t>身份证明号：</w:t>
      </w:r>
      <w:r>
        <w:rPr>
          <w:rFonts w:hint="eastAsia" w:ascii="宋体" w:hAnsi="宋体" w:cs="宋体"/>
          <w:bCs/>
          <w:highlight w:val="none"/>
          <w:u w:val="single"/>
        </w:rPr>
        <w:t xml:space="preserve">                      </w:t>
      </w:r>
      <w:r>
        <w:rPr>
          <w:rFonts w:hint="eastAsia" w:ascii="宋体" w:hAnsi="宋体" w:cs="宋体"/>
          <w:bCs/>
          <w:highlight w:val="none"/>
        </w:rPr>
        <w:t>系</w:t>
      </w:r>
      <w:r>
        <w:rPr>
          <w:rFonts w:hint="eastAsia" w:ascii="宋体" w:hAnsi="宋体" w:cs="宋体"/>
          <w:bCs/>
          <w:highlight w:val="none"/>
          <w:u w:val="single"/>
        </w:rPr>
        <w:t xml:space="preserve">                   </w:t>
      </w:r>
      <w:r>
        <w:rPr>
          <w:rFonts w:hint="eastAsia" w:ascii="宋体" w:hAnsi="宋体" w:cs="宋体"/>
          <w:bCs/>
          <w:highlight w:val="none"/>
        </w:rPr>
        <w:t>的法定代表人。前往参加</w:t>
      </w:r>
      <w:r>
        <w:rPr>
          <w:rFonts w:hint="eastAsia" w:ascii="宋体" w:hAnsi="宋体" w:cs="宋体"/>
          <w:bCs/>
          <w:highlight w:val="none"/>
          <w:u w:val="single"/>
        </w:rPr>
        <w:t xml:space="preserve">                                （项目名称）</w:t>
      </w:r>
      <w:r>
        <w:rPr>
          <w:rFonts w:hint="eastAsia" w:ascii="宋体" w:hAnsi="宋体" w:cs="宋体"/>
          <w:bCs/>
          <w:highlight w:val="none"/>
        </w:rPr>
        <w:t>的投标活动进行合同商谈、签署合同和处理与之有关的一切事务。</w:t>
      </w:r>
    </w:p>
    <w:p>
      <w:pPr>
        <w:pStyle w:val="20"/>
        <w:spacing w:before="0" w:beforeAutospacing="0" w:after="0" w:afterAutospacing="0"/>
        <w:ind w:firstLine="480"/>
        <w:jc w:val="both"/>
        <w:rPr>
          <w:rFonts w:ascii="宋体" w:hAnsi="宋体" w:cs="宋体"/>
          <w:bCs/>
          <w:highlight w:val="none"/>
        </w:rPr>
      </w:pPr>
      <w:r>
        <w:rPr>
          <w:rFonts w:hint="eastAsia" w:ascii="宋体" w:hAnsi="宋体" w:cs="宋体"/>
          <w:bCs/>
          <w:highlight w:val="none"/>
        </w:rPr>
        <w:t>特此证明。</w:t>
      </w:r>
    </w:p>
    <w:p>
      <w:pPr>
        <w:ind w:left="2" w:right="-817" w:firstLine="480"/>
        <w:rPr>
          <w:rFonts w:ascii="宋体" w:hAnsi="宋体" w:cs="宋体"/>
          <w:bCs/>
          <w:highlight w:val="none"/>
        </w:rPr>
      </w:pPr>
    </w:p>
    <w:p>
      <w:pPr>
        <w:ind w:left="2" w:right="-817" w:firstLine="480"/>
        <w:rPr>
          <w:rFonts w:ascii="宋体" w:hAnsi="宋体" w:cs="宋体"/>
          <w:bCs/>
          <w:highlight w:val="none"/>
        </w:rPr>
      </w:pPr>
      <w:r>
        <w:rPr>
          <w:rFonts w:hint="eastAsia" w:ascii="宋体" w:hAnsi="宋体" w:cs="宋体"/>
          <w:bCs/>
          <w:highlight w:val="none"/>
        </w:rPr>
        <w:t xml:space="preserve">法定代表人（签字或盖章）：                    </w:t>
      </w:r>
    </w:p>
    <w:p>
      <w:pPr>
        <w:ind w:left="2" w:right="-817" w:firstLine="480"/>
        <w:rPr>
          <w:rFonts w:ascii="宋体" w:hAnsi="宋体" w:cs="宋体"/>
          <w:bCs/>
          <w:highlight w:val="none"/>
        </w:rPr>
      </w:pPr>
      <w:r>
        <w:rPr>
          <w:rFonts w:hint="eastAsia" w:ascii="宋体" w:hAnsi="宋体" w:cs="宋体"/>
          <w:bCs/>
          <w:highlight w:val="none"/>
        </w:rPr>
        <w:t xml:space="preserve">投标人名称（盖章）：                     </w:t>
      </w:r>
    </w:p>
    <w:p>
      <w:pPr>
        <w:ind w:left="2" w:right="-817" w:firstLine="480"/>
        <w:rPr>
          <w:rFonts w:ascii="宋体" w:hAnsi="宋体" w:cs="宋体"/>
          <w:bCs/>
          <w:szCs w:val="21"/>
          <w:highlight w:val="none"/>
        </w:rPr>
      </w:pPr>
      <w:r>
        <w:rPr>
          <w:rFonts w:hint="eastAsia" w:ascii="宋体" w:hAnsi="宋体" w:cs="宋体"/>
          <w:bCs/>
          <w:highlight w:val="none"/>
        </w:rPr>
        <w:t>日期：    年    月   日</w:t>
      </w:r>
    </w:p>
    <w:p>
      <w:pPr>
        <w:pStyle w:val="20"/>
        <w:spacing w:before="0" w:beforeAutospacing="0" w:after="0" w:afterAutospacing="0"/>
        <w:ind w:firstLine="480"/>
        <w:jc w:val="both"/>
        <w:rPr>
          <w:rFonts w:ascii="宋体" w:hAnsi="宋体" w:cs="宋体"/>
          <w:bCs/>
          <w:highlight w:val="none"/>
        </w:rPr>
      </w:pPr>
      <w:r>
        <w:rPr>
          <w:rFonts w:hint="eastAsia" w:ascii="宋体" w:hAnsi="宋体" w:cs="宋体"/>
          <w:bCs/>
          <w:highlight w:val="none"/>
        </w:rPr>
        <w:t>（附法人身份证双面复印件或其他有效身份证明复印件）</w:t>
      </w:r>
    </w:p>
    <w:p>
      <w:pPr>
        <w:pStyle w:val="20"/>
        <w:spacing w:before="0" w:beforeAutospacing="0" w:after="0" w:afterAutospacing="0"/>
        <w:ind w:firstLine="480"/>
        <w:jc w:val="both"/>
        <w:rPr>
          <w:rFonts w:ascii="宋体" w:hAnsi="宋体" w:cs="宋体"/>
          <w:bCs/>
          <w:highlight w:val="none"/>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500" w:type="pct"/>
          </w:tcPr>
          <w:p>
            <w:pPr>
              <w:ind w:firstLine="480"/>
              <w:rPr>
                <w:rFonts w:ascii="宋体" w:hAnsi="宋体" w:cs="宋体"/>
                <w:bCs/>
                <w:szCs w:val="21"/>
                <w:highlight w:val="none"/>
              </w:rPr>
            </w:pPr>
            <w:r>
              <w:rPr>
                <w:rFonts w:hint="eastAsia" w:ascii="宋体" w:hAnsi="宋体" w:cs="宋体"/>
                <w:bCs/>
                <w:szCs w:val="21"/>
                <w:highlight w:val="none"/>
              </w:rPr>
              <w:t>法定代表人身份证明正面</w:t>
            </w:r>
          </w:p>
          <w:p>
            <w:pPr>
              <w:ind w:firstLine="480"/>
              <w:rPr>
                <w:rFonts w:ascii="宋体" w:hAnsi="宋体" w:cs="宋体"/>
                <w:bCs/>
                <w:szCs w:val="21"/>
                <w:highlight w:val="none"/>
              </w:rPr>
            </w:pPr>
          </w:p>
          <w:p>
            <w:pPr>
              <w:ind w:firstLine="480"/>
              <w:rPr>
                <w:rFonts w:ascii="宋体" w:hAnsi="宋体" w:cs="宋体"/>
                <w:bCs/>
                <w:szCs w:val="21"/>
                <w:highlight w:val="none"/>
              </w:rPr>
            </w:pPr>
          </w:p>
          <w:p>
            <w:pPr>
              <w:ind w:firstLine="480"/>
              <w:rPr>
                <w:rFonts w:ascii="宋体" w:hAnsi="宋体" w:cs="宋体"/>
                <w:bCs/>
                <w:szCs w:val="21"/>
                <w:highlight w:val="none"/>
              </w:rPr>
            </w:pPr>
          </w:p>
          <w:p>
            <w:pPr>
              <w:ind w:firstLine="480"/>
              <w:rPr>
                <w:rFonts w:ascii="宋体" w:hAnsi="宋体" w:cs="宋体"/>
                <w:bCs/>
                <w:szCs w:val="21"/>
                <w:highlight w:val="none"/>
              </w:rPr>
            </w:pPr>
          </w:p>
          <w:p>
            <w:pPr>
              <w:ind w:firstLine="480"/>
              <w:rPr>
                <w:rFonts w:ascii="宋体" w:hAnsi="宋体" w:cs="宋体"/>
                <w:bCs/>
                <w:szCs w:val="21"/>
                <w:highlight w:val="none"/>
              </w:rPr>
            </w:pPr>
          </w:p>
        </w:tc>
        <w:tc>
          <w:tcPr>
            <w:tcW w:w="2500" w:type="pct"/>
          </w:tcPr>
          <w:p>
            <w:pPr>
              <w:ind w:firstLine="480"/>
              <w:rPr>
                <w:rFonts w:ascii="宋体" w:hAnsi="宋体" w:cs="宋体"/>
                <w:bCs/>
                <w:szCs w:val="21"/>
                <w:highlight w:val="none"/>
              </w:rPr>
            </w:pPr>
            <w:r>
              <w:rPr>
                <w:rFonts w:hint="eastAsia" w:ascii="宋体" w:hAnsi="宋体" w:cs="宋体"/>
                <w:bCs/>
                <w:szCs w:val="21"/>
                <w:highlight w:val="none"/>
              </w:rPr>
              <w:t>法定代表人身份证明背面</w:t>
            </w:r>
          </w:p>
        </w:tc>
      </w:tr>
    </w:tbl>
    <w:p>
      <w:pPr>
        <w:autoSpaceDN w:val="0"/>
        <w:ind w:firstLine="480"/>
        <w:jc w:val="center"/>
        <w:rPr>
          <w:rFonts w:ascii="宋体" w:hAnsi="宋体" w:cs="宋体"/>
          <w:bCs/>
          <w:highlight w:val="none"/>
        </w:rPr>
      </w:pPr>
      <w:r>
        <w:rPr>
          <w:rFonts w:hint="eastAsia" w:ascii="宋体" w:hAnsi="宋体" w:cs="宋体"/>
          <w:bCs/>
          <w:highlight w:val="none"/>
        </w:rPr>
        <w:br w:type="page"/>
      </w:r>
      <w:r>
        <w:rPr>
          <w:rFonts w:hint="eastAsia" w:ascii="宋体" w:hAnsi="宋体" w:cs="宋体"/>
          <w:bCs/>
          <w:highlight w:val="none"/>
        </w:rPr>
        <w:t>法定代表人授权书（非法定代表人投标时适用）</w:t>
      </w:r>
    </w:p>
    <w:p>
      <w:pPr>
        <w:ind w:firstLine="480"/>
        <w:rPr>
          <w:rFonts w:ascii="宋体" w:hAnsi="宋体" w:cs="宋体"/>
          <w:bCs/>
          <w:highlight w:val="none"/>
        </w:rPr>
      </w:pPr>
      <w:r>
        <w:rPr>
          <w:rFonts w:hint="eastAsia" w:ascii="宋体" w:hAnsi="宋体" w:cs="宋体"/>
          <w:bCs/>
          <w:highlight w:val="none"/>
        </w:rPr>
        <w:t>致：公允（天津）招标代理有限公司</w:t>
      </w:r>
    </w:p>
    <w:p>
      <w:pPr>
        <w:snapToGrid w:val="0"/>
        <w:ind w:firstLine="480"/>
        <w:rPr>
          <w:rFonts w:ascii="宋体" w:hAnsi="宋体" w:cs="宋体"/>
          <w:bCs/>
          <w:highlight w:val="none"/>
        </w:rPr>
      </w:pPr>
      <w:r>
        <w:rPr>
          <w:rFonts w:hint="eastAsia" w:ascii="宋体" w:hAnsi="宋体" w:cs="宋体"/>
          <w:bCs/>
          <w:highlight w:val="none"/>
        </w:rPr>
        <w:t>我____________（姓名）系______________________________（投标单位名称）的法定代表人，现授权委托_______________（姓名，职务）（身份证号码：____________________、联系电话：_______________）作为投标代表人以我方的名义参加贵单位______________________项目（项目编号：_______________）的投标活动，并代表我方全权办理针对上述项目的投标、开标、投标文件澄清、签约等一切具体事务和签署相关文件。</w:t>
      </w:r>
    </w:p>
    <w:p>
      <w:pPr>
        <w:snapToGrid w:val="0"/>
        <w:ind w:firstLine="480"/>
        <w:rPr>
          <w:rFonts w:ascii="宋体" w:hAnsi="宋体" w:cs="宋体"/>
          <w:bCs/>
          <w:highlight w:val="none"/>
        </w:rPr>
      </w:pPr>
      <w:r>
        <w:rPr>
          <w:rFonts w:hint="eastAsia" w:ascii="宋体" w:hAnsi="宋体" w:cs="宋体"/>
          <w:bCs/>
          <w:highlight w:val="none"/>
        </w:rPr>
        <w:t>我方对投标代表人的签名事项负全部责任。</w:t>
      </w:r>
    </w:p>
    <w:p>
      <w:pPr>
        <w:snapToGrid w:val="0"/>
        <w:ind w:firstLine="480"/>
        <w:rPr>
          <w:rFonts w:ascii="宋体" w:hAnsi="宋体" w:cs="宋体"/>
          <w:bCs/>
          <w:highlight w:val="none"/>
        </w:rPr>
      </w:pPr>
      <w:r>
        <w:rPr>
          <w:rFonts w:hint="eastAsia" w:ascii="宋体" w:hAnsi="宋体" w:cs="宋体"/>
          <w:bCs/>
          <w:highlight w:val="none"/>
        </w:rPr>
        <w:t>本授权书至投标有效期结束前始终有效。</w:t>
      </w:r>
    </w:p>
    <w:p>
      <w:pPr>
        <w:snapToGrid w:val="0"/>
        <w:ind w:firstLine="480"/>
        <w:rPr>
          <w:rFonts w:ascii="宋体" w:hAnsi="宋体" w:cs="宋体"/>
          <w:bCs/>
          <w:highlight w:val="none"/>
        </w:rPr>
      </w:pPr>
      <w:r>
        <w:rPr>
          <w:rFonts w:hint="eastAsia" w:ascii="宋体" w:hAnsi="宋体" w:cs="宋体"/>
          <w:bCs/>
          <w:highlight w:val="none"/>
        </w:rPr>
        <w:t>投标代表人无转委托权，特此委托。</w:t>
      </w:r>
    </w:p>
    <w:p>
      <w:pPr>
        <w:pStyle w:val="20"/>
        <w:spacing w:before="0" w:beforeAutospacing="0" w:after="0" w:afterAutospacing="0"/>
        <w:ind w:firstLine="480"/>
        <w:jc w:val="both"/>
        <w:rPr>
          <w:rFonts w:ascii="宋体" w:hAnsi="宋体" w:cs="宋体"/>
          <w:bCs/>
          <w:highlight w:val="none"/>
        </w:rPr>
      </w:pPr>
      <w:r>
        <w:rPr>
          <w:rFonts w:hint="eastAsia" w:ascii="宋体" w:hAnsi="宋体" w:cs="宋体"/>
          <w:bCs/>
          <w:highlight w:val="none"/>
        </w:rPr>
        <w:t>（附法人身份及授权委托人证双面复印件或其他有效身份证明复印件）</w:t>
      </w:r>
    </w:p>
    <w:p>
      <w:pPr>
        <w:ind w:left="2" w:right="-817" w:firstLine="480"/>
        <w:rPr>
          <w:rFonts w:ascii="宋体" w:hAnsi="宋体" w:cs="宋体"/>
          <w:bCs/>
          <w:highlight w:val="none"/>
        </w:rPr>
      </w:pPr>
      <w:r>
        <w:rPr>
          <w:rFonts w:hint="eastAsia" w:ascii="宋体" w:hAnsi="宋体" w:cs="宋体"/>
          <w:bCs/>
          <w:highlight w:val="none"/>
        </w:rPr>
        <w:t>法定代表人（签字或盖章）：</w:t>
      </w:r>
    </w:p>
    <w:p>
      <w:pPr>
        <w:ind w:left="2" w:right="-817" w:firstLine="480"/>
        <w:rPr>
          <w:rFonts w:ascii="宋体" w:hAnsi="宋体" w:cs="宋体"/>
          <w:bCs/>
          <w:highlight w:val="none"/>
        </w:rPr>
      </w:pPr>
      <w:r>
        <w:rPr>
          <w:rFonts w:hint="eastAsia" w:ascii="宋体" w:hAnsi="宋体" w:cs="宋体"/>
          <w:bCs/>
          <w:highlight w:val="none"/>
        </w:rPr>
        <w:t xml:space="preserve">受权代表（签字或盖章）：                    </w:t>
      </w:r>
    </w:p>
    <w:p>
      <w:pPr>
        <w:ind w:left="2" w:right="-817" w:firstLine="480"/>
        <w:rPr>
          <w:rFonts w:ascii="宋体" w:hAnsi="宋体" w:cs="宋体"/>
          <w:bCs/>
          <w:highlight w:val="none"/>
        </w:rPr>
      </w:pPr>
      <w:r>
        <w:rPr>
          <w:rFonts w:hint="eastAsia" w:ascii="宋体" w:hAnsi="宋体" w:cs="宋体"/>
          <w:bCs/>
          <w:highlight w:val="none"/>
        </w:rPr>
        <w:t xml:space="preserve">投标人名称（盖章）：                     </w:t>
      </w:r>
    </w:p>
    <w:p>
      <w:pPr>
        <w:ind w:left="2" w:right="-817" w:firstLine="480"/>
        <w:rPr>
          <w:rFonts w:ascii="宋体" w:hAnsi="宋体" w:cs="宋体"/>
          <w:bCs/>
          <w:szCs w:val="21"/>
          <w:highlight w:val="none"/>
        </w:rPr>
      </w:pPr>
      <w:r>
        <w:rPr>
          <w:rFonts w:hint="eastAsia" w:ascii="宋体" w:hAnsi="宋体" w:cs="宋体"/>
          <w:bCs/>
          <w:highlight w:val="none"/>
        </w:rPr>
        <w:t>日期：    年    月   日</w:t>
      </w:r>
    </w:p>
    <w:p>
      <w:pPr>
        <w:pStyle w:val="2"/>
        <w:spacing w:line="360" w:lineRule="auto"/>
        <w:rPr>
          <w:rFonts w:ascii="宋体" w:hAnsi="宋体" w:eastAsia="宋体" w:cs="宋体"/>
          <w:bCs/>
          <w:color w:val="auto"/>
          <w:highlight w:val="none"/>
        </w:rPr>
      </w:pP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2500" w:type="pct"/>
          </w:tcPr>
          <w:p>
            <w:pPr>
              <w:ind w:firstLine="480"/>
              <w:rPr>
                <w:rFonts w:ascii="宋体" w:hAnsi="宋体" w:cs="宋体"/>
                <w:bCs/>
                <w:szCs w:val="21"/>
                <w:highlight w:val="none"/>
              </w:rPr>
            </w:pPr>
            <w:r>
              <w:rPr>
                <w:rFonts w:hint="eastAsia" w:ascii="宋体" w:hAnsi="宋体" w:cs="宋体"/>
                <w:bCs/>
                <w:szCs w:val="21"/>
                <w:highlight w:val="none"/>
              </w:rPr>
              <w:t>法定代表人身份证明正面</w:t>
            </w:r>
          </w:p>
          <w:p>
            <w:pPr>
              <w:ind w:firstLine="480"/>
              <w:rPr>
                <w:rFonts w:ascii="宋体" w:hAnsi="宋体" w:cs="宋体"/>
                <w:bCs/>
                <w:szCs w:val="21"/>
                <w:highlight w:val="none"/>
              </w:rPr>
            </w:pPr>
          </w:p>
          <w:p>
            <w:pPr>
              <w:ind w:firstLine="480"/>
              <w:rPr>
                <w:rFonts w:ascii="宋体" w:hAnsi="宋体" w:cs="宋体"/>
                <w:bCs/>
                <w:szCs w:val="21"/>
                <w:highlight w:val="none"/>
              </w:rPr>
            </w:pPr>
          </w:p>
          <w:p>
            <w:pPr>
              <w:ind w:firstLine="480"/>
              <w:rPr>
                <w:rFonts w:ascii="宋体" w:hAnsi="宋体" w:cs="宋体"/>
                <w:bCs/>
                <w:szCs w:val="21"/>
                <w:highlight w:val="none"/>
              </w:rPr>
            </w:pPr>
          </w:p>
        </w:tc>
        <w:tc>
          <w:tcPr>
            <w:tcW w:w="2499" w:type="pct"/>
          </w:tcPr>
          <w:p>
            <w:pPr>
              <w:ind w:firstLine="480"/>
              <w:rPr>
                <w:rFonts w:ascii="宋体" w:hAnsi="宋体" w:cs="宋体"/>
                <w:bCs/>
                <w:szCs w:val="21"/>
                <w:highlight w:val="none"/>
              </w:rPr>
            </w:pPr>
            <w:r>
              <w:rPr>
                <w:rFonts w:hint="eastAsia" w:ascii="宋体" w:hAnsi="宋体" w:cs="宋体"/>
                <w:bCs/>
                <w:szCs w:val="21"/>
                <w:highlight w:val="none"/>
              </w:rPr>
              <w:t>法定代表人身份证明背面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2500" w:type="pct"/>
          </w:tcPr>
          <w:p>
            <w:pPr>
              <w:ind w:firstLine="480"/>
              <w:rPr>
                <w:rFonts w:ascii="宋体" w:hAnsi="宋体" w:cs="宋体"/>
                <w:bCs/>
                <w:szCs w:val="21"/>
                <w:highlight w:val="none"/>
              </w:rPr>
            </w:pPr>
            <w:r>
              <w:rPr>
                <w:rFonts w:hint="eastAsia" w:ascii="宋体" w:hAnsi="宋体" w:cs="宋体"/>
                <w:bCs/>
                <w:szCs w:val="21"/>
                <w:highlight w:val="none"/>
              </w:rPr>
              <w:t>投标代表人身份证明正面</w:t>
            </w:r>
          </w:p>
          <w:p>
            <w:pPr>
              <w:ind w:firstLine="480"/>
              <w:rPr>
                <w:rFonts w:ascii="宋体" w:hAnsi="宋体" w:cs="宋体"/>
                <w:bCs/>
                <w:szCs w:val="21"/>
                <w:highlight w:val="none"/>
              </w:rPr>
            </w:pPr>
          </w:p>
          <w:p>
            <w:pPr>
              <w:ind w:firstLine="480"/>
              <w:rPr>
                <w:rFonts w:ascii="宋体" w:hAnsi="宋体" w:cs="宋体"/>
                <w:bCs/>
                <w:szCs w:val="21"/>
                <w:highlight w:val="none"/>
              </w:rPr>
            </w:pPr>
          </w:p>
        </w:tc>
        <w:tc>
          <w:tcPr>
            <w:tcW w:w="2499" w:type="pct"/>
          </w:tcPr>
          <w:p>
            <w:pPr>
              <w:ind w:firstLine="480"/>
              <w:rPr>
                <w:rFonts w:ascii="宋体" w:hAnsi="宋体" w:cs="宋体"/>
                <w:bCs/>
                <w:szCs w:val="21"/>
                <w:highlight w:val="none"/>
              </w:rPr>
            </w:pPr>
            <w:r>
              <w:rPr>
                <w:rFonts w:hint="eastAsia" w:ascii="宋体" w:hAnsi="宋体" w:cs="宋体"/>
                <w:bCs/>
                <w:szCs w:val="21"/>
                <w:highlight w:val="none"/>
              </w:rPr>
              <w:t>投标代表人身份证明背面</w:t>
            </w:r>
          </w:p>
        </w:tc>
      </w:tr>
    </w:tbl>
    <w:p>
      <w:pPr>
        <w:pStyle w:val="2"/>
        <w:spacing w:line="360" w:lineRule="auto"/>
        <w:rPr>
          <w:rFonts w:ascii="宋体" w:hAnsi="宋体" w:eastAsia="宋体" w:cs="宋体"/>
          <w:bCs/>
          <w:color w:val="auto"/>
          <w:highlight w:val="none"/>
        </w:rPr>
      </w:pPr>
    </w:p>
    <w:p>
      <w:pPr>
        <w:ind w:right="84" w:firstLine="480"/>
        <w:rPr>
          <w:rFonts w:ascii="宋体" w:hAnsi="宋体" w:cs="宋体"/>
          <w:bCs/>
          <w:highlight w:val="none"/>
        </w:rPr>
      </w:pPr>
    </w:p>
    <w:p>
      <w:pPr>
        <w:pStyle w:val="20"/>
        <w:snapToGrid w:val="0"/>
        <w:spacing w:before="0" w:beforeAutospacing="0" w:after="0" w:afterAutospacing="0"/>
        <w:ind w:firstLine="480"/>
        <w:rPr>
          <w:rFonts w:ascii="宋体" w:hAnsi="宋体" w:cs="宋体"/>
          <w:bCs/>
          <w:highlight w:val="none"/>
        </w:rPr>
      </w:pPr>
      <w:r>
        <w:rPr>
          <w:rFonts w:hint="eastAsia" w:ascii="宋体" w:hAnsi="宋体" w:cs="宋体"/>
          <w:bCs/>
          <w:highlight w:val="none"/>
        </w:rPr>
        <w:br w:type="page"/>
      </w:r>
      <w:bookmarkStart w:id="40" w:name="_Toc23130"/>
      <w:r>
        <w:rPr>
          <w:rFonts w:hint="eastAsia" w:ascii="宋体" w:hAnsi="宋体" w:cs="宋体"/>
          <w:bCs/>
          <w:highlight w:val="none"/>
        </w:rPr>
        <w:t>附件</w:t>
      </w:r>
      <w:bookmarkEnd w:id="40"/>
      <w:r>
        <w:rPr>
          <w:rFonts w:hint="eastAsia" w:ascii="宋体" w:hAnsi="宋体" w:cs="宋体"/>
          <w:bCs/>
          <w:highlight w:val="none"/>
        </w:rPr>
        <w:t>8</w:t>
      </w:r>
    </w:p>
    <w:p>
      <w:pPr>
        <w:pStyle w:val="2"/>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人员情况表</w:t>
      </w:r>
    </w:p>
    <w:p>
      <w:pPr>
        <w:ind w:firstLine="480"/>
        <w:rPr>
          <w:rFonts w:ascii="宋体" w:hAnsi="宋体" w:cs="宋体"/>
          <w:bCs/>
          <w:highlight w:val="none"/>
        </w:rPr>
      </w:pPr>
      <w:r>
        <w:rPr>
          <w:rFonts w:hint="eastAsia" w:ascii="宋体" w:hAnsi="宋体" w:cs="宋体"/>
          <w:bCs/>
          <w:highlight w:val="none"/>
        </w:rPr>
        <w:t>项目名称：</w:t>
      </w:r>
    </w:p>
    <w:p>
      <w:pPr>
        <w:ind w:firstLine="480"/>
        <w:rPr>
          <w:rFonts w:ascii="宋体" w:hAnsi="宋体" w:cs="宋体"/>
          <w:bCs/>
          <w:highlight w:val="none"/>
        </w:rPr>
      </w:pPr>
      <w:r>
        <w:rPr>
          <w:rFonts w:hint="eastAsia" w:ascii="宋体" w:hAnsi="宋体" w:cs="宋体"/>
          <w:bCs/>
          <w:highlight w:val="none"/>
        </w:rPr>
        <w:t>项目编号：</w:t>
      </w:r>
    </w:p>
    <w:p>
      <w:pPr>
        <w:pStyle w:val="2"/>
        <w:spacing w:line="360" w:lineRule="auto"/>
        <w:rPr>
          <w:rFonts w:ascii="宋体" w:hAnsi="宋体" w:eastAsia="宋体" w:cs="宋体"/>
          <w:bCs/>
          <w:color w:val="auto"/>
          <w:highlight w:val="none"/>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268"/>
        <w:gridCol w:w="142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90" w:type="pct"/>
            <w:vAlign w:val="center"/>
          </w:tcPr>
          <w:p>
            <w:pPr>
              <w:ind w:firstLine="0" w:firstLineChars="0"/>
              <w:rPr>
                <w:rFonts w:ascii="宋体" w:hAnsi="宋体" w:cs="宋体"/>
                <w:bCs/>
                <w:highlight w:val="none"/>
              </w:rPr>
            </w:pPr>
            <w:r>
              <w:rPr>
                <w:rFonts w:hint="eastAsia" w:ascii="宋体" w:hAnsi="宋体" w:cs="宋体"/>
                <w:bCs/>
                <w:highlight w:val="none"/>
              </w:rPr>
              <w:t>职责分工</w:t>
            </w:r>
          </w:p>
        </w:tc>
        <w:tc>
          <w:tcPr>
            <w:tcW w:w="637" w:type="pct"/>
            <w:vAlign w:val="center"/>
          </w:tcPr>
          <w:p>
            <w:pPr>
              <w:ind w:firstLine="0" w:firstLineChars="0"/>
              <w:rPr>
                <w:rFonts w:ascii="宋体" w:hAnsi="宋体" w:cs="宋体"/>
                <w:bCs/>
                <w:highlight w:val="none"/>
              </w:rPr>
            </w:pPr>
            <w:r>
              <w:rPr>
                <w:rFonts w:hint="eastAsia" w:ascii="宋体" w:hAnsi="宋体" w:cs="宋体"/>
                <w:bCs/>
                <w:highlight w:val="none"/>
              </w:rPr>
              <w:t>姓名</w:t>
            </w:r>
          </w:p>
        </w:tc>
        <w:tc>
          <w:tcPr>
            <w:tcW w:w="714" w:type="pct"/>
            <w:vAlign w:val="center"/>
          </w:tcPr>
          <w:p>
            <w:pPr>
              <w:ind w:firstLine="0" w:firstLineChars="0"/>
              <w:rPr>
                <w:rFonts w:ascii="宋体" w:hAnsi="宋体" w:cs="宋体"/>
                <w:bCs/>
                <w:highlight w:val="none"/>
              </w:rPr>
            </w:pPr>
            <w:r>
              <w:rPr>
                <w:rFonts w:hint="eastAsia" w:ascii="宋体" w:hAnsi="宋体" w:cs="宋体"/>
                <w:bCs/>
                <w:highlight w:val="none"/>
              </w:rPr>
              <w:t>现职务</w:t>
            </w:r>
          </w:p>
        </w:tc>
        <w:tc>
          <w:tcPr>
            <w:tcW w:w="714" w:type="pct"/>
            <w:vAlign w:val="center"/>
          </w:tcPr>
          <w:p>
            <w:pPr>
              <w:ind w:firstLine="0" w:firstLineChars="0"/>
              <w:rPr>
                <w:rFonts w:ascii="宋体" w:hAnsi="宋体" w:cs="宋体"/>
                <w:bCs/>
                <w:highlight w:val="none"/>
              </w:rPr>
            </w:pPr>
            <w:r>
              <w:rPr>
                <w:rFonts w:hint="eastAsia" w:ascii="宋体" w:hAnsi="宋体" w:cs="宋体"/>
                <w:bCs/>
                <w:highlight w:val="none"/>
              </w:rPr>
              <w:t>曾主持/参与的同类项目经历</w:t>
            </w:r>
          </w:p>
        </w:tc>
        <w:tc>
          <w:tcPr>
            <w:tcW w:w="714" w:type="pct"/>
            <w:vAlign w:val="center"/>
          </w:tcPr>
          <w:p>
            <w:pPr>
              <w:ind w:firstLine="0" w:firstLineChars="0"/>
              <w:rPr>
                <w:rFonts w:ascii="宋体" w:hAnsi="宋体" w:cs="宋体"/>
                <w:bCs/>
                <w:highlight w:val="none"/>
              </w:rPr>
            </w:pPr>
            <w:r>
              <w:rPr>
                <w:rFonts w:hint="eastAsia" w:ascii="宋体" w:hAnsi="宋体" w:cs="宋体"/>
                <w:bCs/>
                <w:highlight w:val="none"/>
              </w:rPr>
              <w:t>职称</w:t>
            </w:r>
          </w:p>
        </w:tc>
        <w:tc>
          <w:tcPr>
            <w:tcW w:w="714" w:type="pct"/>
            <w:vAlign w:val="center"/>
          </w:tcPr>
          <w:p>
            <w:pPr>
              <w:ind w:firstLine="0" w:firstLineChars="0"/>
              <w:rPr>
                <w:rFonts w:ascii="宋体" w:hAnsi="宋体" w:cs="宋体"/>
                <w:bCs/>
                <w:highlight w:val="none"/>
              </w:rPr>
            </w:pPr>
            <w:r>
              <w:rPr>
                <w:rFonts w:hint="eastAsia" w:ascii="宋体" w:hAnsi="宋体" w:cs="宋体"/>
                <w:bCs/>
                <w:highlight w:val="none"/>
              </w:rPr>
              <w:t>专业工龄</w:t>
            </w:r>
          </w:p>
        </w:tc>
        <w:tc>
          <w:tcPr>
            <w:tcW w:w="714" w:type="pct"/>
            <w:vAlign w:val="center"/>
          </w:tcPr>
          <w:p>
            <w:pPr>
              <w:ind w:firstLine="0" w:firstLineChars="0"/>
              <w:rPr>
                <w:rFonts w:ascii="宋体" w:hAnsi="宋体" w:cs="宋体"/>
                <w:bCs/>
                <w:highlight w:val="none"/>
              </w:rPr>
            </w:pPr>
            <w:r>
              <w:rPr>
                <w:rFonts w:hint="eastAsia" w:ascii="宋体" w:hAnsi="宋体" w:cs="宋体"/>
                <w:bCs/>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0" w:type="pct"/>
            <w:vAlign w:val="center"/>
          </w:tcPr>
          <w:p>
            <w:pPr>
              <w:ind w:firstLine="480"/>
              <w:jc w:val="center"/>
              <w:rPr>
                <w:rFonts w:ascii="宋体" w:hAnsi="宋体" w:cs="宋体"/>
                <w:bCs/>
                <w:highlight w:val="none"/>
              </w:rPr>
            </w:pPr>
          </w:p>
        </w:tc>
        <w:tc>
          <w:tcPr>
            <w:tcW w:w="637"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pct"/>
            <w:vAlign w:val="center"/>
          </w:tcPr>
          <w:p>
            <w:pPr>
              <w:ind w:firstLine="480"/>
              <w:jc w:val="center"/>
              <w:rPr>
                <w:rFonts w:ascii="宋体" w:hAnsi="宋体" w:cs="宋体"/>
                <w:bCs/>
                <w:highlight w:val="none"/>
              </w:rPr>
            </w:pPr>
          </w:p>
        </w:tc>
        <w:tc>
          <w:tcPr>
            <w:tcW w:w="637"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pct"/>
            <w:vAlign w:val="center"/>
          </w:tcPr>
          <w:p>
            <w:pPr>
              <w:ind w:firstLine="480"/>
              <w:jc w:val="center"/>
              <w:rPr>
                <w:rFonts w:ascii="宋体" w:hAnsi="宋体" w:cs="宋体"/>
                <w:bCs/>
                <w:highlight w:val="none"/>
              </w:rPr>
            </w:pPr>
          </w:p>
        </w:tc>
        <w:tc>
          <w:tcPr>
            <w:tcW w:w="637"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pct"/>
            <w:vAlign w:val="center"/>
          </w:tcPr>
          <w:p>
            <w:pPr>
              <w:ind w:firstLine="480"/>
              <w:jc w:val="center"/>
              <w:rPr>
                <w:rFonts w:ascii="宋体" w:hAnsi="宋体" w:cs="宋体"/>
                <w:bCs/>
                <w:highlight w:val="none"/>
              </w:rPr>
            </w:pPr>
          </w:p>
        </w:tc>
        <w:tc>
          <w:tcPr>
            <w:tcW w:w="637"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pct"/>
            <w:vAlign w:val="center"/>
          </w:tcPr>
          <w:p>
            <w:pPr>
              <w:ind w:firstLine="480"/>
              <w:jc w:val="center"/>
              <w:rPr>
                <w:rFonts w:ascii="宋体" w:hAnsi="宋体" w:cs="宋体"/>
                <w:bCs/>
                <w:highlight w:val="none"/>
              </w:rPr>
            </w:pPr>
          </w:p>
        </w:tc>
        <w:tc>
          <w:tcPr>
            <w:tcW w:w="637"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0" w:type="pct"/>
            <w:vAlign w:val="center"/>
          </w:tcPr>
          <w:p>
            <w:pPr>
              <w:ind w:firstLine="480"/>
              <w:jc w:val="center"/>
              <w:rPr>
                <w:rFonts w:ascii="宋体" w:hAnsi="宋体" w:cs="宋体"/>
                <w:bCs/>
                <w:highlight w:val="none"/>
              </w:rPr>
            </w:pPr>
          </w:p>
        </w:tc>
        <w:tc>
          <w:tcPr>
            <w:tcW w:w="637"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c>
          <w:tcPr>
            <w:tcW w:w="714" w:type="pct"/>
            <w:vAlign w:val="center"/>
          </w:tcPr>
          <w:p>
            <w:pPr>
              <w:ind w:firstLine="480"/>
              <w:jc w:val="center"/>
              <w:rPr>
                <w:rFonts w:ascii="宋体" w:hAnsi="宋体" w:cs="宋体"/>
                <w:bCs/>
                <w:highlight w:val="none"/>
              </w:rPr>
            </w:pPr>
          </w:p>
        </w:tc>
      </w:tr>
    </w:tbl>
    <w:p>
      <w:pPr>
        <w:pStyle w:val="33"/>
        <w:adjustRightInd w:val="0"/>
        <w:snapToGrid w:val="0"/>
        <w:spacing w:line="360" w:lineRule="auto"/>
        <w:ind w:firstLine="0" w:firstLineChars="0"/>
        <w:rPr>
          <w:rFonts w:ascii="宋体" w:hAnsi="宋体" w:cs="宋体"/>
          <w:bCs/>
          <w:sz w:val="24"/>
          <w:highlight w:val="none"/>
        </w:rPr>
      </w:pPr>
      <w:r>
        <w:rPr>
          <w:rFonts w:hint="eastAsia" w:ascii="宋体" w:hAnsi="宋体" w:cs="宋体"/>
          <w:bCs/>
          <w:sz w:val="24"/>
          <w:highlight w:val="none"/>
        </w:rPr>
        <w:t>注：如本表人员具备证书附后</w:t>
      </w:r>
    </w:p>
    <w:p>
      <w:pPr>
        <w:pStyle w:val="20"/>
        <w:snapToGrid w:val="0"/>
        <w:spacing w:before="0" w:beforeAutospacing="0" w:after="0" w:afterAutospacing="0"/>
        <w:ind w:firstLine="480"/>
        <w:rPr>
          <w:rFonts w:ascii="宋体" w:hAnsi="宋体" w:cs="宋体"/>
          <w:bCs/>
          <w:highlight w:val="none"/>
        </w:rPr>
      </w:pPr>
    </w:p>
    <w:p>
      <w:pPr>
        <w:ind w:firstLine="480"/>
        <w:rPr>
          <w:rFonts w:ascii="宋体" w:hAnsi="宋体" w:cs="宋体"/>
          <w:highlight w:val="none"/>
        </w:rPr>
      </w:pPr>
      <w:r>
        <w:rPr>
          <w:rFonts w:hint="eastAsia" w:ascii="宋体" w:hAnsi="宋体" w:cs="宋体"/>
          <w:highlight w:val="none"/>
        </w:rPr>
        <w:t>投标人代表签字：_______________</w:t>
      </w:r>
    </w:p>
    <w:p>
      <w:pPr>
        <w:ind w:firstLine="480"/>
        <w:rPr>
          <w:rFonts w:ascii="宋体" w:hAnsi="宋体" w:cs="宋体"/>
          <w:highlight w:val="none"/>
        </w:rPr>
      </w:pPr>
      <w:r>
        <w:rPr>
          <w:rFonts w:hint="eastAsia" w:ascii="宋体" w:hAnsi="宋体" w:cs="宋体"/>
          <w:highlight w:val="none"/>
        </w:rPr>
        <w:t>职务：_________日期：__________</w:t>
      </w:r>
    </w:p>
    <w:p>
      <w:pPr>
        <w:snapToGrid w:val="0"/>
        <w:ind w:firstLine="480"/>
        <w:rPr>
          <w:rFonts w:ascii="宋体" w:hAnsi="宋体" w:cs="宋体"/>
          <w:bCs/>
          <w:highlight w:val="none"/>
        </w:rPr>
      </w:pPr>
      <w:r>
        <w:rPr>
          <w:rFonts w:hint="eastAsia" w:ascii="宋体" w:hAnsi="宋体" w:cs="宋体"/>
          <w:highlight w:val="none"/>
        </w:rPr>
        <w:t>投标人名称（公章）：____________</w:t>
      </w:r>
    </w:p>
    <w:p>
      <w:pPr>
        <w:ind w:firstLine="480"/>
        <w:rPr>
          <w:rFonts w:ascii="宋体" w:hAnsi="宋体" w:cs="宋体"/>
          <w:bCs/>
          <w:highlight w:val="none"/>
        </w:rPr>
      </w:pPr>
      <w:r>
        <w:rPr>
          <w:rFonts w:ascii="宋体" w:hAnsi="宋体" w:cs="宋体"/>
          <w:bCs/>
          <w:highlight w:val="none"/>
        </w:rPr>
        <w:br w:type="page"/>
      </w:r>
    </w:p>
    <w:p>
      <w:pPr>
        <w:ind w:firstLine="480"/>
        <w:rPr>
          <w:rFonts w:hint="eastAsia"/>
          <w:highlight w:val="none"/>
        </w:rPr>
      </w:pPr>
      <w:bookmarkStart w:id="41" w:name="_Toc17272"/>
      <w:r>
        <w:rPr>
          <w:rFonts w:hint="eastAsia"/>
          <w:highlight w:val="none"/>
        </w:rPr>
        <w:t>附件9</w:t>
      </w:r>
    </w:p>
    <w:p>
      <w:pPr>
        <w:pStyle w:val="11"/>
        <w:rPr>
          <w:rFonts w:hint="default" w:eastAsia="宋体"/>
          <w:lang w:val="en-US" w:eastAsia="zh-CN"/>
        </w:rPr>
      </w:pPr>
      <w:r>
        <w:rPr>
          <w:rFonts w:hint="eastAsia"/>
          <w:lang w:val="en-US" w:eastAsia="zh-CN"/>
        </w:rPr>
        <w:t>本项目所属行业：零售业</w:t>
      </w:r>
    </w:p>
    <w:p>
      <w:pPr>
        <w:pStyle w:val="20"/>
        <w:snapToGrid w:val="0"/>
        <w:spacing w:before="0" w:beforeAutospacing="0" w:after="0" w:afterAutospacing="0" w:line="360" w:lineRule="auto"/>
        <w:jc w:val="center"/>
        <w:rPr>
          <w:rFonts w:hint="eastAsia" w:ascii="宋体" w:hAnsi="宋体" w:eastAsia="宋体" w:cs="宋体"/>
          <w:bCs/>
        </w:rPr>
      </w:pPr>
      <w:r>
        <w:rPr>
          <w:rFonts w:hint="eastAsia" w:ascii="宋体" w:hAnsi="宋体" w:eastAsia="宋体" w:cs="宋体"/>
          <w:bCs/>
        </w:rPr>
        <w:t>中小企业声明函</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（含联合体中的中小企业、签订分包意向协议的中小企业）的具体情况如下：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w:t>
      </w:r>
      <w:r>
        <w:rPr>
          <w:rFonts w:hint="eastAsia" w:ascii="宋体" w:hAnsi="宋体" w:eastAsia="宋体" w:cs="宋体"/>
          <w:sz w:val="24"/>
          <w:szCs w:val="24"/>
          <w:u w:val="single"/>
        </w:rPr>
        <w:t>于（中型企业、小型企业、微型企业）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企业名称（盖章）：</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日期：</w:t>
      </w:r>
    </w:p>
    <w:p>
      <w:pPr>
        <w:spacing w:line="460" w:lineRule="exact"/>
        <w:jc w:val="center"/>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br w:type="page"/>
      </w:r>
      <w:r>
        <w:rPr>
          <w:rFonts w:hint="eastAsia" w:ascii="宋体" w:hAnsi="宋体" w:eastAsia="宋体" w:cs="宋体"/>
          <w:b w:val="0"/>
          <w:bCs w:val="0"/>
          <w:sz w:val="24"/>
          <w:highlight w:val="none"/>
        </w:rPr>
        <w:t>监狱企业声明函</w:t>
      </w:r>
    </w:p>
    <w:p>
      <w:pPr>
        <w:spacing w:line="4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    本公司郑重声明，根据《关于政府采购支持监狱企业发展有关问题的通知》（财库[2014]68号）的规定，本公司为______（请填写：是/不是）监狱企业。</w:t>
      </w:r>
    </w:p>
    <w:p>
      <w:pPr>
        <w:spacing w:line="4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本公司对上述声明的真实性负责。如有虚假，将依法承担相应责任。</w:t>
      </w:r>
    </w:p>
    <w:p>
      <w:pPr>
        <w:spacing w:line="240" w:lineRule="atLeast"/>
        <w:jc w:val="left"/>
        <w:rPr>
          <w:rFonts w:hint="eastAsia" w:ascii="宋体" w:hAnsi="宋体" w:eastAsia="宋体" w:cs="宋体"/>
          <w:b w:val="0"/>
          <w:bCs w:val="0"/>
          <w:sz w:val="24"/>
          <w:highlight w:val="none"/>
        </w:rPr>
      </w:pPr>
    </w:p>
    <w:p>
      <w:pPr>
        <w:spacing w:line="460" w:lineRule="exact"/>
        <w:ind w:firstLine="4800" w:firstLineChars="20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供应商（盖章）：</w:t>
      </w:r>
    </w:p>
    <w:p>
      <w:pPr>
        <w:spacing w:line="460" w:lineRule="exact"/>
        <w:ind w:firstLine="4800" w:firstLineChars="20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日期：     年     月     日</w:t>
      </w:r>
    </w:p>
    <w:p>
      <w:pPr>
        <w:pStyle w:val="2"/>
        <w:rPr>
          <w:rFonts w:hint="eastAsia" w:ascii="宋体" w:hAnsi="宋体" w:eastAsia="宋体" w:cs="宋体"/>
          <w:b w:val="0"/>
          <w:bCs w:val="0"/>
          <w:spacing w:val="6"/>
          <w:sz w:val="30"/>
          <w:szCs w:val="30"/>
          <w:highlight w:val="none"/>
        </w:rPr>
      </w:pPr>
    </w:p>
    <w:p>
      <w:pPr>
        <w:snapToGrid w:val="0"/>
        <w:spacing w:line="360" w:lineRule="auto"/>
        <w:ind w:firstLine="480" w:firstLineChars="200"/>
        <w:jc w:val="center"/>
        <w:rPr>
          <w:rFonts w:hint="eastAsia" w:ascii="宋体" w:hAnsi="宋体" w:eastAsia="宋体" w:cs="宋体"/>
          <w:b w:val="0"/>
          <w:bCs w:val="0"/>
          <w:sz w:val="24"/>
          <w:szCs w:val="21"/>
          <w:highlight w:val="none"/>
        </w:rPr>
      </w:pPr>
      <w:r>
        <w:rPr>
          <w:rFonts w:hint="eastAsia" w:ascii="宋体" w:hAnsi="宋体" w:eastAsia="宋体" w:cs="宋体"/>
          <w:b w:val="0"/>
          <w:bCs w:val="0"/>
          <w:sz w:val="24"/>
          <w:highlight w:val="none"/>
        </w:rPr>
        <w:t>残疾人福利性单位声明函（代理商）</w:t>
      </w:r>
    </w:p>
    <w:p>
      <w:pPr>
        <w:snapToGrid w:val="0"/>
        <w:spacing w:line="360" w:lineRule="auto"/>
        <w:ind w:firstLine="480" w:firstLineChars="2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本单位郑重声明，根据《财政部民政部中国残疾人联合会关于促进残疾人就业政府采购政策的通知》（财库〔2017〕141号）的规定，本单位为</w:t>
      </w:r>
      <w:r>
        <w:rPr>
          <w:rFonts w:hint="eastAsia" w:ascii="宋体" w:hAnsi="宋体" w:eastAsia="宋体" w:cs="宋体"/>
          <w:b w:val="0"/>
          <w:bCs w:val="0"/>
          <w:sz w:val="24"/>
          <w:szCs w:val="21"/>
          <w:highlight w:val="none"/>
          <w:u w:val="single"/>
        </w:rPr>
        <w:t xml:space="preserve">    </w:t>
      </w:r>
      <w:r>
        <w:rPr>
          <w:rFonts w:hint="eastAsia" w:ascii="宋体" w:hAnsi="宋体" w:eastAsia="宋体" w:cs="宋体"/>
          <w:b w:val="0"/>
          <w:bCs w:val="0"/>
          <w:sz w:val="24"/>
          <w:highlight w:val="none"/>
        </w:rPr>
        <w:t>（请填写：符合/不符合）</w:t>
      </w:r>
      <w:r>
        <w:rPr>
          <w:rFonts w:hint="eastAsia" w:ascii="宋体" w:hAnsi="宋体" w:eastAsia="宋体" w:cs="宋体"/>
          <w:b w:val="0"/>
          <w:bCs w:val="0"/>
          <w:sz w:val="24"/>
          <w:szCs w:val="21"/>
          <w:highlight w:val="none"/>
        </w:rPr>
        <w:t>条件的残疾人福利性单位。</w:t>
      </w:r>
    </w:p>
    <w:p>
      <w:pPr>
        <w:snapToGrid w:val="0"/>
        <w:spacing w:line="360" w:lineRule="auto"/>
        <w:ind w:firstLine="480" w:firstLineChars="2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本单位对上述声明的真实性负责。如有虚假，将依法承担相应责任。</w:t>
      </w:r>
    </w:p>
    <w:p>
      <w:pPr>
        <w:snapToGrid w:val="0"/>
        <w:ind w:firstLine="4800" w:firstLineChars="2000"/>
        <w:rPr>
          <w:rFonts w:hint="eastAsia" w:ascii="宋体" w:hAnsi="宋体" w:eastAsia="宋体" w:cs="宋体"/>
          <w:b w:val="0"/>
          <w:bCs w:val="0"/>
          <w:sz w:val="24"/>
          <w:szCs w:val="21"/>
          <w:highlight w:val="none"/>
        </w:rPr>
      </w:pPr>
    </w:p>
    <w:p>
      <w:pPr>
        <w:snapToGrid w:val="0"/>
        <w:spacing w:line="360" w:lineRule="auto"/>
        <w:ind w:firstLine="4800" w:firstLineChars="20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供应商名称：</w:t>
      </w:r>
    </w:p>
    <w:p>
      <w:pPr>
        <w:snapToGrid w:val="0"/>
        <w:spacing w:line="360" w:lineRule="auto"/>
        <w:ind w:firstLine="4800" w:firstLineChars="20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日期：20  年  月 日</w:t>
      </w:r>
    </w:p>
    <w:p>
      <w:pPr>
        <w:snapToGrid w:val="0"/>
        <w:spacing w:line="360" w:lineRule="auto"/>
        <w:ind w:firstLine="480" w:firstLineChars="200"/>
        <w:rPr>
          <w:rFonts w:hint="eastAsia" w:ascii="宋体" w:hAnsi="宋体" w:eastAsia="宋体" w:cs="宋体"/>
          <w:b w:val="0"/>
          <w:bCs w:val="0"/>
          <w:highlight w:val="none"/>
        </w:rPr>
      </w:pPr>
      <w:r>
        <w:rPr>
          <w:rFonts w:hint="eastAsia" w:ascii="宋体" w:hAnsi="宋体" w:eastAsia="宋体" w:cs="宋体"/>
          <w:b w:val="0"/>
          <w:bCs w:val="0"/>
          <w:sz w:val="24"/>
          <w:szCs w:val="21"/>
          <w:highlight w:val="none"/>
        </w:rPr>
        <w:t>注：提供其他残疾人福利性单位制造的货物，必须同时提供该残疾人福利性单位的声明函。</w:t>
      </w:r>
    </w:p>
    <w:p>
      <w:pPr>
        <w:widowControl/>
        <w:spacing w:line="360" w:lineRule="auto"/>
        <w:ind w:firstLine="1920" w:firstLineChars="8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残疾人福利性单位声明函（制造商）</w:t>
      </w:r>
    </w:p>
    <w:p>
      <w:pPr>
        <w:pStyle w:val="2"/>
        <w:rPr>
          <w:rFonts w:hint="eastAsia" w:ascii="宋体" w:hAnsi="宋体" w:eastAsia="宋体" w:cs="宋体"/>
          <w:b w:val="0"/>
          <w:bCs w:val="0"/>
          <w:highlight w:val="none"/>
        </w:rPr>
      </w:pPr>
    </w:p>
    <w:p>
      <w:pPr>
        <w:snapToGrid w:val="0"/>
        <w:spacing w:line="360" w:lineRule="auto"/>
        <w:ind w:firstLine="480" w:firstLineChars="2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本单位郑重声明，根据《财政部民政部中国残疾人联合会关于促进残疾人就业政府采购政策的通知》（财库〔2017〕141号）的规定，本单位为</w:t>
      </w:r>
      <w:r>
        <w:rPr>
          <w:rFonts w:hint="eastAsia" w:ascii="宋体" w:hAnsi="宋体" w:eastAsia="宋体" w:cs="宋体"/>
          <w:b w:val="0"/>
          <w:bCs w:val="0"/>
          <w:sz w:val="24"/>
          <w:szCs w:val="21"/>
          <w:highlight w:val="none"/>
          <w:u w:val="single"/>
        </w:rPr>
        <w:t xml:space="preserve">    </w:t>
      </w:r>
      <w:r>
        <w:rPr>
          <w:rFonts w:hint="eastAsia" w:ascii="宋体" w:hAnsi="宋体" w:eastAsia="宋体" w:cs="宋体"/>
          <w:b w:val="0"/>
          <w:bCs w:val="0"/>
          <w:sz w:val="24"/>
          <w:highlight w:val="none"/>
        </w:rPr>
        <w:t>（请填写：符合/不符合）</w:t>
      </w:r>
      <w:r>
        <w:rPr>
          <w:rFonts w:hint="eastAsia" w:ascii="宋体" w:hAnsi="宋体" w:eastAsia="宋体" w:cs="宋体"/>
          <w:b w:val="0"/>
          <w:bCs w:val="0"/>
          <w:sz w:val="24"/>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本单位对上述声明的真实性负责。如有虚假，将依法承担相应责任。</w:t>
      </w:r>
    </w:p>
    <w:p>
      <w:pPr>
        <w:snapToGrid w:val="0"/>
        <w:spacing w:line="360" w:lineRule="auto"/>
        <w:ind w:firstLine="4800" w:firstLineChars="20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制造商（单位公章）：</w:t>
      </w:r>
    </w:p>
    <w:p>
      <w:pPr>
        <w:snapToGrid w:val="0"/>
        <w:spacing w:line="360" w:lineRule="auto"/>
        <w:ind w:firstLine="4800" w:firstLineChars="2000"/>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日期：20   年  月  日</w:t>
      </w:r>
    </w:p>
    <w:p>
      <w:pPr>
        <w:pStyle w:val="2"/>
        <w:rPr>
          <w:rFonts w:hint="eastAsia" w:ascii="宋体" w:hAnsi="宋体" w:eastAsia="宋体" w:cs="宋体"/>
          <w:b w:val="0"/>
          <w:bCs w:val="0"/>
          <w:highlight w:val="none"/>
        </w:rPr>
      </w:pPr>
      <w:r>
        <w:rPr>
          <w:rFonts w:hint="eastAsia" w:ascii="宋体" w:hAnsi="宋体" w:eastAsia="宋体" w:cs="宋体"/>
          <w:b w:val="0"/>
          <w:bCs w:val="0"/>
          <w:szCs w:val="21"/>
          <w:highlight w:val="none"/>
        </w:rPr>
        <w:t>注：磋商响应文件中提供加盖制造商公章的复印件，如不提供不予认定。</w:t>
      </w:r>
    </w:p>
    <w:p>
      <w:pPr>
        <w:ind w:firstLine="480"/>
        <w:rPr>
          <w:rFonts w:ascii="宋体" w:hAnsi="宋体" w:cs="宋体"/>
          <w:bCs/>
          <w:highlight w:val="none"/>
        </w:rPr>
      </w:pPr>
      <w:r>
        <w:rPr>
          <w:rFonts w:hint="eastAsia" w:ascii="宋体" w:hAnsi="宋体" w:cs="宋体"/>
          <w:bCs/>
          <w:highlight w:val="none"/>
        </w:rPr>
        <w:br w:type="page"/>
      </w:r>
    </w:p>
    <w:p>
      <w:pPr>
        <w:pStyle w:val="20"/>
        <w:snapToGrid w:val="0"/>
        <w:spacing w:before="0" w:beforeAutospacing="0" w:after="0" w:afterAutospacing="0"/>
        <w:ind w:firstLine="480"/>
        <w:rPr>
          <w:rFonts w:ascii="宋体" w:hAnsi="宋体" w:cs="宋体"/>
          <w:bCs/>
          <w:highlight w:val="none"/>
        </w:rPr>
      </w:pPr>
      <w:r>
        <w:rPr>
          <w:rFonts w:hint="eastAsia" w:ascii="宋体" w:hAnsi="宋体" w:cs="宋体"/>
          <w:bCs/>
          <w:highlight w:val="none"/>
        </w:rPr>
        <w:t>附件10技术服务方案（投标人自行编写）；</w:t>
      </w:r>
      <w:bookmarkEnd w:id="41"/>
    </w:p>
    <w:p>
      <w:pPr>
        <w:pStyle w:val="20"/>
        <w:snapToGrid w:val="0"/>
        <w:spacing w:before="0" w:beforeAutospacing="0" w:after="0" w:afterAutospacing="0"/>
        <w:ind w:firstLine="480"/>
        <w:rPr>
          <w:rFonts w:ascii="宋体" w:hAnsi="宋体" w:cs="宋体"/>
          <w:bCs/>
          <w:highlight w:val="none"/>
        </w:rPr>
      </w:pPr>
      <w:bookmarkStart w:id="42" w:name="_Toc7"/>
      <w:r>
        <w:rPr>
          <w:rFonts w:hint="eastAsia" w:ascii="宋体" w:hAnsi="宋体" w:cs="宋体"/>
          <w:bCs/>
          <w:highlight w:val="none"/>
        </w:rPr>
        <w:t>附件11投标人认为需要提交的其他资料；</w:t>
      </w:r>
      <w:bookmarkEnd w:id="42"/>
    </w:p>
    <w:p>
      <w:pPr>
        <w:ind w:firstLine="480"/>
        <w:rPr>
          <w:rFonts w:ascii="宋体" w:hAnsi="宋体" w:cs="宋体"/>
          <w:bCs/>
          <w:highlight w:val="none"/>
        </w:rPr>
      </w:pPr>
      <w:r>
        <w:rPr>
          <w:rFonts w:hint="eastAsia" w:ascii="宋体" w:hAnsi="宋体" w:cs="宋体"/>
          <w:bCs/>
          <w:highlight w:val="none"/>
        </w:rPr>
        <w:br w:type="page"/>
      </w:r>
    </w:p>
    <w:p>
      <w:pPr>
        <w:pStyle w:val="20"/>
        <w:widowControl/>
        <w:wordWrap w:val="0"/>
        <w:spacing w:before="0" w:beforeAutospacing="0" w:after="225" w:afterAutospacing="0"/>
        <w:ind w:firstLine="482"/>
        <w:jc w:val="center"/>
        <w:rPr>
          <w:rFonts w:ascii="宋体" w:hAnsi="宋体" w:cs="宋体"/>
          <w:sz w:val="32"/>
          <w:szCs w:val="32"/>
          <w:highlight w:val="none"/>
        </w:rPr>
      </w:pPr>
      <w:r>
        <w:rPr>
          <w:rFonts w:hint="eastAsia" w:ascii="宋体" w:hAnsi="宋体" w:cs="宋体"/>
          <w:b/>
          <w:bCs/>
          <w:highlight w:val="none"/>
        </w:rPr>
        <w:t>统计上大中小微型企业划分办法（2017）</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一、根据工业和信息化部、国家统计局、国家发展改革委、财政部《</w:t>
      </w:r>
      <w:r>
        <w:rPr>
          <w:highlight w:val="none"/>
        </w:rPr>
        <w:fldChar w:fldCharType="begin"/>
      </w:r>
      <w:r>
        <w:rPr>
          <w:highlight w:val="none"/>
        </w:rPr>
        <w:instrText xml:space="preserve"> HYPERLINK "http://www.shui5.cn/article/a1/50146.html" </w:instrText>
      </w:r>
      <w:r>
        <w:rPr>
          <w:highlight w:val="none"/>
        </w:rPr>
        <w:fldChar w:fldCharType="separate"/>
      </w:r>
      <w:r>
        <w:rPr>
          <w:rStyle w:val="27"/>
          <w:rFonts w:hint="eastAsia" w:ascii="宋体" w:hAnsi="宋体" w:cs="宋体"/>
          <w:color w:val="auto"/>
          <w:highlight w:val="none"/>
        </w:rPr>
        <w:t>关于印发中小企业划型标准规定的通知</w:t>
      </w:r>
      <w:r>
        <w:rPr>
          <w:rStyle w:val="27"/>
          <w:rFonts w:hint="eastAsia" w:ascii="宋体" w:hAnsi="宋体" w:cs="宋体"/>
          <w:color w:val="auto"/>
          <w:highlight w:val="none"/>
        </w:rPr>
        <w:fldChar w:fldCharType="end"/>
      </w:r>
      <w:r>
        <w:rPr>
          <w:rFonts w:hint="eastAsia" w:ascii="宋体" w:hAnsi="宋体" w:cs="宋体"/>
          <w:highlight w:val="none"/>
        </w:rPr>
        <w:t>》（</w:t>
      </w:r>
      <w:r>
        <w:rPr>
          <w:highlight w:val="none"/>
        </w:rPr>
        <w:fldChar w:fldCharType="begin"/>
      </w:r>
      <w:r>
        <w:rPr>
          <w:highlight w:val="none"/>
        </w:rPr>
        <w:instrText xml:space="preserve"> HYPERLINK "http://www.shui5.cn/article/a1/50146.html" </w:instrText>
      </w:r>
      <w:r>
        <w:rPr>
          <w:highlight w:val="none"/>
        </w:rPr>
        <w:fldChar w:fldCharType="separate"/>
      </w:r>
      <w:r>
        <w:rPr>
          <w:rStyle w:val="27"/>
          <w:rFonts w:hint="eastAsia" w:ascii="宋体" w:hAnsi="宋体" w:cs="宋体"/>
          <w:color w:val="auto"/>
          <w:highlight w:val="none"/>
        </w:rPr>
        <w:t>工信部联企业〔2011〕300号</w:t>
      </w:r>
      <w:r>
        <w:rPr>
          <w:rStyle w:val="27"/>
          <w:rFonts w:hint="eastAsia" w:ascii="宋体" w:hAnsi="宋体" w:cs="宋体"/>
          <w:color w:val="auto"/>
          <w:highlight w:val="none"/>
        </w:rPr>
        <w:fldChar w:fldCharType="end"/>
      </w:r>
      <w:r>
        <w:rPr>
          <w:rFonts w:hint="eastAsia" w:ascii="宋体" w:hAnsi="宋体" w:cs="宋体"/>
          <w:highlight w:val="none"/>
        </w:rPr>
        <w:t>），以《</w:t>
      </w:r>
      <w:r>
        <w:rPr>
          <w:highlight w:val="none"/>
        </w:rPr>
        <w:fldChar w:fldCharType="begin"/>
      </w:r>
      <w:r>
        <w:rPr>
          <w:highlight w:val="none"/>
        </w:rPr>
        <w:instrText xml:space="preserve"> HYPERLINK "http://www.shui5.cn/article/dc/113390.html" </w:instrText>
      </w:r>
      <w:r>
        <w:rPr>
          <w:highlight w:val="none"/>
        </w:rPr>
        <w:fldChar w:fldCharType="separate"/>
      </w:r>
      <w:r>
        <w:rPr>
          <w:rStyle w:val="27"/>
          <w:rFonts w:hint="eastAsia" w:ascii="宋体" w:hAnsi="宋体" w:cs="宋体"/>
          <w:color w:val="auto"/>
          <w:highlight w:val="none"/>
        </w:rPr>
        <w:t>国民经济行业分类</w:t>
      </w:r>
      <w:r>
        <w:rPr>
          <w:rStyle w:val="27"/>
          <w:rFonts w:hint="eastAsia" w:ascii="宋体" w:hAnsi="宋体" w:cs="宋体"/>
          <w:color w:val="auto"/>
          <w:highlight w:val="none"/>
        </w:rPr>
        <w:fldChar w:fldCharType="end"/>
      </w:r>
      <w:r>
        <w:rPr>
          <w:rFonts w:hint="eastAsia" w:ascii="宋体" w:hAnsi="宋体" w:cs="宋体"/>
          <w:highlight w:val="none"/>
        </w:rPr>
        <w:t>》（</w:t>
      </w:r>
      <w:r>
        <w:rPr>
          <w:highlight w:val="none"/>
        </w:rPr>
        <w:fldChar w:fldCharType="begin"/>
      </w:r>
      <w:r>
        <w:rPr>
          <w:highlight w:val="none"/>
        </w:rPr>
        <w:instrText xml:space="preserve"> HYPERLINK "http://www.shui5.cn/article/dc/113390.html" </w:instrText>
      </w:r>
      <w:r>
        <w:rPr>
          <w:highlight w:val="none"/>
        </w:rPr>
        <w:fldChar w:fldCharType="separate"/>
      </w:r>
      <w:r>
        <w:rPr>
          <w:rStyle w:val="27"/>
          <w:rFonts w:hint="eastAsia" w:ascii="宋体" w:hAnsi="宋体" w:cs="宋体"/>
          <w:color w:val="auto"/>
          <w:highlight w:val="none"/>
        </w:rPr>
        <w:t>GB/T4754-2017</w:t>
      </w:r>
      <w:r>
        <w:rPr>
          <w:rStyle w:val="27"/>
          <w:rFonts w:hint="eastAsia" w:ascii="宋体" w:hAnsi="宋体" w:cs="宋体"/>
          <w:color w:val="auto"/>
          <w:highlight w:val="none"/>
        </w:rPr>
        <w:fldChar w:fldCharType="end"/>
      </w:r>
      <w:r>
        <w:rPr>
          <w:rFonts w:hint="eastAsia" w:ascii="宋体" w:hAnsi="宋体" w:cs="宋体"/>
          <w:highlight w:val="none"/>
        </w:rPr>
        <w:t>）为基础，结合统计工作的实际情况，制定本办法。</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二、本办法适用对象为在中华人民共和国境内依法设立的各种组织形式的法人企业或单位。个体工商户参照本办法进行划分。</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四、本办法按照行业门类、大类、中类和组合类别，依据从业人员、营业收入、资产总额等指标或替代指标，将我国的企业划分为大型、中型、小型、微型等四种类型。具体划分标准见附表。</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五、企业划分由政府综合统计部门根据统计年报每年确定一次，定报统计原则上不进行调整。</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六、本办法自印发之日起执行，国家统计局2011年印发的《</w:t>
      </w:r>
      <w:r>
        <w:rPr>
          <w:highlight w:val="none"/>
        </w:rPr>
        <w:fldChar w:fldCharType="begin"/>
      </w:r>
      <w:r>
        <w:rPr>
          <w:highlight w:val="none"/>
        </w:rPr>
        <w:instrText xml:space="preserve"> HYPERLINK "http://www.shui5.cn/article/9a/53372.html" </w:instrText>
      </w:r>
      <w:r>
        <w:rPr>
          <w:highlight w:val="none"/>
        </w:rPr>
        <w:fldChar w:fldCharType="separate"/>
      </w:r>
      <w:r>
        <w:rPr>
          <w:rStyle w:val="27"/>
          <w:rFonts w:hint="eastAsia" w:ascii="宋体" w:hAnsi="宋体" w:cs="宋体"/>
          <w:color w:val="auto"/>
          <w:highlight w:val="none"/>
        </w:rPr>
        <w:t>统计上大中小微型企业划分办法</w:t>
      </w:r>
      <w:r>
        <w:rPr>
          <w:rStyle w:val="27"/>
          <w:rFonts w:hint="eastAsia" w:ascii="宋体" w:hAnsi="宋体" w:cs="宋体"/>
          <w:color w:val="auto"/>
          <w:highlight w:val="none"/>
        </w:rPr>
        <w:fldChar w:fldCharType="end"/>
      </w:r>
      <w:r>
        <w:rPr>
          <w:rFonts w:hint="eastAsia" w:ascii="宋体" w:hAnsi="宋体" w:cs="宋体"/>
          <w:highlight w:val="none"/>
        </w:rPr>
        <w:t>》（</w:t>
      </w:r>
      <w:r>
        <w:rPr>
          <w:highlight w:val="none"/>
        </w:rPr>
        <w:fldChar w:fldCharType="begin"/>
      </w:r>
      <w:r>
        <w:rPr>
          <w:highlight w:val="none"/>
        </w:rPr>
        <w:instrText xml:space="preserve"> HYPERLINK "http://www.shui5.cn/article/9a/53372.html" </w:instrText>
      </w:r>
      <w:r>
        <w:rPr>
          <w:highlight w:val="none"/>
        </w:rPr>
        <w:fldChar w:fldCharType="separate"/>
      </w:r>
      <w:r>
        <w:rPr>
          <w:rStyle w:val="27"/>
          <w:rFonts w:hint="eastAsia" w:ascii="宋体" w:hAnsi="宋体" w:cs="宋体"/>
          <w:color w:val="auto"/>
          <w:highlight w:val="none"/>
        </w:rPr>
        <w:t>国统字〔2011〕75号</w:t>
      </w:r>
      <w:r>
        <w:rPr>
          <w:rStyle w:val="27"/>
          <w:rFonts w:hint="eastAsia" w:ascii="宋体" w:hAnsi="宋体" w:cs="宋体"/>
          <w:color w:val="auto"/>
          <w:highlight w:val="none"/>
        </w:rPr>
        <w:fldChar w:fldCharType="end"/>
      </w:r>
      <w:r>
        <w:rPr>
          <w:rFonts w:hint="eastAsia" w:ascii="宋体" w:hAnsi="宋体" w:cs="宋体"/>
          <w:highlight w:val="none"/>
        </w:rPr>
        <w:t>）同时废止。</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　　附表：统计上大中小微型企业划分标准</w:t>
      </w:r>
      <w:r>
        <w:rPr>
          <w:rFonts w:hint="eastAsia" w:ascii="宋体" w:hAnsi="宋体" w:cs="宋体"/>
          <w:highlight w:val="none"/>
        </w:rPr>
        <w:drawing>
          <wp:inline distT="0" distB="0" distL="114300" distR="114300">
            <wp:extent cx="171450" cy="171450"/>
            <wp:effectExtent l="0" t="0" r="0" b="0"/>
            <wp:docPr id="1" name="图片 1" descr="IMG_25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cstate="print"/>
                    <a:stretch>
                      <a:fillRect/>
                    </a:stretch>
                  </pic:blipFill>
                  <pic:spPr>
                    <a:xfrm>
                      <a:off x="0" y="0"/>
                      <a:ext cx="171450" cy="171450"/>
                    </a:xfrm>
                    <a:prstGeom prst="rect">
                      <a:avLst/>
                    </a:prstGeom>
                    <a:noFill/>
                    <a:ln>
                      <a:noFill/>
                    </a:ln>
                  </pic:spPr>
                </pic:pic>
              </a:graphicData>
            </a:graphic>
          </wp:inline>
        </w:drawing>
      </w:r>
    </w:p>
    <w:p>
      <w:pPr>
        <w:pStyle w:val="20"/>
        <w:widowControl/>
        <w:wordWrap w:val="0"/>
        <w:spacing w:before="0" w:beforeAutospacing="0" w:after="225" w:afterAutospacing="0"/>
        <w:ind w:firstLine="480"/>
        <w:jc w:val="center"/>
        <w:rPr>
          <w:rFonts w:ascii="宋体" w:hAnsi="宋体" w:cs="宋体"/>
          <w:highlight w:val="none"/>
        </w:rPr>
      </w:pPr>
      <w:r>
        <w:rPr>
          <w:rFonts w:hint="eastAsia" w:ascii="宋体" w:hAnsi="宋体" w:cs="宋体"/>
          <w:highlight w:val="none"/>
        </w:rPr>
        <w:t>统计上大中小微型企业划分标准</w:t>
      </w:r>
    </w:p>
    <w:tbl>
      <w:tblPr>
        <w:tblStyle w:val="23"/>
        <w:tblW w:w="9945" w:type="dxa"/>
        <w:tblInd w:w="0" w:type="dxa"/>
        <w:tblLayout w:type="fixed"/>
        <w:tblCellMar>
          <w:top w:w="0" w:type="dxa"/>
          <w:left w:w="0" w:type="dxa"/>
          <w:bottom w:w="0" w:type="dxa"/>
          <w:right w:w="0" w:type="dxa"/>
        </w:tblCellMar>
      </w:tblPr>
      <w:tblGrid>
        <w:gridCol w:w="2344"/>
        <w:gridCol w:w="1513"/>
        <w:gridCol w:w="781"/>
        <w:gridCol w:w="1247"/>
        <w:gridCol w:w="1247"/>
        <w:gridCol w:w="1579"/>
        <w:gridCol w:w="1234"/>
      </w:tblGrid>
      <w:tr>
        <w:tblPrEx>
          <w:tblCellMar>
            <w:top w:w="0" w:type="dxa"/>
            <w:left w:w="0" w:type="dxa"/>
            <w:bottom w:w="0" w:type="dxa"/>
            <w:right w:w="0" w:type="dxa"/>
          </w:tblCellMar>
        </w:tblPrEx>
        <w:trPr>
          <w:trHeight w:val="615" w:hRule="atLeast"/>
        </w:trPr>
        <w:tc>
          <w:tcPr>
            <w:tcW w:w="2344" w:type="dxa"/>
            <w:tcBorders>
              <w:top w:val="single" w:color="auto" w:sz="2" w:space="0"/>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1"/>
              <w:jc w:val="center"/>
              <w:rPr>
                <w:rFonts w:ascii="宋体" w:hAnsi="宋体" w:cs="宋体"/>
                <w:highlight w:val="none"/>
              </w:rPr>
            </w:pPr>
            <w:r>
              <w:rPr>
                <w:rStyle w:val="26"/>
                <w:rFonts w:hint="eastAsia" w:ascii="宋体" w:hAnsi="宋体" w:cs="宋体"/>
                <w:sz w:val="18"/>
                <w:szCs w:val="18"/>
                <w:highlight w:val="none"/>
              </w:rPr>
              <w:t>行业名称</w:t>
            </w:r>
          </w:p>
        </w:tc>
        <w:tc>
          <w:tcPr>
            <w:tcW w:w="1513" w:type="dxa"/>
            <w:tcBorders>
              <w:top w:val="single" w:color="auto" w:sz="2" w:space="0"/>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firstLine="361"/>
              <w:jc w:val="center"/>
              <w:rPr>
                <w:rFonts w:ascii="宋体" w:hAnsi="宋体" w:cs="宋体"/>
                <w:highlight w:val="none"/>
              </w:rPr>
            </w:pPr>
            <w:r>
              <w:rPr>
                <w:rStyle w:val="26"/>
                <w:rFonts w:hint="eastAsia" w:ascii="宋体" w:hAnsi="宋体" w:cs="宋体"/>
                <w:sz w:val="18"/>
                <w:szCs w:val="18"/>
                <w:highlight w:val="none"/>
              </w:rPr>
              <w:t>指标名称</w:t>
            </w:r>
          </w:p>
        </w:tc>
        <w:tc>
          <w:tcPr>
            <w:tcW w:w="781" w:type="dxa"/>
            <w:tcBorders>
              <w:top w:val="single" w:color="auto" w:sz="2" w:space="0"/>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firstLine="361"/>
              <w:jc w:val="center"/>
              <w:rPr>
                <w:rFonts w:ascii="宋体" w:hAnsi="宋体" w:cs="宋体"/>
                <w:highlight w:val="none"/>
              </w:rPr>
            </w:pPr>
            <w:r>
              <w:rPr>
                <w:rStyle w:val="26"/>
                <w:rFonts w:hint="eastAsia" w:ascii="宋体" w:hAnsi="宋体" w:cs="宋体"/>
                <w:sz w:val="18"/>
                <w:szCs w:val="18"/>
                <w:highlight w:val="none"/>
              </w:rPr>
              <w:t>计量</w:t>
            </w:r>
            <w:r>
              <w:rPr>
                <w:rStyle w:val="26"/>
                <w:rFonts w:hint="eastAsia" w:ascii="宋体" w:hAnsi="宋体" w:cs="宋体"/>
                <w:sz w:val="18"/>
                <w:szCs w:val="18"/>
                <w:highlight w:val="none"/>
              </w:rPr>
              <w:br w:type="textWrapping"/>
            </w:r>
            <w:r>
              <w:rPr>
                <w:rStyle w:val="26"/>
                <w:rFonts w:hint="eastAsia" w:ascii="宋体" w:hAnsi="宋体" w:cs="宋体"/>
                <w:sz w:val="18"/>
                <w:szCs w:val="18"/>
                <w:highlight w:val="none"/>
              </w:rPr>
              <w:t>单位</w:t>
            </w:r>
          </w:p>
        </w:tc>
        <w:tc>
          <w:tcPr>
            <w:tcW w:w="1247" w:type="dxa"/>
            <w:tcBorders>
              <w:top w:val="single" w:color="auto" w:sz="2" w:space="0"/>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firstLine="361"/>
              <w:jc w:val="center"/>
              <w:rPr>
                <w:rFonts w:ascii="宋体" w:hAnsi="宋体" w:cs="宋体"/>
                <w:highlight w:val="none"/>
              </w:rPr>
            </w:pPr>
            <w:r>
              <w:rPr>
                <w:rStyle w:val="26"/>
                <w:rFonts w:hint="eastAsia" w:ascii="宋体" w:hAnsi="宋体" w:cs="宋体"/>
                <w:sz w:val="18"/>
                <w:szCs w:val="18"/>
                <w:highlight w:val="none"/>
              </w:rPr>
              <w:t>大型</w:t>
            </w:r>
          </w:p>
        </w:tc>
        <w:tc>
          <w:tcPr>
            <w:tcW w:w="1247" w:type="dxa"/>
            <w:tcBorders>
              <w:top w:val="single" w:color="auto" w:sz="2" w:space="0"/>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firstLine="361"/>
              <w:jc w:val="center"/>
              <w:rPr>
                <w:rFonts w:ascii="宋体" w:hAnsi="宋体" w:cs="宋体"/>
                <w:highlight w:val="none"/>
              </w:rPr>
            </w:pPr>
            <w:r>
              <w:rPr>
                <w:rStyle w:val="26"/>
                <w:rFonts w:hint="eastAsia" w:ascii="宋体" w:hAnsi="宋体" w:cs="宋体"/>
                <w:sz w:val="18"/>
                <w:szCs w:val="18"/>
                <w:highlight w:val="none"/>
              </w:rPr>
              <w:t>中型</w:t>
            </w:r>
          </w:p>
        </w:tc>
        <w:tc>
          <w:tcPr>
            <w:tcW w:w="1579" w:type="dxa"/>
            <w:tcBorders>
              <w:top w:val="single" w:color="auto" w:sz="2" w:space="0"/>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firstLine="361"/>
              <w:jc w:val="center"/>
              <w:rPr>
                <w:rFonts w:ascii="宋体" w:hAnsi="宋体" w:cs="宋体"/>
                <w:highlight w:val="none"/>
              </w:rPr>
            </w:pPr>
            <w:r>
              <w:rPr>
                <w:rStyle w:val="26"/>
                <w:rFonts w:hint="eastAsia" w:ascii="宋体" w:hAnsi="宋体" w:cs="宋体"/>
                <w:sz w:val="18"/>
                <w:szCs w:val="18"/>
                <w:highlight w:val="none"/>
              </w:rPr>
              <w:t>小型</w:t>
            </w:r>
          </w:p>
        </w:tc>
        <w:tc>
          <w:tcPr>
            <w:tcW w:w="1234" w:type="dxa"/>
            <w:tcBorders>
              <w:top w:val="single" w:color="auto" w:sz="2" w:space="0"/>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firstLine="361"/>
              <w:jc w:val="center"/>
              <w:rPr>
                <w:rFonts w:ascii="宋体" w:hAnsi="宋体" w:cs="宋体"/>
                <w:highlight w:val="none"/>
              </w:rPr>
            </w:pPr>
            <w:r>
              <w:rPr>
                <w:rStyle w:val="26"/>
                <w:rFonts w:hint="eastAsia" w:ascii="宋体" w:hAnsi="宋体" w:cs="宋体"/>
                <w:sz w:val="18"/>
                <w:szCs w:val="18"/>
                <w:highlight w:val="none"/>
              </w:rPr>
              <w:t>微型</w:t>
            </w:r>
          </w:p>
        </w:tc>
      </w:tr>
      <w:tr>
        <w:tblPrEx>
          <w:tblCellMar>
            <w:top w:w="0" w:type="dxa"/>
            <w:left w:w="0" w:type="dxa"/>
            <w:bottom w:w="0" w:type="dxa"/>
            <w:right w:w="0" w:type="dxa"/>
          </w:tblCellMar>
        </w:tblPrEx>
        <w:trPr>
          <w:trHeight w:val="390" w:hRule="atLeast"/>
        </w:trPr>
        <w:tc>
          <w:tcPr>
            <w:tcW w:w="2344"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农、林、牧、渔业</w:t>
            </w: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Y≥20000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500≤Y＜20000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50≤Y＜500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Y＜50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工业 *</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300≤X＜1000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20≤X＜300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Y≥40000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2000≤Y＜40000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300≤Y＜2000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Y＜300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建筑业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Y≥80000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6000≤Y＜80000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300≤Y＜6000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Y＜300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资产总额（Z)</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Z≥80000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5000≤Z＜80000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300≤Z＜5000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Z＜300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批发业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20≤X＜200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5≤X＜20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X＜5</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Y≥40000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5000≤Y＜40000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1000≤Y＜5000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零售业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X≥300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50≤X＜300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10≤X＜50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Y≥20000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500≤Y＜20000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100≤Y＜500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交通运输业 *</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300≤X＜1000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20≤X＜300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Y≥30000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3000≤Y＜30000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200≤Y＜3000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Y＜200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仓储业*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100≤X＜200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20≤X＜100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Y≥30000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1000≤Y＜30000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100≤Y＜1000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邮政业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300≤X＜1000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20≤X＜300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Y≥30000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2000≤Y＜30000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100≤Y＜2000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住宿业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X≥300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100≤X＜300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10≤X＜100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2000≤Y＜10000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100≤Y＜2000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餐饮业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X≥300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100≤X＜300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10≤X＜100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2000≤Y＜10000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100≤Y＜2000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90"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信息传输业 *</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X≥2000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100≤X＜2000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10≤X＜100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r>
        <w:tblPrEx>
          <w:tblCellMar>
            <w:top w:w="0" w:type="dxa"/>
            <w:left w:w="0" w:type="dxa"/>
            <w:bottom w:w="0" w:type="dxa"/>
            <w:right w:w="0" w:type="dxa"/>
          </w:tblCellMar>
        </w:tblPrEx>
        <w:trPr>
          <w:trHeight w:val="390"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1000≤Y＜100000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100≤Y＜1000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45"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00"/>
              <w:rPr>
                <w:rFonts w:ascii="宋体" w:hAnsi="宋体" w:cs="宋体"/>
                <w:highlight w:val="none"/>
              </w:rPr>
            </w:pPr>
            <w:r>
              <w:rPr>
                <w:rFonts w:hint="eastAsia" w:ascii="宋体" w:hAnsi="宋体" w:cs="宋体"/>
                <w:spacing w:val="-15"/>
                <w:sz w:val="18"/>
                <w:szCs w:val="18"/>
                <w:highlight w:val="none"/>
              </w:rPr>
              <w:t>软件和信息技术服</w:t>
            </w:r>
            <w:r>
              <w:rPr>
                <w:rFonts w:hint="eastAsia" w:ascii="宋体" w:hAnsi="宋体" w:cs="宋体"/>
                <w:sz w:val="18"/>
                <w:szCs w:val="18"/>
                <w:highlight w:val="none"/>
              </w:rPr>
              <w:t>务业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X≥300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100≤X＜300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10≤X＜100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r>
        <w:tblPrEx>
          <w:tblCellMar>
            <w:top w:w="0" w:type="dxa"/>
            <w:left w:w="0" w:type="dxa"/>
            <w:bottom w:w="0" w:type="dxa"/>
            <w:right w:w="0" w:type="dxa"/>
          </w:tblCellMar>
        </w:tblPrEx>
        <w:trPr>
          <w:trHeight w:val="345"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1000≤Y＜10000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50≤Y＜1000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Y＜50</w:t>
            </w:r>
          </w:p>
        </w:tc>
      </w:tr>
      <w:tr>
        <w:tblPrEx>
          <w:tblCellMar>
            <w:top w:w="0" w:type="dxa"/>
            <w:left w:w="0" w:type="dxa"/>
            <w:bottom w:w="0" w:type="dxa"/>
            <w:right w:w="0" w:type="dxa"/>
          </w:tblCellMar>
        </w:tblPrEx>
        <w:trPr>
          <w:trHeight w:val="345"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房地产开发经营</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Y≥200000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1000≤Y＜200000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100≤Y＜1000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Y＜100</w:t>
            </w:r>
          </w:p>
        </w:tc>
      </w:tr>
      <w:tr>
        <w:tblPrEx>
          <w:tblCellMar>
            <w:top w:w="0" w:type="dxa"/>
            <w:left w:w="0" w:type="dxa"/>
            <w:bottom w:w="0" w:type="dxa"/>
            <w:right w:w="0" w:type="dxa"/>
          </w:tblCellMar>
        </w:tblPrEx>
        <w:trPr>
          <w:trHeight w:val="345"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资产总额（Z)</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Z≥10000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5000≤Z＜10000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2000≤Z＜5000  </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Z＜2000</w:t>
            </w:r>
          </w:p>
        </w:tc>
      </w:tr>
      <w:tr>
        <w:tblPrEx>
          <w:tblCellMar>
            <w:top w:w="0" w:type="dxa"/>
            <w:left w:w="0" w:type="dxa"/>
            <w:bottom w:w="0" w:type="dxa"/>
            <w:right w:w="0" w:type="dxa"/>
          </w:tblCellMar>
        </w:tblPrEx>
        <w:trPr>
          <w:trHeight w:val="345"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物业管理</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300≤X＜1000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100≤X＜300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X＜100</w:t>
            </w:r>
          </w:p>
        </w:tc>
      </w:tr>
      <w:tr>
        <w:tblPrEx>
          <w:tblCellMar>
            <w:top w:w="0" w:type="dxa"/>
            <w:left w:w="0" w:type="dxa"/>
            <w:bottom w:w="0" w:type="dxa"/>
            <w:right w:w="0" w:type="dxa"/>
          </w:tblCellMar>
        </w:tblPrEx>
        <w:trPr>
          <w:trHeight w:val="345"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营业收入（Y)</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Y≥5000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1000≤Y＜5000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500≤Y＜1000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Y＜500</w:t>
            </w:r>
          </w:p>
        </w:tc>
      </w:tr>
      <w:tr>
        <w:tblPrEx>
          <w:tblCellMar>
            <w:top w:w="0" w:type="dxa"/>
            <w:left w:w="0" w:type="dxa"/>
            <w:bottom w:w="0" w:type="dxa"/>
            <w:right w:w="0" w:type="dxa"/>
          </w:tblCellMar>
        </w:tblPrEx>
        <w:trPr>
          <w:trHeight w:val="345" w:hRule="atLeast"/>
        </w:trPr>
        <w:tc>
          <w:tcPr>
            <w:tcW w:w="2344" w:type="dxa"/>
            <w:vMerge w:val="restart"/>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租赁和商务服务业</w:t>
            </w:r>
          </w:p>
        </w:tc>
        <w:tc>
          <w:tcPr>
            <w:tcW w:w="1513"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X≥300</w:t>
            </w:r>
          </w:p>
        </w:tc>
        <w:tc>
          <w:tcPr>
            <w:tcW w:w="1247"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100≤X＜300</w:t>
            </w:r>
          </w:p>
        </w:tc>
        <w:tc>
          <w:tcPr>
            <w:tcW w:w="1579" w:type="dxa"/>
            <w:tcBorders>
              <w:top w:val="nil"/>
              <w:left w:val="nil"/>
              <w:bottom w:val="nil"/>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10≤X＜100</w:t>
            </w:r>
          </w:p>
        </w:tc>
        <w:tc>
          <w:tcPr>
            <w:tcW w:w="1234" w:type="dxa"/>
            <w:tcBorders>
              <w:top w:val="single" w:color="DDDDDD" w:sz="2" w:space="0"/>
              <w:left w:val="single" w:color="DDDDDD" w:sz="2" w:space="0"/>
              <w:bottom w:val="single" w:color="DDDDDD" w:sz="2" w:space="0"/>
              <w:right w:val="single" w:color="DDDDDD"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r>
        <w:tblPrEx>
          <w:tblCellMar>
            <w:top w:w="0" w:type="dxa"/>
            <w:left w:w="0" w:type="dxa"/>
            <w:bottom w:w="0" w:type="dxa"/>
            <w:right w:w="0" w:type="dxa"/>
          </w:tblCellMar>
        </w:tblPrEx>
        <w:trPr>
          <w:trHeight w:val="345" w:hRule="atLeast"/>
        </w:trPr>
        <w:tc>
          <w:tcPr>
            <w:tcW w:w="2344" w:type="dxa"/>
            <w:vMerge w:val="continue"/>
            <w:tcBorders>
              <w:top w:val="nil"/>
              <w:left w:val="nil"/>
              <w:bottom w:val="single" w:color="auto" w:sz="2" w:space="0"/>
              <w:right w:val="single" w:color="auto" w:sz="2" w:space="0"/>
            </w:tcBorders>
            <w:tcMar>
              <w:left w:w="105" w:type="dxa"/>
              <w:right w:w="105" w:type="dxa"/>
            </w:tcMar>
            <w:vAlign w:val="center"/>
          </w:tcPr>
          <w:p>
            <w:pPr>
              <w:ind w:firstLine="480"/>
              <w:rPr>
                <w:rFonts w:ascii="宋体" w:hAnsi="宋体" w:cs="宋体"/>
                <w:szCs w:val="21"/>
                <w:highlight w:val="none"/>
              </w:rPr>
            </w:pP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资产总额（Z)</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万元</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Z≥120000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8000≤Z＜120000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100≤Z＜8000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Z＜100</w:t>
            </w:r>
          </w:p>
        </w:tc>
      </w:tr>
      <w:tr>
        <w:tblPrEx>
          <w:tblCellMar>
            <w:top w:w="0" w:type="dxa"/>
            <w:left w:w="0" w:type="dxa"/>
            <w:bottom w:w="0" w:type="dxa"/>
            <w:right w:w="0" w:type="dxa"/>
          </w:tblCellMar>
        </w:tblPrEx>
        <w:trPr>
          <w:trHeight w:val="390" w:hRule="atLeast"/>
        </w:trPr>
        <w:tc>
          <w:tcPr>
            <w:tcW w:w="2344"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line="240" w:lineRule="atLeast"/>
              <w:ind w:firstLine="360"/>
              <w:rPr>
                <w:rFonts w:ascii="宋体" w:hAnsi="宋体" w:cs="宋体"/>
                <w:highlight w:val="none"/>
              </w:rPr>
            </w:pPr>
            <w:r>
              <w:rPr>
                <w:rFonts w:hint="eastAsia" w:ascii="宋体" w:hAnsi="宋体" w:cs="宋体"/>
                <w:sz w:val="18"/>
                <w:szCs w:val="18"/>
                <w:highlight w:val="none"/>
              </w:rPr>
              <w:t>其他未列明行业 *</w:t>
            </w:r>
          </w:p>
        </w:tc>
        <w:tc>
          <w:tcPr>
            <w:tcW w:w="1513"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从业人员（X)</w:t>
            </w:r>
          </w:p>
        </w:tc>
        <w:tc>
          <w:tcPr>
            <w:tcW w:w="781"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人</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X≥300</w:t>
            </w:r>
          </w:p>
        </w:tc>
        <w:tc>
          <w:tcPr>
            <w:tcW w:w="1247"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100≤X＜300</w:t>
            </w:r>
          </w:p>
        </w:tc>
        <w:tc>
          <w:tcPr>
            <w:tcW w:w="1579" w:type="dxa"/>
            <w:tcBorders>
              <w:top w:val="nil"/>
              <w:left w:val="nil"/>
              <w:bottom w:val="single" w:color="auto" w:sz="2" w:space="0"/>
              <w:right w:val="single" w:color="auto" w:sz="2" w:space="0"/>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 10≤X＜100</w:t>
            </w:r>
          </w:p>
        </w:tc>
        <w:tc>
          <w:tcPr>
            <w:tcW w:w="1234" w:type="dxa"/>
            <w:tcBorders>
              <w:top w:val="nil"/>
              <w:left w:val="nil"/>
              <w:bottom w:val="single" w:color="auto" w:sz="2" w:space="0"/>
              <w:right w:val="nil"/>
            </w:tcBorders>
            <w:tcMar>
              <w:left w:w="105" w:type="dxa"/>
              <w:right w:w="105" w:type="dxa"/>
            </w:tcMar>
            <w:vAlign w:val="center"/>
          </w:tcPr>
          <w:p>
            <w:pPr>
              <w:pStyle w:val="20"/>
              <w:widowControl/>
              <w:wordWrap w:val="0"/>
              <w:spacing w:before="0" w:beforeAutospacing="0" w:after="0" w:afterAutospacing="0"/>
              <w:ind w:left="0" w:leftChars="0" w:firstLine="0" w:firstLineChars="0"/>
              <w:jc w:val="both"/>
              <w:rPr>
                <w:rFonts w:hint="eastAsia" w:ascii="宋体" w:hAnsi="宋体" w:cs="宋体"/>
                <w:sz w:val="18"/>
                <w:szCs w:val="18"/>
                <w:highlight w:val="none"/>
              </w:rPr>
            </w:pPr>
            <w:r>
              <w:rPr>
                <w:rFonts w:hint="eastAsia" w:ascii="宋体" w:hAnsi="宋体" w:cs="宋体"/>
                <w:sz w:val="18"/>
                <w:szCs w:val="18"/>
                <w:highlight w:val="none"/>
              </w:rPr>
              <w:t>X＜10</w:t>
            </w:r>
          </w:p>
        </w:tc>
      </w:tr>
    </w:tbl>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说明：</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1.大型、中型和小型企业须同时满足所列指标的下限，否则下划一档；微型企业只须满足所列指标中的一项即可。</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0"/>
        <w:widowControl/>
        <w:wordWrap w:val="0"/>
        <w:spacing w:before="0" w:beforeAutospacing="0" w:after="0" w:afterAutospacing="0"/>
        <w:ind w:firstLine="480"/>
        <w:rPr>
          <w:rFonts w:ascii="宋体" w:hAnsi="宋体" w:cs="宋体"/>
          <w:highlight w:val="none"/>
        </w:rPr>
      </w:pPr>
      <w:r>
        <w:rPr>
          <w:rFonts w:hint="eastAsia" w:ascii="宋体" w:hAnsi="宋体" w:cs="宋体"/>
          <w:highlight w:val="none"/>
        </w:rPr>
        <w:t>3.企业划分指标以现行统计制度为准。</w:t>
      </w:r>
      <w:r>
        <w:rPr>
          <w:rFonts w:hint="eastAsia" w:ascii="宋体" w:hAnsi="宋体" w:cs="宋体"/>
          <w:highlight w:val="none"/>
        </w:rPr>
        <w:br w:type="textWrapping"/>
      </w:r>
      <w:r>
        <w:rPr>
          <w:rFonts w:hint="eastAsia" w:ascii="宋体" w:hAnsi="宋体" w:cs="宋体"/>
          <w:highlight w:val="none"/>
        </w:rPr>
        <w:t>（1）从业人员，是指期末从业人员数，没有期末从业人员数的，采用全年平均人员数代替。</w:t>
      </w:r>
      <w:r>
        <w:rPr>
          <w:rFonts w:hint="eastAsia" w:ascii="宋体" w:hAnsi="宋体" w:cs="宋体"/>
          <w:highlight w:val="none"/>
        </w:rPr>
        <w:br w:type="textWrapping"/>
      </w:r>
      <w:r>
        <w:rPr>
          <w:rFonts w:hint="eastAsia" w:ascii="宋体" w:hAnsi="宋体" w:cs="宋体"/>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cs="宋体"/>
          <w:highlight w:val="none"/>
        </w:rPr>
        <w:br w:type="textWrapping"/>
      </w:r>
      <w:r>
        <w:rPr>
          <w:rFonts w:hint="eastAsia" w:ascii="宋体" w:hAnsi="宋体" w:cs="宋体"/>
          <w:highlight w:val="none"/>
        </w:rPr>
        <w:t>（3）资产总额，采用资产总计代替。</w:t>
      </w:r>
    </w:p>
    <w:p>
      <w:pPr>
        <w:ind w:firstLine="480"/>
        <w:rPr>
          <w:rFonts w:ascii="宋体" w:hAnsi="宋体" w:cs="宋体"/>
          <w:highlight w:val="none"/>
        </w:rPr>
      </w:pPr>
    </w:p>
    <w:p>
      <w:pPr>
        <w:widowControl/>
        <w:ind w:firstLine="482"/>
        <w:jc w:val="center"/>
        <w:rPr>
          <w:rFonts w:ascii="宋体" w:hAnsi="宋体" w:cs="宋体"/>
          <w:b/>
          <w:bCs/>
          <w:highlight w:val="none"/>
        </w:rPr>
      </w:pPr>
      <w:r>
        <w:rPr>
          <w:rFonts w:hint="eastAsia" w:ascii="宋体" w:hAnsi="宋体" w:cs="宋体"/>
          <w:b/>
          <w:bCs/>
          <w:highlight w:val="none"/>
        </w:rPr>
        <w:t>关于印发中小企业划型标准规定的通知</w:t>
      </w:r>
    </w:p>
    <w:p>
      <w:pPr>
        <w:widowControl/>
        <w:ind w:firstLine="482"/>
        <w:jc w:val="center"/>
        <w:rPr>
          <w:rFonts w:ascii="宋体" w:hAnsi="宋体" w:cs="宋体"/>
          <w:b/>
          <w:bCs/>
          <w:highlight w:val="none"/>
        </w:rPr>
      </w:pPr>
      <w:r>
        <w:rPr>
          <w:rFonts w:hint="eastAsia" w:ascii="宋体" w:hAnsi="宋体" w:cs="宋体"/>
          <w:b/>
          <w:bCs/>
          <w:highlight w:val="none"/>
        </w:rPr>
        <w:t>工信部联企业〔2011〕300号</w:t>
      </w:r>
    </w:p>
    <w:p>
      <w:pPr>
        <w:widowControl/>
        <w:ind w:firstLine="480"/>
        <w:rPr>
          <w:rFonts w:ascii="宋体" w:hAnsi="宋体" w:cs="宋体"/>
          <w:highlight w:val="none"/>
        </w:rPr>
      </w:pPr>
      <w:r>
        <w:rPr>
          <w:rFonts w:hint="eastAsia" w:ascii="宋体" w:hAnsi="宋体" w:cs="宋体"/>
          <w:highlight w:val="none"/>
        </w:rPr>
        <w:t>各省、自治区、直辖市人民政府，国务院各部委、各直属机构及有关单位：</w:t>
      </w:r>
    </w:p>
    <w:p>
      <w:pPr>
        <w:widowControl/>
        <w:ind w:firstLine="480"/>
        <w:rPr>
          <w:rFonts w:ascii="宋体" w:hAnsi="宋体" w:cs="宋体"/>
          <w:highlight w:val="none"/>
        </w:rPr>
      </w:pPr>
      <w:r>
        <w:rPr>
          <w:rFonts w:hint="eastAsia" w:ascii="宋体" w:hAnsi="宋体" w:cs="宋体"/>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ind w:firstLine="480"/>
        <w:jc w:val="right"/>
        <w:rPr>
          <w:rFonts w:ascii="宋体" w:hAnsi="宋体" w:cs="宋体"/>
          <w:highlight w:val="none"/>
        </w:rPr>
      </w:pPr>
      <w:r>
        <w:rPr>
          <w:rFonts w:hint="eastAsia" w:ascii="宋体" w:hAnsi="宋体" w:cs="宋体"/>
          <w:highlight w:val="none"/>
        </w:rPr>
        <w:t>工业和信息化部  国家统计局</w:t>
      </w:r>
    </w:p>
    <w:p>
      <w:pPr>
        <w:widowControl/>
        <w:ind w:firstLine="480"/>
        <w:jc w:val="right"/>
        <w:rPr>
          <w:rFonts w:ascii="宋体" w:hAnsi="宋体" w:cs="宋体"/>
          <w:highlight w:val="none"/>
        </w:rPr>
      </w:pPr>
      <w:r>
        <w:rPr>
          <w:rFonts w:hint="eastAsia" w:ascii="宋体" w:hAnsi="宋体" w:cs="宋体"/>
          <w:highlight w:val="none"/>
        </w:rPr>
        <w:t>国家发展和改革委员会  财政部</w:t>
      </w:r>
    </w:p>
    <w:p>
      <w:pPr>
        <w:widowControl/>
        <w:ind w:firstLine="480"/>
        <w:jc w:val="right"/>
        <w:rPr>
          <w:rFonts w:ascii="宋体" w:hAnsi="宋体" w:cs="宋体"/>
          <w:highlight w:val="none"/>
        </w:rPr>
      </w:pPr>
      <w:r>
        <w:rPr>
          <w:rFonts w:hint="eastAsia" w:ascii="宋体" w:hAnsi="宋体" w:cs="宋体"/>
          <w:highlight w:val="none"/>
        </w:rPr>
        <w:t>二〇一 一年六月十八日</w:t>
      </w:r>
    </w:p>
    <w:p>
      <w:pPr>
        <w:pStyle w:val="20"/>
        <w:snapToGrid w:val="0"/>
        <w:spacing w:before="0" w:beforeAutospacing="0" w:after="0" w:afterAutospacing="0"/>
        <w:ind w:firstLine="480"/>
        <w:rPr>
          <w:rFonts w:ascii="宋体" w:hAnsi="宋体" w:cs="宋体"/>
          <w:bCs/>
          <w:highlight w:val="none"/>
        </w:rPr>
      </w:pPr>
    </w:p>
    <w:p>
      <w:pPr>
        <w:pStyle w:val="20"/>
        <w:snapToGrid w:val="0"/>
        <w:spacing w:before="0" w:beforeAutospacing="0" w:after="0" w:afterAutospacing="0"/>
        <w:ind w:firstLine="480"/>
        <w:rPr>
          <w:highlight w:val="none"/>
        </w:rPr>
      </w:pPr>
    </w:p>
    <w:sectPr>
      <w:pgSz w:w="11906" w:h="16838"/>
      <w:pgMar w:top="1440" w:right="1080" w:bottom="1440" w:left="1080" w:header="624"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820"/>
        <w:tab w:val="clear" w:pos="8306"/>
      </w:tabs>
      <w:ind w:right="-289" w:firstLine="90" w:firstLineChars="5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rPr>
        <w:rFonts w:hint="eastAsia" w:ascii="黑体" w:hAnsi="黑体" w:eastAsia="黑体" w:cs="黑体"/>
        <w:sz w:val="21"/>
        <w:szCs w:val="21"/>
      </w:rPr>
    </w:pPr>
    <w:r>
      <w:rPr>
        <w:rFonts w:hint="eastAsia" w:ascii="黑体" w:hAnsi="黑体" w:eastAsia="黑体" w:cs="黑体"/>
        <w:sz w:val="21"/>
        <w:szCs w:val="21"/>
      </w:rPr>
      <w:t>公允（天津）招标代理有限公司</w:t>
    </w:r>
  </w:p>
  <w:p>
    <w:pPr>
      <w:pStyle w:val="17"/>
      <w:tabs>
        <w:tab w:val="right" w:pos="8820"/>
        <w:tab w:val="clear" w:pos="8306"/>
      </w:tabs>
      <w:ind w:right="-289" w:firstLine="90" w:firstLineChars="5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rPr>
        <w:rFonts w:hint="eastAsia" w:ascii="黑体" w:hAnsi="黑体" w:eastAsia="黑体" w:cs="黑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黑体" w:hAnsi="黑体" w:eastAsia="黑体" w:cs="黑体"/>
        <w:sz w:val="21"/>
        <w:szCs w:val="21"/>
      </w:rPr>
      <w:t>公允（天津）招标代理有限公司</w:t>
    </w:r>
  </w:p>
  <w:p>
    <w:pPr>
      <w:pStyle w:val="17"/>
      <w:tabs>
        <w:tab w:val="right" w:pos="8820"/>
        <w:tab w:val="clear" w:pos="8306"/>
      </w:tabs>
      <w:ind w:right="-289" w:firstLine="90" w:firstLineChars="5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00"/>
      <w:rPr>
        <w:rFonts w:eastAsiaTheme="minorEastAsia"/>
      </w:rPr>
    </w:pPr>
    <w:r>
      <w:rPr>
        <w:rFonts w:hint="eastAsia" w:ascii="宋体" w:hAnsi="宋体"/>
        <w:sz w:val="20"/>
        <w:szCs w:val="20"/>
      </w:rPr>
      <w:t>公允（天津）招标代理有限公司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double" w:color="auto" w:sz="8" w:space="0"/>
      </w:pBdr>
      <w:kinsoku/>
      <w:wordWrap/>
      <w:overflowPunct/>
      <w:topLinePunct w:val="0"/>
      <w:autoSpaceDE/>
      <w:autoSpaceDN/>
      <w:bidi w:val="0"/>
      <w:adjustRightInd/>
      <w:snapToGrid w:val="0"/>
      <w:spacing w:line="240" w:lineRule="auto"/>
      <w:ind w:left="0" w:leftChars="0" w:firstLine="0" w:firstLineChars="0"/>
      <w:textAlignment w:val="auto"/>
      <w:rPr>
        <w:rFonts w:hint="eastAsia" w:ascii="黑体" w:hAnsi="黑体" w:eastAsia="黑体" w:cs="黑体"/>
        <w:sz w:val="16"/>
      </w:rPr>
    </w:pPr>
    <w:r>
      <w:rPr>
        <w:rFonts w:hint="eastAsia" w:ascii="黑体" w:hAnsi="黑体" w:eastAsia="黑体" w:cs="黑体"/>
        <w:sz w:val="22"/>
        <w:szCs w:val="18"/>
      </w:rPr>
      <w:t>天津科技大学连续平板式刮膜机购置项目</w:t>
    </w:r>
    <w:r>
      <w:rPr>
        <w:rFonts w:hint="eastAsia" w:ascii="黑体" w:hAnsi="黑体" w:eastAsia="黑体" w:cs="黑体"/>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1885"/>
          <wp:effectExtent l="0" t="0" r="8890" b="5715"/>
          <wp:wrapNone/>
          <wp:docPr id="6" name="WordPictureWatermark34798" descr="公允LOGO.ai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4798" descr="公允LOGO.ai_00"/>
                  <pic:cNvPicPr>
                    <a:picLocks noChangeAspect="1"/>
                  </pic:cNvPicPr>
                </pic:nvPicPr>
                <pic:blipFill>
                  <a:blip r:embed="rId1">
                    <a:lum bright="69998" contrast="-70001"/>
                  </a:blip>
                  <a:stretch>
                    <a:fillRect/>
                  </a:stretch>
                </pic:blipFill>
                <pic:spPr>
                  <a:xfrm>
                    <a:off x="0" y="0"/>
                    <a:ext cx="5274310" cy="7461885"/>
                  </a:xfrm>
                  <a:prstGeom prst="rect">
                    <a:avLst/>
                  </a:prstGeom>
                  <a:noFill/>
                  <a:ln>
                    <a:noFill/>
                  </a:ln>
                </pic:spPr>
              </pic:pic>
            </a:graphicData>
          </a:graphic>
        </wp:anchor>
      </w:drawing>
    </w:r>
    <w:r>
      <w:rPr>
        <w:rFonts w:hint="eastAsia" w:ascii="黑体" w:hAnsi="黑体" w:eastAsia="黑体" w:cs="黑体"/>
        <w:sz w:val="22"/>
        <w:szCs w:val="18"/>
        <w:lang w:val="en-US" w:eastAsia="zh-CN"/>
      </w:rPr>
      <w:t xml:space="preserve">                    </w:t>
    </w:r>
    <w:r>
      <w:rPr>
        <w:rFonts w:hint="eastAsia" w:ascii="黑体" w:hAnsi="黑体" w:eastAsia="黑体" w:cs="黑体"/>
        <w:sz w:val="22"/>
        <w:szCs w:val="18"/>
      </w:rPr>
      <w:t>公开招标（项目编号：</w:t>
    </w:r>
    <w:r>
      <w:rPr>
        <w:rFonts w:hint="eastAsia" w:ascii="黑体" w:hAnsi="黑体" w:eastAsia="黑体" w:cs="黑体"/>
        <w:sz w:val="22"/>
        <w:szCs w:val="18"/>
        <w:lang w:eastAsia="zh-CN"/>
      </w:rPr>
      <w:t>GY-2022-135</w:t>
    </w:r>
    <w:r>
      <w:rPr>
        <w:rFonts w:hint="eastAsia" w:ascii="黑体" w:hAnsi="黑体" w:eastAsia="黑体" w:cs="黑体"/>
        <w:sz w:val="22"/>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360"/>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1885"/>
          <wp:effectExtent l="0" t="0" r="8890" b="5715"/>
          <wp:wrapNone/>
          <wp:docPr id="7" name="WordPictureWatermark34798" descr="公允LOGO.ai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4798" descr="公允LOGO.ai_00"/>
                  <pic:cNvPicPr>
                    <a:picLocks noChangeAspect="1"/>
                  </pic:cNvPicPr>
                </pic:nvPicPr>
                <pic:blipFill>
                  <a:blip r:embed="rId1">
                    <a:lum bright="69998" contrast="-70001"/>
                  </a:blip>
                  <a:stretch>
                    <a:fillRect/>
                  </a:stretch>
                </pic:blipFill>
                <pic:spPr>
                  <a:xfrm>
                    <a:off x="0" y="0"/>
                    <a:ext cx="5274310" cy="74618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ind w:left="0" w:leftChars="0" w:firstLine="0" w:firstLineChars="0"/>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1885"/>
          <wp:effectExtent l="0" t="0" r="8890" b="5715"/>
          <wp:wrapNone/>
          <wp:docPr id="9" name="WordPictureWatermark34798" descr="公允LOGO.ai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4798" descr="公允LOGO.ai_00"/>
                  <pic:cNvPicPr>
                    <a:picLocks noChangeAspect="1"/>
                  </pic:cNvPicPr>
                </pic:nvPicPr>
                <pic:blipFill>
                  <a:blip r:embed="rId1">
                    <a:lum bright="69998" contrast="-70001"/>
                  </a:blip>
                  <a:stretch>
                    <a:fillRect/>
                  </a:stretch>
                </pic:blipFill>
                <pic:spPr>
                  <a:xfrm>
                    <a:off x="0" y="0"/>
                    <a:ext cx="5274310" cy="74618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2CCF3"/>
    <w:multiLevelType w:val="singleLevel"/>
    <w:tmpl w:val="C1A2CCF3"/>
    <w:lvl w:ilvl="0" w:tentative="0">
      <w:start w:val="1"/>
      <w:numFmt w:val="decimal"/>
      <w:suff w:val="nothing"/>
      <w:lvlText w:val="%1、"/>
      <w:lvlJc w:val="left"/>
    </w:lvl>
  </w:abstractNum>
  <w:abstractNum w:abstractNumId="1">
    <w:nsid w:val="DB75F93A"/>
    <w:multiLevelType w:val="multilevel"/>
    <w:tmpl w:val="DB75F93A"/>
    <w:lvl w:ilvl="0" w:tentative="0">
      <w:start w:val="1"/>
      <w:numFmt w:val="chineseCounting"/>
      <w:suff w:val="nothing"/>
      <w:lvlText w:val="第%1部分  "/>
      <w:lvlJc w:val="center"/>
      <w:pPr>
        <w:tabs>
          <w:tab w:val="left" w:pos="0"/>
        </w:tabs>
        <w:ind w:left="0" w:leftChars="0" w:firstLine="0" w:firstLineChars="0"/>
        <w:jc w:val="left"/>
      </w:pPr>
      <w:rPr>
        <w:rFonts w:hint="eastAsia" w:ascii="宋体" w:hAnsi="宋体" w:eastAsia="宋体" w:cs="宋体"/>
        <w:w w:val="100"/>
        <w:sz w:val="36"/>
        <w:szCs w:val="22"/>
        <w:lang w:val="zh-CN" w:eastAsia="zh-CN" w:bidi="zh-CN"/>
      </w:rPr>
    </w:lvl>
    <w:lvl w:ilvl="1" w:tentative="0">
      <w:start w:val="1"/>
      <w:numFmt w:val="chineseCounting"/>
      <w:lvlRestart w:val="0"/>
      <w:suff w:val="nothing"/>
      <w:lvlText w:val="%2、"/>
      <w:lvlJc w:val="left"/>
      <w:pPr>
        <w:tabs>
          <w:tab w:val="left" w:pos="0"/>
        </w:tabs>
        <w:ind w:left="0" w:leftChars="0" w:firstLine="567" w:firstLineChars="0"/>
        <w:jc w:val="left"/>
      </w:pPr>
      <w:rPr>
        <w:rFonts w:hint="eastAsia" w:ascii="宋体" w:hAnsi="宋体" w:eastAsia="宋体" w:cs="宋体"/>
        <w:w w:val="100"/>
        <w:sz w:val="28"/>
        <w:szCs w:val="22"/>
        <w:lang w:val="zh-CN" w:eastAsia="zh-CN" w:bidi="zh-CN"/>
      </w:rPr>
    </w:lvl>
    <w:lvl w:ilvl="2" w:tentative="0">
      <w:start w:val="1"/>
      <w:numFmt w:val="decimal"/>
      <w:suff w:val="nothing"/>
      <w:lvlText w:val="%3."/>
      <w:lvlJc w:val="left"/>
      <w:pPr>
        <w:tabs>
          <w:tab w:val="left" w:pos="0"/>
        </w:tabs>
        <w:ind w:left="0" w:leftChars="0" w:firstLine="567" w:firstLineChars="0"/>
      </w:pPr>
      <w:rPr>
        <w:rFonts w:hint="eastAsia" w:ascii="宋体" w:hAnsi="宋体" w:eastAsia="宋体" w:cs="宋体"/>
        <w:lang w:val="zh-CN" w:eastAsia="zh-CN" w:bidi="zh-CN"/>
      </w:rPr>
    </w:lvl>
    <w:lvl w:ilvl="3" w:tentative="0">
      <w:start w:val="1"/>
      <w:numFmt w:val="decimal"/>
      <w:suff w:val="nothing"/>
      <w:lvlText w:val="%3.%4"/>
      <w:lvlJc w:val="left"/>
      <w:pPr>
        <w:tabs>
          <w:tab w:val="left" w:pos="0"/>
        </w:tabs>
        <w:ind w:left="0" w:leftChars="0" w:firstLine="567" w:firstLineChars="0"/>
      </w:pPr>
      <w:rPr>
        <w:rFonts w:hint="eastAsia" w:ascii="宋体" w:hAnsi="宋体" w:eastAsia="宋体" w:cs="宋体"/>
        <w:lang w:val="zh-CN" w:eastAsia="zh-CN" w:bidi="zh-CN"/>
      </w:rPr>
    </w:lvl>
    <w:lvl w:ilvl="4" w:tentative="0">
      <w:start w:val="1"/>
      <w:numFmt w:val="decimal"/>
      <w:suff w:val="nothing"/>
      <w:lvlText w:val="%3.%4.%5"/>
      <w:lvlJc w:val="left"/>
      <w:pPr>
        <w:tabs>
          <w:tab w:val="left" w:pos="420"/>
        </w:tabs>
        <w:ind w:left="0" w:leftChars="0" w:firstLine="567" w:firstLineChars="0"/>
      </w:pPr>
      <w:rPr>
        <w:rFonts w:hint="eastAsia" w:ascii="宋体" w:hAnsi="宋体" w:eastAsia="宋体" w:cs="宋体"/>
        <w:lang w:val="zh-CN" w:eastAsia="zh-CN" w:bidi="zh-CN"/>
      </w:rPr>
    </w:lvl>
    <w:lvl w:ilvl="5" w:tentative="0">
      <w:start w:val="0"/>
      <w:numFmt w:val="bullet"/>
      <w:lvlText w:val="•"/>
      <w:lvlJc w:val="left"/>
      <w:pPr>
        <w:tabs>
          <w:tab w:val="left" w:pos="420"/>
        </w:tabs>
        <w:ind w:left="5239" w:hanging="602"/>
      </w:pPr>
      <w:rPr>
        <w:rFonts w:hint="eastAsia" w:ascii="宋体" w:hAnsi="宋体" w:eastAsia="宋体" w:cs="宋体"/>
        <w:lang w:val="zh-CN" w:eastAsia="zh-CN" w:bidi="zh-CN"/>
      </w:rPr>
    </w:lvl>
    <w:lvl w:ilvl="6" w:tentative="0">
      <w:start w:val="0"/>
      <w:numFmt w:val="bullet"/>
      <w:lvlText w:val="•"/>
      <w:lvlJc w:val="left"/>
      <w:pPr>
        <w:ind w:left="6104" w:hanging="602"/>
      </w:pPr>
      <w:rPr>
        <w:rFonts w:hint="eastAsia" w:ascii="宋体" w:hAnsi="宋体" w:eastAsia="宋体" w:cs="宋体"/>
        <w:lang w:val="zh-CN" w:eastAsia="zh-CN" w:bidi="zh-CN"/>
      </w:rPr>
    </w:lvl>
    <w:lvl w:ilvl="7" w:tentative="0">
      <w:start w:val="0"/>
      <w:numFmt w:val="bullet"/>
      <w:lvlText w:val="•"/>
      <w:lvlJc w:val="left"/>
      <w:pPr>
        <w:ind w:left="6969" w:hanging="602"/>
      </w:pPr>
      <w:rPr>
        <w:rFonts w:hint="eastAsia" w:ascii="宋体" w:hAnsi="宋体" w:eastAsia="宋体" w:cs="宋体"/>
        <w:lang w:val="zh-CN" w:eastAsia="zh-CN" w:bidi="zh-CN"/>
      </w:rPr>
    </w:lvl>
    <w:lvl w:ilvl="8" w:tentative="0">
      <w:start w:val="0"/>
      <w:numFmt w:val="bullet"/>
      <w:lvlText w:val="•"/>
      <w:lvlJc w:val="left"/>
      <w:pPr>
        <w:ind w:left="7834" w:hanging="602"/>
      </w:pPr>
      <w:rPr>
        <w:rFonts w:hint="eastAsia" w:ascii="宋体" w:hAnsi="宋体" w:eastAsia="宋体" w:cs="宋体"/>
        <w:lang w:val="zh-CN" w:eastAsia="zh-CN" w:bidi="zh-CN"/>
      </w:rPr>
    </w:lvl>
  </w:abstractNum>
  <w:abstractNum w:abstractNumId="2">
    <w:nsid w:val="252D6C9C"/>
    <w:multiLevelType w:val="multilevel"/>
    <w:tmpl w:val="252D6C9C"/>
    <w:lvl w:ilvl="0" w:tentative="0">
      <w:start w:val="1"/>
      <w:numFmt w:val="chineseCounting"/>
      <w:suff w:val="nothing"/>
      <w:lvlText w:val="第%1部分"/>
      <w:lvlJc w:val="center"/>
      <w:pPr>
        <w:tabs>
          <w:tab w:val="left" w:pos="420"/>
        </w:tabs>
        <w:ind w:left="0" w:firstLine="0"/>
        <w:jc w:val="left"/>
      </w:pPr>
      <w:rPr>
        <w:rFonts w:hint="eastAsia" w:ascii="宋体" w:hAnsi="宋体" w:eastAsia="宋体" w:cs="宋体"/>
        <w:w w:val="100"/>
        <w:sz w:val="36"/>
        <w:szCs w:val="22"/>
        <w:lang w:val="zh-CN" w:eastAsia="zh-CN" w:bidi="zh-CN"/>
      </w:rPr>
    </w:lvl>
    <w:lvl w:ilvl="1" w:tentative="0">
      <w:start w:val="1"/>
      <w:numFmt w:val="chineseCounting"/>
      <w:lvlRestart w:val="0"/>
      <w:suff w:val="nothing"/>
      <w:lvlText w:val="%2."/>
      <w:lvlJc w:val="left"/>
      <w:pPr>
        <w:tabs>
          <w:tab w:val="left" w:pos="0"/>
        </w:tabs>
        <w:ind w:left="0" w:firstLine="567"/>
        <w:jc w:val="left"/>
      </w:pPr>
      <w:rPr>
        <w:rFonts w:hint="eastAsia" w:ascii="宋体" w:hAnsi="宋体" w:eastAsia="宋体" w:cs="宋体"/>
        <w:w w:val="100"/>
        <w:sz w:val="28"/>
        <w:szCs w:val="22"/>
        <w:lang w:val="zh-CN" w:eastAsia="zh-CN" w:bidi="zh-CN"/>
      </w:rPr>
    </w:lvl>
    <w:lvl w:ilvl="2" w:tentative="0">
      <w:start w:val="1"/>
      <w:numFmt w:val="decimal"/>
      <w:suff w:val="nothing"/>
      <w:lvlText w:val="%3."/>
      <w:lvlJc w:val="left"/>
      <w:pPr>
        <w:tabs>
          <w:tab w:val="left" w:pos="0"/>
        </w:tabs>
        <w:ind w:left="0" w:firstLine="567"/>
      </w:pPr>
      <w:rPr>
        <w:rFonts w:hint="eastAsia" w:ascii="宋体" w:hAnsi="宋体" w:eastAsia="宋体" w:cs="宋体"/>
        <w:lang w:val="zh-CN" w:eastAsia="zh-CN" w:bidi="zh-CN"/>
      </w:rPr>
    </w:lvl>
    <w:lvl w:ilvl="3" w:tentative="0">
      <w:start w:val="1"/>
      <w:numFmt w:val="decimal"/>
      <w:suff w:val="nothing"/>
      <w:lvlText w:val="%3.%4"/>
      <w:lvlJc w:val="left"/>
      <w:pPr>
        <w:tabs>
          <w:tab w:val="left" w:pos="0"/>
        </w:tabs>
        <w:ind w:left="0" w:firstLine="567"/>
      </w:pPr>
      <w:rPr>
        <w:rFonts w:hint="eastAsia" w:ascii="宋体" w:hAnsi="宋体" w:eastAsia="宋体" w:cs="宋体"/>
        <w:lang w:val="zh-CN" w:eastAsia="zh-CN" w:bidi="zh-CN"/>
      </w:rPr>
    </w:lvl>
    <w:lvl w:ilvl="4" w:tentative="0">
      <w:start w:val="1"/>
      <w:numFmt w:val="decimal"/>
      <w:suff w:val="nothing"/>
      <w:lvlText w:val="%3.%4.%5"/>
      <w:lvlJc w:val="left"/>
      <w:pPr>
        <w:tabs>
          <w:tab w:val="left" w:pos="420"/>
        </w:tabs>
        <w:ind w:left="0" w:firstLine="567"/>
      </w:pPr>
      <w:rPr>
        <w:rFonts w:hint="eastAsia" w:ascii="宋体" w:hAnsi="宋体" w:eastAsia="宋体" w:cs="宋体"/>
        <w:lang w:val="zh-CN" w:eastAsia="zh-CN" w:bidi="zh-CN"/>
      </w:rPr>
    </w:lvl>
    <w:lvl w:ilvl="5" w:tentative="0">
      <w:start w:val="0"/>
      <w:numFmt w:val="bullet"/>
      <w:lvlText w:val="•"/>
      <w:lvlJc w:val="left"/>
      <w:pPr>
        <w:tabs>
          <w:tab w:val="left" w:pos="420"/>
        </w:tabs>
        <w:ind w:left="5239" w:hanging="602"/>
      </w:pPr>
      <w:rPr>
        <w:rFonts w:hint="eastAsia" w:ascii="宋体" w:hAnsi="宋体" w:eastAsia="宋体" w:cs="宋体"/>
        <w:lang w:val="zh-CN" w:eastAsia="zh-CN" w:bidi="zh-CN"/>
      </w:rPr>
    </w:lvl>
    <w:lvl w:ilvl="6" w:tentative="0">
      <w:start w:val="0"/>
      <w:numFmt w:val="bullet"/>
      <w:lvlText w:val="•"/>
      <w:lvlJc w:val="left"/>
      <w:pPr>
        <w:ind w:left="6104" w:hanging="602"/>
      </w:pPr>
      <w:rPr>
        <w:rFonts w:hint="eastAsia" w:ascii="宋体" w:hAnsi="宋体" w:eastAsia="宋体" w:cs="宋体"/>
        <w:lang w:val="zh-CN" w:eastAsia="zh-CN" w:bidi="zh-CN"/>
      </w:rPr>
    </w:lvl>
    <w:lvl w:ilvl="7" w:tentative="0">
      <w:start w:val="0"/>
      <w:numFmt w:val="bullet"/>
      <w:lvlText w:val="•"/>
      <w:lvlJc w:val="left"/>
      <w:pPr>
        <w:ind w:left="6969" w:hanging="602"/>
      </w:pPr>
      <w:rPr>
        <w:rFonts w:hint="eastAsia" w:ascii="宋体" w:hAnsi="宋体" w:eastAsia="宋体" w:cs="宋体"/>
        <w:lang w:val="zh-CN" w:eastAsia="zh-CN" w:bidi="zh-CN"/>
      </w:rPr>
    </w:lvl>
    <w:lvl w:ilvl="8" w:tentative="0">
      <w:start w:val="0"/>
      <w:numFmt w:val="bullet"/>
      <w:lvlText w:val="•"/>
      <w:lvlJc w:val="left"/>
      <w:pPr>
        <w:ind w:left="7834" w:hanging="602"/>
      </w:pPr>
      <w:rPr>
        <w:rFonts w:hint="eastAsia" w:ascii="宋体" w:hAnsi="宋体" w:eastAsia="宋体" w:cs="宋体"/>
        <w:lang w:val="zh-CN" w:eastAsia="zh-CN" w:bidi="zh-CN"/>
      </w:rPr>
    </w:lvl>
  </w:abstractNum>
  <w:abstractNum w:abstractNumId="3">
    <w:nsid w:val="3CEBA763"/>
    <w:multiLevelType w:val="singleLevel"/>
    <w:tmpl w:val="3CEBA763"/>
    <w:lvl w:ilvl="0" w:tentative="0">
      <w:start w:val="1"/>
      <w:numFmt w:val="chineseCounting"/>
      <w:suff w:val="space"/>
      <w:lvlText w:val="第%1条"/>
      <w:lvlJc w:val="left"/>
      <w:rPr>
        <w:rFonts w:hint="eastAsia"/>
      </w:rPr>
    </w:lvl>
  </w:abstractNum>
  <w:abstractNum w:abstractNumId="4">
    <w:nsid w:val="4F8C8723"/>
    <w:multiLevelType w:val="multilevel"/>
    <w:tmpl w:val="4F8C8723"/>
    <w:lvl w:ilvl="0" w:tentative="0">
      <w:start w:val="1"/>
      <w:numFmt w:val="chineseCounting"/>
      <w:pStyle w:val="4"/>
      <w:suff w:val="nothing"/>
      <w:lvlText w:val="第%1部分  "/>
      <w:lvlJc w:val="center"/>
      <w:pPr>
        <w:tabs>
          <w:tab w:val="left" w:pos="0"/>
        </w:tabs>
        <w:ind w:left="0" w:firstLine="0"/>
        <w:jc w:val="left"/>
      </w:pPr>
      <w:rPr>
        <w:rFonts w:hint="eastAsia" w:ascii="宋体" w:hAnsi="宋体" w:eastAsia="宋体" w:cs="宋体"/>
        <w:w w:val="100"/>
        <w:sz w:val="36"/>
        <w:szCs w:val="22"/>
        <w:lang w:val="zh-CN" w:eastAsia="zh-CN" w:bidi="zh-CN"/>
      </w:rPr>
    </w:lvl>
    <w:lvl w:ilvl="1" w:tentative="0">
      <w:start w:val="1"/>
      <w:numFmt w:val="chineseCounting"/>
      <w:lvlRestart w:val="0"/>
      <w:pStyle w:val="5"/>
      <w:suff w:val="nothing"/>
      <w:lvlText w:val="%2、"/>
      <w:lvlJc w:val="left"/>
      <w:pPr>
        <w:tabs>
          <w:tab w:val="left" w:pos="0"/>
        </w:tabs>
        <w:ind w:left="0" w:firstLine="567"/>
        <w:jc w:val="left"/>
      </w:pPr>
      <w:rPr>
        <w:rFonts w:hint="eastAsia" w:ascii="宋体" w:hAnsi="宋体" w:eastAsia="宋体" w:cs="宋体"/>
        <w:w w:val="100"/>
        <w:sz w:val="28"/>
        <w:szCs w:val="22"/>
        <w:lang w:val="zh-CN" w:eastAsia="zh-CN" w:bidi="zh-CN"/>
      </w:rPr>
    </w:lvl>
    <w:lvl w:ilvl="2" w:tentative="0">
      <w:start w:val="1"/>
      <w:numFmt w:val="decimal"/>
      <w:pStyle w:val="6"/>
      <w:suff w:val="nothing"/>
      <w:lvlText w:val="%3."/>
      <w:lvlJc w:val="left"/>
      <w:pPr>
        <w:tabs>
          <w:tab w:val="left" w:pos="0"/>
        </w:tabs>
        <w:ind w:left="0" w:firstLine="567"/>
      </w:pPr>
      <w:rPr>
        <w:rFonts w:hint="eastAsia" w:ascii="宋体" w:hAnsi="宋体" w:eastAsia="宋体" w:cs="宋体"/>
        <w:lang w:val="zh-CN" w:eastAsia="zh-CN" w:bidi="zh-CN"/>
      </w:rPr>
    </w:lvl>
    <w:lvl w:ilvl="3" w:tentative="0">
      <w:start w:val="1"/>
      <w:numFmt w:val="decimal"/>
      <w:pStyle w:val="7"/>
      <w:suff w:val="nothing"/>
      <w:lvlText w:val="%3.%4"/>
      <w:lvlJc w:val="left"/>
      <w:pPr>
        <w:tabs>
          <w:tab w:val="left" w:pos="0"/>
        </w:tabs>
        <w:ind w:left="0" w:firstLine="567"/>
      </w:pPr>
      <w:rPr>
        <w:rFonts w:hint="eastAsia" w:ascii="宋体" w:hAnsi="宋体" w:eastAsia="宋体" w:cs="宋体"/>
        <w:lang w:val="zh-CN" w:eastAsia="zh-CN" w:bidi="zh-CN"/>
      </w:rPr>
    </w:lvl>
    <w:lvl w:ilvl="4" w:tentative="0">
      <w:start w:val="1"/>
      <w:numFmt w:val="decimal"/>
      <w:pStyle w:val="8"/>
      <w:suff w:val="nothing"/>
      <w:lvlText w:val="%3.%4.%5"/>
      <w:lvlJc w:val="left"/>
      <w:pPr>
        <w:tabs>
          <w:tab w:val="left" w:pos="420"/>
        </w:tabs>
        <w:ind w:left="0" w:firstLine="567"/>
      </w:pPr>
      <w:rPr>
        <w:rFonts w:hint="eastAsia" w:ascii="宋体" w:hAnsi="宋体" w:eastAsia="宋体" w:cs="宋体"/>
        <w:lang w:val="zh-CN" w:eastAsia="zh-CN" w:bidi="zh-CN"/>
      </w:rPr>
    </w:lvl>
    <w:lvl w:ilvl="5" w:tentative="0">
      <w:start w:val="0"/>
      <w:numFmt w:val="bullet"/>
      <w:lvlText w:val="•"/>
      <w:lvlJc w:val="left"/>
      <w:pPr>
        <w:tabs>
          <w:tab w:val="left" w:pos="420"/>
        </w:tabs>
        <w:ind w:left="5239" w:hanging="602"/>
      </w:pPr>
      <w:rPr>
        <w:rFonts w:hint="eastAsia" w:ascii="宋体" w:hAnsi="宋体" w:eastAsia="宋体" w:cs="宋体"/>
        <w:lang w:val="zh-CN" w:eastAsia="zh-CN" w:bidi="zh-CN"/>
      </w:rPr>
    </w:lvl>
    <w:lvl w:ilvl="6" w:tentative="0">
      <w:start w:val="0"/>
      <w:numFmt w:val="bullet"/>
      <w:lvlText w:val="•"/>
      <w:lvlJc w:val="left"/>
      <w:pPr>
        <w:ind w:left="6104" w:hanging="602"/>
      </w:pPr>
      <w:rPr>
        <w:rFonts w:hint="eastAsia" w:ascii="宋体" w:hAnsi="宋体" w:eastAsia="宋体" w:cs="宋体"/>
        <w:lang w:val="zh-CN" w:eastAsia="zh-CN" w:bidi="zh-CN"/>
      </w:rPr>
    </w:lvl>
    <w:lvl w:ilvl="7" w:tentative="0">
      <w:start w:val="0"/>
      <w:numFmt w:val="bullet"/>
      <w:lvlText w:val="•"/>
      <w:lvlJc w:val="left"/>
      <w:pPr>
        <w:ind w:left="6969" w:hanging="602"/>
      </w:pPr>
      <w:rPr>
        <w:rFonts w:hint="eastAsia" w:ascii="宋体" w:hAnsi="宋体" w:eastAsia="宋体" w:cs="宋体"/>
        <w:lang w:val="zh-CN" w:eastAsia="zh-CN" w:bidi="zh-CN"/>
      </w:rPr>
    </w:lvl>
    <w:lvl w:ilvl="8" w:tentative="0">
      <w:start w:val="0"/>
      <w:numFmt w:val="bullet"/>
      <w:lvlText w:val="•"/>
      <w:lvlJc w:val="left"/>
      <w:pPr>
        <w:ind w:left="7834" w:hanging="602"/>
      </w:pPr>
      <w:rPr>
        <w:rFonts w:hint="eastAsia" w:ascii="宋体" w:hAnsi="宋体" w:eastAsia="宋体" w:cs="宋体"/>
        <w:lang w:val="zh-CN" w:eastAsia="zh-CN" w:bidi="zh-CN"/>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0"/>
    </w:lvlOverride>
    <w:lvlOverride w:ilvl="6">
      <w:startOverride w:val="0"/>
    </w:lvlOverride>
    <w:lvlOverride w:ilvl="7">
      <w:startOverride w:val="0"/>
    </w:lvlOverride>
    <w:lvlOverride w:ilvl="8">
      <w:startOverride w:val="0"/>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formatting="1" w:enforcement="1" w:cryptProviderType="rsaFull" w:cryptAlgorithmClass="hash" w:cryptAlgorithmType="typeAny" w:cryptAlgorithmSid="4" w:cryptSpinCount="0" w:hash="5rhPgLxPZ1ZsWN0awk/MHvd/lnA=" w:salt="Eibl4z0K2gALgJu3CzLeyw=="/>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MDc4ZjZkYmQ1OTE3ODk2NTVhZjdhNjgwM2FhNzAifQ=="/>
  </w:docVars>
  <w:rsids>
    <w:rsidRoot w:val="24460CC4"/>
    <w:rsid w:val="00040BCC"/>
    <w:rsid w:val="000816F4"/>
    <w:rsid w:val="000E07DA"/>
    <w:rsid w:val="00127324"/>
    <w:rsid w:val="00183C7F"/>
    <w:rsid w:val="00185542"/>
    <w:rsid w:val="00195400"/>
    <w:rsid w:val="001A324E"/>
    <w:rsid w:val="001F2616"/>
    <w:rsid w:val="001F6771"/>
    <w:rsid w:val="0023084B"/>
    <w:rsid w:val="00235EA1"/>
    <w:rsid w:val="00271363"/>
    <w:rsid w:val="00271AE4"/>
    <w:rsid w:val="00273BB5"/>
    <w:rsid w:val="002760F9"/>
    <w:rsid w:val="00277582"/>
    <w:rsid w:val="002A4F47"/>
    <w:rsid w:val="002D2EFA"/>
    <w:rsid w:val="002D5A57"/>
    <w:rsid w:val="00382304"/>
    <w:rsid w:val="003E2BBA"/>
    <w:rsid w:val="00432769"/>
    <w:rsid w:val="00445B67"/>
    <w:rsid w:val="004658C5"/>
    <w:rsid w:val="0047079D"/>
    <w:rsid w:val="004A1547"/>
    <w:rsid w:val="004A28D8"/>
    <w:rsid w:val="004B5AD7"/>
    <w:rsid w:val="00507B90"/>
    <w:rsid w:val="00553038"/>
    <w:rsid w:val="00553721"/>
    <w:rsid w:val="005E796C"/>
    <w:rsid w:val="00631258"/>
    <w:rsid w:val="00694453"/>
    <w:rsid w:val="006C7D08"/>
    <w:rsid w:val="006D6807"/>
    <w:rsid w:val="006F4E1C"/>
    <w:rsid w:val="00712517"/>
    <w:rsid w:val="007A406D"/>
    <w:rsid w:val="007D1BAB"/>
    <w:rsid w:val="007D27A5"/>
    <w:rsid w:val="007F0418"/>
    <w:rsid w:val="007F3451"/>
    <w:rsid w:val="00825FDA"/>
    <w:rsid w:val="008302C0"/>
    <w:rsid w:val="008312CD"/>
    <w:rsid w:val="00831D8C"/>
    <w:rsid w:val="00835166"/>
    <w:rsid w:val="00881B1C"/>
    <w:rsid w:val="008C3528"/>
    <w:rsid w:val="00901483"/>
    <w:rsid w:val="009247E0"/>
    <w:rsid w:val="00925078"/>
    <w:rsid w:val="009255D9"/>
    <w:rsid w:val="00926601"/>
    <w:rsid w:val="00937485"/>
    <w:rsid w:val="009741AC"/>
    <w:rsid w:val="009747F1"/>
    <w:rsid w:val="009770BD"/>
    <w:rsid w:val="00985EE5"/>
    <w:rsid w:val="009C1744"/>
    <w:rsid w:val="009C7E72"/>
    <w:rsid w:val="009E22E5"/>
    <w:rsid w:val="00A0004B"/>
    <w:rsid w:val="00A26219"/>
    <w:rsid w:val="00A3045F"/>
    <w:rsid w:val="00A37FA4"/>
    <w:rsid w:val="00AE6C35"/>
    <w:rsid w:val="00B37C38"/>
    <w:rsid w:val="00BD7236"/>
    <w:rsid w:val="00BE2B14"/>
    <w:rsid w:val="00BF1F16"/>
    <w:rsid w:val="00C2519E"/>
    <w:rsid w:val="00C31817"/>
    <w:rsid w:val="00C56719"/>
    <w:rsid w:val="00C6346E"/>
    <w:rsid w:val="00C64430"/>
    <w:rsid w:val="00C9765F"/>
    <w:rsid w:val="00CA1159"/>
    <w:rsid w:val="00CF7077"/>
    <w:rsid w:val="00D03DD4"/>
    <w:rsid w:val="00D359FA"/>
    <w:rsid w:val="00D523AF"/>
    <w:rsid w:val="00D714E8"/>
    <w:rsid w:val="00DA4619"/>
    <w:rsid w:val="00DD174A"/>
    <w:rsid w:val="00E3036E"/>
    <w:rsid w:val="00E4599C"/>
    <w:rsid w:val="00E51E77"/>
    <w:rsid w:val="00E717CA"/>
    <w:rsid w:val="00E93A67"/>
    <w:rsid w:val="00EA779D"/>
    <w:rsid w:val="00EF1F75"/>
    <w:rsid w:val="00FA2CC4"/>
    <w:rsid w:val="00FC5157"/>
    <w:rsid w:val="017D75D9"/>
    <w:rsid w:val="01832560"/>
    <w:rsid w:val="02090D06"/>
    <w:rsid w:val="023312EC"/>
    <w:rsid w:val="025833E7"/>
    <w:rsid w:val="02695456"/>
    <w:rsid w:val="0369570A"/>
    <w:rsid w:val="038A27BB"/>
    <w:rsid w:val="046479C9"/>
    <w:rsid w:val="06372CD2"/>
    <w:rsid w:val="06581088"/>
    <w:rsid w:val="06AC4581"/>
    <w:rsid w:val="07AC0DEC"/>
    <w:rsid w:val="08BD7029"/>
    <w:rsid w:val="0A957CCC"/>
    <w:rsid w:val="0B3665F8"/>
    <w:rsid w:val="0B577B1A"/>
    <w:rsid w:val="0B9E0377"/>
    <w:rsid w:val="0BE94100"/>
    <w:rsid w:val="0C190130"/>
    <w:rsid w:val="0C9D2A12"/>
    <w:rsid w:val="0CDE7D2A"/>
    <w:rsid w:val="0D8B7987"/>
    <w:rsid w:val="0DA22CA0"/>
    <w:rsid w:val="0F2D7759"/>
    <w:rsid w:val="0FD80F1A"/>
    <w:rsid w:val="10493634"/>
    <w:rsid w:val="108F0CC2"/>
    <w:rsid w:val="10C75897"/>
    <w:rsid w:val="11296650"/>
    <w:rsid w:val="117F50FF"/>
    <w:rsid w:val="11997BCA"/>
    <w:rsid w:val="13194BDF"/>
    <w:rsid w:val="14AE70B7"/>
    <w:rsid w:val="16660C4B"/>
    <w:rsid w:val="176F523C"/>
    <w:rsid w:val="17FF797E"/>
    <w:rsid w:val="188B4405"/>
    <w:rsid w:val="1AAE2F76"/>
    <w:rsid w:val="1AEF4962"/>
    <w:rsid w:val="1AF30B59"/>
    <w:rsid w:val="1E8E1BD1"/>
    <w:rsid w:val="1EEB3EC8"/>
    <w:rsid w:val="1F766468"/>
    <w:rsid w:val="1FC03477"/>
    <w:rsid w:val="214F5C8C"/>
    <w:rsid w:val="216F2044"/>
    <w:rsid w:val="21A5284D"/>
    <w:rsid w:val="235D3B31"/>
    <w:rsid w:val="24460CC4"/>
    <w:rsid w:val="24872847"/>
    <w:rsid w:val="26D35B0F"/>
    <w:rsid w:val="280F2944"/>
    <w:rsid w:val="2A0D47B6"/>
    <w:rsid w:val="2A255216"/>
    <w:rsid w:val="2A584886"/>
    <w:rsid w:val="2B06222F"/>
    <w:rsid w:val="2B5D4F75"/>
    <w:rsid w:val="2CDC6872"/>
    <w:rsid w:val="2DBD623F"/>
    <w:rsid w:val="2DD95BF2"/>
    <w:rsid w:val="2E2F613A"/>
    <w:rsid w:val="2F822D29"/>
    <w:rsid w:val="324E7104"/>
    <w:rsid w:val="330F013A"/>
    <w:rsid w:val="334E77E2"/>
    <w:rsid w:val="337108E6"/>
    <w:rsid w:val="33FF597D"/>
    <w:rsid w:val="34590380"/>
    <w:rsid w:val="378272DB"/>
    <w:rsid w:val="381F177E"/>
    <w:rsid w:val="388343EF"/>
    <w:rsid w:val="389859CB"/>
    <w:rsid w:val="38EF1F9D"/>
    <w:rsid w:val="39240B79"/>
    <w:rsid w:val="39D60ED9"/>
    <w:rsid w:val="3A263F7C"/>
    <w:rsid w:val="3C5321D9"/>
    <w:rsid w:val="3C6938DF"/>
    <w:rsid w:val="3D011D9D"/>
    <w:rsid w:val="3D441046"/>
    <w:rsid w:val="3DB9305D"/>
    <w:rsid w:val="3E1376FD"/>
    <w:rsid w:val="40AE1D33"/>
    <w:rsid w:val="41141603"/>
    <w:rsid w:val="42224E23"/>
    <w:rsid w:val="429870F6"/>
    <w:rsid w:val="429D12A9"/>
    <w:rsid w:val="42AB6632"/>
    <w:rsid w:val="44296C9D"/>
    <w:rsid w:val="46396122"/>
    <w:rsid w:val="46794C27"/>
    <w:rsid w:val="46C62CF7"/>
    <w:rsid w:val="46FD353F"/>
    <w:rsid w:val="47126FFB"/>
    <w:rsid w:val="47346D0B"/>
    <w:rsid w:val="476111C1"/>
    <w:rsid w:val="47D07C28"/>
    <w:rsid w:val="485C3F9C"/>
    <w:rsid w:val="4B2E419E"/>
    <w:rsid w:val="4B927F58"/>
    <w:rsid w:val="4DDA42C5"/>
    <w:rsid w:val="4E8E5E19"/>
    <w:rsid w:val="501C2746"/>
    <w:rsid w:val="507C7D34"/>
    <w:rsid w:val="520C2233"/>
    <w:rsid w:val="55094A8C"/>
    <w:rsid w:val="55193370"/>
    <w:rsid w:val="554B6551"/>
    <w:rsid w:val="5553394B"/>
    <w:rsid w:val="555F72B8"/>
    <w:rsid w:val="56845A98"/>
    <w:rsid w:val="58F87CDF"/>
    <w:rsid w:val="5945681D"/>
    <w:rsid w:val="59870F5F"/>
    <w:rsid w:val="5AAD1478"/>
    <w:rsid w:val="5AC90C37"/>
    <w:rsid w:val="5B286E5C"/>
    <w:rsid w:val="5B762556"/>
    <w:rsid w:val="5C0D0299"/>
    <w:rsid w:val="5CD73223"/>
    <w:rsid w:val="5D975E10"/>
    <w:rsid w:val="5DA06601"/>
    <w:rsid w:val="5DB8608C"/>
    <w:rsid w:val="5DE3164A"/>
    <w:rsid w:val="5DF66AC6"/>
    <w:rsid w:val="5DF8352B"/>
    <w:rsid w:val="5EEF1081"/>
    <w:rsid w:val="5F9A06EF"/>
    <w:rsid w:val="6010265D"/>
    <w:rsid w:val="602A7B79"/>
    <w:rsid w:val="603E0D23"/>
    <w:rsid w:val="60802BC8"/>
    <w:rsid w:val="60836FC1"/>
    <w:rsid w:val="615755DC"/>
    <w:rsid w:val="61A12394"/>
    <w:rsid w:val="61D93170"/>
    <w:rsid w:val="621942B6"/>
    <w:rsid w:val="637B4BF1"/>
    <w:rsid w:val="63982B96"/>
    <w:rsid w:val="64400B00"/>
    <w:rsid w:val="6450319C"/>
    <w:rsid w:val="64843ECB"/>
    <w:rsid w:val="651B3028"/>
    <w:rsid w:val="65B46101"/>
    <w:rsid w:val="65DD61E7"/>
    <w:rsid w:val="666C3ED1"/>
    <w:rsid w:val="66D519B1"/>
    <w:rsid w:val="66E63042"/>
    <w:rsid w:val="67054B9F"/>
    <w:rsid w:val="672E33CF"/>
    <w:rsid w:val="69063D17"/>
    <w:rsid w:val="6ABD6F17"/>
    <w:rsid w:val="6B415378"/>
    <w:rsid w:val="6B5B78D7"/>
    <w:rsid w:val="6B8A4984"/>
    <w:rsid w:val="6BB94BFF"/>
    <w:rsid w:val="6BF87F1B"/>
    <w:rsid w:val="6CE34705"/>
    <w:rsid w:val="6D9B067E"/>
    <w:rsid w:val="6DFA20B6"/>
    <w:rsid w:val="6E1D0376"/>
    <w:rsid w:val="71EB46E2"/>
    <w:rsid w:val="720B3DC3"/>
    <w:rsid w:val="725620A9"/>
    <w:rsid w:val="72E8551D"/>
    <w:rsid w:val="736B6915"/>
    <w:rsid w:val="7397328E"/>
    <w:rsid w:val="73B14F35"/>
    <w:rsid w:val="73B634B8"/>
    <w:rsid w:val="748206AE"/>
    <w:rsid w:val="74AC0010"/>
    <w:rsid w:val="760F09C3"/>
    <w:rsid w:val="761C4CA4"/>
    <w:rsid w:val="763C2822"/>
    <w:rsid w:val="76B349F9"/>
    <w:rsid w:val="774E65AF"/>
    <w:rsid w:val="776F7CA8"/>
    <w:rsid w:val="77CC0A50"/>
    <w:rsid w:val="78D13F17"/>
    <w:rsid w:val="7A00530A"/>
    <w:rsid w:val="7A460444"/>
    <w:rsid w:val="7ADF0C5C"/>
    <w:rsid w:val="7C3A4A23"/>
    <w:rsid w:val="7C790E6E"/>
    <w:rsid w:val="7D440F3C"/>
    <w:rsid w:val="7F3B065C"/>
    <w:rsid w:val="7FFE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920" w:firstLineChars="200"/>
      <w:jc w:val="both"/>
    </w:pPr>
    <w:rPr>
      <w:rFonts w:eastAsia="宋体" w:asciiTheme="minorHAnsi" w:hAnsiTheme="minorHAnsi" w:cstheme="minorBidi"/>
      <w:kern w:val="2"/>
      <w:sz w:val="24"/>
      <w:szCs w:val="24"/>
      <w:lang w:val="en-US" w:eastAsia="zh-CN" w:bidi="ar-SA"/>
    </w:rPr>
  </w:style>
  <w:style w:type="paragraph" w:styleId="4">
    <w:name w:val="heading 1"/>
    <w:basedOn w:val="1"/>
    <w:next w:val="1"/>
    <w:link w:val="29"/>
    <w:qFormat/>
    <w:uiPriority w:val="0"/>
    <w:pPr>
      <w:numPr>
        <w:ilvl w:val="0"/>
        <w:numId w:val="1"/>
      </w:numPr>
      <w:tabs>
        <w:tab w:val="left" w:pos="567"/>
        <w:tab w:val="clear" w:pos="0"/>
      </w:tabs>
      <w:spacing w:after="100" w:afterLines="100"/>
      <w:jc w:val="center"/>
      <w:outlineLvl w:val="0"/>
    </w:pPr>
    <w:rPr>
      <w:b/>
      <w:kern w:val="44"/>
      <w:sz w:val="36"/>
      <w:szCs w:val="36"/>
    </w:rPr>
  </w:style>
  <w:style w:type="paragraph" w:styleId="5">
    <w:name w:val="heading 2"/>
    <w:basedOn w:val="1"/>
    <w:next w:val="1"/>
    <w:link w:val="53"/>
    <w:unhideWhenUsed/>
    <w:qFormat/>
    <w:uiPriority w:val="0"/>
    <w:pPr>
      <w:numPr>
        <w:ilvl w:val="1"/>
        <w:numId w:val="1"/>
      </w:numPr>
      <w:spacing w:before="260" w:after="260" w:line="413" w:lineRule="auto"/>
      <w:outlineLvl w:val="1"/>
    </w:pPr>
    <w:rPr>
      <w:rFonts w:ascii="Arial" w:hAnsi="Arial"/>
      <w:b/>
      <w:sz w:val="28"/>
    </w:rPr>
  </w:style>
  <w:style w:type="paragraph" w:styleId="6">
    <w:name w:val="heading 3"/>
    <w:basedOn w:val="1"/>
    <w:next w:val="1"/>
    <w:link w:val="30"/>
    <w:unhideWhenUsed/>
    <w:qFormat/>
    <w:uiPriority w:val="0"/>
    <w:pPr>
      <w:numPr>
        <w:ilvl w:val="2"/>
        <w:numId w:val="1"/>
      </w:numPr>
      <w:spacing w:before="260" w:after="260"/>
      <w:outlineLvl w:val="2"/>
    </w:pPr>
  </w:style>
  <w:style w:type="paragraph" w:styleId="7">
    <w:name w:val="heading 4"/>
    <w:basedOn w:val="1"/>
    <w:next w:val="1"/>
    <w:unhideWhenUsed/>
    <w:qFormat/>
    <w:uiPriority w:val="0"/>
    <w:pPr>
      <w:numPr>
        <w:ilvl w:val="3"/>
        <w:numId w:val="1"/>
      </w:numPr>
      <w:tabs>
        <w:tab w:val="left" w:pos="420"/>
        <w:tab w:val="clear" w:pos="0"/>
      </w:tabs>
      <w:spacing w:before="280" w:after="290" w:line="372" w:lineRule="auto"/>
      <w:outlineLvl w:val="3"/>
    </w:pPr>
    <w:rPr>
      <w:rFonts w:ascii="Arial" w:hAnsi="Arial"/>
    </w:rPr>
  </w:style>
  <w:style w:type="paragraph" w:styleId="8">
    <w:name w:val="heading 5"/>
    <w:basedOn w:val="1"/>
    <w:next w:val="1"/>
    <w:unhideWhenUsed/>
    <w:qFormat/>
    <w:uiPriority w:val="0"/>
    <w:pPr>
      <w:numPr>
        <w:ilvl w:val="4"/>
        <w:numId w:val="1"/>
      </w:numPr>
      <w:spacing w:before="280" w:after="290" w:line="372" w:lineRule="auto"/>
      <w:outlineLvl w:val="4"/>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 w:hAnsi="......." w:eastAsia="......." w:cs="......."/>
      <w:color w:val="000000"/>
      <w:sz w:val="24"/>
      <w:szCs w:val="24"/>
      <w:lang w:val="en-US" w:eastAsia="zh-CN" w:bidi="ar-SA"/>
    </w:rPr>
  </w:style>
  <w:style w:type="paragraph" w:styleId="3">
    <w:name w:val="toc 9"/>
    <w:basedOn w:val="1"/>
    <w:next w:val="1"/>
    <w:qFormat/>
    <w:uiPriority w:val="0"/>
    <w:pPr>
      <w:wordWrap w:val="0"/>
      <w:ind w:left="2975"/>
    </w:pPr>
    <w:rPr>
      <w:rFonts w:ascii="Times New Roman" w:hAnsi="Times New Roman" w:cs="Times New Roman"/>
    </w:rPr>
  </w:style>
  <w:style w:type="paragraph" w:styleId="9">
    <w:name w:val="Normal Indent"/>
    <w:basedOn w:val="1"/>
    <w:qFormat/>
    <w:uiPriority w:val="0"/>
    <w:pPr>
      <w:ind w:firstLine="420"/>
    </w:pPr>
  </w:style>
  <w:style w:type="paragraph" w:styleId="10">
    <w:name w:val="annotation text"/>
    <w:basedOn w:val="1"/>
    <w:link w:val="54"/>
    <w:qFormat/>
    <w:uiPriority w:val="0"/>
    <w:rPr>
      <w:sz w:val="20"/>
    </w:rPr>
  </w:style>
  <w:style w:type="paragraph" w:styleId="11">
    <w:name w:val="Body Text"/>
    <w:basedOn w:val="1"/>
    <w:next w:val="12"/>
    <w:qFormat/>
    <w:uiPriority w:val="1"/>
    <w:rPr>
      <w:rFonts w:ascii="宋体" w:hAnsi="宋体" w:cs="宋体"/>
      <w:lang w:val="zh-CN" w:bidi="zh-CN"/>
    </w:rPr>
  </w:style>
  <w:style w:type="paragraph" w:styleId="12">
    <w:name w:val="Intense Quote"/>
    <w:basedOn w:val="1"/>
    <w:next w:val="1"/>
    <w:qFormat/>
    <w:uiPriority w:val="0"/>
    <w:pPr>
      <w:wordWrap w:val="0"/>
      <w:spacing w:before="360" w:after="360"/>
      <w:ind w:left="950" w:right="950"/>
      <w:jc w:val="center"/>
    </w:pPr>
    <w:rPr>
      <w:rFonts w:ascii="宋体" w:hAnsi="宋体" w:eastAsia="Times New Roman"/>
      <w:i/>
    </w:rPr>
  </w:style>
  <w:style w:type="paragraph" w:styleId="13">
    <w:name w:val="Body Text Indent"/>
    <w:basedOn w:val="1"/>
    <w:qFormat/>
    <w:uiPriority w:val="0"/>
    <w:pPr>
      <w:ind w:left="608" w:hanging="608"/>
    </w:pPr>
    <w:rPr>
      <w:rFonts w:ascii="宋体"/>
      <w:sz w:val="28"/>
    </w:rPr>
  </w:style>
  <w:style w:type="paragraph" w:styleId="14">
    <w:name w:val="Plain Text"/>
    <w:basedOn w:val="1"/>
    <w:qFormat/>
    <w:uiPriority w:val="0"/>
    <w:rPr>
      <w:rFonts w:ascii="宋体" w:hAnsi="Courier New"/>
      <w:szCs w:val="22"/>
    </w:rPr>
  </w:style>
  <w:style w:type="paragraph" w:styleId="15">
    <w:name w:val="Body Text Indent 2"/>
    <w:basedOn w:val="1"/>
    <w:unhideWhenUsed/>
    <w:qFormat/>
    <w:uiPriority w:val="99"/>
    <w:pPr>
      <w:spacing w:after="120" w:line="480" w:lineRule="auto"/>
      <w:ind w:left="420" w:leftChars="200"/>
    </w:pPr>
  </w:style>
  <w:style w:type="paragraph" w:styleId="16">
    <w:name w:val="Balloon Text"/>
    <w:basedOn w:val="1"/>
    <w:link w:val="56"/>
    <w:semiHidden/>
    <w:unhideWhenUsed/>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spacing w:line="240" w:lineRule="atLeas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kern w:val="0"/>
      <w:sz w:val="22"/>
      <w:szCs w:val="22"/>
    </w:rPr>
  </w:style>
  <w:style w:type="paragraph" w:styleId="20">
    <w:name w:val="Normal (Web)"/>
    <w:basedOn w:val="1"/>
    <w:qFormat/>
    <w:uiPriority w:val="0"/>
    <w:pPr>
      <w:spacing w:before="100" w:beforeAutospacing="1" w:after="100" w:afterAutospacing="1"/>
      <w:jc w:val="left"/>
    </w:pPr>
    <w:rPr>
      <w:kern w:val="0"/>
    </w:rPr>
  </w:style>
  <w:style w:type="paragraph" w:styleId="21">
    <w:name w:val="annotation subject"/>
    <w:basedOn w:val="10"/>
    <w:next w:val="10"/>
    <w:link w:val="55"/>
    <w:semiHidden/>
    <w:unhideWhenUsed/>
    <w:qFormat/>
    <w:uiPriority w:val="0"/>
    <w:pPr>
      <w:jc w:val="left"/>
    </w:pPr>
    <w:rPr>
      <w:b/>
      <w:bCs/>
      <w:sz w:val="24"/>
    </w:rPr>
  </w:style>
  <w:style w:type="paragraph" w:styleId="22">
    <w:name w:val="Body Text First Indent"/>
    <w:basedOn w:val="1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qFormat/>
    <w:uiPriority w:val="0"/>
    <w:rPr>
      <w:color w:val="0000FF"/>
      <w:u w:val="none"/>
    </w:rPr>
  </w:style>
  <w:style w:type="character" w:styleId="28">
    <w:name w:val="annotation reference"/>
    <w:qFormat/>
    <w:uiPriority w:val="0"/>
    <w:rPr>
      <w:sz w:val="21"/>
      <w:szCs w:val="21"/>
    </w:rPr>
  </w:style>
  <w:style w:type="character" w:customStyle="1" w:styleId="29">
    <w:name w:val="标题 1 Char"/>
    <w:link w:val="4"/>
    <w:qFormat/>
    <w:uiPriority w:val="9"/>
    <w:rPr>
      <w:rFonts w:eastAsia="宋体" w:asciiTheme="minorHAnsi" w:hAnsiTheme="minorHAnsi"/>
      <w:b/>
      <w:kern w:val="44"/>
      <w:sz w:val="36"/>
      <w:szCs w:val="36"/>
    </w:rPr>
  </w:style>
  <w:style w:type="character" w:customStyle="1" w:styleId="30">
    <w:name w:val="标题 3 Char"/>
    <w:link w:val="6"/>
    <w:qFormat/>
    <w:uiPriority w:val="0"/>
    <w:rPr>
      <w:rFonts w:eastAsia="宋体"/>
    </w:rPr>
  </w:style>
  <w:style w:type="paragraph" w:customStyle="1" w:styleId="31">
    <w:name w:val="4正文"/>
    <w:basedOn w:val="11"/>
    <w:next w:val="14"/>
    <w:qFormat/>
    <w:uiPriority w:val="0"/>
    <w:pPr>
      <w:snapToGrid w:val="0"/>
      <w:spacing w:beforeLines="70" w:afterLines="70" w:line="360" w:lineRule="exact"/>
    </w:pPr>
    <w:rPr>
      <w:rFonts w:ascii="Calibri" w:hAnsi="Calibri" w:cs="Arial"/>
      <w:spacing w:val="30"/>
    </w:rPr>
  </w:style>
  <w:style w:type="paragraph" w:customStyle="1" w:styleId="32">
    <w:name w:val="Table Paragraph"/>
    <w:basedOn w:val="1"/>
    <w:qFormat/>
    <w:uiPriority w:val="1"/>
    <w:rPr>
      <w:rFonts w:ascii="宋体" w:hAnsi="宋体" w:cs="宋体"/>
      <w:lang w:val="zh-CN" w:bidi="zh-CN"/>
    </w:rPr>
  </w:style>
  <w:style w:type="paragraph" w:customStyle="1" w:styleId="33">
    <w:name w:val="招标文件正文"/>
    <w:basedOn w:val="1"/>
    <w:qFormat/>
    <w:uiPriority w:val="0"/>
    <w:pPr>
      <w:spacing w:line="300" w:lineRule="auto"/>
      <w:ind w:firstLine="200"/>
      <w:jc w:val="left"/>
    </w:pPr>
    <w:rPr>
      <w:rFonts w:ascii="Times New Roman" w:hAnsi="Times New Roman"/>
      <w:kern w:val="0"/>
      <w:sz w:val="32"/>
      <w:szCs w:val="32"/>
    </w:rPr>
  </w:style>
  <w:style w:type="paragraph" w:customStyle="1" w:styleId="34">
    <w:name w:val="正文首行缩进两字符"/>
    <w:basedOn w:val="1"/>
    <w:qFormat/>
    <w:uiPriority w:val="0"/>
    <w:pPr>
      <w:ind w:firstLine="200"/>
    </w:pPr>
  </w:style>
  <w:style w:type="paragraph" w:customStyle="1" w:styleId="35">
    <w:name w:val="列出段落1"/>
    <w:basedOn w:val="1"/>
    <w:qFormat/>
    <w:uiPriority w:val="0"/>
    <w:pPr>
      <w:ind w:firstLine="420"/>
    </w:pPr>
  </w:style>
  <w:style w:type="character" w:customStyle="1" w:styleId="36">
    <w:name w:val="font31"/>
    <w:basedOn w:val="25"/>
    <w:qFormat/>
    <w:uiPriority w:val="0"/>
    <w:rPr>
      <w:rFonts w:hint="eastAsia" w:ascii="宋体" w:hAnsi="宋体" w:eastAsia="宋体" w:cs="宋体"/>
      <w:color w:val="000000"/>
      <w:sz w:val="24"/>
      <w:szCs w:val="24"/>
      <w:u w:val="none"/>
    </w:rPr>
  </w:style>
  <w:style w:type="character" w:customStyle="1" w:styleId="37">
    <w:name w:val="font81"/>
    <w:basedOn w:val="25"/>
    <w:qFormat/>
    <w:uiPriority w:val="0"/>
    <w:rPr>
      <w:rFonts w:hint="eastAsia" w:ascii="宋体" w:hAnsi="宋体" w:eastAsia="宋体" w:cs="宋体"/>
      <w:color w:val="FF0000"/>
      <w:sz w:val="24"/>
      <w:szCs w:val="24"/>
      <w:u w:val="none"/>
    </w:rPr>
  </w:style>
  <w:style w:type="character" w:customStyle="1" w:styleId="38">
    <w:name w:val="font91"/>
    <w:basedOn w:val="25"/>
    <w:qFormat/>
    <w:uiPriority w:val="0"/>
    <w:rPr>
      <w:rFonts w:hint="eastAsia" w:ascii="宋体" w:hAnsi="宋体" w:eastAsia="宋体" w:cs="宋体"/>
      <w:color w:val="000000"/>
      <w:sz w:val="24"/>
      <w:szCs w:val="24"/>
      <w:u w:val="single"/>
    </w:rPr>
  </w:style>
  <w:style w:type="character" w:customStyle="1" w:styleId="39">
    <w:name w:val="font51"/>
    <w:basedOn w:val="25"/>
    <w:qFormat/>
    <w:uiPriority w:val="0"/>
    <w:rPr>
      <w:rFonts w:hint="eastAsia" w:ascii="宋体" w:hAnsi="宋体" w:eastAsia="宋体" w:cs="宋体"/>
      <w:color w:val="000000"/>
      <w:sz w:val="24"/>
      <w:szCs w:val="24"/>
      <w:u w:val="none"/>
    </w:rPr>
  </w:style>
  <w:style w:type="character" w:customStyle="1" w:styleId="40">
    <w:name w:val="font71"/>
    <w:basedOn w:val="25"/>
    <w:qFormat/>
    <w:uiPriority w:val="0"/>
    <w:rPr>
      <w:rFonts w:hint="eastAsia" w:ascii="宋体" w:hAnsi="宋体" w:eastAsia="宋体" w:cs="宋体"/>
      <w:color w:val="000000"/>
      <w:sz w:val="24"/>
      <w:szCs w:val="24"/>
      <w:u w:val="none"/>
    </w:rPr>
  </w:style>
  <w:style w:type="paragraph" w:customStyle="1" w:styleId="41">
    <w:name w:val="正文 A"/>
    <w:next w:val="42"/>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2">
    <w:name w:val="正文文本1"/>
    <w:next w:val="43"/>
    <w:qFormat/>
    <w:uiPriority w:val="0"/>
    <w:pPr>
      <w:framePr w:wrap="around" w:vAnchor="margin" w:hAnchor="text" w:y="1"/>
      <w:widowControl w:val="0"/>
      <w:jc w:val="both"/>
    </w:pPr>
    <w:rPr>
      <w:rFonts w:ascii="Times New Roman" w:hAnsi="Times New Roman" w:eastAsia="Arial Unicode MS" w:cs="Arial Unicode MS"/>
      <w:color w:val="000000"/>
      <w:kern w:val="2"/>
      <w:sz w:val="32"/>
      <w:szCs w:val="32"/>
      <w:u w:color="000000"/>
      <w:lang w:val="en-US" w:eastAsia="zh-CN" w:bidi="ar-SA"/>
    </w:rPr>
  </w:style>
  <w:style w:type="paragraph" w:customStyle="1" w:styleId="43">
    <w:name w:val="明显引用11"/>
    <w:next w:val="41"/>
    <w:qFormat/>
    <w:uiPriority w:val="99"/>
    <w:pPr>
      <w:widowControl w:val="0"/>
      <w:spacing w:before="360" w:after="360"/>
      <w:ind w:left="950" w:right="950"/>
      <w:jc w:val="center"/>
    </w:pPr>
    <w:rPr>
      <w:rFonts w:ascii="宋体" w:hAnsi="Times New Roman" w:eastAsia="宋体" w:cs="宋体"/>
      <w:color w:val="000000"/>
      <w:kern w:val="2"/>
      <w:sz w:val="21"/>
      <w:szCs w:val="21"/>
      <w:lang w:val="en-US" w:eastAsia="zh-CN" w:bidi="ar-SA"/>
    </w:rPr>
  </w:style>
  <w:style w:type="paragraph" w:customStyle="1" w:styleId="44">
    <w:name w:val="明显引用1"/>
    <w:next w:val="41"/>
    <w:qFormat/>
    <w:uiPriority w:val="0"/>
    <w:pPr>
      <w:framePr w:wrap="around" w:vAnchor="margin" w:hAnchor="text" w:y="1"/>
      <w:widowControl w:val="0"/>
      <w:spacing w:before="360" w:after="360"/>
      <w:ind w:left="950" w:right="950"/>
      <w:jc w:val="center"/>
    </w:pPr>
    <w:rPr>
      <w:rFonts w:ascii="宋体" w:hAnsi="宋体" w:eastAsia="Arial Unicode MS" w:cs="Arial Unicode MS"/>
      <w:color w:val="000000"/>
      <w:kern w:val="2"/>
      <w:sz w:val="21"/>
      <w:szCs w:val="21"/>
      <w:u w:color="000000"/>
      <w:lang w:val="en-US" w:eastAsia="zh-CN" w:bidi="ar-SA"/>
    </w:rPr>
  </w:style>
  <w:style w:type="character" w:customStyle="1" w:styleId="45">
    <w:name w:val="无"/>
    <w:qFormat/>
    <w:uiPriority w:val="0"/>
  </w:style>
  <w:style w:type="paragraph" w:customStyle="1" w:styleId="46">
    <w:name w:val="图"/>
    <w:basedOn w:val="1"/>
    <w:qFormat/>
    <w:uiPriority w:val="0"/>
    <w:pPr>
      <w:keepNext/>
      <w:adjustRightInd w:val="0"/>
      <w:spacing w:before="60" w:after="60" w:line="300" w:lineRule="auto"/>
      <w:jc w:val="center"/>
      <w:textAlignment w:val="center"/>
    </w:pPr>
    <w:rPr>
      <w:snapToGrid w:val="0"/>
      <w:spacing w:val="20"/>
    </w:rPr>
  </w:style>
  <w:style w:type="character" w:customStyle="1" w:styleId="47">
    <w:name w:val="Hyperlink.2"/>
    <w:qFormat/>
    <w:uiPriority w:val="99"/>
    <w:rPr>
      <w:shd w:val="clear" w:color="auto" w:fill="auto"/>
      <w:lang w:val="zh-TW" w:eastAsia="zh-TW"/>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styleId="49">
    <w:name w:val="List Paragraph"/>
    <w:basedOn w:val="1"/>
    <w:qFormat/>
    <w:uiPriority w:val="99"/>
    <w:pPr>
      <w:ind w:firstLine="420"/>
    </w:pPr>
  </w:style>
  <w:style w:type="paragraph" w:customStyle="1" w:styleId="50">
    <w:name w:val="正文缩进1"/>
    <w:basedOn w:val="1"/>
    <w:unhideWhenUsed/>
    <w:qFormat/>
    <w:uiPriority w:val="0"/>
    <w:pPr>
      <w:widowControl/>
      <w:ind w:firstLine="420"/>
      <w:jc w:val="left"/>
    </w:pPr>
    <w:rPr>
      <w:kern w:val="0"/>
    </w:rPr>
  </w:style>
  <w:style w:type="character" w:customStyle="1" w:styleId="51">
    <w:name w:val="Hyperlink.0"/>
    <w:basedOn w:val="45"/>
    <w:qFormat/>
    <w:uiPriority w:val="0"/>
    <w:rPr>
      <w:rFonts w:ascii="宋体" w:hAnsi="宋体" w:eastAsia="宋体" w:cs="宋体"/>
      <w:color w:val="000000"/>
      <w:kern w:val="2"/>
      <w:u w:color="000000"/>
      <w:lang w:val="zh-TW" w:eastAsia="zh-TW"/>
    </w:rPr>
  </w:style>
  <w:style w:type="paragraph" w:customStyle="1" w:styleId="52">
    <w:name w:val="首行缩进"/>
    <w:basedOn w:val="1"/>
    <w:qFormat/>
    <w:uiPriority w:val="0"/>
    <w:pPr>
      <w:ind w:firstLine="480"/>
    </w:pPr>
    <w:rPr>
      <w:szCs w:val="22"/>
      <w:lang w:val="zh-CN"/>
    </w:rPr>
  </w:style>
  <w:style w:type="character" w:customStyle="1" w:styleId="53">
    <w:name w:val="标题 2 Char"/>
    <w:link w:val="5"/>
    <w:qFormat/>
    <w:uiPriority w:val="0"/>
    <w:rPr>
      <w:rFonts w:ascii="Arial" w:hAnsi="Arial" w:eastAsia="宋体"/>
      <w:b/>
      <w:sz w:val="28"/>
    </w:rPr>
  </w:style>
  <w:style w:type="character" w:customStyle="1" w:styleId="54">
    <w:name w:val="批注文字 Char"/>
    <w:basedOn w:val="25"/>
    <w:link w:val="10"/>
    <w:qFormat/>
    <w:uiPriority w:val="0"/>
    <w:rPr>
      <w:rFonts w:asciiTheme="minorHAnsi" w:hAnsiTheme="minorHAnsi" w:cstheme="minorBidi"/>
      <w:kern w:val="2"/>
      <w:szCs w:val="24"/>
    </w:rPr>
  </w:style>
  <w:style w:type="character" w:customStyle="1" w:styleId="55">
    <w:name w:val="批注主题 Char"/>
    <w:basedOn w:val="54"/>
    <w:link w:val="21"/>
    <w:semiHidden/>
    <w:qFormat/>
    <w:uiPriority w:val="0"/>
    <w:rPr>
      <w:rFonts w:asciiTheme="minorHAnsi" w:hAnsiTheme="minorHAnsi" w:cstheme="minorBidi"/>
      <w:b/>
      <w:bCs/>
      <w:kern w:val="2"/>
      <w:sz w:val="24"/>
      <w:szCs w:val="24"/>
    </w:rPr>
  </w:style>
  <w:style w:type="character" w:customStyle="1" w:styleId="56">
    <w:name w:val="批注框文本 Char"/>
    <w:basedOn w:val="25"/>
    <w:link w:val="16"/>
    <w:semiHidden/>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hyperlink" Target="http://www.shui5.cn/uploads/soft/180110/8-1P1101I039.docx" TargetMode="Externa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FACDC-4957-418B-B4A9-9CEDDF130124}">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20843</Words>
  <Characters>22119</Characters>
  <Lines>178</Lines>
  <Paragraphs>50</Paragraphs>
  <TotalTime>28</TotalTime>
  <ScaleCrop>false</ScaleCrop>
  <LinksUpToDate>false</LinksUpToDate>
  <CharactersWithSpaces>23456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2022-03-13T23:04:00Z</dcterms:created>
  <dc:creator>行者孙</dc:creator>
  <cp:lastModifiedBy>爹妈都姓蔡的蔡蔡</cp:lastModifiedBy>
  <dcterms:modified xsi:type="dcterms:W3CDTF">2022-06-21T05:52:37Z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0BACDB9953DF4ECF9A35D628C8AF36B2</vt:lpwstr>
  </property>
</Properties>
</file>