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"/>
          <w:numId w:val="1"/>
        </w:numPr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货物需求一览表</w:t>
      </w:r>
      <w:bookmarkStart w:id="0" w:name="_GoBack"/>
      <w:bookmarkEnd w:id="0"/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916"/>
        <w:gridCol w:w="2043"/>
        <w:gridCol w:w="1621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40" w:type="pct"/>
            <w:noWrap w:val="0"/>
            <w:vAlign w:val="center"/>
          </w:tcPr>
          <w:p>
            <w:pPr>
              <w:jc w:val="distribute"/>
              <w:rPr>
                <w:rFonts w:ascii="宋体" w:hAnsi="Bookman Old Style"/>
                <w:sz w:val="24"/>
              </w:rPr>
            </w:pPr>
            <w:r>
              <w:rPr>
                <w:rFonts w:ascii="宋体" w:hAnsi="Bookman Old Style"/>
                <w:sz w:val="24"/>
              </w:rPr>
              <w:t>包</w:t>
            </w:r>
            <w:r>
              <w:rPr>
                <w:rFonts w:hint="eastAsia" w:ascii="宋体" w:hAnsi="Bookman Old Style"/>
                <w:sz w:val="24"/>
              </w:rPr>
              <w:t>号</w:t>
            </w:r>
          </w:p>
        </w:tc>
        <w:tc>
          <w:tcPr>
            <w:tcW w:w="1570" w:type="pct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ascii="宋体" w:hAnsi="Bookman Old Style"/>
                <w:sz w:val="24"/>
              </w:rPr>
              <w:t>货物名称</w:t>
            </w:r>
          </w:p>
        </w:tc>
        <w:tc>
          <w:tcPr>
            <w:tcW w:w="1100" w:type="pct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ascii="宋体" w:hAnsi="Bookman Old Style"/>
                <w:sz w:val="24"/>
              </w:rPr>
              <w:t>数量</w:t>
            </w:r>
          </w:p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ascii="宋体" w:hAnsi="Bookman Old Style"/>
                <w:sz w:val="24"/>
              </w:rPr>
              <w:t>（台</w:t>
            </w:r>
            <w:r>
              <w:rPr>
                <w:rFonts w:hint="eastAsia" w:ascii="宋体" w:hAnsi="Bookman Old Style"/>
                <w:sz w:val="24"/>
              </w:rPr>
              <w:t>/</w:t>
            </w:r>
            <w:r>
              <w:rPr>
                <w:rFonts w:ascii="宋体" w:hAnsi="Bookman Old Style"/>
                <w:sz w:val="24"/>
              </w:rPr>
              <w:t>套）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交货期</w:t>
            </w:r>
          </w:p>
        </w:tc>
        <w:tc>
          <w:tcPr>
            <w:tcW w:w="1017" w:type="pct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40" w:type="pct"/>
            <w:noWrap w:val="0"/>
            <w:vAlign w:val="center"/>
          </w:tcPr>
          <w:p>
            <w:pPr>
              <w:jc w:val="distribute"/>
              <w:rPr>
                <w:rFonts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1</w:t>
            </w:r>
          </w:p>
        </w:tc>
        <w:tc>
          <w:tcPr>
            <w:tcW w:w="1570" w:type="pct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高性能GPU服务器</w:t>
            </w:r>
          </w:p>
        </w:tc>
        <w:tc>
          <w:tcPr>
            <w:tcW w:w="1100" w:type="pct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ascii="宋体" w:hAnsi="Bookman Old Style"/>
                <w:sz w:val="24"/>
              </w:rPr>
              <w:t>4</w:t>
            </w:r>
            <w:r>
              <w:rPr>
                <w:rFonts w:hint="eastAsia" w:ascii="宋体" w:hAnsi="Bookman Old Style"/>
                <w:sz w:val="24"/>
              </w:rPr>
              <w:t>台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合同签订后八周</w:t>
            </w:r>
          </w:p>
        </w:tc>
        <w:tc>
          <w:tcPr>
            <w:tcW w:w="1017" w:type="pct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中国科学院计算技术研究所</w:t>
            </w:r>
          </w:p>
        </w:tc>
      </w:tr>
    </w:tbl>
    <w:p>
      <w:pPr>
        <w:rPr>
          <w:rFonts w:hint="eastAsia" w:ascii="Bookman Old Style" w:hAnsi="Bookman Old Style"/>
          <w:sz w:val="24"/>
        </w:rPr>
      </w:pPr>
      <w:r>
        <w:rPr>
          <w:rFonts w:hint="eastAsia"/>
          <w:sz w:val="24"/>
        </w:rPr>
        <w:t>注：投标人须对上述投标内容中完整的一包进行投标，</w:t>
      </w:r>
      <w:r>
        <w:rPr>
          <w:rFonts w:hint="eastAsia" w:ascii="Bookman Old Style" w:hAnsi="Bookman Old Style"/>
          <w:sz w:val="24"/>
        </w:rPr>
        <w:t>不完整的投标将视为非响应性投标予以拒绝。</w:t>
      </w: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</w:p>
    <w:p>
      <w:pPr>
        <w:numPr>
          <w:ilvl w:val="2"/>
          <w:numId w:val="1"/>
        </w:numPr>
        <w:tabs>
          <w:tab w:val="left" w:pos="720"/>
          <w:tab w:val="clear" w:pos="1560"/>
        </w:tabs>
        <w:adjustRightInd w:val="0"/>
        <w:snapToGrid w:val="0"/>
        <w:ind w:hanging="156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技术规格</w:t>
      </w:r>
    </w:p>
    <w:p>
      <w:pPr>
        <w:spacing w:line="360" w:lineRule="auto"/>
        <w:ind w:left="600" w:hanging="6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一、总</w:t>
      </w:r>
      <w:r>
        <w:rPr>
          <w:rFonts w:ascii="宋体" w:hAnsi="宋体"/>
          <w:b/>
          <w:sz w:val="30"/>
          <w:szCs w:val="30"/>
        </w:rPr>
        <w:t xml:space="preserve">  </w:t>
      </w:r>
      <w:r>
        <w:rPr>
          <w:rFonts w:hint="eastAsia" w:ascii="宋体" w:hAnsi="宋体"/>
          <w:b/>
          <w:sz w:val="30"/>
          <w:szCs w:val="30"/>
        </w:rPr>
        <w:t>则</w:t>
      </w:r>
    </w:p>
    <w:p>
      <w:pPr>
        <w:spacing w:before="156" w:beforeLines="50" w:after="156" w:afterLines="50" w:line="360" w:lineRule="auto"/>
        <w:ind w:left="601" w:hanging="601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1</w:t>
      </w:r>
      <w:r>
        <w:rPr>
          <w:rFonts w:hint="eastAsia" w:ascii="宋体" w:hAnsi="宋体"/>
          <w:b/>
          <w:sz w:val="28"/>
        </w:rPr>
        <w:t>、投标要求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1.1 </w:t>
      </w:r>
      <w:r>
        <w:rPr>
          <w:rFonts w:hint="eastAsia" w:ascii="宋体" w:hAnsi="宋体"/>
          <w:sz w:val="24"/>
        </w:rPr>
        <w:t xml:space="preserve"> 投标人在准备投标书时，务必在所提供的商品的技术规格文件中，标明型号、商标名称、目录号。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1.2  投标人提供的货物须是成熟的全新的产品，其技术规格应符合招标文件的要求。如与招标文件的技术规格有偏差，应提供技术规格偏差的量值或说明（偏离表）。如投标人有意隐瞒对规格要求的偏差或在开标后提出新的偏差，买方有权扣留其投标保证金或/并拒绝其投标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1.3  </w:t>
      </w:r>
      <w:r>
        <w:rPr>
          <w:rFonts w:hint="eastAsia"/>
          <w:sz w:val="24"/>
        </w:rPr>
        <w:t>投标人提供的</w:t>
      </w:r>
      <w:r>
        <w:rPr>
          <w:rFonts w:hint="eastAsia" w:ascii="宋体"/>
          <w:sz w:val="24"/>
        </w:rPr>
        <w:t>产品</w:t>
      </w:r>
      <w:r>
        <w:rPr>
          <w:rFonts w:hint="eastAsia"/>
          <w:sz w:val="24"/>
        </w:rPr>
        <w:t>样本，必须是“原件”而非复印件，</w:t>
      </w:r>
      <w:r>
        <w:rPr>
          <w:rFonts w:hint="eastAsia" w:ascii="宋体"/>
          <w:sz w:val="24"/>
        </w:rPr>
        <w:t>图表、简图、电路图以及印刷电路板图等都应</w:t>
      </w:r>
      <w:r>
        <w:rPr>
          <w:rFonts w:hint="eastAsia"/>
          <w:sz w:val="24"/>
        </w:rPr>
        <w:t>清晰易读。买方有权</w:t>
      </w:r>
      <w:r>
        <w:rPr>
          <w:rFonts w:hint="eastAsia" w:ascii="宋体"/>
          <w:sz w:val="24"/>
        </w:rPr>
        <w:t>不付任何附加费用</w:t>
      </w:r>
      <w:r>
        <w:rPr>
          <w:rFonts w:hint="eastAsia"/>
          <w:sz w:val="24"/>
        </w:rPr>
        <w:t>复制这些资料</w:t>
      </w:r>
      <w:r>
        <w:rPr>
          <w:rFonts w:hint="eastAsia" w:ascii="宋体"/>
          <w:sz w:val="24"/>
        </w:rPr>
        <w:t>以供参考。</w:t>
      </w:r>
    </w:p>
    <w:p>
      <w:pPr>
        <w:spacing w:before="156" w:beforeLines="50" w:after="156" w:afterLines="50" w:line="360" w:lineRule="auto"/>
        <w:ind w:left="601" w:hanging="601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2、评标标准</w:t>
      </w:r>
    </w:p>
    <w:p>
      <w:pPr>
        <w:spacing w:line="360" w:lineRule="auto"/>
        <w:ind w:left="554" w:hanging="554" w:hangingChars="231"/>
        <w:rPr>
          <w:rFonts w:hint="eastAsia"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 xml:space="preserve">1  </w:t>
      </w:r>
      <w:r>
        <w:rPr>
          <w:rFonts w:hint="eastAsia"/>
          <w:sz w:val="24"/>
        </w:rPr>
        <w:t>除招标文件中指定的附件和专用工具外，</w:t>
      </w:r>
      <w:r>
        <w:rPr>
          <w:rFonts w:hint="eastAsia" w:ascii="宋体"/>
          <w:sz w:val="24"/>
        </w:rPr>
        <w:t>投标人应提供仪器设备的正常运行和常规保养所需的全套标准附件、专用工具</w:t>
      </w:r>
      <w:r>
        <w:rPr>
          <w:rFonts w:hint="eastAsia"/>
          <w:sz w:val="24"/>
        </w:rPr>
        <w:t>和消耗品</w:t>
      </w:r>
      <w:r>
        <w:rPr>
          <w:rFonts w:hint="eastAsia" w:ascii="宋体"/>
          <w:sz w:val="24"/>
        </w:rPr>
        <w:t>。投标人在投标书中需列出这些附件和工具的数量和单价的清单，这些附件和工具的报价的总值需计入投标价中。</w:t>
      </w:r>
    </w:p>
    <w:p>
      <w:pPr>
        <w:spacing w:line="360" w:lineRule="auto"/>
        <w:ind w:left="554" w:hanging="554" w:hangingChars="231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2.2  </w:t>
      </w:r>
      <w:r>
        <w:rPr>
          <w:rFonts w:hint="eastAsia"/>
          <w:sz w:val="24"/>
        </w:rPr>
        <w:t>对于标书</w:t>
      </w:r>
      <w:r>
        <w:rPr>
          <w:rFonts w:hint="eastAsia" w:ascii="宋体"/>
          <w:sz w:val="24"/>
        </w:rPr>
        <w:t>技术规范中已列</w:t>
      </w:r>
      <w:r>
        <w:rPr>
          <w:rFonts w:hint="eastAsia"/>
          <w:sz w:val="24"/>
        </w:rPr>
        <w:t>出的作为查询选件的附件、零配件、专用工具和消耗品，投标书中</w:t>
      </w:r>
      <w:r>
        <w:rPr>
          <w:rFonts w:hint="eastAsia" w:ascii="宋体"/>
          <w:sz w:val="24"/>
        </w:rPr>
        <w:t>应列明其数量、单价、总价供买方参考。投标人也可推荐买方没有要求的附件或专用工具作为选件，并列明其数量、单价、总价供买方参考。选件价格不计入评标价中。</w:t>
      </w:r>
      <w:r>
        <w:rPr>
          <w:rFonts w:hint="eastAsia"/>
          <w:sz w:val="24"/>
        </w:rPr>
        <w:t>选件一旦为用户接受，其费用将加入合同价中。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2.3  为便于用户进行接收仪器的准备工作，卖方应在合同生效后</w:t>
      </w:r>
      <w:r>
        <w:rPr>
          <w:rFonts w:hint="eastAsia" w:ascii="宋体" w:hAnsi="宋体"/>
          <w:b/>
          <w:sz w:val="24"/>
        </w:rPr>
        <w:t>60</w:t>
      </w:r>
      <w:r>
        <w:rPr>
          <w:rFonts w:hint="eastAsia" w:ascii="宋体" w:hAnsi="宋体"/>
          <w:sz w:val="24"/>
        </w:rPr>
        <w:t>天内向用户提供一套完整的使用说明书、操作手册、维修及安装说明等文件。另一套完整上述资料应在交货时随货包装提供给用户，这些费用应计入投标价中。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关于设备的安装调试，如果有必要的安装准备条件，卖方应在合同生效后一个月内向买方提出详细的要求或计划。安装调试的费用应计入投标价中，并应单独列出，供评标使用。</w:t>
      </w:r>
    </w:p>
    <w:p>
      <w:pPr>
        <w:spacing w:line="360" w:lineRule="auto"/>
        <w:ind w:left="554" w:hanging="554" w:hangingChars="23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5  制造厂家提供的培训指的是涉及货物的基本原理、操作使用和保养维修等有关内容的培训。培训教员的培训费、旅费、食宿费等费用和培训场地费及培训资料费均应由卖方支付。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6  </w:t>
      </w:r>
      <w:r>
        <w:rPr>
          <w:rFonts w:hint="eastAsia"/>
          <w:sz w:val="24"/>
        </w:rPr>
        <w:t>在评标过程中，买方有权向投标人索取任何与评标有关的资料，投标人务必在接到此类要求后，在规定时间内予以答复。对于无答复的投标人，买方有权拒绝其投标。</w:t>
      </w:r>
    </w:p>
    <w:p>
      <w:pPr>
        <w:spacing w:before="156" w:beforeLines="50" w:after="156" w:afterLines="50" w:line="360" w:lineRule="auto"/>
        <w:ind w:left="601" w:hanging="601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3、工作条件</w:t>
      </w:r>
    </w:p>
    <w:p>
      <w:pPr>
        <w:spacing w:after="312" w:afterLines="10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除非在技术规格中另有说明，所有仪器、设备和系统都应符合下列要求：</w:t>
      </w: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3.1  适于在气温为摄氏</w:t>
      </w:r>
      <w:r>
        <w:rPr>
          <w:rFonts w:ascii="宋体" w:hAnsi="宋体"/>
          <w:b/>
          <w:sz w:val="24"/>
        </w:rPr>
        <w:t>-40</w:t>
      </w:r>
      <w:r>
        <w:rPr>
          <w:rFonts w:hint="eastAsia" w:ascii="宋体" w:hAnsi="宋体"/>
          <w:b/>
          <w:sz w:val="24"/>
        </w:rPr>
        <w:t>℃～＋</w:t>
      </w:r>
      <w:r>
        <w:rPr>
          <w:rFonts w:ascii="宋体" w:hAnsi="宋体"/>
          <w:b/>
          <w:sz w:val="24"/>
        </w:rPr>
        <w:t>50</w:t>
      </w:r>
      <w:r>
        <w:rPr>
          <w:rFonts w:hint="eastAsia" w:ascii="宋体" w:hAnsi="宋体"/>
          <w:b/>
          <w:sz w:val="24"/>
        </w:rPr>
        <w:t>℃</w:t>
      </w:r>
      <w:r>
        <w:rPr>
          <w:rFonts w:hint="eastAsia" w:ascii="宋体" w:hAnsi="宋体"/>
          <w:sz w:val="24"/>
        </w:rPr>
        <w:t>和相对湿度为</w:t>
      </w:r>
      <w:r>
        <w:rPr>
          <w:rFonts w:ascii="宋体" w:hAnsi="宋体"/>
          <w:b/>
          <w:sz w:val="24"/>
        </w:rPr>
        <w:t>90</w:t>
      </w:r>
      <w:r>
        <w:rPr>
          <w:rFonts w:hint="eastAsia" w:ascii="宋体" w:hAnsi="宋体"/>
          <w:b/>
          <w:sz w:val="24"/>
        </w:rPr>
        <w:t>％</w:t>
      </w:r>
      <w:r>
        <w:rPr>
          <w:rFonts w:hint="eastAsia" w:ascii="宋体" w:hAnsi="宋体"/>
          <w:sz w:val="24"/>
        </w:rPr>
        <w:t>的环境条件下运输和贮存。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3.2  适于在电源</w:t>
      </w:r>
      <w:r>
        <w:rPr>
          <w:rFonts w:ascii="宋体" w:hAnsi="宋体"/>
          <w:b/>
          <w:sz w:val="24"/>
        </w:rPr>
        <w:t>220V</w:t>
      </w:r>
      <w:r>
        <w:rPr>
          <w:rFonts w:hint="eastAsia" w:ascii="宋体" w:hAnsi="宋体"/>
          <w:b/>
          <w:sz w:val="24"/>
        </w:rPr>
        <w:t>（</w:t>
      </w:r>
      <w:r>
        <w:rPr>
          <w:rFonts w:ascii="宋体" w:hAnsi="宋体"/>
          <w:b/>
          <w:sz w:val="24"/>
        </w:rPr>
        <w:sym w:font="Symbol" w:char="F0B1"/>
      </w:r>
      <w:r>
        <w:rPr>
          <w:rFonts w:ascii="宋体" w:hAnsi="宋体"/>
          <w:b/>
          <w:sz w:val="24"/>
        </w:rPr>
        <w:t>10</w:t>
      </w:r>
      <w:r>
        <w:rPr>
          <w:rFonts w:hint="eastAsia" w:ascii="宋体" w:hAnsi="宋体"/>
          <w:b/>
          <w:sz w:val="24"/>
        </w:rPr>
        <w:t>％）</w:t>
      </w:r>
      <w:r>
        <w:rPr>
          <w:rFonts w:ascii="宋体" w:hAnsi="宋体"/>
          <w:b/>
          <w:sz w:val="24"/>
        </w:rPr>
        <w:t>/50Hz</w:t>
      </w:r>
      <w:r>
        <w:rPr>
          <w:rFonts w:hint="eastAsia" w:ascii="宋体" w:hAnsi="宋体"/>
          <w:sz w:val="24"/>
        </w:rPr>
        <w:t>、气温摄氏</w:t>
      </w:r>
      <w:r>
        <w:rPr>
          <w:rFonts w:hint="eastAsia" w:ascii="宋体" w:hAnsi="宋体"/>
          <w:b/>
          <w:sz w:val="24"/>
        </w:rPr>
        <w:t>+1</w:t>
      </w:r>
      <w:r>
        <w:rPr>
          <w:rFonts w:ascii="宋体" w:hAnsi="宋体"/>
          <w:b/>
          <w:sz w:val="24"/>
        </w:rPr>
        <w:t>5</w:t>
      </w:r>
      <w:r>
        <w:rPr>
          <w:rFonts w:hint="eastAsia" w:ascii="宋体" w:hAnsi="宋体"/>
          <w:b/>
          <w:sz w:val="24"/>
        </w:rPr>
        <w:t>℃～＋3</w:t>
      </w:r>
      <w:r>
        <w:rPr>
          <w:rFonts w:ascii="宋体" w:hAnsi="宋体"/>
          <w:b/>
          <w:sz w:val="24"/>
        </w:rPr>
        <w:t>0</w:t>
      </w:r>
      <w:r>
        <w:rPr>
          <w:rFonts w:hint="eastAsia" w:ascii="宋体" w:hAnsi="宋体"/>
          <w:b/>
          <w:sz w:val="24"/>
        </w:rPr>
        <w:t>℃</w:t>
      </w:r>
      <w:r>
        <w:rPr>
          <w:rFonts w:hint="eastAsia" w:ascii="宋体" w:hAnsi="宋体"/>
          <w:sz w:val="24"/>
        </w:rPr>
        <w:t>和相对湿度小于</w:t>
      </w:r>
      <w:r>
        <w:rPr>
          <w:rFonts w:ascii="宋体" w:hAnsi="宋体"/>
          <w:b/>
          <w:sz w:val="24"/>
        </w:rPr>
        <w:t>8</w:t>
      </w:r>
      <w:r>
        <w:rPr>
          <w:rFonts w:hint="eastAsia" w:ascii="宋体" w:hAnsi="宋体"/>
          <w:b/>
          <w:sz w:val="24"/>
        </w:rPr>
        <w:t>0％</w:t>
      </w:r>
      <w:r>
        <w:rPr>
          <w:rFonts w:hint="eastAsia" w:ascii="宋体" w:hAnsi="宋体"/>
          <w:sz w:val="24"/>
        </w:rPr>
        <w:t>的环境条件下运行。</w:t>
      </w:r>
      <w:r>
        <w:rPr>
          <w:rFonts w:hint="eastAsia" w:ascii="宋体" w:hAnsi="宋体"/>
          <w:b/>
          <w:sz w:val="24"/>
        </w:rPr>
        <w:t>能够连续正常工作。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3.3  配置符合中国有关标准要求的插头，如果没有这样的插头，则需</w:t>
      </w:r>
      <w:r>
        <w:rPr>
          <w:rFonts w:hint="eastAsia" w:ascii="宋体"/>
          <w:sz w:val="24"/>
        </w:rPr>
        <w:t>提供适当的转</w:t>
      </w:r>
      <w:r>
        <w:rPr>
          <w:rFonts w:hint="eastAsia" w:ascii="宋体" w:hAnsi="宋体"/>
          <w:sz w:val="24"/>
        </w:rPr>
        <w:t>换插座。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3.4  如产品达不到上述要求，投标人应注明其偏差。如仪器设备需要特殊工作条件（如水、电源、磁场强度、温度、湿度、动强度等）投标人应在投标书中加以说明。</w:t>
      </w:r>
    </w:p>
    <w:p>
      <w:pPr>
        <w:rPr>
          <w:rFonts w:hint="eastAsia" w:eastAsia="黑体"/>
          <w:b/>
          <w:bCs/>
          <w:kern w:val="44"/>
          <w:sz w:val="24"/>
        </w:rPr>
      </w:pPr>
    </w:p>
    <w:p>
      <w:pPr>
        <w:spacing w:before="156" w:beforeLines="50" w:after="156" w:afterLines="50" w:line="360" w:lineRule="auto"/>
        <w:ind w:left="601" w:hanging="601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4、验收标准</w:t>
      </w:r>
    </w:p>
    <w:p>
      <w:pPr>
        <w:spacing w:after="312" w:afterLines="10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除非在技术规格中另有说明，所有仪器、设备和系统按下列要求进行验收：</w:t>
      </w: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4.1  仪器设备运抵安装现场后，买方将与卖方共同开箱验收</w:t>
      </w:r>
      <w:r>
        <w:rPr>
          <w:rFonts w:ascii="宋体" w:hAnsi="宋体"/>
          <w:sz w:val="24"/>
        </w:rPr>
        <w:t xml:space="preserve">, </w:t>
      </w:r>
      <w:r>
        <w:rPr>
          <w:rFonts w:hint="eastAsia" w:ascii="宋体" w:hAnsi="宋体"/>
          <w:sz w:val="24"/>
        </w:rPr>
        <w:t>如卖方届时不派人来</w:t>
      </w:r>
      <w:r>
        <w:rPr>
          <w:rFonts w:ascii="宋体" w:hAnsi="宋体"/>
          <w:sz w:val="24"/>
        </w:rPr>
        <w:t xml:space="preserve">, </w:t>
      </w:r>
      <w:r>
        <w:rPr>
          <w:rFonts w:hint="eastAsia" w:ascii="宋体" w:hAnsi="宋体"/>
          <w:sz w:val="24"/>
        </w:rPr>
        <w:t>则验收结果应以买方的验收报告为最终验收结果。验收时发现短缺、破损</w:t>
      </w:r>
      <w:r>
        <w:rPr>
          <w:rFonts w:ascii="宋体" w:hAnsi="宋体"/>
          <w:sz w:val="24"/>
        </w:rPr>
        <w:t xml:space="preserve">, </w:t>
      </w:r>
      <w:r>
        <w:rPr>
          <w:rFonts w:hint="eastAsia" w:ascii="宋体" w:hAnsi="宋体"/>
          <w:sz w:val="24"/>
        </w:rPr>
        <w:t>买方有权要求卖方负责更换。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4.2  </w:t>
      </w:r>
      <w:r>
        <w:rPr>
          <w:rFonts w:hint="eastAsia"/>
          <w:sz w:val="24"/>
        </w:rPr>
        <w:t>验收标准以中标人提供的投标文件中所列的指标为准（该指标应不低于招标文件所要求的指标）。任何虚假指标响应一经发现即作废标，卖方必须承担由此给买方带来的一切经济损失和其它相关责任。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4.3  </w:t>
      </w:r>
      <w:r>
        <w:rPr>
          <w:rFonts w:ascii="宋体" w:hAnsi="宋体"/>
          <w:sz w:val="24"/>
        </w:rPr>
        <w:t>验收由采购人、中标人及相关人员依国家有关标准、合同及有关附件要求进行，验收完毕由采购人及中标人在验收报告上签名。</w:t>
      </w:r>
    </w:p>
    <w:p>
      <w:pPr>
        <w:pStyle w:val="2"/>
        <w:spacing w:line="360" w:lineRule="auto"/>
        <w:ind w:left="410" w:hanging="410" w:hangingChars="170"/>
        <w:rPr>
          <w:rFonts w:hint="eastAsia" w:hAnsi="宋体"/>
          <w:b/>
          <w:sz w:val="24"/>
          <w:szCs w:val="24"/>
        </w:rPr>
      </w:pPr>
    </w:p>
    <w:p>
      <w:pPr>
        <w:pStyle w:val="2"/>
        <w:spacing w:line="360" w:lineRule="auto"/>
        <w:ind w:left="410" w:hanging="410" w:hangingChars="170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5、本技术规格书中标注“*”号的为关键技术参数，对这些关键技术参数的任何负偏离将导致废标。</w:t>
      </w:r>
    </w:p>
    <w:p>
      <w:pPr>
        <w:pStyle w:val="2"/>
        <w:spacing w:line="360" w:lineRule="auto"/>
        <w:rPr>
          <w:rFonts w:hint="eastAsia" w:hAnsi="宋体"/>
          <w:b/>
          <w:sz w:val="24"/>
          <w:szCs w:val="24"/>
        </w:rPr>
      </w:pPr>
    </w:p>
    <w:p>
      <w:pPr>
        <w:pStyle w:val="2"/>
        <w:spacing w:line="360" w:lineRule="auto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6、如在具体技术规格中有本总则不一致之处，以具体技术规格中的要求为准。</w:t>
      </w:r>
    </w:p>
    <w:p>
      <w:pPr>
        <w:spacing w:after="156" w:afterLines="50"/>
        <w:ind w:left="601" w:hanging="601"/>
        <w:rPr>
          <w:rFonts w:hint="eastAsia"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  <w:r>
        <w:rPr>
          <w:rFonts w:hint="eastAsia" w:ascii="宋体" w:hAnsi="宋体"/>
          <w:b/>
          <w:sz w:val="28"/>
        </w:rPr>
        <w:t>二、具体技术规格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技术指标要求</w:t>
      </w:r>
    </w:p>
    <w:tbl>
      <w:tblPr>
        <w:tblStyle w:val="5"/>
        <w:tblW w:w="906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09"/>
        <w:gridCol w:w="709"/>
        <w:gridCol w:w="609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2" w:type="dxa"/>
            <w:shd w:val="clear" w:color="auto" w:fill="A6A6A6"/>
            <w:noWrap w:val="0"/>
            <w:vAlign w:val="top"/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709" w:type="dxa"/>
            <w:shd w:val="clear" w:color="auto" w:fill="A6A6A6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重要性</w:t>
            </w:r>
          </w:p>
        </w:tc>
        <w:tc>
          <w:tcPr>
            <w:tcW w:w="709" w:type="dxa"/>
            <w:shd w:val="clear" w:color="auto" w:fill="A6A6A6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指标项</w:t>
            </w:r>
          </w:p>
        </w:tc>
        <w:tc>
          <w:tcPr>
            <w:tcW w:w="6095" w:type="dxa"/>
            <w:shd w:val="clear" w:color="auto" w:fill="A6A6A6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指标要求</w:t>
            </w:r>
          </w:p>
        </w:tc>
        <w:tc>
          <w:tcPr>
            <w:tcW w:w="992" w:type="dxa"/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证明材料要求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*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台。</w:t>
            </w:r>
            <w:r>
              <w:rPr>
                <w:rFonts w:hint="eastAsia" w:ascii="宋体" w:hAnsi="宋体"/>
                <w:sz w:val="24"/>
              </w:rPr>
              <w:t>应标时投标人需每台保证高性能GPU服务器技术规格相同。（以下为每台指标）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#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品牌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自主研发，所投产品必须为厂商官方网站非停产设备型号-提供的资料需来自官网截图或产品彩页或技术白皮书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*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机架式服务器，非刀片或高密度服务器产品，</w:t>
            </w:r>
            <w:r>
              <w:rPr>
                <w:rFonts w:hint="eastAsia" w:ascii="宋体" w:hAnsi="宋体"/>
                <w:sz w:val="24"/>
              </w:rPr>
              <w:t>高度不超过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U，</w:t>
            </w:r>
            <w:r>
              <w:rPr>
                <w:rFonts w:hint="eastAsia" w:ascii="宋体" w:hAnsi="宋体" w:cs="宋体"/>
                <w:sz w:val="24"/>
              </w:rPr>
              <w:t>CPU与GPU需在同一个机箱内，全部GPU加速卡必须安装在同一个主板（非多计算节点堆叠方式）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*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处理器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配置≥2颗</w:t>
            </w:r>
            <w:r>
              <w:rPr>
                <w:rFonts w:hint="eastAsia" w:ascii="宋体" w:hAnsi="宋体"/>
                <w:sz w:val="24"/>
              </w:rPr>
              <w:t>Intel® Xeon® Gold或者Platinum 系列处理器，为</w:t>
            </w:r>
            <w:r>
              <w:rPr>
                <w:rFonts w:ascii="宋体" w:hAnsi="宋体"/>
                <w:sz w:val="24"/>
              </w:rPr>
              <w:t>Cascade Lake</w:t>
            </w:r>
            <w:r>
              <w:rPr>
                <w:rFonts w:hint="eastAsia" w:ascii="宋体" w:hAnsi="宋体"/>
                <w:sz w:val="24"/>
              </w:rPr>
              <w:t>代处理器或者其后续产品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单颗处理器规格：单颗CPU核心数≥24核，单颗CPU主频*CPU核心数≥72.0 GHz*Core；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*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内存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配置≥</w:t>
            </w:r>
            <w:r>
              <w:rPr>
                <w:rFonts w:ascii="宋体" w:hAnsi="宋体" w:cs="宋体"/>
                <w:sz w:val="24"/>
              </w:rPr>
              <w:t>768</w:t>
            </w:r>
            <w:r>
              <w:rPr>
                <w:rFonts w:hint="eastAsia" w:ascii="宋体" w:hAnsi="宋体" w:cs="宋体"/>
                <w:sz w:val="24"/>
              </w:rPr>
              <w:t>GB ECC DDR4内存，且实际运行时速率不低于 2933 MT/s；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达到处理器支持最大内存带宽。每个内存通道配置同数量同规格内存，每个内存通道至少含一根内存条，运行在处理器支持的最高速率，达到处理器支持的最大内存带宽；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提供所使用处理器型号的官网截图，使用方框标注内存通道数与支持最高内存规格。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*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硬盘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配置≥2块960GB 2.5寸 SSD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配置≥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块</w:t>
            </w:r>
            <w:r>
              <w:rPr>
                <w:rFonts w:ascii="宋体" w:hAnsi="宋体" w:cs="宋体"/>
                <w:sz w:val="24"/>
              </w:rPr>
              <w:t>1.92TB</w:t>
            </w:r>
            <w:r>
              <w:rPr>
                <w:rFonts w:hint="eastAsia" w:ascii="宋体" w:hAnsi="宋体" w:cs="宋体"/>
                <w:sz w:val="24"/>
              </w:rPr>
              <w:t xml:space="preserve"> 2.5寸 SSD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*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RAID卡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配置≥1块2GB缓存RAID卡，支持RAID 0/1/5/6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*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网络接口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配置≥1块双口25Gb以太网卡（满配光模块）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配置≥1块双口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Gb以太网卡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配置≥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块单口H</w:t>
            </w:r>
            <w:r>
              <w:rPr>
                <w:rFonts w:ascii="宋体" w:hAnsi="宋体" w:cs="宋体"/>
                <w:sz w:val="24"/>
              </w:rPr>
              <w:t>DR 100</w:t>
            </w:r>
            <w:r>
              <w:rPr>
                <w:rFonts w:hint="eastAsia" w:ascii="宋体" w:hAnsi="宋体" w:cs="宋体"/>
                <w:sz w:val="24"/>
              </w:rPr>
              <w:t>Gb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I</w:t>
            </w:r>
            <w:r>
              <w:rPr>
                <w:rFonts w:ascii="宋体" w:hAnsi="宋体" w:cs="宋体"/>
                <w:sz w:val="24"/>
              </w:rPr>
              <w:t>B</w:t>
            </w:r>
            <w:r>
              <w:rPr>
                <w:rFonts w:hint="eastAsia" w:ascii="宋体" w:hAnsi="宋体" w:cs="宋体"/>
                <w:sz w:val="24"/>
              </w:rPr>
              <w:t>网卡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*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GPU卡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配置≥8块同型号数据中心级GPU计算卡（被动散热）。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单GPU参数：①CUDA Core核心数≥5120；②</w:t>
            </w:r>
            <w:r>
              <w:rPr>
                <w:rFonts w:ascii="宋体" w:hAnsi="宋体"/>
                <w:sz w:val="24"/>
              </w:rPr>
              <w:t>FP64</w:t>
            </w:r>
            <w:r>
              <w:rPr>
                <w:rFonts w:hint="eastAsia" w:ascii="宋体" w:hAnsi="宋体"/>
                <w:sz w:val="24"/>
              </w:rPr>
              <w:t>双精度浮点（通用非张量）算力≥7</w:t>
            </w:r>
            <w:r>
              <w:rPr>
                <w:rFonts w:ascii="宋体" w:hAnsi="宋体"/>
                <w:sz w:val="24"/>
              </w:rPr>
              <w:t>.8</w:t>
            </w:r>
            <w:r>
              <w:rPr>
                <w:rFonts w:hint="eastAsia" w:ascii="宋体" w:hAnsi="宋体"/>
                <w:sz w:val="24"/>
              </w:rPr>
              <w:t>TFLOPS；③</w:t>
            </w:r>
            <w:r>
              <w:rPr>
                <w:rFonts w:ascii="宋体" w:hAnsi="宋体"/>
                <w:sz w:val="24"/>
              </w:rPr>
              <w:t>FP32</w:t>
            </w:r>
            <w:r>
              <w:rPr>
                <w:rFonts w:hint="eastAsia" w:ascii="宋体" w:hAnsi="宋体"/>
                <w:sz w:val="24"/>
              </w:rPr>
              <w:t>单精度浮点（通用非张量）算力≥1</w:t>
            </w:r>
            <w:r>
              <w:rPr>
                <w:rFonts w:ascii="宋体" w:hAnsi="宋体"/>
                <w:sz w:val="24"/>
              </w:rPr>
              <w:t>5.7</w:t>
            </w:r>
            <w:r>
              <w:rPr>
                <w:rFonts w:hint="eastAsia" w:ascii="宋体" w:hAnsi="宋体"/>
                <w:sz w:val="24"/>
              </w:rPr>
              <w:t>TFLOPS；④</w:t>
            </w:r>
            <w:r>
              <w:rPr>
                <w:rFonts w:ascii="宋体" w:hAnsi="宋体"/>
                <w:sz w:val="24"/>
              </w:rPr>
              <w:t>FP16 TensorCore</w:t>
            </w:r>
            <w:r>
              <w:rPr>
                <w:rFonts w:hint="eastAsia" w:ascii="宋体" w:hAnsi="宋体"/>
                <w:sz w:val="24"/>
              </w:rPr>
              <w:t>半精度浮点张量算力≥1</w:t>
            </w:r>
            <w:r>
              <w:rPr>
                <w:rFonts w:ascii="宋体" w:hAnsi="宋体"/>
                <w:sz w:val="24"/>
              </w:rPr>
              <w:t>25</w:t>
            </w:r>
            <w:r>
              <w:rPr>
                <w:rFonts w:hint="eastAsia" w:ascii="宋体" w:hAnsi="宋体"/>
                <w:sz w:val="24"/>
              </w:rPr>
              <w:t>TFLOPS；⑤</w:t>
            </w:r>
            <w:r>
              <w:rPr>
                <w:rFonts w:ascii="宋体" w:hAnsi="宋体"/>
                <w:sz w:val="24"/>
              </w:rPr>
              <w:t>GPU Memory</w:t>
            </w:r>
            <w:r>
              <w:rPr>
                <w:rFonts w:hint="eastAsia" w:ascii="宋体" w:hAnsi="宋体"/>
                <w:sz w:val="24"/>
              </w:rPr>
              <w:t>配置≥3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GB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HBM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高速显存；⑥</w:t>
            </w:r>
            <w:r>
              <w:rPr>
                <w:rFonts w:ascii="宋体" w:hAnsi="宋体"/>
                <w:sz w:val="24"/>
              </w:rPr>
              <w:t>GPU Memory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Bandwidth</w:t>
            </w:r>
            <w:r>
              <w:rPr>
                <w:rFonts w:hint="eastAsia" w:ascii="宋体" w:hAnsi="宋体"/>
                <w:sz w:val="24"/>
              </w:rPr>
              <w:t>显存带宽≥9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GB</w:t>
            </w:r>
            <w:r>
              <w:rPr>
                <w:rFonts w:ascii="宋体" w:hAnsi="宋体"/>
                <w:sz w:val="24"/>
              </w:rPr>
              <w:t>/sec</w:t>
            </w:r>
            <w:r>
              <w:rPr>
                <w:rFonts w:hint="eastAsia" w:ascii="宋体" w:hAnsi="宋体"/>
                <w:sz w:val="24"/>
              </w:rPr>
              <w:t>；⑦互联：GPU之间支持并配置 NVLink 协议相互访问；⑧TDP≤3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瓦。提供GPU技术白皮书截图证明，并对上述每一项参数，使用方框标注在白皮书中的位置，并附上对应编号。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#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处理器特性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支持AVX512指令集，且支持PCIe 4.0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#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灵活拓扑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支持多种C</w:t>
            </w:r>
            <w:r>
              <w:rPr>
                <w:rFonts w:ascii="宋体" w:hAnsi="宋体"/>
                <w:bCs/>
                <w:sz w:val="24"/>
              </w:rPr>
              <w:t>PU</w:t>
            </w:r>
            <w:r>
              <w:rPr>
                <w:rFonts w:hint="eastAsia" w:ascii="宋体" w:hAnsi="宋体"/>
                <w:bCs/>
                <w:sz w:val="24"/>
              </w:rPr>
              <w:t>与G</w:t>
            </w:r>
            <w:r>
              <w:rPr>
                <w:rFonts w:ascii="宋体" w:hAnsi="宋体"/>
                <w:bCs/>
                <w:sz w:val="24"/>
              </w:rPr>
              <w:t>PU</w:t>
            </w:r>
            <w:r>
              <w:rPr>
                <w:rFonts w:hint="eastAsia" w:ascii="宋体" w:hAnsi="宋体"/>
                <w:bCs/>
                <w:sz w:val="24"/>
              </w:rPr>
              <w:t>之间灵活连接的拓扑结构，可以实现不开箱切换拓扑功能</w:t>
            </w:r>
            <w:r>
              <w:rPr>
                <w:rFonts w:hint="eastAsia"/>
                <w:sz w:val="24"/>
              </w:rPr>
              <w:t>，提供加盖原厂公章的官网截图证明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#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加速卡多样性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支持≥5种厂家的A</w:t>
            </w:r>
            <w:r>
              <w:rPr>
                <w:rFonts w:ascii="宋体" w:hAnsi="宋体"/>
                <w:bCs/>
                <w:sz w:val="24"/>
              </w:rPr>
              <w:t>I</w:t>
            </w:r>
            <w:r>
              <w:rPr>
                <w:rFonts w:hint="eastAsia" w:ascii="宋体" w:hAnsi="宋体"/>
                <w:bCs/>
                <w:sz w:val="24"/>
              </w:rPr>
              <w:t>加速卡</w:t>
            </w:r>
            <w:r>
              <w:rPr>
                <w:rFonts w:hint="eastAsia"/>
                <w:sz w:val="24"/>
              </w:rPr>
              <w:t>，提供加盖原厂公章的官网截图证明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#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GPU兼容性认证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为保证GPU卡与服务器兼容性，本次投标的服务器机型需要取得英伟达公司对所投GPU卡型号的兼容性的认证，认证网址https://www.nvidia.com/en-us/data-center/tesla/tesla-qualified-servers-catalog/，投标时需提供上述兼容性认证官网截图信息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#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服务器认证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获得NVIDIA-Certified Systems官方认证；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NVIDIA 认证服务器经过测试，可验证多 GPU 和多节点性能，以及在单个 GPU 上运行的多个工作负载的性能。为保证性能和可拓展性，本次投标的服务器机型需要取得英伟达公司对服务器系统的认证，认证网址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https://docs.nvidia.com/ngc/ngc-deploy-on-premises/nvidia-certified-systems/index.html#nvidia-certified-systems-list，投标时需提供上述兼容性认证官网截图信息。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管理特性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集成BMC管理模块，支持IPMI、KVM over IP、虚拟媒体等功能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#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GPU软件支持与多卡加速比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支持NVIDIA CUDA 11.0以上版本，兼容并行存储、集群管理软件、HDR INFINIBAND/100 Gbe以太网，提供与兼容系统无偿技术支持，提供免费的系统集成支持。提供AI多机并行加速性能测试，测试至少两种深度学习框架（如Caffe, TensorFlow, Torch等），测试模型采用AlexNet，或Resnet从1个GPU卡到16个GPU卡的性能，加速比≥14x，提供原厂商盖章的第三方网站的论文或测试报告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*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电源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满配冗余白金级电源模块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#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电源类型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为适用现有机房供电，需至少适配≥4种电源规格，</w:t>
            </w:r>
            <w:r>
              <w:rPr>
                <w:rFonts w:hint="eastAsia"/>
                <w:sz w:val="24"/>
              </w:rPr>
              <w:t>提供加盖原厂公章的官网截图证明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#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sz w:val="24"/>
              </w:rPr>
              <w:t>PCI</w:t>
            </w:r>
            <w:r>
              <w:rPr>
                <w:rFonts w:hint="eastAsia"/>
                <w:sz w:val="24"/>
              </w:rPr>
              <w:t>e扩展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最大支持≥20块PCIe形态外插卡，提供加盖原厂公章的官网截图证明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远程管理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配置远程管理卡，具有单独的管理网口，可不依赖主机操作系统进行远程操作。集成BMC管理模块，支持IPMI、KVM over IP、虚拟媒体等功能，提供远程监控图形界面。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#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软件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支持商业版GPU管理软件。为保证兼容性，GPU管理软件需与高性能异构服务器为同一品牌并提供软件著作权证书。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#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</w:t>
            </w:r>
            <w:r>
              <w:rPr>
                <w:rFonts w:ascii="宋体" w:hAnsi="宋体"/>
                <w:sz w:val="24"/>
              </w:rPr>
              <w:t>PU</w:t>
            </w:r>
            <w:r>
              <w:rPr>
                <w:rFonts w:hint="eastAsia" w:ascii="宋体" w:hAnsi="宋体"/>
                <w:sz w:val="24"/>
              </w:rPr>
              <w:t>管理软件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支持集群资源统一调度，支持多用户，多作业同时运行，通过调度器来给作业动态分配资源，支持单节点单GPU, 单节点多GPU，多节点多GPU以及多节点GPU，以及CPU/GPU混合的多种调度方式；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#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</w:t>
            </w:r>
            <w:r>
              <w:rPr>
                <w:rFonts w:ascii="宋体" w:hAnsi="宋体"/>
                <w:sz w:val="24"/>
              </w:rPr>
              <w:t>PU</w:t>
            </w:r>
            <w:r>
              <w:rPr>
                <w:rFonts w:hint="eastAsia" w:ascii="宋体" w:hAnsi="宋体"/>
                <w:sz w:val="24"/>
              </w:rPr>
              <w:t>管理软件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支持通过Docker快速创建计算环境，基于Kubernetes进行可移植容器的编排管理，计算环境隔离互不影响，内置各种AI框架镜像，包括 Tensorflow、Caffe、pytorch、PaddlePaddle、MXNet主流框架版本，兼容web开源镜像和用户自定义镜像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</w:tbl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安装调试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采购合同签订后，中标方必须在约定时间内将合同货物送到采购方指定地点；中标方必须向采购方提供安装所需的材料及技术资料以及组装/维修所需工具，以及系统方案设计说明书。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中标方在接到采购方要求开始安装的通知后15个工作日内必须派人员到现场对合同货物完成安装、调试。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中标方派出的安装人员应具备相关的专业知识、技术水平、相应资质和能力；熟悉本合同所述货物的规格、技术指标及安装工艺，有足够能力安装、调试本合同的货物并使之达到本合同要求；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中标方必须负责中标货物到装机位置的搬运、上架、安装和系统集成等工作。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本次项目所涉及的软件和硬件，均由中标方联合原厂免费提供调试服务。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中标方必须负责按照用户要求编制系统安装文档。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售后及技术支持服务方案</w:t>
      </w:r>
    </w:p>
    <w:p>
      <w:pPr>
        <w:pStyle w:val="9"/>
        <w:spacing w:line="360" w:lineRule="auto"/>
        <w:ind w:firstLine="48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五年免费保修；保修期内免费维修并更换除消耗品以外的零部件，维修人员的路费、食宿等自理；提供7×</w:t>
      </w:r>
      <w:r>
        <w:rPr>
          <w:rFonts w:ascii="Times New Roman" w:hAnsi="Times New Roman"/>
          <w:sz w:val="24"/>
        </w:rPr>
        <w:t>24小时远程电话支持</w:t>
      </w:r>
      <w:r>
        <w:rPr>
          <w:rFonts w:hint="eastAsia" w:ascii="Times New Roman" w:hAnsi="Times New Roman"/>
          <w:sz w:val="24"/>
        </w:rPr>
        <w:t>，电话支持无法解决的问题提供现场技术支持，5×8小时免费上门服务。除电话支持外，还提供电子邮件、传真等形式支持。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培训方案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提供设备原厂免费培训服务：a</w:t>
      </w:r>
      <w:r>
        <w:rPr>
          <w:sz w:val="24"/>
        </w:rPr>
        <w:t>)</w:t>
      </w:r>
      <w:r>
        <w:rPr>
          <w:rFonts w:hint="eastAsia"/>
          <w:sz w:val="24"/>
        </w:rPr>
        <w:t>满足24小时热线服务；b）为保证卖方所提供的仪器设备安全、可靠运行，便于买方的运行维护，必须对买方培训合格的维护和管理人员；c）卖方负责对买方提供至少一次现场技术培训，以便工作人员在培训后能熟练地掌握系统的维护工作，并能及时排除大部分的系统障碍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定期技术支持：卖方需定期对客户进行现场技术支持。在新的模块发布、新的功能改进时，卖方需及时对买方的工程师进行现场讲解与现场技术指导。</w:t>
      </w:r>
    </w:p>
    <w:p/>
    <w:sectPr>
      <w:footerReference r:id="rId5" w:type="first"/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/>
        <w:i/>
      </w:rPr>
      <w:t>东方国际招标有限责任公司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52572D"/>
    <w:multiLevelType w:val="multilevel"/>
    <w:tmpl w:val="1B52572D"/>
    <w:lvl w:ilvl="0" w:tentative="0">
      <w:start w:val="1"/>
      <w:numFmt w:val="decimal"/>
      <w:lvlText w:val="1.%1"/>
      <w:lvlJc w:val="left"/>
      <w:pPr>
        <w:ind w:left="420" w:hanging="420"/>
      </w:pPr>
      <w:rPr>
        <w:rFonts w:hint="default"/>
        <w:sz w:val="18"/>
        <w:szCs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F84946"/>
    <w:multiLevelType w:val="multilevel"/>
    <w:tmpl w:val="68F84946"/>
    <w:lvl w:ilvl="0" w:tentative="0">
      <w:start w:val="1"/>
      <w:numFmt w:val="decimal"/>
      <w:lvlText w:val="%1）"/>
      <w:lvlJc w:val="left"/>
      <w:pPr>
        <w:tabs>
          <w:tab w:val="left" w:pos="1896"/>
        </w:tabs>
        <w:ind w:left="1896" w:hanging="396"/>
      </w:pPr>
      <w:rPr>
        <w:rFonts w:hint="eastAsia" w:eastAsia="仿宋_GB2312"/>
        <w:b w:val="0"/>
        <w:i w:val="0"/>
        <w:color w:val="auto"/>
      </w:rPr>
    </w:lvl>
    <w:lvl w:ilvl="1" w:tentative="0">
      <w:start w:val="8"/>
      <w:numFmt w:val="japaneseCounting"/>
      <w:lvlText w:val="第%2章"/>
      <w:lvlJc w:val="left"/>
      <w:pPr>
        <w:tabs>
          <w:tab w:val="left" w:pos="1935"/>
        </w:tabs>
        <w:ind w:left="1935" w:hanging="1515"/>
      </w:pPr>
      <w:rPr>
        <w:rFonts w:hint="default"/>
      </w:rPr>
    </w:lvl>
    <w:lvl w:ilvl="2" w:tentative="0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FCB7F58"/>
    <w:multiLevelType w:val="multilevel"/>
    <w:tmpl w:val="6FCB7F58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ZDY5MDVlMzhiMDVmZmQ2MzI1YjVmMzZmYjFlYWIifQ=="/>
  </w:docVars>
  <w:rsids>
    <w:rsidRoot w:val="2A376F65"/>
    <w:rsid w:val="1B0C53A9"/>
    <w:rsid w:val="2A37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3"/>
    <w:basedOn w:val="1"/>
    <w:next w:val="8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3725</Words>
  <Characters>4419</Characters>
  <Lines>0</Lines>
  <Paragraphs>0</Paragraphs>
  <TotalTime>1</TotalTime>
  <ScaleCrop>false</ScaleCrop>
  <LinksUpToDate>false</LinksUpToDate>
  <CharactersWithSpaces>4501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2022-06-17T09:18:00Z</dcterms:created>
  <dc:creator>Robin</dc:creator>
  <cp:lastModifiedBy>Robin</cp:lastModifiedBy>
  <dcterms:modified xsi:type="dcterms:W3CDTF">2022-06-17T09:19:39Z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842D89FD70A24E279B974D7D1AF09680</vt:lpwstr>
  </property>
</Properties>
</file>