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江西旺东项目管理咨询有限公司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江西省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赣州市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第五人民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医院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脑电图机等医疗设备项目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（采购项目编号：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JXWD2022-WYY-J001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）竞争性谈判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的成交结果公告</w:t>
      </w:r>
    </w:p>
    <w:bookmarkEnd w:id="0"/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项目编号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JXWD2022-WYY-J001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7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项目名称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脑电图机等医疗设备项目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成交信息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/>
        <w:textAlignment w:val="auto"/>
        <w:rPr>
          <w:rFonts w:hint="eastAsia" w:cs="Times New Roman"/>
          <w:kern w:val="2"/>
          <w:sz w:val="27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7"/>
          <w:szCs w:val="24"/>
          <w:highlight w:val="none"/>
          <w:lang w:val="en-US" w:eastAsia="zh-CN" w:bidi="ar-SA"/>
        </w:rPr>
        <w:t>供应商名称：</w:t>
      </w:r>
      <w:r>
        <w:rPr>
          <w:rFonts w:hint="eastAsia" w:cs="Times New Roman"/>
          <w:kern w:val="2"/>
          <w:sz w:val="27"/>
          <w:szCs w:val="24"/>
          <w:highlight w:val="none"/>
          <w:lang w:val="en-US" w:eastAsia="zh-CN" w:bidi="ar-SA"/>
        </w:rPr>
        <w:t>杭州仁海医疗器械有限公司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/>
        <w:textAlignment w:val="auto"/>
        <w:rPr>
          <w:rFonts w:hint="default" w:cs="Times New Roman"/>
          <w:kern w:val="2"/>
          <w:sz w:val="27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7"/>
          <w:szCs w:val="24"/>
          <w:highlight w:val="none"/>
          <w:lang w:val="en-US" w:eastAsia="zh-CN" w:bidi="ar-SA"/>
        </w:rPr>
        <w:t>供应商地址：</w:t>
      </w:r>
      <w:r>
        <w:rPr>
          <w:rFonts w:hint="eastAsia" w:cs="Times New Roman"/>
          <w:kern w:val="2"/>
          <w:sz w:val="27"/>
          <w:szCs w:val="24"/>
          <w:highlight w:val="none"/>
          <w:lang w:val="en-US" w:eastAsia="zh-CN" w:bidi="ar-SA"/>
        </w:rPr>
        <w:t>浙江省杭州市桐庐县桐庐经济开发区白云源东路368号1号楼308室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/>
        <w:textAlignment w:val="auto"/>
        <w:rPr>
          <w:rFonts w:hint="default" w:ascii="Times New Roman" w:hAnsi="Times New Roman" w:eastAsia="宋体" w:cs="Times New Roman"/>
          <w:kern w:val="2"/>
          <w:sz w:val="27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7"/>
          <w:szCs w:val="24"/>
          <w:highlight w:val="none"/>
          <w:lang w:val="en-US" w:eastAsia="zh-CN" w:bidi="ar-SA"/>
        </w:rPr>
        <w:t>成交</w:t>
      </w:r>
      <w:r>
        <w:rPr>
          <w:rFonts w:hint="eastAsia" w:cs="Times New Roman"/>
          <w:kern w:val="2"/>
          <w:sz w:val="27"/>
          <w:szCs w:val="24"/>
          <w:highlight w:val="none"/>
          <w:lang w:val="en-US" w:eastAsia="zh-CN" w:bidi="ar-SA"/>
        </w:rPr>
        <w:t>金额</w:t>
      </w:r>
      <w:r>
        <w:rPr>
          <w:rFonts w:hint="eastAsia" w:ascii="Times New Roman" w:hAnsi="Times New Roman" w:eastAsia="宋体" w:cs="Times New Roman"/>
          <w:kern w:val="2"/>
          <w:sz w:val="27"/>
          <w:szCs w:val="24"/>
          <w:highlight w:val="none"/>
          <w:lang w:val="en-US" w:eastAsia="zh-CN" w:bidi="ar-SA"/>
        </w:rPr>
        <w:t>：</w:t>
      </w:r>
      <w:r>
        <w:rPr>
          <w:rFonts w:hint="eastAsia" w:cs="Times New Roman"/>
          <w:kern w:val="2"/>
          <w:sz w:val="27"/>
          <w:szCs w:val="24"/>
          <w:highlight w:val="none"/>
          <w:lang w:val="en-US" w:eastAsia="zh-CN" w:bidi="ar-SA"/>
        </w:rPr>
        <w:t>壹</w:t>
      </w:r>
      <w:r>
        <w:rPr>
          <w:rFonts w:hint="eastAsia" w:cs="Times New Roman"/>
          <w:kern w:val="2"/>
          <w:sz w:val="27"/>
          <w:szCs w:val="24"/>
          <w:highlight w:val="none"/>
          <w:lang w:val="en-US" w:eastAsia="zh-CN" w:bidi="ar-SA"/>
        </w:rPr>
        <w:t>拾玖万陆仟元整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（￥：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196000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.00）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主要标的信息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721"/>
        <w:gridCol w:w="2535"/>
        <w:gridCol w:w="1213"/>
        <w:gridCol w:w="108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</w:trPr>
        <w:tc>
          <w:tcPr>
            <w:tcW w:w="5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  <w:t>品目</w:t>
            </w:r>
          </w:p>
        </w:tc>
        <w:tc>
          <w:tcPr>
            <w:tcW w:w="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eastAsia="zh-CN"/>
              </w:rPr>
              <w:t>货物名称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  <w:t>单位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6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  <w:t>一</w:t>
            </w:r>
          </w:p>
        </w:tc>
        <w:tc>
          <w:tcPr>
            <w:tcW w:w="8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highlight w:val="none"/>
                <w:lang w:val="en-US" w:eastAsia="zh-CN"/>
              </w:rPr>
              <w:t>脑电图机等医疗设备项目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highlight w:val="none"/>
                <w:lang w:val="en-US" w:eastAsia="zh-CN"/>
              </w:rPr>
              <w:t>脑电图机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none"/>
                <w:lang w:val="en-US" w:eastAsia="zh-CN"/>
              </w:rPr>
              <w:t>98000.00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56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</w:p>
        </w:tc>
        <w:tc>
          <w:tcPr>
            <w:tcW w:w="8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highlight w:val="none"/>
                <w:lang w:val="en-US" w:eastAsia="zh-CN"/>
              </w:rPr>
              <w:t>脑地形图机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8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highlight w:val="none"/>
                <w:shd w:val="clear" w:color="auto" w:fill="FFFFFF"/>
                <w:lang w:val="en-US" w:eastAsia="zh-CN"/>
              </w:rPr>
              <w:t>台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highlight w:val="none"/>
                <w:lang w:val="en-US" w:eastAsia="zh-CN"/>
              </w:rPr>
              <w:t>98000.00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rPr>
          <w:rFonts w:hint="eastAsia"/>
          <w:b w:val="0"/>
          <w:bCs w:val="0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竞谈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小组成员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曾钢（组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长）、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曾春艳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江涛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代理服务收费标准及金额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叁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仟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元整（￥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00.00）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公告期限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自本公告发布之日起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个工作日。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其他补充事宜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36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开启时间：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2022年06月15日下午15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0（北京时间）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360" w:leftChars="0" w:firstLine="0" w:firstLineChars="0"/>
        <w:textAlignment w:val="auto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开启地址：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江西旺东项目管理咨询有限公司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赣州经济技术开发区香江大道北侧、华坚北路西侧赣州国际企业中心B9号楼801室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36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各相关当事人对成交结果有异议的，可在本公告发布届满之日起七个工作日内，以书面形式提起质疑、逾期将不再受理。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凡对本公告内容提出询问，请按以下方式联系：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 w:firstLine="0" w:firstLine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宋体" w:cs="Times New Roman"/>
          <w:kern w:val="2"/>
          <w:sz w:val="27"/>
          <w:szCs w:val="27"/>
          <w:highlight w:val="none"/>
          <w:lang w:val="en-US" w:eastAsia="zh-CN" w:bidi="ar-SA"/>
        </w:rPr>
        <w:t>人</w:t>
      </w: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信息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名    称：</w:t>
      </w:r>
      <w:r>
        <w:rPr>
          <w:rFonts w:hint="eastAsia" w:ascii="宋体" w:hAnsi="宋体" w:cs="宋体"/>
          <w:sz w:val="27"/>
          <w:szCs w:val="27"/>
          <w:highlight w:val="none"/>
          <w:u w:val="single"/>
          <w:lang w:val="en-US" w:eastAsia="zh-CN"/>
        </w:rPr>
        <w:t>赣州市第五人民医院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sz w:val="27"/>
          <w:szCs w:val="27"/>
          <w:highlight w:val="none"/>
          <w:u w:val="single"/>
          <w:lang w:val="en-US" w:eastAsia="zh-CN"/>
        </w:rPr>
        <w:t>赣州市水西镇赤珠105国道旁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0"/>
        <w:textAlignment w:val="auto"/>
        <w:rPr>
          <w:rFonts w:hint="default" w:ascii="宋体" w:hAnsi="宋体" w:eastAsia="宋体" w:cs="宋体"/>
          <w:sz w:val="27"/>
          <w:szCs w:val="27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</w:rPr>
        <w:t>0797-5165750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 w:firstLine="0" w:firstLine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采购代理机构信息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名    称：</w:t>
      </w:r>
      <w:r>
        <w:rPr>
          <w:rFonts w:hint="eastAsia" w:ascii="宋体" w:hAnsi="宋体" w:cs="宋体"/>
          <w:sz w:val="27"/>
          <w:szCs w:val="27"/>
          <w:highlight w:val="none"/>
          <w:u w:val="single"/>
          <w:lang w:val="en-US" w:eastAsia="zh-CN"/>
        </w:rPr>
        <w:t>江西旺东项目管理咨询有限公司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/>
        <w:textAlignment w:val="auto"/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地    址：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  <w:lang w:eastAsia="zh-CN"/>
        </w:rPr>
        <w:t>江西省赣州经济技术开发区香江大道北侧、华坚北路西侧赣州国际企业中心B9号楼801室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联系方式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</w:rPr>
        <w:t>0797-8288816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120" w:leftChars="0"/>
        <w:textAlignment w:val="auto"/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highlight w:val="none"/>
          <w:lang w:val="en-US" w:eastAsia="zh-CN"/>
        </w:rPr>
        <w:t>3、项目联系方式：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7"/>
          <w:szCs w:val="27"/>
          <w:highlight w:val="none"/>
          <w:lang w:val="en-US" w:eastAsia="zh-CN"/>
        </w:rPr>
        <w:t>刘先生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lang w:val="en-US" w:eastAsia="zh-CN"/>
        </w:rPr>
        <w:t>（采购人）：</w:t>
      </w:r>
      <w:r>
        <w:rPr>
          <w:rFonts w:hint="eastAsia" w:ascii="宋体" w:hAnsi="宋体" w:eastAsia="宋体" w:cs="宋体"/>
          <w:i w:val="0"/>
          <w:iCs w:val="0"/>
          <w:color w:val="000000"/>
          <w:sz w:val="27"/>
          <w:szCs w:val="27"/>
          <w:highlight w:val="none"/>
          <w:u w:val="single"/>
          <w:lang w:val="en-US" w:eastAsia="zh-CN"/>
        </w:rPr>
        <w:t>0797-5165750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left"/>
        <w:textAlignment w:val="auto"/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7"/>
          <w:szCs w:val="27"/>
          <w:highlight w:val="none"/>
          <w:lang w:val="en-US" w:eastAsia="zh-CN"/>
        </w:rPr>
        <w:t>刘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</w:rPr>
        <w:t>女士 （采购代理机构）：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</w:rPr>
        <w:t>0797-8288816</w:t>
      </w:r>
      <w:r>
        <w:rPr>
          <w:rFonts w:hint="eastAsia" w:ascii="宋体" w:hAnsi="宋体" w:eastAsia="宋体" w:cs="宋体"/>
          <w:color w:val="000000"/>
          <w:sz w:val="27"/>
          <w:szCs w:val="27"/>
          <w:highlight w:val="none"/>
          <w:u w:val="singl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宋体" w:hAnsi="宋体" w:eastAsia="宋体" w:cs="宋体"/>
          <w:sz w:val="27"/>
          <w:szCs w:val="27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2700" w:firstLineChars="1000"/>
        <w:jc w:val="right"/>
        <w:textAlignment w:val="auto"/>
        <w:rPr>
          <w:rFonts w:hint="eastAsia" w:ascii="仿宋" w:hAnsi="仿宋" w:eastAsia="仿宋" w:cs="仿宋"/>
          <w:color w:val="auto"/>
          <w:sz w:val="27"/>
          <w:szCs w:val="27"/>
          <w:highlight w:val="none"/>
        </w:rPr>
      </w:pPr>
      <w:r>
        <w:rPr>
          <w:rFonts w:hint="eastAsia" w:ascii="宋体" w:hAnsi="宋体" w:cs="宋体"/>
          <w:color w:val="000000"/>
          <w:sz w:val="27"/>
          <w:szCs w:val="27"/>
          <w:highlight w:val="none"/>
          <w:lang w:eastAsia="zh-CN"/>
        </w:rPr>
        <w:t>江西旺东项目管理咨询有限公司</w:t>
      </w:r>
    </w:p>
    <w:p>
      <w:pPr>
        <w:rPr>
          <w:sz w:val="27"/>
          <w:szCs w:val="27"/>
          <w:highlight w:val="none"/>
        </w:rPr>
      </w:pPr>
    </w:p>
    <w:sectPr>
      <w:headerReference r:id="rId3" w:type="default"/>
      <w:pgSz w:w="11906" w:h="16838"/>
      <w:pgMar w:top="1247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C1AFA"/>
    <w:multiLevelType w:val="singleLevel"/>
    <w:tmpl w:val="A5BC1AFA"/>
    <w:lvl w:ilvl="0" w:tentative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1">
    <w:nsid w:val="C8CF43BC"/>
    <w:multiLevelType w:val="singleLevel"/>
    <w:tmpl w:val="C8CF43BC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2">
    <w:nsid w:val="D0598F89"/>
    <w:multiLevelType w:val="singleLevel"/>
    <w:tmpl w:val="D0598F89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3">
    <w:nsid w:val="57EF2403"/>
    <w:multiLevelType w:val="singleLevel"/>
    <w:tmpl w:val="57EF240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2I3NzhhNzAxMTJhYzgwMmQ4ZDdmZDQ0NDZhYWMifQ=="/>
  </w:docVars>
  <w:rsids>
    <w:rsidRoot w:val="74E81B76"/>
    <w:rsid w:val="0529154B"/>
    <w:rsid w:val="06F55966"/>
    <w:rsid w:val="15B303B0"/>
    <w:rsid w:val="253438C8"/>
    <w:rsid w:val="4F9E056F"/>
    <w:rsid w:val="67506531"/>
    <w:rsid w:val="6AA22792"/>
    <w:rsid w:val="743369C9"/>
    <w:rsid w:val="74E81B76"/>
    <w:rsid w:val="7CC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basedOn w:val="1"/>
    <w:qFormat/>
    <w:uiPriority w:val="0"/>
    <w:pPr>
      <w:spacing w:beforeLines="50" w:afterLines="50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712</Characters>
  <Lines>0</Lines>
  <Paragraphs>0</Paragraphs>
  <TotalTime>33</TotalTime>
  <ScaleCrop>false</ScaleCrop>
  <LinksUpToDate>false</LinksUpToDate>
  <CharactersWithSpaces>732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2021-12-31T09:05:00Z</dcterms:created>
  <dc:creator>NONO</dc:creator>
  <cp:lastModifiedBy>Alice</cp:lastModifiedBy>
  <cp:lastPrinted>2022-06-15T12:15:49Z</cp:lastPrinted>
  <dcterms:modified xsi:type="dcterms:W3CDTF">2022-06-15T12:38:23Z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FA93CAC647284F2D9166952968374B04</vt:lpwstr>
  </property>
</Properties>
</file>