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</w:rPr>
        <w:t>投标邀请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89" w:firstLineChars="233"/>
        <w:textAlignment w:val="auto"/>
        <w:rPr>
          <w:rFonts w:hint="eastAsia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受</w:t>
      </w:r>
      <w:r>
        <w:rPr>
          <w:rFonts w:hint="eastAsia" w:ascii="宋体"/>
          <w:color w:val="auto"/>
          <w:szCs w:val="21"/>
          <w:highlight w:val="none"/>
          <w:lang w:eastAsia="zh-CN"/>
        </w:rPr>
        <w:t>邵东市兆域民俗文化发展有限公司</w:t>
      </w:r>
      <w:r>
        <w:rPr>
          <w:rFonts w:hint="eastAsia" w:ascii="宋体"/>
          <w:color w:val="auto"/>
          <w:szCs w:val="21"/>
          <w:highlight w:val="none"/>
        </w:rPr>
        <w:t>的委托，本代理机构对</w:t>
      </w:r>
      <w:r>
        <w:rPr>
          <w:rFonts w:hint="eastAsia" w:ascii="宋体"/>
          <w:color w:val="auto"/>
          <w:szCs w:val="21"/>
          <w:highlight w:val="none"/>
          <w:lang w:eastAsia="zh-CN"/>
        </w:rPr>
        <w:t>邵东市殡仪馆火化设备及太平柜采购项目</w:t>
      </w:r>
      <w:r>
        <w:rPr>
          <w:rFonts w:hint="eastAsia" w:ascii="宋体"/>
          <w:color w:val="auto"/>
          <w:szCs w:val="21"/>
          <w:highlight w:val="none"/>
        </w:rPr>
        <w:t>进行公开招标方式采购，欢迎符合资格条件并对此有兴趣的投标人前来投标。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91" w:firstLineChars="233"/>
        <w:textAlignment w:val="auto"/>
        <w:rPr>
          <w:b/>
          <w:bCs/>
          <w:color w:val="auto"/>
          <w:szCs w:val="21"/>
          <w:highlight w:val="none"/>
        </w:rPr>
      </w:pPr>
      <w:r>
        <w:rPr>
          <w:rFonts w:hint="eastAsia" w:ascii="宋体"/>
          <w:b/>
          <w:bCs/>
          <w:color w:val="auto"/>
          <w:szCs w:val="21"/>
          <w:highlight w:val="none"/>
        </w:rPr>
        <w:t>一、采购项目情况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89" w:firstLineChars="233"/>
        <w:textAlignment w:val="auto"/>
        <w:rPr>
          <w:rFonts w:hint="eastAsia" w:ascii="宋体" w:eastAsia="宋体"/>
          <w:color w:val="auto"/>
          <w:szCs w:val="21"/>
          <w:highlight w:val="none"/>
          <w:lang w:eastAsia="zh-CN"/>
        </w:rPr>
      </w:pPr>
      <w:r>
        <w:rPr>
          <w:color w:val="auto"/>
          <w:szCs w:val="21"/>
          <w:highlight w:val="none"/>
        </w:rPr>
        <w:t>1</w:t>
      </w:r>
      <w:r>
        <w:rPr>
          <w:rFonts w:hint="eastAsia" w:ascii="宋体"/>
          <w:color w:val="auto"/>
          <w:szCs w:val="21"/>
          <w:highlight w:val="none"/>
        </w:rPr>
        <w:t>、项目名称：</w:t>
      </w:r>
      <w:r>
        <w:rPr>
          <w:rFonts w:hint="eastAsia" w:ascii="宋体"/>
          <w:color w:val="auto"/>
          <w:szCs w:val="21"/>
          <w:highlight w:val="none"/>
          <w:lang w:eastAsia="zh-CN"/>
        </w:rPr>
        <w:t>邵东市殡仪馆火化设备及太平柜采购项目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525" w:firstLineChars="250"/>
        <w:textAlignment w:val="auto"/>
        <w:rPr>
          <w:rFonts w:hint="eastAsia" w:ascii="宋体" w:eastAsia="宋体"/>
          <w:color w:val="auto"/>
          <w:szCs w:val="21"/>
          <w:highlight w:val="none"/>
          <w:vertAlign w:val="superscript"/>
          <w:lang w:eastAsia="zh-CN"/>
        </w:rPr>
      </w:pPr>
      <w:r>
        <w:rPr>
          <w:rFonts w:hint="eastAsia" w:ascii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/>
          <w:color w:val="auto"/>
          <w:szCs w:val="21"/>
          <w:highlight w:val="none"/>
        </w:rPr>
        <w:t>、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委托代理</w:t>
      </w:r>
      <w:r>
        <w:rPr>
          <w:rFonts w:hint="eastAsia" w:ascii="宋体"/>
          <w:color w:val="auto"/>
          <w:szCs w:val="21"/>
          <w:highlight w:val="none"/>
        </w:rPr>
        <w:t>编号：</w:t>
      </w:r>
      <w:r>
        <w:rPr>
          <w:rFonts w:hint="eastAsia" w:ascii="宋体"/>
          <w:color w:val="auto"/>
          <w:szCs w:val="21"/>
          <w:highlight w:val="none"/>
          <w:lang w:eastAsia="zh-CN"/>
        </w:rPr>
        <w:t>HNYG-SDZFCG-202206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91" w:firstLineChars="233"/>
        <w:textAlignment w:val="auto"/>
        <w:rPr>
          <w:rFonts w:hint="eastAsia" w:ascii="宋体"/>
          <w:b/>
          <w:bCs/>
          <w:color w:val="auto"/>
          <w:szCs w:val="21"/>
          <w:highlight w:val="none"/>
        </w:rPr>
      </w:pPr>
      <w:r>
        <w:rPr>
          <w:rFonts w:hint="eastAsia" w:ascii="宋体"/>
          <w:b/>
          <w:bCs/>
          <w:color w:val="auto"/>
          <w:szCs w:val="21"/>
          <w:highlight w:val="none"/>
        </w:rPr>
        <w:t>二、采购人的采购需求：</w:t>
      </w:r>
    </w:p>
    <w:tbl>
      <w:tblPr>
        <w:tblStyle w:val="10"/>
        <w:tblpPr w:leftFromText="180" w:rightFromText="180" w:vertAnchor="text" w:horzAnchor="page" w:tblpX="1265" w:tblpY="63"/>
        <w:tblOverlap w:val="never"/>
        <w:tblW w:w="9900" w:type="dxa"/>
        <w:tblInd w:w="0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066"/>
        <w:gridCol w:w="2060"/>
        <w:gridCol w:w="722"/>
        <w:gridCol w:w="1460"/>
        <w:gridCol w:w="1915"/>
        <w:gridCol w:w="1408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11" w:line="576" w:lineRule="exact"/>
              <w:ind w:left="181"/>
              <w:jc w:val="center"/>
              <w:textAlignment w:val="auto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包名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11" w:line="576" w:lineRule="exact"/>
              <w:ind w:left="181"/>
              <w:jc w:val="center"/>
              <w:textAlignment w:val="auto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品名分类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11" w:line="576" w:lineRule="exact"/>
              <w:ind w:left="181" w:firstLine="398" w:firstLineChars="200"/>
              <w:jc w:val="center"/>
              <w:textAlignment w:val="auto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品名名称</w:t>
            </w: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11" w:line="576" w:lineRule="exact"/>
              <w:ind w:left="181"/>
              <w:jc w:val="center"/>
              <w:textAlignment w:val="auto"/>
              <w:rPr>
                <w:w w:val="95"/>
                <w:sz w:val="21"/>
              </w:rPr>
            </w:pPr>
            <w:r>
              <w:rPr>
                <w:w w:val="95"/>
                <w:sz w:val="21"/>
              </w:rPr>
              <w:t>数量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11" w:line="576" w:lineRule="exact"/>
              <w:ind w:left="181"/>
              <w:jc w:val="center"/>
              <w:textAlignment w:val="auto"/>
              <w:rPr>
                <w:sz w:val="21"/>
              </w:rPr>
            </w:pPr>
            <w:r>
              <w:rPr>
                <w:w w:val="95"/>
                <w:sz w:val="21"/>
              </w:rPr>
              <w:t>采购项目预算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" w:line="576" w:lineRule="exact"/>
              <w:ind w:left="181"/>
              <w:jc w:val="center"/>
              <w:textAlignment w:val="auto"/>
              <w:rPr>
                <w:sz w:val="21"/>
              </w:rPr>
            </w:pPr>
            <w:r>
              <w:rPr>
                <w:w w:val="95"/>
                <w:sz w:val="21"/>
              </w:rPr>
              <w:t>（元人民币）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11" w:line="576" w:lineRule="exact"/>
              <w:ind w:left="142" w:right="135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采购项目最高限价（元人民币）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11" w:line="576" w:lineRule="exact"/>
              <w:ind w:left="118" w:right="111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代理服务收费最高限价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2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158" w:right="152"/>
              <w:jc w:val="center"/>
              <w:textAlignment w:val="auto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邵东市殡仪馆火化设备及太平柜采购项目</w:t>
            </w:r>
          </w:p>
        </w:tc>
        <w:tc>
          <w:tcPr>
            <w:tcW w:w="10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129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A032901-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" w:line="576" w:lineRule="exact"/>
              <w:ind w:left="129"/>
              <w:jc w:val="center"/>
              <w:textAlignment w:val="auto"/>
              <w:rPr>
                <w:sz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火化设备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576" w:lineRule="exact"/>
              <w:ind w:left="527" w:right="101" w:hanging="420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高档燃油式节能环保捡灰火化机</w:t>
            </w: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0" w:line="576" w:lineRule="exact"/>
              <w:jc w:val="center"/>
              <w:textAlignment w:val="auto"/>
              <w:rPr>
                <w:b/>
                <w:sz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114" w:right="11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1 套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" w:line="576" w:lineRule="exact"/>
              <w:jc w:val="center"/>
              <w:textAlignment w:val="auto"/>
              <w:rPr>
                <w:b/>
                <w:sz w:val="19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315"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6</w:t>
            </w:r>
            <w:r>
              <w:rPr>
                <w:rFonts w:hint="eastAsia"/>
                <w:sz w:val="21"/>
                <w:lang w:eastAsia="zh-CN"/>
              </w:rPr>
              <w:t>0000</w:t>
            </w:r>
            <w:r>
              <w:rPr>
                <w:sz w:val="21"/>
              </w:rPr>
              <w:t>0.00</w:t>
            </w: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384" w:right="380"/>
              <w:jc w:val="center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2340000.00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41" w:line="576" w:lineRule="exact"/>
              <w:ind w:left="101"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29740</w:t>
            </w:r>
            <w:r>
              <w:rPr>
                <w:sz w:val="21"/>
              </w:rPr>
              <w:t>.00 元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2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576" w:lineRule="exact"/>
              <w:ind w:left="107" w:right="101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高档节能环保尾气处理设备（一拖一型）</w:t>
            </w: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4" w:line="576" w:lineRule="exact"/>
              <w:jc w:val="center"/>
              <w:textAlignment w:val="auto"/>
              <w:rPr>
                <w:b/>
                <w:sz w:val="21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114" w:right="112"/>
              <w:jc w:val="center"/>
              <w:textAlignment w:val="auto"/>
              <w:rPr>
                <w:sz w:val="21"/>
              </w:rPr>
            </w:pPr>
            <w:r>
              <w:rPr>
                <w:sz w:val="21"/>
              </w:rPr>
              <w:t>1 套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1" w:line="576" w:lineRule="exact"/>
              <w:jc w:val="center"/>
              <w:textAlignment w:val="auto"/>
              <w:rPr>
                <w:b/>
                <w:sz w:val="18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315"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900000.00</w:t>
            </w: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384" w:right="380"/>
              <w:jc w:val="center"/>
              <w:textAlignment w:val="auto"/>
              <w:rPr>
                <w:sz w:val="21"/>
              </w:rPr>
            </w:pP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2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w:t>A02061801</w:t>
            </w:r>
            <w:r>
              <w:rPr>
                <w:rFonts w:hint="eastAsia"/>
                <w:sz w:val="21"/>
                <w:lang w:val="en-US" w:eastAsia="zh-CN"/>
              </w:rPr>
              <w:t>-</w:t>
            </w:r>
            <w:r>
              <w:rPr>
                <w:sz w:val="21"/>
              </w:rPr>
              <w:t>制冷电器</w:t>
            </w: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6" w:line="576" w:lineRule="exact"/>
              <w:ind w:left="107" w:right="101"/>
              <w:jc w:val="center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全自动轮值型三门太平柜</w:t>
            </w:r>
          </w:p>
        </w:tc>
        <w:tc>
          <w:tcPr>
            <w:tcW w:w="7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114" w:right="112"/>
              <w:jc w:val="center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30台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right="315"/>
              <w:jc w:val="center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840000.00</w:t>
            </w: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left="384" w:right="380"/>
              <w:jc w:val="center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sz w:val="2"/>
                <w:szCs w:val="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91" w:firstLineChars="233"/>
        <w:textAlignment w:val="auto"/>
        <w:rPr>
          <w:rFonts w:hint="eastAsia"/>
          <w:b/>
          <w:bCs/>
          <w:color w:val="auto"/>
          <w:szCs w:val="21"/>
          <w:highlight w:val="none"/>
        </w:rPr>
      </w:pPr>
      <w:r>
        <w:rPr>
          <w:rFonts w:hint="eastAsia"/>
          <w:b/>
          <w:bCs/>
          <w:color w:val="auto"/>
          <w:szCs w:val="21"/>
          <w:highlight w:val="none"/>
        </w:rPr>
        <w:t>1、采购项目需要落实的政府采购政策：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89" w:firstLineChars="233"/>
        <w:textAlignment w:val="auto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（1）优先采购：政府采购鼓励采购节能环保产品、政府采购支持两型产品。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89" w:firstLineChars="233"/>
        <w:textAlignment w:val="auto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（2）价格评审优惠：政府采购促进中小企业发展（包括政府采购支持监狱企业发展、政府采购促进残疾人就业）。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91" w:firstLineChars="233"/>
        <w:textAlignment w:val="auto"/>
        <w:rPr>
          <w:color w:val="auto"/>
          <w:szCs w:val="21"/>
          <w:highlight w:val="none"/>
        </w:rPr>
      </w:pPr>
      <w:r>
        <w:rPr>
          <w:rFonts w:hint="eastAsia"/>
          <w:b/>
          <w:bCs/>
          <w:color w:val="auto"/>
          <w:szCs w:val="21"/>
          <w:highlight w:val="none"/>
        </w:rPr>
        <w:t>2、采购进口产品：</w:t>
      </w:r>
      <w:r>
        <w:rPr>
          <w:rFonts w:hint="eastAsia"/>
          <w:color w:val="auto"/>
          <w:szCs w:val="21"/>
          <w:highlight w:val="none"/>
        </w:rPr>
        <w:t>本采购项目拒绝进口产品投标。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91" w:firstLineChars="233"/>
        <w:textAlignment w:val="auto"/>
        <w:rPr>
          <w:b/>
          <w:bCs/>
          <w:color w:val="auto"/>
          <w:szCs w:val="21"/>
          <w:highlight w:val="none"/>
        </w:rPr>
      </w:pPr>
      <w:r>
        <w:rPr>
          <w:rFonts w:hint="eastAsia" w:ascii="宋体"/>
          <w:b/>
          <w:bCs/>
          <w:color w:val="auto"/>
          <w:szCs w:val="21"/>
          <w:highlight w:val="none"/>
        </w:rPr>
        <w:t>三、投标人资格要求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hint="eastAsia" w:ascii="宋体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1、投标人基本资格条件：投标人必须是在中华人民共和国境内注册登记的法人、非法人组织或者自然人，且应当符合《政府采购法》第二十二条规定的供应商条件，即：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（1）具有独立承担民事责任的能力；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（2）具有良好的商业信誉和健全的财务会计制度；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（3）具有履行合同所必需的设备和专业技术能力；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（4）有依法缴纳税收和社会保障资金的良好记录；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（5）参加政府采购活动前三年内，在经营活动中没有重大违法记录；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2" w:firstLineChars="200"/>
        <w:textAlignment w:val="auto"/>
        <w:rPr>
          <w:rFonts w:hint="eastAsia" w:ascii="宋体"/>
          <w:color w:val="auto"/>
          <w:szCs w:val="21"/>
          <w:highlight w:val="none"/>
        </w:rPr>
      </w:pPr>
      <w:r>
        <w:rPr>
          <w:rFonts w:hint="eastAsia" w:ascii="宋体"/>
          <w:b/>
          <w:bCs/>
          <w:color w:val="auto"/>
          <w:szCs w:val="21"/>
          <w:highlight w:val="none"/>
        </w:rPr>
        <w:t>2、投标人特定资格条件：</w:t>
      </w:r>
      <w:r>
        <w:rPr>
          <w:rFonts w:hint="eastAsia" w:ascii="宋体"/>
          <w:b/>
          <w:bCs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/>
          <w:b/>
          <w:bCs/>
          <w:color w:val="auto"/>
          <w:szCs w:val="21"/>
          <w:highlight w:val="none"/>
          <w:u w:val="single"/>
          <w:lang w:val="en-US" w:eastAsia="zh-CN"/>
        </w:rPr>
        <w:t xml:space="preserve">无 </w:t>
      </w:r>
      <w:r>
        <w:rPr>
          <w:rFonts w:hint="eastAsia" w:ascii="宋体"/>
          <w:b/>
          <w:bCs/>
          <w:color w:val="auto"/>
          <w:szCs w:val="21"/>
          <w:highlight w:val="none"/>
        </w:rPr>
        <w:t>。</w:t>
      </w:r>
      <w:r>
        <w:rPr>
          <w:rFonts w:hint="eastAsia" w:ascii="宋体"/>
          <w:color w:val="auto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hint="eastAsia" w:ascii="宋体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3、单位负责人为同一人或者存在直接控股、管理关系的不同投标人，不得参加本项目同一合同项下的政府采购活动。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hint="eastAsia" w:ascii="宋体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/>
          <w:color w:val="auto"/>
          <w:szCs w:val="21"/>
          <w:highlight w:val="none"/>
        </w:rPr>
        <w:t>、未被列入失信被执行人、重大税收违法案件当事人名单，未被列入政府采购严重违法失信行为记录名单。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20" w:firstLineChars="200"/>
        <w:textAlignment w:val="auto"/>
        <w:rPr>
          <w:rFonts w:hint="eastAsia" w:ascii="宋体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/>
          <w:color w:val="auto"/>
          <w:szCs w:val="21"/>
          <w:highlight w:val="none"/>
        </w:rPr>
        <w:t>、联合体投标</w:t>
      </w:r>
      <w:r>
        <w:rPr>
          <w:rFonts w:hint="eastAsia" w:ascii="宋体"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/>
          <w:color w:val="auto"/>
          <w:szCs w:val="21"/>
          <w:highlight w:val="none"/>
        </w:rPr>
        <w:t>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1" w:firstLineChars="233"/>
        <w:textAlignment w:val="auto"/>
        <w:rPr>
          <w:rFonts w:hint="eastAsia" w:ascii="黑体" w:eastAsia="黑体"/>
          <w:color w:val="auto"/>
          <w:szCs w:val="21"/>
          <w:highlight w:val="none"/>
        </w:rPr>
      </w:pPr>
      <w:r>
        <w:rPr>
          <w:rFonts w:hint="eastAsia" w:ascii="宋体"/>
          <w:b/>
          <w:bCs/>
          <w:color w:val="auto"/>
          <w:szCs w:val="21"/>
          <w:highlight w:val="none"/>
        </w:rPr>
        <w:t>四、获取招标文件的时间、地点、方式及招标文件售价：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227" w:rightChars="-108" w:firstLine="491" w:firstLineChars="234"/>
        <w:textAlignment w:val="auto"/>
        <w:rPr>
          <w:rFonts w:hint="eastAsia" w:ascii="黑体" w:eastAsia="黑体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（</w:t>
      </w:r>
      <w:r>
        <w:rPr>
          <w:rFonts w:hint="eastAsia" w:ascii="黑体" w:hAnsi="黑体"/>
          <w:color w:val="auto"/>
          <w:szCs w:val="21"/>
          <w:highlight w:val="none"/>
        </w:rPr>
        <w:t>1</w:t>
      </w:r>
      <w:r>
        <w:rPr>
          <w:rFonts w:hint="eastAsia" w:ascii="宋体"/>
          <w:color w:val="auto"/>
          <w:szCs w:val="21"/>
          <w:highlight w:val="none"/>
        </w:rPr>
        <w:t>）获取公开招标文件时间：</w:t>
      </w:r>
      <w:r>
        <w:rPr>
          <w:rFonts w:hint="eastAsia" w:ascii="黑体" w:eastAsia="黑体"/>
          <w:color w:val="auto"/>
          <w:szCs w:val="21"/>
          <w:highlight w:val="none"/>
        </w:rPr>
        <w:t>20</w:t>
      </w:r>
      <w:r>
        <w:rPr>
          <w:rFonts w:hint="eastAsia" w:ascii="黑体" w:eastAsia="黑体"/>
          <w:color w:val="auto"/>
          <w:szCs w:val="21"/>
          <w:highlight w:val="none"/>
          <w:lang w:val="en-US" w:eastAsia="zh-CN"/>
        </w:rPr>
        <w:t>22</w:t>
      </w:r>
      <w:r>
        <w:rPr>
          <w:rFonts w:hint="eastAsia" w:ascii="宋体"/>
          <w:color w:val="auto"/>
          <w:szCs w:val="21"/>
          <w:highlight w:val="none"/>
        </w:rPr>
        <w:t>年</w:t>
      </w:r>
      <w:r>
        <w:rPr>
          <w:rFonts w:hint="eastAsia" w:ascii="黑体" w:hAnsi="黑体"/>
          <w:color w:val="auto"/>
          <w:szCs w:val="21"/>
          <w:highlight w:val="none"/>
          <w:u w:val="single"/>
          <w:lang w:val="en-US" w:eastAsia="zh-CN"/>
        </w:rPr>
        <w:t xml:space="preserve"> 6 </w:t>
      </w:r>
      <w:r>
        <w:rPr>
          <w:rFonts w:hint="eastAsia" w:ascii="宋体"/>
          <w:color w:val="auto"/>
          <w:szCs w:val="21"/>
          <w:highlight w:val="none"/>
        </w:rPr>
        <w:t>月</w:t>
      </w:r>
      <w:r>
        <w:rPr>
          <w:rFonts w:hint="eastAsia" w:ascii="黑体" w:hAnsi="黑体"/>
          <w:color w:val="auto"/>
          <w:szCs w:val="21"/>
          <w:highlight w:val="none"/>
          <w:u w:val="single"/>
          <w:lang w:val="en-US" w:eastAsia="zh-CN"/>
        </w:rPr>
        <w:t xml:space="preserve"> 16 </w:t>
      </w:r>
      <w:r>
        <w:rPr>
          <w:rFonts w:hint="eastAsia" w:ascii="宋体"/>
          <w:color w:val="auto"/>
          <w:szCs w:val="21"/>
          <w:highlight w:val="none"/>
        </w:rPr>
        <w:t>日至</w:t>
      </w:r>
      <w:r>
        <w:rPr>
          <w:rFonts w:hint="eastAsia" w:ascii="黑体" w:eastAsia="黑体"/>
          <w:color w:val="auto"/>
          <w:szCs w:val="21"/>
          <w:highlight w:val="none"/>
        </w:rPr>
        <w:t>202</w:t>
      </w:r>
      <w:r>
        <w:rPr>
          <w:rFonts w:hint="eastAsia" w:ascii="黑体" w:eastAsia="黑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/>
          <w:color w:val="auto"/>
          <w:szCs w:val="21"/>
          <w:highlight w:val="none"/>
        </w:rPr>
        <w:t>年</w:t>
      </w:r>
      <w:r>
        <w:rPr>
          <w:rFonts w:hint="eastAsia" w:ascii="黑体" w:hAnsi="黑体" w:eastAsia="宋体" w:cs="Times New Roman"/>
          <w:color w:val="auto"/>
          <w:szCs w:val="21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黑体" w:hAnsi="黑体" w:cs="Times New Roman"/>
          <w:color w:val="auto"/>
          <w:szCs w:val="21"/>
          <w:highlight w:val="none"/>
          <w:u w:val="single"/>
          <w:lang w:val="en-US" w:eastAsia="zh-CN" w:bidi="ar-SA"/>
        </w:rPr>
        <w:t>6</w:t>
      </w:r>
      <w:r>
        <w:rPr>
          <w:rFonts w:hint="eastAsia" w:ascii="黑体" w:hAnsi="黑体" w:eastAsia="宋体" w:cs="Times New Roman"/>
          <w:color w:val="auto"/>
          <w:szCs w:val="21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/>
          <w:color w:val="auto"/>
          <w:szCs w:val="21"/>
          <w:highlight w:val="none"/>
        </w:rPr>
        <w:t>月</w:t>
      </w:r>
      <w:r>
        <w:rPr>
          <w:rFonts w:hint="eastAsia" w:ascii="黑体" w:hAnsi="黑体" w:eastAsia="宋体" w:cs="Times New Roman"/>
          <w:color w:val="auto"/>
          <w:szCs w:val="21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黑体" w:hAnsi="黑体" w:cs="Times New Roman"/>
          <w:color w:val="auto"/>
          <w:szCs w:val="21"/>
          <w:highlight w:val="none"/>
          <w:u w:val="single"/>
          <w:lang w:val="en-US" w:eastAsia="zh-CN" w:bidi="ar-SA"/>
        </w:rPr>
        <w:t>23</w:t>
      </w:r>
      <w:r>
        <w:rPr>
          <w:rFonts w:hint="eastAsia" w:ascii="黑体" w:hAnsi="黑体" w:eastAsia="宋体" w:cs="Times New Roman"/>
          <w:color w:val="auto"/>
          <w:szCs w:val="21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/>
          <w:color w:val="auto"/>
          <w:szCs w:val="21"/>
          <w:highlight w:val="none"/>
        </w:rPr>
        <w:t>日，每日上午</w:t>
      </w:r>
      <w:r>
        <w:rPr>
          <w:rFonts w:hint="eastAsia" w:ascii="黑体" w:hAnsi="黑体"/>
          <w:color w:val="auto"/>
          <w:szCs w:val="21"/>
          <w:highlight w:val="none"/>
        </w:rPr>
        <w:t>9:00时</w:t>
      </w:r>
      <w:r>
        <w:rPr>
          <w:rFonts w:hint="eastAsia" w:ascii="宋体"/>
          <w:color w:val="auto"/>
          <w:szCs w:val="21"/>
          <w:highlight w:val="none"/>
        </w:rPr>
        <w:t>至11:00时，下午15:00时-</w:t>
      </w:r>
      <w:r>
        <w:rPr>
          <w:rFonts w:hint="eastAsia" w:ascii="黑体" w:hAnsi="黑体"/>
          <w:color w:val="auto"/>
          <w:szCs w:val="21"/>
          <w:highlight w:val="none"/>
        </w:rPr>
        <w:t>17:00 (北京时间，</w:t>
      </w:r>
      <w:r>
        <w:rPr>
          <w:rFonts w:hint="eastAsia" w:ascii="宋体"/>
          <w:color w:val="auto"/>
          <w:szCs w:val="21"/>
          <w:highlight w:val="none"/>
        </w:rPr>
        <w:t>双休日及法定节假日除外</w:t>
      </w:r>
      <w:r>
        <w:rPr>
          <w:rFonts w:hint="eastAsia" w:ascii="黑体" w:eastAsia="黑体"/>
          <w:color w:val="auto"/>
          <w:szCs w:val="21"/>
          <w:highlight w:val="none"/>
        </w:rPr>
        <w:t>)</w:t>
      </w:r>
      <w:r>
        <w:rPr>
          <w:rFonts w:hint="eastAsia" w:ascii="宋体"/>
          <w:color w:val="auto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227" w:rightChars="-108" w:firstLine="491" w:firstLineChars="234"/>
        <w:textAlignment w:val="auto"/>
        <w:rPr>
          <w:rFonts w:hint="eastAsia" w:ascii="黑体" w:eastAsia="黑体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（</w:t>
      </w:r>
      <w:r>
        <w:rPr>
          <w:rFonts w:hint="eastAsia" w:ascii="黑体" w:hAnsi="黑体"/>
          <w:color w:val="auto"/>
          <w:szCs w:val="21"/>
          <w:highlight w:val="none"/>
        </w:rPr>
        <w:t>2</w:t>
      </w:r>
      <w:r>
        <w:rPr>
          <w:rFonts w:hint="eastAsia" w:ascii="宋体"/>
          <w:color w:val="auto"/>
          <w:szCs w:val="21"/>
          <w:highlight w:val="none"/>
        </w:rPr>
        <w:t>）获取公开招标文件的地点：湖南阳光建设工程项目管理有限公司（邵东市昭阳大道449-451号长沙银行6楼）。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227" w:rightChars="-108" w:firstLine="491" w:firstLineChars="234"/>
        <w:textAlignment w:val="auto"/>
        <w:rPr>
          <w:rFonts w:hint="eastAsia" w:ascii="宋体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（</w:t>
      </w:r>
      <w:r>
        <w:rPr>
          <w:rFonts w:hint="eastAsia" w:ascii="黑体" w:hAnsi="黑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/>
          <w:color w:val="auto"/>
          <w:szCs w:val="21"/>
          <w:highlight w:val="none"/>
        </w:rPr>
        <w:t>）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获取</w:t>
      </w:r>
      <w:r>
        <w:rPr>
          <w:rFonts w:hint="eastAsia" w:ascii="宋体"/>
          <w:color w:val="auto"/>
          <w:szCs w:val="21"/>
          <w:highlight w:val="none"/>
        </w:rPr>
        <w:t>招标文件时请持加盖公章的营业执照复印件、法定代表人身份证明或授权委托书</w:t>
      </w:r>
      <w:r>
        <w:rPr>
          <w:rFonts w:hint="eastAsia" w:ascii="黑体" w:eastAsia="黑体"/>
          <w:color w:val="auto"/>
          <w:szCs w:val="21"/>
          <w:highlight w:val="none"/>
        </w:rPr>
        <w:t>(</w:t>
      </w:r>
      <w:r>
        <w:rPr>
          <w:rFonts w:hint="eastAsia" w:ascii="宋体"/>
          <w:color w:val="auto"/>
          <w:szCs w:val="21"/>
          <w:highlight w:val="none"/>
        </w:rPr>
        <w:t>附法定代表人身份证明</w:t>
      </w:r>
      <w:r>
        <w:rPr>
          <w:rFonts w:hint="eastAsia" w:ascii="黑体" w:eastAsia="黑体"/>
          <w:color w:val="auto"/>
          <w:szCs w:val="21"/>
          <w:highlight w:val="none"/>
        </w:rPr>
        <w:t>)</w:t>
      </w:r>
      <w:r>
        <w:rPr>
          <w:rFonts w:hint="eastAsia" w:ascii="宋体"/>
          <w:color w:val="auto"/>
          <w:szCs w:val="21"/>
          <w:highlight w:val="none"/>
        </w:rPr>
        <w:t>、个人身份证证明材料两套获取招标文件。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2" w:firstLineChars="200"/>
        <w:textAlignment w:val="auto"/>
        <w:rPr>
          <w:rFonts w:hint="eastAsia" w:ascii="宋体"/>
          <w:b/>
          <w:bCs/>
          <w:color w:val="auto"/>
          <w:szCs w:val="21"/>
          <w:highlight w:val="none"/>
        </w:rPr>
      </w:pPr>
      <w:r>
        <w:rPr>
          <w:rFonts w:hint="eastAsia" w:ascii="宋体"/>
          <w:b/>
          <w:bCs/>
          <w:color w:val="auto"/>
          <w:szCs w:val="21"/>
          <w:highlight w:val="none"/>
        </w:rPr>
        <w:t>五、投标保证金：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1、投标保证金数额：人民币肆万元（¥40000.00元） 投标保证金必须以非现金方式提交，以现金方式提交的投标保证金无效；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2、交纳方式：投标保证金应以供应商银行账户转账等非现金形式递交。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账户名称：湖南阳光建设工程项目管理有限公司邵东分公司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开户银行：长沙银行股份有限公司邵东支行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银行账号：8002 9503 6408 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（请在用途栏中注明“邵东市殡仪馆火化设备及太平柜采购项目”字样）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3、投标保证金必须从投标供应商基本账户汇入，其名称应与供应商名称一致，不得以分支机构等其他名义缴纳。并在2022年7月</w:t>
      </w:r>
      <w:r>
        <w:rPr>
          <w:rFonts w:hint="eastAsia" w:ascii="黑体" w:hAnsi="黑体"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黑体" w:hAnsi="黑体"/>
          <w:color w:val="auto"/>
          <w:szCs w:val="21"/>
          <w:highlight w:val="none"/>
        </w:rPr>
        <w:t>日</w:t>
      </w:r>
      <w:r>
        <w:rPr>
          <w:rFonts w:hint="eastAsia" w:ascii="黑体" w:hAnsi="黑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黑体" w:hAnsi="黑体"/>
          <w:color w:val="auto"/>
          <w:szCs w:val="21"/>
          <w:highlight w:val="none"/>
        </w:rPr>
        <w:t>：</w:t>
      </w:r>
      <w:r>
        <w:rPr>
          <w:rFonts w:hint="eastAsia" w:ascii="黑体" w:hAnsi="黑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黑体" w:hAnsi="黑体"/>
          <w:color w:val="auto"/>
          <w:szCs w:val="21"/>
          <w:highlight w:val="none"/>
        </w:rPr>
        <w:t>之前到指定账上，以到账为准。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4、未按时足额缴纳投标保证金的，其投标将被拒绝。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2" w:firstLineChars="200"/>
        <w:textAlignment w:val="auto"/>
        <w:rPr>
          <w:rFonts w:hint="eastAsia"/>
          <w:b/>
          <w:bCs/>
          <w:color w:val="auto"/>
          <w:szCs w:val="21"/>
          <w:highlight w:val="none"/>
        </w:rPr>
      </w:pPr>
      <w:r>
        <w:rPr>
          <w:rFonts w:hint="eastAsia" w:ascii="宋体"/>
          <w:b/>
          <w:bCs/>
          <w:color w:val="auto"/>
          <w:szCs w:val="21"/>
          <w:highlight w:val="none"/>
          <w:lang w:val="en-US" w:eastAsia="zh-CN"/>
        </w:rPr>
        <w:t>六</w:t>
      </w:r>
      <w:r>
        <w:rPr>
          <w:rFonts w:hint="eastAsia" w:ascii="宋体"/>
          <w:b/>
          <w:bCs/>
          <w:color w:val="auto"/>
          <w:szCs w:val="21"/>
          <w:highlight w:val="none"/>
        </w:rPr>
        <w:t>、投标截止时间和开标时间及地点</w:t>
      </w:r>
      <w:r>
        <w:rPr>
          <w:b/>
          <w:bCs/>
          <w:color w:val="auto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227" w:rightChars="-108" w:firstLine="420" w:firstLineChars="200"/>
        <w:textAlignment w:val="auto"/>
        <w:rPr>
          <w:rFonts w:hint="eastAsia" w:ascii="黑体" w:eastAsia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1.</w:t>
      </w:r>
      <w:r>
        <w:rPr>
          <w:rFonts w:hint="eastAsia" w:ascii="宋体"/>
          <w:color w:val="auto"/>
          <w:szCs w:val="21"/>
          <w:highlight w:val="none"/>
        </w:rPr>
        <w:t>投标截止时间：</w:t>
      </w:r>
      <w:r>
        <w:rPr>
          <w:rFonts w:hint="eastAsia" w:ascii="黑体" w:eastAsia="黑体"/>
          <w:color w:val="auto"/>
          <w:szCs w:val="21"/>
          <w:highlight w:val="none"/>
        </w:rPr>
        <w:t>202</w:t>
      </w:r>
      <w:r>
        <w:rPr>
          <w:rFonts w:hint="eastAsia" w:ascii="黑体" w:eastAsia="黑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/>
          <w:color w:val="auto"/>
          <w:szCs w:val="21"/>
          <w:highlight w:val="none"/>
        </w:rPr>
        <w:t>年</w:t>
      </w:r>
      <w:r>
        <w:rPr>
          <w:rFonts w:hint="eastAsia" w:ascii="黑体" w:hAnsi="黑体"/>
          <w:color w:val="auto"/>
          <w:szCs w:val="21"/>
          <w:highlight w:val="none"/>
          <w:u w:val="single"/>
          <w:lang w:val="en-US" w:eastAsia="zh-CN"/>
        </w:rPr>
        <w:t xml:space="preserve"> 7 </w:t>
      </w:r>
      <w:r>
        <w:rPr>
          <w:rFonts w:hint="eastAsia" w:ascii="黑体" w:hAnsi="黑体"/>
          <w:color w:val="auto"/>
          <w:szCs w:val="21"/>
          <w:highlight w:val="none"/>
        </w:rPr>
        <w:t>月</w:t>
      </w:r>
      <w:r>
        <w:rPr>
          <w:rFonts w:hint="eastAsia" w:ascii="黑体" w:hAnsi="黑体"/>
          <w:color w:val="auto"/>
          <w:szCs w:val="21"/>
          <w:highlight w:val="none"/>
          <w:u w:val="single"/>
          <w:lang w:val="en-US" w:eastAsia="zh-CN"/>
        </w:rPr>
        <w:t xml:space="preserve"> 13 </w:t>
      </w:r>
      <w:r>
        <w:rPr>
          <w:rFonts w:hint="eastAsia" w:ascii="黑体" w:hAnsi="黑体"/>
          <w:color w:val="auto"/>
          <w:szCs w:val="21"/>
          <w:highlight w:val="none"/>
        </w:rPr>
        <w:t>日</w:t>
      </w:r>
      <w:r>
        <w:rPr>
          <w:rFonts w:hint="eastAsia" w:ascii="黑体" w:hAnsi="黑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/>
          <w:color w:val="auto"/>
          <w:szCs w:val="21"/>
          <w:highlight w:val="none"/>
        </w:rPr>
        <w:t>时</w:t>
      </w:r>
      <w:r>
        <w:rPr>
          <w:rFonts w:hint="eastAsia" w:ascii="黑体" w:hAnsi="黑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黑体" w:eastAsia="黑体"/>
          <w:color w:val="auto"/>
          <w:szCs w:val="21"/>
          <w:highlight w:val="none"/>
        </w:rPr>
        <w:t xml:space="preserve"> </w:t>
      </w:r>
      <w:r>
        <w:rPr>
          <w:rFonts w:hint="eastAsia" w:ascii="宋体"/>
          <w:color w:val="auto"/>
          <w:szCs w:val="21"/>
          <w:highlight w:val="none"/>
        </w:rPr>
        <w:t xml:space="preserve">分（北京时间）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227" w:rightChars="-108" w:firstLine="371" w:firstLineChars="177"/>
        <w:textAlignment w:val="auto"/>
        <w:rPr>
          <w:rFonts w:hint="eastAsia" w:ascii="黑体" w:eastAsia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2.</w:t>
      </w:r>
      <w:r>
        <w:rPr>
          <w:rFonts w:hint="eastAsia" w:ascii="宋体"/>
          <w:color w:val="auto"/>
          <w:szCs w:val="21"/>
          <w:highlight w:val="none"/>
        </w:rPr>
        <w:t>开标时间：</w:t>
      </w:r>
      <w:r>
        <w:rPr>
          <w:rFonts w:hint="eastAsia" w:ascii="黑体" w:eastAsia="黑体"/>
          <w:color w:val="auto"/>
          <w:szCs w:val="21"/>
          <w:highlight w:val="none"/>
        </w:rPr>
        <w:t>202</w:t>
      </w:r>
      <w:r>
        <w:rPr>
          <w:rFonts w:hint="eastAsia" w:ascii="黑体" w:eastAsia="黑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/>
          <w:color w:val="auto"/>
          <w:szCs w:val="21"/>
          <w:highlight w:val="none"/>
        </w:rPr>
        <w:t>年</w:t>
      </w:r>
      <w:r>
        <w:rPr>
          <w:rFonts w:hint="eastAsia" w:ascii="黑体" w:hAnsi="黑体"/>
          <w:color w:val="auto"/>
          <w:szCs w:val="21"/>
          <w:highlight w:val="none"/>
          <w:u w:val="single"/>
          <w:lang w:val="en-US" w:eastAsia="zh-CN"/>
        </w:rPr>
        <w:t xml:space="preserve"> 7 </w:t>
      </w:r>
      <w:r>
        <w:rPr>
          <w:rFonts w:hint="eastAsia" w:ascii="黑体" w:hAnsi="黑体"/>
          <w:color w:val="auto"/>
          <w:szCs w:val="21"/>
          <w:highlight w:val="none"/>
        </w:rPr>
        <w:t>月</w:t>
      </w:r>
      <w:r>
        <w:rPr>
          <w:rFonts w:hint="eastAsia" w:ascii="黑体" w:hAnsi="黑体"/>
          <w:color w:val="auto"/>
          <w:szCs w:val="21"/>
          <w:highlight w:val="none"/>
          <w:u w:val="single"/>
          <w:lang w:val="en-US" w:eastAsia="zh-CN"/>
        </w:rPr>
        <w:t xml:space="preserve"> 13 </w:t>
      </w:r>
      <w:r>
        <w:rPr>
          <w:rFonts w:hint="eastAsia" w:ascii="黑体" w:hAnsi="黑体"/>
          <w:color w:val="auto"/>
          <w:szCs w:val="21"/>
          <w:highlight w:val="none"/>
        </w:rPr>
        <w:t>日</w:t>
      </w:r>
      <w:r>
        <w:rPr>
          <w:rFonts w:hint="eastAsia" w:ascii="黑体" w:hAnsi="黑体"/>
          <w:color w:val="auto"/>
          <w:szCs w:val="21"/>
          <w:highlight w:val="none"/>
          <w:lang w:val="en-US" w:eastAsia="zh-CN"/>
        </w:rPr>
        <w:t>9</w:t>
      </w:r>
      <w:r>
        <w:rPr>
          <w:rFonts w:hint="eastAsia" w:ascii="宋体"/>
          <w:color w:val="auto"/>
          <w:szCs w:val="21"/>
          <w:highlight w:val="none"/>
        </w:rPr>
        <w:t>时</w:t>
      </w:r>
      <w:r>
        <w:rPr>
          <w:rFonts w:hint="eastAsia" w:ascii="黑体" w:hAnsi="黑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黑体" w:eastAsia="黑体"/>
          <w:color w:val="auto"/>
          <w:szCs w:val="21"/>
          <w:highlight w:val="none"/>
        </w:rPr>
        <w:t xml:space="preserve"> </w:t>
      </w:r>
      <w:r>
        <w:rPr>
          <w:rFonts w:hint="eastAsia" w:ascii="宋体"/>
          <w:color w:val="auto"/>
          <w:szCs w:val="21"/>
          <w:highlight w:val="none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227" w:rightChars="-108" w:firstLine="371" w:firstLineChars="177"/>
        <w:textAlignment w:val="auto"/>
        <w:rPr>
          <w:rFonts w:hint="eastAsia" w:ascii="黑体" w:eastAsia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3.</w:t>
      </w:r>
      <w:r>
        <w:rPr>
          <w:rFonts w:hint="eastAsia" w:ascii="宋体"/>
          <w:color w:val="auto"/>
          <w:szCs w:val="21"/>
          <w:highlight w:val="none"/>
        </w:rPr>
        <w:t>开标地点：湖南阳光建设工程项目管理有限公司（邵东市昭阳大道449-451号长沙银行6楼）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227" w:rightChars="-108" w:firstLine="373" w:firstLineChars="177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宋体"/>
          <w:b/>
          <w:bCs/>
          <w:color w:val="auto"/>
          <w:szCs w:val="21"/>
          <w:highlight w:val="none"/>
          <w:lang w:val="en-US" w:eastAsia="zh-CN"/>
        </w:rPr>
        <w:t>七</w:t>
      </w:r>
      <w:r>
        <w:rPr>
          <w:rFonts w:hint="eastAsia" w:ascii="宋体"/>
          <w:b/>
          <w:bCs/>
          <w:color w:val="auto"/>
          <w:szCs w:val="21"/>
          <w:highlight w:val="none"/>
        </w:rPr>
        <w:t>、公告期限</w:t>
      </w:r>
      <w:r>
        <w:rPr>
          <w:rFonts w:hint="eastAsia" w:ascii="黑体" w:hAnsi="黑体"/>
          <w:color w:val="auto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227" w:rightChars="-108" w:firstLine="371" w:firstLineChars="177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1、本招标公告在中国政府采购网（www.ccgp.gov.cn）</w:t>
      </w:r>
      <w:r>
        <w:rPr>
          <w:rFonts w:hint="eastAsia" w:ascii="宋体"/>
          <w:color w:val="auto"/>
          <w:szCs w:val="21"/>
          <w:highlight w:val="none"/>
        </w:rPr>
        <w:t>网上</w:t>
      </w:r>
      <w:r>
        <w:rPr>
          <w:rFonts w:hint="eastAsia" w:ascii="黑体" w:hAnsi="黑体"/>
          <w:color w:val="auto"/>
          <w:szCs w:val="21"/>
          <w:highlight w:val="none"/>
        </w:rPr>
        <w:t>发布。公告期限从本招标公告发布之日起5个工作日。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227" w:rightChars="-108" w:firstLine="371" w:firstLineChars="177"/>
        <w:textAlignment w:val="auto"/>
        <w:rPr>
          <w:rFonts w:hint="eastAsia" w:ascii="黑体" w:hAnsi="黑体"/>
          <w:color w:val="auto"/>
          <w:szCs w:val="21"/>
          <w:highlight w:val="none"/>
        </w:rPr>
      </w:pPr>
      <w:r>
        <w:rPr>
          <w:rFonts w:hint="eastAsia" w:ascii="黑体" w:hAnsi="黑体"/>
          <w:color w:val="auto"/>
          <w:szCs w:val="21"/>
          <w:highlight w:val="none"/>
        </w:rPr>
        <w:t>2、在其他媒体发布的招标公告，公告内容以本招标公告指定媒体发布的公告为准；公告期限自本招标公告指定媒体最先发布公告之日起算。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2" w:firstLineChars="200"/>
        <w:textAlignment w:val="auto"/>
        <w:rPr>
          <w:rFonts w:hint="eastAsia"/>
          <w:b/>
          <w:bCs/>
          <w:color w:val="auto"/>
          <w:szCs w:val="21"/>
          <w:highlight w:val="none"/>
        </w:rPr>
      </w:pPr>
      <w:r>
        <w:rPr>
          <w:rFonts w:hint="eastAsia" w:ascii="宋体"/>
          <w:b/>
          <w:bCs/>
          <w:color w:val="auto"/>
          <w:szCs w:val="21"/>
          <w:highlight w:val="none"/>
          <w:lang w:val="en-US" w:eastAsia="zh-CN"/>
        </w:rPr>
        <w:t>八</w:t>
      </w:r>
      <w:r>
        <w:rPr>
          <w:rFonts w:hint="eastAsia" w:ascii="宋体"/>
          <w:b/>
          <w:bCs/>
          <w:color w:val="auto"/>
          <w:szCs w:val="21"/>
          <w:highlight w:val="none"/>
        </w:rPr>
        <w:t>、质疑和投诉</w:t>
      </w:r>
      <w:r>
        <w:rPr>
          <w:b/>
          <w:bCs/>
          <w:color w:val="auto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227" w:rightChars="-108" w:firstLine="491" w:firstLineChars="234"/>
        <w:textAlignment w:val="auto"/>
        <w:rPr>
          <w:rFonts w:hint="eastAsia" w:ascii="黑体" w:eastAsia="黑体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投标人认为招标文件存在歧视性条款的，应在购买采购文件之日起</w:t>
      </w:r>
      <w:r>
        <w:rPr>
          <w:rFonts w:hint="eastAsia" w:ascii="黑体" w:eastAsia="黑体"/>
          <w:color w:val="auto"/>
          <w:szCs w:val="21"/>
          <w:highlight w:val="none"/>
        </w:rPr>
        <w:t>7</w:t>
      </w:r>
      <w:r>
        <w:rPr>
          <w:rFonts w:hint="eastAsia" w:ascii="宋体"/>
          <w:color w:val="auto"/>
          <w:szCs w:val="21"/>
          <w:highlight w:val="none"/>
        </w:rPr>
        <w:t>个工作日内以书面形式向本代理机构提出。如对质疑答复有异议，可向</w:t>
      </w:r>
      <w:bookmarkStart w:id="0" w:name="_GoBack"/>
      <w:bookmarkEnd w:id="0"/>
      <w:r>
        <w:rPr>
          <w:rFonts w:hint="eastAsia" w:ascii="宋体"/>
          <w:color w:val="auto"/>
          <w:szCs w:val="21"/>
          <w:highlight w:val="none"/>
        </w:rPr>
        <w:t xml:space="preserve">监督管理部门投诉。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1" w:firstLineChars="233"/>
        <w:textAlignment w:val="auto"/>
        <w:rPr>
          <w:rFonts w:hint="eastAsia"/>
          <w:b/>
          <w:bCs/>
          <w:color w:val="auto"/>
          <w:szCs w:val="21"/>
          <w:highlight w:val="none"/>
        </w:rPr>
      </w:pPr>
      <w:r>
        <w:rPr>
          <w:rFonts w:hint="eastAsia" w:ascii="宋体"/>
          <w:b/>
          <w:bCs/>
          <w:color w:val="auto"/>
          <w:szCs w:val="21"/>
          <w:highlight w:val="none"/>
          <w:lang w:val="en-US" w:eastAsia="zh-CN"/>
        </w:rPr>
        <w:t>九</w:t>
      </w:r>
      <w:r>
        <w:rPr>
          <w:rFonts w:hint="eastAsia" w:ascii="宋体"/>
          <w:b/>
          <w:bCs/>
          <w:color w:val="auto"/>
          <w:szCs w:val="21"/>
          <w:highlight w:val="none"/>
        </w:rPr>
        <w:t>、采购项目联系人姓名和电话：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1" w:firstLineChars="234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采购人名称：</w:t>
      </w:r>
      <w:r>
        <w:rPr>
          <w:rFonts w:hint="eastAsia" w:ascii="宋体"/>
          <w:color w:val="auto"/>
          <w:szCs w:val="21"/>
          <w:highlight w:val="none"/>
          <w:shd w:val="clear" w:color="auto" w:fill="FFFFFF"/>
          <w:lang w:eastAsia="zh-CN"/>
        </w:rPr>
        <w:t>邵东市兆域民俗文化发展有限公司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1" w:firstLineChars="234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地址：</w:t>
      </w:r>
      <w:r>
        <w:rPr>
          <w:rFonts w:hint="eastAsia" w:ascii="宋体"/>
          <w:color w:val="auto"/>
          <w:szCs w:val="21"/>
          <w:highlight w:val="none"/>
          <w:lang w:eastAsia="zh-CN"/>
        </w:rPr>
        <w:t>湖南省邵阳市邵东市宋家塘街道福星路福星公寓8楼805室</w:t>
      </w:r>
      <w:r>
        <w:rPr>
          <w:rFonts w:hint="eastAsia" w:ascii="Times New Roman" w:hAnsi="Times New Roman"/>
          <w:color w:val="auto"/>
          <w:szCs w:val="21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1" w:firstLineChars="234"/>
        <w:textAlignment w:val="auto"/>
        <w:rPr>
          <w:rFonts w:hint="eastAsia" w:ascii="Times New Roman" w:hAnsi="Times New Roman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联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  <w:r>
        <w:rPr>
          <w:rFonts w:hint="eastAsia" w:ascii="宋体"/>
          <w:color w:val="auto"/>
          <w:szCs w:val="21"/>
          <w:highlight w:val="none"/>
        </w:rPr>
        <w:t>系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  <w:r>
        <w:rPr>
          <w:rFonts w:hint="eastAsia" w:ascii="宋体"/>
          <w:color w:val="auto"/>
          <w:szCs w:val="21"/>
          <w:highlight w:val="none"/>
        </w:rPr>
        <w:t>人：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郑先生</w:t>
      </w:r>
      <w:r>
        <w:rPr>
          <w:rFonts w:hint="eastAsia" w:ascii="Times New Roman" w:hAnsi="Times New Roman"/>
          <w:color w:val="auto"/>
          <w:szCs w:val="21"/>
          <w:highlight w:val="none"/>
        </w:rPr>
        <w:t xml:space="preserve">   </w:t>
      </w:r>
      <w:r>
        <w:rPr>
          <w:rFonts w:ascii="Times New Roman" w:hAnsi="Times New Roman"/>
          <w:color w:val="auto"/>
          <w:szCs w:val="21"/>
          <w:highlight w:val="none"/>
        </w:rPr>
        <w:t xml:space="preserve">   </w:t>
      </w:r>
      <w:r>
        <w:rPr>
          <w:rFonts w:hint="eastAsia" w:ascii="Times New Roman" w:hAnsi="Times New Roman"/>
          <w:color w:val="auto"/>
          <w:szCs w:val="21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1" w:firstLineChars="234"/>
        <w:textAlignment w:val="auto"/>
        <w:rPr>
          <w:rFonts w:hint="default" w:ascii="Times New Roman" w:hAnsi="Times New Roman" w:eastAsia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/>
          <w:color w:val="auto"/>
          <w:szCs w:val="21"/>
          <w:highlight w:val="none"/>
        </w:rPr>
        <w:t>联系电话：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19173917888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1" w:firstLineChars="234"/>
        <w:textAlignment w:val="auto"/>
        <w:rPr>
          <w:rFonts w:hint="eastAsia" w:ascii="宋体"/>
          <w:color w:val="auto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1" w:firstLineChars="234"/>
        <w:textAlignment w:val="auto"/>
        <w:rPr>
          <w:rFonts w:hint="eastAsia" w:ascii="Times New Roman" w:hAnsi="Times New Roman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招标代理机构：湖南阳光建设工程项目管理有限公司</w:t>
      </w:r>
      <w:r>
        <w:rPr>
          <w:rFonts w:hint="eastAsia" w:ascii="Times New Roman" w:hAnsi="Times New Roman"/>
          <w:color w:val="auto"/>
          <w:szCs w:val="21"/>
          <w:highlight w:val="none"/>
        </w:rPr>
        <w:t xml:space="preserve"> 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1" w:firstLineChars="234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联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  <w:r>
        <w:rPr>
          <w:rFonts w:hint="eastAsia" w:ascii="宋体"/>
          <w:color w:val="auto"/>
          <w:szCs w:val="21"/>
          <w:highlight w:val="none"/>
        </w:rPr>
        <w:t>系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  <w:r>
        <w:rPr>
          <w:rFonts w:hint="eastAsia" w:ascii="宋体"/>
          <w:color w:val="auto"/>
          <w:szCs w:val="21"/>
          <w:highlight w:val="none"/>
        </w:rPr>
        <w:t>人：</w:t>
      </w:r>
      <w:r>
        <w:rPr>
          <w:rFonts w:hint="eastAsia" w:ascii="宋体"/>
          <w:color w:val="auto"/>
          <w:szCs w:val="21"/>
          <w:highlight w:val="none"/>
          <w:lang w:val="en-US" w:eastAsia="zh-CN"/>
        </w:rPr>
        <w:t>王</w:t>
      </w:r>
      <w:r>
        <w:rPr>
          <w:rFonts w:hint="eastAsia" w:ascii="宋体"/>
          <w:color w:val="auto"/>
          <w:szCs w:val="21"/>
          <w:highlight w:val="none"/>
        </w:rPr>
        <w:t>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91" w:firstLineChars="234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宋体"/>
          <w:color w:val="auto"/>
          <w:szCs w:val="21"/>
          <w:highlight w:val="none"/>
        </w:rPr>
        <w:t>电</w:t>
      </w:r>
      <w:r>
        <w:rPr>
          <w:rFonts w:ascii="Times New Roman" w:hAnsi="Times New Roman"/>
          <w:color w:val="auto"/>
          <w:szCs w:val="21"/>
          <w:highlight w:val="none"/>
        </w:rPr>
        <w:t xml:space="preserve">  </w:t>
      </w:r>
      <w:r>
        <w:rPr>
          <w:rFonts w:hint="eastAsia" w:ascii="宋体"/>
          <w:color w:val="auto"/>
          <w:szCs w:val="21"/>
          <w:highlight w:val="none"/>
        </w:rPr>
        <w:t>话：</w:t>
      </w:r>
      <w:r>
        <w:rPr>
          <w:rFonts w:hint="eastAsia" w:ascii="Times New Roman" w:hAnsi="Times New Roman"/>
          <w:color w:val="auto"/>
          <w:szCs w:val="21"/>
          <w:highlight w:val="none"/>
        </w:rPr>
        <w:t xml:space="preserve">13378996613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420" w:firstLineChars="200"/>
        <w:jc w:val="both"/>
        <w:textAlignment w:val="auto"/>
      </w:pPr>
      <w:r>
        <w:rPr>
          <w:rFonts w:hint="eastAsia" w:ascii="宋体"/>
          <w:color w:val="auto"/>
          <w:szCs w:val="21"/>
          <w:highlight w:val="none"/>
        </w:rPr>
        <w:t>地</w:t>
      </w:r>
      <w:r>
        <w:rPr>
          <w:rFonts w:ascii="Times New Roman" w:hAnsi="Times New Roman"/>
          <w:color w:val="auto"/>
          <w:szCs w:val="21"/>
          <w:highlight w:val="none"/>
        </w:rPr>
        <w:t xml:space="preserve">  </w:t>
      </w:r>
      <w:r>
        <w:rPr>
          <w:rFonts w:hint="eastAsia" w:ascii="宋体"/>
          <w:color w:val="auto"/>
          <w:szCs w:val="21"/>
          <w:highlight w:val="none"/>
        </w:rPr>
        <w:t>址：邵东市昭阳大道449-451号长沙银行6楼</w:t>
      </w:r>
    </w:p>
    <w:sectPr>
      <w:footerReference r:id="rId3" w:type="default"/>
      <w:pgSz w:w="11906" w:h="16838"/>
      <w:pgMar w:top="1803" w:right="1800" w:bottom="1803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2UyMzFhNzhlMmY5M2EwMjcyZDYxMGRiYjE0NjAifQ=="/>
  </w:docVars>
  <w:rsids>
    <w:rsidRoot w:val="00000000"/>
    <w:rsid w:val="13637F57"/>
    <w:rsid w:val="17617296"/>
    <w:rsid w:val="19C8151A"/>
    <w:rsid w:val="277A5E30"/>
    <w:rsid w:val="306E6E59"/>
    <w:rsid w:val="3AEC7000"/>
    <w:rsid w:val="4052662E"/>
    <w:rsid w:val="516C4C0B"/>
    <w:rsid w:val="711378BC"/>
    <w:rsid w:val="776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kern w:val="0"/>
      <w:sz w:val="20"/>
      <w:szCs w:val="24"/>
    </w:rPr>
  </w:style>
  <w:style w:type="paragraph" w:styleId="4">
    <w:name w:val="Normal Indent"/>
    <w:basedOn w:val="1"/>
    <w:next w:val="5"/>
    <w:qFormat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sz w:val="20"/>
      <w:lang w:val="en-US" w:eastAsia="zh-CN" w:bidi="ar-SA"/>
    </w:rPr>
  </w:style>
  <w:style w:type="paragraph" w:styleId="6">
    <w:name w:val="Body Text Indent"/>
    <w:basedOn w:val="1"/>
    <w:next w:val="1"/>
    <w:qFormat/>
    <w:uiPriority w:val="0"/>
    <w:pPr>
      <w:ind w:left="200" w:leftChars="200"/>
    </w:pPr>
    <w:rPr>
      <w:kern w:val="0"/>
      <w:sz w:val="20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next w:val="4"/>
    <w:qFormat/>
    <w:uiPriority w:val="0"/>
    <w:pPr>
      <w:spacing w:after="120"/>
      <w:ind w:firstLine="200" w:firstLineChars="200"/>
    </w:pPr>
    <w:rPr>
      <w:kern w:val="2"/>
      <w:sz w:val="21"/>
      <w:szCs w:val="22"/>
    </w:rPr>
  </w:style>
  <w:style w:type="paragraph" w:customStyle="1" w:styleId="12">
    <w:name w:val="Table Paragraph"/>
    <w:basedOn w:val="1"/>
    <w:qFormat/>
    <w:uiPriority w:val="0"/>
    <w:rPr>
      <w:rFonts w:asci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2146</Words>
  <Characters>2464</Characters>
  <Lines>0</Lines>
  <Paragraphs>0</Paragraphs>
  <TotalTime>2</TotalTime>
  <ScaleCrop>false</ScaleCrop>
  <LinksUpToDate>false</LinksUpToDate>
  <CharactersWithSpaces>2544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2022-05-26T01:27:00Z</dcterms:created>
  <dc:creator>Administrator</dc:creator>
  <cp:lastModifiedBy>WPS_1648782263</cp:lastModifiedBy>
  <cp:lastPrinted>2022-06-16T03:13:00Z</cp:lastPrinted>
  <dcterms:modified xsi:type="dcterms:W3CDTF">2022-06-16T08:07:57Z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55170751FAE842B59F2EF63038064894</vt:lpwstr>
  </property>
</Properties>
</file>