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25"/>
        <w:gridCol w:w="905"/>
        <w:gridCol w:w="5670"/>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rPr>
                <w:rFonts w:ascii="宋体" w:hAnsi="宋体" w:cs="宋体"/>
                <w:b/>
                <w:bCs/>
                <w:szCs w:val="21"/>
              </w:rPr>
            </w:pPr>
            <w:r>
              <w:rPr>
                <w:rFonts w:hint="eastAsia" w:ascii="宋体" w:hAnsi="宋体" w:eastAsia="宋体" w:cs="宋体"/>
                <w:b/>
                <w:bCs/>
                <w:szCs w:val="21"/>
              </w:rPr>
              <w:t>序号</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ascii="宋体" w:hAnsi="宋体" w:cs="宋体"/>
                <w:b/>
                <w:bCs/>
                <w:szCs w:val="21"/>
              </w:rPr>
            </w:pPr>
            <w:r>
              <w:rPr>
                <w:rFonts w:hint="eastAsia" w:ascii="宋体" w:hAnsi="宋体" w:eastAsia="宋体" w:cs="宋体"/>
                <w:b/>
                <w:bCs/>
                <w:szCs w:val="21"/>
              </w:rPr>
              <w:t>评分因素及权重</w:t>
            </w:r>
          </w:p>
        </w:tc>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ascii="宋体" w:hAnsi="宋体" w:cs="宋体"/>
                <w:b/>
                <w:bCs/>
                <w:szCs w:val="21"/>
              </w:rPr>
            </w:pPr>
            <w:r>
              <w:rPr>
                <w:rFonts w:hint="eastAsia" w:ascii="宋体" w:hAnsi="宋体" w:eastAsia="宋体" w:cs="宋体"/>
                <w:b/>
                <w:bCs/>
                <w:szCs w:val="21"/>
              </w:rPr>
              <w:t>分值</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ascii="宋体" w:hAnsi="宋体" w:cs="宋体"/>
                <w:b/>
                <w:bCs/>
                <w:szCs w:val="21"/>
              </w:rPr>
            </w:pPr>
            <w:r>
              <w:rPr>
                <w:rFonts w:hint="eastAsia" w:ascii="宋体" w:hAnsi="宋体" w:eastAsia="宋体" w:cs="宋体"/>
                <w:b/>
                <w:bCs/>
                <w:szCs w:val="21"/>
              </w:rPr>
              <w:t>评分标准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bCs/>
                <w:szCs w:val="21"/>
              </w:rPr>
            </w:pPr>
            <w:r>
              <w:rPr>
                <w:rFonts w:hint="eastAsia" w:ascii="宋体" w:hAnsi="宋体" w:eastAsia="宋体" w:cs="宋体"/>
                <w:b/>
                <w:bCs/>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Cs w:val="21"/>
              </w:rPr>
            </w:pPr>
            <w:r>
              <w:rPr>
                <w:rFonts w:hint="eastAsia" w:ascii="宋体" w:hAnsi="宋体" w:eastAsia="宋体" w:cs="宋体"/>
                <w:bCs/>
                <w:szCs w:val="21"/>
              </w:rPr>
              <w:t>1</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eastAsia="宋体" w:cs="宋体"/>
                <w:szCs w:val="21"/>
              </w:rPr>
              <w:t>报价</w:t>
            </w:r>
            <w:r>
              <w:rPr>
                <w:rFonts w:hint="eastAsia" w:ascii="宋体" w:hAnsi="宋体" w:cs="宋体"/>
                <w:szCs w:val="21"/>
                <w:lang w:val="en-US" w:eastAsia="zh-CN"/>
              </w:rPr>
              <w:t>1</w:t>
            </w:r>
            <w:r>
              <w:rPr>
                <w:rFonts w:hint="eastAsia" w:ascii="宋体" w:hAnsi="宋体" w:eastAsia="宋体" w:cs="宋体"/>
                <w:szCs w:val="21"/>
                <w:lang w:val="en-US" w:eastAsia="zh-CN"/>
              </w:rPr>
              <w:t>5</w:t>
            </w:r>
            <w:r>
              <w:rPr>
                <w:rFonts w:hint="eastAsia" w:ascii="宋体" w:hAnsi="宋体" w:eastAsia="宋体" w:cs="宋体"/>
                <w:szCs w:val="21"/>
              </w:rPr>
              <w:t>%</w:t>
            </w:r>
          </w:p>
        </w:tc>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Cs w:val="21"/>
              </w:rPr>
            </w:pPr>
            <w:r>
              <w:rPr>
                <w:rFonts w:hint="eastAsia" w:ascii="宋体" w:hAnsi="宋体" w:cs="宋体"/>
                <w:szCs w:val="21"/>
                <w:lang w:val="en-US" w:eastAsia="zh-CN"/>
              </w:rPr>
              <w:t>1</w:t>
            </w:r>
            <w:r>
              <w:rPr>
                <w:rFonts w:hint="eastAsia" w:ascii="宋体" w:hAnsi="宋体" w:eastAsia="宋体" w:cs="宋体"/>
                <w:szCs w:val="21"/>
                <w:lang w:val="en-US" w:eastAsia="zh-CN"/>
              </w:rPr>
              <w:t>5</w:t>
            </w:r>
            <w:r>
              <w:rPr>
                <w:rFonts w:hint="eastAsia" w:ascii="宋体" w:hAnsi="宋体" w:eastAsia="宋体" w:cs="宋体"/>
                <w:szCs w:val="21"/>
              </w:rPr>
              <w:t>分</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pStyle w:val="3"/>
              <w:spacing w:after="0" w:line="360" w:lineRule="auto"/>
              <w:ind w:firstLine="420" w:firstLineChars="200"/>
              <w:jc w:val="left"/>
            </w:pPr>
            <w:r>
              <w:rPr>
                <w:rFonts w:hint="eastAsia" w:ascii="宋体" w:hAnsi="宋体" w:eastAsia="宋体" w:cs="宋体"/>
                <w:kern w:val="2"/>
                <w:sz w:val="21"/>
                <w:szCs w:val="21"/>
                <w:lang w:val="en-US" w:eastAsia="zh-CN" w:bidi="ar-SA"/>
              </w:rPr>
              <w:t>满足磋商文件要求且最后报价下浮最多的供应商的价格为磋商基准价，其价格分为满分。其他供应商的价格分统一按照下列公式计算：磋商报价得分=（1-磋商基准价/1-最后磋商报价）×15×100</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3"/>
              <w:spacing w:after="0" w:line="360" w:lineRule="auto"/>
              <w:rPr>
                <w:rFonts w:ascii="宋体" w:hAnsi="宋体" w:cs="宋体"/>
                <w:szCs w:val="21"/>
              </w:rPr>
            </w:pPr>
            <w:r>
              <w:rPr>
                <w:rFonts w:hint="eastAsia" w:ascii="宋体" w:hAnsi="宋体" w:eastAsia="宋体" w:cs="宋体"/>
                <w:kern w:val="2"/>
                <w:sz w:val="21"/>
                <w:szCs w:val="21"/>
                <w:lang w:val="en-US" w:eastAsia="zh-CN" w:bidi="ar-S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00" w:type="dxa"/>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2</w:t>
            </w:r>
          </w:p>
        </w:tc>
        <w:tc>
          <w:tcPr>
            <w:tcW w:w="1225" w:type="dxa"/>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Cs w:val="21"/>
                <w:highlight w:val="none"/>
              </w:rPr>
            </w:pPr>
            <w:r>
              <w:rPr>
                <w:rFonts w:hint="eastAsia" w:ascii="宋体" w:hAnsi="宋体" w:cs="宋体"/>
                <w:szCs w:val="21"/>
                <w:highlight w:val="none"/>
              </w:rPr>
              <w:t>服务</w:t>
            </w:r>
            <w:r>
              <w:rPr>
                <w:rFonts w:hint="eastAsia" w:ascii="宋体" w:hAnsi="宋体" w:eastAsia="宋体" w:cs="宋体"/>
                <w:szCs w:val="21"/>
                <w:highlight w:val="none"/>
              </w:rPr>
              <w:t>方案</w:t>
            </w:r>
            <w:r>
              <w:rPr>
                <w:rFonts w:hint="eastAsia" w:ascii="宋体" w:hAnsi="宋体" w:eastAsia="宋体" w:cs="宋体"/>
                <w:szCs w:val="21"/>
                <w:highlight w:val="none"/>
                <w:lang w:val="en-US" w:eastAsia="zh-CN"/>
              </w:rPr>
              <w:t>4</w:t>
            </w:r>
            <w:r>
              <w:rPr>
                <w:rFonts w:hint="eastAsia" w:ascii="宋体" w:hAnsi="宋体" w:cs="宋体"/>
                <w:szCs w:val="21"/>
                <w:highlight w:val="none"/>
                <w:lang w:val="en-US" w:eastAsia="zh-CN"/>
              </w:rPr>
              <w:t>2</w:t>
            </w:r>
            <w:r>
              <w:rPr>
                <w:rFonts w:hint="eastAsia" w:ascii="宋体" w:hAnsi="宋体" w:eastAsia="宋体" w:cs="宋体"/>
                <w:szCs w:val="21"/>
                <w:highlight w:val="none"/>
              </w:rPr>
              <w:t>%</w:t>
            </w:r>
          </w:p>
        </w:tc>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Cs w:val="21"/>
              </w:rPr>
            </w:pPr>
            <w:r>
              <w:rPr>
                <w:rFonts w:hint="eastAsia" w:ascii="宋体" w:hAnsi="宋体" w:eastAsia="宋体" w:cs="宋体"/>
                <w:bCs/>
                <w:szCs w:val="21"/>
                <w:lang w:val="en-US" w:eastAsia="zh-CN"/>
              </w:rPr>
              <w:t>4</w:t>
            </w:r>
            <w:r>
              <w:rPr>
                <w:rFonts w:hint="eastAsia" w:ascii="宋体" w:hAnsi="宋体" w:cs="宋体"/>
                <w:bCs/>
                <w:szCs w:val="21"/>
                <w:lang w:val="en-US" w:eastAsia="zh-CN"/>
              </w:rPr>
              <w:t>2</w:t>
            </w:r>
            <w:r>
              <w:rPr>
                <w:rFonts w:hint="eastAsia" w:ascii="宋体" w:hAnsi="宋体" w:eastAsia="宋体" w:cs="宋体"/>
                <w:bCs/>
                <w:szCs w:val="21"/>
              </w:rPr>
              <w:t>分</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hAnsi="宋体" w:cs="宋体"/>
                <w:szCs w:val="21"/>
              </w:rPr>
            </w:pPr>
            <w:r>
              <w:rPr>
                <w:rFonts w:hint="eastAsia" w:ascii="宋体" w:hAnsi="宋体" w:eastAsia="宋体" w:cs="宋体"/>
                <w:szCs w:val="21"/>
              </w:rPr>
              <w:t>根据供应商针对本项目提供的</w:t>
            </w:r>
            <w:r>
              <w:rPr>
                <w:rFonts w:hint="eastAsia" w:ascii="宋体" w:hAnsi="宋体" w:cs="宋体"/>
                <w:szCs w:val="21"/>
              </w:rPr>
              <w:t>服务</w:t>
            </w:r>
            <w:r>
              <w:rPr>
                <w:rFonts w:hint="eastAsia" w:ascii="宋体" w:hAnsi="宋体" w:eastAsia="宋体" w:cs="宋体"/>
                <w:szCs w:val="21"/>
              </w:rPr>
              <w:t>方案</w:t>
            </w:r>
            <w:r>
              <w:rPr>
                <w:rFonts w:hint="eastAsia" w:ascii="宋体" w:hAnsi="宋体" w:cs="宋体"/>
                <w:szCs w:val="21"/>
              </w:rPr>
              <w:t>进行评审，内容包含但不限于</w:t>
            </w:r>
            <w:r>
              <w:rPr>
                <w:rFonts w:hint="eastAsia" w:ascii="宋体" w:hAnsi="宋体" w:eastAsia="宋体" w:cs="宋体"/>
                <w:szCs w:val="21"/>
              </w:rPr>
              <w:t>：</w:t>
            </w:r>
            <w:r>
              <w:rPr>
                <w:rFonts w:hint="eastAsia" w:ascii="宋体" w:hAnsi="宋体" w:cs="宋体"/>
                <w:szCs w:val="21"/>
              </w:rPr>
              <w:t>1、质量管理保证措施；2、安全保证措施；3、备货和运输方案；4、成品保护方案；5、应急服务预案；6、项目人员配置方案</w:t>
            </w:r>
            <w:r>
              <w:rPr>
                <w:rFonts w:hint="eastAsia" w:ascii="宋体" w:hAnsi="宋体" w:cs="宋体"/>
                <w:szCs w:val="21"/>
                <w:lang w:eastAsia="zh-CN"/>
              </w:rPr>
              <w:t>，</w:t>
            </w:r>
            <w:r>
              <w:rPr>
                <w:rFonts w:hint="eastAsia" w:ascii="宋体" w:hAnsi="宋体" w:eastAsia="宋体" w:cs="宋体"/>
                <w:szCs w:val="21"/>
              </w:rPr>
              <w:t>完全满足</w:t>
            </w:r>
            <w:r>
              <w:rPr>
                <w:rFonts w:hint="eastAsia" w:ascii="宋体" w:hAnsi="宋体" w:cs="宋体"/>
                <w:szCs w:val="21"/>
                <w:lang w:eastAsia="zh-CN"/>
              </w:rPr>
              <w:t>采购项目</w:t>
            </w:r>
            <w:bookmarkStart w:id="0" w:name="_GoBack"/>
            <w:bookmarkEnd w:id="0"/>
            <w:r>
              <w:rPr>
                <w:rFonts w:hint="eastAsia" w:ascii="宋体" w:hAnsi="宋体" w:eastAsia="宋体" w:cs="宋体"/>
                <w:szCs w:val="21"/>
              </w:rPr>
              <w:t>要求的得</w:t>
            </w:r>
            <w:r>
              <w:rPr>
                <w:rFonts w:hint="eastAsia" w:ascii="宋体" w:hAnsi="宋体" w:cs="宋体"/>
                <w:szCs w:val="21"/>
                <w:lang w:val="en-US" w:eastAsia="zh-CN"/>
              </w:rPr>
              <w:t>42</w:t>
            </w:r>
            <w:r>
              <w:rPr>
                <w:rFonts w:hint="eastAsia" w:ascii="宋体" w:hAnsi="宋体" w:eastAsia="宋体" w:cs="宋体"/>
                <w:szCs w:val="21"/>
              </w:rPr>
              <w:t>分。每有一项内容缺项扣</w:t>
            </w:r>
            <w:r>
              <w:rPr>
                <w:rFonts w:hint="eastAsia" w:ascii="宋体" w:hAnsi="宋体" w:cs="宋体"/>
                <w:szCs w:val="21"/>
              </w:rPr>
              <w:t>7</w:t>
            </w:r>
            <w:r>
              <w:rPr>
                <w:rFonts w:hint="eastAsia" w:ascii="宋体" w:hAnsi="宋体" w:eastAsia="宋体" w:cs="宋体"/>
                <w:szCs w:val="21"/>
              </w:rPr>
              <w:t>分，每有一项内容存在缺陷</w:t>
            </w:r>
            <w:r>
              <w:rPr>
                <w:rFonts w:hint="eastAsia" w:ascii="宋体" w:hAnsi="宋体" w:cs="宋体"/>
                <w:szCs w:val="21"/>
                <w:lang w:eastAsia="zh-CN"/>
              </w:rPr>
              <w:t>或套用或不满足项目需求或与实际情况不符合</w:t>
            </w:r>
            <w:r>
              <w:rPr>
                <w:rFonts w:hint="eastAsia" w:ascii="宋体" w:hAnsi="宋体" w:eastAsia="宋体" w:cs="宋体"/>
                <w:szCs w:val="21"/>
              </w:rPr>
              <w:t>扣</w:t>
            </w:r>
            <w:r>
              <w:rPr>
                <w:rFonts w:hint="eastAsia" w:ascii="宋体" w:hAnsi="宋体" w:cs="宋体"/>
                <w:szCs w:val="21"/>
                <w:lang w:val="en-US" w:eastAsia="zh-CN"/>
              </w:rPr>
              <w:t>3.5</w:t>
            </w:r>
            <w:r>
              <w:rPr>
                <w:rFonts w:hint="eastAsia" w:ascii="宋体" w:hAnsi="宋体" w:eastAsia="宋体" w:cs="宋体"/>
                <w:szCs w:val="21"/>
              </w:rPr>
              <w:t>分，扣完为止。未提供</w:t>
            </w:r>
            <w:r>
              <w:rPr>
                <w:rFonts w:hint="eastAsia" w:ascii="宋体" w:hAnsi="宋体" w:cs="宋体"/>
                <w:szCs w:val="21"/>
              </w:rPr>
              <w:t>者</w:t>
            </w:r>
            <w:r>
              <w:rPr>
                <w:rFonts w:hint="eastAsia" w:ascii="宋体" w:hAnsi="宋体" w:eastAsia="宋体" w:cs="宋体"/>
                <w:szCs w:val="21"/>
              </w:rPr>
              <w:t>不得分。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eastAsia="宋体" w:cs="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00" w:type="dxa"/>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225" w:type="dxa"/>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lang w:eastAsia="zh-CN"/>
              </w:rPr>
            </w:pPr>
            <w:r>
              <w:rPr>
                <w:rFonts w:hint="eastAsia" w:ascii="宋体" w:hAnsi="宋体" w:eastAsia="宋体" w:cs="宋体"/>
                <w:szCs w:val="21"/>
              </w:rPr>
              <w:t>售后服务</w:t>
            </w:r>
            <w:r>
              <w:rPr>
                <w:rFonts w:hint="eastAsia" w:ascii="宋体" w:hAnsi="宋体" w:cs="宋体"/>
                <w:szCs w:val="21"/>
                <w:lang w:val="en-US" w:eastAsia="zh-CN"/>
              </w:rPr>
              <w:t>8%</w:t>
            </w:r>
          </w:p>
        </w:tc>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8分</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供应商针对本项目提供的售后服务方案包括但不限于以下内容：质保人员配置（质保负责人、能满足质保实际需求的人员配置）；详细的售后服务流程方案（含服务承诺、服务质量保证、服务响应体系、故障处理的响应措施、故障处理流程、维护保障流程、配品配件及维修服务等）；如遇重大灾害时的应急预案（包括但不限于对安装的备品备件、库存支持及响应时间等）；成品的详细维护保养方案、产品在质保期满后在使用过程中因人为因素造成损害的措施方案等进行综合评审，相应内容全面、合理且符合项目实际情况的得</w:t>
            </w:r>
            <w:r>
              <w:rPr>
                <w:rFonts w:hint="eastAsia" w:ascii="宋体" w:hAnsi="宋体" w:cs="宋体"/>
                <w:szCs w:val="21"/>
                <w:lang w:val="en-US" w:eastAsia="zh-CN"/>
              </w:rPr>
              <w:t>8</w:t>
            </w:r>
            <w:r>
              <w:rPr>
                <w:rFonts w:hint="eastAsia" w:ascii="宋体" w:hAnsi="宋体" w:eastAsia="宋体" w:cs="宋体"/>
                <w:szCs w:val="21"/>
              </w:rPr>
              <w:t>分，每有一项缺失或出现错误扣</w:t>
            </w:r>
            <w:r>
              <w:rPr>
                <w:rFonts w:hint="eastAsia" w:ascii="宋体" w:hAnsi="宋体" w:cs="宋体"/>
                <w:szCs w:val="21"/>
                <w:lang w:val="en-US" w:eastAsia="zh-CN"/>
              </w:rPr>
              <w:t>2</w:t>
            </w:r>
            <w:r>
              <w:rPr>
                <w:rFonts w:hint="eastAsia" w:ascii="宋体" w:hAnsi="宋体" w:eastAsia="宋体" w:cs="宋体"/>
                <w:szCs w:val="21"/>
              </w:rPr>
              <w:t>分；方案内容每有一项存在缺陷或不足的扣1分；扣完为止。（未提供</w:t>
            </w:r>
            <w:r>
              <w:rPr>
                <w:rFonts w:hint="eastAsia" w:ascii="宋体" w:hAnsi="宋体" w:cs="宋体"/>
                <w:szCs w:val="21"/>
              </w:rPr>
              <w:t>者</w:t>
            </w:r>
            <w:r>
              <w:rPr>
                <w:rFonts w:hint="eastAsia" w:ascii="宋体" w:hAnsi="宋体" w:eastAsia="宋体" w:cs="宋体"/>
                <w:szCs w:val="21"/>
              </w:rPr>
              <w:t>不得分。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00" w:type="dxa"/>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Cs w:val="21"/>
              </w:rPr>
            </w:pPr>
            <w:r>
              <w:rPr>
                <w:rFonts w:hint="eastAsia" w:ascii="宋体" w:hAnsi="宋体" w:cs="宋体"/>
                <w:bCs/>
                <w:szCs w:val="21"/>
              </w:rPr>
              <w:t>3</w:t>
            </w:r>
          </w:p>
        </w:tc>
        <w:tc>
          <w:tcPr>
            <w:tcW w:w="1225" w:type="dxa"/>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Cs w:val="21"/>
              </w:rPr>
            </w:pPr>
            <w:r>
              <w:rPr>
                <w:rFonts w:hint="eastAsia" w:ascii="宋体" w:hAnsi="宋体" w:cs="宋体"/>
                <w:bCs/>
                <w:szCs w:val="21"/>
              </w:rPr>
              <w:t>综合实力2</w:t>
            </w:r>
            <w:r>
              <w:rPr>
                <w:rFonts w:hint="eastAsia" w:ascii="宋体" w:hAnsi="宋体" w:cs="宋体"/>
                <w:bCs/>
                <w:szCs w:val="21"/>
                <w:lang w:val="en-US" w:eastAsia="zh-CN"/>
              </w:rPr>
              <w:t>2</w:t>
            </w:r>
            <w:r>
              <w:rPr>
                <w:rFonts w:hint="eastAsia" w:ascii="宋体" w:hAnsi="宋体" w:cs="宋体"/>
                <w:bCs/>
                <w:szCs w:val="21"/>
              </w:rPr>
              <w:t>%</w:t>
            </w:r>
          </w:p>
        </w:tc>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Cs w:val="21"/>
              </w:rPr>
            </w:pPr>
            <w:r>
              <w:rPr>
                <w:rFonts w:hint="eastAsia" w:ascii="宋体" w:hAnsi="宋体" w:cs="宋体"/>
                <w:bCs/>
                <w:szCs w:val="21"/>
              </w:rPr>
              <w:t>2</w:t>
            </w:r>
            <w:r>
              <w:rPr>
                <w:rFonts w:hint="eastAsia" w:ascii="宋体" w:hAnsi="宋体" w:cs="宋体"/>
                <w:bCs/>
                <w:szCs w:val="21"/>
                <w:lang w:val="en-US" w:eastAsia="zh-CN"/>
              </w:rPr>
              <w:t>2</w:t>
            </w:r>
            <w:r>
              <w:rPr>
                <w:rFonts w:hint="eastAsia" w:ascii="宋体" w:hAnsi="宋体" w:cs="宋体"/>
                <w:bCs/>
                <w:szCs w:val="21"/>
              </w:rPr>
              <w:t>分</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eastAsia="宋体" w:cs="宋体"/>
                <w:szCs w:val="21"/>
              </w:rPr>
              <w:t>供应商具有广告</w:t>
            </w:r>
            <w:r>
              <w:rPr>
                <w:rFonts w:hint="eastAsia" w:ascii="宋体" w:hAnsi="宋体" w:cs="宋体"/>
                <w:szCs w:val="21"/>
              </w:rPr>
              <w:t>制作</w:t>
            </w:r>
            <w:r>
              <w:rPr>
                <w:rFonts w:hint="eastAsia" w:ascii="宋体" w:hAnsi="宋体" w:eastAsia="宋体" w:cs="宋体"/>
                <w:szCs w:val="21"/>
              </w:rPr>
              <w:t>场地的，得</w:t>
            </w:r>
            <w:r>
              <w:rPr>
                <w:rFonts w:hint="eastAsia" w:ascii="宋体" w:hAnsi="宋体" w:eastAsia="宋体" w:cs="宋体"/>
                <w:szCs w:val="21"/>
                <w:lang w:val="en-US" w:eastAsia="zh-CN"/>
              </w:rPr>
              <w:t>2</w:t>
            </w:r>
            <w:r>
              <w:rPr>
                <w:rFonts w:hint="eastAsia" w:ascii="宋体" w:hAnsi="宋体" w:eastAsia="宋体" w:cs="宋体"/>
                <w:szCs w:val="21"/>
              </w:rPr>
              <w:t>分；（提供房产证明复印件或租赁合同复印件</w:t>
            </w:r>
            <w:r>
              <w:rPr>
                <w:rFonts w:hint="eastAsia" w:ascii="宋体" w:hAnsi="宋体" w:cs="宋体"/>
                <w:szCs w:val="21"/>
              </w:rPr>
              <w:t>，</w:t>
            </w:r>
            <w:r>
              <w:rPr>
                <w:rFonts w:hint="eastAsia" w:ascii="Calibri" w:hAnsi="Calibri" w:eastAsia="宋体" w:cs="Times New Roman"/>
              </w:rPr>
              <w:t>加盖</w:t>
            </w:r>
            <w:r>
              <w:rPr>
                <w:rFonts w:hint="eastAsia" w:ascii="Calibri" w:hAnsi="Calibri" w:cs="Times New Roman"/>
              </w:rPr>
              <w:t>供应商</w:t>
            </w:r>
            <w:r>
              <w:rPr>
                <w:rFonts w:hint="eastAsia" w:ascii="Calibri" w:hAnsi="Calibri" w:eastAsia="宋体" w:cs="Times New Roman"/>
              </w:rPr>
              <w:t>单位公章</w:t>
            </w:r>
            <w:r>
              <w:rPr>
                <w:rFonts w:hint="eastAsia" w:ascii="Calibri" w:hAnsi="Calibri" w:cs="Times New Roman"/>
              </w:rPr>
              <w:t>。</w:t>
            </w:r>
            <w:r>
              <w:rPr>
                <w:rFonts w:hint="eastAsia" w:ascii="宋体" w:hAnsi="宋体" w:eastAsia="宋体" w:cs="宋体"/>
                <w:szCs w:val="21"/>
              </w:rPr>
              <w:t>）</w:t>
            </w:r>
          </w:p>
          <w:p>
            <w:pPr>
              <w:spacing w:line="360" w:lineRule="auto"/>
              <w:ind w:firstLine="420" w:firstLineChars="200"/>
            </w:pPr>
            <w:r>
              <w:rPr>
                <w:rFonts w:hint="eastAsia" w:ascii="宋体" w:hAnsi="宋体" w:eastAsia="宋体" w:cs="宋体"/>
                <w:color w:val="000000"/>
                <w:szCs w:val="21"/>
              </w:rPr>
              <w:t>2、供应商具有雕刻机、喷绘机、写真机、平板机、覆膜机的，</w:t>
            </w:r>
            <w:r>
              <w:rPr>
                <w:rFonts w:hint="eastAsia" w:ascii="宋体" w:hAnsi="宋体" w:cs="宋体"/>
                <w:color w:val="000000"/>
                <w:szCs w:val="21"/>
              </w:rPr>
              <w:t>每有一项得4分，本项最多</w:t>
            </w:r>
            <w:r>
              <w:rPr>
                <w:rFonts w:hint="eastAsia" w:ascii="宋体" w:hAnsi="宋体" w:eastAsia="宋体" w:cs="宋体"/>
                <w:color w:val="000000"/>
                <w:szCs w:val="21"/>
              </w:rPr>
              <w:t>得</w:t>
            </w:r>
            <w:r>
              <w:rPr>
                <w:rFonts w:hint="eastAsia" w:ascii="宋体" w:hAnsi="宋体" w:cs="宋体"/>
                <w:color w:val="000000"/>
                <w:szCs w:val="21"/>
              </w:rPr>
              <w:t>20</w:t>
            </w:r>
            <w:r>
              <w:rPr>
                <w:rFonts w:hint="eastAsia" w:ascii="宋体" w:hAnsi="宋体" w:eastAsia="宋体" w:cs="宋体"/>
                <w:color w:val="000000"/>
                <w:szCs w:val="21"/>
              </w:rPr>
              <w:t>分，</w:t>
            </w:r>
            <w:r>
              <w:rPr>
                <w:rFonts w:hint="eastAsia" w:ascii="宋体" w:hAnsi="宋体" w:cs="宋体"/>
                <w:color w:val="000000"/>
                <w:szCs w:val="21"/>
              </w:rPr>
              <w:t>未提供者不得分。（提供设备购销合同复印件或购买设备发票复印件，</w:t>
            </w:r>
            <w:r>
              <w:rPr>
                <w:rFonts w:hint="eastAsia" w:ascii="Calibri" w:hAnsi="Calibri" w:eastAsia="宋体" w:cs="Times New Roman"/>
                <w:color w:val="000000"/>
              </w:rPr>
              <w:t>加盖</w:t>
            </w:r>
            <w:r>
              <w:rPr>
                <w:rFonts w:hint="eastAsia" w:ascii="Calibri" w:hAnsi="Calibri" w:cs="Times New Roman"/>
                <w:color w:val="000000"/>
              </w:rPr>
              <w:t>供应商</w:t>
            </w:r>
            <w:r>
              <w:rPr>
                <w:rFonts w:hint="eastAsia" w:ascii="Calibri" w:hAnsi="Calibri" w:eastAsia="宋体" w:cs="Times New Roman"/>
                <w:color w:val="000000"/>
              </w:rPr>
              <w:t>单位公章</w:t>
            </w:r>
            <w:r>
              <w:rPr>
                <w:rFonts w:hint="eastAsia" w:ascii="Calibri" w:hAnsi="Calibri" w:cs="Times New Roman"/>
                <w:color w:val="000000"/>
              </w:rPr>
              <w:t>。</w:t>
            </w:r>
            <w:r>
              <w:rPr>
                <w:rFonts w:hint="eastAsia" w:ascii="宋体" w:hAnsi="宋体" w:cs="宋体"/>
                <w:color w:val="000000"/>
                <w:szCs w:val="21"/>
              </w:rPr>
              <w:t>）</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eastAsia="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00" w:type="dxa"/>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Cs w:val="21"/>
              </w:rPr>
            </w:pPr>
            <w:r>
              <w:rPr>
                <w:rFonts w:hint="eastAsia" w:ascii="宋体" w:hAnsi="宋体" w:cs="宋体"/>
                <w:bCs/>
                <w:szCs w:val="21"/>
              </w:rPr>
              <w:t>4</w:t>
            </w:r>
          </w:p>
        </w:tc>
        <w:tc>
          <w:tcPr>
            <w:tcW w:w="1225" w:type="dxa"/>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Cs w:val="21"/>
              </w:rPr>
            </w:pPr>
            <w:r>
              <w:rPr>
                <w:rFonts w:hint="eastAsia" w:ascii="宋体" w:hAnsi="宋体" w:cs="宋体"/>
                <w:bCs/>
                <w:szCs w:val="21"/>
              </w:rPr>
              <w:t>履约能力12%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Cs w:val="21"/>
              </w:rPr>
            </w:pPr>
            <w:r>
              <w:rPr>
                <w:rFonts w:hint="eastAsia" w:ascii="宋体" w:hAnsi="宋体" w:cs="宋体"/>
                <w:bCs/>
                <w:szCs w:val="21"/>
              </w:rPr>
              <w:t>12</w:t>
            </w:r>
            <w:r>
              <w:rPr>
                <w:rFonts w:hint="eastAsia" w:ascii="宋体" w:hAnsi="宋体" w:eastAsia="宋体" w:cs="宋体"/>
                <w:bCs/>
                <w:szCs w:val="21"/>
              </w:rPr>
              <w:t>分</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pPr>
            <w:r>
              <w:rPr>
                <w:rFonts w:hint="eastAsia"/>
              </w:rPr>
              <w:t>1、供应商2018年1月1日（含1日）以来具有已完成类似业绩，每有1个得3分，本项最多得9分。（提供合同复印件，加盖供应商公章。）</w:t>
            </w:r>
          </w:p>
          <w:p>
            <w:pPr>
              <w:spacing w:line="360" w:lineRule="auto"/>
              <w:ind w:firstLine="420" w:firstLineChars="200"/>
            </w:pPr>
            <w:r>
              <w:rPr>
                <w:rFonts w:hint="eastAsia"/>
                <w:color w:val="000000"/>
              </w:rPr>
              <w:t>2、供应商拟为本项目配备4人及以上专业服务团队的，得3分</w:t>
            </w:r>
            <w:r>
              <w:rPr>
                <w:rFonts w:hint="eastAsia"/>
                <w:color w:val="000000"/>
                <w:lang w:eastAsia="zh-CN"/>
              </w:rPr>
              <w:t>，低于</w:t>
            </w:r>
            <w:r>
              <w:rPr>
                <w:rFonts w:hint="eastAsia"/>
                <w:color w:val="000000"/>
                <w:lang w:val="en-US" w:eastAsia="zh-CN"/>
              </w:rPr>
              <w:t>4人的不得分</w:t>
            </w:r>
            <w:r>
              <w:rPr>
                <w:rFonts w:hint="eastAsia"/>
                <w:color w:val="000000"/>
              </w:rPr>
              <w:t>。</w:t>
            </w:r>
            <w:r>
              <w:rPr>
                <w:rFonts w:hint="eastAsia" w:ascii="Calibri" w:hAnsi="Calibri" w:eastAsia="宋体" w:cs="Times New Roman"/>
                <w:color w:val="000000"/>
              </w:rPr>
              <w:t>（提供</w:t>
            </w:r>
            <w:r>
              <w:rPr>
                <w:rFonts w:hint="eastAsia" w:cs="Times New Roman"/>
                <w:color w:val="000000"/>
              </w:rPr>
              <w:t>团队人员清单和供应商2021年度为其购买的不少于3个月的社保证明材料，加盖供应商单位公章。）</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eastAsia="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1225"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 xml:space="preserve">扶持不 </w:t>
            </w:r>
          </w:p>
          <w:p>
            <w:pPr>
              <w:pStyle w:val="3"/>
              <w:spacing w:line="360" w:lineRule="auto"/>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 xml:space="preserve">发达地 </w:t>
            </w:r>
          </w:p>
          <w:p>
            <w:pPr>
              <w:pStyle w:val="3"/>
              <w:spacing w:line="360" w:lineRule="auto"/>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 xml:space="preserve">区和少 </w:t>
            </w:r>
          </w:p>
          <w:p>
            <w:pPr>
              <w:pStyle w:val="3"/>
              <w:spacing w:line="360" w:lineRule="auto"/>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 xml:space="preserve">数民族 </w:t>
            </w:r>
          </w:p>
          <w:p>
            <w:pPr>
              <w:pStyle w:val="3"/>
              <w:spacing w:line="360" w:lineRule="auto"/>
              <w:jc w:val="center"/>
              <w:rPr>
                <w:rFonts w:hint="default" w:ascii="宋体" w:hAnsi="宋体" w:eastAsia="宋体" w:cs="宋体"/>
                <w:szCs w:val="21"/>
                <w:lang w:val="en-US"/>
              </w:rPr>
            </w:pPr>
            <w:r>
              <w:rPr>
                <w:rFonts w:hint="eastAsia" w:ascii="宋体" w:hAnsi="宋体" w:eastAsia="宋体" w:cs="宋体"/>
                <w:bCs/>
                <w:kern w:val="2"/>
                <w:sz w:val="21"/>
                <w:szCs w:val="21"/>
                <w:lang w:val="en-US" w:eastAsia="zh-CN" w:bidi="ar-SA"/>
              </w:rPr>
              <w:t>地区1%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center"/>
              <w:rPr>
                <w:rFonts w:hint="eastAsia" w:ascii="宋体" w:hAnsi="宋体" w:eastAsia="宋体" w:cs="宋体"/>
                <w:bCs/>
                <w:szCs w:val="21"/>
              </w:rPr>
            </w:pPr>
            <w:r>
              <w:rPr>
                <w:rFonts w:hint="eastAsia" w:ascii="宋体" w:hAnsi="宋体" w:eastAsia="宋体" w:cs="宋体"/>
                <w:bCs/>
                <w:kern w:val="2"/>
                <w:sz w:val="21"/>
                <w:szCs w:val="21"/>
                <w:lang w:val="en-US" w:eastAsia="zh-CN" w:bidi="ar-SA"/>
              </w:rPr>
              <w:t>1分</w:t>
            </w:r>
          </w:p>
        </w:tc>
        <w:tc>
          <w:tcPr>
            <w:tcW w:w="567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hint="eastAsia"/>
                <w:lang w:val="en-US" w:eastAsia="zh-CN"/>
              </w:rPr>
            </w:pPr>
            <w:r>
              <w:rPr>
                <w:rFonts w:hint="eastAsia"/>
                <w:lang w:val="en-US" w:eastAsia="zh-CN"/>
              </w:rPr>
              <w:t xml:space="preserve">投标人属于不发达地区或少数民族地区的得 1分。 </w:t>
            </w:r>
          </w:p>
          <w:p>
            <w:pPr>
              <w:spacing w:line="360" w:lineRule="auto"/>
              <w:ind w:firstLine="420" w:firstLineChars="200"/>
              <w:rPr>
                <w:rFonts w:hint="eastAsia" w:ascii="宋体" w:hAnsi="宋体" w:eastAsia="宋体" w:cs="宋体"/>
                <w:szCs w:val="21"/>
              </w:rPr>
            </w:pPr>
            <w:r>
              <w:rPr>
                <w:rFonts w:hint="eastAsia"/>
                <w:lang w:val="en-US" w:eastAsia="zh-CN"/>
              </w:rPr>
              <w:t xml:space="preserve">注：少数民族地区的投标人提供营业执照复印件并加盖投标人的鲜章为准，不发达地区的投标人以提供相关有效证明文件复印件并加盖投标人的鲜章为准，不提供或未按要求提供不得分。 </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left"/>
              <w:rPr>
                <w:rFonts w:hint="eastAsia" w:ascii="宋体" w:hAnsi="宋体" w:eastAsia="宋体" w:cs="宋体"/>
                <w:szCs w:val="21"/>
              </w:rPr>
            </w:pPr>
            <w:r>
              <w:rPr>
                <w:rFonts w:hint="eastAsia" w:ascii="宋体" w:hAnsi="宋体" w:eastAsia="宋体" w:cs="宋体"/>
                <w:bCs/>
                <w:kern w:val="2"/>
                <w:sz w:val="21"/>
                <w:szCs w:val="21"/>
                <w:lang w:val="en-US" w:eastAsia="zh-CN" w:bidi="ar-SA"/>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Cs w:val="21"/>
                <w:lang w:eastAsia="zh-CN"/>
              </w:rPr>
            </w:pPr>
            <w:r>
              <w:rPr>
                <w:rFonts w:hint="eastAsia" w:ascii="宋体" w:hAnsi="宋体" w:cs="宋体"/>
                <w:bCs/>
                <w:szCs w:val="21"/>
                <w:lang w:val="en-US" w:eastAsia="zh-CN"/>
              </w:rPr>
              <w:t>6</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eastAsia="宋体" w:cs="宋体"/>
                <w:szCs w:val="21"/>
              </w:rPr>
              <w:t>失信行为</w:t>
            </w:r>
          </w:p>
          <w:p>
            <w:pPr>
              <w:spacing w:line="360" w:lineRule="auto"/>
              <w:jc w:val="center"/>
              <w:rPr>
                <w:rFonts w:ascii="宋体" w:hAnsi="宋体" w:cs="宋体"/>
                <w:bCs/>
                <w:szCs w:val="21"/>
              </w:rPr>
            </w:pPr>
            <w:r>
              <w:rPr>
                <w:rFonts w:hint="eastAsia" w:ascii="宋体" w:hAnsi="宋体" w:eastAsia="宋体" w:cs="宋体"/>
                <w:szCs w:val="21"/>
              </w:rPr>
              <w:t>惩戒0%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Cs w:val="21"/>
              </w:rPr>
            </w:pPr>
            <w:r>
              <w:rPr>
                <w:rFonts w:hint="eastAsia" w:ascii="宋体" w:hAnsi="宋体" w:eastAsia="宋体" w:cs="宋体"/>
                <w:bCs/>
                <w:szCs w:val="21"/>
              </w:rPr>
              <w:t>0分</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ascii="宋体" w:hAnsi="宋体" w:cs="宋体"/>
                <w:szCs w:val="21"/>
              </w:rPr>
            </w:pPr>
            <w:r>
              <w:rPr>
                <w:rFonts w:hint="eastAsia" w:ascii="宋体" w:hAnsi="宋体" w:eastAsia="宋体" w:cs="宋体"/>
                <w:szCs w:val="21"/>
              </w:rPr>
              <w:t>1、对按照《四川省政府采购当事人诚信管理办法》（川财采【2015】33号）记入诚信档案的且在有效期内的失信供应商，在参加采购活动中实行直接从总分中扣分的惩戒办法，且供应商失信行为惩戒实行无限制累加制。存在一次失信行为的，扣3分，每增加一次失信行为，加扣3分，直至扣完为止。</w:t>
            </w:r>
          </w:p>
          <w:p>
            <w:pPr>
              <w:spacing w:line="360" w:lineRule="auto"/>
              <w:ind w:firstLine="420" w:firstLineChars="200"/>
              <w:rPr>
                <w:rFonts w:ascii="宋体" w:hAnsi="宋体" w:cs="宋体"/>
                <w:szCs w:val="21"/>
              </w:rPr>
            </w:pPr>
            <w:r>
              <w:rPr>
                <w:rFonts w:hint="eastAsia" w:ascii="宋体" w:hAnsi="宋体" w:eastAsia="宋体" w:cs="宋体"/>
                <w:szCs w:val="21"/>
              </w:rPr>
              <w:t>2、供应商参加采购活动时，应当就自己的诚信情况在响应文件中进行承诺。</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eastAsia="宋体" w:cs="宋体"/>
                <w:szCs w:val="21"/>
              </w:rPr>
              <w:t>共同评分因素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7A"/>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YTBiMGQwZWUyY2I5YWNmNGI5NzlhZTRlYTY1ZDgifQ=="/>
  </w:docVars>
  <w:rsids>
    <w:rsidRoot w:val="601F4A96"/>
    <w:rsid w:val="53B01FD9"/>
    <w:rsid w:val="601F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jc w:val="center"/>
    </w:pPr>
    <w:rPr>
      <w:rFonts w:eastAsia="黑体"/>
      <w:sz w:val="44"/>
      <w:szCs w:val="21"/>
    </w:r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next w:val="1"/>
    <w:qFormat/>
    <w:uiPriority w:val="0"/>
    <w:pPr>
      <w:ind w:firstLine="630"/>
    </w:pPr>
    <w:rPr>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1206</Words>
  <Characters>1241</Characters>
  <Lines>0</Lines>
  <Paragraphs>0</Paragraphs>
  <TotalTime>3</TotalTime>
  <ScaleCrop>false</ScaleCrop>
  <LinksUpToDate>false</LinksUpToDate>
  <CharactersWithSpaces>1248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2022-06-20T02:24:00Z</dcterms:created>
  <dc:creator>xiong</dc:creator>
  <cp:lastModifiedBy>xiong</cp:lastModifiedBy>
  <dcterms:modified xsi:type="dcterms:W3CDTF">2022-06-20T02:37:48Z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3F9426613C3E42E1944B2F817310A2DD</vt:lpwstr>
  </property>
</Properties>
</file>